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eastAsia" w:ascii="宋体" w:hAnsi="宋体"/>
          <w:b/>
          <w:bCs/>
          <w:color w:val="auto"/>
          <w:kern w:val="0"/>
          <w:sz w:val="44"/>
          <w:szCs w:val="44"/>
          <w:highlight w:val="none"/>
        </w:rPr>
      </w:pPr>
    </w:p>
    <w:p>
      <w:pPr>
        <w:pStyle w:val="2"/>
        <w:ind w:firstLine="0" w:firstLineChars="0"/>
        <w:jc w:val="center"/>
        <w:rPr>
          <w:rFonts w:ascii="宋体" w:hAnsi="宋体"/>
          <w:b/>
          <w:bCs/>
          <w:color w:val="auto"/>
          <w:kern w:val="0"/>
          <w:sz w:val="44"/>
          <w:szCs w:val="44"/>
          <w:highlight w:val="none"/>
        </w:rPr>
      </w:pPr>
    </w:p>
    <w:p>
      <w:pPr>
        <w:pStyle w:val="2"/>
        <w:ind w:firstLine="703"/>
        <w:jc w:val="center"/>
        <w:rPr>
          <w:rFonts w:hint="eastAsia" w:ascii="黑体" w:hAnsi="黑体" w:eastAsia="黑体" w:cs="黑体"/>
          <w:b/>
          <w:bCs/>
          <w:color w:val="auto"/>
          <w:kern w:val="0"/>
          <w:sz w:val="44"/>
          <w:szCs w:val="44"/>
          <w:highlight w:val="none"/>
          <w:lang w:val="en-US" w:eastAsia="zh-CN"/>
        </w:rPr>
      </w:pPr>
      <w:r>
        <w:rPr>
          <w:rFonts w:hint="eastAsia" w:ascii="黑体" w:hAnsi="黑体" w:eastAsia="黑体" w:cs="黑体"/>
          <w:b/>
          <w:bCs/>
          <w:color w:val="auto"/>
          <w:kern w:val="0"/>
          <w:sz w:val="44"/>
          <w:szCs w:val="44"/>
          <w:highlight w:val="none"/>
          <w:lang w:val="en-US" w:eastAsia="zh-CN"/>
        </w:rPr>
        <w:t>S325线滹沱河桥、龙泉河桥及贾庄桥</w:t>
      </w:r>
    </w:p>
    <w:p>
      <w:pPr>
        <w:pStyle w:val="2"/>
        <w:ind w:firstLine="703"/>
        <w:jc w:val="center"/>
        <w:rPr>
          <w:rFonts w:hint="eastAsia" w:ascii="黑体" w:hAnsi="黑体" w:eastAsia="黑体" w:cs="黑体"/>
          <w:b/>
          <w:bCs/>
          <w:color w:val="auto"/>
          <w:kern w:val="0"/>
          <w:sz w:val="44"/>
          <w:szCs w:val="44"/>
          <w:highlight w:val="none"/>
          <w:lang w:eastAsia="zh-CN"/>
        </w:rPr>
      </w:pPr>
      <w:r>
        <w:rPr>
          <w:rFonts w:hint="eastAsia" w:ascii="黑体" w:hAnsi="黑体" w:eastAsia="黑体" w:cs="黑体"/>
          <w:b/>
          <w:bCs/>
          <w:color w:val="auto"/>
          <w:kern w:val="0"/>
          <w:sz w:val="44"/>
          <w:szCs w:val="44"/>
          <w:highlight w:val="none"/>
          <w:lang w:eastAsia="zh-CN"/>
        </w:rPr>
        <w:t>加固维修工程</w:t>
      </w:r>
    </w:p>
    <w:p>
      <w:pPr>
        <w:pStyle w:val="4"/>
        <w:rPr>
          <w:rFonts w:hint="eastAsia" w:ascii="黑体" w:hAnsi="黑体" w:eastAsia="黑体" w:cs="黑体"/>
          <w:b/>
          <w:bCs/>
          <w:color w:val="auto"/>
          <w:kern w:val="0"/>
          <w:sz w:val="44"/>
          <w:szCs w:val="44"/>
          <w:highlight w:val="none"/>
          <w:lang w:eastAsia="zh-CN"/>
        </w:rPr>
      </w:pPr>
    </w:p>
    <w:p>
      <w:pPr>
        <w:pStyle w:val="4"/>
        <w:rPr>
          <w:rFonts w:hint="eastAsia" w:ascii="黑体" w:hAnsi="黑体" w:eastAsia="黑体" w:cs="黑体"/>
          <w:b/>
          <w:bCs/>
          <w:color w:val="auto"/>
          <w:kern w:val="0"/>
          <w:sz w:val="44"/>
          <w:szCs w:val="44"/>
          <w:highlight w:val="none"/>
          <w:lang w:eastAsia="zh-CN"/>
        </w:rPr>
      </w:pPr>
      <w:bookmarkStart w:id="539" w:name="_GoBack"/>
      <w:bookmarkEnd w:id="539"/>
    </w:p>
    <w:p>
      <w:pPr>
        <w:pStyle w:val="4"/>
        <w:rPr>
          <w:rFonts w:hint="eastAsia" w:ascii="黑体" w:hAnsi="黑体" w:eastAsia="黑体" w:cs="黑体"/>
          <w:b/>
          <w:bCs/>
          <w:color w:val="auto"/>
          <w:kern w:val="0"/>
          <w:sz w:val="44"/>
          <w:szCs w:val="44"/>
          <w:highlight w:val="none"/>
          <w:lang w:eastAsia="zh-CN"/>
        </w:rPr>
      </w:pPr>
    </w:p>
    <w:p>
      <w:pPr>
        <w:autoSpaceDE w:val="0"/>
        <w:autoSpaceDN w:val="0"/>
        <w:adjustRightInd w:val="0"/>
        <w:jc w:val="center"/>
        <w:rPr>
          <w:b/>
          <w:bCs/>
          <w:color w:val="auto"/>
          <w:sz w:val="72"/>
          <w:szCs w:val="72"/>
          <w:highlight w:val="none"/>
        </w:rPr>
      </w:pPr>
      <w:r>
        <w:rPr>
          <w:rFonts w:hint="eastAsia"/>
          <w:b/>
          <w:bCs/>
          <w:color w:val="auto"/>
          <w:sz w:val="72"/>
          <w:szCs w:val="72"/>
          <w:highlight w:val="none"/>
        </w:rPr>
        <w:t>招</w:t>
      </w:r>
      <w:r>
        <w:rPr>
          <w:b/>
          <w:bCs/>
          <w:color w:val="auto"/>
          <w:sz w:val="72"/>
          <w:szCs w:val="72"/>
          <w:highlight w:val="none"/>
        </w:rPr>
        <w:t xml:space="preserve"> </w:t>
      </w:r>
      <w:r>
        <w:rPr>
          <w:rFonts w:hint="eastAsia"/>
          <w:b/>
          <w:bCs/>
          <w:color w:val="auto"/>
          <w:sz w:val="72"/>
          <w:szCs w:val="72"/>
          <w:highlight w:val="none"/>
        </w:rPr>
        <w:t>标</w:t>
      </w:r>
      <w:r>
        <w:rPr>
          <w:b/>
          <w:bCs/>
          <w:color w:val="auto"/>
          <w:sz w:val="72"/>
          <w:szCs w:val="72"/>
          <w:highlight w:val="none"/>
        </w:rPr>
        <w:t xml:space="preserve"> </w:t>
      </w:r>
      <w:r>
        <w:rPr>
          <w:rFonts w:hint="eastAsia"/>
          <w:b/>
          <w:bCs/>
          <w:color w:val="auto"/>
          <w:sz w:val="72"/>
          <w:szCs w:val="72"/>
          <w:highlight w:val="none"/>
        </w:rPr>
        <w:t>文</w:t>
      </w:r>
      <w:r>
        <w:rPr>
          <w:b/>
          <w:bCs/>
          <w:color w:val="auto"/>
          <w:sz w:val="72"/>
          <w:szCs w:val="72"/>
          <w:highlight w:val="none"/>
        </w:rPr>
        <w:t xml:space="preserve"> </w:t>
      </w:r>
      <w:r>
        <w:rPr>
          <w:rFonts w:hint="eastAsia"/>
          <w:b/>
          <w:bCs/>
          <w:color w:val="auto"/>
          <w:sz w:val="72"/>
          <w:szCs w:val="72"/>
          <w:highlight w:val="none"/>
        </w:rPr>
        <w:t>件</w:t>
      </w:r>
    </w:p>
    <w:p>
      <w:pPr>
        <w:autoSpaceDE w:val="0"/>
        <w:autoSpaceDN w:val="0"/>
        <w:adjustRightInd w:val="0"/>
        <w:ind w:firstLine="3373" w:firstLineChars="1400"/>
        <w:jc w:val="both"/>
        <w:rPr>
          <w:rFonts w:hint="default" w:eastAsia="宋体"/>
          <w:color w:val="auto"/>
          <w:sz w:val="44"/>
          <w:szCs w:val="44"/>
          <w:highlight w:val="none"/>
          <w:lang w:val="en-US" w:eastAsia="zh-CN"/>
        </w:rPr>
      </w:pPr>
      <w:r>
        <w:rPr>
          <w:rFonts w:hint="eastAsia" w:hAnsi="宋体"/>
          <w:b/>
          <w:bCs/>
          <w:color w:val="auto"/>
          <w:sz w:val="24"/>
          <w:szCs w:val="24"/>
          <w:highlight w:val="none"/>
        </w:rPr>
        <w:t>项目编号</w:t>
      </w:r>
      <w:r>
        <w:rPr>
          <w:rFonts w:hint="eastAsia" w:ascii="Times New Roman" w:hAnsi="宋体" w:cs="Times New Roman"/>
          <w:b/>
          <w:bCs/>
          <w:color w:val="auto"/>
          <w:sz w:val="24"/>
          <w:szCs w:val="24"/>
          <w:highlight w:val="none"/>
        </w:rPr>
        <w:t>：</w:t>
      </w:r>
      <w:r>
        <w:rPr>
          <w:rFonts w:hint="eastAsia" w:ascii="Times New Roman" w:hAnsi="宋体" w:cs="Times New Roman"/>
          <w:b/>
          <w:bCs/>
          <w:color w:val="auto"/>
          <w:sz w:val="24"/>
          <w:szCs w:val="24"/>
          <w:highlight w:val="none"/>
          <w:lang w:val="en-US" w:eastAsia="zh-CN"/>
        </w:rPr>
        <w:t>JSGC-</w:t>
      </w:r>
      <w:r>
        <w:rPr>
          <w:rFonts w:hint="eastAsia" w:hAnsi="宋体" w:cs="Times New Roman"/>
          <w:b/>
          <w:bCs/>
          <w:color w:val="auto"/>
          <w:sz w:val="24"/>
          <w:szCs w:val="24"/>
          <w:highlight w:val="none"/>
          <w:lang w:val="en-US" w:eastAsia="zh-CN"/>
        </w:rPr>
        <w:t>J-2019213</w:t>
      </w:r>
    </w:p>
    <w:p>
      <w:pPr>
        <w:spacing w:before="156" w:beforeLines="50" w:after="156" w:afterLines="50" w:line="360" w:lineRule="auto"/>
        <w:jc w:val="center"/>
        <w:rPr>
          <w:b/>
          <w:bCs/>
          <w:color w:val="auto"/>
          <w:sz w:val="30"/>
          <w:szCs w:val="30"/>
          <w:highlight w:val="none"/>
        </w:rPr>
      </w:pPr>
    </w:p>
    <w:p>
      <w:pPr>
        <w:pStyle w:val="2"/>
        <w:rPr>
          <w:b/>
          <w:bCs/>
          <w:color w:val="auto"/>
          <w:sz w:val="30"/>
          <w:szCs w:val="30"/>
          <w:highlight w:val="none"/>
        </w:rPr>
      </w:pPr>
    </w:p>
    <w:p>
      <w:pPr>
        <w:pStyle w:val="4"/>
        <w:rPr>
          <w:rFonts w:hint="eastAsia"/>
          <w:color w:val="auto"/>
          <w:highlight w:val="none"/>
        </w:rPr>
      </w:pPr>
    </w:p>
    <w:p>
      <w:pPr>
        <w:pStyle w:val="4"/>
        <w:rPr>
          <w:rFonts w:hint="eastAsia"/>
          <w:color w:val="auto"/>
          <w:highlight w:val="none"/>
        </w:rPr>
      </w:pPr>
    </w:p>
    <w:p>
      <w:pPr>
        <w:pStyle w:val="2"/>
        <w:ind w:firstLine="340"/>
        <w:rPr>
          <w:color w:val="auto"/>
          <w:highlight w:val="none"/>
        </w:rPr>
      </w:pPr>
    </w:p>
    <w:p>
      <w:pPr>
        <w:spacing w:before="156" w:beforeLines="50" w:after="156" w:afterLines="50" w:line="360" w:lineRule="auto"/>
        <w:rPr>
          <w:b/>
          <w:bCs/>
          <w:color w:val="auto"/>
          <w:sz w:val="30"/>
          <w:szCs w:val="30"/>
          <w:highlight w:val="none"/>
        </w:rPr>
      </w:pPr>
    </w:p>
    <w:p>
      <w:pPr>
        <w:spacing w:before="156" w:beforeLines="50" w:after="156" w:afterLines="50" w:line="360" w:lineRule="auto"/>
        <w:ind w:firstLine="904" w:firstLineChars="300"/>
        <w:jc w:val="both"/>
        <w:rPr>
          <w:rFonts w:hint="eastAsia" w:hAnsi="宋体" w:eastAsia="宋体"/>
          <w:b/>
          <w:bCs/>
          <w:color w:val="auto"/>
          <w:sz w:val="30"/>
          <w:szCs w:val="30"/>
          <w:highlight w:val="none"/>
          <w:lang w:eastAsia="zh-CN"/>
        </w:rPr>
      </w:pPr>
      <w:r>
        <w:rPr>
          <w:rFonts w:hint="eastAsia"/>
          <w:b/>
          <w:bCs/>
          <w:color w:val="auto"/>
          <w:sz w:val="30"/>
          <w:szCs w:val="30"/>
          <w:highlight w:val="none"/>
        </w:rPr>
        <w:t>招</w:t>
      </w:r>
      <w:r>
        <w:rPr>
          <w:b/>
          <w:bCs/>
          <w:color w:val="auto"/>
          <w:sz w:val="30"/>
          <w:szCs w:val="30"/>
          <w:highlight w:val="none"/>
        </w:rPr>
        <w:t xml:space="preserve"> </w:t>
      </w:r>
      <w:r>
        <w:rPr>
          <w:rFonts w:hint="eastAsia"/>
          <w:b/>
          <w:bCs/>
          <w:color w:val="auto"/>
          <w:sz w:val="30"/>
          <w:szCs w:val="30"/>
          <w:highlight w:val="none"/>
        </w:rPr>
        <w:t>标</w:t>
      </w:r>
      <w:r>
        <w:rPr>
          <w:b/>
          <w:bCs/>
          <w:color w:val="auto"/>
          <w:sz w:val="30"/>
          <w:szCs w:val="30"/>
          <w:highlight w:val="none"/>
        </w:rPr>
        <w:t xml:space="preserve"> </w:t>
      </w:r>
      <w:r>
        <w:rPr>
          <w:rFonts w:hint="eastAsia"/>
          <w:b/>
          <w:bCs/>
          <w:color w:val="auto"/>
          <w:sz w:val="30"/>
          <w:szCs w:val="30"/>
          <w:highlight w:val="none"/>
        </w:rPr>
        <w:t>人</w:t>
      </w:r>
      <w:r>
        <w:rPr>
          <w:b/>
          <w:bCs/>
          <w:color w:val="auto"/>
          <w:sz w:val="30"/>
          <w:szCs w:val="30"/>
          <w:highlight w:val="none"/>
        </w:rPr>
        <w:t>:</w:t>
      </w:r>
      <w:r>
        <w:rPr>
          <w:color w:val="auto"/>
          <w:sz w:val="30"/>
          <w:szCs w:val="30"/>
          <w:highlight w:val="none"/>
        </w:rPr>
        <w:t xml:space="preserve"> </w:t>
      </w:r>
      <w:r>
        <w:rPr>
          <w:rFonts w:hint="eastAsia" w:ascii="Times New Roman" w:hAnsi="Times New Roman" w:cs="Times New Roman"/>
          <w:b/>
          <w:bCs/>
          <w:color w:val="auto"/>
          <w:sz w:val="30"/>
          <w:szCs w:val="30"/>
          <w:highlight w:val="none"/>
        </w:rPr>
        <w:t xml:space="preserve">禹州市公路管理局 </w:t>
      </w:r>
    </w:p>
    <w:p>
      <w:pPr>
        <w:spacing w:before="156" w:beforeLines="50" w:after="156" w:afterLines="50" w:line="360" w:lineRule="auto"/>
        <w:ind w:firstLine="904" w:firstLineChars="300"/>
        <w:rPr>
          <w:rFonts w:hint="eastAsia" w:hAnsi="宋体"/>
          <w:b/>
          <w:bCs/>
          <w:color w:val="auto"/>
          <w:sz w:val="30"/>
          <w:szCs w:val="30"/>
          <w:highlight w:val="none"/>
        </w:rPr>
      </w:pPr>
      <w:r>
        <w:rPr>
          <w:rFonts w:hint="eastAsia" w:hAnsi="宋体"/>
          <w:b/>
          <w:bCs/>
          <w:color w:val="auto"/>
          <w:sz w:val="30"/>
          <w:szCs w:val="30"/>
          <w:highlight w:val="none"/>
        </w:rPr>
        <w:t>监督单位：禹州市交通运输局纪检监察室</w:t>
      </w:r>
    </w:p>
    <w:p>
      <w:pPr>
        <w:spacing w:before="156" w:beforeLines="50" w:after="156" w:afterLines="50" w:line="360" w:lineRule="auto"/>
        <w:ind w:firstLine="904" w:firstLineChars="300"/>
        <w:rPr>
          <w:rFonts w:hint="eastAsia"/>
          <w:color w:val="auto"/>
          <w:highlight w:val="none"/>
        </w:rPr>
      </w:pPr>
      <w:r>
        <w:rPr>
          <w:rFonts w:hint="eastAsia" w:hAnsi="宋体"/>
          <w:b/>
          <w:bCs/>
          <w:color w:val="auto"/>
          <w:sz w:val="30"/>
          <w:szCs w:val="30"/>
          <w:highlight w:val="none"/>
        </w:rPr>
        <w:t>代理机构：恒信咨询管理有限公司</w:t>
      </w:r>
    </w:p>
    <w:p>
      <w:pPr>
        <w:pStyle w:val="2"/>
        <w:ind w:left="0" w:leftChars="0" w:right="63" w:firstLine="904" w:firstLineChars="300"/>
        <w:rPr>
          <w:rFonts w:hint="eastAsia" w:hAnsi="宋体"/>
          <w:b/>
          <w:bCs/>
          <w:color w:val="auto"/>
          <w:sz w:val="30"/>
          <w:szCs w:val="30"/>
          <w:highlight w:val="none"/>
        </w:rPr>
      </w:pPr>
      <w:r>
        <w:rPr>
          <w:rFonts w:hint="eastAsia" w:hAnsi="宋体"/>
          <w:b/>
          <w:bCs/>
          <w:color w:val="auto"/>
          <w:sz w:val="30"/>
          <w:szCs w:val="30"/>
          <w:highlight w:val="none"/>
        </w:rPr>
        <w:t>编制人：董世豪            审核人：</w:t>
      </w:r>
      <w:r>
        <w:rPr>
          <w:rFonts w:hint="eastAsia" w:hAnsi="宋体"/>
          <w:b/>
          <w:bCs/>
          <w:color w:val="auto"/>
          <w:sz w:val="30"/>
          <w:szCs w:val="30"/>
          <w:highlight w:val="none"/>
          <w:lang w:eastAsia="zh-CN"/>
        </w:rPr>
        <w:t>朱富豪</w:t>
      </w:r>
      <w:r>
        <w:rPr>
          <w:rFonts w:hint="eastAsia" w:hAnsi="宋体"/>
          <w:b/>
          <w:bCs/>
          <w:color w:val="auto"/>
          <w:sz w:val="30"/>
          <w:szCs w:val="30"/>
          <w:highlight w:val="none"/>
        </w:rPr>
        <w:t xml:space="preserve">  </w:t>
      </w:r>
    </w:p>
    <w:p>
      <w:pPr>
        <w:pStyle w:val="2"/>
        <w:ind w:left="63" w:right="63" w:firstLine="643" w:firstLineChars="200"/>
        <w:jc w:val="center"/>
        <w:rPr>
          <w:rFonts w:hint="eastAsia" w:hAnsi="宋体"/>
          <w:b/>
          <w:color w:val="auto"/>
          <w:sz w:val="28"/>
          <w:szCs w:val="28"/>
          <w:highlight w:val="none"/>
        </w:rPr>
      </w:pPr>
      <w:r>
        <w:rPr>
          <w:rFonts w:hint="eastAsia"/>
          <w:b/>
          <w:bCs/>
          <w:color w:val="auto"/>
          <w:sz w:val="32"/>
          <w:szCs w:val="32"/>
          <w:highlight w:val="none"/>
        </w:rPr>
        <w:t>二〇一九年</w:t>
      </w:r>
      <w:r>
        <w:rPr>
          <w:rFonts w:hint="eastAsia"/>
          <w:b/>
          <w:bCs/>
          <w:color w:val="auto"/>
          <w:sz w:val="32"/>
          <w:szCs w:val="32"/>
          <w:highlight w:val="none"/>
          <w:lang w:eastAsia="zh-CN"/>
        </w:rPr>
        <w:t>九</w:t>
      </w:r>
      <w:r>
        <w:rPr>
          <w:rFonts w:hint="eastAsia"/>
          <w:b/>
          <w:bCs/>
          <w:color w:val="auto"/>
          <w:sz w:val="32"/>
          <w:szCs w:val="32"/>
          <w:highlight w:val="none"/>
        </w:rPr>
        <w:t>月</w:t>
      </w:r>
    </w:p>
    <w:p>
      <w:pPr>
        <w:pStyle w:val="2"/>
        <w:ind w:firstLine="703"/>
        <w:jc w:val="center"/>
        <w:rPr>
          <w:rFonts w:ascii="宋体" w:hAnsi="宋体"/>
          <w:b/>
          <w:bCs/>
          <w:color w:val="auto"/>
          <w:kern w:val="0"/>
          <w:sz w:val="70"/>
          <w:szCs w:val="70"/>
          <w:highlight w:val="none"/>
        </w:rPr>
      </w:pPr>
    </w:p>
    <w:p>
      <w:pPr>
        <w:tabs>
          <w:tab w:val="center" w:pos="4537"/>
          <w:tab w:val="left" w:pos="6035"/>
        </w:tabs>
        <w:spacing w:line="400" w:lineRule="exact"/>
        <w:jc w:val="center"/>
        <w:outlineLvl w:val="0"/>
        <w:rPr>
          <w:rFonts w:hint="eastAsia" w:ascii="宋体" w:hAnsi="宋体"/>
          <w:b/>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10" w:h="16850"/>
          <w:pgMar w:top="1480" w:right="1200" w:bottom="1040" w:left="1220" w:header="876" w:footer="853" w:gutter="0"/>
          <w:pgNumType w:fmt="decimal" w:start="1"/>
          <w:cols w:space="720" w:num="1"/>
        </w:sectPr>
      </w:pPr>
      <w:bookmarkStart w:id="0" w:name="_Toc22681"/>
      <w:bookmarkStart w:id="1" w:name="_Toc17492"/>
    </w:p>
    <w:p>
      <w:pPr>
        <w:tabs>
          <w:tab w:val="center" w:pos="4537"/>
          <w:tab w:val="left" w:pos="6035"/>
        </w:tabs>
        <w:spacing w:line="400" w:lineRule="exact"/>
        <w:jc w:val="center"/>
        <w:outlineLvl w:val="0"/>
        <w:rPr>
          <w:color w:val="auto"/>
          <w:highlight w:val="none"/>
        </w:rPr>
      </w:pPr>
      <w:bookmarkStart w:id="2" w:name="_Toc19161"/>
      <w:r>
        <w:rPr>
          <w:rFonts w:hint="eastAsia" w:ascii="宋体" w:hAnsi="宋体"/>
          <w:b/>
          <w:color w:val="auto"/>
          <w:sz w:val="36"/>
          <w:szCs w:val="36"/>
          <w:highlight w:val="none"/>
        </w:rPr>
        <w:t>目    录</w:t>
      </w:r>
      <w:bookmarkEnd w:id="0"/>
      <w:bookmarkEnd w:id="1"/>
      <w:bookmarkEnd w:id="2"/>
    </w:p>
    <w:p>
      <w:pPr>
        <w:spacing w:before="0" w:beforeLines="0" w:after="0" w:afterLines="0" w:line="240" w:lineRule="auto"/>
        <w:ind w:left="0" w:leftChars="0" w:right="0" w:rightChars="0" w:firstLine="0" w:firstLineChars="0"/>
        <w:jc w:val="center"/>
        <w:rPr>
          <w:color w:val="auto"/>
          <w:highlight w:val="none"/>
        </w:rPr>
      </w:pPr>
    </w:p>
    <w:sdt>
      <w:sdtPr>
        <w:rPr>
          <w:rFonts w:ascii="宋体" w:hAnsi="宋体" w:eastAsia="宋体" w:cs="Times New Roman"/>
          <w:color w:val="auto"/>
          <w:kern w:val="2"/>
          <w:sz w:val="21"/>
          <w:szCs w:val="22"/>
          <w:highlight w:val="none"/>
          <w:lang w:val="en-US" w:eastAsia="zh-CN" w:bidi="ar-SA"/>
        </w:rPr>
        <w:id w:val="147461527"/>
        <w15:color w:val="DBDBDB"/>
        <w:docPartObj>
          <w:docPartGallery w:val="Table of Contents"/>
          <w:docPartUnique/>
        </w:docPartObj>
      </w:sdtPr>
      <w:sdtEndPr>
        <w:rPr>
          <w:rFonts w:hint="eastAsia" w:ascii="宋体" w:hAnsi="宋体" w:eastAsia="宋体" w:cs="Times New Roman"/>
          <w:bCs/>
          <w:color w:val="auto"/>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r>
            <w:rPr>
              <w:rFonts w:hint="eastAsia" w:ascii="宋体" w:hAnsi="宋体"/>
              <w:b/>
              <w:bCs/>
              <w:color w:val="auto"/>
              <w:sz w:val="32"/>
              <w:szCs w:val="32"/>
              <w:highlight w:val="none"/>
            </w:rPr>
            <w:fldChar w:fldCharType="begin"/>
          </w:r>
          <w:r>
            <w:rPr>
              <w:rFonts w:hint="eastAsia" w:ascii="宋体" w:hAnsi="宋体"/>
              <w:b/>
              <w:bCs/>
              <w:color w:val="auto"/>
              <w:sz w:val="32"/>
              <w:szCs w:val="32"/>
              <w:highlight w:val="none"/>
            </w:rPr>
            <w:instrText xml:space="preserve">TOC \o "1-3" \h \u </w:instrText>
          </w:r>
          <w:r>
            <w:rPr>
              <w:rFonts w:hint="eastAsia" w:ascii="宋体" w:hAnsi="宋体"/>
              <w:b/>
              <w:bCs/>
              <w:color w:val="auto"/>
              <w:sz w:val="32"/>
              <w:szCs w:val="32"/>
              <w:highlight w:val="none"/>
            </w:rPr>
            <w:fldChar w:fldCharType="separate"/>
          </w:r>
        </w:p>
        <w:p>
          <w:pPr>
            <w:pStyle w:val="33"/>
            <w:tabs>
              <w:tab w:val="right" w:leader="dot" w:pos="9490"/>
            </w:tabs>
            <w:spacing w:line="360" w:lineRule="auto"/>
            <w:rPr>
              <w:rFonts w:hint="eastAsia" w:ascii="宋体" w:hAnsi="宋体" w:eastAsia="宋体" w:cs="宋体"/>
              <w:color w:val="auto"/>
              <w:sz w:val="30"/>
              <w:szCs w:val="30"/>
              <w:highlight w:val="none"/>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color w:val="auto"/>
              <w:sz w:val="30"/>
              <w:szCs w:val="30"/>
              <w:highlight w:val="none"/>
            </w:rPr>
            <w:instrText xml:space="preserve"> HYPERLINK \l _Toc4523 </w:instrText>
          </w:r>
          <w:r>
            <w:rPr>
              <w:rFonts w:hint="eastAsia" w:ascii="宋体" w:hAnsi="宋体" w:eastAsia="宋体" w:cs="宋体"/>
              <w:bCs/>
              <w:color w:val="auto"/>
              <w:sz w:val="30"/>
              <w:szCs w:val="30"/>
              <w:highlight w:val="none"/>
            </w:rPr>
            <w:fldChar w:fldCharType="separate"/>
          </w:r>
          <w:r>
            <w:rPr>
              <w:rFonts w:hint="eastAsia" w:ascii="宋体" w:hAnsi="宋体" w:eastAsia="宋体" w:cs="宋体"/>
              <w:bCs/>
              <w:color w:val="auto"/>
              <w:sz w:val="30"/>
              <w:szCs w:val="30"/>
              <w:highlight w:val="none"/>
            </w:rPr>
            <w:t>第一章 招标公告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_Toc4523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w:t>
          </w:r>
          <w:r>
            <w:rPr>
              <w:rFonts w:hint="eastAsia" w:ascii="宋体" w:hAnsi="宋体" w:eastAsia="宋体" w:cs="宋体"/>
              <w:color w:val="auto"/>
              <w:sz w:val="30"/>
              <w:szCs w:val="30"/>
              <w:highlight w:val="none"/>
            </w:rPr>
            <w:fldChar w:fldCharType="end"/>
          </w:r>
          <w:r>
            <w:rPr>
              <w:rFonts w:hint="eastAsia" w:ascii="宋体" w:hAnsi="宋体" w:eastAsia="宋体" w:cs="宋体"/>
              <w:bCs/>
              <w:color w:val="auto"/>
              <w:sz w:val="30"/>
              <w:szCs w:val="30"/>
              <w:highlight w:val="none"/>
            </w:rPr>
            <w:fldChar w:fldCharType="end"/>
          </w:r>
        </w:p>
        <w:p>
          <w:pPr>
            <w:pStyle w:val="33"/>
            <w:tabs>
              <w:tab w:val="right" w:leader="dot" w:pos="9490"/>
            </w:tabs>
            <w:spacing w:line="360" w:lineRule="auto"/>
            <w:rPr>
              <w:rFonts w:hint="eastAsia" w:ascii="宋体" w:hAnsi="宋体" w:eastAsia="宋体" w:cs="宋体"/>
              <w:color w:val="auto"/>
              <w:sz w:val="30"/>
              <w:szCs w:val="30"/>
              <w:highlight w:val="none"/>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color w:val="auto"/>
              <w:sz w:val="30"/>
              <w:szCs w:val="30"/>
              <w:highlight w:val="none"/>
            </w:rPr>
            <w:instrText xml:space="preserve"> HYPERLINK \l _Toc26738 </w:instrText>
          </w:r>
          <w:r>
            <w:rPr>
              <w:rFonts w:hint="eastAsia" w:ascii="宋体" w:hAnsi="宋体" w:eastAsia="宋体" w:cs="宋体"/>
              <w:bCs/>
              <w:color w:val="auto"/>
              <w:sz w:val="30"/>
              <w:szCs w:val="30"/>
              <w:highlight w:val="none"/>
            </w:rPr>
            <w:fldChar w:fldCharType="separate"/>
          </w:r>
          <w:r>
            <w:rPr>
              <w:rFonts w:hint="eastAsia" w:ascii="宋体" w:hAnsi="宋体" w:eastAsia="宋体" w:cs="宋体"/>
              <w:bCs/>
              <w:color w:val="auto"/>
              <w:sz w:val="30"/>
              <w:szCs w:val="30"/>
              <w:highlight w:val="none"/>
            </w:rPr>
            <w:t>第二章 投标人须知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_Toc26738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6</w:t>
          </w:r>
          <w:r>
            <w:rPr>
              <w:rFonts w:hint="eastAsia" w:ascii="宋体" w:hAnsi="宋体" w:eastAsia="宋体" w:cs="宋体"/>
              <w:color w:val="auto"/>
              <w:sz w:val="30"/>
              <w:szCs w:val="30"/>
              <w:highlight w:val="none"/>
            </w:rPr>
            <w:fldChar w:fldCharType="end"/>
          </w:r>
          <w:r>
            <w:rPr>
              <w:rFonts w:hint="eastAsia" w:ascii="宋体" w:hAnsi="宋体" w:eastAsia="宋体" w:cs="宋体"/>
              <w:bCs/>
              <w:color w:val="auto"/>
              <w:sz w:val="30"/>
              <w:szCs w:val="30"/>
              <w:highlight w:val="none"/>
            </w:rPr>
            <w:fldChar w:fldCharType="end"/>
          </w:r>
        </w:p>
        <w:p>
          <w:pPr>
            <w:pStyle w:val="33"/>
            <w:tabs>
              <w:tab w:val="right" w:leader="dot" w:pos="9490"/>
            </w:tabs>
            <w:spacing w:line="360" w:lineRule="auto"/>
            <w:rPr>
              <w:rFonts w:hint="eastAsia" w:ascii="宋体" w:hAnsi="宋体" w:eastAsia="宋体" w:cs="宋体"/>
              <w:color w:val="auto"/>
              <w:sz w:val="30"/>
              <w:szCs w:val="30"/>
              <w:highlight w:val="none"/>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color w:val="auto"/>
              <w:sz w:val="30"/>
              <w:szCs w:val="30"/>
              <w:highlight w:val="none"/>
            </w:rPr>
            <w:instrText xml:space="preserve"> HYPERLINK \l _Toc28304 </w:instrText>
          </w:r>
          <w:r>
            <w:rPr>
              <w:rFonts w:hint="eastAsia" w:ascii="宋体" w:hAnsi="宋体" w:eastAsia="宋体" w:cs="宋体"/>
              <w:bCs/>
              <w:color w:val="auto"/>
              <w:sz w:val="30"/>
              <w:szCs w:val="30"/>
              <w:highlight w:val="none"/>
            </w:rPr>
            <w:fldChar w:fldCharType="separate"/>
          </w:r>
          <w:r>
            <w:rPr>
              <w:rFonts w:hint="eastAsia" w:ascii="宋体" w:hAnsi="宋体" w:eastAsia="宋体" w:cs="宋体"/>
              <w:bCs/>
              <w:color w:val="auto"/>
              <w:sz w:val="30"/>
              <w:szCs w:val="30"/>
              <w:highlight w:val="none"/>
            </w:rPr>
            <w:t>第三章 评标办法（技术评分最低标价法）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_Toc28304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33</w:t>
          </w:r>
          <w:r>
            <w:rPr>
              <w:rFonts w:hint="eastAsia" w:ascii="宋体" w:hAnsi="宋体" w:eastAsia="宋体" w:cs="宋体"/>
              <w:color w:val="auto"/>
              <w:sz w:val="30"/>
              <w:szCs w:val="30"/>
              <w:highlight w:val="none"/>
            </w:rPr>
            <w:fldChar w:fldCharType="end"/>
          </w:r>
          <w:r>
            <w:rPr>
              <w:rFonts w:hint="eastAsia" w:ascii="宋体" w:hAnsi="宋体" w:eastAsia="宋体" w:cs="宋体"/>
              <w:bCs/>
              <w:color w:val="auto"/>
              <w:sz w:val="30"/>
              <w:szCs w:val="30"/>
              <w:highlight w:val="none"/>
            </w:rPr>
            <w:fldChar w:fldCharType="end"/>
          </w:r>
        </w:p>
        <w:p>
          <w:pPr>
            <w:pStyle w:val="33"/>
            <w:tabs>
              <w:tab w:val="right" w:leader="dot" w:pos="9490"/>
            </w:tabs>
            <w:spacing w:line="360" w:lineRule="auto"/>
            <w:rPr>
              <w:rFonts w:hint="eastAsia" w:ascii="宋体" w:hAnsi="宋体" w:eastAsia="宋体" w:cs="宋体"/>
              <w:color w:val="auto"/>
              <w:sz w:val="30"/>
              <w:szCs w:val="30"/>
              <w:highlight w:val="none"/>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color w:val="auto"/>
              <w:sz w:val="30"/>
              <w:szCs w:val="30"/>
              <w:highlight w:val="none"/>
            </w:rPr>
            <w:instrText xml:space="preserve"> HYPERLINK \l _Toc27214 </w:instrText>
          </w:r>
          <w:r>
            <w:rPr>
              <w:rFonts w:hint="eastAsia" w:ascii="宋体" w:hAnsi="宋体" w:eastAsia="宋体" w:cs="宋体"/>
              <w:bCs/>
              <w:color w:val="auto"/>
              <w:sz w:val="30"/>
              <w:szCs w:val="30"/>
              <w:highlight w:val="none"/>
            </w:rPr>
            <w:fldChar w:fldCharType="separate"/>
          </w:r>
          <w:r>
            <w:rPr>
              <w:rFonts w:hint="eastAsia" w:ascii="宋体" w:hAnsi="宋体" w:eastAsia="宋体" w:cs="宋体"/>
              <w:bCs/>
              <w:color w:val="auto"/>
              <w:sz w:val="30"/>
              <w:szCs w:val="30"/>
              <w:highlight w:val="none"/>
            </w:rPr>
            <w:t>第四章 合同条款及格式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_Toc27214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41</w:t>
          </w:r>
          <w:r>
            <w:rPr>
              <w:rFonts w:hint="eastAsia" w:ascii="宋体" w:hAnsi="宋体" w:eastAsia="宋体" w:cs="宋体"/>
              <w:color w:val="auto"/>
              <w:sz w:val="30"/>
              <w:szCs w:val="30"/>
              <w:highlight w:val="none"/>
            </w:rPr>
            <w:fldChar w:fldCharType="end"/>
          </w:r>
          <w:r>
            <w:rPr>
              <w:rFonts w:hint="eastAsia" w:ascii="宋体" w:hAnsi="宋体" w:eastAsia="宋体" w:cs="宋体"/>
              <w:bCs/>
              <w:color w:val="auto"/>
              <w:sz w:val="30"/>
              <w:szCs w:val="30"/>
              <w:highlight w:val="none"/>
            </w:rPr>
            <w:fldChar w:fldCharType="end"/>
          </w:r>
        </w:p>
        <w:p>
          <w:pPr>
            <w:pStyle w:val="33"/>
            <w:tabs>
              <w:tab w:val="right" w:pos="2800"/>
              <w:tab w:val="right" w:leader="dot" w:pos="9490"/>
            </w:tabs>
            <w:spacing w:line="360" w:lineRule="auto"/>
            <w:rPr>
              <w:rFonts w:hint="eastAsia" w:ascii="宋体" w:hAnsi="宋体" w:eastAsia="宋体" w:cs="宋体"/>
              <w:color w:val="auto"/>
              <w:sz w:val="30"/>
              <w:szCs w:val="30"/>
              <w:highlight w:val="none"/>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color w:val="auto"/>
              <w:sz w:val="30"/>
              <w:szCs w:val="30"/>
              <w:highlight w:val="none"/>
            </w:rPr>
            <w:instrText xml:space="preserve"> HYPERLINK \l _Toc2527 </w:instrText>
          </w:r>
          <w:r>
            <w:rPr>
              <w:rFonts w:hint="eastAsia" w:ascii="宋体" w:hAnsi="宋体" w:eastAsia="宋体" w:cs="宋体"/>
              <w:bCs/>
              <w:color w:val="auto"/>
              <w:sz w:val="30"/>
              <w:szCs w:val="30"/>
              <w:highlight w:val="none"/>
            </w:rPr>
            <w:fldChar w:fldCharType="separate"/>
          </w:r>
          <w:r>
            <w:rPr>
              <w:rFonts w:hint="eastAsia" w:ascii="宋体" w:hAnsi="宋体" w:eastAsia="宋体" w:cs="宋体"/>
              <w:color w:val="auto"/>
              <w:sz w:val="30"/>
              <w:szCs w:val="30"/>
              <w:highlight w:val="none"/>
            </w:rPr>
            <w:t>第三节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t xml:space="preserve"> 合同附件格式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_Toc2527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77</w:t>
          </w:r>
          <w:r>
            <w:rPr>
              <w:rFonts w:hint="eastAsia" w:ascii="宋体" w:hAnsi="宋体" w:eastAsia="宋体" w:cs="宋体"/>
              <w:color w:val="auto"/>
              <w:sz w:val="30"/>
              <w:szCs w:val="30"/>
              <w:highlight w:val="none"/>
            </w:rPr>
            <w:fldChar w:fldCharType="end"/>
          </w:r>
          <w:r>
            <w:rPr>
              <w:rFonts w:hint="eastAsia" w:ascii="宋体" w:hAnsi="宋体" w:eastAsia="宋体" w:cs="宋体"/>
              <w:bCs/>
              <w:color w:val="auto"/>
              <w:sz w:val="30"/>
              <w:szCs w:val="30"/>
              <w:highlight w:val="none"/>
            </w:rPr>
            <w:fldChar w:fldCharType="end"/>
          </w:r>
        </w:p>
        <w:p>
          <w:pPr>
            <w:pStyle w:val="33"/>
            <w:tabs>
              <w:tab w:val="right" w:leader="dot" w:pos="9490"/>
            </w:tabs>
            <w:spacing w:line="360" w:lineRule="auto"/>
            <w:rPr>
              <w:rFonts w:hint="eastAsia" w:ascii="宋体" w:hAnsi="宋体" w:eastAsia="宋体" w:cs="宋体"/>
              <w:color w:val="auto"/>
              <w:sz w:val="30"/>
              <w:szCs w:val="30"/>
              <w:highlight w:val="none"/>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color w:val="auto"/>
              <w:sz w:val="30"/>
              <w:szCs w:val="30"/>
              <w:highlight w:val="none"/>
            </w:rPr>
            <w:instrText xml:space="preserve"> HYPERLINK \l _Toc5171 </w:instrText>
          </w:r>
          <w:r>
            <w:rPr>
              <w:rFonts w:hint="eastAsia" w:ascii="宋体" w:hAnsi="宋体" w:eastAsia="宋体" w:cs="宋体"/>
              <w:bCs/>
              <w:color w:val="auto"/>
              <w:sz w:val="30"/>
              <w:szCs w:val="30"/>
              <w:highlight w:val="none"/>
            </w:rPr>
            <w:fldChar w:fldCharType="separate"/>
          </w:r>
          <w:r>
            <w:rPr>
              <w:rFonts w:hint="eastAsia" w:ascii="宋体" w:hAnsi="宋体" w:eastAsia="宋体" w:cs="宋体"/>
              <w:bCs/>
              <w:color w:val="auto"/>
              <w:sz w:val="30"/>
              <w:szCs w:val="30"/>
              <w:highlight w:val="none"/>
            </w:rPr>
            <w:t>第五章 工程量清单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_Toc5171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90</w:t>
          </w:r>
          <w:r>
            <w:rPr>
              <w:rFonts w:hint="eastAsia" w:ascii="宋体" w:hAnsi="宋体" w:eastAsia="宋体" w:cs="宋体"/>
              <w:color w:val="auto"/>
              <w:sz w:val="30"/>
              <w:szCs w:val="30"/>
              <w:highlight w:val="none"/>
            </w:rPr>
            <w:fldChar w:fldCharType="end"/>
          </w:r>
          <w:r>
            <w:rPr>
              <w:rFonts w:hint="eastAsia" w:ascii="宋体" w:hAnsi="宋体" w:eastAsia="宋体" w:cs="宋体"/>
              <w:bCs/>
              <w:color w:val="auto"/>
              <w:sz w:val="30"/>
              <w:szCs w:val="30"/>
              <w:highlight w:val="none"/>
            </w:rPr>
            <w:fldChar w:fldCharType="end"/>
          </w:r>
        </w:p>
        <w:p>
          <w:pPr>
            <w:pStyle w:val="33"/>
            <w:tabs>
              <w:tab w:val="right" w:leader="dot" w:pos="9490"/>
            </w:tabs>
            <w:spacing w:line="360" w:lineRule="auto"/>
            <w:rPr>
              <w:rFonts w:hint="eastAsia" w:ascii="宋体" w:hAnsi="宋体" w:eastAsia="宋体" w:cs="宋体"/>
              <w:color w:val="auto"/>
              <w:sz w:val="30"/>
              <w:szCs w:val="30"/>
              <w:highlight w:val="none"/>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color w:val="auto"/>
              <w:sz w:val="30"/>
              <w:szCs w:val="30"/>
              <w:highlight w:val="none"/>
            </w:rPr>
            <w:instrText xml:space="preserve"> HYPERLINK \l _Toc10716 </w:instrText>
          </w:r>
          <w:r>
            <w:rPr>
              <w:rFonts w:hint="eastAsia" w:ascii="宋体" w:hAnsi="宋体" w:eastAsia="宋体" w:cs="宋体"/>
              <w:bCs/>
              <w:color w:val="auto"/>
              <w:sz w:val="30"/>
              <w:szCs w:val="30"/>
              <w:highlight w:val="none"/>
            </w:rPr>
            <w:fldChar w:fldCharType="separate"/>
          </w:r>
          <w:r>
            <w:rPr>
              <w:rFonts w:hint="eastAsia" w:ascii="宋体" w:hAnsi="宋体" w:eastAsia="宋体" w:cs="宋体"/>
              <w:bCs/>
              <w:color w:val="auto"/>
              <w:sz w:val="30"/>
              <w:szCs w:val="30"/>
              <w:highlight w:val="none"/>
            </w:rPr>
            <w:t>第七章 技术规范</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_Toc10716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93</w:t>
          </w:r>
          <w:r>
            <w:rPr>
              <w:rFonts w:hint="eastAsia" w:ascii="宋体" w:hAnsi="宋体" w:eastAsia="宋体" w:cs="宋体"/>
              <w:color w:val="auto"/>
              <w:sz w:val="30"/>
              <w:szCs w:val="30"/>
              <w:highlight w:val="none"/>
            </w:rPr>
            <w:fldChar w:fldCharType="end"/>
          </w:r>
          <w:r>
            <w:rPr>
              <w:rFonts w:hint="eastAsia" w:ascii="宋体" w:hAnsi="宋体" w:eastAsia="宋体" w:cs="宋体"/>
              <w:bCs/>
              <w:color w:val="auto"/>
              <w:sz w:val="30"/>
              <w:szCs w:val="30"/>
              <w:highlight w:val="none"/>
            </w:rPr>
            <w:fldChar w:fldCharType="end"/>
          </w:r>
        </w:p>
        <w:p>
          <w:pPr>
            <w:pStyle w:val="33"/>
            <w:tabs>
              <w:tab w:val="right" w:leader="dot" w:pos="9490"/>
            </w:tabs>
            <w:spacing w:line="360" w:lineRule="auto"/>
            <w:rPr>
              <w:rFonts w:hint="eastAsia" w:ascii="宋体" w:hAnsi="宋体" w:eastAsia="宋体" w:cs="宋体"/>
              <w:color w:val="auto"/>
              <w:sz w:val="30"/>
              <w:szCs w:val="30"/>
              <w:highlight w:val="none"/>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color w:val="auto"/>
              <w:sz w:val="30"/>
              <w:szCs w:val="30"/>
              <w:highlight w:val="none"/>
            </w:rPr>
            <w:instrText xml:space="preserve"> HYPERLINK \l _Toc21721 </w:instrText>
          </w:r>
          <w:r>
            <w:rPr>
              <w:rFonts w:hint="eastAsia" w:ascii="宋体" w:hAnsi="宋体" w:eastAsia="宋体" w:cs="宋体"/>
              <w:bCs/>
              <w:color w:val="auto"/>
              <w:sz w:val="30"/>
              <w:szCs w:val="30"/>
              <w:highlight w:val="none"/>
            </w:rPr>
            <w:fldChar w:fldCharType="separate"/>
          </w:r>
          <w:r>
            <w:rPr>
              <w:rFonts w:hint="eastAsia" w:ascii="宋体" w:hAnsi="宋体" w:eastAsia="宋体" w:cs="宋体"/>
              <w:bCs/>
              <w:color w:val="auto"/>
              <w:sz w:val="30"/>
              <w:szCs w:val="30"/>
              <w:highlight w:val="none"/>
            </w:rPr>
            <w:t>第八章 工程量清单计量规则</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_Toc21721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93</w:t>
          </w:r>
          <w:r>
            <w:rPr>
              <w:rFonts w:hint="eastAsia" w:ascii="宋体" w:hAnsi="宋体" w:eastAsia="宋体" w:cs="宋体"/>
              <w:color w:val="auto"/>
              <w:sz w:val="30"/>
              <w:szCs w:val="30"/>
              <w:highlight w:val="none"/>
            </w:rPr>
            <w:fldChar w:fldCharType="end"/>
          </w:r>
          <w:r>
            <w:rPr>
              <w:rFonts w:hint="eastAsia" w:ascii="宋体" w:hAnsi="宋体" w:eastAsia="宋体" w:cs="宋体"/>
              <w:bCs/>
              <w:color w:val="auto"/>
              <w:sz w:val="30"/>
              <w:szCs w:val="30"/>
              <w:highlight w:val="none"/>
            </w:rPr>
            <w:fldChar w:fldCharType="end"/>
          </w:r>
        </w:p>
        <w:p>
          <w:pPr>
            <w:pStyle w:val="33"/>
            <w:tabs>
              <w:tab w:val="right" w:leader="dot" w:pos="9490"/>
            </w:tabs>
            <w:spacing w:line="360" w:lineRule="auto"/>
            <w:rPr>
              <w:rFonts w:hint="eastAsia" w:ascii="宋体" w:hAnsi="宋体" w:eastAsia="宋体" w:cs="宋体"/>
              <w:color w:val="auto"/>
              <w:sz w:val="30"/>
              <w:szCs w:val="30"/>
              <w:highlight w:val="none"/>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color w:val="auto"/>
              <w:sz w:val="30"/>
              <w:szCs w:val="30"/>
              <w:highlight w:val="none"/>
            </w:rPr>
            <w:instrText xml:space="preserve"> HYPERLINK \l _Toc29446 </w:instrText>
          </w:r>
          <w:r>
            <w:rPr>
              <w:rFonts w:hint="eastAsia" w:ascii="宋体" w:hAnsi="宋体" w:eastAsia="宋体" w:cs="宋体"/>
              <w:bCs/>
              <w:color w:val="auto"/>
              <w:sz w:val="30"/>
              <w:szCs w:val="30"/>
              <w:highlight w:val="none"/>
            </w:rPr>
            <w:fldChar w:fldCharType="separate"/>
          </w:r>
          <w:r>
            <w:rPr>
              <w:rFonts w:hint="eastAsia" w:ascii="宋体" w:hAnsi="宋体" w:eastAsia="宋体" w:cs="宋体"/>
              <w:bCs/>
              <w:color w:val="auto"/>
              <w:sz w:val="30"/>
              <w:szCs w:val="30"/>
              <w:highlight w:val="none"/>
            </w:rPr>
            <w:t>第九章 投标文件格式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_Toc29446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94</w:t>
          </w:r>
          <w:r>
            <w:rPr>
              <w:rFonts w:hint="eastAsia" w:ascii="宋体" w:hAnsi="宋体" w:eastAsia="宋体" w:cs="宋体"/>
              <w:color w:val="auto"/>
              <w:sz w:val="30"/>
              <w:szCs w:val="30"/>
              <w:highlight w:val="none"/>
            </w:rPr>
            <w:fldChar w:fldCharType="end"/>
          </w:r>
          <w:r>
            <w:rPr>
              <w:rFonts w:hint="eastAsia" w:ascii="宋体" w:hAnsi="宋体" w:eastAsia="宋体" w:cs="宋体"/>
              <w:bCs/>
              <w:color w:val="auto"/>
              <w:sz w:val="30"/>
              <w:szCs w:val="30"/>
              <w:highlight w:val="none"/>
            </w:rPr>
            <w:fldChar w:fldCharType="end"/>
          </w:r>
        </w:p>
        <w:p>
          <w:pPr>
            <w:keepNext/>
            <w:spacing w:line="360" w:lineRule="auto"/>
            <w:jc w:val="center"/>
            <w:outlineLvl w:val="0"/>
            <w:rPr>
              <w:rFonts w:hint="eastAsia" w:ascii="宋体" w:hAnsi="宋体"/>
              <w:b/>
              <w:bCs/>
              <w:color w:val="auto"/>
              <w:sz w:val="32"/>
              <w:szCs w:val="32"/>
              <w:highlight w:val="none"/>
            </w:rPr>
          </w:pPr>
          <w:r>
            <w:rPr>
              <w:rFonts w:hint="eastAsia" w:ascii="宋体" w:hAnsi="宋体"/>
              <w:bCs/>
              <w:color w:val="auto"/>
              <w:szCs w:val="32"/>
              <w:highlight w:val="none"/>
            </w:rPr>
            <w:fldChar w:fldCharType="end"/>
          </w:r>
        </w:p>
      </w:sdtContent>
    </w:sdt>
    <w:p>
      <w:pPr>
        <w:keepNext/>
        <w:spacing w:line="360" w:lineRule="auto"/>
        <w:jc w:val="center"/>
        <w:outlineLvl w:val="0"/>
        <w:rPr>
          <w:rFonts w:hint="eastAsia" w:ascii="宋体" w:hAnsi="宋体"/>
          <w:b/>
          <w:bCs/>
          <w:color w:val="auto"/>
          <w:sz w:val="32"/>
          <w:szCs w:val="32"/>
          <w:highlight w:val="none"/>
        </w:rPr>
      </w:pPr>
    </w:p>
    <w:p>
      <w:pPr>
        <w:keepNext/>
        <w:spacing w:line="360" w:lineRule="auto"/>
        <w:jc w:val="center"/>
        <w:outlineLvl w:val="0"/>
        <w:rPr>
          <w:rFonts w:hint="eastAsia" w:ascii="宋体" w:hAnsi="宋体"/>
          <w:b/>
          <w:bCs/>
          <w:color w:val="auto"/>
          <w:sz w:val="32"/>
          <w:szCs w:val="32"/>
          <w:highlight w:val="none"/>
        </w:rPr>
      </w:pPr>
    </w:p>
    <w:p>
      <w:pPr>
        <w:keepNext/>
        <w:spacing w:line="360" w:lineRule="auto"/>
        <w:jc w:val="center"/>
        <w:outlineLvl w:val="0"/>
        <w:rPr>
          <w:rFonts w:hint="eastAsia" w:ascii="宋体" w:hAnsi="宋体"/>
          <w:b/>
          <w:bCs/>
          <w:color w:val="auto"/>
          <w:sz w:val="32"/>
          <w:szCs w:val="32"/>
          <w:highlight w:val="none"/>
        </w:rPr>
      </w:pPr>
    </w:p>
    <w:p>
      <w:pPr>
        <w:keepNext/>
        <w:spacing w:line="360" w:lineRule="auto"/>
        <w:jc w:val="center"/>
        <w:outlineLvl w:val="0"/>
        <w:rPr>
          <w:rFonts w:hint="eastAsia" w:ascii="宋体" w:hAnsi="宋体"/>
          <w:b/>
          <w:bCs/>
          <w:color w:val="auto"/>
          <w:sz w:val="32"/>
          <w:szCs w:val="32"/>
          <w:highlight w:val="none"/>
        </w:rPr>
      </w:pPr>
    </w:p>
    <w:p>
      <w:pPr>
        <w:pStyle w:val="2"/>
        <w:ind w:left="0" w:leftChars="0" w:firstLine="0" w:firstLineChars="0"/>
        <w:rPr>
          <w:rFonts w:hint="eastAsia" w:ascii="宋体" w:hAnsi="宋体"/>
          <w:b/>
          <w:bCs/>
          <w:color w:val="auto"/>
          <w:sz w:val="32"/>
          <w:szCs w:val="32"/>
          <w:highlight w:val="none"/>
        </w:rPr>
      </w:pPr>
      <w:bookmarkStart w:id="3" w:name="_Toc4523"/>
      <w:bookmarkStart w:id="4" w:name="_Toc4422_WPSOffice_Level1"/>
    </w:p>
    <w:p>
      <w:pPr>
        <w:pStyle w:val="4"/>
        <w:rPr>
          <w:rFonts w:hint="eastAsia" w:ascii="宋体" w:hAnsi="宋体"/>
          <w:b/>
          <w:bCs/>
          <w:color w:val="auto"/>
          <w:sz w:val="32"/>
          <w:szCs w:val="32"/>
          <w:highlight w:val="none"/>
        </w:rPr>
      </w:pPr>
    </w:p>
    <w:p>
      <w:pPr>
        <w:pStyle w:val="4"/>
        <w:rPr>
          <w:rFonts w:hint="eastAsia" w:ascii="宋体" w:hAnsi="宋体"/>
          <w:b/>
          <w:bCs/>
          <w:color w:val="auto"/>
          <w:sz w:val="32"/>
          <w:szCs w:val="32"/>
          <w:highlight w:val="none"/>
        </w:rPr>
      </w:pPr>
    </w:p>
    <w:p>
      <w:pPr>
        <w:pStyle w:val="4"/>
        <w:rPr>
          <w:rFonts w:hint="eastAsia" w:ascii="宋体" w:hAnsi="宋体"/>
          <w:b/>
          <w:bCs/>
          <w:color w:val="auto"/>
          <w:sz w:val="32"/>
          <w:szCs w:val="32"/>
          <w:highlight w:val="none"/>
        </w:rPr>
      </w:pPr>
    </w:p>
    <w:p>
      <w:pPr>
        <w:pStyle w:val="4"/>
        <w:rPr>
          <w:rFonts w:hint="eastAsia" w:ascii="宋体" w:hAnsi="宋体"/>
          <w:b/>
          <w:bCs/>
          <w:color w:val="auto"/>
          <w:sz w:val="32"/>
          <w:szCs w:val="32"/>
          <w:highlight w:val="none"/>
        </w:rPr>
      </w:pPr>
    </w:p>
    <w:p>
      <w:pPr>
        <w:pStyle w:val="4"/>
        <w:rPr>
          <w:rFonts w:hint="eastAsia" w:ascii="宋体" w:hAnsi="宋体"/>
          <w:b/>
          <w:bCs/>
          <w:color w:val="auto"/>
          <w:sz w:val="32"/>
          <w:szCs w:val="32"/>
          <w:highlight w:val="none"/>
        </w:rPr>
      </w:pPr>
    </w:p>
    <w:p>
      <w:pPr>
        <w:pStyle w:val="4"/>
        <w:rPr>
          <w:rFonts w:hint="eastAsia" w:ascii="宋体" w:hAnsi="宋体"/>
          <w:b/>
          <w:bCs/>
          <w:color w:val="auto"/>
          <w:sz w:val="32"/>
          <w:szCs w:val="32"/>
          <w:highlight w:val="none"/>
        </w:rPr>
      </w:pPr>
    </w:p>
    <w:p>
      <w:pPr>
        <w:pStyle w:val="4"/>
        <w:rPr>
          <w:rFonts w:hint="eastAsia" w:ascii="宋体" w:hAnsi="宋体"/>
          <w:b/>
          <w:bCs/>
          <w:color w:val="auto"/>
          <w:sz w:val="32"/>
          <w:szCs w:val="32"/>
          <w:highlight w:val="none"/>
        </w:rPr>
      </w:pPr>
    </w:p>
    <w:p>
      <w:pPr>
        <w:keepNext/>
        <w:spacing w:line="360" w:lineRule="auto"/>
        <w:jc w:val="center"/>
        <w:outlineLvl w:val="0"/>
        <w:rPr>
          <w:rFonts w:ascii="宋体" w:hAnsi="宋体"/>
          <w:b/>
          <w:bCs/>
          <w:color w:val="auto"/>
          <w:sz w:val="32"/>
          <w:szCs w:val="32"/>
          <w:highlight w:val="none"/>
        </w:rPr>
      </w:pPr>
      <w:r>
        <w:rPr>
          <w:rFonts w:hint="eastAsia" w:ascii="宋体" w:hAnsi="宋体"/>
          <w:b/>
          <w:bCs/>
          <w:color w:val="auto"/>
          <w:sz w:val="32"/>
          <w:szCs w:val="32"/>
          <w:highlight w:val="none"/>
        </w:rPr>
        <w:t>第一章 招标公告</w:t>
      </w:r>
      <w:bookmarkEnd w:id="3"/>
      <w:bookmarkEnd w:id="4"/>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rPr>
      </w:pPr>
      <w:bookmarkStart w:id="5" w:name="_Hlk17880093"/>
      <w:r>
        <w:rPr>
          <w:rFonts w:hint="eastAsia" w:ascii="宋体" w:hAnsi="宋体" w:eastAsia="宋体" w:cs="宋体"/>
          <w:b/>
          <w:bCs/>
          <w:color w:val="auto"/>
          <w:sz w:val="32"/>
          <w:szCs w:val="32"/>
          <w:highlight w:val="none"/>
        </w:rPr>
        <w:t>S325线滹沱河桥、龙泉河桥及贾庄桥加固维修工程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招标公告</w:t>
      </w:r>
    </w:p>
    <w:p>
      <w:pPr>
        <w:widowControl/>
        <w:shd w:val="clear" w:color="auto" w:fill="FFFFFF"/>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1、招标条件</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本招标项目S325线滹沱河桥、龙泉河桥及贾庄桥加固维修工程已由主管部门批准建设，招标人为</w:t>
      </w:r>
      <w:r>
        <w:rPr>
          <w:rFonts w:hint="eastAsia" w:ascii="宋体" w:hAnsi="宋体" w:eastAsia="宋体" w:cs="宋体"/>
          <w:color w:val="auto"/>
          <w:kern w:val="0"/>
          <w:sz w:val="21"/>
          <w:szCs w:val="21"/>
          <w:highlight w:val="none"/>
          <w:lang w:eastAsia="zh-CN"/>
        </w:rPr>
        <w:t>禹州市公路管理局</w:t>
      </w:r>
      <w:r>
        <w:rPr>
          <w:rFonts w:hint="eastAsia" w:ascii="宋体" w:hAnsi="宋体" w:eastAsia="宋体" w:cs="宋体"/>
          <w:color w:val="auto"/>
          <w:kern w:val="0"/>
          <w:sz w:val="21"/>
          <w:szCs w:val="21"/>
          <w:highlight w:val="none"/>
        </w:rPr>
        <w:t>。建设资金为财政资金。项目已具备招标条件，现对该项目进行公开招标。</w:t>
      </w:r>
    </w:p>
    <w:p>
      <w:pPr>
        <w:widowControl/>
        <w:shd w:val="clear" w:color="auto" w:fill="FFFFFF"/>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2、项目概况与招标范围</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2.1项目名称：S325线滹沱河桥、龙泉河桥及贾庄桥加固维修工程。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rPr>
        <w:t>2.2项目编号</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JSGC-J-2019213</w:t>
      </w:r>
      <w:r>
        <w:rPr>
          <w:rFonts w:hint="eastAsia" w:ascii="宋体" w:hAnsi="宋体" w:cs="宋体"/>
          <w:color w:val="auto"/>
          <w:kern w:val="0"/>
          <w:sz w:val="21"/>
          <w:szCs w:val="21"/>
          <w:highlight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2.3项目地点：该项目位于禹州市境内。 </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项目概况：滹沱河桥位于省道325线禹州市无梁镇至禹州市花石镇段，桥梁中心桩号K339+356，桥梁全长164.52米，桥梁全宽17米。龙泉河桥位于省道319线(原省道325线)禹州市无梁镇至禹州市花石镇段，桥梁中心桩号K326+816(原中心桩号K360+718)，桥梁全长52.02米，桥梁全宽12米。贾庄桥位于禹州市花石镇至禹州市与汝州市交界段，桥梁中心桩号K189+375(原中心桩号K371+199)，桥梁全长29.96米，桥梁全宽12米。项目主要是对上述桥梁进行维修加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招标控制价：4875937.00元</w:t>
      </w:r>
      <w:r>
        <w:rPr>
          <w:rFonts w:hint="eastAsia" w:ascii="宋体" w:hAnsi="宋体" w:cs="宋体"/>
          <w:color w:val="auto"/>
          <w:kern w:val="0"/>
          <w:sz w:val="21"/>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招标范围：招标文件、施工图纸、工程量清单、答疑纪要和补充文件（如有）范围内的所有建设内容。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质量要求：标段工程交工验收的质量评定：合格，竣工验收的质量评定：优良。</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标段划分：</w:t>
      </w:r>
      <w:r>
        <w:rPr>
          <w:rFonts w:hint="eastAsia" w:ascii="宋体" w:hAnsi="宋体" w:eastAsia="宋体" w:cs="宋体"/>
          <w:color w:val="auto"/>
          <w:kern w:val="0"/>
          <w:sz w:val="21"/>
          <w:szCs w:val="21"/>
          <w:highlight w:val="none"/>
          <w:lang w:eastAsia="zh-CN"/>
        </w:rPr>
        <w:t>本项目只划分</w:t>
      </w:r>
      <w:r>
        <w:rPr>
          <w:rFonts w:hint="eastAsia" w:ascii="宋体" w:hAnsi="宋体" w:eastAsia="宋体" w:cs="宋体"/>
          <w:color w:val="auto"/>
          <w:kern w:val="0"/>
          <w:sz w:val="21"/>
          <w:szCs w:val="21"/>
          <w:highlight w:val="none"/>
          <w:lang w:val="en-US" w:eastAsia="zh-CN"/>
        </w:rPr>
        <w:t>1个标段。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计划工期：</w:t>
      </w:r>
      <w:r>
        <w:rPr>
          <w:rFonts w:hint="eastAsia" w:ascii="宋体" w:hAnsi="宋体" w:eastAsia="宋体" w:cs="宋体"/>
          <w:color w:val="auto"/>
          <w:kern w:val="0"/>
          <w:sz w:val="21"/>
          <w:szCs w:val="21"/>
          <w:highlight w:val="none"/>
          <w:lang w:val="en-US" w:eastAsia="zh-CN"/>
        </w:rPr>
        <w:t>150</w:t>
      </w:r>
      <w:r>
        <w:rPr>
          <w:rFonts w:hint="eastAsia" w:ascii="宋体" w:hAnsi="宋体" w:eastAsia="宋体" w:cs="宋体"/>
          <w:color w:val="auto"/>
          <w:kern w:val="0"/>
          <w:sz w:val="21"/>
          <w:szCs w:val="21"/>
          <w:highlight w:val="none"/>
        </w:rPr>
        <w:t>日历</w:t>
      </w:r>
      <w:r>
        <w:rPr>
          <w:rFonts w:hint="eastAsia" w:ascii="宋体" w:hAnsi="宋体" w:eastAsia="宋体" w:cs="宋体"/>
          <w:color w:val="auto"/>
          <w:kern w:val="0"/>
          <w:sz w:val="21"/>
          <w:szCs w:val="21"/>
          <w:highlight w:val="none"/>
          <w:lang w:eastAsia="zh-CN"/>
        </w:rPr>
        <w:t>天。</w:t>
      </w:r>
    </w:p>
    <w:p>
      <w:pPr>
        <w:widowControl/>
        <w:shd w:val="clear" w:color="auto" w:fill="FFFFFF"/>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3、投标人资格要求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r>
        <w:rPr>
          <w:rFonts w:hint="eastAsia" w:ascii="宋体" w:hAnsi="宋体" w:eastAsia="宋体" w:cs="宋体"/>
          <w:color w:val="auto"/>
          <w:kern w:val="0"/>
          <w:sz w:val="21"/>
          <w:szCs w:val="21"/>
          <w:highlight w:val="none"/>
          <w:lang w:val="en-US" w:eastAsia="zh-CN"/>
        </w:rPr>
        <w:t>投</w:t>
      </w:r>
      <w:r>
        <w:rPr>
          <w:rFonts w:hint="eastAsia" w:ascii="宋体" w:hAnsi="宋体" w:eastAsia="宋体" w:cs="宋体"/>
          <w:color w:val="auto"/>
          <w:kern w:val="0"/>
          <w:sz w:val="21"/>
          <w:szCs w:val="21"/>
          <w:highlight w:val="none"/>
          <w:lang w:val="en-US" w:eastAsia="zh-CN"/>
        </w:rPr>
        <w:t>标人须具备独立法人资格，具有建设行政主管部门核发的公路工程施工总承包三级及以上资质，或具有交通运输部门批准的公路养护工程一类（甲级）资质，施工总承包资质必须具有有效的安全生产许可证</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并在人员、设备、资金</w:t>
      </w:r>
      <w:r>
        <w:rPr>
          <w:rFonts w:hint="eastAsia" w:ascii="宋体" w:hAnsi="宋体" w:cs="宋体"/>
          <w:color w:val="auto"/>
          <w:kern w:val="0"/>
          <w:sz w:val="21"/>
          <w:szCs w:val="21"/>
          <w:highlight w:val="none"/>
          <w:lang w:val="en-US" w:eastAsia="zh-CN"/>
        </w:rPr>
        <w:t>、业绩</w:t>
      </w:r>
      <w:r>
        <w:rPr>
          <w:rFonts w:hint="eastAsia" w:ascii="宋体" w:hAnsi="宋体" w:eastAsia="宋体" w:cs="宋体"/>
          <w:color w:val="auto"/>
          <w:kern w:val="0"/>
          <w:sz w:val="21"/>
          <w:szCs w:val="21"/>
          <w:highlight w:val="none"/>
          <w:lang w:val="en-US" w:eastAsia="zh-CN"/>
        </w:rPr>
        <w:t>等方面具有相应的施工能力。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3.2拟派项目经理须具备公路工程专业二级及以上注册建造师资格，中级及以上相关专业技术职称，并具有交安的B类公路行业《安全生产考核合格证书》，且未担任其它在施建设工程的项目经理。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3.3根据《河南省公路建设市场从业单位及人员信用管理办法》精神，按照最新的信用评价结果，被河南省交通运输厅或交通运输部信用等级评定为D级施工企业不得参与投标</w:t>
      </w:r>
      <w:r>
        <w:rPr>
          <w:rFonts w:hint="eastAsia" w:ascii="宋体" w:hAnsi="宋体" w:cs="宋体"/>
          <w:color w:val="auto"/>
          <w:kern w:val="0"/>
          <w:sz w:val="21"/>
          <w:szCs w:val="21"/>
          <w:highlight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3.4投标人未被列入“信用中国”网站(</w:t>
      </w:r>
      <w:r>
        <w:rPr>
          <w:rFonts w:hint="eastAsia" w:ascii="宋体" w:hAnsi="宋体" w:eastAsia="宋体" w:cs="宋体"/>
          <w:color w:val="auto"/>
          <w:kern w:val="0"/>
          <w:sz w:val="21"/>
          <w:szCs w:val="21"/>
          <w:highlight w:val="none"/>
          <w:lang w:val="en-US" w:eastAsia="zh-CN"/>
        </w:rPr>
        <w:fldChar w:fldCharType="begin"/>
      </w:r>
      <w:r>
        <w:rPr>
          <w:rFonts w:hint="eastAsia" w:ascii="宋体" w:hAnsi="宋体" w:eastAsia="宋体" w:cs="宋体"/>
          <w:color w:val="auto"/>
          <w:kern w:val="0"/>
          <w:sz w:val="21"/>
          <w:szCs w:val="21"/>
          <w:highlight w:val="none"/>
          <w:lang w:val="en-US" w:eastAsia="zh-CN"/>
        </w:rPr>
        <w:instrText xml:space="preserve"> HYPERLINK "http://www.creditchina.gov.cn" </w:instrText>
      </w:r>
      <w:r>
        <w:rPr>
          <w:rFonts w:hint="eastAsia" w:ascii="宋体" w:hAnsi="宋体" w:eastAsia="宋体" w:cs="宋体"/>
          <w:color w:val="auto"/>
          <w:kern w:val="0"/>
          <w:sz w:val="21"/>
          <w:szCs w:val="21"/>
          <w:highlight w:val="none"/>
          <w:lang w:val="en-US" w:eastAsia="zh-CN"/>
        </w:rPr>
        <w:fldChar w:fldCharType="separate"/>
      </w:r>
      <w:r>
        <w:rPr>
          <w:rStyle w:val="54"/>
          <w:rFonts w:hint="eastAsia" w:ascii="宋体" w:hAnsi="宋体" w:eastAsia="宋体" w:cs="宋体"/>
          <w:color w:val="auto"/>
          <w:kern w:val="0"/>
          <w:sz w:val="21"/>
          <w:szCs w:val="21"/>
          <w:highlight w:val="none"/>
          <w:lang w:val="en-US" w:eastAsia="zh-CN"/>
        </w:rPr>
        <w:t>www.creditchina.gov.cn</w:t>
      </w:r>
      <w:r>
        <w:rPr>
          <w:rFonts w:hint="eastAsia" w:ascii="宋体" w:hAnsi="宋体" w:eastAsia="宋体" w:cs="宋体"/>
          <w:color w:val="auto"/>
          <w:kern w:val="0"/>
          <w:sz w:val="21"/>
          <w:szCs w:val="21"/>
          <w:highlight w:val="none"/>
          <w:lang w:val="en-US" w:eastAsia="zh-CN"/>
        </w:rPr>
        <w:fldChar w:fldCharType="end"/>
      </w:r>
      <w:r>
        <w:rPr>
          <w:rFonts w:hint="eastAsia" w:ascii="宋体" w:hAnsi="宋体" w:eastAsia="宋体" w:cs="宋体"/>
          <w:color w:val="auto"/>
          <w:kern w:val="0"/>
          <w:sz w:val="21"/>
          <w:szCs w:val="21"/>
          <w:highlight w:val="none"/>
          <w:lang w:val="en-US" w:eastAsia="zh-CN"/>
        </w:rPr>
        <w:t>)失信被执行人名单、“国家企业信用公示系统”网站（</w:t>
      </w:r>
      <w:r>
        <w:rPr>
          <w:rFonts w:hint="eastAsia" w:ascii="宋体" w:hAnsi="宋体" w:eastAsia="宋体" w:cs="宋体"/>
          <w:color w:val="auto"/>
          <w:kern w:val="0"/>
          <w:sz w:val="21"/>
          <w:szCs w:val="21"/>
          <w:highlight w:val="none"/>
          <w:lang w:val="en-US" w:eastAsia="zh-CN"/>
        </w:rPr>
        <w:fldChar w:fldCharType="begin"/>
      </w:r>
      <w:r>
        <w:rPr>
          <w:rFonts w:hint="eastAsia" w:ascii="宋体" w:hAnsi="宋体" w:eastAsia="宋体" w:cs="宋体"/>
          <w:color w:val="auto"/>
          <w:kern w:val="0"/>
          <w:sz w:val="21"/>
          <w:szCs w:val="21"/>
          <w:highlight w:val="none"/>
          <w:lang w:val="en-US" w:eastAsia="zh-CN"/>
        </w:rPr>
        <w:instrText xml:space="preserve"> HYPERLINK "http://www.gsxt.gov.cn" </w:instrText>
      </w:r>
      <w:r>
        <w:rPr>
          <w:rFonts w:hint="eastAsia" w:ascii="宋体" w:hAnsi="宋体" w:eastAsia="宋体" w:cs="宋体"/>
          <w:color w:val="auto"/>
          <w:kern w:val="0"/>
          <w:sz w:val="21"/>
          <w:szCs w:val="21"/>
          <w:highlight w:val="none"/>
          <w:lang w:val="en-US" w:eastAsia="zh-CN"/>
        </w:rPr>
        <w:fldChar w:fldCharType="separate"/>
      </w:r>
      <w:r>
        <w:rPr>
          <w:rStyle w:val="54"/>
          <w:rFonts w:hint="eastAsia" w:ascii="宋体" w:hAnsi="宋体" w:eastAsia="宋体" w:cs="宋体"/>
          <w:color w:val="auto"/>
          <w:kern w:val="0"/>
          <w:sz w:val="21"/>
          <w:szCs w:val="21"/>
          <w:highlight w:val="none"/>
          <w:lang w:val="en-US" w:eastAsia="zh-CN"/>
        </w:rPr>
        <w:t>www.gsxt.gov.cn</w:t>
      </w:r>
      <w:r>
        <w:rPr>
          <w:rFonts w:hint="eastAsia" w:ascii="宋体" w:hAnsi="宋体" w:eastAsia="宋体" w:cs="宋体"/>
          <w:color w:val="auto"/>
          <w:kern w:val="0"/>
          <w:sz w:val="21"/>
          <w:szCs w:val="21"/>
          <w:highlight w:val="none"/>
          <w:lang w:val="en-US" w:eastAsia="zh-CN"/>
        </w:rPr>
        <w:fldChar w:fldCharType="end"/>
      </w:r>
      <w:r>
        <w:rPr>
          <w:rFonts w:hint="eastAsia" w:ascii="宋体" w:hAnsi="宋体" w:eastAsia="宋体" w:cs="宋体"/>
          <w:color w:val="auto"/>
          <w:kern w:val="0"/>
          <w:sz w:val="21"/>
          <w:szCs w:val="21"/>
          <w:highlight w:val="none"/>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rPr>
        <w:sectPr>
          <w:headerReference r:id="rId11" w:type="first"/>
          <w:footerReference r:id="rId14" w:type="first"/>
          <w:headerReference r:id="rId9" w:type="default"/>
          <w:footerReference r:id="rId12" w:type="default"/>
          <w:headerReference r:id="rId10" w:type="even"/>
          <w:footerReference r:id="rId13" w:type="even"/>
          <w:pgSz w:w="11910" w:h="16850"/>
          <w:pgMar w:top="1480" w:right="1200" w:bottom="1040" w:left="1220" w:header="876" w:footer="853" w:gutter="0"/>
          <w:pgNumType w:fmt="decimal" w:start="1"/>
          <w:cols w:space="720" w:num="1"/>
          <w:titlePg/>
        </w:sect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3.5本次招标不接受联合体投标；</w:t>
      </w:r>
    </w:p>
    <w:p>
      <w:pPr>
        <w:widowControl/>
        <w:shd w:val="clear" w:color="auto" w:fill="FFFFFF"/>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网上下载招标文件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4.1投标人持CA数字认证证书，登录《全国公共资源交易平台（河南省·许昌市）》“系统用户注册”入口（</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"http://221.14.6.70:8088/ggzy/eps/public/RegistAllJcxx.html"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http://221.14.6.70:8088/ggzy/eps/public/RegistAllJcxx.html</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）进行免费注册登记（详见“常见问题解答-诚信库网上注册相关资料下载”）；</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4.2在投标截止时间前登录《全国公共资源交易平台（河南省·许昌市）》“投标人/供应商登录”入口（</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"http://221.14.6.70:8088/ggzy/"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http://221.14.6.70:8088/ggzy/</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）自行下载招标文件（详见“常见问题解答-交易系统操作手册”）。</w:t>
      </w:r>
    </w:p>
    <w:p>
      <w:pPr>
        <w:widowControl/>
        <w:shd w:val="clear" w:color="auto" w:fill="FFFFFF"/>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招标文件和施工图纸的获取</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5.1招标文件和工程量清单的获取：投标人于投标文件递交截止时间前均可登录《全国公共资源交易平台(河南省▪许昌市)》（</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"http://www.xcggzy.gov.cn/"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http://www.xcggzy.gov.cn/</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），通过“投标人/供应商登录” 入口自行下载。</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5.2施工图纸下载：按照施工招标文件中第二章投标人须知前附表第2.1项所给的网址自行下载。</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5.3招标文件每套售价500元，于提交纸质投标文件时缴纳给招标代理机构，售后不退。</w:t>
      </w:r>
    </w:p>
    <w:p>
      <w:pPr>
        <w:widowControl/>
        <w:shd w:val="clear" w:color="auto" w:fill="FFFFFF"/>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投标文件的提交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 本项目为全流程电子化交易项目，须提交电子投标文件和纸质投标文件（正本1份、副本4份）。</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319" w:leftChars="152" w:firstLine="210" w:firstLineChars="1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 投标文件提交的截止时间及开标时间：2019年</w:t>
      </w: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日</w:t>
      </w:r>
      <w:r>
        <w:rPr>
          <w:rFonts w:hint="eastAsia" w:ascii="宋体" w:hAnsi="宋体" w:cs="宋体"/>
          <w:color w:val="auto"/>
          <w:kern w:val="0"/>
          <w:sz w:val="21"/>
          <w:szCs w:val="21"/>
          <w:highlight w:val="none"/>
          <w:lang w:val="en-US" w:eastAsia="zh-CN"/>
        </w:rPr>
        <w:t>08</w:t>
      </w:r>
      <w:r>
        <w:rPr>
          <w:rFonts w:hint="eastAsia" w:ascii="宋体" w:hAnsi="宋体" w:eastAsia="宋体" w:cs="宋体"/>
          <w:color w:val="auto"/>
          <w:kern w:val="0"/>
          <w:sz w:val="21"/>
          <w:szCs w:val="21"/>
          <w:highlight w:val="none"/>
        </w:rPr>
        <w:t>时</w:t>
      </w:r>
      <w:r>
        <w:rPr>
          <w:rFonts w:hint="eastAsia" w:ascii="宋体" w:hAnsi="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6.4纸质投标文件提交地点：禹州市公共资源交易中心开标一室（禹州市行政服务中心楼9楼）。</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6.5未通过《全国公共资源交易平台(河南省▪许昌市)》公共资源交易系统下载招标文件的投标人，其投标文件将拒收。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6.6逾期送达的或者未送达指定地点的纸质投标文件、及仅提供纸质投标文件的，招标人不予受理。</w:t>
      </w:r>
    </w:p>
    <w:p>
      <w:pPr>
        <w:widowControl/>
        <w:shd w:val="clear" w:color="auto" w:fill="FFFFFF"/>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7、发布公告的媒介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本公告同时在河南省电子招标投标公共服务平台、全国公共资源交易平台（河南省·许昌市）上发布。</w:t>
      </w:r>
    </w:p>
    <w:p>
      <w:pPr>
        <w:widowControl/>
        <w:shd w:val="clear" w:color="auto" w:fill="FFFFFF"/>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8、联系方式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招标人：禹州市公路管理局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址：禹州市禹王大道6号</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联系人：席</w:t>
      </w:r>
      <w:r>
        <w:rPr>
          <w:rFonts w:hint="eastAsia" w:ascii="宋体" w:hAnsi="宋体" w:eastAsia="宋体" w:cs="宋体"/>
          <w:color w:val="auto"/>
          <w:kern w:val="0"/>
          <w:sz w:val="21"/>
          <w:szCs w:val="21"/>
          <w:highlight w:val="none"/>
          <w:lang w:eastAsia="zh-CN"/>
        </w:rPr>
        <w:t>先生</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联系电话：13513745982</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招标代理机构：恒信咨询管理有限公司</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地址：郑州市电厂路河南省国家大学科技园（东区）16号楼B座6楼</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eastAsia="zh-CN"/>
        </w:rPr>
        <w:t>董先生</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联系电话：0371-86688490    0374-2766699</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监督部门：</w:t>
      </w:r>
      <w:r>
        <w:rPr>
          <w:rFonts w:hint="eastAsia" w:ascii="宋体" w:hAnsi="宋体" w:eastAsia="宋体" w:cs="宋体"/>
          <w:color w:val="auto"/>
          <w:kern w:val="0"/>
          <w:sz w:val="21"/>
          <w:szCs w:val="21"/>
          <w:highlight w:val="none"/>
        </w:rPr>
        <w:t>禹州市交通运输局纪检监察室</w:t>
      </w:r>
    </w:p>
    <w:p>
      <w:pPr>
        <w:spacing w:line="360" w:lineRule="auto"/>
        <w:ind w:firstLine="480" w:firstLineChars="200"/>
        <w:rPr>
          <w:rFonts w:ascii="宋体" w:hAnsi="宋体" w:cs="宋体"/>
          <w:color w:val="auto"/>
          <w:kern w:val="0"/>
          <w:sz w:val="24"/>
          <w:szCs w:val="24"/>
          <w:highlight w:val="none"/>
        </w:rPr>
      </w:pPr>
    </w:p>
    <w:p>
      <w:pPr>
        <w:pStyle w:val="2"/>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pStyle w:val="4"/>
        <w:rPr>
          <w:rFonts w:ascii="宋体" w:hAnsi="宋体" w:cs="宋体"/>
          <w:color w:val="auto"/>
          <w:kern w:val="0"/>
          <w:sz w:val="24"/>
          <w:szCs w:val="24"/>
          <w:highlight w:val="none"/>
        </w:rPr>
      </w:pPr>
    </w:p>
    <w:p>
      <w:pPr>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温馨提示：</w:t>
      </w:r>
    </w:p>
    <w:p>
      <w:pPr>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本项目为全流程电子化交易项目，请认真阅读招标文件，并注意以下事项。</w:t>
      </w:r>
    </w:p>
    <w:p>
      <w:pPr>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1.投标人应按招标文件规定下载、编制、提交电子投标文件。开、评标现场不接受投标人递交的电子投标文件以外的其他资料。</w:t>
      </w:r>
    </w:p>
    <w:p>
      <w:pPr>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2.电子文件下载、制作、提交期间和开标（电子投标文件的解密）环节，投标人须使用CA数字证书（证书须在有效期内）。</w:t>
      </w:r>
    </w:p>
    <w:p>
      <w:pPr>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3.电子投标文件的制作。</w:t>
      </w:r>
    </w:p>
    <w:p>
      <w:pPr>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3.1 投标人登录《全国公共资源交易平台（河南省·许昌市）》公共资源交易系统（</w:t>
      </w:r>
      <w:r>
        <w:rPr>
          <w:color w:val="auto"/>
          <w:sz w:val="21"/>
          <w:szCs w:val="21"/>
          <w:highlight w:val="none"/>
        </w:rPr>
        <w:fldChar w:fldCharType="begin"/>
      </w:r>
      <w:r>
        <w:rPr>
          <w:color w:val="auto"/>
          <w:sz w:val="21"/>
          <w:szCs w:val="21"/>
          <w:highlight w:val="none"/>
        </w:rPr>
        <w:instrText xml:space="preserve"> HYPERLINK "http://ggzy.xuchang.gov.cn" </w:instrText>
      </w:r>
      <w:r>
        <w:rPr>
          <w:color w:val="auto"/>
          <w:sz w:val="21"/>
          <w:szCs w:val="21"/>
          <w:highlight w:val="none"/>
        </w:rPr>
        <w:fldChar w:fldCharType="separate"/>
      </w:r>
      <w:r>
        <w:rPr>
          <w:rFonts w:hint="eastAsia" w:ascii="宋体" w:hAnsi="宋体" w:cs="宋体"/>
          <w:color w:val="auto"/>
          <w:sz w:val="21"/>
          <w:szCs w:val="21"/>
          <w:highlight w:val="none"/>
        </w:rPr>
        <w:t>http://ggzy.xuchang.gov.cn</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）下载“许昌投标文件制作系统SEARUN V1.1”，按招标文件要求制作电子投标文件。</w:t>
      </w:r>
    </w:p>
    <w:p>
      <w:pPr>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电子投标文件的制作，参考《全国公共资源交易平台（河南省·许昌市）》公共资源交易系统——组件下载——交易系统操作手册（投标人、供应商）。</w:t>
      </w:r>
    </w:p>
    <w:p>
      <w:pPr>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 投标人须将招标文件要求的资质、业绩、荣誉及相关人员证明材料等资料原件扫描件（或图片）制作到所提交的电子投标文件中。</w:t>
      </w:r>
    </w:p>
    <w:p>
      <w:pPr>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3.3投标人对同一项目多个标段进行投标的，应分别下载所投标段的招标文件，按标段制作电子投标文件，并按招标文件要求在相应位置加盖投标人电子印章和法人电子印章。</w:t>
      </w:r>
    </w:p>
    <w:p>
      <w:pPr>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一个标段对应生成一个文件夹（xxxx项目xx标段）, 其中包含2个文件和1个文件夹。后缀名为“.file”的文件用于电子投标使用，后缀名为“.PDF”的文件、“备份文件夹”使用电子介质存储，供开标现场备用。</w:t>
      </w:r>
    </w:p>
    <w:p>
      <w:pPr>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4.电子投标文件的提交</w:t>
      </w:r>
    </w:p>
    <w:p>
      <w:pPr>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4.1电子投标文件应在招标文件规定的投标文件提交截止时间（开标时间）之前成功提交至《全国公共资源交易平台（河南省·许昌市）》公共资源交易系统（</w:t>
      </w:r>
      <w:r>
        <w:rPr>
          <w:color w:val="auto"/>
          <w:sz w:val="21"/>
          <w:szCs w:val="21"/>
          <w:highlight w:val="none"/>
        </w:rPr>
        <w:fldChar w:fldCharType="begin"/>
      </w:r>
      <w:r>
        <w:rPr>
          <w:color w:val="auto"/>
          <w:sz w:val="21"/>
          <w:szCs w:val="21"/>
          <w:highlight w:val="none"/>
        </w:rPr>
        <w:instrText xml:space="preserve"> HYPERLINK "http://ggzy.xuchang.gov.cn" </w:instrText>
      </w:r>
      <w:r>
        <w:rPr>
          <w:color w:val="auto"/>
          <w:sz w:val="21"/>
          <w:szCs w:val="21"/>
          <w:highlight w:val="none"/>
        </w:rPr>
        <w:fldChar w:fldCharType="separate"/>
      </w:r>
      <w:r>
        <w:rPr>
          <w:rFonts w:hint="eastAsia" w:ascii="宋体" w:hAnsi="宋体" w:cs="宋体"/>
          <w:color w:val="auto"/>
          <w:sz w:val="21"/>
          <w:szCs w:val="21"/>
          <w:highlight w:val="none"/>
        </w:rPr>
        <w:t>http://ggzy.xuchang.gov.cn</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w:t>
      </w:r>
    </w:p>
    <w:p>
      <w:pPr>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投标人应充分考虑并预留技术处理和上传数据所需时间。</w:t>
      </w:r>
    </w:p>
    <w:p>
      <w:pPr>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4.2 投标人对同一项目多个标段进行投标的，电子投标文件应按标段分别提交。</w:t>
      </w:r>
    </w:p>
    <w:p>
      <w:pPr>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4.3 电子投标文件成功提交后，投标人应打印“投标文件提交回执单”，供开标现场备查。</w:t>
      </w:r>
    </w:p>
    <w:p>
      <w:pPr>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5.评标依据</w:t>
      </w:r>
    </w:p>
    <w:p>
      <w:pPr>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5.1采用全流程电子化交易评标时，评标委员会以电子投标文件为依据评标。</w:t>
      </w:r>
    </w:p>
    <w:p>
      <w:pPr>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5.2全流程电子化交易系统如因系统异常情况无法完成，将以人工方式进行。评标委员会以评标委员会以投标人提供的电子介质存储的备份文件为依据评标。</w:t>
      </w:r>
    </w:p>
    <w:bookmarkEnd w:id="5"/>
    <w:p>
      <w:pPr>
        <w:rPr>
          <w:color w:val="auto"/>
          <w:sz w:val="21"/>
          <w:szCs w:val="21"/>
          <w:highlight w:val="none"/>
        </w:rPr>
      </w:pPr>
    </w:p>
    <w:p>
      <w:pPr>
        <w:keepNext/>
        <w:spacing w:line="360" w:lineRule="auto"/>
        <w:jc w:val="center"/>
        <w:outlineLvl w:val="0"/>
        <w:rPr>
          <w:rFonts w:ascii="宋体" w:hAnsi="宋体"/>
          <w:b/>
          <w:bCs/>
          <w:color w:val="auto"/>
          <w:sz w:val="32"/>
          <w:szCs w:val="32"/>
          <w:highlight w:val="none"/>
        </w:rPr>
      </w:pPr>
      <w:r>
        <w:rPr>
          <w:rFonts w:hint="eastAsia" w:ascii="宋体" w:hAnsi="宋体" w:cs="宋体"/>
          <w:color w:val="auto"/>
          <w:kern w:val="0"/>
          <w:szCs w:val="21"/>
          <w:highlight w:val="none"/>
        </w:rPr>
        <w:br w:type="page"/>
      </w:r>
      <w:bookmarkStart w:id="6" w:name="_Toc15242_WPSOffice_Level1"/>
      <w:bookmarkStart w:id="7" w:name="_Toc21160_WPSOffice_Level1"/>
      <w:bookmarkStart w:id="8" w:name="_Toc10767_WPSOffice_Level1"/>
      <w:bookmarkStart w:id="9" w:name="_Toc26738"/>
      <w:bookmarkStart w:id="10" w:name="_Toc18441"/>
      <w:r>
        <w:rPr>
          <w:rFonts w:hint="eastAsia" w:ascii="宋体" w:hAnsi="宋体"/>
          <w:b/>
          <w:bCs/>
          <w:color w:val="auto"/>
          <w:sz w:val="32"/>
          <w:szCs w:val="32"/>
          <w:highlight w:val="none"/>
        </w:rPr>
        <w:t>第二章 投标人须知</w:t>
      </w:r>
      <w:bookmarkEnd w:id="6"/>
      <w:bookmarkEnd w:id="7"/>
      <w:bookmarkEnd w:id="8"/>
      <w:bookmarkEnd w:id="9"/>
      <w:bookmarkEnd w:id="10"/>
    </w:p>
    <w:p>
      <w:pPr>
        <w:keepNext/>
        <w:keepLines/>
        <w:spacing w:line="360" w:lineRule="auto"/>
        <w:jc w:val="center"/>
        <w:outlineLvl w:val="1"/>
        <w:rPr>
          <w:rFonts w:ascii="宋体" w:hAnsi="宋体"/>
          <w:b/>
          <w:color w:val="auto"/>
          <w:sz w:val="22"/>
          <w:highlight w:val="none"/>
        </w:rPr>
      </w:pPr>
      <w:bookmarkStart w:id="11" w:name="_Toc2059"/>
      <w:bookmarkStart w:id="12" w:name="_Toc14155"/>
      <w:bookmarkStart w:id="13" w:name="_Toc14422"/>
      <w:bookmarkStart w:id="14" w:name="_Toc453076492"/>
      <w:r>
        <w:rPr>
          <w:rFonts w:hint="eastAsia" w:ascii="宋体" w:hAnsi="宋体"/>
          <w:b/>
          <w:color w:val="auto"/>
          <w:sz w:val="22"/>
          <w:highlight w:val="none"/>
        </w:rPr>
        <w:t>投标须知前附表</w:t>
      </w:r>
      <w:bookmarkEnd w:id="11"/>
      <w:bookmarkEnd w:id="12"/>
      <w:bookmarkEnd w:id="13"/>
      <w:bookmarkEnd w:id="14"/>
    </w:p>
    <w:tbl>
      <w:tblPr>
        <w:tblStyle w:val="47"/>
        <w:tblW w:w="9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732"/>
        <w:gridCol w:w="292"/>
        <w:gridCol w:w="6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14" w:type="dxa"/>
            <w:vAlign w:val="center"/>
          </w:tcPr>
          <w:p>
            <w:pPr>
              <w:autoSpaceDE w:val="0"/>
              <w:autoSpaceDN w:val="0"/>
              <w:adjustRightInd w:val="0"/>
              <w:spacing w:line="360" w:lineRule="exact"/>
              <w:jc w:val="center"/>
              <w:rPr>
                <w:rFonts w:ascii="宋体" w:hAnsi="宋体" w:cs="黑体"/>
                <w:b/>
                <w:color w:val="auto"/>
                <w:kern w:val="0"/>
                <w:szCs w:val="21"/>
                <w:highlight w:val="none"/>
              </w:rPr>
            </w:pPr>
            <w:r>
              <w:rPr>
                <w:rFonts w:hint="eastAsia" w:ascii="宋体" w:hAnsi="宋体" w:cs="仿宋_GB2312"/>
                <w:b/>
                <w:color w:val="auto"/>
                <w:kern w:val="0"/>
                <w:szCs w:val="21"/>
                <w:highlight w:val="none"/>
              </w:rPr>
              <w:t>条款号</w:t>
            </w:r>
          </w:p>
        </w:tc>
        <w:tc>
          <w:tcPr>
            <w:tcW w:w="2024" w:type="dxa"/>
            <w:gridSpan w:val="2"/>
            <w:vAlign w:val="center"/>
          </w:tcPr>
          <w:p>
            <w:pPr>
              <w:autoSpaceDE w:val="0"/>
              <w:autoSpaceDN w:val="0"/>
              <w:adjustRightInd w:val="0"/>
              <w:spacing w:line="360" w:lineRule="exact"/>
              <w:jc w:val="center"/>
              <w:rPr>
                <w:rFonts w:ascii="宋体" w:hAnsi="宋体" w:cs="黑体"/>
                <w:b/>
                <w:color w:val="auto"/>
                <w:kern w:val="0"/>
                <w:szCs w:val="21"/>
                <w:highlight w:val="none"/>
              </w:rPr>
            </w:pPr>
            <w:r>
              <w:rPr>
                <w:rFonts w:hint="eastAsia" w:ascii="宋体" w:hAnsi="宋体" w:cs="仿宋_GB2312"/>
                <w:b/>
                <w:color w:val="auto"/>
                <w:kern w:val="0"/>
                <w:szCs w:val="21"/>
                <w:highlight w:val="none"/>
              </w:rPr>
              <w:t>条</w:t>
            </w:r>
            <w:r>
              <w:rPr>
                <w:rFonts w:ascii="宋体" w:hAnsi="宋体" w:cs="仿宋_GB2312"/>
                <w:b/>
                <w:color w:val="auto"/>
                <w:kern w:val="0"/>
                <w:szCs w:val="21"/>
                <w:highlight w:val="none"/>
              </w:rPr>
              <w:t xml:space="preserve"> </w:t>
            </w:r>
            <w:r>
              <w:rPr>
                <w:rFonts w:hint="eastAsia" w:ascii="宋体" w:hAnsi="宋体" w:cs="仿宋_GB2312"/>
                <w:b/>
                <w:color w:val="auto"/>
                <w:kern w:val="0"/>
                <w:szCs w:val="21"/>
                <w:highlight w:val="none"/>
              </w:rPr>
              <w:t>款</w:t>
            </w:r>
            <w:r>
              <w:rPr>
                <w:rFonts w:ascii="宋体" w:hAnsi="宋体" w:cs="仿宋_GB2312"/>
                <w:b/>
                <w:color w:val="auto"/>
                <w:kern w:val="0"/>
                <w:szCs w:val="21"/>
                <w:highlight w:val="none"/>
              </w:rPr>
              <w:t xml:space="preserve"> </w:t>
            </w:r>
            <w:r>
              <w:rPr>
                <w:rFonts w:hint="eastAsia" w:ascii="宋体" w:hAnsi="宋体" w:cs="仿宋_GB2312"/>
                <w:b/>
                <w:color w:val="auto"/>
                <w:kern w:val="0"/>
                <w:szCs w:val="21"/>
                <w:highlight w:val="none"/>
              </w:rPr>
              <w:t>名</w:t>
            </w:r>
            <w:r>
              <w:rPr>
                <w:rFonts w:ascii="宋体" w:hAnsi="宋体" w:cs="仿宋_GB2312"/>
                <w:b/>
                <w:color w:val="auto"/>
                <w:kern w:val="0"/>
                <w:szCs w:val="21"/>
                <w:highlight w:val="none"/>
              </w:rPr>
              <w:t xml:space="preserve"> </w:t>
            </w:r>
            <w:r>
              <w:rPr>
                <w:rFonts w:hint="eastAsia" w:ascii="宋体" w:hAnsi="宋体" w:cs="仿宋_GB2312"/>
                <w:b/>
                <w:color w:val="auto"/>
                <w:kern w:val="0"/>
                <w:szCs w:val="21"/>
                <w:highlight w:val="none"/>
              </w:rPr>
              <w:t>称</w:t>
            </w:r>
          </w:p>
        </w:tc>
        <w:tc>
          <w:tcPr>
            <w:tcW w:w="6791" w:type="dxa"/>
            <w:vAlign w:val="center"/>
          </w:tcPr>
          <w:p>
            <w:pPr>
              <w:autoSpaceDE w:val="0"/>
              <w:autoSpaceDN w:val="0"/>
              <w:adjustRightInd w:val="0"/>
              <w:spacing w:line="360" w:lineRule="exact"/>
              <w:jc w:val="center"/>
              <w:rPr>
                <w:rFonts w:ascii="宋体" w:hAnsi="宋体" w:cs="黑体"/>
                <w:b/>
                <w:color w:val="auto"/>
                <w:kern w:val="0"/>
                <w:szCs w:val="21"/>
                <w:highlight w:val="none"/>
              </w:rPr>
            </w:pPr>
            <w:r>
              <w:rPr>
                <w:rFonts w:hint="eastAsia" w:ascii="宋体" w:hAnsi="宋体" w:cs="仿宋_GB2312"/>
                <w:b/>
                <w:color w:val="auto"/>
                <w:kern w:val="0"/>
                <w:szCs w:val="21"/>
                <w:highlight w:val="none"/>
              </w:rPr>
              <w:t>编</w:t>
            </w:r>
            <w:r>
              <w:rPr>
                <w:rFonts w:ascii="宋体" w:hAnsi="宋体" w:cs="仿宋_GB2312"/>
                <w:b/>
                <w:color w:val="auto"/>
                <w:kern w:val="0"/>
                <w:szCs w:val="21"/>
                <w:highlight w:val="none"/>
              </w:rPr>
              <w:t xml:space="preserve"> </w:t>
            </w:r>
            <w:r>
              <w:rPr>
                <w:rFonts w:hint="eastAsia" w:ascii="宋体" w:hAnsi="宋体" w:cs="仿宋_GB2312"/>
                <w:b/>
                <w:color w:val="auto"/>
                <w:kern w:val="0"/>
                <w:szCs w:val="21"/>
                <w:highlight w:val="none"/>
              </w:rPr>
              <w:t>列</w:t>
            </w:r>
            <w:r>
              <w:rPr>
                <w:rFonts w:ascii="宋体" w:hAnsi="宋体" w:cs="仿宋_GB2312"/>
                <w:b/>
                <w:color w:val="auto"/>
                <w:kern w:val="0"/>
                <w:szCs w:val="21"/>
                <w:highlight w:val="none"/>
              </w:rPr>
              <w:t xml:space="preserve"> </w:t>
            </w:r>
            <w:r>
              <w:rPr>
                <w:rFonts w:hint="eastAsia" w:ascii="宋体" w:hAnsi="宋体" w:cs="仿宋_GB2312"/>
                <w:b/>
                <w:color w:val="auto"/>
                <w:kern w:val="0"/>
                <w:szCs w:val="21"/>
                <w:highlight w:val="none"/>
              </w:rPr>
              <w:t>内</w:t>
            </w:r>
            <w:r>
              <w:rPr>
                <w:rFonts w:ascii="宋体" w:hAnsi="宋体" w:cs="仿宋_GB2312"/>
                <w:b/>
                <w:color w:val="auto"/>
                <w:kern w:val="0"/>
                <w:szCs w:val="21"/>
                <w:highlight w:val="none"/>
              </w:rPr>
              <w:t xml:space="preserve"> </w:t>
            </w:r>
            <w:r>
              <w:rPr>
                <w:rFonts w:hint="eastAsia" w:ascii="宋体" w:hAnsi="宋体" w:cs="仿宋_GB2312"/>
                <w:b/>
                <w:color w:val="auto"/>
                <w:kern w:val="0"/>
                <w:szCs w:val="21"/>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4" w:type="dxa"/>
            <w:vAlign w:val="center"/>
          </w:tcPr>
          <w:p>
            <w:pPr>
              <w:autoSpaceDE w:val="0"/>
              <w:autoSpaceDN w:val="0"/>
              <w:adjustRightInd w:val="0"/>
              <w:spacing w:line="360" w:lineRule="exact"/>
              <w:jc w:val="center"/>
              <w:rPr>
                <w:rFonts w:ascii="宋体" w:hAnsi="宋体" w:cs="黑体"/>
                <w:color w:val="auto"/>
                <w:kern w:val="0"/>
                <w:szCs w:val="21"/>
                <w:highlight w:val="none"/>
              </w:rPr>
            </w:pPr>
            <w:r>
              <w:rPr>
                <w:rFonts w:ascii="宋体" w:hAnsi="宋体" w:cs="TimesNewRomanPSMT"/>
                <w:color w:val="auto"/>
                <w:kern w:val="0"/>
                <w:szCs w:val="21"/>
                <w:highlight w:val="none"/>
              </w:rPr>
              <w:t>1.1.</w:t>
            </w:r>
            <w:r>
              <w:rPr>
                <w:rFonts w:hint="eastAsia" w:ascii="宋体" w:hAnsi="宋体" w:cs="TimesNewRomanPSMT"/>
                <w:color w:val="auto"/>
                <w:kern w:val="0"/>
                <w:szCs w:val="21"/>
                <w:highlight w:val="none"/>
              </w:rPr>
              <w:t>2</w:t>
            </w:r>
          </w:p>
        </w:tc>
        <w:tc>
          <w:tcPr>
            <w:tcW w:w="2024" w:type="dxa"/>
            <w:gridSpan w:val="2"/>
            <w:vAlign w:val="center"/>
          </w:tcPr>
          <w:p>
            <w:pPr>
              <w:autoSpaceDE w:val="0"/>
              <w:autoSpaceDN w:val="0"/>
              <w:adjustRightInd w:val="0"/>
              <w:spacing w:line="360" w:lineRule="auto"/>
              <w:jc w:val="center"/>
              <w:rPr>
                <w:rFonts w:ascii="宋体" w:hAnsi="宋体" w:cs="黑体"/>
                <w:color w:val="auto"/>
                <w:kern w:val="0"/>
                <w:szCs w:val="21"/>
                <w:highlight w:val="none"/>
              </w:rPr>
            </w:pPr>
            <w:r>
              <w:rPr>
                <w:rFonts w:hint="eastAsia" w:ascii="宋体" w:hAnsi="宋体" w:cs="仿宋_GB2312"/>
                <w:color w:val="auto"/>
                <w:kern w:val="0"/>
                <w:szCs w:val="21"/>
                <w:highlight w:val="none"/>
              </w:rPr>
              <w:t>招标人</w:t>
            </w:r>
          </w:p>
        </w:tc>
        <w:tc>
          <w:tcPr>
            <w:tcW w:w="6791" w:type="dxa"/>
            <w:vAlign w:val="center"/>
          </w:tcPr>
          <w:p>
            <w:pPr>
              <w:autoSpaceDE w:val="0"/>
              <w:autoSpaceDN w:val="0"/>
              <w:adjustRightInd w:val="0"/>
              <w:spacing w:line="4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  称：禹州市公路管理局</w:t>
            </w:r>
          </w:p>
          <w:p>
            <w:pPr>
              <w:autoSpaceDE w:val="0"/>
              <w:autoSpaceDN w:val="0"/>
              <w:adjustRightInd w:val="0"/>
              <w:spacing w:line="4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址：禹州市禹王大道6号</w:t>
            </w:r>
          </w:p>
          <w:p>
            <w:pPr>
              <w:autoSpaceDE w:val="0"/>
              <w:autoSpaceDN w:val="0"/>
              <w:adjustRightInd w:val="0"/>
              <w:spacing w:line="420" w:lineRule="exact"/>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联系人：席</w:t>
            </w:r>
            <w:r>
              <w:rPr>
                <w:rFonts w:hint="eastAsia" w:ascii="宋体" w:hAnsi="宋体" w:eastAsia="宋体" w:cs="宋体"/>
                <w:color w:val="auto"/>
                <w:kern w:val="0"/>
                <w:sz w:val="21"/>
                <w:szCs w:val="21"/>
                <w:highlight w:val="none"/>
                <w:lang w:eastAsia="zh-CN"/>
              </w:rPr>
              <w:t>先生</w:t>
            </w:r>
          </w:p>
          <w:p>
            <w:pPr>
              <w:autoSpaceDE w:val="0"/>
              <w:autoSpaceDN w:val="0"/>
              <w:adjustRightInd w:val="0"/>
              <w:spacing w:line="4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话：13513745982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jc w:val="center"/>
        </w:trPr>
        <w:tc>
          <w:tcPr>
            <w:tcW w:w="914" w:type="dxa"/>
            <w:vAlign w:val="center"/>
          </w:tcPr>
          <w:p>
            <w:pPr>
              <w:autoSpaceDE w:val="0"/>
              <w:autoSpaceDN w:val="0"/>
              <w:adjustRightInd w:val="0"/>
              <w:spacing w:line="360" w:lineRule="exact"/>
              <w:jc w:val="center"/>
              <w:rPr>
                <w:rFonts w:ascii="宋体" w:hAnsi="宋体" w:cs="黑体"/>
                <w:color w:val="auto"/>
                <w:kern w:val="0"/>
                <w:szCs w:val="21"/>
                <w:highlight w:val="none"/>
              </w:rPr>
            </w:pPr>
            <w:r>
              <w:rPr>
                <w:rFonts w:ascii="宋体" w:hAnsi="宋体" w:cs="TimesNewRomanPSMT"/>
                <w:color w:val="auto"/>
                <w:kern w:val="0"/>
                <w:szCs w:val="21"/>
                <w:highlight w:val="none"/>
              </w:rPr>
              <w:t>1.1.</w:t>
            </w:r>
            <w:r>
              <w:rPr>
                <w:rFonts w:hint="eastAsia" w:ascii="宋体" w:hAnsi="宋体" w:cs="TimesNewRomanPSMT"/>
                <w:color w:val="auto"/>
                <w:kern w:val="0"/>
                <w:szCs w:val="21"/>
                <w:highlight w:val="none"/>
              </w:rPr>
              <w:t>3</w:t>
            </w:r>
          </w:p>
        </w:tc>
        <w:tc>
          <w:tcPr>
            <w:tcW w:w="2024" w:type="dxa"/>
            <w:gridSpan w:val="2"/>
            <w:vAlign w:val="center"/>
          </w:tcPr>
          <w:p>
            <w:pPr>
              <w:autoSpaceDE w:val="0"/>
              <w:autoSpaceDN w:val="0"/>
              <w:adjustRightInd w:val="0"/>
              <w:spacing w:line="360" w:lineRule="auto"/>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招标代理机构</w:t>
            </w:r>
          </w:p>
        </w:tc>
        <w:tc>
          <w:tcPr>
            <w:tcW w:w="6791" w:type="dxa"/>
            <w:vAlign w:val="center"/>
          </w:tcPr>
          <w:p>
            <w:pPr>
              <w:autoSpaceDE w:val="0"/>
              <w:autoSpaceDN w:val="0"/>
              <w:adjustRightInd w:val="0"/>
              <w:spacing w:line="4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名称：恒信咨询管理有限公司</w:t>
            </w:r>
          </w:p>
          <w:p>
            <w:pPr>
              <w:autoSpaceDE w:val="0"/>
              <w:autoSpaceDN w:val="0"/>
              <w:adjustRightInd w:val="0"/>
              <w:spacing w:line="420" w:lineRule="exact"/>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eastAsia="zh-CN"/>
              </w:rPr>
              <w:t>董先生</w:t>
            </w:r>
          </w:p>
          <w:p>
            <w:pPr>
              <w:autoSpaceDE w:val="0"/>
              <w:autoSpaceDN w:val="0"/>
              <w:adjustRightInd w:val="0"/>
              <w:spacing w:line="4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联系电话：0371-86688490    0374-2766699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914" w:type="dxa"/>
            <w:vAlign w:val="center"/>
          </w:tcPr>
          <w:p>
            <w:pPr>
              <w:autoSpaceDE w:val="0"/>
              <w:autoSpaceDN w:val="0"/>
              <w:adjustRightInd w:val="0"/>
              <w:spacing w:line="360" w:lineRule="exact"/>
              <w:jc w:val="center"/>
              <w:rPr>
                <w:rFonts w:ascii="宋体" w:hAnsi="宋体" w:cs="黑体"/>
                <w:color w:val="auto"/>
                <w:kern w:val="0"/>
                <w:szCs w:val="21"/>
                <w:highlight w:val="none"/>
              </w:rPr>
            </w:pPr>
            <w:r>
              <w:rPr>
                <w:rFonts w:ascii="宋体" w:hAnsi="宋体" w:cs="TimesNewRomanPSMT"/>
                <w:color w:val="auto"/>
                <w:kern w:val="0"/>
                <w:szCs w:val="21"/>
                <w:highlight w:val="none"/>
              </w:rPr>
              <w:t>1.1.</w:t>
            </w:r>
            <w:r>
              <w:rPr>
                <w:rFonts w:hint="eastAsia" w:ascii="宋体" w:hAnsi="宋体" w:cs="TimesNewRomanPSMT"/>
                <w:color w:val="auto"/>
                <w:kern w:val="0"/>
                <w:szCs w:val="21"/>
                <w:highlight w:val="none"/>
              </w:rPr>
              <w:t>4</w:t>
            </w:r>
          </w:p>
        </w:tc>
        <w:tc>
          <w:tcPr>
            <w:tcW w:w="2024" w:type="dxa"/>
            <w:gridSpan w:val="2"/>
            <w:vAlign w:val="center"/>
          </w:tcPr>
          <w:p>
            <w:pPr>
              <w:autoSpaceDE w:val="0"/>
              <w:autoSpaceDN w:val="0"/>
              <w:adjustRightInd w:val="0"/>
              <w:spacing w:line="360" w:lineRule="exact"/>
              <w:jc w:val="center"/>
              <w:rPr>
                <w:rFonts w:ascii="宋体" w:hAnsi="宋体" w:cs="黑体"/>
                <w:color w:val="auto"/>
                <w:kern w:val="0"/>
                <w:szCs w:val="21"/>
                <w:highlight w:val="none"/>
              </w:rPr>
            </w:pPr>
            <w:r>
              <w:rPr>
                <w:rFonts w:hint="eastAsia" w:ascii="宋体" w:hAnsi="宋体" w:cs="仿宋_GB2312"/>
                <w:color w:val="auto"/>
                <w:kern w:val="0"/>
                <w:szCs w:val="21"/>
                <w:highlight w:val="none"/>
              </w:rPr>
              <w:t>项目名称</w:t>
            </w:r>
          </w:p>
        </w:tc>
        <w:tc>
          <w:tcPr>
            <w:tcW w:w="6791" w:type="dxa"/>
            <w:vAlign w:val="center"/>
          </w:tcPr>
          <w:p>
            <w:pPr>
              <w:spacing w:line="360" w:lineRule="exact"/>
              <w:rPr>
                <w:rFonts w:ascii="宋体" w:hAnsi="宋体"/>
                <w:bCs/>
                <w:color w:val="auto"/>
                <w:szCs w:val="21"/>
                <w:highlight w:val="none"/>
              </w:rPr>
            </w:pPr>
            <w:r>
              <w:rPr>
                <w:rFonts w:hint="eastAsia" w:ascii="宋体" w:hAnsi="宋体"/>
                <w:bCs/>
                <w:color w:val="auto"/>
                <w:szCs w:val="21"/>
                <w:highlight w:val="none"/>
              </w:rPr>
              <w:t>S325线滹沱河桥、龙泉河桥及贾庄桥加固维修工程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914" w:type="dxa"/>
            <w:vAlign w:val="center"/>
          </w:tcPr>
          <w:p>
            <w:pPr>
              <w:autoSpaceDE w:val="0"/>
              <w:autoSpaceDN w:val="0"/>
              <w:adjustRightInd w:val="0"/>
              <w:spacing w:line="360" w:lineRule="exact"/>
              <w:jc w:val="center"/>
              <w:rPr>
                <w:rFonts w:ascii="宋体" w:hAnsi="宋体" w:cs="TimesNewRomanPSMT"/>
                <w:color w:val="auto"/>
                <w:kern w:val="0"/>
                <w:szCs w:val="21"/>
                <w:highlight w:val="none"/>
              </w:rPr>
            </w:pPr>
            <w:r>
              <w:rPr>
                <w:rFonts w:hint="eastAsia" w:ascii="宋体" w:hAnsi="宋体" w:cs="TimesNewRomanPSMT"/>
                <w:color w:val="auto"/>
                <w:kern w:val="0"/>
                <w:szCs w:val="21"/>
                <w:highlight w:val="none"/>
              </w:rPr>
              <w:t>1.1.5</w:t>
            </w:r>
          </w:p>
        </w:tc>
        <w:tc>
          <w:tcPr>
            <w:tcW w:w="2024" w:type="dxa"/>
            <w:gridSpan w:val="2"/>
            <w:vAlign w:val="center"/>
          </w:tcPr>
          <w:p>
            <w:pPr>
              <w:autoSpaceDE w:val="0"/>
              <w:autoSpaceDN w:val="0"/>
              <w:adjustRightInd w:val="0"/>
              <w:spacing w:line="360" w:lineRule="exact"/>
              <w:ind w:right="35"/>
              <w:jc w:val="center"/>
              <w:rPr>
                <w:rFonts w:ascii="宋体" w:hAnsi="宋体"/>
                <w:color w:val="auto"/>
                <w:spacing w:val="1"/>
                <w:kern w:val="0"/>
                <w:szCs w:val="21"/>
                <w:highlight w:val="none"/>
              </w:rPr>
            </w:pPr>
            <w:r>
              <w:rPr>
                <w:rFonts w:hint="eastAsia" w:ascii="宋体" w:hAnsi="宋体"/>
                <w:color w:val="auto"/>
                <w:spacing w:val="1"/>
                <w:kern w:val="0"/>
                <w:szCs w:val="21"/>
                <w:highlight w:val="none"/>
              </w:rPr>
              <w:t>建设地点</w:t>
            </w:r>
          </w:p>
        </w:tc>
        <w:tc>
          <w:tcPr>
            <w:tcW w:w="6791" w:type="dxa"/>
            <w:vAlign w:val="center"/>
          </w:tcPr>
          <w:p>
            <w:pPr>
              <w:autoSpaceDE w:val="0"/>
              <w:autoSpaceDN w:val="0"/>
              <w:adjustRightInd w:val="0"/>
              <w:spacing w:line="360" w:lineRule="exact"/>
              <w:rPr>
                <w:rFonts w:ascii="宋体" w:hAnsi="宋体"/>
                <w:color w:val="auto"/>
                <w:spacing w:val="1"/>
                <w:kern w:val="0"/>
                <w:szCs w:val="21"/>
                <w:highlight w:val="none"/>
              </w:rPr>
            </w:pPr>
            <w:r>
              <w:rPr>
                <w:rFonts w:hint="eastAsia"/>
                <w:color w:val="auto"/>
                <w:highlight w:val="none"/>
              </w:rPr>
              <w:t>该项目位于禹州市境内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914" w:type="dxa"/>
            <w:vAlign w:val="center"/>
          </w:tcPr>
          <w:p>
            <w:pPr>
              <w:autoSpaceDE w:val="0"/>
              <w:autoSpaceDN w:val="0"/>
              <w:adjustRightInd w:val="0"/>
              <w:spacing w:line="360" w:lineRule="exact"/>
              <w:jc w:val="center"/>
              <w:rPr>
                <w:rFonts w:ascii="宋体" w:hAnsi="宋体" w:cs="黑体"/>
                <w:color w:val="auto"/>
                <w:kern w:val="0"/>
                <w:szCs w:val="21"/>
                <w:highlight w:val="none"/>
              </w:rPr>
            </w:pPr>
            <w:r>
              <w:rPr>
                <w:rFonts w:ascii="宋体" w:hAnsi="宋体" w:cs="TimesNewRomanPSMT"/>
                <w:color w:val="auto"/>
                <w:kern w:val="0"/>
                <w:szCs w:val="21"/>
                <w:highlight w:val="none"/>
              </w:rPr>
              <w:t>1.2.1</w:t>
            </w:r>
          </w:p>
        </w:tc>
        <w:tc>
          <w:tcPr>
            <w:tcW w:w="2024" w:type="dxa"/>
            <w:gridSpan w:val="2"/>
            <w:vAlign w:val="center"/>
          </w:tcPr>
          <w:p>
            <w:pPr>
              <w:autoSpaceDE w:val="0"/>
              <w:autoSpaceDN w:val="0"/>
              <w:adjustRightInd w:val="0"/>
              <w:spacing w:line="360" w:lineRule="exact"/>
              <w:jc w:val="center"/>
              <w:rPr>
                <w:rFonts w:ascii="宋体" w:hAnsi="宋体" w:cs="黑体"/>
                <w:color w:val="auto"/>
                <w:kern w:val="0"/>
                <w:szCs w:val="21"/>
                <w:highlight w:val="none"/>
              </w:rPr>
            </w:pPr>
            <w:r>
              <w:rPr>
                <w:rFonts w:hint="eastAsia" w:ascii="宋体" w:hAnsi="宋体" w:cs="仿宋_GB2312"/>
                <w:color w:val="auto"/>
                <w:kern w:val="0"/>
                <w:szCs w:val="21"/>
                <w:highlight w:val="none"/>
              </w:rPr>
              <w:t>资金来源</w:t>
            </w:r>
          </w:p>
        </w:tc>
        <w:tc>
          <w:tcPr>
            <w:tcW w:w="6791" w:type="dxa"/>
            <w:vAlign w:val="center"/>
          </w:tcPr>
          <w:p>
            <w:pPr>
              <w:autoSpaceDE w:val="0"/>
              <w:autoSpaceDN w:val="0"/>
              <w:adjustRightInd w:val="0"/>
              <w:spacing w:line="360" w:lineRule="exact"/>
              <w:rPr>
                <w:rFonts w:ascii="宋体" w:hAnsi="宋体" w:cs="宋体"/>
                <w:color w:val="auto"/>
                <w:kern w:val="0"/>
                <w:szCs w:val="21"/>
                <w:highlight w:val="none"/>
              </w:rPr>
            </w:pPr>
            <w:r>
              <w:rPr>
                <w:rFonts w:hint="eastAsia" w:ascii="宋体" w:hAnsi="宋体"/>
                <w:bCs/>
                <w:color w:val="auto"/>
                <w:szCs w:val="21"/>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914" w:type="dxa"/>
            <w:vAlign w:val="center"/>
          </w:tcPr>
          <w:p>
            <w:pPr>
              <w:autoSpaceDE w:val="0"/>
              <w:autoSpaceDN w:val="0"/>
              <w:adjustRightInd w:val="0"/>
              <w:spacing w:line="360" w:lineRule="exact"/>
              <w:jc w:val="center"/>
              <w:rPr>
                <w:rFonts w:ascii="宋体" w:hAnsi="宋体" w:cs="TimesNewRomanPSMT"/>
                <w:color w:val="auto"/>
                <w:kern w:val="0"/>
                <w:szCs w:val="21"/>
                <w:highlight w:val="none"/>
              </w:rPr>
            </w:pPr>
            <w:r>
              <w:rPr>
                <w:rFonts w:hint="eastAsia" w:ascii="宋体" w:hAnsi="宋体" w:cs="TimesNewRomanPSMT"/>
                <w:color w:val="auto"/>
                <w:kern w:val="0"/>
                <w:szCs w:val="21"/>
                <w:highlight w:val="none"/>
              </w:rPr>
              <w:t>1.2.2</w:t>
            </w:r>
          </w:p>
        </w:tc>
        <w:tc>
          <w:tcPr>
            <w:tcW w:w="2024" w:type="dxa"/>
            <w:gridSpan w:val="2"/>
            <w:vAlign w:val="center"/>
          </w:tcPr>
          <w:p>
            <w:pPr>
              <w:autoSpaceDE w:val="0"/>
              <w:autoSpaceDN w:val="0"/>
              <w:adjustRightInd w:val="0"/>
              <w:spacing w:line="36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资金落实情况</w:t>
            </w:r>
          </w:p>
        </w:tc>
        <w:tc>
          <w:tcPr>
            <w:tcW w:w="6791" w:type="dxa"/>
            <w:vAlign w:val="center"/>
          </w:tcPr>
          <w:p>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914" w:type="dxa"/>
            <w:vAlign w:val="center"/>
          </w:tcPr>
          <w:p>
            <w:pPr>
              <w:autoSpaceDE w:val="0"/>
              <w:autoSpaceDN w:val="0"/>
              <w:adjustRightInd w:val="0"/>
              <w:spacing w:line="360" w:lineRule="exact"/>
              <w:jc w:val="center"/>
              <w:rPr>
                <w:rFonts w:ascii="宋体" w:hAnsi="宋体" w:cs="黑体"/>
                <w:color w:val="auto"/>
                <w:kern w:val="0"/>
                <w:szCs w:val="21"/>
                <w:highlight w:val="none"/>
              </w:rPr>
            </w:pPr>
            <w:r>
              <w:rPr>
                <w:rFonts w:ascii="宋体" w:hAnsi="宋体" w:cs="TimesNewRomanPSMT"/>
                <w:color w:val="auto"/>
                <w:kern w:val="0"/>
                <w:szCs w:val="21"/>
                <w:highlight w:val="none"/>
              </w:rPr>
              <w:t>1.3.1</w:t>
            </w:r>
          </w:p>
        </w:tc>
        <w:tc>
          <w:tcPr>
            <w:tcW w:w="2024" w:type="dxa"/>
            <w:gridSpan w:val="2"/>
            <w:vAlign w:val="center"/>
          </w:tcPr>
          <w:p>
            <w:pPr>
              <w:autoSpaceDE w:val="0"/>
              <w:autoSpaceDN w:val="0"/>
              <w:adjustRightInd w:val="0"/>
              <w:spacing w:line="360" w:lineRule="exact"/>
              <w:jc w:val="center"/>
              <w:rPr>
                <w:rFonts w:ascii="宋体" w:hAnsi="宋体" w:cs="黑体"/>
                <w:color w:val="auto"/>
                <w:kern w:val="0"/>
                <w:szCs w:val="21"/>
                <w:highlight w:val="none"/>
              </w:rPr>
            </w:pPr>
            <w:r>
              <w:rPr>
                <w:rFonts w:hint="eastAsia" w:ascii="宋体" w:hAnsi="宋体" w:cs="仿宋_GB2312"/>
                <w:color w:val="auto"/>
                <w:kern w:val="0"/>
                <w:szCs w:val="21"/>
                <w:highlight w:val="none"/>
              </w:rPr>
              <w:t>招标范围</w:t>
            </w:r>
          </w:p>
        </w:tc>
        <w:tc>
          <w:tcPr>
            <w:tcW w:w="6791" w:type="dxa"/>
            <w:vAlign w:val="center"/>
          </w:tcPr>
          <w:p>
            <w:pPr>
              <w:spacing w:line="360" w:lineRule="exact"/>
              <w:rPr>
                <w:rFonts w:ascii="宋体" w:hAnsi="宋体"/>
                <w:color w:val="auto"/>
                <w:szCs w:val="21"/>
                <w:highlight w:val="none"/>
              </w:rPr>
            </w:pPr>
            <w:r>
              <w:rPr>
                <w:rFonts w:hint="eastAsia" w:ascii="宋体" w:hAnsi="宋体" w:cs="宋体"/>
                <w:color w:val="auto"/>
                <w:szCs w:val="21"/>
                <w:highlight w:val="none"/>
              </w:rPr>
              <w:t>招标文件、工程量清单、施工</w:t>
            </w:r>
            <w:r>
              <w:rPr>
                <w:rFonts w:hint="eastAsia" w:cs="宋体"/>
                <w:color w:val="auto"/>
                <w:szCs w:val="21"/>
                <w:highlight w:val="none"/>
              </w:rPr>
              <w:t>图纸、</w:t>
            </w:r>
            <w:r>
              <w:rPr>
                <w:rFonts w:hint="eastAsia" w:ascii="宋体" w:hAnsi="宋体" w:cs="宋体"/>
                <w:color w:val="auto"/>
                <w:szCs w:val="21"/>
                <w:highlight w:val="none"/>
              </w:rPr>
              <w:t>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14" w:type="dxa"/>
            <w:vAlign w:val="center"/>
          </w:tcPr>
          <w:p>
            <w:pPr>
              <w:autoSpaceDE w:val="0"/>
              <w:autoSpaceDN w:val="0"/>
              <w:adjustRightInd w:val="0"/>
              <w:spacing w:line="360" w:lineRule="exact"/>
              <w:jc w:val="center"/>
              <w:rPr>
                <w:rFonts w:ascii="宋体" w:hAnsi="宋体" w:cs="黑体"/>
                <w:color w:val="auto"/>
                <w:kern w:val="0"/>
                <w:szCs w:val="21"/>
                <w:highlight w:val="none"/>
              </w:rPr>
            </w:pPr>
            <w:r>
              <w:rPr>
                <w:rFonts w:ascii="宋体" w:hAnsi="宋体" w:cs="TimesNewRomanPSMT"/>
                <w:color w:val="auto"/>
                <w:kern w:val="0"/>
                <w:szCs w:val="21"/>
                <w:highlight w:val="none"/>
              </w:rPr>
              <w:t>1.3.2</w:t>
            </w:r>
          </w:p>
        </w:tc>
        <w:tc>
          <w:tcPr>
            <w:tcW w:w="2024" w:type="dxa"/>
            <w:gridSpan w:val="2"/>
            <w:vAlign w:val="center"/>
          </w:tcPr>
          <w:p>
            <w:pPr>
              <w:autoSpaceDE w:val="0"/>
              <w:autoSpaceDN w:val="0"/>
              <w:adjustRightInd w:val="0"/>
              <w:spacing w:line="360" w:lineRule="exact"/>
              <w:jc w:val="center"/>
              <w:rPr>
                <w:rFonts w:ascii="宋体" w:hAnsi="宋体" w:cs="黑体"/>
                <w:color w:val="auto"/>
                <w:kern w:val="0"/>
                <w:szCs w:val="21"/>
                <w:highlight w:val="none"/>
              </w:rPr>
            </w:pPr>
            <w:r>
              <w:rPr>
                <w:rFonts w:hint="eastAsia" w:ascii="宋体" w:hAnsi="宋体" w:cs="黑体"/>
                <w:color w:val="auto"/>
                <w:kern w:val="0"/>
                <w:szCs w:val="21"/>
                <w:highlight w:val="none"/>
              </w:rPr>
              <w:t>计划工期</w:t>
            </w:r>
          </w:p>
        </w:tc>
        <w:tc>
          <w:tcPr>
            <w:tcW w:w="6791" w:type="dxa"/>
            <w:vAlign w:val="center"/>
          </w:tcPr>
          <w:p>
            <w:pPr>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150</w:t>
            </w:r>
            <w:r>
              <w:rPr>
                <w:rFonts w:hint="eastAsia" w:ascii="宋体" w:hAnsi="宋体" w:cs="宋体"/>
                <w:color w:val="auto"/>
                <w:kern w:val="0"/>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14" w:type="dxa"/>
            <w:vAlign w:val="center"/>
          </w:tcPr>
          <w:p>
            <w:pPr>
              <w:autoSpaceDE w:val="0"/>
              <w:autoSpaceDN w:val="0"/>
              <w:adjustRightInd w:val="0"/>
              <w:spacing w:line="360" w:lineRule="exact"/>
              <w:jc w:val="center"/>
              <w:rPr>
                <w:rFonts w:ascii="宋体" w:hAnsi="宋体" w:cs="TimesNewRomanPSMT"/>
                <w:color w:val="auto"/>
                <w:kern w:val="0"/>
                <w:szCs w:val="21"/>
                <w:highlight w:val="none"/>
              </w:rPr>
            </w:pPr>
            <w:r>
              <w:rPr>
                <w:rFonts w:hint="eastAsia" w:ascii="宋体" w:hAnsi="宋体" w:cs="TimesNewRomanPSMT"/>
                <w:color w:val="auto"/>
                <w:kern w:val="0"/>
                <w:szCs w:val="21"/>
                <w:highlight w:val="none"/>
              </w:rPr>
              <w:t>1.3.3</w:t>
            </w:r>
          </w:p>
        </w:tc>
        <w:tc>
          <w:tcPr>
            <w:tcW w:w="2024" w:type="dxa"/>
            <w:gridSpan w:val="2"/>
            <w:vAlign w:val="center"/>
          </w:tcPr>
          <w:p>
            <w:pPr>
              <w:autoSpaceDE w:val="0"/>
              <w:autoSpaceDN w:val="0"/>
              <w:adjustRightInd w:val="0"/>
              <w:spacing w:line="360" w:lineRule="exact"/>
              <w:jc w:val="center"/>
              <w:rPr>
                <w:rFonts w:ascii="宋体" w:hAnsi="宋体" w:cs="黑体"/>
                <w:color w:val="auto"/>
                <w:kern w:val="0"/>
                <w:szCs w:val="21"/>
                <w:highlight w:val="none"/>
              </w:rPr>
            </w:pPr>
            <w:r>
              <w:rPr>
                <w:rFonts w:hint="eastAsia" w:hAnsi="宋体" w:cs="仿宋_GB2312"/>
                <w:color w:val="auto"/>
                <w:szCs w:val="21"/>
                <w:highlight w:val="none"/>
              </w:rPr>
              <w:t>质量要求</w:t>
            </w:r>
          </w:p>
        </w:tc>
        <w:tc>
          <w:tcPr>
            <w:tcW w:w="6791" w:type="dxa"/>
            <w:vAlign w:val="center"/>
          </w:tcPr>
          <w:p>
            <w:pPr>
              <w:autoSpaceDE w:val="0"/>
              <w:autoSpaceDN w:val="0"/>
              <w:adjustRightInd w:val="0"/>
              <w:spacing w:line="360" w:lineRule="exact"/>
              <w:rPr>
                <w:rFonts w:hAnsi="宋体" w:cs="黑体"/>
                <w:color w:val="auto"/>
                <w:szCs w:val="21"/>
                <w:highlight w:val="none"/>
              </w:rPr>
            </w:pPr>
            <w:r>
              <w:rPr>
                <w:rFonts w:hint="eastAsia" w:hAnsi="宋体" w:cs="黑体"/>
                <w:color w:val="auto"/>
                <w:szCs w:val="21"/>
                <w:highlight w:val="none"/>
              </w:rPr>
              <w:t>标段工程交工验收的质量评定：合格</w:t>
            </w:r>
          </w:p>
          <w:p>
            <w:pPr>
              <w:autoSpaceDE w:val="0"/>
              <w:autoSpaceDN w:val="0"/>
              <w:adjustRightInd w:val="0"/>
              <w:spacing w:line="360" w:lineRule="exact"/>
              <w:rPr>
                <w:rFonts w:ascii="宋体" w:hAnsi="宋体" w:cs="宋体"/>
                <w:color w:val="auto"/>
                <w:kern w:val="0"/>
                <w:szCs w:val="21"/>
                <w:highlight w:val="none"/>
              </w:rPr>
            </w:pPr>
            <w:r>
              <w:rPr>
                <w:rFonts w:hint="eastAsia" w:hAnsi="宋体" w:cs="黑体"/>
                <w:color w:val="auto"/>
                <w:szCs w:val="21"/>
                <w:highlight w:val="none"/>
              </w:rPr>
              <w:t>竣工验收的质量评定：优良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14" w:type="dxa"/>
            <w:vAlign w:val="center"/>
          </w:tcPr>
          <w:p>
            <w:pPr>
              <w:autoSpaceDE w:val="0"/>
              <w:autoSpaceDN w:val="0"/>
              <w:adjustRightInd w:val="0"/>
              <w:spacing w:line="360" w:lineRule="exact"/>
              <w:jc w:val="center"/>
              <w:rPr>
                <w:rFonts w:ascii="宋体" w:hAnsi="宋体" w:cs="TimesNewRomanPSMT"/>
                <w:color w:val="auto"/>
                <w:kern w:val="0"/>
                <w:szCs w:val="21"/>
                <w:highlight w:val="none"/>
              </w:rPr>
            </w:pPr>
            <w:r>
              <w:rPr>
                <w:rFonts w:hint="eastAsia" w:ascii="宋体" w:hAnsi="宋体" w:cs="TimesNewRomanPSMT"/>
                <w:color w:val="auto"/>
                <w:kern w:val="0"/>
                <w:szCs w:val="21"/>
                <w:highlight w:val="none"/>
              </w:rPr>
              <w:t>1.3.4</w:t>
            </w:r>
          </w:p>
        </w:tc>
        <w:tc>
          <w:tcPr>
            <w:tcW w:w="2024" w:type="dxa"/>
            <w:gridSpan w:val="2"/>
            <w:vAlign w:val="center"/>
          </w:tcPr>
          <w:p>
            <w:pPr>
              <w:autoSpaceDE w:val="0"/>
              <w:autoSpaceDN w:val="0"/>
              <w:adjustRightInd w:val="0"/>
              <w:spacing w:line="360" w:lineRule="exact"/>
              <w:jc w:val="center"/>
              <w:rPr>
                <w:rFonts w:hAnsi="宋体" w:cs="仿宋_GB2312"/>
                <w:color w:val="auto"/>
                <w:szCs w:val="21"/>
                <w:highlight w:val="none"/>
              </w:rPr>
            </w:pPr>
            <w:r>
              <w:rPr>
                <w:rFonts w:hint="eastAsia" w:hAnsi="宋体" w:cs="仿宋_GB2312"/>
                <w:color w:val="auto"/>
                <w:szCs w:val="21"/>
                <w:highlight w:val="none"/>
              </w:rPr>
              <w:t>安全目标</w:t>
            </w:r>
          </w:p>
        </w:tc>
        <w:tc>
          <w:tcPr>
            <w:tcW w:w="6791" w:type="dxa"/>
            <w:vAlign w:val="center"/>
          </w:tcPr>
          <w:p>
            <w:pPr>
              <w:autoSpaceDE w:val="0"/>
              <w:autoSpaceDN w:val="0"/>
              <w:adjustRightInd w:val="0"/>
              <w:spacing w:line="360" w:lineRule="exact"/>
              <w:rPr>
                <w:rFonts w:hAnsi="宋体" w:cs="黑体"/>
                <w:color w:val="auto"/>
                <w:szCs w:val="21"/>
                <w:highlight w:val="none"/>
              </w:rPr>
            </w:pPr>
            <w:r>
              <w:rPr>
                <w:rFonts w:hint="eastAsia" w:hAnsi="宋体" w:cs="黑体"/>
                <w:color w:val="auto"/>
                <w:szCs w:val="21"/>
                <w:highlight w:val="none"/>
              </w:rPr>
              <w:t>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3" w:hRule="atLeast"/>
          <w:jc w:val="center"/>
        </w:trPr>
        <w:tc>
          <w:tcPr>
            <w:tcW w:w="914" w:type="dxa"/>
            <w:tcBorders>
              <w:top w:val="single" w:color="auto" w:sz="4" w:space="0"/>
            </w:tcBorders>
            <w:vAlign w:val="center"/>
          </w:tcPr>
          <w:p>
            <w:pPr>
              <w:autoSpaceDE w:val="0"/>
              <w:autoSpaceDN w:val="0"/>
              <w:adjustRightInd w:val="0"/>
              <w:spacing w:line="360" w:lineRule="exact"/>
              <w:jc w:val="center"/>
              <w:rPr>
                <w:rFonts w:ascii="宋体" w:hAnsi="宋体" w:cs="黑体"/>
                <w:color w:val="auto"/>
                <w:kern w:val="0"/>
                <w:szCs w:val="21"/>
                <w:highlight w:val="none"/>
              </w:rPr>
            </w:pPr>
            <w:r>
              <w:rPr>
                <w:rFonts w:ascii="宋体" w:hAnsi="宋体" w:cs="TimesNewRomanPSMT"/>
                <w:color w:val="auto"/>
                <w:kern w:val="0"/>
                <w:szCs w:val="21"/>
                <w:highlight w:val="none"/>
              </w:rPr>
              <w:t>1.4.1</w:t>
            </w:r>
          </w:p>
        </w:tc>
        <w:tc>
          <w:tcPr>
            <w:tcW w:w="2024" w:type="dxa"/>
            <w:gridSpan w:val="2"/>
            <w:tcBorders>
              <w:top w:val="single" w:color="auto" w:sz="4" w:space="0"/>
            </w:tcBorders>
            <w:vAlign w:val="center"/>
          </w:tcPr>
          <w:p>
            <w:pPr>
              <w:spacing w:line="500" w:lineRule="exact"/>
              <w:jc w:val="center"/>
              <w:rPr>
                <w:rFonts w:ascii="宋体" w:hAnsi="宋体" w:cs="黑体"/>
                <w:color w:val="auto"/>
                <w:kern w:val="0"/>
                <w:szCs w:val="21"/>
                <w:highlight w:val="none"/>
              </w:rPr>
            </w:pPr>
            <w:r>
              <w:rPr>
                <w:rFonts w:ascii="宋体" w:hAnsi="宋体"/>
                <w:color w:val="auto"/>
                <w:szCs w:val="21"/>
                <w:highlight w:val="none"/>
              </w:rPr>
              <w:t>投标人资质条件、能力和信誉</w:t>
            </w:r>
          </w:p>
        </w:tc>
        <w:tc>
          <w:tcPr>
            <w:tcW w:w="6791" w:type="dxa"/>
            <w:tcBorders>
              <w:top w:val="single" w:color="auto" w:sz="4" w:space="0"/>
            </w:tcBorders>
            <w:vAlign w:val="center"/>
          </w:tcPr>
          <w:p>
            <w:pPr>
              <w:spacing w:line="360" w:lineRule="exact"/>
              <w:rPr>
                <w:color w:val="auto"/>
                <w:highlight w:val="none"/>
              </w:rPr>
            </w:pPr>
            <w:r>
              <w:rPr>
                <w:color w:val="auto"/>
                <w:highlight w:val="none"/>
              </w:rPr>
              <w:t>资质条件：</w:t>
            </w:r>
            <w:r>
              <w:rPr>
                <w:rFonts w:hint="eastAsia"/>
                <w:color w:val="auto"/>
                <w:highlight w:val="none"/>
              </w:rPr>
              <w:t>见附录1</w:t>
            </w:r>
          </w:p>
          <w:p>
            <w:pPr>
              <w:spacing w:line="360" w:lineRule="exact"/>
              <w:rPr>
                <w:color w:val="auto"/>
                <w:highlight w:val="none"/>
              </w:rPr>
            </w:pPr>
            <w:r>
              <w:rPr>
                <w:color w:val="auto"/>
                <w:highlight w:val="none"/>
              </w:rPr>
              <w:t>财务要求：</w:t>
            </w:r>
            <w:r>
              <w:rPr>
                <w:rFonts w:hint="eastAsia"/>
                <w:color w:val="auto"/>
                <w:highlight w:val="none"/>
              </w:rPr>
              <w:t>见附录2</w:t>
            </w:r>
          </w:p>
          <w:p>
            <w:pPr>
              <w:spacing w:line="360" w:lineRule="exact"/>
              <w:rPr>
                <w:color w:val="auto"/>
                <w:highlight w:val="none"/>
              </w:rPr>
            </w:pPr>
            <w:r>
              <w:rPr>
                <w:color w:val="auto"/>
                <w:highlight w:val="none"/>
              </w:rPr>
              <w:t>业绩要求：</w:t>
            </w:r>
            <w:r>
              <w:rPr>
                <w:rFonts w:hint="eastAsia"/>
                <w:color w:val="auto"/>
                <w:highlight w:val="none"/>
              </w:rPr>
              <w:t>见附录3</w:t>
            </w:r>
          </w:p>
          <w:p>
            <w:pPr>
              <w:spacing w:line="360" w:lineRule="exact"/>
              <w:rPr>
                <w:color w:val="auto"/>
                <w:highlight w:val="none"/>
              </w:rPr>
            </w:pPr>
            <w:r>
              <w:rPr>
                <w:rFonts w:hint="eastAsia"/>
                <w:color w:val="auto"/>
                <w:highlight w:val="none"/>
              </w:rPr>
              <w:t>信誉要求：见附录4</w:t>
            </w:r>
          </w:p>
          <w:p>
            <w:pPr>
              <w:spacing w:line="360" w:lineRule="exact"/>
              <w:rPr>
                <w:rFonts w:hint="eastAsia"/>
                <w:color w:val="auto"/>
                <w:highlight w:val="none"/>
              </w:rPr>
            </w:pPr>
            <w:r>
              <w:rPr>
                <w:rFonts w:hint="eastAsia"/>
                <w:color w:val="auto"/>
                <w:highlight w:val="none"/>
                <w:lang w:eastAsia="zh-CN"/>
              </w:rPr>
              <w:t>人员要求</w:t>
            </w:r>
            <w:r>
              <w:rPr>
                <w:rFonts w:hint="eastAsia"/>
                <w:color w:val="auto"/>
                <w:highlight w:val="none"/>
              </w:rPr>
              <w:t>：见附录5</w:t>
            </w:r>
          </w:p>
          <w:p>
            <w:pPr>
              <w:spacing w:line="360" w:lineRule="exact"/>
              <w:rPr>
                <w:rFonts w:hint="default" w:eastAsia="宋体"/>
                <w:color w:val="auto"/>
                <w:highlight w:val="none"/>
                <w:lang w:val="en-US" w:eastAsia="zh-CN"/>
              </w:rPr>
            </w:pPr>
            <w:r>
              <w:rPr>
                <w:rFonts w:hint="eastAsia"/>
                <w:color w:val="auto"/>
                <w:highlight w:val="none"/>
                <w:lang w:val="en-US" w:eastAsia="zh-CN"/>
              </w:rPr>
              <w:t>设备要求：见附录6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914" w:type="dxa"/>
            <w:vAlign w:val="center"/>
          </w:tcPr>
          <w:p>
            <w:pPr>
              <w:autoSpaceDE w:val="0"/>
              <w:autoSpaceDN w:val="0"/>
              <w:adjustRightInd w:val="0"/>
              <w:spacing w:line="360" w:lineRule="exact"/>
              <w:jc w:val="center"/>
              <w:rPr>
                <w:rFonts w:ascii="宋体" w:hAnsi="宋体" w:cs="黑体"/>
                <w:color w:val="auto"/>
                <w:kern w:val="0"/>
                <w:szCs w:val="21"/>
                <w:highlight w:val="none"/>
              </w:rPr>
            </w:pPr>
            <w:r>
              <w:rPr>
                <w:rFonts w:ascii="宋体" w:hAnsi="宋体" w:cs="TimesNewRomanPSMT"/>
                <w:color w:val="auto"/>
                <w:kern w:val="0"/>
                <w:szCs w:val="21"/>
                <w:highlight w:val="none"/>
              </w:rPr>
              <w:t>1.4.2</w:t>
            </w:r>
          </w:p>
        </w:tc>
        <w:tc>
          <w:tcPr>
            <w:tcW w:w="2024" w:type="dxa"/>
            <w:gridSpan w:val="2"/>
            <w:vAlign w:val="center"/>
          </w:tcPr>
          <w:p>
            <w:pPr>
              <w:autoSpaceDE w:val="0"/>
              <w:autoSpaceDN w:val="0"/>
              <w:adjustRightInd w:val="0"/>
              <w:spacing w:line="360" w:lineRule="exact"/>
              <w:rPr>
                <w:rFonts w:ascii="宋体" w:hAnsi="宋体" w:cs="仿宋_GB2312"/>
                <w:color w:val="auto"/>
                <w:spacing w:val="-12"/>
                <w:kern w:val="0"/>
                <w:szCs w:val="21"/>
                <w:highlight w:val="none"/>
              </w:rPr>
            </w:pPr>
            <w:r>
              <w:rPr>
                <w:rFonts w:hint="eastAsia" w:ascii="宋体" w:hAnsi="宋体" w:cs="仿宋_GB2312"/>
                <w:color w:val="auto"/>
                <w:spacing w:val="-12"/>
                <w:kern w:val="0"/>
                <w:szCs w:val="21"/>
                <w:highlight w:val="none"/>
              </w:rPr>
              <w:t>是否接受联合体投标</w:t>
            </w:r>
          </w:p>
        </w:tc>
        <w:tc>
          <w:tcPr>
            <w:tcW w:w="6791" w:type="dxa"/>
            <w:vAlign w:val="center"/>
          </w:tcPr>
          <w:p>
            <w:pPr>
              <w:autoSpaceDE w:val="0"/>
              <w:autoSpaceDN w:val="0"/>
              <w:adjustRightInd w:val="0"/>
              <w:spacing w:line="360" w:lineRule="exact"/>
              <w:rPr>
                <w:rFonts w:ascii="宋体" w:hAnsi="宋体" w:cs="仿宋_GB2312"/>
                <w:color w:val="auto"/>
                <w:kern w:val="0"/>
                <w:szCs w:val="21"/>
                <w:highlight w:val="none"/>
              </w:rPr>
            </w:pPr>
            <w:r>
              <w:rPr>
                <w:rFonts w:hint="eastAsia" w:ascii="宋体" w:hAnsi="宋体" w:cs="仿宋_GB2312"/>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914"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1.4.3</w:t>
            </w:r>
          </w:p>
        </w:tc>
        <w:tc>
          <w:tcPr>
            <w:tcW w:w="2024" w:type="dxa"/>
            <w:gridSpan w:val="2"/>
            <w:vAlign w:val="center"/>
          </w:tcPr>
          <w:p>
            <w:pPr>
              <w:spacing w:line="360" w:lineRule="exact"/>
              <w:jc w:val="center"/>
              <w:rPr>
                <w:rFonts w:ascii="宋体" w:hAnsi="宋体" w:cs="宋体"/>
                <w:color w:val="auto"/>
                <w:spacing w:val="-12"/>
                <w:kern w:val="0"/>
                <w:szCs w:val="21"/>
                <w:highlight w:val="none"/>
              </w:rPr>
            </w:pPr>
            <w:r>
              <w:rPr>
                <w:rFonts w:hint="eastAsia" w:ascii="宋体" w:hAnsi="宋体" w:cs="宋体"/>
                <w:color w:val="auto"/>
                <w:szCs w:val="21"/>
                <w:highlight w:val="none"/>
              </w:rPr>
              <w:t>投标人不得存在的其他关联情形</w:t>
            </w:r>
          </w:p>
        </w:tc>
        <w:tc>
          <w:tcPr>
            <w:tcW w:w="6791" w:type="dxa"/>
            <w:vAlign w:val="center"/>
          </w:tcPr>
          <w:p>
            <w:pPr>
              <w:spacing w:line="360" w:lineRule="exact"/>
              <w:jc w:val="left"/>
              <w:rPr>
                <w:rFonts w:ascii="宋体" w:hAnsi="宋体" w:cs="宋体"/>
                <w:color w:val="auto"/>
                <w:kern w:val="0"/>
                <w:szCs w:val="21"/>
                <w:highlight w:val="none"/>
              </w:rPr>
            </w:pPr>
            <w:r>
              <w:rPr>
                <w:rFonts w:hint="eastAsia" w:ascii="宋体" w:hAnsi="宋体" w:cs="宋体"/>
                <w:color w:val="auto"/>
                <w:szCs w:val="21"/>
                <w:highlight w:val="none"/>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4"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1.4.4</w:t>
            </w:r>
          </w:p>
        </w:tc>
        <w:tc>
          <w:tcPr>
            <w:tcW w:w="2024" w:type="dxa"/>
            <w:gridSpan w:val="2"/>
            <w:vAlign w:val="center"/>
          </w:tcPr>
          <w:p>
            <w:pPr>
              <w:spacing w:line="360" w:lineRule="exact"/>
              <w:jc w:val="center"/>
              <w:rPr>
                <w:rFonts w:ascii="宋体" w:hAnsi="宋体" w:cs="宋体"/>
                <w:color w:val="auto"/>
                <w:spacing w:val="-12"/>
                <w:kern w:val="0"/>
                <w:szCs w:val="21"/>
                <w:highlight w:val="none"/>
              </w:rPr>
            </w:pPr>
            <w:r>
              <w:rPr>
                <w:rFonts w:hint="eastAsia" w:ascii="宋体" w:hAnsi="宋体" w:cs="宋体"/>
                <w:color w:val="auto"/>
                <w:szCs w:val="21"/>
                <w:highlight w:val="none"/>
              </w:rPr>
              <w:t>投标人不得存在的其他不良状况或不良信用记录</w:t>
            </w:r>
          </w:p>
        </w:tc>
        <w:tc>
          <w:tcPr>
            <w:tcW w:w="6791" w:type="dxa"/>
            <w:vAlign w:val="center"/>
          </w:tcPr>
          <w:p>
            <w:pPr>
              <w:spacing w:line="360" w:lineRule="exact"/>
              <w:jc w:val="left"/>
              <w:rPr>
                <w:rFonts w:ascii="宋体" w:hAnsi="宋体" w:cs="宋体"/>
                <w:color w:val="auto"/>
                <w:kern w:val="0"/>
                <w:szCs w:val="21"/>
                <w:highlight w:val="none"/>
              </w:rPr>
            </w:pPr>
            <w:r>
              <w:rPr>
                <w:rFonts w:hint="eastAsia" w:ascii="宋体" w:hAnsi="宋体" w:cs="宋体"/>
                <w:color w:val="auto"/>
                <w:szCs w:val="21"/>
                <w:highlight w:val="none"/>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14"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1.10.2</w:t>
            </w:r>
          </w:p>
        </w:tc>
        <w:tc>
          <w:tcPr>
            <w:tcW w:w="2024" w:type="dxa"/>
            <w:gridSpan w:val="2"/>
            <w:vAlign w:val="center"/>
          </w:tcPr>
          <w:p>
            <w:pPr>
              <w:spacing w:line="360" w:lineRule="exact"/>
              <w:jc w:val="center"/>
              <w:rPr>
                <w:rFonts w:ascii="宋体" w:hAnsi="宋体" w:cs="宋体"/>
                <w:color w:val="auto"/>
                <w:spacing w:val="-12"/>
                <w:kern w:val="0"/>
                <w:szCs w:val="21"/>
                <w:highlight w:val="none"/>
              </w:rPr>
            </w:pPr>
            <w:r>
              <w:rPr>
                <w:rFonts w:hint="eastAsia" w:ascii="宋体" w:hAnsi="宋体" w:cs="宋体"/>
                <w:color w:val="auto"/>
                <w:szCs w:val="21"/>
                <w:highlight w:val="none"/>
              </w:rPr>
              <w:t>投标预备会</w:t>
            </w:r>
          </w:p>
        </w:tc>
        <w:tc>
          <w:tcPr>
            <w:tcW w:w="6791" w:type="dxa"/>
            <w:vAlign w:val="center"/>
          </w:tcPr>
          <w:p>
            <w:pPr>
              <w:spacing w:line="360" w:lineRule="exact"/>
              <w:jc w:val="left"/>
              <w:rPr>
                <w:rFonts w:ascii="宋体" w:hAnsi="宋体" w:cs="宋体"/>
                <w:color w:val="auto"/>
                <w:kern w:val="0"/>
                <w:szCs w:val="21"/>
                <w:highlight w:val="none"/>
              </w:rPr>
            </w:pPr>
            <w:r>
              <w:rPr>
                <w:rFonts w:hint="eastAsia" w:ascii="宋体" w:hAnsi="宋体" w:cs="宋体"/>
                <w:color w:val="auto"/>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914"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1.11.1</w:t>
            </w:r>
          </w:p>
        </w:tc>
        <w:tc>
          <w:tcPr>
            <w:tcW w:w="2024" w:type="dxa"/>
            <w:gridSpan w:val="2"/>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分包</w:t>
            </w:r>
          </w:p>
        </w:tc>
        <w:tc>
          <w:tcPr>
            <w:tcW w:w="6791" w:type="dxa"/>
            <w:vAlign w:val="center"/>
          </w:tcPr>
          <w:p>
            <w:pPr>
              <w:spacing w:line="360" w:lineRule="exact"/>
              <w:jc w:val="left"/>
              <w:rPr>
                <w:rFonts w:ascii="宋体" w:hAnsi="宋体" w:cs="宋体"/>
                <w:color w:val="auto"/>
                <w:kern w:val="0"/>
                <w:szCs w:val="21"/>
                <w:highlight w:val="none"/>
              </w:rPr>
            </w:pPr>
            <w:r>
              <w:rPr>
                <w:rFonts w:hint="eastAsia" w:ascii="宋体" w:hAnsi="宋体" w:cs="宋体"/>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914" w:type="dxa"/>
            <w:vAlign w:val="center"/>
          </w:tcPr>
          <w:p>
            <w:pPr>
              <w:spacing w:line="360" w:lineRule="exact"/>
              <w:jc w:val="center"/>
              <w:rPr>
                <w:rFonts w:ascii="宋体" w:hAnsi="宋体" w:cs="宋体"/>
                <w:color w:val="auto"/>
                <w:szCs w:val="21"/>
                <w:highlight w:val="none"/>
              </w:rPr>
            </w:pPr>
            <w:r>
              <w:rPr>
                <w:rFonts w:hint="eastAsia" w:ascii="宋体" w:hAnsi="宋体" w:cs="华文仿宋"/>
                <w:color w:val="auto"/>
                <w:highlight w:val="none"/>
              </w:rPr>
              <w:t>1.12</w:t>
            </w:r>
          </w:p>
        </w:tc>
        <w:tc>
          <w:tcPr>
            <w:tcW w:w="2024" w:type="dxa"/>
            <w:gridSpan w:val="2"/>
            <w:vAlign w:val="center"/>
          </w:tcPr>
          <w:p>
            <w:pPr>
              <w:spacing w:line="360" w:lineRule="exact"/>
              <w:jc w:val="center"/>
              <w:rPr>
                <w:rFonts w:ascii="宋体" w:hAnsi="宋体" w:cs="宋体"/>
                <w:color w:val="auto"/>
                <w:szCs w:val="21"/>
                <w:highlight w:val="none"/>
              </w:rPr>
            </w:pPr>
            <w:r>
              <w:rPr>
                <w:rFonts w:hint="eastAsia" w:ascii="宋体" w:hAnsi="宋体" w:cs="华文仿宋"/>
                <w:color w:val="auto"/>
                <w:highlight w:val="none"/>
              </w:rPr>
              <w:t>偏  离</w:t>
            </w:r>
          </w:p>
        </w:tc>
        <w:tc>
          <w:tcPr>
            <w:tcW w:w="6791" w:type="dxa"/>
            <w:vAlign w:val="center"/>
          </w:tcPr>
          <w:p>
            <w:pPr>
              <w:spacing w:line="360" w:lineRule="exact"/>
              <w:jc w:val="left"/>
              <w:rPr>
                <w:rFonts w:ascii="宋体" w:hAnsi="宋体" w:cs="宋体"/>
                <w:color w:val="auto"/>
                <w:szCs w:val="21"/>
                <w:highlight w:val="none"/>
              </w:rPr>
            </w:pPr>
            <w:r>
              <w:rPr>
                <w:rFonts w:hint="eastAsia" w:ascii="宋体" w:hAnsi="宋体" w:cs="华文仿宋"/>
                <w:color w:val="auto"/>
                <w:highlight w:val="none"/>
              </w:rPr>
              <w:t>重大偏离不允许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914" w:type="dxa"/>
            <w:tcBorders>
              <w:bottom w:val="single" w:color="auto" w:sz="4" w:space="0"/>
            </w:tcBorders>
            <w:vAlign w:val="center"/>
          </w:tcPr>
          <w:p>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 xml:space="preserve">2.1 </w:t>
            </w:r>
          </w:p>
        </w:tc>
        <w:tc>
          <w:tcPr>
            <w:tcW w:w="2024" w:type="dxa"/>
            <w:gridSpan w:val="2"/>
            <w:tcBorders>
              <w:bottom w:val="single" w:color="auto" w:sz="4" w:space="0"/>
            </w:tcBorders>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招标文件、工程量清单及图纸的获取</w:t>
            </w:r>
          </w:p>
        </w:tc>
        <w:tc>
          <w:tcPr>
            <w:tcW w:w="6791" w:type="dxa"/>
            <w:tcBorders>
              <w:bottom w:val="single" w:color="auto" w:sz="4" w:space="0"/>
            </w:tcBorders>
            <w:vAlign w:val="center"/>
          </w:tcPr>
          <w:p>
            <w:pPr>
              <w:autoSpaceDE w:val="0"/>
              <w:autoSpaceDN w:val="0"/>
              <w:adjustRightIn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投标人于投标文件递交截止时间前均可登录《全国公共资源交易平台（河南省·许昌市）》（</w:t>
            </w:r>
            <w:r>
              <w:rPr>
                <w:color w:val="auto"/>
                <w:highlight w:val="none"/>
              </w:rPr>
              <w:fldChar w:fldCharType="begin"/>
            </w:r>
            <w:r>
              <w:rPr>
                <w:color w:val="auto"/>
                <w:highlight w:val="none"/>
              </w:rPr>
              <w:instrText xml:space="preserve"> HYPERLINK "http://ggzy.xuchang.gov.cn" </w:instrText>
            </w:r>
            <w:r>
              <w:rPr>
                <w:color w:val="auto"/>
                <w:highlight w:val="none"/>
              </w:rPr>
              <w:fldChar w:fldCharType="separate"/>
            </w:r>
            <w:r>
              <w:rPr>
                <w:rStyle w:val="52"/>
                <w:rFonts w:hint="eastAsia" w:ascii="宋体" w:hAnsi="宋体" w:cs="宋体"/>
                <w:color w:val="auto"/>
                <w:szCs w:val="21"/>
                <w:highlight w:val="none"/>
              </w:rPr>
              <w:t>http://ggzy.xuchang.gov.cn</w:t>
            </w:r>
            <w:r>
              <w:rPr>
                <w:rStyle w:val="52"/>
                <w:rFonts w:hint="eastAsia" w:ascii="宋体" w:hAnsi="宋体" w:cs="宋体"/>
                <w:color w:val="auto"/>
                <w:szCs w:val="21"/>
                <w:highlight w:val="none"/>
              </w:rPr>
              <w:fldChar w:fldCharType="end"/>
            </w:r>
            <w:r>
              <w:rPr>
                <w:rFonts w:hint="eastAsia" w:ascii="宋体" w:hAnsi="宋体" w:cs="宋体"/>
                <w:color w:val="auto"/>
                <w:szCs w:val="21"/>
                <w:highlight w:val="none"/>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4" w:type="dxa"/>
            <w:tcBorders>
              <w:bottom w:val="single" w:color="auto" w:sz="4" w:space="0"/>
            </w:tcBorders>
            <w:vAlign w:val="center"/>
          </w:tcPr>
          <w:p>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2.1.1</w:t>
            </w:r>
          </w:p>
        </w:tc>
        <w:tc>
          <w:tcPr>
            <w:tcW w:w="2024" w:type="dxa"/>
            <w:gridSpan w:val="2"/>
            <w:tcBorders>
              <w:bottom w:val="single" w:color="auto" w:sz="4" w:space="0"/>
            </w:tcBorders>
            <w:vAlign w:val="center"/>
          </w:tcPr>
          <w:p>
            <w:pPr>
              <w:autoSpaceDE w:val="0"/>
              <w:autoSpaceDN w:val="0"/>
              <w:adjustRightInd w:val="0"/>
              <w:spacing w:line="360" w:lineRule="exact"/>
              <w:jc w:val="center"/>
              <w:rPr>
                <w:rFonts w:ascii="宋体" w:hAnsi="宋体" w:cs="宋体"/>
                <w:color w:val="auto"/>
                <w:spacing w:val="-6"/>
                <w:kern w:val="0"/>
                <w:szCs w:val="21"/>
                <w:highlight w:val="none"/>
              </w:rPr>
            </w:pPr>
            <w:r>
              <w:rPr>
                <w:rFonts w:hint="eastAsia" w:ascii="宋体" w:hAnsi="宋体" w:cs="宋体"/>
                <w:color w:val="auto"/>
                <w:szCs w:val="21"/>
                <w:highlight w:val="none"/>
              </w:rPr>
              <w:t>构成招标文件的其他材料</w:t>
            </w:r>
          </w:p>
        </w:tc>
        <w:tc>
          <w:tcPr>
            <w:tcW w:w="6791" w:type="dxa"/>
            <w:tcBorders>
              <w:bottom w:val="single" w:color="auto" w:sz="4" w:space="0"/>
            </w:tcBorders>
            <w:vAlign w:val="center"/>
          </w:tcPr>
          <w:p>
            <w:pPr>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szCs w:val="21"/>
                <w:highlight w:val="none"/>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4" w:type="dxa"/>
            <w:vAlign w:val="center"/>
          </w:tcPr>
          <w:p>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2.2.1</w:t>
            </w:r>
          </w:p>
        </w:tc>
        <w:tc>
          <w:tcPr>
            <w:tcW w:w="2024" w:type="dxa"/>
            <w:gridSpan w:val="2"/>
            <w:vAlign w:val="center"/>
          </w:tcPr>
          <w:p>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投标人提出异议的截止时间</w:t>
            </w:r>
          </w:p>
        </w:tc>
        <w:tc>
          <w:tcPr>
            <w:tcW w:w="6791" w:type="dxa"/>
            <w:vAlign w:val="center"/>
          </w:tcPr>
          <w:p>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szCs w:val="21"/>
                <w:highlight w:val="none"/>
              </w:rPr>
              <w:t>递交投标文件截止之日10日前，逾期未提出问题的视为投标人已熟知并响应招标文件的内容和要求。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914" w:type="dxa"/>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024" w:type="dxa"/>
            <w:gridSpan w:val="2"/>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6791" w:type="dxa"/>
            <w:vAlign w:val="center"/>
          </w:tcPr>
          <w:p>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通过全国公共资源交易平台（河南省•许昌市）发出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14" w:type="dxa"/>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2.3.1</w:t>
            </w:r>
          </w:p>
        </w:tc>
        <w:tc>
          <w:tcPr>
            <w:tcW w:w="2024" w:type="dxa"/>
            <w:gridSpan w:val="2"/>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招标文件修改发出的形式</w:t>
            </w:r>
          </w:p>
        </w:tc>
        <w:tc>
          <w:tcPr>
            <w:tcW w:w="6791" w:type="dxa"/>
            <w:vAlign w:val="center"/>
          </w:tcPr>
          <w:p>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时间：递交投标文件截止之日15天前</w:t>
            </w:r>
          </w:p>
          <w:p>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形式：通过全国公共资源交易平台（河南省•许昌市）发出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914" w:type="dxa"/>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024" w:type="dxa"/>
            <w:gridSpan w:val="2"/>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投标文件密封形式</w:t>
            </w:r>
          </w:p>
        </w:tc>
        <w:tc>
          <w:tcPr>
            <w:tcW w:w="6791" w:type="dxa"/>
            <w:vAlign w:val="center"/>
          </w:tcPr>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双信封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914" w:type="dxa"/>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024" w:type="dxa"/>
            <w:gridSpan w:val="2"/>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构成投标文件的</w:t>
            </w:r>
          </w:p>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其他材料</w:t>
            </w:r>
          </w:p>
        </w:tc>
        <w:tc>
          <w:tcPr>
            <w:tcW w:w="6791" w:type="dxa"/>
            <w:vAlign w:val="center"/>
          </w:tcPr>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（1）投标人认为其它需要补充的内容</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（2）本项目所发出的补遗书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914" w:type="dxa"/>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3.2.1</w:t>
            </w:r>
          </w:p>
        </w:tc>
        <w:tc>
          <w:tcPr>
            <w:tcW w:w="2024" w:type="dxa"/>
            <w:gridSpan w:val="2"/>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工程量清单的填写方式</w:t>
            </w:r>
          </w:p>
        </w:tc>
        <w:tc>
          <w:tcPr>
            <w:tcW w:w="6791" w:type="dxa"/>
            <w:vAlign w:val="center"/>
          </w:tcPr>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投标人在全国公共资源交易平台（河南省•许昌市）自行下载制作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14" w:type="dxa"/>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3.2.3</w:t>
            </w:r>
          </w:p>
        </w:tc>
        <w:tc>
          <w:tcPr>
            <w:tcW w:w="2024" w:type="dxa"/>
            <w:gridSpan w:val="2"/>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6791" w:type="dxa"/>
            <w:vAlign w:val="center"/>
          </w:tcPr>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914" w:type="dxa"/>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3.2.6</w:t>
            </w:r>
          </w:p>
        </w:tc>
        <w:tc>
          <w:tcPr>
            <w:tcW w:w="2024" w:type="dxa"/>
            <w:gridSpan w:val="2"/>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是否接受调价函</w:t>
            </w:r>
          </w:p>
        </w:tc>
        <w:tc>
          <w:tcPr>
            <w:tcW w:w="6791" w:type="dxa"/>
            <w:vAlign w:val="center"/>
          </w:tcPr>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914" w:type="dxa"/>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3.2.8</w:t>
            </w:r>
          </w:p>
        </w:tc>
        <w:tc>
          <w:tcPr>
            <w:tcW w:w="2024" w:type="dxa"/>
            <w:gridSpan w:val="2"/>
            <w:vAlign w:val="center"/>
          </w:tcPr>
          <w:p>
            <w:pPr>
              <w:autoSpaceDE w:val="0"/>
              <w:autoSpaceDN w:val="0"/>
              <w:adjustRightInd w:val="0"/>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最高投标限价</w:t>
            </w:r>
          </w:p>
        </w:tc>
        <w:tc>
          <w:tcPr>
            <w:tcW w:w="6791" w:type="dxa"/>
            <w:vAlign w:val="center"/>
          </w:tcPr>
          <w:p>
            <w:pPr>
              <w:autoSpaceDE w:val="0"/>
              <w:autoSpaceDN w:val="0"/>
              <w:adjustRightInd w:val="0"/>
              <w:spacing w:line="360" w:lineRule="auto"/>
              <w:jc w:val="left"/>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大写：</w:t>
            </w:r>
            <w:r>
              <w:rPr>
                <w:rFonts w:hint="eastAsia" w:ascii="宋体" w:hAnsi="宋体" w:cs="宋体"/>
                <w:b/>
                <w:bCs/>
                <w:color w:val="auto"/>
                <w:szCs w:val="21"/>
                <w:highlight w:val="none"/>
                <w:lang w:eastAsia="zh-CN"/>
              </w:rPr>
              <w:t>肆佰捌拾柒万伍仟玖佰叁拾柒元整</w:t>
            </w:r>
          </w:p>
          <w:p>
            <w:pPr>
              <w:autoSpaceDE w:val="0"/>
              <w:autoSpaceDN w:val="0"/>
              <w:adjustRightIn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小写：4875937.00元</w:t>
            </w:r>
          </w:p>
          <w:p>
            <w:pPr>
              <w:autoSpaceDE w:val="0"/>
              <w:autoSpaceDN w:val="0"/>
              <w:adjustRightIn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投标人投标总报价不得超过“最高投标限价”，否则该投标人的投标文件作废标处理。</w:t>
            </w:r>
          </w:p>
          <w:p>
            <w:pPr>
              <w:pStyle w:val="2"/>
              <w:spacing w:line="360" w:lineRule="auto"/>
              <w:ind w:firstLine="210"/>
              <w:rPr>
                <w:color w:val="auto"/>
                <w:highlight w:val="none"/>
              </w:rPr>
            </w:pPr>
            <w:r>
              <w:rPr>
                <w:rFonts w:hint="eastAsia"/>
                <w:color w:val="auto"/>
                <w:highlight w:val="none"/>
              </w:rPr>
              <w:t>投标人各清单子目单价报价</w:t>
            </w:r>
            <w:r>
              <w:rPr>
                <w:rFonts w:hint="eastAsia" w:ascii="宋体" w:hAnsi="宋体" w:eastAsia="宋体" w:cs="宋体"/>
                <w:color w:val="auto"/>
                <w:highlight w:val="none"/>
              </w:rPr>
              <w:t>范围应为招标人发布招标报价的105％（含105％）至90％（含90％）之间，不在</w:t>
            </w:r>
            <w:r>
              <w:rPr>
                <w:rFonts w:hint="eastAsia"/>
                <w:color w:val="auto"/>
                <w:highlight w:val="none"/>
              </w:rPr>
              <w:t>该范围的投标人清单报价作为废标处理。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914" w:type="dxa"/>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.2.9</w:t>
            </w:r>
          </w:p>
        </w:tc>
        <w:tc>
          <w:tcPr>
            <w:tcW w:w="2024" w:type="dxa"/>
            <w:gridSpan w:val="2"/>
            <w:vAlign w:val="center"/>
          </w:tcPr>
          <w:p>
            <w:pPr>
              <w:autoSpaceDE w:val="0"/>
              <w:autoSpaceDN w:val="0"/>
              <w:adjustRightInd w:val="0"/>
              <w:spacing w:line="360" w:lineRule="exact"/>
              <w:jc w:val="center"/>
              <w:rPr>
                <w:rFonts w:ascii="宋体" w:hAnsi="宋体" w:cs="宋体"/>
                <w:b/>
                <w:bCs/>
                <w:color w:val="auto"/>
                <w:szCs w:val="21"/>
                <w:highlight w:val="none"/>
              </w:rPr>
            </w:pPr>
            <w:r>
              <w:rPr>
                <w:rFonts w:hint="eastAsia"/>
                <w:color w:val="auto"/>
                <w:szCs w:val="21"/>
                <w:highlight w:val="none"/>
              </w:rPr>
              <w:t>投标报价的其他要求</w:t>
            </w:r>
          </w:p>
        </w:tc>
        <w:tc>
          <w:tcPr>
            <w:tcW w:w="6791" w:type="dxa"/>
            <w:vAlign w:val="center"/>
          </w:tcPr>
          <w:p>
            <w:pPr>
              <w:adjustRightInd w:val="0"/>
              <w:snapToGrid w:val="0"/>
              <w:spacing w:line="360" w:lineRule="auto"/>
              <w:ind w:right="105" w:rightChars="50"/>
              <w:rPr>
                <w:color w:val="auto"/>
                <w:szCs w:val="21"/>
                <w:highlight w:val="none"/>
              </w:rPr>
            </w:pPr>
            <w:r>
              <w:rPr>
                <w:rFonts w:hint="eastAsia"/>
                <w:color w:val="auto"/>
                <w:szCs w:val="21"/>
                <w:highlight w:val="none"/>
              </w:rPr>
              <w:t>1.安全生产费用的确定如下： 按照招标人固化清单中所列金额（固定值）不得修改，如投标人在此基础上增加安全生产费用以满足项目施工需要，则投标人应在本项目工程量清单其他相关子目的单价或总价中予以考虑。</w:t>
            </w:r>
          </w:p>
          <w:p>
            <w:pPr>
              <w:autoSpaceDE w:val="0"/>
              <w:autoSpaceDN w:val="0"/>
              <w:adjustRightInd w:val="0"/>
              <w:spacing w:line="360" w:lineRule="exact"/>
              <w:jc w:val="left"/>
              <w:rPr>
                <w:rFonts w:ascii="宋体" w:hAnsi="宋体" w:cs="宋体"/>
                <w:b/>
                <w:bCs/>
                <w:color w:val="auto"/>
                <w:szCs w:val="21"/>
                <w:highlight w:val="none"/>
              </w:rPr>
            </w:pPr>
            <w:r>
              <w:rPr>
                <w:rFonts w:hint="eastAsia"/>
                <w:color w:val="auto"/>
                <w:szCs w:val="21"/>
                <w:highlight w:val="none"/>
              </w:rPr>
              <w:t>2.保通费用的确定如下：按照招标人固化清单中所列金额（固定值）不得修改。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914" w:type="dxa"/>
            <w:vAlign w:val="center"/>
          </w:tcPr>
          <w:p>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3.3.1</w:t>
            </w:r>
          </w:p>
        </w:tc>
        <w:tc>
          <w:tcPr>
            <w:tcW w:w="2024" w:type="dxa"/>
            <w:gridSpan w:val="2"/>
            <w:vAlign w:val="center"/>
          </w:tcPr>
          <w:p>
            <w:pPr>
              <w:autoSpaceDE w:val="0"/>
              <w:autoSpaceDN w:val="0"/>
              <w:adjustRightInd w:val="0"/>
              <w:spacing w:line="360" w:lineRule="exact"/>
              <w:jc w:val="center"/>
              <w:rPr>
                <w:rFonts w:ascii="宋体" w:hAnsi="宋体" w:cs="宋体"/>
                <w:b/>
                <w:color w:val="auto"/>
                <w:kern w:val="0"/>
                <w:szCs w:val="21"/>
                <w:highlight w:val="none"/>
              </w:rPr>
            </w:pPr>
            <w:r>
              <w:rPr>
                <w:rFonts w:hint="eastAsia" w:ascii="宋体" w:hAnsi="宋体" w:cs="宋体"/>
                <w:color w:val="auto"/>
                <w:szCs w:val="21"/>
                <w:highlight w:val="none"/>
              </w:rPr>
              <w:t>投标有效期</w:t>
            </w:r>
          </w:p>
        </w:tc>
        <w:tc>
          <w:tcPr>
            <w:tcW w:w="6791" w:type="dxa"/>
            <w:vAlign w:val="center"/>
          </w:tcPr>
          <w:p>
            <w:pPr>
              <w:autoSpaceDE w:val="0"/>
              <w:autoSpaceDN w:val="0"/>
              <w:adjustRightInd w:val="0"/>
              <w:spacing w:line="360" w:lineRule="exact"/>
              <w:rPr>
                <w:rFonts w:ascii="宋体" w:hAnsi="宋体" w:cs="宋体"/>
                <w:b/>
                <w:color w:val="auto"/>
                <w:szCs w:val="21"/>
                <w:highlight w:val="none"/>
              </w:rPr>
            </w:pPr>
            <w:r>
              <w:rPr>
                <w:rFonts w:hint="eastAsia" w:ascii="宋体" w:hAnsi="宋体" w:cs="宋体"/>
                <w:color w:val="auto"/>
                <w:szCs w:val="21"/>
                <w:highlight w:val="none"/>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4" w:type="dxa"/>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024" w:type="dxa"/>
            <w:gridSpan w:val="2"/>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投标保证金须知</w:t>
            </w:r>
          </w:p>
        </w:tc>
        <w:tc>
          <w:tcPr>
            <w:tcW w:w="6791" w:type="dxa"/>
            <w:vAlign w:val="center"/>
          </w:tcPr>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1、因投标人的原因无法及时退还投标（竞买）保证金、滞留三年以上的，投标（竞买）保证金上缴财政。</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基本户备案流程：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4、特殊情况处理：</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投标人投标过程中因账户开户银行、银行账号发生变化，不能按照来款途径原路返还投标保证金的，投标人须提供原账户开户银行相关证明及新开账户开户许可证，</w:t>
            </w:r>
            <w:r>
              <w:rPr>
                <w:rFonts w:hint="eastAsia" w:ascii="宋体" w:hAnsi="宋体" w:cs="宋体"/>
                <w:color w:val="auto"/>
                <w:szCs w:val="21"/>
                <w:highlight w:val="none"/>
                <w:lang w:val="zh-CN"/>
              </w:rPr>
              <w:t>到禹州市政府采购监督管理办公室办理退款手续（0374-</w:t>
            </w:r>
            <w:r>
              <w:rPr>
                <w:rFonts w:hint="eastAsia" w:ascii="宋体" w:hAnsi="宋体" w:cs="宋体"/>
                <w:color w:val="auto"/>
                <w:szCs w:val="21"/>
                <w:highlight w:val="none"/>
              </w:rPr>
              <w:t>8112523</w:t>
            </w:r>
            <w:r>
              <w:rPr>
                <w:rFonts w:hint="eastAsia" w:ascii="宋体" w:hAnsi="宋体" w:cs="宋体"/>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9" w:hRule="atLeast"/>
          <w:jc w:val="center"/>
        </w:trPr>
        <w:tc>
          <w:tcPr>
            <w:tcW w:w="914" w:type="dxa"/>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024" w:type="dxa"/>
            <w:gridSpan w:val="2"/>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hAnsi="宋体" w:cs="仿宋_GB2312"/>
                <w:color w:val="auto"/>
                <w:sz w:val="24"/>
                <w:highlight w:val="none"/>
              </w:rPr>
              <w:t>投标保证金</w:t>
            </w:r>
          </w:p>
        </w:tc>
        <w:tc>
          <w:tcPr>
            <w:tcW w:w="6791" w:type="dxa"/>
            <w:vAlign w:val="center"/>
          </w:tcPr>
          <w:p>
            <w:pPr>
              <w:autoSpaceDE w:val="0"/>
              <w:autoSpaceDN w:val="0"/>
              <w:adjustRightIn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投标保证金递交截止时间：</w:t>
            </w:r>
            <w:r>
              <w:rPr>
                <w:rFonts w:hint="eastAsia" w:ascii="宋体" w:hAnsi="宋体" w:cs="宋体"/>
                <w:color w:val="auto"/>
                <w:szCs w:val="21"/>
                <w:highlight w:val="none"/>
              </w:rPr>
              <w:t>同投标截止时间</w:t>
            </w:r>
            <w:r>
              <w:rPr>
                <w:rFonts w:hint="eastAsia" w:ascii="宋体" w:hAnsi="宋体" w:cs="宋体"/>
                <w:b/>
                <w:bCs/>
                <w:color w:val="auto"/>
                <w:szCs w:val="21"/>
                <w:highlight w:val="none"/>
              </w:rPr>
              <w:t>。</w:t>
            </w:r>
          </w:p>
          <w:p>
            <w:pPr>
              <w:autoSpaceDE w:val="0"/>
              <w:autoSpaceDN w:val="0"/>
              <w:adjustRightInd w:val="0"/>
              <w:spacing w:line="360" w:lineRule="exact"/>
              <w:jc w:val="left"/>
              <w:rPr>
                <w:color w:val="auto"/>
                <w:highlight w:val="none"/>
              </w:rPr>
            </w:pPr>
            <w:r>
              <w:rPr>
                <w:rFonts w:hint="eastAsia" w:ascii="宋体" w:hAnsi="宋体" w:cs="宋体"/>
                <w:b/>
                <w:bCs/>
                <w:color w:val="auto"/>
                <w:szCs w:val="21"/>
                <w:highlight w:val="none"/>
              </w:rPr>
              <w:t>金额：</w:t>
            </w:r>
            <w:r>
              <w:rPr>
                <w:rFonts w:hint="eastAsia" w:ascii="宋体" w:hAnsi="宋体" w:cs="宋体"/>
                <w:b/>
                <w:bCs/>
                <w:color w:val="auto"/>
                <w:szCs w:val="21"/>
                <w:highlight w:val="none"/>
                <w:lang w:eastAsia="zh-CN"/>
              </w:rPr>
              <w:t>大写：玖万元整</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90000.00</w:t>
            </w:r>
            <w:r>
              <w:rPr>
                <w:rFonts w:hint="eastAsia" w:ascii="宋体" w:hAnsi="宋体" w:cs="宋体"/>
                <w:b/>
                <w:bCs/>
                <w:color w:val="auto"/>
                <w:szCs w:val="21"/>
                <w:highlight w:val="none"/>
              </w:rPr>
              <w:t>元）；</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2、投标保证金缴纳方式：</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2.1投标人网上报名后，登录</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Fonts w:hint="eastAsia" w:ascii="宋体" w:hAnsi="宋体" w:cs="宋体"/>
                <w:color w:val="auto"/>
                <w:szCs w:val="21"/>
                <w:highlight w:val="none"/>
              </w:rPr>
              <w:t>http://221.14.6.70:8088/ggzy</w:t>
            </w:r>
            <w:r>
              <w:rPr>
                <w:rFonts w:hint="eastAsia" w:ascii="宋体" w:hAnsi="宋体" w:cs="宋体"/>
                <w:color w:val="auto"/>
                <w:szCs w:val="21"/>
                <w:highlight w:val="none"/>
              </w:rPr>
              <w:fldChar w:fldCharType="end"/>
            </w:r>
            <w:r>
              <w:rPr>
                <w:rFonts w:hint="eastAsia" w:ascii="宋体" w:hAnsi="宋体" w:cs="宋体"/>
                <w:color w:val="auto"/>
                <w:szCs w:val="21"/>
                <w:highlight w:val="none"/>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2.2成功缴纳后重新登录前述系统，依次点击“会员向导”→“参与投标”→“保证金绑定”→“绑定”进行投标保证金绑定。</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2.3 投标人要严格按照“保证金缴纳说明单”内容缴纳、成功绑定投标保证金，未绑定标段的投标保证金，视为未按时交纳。并将缴纳凭证“</w:t>
            </w:r>
            <w:r>
              <w:rPr>
                <w:rFonts w:hint="eastAsia" w:ascii="宋体" w:hAnsi="宋体" w:cs="宋体"/>
                <w:color w:val="auto"/>
                <w:szCs w:val="21"/>
                <w:highlight w:val="none"/>
                <w:lang w:val="zh-CN"/>
              </w:rPr>
              <w:t>许昌公共资源交易中心</w:t>
            </w:r>
            <w:r>
              <w:rPr>
                <w:rFonts w:hint="eastAsia" w:ascii="宋体" w:hAnsi="宋体" w:cs="宋体"/>
                <w:color w:val="auto"/>
                <w:szCs w:val="21"/>
                <w:highlight w:val="none"/>
              </w:rPr>
              <w:t>保证金缴纳回执”附于投标文件中，同时在开标现场提供一份，以备查询。</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2.4 每个投标人每个项目每个标段只有唯一缴纳账号，切勿重复缴纳或错误缴纳。</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3、未按上述规定操作引起的无效投标，由投标人自行负责。</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4、汇款凭证无须备注项目编号和项目名称。</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5、出现以下情形造成的投标保证金无效，由投标人自行负责。</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(1)投标保证金未从投标人的基本账户转出；</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(2)投标保证金未按照招标文件划分的标段依次转账。</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6、《保证金缴纳绑定操作指南》获取方法：</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登录全国公共资源交易平台（河南省▪许昌市）系统-组件下载-《保证金缴纳绑定操作指南》</w:t>
            </w:r>
          </w:p>
          <w:p>
            <w:pPr>
              <w:tabs>
                <w:tab w:val="left" w:pos="1373"/>
              </w:tabs>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4" w:type="dxa"/>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3.4.3</w:t>
            </w:r>
          </w:p>
        </w:tc>
        <w:tc>
          <w:tcPr>
            <w:tcW w:w="2024" w:type="dxa"/>
            <w:gridSpan w:val="2"/>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投标保证金的利息</w:t>
            </w:r>
          </w:p>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计算原则</w:t>
            </w:r>
          </w:p>
        </w:tc>
        <w:tc>
          <w:tcPr>
            <w:tcW w:w="6791" w:type="dxa"/>
            <w:vAlign w:val="center"/>
          </w:tcPr>
          <w:p>
            <w:pPr>
              <w:autoSpaceDE w:val="0"/>
              <w:autoSpaceDN w:val="0"/>
              <w:adjustRightInd w:val="0"/>
              <w:spacing w:line="36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14" w:type="dxa"/>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w:t>
            </w:r>
          </w:p>
        </w:tc>
        <w:tc>
          <w:tcPr>
            <w:tcW w:w="2024" w:type="dxa"/>
            <w:gridSpan w:val="2"/>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资格审查资料的特殊要求</w:t>
            </w:r>
          </w:p>
        </w:tc>
        <w:tc>
          <w:tcPr>
            <w:tcW w:w="6791" w:type="dxa"/>
            <w:vAlign w:val="center"/>
          </w:tcPr>
          <w:p>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4" w:type="dxa"/>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3.5.2</w:t>
            </w:r>
          </w:p>
        </w:tc>
        <w:tc>
          <w:tcPr>
            <w:tcW w:w="2024" w:type="dxa"/>
            <w:gridSpan w:val="2"/>
            <w:vAlign w:val="bottom"/>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近年财务状况的年份要求</w:t>
            </w:r>
          </w:p>
        </w:tc>
        <w:tc>
          <w:tcPr>
            <w:tcW w:w="6791" w:type="dxa"/>
            <w:vAlign w:val="center"/>
          </w:tcPr>
          <w:p>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近年（指</w:t>
            </w:r>
            <w:r>
              <w:rPr>
                <w:rFonts w:hint="eastAsia" w:ascii="宋体" w:hAnsi="宋体" w:cs="宋体"/>
                <w:color w:val="auto"/>
                <w:szCs w:val="21"/>
                <w:highlight w:val="none"/>
                <w:lang w:val="en-US" w:eastAsia="zh-CN"/>
              </w:rPr>
              <w:t>2016年度、</w:t>
            </w:r>
            <w:r>
              <w:rPr>
                <w:rFonts w:hint="eastAsia" w:ascii="宋体" w:hAnsi="宋体" w:cs="宋体"/>
                <w:color w:val="auto"/>
                <w:szCs w:val="21"/>
                <w:highlight w:val="none"/>
              </w:rPr>
              <w:t>2017年度、2018年度）（若公司成立未满两年，需提供从成立至今的年度财务状况，以营业执照注册时间为准）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14" w:type="dxa"/>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3.5.3</w:t>
            </w:r>
          </w:p>
        </w:tc>
        <w:tc>
          <w:tcPr>
            <w:tcW w:w="2024" w:type="dxa"/>
            <w:gridSpan w:val="2"/>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近年完成的类似项目情况的时间要求</w:t>
            </w:r>
          </w:p>
        </w:tc>
        <w:tc>
          <w:tcPr>
            <w:tcW w:w="6791" w:type="dxa"/>
            <w:vAlign w:val="center"/>
          </w:tcPr>
          <w:p>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近年，指2014年8月1日至今；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14" w:type="dxa"/>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3.6.1</w:t>
            </w:r>
          </w:p>
        </w:tc>
        <w:tc>
          <w:tcPr>
            <w:tcW w:w="2024" w:type="dxa"/>
            <w:gridSpan w:val="2"/>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6791" w:type="dxa"/>
            <w:vAlign w:val="center"/>
          </w:tcPr>
          <w:p>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4" w:type="dxa"/>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3.7.3</w:t>
            </w:r>
          </w:p>
        </w:tc>
        <w:tc>
          <w:tcPr>
            <w:tcW w:w="2024" w:type="dxa"/>
            <w:gridSpan w:val="2"/>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投标文件份数及其他要求</w:t>
            </w:r>
          </w:p>
        </w:tc>
        <w:tc>
          <w:tcPr>
            <w:tcW w:w="6791" w:type="dxa"/>
            <w:vAlign w:val="center"/>
          </w:tcPr>
          <w:p>
            <w:pPr>
              <w:autoSpaceDE w:val="0"/>
              <w:autoSpaceDN w:val="0"/>
              <w:adjustRightInd w:val="0"/>
              <w:spacing w:line="360" w:lineRule="exact"/>
              <w:jc w:val="left"/>
              <w:rPr>
                <w:color w:val="auto"/>
                <w:highlight w:val="none"/>
              </w:rPr>
            </w:pPr>
            <w:r>
              <w:rPr>
                <w:rFonts w:hint="eastAsia"/>
                <w:color w:val="auto"/>
                <w:highlight w:val="none"/>
              </w:rPr>
              <w:t>1、电子投标文件</w:t>
            </w:r>
          </w:p>
          <w:p>
            <w:pPr>
              <w:autoSpaceDE w:val="0"/>
              <w:autoSpaceDN w:val="0"/>
              <w:adjustRightInd w:val="0"/>
              <w:spacing w:line="360" w:lineRule="exact"/>
              <w:jc w:val="left"/>
              <w:rPr>
                <w:color w:val="auto"/>
                <w:highlight w:val="none"/>
              </w:rPr>
            </w:pPr>
            <w:r>
              <w:rPr>
                <w:rFonts w:hint="eastAsia"/>
                <w:color w:val="auto"/>
                <w:highlight w:val="none"/>
              </w:rPr>
              <w:t>（1）成功上传至《全国公共资源交易平台（河南省·许昌市）》公共资源交易系统电子投标文件1份（文件格式为：XX公司XXX项目编号XXX标段.file）。</w:t>
            </w:r>
          </w:p>
          <w:p>
            <w:pPr>
              <w:autoSpaceDE w:val="0"/>
              <w:autoSpaceDN w:val="0"/>
              <w:adjustRightInd w:val="0"/>
              <w:spacing w:line="360" w:lineRule="exact"/>
              <w:jc w:val="left"/>
              <w:rPr>
                <w:color w:val="auto"/>
                <w:highlight w:val="none"/>
              </w:rPr>
            </w:pPr>
            <w:r>
              <w:rPr>
                <w:rFonts w:hint="eastAsia"/>
                <w:color w:val="auto"/>
                <w:highlight w:val="none"/>
              </w:rPr>
              <w:t>（2）使用电子介质存储（U盘）的投标文件文件格式为：xxx公司XXX（项目编号）.bin）（所提交的电子介质储存的投标文件需将第一信封1份单独密封和第二信封1份单独密封且每份电子介质储存的投标文件需包括本阶段投标文件的全部内容）。</w:t>
            </w:r>
          </w:p>
          <w:p>
            <w:pPr>
              <w:autoSpaceDE w:val="0"/>
              <w:autoSpaceDN w:val="0"/>
              <w:adjustRightInd w:val="0"/>
              <w:spacing w:line="360" w:lineRule="exact"/>
              <w:jc w:val="left"/>
              <w:rPr>
                <w:color w:val="auto"/>
                <w:highlight w:val="none"/>
              </w:rPr>
            </w:pPr>
            <w:r>
              <w:rPr>
                <w:rFonts w:hint="eastAsia"/>
                <w:color w:val="auto"/>
                <w:highlight w:val="none"/>
              </w:rPr>
              <w:t>2、纸质投标文件：正本1份，副本</w:t>
            </w:r>
            <w:r>
              <w:rPr>
                <w:color w:val="auto"/>
                <w:highlight w:val="none"/>
              </w:rPr>
              <w:t>4</w:t>
            </w:r>
            <w:r>
              <w:rPr>
                <w:rFonts w:hint="eastAsia"/>
                <w:color w:val="auto"/>
                <w:highlight w:val="none"/>
              </w:rPr>
              <w:t xml:space="preserve">份。 </w:t>
            </w:r>
          </w:p>
          <w:p>
            <w:pPr>
              <w:autoSpaceDE w:val="0"/>
              <w:autoSpaceDN w:val="0"/>
              <w:adjustRightInd w:val="0"/>
              <w:spacing w:line="360" w:lineRule="exact"/>
              <w:jc w:val="left"/>
              <w:rPr>
                <w:color w:val="auto"/>
                <w:highlight w:val="none"/>
              </w:rPr>
            </w:pPr>
            <w:r>
              <w:rPr>
                <w:rFonts w:hint="eastAsia"/>
                <w:color w:val="auto"/>
                <w:highlight w:val="none"/>
              </w:rPr>
              <w:t>3、电子投标文件和纸质投标文件的内容、格式、水印码、电子签章应一致。</w:t>
            </w:r>
          </w:p>
          <w:p>
            <w:pPr>
              <w:autoSpaceDE w:val="0"/>
              <w:autoSpaceDN w:val="0"/>
              <w:adjustRightInd w:val="0"/>
              <w:spacing w:line="360" w:lineRule="exact"/>
              <w:jc w:val="left"/>
              <w:rPr>
                <w:rFonts w:hAnsi="宋体" w:cs="TimesNewRomanPSMT"/>
                <w:b/>
                <w:bCs/>
                <w:color w:val="auto"/>
                <w:szCs w:val="21"/>
                <w:highlight w:val="none"/>
              </w:rPr>
            </w:pPr>
            <w:r>
              <w:rPr>
                <w:rFonts w:hint="eastAsia"/>
                <w:color w:val="auto"/>
                <w:highlight w:val="none"/>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4" w:type="dxa"/>
            <w:vAlign w:val="center"/>
          </w:tcPr>
          <w:p>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4.1.2</w:t>
            </w:r>
          </w:p>
        </w:tc>
        <w:tc>
          <w:tcPr>
            <w:tcW w:w="2024" w:type="dxa"/>
            <w:gridSpan w:val="2"/>
            <w:vAlign w:val="center"/>
          </w:tcPr>
          <w:p>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投标文件</w:t>
            </w:r>
            <w:r>
              <w:rPr>
                <w:rFonts w:hint="eastAsia" w:ascii="宋体" w:hAnsi="宋体" w:cs="宋体"/>
                <w:color w:val="auto"/>
                <w:kern w:val="0"/>
                <w:szCs w:val="21"/>
                <w:highlight w:val="none"/>
              </w:rPr>
              <w:t>封套上应载明的信息</w:t>
            </w:r>
          </w:p>
        </w:tc>
        <w:tc>
          <w:tcPr>
            <w:tcW w:w="6791" w:type="dxa"/>
            <w:vAlign w:val="center"/>
          </w:tcPr>
          <w:p>
            <w:pPr>
              <w:autoSpaceDE w:val="0"/>
              <w:autoSpaceDN w:val="0"/>
              <w:adjustRightInd w:val="0"/>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投标文件第一个信封（商务及技术文件）封套：</w:t>
            </w:r>
          </w:p>
          <w:p>
            <w:pPr>
              <w:autoSpaceDE w:val="0"/>
              <w:autoSpaceDN w:val="0"/>
              <w:adjustRightInd w:val="0"/>
              <w:spacing w:line="360" w:lineRule="exact"/>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rPr>
              <w:t xml:space="preserve">                           </w:t>
            </w:r>
          </w:p>
          <w:p>
            <w:pPr>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（项目名称）招标第一个信封</w:t>
            </w:r>
          </w:p>
          <w:p>
            <w:pPr>
              <w:autoSpaceDE w:val="0"/>
              <w:autoSpaceDN w:val="0"/>
              <w:adjustRightInd w:val="0"/>
              <w:spacing w:line="360" w:lineRule="exact"/>
              <w:ind w:firstLine="630" w:firstLineChars="300"/>
              <w:jc w:val="left"/>
              <w:rPr>
                <w:rFonts w:ascii="宋体" w:hAnsi="宋体" w:cs="宋体"/>
                <w:color w:val="auto"/>
                <w:kern w:val="0"/>
                <w:szCs w:val="21"/>
                <w:highlight w:val="none"/>
              </w:rPr>
            </w:pPr>
            <w:r>
              <w:rPr>
                <w:rFonts w:hint="eastAsia" w:ascii="宋体" w:hAnsi="宋体" w:cs="宋体"/>
                <w:color w:val="auto"/>
                <w:kern w:val="0"/>
                <w:szCs w:val="21"/>
                <w:highlight w:val="none"/>
              </w:rPr>
              <w:t>（商务及技术文件）投标文件</w:t>
            </w:r>
          </w:p>
          <w:p>
            <w:pPr>
              <w:autoSpaceDE w:val="0"/>
              <w:autoSpaceDN w:val="0"/>
              <w:adjustRightInd w:val="0"/>
              <w:spacing w:line="360" w:lineRule="exact"/>
              <w:ind w:firstLine="1890" w:firstLineChars="900"/>
              <w:jc w:val="left"/>
              <w:rPr>
                <w:rFonts w:ascii="宋体" w:hAnsi="宋体" w:cs="宋体"/>
                <w:color w:val="auto"/>
                <w:kern w:val="0"/>
                <w:szCs w:val="21"/>
                <w:highlight w:val="none"/>
              </w:rPr>
            </w:pPr>
            <w:r>
              <w:rPr>
                <w:rFonts w:hint="eastAsia" w:ascii="宋体" w:hAnsi="宋体" w:cs="宋体"/>
                <w:color w:val="auto"/>
                <w:kern w:val="0"/>
                <w:szCs w:val="21"/>
                <w:highlight w:val="none"/>
              </w:rPr>
              <w:t>电子版/纸质版</w:t>
            </w:r>
          </w:p>
          <w:p>
            <w:pPr>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招标项目编号：</w:t>
            </w:r>
            <w:r>
              <w:rPr>
                <w:rFonts w:hint="eastAsia" w:ascii="宋体" w:hAnsi="宋体" w:cs="宋体"/>
                <w:color w:val="auto"/>
                <w:kern w:val="0"/>
                <w:szCs w:val="21"/>
                <w:highlight w:val="none"/>
                <w:u w:val="single"/>
              </w:rPr>
              <w:t xml:space="preserve">                         </w:t>
            </w:r>
          </w:p>
          <w:p>
            <w:pPr>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在2019年   月  日   时   分前不得开启（投标截止时间）</w:t>
            </w:r>
          </w:p>
          <w:p>
            <w:pPr>
              <w:autoSpaceDE w:val="0"/>
              <w:autoSpaceDN w:val="0"/>
              <w:adjustRightInd w:val="0"/>
              <w:spacing w:line="360" w:lineRule="exact"/>
              <w:jc w:val="left"/>
              <w:rPr>
                <w:rFonts w:ascii="宋体" w:hAnsi="宋体" w:cs="宋体"/>
                <w:color w:val="auto"/>
                <w:kern w:val="0"/>
                <w:szCs w:val="21"/>
                <w:highlight w:val="none"/>
              </w:rPr>
            </w:pPr>
          </w:p>
          <w:p>
            <w:pPr>
              <w:autoSpaceDE w:val="0"/>
              <w:autoSpaceDN w:val="0"/>
              <w:adjustRightInd w:val="0"/>
              <w:spacing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投标文件第二个信封（</w:t>
            </w:r>
            <w:bookmarkStart w:id="15" w:name="_Hlk17709277"/>
            <w:r>
              <w:rPr>
                <w:rFonts w:hint="eastAsia" w:ascii="宋体" w:hAnsi="宋体" w:cs="宋体"/>
                <w:b/>
                <w:bCs/>
                <w:color w:val="auto"/>
                <w:kern w:val="0"/>
                <w:szCs w:val="21"/>
                <w:highlight w:val="none"/>
              </w:rPr>
              <w:t>报价文件</w:t>
            </w:r>
            <w:bookmarkEnd w:id="15"/>
            <w:r>
              <w:rPr>
                <w:rFonts w:hint="eastAsia" w:ascii="宋体" w:hAnsi="宋体" w:cs="宋体"/>
                <w:b/>
                <w:bCs/>
                <w:color w:val="auto"/>
                <w:kern w:val="0"/>
                <w:szCs w:val="21"/>
                <w:highlight w:val="none"/>
              </w:rPr>
              <w:t>）封套：</w:t>
            </w:r>
          </w:p>
          <w:p>
            <w:pPr>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rPr>
              <w:t xml:space="preserve">                           </w:t>
            </w:r>
          </w:p>
          <w:p>
            <w:pPr>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（项目名称）招标第二个信封</w:t>
            </w:r>
          </w:p>
          <w:p>
            <w:pPr>
              <w:autoSpaceDE w:val="0"/>
              <w:autoSpaceDN w:val="0"/>
              <w:adjustRightInd w:val="0"/>
              <w:spacing w:line="360" w:lineRule="exact"/>
              <w:ind w:firstLine="1050" w:firstLineChars="500"/>
              <w:jc w:val="left"/>
              <w:rPr>
                <w:rFonts w:ascii="宋体" w:hAnsi="宋体" w:cs="宋体"/>
                <w:color w:val="auto"/>
                <w:kern w:val="0"/>
                <w:szCs w:val="21"/>
                <w:highlight w:val="none"/>
              </w:rPr>
            </w:pPr>
            <w:r>
              <w:rPr>
                <w:rFonts w:hint="eastAsia" w:ascii="宋体" w:hAnsi="宋体" w:cs="宋体"/>
                <w:color w:val="auto"/>
                <w:kern w:val="0"/>
                <w:szCs w:val="21"/>
                <w:highlight w:val="none"/>
              </w:rPr>
              <w:t>（报价文件）投标文件</w:t>
            </w:r>
          </w:p>
          <w:p>
            <w:pPr>
              <w:autoSpaceDE w:val="0"/>
              <w:autoSpaceDN w:val="0"/>
              <w:adjustRightInd w:val="0"/>
              <w:spacing w:line="360" w:lineRule="exact"/>
              <w:ind w:firstLine="1890" w:firstLineChars="900"/>
              <w:jc w:val="left"/>
              <w:rPr>
                <w:rFonts w:ascii="宋体" w:hAnsi="宋体" w:cs="宋体"/>
                <w:color w:val="auto"/>
                <w:kern w:val="0"/>
                <w:szCs w:val="21"/>
                <w:highlight w:val="none"/>
              </w:rPr>
            </w:pPr>
            <w:r>
              <w:rPr>
                <w:rFonts w:hint="eastAsia" w:ascii="宋体" w:hAnsi="宋体" w:cs="宋体"/>
                <w:color w:val="auto"/>
                <w:kern w:val="0"/>
                <w:szCs w:val="21"/>
                <w:highlight w:val="none"/>
              </w:rPr>
              <w:t>电子版/纸质版</w:t>
            </w:r>
          </w:p>
          <w:p>
            <w:pPr>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招标项目编号：</w:t>
            </w:r>
            <w:r>
              <w:rPr>
                <w:rFonts w:hint="eastAsia" w:ascii="宋体" w:hAnsi="宋体" w:cs="宋体"/>
                <w:color w:val="auto"/>
                <w:kern w:val="0"/>
                <w:szCs w:val="21"/>
                <w:highlight w:val="none"/>
                <w:u w:val="single"/>
              </w:rPr>
              <w:t xml:space="preserve">                         </w:t>
            </w:r>
          </w:p>
          <w:p>
            <w:pPr>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在投标文件第二个信封（</w:t>
            </w:r>
            <w:r>
              <w:rPr>
                <w:rFonts w:hint="eastAsia" w:ascii="宋体" w:hAnsi="宋体" w:cs="宋体"/>
                <w:b/>
                <w:bCs/>
                <w:color w:val="auto"/>
                <w:kern w:val="0"/>
                <w:szCs w:val="21"/>
                <w:highlight w:val="none"/>
              </w:rPr>
              <w:t>报价文件</w:t>
            </w:r>
            <w:r>
              <w:rPr>
                <w:rFonts w:hint="eastAsia" w:ascii="宋体" w:hAnsi="宋体" w:cs="宋体"/>
                <w:color w:val="auto"/>
                <w:kern w:val="0"/>
                <w:szCs w:val="21"/>
                <w:highlight w:val="none"/>
              </w:rPr>
              <w:t>）开标前不得开启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4" w:type="dxa"/>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4.2.1</w:t>
            </w:r>
          </w:p>
        </w:tc>
        <w:tc>
          <w:tcPr>
            <w:tcW w:w="2024" w:type="dxa"/>
            <w:gridSpan w:val="2"/>
            <w:vAlign w:val="center"/>
          </w:tcPr>
          <w:p>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投标截止时间</w:t>
            </w:r>
          </w:p>
        </w:tc>
        <w:tc>
          <w:tcPr>
            <w:tcW w:w="6791" w:type="dxa"/>
            <w:vAlign w:val="center"/>
          </w:tcPr>
          <w:p>
            <w:pPr>
              <w:autoSpaceDE w:val="0"/>
              <w:autoSpaceDN w:val="0"/>
              <w:adjustRightInd w:val="0"/>
              <w:spacing w:line="360" w:lineRule="exact"/>
              <w:jc w:val="left"/>
              <w:rPr>
                <w:rFonts w:ascii="宋体" w:hAnsi="宋体" w:cs="宋体"/>
                <w:b/>
                <w:bCs/>
                <w:color w:val="auto"/>
                <w:kern w:val="0"/>
                <w:szCs w:val="21"/>
                <w:highlight w:val="none"/>
              </w:rPr>
            </w:pPr>
            <w:r>
              <w:rPr>
                <w:rFonts w:hint="eastAsia" w:ascii="宋体" w:hAnsi="宋体" w:cs="宋体"/>
                <w:b/>
                <w:bCs/>
                <w:color w:val="auto"/>
                <w:szCs w:val="21"/>
                <w:highlight w:val="none"/>
              </w:rPr>
              <w:t>2019年</w:t>
            </w:r>
            <w:r>
              <w:rPr>
                <w:rFonts w:hint="eastAsia" w:ascii="宋体" w:hAnsi="宋体" w:cs="宋体"/>
                <w:b/>
                <w:bCs/>
                <w:color w:val="auto"/>
                <w:szCs w:val="21"/>
                <w:highlight w:val="none"/>
                <w:lang w:val="en-US" w:eastAsia="zh-CN"/>
              </w:rPr>
              <w:t>11</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日</w:t>
            </w:r>
            <w:r>
              <w:rPr>
                <w:rFonts w:hint="eastAsia" w:ascii="宋体" w:hAnsi="宋体" w:cs="宋体"/>
                <w:b/>
                <w:bCs/>
                <w:color w:val="auto"/>
                <w:szCs w:val="21"/>
                <w:highlight w:val="none"/>
                <w:lang w:val="en-US" w:eastAsia="zh-CN"/>
              </w:rPr>
              <w:t>08</w:t>
            </w:r>
            <w:r>
              <w:rPr>
                <w:rFonts w:hint="eastAsia" w:ascii="宋体" w:hAnsi="宋体" w:cs="宋体"/>
                <w:b/>
                <w:bCs/>
                <w:color w:val="auto"/>
                <w:szCs w:val="21"/>
                <w:highlight w:val="none"/>
              </w:rPr>
              <w:t>时</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14" w:type="dxa"/>
            <w:vAlign w:val="center"/>
          </w:tcPr>
          <w:p>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4.2.3</w:t>
            </w:r>
          </w:p>
        </w:tc>
        <w:tc>
          <w:tcPr>
            <w:tcW w:w="2024" w:type="dxa"/>
            <w:gridSpan w:val="2"/>
            <w:vAlign w:val="center"/>
          </w:tcPr>
          <w:p>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是否退还投标文件</w:t>
            </w:r>
          </w:p>
        </w:tc>
        <w:tc>
          <w:tcPr>
            <w:tcW w:w="6791" w:type="dxa"/>
            <w:vAlign w:val="center"/>
          </w:tcPr>
          <w:p>
            <w:pPr>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14" w:type="dxa"/>
            <w:vAlign w:val="center"/>
          </w:tcPr>
          <w:p>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5.1</w:t>
            </w:r>
          </w:p>
        </w:tc>
        <w:tc>
          <w:tcPr>
            <w:tcW w:w="2024" w:type="dxa"/>
            <w:gridSpan w:val="2"/>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6791" w:type="dxa"/>
            <w:vAlign w:val="center"/>
          </w:tcPr>
          <w:p>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投标文件第一个信封（商务及技术文件）</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开标时间：同投标截止时间</w:t>
            </w:r>
          </w:p>
          <w:p>
            <w:pPr>
              <w:autoSpaceDE w:val="0"/>
              <w:autoSpaceDN w:val="0"/>
              <w:adjustRightInd w:val="0"/>
              <w:spacing w:line="360" w:lineRule="exact"/>
              <w:jc w:val="left"/>
              <w:rPr>
                <w:color w:val="auto"/>
                <w:highlight w:val="none"/>
              </w:rPr>
            </w:pPr>
            <w:r>
              <w:rPr>
                <w:rFonts w:hint="eastAsia" w:ascii="宋体" w:hAnsi="宋体" w:cs="宋体"/>
                <w:color w:val="auto"/>
                <w:szCs w:val="21"/>
                <w:highlight w:val="none"/>
              </w:rPr>
              <w:t>开标地点：同递交投标文件地点</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投标文件第二个信封（</w:t>
            </w:r>
            <w:r>
              <w:rPr>
                <w:rFonts w:hint="eastAsia" w:ascii="宋体" w:hAnsi="宋体" w:cs="宋体"/>
                <w:b/>
                <w:bCs/>
                <w:color w:val="auto"/>
                <w:kern w:val="0"/>
                <w:szCs w:val="21"/>
                <w:highlight w:val="none"/>
              </w:rPr>
              <w:t>报价文件</w:t>
            </w:r>
            <w:r>
              <w:rPr>
                <w:rFonts w:hint="eastAsia" w:ascii="宋体" w:hAnsi="宋体" w:cs="宋体"/>
                <w:color w:val="auto"/>
                <w:szCs w:val="21"/>
                <w:highlight w:val="none"/>
              </w:rPr>
              <w:t>）</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开标时间：商务及技术文件评审结束后</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4" w:type="dxa"/>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5.2.1</w:t>
            </w:r>
          </w:p>
        </w:tc>
        <w:tc>
          <w:tcPr>
            <w:tcW w:w="2024" w:type="dxa"/>
            <w:gridSpan w:val="2"/>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第一个信封</w:t>
            </w:r>
          </w:p>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 xml:space="preserve">（商务及技术文件） </w:t>
            </w:r>
          </w:p>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开标程序</w:t>
            </w:r>
          </w:p>
        </w:tc>
        <w:tc>
          <w:tcPr>
            <w:tcW w:w="6791" w:type="dxa"/>
            <w:vAlign w:val="center"/>
          </w:tcPr>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见招标文件第二章  投标人须知第5.2条</w:t>
            </w:r>
            <w:r>
              <w:rPr>
                <w:rFonts w:hint="eastAsia" w:ascii="宋体" w:hAnsi="宋体" w:cs="宋体"/>
                <w:color w:val="auto"/>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4" w:type="dxa"/>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5.2.3</w:t>
            </w:r>
          </w:p>
        </w:tc>
        <w:tc>
          <w:tcPr>
            <w:tcW w:w="2024" w:type="dxa"/>
            <w:gridSpan w:val="2"/>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第二个信封（报价文件）开标程序</w:t>
            </w:r>
          </w:p>
        </w:tc>
        <w:tc>
          <w:tcPr>
            <w:tcW w:w="6791" w:type="dxa"/>
            <w:vAlign w:val="center"/>
          </w:tcPr>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见招标文件第二章  投标人须知第5.2条</w:t>
            </w:r>
            <w:r>
              <w:rPr>
                <w:rFonts w:hint="eastAsia" w:ascii="宋体" w:hAnsi="宋体" w:cs="宋体"/>
                <w:color w:val="auto"/>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4" w:type="dxa"/>
            <w:vAlign w:val="center"/>
          </w:tcPr>
          <w:p>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 xml:space="preserve">6.1.1 </w:t>
            </w:r>
          </w:p>
        </w:tc>
        <w:tc>
          <w:tcPr>
            <w:tcW w:w="2024" w:type="dxa"/>
            <w:gridSpan w:val="2"/>
            <w:vAlign w:val="center"/>
          </w:tcPr>
          <w:p>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评标委员会的组建</w:t>
            </w:r>
          </w:p>
        </w:tc>
        <w:tc>
          <w:tcPr>
            <w:tcW w:w="6791" w:type="dxa"/>
            <w:vAlign w:val="center"/>
          </w:tcPr>
          <w:p>
            <w:pPr>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评标委员会构成：由业主代表1人和从河南省综合评标专家库中随机抽取的经济、技术类专家4人，共5人组成评标委员会。</w:t>
            </w:r>
          </w:p>
          <w:p>
            <w:pPr>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评标专家确定方式：保证金名单解密后进行评标专家抽取，在评标专家抽取时设置回避事项。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4" w:type="dxa"/>
            <w:vAlign w:val="center"/>
          </w:tcPr>
          <w:p>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6.3.2</w:t>
            </w:r>
          </w:p>
        </w:tc>
        <w:tc>
          <w:tcPr>
            <w:tcW w:w="2024" w:type="dxa"/>
            <w:gridSpan w:val="2"/>
            <w:vAlign w:val="center"/>
          </w:tcPr>
          <w:p>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评标委员会推荐中标候选人的人数</w:t>
            </w:r>
          </w:p>
        </w:tc>
        <w:tc>
          <w:tcPr>
            <w:tcW w:w="6791" w:type="dxa"/>
            <w:vAlign w:val="center"/>
          </w:tcPr>
          <w:p>
            <w:pPr>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szCs w:val="21"/>
                <w:highlight w:val="none"/>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14" w:type="dxa"/>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2024" w:type="dxa"/>
            <w:gridSpan w:val="2"/>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中标候选人公示</w:t>
            </w:r>
          </w:p>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媒介及期限</w:t>
            </w:r>
          </w:p>
        </w:tc>
        <w:tc>
          <w:tcPr>
            <w:tcW w:w="6791" w:type="dxa"/>
            <w:vAlign w:val="center"/>
          </w:tcPr>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公示媒介：《全国公共资源交易平台（河南省•许昌市）》和《河南省电子招标投标公共服务平台》</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公示期限：不少于</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日</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公示的其他内容：/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4" w:type="dxa"/>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7.4</w:t>
            </w:r>
          </w:p>
        </w:tc>
        <w:tc>
          <w:tcPr>
            <w:tcW w:w="2024" w:type="dxa"/>
            <w:gridSpan w:val="2"/>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791" w:type="dxa"/>
            <w:vAlign w:val="center"/>
          </w:tcPr>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4" w:type="dxa"/>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7.5</w:t>
            </w:r>
          </w:p>
        </w:tc>
        <w:tc>
          <w:tcPr>
            <w:tcW w:w="2024" w:type="dxa"/>
            <w:gridSpan w:val="2"/>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中标通知书发出的形式</w:t>
            </w:r>
          </w:p>
        </w:tc>
        <w:tc>
          <w:tcPr>
            <w:tcW w:w="6791" w:type="dxa"/>
            <w:vAlign w:val="center"/>
          </w:tcPr>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4" w:type="dxa"/>
            <w:vAlign w:val="center"/>
          </w:tcPr>
          <w:p>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7.7.1</w:t>
            </w:r>
          </w:p>
        </w:tc>
        <w:tc>
          <w:tcPr>
            <w:tcW w:w="2024" w:type="dxa"/>
            <w:gridSpan w:val="2"/>
            <w:vAlign w:val="center"/>
          </w:tcPr>
          <w:p>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履约保证金</w:t>
            </w:r>
          </w:p>
        </w:tc>
        <w:tc>
          <w:tcPr>
            <w:tcW w:w="6791" w:type="dxa"/>
            <w:vAlign w:val="center"/>
          </w:tcPr>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要求，履约保证金的形式：银行保函或现金、支票形式</w:t>
            </w:r>
          </w:p>
          <w:p>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履约保证金的金</w:t>
            </w:r>
            <w:r>
              <w:rPr>
                <w:rFonts w:hint="eastAsia" w:ascii="宋体" w:hAnsi="宋体" w:cs="宋体"/>
                <w:b w:val="0"/>
                <w:bCs w:val="0"/>
                <w:color w:val="auto"/>
                <w:szCs w:val="21"/>
                <w:highlight w:val="none"/>
              </w:rPr>
              <w:t xml:space="preserve">额：中标价的10% </w:t>
            </w:r>
          </w:p>
          <w:p>
            <w:pPr>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szCs w:val="21"/>
                <w:highlight w:val="none"/>
              </w:rPr>
              <w:t>履约保证金的缴纳时间：签订合同前缴纳，否则视为中标候选人原因，自动放弃中标资格，招标人按规定没收其投标保证金，给招标人造成的损失超过投标保证金数额的，中标人还应当对超过部分予以赔偿。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729" w:type="dxa"/>
            <w:gridSpan w:val="4"/>
            <w:vAlign w:val="center"/>
          </w:tcPr>
          <w:p>
            <w:pPr>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szCs w:val="21"/>
                <w:highlight w:val="none"/>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914"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10.1</w:t>
            </w:r>
          </w:p>
        </w:tc>
        <w:tc>
          <w:tcPr>
            <w:tcW w:w="1732"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关于不平衡的报价</w:t>
            </w:r>
          </w:p>
        </w:tc>
        <w:tc>
          <w:tcPr>
            <w:tcW w:w="7083" w:type="dxa"/>
            <w:gridSpan w:val="2"/>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严禁出现不平衡报价。评标委员会有权对投标报价和工程量清单进行单价分析。在评标中，评标委员会若发现投标人以低于成本报价竞标，其投标文件按废标处理。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914"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10.2</w:t>
            </w:r>
          </w:p>
        </w:tc>
        <w:tc>
          <w:tcPr>
            <w:tcW w:w="1732"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不良行为记录</w:t>
            </w:r>
          </w:p>
        </w:tc>
        <w:tc>
          <w:tcPr>
            <w:tcW w:w="7083" w:type="dxa"/>
            <w:gridSpan w:val="2"/>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914" w:type="dxa"/>
            <w:vAlign w:val="center"/>
          </w:tcPr>
          <w:p>
            <w:pPr>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10.3</w:t>
            </w:r>
          </w:p>
        </w:tc>
        <w:tc>
          <w:tcPr>
            <w:tcW w:w="1732" w:type="dxa"/>
            <w:vAlign w:val="center"/>
          </w:tcPr>
          <w:p>
            <w:pPr>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投标人代表出席开标会</w:t>
            </w:r>
          </w:p>
        </w:tc>
        <w:tc>
          <w:tcPr>
            <w:tcW w:w="7083" w:type="dxa"/>
            <w:gridSpan w:val="2"/>
            <w:vAlign w:val="center"/>
          </w:tcPr>
          <w:p>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开标时各投标人的法定代表人或授权委托人持身份证及授权委托书原件，到开标现场签到，缺席或逾期不到者视为放弃。各投标单位参加会议人数不得多于三人。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4" w:type="dxa"/>
            <w:vAlign w:val="center"/>
          </w:tcPr>
          <w:p>
            <w:pPr>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10.4</w:t>
            </w:r>
          </w:p>
        </w:tc>
        <w:tc>
          <w:tcPr>
            <w:tcW w:w="1732" w:type="dxa"/>
            <w:vAlign w:val="center"/>
          </w:tcPr>
          <w:p>
            <w:pPr>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知识产权</w:t>
            </w:r>
          </w:p>
        </w:tc>
        <w:tc>
          <w:tcPr>
            <w:tcW w:w="7083" w:type="dxa"/>
            <w:gridSpan w:val="2"/>
            <w:vAlign w:val="center"/>
          </w:tcPr>
          <w:p>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914" w:type="dxa"/>
            <w:vAlign w:val="center"/>
          </w:tcPr>
          <w:p>
            <w:pPr>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10.5</w:t>
            </w:r>
          </w:p>
        </w:tc>
        <w:tc>
          <w:tcPr>
            <w:tcW w:w="1732" w:type="dxa"/>
            <w:vAlign w:val="center"/>
          </w:tcPr>
          <w:p>
            <w:pPr>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7083" w:type="dxa"/>
            <w:gridSpan w:val="2"/>
            <w:vAlign w:val="center"/>
          </w:tcPr>
          <w:p>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构成本招标文件的各个组成文件应互为解释，互为说明；</w:t>
            </w:r>
          </w:p>
          <w:p>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1、如有不明确或不一致，构成合同文件组成内容，以合同文件约定内容为准，且以专用合同条款约定的合同文件优先顺序解释；</w:t>
            </w:r>
          </w:p>
          <w:p>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2、除招标文件中有特别规定外，仅适用于招标投标阶段的规定，按招标公告（投标邀请书）、投标人须知、评标办法、投标文件格式的先后顺序解释；</w:t>
            </w:r>
          </w:p>
          <w:p>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3、同一组成文件中就同一事项的规定或约定不一致的，以编排顺序在后者为准；</w:t>
            </w:r>
          </w:p>
          <w:p>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4、同一组成文件不同版本之间有不一致的，以形成时间在后者为准。</w:t>
            </w:r>
          </w:p>
          <w:p>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914" w:type="dxa"/>
            <w:vAlign w:val="center"/>
          </w:tcPr>
          <w:p>
            <w:pPr>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10.6</w:t>
            </w:r>
          </w:p>
        </w:tc>
        <w:tc>
          <w:tcPr>
            <w:tcW w:w="1732" w:type="dxa"/>
            <w:vAlign w:val="center"/>
          </w:tcPr>
          <w:p>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投标文件的拒收</w:t>
            </w:r>
          </w:p>
        </w:tc>
        <w:tc>
          <w:tcPr>
            <w:tcW w:w="7083" w:type="dxa"/>
            <w:gridSpan w:val="2"/>
            <w:vAlign w:val="center"/>
          </w:tcPr>
          <w:p>
            <w:pPr>
              <w:numPr>
                <w:ilvl w:val="0"/>
                <w:numId w:val="7"/>
              </w:numPr>
              <w:autoSpaceDE w:val="0"/>
              <w:autoSpaceDN w:val="0"/>
              <w:adjustRightInd w:val="0"/>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逾期送达的或者未按招标文件要求密封的纸质投标文件及仅提供纸质投标文件的，招标人不予受理。</w:t>
            </w:r>
          </w:p>
          <w:p>
            <w:pPr>
              <w:autoSpaceDE w:val="0"/>
              <w:autoSpaceDN w:val="0"/>
              <w:adjustRightInd w:val="0"/>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2、投标文件未按招标文件要求密封的；</w:t>
            </w:r>
          </w:p>
          <w:p>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、未按招标文件要求缴纳投标保证金的</w:t>
            </w:r>
          </w:p>
          <w:p>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、开标时法定代表人或其授权委托人（持有效的授权委托书）未携带本人身份证到开标现场并签到的。</w:t>
            </w:r>
          </w:p>
          <w:p>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、未通过《全国公共资源交易平台（河南省▪许昌市）》系统下载招标文件的。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4"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10.6</w:t>
            </w:r>
          </w:p>
        </w:tc>
        <w:tc>
          <w:tcPr>
            <w:tcW w:w="1732" w:type="dxa"/>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特别提示</w:t>
            </w:r>
          </w:p>
        </w:tc>
        <w:tc>
          <w:tcPr>
            <w:tcW w:w="7083" w:type="dxa"/>
            <w:gridSpan w:val="2"/>
            <w:vAlign w:val="center"/>
          </w:tcPr>
          <w:p>
            <w:pPr>
              <w:snapToGrid w:val="0"/>
              <w:spacing w:line="360" w:lineRule="exact"/>
              <w:rPr>
                <w:rFonts w:ascii="宋体" w:hAnsi="宋体" w:cs="宋体"/>
                <w:color w:val="auto"/>
                <w:spacing w:val="-4"/>
                <w:szCs w:val="21"/>
                <w:highlight w:val="none"/>
              </w:rPr>
            </w:pPr>
            <w:r>
              <w:rPr>
                <w:rFonts w:hint="eastAsia" w:ascii="宋体" w:hAnsi="宋体" w:cs="宋体"/>
                <w:color w:val="auto"/>
                <w:spacing w:val="-4"/>
                <w:szCs w:val="21"/>
                <w:highlight w:val="none"/>
              </w:rPr>
              <w:t>1、潜在投标人应仔细阅读招标文件、工程量清单，若发现工程量清单中项目特征描述错误等，请在规定时间内在《全国公共资源交易平台（河南省·许昌市）》公共资源交易系统中提出。若投标人未提出异议，视为投标总价已经包含了为完成对应工程总量的全部工程价款，即便项目实施过程中发现招标工程量清单存在错项、漏项，竣工结算不再调整。</w:t>
            </w:r>
          </w:p>
          <w:p>
            <w:pPr>
              <w:snapToGrid w:val="0"/>
              <w:spacing w:line="360" w:lineRule="exact"/>
              <w:rPr>
                <w:rFonts w:ascii="宋体" w:hAnsi="宋体" w:cs="宋体"/>
                <w:color w:val="auto"/>
                <w:spacing w:val="-4"/>
                <w:szCs w:val="21"/>
                <w:highlight w:val="none"/>
              </w:rPr>
            </w:pPr>
            <w:r>
              <w:rPr>
                <w:rFonts w:hint="eastAsia" w:ascii="宋体" w:hAnsi="宋体" w:cs="宋体"/>
                <w:color w:val="auto"/>
                <w:spacing w:val="-4"/>
                <w:szCs w:val="21"/>
                <w:highlight w:val="none"/>
              </w:rPr>
              <w:t>2、潜在投标人如对招标文件有异议，请在规定时间内在《全国公共资源交易平台（河南省·许昌市）》公共资源交易系统中提出，以其他方式递交的异议不予接受。</w:t>
            </w:r>
          </w:p>
          <w:p>
            <w:pPr>
              <w:snapToGrid w:val="0"/>
              <w:spacing w:line="360" w:lineRule="exact"/>
              <w:rPr>
                <w:rFonts w:ascii="宋体" w:hAnsi="宋体" w:cs="宋体"/>
                <w:color w:val="auto"/>
                <w:spacing w:val="-4"/>
                <w:szCs w:val="21"/>
                <w:highlight w:val="none"/>
              </w:rPr>
            </w:pPr>
            <w:r>
              <w:rPr>
                <w:rFonts w:hint="eastAsia" w:ascii="宋体" w:hAnsi="宋体" w:cs="宋体"/>
                <w:color w:val="auto"/>
                <w:spacing w:val="-4"/>
                <w:szCs w:val="21"/>
                <w:highlight w:val="none"/>
              </w:rPr>
              <w:t>3、投标人在投标截止时间前应随时关注《全国公共资源交易平台（河南省·许昌市）》公共资源交易系统发出的有关本项目的答疑、修改等相关内容。</w:t>
            </w:r>
          </w:p>
          <w:p>
            <w:pPr>
              <w:snapToGrid w:val="0"/>
              <w:spacing w:line="360" w:lineRule="exact"/>
              <w:rPr>
                <w:rFonts w:ascii="宋体" w:hAnsi="宋体" w:cs="宋体"/>
                <w:color w:val="auto"/>
                <w:spacing w:val="-4"/>
                <w:szCs w:val="21"/>
                <w:highlight w:val="none"/>
              </w:rPr>
            </w:pPr>
            <w:r>
              <w:rPr>
                <w:rFonts w:hint="eastAsia" w:ascii="宋体" w:hAnsi="宋体" w:cs="宋体"/>
                <w:color w:val="auto"/>
                <w:spacing w:val="-4"/>
                <w:szCs w:val="21"/>
                <w:highlight w:val="none"/>
              </w:rPr>
              <w:t>4、本项目试行全流程电子化交易，如因系统异常情况无法完成，将以人工方式进行。</w:t>
            </w:r>
          </w:p>
          <w:p>
            <w:pPr>
              <w:snapToGrid w:val="0"/>
              <w:spacing w:line="360" w:lineRule="exact"/>
              <w:rPr>
                <w:rFonts w:ascii="宋体" w:hAnsi="宋体" w:cs="宋体"/>
                <w:color w:val="auto"/>
                <w:spacing w:val="-4"/>
                <w:szCs w:val="21"/>
                <w:highlight w:val="none"/>
              </w:rPr>
            </w:pPr>
            <w:r>
              <w:rPr>
                <w:rFonts w:hint="eastAsia" w:ascii="宋体" w:hAnsi="宋体" w:cs="宋体"/>
                <w:color w:val="auto"/>
                <w:spacing w:val="-4"/>
                <w:szCs w:val="21"/>
                <w:highlight w:val="none"/>
              </w:rPr>
              <w:t>5、投标文件依据最终的招标文件进行编制。如果招标文件发生变更，投标人应以招标人最终发出的电子招标文件为准，编制投标文件，务请投标人随时关注项目变更信息。</w:t>
            </w:r>
          </w:p>
          <w:p>
            <w:pPr>
              <w:snapToGrid w:val="0"/>
              <w:spacing w:line="360" w:lineRule="exact"/>
              <w:rPr>
                <w:rFonts w:ascii="宋体" w:hAnsi="宋体" w:cs="宋体"/>
                <w:color w:val="auto"/>
                <w:spacing w:val="-4"/>
                <w:szCs w:val="21"/>
                <w:highlight w:val="none"/>
              </w:rPr>
            </w:pPr>
            <w:r>
              <w:rPr>
                <w:rFonts w:hint="eastAsia" w:ascii="宋体" w:hAnsi="宋体" w:cs="宋体"/>
                <w:color w:val="auto"/>
                <w:spacing w:val="-4"/>
                <w:szCs w:val="21"/>
                <w:highlight w:val="none"/>
              </w:rPr>
              <w:t>6、投标人电子投标文件成功提交后，应打印“投标文件提交回执单”，供开标现场备查。</w:t>
            </w:r>
          </w:p>
          <w:p>
            <w:pPr>
              <w:snapToGrid w:val="0"/>
              <w:spacing w:line="360" w:lineRule="exact"/>
              <w:rPr>
                <w:rFonts w:ascii="宋体" w:hAnsi="宋体" w:cs="宋体"/>
                <w:color w:val="auto"/>
                <w:spacing w:val="-4"/>
                <w:szCs w:val="21"/>
                <w:highlight w:val="none"/>
              </w:rPr>
            </w:pPr>
            <w:r>
              <w:rPr>
                <w:rFonts w:hint="eastAsia" w:ascii="宋体" w:hAnsi="宋体" w:cs="宋体"/>
                <w:color w:val="auto"/>
                <w:spacing w:val="-4"/>
                <w:szCs w:val="21"/>
                <w:highlight w:val="none"/>
              </w:rPr>
              <w:t>7、商务标投标文件制作注意事项：</w:t>
            </w:r>
          </w:p>
          <w:p>
            <w:pPr>
              <w:snapToGrid w:val="0"/>
              <w:spacing w:line="360" w:lineRule="exact"/>
              <w:rPr>
                <w:rFonts w:ascii="宋体" w:hAnsi="宋体" w:cs="宋体"/>
                <w:color w:val="auto"/>
                <w:spacing w:val="-4"/>
                <w:szCs w:val="21"/>
                <w:highlight w:val="none"/>
              </w:rPr>
            </w:pPr>
            <w:r>
              <w:rPr>
                <w:rFonts w:hint="eastAsia" w:ascii="宋体" w:hAnsi="宋体" w:cs="宋体"/>
                <w:color w:val="auto"/>
                <w:spacing w:val="-4"/>
                <w:szCs w:val="21"/>
                <w:highlight w:val="none"/>
              </w:rPr>
              <w:t>7.1 投标人登录《全国公共资源交易平台（河南省·许昌市）》公共资源交易系统下载“许昌投标文件制作系统SEARUN V1.1” ，按招标文件要求制作投标文件。</w:t>
            </w:r>
          </w:p>
          <w:p>
            <w:pPr>
              <w:snapToGrid w:val="0"/>
              <w:spacing w:line="360" w:lineRule="exact"/>
              <w:rPr>
                <w:rFonts w:ascii="宋体" w:hAnsi="宋体" w:cs="宋体"/>
                <w:color w:val="auto"/>
                <w:spacing w:val="-4"/>
                <w:szCs w:val="21"/>
                <w:highlight w:val="none"/>
              </w:rPr>
            </w:pPr>
            <w:r>
              <w:rPr>
                <w:rFonts w:hint="eastAsia" w:ascii="宋体" w:hAnsi="宋体" w:cs="宋体"/>
                <w:color w:val="auto"/>
                <w:spacing w:val="-4"/>
                <w:szCs w:val="21"/>
                <w:highlight w:val="none"/>
              </w:rPr>
              <w:t>7.2 商务标投标文件制作技术咨询：0374-2961598。</w:t>
            </w:r>
          </w:p>
          <w:p>
            <w:pPr>
              <w:snapToGrid w:val="0"/>
              <w:spacing w:line="360" w:lineRule="exact"/>
              <w:rPr>
                <w:rFonts w:ascii="宋体" w:hAnsi="宋体" w:cs="宋体"/>
                <w:color w:val="auto"/>
                <w:szCs w:val="21"/>
                <w:highlight w:val="none"/>
              </w:rPr>
            </w:pPr>
            <w:r>
              <w:rPr>
                <w:rFonts w:hint="eastAsia" w:ascii="宋体" w:hAnsi="宋体" w:cs="宋体"/>
                <w:color w:val="auto"/>
                <w:spacing w:val="-4"/>
                <w:szCs w:val="21"/>
                <w:highlight w:val="none"/>
              </w:rPr>
              <w:t>7.3投标文件第一个信封（商务及技术文件）不得出现有关投标报价的金额，否则评标委员会将对投标文件第一个信封（商务及技术文件）作废标处理。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4" w:type="dxa"/>
            <w:vAlign w:val="center"/>
          </w:tcPr>
          <w:p>
            <w:pPr>
              <w:adjustRightInd w:val="0"/>
              <w:snapToGrid w:val="0"/>
              <w:spacing w:line="360" w:lineRule="exact"/>
              <w:ind w:left="105" w:leftChars="50" w:right="105" w:rightChars="50"/>
              <w:jc w:val="center"/>
              <w:rPr>
                <w:rFonts w:ascii="宋体" w:hAnsi="宋体" w:cs="宋体"/>
                <w:color w:val="auto"/>
                <w:szCs w:val="21"/>
                <w:highlight w:val="none"/>
              </w:rPr>
            </w:pPr>
            <w:r>
              <w:rPr>
                <w:rFonts w:hint="eastAsia" w:ascii="宋体" w:hAnsi="宋体" w:cs="宋体"/>
                <w:color w:val="auto"/>
                <w:szCs w:val="21"/>
                <w:highlight w:val="none"/>
              </w:rPr>
              <w:t>10.7</w:t>
            </w:r>
          </w:p>
        </w:tc>
        <w:tc>
          <w:tcPr>
            <w:tcW w:w="8815" w:type="dxa"/>
            <w:gridSpan w:val="3"/>
            <w:vAlign w:val="center"/>
          </w:tcPr>
          <w:p>
            <w:pPr>
              <w:adjustRightInd w:val="0"/>
              <w:snapToGrid w:val="0"/>
              <w:spacing w:line="360" w:lineRule="exact"/>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投标人对评标过程中提供的材料负责，如提供伪造材料未能识别，中标后经调查后发现，将取消中标资格，并将该信息提交给相关部门列入诚信体系。</w:t>
            </w:r>
          </w:p>
        </w:tc>
      </w:tr>
    </w:tbl>
    <w:p>
      <w:pPr>
        <w:pStyle w:val="2"/>
        <w:ind w:firstLine="0" w:firstLineChars="0"/>
        <w:rPr>
          <w:rFonts w:ascii="宋体" w:hAnsi="宋体" w:cs="宋体"/>
          <w:b/>
          <w:color w:val="auto"/>
          <w:szCs w:val="21"/>
          <w:highlight w:val="none"/>
        </w:rPr>
      </w:pPr>
      <w:bookmarkStart w:id="16" w:name="_Toc453076493"/>
      <w:bookmarkStart w:id="17" w:name="_Toc244935163"/>
      <w:bookmarkStart w:id="18" w:name="_Toc244934194"/>
    </w:p>
    <w:p>
      <w:pPr>
        <w:pStyle w:val="2"/>
        <w:ind w:firstLine="211"/>
        <w:rPr>
          <w:rFonts w:ascii="宋体" w:hAnsi="宋体" w:cs="宋体"/>
          <w:b/>
          <w:color w:val="auto"/>
          <w:szCs w:val="21"/>
          <w:highlight w:val="none"/>
        </w:rPr>
      </w:pPr>
    </w:p>
    <w:p>
      <w:pPr>
        <w:pStyle w:val="4"/>
        <w:rPr>
          <w:rFonts w:ascii="宋体" w:hAnsi="宋体" w:cs="宋体"/>
          <w:b/>
          <w:color w:val="auto"/>
          <w:szCs w:val="21"/>
          <w:highlight w:val="none"/>
        </w:rPr>
      </w:pPr>
    </w:p>
    <w:p>
      <w:pPr>
        <w:pStyle w:val="4"/>
        <w:rPr>
          <w:rFonts w:ascii="宋体" w:hAnsi="宋体" w:cs="宋体"/>
          <w:b/>
          <w:color w:val="auto"/>
          <w:szCs w:val="21"/>
          <w:highlight w:val="none"/>
        </w:rPr>
      </w:pPr>
    </w:p>
    <w:p>
      <w:pPr>
        <w:pStyle w:val="4"/>
        <w:rPr>
          <w:rFonts w:ascii="宋体" w:hAnsi="宋体" w:cs="宋体"/>
          <w:b/>
          <w:color w:val="auto"/>
          <w:szCs w:val="21"/>
          <w:highlight w:val="none"/>
        </w:rPr>
      </w:pPr>
    </w:p>
    <w:p>
      <w:pPr>
        <w:tabs>
          <w:tab w:val="right" w:leader="dot" w:pos="8295"/>
        </w:tabs>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附录</w:t>
      </w:r>
      <w:r>
        <w:rPr>
          <w:rFonts w:hint="eastAsia" w:ascii="宋体" w:hAnsi="宋体" w:cs="宋体"/>
          <w:b/>
          <w:color w:val="auto"/>
          <w:spacing w:val="-71"/>
          <w:szCs w:val="21"/>
          <w:highlight w:val="none"/>
        </w:rPr>
        <w:t xml:space="preserve"> </w:t>
      </w:r>
      <w:r>
        <w:rPr>
          <w:rFonts w:hint="eastAsia" w:ascii="宋体" w:hAnsi="宋体" w:cs="宋体"/>
          <w:b/>
          <w:color w:val="auto"/>
          <w:szCs w:val="21"/>
          <w:highlight w:val="none"/>
        </w:rPr>
        <w:t>1 资格审查条件（资质最低要求）</w:t>
      </w:r>
    </w:p>
    <w:tbl>
      <w:tblPr>
        <w:tblStyle w:val="47"/>
        <w:tblW w:w="9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exact"/>
          <w:jc w:val="center"/>
        </w:trPr>
        <w:tc>
          <w:tcPr>
            <w:tcW w:w="9620"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4" w:hRule="atLeast"/>
          <w:jc w:val="center"/>
        </w:trPr>
        <w:tc>
          <w:tcPr>
            <w:tcW w:w="9620" w:type="dxa"/>
            <w:vAlign w:val="center"/>
          </w:tcPr>
          <w:p>
            <w:pPr>
              <w:pStyle w:val="44"/>
              <w:spacing w:before="120" w:beforeLines="50" w:beforeAutospacing="0" w:after="0" w:afterAutospacing="0" w:line="360" w:lineRule="auto"/>
              <w:ind w:firstLine="420" w:firstLineChars="200"/>
              <w:contextualSpacing/>
              <w:jc w:val="both"/>
              <w:rPr>
                <w:color w:val="auto"/>
                <w:sz w:val="21"/>
                <w:szCs w:val="21"/>
                <w:highlight w:val="none"/>
              </w:rPr>
            </w:pPr>
            <w:r>
              <w:rPr>
                <w:rFonts w:hint="eastAsia"/>
                <w:color w:val="auto"/>
                <w:sz w:val="21"/>
                <w:szCs w:val="21"/>
                <w:highlight w:val="none"/>
              </w:rPr>
              <w:t>1、营业执照：具有在中华人民共和国境内注册的独立企业法人营业执照（在有效期内）。</w:t>
            </w:r>
          </w:p>
          <w:p>
            <w:pPr>
              <w:pStyle w:val="44"/>
              <w:spacing w:before="0" w:beforeAutospacing="0" w:after="0" w:afterAutospacing="0" w:line="360" w:lineRule="auto"/>
              <w:ind w:firstLine="420" w:firstLineChars="200"/>
              <w:contextualSpacing/>
              <w:jc w:val="both"/>
              <w:rPr>
                <w:color w:val="auto"/>
                <w:spacing w:val="1"/>
                <w:sz w:val="21"/>
                <w:szCs w:val="21"/>
                <w:highlight w:val="none"/>
              </w:rPr>
            </w:pPr>
            <w:r>
              <w:rPr>
                <w:rFonts w:hint="eastAsia"/>
                <w:color w:val="auto"/>
                <w:sz w:val="21"/>
                <w:szCs w:val="21"/>
                <w:highlight w:val="none"/>
              </w:rPr>
              <w:t>2、资质要求：</w:t>
            </w:r>
            <w:r>
              <w:rPr>
                <w:rFonts w:hint="eastAsia"/>
                <w:color w:val="auto"/>
                <w:sz w:val="21"/>
                <w:szCs w:val="21"/>
                <w:highlight w:val="none"/>
              </w:rPr>
              <w:t>须具有</w:t>
            </w:r>
            <w:r>
              <w:rPr>
                <w:rFonts w:hint="eastAsia"/>
                <w:color w:val="auto"/>
                <w:sz w:val="21"/>
                <w:szCs w:val="21"/>
                <w:highlight w:val="none"/>
                <w:lang w:val="en-US" w:eastAsia="zh-CN"/>
              </w:rPr>
              <w:t>建设行政主管部门核发的公路工程施工总承包三级及以上资质，或具有交通运输部门批准的公路养护工程一类（甲级）资质，施工总承包资质必须具有有效的安全生产许可证。</w:t>
            </w:r>
            <w:r>
              <w:rPr>
                <w:rFonts w:hint="eastAsia"/>
                <w:b/>
                <w:bCs/>
                <w:color w:val="auto"/>
                <w:sz w:val="21"/>
                <w:szCs w:val="21"/>
                <w:highlight w:val="none"/>
              </w:rPr>
              <w:t>【以原件扫描件或图片为准】</w:t>
            </w:r>
          </w:p>
        </w:tc>
      </w:tr>
    </w:tbl>
    <w:p>
      <w:pPr>
        <w:pStyle w:val="2"/>
        <w:ind w:firstLine="210"/>
        <w:rPr>
          <w:color w:val="auto"/>
          <w:highlight w:val="none"/>
        </w:rPr>
      </w:pPr>
    </w:p>
    <w:p>
      <w:pPr>
        <w:tabs>
          <w:tab w:val="right" w:leader="dot" w:pos="8295"/>
        </w:tabs>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附录2资格审查条件（财务最低要求要求）</w:t>
      </w:r>
    </w:p>
    <w:tbl>
      <w:tblPr>
        <w:tblStyle w:val="47"/>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3" w:hRule="exact"/>
          <w:jc w:val="center"/>
        </w:trPr>
        <w:tc>
          <w:tcPr>
            <w:tcW w:w="9560" w:type="dxa"/>
            <w:vAlign w:val="center"/>
          </w:tcPr>
          <w:p>
            <w:pPr>
              <w:tabs>
                <w:tab w:val="right" w:leader="dot" w:pos="8295"/>
              </w:tabs>
              <w:adjustRightInd w:val="0"/>
              <w:snapToGrid w:val="0"/>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3" w:hRule="atLeast"/>
          <w:jc w:val="center"/>
        </w:trPr>
        <w:tc>
          <w:tcPr>
            <w:tcW w:w="9560" w:type="dxa"/>
            <w:vAlign w:val="center"/>
          </w:tcPr>
          <w:p>
            <w:pPr>
              <w:tabs>
                <w:tab w:val="right" w:leader="dot" w:pos="8295"/>
              </w:tabs>
              <w:adjustRightInd w:val="0"/>
              <w:snapToGrid w:val="0"/>
              <w:spacing w:line="360" w:lineRule="exact"/>
              <w:ind w:firstLine="420" w:firstLineChars="200"/>
              <w:rPr>
                <w:rFonts w:ascii="宋体" w:hAnsi="宋体" w:cs="宋体"/>
                <w:bCs/>
                <w:color w:val="auto"/>
                <w:szCs w:val="21"/>
                <w:highlight w:val="none"/>
              </w:rPr>
            </w:pPr>
            <w:r>
              <w:rPr>
                <w:rFonts w:hint="eastAsia" w:ascii="宋体" w:hAnsi="宋体"/>
                <w:color w:val="auto"/>
                <w:highlight w:val="none"/>
              </w:rPr>
              <w:t>投标人应提交</w:t>
            </w:r>
            <w:r>
              <w:rPr>
                <w:rFonts w:hint="eastAsia" w:ascii="宋体" w:hAnsi="宋体"/>
                <w:color w:val="auto"/>
                <w:highlight w:val="none"/>
                <w:lang w:val="en-US" w:eastAsia="zh-CN"/>
              </w:rPr>
              <w:t>2016年度、</w:t>
            </w:r>
            <w:r>
              <w:rPr>
                <w:rFonts w:hint="eastAsia" w:ascii="宋体" w:hAnsi="宋体"/>
                <w:color w:val="auto"/>
                <w:highlight w:val="none"/>
              </w:rPr>
              <w:t>2017年度、2018年度(</w:t>
            </w:r>
            <w:r>
              <w:rPr>
                <w:rFonts w:hint="eastAsia" w:ascii="宋体" w:hAnsi="宋体"/>
                <w:bCs/>
                <w:color w:val="auto"/>
                <w:highlight w:val="none"/>
              </w:rPr>
              <w:t>若公司成立未满两年，须提供成立当年至今的财务审计报告</w:t>
            </w:r>
            <w:r>
              <w:rPr>
                <w:rFonts w:hint="eastAsia" w:ascii="宋体" w:hAnsi="宋体"/>
                <w:color w:val="auto"/>
                <w:highlight w:val="none"/>
              </w:rPr>
              <w:t>。证明投标人的财务状况良好，财务无亏损，没有被接管、冻结、破产状态；必要时，业主将向投标人的开户银行进行查询。</w:t>
            </w:r>
            <w:r>
              <w:rPr>
                <w:rFonts w:hint="eastAsia" w:cs="宋体"/>
                <w:b/>
                <w:bCs/>
                <w:color w:val="auto"/>
                <w:szCs w:val="21"/>
                <w:highlight w:val="none"/>
              </w:rPr>
              <w:t>【以原件扫描件或图片为准】</w:t>
            </w:r>
          </w:p>
        </w:tc>
      </w:tr>
    </w:tbl>
    <w:p>
      <w:pPr>
        <w:pStyle w:val="2"/>
        <w:ind w:firstLine="210"/>
        <w:rPr>
          <w:color w:val="auto"/>
          <w:highlight w:val="none"/>
        </w:rPr>
      </w:pPr>
    </w:p>
    <w:p>
      <w:pPr>
        <w:tabs>
          <w:tab w:val="right" w:leader="dot" w:pos="8295"/>
        </w:tabs>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附录3 资格审查条件（</w:t>
      </w:r>
      <w:r>
        <w:rPr>
          <w:rFonts w:hint="eastAsia" w:ascii="宋体" w:hAnsi="宋体" w:cs="宋体"/>
          <w:b/>
          <w:color w:val="auto"/>
          <w:szCs w:val="21"/>
          <w:highlight w:val="none"/>
          <w:lang w:eastAsia="zh-CN"/>
        </w:rPr>
        <w:t>企业</w:t>
      </w:r>
      <w:r>
        <w:rPr>
          <w:rFonts w:hint="eastAsia" w:ascii="宋体" w:hAnsi="宋体" w:cs="宋体"/>
          <w:b/>
          <w:color w:val="auto"/>
          <w:szCs w:val="21"/>
          <w:highlight w:val="none"/>
        </w:rPr>
        <w:t>业绩最低要求）</w:t>
      </w:r>
    </w:p>
    <w:tbl>
      <w:tblPr>
        <w:tblStyle w:val="47"/>
        <w:tblW w:w="9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exact"/>
          <w:jc w:val="center"/>
        </w:trPr>
        <w:tc>
          <w:tcPr>
            <w:tcW w:w="9480"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0" w:hRule="atLeast"/>
          <w:jc w:val="center"/>
        </w:trPr>
        <w:tc>
          <w:tcPr>
            <w:tcW w:w="9480" w:type="dxa"/>
            <w:vAlign w:val="center"/>
          </w:tcPr>
          <w:p>
            <w:pPr>
              <w:spacing w:line="360" w:lineRule="exact"/>
              <w:ind w:firstLine="420" w:firstLineChars="200"/>
              <w:rPr>
                <w:rFonts w:hint="eastAsia" w:cs="宋体"/>
                <w:b/>
                <w:bCs/>
                <w:color w:val="auto"/>
                <w:szCs w:val="21"/>
                <w:highlight w:val="none"/>
              </w:rPr>
            </w:pPr>
            <w:r>
              <w:rPr>
                <w:rFonts w:hint="eastAsia" w:ascii="宋体" w:hAnsi="宋体" w:cs="宋体"/>
                <w:color w:val="auto"/>
                <w:szCs w:val="21"/>
                <w:highlight w:val="none"/>
              </w:rPr>
              <w:t>近年内，自2014年8月1日以来，</w:t>
            </w:r>
            <w:r>
              <w:rPr>
                <w:rFonts w:hint="eastAsia" w:ascii="宋体" w:hAnsi="宋体" w:cs="宋体"/>
                <w:color w:val="auto"/>
                <w:szCs w:val="21"/>
                <w:highlight w:val="none"/>
                <w:lang w:eastAsia="zh-CN"/>
              </w:rPr>
              <w:t>（</w:t>
            </w:r>
            <w:r>
              <w:rPr>
                <w:rFonts w:hint="eastAsia" w:ascii="宋体" w:hAnsi="宋体" w:cs="宋体"/>
                <w:color w:val="auto"/>
                <w:szCs w:val="21"/>
                <w:highlight w:val="none"/>
              </w:rPr>
              <w:t>以</w:t>
            </w:r>
            <w:r>
              <w:rPr>
                <w:rFonts w:hint="eastAsia" w:ascii="宋体" w:hAnsi="宋体" w:cs="宋体"/>
                <w:color w:val="auto"/>
                <w:szCs w:val="21"/>
                <w:highlight w:val="none"/>
                <w:lang w:eastAsia="zh-CN"/>
              </w:rPr>
              <w:t>合同签订时间</w:t>
            </w:r>
            <w:r>
              <w:rPr>
                <w:rFonts w:hint="eastAsia" w:ascii="宋体" w:hAnsi="宋体" w:cs="宋体"/>
                <w:color w:val="auto"/>
                <w:szCs w:val="21"/>
                <w:highlight w:val="none"/>
              </w:rPr>
              <w:t>为准）</w:t>
            </w:r>
            <w:r>
              <w:rPr>
                <w:rFonts w:hint="eastAsia" w:ascii="宋体" w:hAnsi="宋体" w:cs="宋体"/>
                <w:color w:val="auto"/>
                <w:szCs w:val="21"/>
                <w:highlight w:val="none"/>
              </w:rPr>
              <w:t>顺利完成类似工程的施工任务。</w:t>
            </w:r>
            <w:r>
              <w:rPr>
                <w:rFonts w:hint="eastAsia" w:cs="宋体"/>
                <w:b/>
                <w:bCs/>
                <w:color w:val="auto"/>
                <w:szCs w:val="21"/>
                <w:highlight w:val="none"/>
              </w:rPr>
              <w:t>【</w:t>
            </w:r>
            <w:r>
              <w:rPr>
                <w:rFonts w:hint="eastAsia" w:cs="宋体"/>
                <w:b/>
                <w:bCs/>
                <w:color w:val="auto"/>
                <w:szCs w:val="21"/>
                <w:highlight w:val="none"/>
                <w:lang w:eastAsia="zh-CN"/>
              </w:rPr>
              <w:t>以</w:t>
            </w:r>
            <w:r>
              <w:rPr>
                <w:rFonts w:hint="eastAsia" w:cs="宋体"/>
                <w:b/>
                <w:bCs/>
                <w:color w:val="auto"/>
                <w:szCs w:val="21"/>
                <w:highlight w:val="none"/>
              </w:rPr>
              <w:t>合同、中标通知书</w:t>
            </w:r>
            <w:r>
              <w:rPr>
                <w:rFonts w:hint="eastAsia" w:cs="宋体"/>
                <w:b/>
                <w:bCs/>
                <w:color w:val="auto"/>
                <w:szCs w:val="21"/>
                <w:highlight w:val="none"/>
              </w:rPr>
              <w:t>和</w:t>
            </w:r>
            <w:r>
              <w:rPr>
                <w:rFonts w:hint="eastAsia" w:cs="宋体"/>
                <w:b/>
                <w:bCs/>
                <w:color w:val="auto"/>
                <w:szCs w:val="21"/>
                <w:highlight w:val="none"/>
              </w:rPr>
              <w:t>中标公示网页版）</w:t>
            </w:r>
            <w:r>
              <w:rPr>
                <w:rFonts w:hint="eastAsia" w:cs="宋体"/>
                <w:b/>
                <w:bCs/>
                <w:color w:val="auto"/>
                <w:szCs w:val="21"/>
                <w:highlight w:val="none"/>
              </w:rPr>
              <w:t xml:space="preserve">原件扫描件或图片为准】        </w:t>
            </w:r>
          </w:p>
          <w:p>
            <w:pPr>
              <w:spacing w:line="360" w:lineRule="exact"/>
              <w:ind w:firstLine="422" w:firstLineChars="200"/>
              <w:rPr>
                <w:rFonts w:ascii="宋体" w:hAnsi="宋体" w:cs="宋体"/>
                <w:color w:val="auto"/>
                <w:spacing w:val="1"/>
                <w:szCs w:val="21"/>
                <w:highlight w:val="none"/>
              </w:rPr>
            </w:pPr>
            <w:r>
              <w:rPr>
                <w:rFonts w:hint="eastAsia" w:cs="宋体"/>
                <w:b/>
                <w:bCs/>
                <w:color w:val="auto"/>
                <w:szCs w:val="21"/>
                <w:highlight w:val="none"/>
                <w:lang w:val="en-US" w:eastAsia="zh-CN"/>
              </w:rPr>
              <w:t>类似</w:t>
            </w:r>
            <w:r>
              <w:rPr>
                <w:rFonts w:hint="eastAsia" w:ascii="宋体" w:hAnsi="宋体" w:cs="宋体"/>
                <w:b/>
                <w:color w:val="auto"/>
                <w:szCs w:val="21"/>
                <w:highlight w:val="none"/>
                <w:lang w:eastAsia="zh-CN"/>
              </w:rPr>
              <w:t>企业</w:t>
            </w:r>
            <w:r>
              <w:rPr>
                <w:rFonts w:hint="eastAsia" w:cs="宋体"/>
                <w:b/>
                <w:bCs/>
                <w:color w:val="auto"/>
                <w:szCs w:val="21"/>
                <w:highlight w:val="none"/>
                <w:lang w:val="en-US" w:eastAsia="zh-CN"/>
              </w:rPr>
              <w:t>业绩，指国省干线公路桥梁维修专项工程或包含桥梁工程分项的施工总承包项目。</w:t>
            </w:r>
            <w:r>
              <w:rPr>
                <w:rFonts w:hint="eastAsia" w:cs="宋体"/>
                <w:b/>
                <w:bCs/>
                <w:color w:val="auto"/>
                <w:szCs w:val="21"/>
                <w:highlight w:val="none"/>
              </w:rPr>
              <w:t xml:space="preserve">        </w:t>
            </w:r>
          </w:p>
        </w:tc>
      </w:tr>
    </w:tbl>
    <w:p>
      <w:pPr>
        <w:pStyle w:val="2"/>
        <w:ind w:firstLine="211"/>
        <w:rPr>
          <w:rFonts w:ascii="宋体" w:hAnsi="宋体" w:cs="宋体"/>
          <w:b/>
          <w:color w:val="auto"/>
          <w:szCs w:val="21"/>
          <w:highlight w:val="none"/>
        </w:rPr>
      </w:pPr>
    </w:p>
    <w:p>
      <w:pPr>
        <w:tabs>
          <w:tab w:val="right" w:leader="dot" w:pos="8295"/>
        </w:tabs>
        <w:adjustRightInd w:val="0"/>
        <w:snapToGrid w:val="0"/>
        <w:spacing w:before="120" w:beforeLines="50" w:line="360" w:lineRule="auto"/>
        <w:jc w:val="center"/>
        <w:rPr>
          <w:rFonts w:ascii="宋体" w:hAnsi="宋体" w:cs="宋体"/>
          <w:b/>
          <w:color w:val="auto"/>
          <w:szCs w:val="21"/>
          <w:highlight w:val="none"/>
        </w:rPr>
      </w:pPr>
      <w:r>
        <w:rPr>
          <w:rFonts w:hint="eastAsia" w:ascii="宋体" w:hAnsi="宋体" w:cs="宋体"/>
          <w:b/>
          <w:color w:val="auto"/>
          <w:szCs w:val="21"/>
          <w:highlight w:val="none"/>
        </w:rPr>
        <w:t>附录4   资格审查条件（信誉最低要求）</w:t>
      </w:r>
    </w:p>
    <w:tbl>
      <w:tblPr>
        <w:tblStyle w:val="47"/>
        <w:tblW w:w="9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9500"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500" w:type="dxa"/>
            <w:vAlign w:val="center"/>
          </w:tcPr>
          <w:p>
            <w:pPr>
              <w:spacing w:line="360" w:lineRule="exact"/>
              <w:ind w:firstLine="210" w:firstLineChars="100"/>
              <w:rPr>
                <w:rFonts w:ascii="宋体" w:hAnsi="宋体" w:cs="宋体"/>
                <w:color w:val="auto"/>
                <w:highlight w:val="none"/>
              </w:rPr>
            </w:pPr>
            <w:r>
              <w:rPr>
                <w:rFonts w:hint="eastAsia" w:ascii="宋体" w:hAnsi="宋体" w:cs="宋体"/>
                <w:color w:val="auto"/>
                <w:highlight w:val="none"/>
              </w:rPr>
              <w:t>1、根据《河南省公路建设市场从业单位及人员信用管理办法》精神，按照最新的信用评价结果，被河南省交通运输厅或交通运输部信用等级评定为D级施工企业不得购买招标文件参与投标。</w:t>
            </w:r>
          </w:p>
          <w:p>
            <w:pPr>
              <w:spacing w:line="360" w:lineRule="exact"/>
              <w:ind w:firstLine="210" w:firstLineChars="100"/>
              <w:rPr>
                <w:rFonts w:cs="Arial"/>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投标人未被列入“信用中国”网站(</w:t>
            </w:r>
            <w:r>
              <w:rPr>
                <w:rFonts w:hint="eastAsia" w:ascii="宋体" w:hAnsi="宋体" w:cs="宋体"/>
                <w:color w:val="auto"/>
                <w:highlight w:val="none"/>
                <w:lang w:val="en-US" w:eastAsia="zh-CN"/>
              </w:rPr>
              <w:fldChar w:fldCharType="begin"/>
            </w:r>
            <w:r>
              <w:rPr>
                <w:rFonts w:hint="eastAsia" w:ascii="宋体" w:hAnsi="宋体" w:cs="宋体"/>
                <w:color w:val="auto"/>
                <w:highlight w:val="none"/>
                <w:lang w:val="en-US" w:eastAsia="zh-CN"/>
              </w:rPr>
              <w:instrText xml:space="preserve"> HYPERLINK "http://www.creditchina.gov.cn" </w:instrText>
            </w:r>
            <w:r>
              <w:rPr>
                <w:rFonts w:hint="eastAsia" w:ascii="宋体" w:hAnsi="宋体" w:cs="宋体"/>
                <w:color w:val="auto"/>
                <w:highlight w:val="none"/>
                <w:lang w:val="en-US" w:eastAsia="zh-CN"/>
              </w:rPr>
              <w:fldChar w:fldCharType="separate"/>
            </w:r>
            <w:r>
              <w:rPr>
                <w:rFonts w:hint="eastAsia" w:ascii="宋体" w:hAnsi="宋体" w:cs="宋体"/>
                <w:color w:val="auto"/>
                <w:highlight w:val="none"/>
                <w:lang w:val="en-US" w:eastAsia="zh-CN"/>
              </w:rPr>
              <w:t>www.creditchina.gov.cn</w:t>
            </w:r>
            <w:r>
              <w:rPr>
                <w:rFonts w:hint="eastAsia" w:ascii="宋体" w:hAnsi="宋体" w:cs="宋体"/>
                <w:color w:val="auto"/>
                <w:highlight w:val="none"/>
                <w:lang w:val="en-US" w:eastAsia="zh-CN"/>
              </w:rPr>
              <w:fldChar w:fldCharType="end"/>
            </w:r>
            <w:r>
              <w:rPr>
                <w:rFonts w:hint="eastAsia" w:ascii="宋体" w:hAnsi="宋体" w:cs="宋体"/>
                <w:color w:val="auto"/>
                <w:highlight w:val="none"/>
                <w:lang w:val="en-US" w:eastAsia="zh-CN"/>
              </w:rPr>
              <w:t>)失信被执行人名单、“国家企业信用公示系统”网站（</w:t>
            </w:r>
            <w:r>
              <w:rPr>
                <w:rFonts w:hint="eastAsia" w:ascii="宋体" w:hAnsi="宋体" w:cs="宋体"/>
                <w:color w:val="auto"/>
                <w:highlight w:val="none"/>
                <w:lang w:val="en-US" w:eastAsia="zh-CN"/>
              </w:rPr>
              <w:fldChar w:fldCharType="begin"/>
            </w:r>
            <w:r>
              <w:rPr>
                <w:rFonts w:hint="eastAsia" w:ascii="宋体" w:hAnsi="宋体" w:cs="宋体"/>
                <w:color w:val="auto"/>
                <w:highlight w:val="none"/>
                <w:lang w:val="en-US" w:eastAsia="zh-CN"/>
              </w:rPr>
              <w:instrText xml:space="preserve"> HYPERLINK "http://www.gsxt.gov.cn" </w:instrText>
            </w:r>
            <w:r>
              <w:rPr>
                <w:rFonts w:hint="eastAsia" w:ascii="宋体" w:hAnsi="宋体" w:cs="宋体"/>
                <w:color w:val="auto"/>
                <w:highlight w:val="none"/>
                <w:lang w:val="en-US" w:eastAsia="zh-CN"/>
              </w:rPr>
              <w:fldChar w:fldCharType="separate"/>
            </w:r>
            <w:r>
              <w:rPr>
                <w:rFonts w:hint="eastAsia" w:ascii="宋体" w:hAnsi="宋体" w:cs="宋体"/>
                <w:color w:val="auto"/>
                <w:highlight w:val="none"/>
                <w:lang w:val="en-US" w:eastAsia="zh-CN"/>
              </w:rPr>
              <w:t>www.gsxt.gov.cn</w:t>
            </w:r>
            <w:r>
              <w:rPr>
                <w:rFonts w:hint="eastAsia" w:ascii="宋体" w:hAnsi="宋体" w:cs="宋体"/>
                <w:color w:val="auto"/>
                <w:highlight w:val="none"/>
                <w:lang w:val="en-US" w:eastAsia="zh-CN"/>
              </w:rPr>
              <w:fldChar w:fldCharType="end"/>
            </w:r>
            <w:r>
              <w:rPr>
                <w:rFonts w:hint="eastAsia" w:ascii="宋体" w:hAnsi="宋体" w:cs="宋体"/>
                <w:color w:val="auto"/>
                <w:highlight w:val="none"/>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tc>
      </w:tr>
    </w:tbl>
    <w:p>
      <w:pPr>
        <w:tabs>
          <w:tab w:val="right" w:leader="dot" w:pos="8295"/>
        </w:tabs>
        <w:adjustRightInd w:val="0"/>
        <w:snapToGrid w:val="0"/>
        <w:spacing w:line="360" w:lineRule="auto"/>
        <w:jc w:val="center"/>
        <w:rPr>
          <w:rFonts w:ascii="宋体" w:hAnsi="宋体" w:cs="宋体"/>
          <w:b/>
          <w:color w:val="auto"/>
          <w:szCs w:val="21"/>
          <w:highlight w:val="none"/>
        </w:rPr>
      </w:pPr>
    </w:p>
    <w:p>
      <w:pPr>
        <w:pStyle w:val="2"/>
        <w:rPr>
          <w:color w:val="auto"/>
          <w:highlight w:val="none"/>
        </w:rPr>
      </w:pPr>
    </w:p>
    <w:p>
      <w:pPr>
        <w:tabs>
          <w:tab w:val="right" w:leader="dot" w:pos="8295"/>
        </w:tabs>
        <w:adjustRightInd w:val="0"/>
        <w:snapToGrid w:val="0"/>
        <w:spacing w:line="360" w:lineRule="auto"/>
        <w:ind w:firstLine="2319" w:firstLineChars="1100"/>
        <w:rPr>
          <w:rFonts w:ascii="宋体" w:hAnsi="宋体" w:cs="宋体"/>
          <w:b/>
          <w:color w:val="auto"/>
          <w:szCs w:val="21"/>
          <w:highlight w:val="none"/>
        </w:rPr>
      </w:pPr>
      <w:r>
        <w:rPr>
          <w:rFonts w:hint="eastAsia" w:ascii="宋体" w:hAnsi="宋体" w:cs="宋体"/>
          <w:b/>
          <w:color w:val="auto"/>
          <w:szCs w:val="21"/>
          <w:highlight w:val="none"/>
        </w:rPr>
        <w:t>附录5   资格审查条件</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项目经理和项目总工最低要求</w:t>
      </w:r>
      <w:r>
        <w:rPr>
          <w:rFonts w:hint="eastAsia" w:ascii="宋体" w:hAnsi="宋体" w:cs="宋体"/>
          <w:b/>
          <w:color w:val="auto"/>
          <w:szCs w:val="21"/>
          <w:highlight w:val="none"/>
          <w:lang w:eastAsia="zh-CN"/>
        </w:rPr>
        <w:t>）</w:t>
      </w:r>
    </w:p>
    <w:tbl>
      <w:tblPr>
        <w:tblStyle w:val="47"/>
        <w:tblW w:w="93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72"/>
        <w:gridCol w:w="1097"/>
        <w:gridCol w:w="595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3" w:hRule="exact"/>
        </w:trPr>
        <w:tc>
          <w:tcPr>
            <w:tcW w:w="2272"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人  员</w:t>
            </w:r>
          </w:p>
        </w:tc>
        <w:tc>
          <w:tcPr>
            <w:tcW w:w="109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5953" w:type="dxa"/>
            <w:tcBorders>
              <w:bottom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 格 要 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776" w:hRule="exact"/>
        </w:trPr>
        <w:tc>
          <w:tcPr>
            <w:tcW w:w="2272"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09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5953"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拟派项目经理须具备公路工程专业二级及以上注册建造师资格，中级及以上相关专业技术职称，并具有交安的B类公路行业《安全生产考核合格证书》，且未担任其它在施建设工程的项目经理。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14" w:hRule="exact"/>
        </w:trPr>
        <w:tc>
          <w:tcPr>
            <w:tcW w:w="2272"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项目总工程师</w:t>
            </w:r>
          </w:p>
        </w:tc>
        <w:tc>
          <w:tcPr>
            <w:tcW w:w="1097"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5953"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拟派项目总工程师需具备中级及以上技术职称。</w:t>
            </w:r>
          </w:p>
        </w:tc>
      </w:tr>
      <w:bookmarkEnd w:id="16"/>
      <w:bookmarkEnd w:id="17"/>
      <w:bookmarkEnd w:id="18"/>
    </w:tbl>
    <w:p>
      <w:pPr>
        <w:pStyle w:val="2"/>
        <w:ind w:left="0" w:leftChars="0" w:firstLine="0" w:firstLineChars="0"/>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4"/>
        <w:ind w:left="0" w:leftChars="0" w:firstLine="0" w:firstLineChars="0"/>
        <w:rPr>
          <w:color w:val="auto"/>
          <w:highlight w:val="none"/>
        </w:rPr>
      </w:pPr>
    </w:p>
    <w:p>
      <w:pPr>
        <w:pStyle w:val="4"/>
        <w:ind w:left="0" w:leftChars="0" w:firstLine="0" w:firstLineChars="0"/>
        <w:rPr>
          <w:color w:val="auto"/>
          <w:highlight w:val="none"/>
        </w:rPr>
      </w:pPr>
    </w:p>
    <w:p>
      <w:pPr>
        <w:pStyle w:val="4"/>
        <w:rPr>
          <w:color w:val="auto"/>
          <w:highlight w:val="none"/>
        </w:rPr>
      </w:pPr>
    </w:p>
    <w:p>
      <w:pPr>
        <w:pStyle w:val="2"/>
        <w:ind w:firstLine="210"/>
        <w:rPr>
          <w:color w:val="auto"/>
          <w:highlight w:val="none"/>
        </w:rPr>
      </w:pPr>
    </w:p>
    <w:p>
      <w:pPr>
        <w:pStyle w:val="4"/>
        <w:rPr>
          <w:color w:val="auto"/>
          <w:highlight w:val="none"/>
        </w:rPr>
      </w:pPr>
    </w:p>
    <w:p>
      <w:pPr>
        <w:pStyle w:val="2"/>
        <w:ind w:left="0" w:leftChars="0" w:firstLine="0" w:firstLineChars="0"/>
        <w:rPr>
          <w:color w:val="auto"/>
          <w:highlight w:val="none"/>
        </w:rPr>
      </w:pPr>
    </w:p>
    <w:p>
      <w:pPr>
        <w:pStyle w:val="2"/>
        <w:ind w:firstLine="210"/>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2"/>
        <w:ind w:firstLine="210"/>
        <w:rPr>
          <w:color w:val="auto"/>
          <w:highlight w:val="none"/>
        </w:rPr>
      </w:pPr>
    </w:p>
    <w:p>
      <w:pPr>
        <w:widowControl/>
        <w:numPr>
          <w:ilvl w:val="0"/>
          <w:numId w:val="8"/>
        </w:numPr>
        <w:tabs>
          <w:tab w:val="left" w:pos="350"/>
          <w:tab w:val="clear" w:pos="312"/>
        </w:tabs>
        <w:spacing w:line="360" w:lineRule="auto"/>
        <w:jc w:val="left"/>
        <w:rPr>
          <w:b/>
          <w:bCs/>
          <w:color w:val="auto"/>
          <w:highlight w:val="none"/>
        </w:rPr>
      </w:pPr>
      <w:r>
        <w:rPr>
          <w:rFonts w:hint="eastAsia" w:ascii="宋体" w:hAnsi="宋体"/>
          <w:b/>
          <w:bCs/>
          <w:color w:val="auto"/>
          <w:szCs w:val="21"/>
          <w:highlight w:val="none"/>
        </w:rPr>
        <w:t>总则</w:t>
      </w:r>
    </w:p>
    <w:p>
      <w:pPr>
        <w:pStyle w:val="2"/>
        <w:ind w:firstLine="0" w:firstLineChars="0"/>
        <w:rPr>
          <w:b/>
          <w:bCs/>
          <w:color w:val="auto"/>
          <w:highlight w:val="none"/>
        </w:rPr>
      </w:pPr>
      <w:r>
        <w:rPr>
          <w:rFonts w:hint="eastAsia" w:ascii="宋体" w:hAnsi="宋体"/>
          <w:b/>
          <w:bCs/>
          <w:color w:val="auto"/>
          <w:szCs w:val="21"/>
          <w:highlight w:val="none"/>
        </w:rPr>
        <w:t>1.1项目概况</w:t>
      </w:r>
    </w:p>
    <w:p>
      <w:pPr>
        <w:widowControl/>
        <w:tabs>
          <w:tab w:val="left" w:pos="35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根据《中华人民共和国招标投标法》、《中华人民共和国招标投标法实施条例》、《公路工程建设项目招标投标管理办法》等有关法律、法规和规章的规定，本招标项目已具备招标条件，现对本项目施工进行公开招标。</w:t>
      </w:r>
    </w:p>
    <w:p>
      <w:pPr>
        <w:widowControl/>
        <w:tabs>
          <w:tab w:val="left" w:pos="35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1.1.2招标人：见投标人须知前附表。</w:t>
      </w:r>
    </w:p>
    <w:p>
      <w:pPr>
        <w:widowControl/>
        <w:tabs>
          <w:tab w:val="left" w:pos="35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1.1.3招标代理机构：见投标人须知前附表。</w:t>
      </w:r>
    </w:p>
    <w:p>
      <w:pPr>
        <w:widowControl/>
        <w:tabs>
          <w:tab w:val="left" w:pos="35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1.1.4项目名称：见投标人须知前附表。</w:t>
      </w:r>
    </w:p>
    <w:p>
      <w:pPr>
        <w:widowControl/>
        <w:tabs>
          <w:tab w:val="left" w:pos="350"/>
        </w:tabs>
        <w:spacing w:line="360" w:lineRule="auto"/>
        <w:ind w:firstLine="424" w:firstLineChars="200"/>
        <w:jc w:val="left"/>
        <w:rPr>
          <w:rFonts w:ascii="宋体" w:hAnsi="宋体"/>
          <w:color w:val="auto"/>
          <w:szCs w:val="21"/>
          <w:highlight w:val="none"/>
        </w:rPr>
      </w:pPr>
      <w:r>
        <w:rPr>
          <w:rFonts w:hint="eastAsia" w:ascii="宋体" w:hAnsi="宋体"/>
          <w:color w:val="auto"/>
          <w:spacing w:val="1"/>
          <w:kern w:val="0"/>
          <w:szCs w:val="21"/>
          <w:highlight w:val="none"/>
        </w:rPr>
        <w:t>1.1.5建设地点</w:t>
      </w:r>
      <w:r>
        <w:rPr>
          <w:rFonts w:hint="eastAsia" w:ascii="宋体" w:hAnsi="宋体"/>
          <w:color w:val="auto"/>
          <w:szCs w:val="21"/>
          <w:highlight w:val="none"/>
        </w:rPr>
        <w:t>：见投标人须知前附表。</w:t>
      </w:r>
    </w:p>
    <w:p>
      <w:pPr>
        <w:widowControl/>
        <w:tabs>
          <w:tab w:val="left" w:pos="170"/>
        </w:tabs>
        <w:spacing w:line="360" w:lineRule="auto"/>
        <w:jc w:val="left"/>
        <w:rPr>
          <w:rFonts w:ascii="宋体" w:hAnsi="宋体"/>
          <w:b/>
          <w:color w:val="auto"/>
          <w:szCs w:val="21"/>
          <w:highlight w:val="none"/>
        </w:rPr>
      </w:pPr>
      <w:r>
        <w:rPr>
          <w:rFonts w:hint="eastAsia" w:ascii="宋体" w:hAnsi="宋体"/>
          <w:b/>
          <w:color w:val="auto"/>
          <w:szCs w:val="21"/>
          <w:highlight w:val="none"/>
        </w:rPr>
        <w:t>1</w:t>
      </w:r>
      <w:r>
        <w:rPr>
          <w:rFonts w:ascii="宋体" w:hAnsi="宋体"/>
          <w:b/>
          <w:color w:val="auto"/>
          <w:szCs w:val="21"/>
          <w:highlight w:val="none"/>
        </w:rPr>
        <w:t>.2</w:t>
      </w:r>
      <w:r>
        <w:rPr>
          <w:rFonts w:hint="eastAsia" w:ascii="宋体" w:hAnsi="宋体"/>
          <w:b/>
          <w:color w:val="auto"/>
          <w:szCs w:val="21"/>
          <w:highlight w:val="none"/>
        </w:rPr>
        <w:t>资金来源及比例、资金落实情况</w:t>
      </w:r>
    </w:p>
    <w:p>
      <w:pPr>
        <w:widowControl/>
        <w:tabs>
          <w:tab w:val="left" w:pos="181"/>
          <w:tab w:val="left" w:pos="35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1.2.1 本招标项目的资金来源：见投标人须知前附表。</w:t>
      </w:r>
    </w:p>
    <w:p>
      <w:pPr>
        <w:widowControl/>
        <w:tabs>
          <w:tab w:val="left" w:pos="181"/>
          <w:tab w:val="left" w:pos="35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 本招标项目的出资比例：见投标人须知前附表。</w:t>
      </w:r>
    </w:p>
    <w:p>
      <w:pPr>
        <w:widowControl/>
        <w:tabs>
          <w:tab w:val="left" w:pos="181"/>
          <w:tab w:val="left" w:pos="35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 本招标项目的资金落实情况：见投标人须知前附表。。</w:t>
      </w:r>
    </w:p>
    <w:p>
      <w:pPr>
        <w:widowControl/>
        <w:spacing w:line="360" w:lineRule="auto"/>
        <w:jc w:val="left"/>
        <w:rPr>
          <w:rFonts w:ascii="宋体" w:hAnsi="宋体"/>
          <w:b/>
          <w:color w:val="auto"/>
          <w:szCs w:val="21"/>
          <w:highlight w:val="none"/>
        </w:rPr>
      </w:pPr>
      <w:r>
        <w:rPr>
          <w:rFonts w:hint="eastAsia" w:ascii="宋体" w:hAnsi="宋体"/>
          <w:b/>
          <w:color w:val="auto"/>
          <w:szCs w:val="21"/>
          <w:highlight w:val="none"/>
        </w:rPr>
        <w:t>1</w:t>
      </w:r>
      <w:r>
        <w:rPr>
          <w:rFonts w:ascii="宋体" w:hAnsi="宋体"/>
          <w:b/>
          <w:color w:val="auto"/>
          <w:szCs w:val="21"/>
          <w:highlight w:val="none"/>
        </w:rPr>
        <w:t>.3</w:t>
      </w:r>
      <w:r>
        <w:rPr>
          <w:rFonts w:hint="eastAsia" w:ascii="宋体" w:hAnsi="宋体"/>
          <w:b/>
          <w:color w:val="auto"/>
          <w:szCs w:val="21"/>
          <w:highlight w:val="none"/>
        </w:rPr>
        <w:t>招标范围、计划工期、质量要求、安全目标</w:t>
      </w:r>
    </w:p>
    <w:p>
      <w:pPr>
        <w:widowControl/>
        <w:tabs>
          <w:tab w:val="left" w:pos="17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1.3.1 本次招标范围：见投标人须知前附表。</w:t>
      </w:r>
    </w:p>
    <w:p>
      <w:pPr>
        <w:widowControl/>
        <w:tabs>
          <w:tab w:val="left" w:pos="17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1.3.2 本</w:t>
      </w:r>
      <w:r>
        <w:rPr>
          <w:rFonts w:hint="eastAsia" w:ascii="宋体" w:hAnsi="宋体"/>
          <w:color w:val="auto"/>
          <w:szCs w:val="21"/>
          <w:highlight w:val="none"/>
          <w:lang w:eastAsia="zh-CN"/>
        </w:rPr>
        <w:t>项目</w:t>
      </w:r>
      <w:r>
        <w:rPr>
          <w:rFonts w:hint="eastAsia" w:ascii="宋体" w:hAnsi="宋体"/>
          <w:color w:val="auto"/>
          <w:szCs w:val="21"/>
          <w:highlight w:val="none"/>
        </w:rPr>
        <w:t>的计划工期：见投标人须知前附表。</w:t>
      </w:r>
    </w:p>
    <w:p>
      <w:pPr>
        <w:widowControl/>
        <w:tabs>
          <w:tab w:val="left" w:pos="17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1.3.3 本</w:t>
      </w:r>
      <w:r>
        <w:rPr>
          <w:rFonts w:hint="eastAsia" w:ascii="宋体" w:hAnsi="宋体"/>
          <w:color w:val="auto"/>
          <w:szCs w:val="21"/>
          <w:highlight w:val="none"/>
          <w:lang w:eastAsia="zh-CN"/>
        </w:rPr>
        <w:t>项目</w:t>
      </w:r>
      <w:r>
        <w:rPr>
          <w:rFonts w:hint="eastAsia" w:ascii="宋体" w:hAnsi="宋体"/>
          <w:color w:val="auto"/>
          <w:szCs w:val="21"/>
          <w:highlight w:val="none"/>
        </w:rPr>
        <w:t>的质量要求：见投标人须知前附表。</w:t>
      </w:r>
    </w:p>
    <w:p>
      <w:pPr>
        <w:widowControl/>
        <w:tabs>
          <w:tab w:val="left" w:pos="17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1.3.4 本</w:t>
      </w:r>
      <w:r>
        <w:rPr>
          <w:rFonts w:hint="eastAsia" w:ascii="宋体" w:hAnsi="宋体"/>
          <w:color w:val="auto"/>
          <w:szCs w:val="21"/>
          <w:highlight w:val="none"/>
          <w:lang w:eastAsia="zh-CN"/>
        </w:rPr>
        <w:t>项目</w:t>
      </w:r>
      <w:r>
        <w:rPr>
          <w:rFonts w:hint="eastAsia" w:ascii="宋体" w:hAnsi="宋体"/>
          <w:color w:val="auto"/>
          <w:szCs w:val="21"/>
          <w:highlight w:val="none"/>
        </w:rPr>
        <w:t>的安全目标：见投标人须知前附表。</w:t>
      </w:r>
    </w:p>
    <w:p>
      <w:pPr>
        <w:widowControl/>
        <w:tabs>
          <w:tab w:val="left" w:pos="170"/>
        </w:tabs>
        <w:spacing w:line="360" w:lineRule="auto"/>
        <w:jc w:val="left"/>
        <w:rPr>
          <w:rFonts w:ascii="宋体" w:hAnsi="宋体"/>
          <w:b/>
          <w:color w:val="auto"/>
          <w:szCs w:val="21"/>
          <w:highlight w:val="none"/>
        </w:rPr>
      </w:pPr>
      <w:r>
        <w:rPr>
          <w:rFonts w:hint="eastAsia" w:ascii="宋体" w:hAnsi="宋体"/>
          <w:b/>
          <w:color w:val="auto"/>
          <w:szCs w:val="21"/>
          <w:highlight w:val="none"/>
        </w:rPr>
        <w:t>1</w:t>
      </w:r>
      <w:r>
        <w:rPr>
          <w:rFonts w:ascii="宋体" w:hAnsi="宋体"/>
          <w:b/>
          <w:color w:val="auto"/>
          <w:szCs w:val="21"/>
          <w:highlight w:val="none"/>
        </w:rPr>
        <w:t>.4</w:t>
      </w:r>
      <w:r>
        <w:rPr>
          <w:rFonts w:hint="eastAsia" w:ascii="宋体" w:hAnsi="宋体"/>
          <w:b/>
          <w:color w:val="auto"/>
          <w:szCs w:val="21"/>
          <w:highlight w:val="none"/>
        </w:rPr>
        <w:t xml:space="preserve">投标人资格要求 </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1.4.1 投标人应具备承担本标段施工的资质条件、能力和信誉。</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（1）资质条件：见投标人须知前附表；</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（2）财务要求：见投标人须知前附表；</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（3）业绩要求：见投标人须知前附表；</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（4）信誉要求：见投标人须知前附表;</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（5）项目经理资格：见投标人须知前附表；</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（6）其他要求：见投标人须知前附表。</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需要提交的相关证明材料见本章第3.5款规定</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1.4.2 本次招标不接受联合体。</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投标人（包括联合体各成员）不得与本标段相关单位存在下列关联关系：</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（1）为招标人不具有独立法人资格的附属机构（单位）；</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（2）与本标段的其他投标人同为一个单位负责人；</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（3）与本标段的其他投标人存在控股、管理关系；</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（4）为本标段前期准备提供设计或咨询服务的法人或其任何附属机构（单位）；</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（5）为本标段的监理人；</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（6）为本标段的代建人；</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（7）为本标段的招标代理机构；</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（8）与本标段的监理人或代建人或招标代理机构同为一个法定代表人；</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（9）与本标段的监理人或代建人或招标代理机构存在控股或参股关系；</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（10）法律法规或投标人须知前附表规定的其他情形。</w:t>
      </w:r>
    </w:p>
    <w:p>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1.4.4 投标人（包括联合体各成员）不得存在下列不良状况或不良信用记录：</w:t>
      </w:r>
    </w:p>
    <w:p>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（1）被省级及以上交通运输主管部门取消招标项目所在地的投标资格且处于有效期内；</w:t>
      </w:r>
    </w:p>
    <w:p>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（2）被责令停业，暂扣或吊销执照，或吊销资质证书；</w:t>
      </w:r>
    </w:p>
    <w:p>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（3）进入清算程序，或被宣告破产，或其他丧失履约能力的情形；</w:t>
      </w:r>
    </w:p>
    <w:p>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（4）在国家企业信用信息公示系统（</w:t>
      </w:r>
      <w:r>
        <w:rPr>
          <w:rFonts w:hint="eastAsia" w:ascii="宋体" w:hAnsi="宋体"/>
          <w:bCs/>
          <w:color w:val="auto"/>
          <w:szCs w:val="21"/>
          <w:highlight w:val="none"/>
        </w:rPr>
        <w:fldChar w:fldCharType="begin"/>
      </w:r>
      <w:r>
        <w:rPr>
          <w:rFonts w:hint="eastAsia" w:ascii="宋体" w:hAnsi="宋体"/>
          <w:bCs/>
          <w:color w:val="auto"/>
          <w:szCs w:val="21"/>
          <w:highlight w:val="none"/>
        </w:rPr>
        <w:instrText xml:space="preserve"> HYPERLINK "http://www.gsxt.gov.cn/" </w:instrText>
      </w:r>
      <w:r>
        <w:rPr>
          <w:rFonts w:hint="eastAsia" w:ascii="宋体" w:hAnsi="宋体"/>
          <w:bCs/>
          <w:color w:val="auto"/>
          <w:szCs w:val="21"/>
          <w:highlight w:val="none"/>
        </w:rPr>
        <w:fldChar w:fldCharType="separate"/>
      </w:r>
      <w:r>
        <w:rPr>
          <w:rStyle w:val="54"/>
          <w:rFonts w:hint="eastAsia" w:ascii="宋体" w:hAnsi="宋体"/>
          <w:bCs/>
          <w:color w:val="auto"/>
          <w:szCs w:val="21"/>
          <w:highlight w:val="none"/>
        </w:rPr>
        <w:t>http://www.gsxt.gov.cn/</w:t>
      </w:r>
      <w:r>
        <w:rPr>
          <w:rFonts w:hint="eastAsia" w:ascii="宋体" w:hAnsi="宋体"/>
          <w:bCs/>
          <w:color w:val="auto"/>
          <w:szCs w:val="21"/>
          <w:highlight w:val="none"/>
        </w:rPr>
        <w:fldChar w:fldCharType="end"/>
      </w:r>
      <w:r>
        <w:rPr>
          <w:rFonts w:hint="eastAsia" w:ascii="宋体" w:hAnsi="宋体"/>
          <w:bCs/>
          <w:color w:val="auto"/>
          <w:szCs w:val="21"/>
          <w:highlight w:val="none"/>
        </w:rPr>
        <w:t>）中被列入严重违法失信企业名单；</w:t>
      </w:r>
    </w:p>
    <w:p>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（5）在“信用中国”网站（</w:t>
      </w:r>
      <w:r>
        <w:rPr>
          <w:rFonts w:hint="eastAsia" w:ascii="宋体" w:hAnsi="宋体"/>
          <w:bCs/>
          <w:color w:val="auto"/>
          <w:szCs w:val="21"/>
          <w:highlight w:val="none"/>
        </w:rPr>
        <w:fldChar w:fldCharType="begin"/>
      </w:r>
      <w:r>
        <w:rPr>
          <w:rFonts w:hint="eastAsia" w:ascii="宋体" w:hAnsi="宋体"/>
          <w:bCs/>
          <w:color w:val="auto"/>
          <w:szCs w:val="21"/>
          <w:highlight w:val="none"/>
        </w:rPr>
        <w:instrText xml:space="preserve"> HYPERLINK "http://www.creditchina.gov.cn/" </w:instrText>
      </w:r>
      <w:r>
        <w:rPr>
          <w:rFonts w:hint="eastAsia" w:ascii="宋体" w:hAnsi="宋体"/>
          <w:bCs/>
          <w:color w:val="auto"/>
          <w:szCs w:val="21"/>
          <w:highlight w:val="none"/>
        </w:rPr>
        <w:fldChar w:fldCharType="separate"/>
      </w:r>
      <w:r>
        <w:rPr>
          <w:rStyle w:val="54"/>
          <w:rFonts w:hint="eastAsia" w:ascii="宋体" w:hAnsi="宋体"/>
          <w:bCs/>
          <w:color w:val="auto"/>
          <w:szCs w:val="21"/>
          <w:highlight w:val="none"/>
        </w:rPr>
        <w:t>http://www.creditchina.gov.cn/</w:t>
      </w:r>
      <w:r>
        <w:rPr>
          <w:rFonts w:hint="eastAsia" w:ascii="宋体" w:hAnsi="宋体"/>
          <w:bCs/>
          <w:color w:val="auto"/>
          <w:szCs w:val="21"/>
          <w:highlight w:val="none"/>
        </w:rPr>
        <w:fldChar w:fldCharType="end"/>
      </w:r>
      <w:r>
        <w:rPr>
          <w:rFonts w:hint="eastAsia" w:ascii="宋体" w:hAnsi="宋体"/>
          <w:bCs/>
          <w:color w:val="auto"/>
          <w:szCs w:val="21"/>
          <w:highlight w:val="none"/>
        </w:rPr>
        <w:t>）中被列入失信被执行人名单；</w:t>
      </w:r>
    </w:p>
    <w:p>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（6）法律法规或投标人须知前附表规定的其他情形。</w:t>
      </w:r>
    </w:p>
    <w:p>
      <w:pPr>
        <w:widowControl/>
        <w:spacing w:line="360" w:lineRule="auto"/>
        <w:jc w:val="left"/>
        <w:rPr>
          <w:rFonts w:ascii="宋体" w:hAnsi="宋体"/>
          <w:b/>
          <w:color w:val="auto"/>
          <w:szCs w:val="21"/>
          <w:highlight w:val="none"/>
        </w:rPr>
      </w:pPr>
      <w:r>
        <w:rPr>
          <w:rFonts w:hint="eastAsia" w:ascii="宋体" w:hAnsi="宋体"/>
          <w:b/>
          <w:color w:val="auto"/>
          <w:szCs w:val="21"/>
          <w:highlight w:val="none"/>
        </w:rPr>
        <w:t>1.5 费用承担</w:t>
      </w:r>
    </w:p>
    <w:p>
      <w:pPr>
        <w:widowControl/>
        <w:spacing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投标人准备和参加投标活动发生的费用自理。本项目招标代理费</w:t>
      </w:r>
      <w:r>
        <w:rPr>
          <w:rFonts w:hint="eastAsia"/>
          <w:color w:val="auto"/>
          <w:highlight w:val="none"/>
        </w:rPr>
        <w:t>由中标人支付，参考《国家发展改革委办公厅关于</w:t>
      </w:r>
      <w:r>
        <w:rPr>
          <w:rFonts w:hint="eastAsia" w:ascii="宋体" w:hAnsi="宋体" w:eastAsia="宋体" w:cs="宋体"/>
          <w:color w:val="auto"/>
          <w:highlight w:val="none"/>
        </w:rPr>
        <w:t>招标代理服务收费有关问题的通知》(发改办价格[2003]857号)和国家计委关于《招标代理服务收费管理暂行办法》（计价格[2002]1980号）文件中招标代理服务收费标准计取</w:t>
      </w:r>
      <w:r>
        <w:rPr>
          <w:rFonts w:hint="eastAsia" w:ascii="宋体" w:hAnsi="宋体"/>
          <w:color w:val="auto"/>
          <w:szCs w:val="21"/>
          <w:highlight w:val="none"/>
        </w:rPr>
        <w:t>。</w:t>
      </w:r>
    </w:p>
    <w:p>
      <w:pPr>
        <w:widowControl/>
        <w:spacing w:line="360" w:lineRule="auto"/>
        <w:jc w:val="left"/>
        <w:rPr>
          <w:rFonts w:ascii="宋体" w:hAnsi="宋体"/>
          <w:b/>
          <w:color w:val="auto"/>
          <w:szCs w:val="21"/>
          <w:highlight w:val="none"/>
        </w:rPr>
      </w:pPr>
      <w:r>
        <w:rPr>
          <w:rFonts w:hint="eastAsia" w:ascii="宋体" w:hAnsi="宋体"/>
          <w:b/>
          <w:color w:val="auto"/>
          <w:szCs w:val="21"/>
          <w:highlight w:val="none"/>
        </w:rPr>
        <w:t>1.6 保密</w:t>
      </w:r>
    </w:p>
    <w:p>
      <w:pPr>
        <w:widowControl/>
        <w:spacing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参与招标投标活动的各方应对招标文件和投标文件中的商业和技术等秘密保密，违者应对由此造成的后果承担法律责任。</w:t>
      </w:r>
    </w:p>
    <w:p>
      <w:pPr>
        <w:widowControl/>
        <w:spacing w:line="360" w:lineRule="auto"/>
        <w:jc w:val="left"/>
        <w:rPr>
          <w:rFonts w:ascii="宋体" w:hAnsi="宋体"/>
          <w:b/>
          <w:color w:val="auto"/>
          <w:szCs w:val="21"/>
          <w:highlight w:val="none"/>
        </w:rPr>
      </w:pPr>
      <w:r>
        <w:rPr>
          <w:rFonts w:hint="eastAsia" w:ascii="宋体" w:hAnsi="宋体"/>
          <w:b/>
          <w:color w:val="auto"/>
          <w:szCs w:val="21"/>
          <w:highlight w:val="none"/>
        </w:rPr>
        <w:t>1.7语言文字</w:t>
      </w:r>
    </w:p>
    <w:p>
      <w:pPr>
        <w:widowControl/>
        <w:spacing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除专用术语外，与招标投标有关的语言均使用中文。必要时专用术语应附有中文注释。</w:t>
      </w:r>
    </w:p>
    <w:p>
      <w:pPr>
        <w:widowControl/>
        <w:spacing w:line="360" w:lineRule="auto"/>
        <w:jc w:val="left"/>
        <w:rPr>
          <w:rFonts w:ascii="宋体" w:hAnsi="宋体"/>
          <w:b/>
          <w:color w:val="auto"/>
          <w:szCs w:val="21"/>
          <w:highlight w:val="none"/>
        </w:rPr>
      </w:pPr>
      <w:r>
        <w:rPr>
          <w:rFonts w:hint="eastAsia" w:ascii="宋体" w:hAnsi="宋体"/>
          <w:b/>
          <w:color w:val="auto"/>
          <w:szCs w:val="21"/>
          <w:highlight w:val="none"/>
        </w:rPr>
        <w:t>1.8计量单位</w:t>
      </w:r>
    </w:p>
    <w:p>
      <w:pPr>
        <w:widowControl/>
        <w:spacing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所有计量均采用中华人民共和国法定计量单位。</w:t>
      </w:r>
    </w:p>
    <w:p>
      <w:pPr>
        <w:autoSpaceDE w:val="0"/>
        <w:autoSpaceDN w:val="0"/>
        <w:spacing w:line="360" w:lineRule="auto"/>
        <w:jc w:val="left"/>
        <w:rPr>
          <w:rFonts w:ascii="宋体" w:hAnsi="宋体" w:cs="宋体"/>
          <w:b/>
          <w:color w:val="auto"/>
          <w:szCs w:val="21"/>
          <w:highlight w:val="none"/>
        </w:rPr>
      </w:pPr>
      <w:bookmarkStart w:id="19" w:name="_Toc244935164"/>
      <w:bookmarkStart w:id="20" w:name="_Toc191983616"/>
      <w:bookmarkStart w:id="21" w:name="_Toc244934195"/>
      <w:bookmarkStart w:id="22" w:name="_Toc453076494"/>
      <w:bookmarkStart w:id="23" w:name="_Toc234213529"/>
      <w:r>
        <w:rPr>
          <w:rFonts w:hint="eastAsia" w:ascii="宋体" w:hAnsi="宋体" w:cs="宋体"/>
          <w:b/>
          <w:color w:val="auto"/>
          <w:szCs w:val="21"/>
          <w:highlight w:val="none"/>
        </w:rPr>
        <w:t>1.9 踏勘现场</w:t>
      </w:r>
      <w:r>
        <w:rPr>
          <w:rFonts w:hint="eastAsia" w:ascii="宋体" w:hAnsi="宋体" w:cs="宋体"/>
          <w:bCs/>
          <w:color w:val="auto"/>
          <w:szCs w:val="21"/>
          <w:highlight w:val="none"/>
        </w:rPr>
        <w:t xml:space="preserve">（不组织）。 </w:t>
      </w:r>
      <w:r>
        <w:rPr>
          <w:rFonts w:hint="eastAsia" w:ascii="宋体" w:hAnsi="宋体" w:cs="宋体"/>
          <w:color w:val="auto"/>
          <w:szCs w:val="21"/>
          <w:highlight w:val="none"/>
        </w:rPr>
        <w:t xml:space="preserve">         </w:t>
      </w:r>
    </w:p>
    <w:p>
      <w:pPr>
        <w:autoSpaceDE w:val="0"/>
        <w:autoSpaceDN w:val="0"/>
        <w:spacing w:line="360" w:lineRule="auto"/>
        <w:jc w:val="left"/>
        <w:rPr>
          <w:rFonts w:ascii="宋体" w:hAnsi="宋体" w:cs="宋体"/>
          <w:b/>
          <w:color w:val="auto"/>
          <w:szCs w:val="21"/>
          <w:highlight w:val="none"/>
        </w:rPr>
      </w:pPr>
      <w:bookmarkStart w:id="24" w:name="_Toc283559948"/>
      <w:r>
        <w:rPr>
          <w:rFonts w:hint="eastAsia" w:ascii="宋体" w:hAnsi="宋体" w:cs="宋体"/>
          <w:b/>
          <w:color w:val="auto"/>
          <w:szCs w:val="21"/>
          <w:highlight w:val="none"/>
        </w:rPr>
        <w:t>1.10 投标预备会</w:t>
      </w:r>
      <w:bookmarkEnd w:id="24"/>
      <w:r>
        <w:rPr>
          <w:rFonts w:hint="eastAsia" w:ascii="宋体" w:hAnsi="宋体" w:cs="宋体"/>
          <w:b/>
          <w:color w:val="auto"/>
          <w:szCs w:val="21"/>
          <w:highlight w:val="none"/>
        </w:rPr>
        <w:t>（不召开）</w:t>
      </w:r>
    </w:p>
    <w:p>
      <w:pPr>
        <w:autoSpaceDE w:val="0"/>
        <w:autoSpaceDN w:val="0"/>
        <w:spacing w:line="360" w:lineRule="auto"/>
        <w:jc w:val="left"/>
        <w:rPr>
          <w:rFonts w:ascii="宋体" w:hAnsi="宋体" w:cs="宋体"/>
          <w:b/>
          <w:color w:val="auto"/>
          <w:szCs w:val="21"/>
          <w:highlight w:val="none"/>
        </w:rPr>
      </w:pPr>
      <w:bookmarkStart w:id="25" w:name="_Toc283559949"/>
      <w:r>
        <w:rPr>
          <w:rFonts w:hint="eastAsia" w:ascii="宋体" w:hAnsi="宋体" w:cs="宋体"/>
          <w:b/>
          <w:color w:val="auto"/>
          <w:szCs w:val="21"/>
          <w:highlight w:val="none"/>
        </w:rPr>
        <w:t>1.11 分包</w:t>
      </w:r>
      <w:bookmarkEnd w:id="25"/>
      <w:r>
        <w:rPr>
          <w:rFonts w:hint="eastAsia" w:ascii="宋体" w:hAnsi="宋体" w:cs="宋体"/>
          <w:b/>
          <w:color w:val="auto"/>
          <w:szCs w:val="21"/>
          <w:highlight w:val="none"/>
        </w:rPr>
        <w:t>（不允许）</w:t>
      </w:r>
    </w:p>
    <w:p>
      <w:pPr>
        <w:pStyle w:val="2"/>
        <w:ind w:firstLine="0" w:firstLineChars="0"/>
        <w:rPr>
          <w:rFonts w:ascii="宋体" w:hAnsi="宋体" w:cs="宋体"/>
          <w:b/>
          <w:color w:val="auto"/>
          <w:szCs w:val="21"/>
          <w:highlight w:val="none"/>
        </w:rPr>
      </w:pPr>
      <w:bookmarkStart w:id="26" w:name="_Toc483496915"/>
      <w:r>
        <w:rPr>
          <w:rFonts w:hint="eastAsia" w:ascii="宋体" w:hAnsi="宋体" w:cs="宋体"/>
          <w:b/>
          <w:color w:val="auto"/>
          <w:szCs w:val="21"/>
          <w:highlight w:val="none"/>
        </w:rPr>
        <w:t xml:space="preserve">1.12 </w:t>
      </w:r>
      <w:bookmarkEnd w:id="26"/>
      <w:r>
        <w:rPr>
          <w:rFonts w:hint="eastAsia" w:ascii="宋体" w:hAnsi="宋体" w:cs="宋体"/>
          <w:b/>
          <w:color w:val="auto"/>
          <w:szCs w:val="21"/>
          <w:highlight w:val="none"/>
        </w:rPr>
        <w:t>响应和偏差</w:t>
      </w:r>
    </w:p>
    <w:p>
      <w:pPr>
        <w:pStyle w:val="2"/>
        <w:spacing w:after="0" w:line="360" w:lineRule="auto"/>
        <w:ind w:firstLineChars="200"/>
        <w:rPr>
          <w:rFonts w:ascii="宋体" w:hAnsi="宋体" w:cs="宋体"/>
          <w:color w:val="auto"/>
          <w:highlight w:val="none"/>
        </w:rPr>
      </w:pPr>
      <w:r>
        <w:rPr>
          <w:rFonts w:hint="eastAsia" w:ascii="宋体" w:hAnsi="宋体" w:cs="宋体"/>
          <w:color w:val="auto"/>
          <w:highlight w:val="none"/>
        </w:rPr>
        <w:t>1.12.1投标文件偏离招标文件某些要求，视为投标文件存在偏差。偏差包括重大偏差和细微偏差。</w:t>
      </w:r>
    </w:p>
    <w:p>
      <w:pPr>
        <w:pStyle w:val="2"/>
        <w:spacing w:after="0" w:line="360" w:lineRule="auto"/>
        <w:ind w:firstLineChars="200"/>
        <w:rPr>
          <w:rFonts w:ascii="宋体" w:hAnsi="宋体" w:cs="宋体"/>
          <w:color w:val="auto"/>
          <w:highlight w:val="none"/>
        </w:rPr>
      </w:pPr>
      <w:r>
        <w:rPr>
          <w:rFonts w:hint="eastAsia" w:ascii="宋体" w:hAnsi="宋体" w:cs="宋体"/>
          <w:color w:val="auto"/>
          <w:highlight w:val="none"/>
        </w:rPr>
        <w:t>1.12.2投标文件应对招标文件的实质性要求和条件作出满足性或更有利于招标人的响应，否则，视为投标文件存在重大偏差，投标人的投标将被否决。</w:t>
      </w:r>
    </w:p>
    <w:p>
      <w:pPr>
        <w:pStyle w:val="2"/>
        <w:spacing w:after="0" w:line="360" w:lineRule="auto"/>
        <w:ind w:firstLineChars="200"/>
        <w:rPr>
          <w:rFonts w:ascii="宋体" w:hAnsi="宋体" w:cs="宋体"/>
          <w:color w:val="auto"/>
          <w:highlight w:val="none"/>
        </w:rPr>
      </w:pPr>
      <w:r>
        <w:rPr>
          <w:rFonts w:hint="eastAsia" w:ascii="宋体" w:hAnsi="宋体" w:cs="宋体"/>
          <w:color w:val="auto"/>
          <w:highlight w:val="none"/>
        </w:rPr>
        <w:t>投标文件存在第三章“评标办法”中所列任一否决投标情形的，均属于存在重大偏差。</w:t>
      </w:r>
    </w:p>
    <w:p>
      <w:pPr>
        <w:pStyle w:val="2"/>
        <w:spacing w:after="0" w:line="360" w:lineRule="auto"/>
        <w:ind w:firstLineChars="200"/>
        <w:rPr>
          <w:rFonts w:ascii="宋体" w:hAnsi="宋体" w:cs="宋体"/>
          <w:color w:val="auto"/>
          <w:highlight w:val="none"/>
        </w:rPr>
      </w:pPr>
      <w:r>
        <w:rPr>
          <w:rFonts w:hint="eastAsia" w:ascii="宋体" w:hAnsi="宋体" w:cs="宋体"/>
          <w:color w:val="auto"/>
          <w:highlight w:val="none"/>
        </w:rPr>
        <w:t>1.12.3投标文件中的下列偏差为细微偏差：</w:t>
      </w:r>
    </w:p>
    <w:p>
      <w:pPr>
        <w:pStyle w:val="2"/>
        <w:spacing w:after="0" w:line="360" w:lineRule="auto"/>
        <w:ind w:firstLineChars="200"/>
        <w:rPr>
          <w:rFonts w:ascii="宋体" w:hAnsi="宋体" w:cs="宋体"/>
          <w:color w:val="auto"/>
          <w:highlight w:val="none"/>
        </w:rPr>
      </w:pPr>
      <w:r>
        <w:rPr>
          <w:rFonts w:hint="eastAsia" w:ascii="宋体" w:hAnsi="宋体" w:cs="宋体"/>
          <w:color w:val="auto"/>
          <w:highlight w:val="none"/>
        </w:rPr>
        <w:t>（1）在按照第三章“评标办法”的规定对投标价进行算术性错误修正及其他错误修正后，最终投标报价未超过最高投标限价（如有）的情况下，出现第三章“评标办法”规定的算术性错误和投标报价的其他错误；</w:t>
      </w:r>
    </w:p>
    <w:p>
      <w:pPr>
        <w:pStyle w:val="2"/>
        <w:spacing w:after="0" w:line="360" w:lineRule="auto"/>
        <w:ind w:firstLineChars="200"/>
        <w:rPr>
          <w:rFonts w:ascii="宋体" w:hAnsi="宋体" w:cs="宋体"/>
          <w:color w:val="auto"/>
          <w:highlight w:val="none"/>
        </w:rPr>
      </w:pPr>
      <w:r>
        <w:rPr>
          <w:rFonts w:hint="eastAsia" w:ascii="宋体" w:hAnsi="宋体" w:cs="宋体"/>
          <w:color w:val="auto"/>
          <w:highlight w:val="none"/>
        </w:rPr>
        <w:t>（2）施工组织设计（含关键工程技术方案）和项目管理机构不够完善；</w:t>
      </w:r>
    </w:p>
    <w:p>
      <w:pPr>
        <w:pStyle w:val="2"/>
        <w:spacing w:after="0" w:line="360" w:lineRule="auto"/>
        <w:ind w:firstLineChars="200"/>
        <w:rPr>
          <w:rFonts w:ascii="宋体" w:hAnsi="宋体" w:cs="宋体"/>
          <w:color w:val="auto"/>
          <w:highlight w:val="none"/>
        </w:rPr>
      </w:pPr>
      <w:r>
        <w:rPr>
          <w:rFonts w:hint="eastAsia" w:ascii="宋体" w:hAnsi="宋体" w:cs="宋体"/>
          <w:color w:val="auto"/>
          <w:highlight w:val="none"/>
        </w:rPr>
        <w:t>（3）投标文件页码不连续、采用活页夹装订、个别文字有遗漏错误等不影响投标文件实质性内容的偏差。</w:t>
      </w:r>
    </w:p>
    <w:p>
      <w:pPr>
        <w:pStyle w:val="2"/>
        <w:spacing w:after="0" w:line="360" w:lineRule="auto"/>
        <w:ind w:firstLineChars="200"/>
        <w:rPr>
          <w:rFonts w:ascii="宋体" w:hAnsi="宋体" w:cs="宋体"/>
          <w:color w:val="auto"/>
          <w:highlight w:val="none"/>
        </w:rPr>
      </w:pPr>
      <w:r>
        <w:rPr>
          <w:rFonts w:hint="eastAsia" w:ascii="宋体" w:hAnsi="宋体" w:cs="宋体"/>
          <w:color w:val="auto"/>
          <w:highlight w:val="none"/>
        </w:rPr>
        <w:t>1.12.4评标委员会对投标文件中的细微偏差按如下规定处理：</w:t>
      </w:r>
    </w:p>
    <w:p>
      <w:pPr>
        <w:pStyle w:val="2"/>
        <w:spacing w:after="0" w:line="360" w:lineRule="auto"/>
        <w:ind w:firstLineChars="200"/>
        <w:rPr>
          <w:rFonts w:ascii="宋体" w:hAnsi="宋体" w:cs="宋体"/>
          <w:color w:val="auto"/>
          <w:highlight w:val="none"/>
        </w:rPr>
      </w:pPr>
      <w:r>
        <w:rPr>
          <w:rFonts w:hint="eastAsia" w:ascii="宋体" w:hAnsi="宋体" w:cs="宋体"/>
          <w:color w:val="auto"/>
          <w:highlight w:val="none"/>
        </w:rPr>
        <w:t>（1）对于本章第 1.12.3 项（1）目所述的细微偏差，按照第三章“评标办法”的规定予以修正并要求投标人进行澄清；</w:t>
      </w:r>
    </w:p>
    <w:p>
      <w:pPr>
        <w:pStyle w:val="2"/>
        <w:spacing w:after="0" w:line="360" w:lineRule="auto"/>
        <w:ind w:firstLineChars="200"/>
        <w:rPr>
          <w:rFonts w:ascii="宋体" w:hAnsi="宋体" w:cs="宋体"/>
          <w:color w:val="auto"/>
          <w:highlight w:val="none"/>
        </w:rPr>
      </w:pPr>
      <w:r>
        <w:rPr>
          <w:rFonts w:hint="eastAsia" w:ascii="宋体" w:hAnsi="宋体" w:cs="宋体"/>
          <w:color w:val="auto"/>
          <w:highlight w:val="none"/>
        </w:rPr>
        <w:t>（2）对于本章第 1.12.3 项（2）目所述的细微偏差，如果采用技术评分最低标价法或综合评分法评标，可在相关评分因素的评分中酌情扣分；</w:t>
      </w:r>
    </w:p>
    <w:p>
      <w:pPr>
        <w:pStyle w:val="2"/>
        <w:spacing w:after="0" w:line="360" w:lineRule="auto"/>
        <w:ind w:firstLineChars="200"/>
        <w:rPr>
          <w:rFonts w:ascii="宋体" w:hAnsi="宋体" w:cs="宋体"/>
          <w:color w:val="auto"/>
          <w:highlight w:val="none"/>
        </w:rPr>
      </w:pPr>
      <w:r>
        <w:rPr>
          <w:rFonts w:hint="eastAsia" w:ascii="宋体" w:hAnsi="宋体" w:cs="宋体"/>
          <w:color w:val="auto"/>
          <w:highlight w:val="none"/>
        </w:rPr>
        <w:t>（3）对于本章第 1.12.3 项（3）目所述的细微偏差，可要求投标人对细微偏差进行澄清。</w:t>
      </w:r>
    </w:p>
    <w:p>
      <w:pPr>
        <w:pStyle w:val="2"/>
        <w:spacing w:after="0" w:line="360" w:lineRule="auto"/>
        <w:ind w:firstLine="0" w:firstLineChars="0"/>
        <w:rPr>
          <w:rFonts w:ascii="宋体" w:hAnsi="宋体" w:cs="宋体"/>
          <w:color w:val="auto"/>
          <w:highlight w:val="none"/>
        </w:rPr>
      </w:pPr>
      <w:r>
        <w:rPr>
          <w:rFonts w:hint="eastAsia" w:ascii="宋体" w:hAnsi="宋体" w:cs="宋体"/>
          <w:color w:val="auto"/>
          <w:highlight w:val="none"/>
        </w:rPr>
        <w:t>1.12.5投标人应根据招标文件的要求提供施工组织设计等内容以对招标文件作出响应。</w:t>
      </w:r>
    </w:p>
    <w:p>
      <w:pPr>
        <w:autoSpaceDE w:val="0"/>
        <w:autoSpaceDN w:val="0"/>
        <w:spacing w:line="360" w:lineRule="auto"/>
        <w:jc w:val="left"/>
        <w:rPr>
          <w:rFonts w:ascii="宋体" w:hAnsi="宋体"/>
          <w:b/>
          <w:color w:val="auto"/>
          <w:szCs w:val="21"/>
          <w:highlight w:val="none"/>
        </w:rPr>
      </w:pPr>
      <w:r>
        <w:rPr>
          <w:rFonts w:hint="eastAsia" w:ascii="宋体" w:hAnsi="宋体"/>
          <w:b/>
          <w:color w:val="auto"/>
          <w:szCs w:val="21"/>
          <w:highlight w:val="none"/>
        </w:rPr>
        <w:t>2. 招标文件</w:t>
      </w:r>
      <w:bookmarkEnd w:id="19"/>
      <w:bookmarkEnd w:id="20"/>
      <w:bookmarkEnd w:id="21"/>
      <w:bookmarkEnd w:id="22"/>
      <w:bookmarkEnd w:id="23"/>
    </w:p>
    <w:p>
      <w:pPr>
        <w:spacing w:line="360" w:lineRule="auto"/>
        <w:rPr>
          <w:rFonts w:ascii="宋体" w:hAnsi="宋体"/>
          <w:b/>
          <w:color w:val="auto"/>
          <w:szCs w:val="21"/>
          <w:highlight w:val="none"/>
        </w:rPr>
      </w:pPr>
      <w:bookmarkStart w:id="27" w:name="_Toc297211672"/>
      <w:r>
        <w:rPr>
          <w:rFonts w:hint="eastAsia" w:ascii="宋体" w:hAnsi="宋体"/>
          <w:b/>
          <w:color w:val="auto"/>
          <w:szCs w:val="21"/>
          <w:highlight w:val="none"/>
        </w:rPr>
        <w:t>2.1 招标文件的组成</w:t>
      </w:r>
      <w:bookmarkEnd w:id="27"/>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本招标文件包括：</w:t>
      </w:r>
    </w:p>
    <w:p>
      <w:pPr>
        <w:widowControl/>
        <w:tabs>
          <w:tab w:val="left" w:pos="525"/>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（1）招标公告；</w:t>
      </w:r>
    </w:p>
    <w:p>
      <w:pPr>
        <w:widowControl/>
        <w:tabs>
          <w:tab w:val="left" w:pos="525"/>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（2）投标人须知；</w:t>
      </w:r>
    </w:p>
    <w:p>
      <w:pPr>
        <w:widowControl/>
        <w:tabs>
          <w:tab w:val="left" w:pos="525"/>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（3）评标办法；</w:t>
      </w:r>
    </w:p>
    <w:p>
      <w:pPr>
        <w:widowControl/>
        <w:tabs>
          <w:tab w:val="left" w:pos="525"/>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（4）合同条款及格式；</w:t>
      </w:r>
    </w:p>
    <w:p>
      <w:pPr>
        <w:widowControl/>
        <w:tabs>
          <w:tab w:val="left" w:pos="525"/>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（5）工程量清单；</w:t>
      </w:r>
    </w:p>
    <w:p>
      <w:pPr>
        <w:pStyle w:val="2"/>
        <w:ind w:firstLineChars="200"/>
        <w:rPr>
          <w:color w:val="auto"/>
          <w:highlight w:val="none"/>
        </w:rPr>
      </w:pPr>
      <w:r>
        <w:rPr>
          <w:rFonts w:hint="eastAsia" w:ascii="宋体" w:hAnsi="宋体"/>
          <w:color w:val="auto"/>
          <w:szCs w:val="21"/>
          <w:highlight w:val="none"/>
        </w:rPr>
        <w:t>（6）图纸（另附）；</w:t>
      </w:r>
    </w:p>
    <w:p>
      <w:pPr>
        <w:widowControl/>
        <w:tabs>
          <w:tab w:val="left" w:pos="525"/>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（7）技术规范；</w:t>
      </w:r>
    </w:p>
    <w:p>
      <w:pPr>
        <w:widowControl/>
        <w:tabs>
          <w:tab w:val="left" w:pos="525"/>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（8）工程量清单计量规则；</w:t>
      </w:r>
    </w:p>
    <w:p>
      <w:pPr>
        <w:widowControl/>
        <w:tabs>
          <w:tab w:val="left" w:pos="525"/>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（9）投标文件格式。</w:t>
      </w:r>
    </w:p>
    <w:p>
      <w:pPr>
        <w:widowControl/>
        <w:tabs>
          <w:tab w:val="left" w:pos="525"/>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根据本章第 2.2款和第 2.3款对招标文件所作的澄清、修改，构成招标文件的组成部分。</w:t>
      </w:r>
    </w:p>
    <w:p>
      <w:pPr>
        <w:pStyle w:val="2"/>
        <w:ind w:firstLineChars="200"/>
        <w:rPr>
          <w:color w:val="auto"/>
          <w:highlight w:val="none"/>
        </w:rPr>
      </w:pPr>
      <w:r>
        <w:rPr>
          <w:color w:val="auto"/>
          <w:highlight w:val="none"/>
        </w:rPr>
        <w:t>当招标文件、招标文件的澄清或修改等在同一内容的表述上不一致时，以</w:t>
      </w:r>
      <w:r>
        <w:rPr>
          <w:rFonts w:hint="eastAsia"/>
          <w:color w:val="auto"/>
          <w:highlight w:val="none"/>
        </w:rPr>
        <w:t>全国公共资源交易平台（河南省·许昌市）</w:t>
      </w:r>
      <w:r>
        <w:rPr>
          <w:color w:val="auto"/>
          <w:highlight w:val="none"/>
        </w:rPr>
        <w:t>最后发出的</w:t>
      </w:r>
      <w:r>
        <w:rPr>
          <w:rFonts w:hint="eastAsia"/>
          <w:color w:val="auto"/>
          <w:highlight w:val="none"/>
        </w:rPr>
        <w:t>电子</w:t>
      </w:r>
      <w:r>
        <w:rPr>
          <w:color w:val="auto"/>
          <w:highlight w:val="none"/>
        </w:rPr>
        <w:t>文件为准。</w:t>
      </w:r>
    </w:p>
    <w:p>
      <w:pPr>
        <w:tabs>
          <w:tab w:val="left" w:pos="170"/>
        </w:tabs>
        <w:spacing w:line="360" w:lineRule="auto"/>
        <w:jc w:val="left"/>
        <w:rPr>
          <w:rFonts w:ascii="宋体" w:hAnsi="宋体"/>
          <w:b/>
          <w:color w:val="auto"/>
          <w:szCs w:val="21"/>
          <w:highlight w:val="none"/>
        </w:rPr>
      </w:pPr>
      <w:r>
        <w:rPr>
          <w:rFonts w:hint="eastAsia" w:ascii="宋体" w:hAnsi="宋体"/>
          <w:b/>
          <w:color w:val="auto"/>
          <w:szCs w:val="21"/>
          <w:highlight w:val="none"/>
        </w:rPr>
        <w:t>2.2 招标文件的澄清</w:t>
      </w:r>
    </w:p>
    <w:p>
      <w:pPr>
        <w:tabs>
          <w:tab w:val="left" w:pos="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2.2.1投标人应仔细阅读和检查招标文件的全部内容。如发现缺页或附件不全，应及时向招标人提出，以便补齐。如有疑问，应在投标人须知前附表规定的时间要求招标人对招标文件予以澄清。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b/>
          <w:bCs/>
          <w:color w:val="auto"/>
          <w:szCs w:val="21"/>
          <w:highlight w:val="none"/>
        </w:rPr>
        <w:t>如未提出异议，视为全面接受。</w:t>
      </w:r>
    </w:p>
    <w:p>
      <w:pPr>
        <w:pStyle w:val="9"/>
        <w:keepNext w:val="0"/>
        <w:keepLines w:val="0"/>
        <w:ind w:firstLine="420" w:firstLineChars="200"/>
        <w:rPr>
          <w:rFonts w:ascii="宋体" w:hAnsi="宋体"/>
          <w:b w:val="0"/>
          <w:bCs w:val="0"/>
          <w:color w:val="auto"/>
          <w:sz w:val="21"/>
          <w:szCs w:val="21"/>
          <w:highlight w:val="none"/>
        </w:rPr>
      </w:pPr>
      <w:r>
        <w:rPr>
          <w:rFonts w:hint="eastAsia" w:ascii="宋体" w:hAnsi="宋体"/>
          <w:b w:val="0"/>
          <w:bCs w:val="0"/>
          <w:color w:val="auto"/>
          <w:sz w:val="21"/>
          <w:szCs w:val="21"/>
          <w:highlight w:val="none"/>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pStyle w:val="9"/>
        <w:keepNext w:val="0"/>
        <w:keepLines w:val="0"/>
        <w:ind w:firstLine="420" w:firstLineChars="200"/>
        <w:rPr>
          <w:rFonts w:ascii="宋体" w:hAnsi="宋体"/>
          <w:b w:val="0"/>
          <w:bCs w:val="0"/>
          <w:color w:val="auto"/>
          <w:sz w:val="21"/>
          <w:szCs w:val="21"/>
          <w:highlight w:val="none"/>
        </w:rPr>
      </w:pPr>
      <w:r>
        <w:rPr>
          <w:rFonts w:hint="eastAsia" w:ascii="宋体" w:hAnsi="宋体"/>
          <w:b w:val="0"/>
          <w:bCs w:val="0"/>
          <w:color w:val="auto"/>
          <w:sz w:val="21"/>
          <w:szCs w:val="21"/>
          <w:highlight w:val="none"/>
        </w:rPr>
        <w:t>2.2.3 所有澄清、答疑全部以《全国公共资源交易平台（河南省·许昌市）》公共资源交易系统发出的为准，不再接受书面形式的递交。</w:t>
      </w:r>
    </w:p>
    <w:p>
      <w:pPr>
        <w:pStyle w:val="9"/>
        <w:keepNext w:val="0"/>
        <w:keepLines w:val="0"/>
        <w:rPr>
          <w:rFonts w:ascii="宋体" w:hAnsi="宋体"/>
          <w:color w:val="auto"/>
          <w:sz w:val="21"/>
          <w:szCs w:val="21"/>
          <w:highlight w:val="none"/>
        </w:rPr>
      </w:pPr>
      <w:r>
        <w:rPr>
          <w:rFonts w:hint="eastAsia" w:ascii="宋体" w:hAnsi="宋体"/>
          <w:color w:val="auto"/>
          <w:sz w:val="21"/>
          <w:szCs w:val="21"/>
          <w:highlight w:val="none"/>
        </w:rPr>
        <w:t>2.3 招标文件的修改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 在投标截止时间15天前，招标人可以通过《全国公共资源交易平台（河南省·许昌市）》公共资源交易系统修改招标文件，如果修改招标文件的时间距投标截止时间不足15 天，相应延长投标截止时间。</w:t>
      </w:r>
    </w:p>
    <w:p>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2.3.2 当招标文件（含评标、定标办法）、补充通知且修改内容可能影响投标文件编制的，内容相互矛盾时，以最后发出的通知（或纪要）为准。</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2.4 招标文件的解释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招标文件最终解释权归招标人，所有解释均依据本招标文件及有关的法律、法规；在评标时，若出现招标文件无明确说明和处理的情况时，由评标委员会讨论确定处理方案；评标委员会成员之间对处理方案有争议时，采取少数服从多数的投票方式确定。</w:t>
      </w:r>
    </w:p>
    <w:p>
      <w:pPr>
        <w:keepNext/>
        <w:keepLines/>
        <w:spacing w:line="360" w:lineRule="auto"/>
        <w:outlineLvl w:val="1"/>
        <w:rPr>
          <w:rFonts w:ascii="宋体" w:hAnsi="宋体"/>
          <w:b/>
          <w:color w:val="auto"/>
          <w:szCs w:val="21"/>
          <w:highlight w:val="none"/>
        </w:rPr>
      </w:pPr>
      <w:bookmarkStart w:id="28" w:name="_Toc453076495"/>
      <w:bookmarkStart w:id="29" w:name="_Toc1053"/>
      <w:bookmarkStart w:id="30" w:name="_Toc18216"/>
      <w:bookmarkStart w:id="31" w:name="_Toc2605"/>
      <w:r>
        <w:rPr>
          <w:rFonts w:hint="eastAsia" w:ascii="宋体" w:hAnsi="宋体"/>
          <w:b/>
          <w:color w:val="auto"/>
          <w:szCs w:val="21"/>
          <w:highlight w:val="none"/>
        </w:rPr>
        <w:t>3. 投标文件</w:t>
      </w:r>
      <w:bookmarkEnd w:id="28"/>
      <w:bookmarkEnd w:id="29"/>
      <w:bookmarkEnd w:id="30"/>
      <w:bookmarkEnd w:id="31"/>
    </w:p>
    <w:p>
      <w:pPr>
        <w:spacing w:line="360" w:lineRule="auto"/>
        <w:ind w:firstLine="420" w:firstLineChars="200"/>
        <w:rPr>
          <w:rFonts w:ascii="宋体" w:hAnsi="宋体" w:cs="宋体"/>
          <w:color w:val="auto"/>
          <w:szCs w:val="21"/>
          <w:highlight w:val="none"/>
        </w:rPr>
      </w:pPr>
      <w:bookmarkStart w:id="32" w:name="_Toc297211674"/>
      <w:r>
        <w:rPr>
          <w:rFonts w:hint="eastAsia" w:ascii="宋体" w:hAnsi="宋体" w:cs="宋体"/>
          <w:color w:val="auto"/>
          <w:szCs w:val="21"/>
          <w:highlight w:val="none"/>
        </w:rPr>
        <w:t>3.1 投标文件的组成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根据投标人须知前附表规定的不同形式，投标文件的组成应满足相应条款要求。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本项目采用双信封形式。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3.1.1 投标文件应包括下列内容：</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第一个信封（商务及技术文件）：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（1）投标函及投标函附录；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（2）授权委托书或法定代表人身份证明；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（4）施工组织设计；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（5）项目管理机构；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（6）资格审查资料；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（7）承诺函；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（8）目标承诺书；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9</w:t>
      </w:r>
      <w:r>
        <w:rPr>
          <w:rFonts w:hint="eastAsia" w:ascii="宋体" w:hAnsi="宋体" w:cs="宋体"/>
          <w:color w:val="auto"/>
          <w:szCs w:val="21"/>
          <w:highlight w:val="none"/>
        </w:rPr>
        <w:t>）需要补充的其他材料；</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第二个信封（报价文件）：</w:t>
      </w:r>
    </w:p>
    <w:p>
      <w:pPr>
        <w:spacing w:line="360" w:lineRule="auto"/>
        <w:ind w:firstLine="420" w:firstLineChars="200"/>
        <w:rPr>
          <w:rFonts w:ascii="宋体" w:hAnsi="宋体" w:cs="宋体"/>
          <w:color w:val="auto"/>
          <w:szCs w:val="21"/>
          <w:highlight w:val="none"/>
        </w:rPr>
      </w:pPr>
      <w:bookmarkStart w:id="33" w:name="page54"/>
      <w:bookmarkEnd w:id="33"/>
      <w:r>
        <w:rPr>
          <w:rFonts w:hint="eastAsia" w:ascii="宋体" w:hAnsi="宋体" w:cs="宋体"/>
          <w:color w:val="auto"/>
          <w:szCs w:val="21"/>
          <w:highlight w:val="none"/>
        </w:rPr>
        <w:t>（1）投标函及附表；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（2）已标价工程量清单；</w:t>
      </w:r>
    </w:p>
    <w:p>
      <w:pPr>
        <w:spacing w:after="120"/>
        <w:ind w:firstLine="420" w:firstLineChars="200"/>
        <w:rPr>
          <w:color w:val="auto"/>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）单价分析表；</w:t>
      </w:r>
    </w:p>
    <w:p>
      <w:pPr>
        <w:spacing w:after="120"/>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）主材价格表；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（5）合同用款估算表；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（6）需要补充其他内容；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3.1.2投标人在评标过程中作出的符合法律法规和招标文件规定的澄清确认，构成投标文件的组成部分。</w:t>
      </w:r>
    </w:p>
    <w:p>
      <w:pPr>
        <w:spacing w:line="360" w:lineRule="auto"/>
        <w:rPr>
          <w:rFonts w:ascii="宋体" w:hAnsi="宋体"/>
          <w:b/>
          <w:color w:val="auto"/>
          <w:szCs w:val="21"/>
          <w:highlight w:val="none"/>
        </w:rPr>
      </w:pPr>
      <w:r>
        <w:rPr>
          <w:rFonts w:hint="eastAsia" w:ascii="宋体" w:hAnsi="宋体"/>
          <w:b/>
          <w:color w:val="auto"/>
          <w:szCs w:val="21"/>
          <w:highlight w:val="none"/>
        </w:rPr>
        <w:t>3.2 投标报价</w:t>
      </w:r>
      <w:bookmarkEnd w:id="32"/>
    </w:p>
    <w:p>
      <w:pPr>
        <w:tabs>
          <w:tab w:val="left" w:pos="1200"/>
        </w:tabs>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3.2.1投标人应按第九章“投标文件格式”的要求在投标函中进行报价并填写工程量清单相应表格。</w:t>
      </w:r>
    </w:p>
    <w:p>
      <w:pPr>
        <w:spacing w:line="360" w:lineRule="auto"/>
        <w:ind w:left="120" w:firstLine="480"/>
        <w:rPr>
          <w:rFonts w:ascii="宋体" w:hAnsi="宋体" w:cs="宋体"/>
          <w:color w:val="auto"/>
          <w:szCs w:val="21"/>
          <w:highlight w:val="none"/>
        </w:rPr>
      </w:pPr>
      <w:r>
        <w:rPr>
          <w:rFonts w:hint="eastAsia" w:ascii="宋体" w:hAnsi="宋体" w:cs="宋体"/>
          <w:color w:val="auto"/>
          <w:szCs w:val="21"/>
          <w:highlight w:val="none"/>
        </w:rPr>
        <w:t>投标人应按投标人须知前附表规定的方式填写工程量清单。</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szCs w:val="21"/>
          <w:highlight w:val="none"/>
        </w:rPr>
        <w:t>本项目招标采用工程量固化清单</w:t>
      </w:r>
      <w:r>
        <w:rPr>
          <w:rFonts w:hint="eastAsia" w:ascii="宋体" w:hAnsi="宋体" w:cs="宋体"/>
          <w:color w:val="auto"/>
          <w:szCs w:val="21"/>
          <w:highlight w:val="none"/>
        </w:rPr>
        <w:t>，招标人在出售招标文件的同时向投标人</w:t>
      </w:r>
      <w:bookmarkStart w:id="34" w:name="page55"/>
      <w:bookmarkEnd w:id="34"/>
      <w:r>
        <w:rPr>
          <w:rFonts w:hint="eastAsia" w:ascii="宋体" w:hAnsi="宋体" w:cs="宋体"/>
          <w:color w:val="auto"/>
          <w:szCs w:val="21"/>
          <w:highlight w:val="none"/>
        </w:rPr>
        <w:t>提供工程量固化清单电子文件（U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投标人必须严格遵循工程量固化清单电子文件中的数据、格式及运算定义，严禁投标人修改工程量固化清单电子文件中的数据、格式及运算定义。</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投标人根据招标人提供的工程量固化清单电子文件填报完成并打印的投标工程量清单中的投标报价和投标函大写金额报价应一致，如果报价金额出现差异，其投标将被否决。</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本项目招标由招标人提供工程量清单，由投标人按照招标人提供的工程量清单填写本合同各工程子目的单价、合价和总额价。评标委员会将按照第三章“评标办法”的规定对投标价进行算术性错误修正及其他错误修正。</w:t>
      </w:r>
    </w:p>
    <w:p>
      <w:pPr>
        <w:keepNext w:val="0"/>
        <w:keepLines w:val="0"/>
        <w:pageBreakBefore w:val="0"/>
        <w:widowControl w:val="0"/>
        <w:numPr>
          <w:ilvl w:val="0"/>
          <w:numId w:val="9"/>
        </w:numPr>
        <w:tabs>
          <w:tab w:val="left" w:pos="1080"/>
        </w:tabs>
        <w:kinsoku/>
        <w:wordWrap/>
        <w:overflowPunct/>
        <w:topLinePunct w:val="0"/>
        <w:autoSpaceDE/>
        <w:autoSpaceDN/>
        <w:bidi w:val="0"/>
        <w:adjustRightInd/>
        <w:snapToGrid/>
        <w:spacing w:line="360" w:lineRule="auto"/>
        <w:ind w:lef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投标人应充分了解本项目的总体情况以及影响投标报价的其他要素。</w:t>
      </w:r>
    </w:p>
    <w:p>
      <w:pPr>
        <w:keepNext w:val="0"/>
        <w:keepLines w:val="0"/>
        <w:pageBreakBefore w:val="0"/>
        <w:widowControl w:val="0"/>
        <w:numPr>
          <w:ilvl w:val="0"/>
          <w:numId w:val="9"/>
        </w:numPr>
        <w:tabs>
          <w:tab w:val="left" w:pos="1080"/>
        </w:tabs>
        <w:kinsoku/>
        <w:wordWrap/>
        <w:overflowPunct/>
        <w:topLinePunct w:val="0"/>
        <w:autoSpaceDE/>
        <w:autoSpaceDN/>
        <w:bidi w:val="0"/>
        <w:adjustRightInd/>
        <w:snapToGrid/>
        <w:spacing w:line="360" w:lineRule="auto"/>
        <w:ind w:lef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本项目的报价方式见投标人须知前附表。投标人在投标截止时间前修改投标函中的投标总报价，应同时修改投标文件“已标价工程量清单”中的相应报价。此修改须符合本章第 4.3 款的有关要求。</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3.2.4投标人如果发现工程量清单中的数量与图纸中数量不一致时，应立即通知招标人核查，除非招标人通过《全国公共资源交易平台（河南省·许昌市）》平台予以更正，否则，应以工程量清单中列出的数量为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3.2.</w:t>
      </w:r>
      <w:r>
        <w:rPr>
          <w:rFonts w:ascii="宋体" w:hAnsi="宋体" w:cs="宋体"/>
          <w:color w:val="auto"/>
          <w:szCs w:val="21"/>
          <w:highlight w:val="none"/>
        </w:rPr>
        <w:t>5</w:t>
      </w:r>
      <w:r>
        <w:rPr>
          <w:rFonts w:hint="eastAsia" w:ascii="宋体" w:hAnsi="宋体" w:cs="宋体"/>
          <w:color w:val="auto"/>
          <w:szCs w:val="21"/>
          <w:highlight w:val="none"/>
        </w:rPr>
        <w:t>投标人应根据《公路水运工程安全生产监督管理办法》，在投标总价中计入安全生产费用，安全生产费用应符合合同条款第 9.2.5 项的规定。</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3.2.</w:t>
      </w:r>
      <w:r>
        <w:rPr>
          <w:rFonts w:ascii="宋体" w:hAnsi="宋体" w:cs="宋体"/>
          <w:color w:val="auto"/>
          <w:szCs w:val="21"/>
          <w:highlight w:val="none"/>
        </w:rPr>
        <w:t>6</w:t>
      </w:r>
      <w:r>
        <w:rPr>
          <w:rFonts w:hint="eastAsia" w:ascii="宋体" w:hAnsi="宋体" w:cs="宋体"/>
          <w:color w:val="auto"/>
          <w:szCs w:val="21"/>
          <w:highlight w:val="none"/>
        </w:rPr>
        <w:t>招标人设有最高投标限价的，投标人的投标报价不得超过最高投标限价，最高投标限价在投标人须知前附表中载明。</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color w:val="auto"/>
          <w:highlight w:val="none"/>
        </w:rPr>
      </w:pPr>
      <w:r>
        <w:rPr>
          <w:rFonts w:ascii="宋体" w:hAnsi="宋体"/>
          <w:color w:val="auto"/>
          <w:highlight w:val="none"/>
        </w:rPr>
        <w:t>3.2.7</w:t>
      </w:r>
      <w:r>
        <w:rPr>
          <w:rFonts w:hint="eastAsia" w:ascii="宋体" w:hAnsi="宋体"/>
          <w:color w:val="auto"/>
          <w:highlight w:val="none"/>
        </w:rPr>
        <w:t>除投</w:t>
      </w:r>
      <w:r>
        <w:rPr>
          <w:rFonts w:hint="eastAsia"/>
          <w:color w:val="auto"/>
          <w:highlight w:val="none"/>
        </w:rPr>
        <w:t>标人须知前附表另有规定外，招标人不接受调价函。</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ascii="宋体" w:hAnsi="宋体" w:cs="宋体"/>
          <w:color w:val="auto"/>
          <w:szCs w:val="21"/>
          <w:highlight w:val="none"/>
        </w:rPr>
      </w:pPr>
      <w:r>
        <w:rPr>
          <w:rFonts w:ascii="宋体" w:hAnsi="宋体"/>
          <w:color w:val="auto"/>
          <w:highlight w:val="none"/>
        </w:rPr>
        <w:t>3.2.8</w:t>
      </w:r>
      <w:r>
        <w:rPr>
          <w:rFonts w:hint="eastAsia" w:ascii="宋体" w:hAnsi="宋体" w:cs="宋体"/>
          <w:color w:val="auto"/>
          <w:szCs w:val="21"/>
          <w:highlight w:val="none"/>
        </w:rPr>
        <w:t>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.2.9</w:t>
      </w:r>
      <w:r>
        <w:rPr>
          <w:rFonts w:hint="eastAsia" w:ascii="宋体" w:hAnsi="宋体" w:cs="宋体"/>
          <w:color w:val="auto"/>
          <w:szCs w:val="21"/>
          <w:highlight w:val="none"/>
        </w:rPr>
        <w:t>投标报价的其他要求见投标人须知前附表。</w:t>
      </w:r>
    </w:p>
    <w:p>
      <w:pPr>
        <w:widowControl/>
        <w:spacing w:line="360" w:lineRule="auto"/>
        <w:jc w:val="left"/>
        <w:rPr>
          <w:rFonts w:ascii="宋体" w:hAnsi="宋体"/>
          <w:b/>
          <w:color w:val="auto"/>
          <w:szCs w:val="21"/>
          <w:highlight w:val="none"/>
        </w:rPr>
      </w:pPr>
      <w:r>
        <w:rPr>
          <w:rFonts w:hint="eastAsia" w:ascii="宋体" w:hAnsi="宋体"/>
          <w:b/>
          <w:color w:val="auto"/>
          <w:szCs w:val="21"/>
          <w:highlight w:val="none"/>
        </w:rPr>
        <w:t>3.3投标有效期</w:t>
      </w:r>
    </w:p>
    <w:p>
      <w:pPr>
        <w:widowControl/>
        <w:spacing w:line="360" w:lineRule="auto"/>
        <w:ind w:firstLine="420" w:firstLineChars="200"/>
        <w:jc w:val="left"/>
        <w:rPr>
          <w:rFonts w:ascii="宋体" w:hAnsi="宋体"/>
          <w:color w:val="auto"/>
          <w:szCs w:val="21"/>
          <w:highlight w:val="none"/>
        </w:rPr>
      </w:pPr>
      <w:bookmarkStart w:id="35" w:name="_Toc297211675"/>
      <w:r>
        <w:rPr>
          <w:rFonts w:hint="eastAsia" w:ascii="宋体" w:hAnsi="宋体"/>
          <w:color w:val="auto"/>
          <w:szCs w:val="21"/>
          <w:highlight w:val="none"/>
        </w:rPr>
        <w:t>3.3.1</w:t>
      </w:r>
      <w:r>
        <w:rPr>
          <w:rFonts w:hint="eastAsia" w:ascii="宋体" w:hAnsi="宋体"/>
          <w:color w:val="auto"/>
          <w:szCs w:val="21"/>
          <w:highlight w:val="none"/>
        </w:rPr>
        <w:t>投标有效期见投标人须知前附表。</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3.3.2</w:t>
      </w:r>
      <w:r>
        <w:rPr>
          <w:color w:val="auto"/>
          <w:highlight w:val="none"/>
        </w:rPr>
        <w:t>在投标有效期内，投标人撤销投标文件的，应承担招标文件和法律规定的责任。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3.3.3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spacing w:line="360" w:lineRule="auto"/>
        <w:rPr>
          <w:rFonts w:ascii="宋体" w:hAnsi="宋体"/>
          <w:b/>
          <w:color w:val="auto"/>
          <w:szCs w:val="21"/>
          <w:highlight w:val="none"/>
        </w:rPr>
      </w:pPr>
      <w:r>
        <w:rPr>
          <w:rFonts w:hint="eastAsia" w:ascii="宋体" w:hAnsi="宋体"/>
          <w:b/>
          <w:color w:val="auto"/>
          <w:szCs w:val="21"/>
          <w:highlight w:val="none"/>
        </w:rPr>
        <w:t>3.4投标保证金</w:t>
      </w:r>
      <w:bookmarkEnd w:id="35"/>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3.4.1 投标保证金的递交</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3.4.1.1因投标人的原因无法及时退还投标（竞买）保证金、滞留三年以上的，投标（竞买）保证金上缴财政。</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3.4.1.2自文件发布之日起，投标人需进行基本户备案（建设工程项目），已备案的基本户开户银行、账户发生变化的，须重新办理备案手续。备案后方可提交投标（竞买）保证金。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 xml:space="preserve">基本户备案流程： </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3.4.2 投标保证金缴纳：按《投标人须知前附表》第3.4.2条规定。</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3.4.2.2 投标保证金缴纳方式：</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zh-CN"/>
        </w:rPr>
        <w:t>投标人网上报名后</w:t>
      </w:r>
      <w:r>
        <w:rPr>
          <w:rFonts w:hint="eastAsia" w:ascii="宋体" w:hAnsi="宋体" w:cs="宋体"/>
          <w:color w:val="auto"/>
          <w:szCs w:val="21"/>
          <w:highlight w:val="none"/>
        </w:rPr>
        <w:t>，</w:t>
      </w:r>
      <w:r>
        <w:rPr>
          <w:rFonts w:hint="eastAsia" w:ascii="宋体" w:hAnsi="宋体" w:cs="宋体"/>
          <w:color w:val="auto"/>
          <w:szCs w:val="21"/>
          <w:highlight w:val="none"/>
          <w:lang w:val="zh-CN"/>
        </w:rPr>
        <w:t>登录</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Fonts w:hint="eastAsia" w:ascii="宋体" w:hAnsi="宋体" w:cs="宋体"/>
          <w:color w:val="auto"/>
          <w:szCs w:val="21"/>
          <w:highlight w:val="none"/>
        </w:rPr>
        <w:t>http://221.14.6.70:8088/ggzy</w:t>
      </w:r>
      <w:r>
        <w:rPr>
          <w:rFonts w:hint="eastAsia" w:ascii="宋体" w:hAnsi="宋体" w:cs="宋体"/>
          <w:color w:val="auto"/>
          <w:szCs w:val="21"/>
          <w:highlight w:val="none"/>
        </w:rPr>
        <w:fldChar w:fldCharType="end"/>
      </w:r>
      <w:r>
        <w:rPr>
          <w:rFonts w:hint="eastAsia" w:ascii="宋体" w:hAnsi="宋体" w:cs="宋体"/>
          <w:color w:val="auto"/>
          <w:szCs w:val="21"/>
          <w:highlight w:val="none"/>
          <w:lang w:val="zh-CN"/>
        </w:rPr>
        <w:t>系统</w:t>
      </w:r>
      <w:r>
        <w:rPr>
          <w:rFonts w:hint="eastAsia" w:ascii="宋体" w:hAnsi="宋体" w:cs="宋体"/>
          <w:color w:val="auto"/>
          <w:szCs w:val="21"/>
          <w:highlight w:val="none"/>
        </w:rPr>
        <w:t>，</w:t>
      </w:r>
      <w:r>
        <w:rPr>
          <w:rFonts w:hint="eastAsia" w:ascii="宋体" w:hAnsi="宋体" w:cs="宋体"/>
          <w:color w:val="auto"/>
          <w:szCs w:val="21"/>
          <w:highlight w:val="none"/>
          <w:lang w:val="zh-CN"/>
        </w:rPr>
        <w:t>依次点击</w:t>
      </w:r>
      <w:r>
        <w:rPr>
          <w:rFonts w:hint="eastAsia" w:ascii="宋体" w:hAnsi="宋体" w:cs="宋体"/>
          <w:color w:val="auto"/>
          <w:szCs w:val="21"/>
          <w:highlight w:val="none"/>
        </w:rPr>
        <w:t>“</w:t>
      </w:r>
      <w:r>
        <w:rPr>
          <w:rFonts w:hint="eastAsia" w:ascii="宋体" w:hAnsi="宋体" w:cs="宋体"/>
          <w:color w:val="auto"/>
          <w:szCs w:val="21"/>
          <w:highlight w:val="none"/>
          <w:lang w:val="zh-CN"/>
        </w:rPr>
        <w:t>会员向导</w:t>
      </w:r>
      <w:r>
        <w:rPr>
          <w:rFonts w:hint="eastAsia" w:ascii="宋体" w:hAnsi="宋体" w:cs="宋体"/>
          <w:color w:val="auto"/>
          <w:szCs w:val="21"/>
          <w:highlight w:val="none"/>
        </w:rPr>
        <w:t>”→“</w:t>
      </w:r>
      <w:r>
        <w:rPr>
          <w:rFonts w:hint="eastAsia" w:ascii="宋体" w:hAnsi="宋体" w:cs="宋体"/>
          <w:color w:val="auto"/>
          <w:szCs w:val="21"/>
          <w:highlight w:val="none"/>
          <w:lang w:val="zh-CN"/>
        </w:rPr>
        <w:t>参与投标</w:t>
      </w:r>
      <w:r>
        <w:rPr>
          <w:rFonts w:hint="eastAsia" w:ascii="宋体" w:hAnsi="宋体" w:cs="宋体"/>
          <w:color w:val="auto"/>
          <w:szCs w:val="21"/>
          <w:highlight w:val="none"/>
        </w:rPr>
        <w:t>”→“</w:t>
      </w:r>
      <w:r>
        <w:rPr>
          <w:rFonts w:hint="eastAsia" w:ascii="宋体" w:hAnsi="宋体" w:cs="宋体"/>
          <w:color w:val="auto"/>
          <w:szCs w:val="21"/>
          <w:highlight w:val="none"/>
          <w:lang w:val="zh-CN"/>
        </w:rPr>
        <w:t>费用缴纳说明</w:t>
      </w:r>
      <w:r>
        <w:rPr>
          <w:rFonts w:hint="eastAsia" w:ascii="宋体" w:hAnsi="宋体" w:cs="宋体"/>
          <w:color w:val="auto"/>
          <w:szCs w:val="21"/>
          <w:highlight w:val="none"/>
        </w:rPr>
        <w:t>”→“</w:t>
      </w:r>
      <w:r>
        <w:rPr>
          <w:rFonts w:hint="eastAsia" w:ascii="宋体" w:hAnsi="宋体" w:cs="宋体"/>
          <w:color w:val="auto"/>
          <w:szCs w:val="21"/>
          <w:highlight w:val="none"/>
          <w:lang w:val="zh-CN"/>
        </w:rPr>
        <w:t>保证金缴纳说明单</w:t>
      </w:r>
      <w:r>
        <w:rPr>
          <w:rFonts w:hint="eastAsia" w:ascii="宋体" w:hAnsi="宋体" w:cs="宋体"/>
          <w:color w:val="auto"/>
          <w:szCs w:val="21"/>
          <w:highlight w:val="none"/>
        </w:rPr>
        <w:t>”，</w:t>
      </w:r>
      <w:r>
        <w:rPr>
          <w:rFonts w:hint="eastAsia" w:ascii="宋体" w:hAnsi="宋体" w:cs="宋体"/>
          <w:color w:val="auto"/>
          <w:szCs w:val="21"/>
          <w:highlight w:val="none"/>
          <w:lang w:val="zh-CN"/>
        </w:rPr>
        <w:t>获取缴费说明单</w:t>
      </w:r>
      <w:r>
        <w:rPr>
          <w:rFonts w:hint="eastAsia" w:ascii="宋体" w:hAnsi="宋体" w:cs="宋体"/>
          <w:color w:val="auto"/>
          <w:szCs w:val="21"/>
          <w:highlight w:val="none"/>
        </w:rPr>
        <w:t>，</w:t>
      </w:r>
      <w:r>
        <w:rPr>
          <w:rFonts w:hint="eastAsia" w:ascii="宋体" w:hAnsi="宋体" w:cs="宋体"/>
          <w:color w:val="auto"/>
          <w:szCs w:val="21"/>
          <w:highlight w:val="none"/>
          <w:lang w:val="zh-CN"/>
        </w:rPr>
        <w:t>根据每个标段的缴纳说明单在缴纳截止时间前缴纳</w:t>
      </w:r>
      <w:r>
        <w:rPr>
          <w:rFonts w:hint="eastAsia" w:ascii="宋体" w:hAnsi="宋体" w:cs="宋体"/>
          <w:color w:val="auto"/>
          <w:szCs w:val="21"/>
          <w:highlight w:val="none"/>
        </w:rPr>
        <w:t>；</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zh-CN"/>
        </w:rPr>
        <w:t>成功缴纳后重新登录前述系统</w:t>
      </w:r>
      <w:r>
        <w:rPr>
          <w:rFonts w:hint="eastAsia" w:ascii="宋体" w:hAnsi="宋体" w:cs="宋体"/>
          <w:color w:val="auto"/>
          <w:szCs w:val="21"/>
          <w:highlight w:val="none"/>
        </w:rPr>
        <w:t>，</w:t>
      </w:r>
      <w:r>
        <w:rPr>
          <w:rFonts w:hint="eastAsia" w:ascii="宋体" w:hAnsi="宋体" w:cs="宋体"/>
          <w:color w:val="auto"/>
          <w:szCs w:val="21"/>
          <w:highlight w:val="none"/>
          <w:lang w:val="zh-CN"/>
        </w:rPr>
        <w:t>依次点击</w:t>
      </w:r>
      <w:r>
        <w:rPr>
          <w:rFonts w:hint="eastAsia" w:ascii="宋体" w:hAnsi="宋体" w:cs="宋体"/>
          <w:color w:val="auto"/>
          <w:szCs w:val="21"/>
          <w:highlight w:val="none"/>
        </w:rPr>
        <w:t>“</w:t>
      </w:r>
      <w:r>
        <w:rPr>
          <w:rFonts w:hint="eastAsia" w:ascii="宋体" w:hAnsi="宋体" w:cs="宋体"/>
          <w:color w:val="auto"/>
          <w:szCs w:val="21"/>
          <w:highlight w:val="none"/>
          <w:lang w:val="zh-CN"/>
        </w:rPr>
        <w:t>会员向导</w:t>
      </w:r>
      <w:r>
        <w:rPr>
          <w:rFonts w:hint="eastAsia" w:ascii="宋体" w:hAnsi="宋体" w:cs="宋体"/>
          <w:color w:val="auto"/>
          <w:szCs w:val="21"/>
          <w:highlight w:val="none"/>
        </w:rPr>
        <w:t>”→“</w:t>
      </w:r>
      <w:r>
        <w:rPr>
          <w:rFonts w:hint="eastAsia" w:ascii="宋体" w:hAnsi="宋体" w:cs="宋体"/>
          <w:color w:val="auto"/>
          <w:szCs w:val="21"/>
          <w:highlight w:val="none"/>
          <w:lang w:val="zh-CN"/>
        </w:rPr>
        <w:t>参与投标</w:t>
      </w:r>
      <w:r>
        <w:rPr>
          <w:rFonts w:hint="eastAsia" w:ascii="宋体" w:hAnsi="宋体" w:cs="宋体"/>
          <w:color w:val="auto"/>
          <w:szCs w:val="21"/>
          <w:highlight w:val="none"/>
        </w:rPr>
        <w:t>”→“</w:t>
      </w:r>
      <w:r>
        <w:rPr>
          <w:rFonts w:hint="eastAsia" w:ascii="宋体" w:hAnsi="宋体" w:cs="宋体"/>
          <w:color w:val="auto"/>
          <w:szCs w:val="21"/>
          <w:highlight w:val="none"/>
          <w:lang w:val="zh-CN"/>
        </w:rPr>
        <w:t>保证金绑定</w:t>
      </w:r>
      <w:r>
        <w:rPr>
          <w:rFonts w:hint="eastAsia" w:ascii="宋体" w:hAnsi="宋体" w:cs="宋体"/>
          <w:color w:val="auto"/>
          <w:szCs w:val="21"/>
          <w:highlight w:val="none"/>
        </w:rPr>
        <w:t>”→“</w:t>
      </w:r>
      <w:r>
        <w:rPr>
          <w:rFonts w:hint="eastAsia" w:ascii="宋体" w:hAnsi="宋体" w:cs="宋体"/>
          <w:color w:val="auto"/>
          <w:szCs w:val="21"/>
          <w:highlight w:val="none"/>
          <w:lang w:val="zh-CN"/>
        </w:rPr>
        <w:t>绑定</w:t>
      </w:r>
      <w:r>
        <w:rPr>
          <w:rFonts w:hint="eastAsia" w:ascii="宋体" w:hAnsi="宋体" w:cs="宋体"/>
          <w:color w:val="auto"/>
          <w:szCs w:val="21"/>
          <w:highlight w:val="none"/>
        </w:rPr>
        <w:t>”</w:t>
      </w:r>
      <w:r>
        <w:rPr>
          <w:rFonts w:hint="eastAsia" w:ascii="宋体" w:hAnsi="宋体" w:cs="宋体"/>
          <w:color w:val="auto"/>
          <w:szCs w:val="21"/>
          <w:highlight w:val="none"/>
          <w:lang w:val="zh-CN"/>
        </w:rPr>
        <w:t>进行投标保证金绑定。</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3.4.2.3 每个投标人每个项目每个标段只有唯一缴纳账号，</w:t>
      </w:r>
      <w:r>
        <w:rPr>
          <w:rFonts w:hint="eastAsia" w:ascii="宋体" w:hAnsi="宋体" w:cs="宋体"/>
          <w:color w:val="auto"/>
          <w:szCs w:val="21"/>
          <w:highlight w:val="none"/>
        </w:rPr>
        <w:t>切勿重复缴纳或错误缴纳。</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zh-CN"/>
        </w:rPr>
        <w:t>3.4.2.4</w:t>
      </w:r>
      <w:r>
        <w:rPr>
          <w:rFonts w:hint="eastAsia" w:ascii="宋体" w:hAnsi="宋体" w:cs="宋体"/>
          <w:color w:val="auto"/>
          <w:szCs w:val="21"/>
          <w:highlight w:val="none"/>
        </w:rPr>
        <w:t>未按上述规定操作引起的无效投标，由投标人自行负责。</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3.4.2.5汇款凭证无须备注项目编号和项目名称。</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zh-CN"/>
        </w:rPr>
        <w:t xml:space="preserve">3.4.2.6 </w:t>
      </w:r>
      <w:r>
        <w:rPr>
          <w:rFonts w:hint="eastAsia" w:ascii="宋体" w:hAnsi="宋体" w:cs="宋体"/>
          <w:color w:val="auto"/>
          <w:szCs w:val="21"/>
          <w:highlight w:val="none"/>
        </w:rPr>
        <w:t>出现以下情形造成的投标保证金无效，由投标人自行负责。</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(1)投标保证金未从投标人的基本账户转出；</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(2)投标保证金未按照招标文件划分的标段转账。</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3.4.2.7 《保证金缴纳绑定操作指南》获取方法：</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登录许昌公共资源交易系统-组件下载-《保证金缴纳绑定操作指南》</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3.4.3 投标人不按本章第3.4.2项要求提交投标保证金的，拒收其投标文件。</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3.4.4投标保证金的退还：</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（1）中标候选人公示期满没有质疑或投诉的，退还非中标候选人投标保证金及银行同期活期存款利息。</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（3）项目废标或招标人终止招标的，在此后5个工作日内退还投标保证金及银行同期活期存利息。</w:t>
      </w:r>
      <w:r>
        <w:rPr>
          <w:rFonts w:hint="eastAsia" w:ascii="宋体" w:hAnsi="宋体" w:cs="宋体"/>
          <w:color w:val="auto"/>
          <w:szCs w:val="21"/>
          <w:highlight w:val="none"/>
          <w:lang w:val="zh-CN"/>
        </w:rPr>
        <w:br w:type="textWrapping"/>
      </w:r>
      <w:r>
        <w:rPr>
          <w:rFonts w:hint="eastAsia" w:ascii="宋体" w:hAnsi="宋体" w:cs="宋体"/>
          <w:color w:val="auto"/>
          <w:szCs w:val="21"/>
          <w:highlight w:val="none"/>
          <w:lang w:val="zh-CN"/>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（5）相关投标人有违法违规行为的项目，其投标保证金暂不退还，待行政监督部门对相关情况处置后，按照有关规定办理。</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（6）退还投标保证金，除另有规定外，一般以转账方式一次性退还至投标保证金的原提交账户。</w:t>
      </w:r>
      <w:r>
        <w:rPr>
          <w:rFonts w:hint="eastAsia" w:ascii="宋体" w:hAnsi="宋体" w:cs="宋体"/>
          <w:color w:val="auto"/>
          <w:szCs w:val="21"/>
          <w:highlight w:val="none"/>
          <w:lang w:val="zh-CN"/>
        </w:rPr>
        <w:br w:type="textWrapping"/>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3.4.5投标人有下列情形之一的，不予退还投标保证金：</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 xml:space="preserve">（一）在招标文件要求提交投标文件的截止时间后至投标文件有效期满前撤回投标的； </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 xml:space="preserve">（三）将中标项目转让给他人，或者在投标文件中未说明，且未经招标人同意，将中标项目分包给他人的；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 xml:space="preserve">（四）投标人在招投标活动中弄虚作假、围标串标，骗取中标等，经招投标行政监督部门调查核实的； </w:t>
      </w:r>
    </w:p>
    <w:p>
      <w:pPr>
        <w:tabs>
          <w:tab w:val="left" w:pos="1260"/>
        </w:tabs>
        <w:autoSpaceDE w:val="0"/>
        <w:autoSpaceDN w:val="0"/>
        <w:adjustRightInd w:val="0"/>
        <w:spacing w:line="36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（五）拒绝履行合同义务的；</w:t>
      </w:r>
    </w:p>
    <w:p>
      <w:pPr>
        <w:tabs>
          <w:tab w:val="left" w:pos="1260"/>
        </w:tabs>
        <w:autoSpaceDE w:val="0"/>
        <w:autoSpaceDN w:val="0"/>
        <w:adjustRightIn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六）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（七）相关法律、法规规定不予退还的其它情形。</w:t>
      </w:r>
    </w:p>
    <w:p>
      <w:pPr>
        <w:tabs>
          <w:tab w:val="left" w:pos="420"/>
        </w:tabs>
        <w:spacing w:line="360" w:lineRule="auto"/>
        <w:rPr>
          <w:rFonts w:ascii="宋体" w:hAnsi="宋体" w:cs="宋体"/>
          <w:b/>
          <w:bCs/>
          <w:color w:val="auto"/>
          <w:szCs w:val="21"/>
          <w:highlight w:val="none"/>
        </w:rPr>
      </w:pPr>
      <w:r>
        <w:rPr>
          <w:rFonts w:hint="eastAsia" w:ascii="宋体" w:hAnsi="宋体" w:cs="宋体"/>
          <w:b/>
          <w:bCs/>
          <w:color w:val="auto"/>
          <w:highlight w:val="none"/>
        </w:rPr>
        <w:t>3.</w:t>
      </w:r>
      <w:r>
        <w:rPr>
          <w:rFonts w:hint="eastAsia" w:ascii="宋体" w:hAnsi="宋体" w:cs="宋体"/>
          <w:b/>
          <w:bCs/>
          <w:color w:val="auto"/>
          <w:szCs w:val="21"/>
          <w:highlight w:val="none"/>
        </w:rPr>
        <w:t>5资格审查资料</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除投标人须知前附表另有规定外，投标人应按下列规定提供资格审查资料，以证明其满足本章第 1.4 款规定的资质、财务、业绩、信誉等要求。</w:t>
      </w:r>
    </w:p>
    <w:p>
      <w:pPr>
        <w:tabs>
          <w:tab w:val="left" w:pos="520"/>
        </w:tabs>
        <w:spacing w:line="360" w:lineRule="auto"/>
        <w:ind w:firstLine="420" w:firstLineChars="200"/>
        <w:rPr>
          <w:rFonts w:hint="eastAsia" w:ascii="宋体" w:hAnsi="宋体" w:cs="宋体"/>
          <w:b/>
          <w:bCs/>
          <w:color w:val="auto"/>
          <w:szCs w:val="21"/>
          <w:highlight w:val="none"/>
          <w:lang w:eastAsia="zh-CN"/>
        </w:rPr>
      </w:pPr>
      <w:r>
        <w:rPr>
          <w:rFonts w:hint="eastAsia" w:ascii="宋体" w:hAnsi="宋体" w:cs="宋体"/>
          <w:color w:val="auto"/>
          <w:szCs w:val="21"/>
          <w:highlight w:val="none"/>
        </w:rPr>
        <w:t>3.5.1“投标人基本情况表”应附企业法人营业执照副本和组织机构代码证副本</w:t>
      </w:r>
      <w:r>
        <w:rPr>
          <w:rFonts w:hint="eastAsia" w:ascii="宋体" w:hAnsi="宋体" w:cs="宋体"/>
          <w:color w:val="auto"/>
          <w:szCs w:val="21"/>
          <w:highlight w:val="none"/>
          <w:lang w:val="en-US"/>
        </w:rPr>
        <w:t>,</w:t>
      </w:r>
      <w:r>
        <w:rPr>
          <w:rFonts w:hint="eastAsia" w:ascii="宋体" w:hAnsi="宋体" w:cs="宋体"/>
          <w:color w:val="auto"/>
          <w:szCs w:val="21"/>
          <w:highlight w:val="none"/>
        </w:rPr>
        <w:t>（按照“三证合一”或“五证合一”登记制度进行登记的，可仅提供营业执照副本，下同）、施工资质证书副本、安全生产许可证副本、基本账户开户许可证的原件扫描件或图片，</w:t>
      </w:r>
      <w:r>
        <w:rPr>
          <w:rFonts w:hint="eastAsia" w:ascii="宋体" w:hAnsi="宋体" w:cs="宋体"/>
          <w:b/>
          <w:bCs/>
          <w:color w:val="auto"/>
          <w:szCs w:val="21"/>
          <w:highlight w:val="none"/>
        </w:rPr>
        <w:t>投标人在交通运输部“全国公路建设市场信用信息管理系统”公路工程施工资质企业名录中的网页截图，以及投标人在国家企业信用信息公示系统中基础信息（体现股东及出资详细信息）的网页截图或由法定的社会验资机构出具的验资报告或注册地工商部门出具的股东出资情况证明原件扫描件或图片。养护工程资质提供原件扫描件或图片</w:t>
      </w:r>
      <w:r>
        <w:rPr>
          <w:rFonts w:hint="eastAsia" w:ascii="宋体" w:hAnsi="宋体" w:cs="宋体"/>
          <w:b/>
          <w:bCs/>
          <w:color w:val="auto"/>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color w:val="auto"/>
          <w:highlight w:val="none"/>
        </w:rPr>
      </w:pPr>
      <w:r>
        <w:rPr>
          <w:rFonts w:hint="eastAsia" w:ascii="宋体" w:hAnsi="宋体" w:eastAsia="宋体" w:cs="宋体"/>
          <w:color w:val="auto"/>
          <w:kern w:val="2"/>
          <w:sz w:val="21"/>
          <w:szCs w:val="21"/>
          <w:highlight w:val="none"/>
          <w:lang w:val="en-US" w:eastAsia="zh-CN" w:bidi="ar-SA"/>
        </w:rPr>
        <w:t>企业法人营业执照副本和组织机构代码证副本、施工资质证书副本、安全生产许可证副本、基本账户开户许可证的原件扫描件或图片，应提供全本（证书封面、封底、空白页除外），应包括投标人名称、投标人其他相关信息、颁发机构名称、投标人信息变更情况等关键页在内。</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3.5.2“财务状况表”应附经会计师事务所或审计机构审计的财务会计报表的原件扫描件或图片，具体年份要求见投标人须知前附表。投标人的成立时间少于投标人须知前附表规定年份的，应提供成立以来的财务状况表。</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3.5.3“近年完成的类似</w:t>
      </w:r>
      <w:r>
        <w:rPr>
          <w:rFonts w:hint="eastAsia" w:ascii="宋体" w:hAnsi="宋体" w:cs="宋体"/>
          <w:color w:val="auto"/>
          <w:kern w:val="2"/>
          <w:sz w:val="21"/>
          <w:szCs w:val="21"/>
          <w:highlight w:val="none"/>
          <w:lang w:val="en-US" w:eastAsia="zh-CN" w:bidi="ar-SA"/>
        </w:rPr>
        <w:t>企业</w:t>
      </w:r>
      <w:r>
        <w:rPr>
          <w:rFonts w:hint="eastAsia" w:ascii="宋体" w:hAnsi="宋体" w:eastAsia="宋体" w:cs="宋体"/>
          <w:color w:val="auto"/>
          <w:kern w:val="2"/>
          <w:sz w:val="21"/>
          <w:szCs w:val="21"/>
          <w:highlight w:val="none"/>
          <w:lang w:val="en-US" w:eastAsia="zh-CN" w:bidi="ar-SA"/>
        </w:rPr>
        <w:t>项目”是指国省干线公路桥梁维修专项工程或包含桥梁工程分项的施工总承包项目。应附中标通知书、中标公示网页版、合同等证明材料复印件的原件扫描件（或图片），具体年份要求见投标人须知前附表。每张表格只填写一个项目，并标明序号。</w:t>
      </w:r>
    </w:p>
    <w:p>
      <w:pPr>
        <w:spacing w:line="360" w:lineRule="auto"/>
        <w:ind w:firstLine="420" w:firstLineChars="200"/>
        <w:rPr>
          <w:rFonts w:hint="eastAsia"/>
          <w:color w:val="auto"/>
          <w:sz w:val="21"/>
          <w:szCs w:val="21"/>
          <w:highlight w:val="none"/>
        </w:rPr>
      </w:pPr>
      <w:r>
        <w:rPr>
          <w:rFonts w:hint="eastAsia"/>
          <w:color w:val="auto"/>
          <w:sz w:val="21"/>
          <w:szCs w:val="21"/>
          <w:highlight w:val="none"/>
          <w:lang w:val="en-US"/>
        </w:rPr>
        <w:t>3.5.4</w:t>
      </w:r>
      <w:r>
        <w:rPr>
          <w:rFonts w:hint="eastAsia"/>
          <w:color w:val="auto"/>
          <w:sz w:val="21"/>
          <w:szCs w:val="21"/>
          <w:highlight w:val="none"/>
        </w:rPr>
        <w:t>“投标人的信誉情况表”应附投标人在国家企业信用信息公示系统中未被列入严重违法失信企业名单、在“信用中国”网站中未被列入失信被执行人名单的网页截图。</w:t>
      </w:r>
    </w:p>
    <w:p>
      <w:pPr>
        <w:spacing w:line="360" w:lineRule="auto"/>
        <w:ind w:firstLine="420" w:firstLineChars="200"/>
        <w:rPr>
          <w:rFonts w:hint="eastAsia"/>
          <w:color w:val="auto"/>
          <w:sz w:val="21"/>
          <w:szCs w:val="21"/>
          <w:highlight w:val="none"/>
        </w:rPr>
      </w:pPr>
      <w:r>
        <w:rPr>
          <w:rFonts w:hint="eastAsia"/>
          <w:color w:val="auto"/>
          <w:sz w:val="21"/>
          <w:szCs w:val="21"/>
          <w:highlight w:val="none"/>
          <w:lang w:val="en-US"/>
        </w:rPr>
        <w:t>3.5.5</w:t>
      </w:r>
      <w:r>
        <w:rPr>
          <w:rFonts w:hint="eastAsia"/>
          <w:color w:val="auto"/>
          <w:sz w:val="21"/>
          <w:szCs w:val="21"/>
          <w:highlight w:val="none"/>
        </w:rPr>
        <w:t>“拟委任的项目经理和项目总工资历表”应附项目经理和项目总工的身份证、职称资格证书以及资格审查条件所要求的其他相关证书（如建造师注册证书、安全生产考核合格证书等）的原件扫描件或图片，建造师注册证书、安全生产考核合格证书在政府相关部门网站上公开信息的网页截图，以及投标人所属社保机构出具的拟委任的项目经理和项目总工的社保缴费证明或其他能够证明拟委任的项目经理和项目总工参加社保的有效证明材料原件扫描件或图片。</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如项目经理或项目总工目前仍在其他项目上任职，则投标人应提供由该项目发包人出具的、承诺上述人员能够从该项目撤离的书面证明材料原件。</w:t>
      </w:r>
    </w:p>
    <w:p>
      <w:pPr>
        <w:autoSpaceDE w:val="0"/>
        <w:autoSpaceDN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rPr>
        <w:t>3.5.6“拟委任的其他管理和技术人员汇总表”（如有）应填报满足投标人须知前附表附录</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en-US"/>
        </w:rPr>
        <w:t>规定的其他人员的相关信息。“拟委任的其他管理和技术人员资历表”（如有）中相关人员应附身份证、职称资格证书以及资格审查条件所要求的其他相关证书的</w:t>
      </w:r>
      <w:r>
        <w:rPr>
          <w:rFonts w:hint="eastAsia" w:ascii="宋体" w:hAnsi="宋体" w:cs="宋体"/>
          <w:color w:val="auto"/>
          <w:szCs w:val="21"/>
          <w:highlight w:val="none"/>
        </w:rPr>
        <w:t>原件扫描件或图片</w:t>
      </w:r>
      <w:r>
        <w:rPr>
          <w:rFonts w:hint="eastAsia" w:ascii="宋体" w:hAnsi="宋体" w:cs="宋体"/>
          <w:color w:val="auto"/>
          <w:szCs w:val="21"/>
          <w:highlight w:val="none"/>
          <w:lang w:val="en-US"/>
        </w:rPr>
        <w:t>，相关业绩证明材料</w:t>
      </w:r>
      <w:r>
        <w:rPr>
          <w:rFonts w:hint="eastAsia" w:ascii="宋体" w:hAnsi="宋体" w:cs="宋体"/>
          <w:color w:val="auto"/>
          <w:szCs w:val="21"/>
          <w:highlight w:val="none"/>
        </w:rPr>
        <w:t>原件扫描件或图片</w:t>
      </w:r>
      <w:r>
        <w:rPr>
          <w:rFonts w:hint="eastAsia" w:ascii="宋体" w:hAnsi="宋体" w:cs="宋体"/>
          <w:color w:val="auto"/>
          <w:szCs w:val="21"/>
          <w:highlight w:val="none"/>
          <w:lang w:val="en-US"/>
        </w:rPr>
        <w:t>，以及投标人所属社保机构出具的社保缴费证明或其他能够证明其参加社保的有效证明材料</w:t>
      </w:r>
      <w:r>
        <w:rPr>
          <w:rFonts w:hint="eastAsia" w:ascii="宋体" w:hAnsi="宋体" w:cs="宋体"/>
          <w:color w:val="auto"/>
          <w:szCs w:val="21"/>
          <w:highlight w:val="none"/>
        </w:rPr>
        <w:t>原件扫描件或图片</w:t>
      </w:r>
      <w:r>
        <w:rPr>
          <w:rFonts w:hint="eastAsia" w:ascii="宋体" w:hAnsi="宋体" w:cs="宋体"/>
          <w:color w:val="auto"/>
          <w:szCs w:val="21"/>
          <w:highlight w:val="none"/>
          <w:lang w:val="en-US"/>
        </w:rPr>
        <w:t>。</w:t>
      </w:r>
    </w:p>
    <w:p>
      <w:pPr>
        <w:autoSpaceDE w:val="0"/>
        <w:autoSpaceDN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w:t>
      </w:r>
      <w:r>
        <w:rPr>
          <w:rFonts w:ascii="宋体" w:hAnsi="宋体" w:cs="宋体"/>
          <w:color w:val="auto"/>
          <w:szCs w:val="21"/>
          <w:highlight w:val="none"/>
        </w:rPr>
        <w:t>7</w:t>
      </w:r>
      <w:r>
        <w:rPr>
          <w:rFonts w:hint="eastAsia" w:ascii="宋体" w:hAnsi="宋体" w:cs="宋体"/>
          <w:color w:val="auto"/>
          <w:szCs w:val="21"/>
          <w:highlight w:val="none"/>
        </w:rPr>
        <w:t>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spacing w:line="360" w:lineRule="auto"/>
        <w:rPr>
          <w:rFonts w:ascii="宋体" w:hAnsi="宋体"/>
          <w:b/>
          <w:bCs/>
          <w:color w:val="auto"/>
          <w:szCs w:val="21"/>
          <w:highlight w:val="none"/>
        </w:rPr>
      </w:pPr>
      <w:r>
        <w:rPr>
          <w:rFonts w:hint="eastAsia" w:ascii="宋体" w:hAnsi="宋体"/>
          <w:b/>
          <w:bCs/>
          <w:color w:val="auto"/>
          <w:szCs w:val="21"/>
          <w:highlight w:val="none"/>
        </w:rPr>
        <w:t>3.6 备选投标方案</w:t>
      </w:r>
    </w:p>
    <w:p>
      <w:pPr>
        <w:spacing w:line="360" w:lineRule="auto"/>
        <w:ind w:firstLine="399" w:firstLineChars="190"/>
        <w:rPr>
          <w:rFonts w:ascii="宋体" w:hAnsi="宋体"/>
          <w:color w:val="auto"/>
          <w:szCs w:val="21"/>
          <w:highlight w:val="none"/>
        </w:rPr>
      </w:pPr>
      <w:r>
        <w:rPr>
          <w:rFonts w:hint="eastAsia" w:ascii="宋体" w:hAnsi="宋体"/>
          <w:color w:val="auto"/>
          <w:szCs w:val="21"/>
          <w:highlight w:val="none"/>
        </w:rPr>
        <w:t>投标人不得递交备选投标方案，否则其投标将被否决。</w:t>
      </w:r>
    </w:p>
    <w:p>
      <w:pPr>
        <w:spacing w:line="360" w:lineRule="auto"/>
        <w:rPr>
          <w:rFonts w:ascii="宋体" w:hAnsi="宋体"/>
          <w:b/>
          <w:bCs/>
          <w:color w:val="auto"/>
          <w:szCs w:val="21"/>
          <w:highlight w:val="none"/>
        </w:rPr>
      </w:pPr>
      <w:bookmarkStart w:id="36" w:name="_Toc297211678"/>
      <w:r>
        <w:rPr>
          <w:rFonts w:hint="eastAsia" w:ascii="宋体" w:hAnsi="宋体"/>
          <w:b/>
          <w:bCs/>
          <w:color w:val="auto"/>
          <w:szCs w:val="21"/>
          <w:highlight w:val="none"/>
        </w:rPr>
        <w:t>3.7投标文件的编制</w:t>
      </w:r>
      <w:bookmarkEnd w:id="36"/>
    </w:p>
    <w:p>
      <w:pPr>
        <w:tabs>
          <w:tab w:val="left" w:pos="520"/>
        </w:tabs>
        <w:spacing w:line="360" w:lineRule="auto"/>
        <w:ind w:firstLine="420" w:firstLineChars="200"/>
        <w:rPr>
          <w:rFonts w:ascii="宋体" w:hAnsi="宋体" w:cs="宋体"/>
          <w:color w:val="auto"/>
          <w:szCs w:val="21"/>
          <w:highlight w:val="none"/>
        </w:rPr>
      </w:pPr>
      <w:bookmarkStart w:id="37" w:name="_Toc244934197"/>
      <w:bookmarkStart w:id="38" w:name="_Toc244935166"/>
      <w:bookmarkStart w:id="39" w:name="_Toc453076496"/>
      <w:bookmarkStart w:id="40" w:name="_Toc191983618"/>
      <w:bookmarkStart w:id="41" w:name="_Toc234213531"/>
      <w:r>
        <w:rPr>
          <w:rFonts w:hint="eastAsia" w:ascii="宋体" w:hAnsi="宋体" w:cs="宋体"/>
          <w:color w:val="auto"/>
          <w:szCs w:val="21"/>
          <w:highlight w:val="none"/>
        </w:rPr>
        <w:t>3.7.1 投标文件应按第九章“投标文件格式”进行编写，如有必要，可以增加附页，作为投标文件的组成部分。其中，投标函附录在满足招标文件实质性要求的基础上，可以提出比招标文件要求更有利于招标人的承诺。</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3.7.2 投标文件应当对招标文件有关工期、投标有效期、质量要求、技术标准和要求、招标范围等实质性内容作出响应。</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3.7.3 投标文件份数及其他要求见投标人须知前附表。</w:t>
      </w:r>
      <w:bookmarkStart w:id="42" w:name="_Toc24369"/>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3.7.4 投标人编制的投标文件应分为第一信封、第二信封。</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3.7.5 投标人登录许昌公共资源交易系统下载“许昌投标文件制作系统SEARUN V1.1”，按招标文件要求制作电子投标文件。</w:t>
      </w:r>
    </w:p>
    <w:p>
      <w:pPr>
        <w:tabs>
          <w:tab w:val="left" w:pos="520"/>
        </w:tabs>
        <w:spacing w:line="360" w:lineRule="auto"/>
        <w:ind w:firstLine="420" w:firstLineChars="200"/>
        <w:rPr>
          <w:rFonts w:ascii="宋体" w:hAnsi="宋体"/>
          <w:b/>
          <w:color w:val="auto"/>
          <w:szCs w:val="21"/>
          <w:highlight w:val="none"/>
        </w:rPr>
      </w:pPr>
      <w:r>
        <w:rPr>
          <w:rFonts w:hint="eastAsia" w:ascii="宋体" w:hAnsi="宋体" w:cs="宋体"/>
          <w:color w:val="auto"/>
          <w:szCs w:val="21"/>
          <w:highlight w:val="none"/>
        </w:rPr>
        <w:t>3.7.6 同时生成与电子投标文件内容、水印码、电子签章一致的PDF文件。</w:t>
      </w:r>
      <w:bookmarkEnd w:id="37"/>
      <w:bookmarkEnd w:id="38"/>
      <w:bookmarkEnd w:id="39"/>
      <w:bookmarkEnd w:id="40"/>
      <w:bookmarkEnd w:id="41"/>
      <w:bookmarkEnd w:id="42"/>
    </w:p>
    <w:p>
      <w:pPr>
        <w:tabs>
          <w:tab w:val="left" w:pos="520"/>
        </w:tabs>
        <w:spacing w:line="360" w:lineRule="auto"/>
        <w:rPr>
          <w:rFonts w:ascii="宋体" w:hAnsi="宋体" w:cs="宋体"/>
          <w:b/>
          <w:bCs/>
          <w:color w:val="auto"/>
          <w:szCs w:val="21"/>
          <w:highlight w:val="none"/>
        </w:rPr>
      </w:pPr>
      <w:bookmarkStart w:id="43" w:name="_Toc144974524"/>
      <w:bookmarkStart w:id="44" w:name="_Toc179632574"/>
      <w:bookmarkStart w:id="45" w:name="_Toc152045556"/>
      <w:bookmarkStart w:id="46" w:name="_Toc152042332"/>
      <w:bookmarkStart w:id="47" w:name="_Toc453076497"/>
      <w:bookmarkStart w:id="48" w:name="_Toc244934198"/>
      <w:bookmarkStart w:id="49" w:name="_Toc191983619"/>
      <w:bookmarkStart w:id="50" w:name="_Toc234213532"/>
      <w:bookmarkStart w:id="51" w:name="_Toc244935167"/>
      <w:r>
        <w:rPr>
          <w:rFonts w:hint="eastAsia" w:ascii="宋体" w:hAnsi="宋体" w:cs="宋体"/>
          <w:b/>
          <w:bCs/>
          <w:color w:val="auto"/>
          <w:szCs w:val="21"/>
          <w:highlight w:val="none"/>
        </w:rPr>
        <w:t>4.1 投标文件的密封和标记</w:t>
      </w:r>
      <w:bookmarkEnd w:id="43"/>
      <w:bookmarkEnd w:id="44"/>
      <w:bookmarkEnd w:id="45"/>
      <w:bookmarkEnd w:id="46"/>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4.1.1 本次招标采用双信封形式，投标文件第一个信封（商务及技术文件）以及第二个信封（报价文件）投标文件应单独密封包装。并加盖单位公章，法定代表人或委托代理人签名，在投标截止时间前递交。</w:t>
      </w:r>
    </w:p>
    <w:p>
      <w:pPr>
        <w:tabs>
          <w:tab w:val="left" w:pos="520"/>
        </w:tabs>
        <w:spacing w:line="360" w:lineRule="auto"/>
        <w:ind w:firstLine="420" w:firstLineChars="200"/>
        <w:rPr>
          <w:color w:val="auto"/>
          <w:highlight w:val="none"/>
        </w:rPr>
      </w:pPr>
      <w:r>
        <w:rPr>
          <w:rFonts w:hint="eastAsia" w:ascii="宋体" w:hAnsi="宋体" w:cs="宋体"/>
          <w:color w:val="auto"/>
          <w:szCs w:val="21"/>
          <w:highlight w:val="none"/>
        </w:rPr>
        <w:t>4.1.2 未按本章第4.1.1项要求密封和加写标记的投标文件，招标人不予受理。</w:t>
      </w:r>
    </w:p>
    <w:p>
      <w:pPr>
        <w:tabs>
          <w:tab w:val="left" w:pos="520"/>
        </w:tabs>
        <w:spacing w:line="360" w:lineRule="auto"/>
        <w:rPr>
          <w:rFonts w:ascii="宋体" w:hAnsi="宋体" w:cs="宋体"/>
          <w:b/>
          <w:bCs/>
          <w:color w:val="auto"/>
          <w:szCs w:val="21"/>
          <w:highlight w:val="none"/>
        </w:rPr>
      </w:pPr>
      <w:bookmarkStart w:id="52" w:name="_Toc152042333"/>
      <w:bookmarkStart w:id="53" w:name="_Toc179632575"/>
      <w:bookmarkStart w:id="54" w:name="_Toc144974525"/>
      <w:bookmarkStart w:id="55" w:name="_Toc152045557"/>
      <w:r>
        <w:rPr>
          <w:rFonts w:hint="eastAsia" w:ascii="宋体" w:hAnsi="宋体" w:cs="宋体"/>
          <w:b/>
          <w:bCs/>
          <w:color w:val="auto"/>
          <w:szCs w:val="21"/>
          <w:highlight w:val="none"/>
        </w:rPr>
        <w:t>4.2 投标文件的递交</w:t>
      </w:r>
      <w:bookmarkEnd w:id="52"/>
      <w:bookmarkEnd w:id="53"/>
      <w:bookmarkEnd w:id="54"/>
      <w:bookmarkEnd w:id="55"/>
    </w:p>
    <w:p>
      <w:pPr>
        <w:tabs>
          <w:tab w:val="left" w:pos="520"/>
        </w:tabs>
        <w:spacing w:line="360" w:lineRule="auto"/>
        <w:ind w:firstLine="420" w:firstLineChars="200"/>
        <w:rPr>
          <w:rFonts w:ascii="宋体" w:hAnsi="宋体" w:cs="宋体"/>
          <w:color w:val="auto"/>
          <w:szCs w:val="21"/>
          <w:highlight w:val="none"/>
        </w:rPr>
      </w:pPr>
      <w:bookmarkStart w:id="56" w:name="_Toc179632576"/>
      <w:bookmarkStart w:id="57" w:name="_Toc144974526"/>
      <w:bookmarkStart w:id="58" w:name="_Toc152045558"/>
      <w:bookmarkStart w:id="59" w:name="_Toc152042334"/>
      <w:r>
        <w:rPr>
          <w:rFonts w:hint="eastAsia" w:ascii="宋体" w:hAnsi="宋体" w:cs="宋体"/>
          <w:color w:val="auto"/>
          <w:szCs w:val="21"/>
          <w:highlight w:val="none"/>
        </w:rPr>
        <w:t>4.2.1 投标人应在投标人须知前附表中规定的投标截止时间前成功上传电子投标文件、现场提交电子介质存储和纸质的投标文件。</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 投标人提交纸质和电子介质存储的投标文件地点：见投标人须知前附表。</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4.2.3 除投标人须知前附表另有规定外，投标人所提交的纸质投标文件、及电子介质存储的投标文件不予退还。</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4.2.4 逾期送达的或者未送达指定地点的纸质和电子介质存储的投标文件，招标人不予受理。</w:t>
      </w:r>
    </w:p>
    <w:p>
      <w:pPr>
        <w:tabs>
          <w:tab w:val="left" w:pos="520"/>
        </w:tabs>
        <w:spacing w:line="360" w:lineRule="auto"/>
        <w:rPr>
          <w:rFonts w:ascii="宋体" w:hAnsi="宋体" w:cs="宋体"/>
          <w:b/>
          <w:bCs/>
          <w:color w:val="auto"/>
          <w:szCs w:val="21"/>
          <w:highlight w:val="none"/>
        </w:rPr>
      </w:pPr>
      <w:r>
        <w:rPr>
          <w:rFonts w:hint="eastAsia" w:ascii="宋体" w:hAnsi="宋体" w:cs="宋体"/>
          <w:b/>
          <w:bCs/>
          <w:color w:val="auto"/>
          <w:szCs w:val="21"/>
          <w:highlight w:val="none"/>
        </w:rPr>
        <w:t>4.3 投标文件的修改与撤回</w:t>
      </w:r>
      <w:bookmarkEnd w:id="56"/>
      <w:bookmarkEnd w:id="57"/>
      <w:bookmarkEnd w:id="58"/>
      <w:bookmarkEnd w:id="59"/>
    </w:p>
    <w:p>
      <w:pPr>
        <w:tabs>
          <w:tab w:val="left" w:pos="520"/>
        </w:tabs>
        <w:spacing w:line="360" w:lineRule="auto"/>
        <w:ind w:firstLine="420" w:firstLineChars="200"/>
        <w:rPr>
          <w:rFonts w:ascii="宋体" w:hAnsi="宋体" w:cs="宋体"/>
          <w:color w:val="auto"/>
          <w:szCs w:val="21"/>
          <w:highlight w:val="none"/>
        </w:rPr>
      </w:pPr>
      <w:bookmarkStart w:id="60" w:name="_Toc20830"/>
      <w:r>
        <w:rPr>
          <w:rFonts w:hint="eastAsia" w:ascii="宋体" w:hAnsi="宋体" w:cs="宋体"/>
          <w:color w:val="auto"/>
          <w:szCs w:val="21"/>
          <w:highlight w:val="none"/>
        </w:rPr>
        <w:t>4.3.1 在本章第2.2.2 项规定的投标截止时间前，投标人可以修改或撤回已提交的投标文件，修改或撤回应以书面形式通知招标人。</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4.3.2 投标人修改或撤回已提交投标文件的书面通知应按照投标人须知前附表第3.7.3 项的要求签字或盖章。招标人收到书面通知后，向投标人出具签收凭证。</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4.3.3 修改的内容为投标文件的组成部分。修改的投标文件应按照本章第3条、第4条规定进行编制、密封、标记和提交，并标明“修改”字样。</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4.3.4 投标人应当在投标截止时间前完成投标文件的提交，可以补充、修改或撤回。投标截止时间前未完成电子投标文件提交、取得“投标文件提交回执单”的，视为撤回投标文件。</w:t>
      </w:r>
    </w:p>
    <w:p>
      <w:pPr>
        <w:keepNext/>
        <w:keepLines/>
        <w:spacing w:line="360" w:lineRule="auto"/>
        <w:outlineLvl w:val="1"/>
        <w:rPr>
          <w:rFonts w:ascii="宋体" w:hAnsi="宋体"/>
          <w:b/>
          <w:color w:val="auto"/>
          <w:szCs w:val="21"/>
          <w:highlight w:val="none"/>
        </w:rPr>
      </w:pPr>
      <w:bookmarkStart w:id="61" w:name="_Toc13270"/>
      <w:bookmarkStart w:id="62" w:name="_Toc21905"/>
      <w:r>
        <w:rPr>
          <w:rFonts w:hint="eastAsia" w:ascii="宋体" w:hAnsi="宋体"/>
          <w:b/>
          <w:color w:val="auto"/>
          <w:szCs w:val="21"/>
          <w:highlight w:val="none"/>
        </w:rPr>
        <w:t>5. 开标</w:t>
      </w:r>
      <w:bookmarkEnd w:id="47"/>
      <w:bookmarkEnd w:id="48"/>
      <w:bookmarkEnd w:id="49"/>
      <w:bookmarkEnd w:id="50"/>
      <w:bookmarkEnd w:id="51"/>
      <w:bookmarkEnd w:id="60"/>
      <w:bookmarkEnd w:id="61"/>
      <w:bookmarkEnd w:id="62"/>
    </w:p>
    <w:p>
      <w:pPr>
        <w:spacing w:line="360" w:lineRule="auto"/>
        <w:rPr>
          <w:rFonts w:ascii="宋体" w:hAnsi="宋体"/>
          <w:b/>
          <w:color w:val="auto"/>
          <w:szCs w:val="21"/>
          <w:highlight w:val="none"/>
        </w:rPr>
      </w:pPr>
      <w:bookmarkStart w:id="63" w:name="_Toc297211680"/>
      <w:r>
        <w:rPr>
          <w:rFonts w:hint="eastAsia" w:ascii="宋体" w:hAnsi="宋体"/>
          <w:b/>
          <w:color w:val="auto"/>
          <w:szCs w:val="21"/>
          <w:highlight w:val="none"/>
        </w:rPr>
        <w:t>5.1开标时间和地点</w:t>
      </w:r>
      <w:bookmarkEnd w:id="63"/>
    </w:p>
    <w:p>
      <w:pPr>
        <w:spacing w:line="360" w:lineRule="auto"/>
        <w:ind w:firstLine="420" w:firstLineChars="200"/>
        <w:rPr>
          <w:rFonts w:ascii="宋体" w:hAnsi="宋体"/>
          <w:color w:val="auto"/>
          <w:szCs w:val="21"/>
          <w:highlight w:val="none"/>
        </w:rPr>
      </w:pPr>
      <w:bookmarkStart w:id="64" w:name="_Toc191983620"/>
      <w:bookmarkStart w:id="65" w:name="_Toc234213533"/>
      <w:bookmarkStart w:id="66" w:name="_Toc244934199"/>
      <w:bookmarkStart w:id="67" w:name="_Toc244935168"/>
      <w:r>
        <w:rPr>
          <w:rFonts w:ascii="宋体" w:hAnsi="宋体"/>
          <w:color w:val="auto"/>
          <w:szCs w:val="21"/>
          <w:highlight w:val="none"/>
        </w:rPr>
        <w:t>招标人在本章第 4.2.1 项规定的投标截止时间（开标时间）和投标人须知前附表规定的地点对收到的投标文件第一个信封（商务及技术文件）公开开标，并邀请所有投标人的法定代表人或其委托代理人准时参加。</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招标人在投标人须知前附表规定的时间和地点对投标文件第二个信封（</w:t>
      </w:r>
      <w:r>
        <w:rPr>
          <w:rFonts w:hint="eastAsia" w:ascii="宋体" w:hAnsi="宋体"/>
          <w:color w:val="auto"/>
          <w:szCs w:val="21"/>
          <w:highlight w:val="none"/>
        </w:rPr>
        <w:t>报价文件</w:t>
      </w:r>
      <w:r>
        <w:rPr>
          <w:rFonts w:ascii="宋体" w:hAnsi="宋体"/>
          <w:color w:val="auto"/>
          <w:szCs w:val="21"/>
          <w:highlight w:val="none"/>
        </w:rPr>
        <w:t>）公开开标，并邀请所有投标人的法定代表人或其委托代理人准时参加。</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投标人若未派法定代表人或委托代理人出席开标活动，视为该投标人默认开标结果。</w:t>
      </w:r>
    </w:p>
    <w:p>
      <w:pPr>
        <w:tabs>
          <w:tab w:val="left" w:pos="520"/>
        </w:tabs>
        <w:spacing w:line="360" w:lineRule="auto"/>
        <w:rPr>
          <w:rFonts w:ascii="宋体" w:hAnsi="宋体" w:cs="宋体"/>
          <w:b/>
          <w:bCs/>
          <w:color w:val="auto"/>
          <w:szCs w:val="21"/>
          <w:highlight w:val="none"/>
        </w:rPr>
      </w:pPr>
      <w:bookmarkStart w:id="68" w:name="_Toc453076498"/>
      <w:r>
        <w:rPr>
          <w:rFonts w:hint="eastAsia" w:ascii="宋体" w:hAnsi="宋体" w:cs="宋体"/>
          <w:b/>
          <w:bCs/>
          <w:color w:val="auto"/>
          <w:szCs w:val="21"/>
          <w:highlight w:val="none"/>
        </w:rPr>
        <w:t>5.2 开标程序</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5.2.1 主持人按下列程序对投标文件第一个信封（商务及技术文件）进行开标：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（1）宣布投标截止时间，并公布招标人、代理机构、监督部门名称；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（2）宣布开标纪律；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（3）公布在投标截止时间前递交电子投标文件的投标人名称和投标保证金缴纳情况；</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（4）按照投标人须知前附表规定检查电子投标文件的密封情况；</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（5）第一信封电子投标文件解密；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（6）宣布唱标顺序，按已定顺序唱标，唱标内容为：投标人名称、质量目标、工期及其他内容，并记录；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（7）投标人代表、招标人代表、监标人、记录人等有关人员在开标记录上签字确认；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（8）开标会议结束。</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5.2.2在投标文件第一个信封（商务及技术文件）开标现场，投标文件第二个信封（报价文件）不予开封，由招标人密封保存。</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5.2.3 电子投标文件第二个信封（报价文件）在第一信封（商务及技术文件）评审后对前三名进行解密。</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5.2.4 招标人将按照本章第5.1款规定的时间和地点对电子投标文件第二个信封（报价文件）进行开标。主持人按下列程序进行开标：</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（1）宣布开标纪律；</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（3）按照投标人须知前附表规定检查电子投标文件情况；</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（4）按照投标人须知前附表的规定确定并宣布投标文件开标顺序；</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当众拆开投标文件第一个信封（商务及技术文件）评审结果的的密封袋，宣布通过投标文件第一个信封（商务及技术文件）评审的投标人名单，并点名确认投标人是否派人到场；通过第一信封商务文件和技术文件评审的投标人在3个（含）以上的，招标人应当按照规定的程序进行第二信封（报价文件）开标，通过第一信封商务文件和技术文件评审的投标人少于3个使得投标明显缺乏竞争的，评标委员会应否决全部投标。未否决全部投标的，评标委员会应当在评标报告中阐明理由，招标人应当按照规定的程序进行第二信封报价文件开标，但评标委员会在进行报价文件评审时仍有权否决全部投标；评标委员会未在报价文件评审时否决全部投标的，应当在评标报告中阐明理由并推荐中标候选人。评标委员会成员对需要共同认定的事项存在争议的，应当按照少数服从多数的原则作出结论。持不同意见的评标委员会成员应当在评标报告上以书面形式说明其不同意见和理由并签字确认。评标委员会成员拒绝在评标报告上签字又不书面说明其不同意见和理由的，视为同意评标结果。</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（6）第二信封电子投标文件解密；</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未通过电子投标文件第一个信封（商务及技术文件）评审的投标文件第二个信封（</w:t>
      </w:r>
      <w:bookmarkStart w:id="69" w:name="_Hlk17899554"/>
      <w:r>
        <w:rPr>
          <w:rFonts w:hint="eastAsia" w:ascii="宋体" w:hAnsi="宋体" w:cs="宋体"/>
          <w:color w:val="auto"/>
          <w:szCs w:val="21"/>
          <w:highlight w:val="none"/>
        </w:rPr>
        <w:t>报价文件</w:t>
      </w:r>
      <w:bookmarkEnd w:id="69"/>
      <w:r>
        <w:rPr>
          <w:rFonts w:hint="eastAsia" w:ascii="宋体" w:hAnsi="宋体" w:cs="宋体"/>
          <w:color w:val="auto"/>
          <w:szCs w:val="21"/>
          <w:highlight w:val="none"/>
        </w:rPr>
        <w:t>）不再进行解密；</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（7）投标人代表、招标人代表、监标人、记录人等有关人员在开标记录上签字确认；</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（8）开标会议结束。</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5.2.5 第二个信封（报价文件）开标过程中，若招标人发现投标文件出现以下任一情况，经监标人确认并当场宣布为废标：</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（1）未在投标函上填写投标总价；</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（2）投标报价或调价函中的报价超出招标人公布的投标控制价上限。</w:t>
      </w:r>
    </w:p>
    <w:p>
      <w:pPr>
        <w:pStyle w:val="2"/>
        <w:ind w:firstLine="210"/>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（3）招标文件规定的其他废标情形。</w:t>
      </w:r>
    </w:p>
    <w:p>
      <w:pPr>
        <w:tabs>
          <w:tab w:val="left" w:pos="520"/>
        </w:tabs>
        <w:spacing w:line="360" w:lineRule="auto"/>
        <w:ind w:firstLine="420" w:firstLineChars="200"/>
        <w:rPr>
          <w:rFonts w:ascii="宋体" w:hAnsi="宋体" w:cs="宋体"/>
          <w:color w:val="auto"/>
          <w:szCs w:val="21"/>
          <w:highlight w:val="none"/>
        </w:rPr>
      </w:pPr>
      <w:bookmarkStart w:id="70" w:name="_Toc4296"/>
      <w:r>
        <w:rPr>
          <w:rFonts w:hint="eastAsia" w:ascii="宋体" w:hAnsi="宋体" w:cs="宋体"/>
          <w:color w:val="auto"/>
          <w:szCs w:val="21"/>
          <w:highlight w:val="none"/>
        </w:rPr>
        <w:t>5.2.6电子投标文件的解密</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5.2.6.1本项目为全流程电子化交易项目，电子投标文件采用双重加密。在投标截止时间到达后，分标段进行解密。</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(1)投标人解密：投标人使用本单位CA数字证书远程或现场进行解密。需现场使用一体机进行解密的，请在代理机构引导下进行。</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(2)代理机构解密：代理机构按电子投标文件到达交易系统的先后顺序，使用本单位CA数字证书进行再次解密。</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5.2.7电子投标文件解密异常情况处理</w:t>
      </w:r>
    </w:p>
    <w:p>
      <w:pPr>
        <w:tabs>
          <w:tab w:val="left" w:pos="5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因投标人原因电子投标文件解密失败的，由系统技术人员协助投标人将备份文件（电子介质存储）导入系统。若备份文件（电子介质存储）无法导入系统或导入系统仍无法解密的，视为投标人撤销其投标文件。</w:t>
      </w:r>
    </w:p>
    <w:p>
      <w:pPr>
        <w:keepNext/>
        <w:keepLines/>
        <w:spacing w:line="360" w:lineRule="auto"/>
        <w:outlineLvl w:val="1"/>
        <w:rPr>
          <w:rFonts w:ascii="宋体" w:hAnsi="宋体"/>
          <w:b/>
          <w:color w:val="auto"/>
          <w:szCs w:val="21"/>
          <w:highlight w:val="none"/>
        </w:rPr>
      </w:pPr>
      <w:bookmarkStart w:id="71" w:name="_Toc24670"/>
      <w:bookmarkStart w:id="72" w:name="_Toc14696"/>
      <w:r>
        <w:rPr>
          <w:rFonts w:hint="eastAsia" w:ascii="宋体" w:hAnsi="宋体"/>
          <w:b/>
          <w:color w:val="auto"/>
          <w:szCs w:val="21"/>
          <w:highlight w:val="none"/>
        </w:rPr>
        <w:t>6. 评标</w:t>
      </w:r>
      <w:bookmarkEnd w:id="64"/>
      <w:bookmarkEnd w:id="65"/>
      <w:bookmarkEnd w:id="66"/>
      <w:bookmarkEnd w:id="67"/>
      <w:bookmarkEnd w:id="68"/>
      <w:bookmarkEnd w:id="70"/>
      <w:bookmarkEnd w:id="71"/>
      <w:bookmarkEnd w:id="72"/>
    </w:p>
    <w:p>
      <w:pPr>
        <w:tabs>
          <w:tab w:val="left" w:pos="520"/>
        </w:tabs>
        <w:spacing w:line="360" w:lineRule="auto"/>
        <w:rPr>
          <w:rFonts w:ascii="宋体" w:hAnsi="宋体" w:cs="宋体"/>
          <w:b/>
          <w:bCs/>
          <w:color w:val="auto"/>
          <w:szCs w:val="21"/>
          <w:highlight w:val="none"/>
        </w:rPr>
      </w:pPr>
      <w:bookmarkStart w:id="73" w:name="_Toc244935169"/>
      <w:bookmarkStart w:id="74" w:name="_Toc244934200"/>
      <w:bookmarkStart w:id="75" w:name="_Toc234213534"/>
      <w:bookmarkStart w:id="76" w:name="_Toc191983621"/>
      <w:r>
        <w:rPr>
          <w:rFonts w:hint="eastAsia" w:ascii="宋体" w:hAnsi="宋体" w:cs="宋体"/>
          <w:b/>
          <w:bCs/>
          <w:color w:val="auto"/>
          <w:szCs w:val="21"/>
          <w:highlight w:val="none"/>
        </w:rPr>
        <w:t>6.1</w:t>
      </w:r>
      <w:r>
        <w:rPr>
          <w:rFonts w:hint="eastAsia" w:ascii="宋体" w:hAnsi="宋体" w:cs="宋体"/>
          <w:b/>
          <w:bCs/>
          <w:color w:val="auto"/>
          <w:szCs w:val="21"/>
          <w:highlight w:val="none"/>
        </w:rPr>
        <w:tab/>
      </w:r>
      <w:r>
        <w:rPr>
          <w:rFonts w:hint="eastAsia" w:ascii="宋体" w:hAnsi="宋体" w:cs="宋体"/>
          <w:b/>
          <w:bCs/>
          <w:color w:val="auto"/>
          <w:szCs w:val="21"/>
          <w:highlight w:val="none"/>
        </w:rPr>
        <w:t>评标委员会</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6.1.1 评标由招标人依法组建的评标委员会负责。评标委员会由有关技术、经济等方面的专家组成。评标委员会成员人数以及技术、经济等方面专家的确定方式见投标人须知前附表。</w:t>
      </w:r>
    </w:p>
    <w:p>
      <w:pPr>
        <w:spacing w:line="360" w:lineRule="auto"/>
        <w:ind w:firstLine="420"/>
        <w:rPr>
          <w:rFonts w:ascii="宋体" w:hAnsi="宋体"/>
          <w:bCs/>
          <w:color w:val="auto"/>
          <w:szCs w:val="21"/>
          <w:highlight w:val="none"/>
        </w:rPr>
      </w:pPr>
      <w:r>
        <w:rPr>
          <w:rFonts w:hint="eastAsia" w:ascii="宋体" w:hAnsi="宋体"/>
          <w:bCs/>
          <w:color w:val="auto"/>
          <w:szCs w:val="21"/>
          <w:highlight w:val="none"/>
        </w:rPr>
        <w:t>6.1.2 评标委员会成员有下列情形之一的，应当回避：</w:t>
      </w:r>
    </w:p>
    <w:p>
      <w:pPr>
        <w:spacing w:line="360" w:lineRule="auto"/>
        <w:ind w:firstLine="420"/>
        <w:rPr>
          <w:rFonts w:ascii="宋体" w:hAnsi="宋体"/>
          <w:bCs/>
          <w:color w:val="auto"/>
          <w:szCs w:val="21"/>
          <w:highlight w:val="none"/>
        </w:rPr>
      </w:pPr>
      <w:r>
        <w:rPr>
          <w:rFonts w:hint="eastAsia" w:ascii="宋体" w:hAnsi="宋体"/>
          <w:bCs/>
          <w:color w:val="auto"/>
          <w:szCs w:val="21"/>
          <w:highlight w:val="none"/>
        </w:rPr>
        <w:t>（1）为负责招标项目监督管理的交通运输主管部门的工作人员；</w:t>
      </w:r>
    </w:p>
    <w:p>
      <w:pPr>
        <w:spacing w:line="360" w:lineRule="auto"/>
        <w:ind w:firstLine="420"/>
        <w:rPr>
          <w:rFonts w:ascii="宋体" w:hAnsi="宋体"/>
          <w:bCs/>
          <w:color w:val="auto"/>
          <w:szCs w:val="21"/>
          <w:highlight w:val="none"/>
        </w:rPr>
      </w:pPr>
      <w:r>
        <w:rPr>
          <w:rFonts w:hint="eastAsia" w:ascii="宋体" w:hAnsi="宋体"/>
          <w:bCs/>
          <w:color w:val="auto"/>
          <w:szCs w:val="21"/>
          <w:highlight w:val="none"/>
        </w:rPr>
        <w:t>（2）与投标人法定代表人或其委托代理人有近亲属关系；</w:t>
      </w:r>
    </w:p>
    <w:p>
      <w:pPr>
        <w:spacing w:line="360" w:lineRule="auto"/>
        <w:ind w:firstLine="420"/>
        <w:rPr>
          <w:rFonts w:ascii="宋体" w:hAnsi="宋体"/>
          <w:bCs/>
          <w:color w:val="auto"/>
          <w:szCs w:val="21"/>
          <w:highlight w:val="none"/>
        </w:rPr>
      </w:pPr>
      <w:r>
        <w:rPr>
          <w:rFonts w:hint="eastAsia" w:ascii="宋体" w:hAnsi="宋体"/>
          <w:bCs/>
          <w:color w:val="auto"/>
          <w:szCs w:val="21"/>
          <w:highlight w:val="none"/>
        </w:rPr>
        <w:t>（3）为投标人的工作人员或退休人员；</w:t>
      </w:r>
    </w:p>
    <w:p>
      <w:pPr>
        <w:spacing w:line="360" w:lineRule="auto"/>
        <w:ind w:firstLine="420"/>
        <w:rPr>
          <w:rFonts w:ascii="宋体" w:hAnsi="宋体"/>
          <w:bCs/>
          <w:color w:val="auto"/>
          <w:szCs w:val="21"/>
          <w:highlight w:val="none"/>
        </w:rPr>
      </w:pPr>
      <w:r>
        <w:rPr>
          <w:rFonts w:hint="eastAsia" w:ascii="宋体" w:hAnsi="宋体"/>
          <w:bCs/>
          <w:color w:val="auto"/>
          <w:szCs w:val="21"/>
          <w:highlight w:val="none"/>
        </w:rPr>
        <w:t>（4）与投标人有其他利害关系，可能影响评标活动公正性；</w:t>
      </w:r>
    </w:p>
    <w:p>
      <w:pPr>
        <w:spacing w:line="360" w:lineRule="auto"/>
        <w:ind w:firstLine="420"/>
        <w:rPr>
          <w:rFonts w:ascii="宋体" w:hAnsi="宋体"/>
          <w:bCs/>
          <w:color w:val="auto"/>
          <w:szCs w:val="21"/>
          <w:highlight w:val="none"/>
        </w:rPr>
      </w:pPr>
      <w:r>
        <w:rPr>
          <w:rFonts w:hint="eastAsia" w:ascii="宋体" w:hAnsi="宋体"/>
          <w:bCs/>
          <w:color w:val="auto"/>
          <w:szCs w:val="21"/>
          <w:highlight w:val="none"/>
        </w:rPr>
        <w:t>（5）在与招标投标有关的活动中有过违法违规行为、曾受过行政处罚或刑事处罚。</w:t>
      </w:r>
    </w:p>
    <w:p>
      <w:pPr>
        <w:spacing w:line="360" w:lineRule="auto"/>
        <w:ind w:firstLine="420"/>
        <w:rPr>
          <w:rFonts w:ascii="宋体" w:hAnsi="宋体"/>
          <w:bCs/>
          <w:color w:val="auto"/>
          <w:szCs w:val="21"/>
          <w:highlight w:val="none"/>
        </w:rPr>
      </w:pPr>
      <w:r>
        <w:rPr>
          <w:rFonts w:hint="eastAsia" w:ascii="宋体" w:hAnsi="宋体"/>
          <w:bCs/>
          <w:color w:val="auto"/>
          <w:szCs w:val="21"/>
          <w:highlight w:val="none"/>
        </w:rPr>
        <w:t>6.1.3 评标过程中，评标委员会成员有回避事由、擅离职守或因健康等原因不能继续评标的，招标人有权更换。被更换的评标委员会成员作出的评审结论无效，由更 换后的评标委员会成员重新进行评审。</w:t>
      </w:r>
    </w:p>
    <w:p>
      <w:pPr>
        <w:spacing w:line="360" w:lineRule="auto"/>
        <w:rPr>
          <w:rFonts w:ascii="宋体" w:hAnsi="宋体"/>
          <w:b/>
          <w:color w:val="auto"/>
          <w:szCs w:val="21"/>
          <w:highlight w:val="none"/>
        </w:rPr>
      </w:pPr>
      <w:r>
        <w:rPr>
          <w:rFonts w:hint="eastAsia" w:ascii="宋体" w:hAnsi="宋体"/>
          <w:b/>
          <w:color w:val="auto"/>
          <w:szCs w:val="21"/>
          <w:highlight w:val="none"/>
        </w:rPr>
        <w:t>6.2 评标原则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评标活动遵循公平、公正、科学和择优的原则。</w:t>
      </w:r>
    </w:p>
    <w:bookmarkEnd w:id="73"/>
    <w:bookmarkEnd w:id="74"/>
    <w:bookmarkEnd w:id="75"/>
    <w:bookmarkEnd w:id="76"/>
    <w:p>
      <w:pPr>
        <w:tabs>
          <w:tab w:val="left" w:pos="480"/>
        </w:tabs>
        <w:spacing w:line="360" w:lineRule="auto"/>
        <w:rPr>
          <w:rFonts w:ascii="宋体" w:hAnsi="宋体" w:cs="宋体"/>
          <w:b/>
          <w:color w:val="auto"/>
          <w:szCs w:val="21"/>
          <w:highlight w:val="none"/>
        </w:rPr>
      </w:pPr>
      <w:bookmarkStart w:id="77" w:name="_Toc453076500"/>
      <w:bookmarkStart w:id="78" w:name="_Toc278027739"/>
      <w:bookmarkStart w:id="79" w:name="_Toc184635079"/>
      <w:r>
        <w:rPr>
          <w:rFonts w:hint="eastAsia" w:ascii="宋体" w:hAnsi="宋体" w:cs="宋体"/>
          <w:b/>
          <w:color w:val="auto"/>
          <w:szCs w:val="21"/>
          <w:highlight w:val="none"/>
        </w:rPr>
        <w:t>6.3评标</w:t>
      </w:r>
    </w:p>
    <w:p>
      <w:pPr>
        <w:tabs>
          <w:tab w:val="left" w:pos="108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6.3.1评标委员会按照第三章“评标办法”规定的方法、评审因素、标准和程序对投标文件进行评审。第三章“评标办法”没有规定的方法、评审因素和标准，不作为评标依据。</w:t>
      </w:r>
    </w:p>
    <w:p>
      <w:pPr>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6.3.2评标完成后，评标委员会应向招标人提交书面评标报告和中标候选人名单。评标委员会推荐中标候选人的人数见投标人须知前附表。</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7. 合同授予</w:t>
      </w:r>
    </w:p>
    <w:p>
      <w:pPr>
        <w:pStyle w:val="3"/>
        <w:spacing w:after="0" w:line="360" w:lineRule="auto"/>
        <w:rPr>
          <w:rFonts w:ascii="宋体" w:hAnsi="宋体" w:cs="宋体"/>
          <w:b/>
          <w:bCs/>
          <w:color w:val="auto"/>
          <w:szCs w:val="21"/>
          <w:highlight w:val="none"/>
        </w:rPr>
      </w:pPr>
      <w:r>
        <w:rPr>
          <w:rFonts w:hint="eastAsia" w:ascii="宋体" w:hAnsi="宋体" w:cs="宋体"/>
          <w:b/>
          <w:bCs/>
          <w:color w:val="auto"/>
          <w:szCs w:val="21"/>
          <w:highlight w:val="none"/>
        </w:rPr>
        <w:t>7.1 中标候选人公示</w:t>
      </w:r>
    </w:p>
    <w:p>
      <w:pPr>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招标人在收到评标报告之日起3日内，按照投标人须知前附表规定的公示媒介和期限公示中标候选人，公示期不得少于 3 日，公示内容包括：</w:t>
      </w:r>
    </w:p>
    <w:p>
      <w:pPr>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（1）中标候选人排序、名称、投标报价，对工程质量要求和工期的响应情况；</w:t>
      </w:r>
    </w:p>
    <w:p>
      <w:pPr>
        <w:pStyle w:val="3"/>
        <w:spacing w:before="39"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（2）中标候选人在投标文件中承诺的项目经理姓名、个人业绩、相关证书名称和编号；</w:t>
      </w:r>
    </w:p>
    <w:p>
      <w:pPr>
        <w:pStyle w:val="3"/>
        <w:spacing w:before="39" w:after="0" w:line="360" w:lineRule="auto"/>
        <w:ind w:left="208" w:leftChars="99" w:firstLine="149" w:firstLineChars="71"/>
        <w:rPr>
          <w:rFonts w:ascii="宋体" w:hAnsi="宋体" w:cs="宋体"/>
          <w:color w:val="auto"/>
          <w:szCs w:val="21"/>
          <w:highlight w:val="none"/>
        </w:rPr>
      </w:pPr>
      <w:r>
        <w:rPr>
          <w:rFonts w:hint="eastAsia" w:ascii="宋体" w:hAnsi="宋体" w:cs="宋体"/>
          <w:color w:val="auto"/>
          <w:szCs w:val="21"/>
          <w:highlight w:val="none"/>
        </w:rPr>
        <w:t>（3）中标候选人在投标文件中填报的项目业绩；</w:t>
      </w:r>
    </w:p>
    <w:p>
      <w:pPr>
        <w:pStyle w:val="3"/>
        <w:spacing w:before="72"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（4）被否决投标的投标人名称、否决依据和原因；</w:t>
      </w:r>
    </w:p>
    <w:p>
      <w:pPr>
        <w:pStyle w:val="3"/>
        <w:spacing w:before="73"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（5）提出异议的渠道和方式；</w:t>
      </w:r>
    </w:p>
    <w:p>
      <w:pPr>
        <w:pStyle w:val="3"/>
        <w:spacing w:before="70"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（6）投标人须知前附表规定公示的其他内容。</w:t>
      </w:r>
    </w:p>
    <w:p>
      <w:pPr>
        <w:pStyle w:val="3"/>
        <w:spacing w:after="0" w:line="360" w:lineRule="auto"/>
        <w:rPr>
          <w:rFonts w:ascii="宋体" w:hAnsi="宋体" w:cs="宋体"/>
          <w:b/>
          <w:bCs/>
          <w:color w:val="auto"/>
          <w:szCs w:val="21"/>
          <w:highlight w:val="none"/>
        </w:rPr>
      </w:pPr>
      <w:bookmarkStart w:id="80" w:name="_bookmark72"/>
      <w:bookmarkEnd w:id="80"/>
      <w:r>
        <w:rPr>
          <w:rFonts w:hint="eastAsia" w:ascii="宋体" w:hAnsi="宋体" w:cs="宋体"/>
          <w:b/>
          <w:bCs/>
          <w:color w:val="auto"/>
          <w:szCs w:val="21"/>
          <w:highlight w:val="none"/>
        </w:rPr>
        <w:t>7.2 评标结果异议</w:t>
      </w:r>
    </w:p>
    <w:p>
      <w:pPr>
        <w:pStyle w:val="3"/>
        <w:spacing w:after="0" w:line="360" w:lineRule="auto"/>
        <w:ind w:firstLine="479"/>
        <w:rPr>
          <w:rFonts w:ascii="宋体" w:hAnsi="宋体" w:cs="宋体"/>
          <w:color w:val="auto"/>
          <w:szCs w:val="21"/>
          <w:highlight w:val="none"/>
        </w:rPr>
      </w:pPr>
      <w:r>
        <w:rPr>
          <w:rFonts w:hint="eastAsia" w:ascii="宋体" w:hAnsi="宋体" w:cs="宋体"/>
          <w:color w:val="auto"/>
          <w:szCs w:val="21"/>
          <w:highlight w:val="none"/>
        </w:rPr>
        <w:t>投标人或其他利害关系人对依法必须进行招标的项目的评标结果有异议的，应在中标候选人公示期间提出。招标人将在收到异议之日起 3 日内作出答复；作出答复前， 将暂停招标投标活动。</w:t>
      </w:r>
    </w:p>
    <w:p>
      <w:pPr>
        <w:pStyle w:val="3"/>
        <w:spacing w:after="0" w:line="360" w:lineRule="auto"/>
        <w:rPr>
          <w:rFonts w:ascii="宋体" w:hAnsi="宋体" w:cs="宋体"/>
          <w:b/>
          <w:bCs/>
          <w:color w:val="auto"/>
          <w:szCs w:val="21"/>
          <w:highlight w:val="none"/>
        </w:rPr>
      </w:pPr>
      <w:bookmarkStart w:id="81" w:name="_bookmark73"/>
      <w:bookmarkEnd w:id="81"/>
      <w:r>
        <w:rPr>
          <w:rFonts w:hint="eastAsia" w:ascii="宋体" w:hAnsi="宋体" w:cs="宋体"/>
          <w:b/>
          <w:bCs/>
          <w:color w:val="auto"/>
          <w:szCs w:val="21"/>
          <w:highlight w:val="none"/>
        </w:rPr>
        <w:t>7.3 中标候选人履约能力审查</w:t>
      </w:r>
    </w:p>
    <w:p>
      <w:pPr>
        <w:pStyle w:val="3"/>
        <w:spacing w:after="0" w:line="360" w:lineRule="auto"/>
        <w:ind w:firstLine="479"/>
        <w:rPr>
          <w:rFonts w:ascii="宋体" w:hAnsi="宋体" w:cs="宋体"/>
          <w:color w:val="auto"/>
          <w:szCs w:val="21"/>
          <w:highlight w:val="none"/>
        </w:rPr>
      </w:pPr>
      <w:r>
        <w:rPr>
          <w:rFonts w:hint="eastAsia" w:ascii="宋体" w:hAnsi="宋体" w:cs="宋体"/>
          <w:color w:val="auto"/>
          <w:szCs w:val="21"/>
          <w:highlight w:val="none"/>
        </w:rPr>
        <w:t>中标候选人的经营、财务状况发生较大变化或存在违法行为，招标人认为可能影响其履约能力的，将在发出中标通知书前提请原评标委员会按照招标文件规定的标准 和方法进行审查确认。</w:t>
      </w:r>
    </w:p>
    <w:p>
      <w:pPr>
        <w:pStyle w:val="3"/>
        <w:spacing w:after="0" w:line="360" w:lineRule="auto"/>
        <w:rPr>
          <w:rFonts w:ascii="宋体" w:hAnsi="宋体" w:cs="宋体"/>
          <w:b/>
          <w:bCs/>
          <w:color w:val="auto"/>
          <w:szCs w:val="21"/>
          <w:highlight w:val="none"/>
        </w:rPr>
      </w:pPr>
      <w:bookmarkStart w:id="82" w:name="_bookmark74"/>
      <w:bookmarkEnd w:id="82"/>
      <w:r>
        <w:rPr>
          <w:rFonts w:hint="eastAsia" w:ascii="宋体" w:hAnsi="宋体" w:cs="宋体"/>
          <w:b/>
          <w:bCs/>
          <w:color w:val="auto"/>
          <w:szCs w:val="21"/>
          <w:highlight w:val="none"/>
        </w:rPr>
        <w:t>7.4 定标</w:t>
      </w:r>
    </w:p>
    <w:p>
      <w:pPr>
        <w:pStyle w:val="3"/>
        <w:spacing w:after="0" w:line="360" w:lineRule="auto"/>
        <w:ind w:firstLine="479"/>
        <w:rPr>
          <w:rFonts w:ascii="宋体" w:hAnsi="宋体" w:cs="宋体"/>
          <w:color w:val="auto"/>
          <w:szCs w:val="21"/>
          <w:highlight w:val="none"/>
        </w:rPr>
      </w:pPr>
      <w:r>
        <w:rPr>
          <w:rFonts w:hint="eastAsia" w:ascii="宋体" w:hAnsi="宋体" w:cs="宋体"/>
          <w:color w:val="auto"/>
          <w:szCs w:val="21"/>
          <w:highlight w:val="none"/>
        </w:rPr>
        <w:t>按照投标人须知前附表的规定，招标人或招标人授权的评标委员会依法确定中标人。</w:t>
      </w:r>
    </w:p>
    <w:p>
      <w:pPr>
        <w:pStyle w:val="3"/>
        <w:spacing w:after="0" w:line="360" w:lineRule="auto"/>
        <w:rPr>
          <w:rFonts w:ascii="宋体" w:hAnsi="宋体" w:cs="宋体"/>
          <w:b/>
          <w:bCs/>
          <w:color w:val="auto"/>
          <w:szCs w:val="21"/>
          <w:highlight w:val="none"/>
        </w:rPr>
      </w:pPr>
      <w:bookmarkStart w:id="83" w:name="_bookmark75"/>
      <w:bookmarkEnd w:id="83"/>
      <w:r>
        <w:rPr>
          <w:rFonts w:hint="eastAsia" w:ascii="宋体" w:hAnsi="宋体" w:cs="宋体"/>
          <w:b/>
          <w:bCs/>
          <w:color w:val="auto"/>
          <w:szCs w:val="21"/>
          <w:highlight w:val="none"/>
        </w:rPr>
        <w:t>7.5 中标通知</w:t>
      </w:r>
    </w:p>
    <w:p>
      <w:pPr>
        <w:pStyle w:val="3"/>
        <w:spacing w:after="0" w:line="360" w:lineRule="auto"/>
        <w:ind w:firstLine="479"/>
        <w:rPr>
          <w:rFonts w:ascii="宋体" w:hAnsi="宋体" w:cs="宋体"/>
          <w:color w:val="auto"/>
          <w:szCs w:val="21"/>
          <w:highlight w:val="none"/>
        </w:rPr>
      </w:pPr>
      <w:r>
        <w:rPr>
          <w:rFonts w:hint="eastAsia" w:ascii="宋体" w:hAnsi="宋体" w:cs="宋体"/>
          <w:color w:val="auto"/>
          <w:szCs w:val="21"/>
          <w:highlight w:val="none"/>
        </w:rPr>
        <w:t>在本章第 3.3 款规定的投标有效期内，招标人以投标人须知前附表规定的形式向中标人发出中标通知书，同时将中标结果通知未中标的投标人。</w:t>
      </w:r>
    </w:p>
    <w:p>
      <w:pPr>
        <w:pStyle w:val="3"/>
        <w:spacing w:after="0" w:line="360" w:lineRule="auto"/>
        <w:rPr>
          <w:rFonts w:ascii="宋体" w:hAnsi="宋体" w:cs="宋体"/>
          <w:b/>
          <w:bCs/>
          <w:color w:val="auto"/>
          <w:szCs w:val="21"/>
          <w:highlight w:val="none"/>
        </w:rPr>
      </w:pPr>
      <w:bookmarkStart w:id="84" w:name="_bookmark76"/>
      <w:bookmarkEnd w:id="84"/>
      <w:r>
        <w:rPr>
          <w:rFonts w:hint="eastAsia" w:ascii="宋体" w:hAnsi="宋体" w:cs="宋体"/>
          <w:b/>
          <w:bCs/>
          <w:color w:val="auto"/>
          <w:szCs w:val="21"/>
          <w:highlight w:val="none"/>
        </w:rPr>
        <w:t>7.6 中标结果公告</w:t>
      </w:r>
    </w:p>
    <w:p>
      <w:pPr>
        <w:pStyle w:val="3"/>
        <w:spacing w:after="0" w:line="360" w:lineRule="auto"/>
        <w:ind w:firstLine="479"/>
        <w:rPr>
          <w:rFonts w:ascii="宋体" w:hAnsi="宋体" w:cs="宋体"/>
          <w:color w:val="auto"/>
          <w:szCs w:val="21"/>
          <w:highlight w:val="none"/>
        </w:rPr>
      </w:pPr>
      <w:r>
        <w:rPr>
          <w:rFonts w:hint="eastAsia" w:ascii="宋体" w:hAnsi="宋体" w:cs="宋体"/>
          <w:color w:val="auto"/>
          <w:szCs w:val="21"/>
          <w:highlight w:val="none"/>
        </w:rPr>
        <w:t>招标人在确定中标人之日起 3 日内，按照投标人须知前附表规定的公告媒介和期限公告中标结果，公告期不得少于 3 日。公告内容包括中标人名称、中标价。</w:t>
      </w:r>
    </w:p>
    <w:p>
      <w:pPr>
        <w:pStyle w:val="3"/>
        <w:spacing w:after="0" w:line="360" w:lineRule="auto"/>
        <w:rPr>
          <w:rFonts w:ascii="宋体" w:hAnsi="宋体" w:cs="宋体"/>
          <w:b/>
          <w:bCs/>
          <w:color w:val="auto"/>
          <w:szCs w:val="21"/>
          <w:highlight w:val="none"/>
        </w:rPr>
      </w:pPr>
      <w:bookmarkStart w:id="85" w:name="_bookmark78"/>
      <w:bookmarkEnd w:id="85"/>
      <w:r>
        <w:rPr>
          <w:rFonts w:hint="eastAsia" w:ascii="宋体" w:hAnsi="宋体" w:cs="宋体"/>
          <w:b/>
          <w:bCs/>
          <w:color w:val="auto"/>
          <w:szCs w:val="21"/>
          <w:highlight w:val="none"/>
        </w:rPr>
        <w:t>7.7 签订合同</w:t>
      </w:r>
    </w:p>
    <w:p>
      <w:pPr>
        <w:pStyle w:val="3"/>
        <w:spacing w:after="0" w:line="360" w:lineRule="auto"/>
        <w:ind w:firstLine="479"/>
        <w:rPr>
          <w:rFonts w:ascii="宋体" w:hAnsi="宋体" w:cs="宋体"/>
          <w:color w:val="auto"/>
          <w:szCs w:val="21"/>
          <w:highlight w:val="none"/>
        </w:rPr>
      </w:pPr>
      <w:r>
        <w:rPr>
          <w:rFonts w:hint="eastAsia" w:ascii="宋体" w:hAnsi="宋体" w:cs="宋体"/>
          <w:color w:val="auto"/>
          <w:szCs w:val="21"/>
          <w:highlight w:val="none"/>
        </w:rPr>
        <w:t>7.7.1 招标人和中标人应在中标通知书发出之日起 30 日内，根据招标文件和中标人的投标文件订立书面合同。中标人无正当理由拒签合同，在签订合同时向招标人提 出附加条件，或不按照招标文件要求提交履约保证金的，招标人取消其中标资格，其投标保证金不予退还；给招标人造成的损失超过投标保证金数额的，中标人还应对超 过部分予以赔偿。</w:t>
      </w:r>
    </w:p>
    <w:p>
      <w:pPr>
        <w:pStyle w:val="3"/>
        <w:spacing w:after="0" w:line="360" w:lineRule="auto"/>
        <w:ind w:firstLine="479"/>
        <w:rPr>
          <w:rFonts w:ascii="宋体" w:hAnsi="宋体" w:cs="宋体"/>
          <w:color w:val="auto"/>
          <w:szCs w:val="21"/>
          <w:highlight w:val="none"/>
        </w:rPr>
      </w:pPr>
      <w:r>
        <w:rPr>
          <w:rFonts w:hint="eastAsia" w:ascii="宋体" w:hAnsi="宋体" w:cs="宋体"/>
          <w:color w:val="auto"/>
          <w:szCs w:val="21"/>
          <w:highlight w:val="none"/>
        </w:rPr>
        <w:t>7.7.2 发出中标通知书后，招标人无正当理由拒签合同，或在签订合同时向中标人提出附加条件的，招标人向中标人退还投标保证金；给中标人造成损失的，还应赔偿损失。</w:t>
      </w:r>
    </w:p>
    <w:p>
      <w:pPr>
        <w:pStyle w:val="3"/>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7.7.3  签约合同价的确定原则如下：</w:t>
      </w:r>
    </w:p>
    <w:p>
      <w:pPr>
        <w:pStyle w:val="3"/>
        <w:spacing w:after="0" w:line="360" w:lineRule="auto"/>
        <w:ind w:firstLine="360"/>
        <w:rPr>
          <w:rFonts w:ascii="宋体" w:hAnsi="宋体" w:cs="宋体"/>
          <w:color w:val="auto"/>
          <w:szCs w:val="21"/>
          <w:highlight w:val="none"/>
        </w:rPr>
      </w:pPr>
      <w:r>
        <w:rPr>
          <w:rFonts w:hint="eastAsia" w:ascii="宋体" w:hAnsi="宋体" w:cs="宋体"/>
          <w:color w:val="auto"/>
          <w:szCs w:val="21"/>
          <w:highlight w:val="none"/>
        </w:rPr>
        <w:t>（1）按照评标办法规定对投标报价进行修正后，若修正后的最终投标报价小于开标时的投标函大写金额报价，则签订合同时以修正后的最终投标报价为准；</w:t>
      </w:r>
    </w:p>
    <w:p>
      <w:pPr>
        <w:pStyle w:val="3"/>
        <w:spacing w:after="0" w:line="360" w:lineRule="auto"/>
        <w:ind w:firstLine="363"/>
        <w:rPr>
          <w:rFonts w:ascii="宋体" w:hAnsi="宋体" w:cs="宋体"/>
          <w:color w:val="auto"/>
          <w:szCs w:val="21"/>
          <w:highlight w:val="none"/>
        </w:rPr>
      </w:pPr>
      <w:r>
        <w:rPr>
          <w:rFonts w:hint="eastAsia" w:ascii="宋体" w:hAnsi="宋体" w:cs="宋体"/>
          <w:color w:val="auto"/>
          <w:szCs w:val="21"/>
          <w:highlight w:val="none"/>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3"/>
        <w:spacing w:after="0" w:line="360" w:lineRule="auto"/>
        <w:ind w:firstLine="476"/>
        <w:rPr>
          <w:rFonts w:ascii="宋体" w:hAnsi="宋体" w:cs="宋体"/>
          <w:color w:val="auto"/>
          <w:szCs w:val="21"/>
          <w:highlight w:val="none"/>
        </w:rPr>
      </w:pPr>
      <w:r>
        <w:rPr>
          <w:rFonts w:hint="eastAsia" w:ascii="宋体" w:hAnsi="宋体" w:cs="宋体"/>
          <w:color w:val="auto"/>
          <w:szCs w:val="21"/>
          <w:highlight w:val="none"/>
        </w:rPr>
        <w:t>7.7.4 招标人和中标人在签订合同协议书的同时，须按照本招标文件规定的格式和要求签订廉政合同及安全生产合同，明确双方在廉政建设和安全生产方面的权利和义务以及应承担的违约责任。</w:t>
      </w:r>
    </w:p>
    <w:p>
      <w:pPr>
        <w:keepNext/>
        <w:keepLines/>
        <w:spacing w:line="360" w:lineRule="auto"/>
        <w:outlineLvl w:val="1"/>
        <w:rPr>
          <w:rFonts w:ascii="宋体" w:hAnsi="宋体" w:cs="宋体"/>
          <w:b/>
          <w:color w:val="auto"/>
          <w:szCs w:val="21"/>
          <w:highlight w:val="none"/>
        </w:rPr>
      </w:pPr>
      <w:bookmarkStart w:id="86" w:name="_Toc10752"/>
      <w:bookmarkStart w:id="87" w:name="_Toc28712"/>
      <w:bookmarkStart w:id="88" w:name="_Toc10445"/>
      <w:r>
        <w:rPr>
          <w:rFonts w:hint="eastAsia" w:ascii="宋体" w:hAnsi="宋体" w:cs="宋体"/>
          <w:b/>
          <w:color w:val="auto"/>
          <w:szCs w:val="21"/>
          <w:highlight w:val="none"/>
        </w:rPr>
        <w:t>8.重新招标和不再招标</w:t>
      </w:r>
      <w:bookmarkEnd w:id="77"/>
      <w:bookmarkEnd w:id="78"/>
      <w:bookmarkEnd w:id="86"/>
      <w:bookmarkEnd w:id="87"/>
      <w:bookmarkEnd w:id="88"/>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8.1重新招标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有下列情形之一的，招标人将重新招标：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（1）投标截止时间止，投标人少于3个的；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（2）经评标委员会评审后否决所有投标的；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（3）中标候选人均未与招标人签订合同的；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（4）法律规定的其他情形。</w:t>
      </w:r>
    </w:p>
    <w:p>
      <w:pPr>
        <w:widowControl/>
        <w:spacing w:line="360" w:lineRule="auto"/>
        <w:ind w:firstLine="103" w:firstLineChars="49"/>
        <w:jc w:val="left"/>
        <w:rPr>
          <w:rFonts w:ascii="宋体" w:hAnsi="宋体" w:cs="宋体"/>
          <w:b/>
          <w:color w:val="auto"/>
          <w:szCs w:val="21"/>
          <w:highlight w:val="none"/>
        </w:rPr>
      </w:pPr>
      <w:r>
        <w:rPr>
          <w:rFonts w:hint="eastAsia" w:ascii="宋体" w:hAnsi="宋体" w:cs="宋体"/>
          <w:b/>
          <w:color w:val="auto"/>
          <w:szCs w:val="21"/>
          <w:highlight w:val="none"/>
        </w:rPr>
        <w:t>8.2不再招标</w:t>
      </w:r>
    </w:p>
    <w:p>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xml:space="preserve">    重新招标后投标人仍少于3个或者所有投标被否决的，属于必须审批或核准的项目，经原审批或核准部门批准后不再进行招标。</w:t>
      </w:r>
    </w:p>
    <w:bookmarkEnd w:id="79"/>
    <w:p>
      <w:pPr>
        <w:keepNext/>
        <w:keepLines/>
        <w:spacing w:line="360" w:lineRule="auto"/>
        <w:outlineLvl w:val="1"/>
        <w:rPr>
          <w:rFonts w:ascii="宋体" w:hAnsi="宋体" w:cs="宋体"/>
          <w:b/>
          <w:color w:val="auto"/>
          <w:szCs w:val="21"/>
          <w:highlight w:val="none"/>
        </w:rPr>
      </w:pPr>
      <w:bookmarkStart w:id="89" w:name="_Toc453076501"/>
      <w:bookmarkStart w:id="90" w:name="_Toc15404"/>
      <w:bookmarkStart w:id="91" w:name="_Toc278027740"/>
      <w:bookmarkStart w:id="92" w:name="_Toc6882"/>
      <w:bookmarkStart w:id="93" w:name="_Toc29050"/>
      <w:bookmarkStart w:id="94" w:name="_Toc184635080"/>
      <w:r>
        <w:rPr>
          <w:rFonts w:hint="eastAsia" w:ascii="宋体" w:hAnsi="宋体" w:cs="宋体"/>
          <w:b/>
          <w:color w:val="auto"/>
          <w:szCs w:val="21"/>
          <w:highlight w:val="none"/>
        </w:rPr>
        <w:t>9.纪律和监督</w:t>
      </w:r>
      <w:bookmarkEnd w:id="89"/>
      <w:bookmarkEnd w:id="90"/>
      <w:bookmarkEnd w:id="91"/>
      <w:bookmarkEnd w:id="92"/>
      <w:bookmarkEnd w:id="93"/>
    </w:p>
    <w:p>
      <w:pPr>
        <w:widowControl/>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9.1对招标人的纪律要求</w:t>
      </w:r>
    </w:p>
    <w:p>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xml:space="preserve">    招标人不得泄漏招标投标活动中应当保密的情况和资料，不得与投标人串通损害国家利益、社会公共利益或者他人合法权益。</w:t>
      </w:r>
    </w:p>
    <w:p>
      <w:pPr>
        <w:widowControl/>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9.2对投标人的纪律要求</w:t>
      </w:r>
    </w:p>
    <w:p>
      <w:pPr>
        <w:widowControl/>
        <w:spacing w:line="360" w:lineRule="auto"/>
        <w:jc w:val="left"/>
        <w:rPr>
          <w:rFonts w:ascii="宋体" w:hAnsi="宋体" w:cs="宋体"/>
          <w:bCs/>
          <w:color w:val="auto"/>
          <w:spacing w:val="-3"/>
          <w:szCs w:val="21"/>
          <w:highlight w:val="none"/>
        </w:rPr>
      </w:pPr>
      <w:r>
        <w:rPr>
          <w:rFonts w:hint="eastAsia" w:ascii="宋体" w:hAnsi="宋体" w:cs="宋体"/>
          <w:bCs/>
          <w:color w:val="auto"/>
          <w:szCs w:val="21"/>
          <w:highlight w:val="none"/>
        </w:rPr>
        <w:t xml:space="preserve">   </w:t>
      </w:r>
      <w:r>
        <w:rPr>
          <w:rFonts w:hint="eastAsia" w:ascii="宋体" w:hAnsi="宋体" w:cs="宋体"/>
          <w:bCs/>
          <w:color w:val="auto"/>
          <w:spacing w:val="-3"/>
          <w:szCs w:val="21"/>
          <w:highlight w:val="none"/>
        </w:rPr>
        <w:t xml:space="preserve"> 投标人不得相互串通投标或者与招标人串通投标，不得向招标人或者评标委员会成员行贿谋取中标，不得以他人名义投标或者以其他方式弄虚作假骗取中标；投标人不得以任何方式干扰、影响评标工作。</w:t>
      </w:r>
    </w:p>
    <w:p>
      <w:pPr>
        <w:widowControl/>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9.3对评标委员会成员的纪律要求</w:t>
      </w:r>
    </w:p>
    <w:p>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xml:space="preserve">    评标委员会成员不得收受他人的财物或者其他好处，不得向他人透漏对投标文件的评审和比较、中标候选人的推荐情况以及与评标有关的其他情况。在评标活动中，评标委员会成员不得擅离职守，影响评标程序正常进行，不得使用第三章“评标办法”没有规定的评审因素和标准进行评标。</w:t>
      </w:r>
    </w:p>
    <w:p>
      <w:pPr>
        <w:widowControl/>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9.4对与评标活动有关的工作人员的纪律要求</w:t>
      </w:r>
    </w:p>
    <w:p>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idowControl/>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9.5投诉、质疑、处罚</w:t>
      </w:r>
    </w:p>
    <w:p>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xml:space="preserve">   9.5.1招标人的监督部门在招标过程中有履行全程监督的权力。</w:t>
      </w:r>
    </w:p>
    <w:p>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xml:space="preserve">   9.5.2招标人在招标过程中，因获知或可能获知监督举报（或其他方式）招标程序或其它内容存在问题，招标人有权采取相应的监督措施，投标人应予以配合。</w:t>
      </w:r>
    </w:p>
    <w:p>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xml:space="preserve">   9.5.3投标人和其他利害关系人认为本次招标活动违反法律、法规和规章规定的，有权向有关行政监督部门投诉。</w:t>
      </w:r>
    </w:p>
    <w:p>
      <w:pPr>
        <w:keepNext/>
        <w:keepLines/>
        <w:spacing w:line="360" w:lineRule="auto"/>
        <w:outlineLvl w:val="1"/>
        <w:rPr>
          <w:rFonts w:ascii="宋体" w:hAnsi="宋体" w:cs="宋体"/>
          <w:b/>
          <w:color w:val="auto"/>
          <w:szCs w:val="21"/>
          <w:highlight w:val="none"/>
        </w:rPr>
      </w:pPr>
      <w:bookmarkStart w:id="95" w:name="_Toc28895"/>
      <w:bookmarkStart w:id="96" w:name="_Toc453076502"/>
      <w:bookmarkStart w:id="97" w:name="_Toc6934"/>
      <w:bookmarkStart w:id="98" w:name="_Toc19792"/>
      <w:r>
        <w:rPr>
          <w:rFonts w:hint="eastAsia" w:ascii="宋体" w:hAnsi="宋体" w:cs="宋体"/>
          <w:b/>
          <w:color w:val="auto"/>
          <w:szCs w:val="21"/>
          <w:highlight w:val="none"/>
        </w:rPr>
        <w:t>10.需要补充的其它内容</w:t>
      </w:r>
      <w:bookmarkEnd w:id="95"/>
      <w:bookmarkEnd w:id="96"/>
      <w:bookmarkEnd w:id="97"/>
      <w:bookmarkEnd w:id="98"/>
    </w:p>
    <w:bookmarkEnd w:id="94"/>
    <w:p>
      <w:pPr>
        <w:spacing w:line="360" w:lineRule="auto"/>
        <w:rPr>
          <w:rFonts w:ascii="宋体" w:hAnsi="宋体" w:cs="宋体"/>
          <w:bCs/>
          <w:color w:val="auto"/>
          <w:szCs w:val="21"/>
          <w:highlight w:val="none"/>
        </w:rPr>
      </w:pPr>
      <w:bookmarkStart w:id="99" w:name="_Toc234213538"/>
      <w:bookmarkStart w:id="100" w:name="_Toc244935173"/>
      <w:r>
        <w:rPr>
          <w:rFonts w:hint="eastAsia" w:ascii="宋体" w:hAnsi="宋体" w:cs="宋体"/>
          <w:bCs/>
          <w:color w:val="auto"/>
          <w:szCs w:val="21"/>
          <w:highlight w:val="none"/>
        </w:rPr>
        <w:t xml:space="preserve">  需要补充的其他内容：见投标人须知前附表。</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  </w:t>
      </w:r>
      <w:bookmarkStart w:id="101" w:name="_Toc247527606"/>
      <w:bookmarkStart w:id="102" w:name="_Toc152045581"/>
      <w:bookmarkStart w:id="103" w:name="_Toc247514005"/>
      <w:bookmarkStart w:id="104" w:name="_Toc152042358"/>
      <w:bookmarkStart w:id="105" w:name="_Toc144974548"/>
    </w:p>
    <w:p>
      <w:pPr>
        <w:pStyle w:val="2"/>
        <w:ind w:firstLine="210"/>
        <w:rPr>
          <w:rFonts w:ascii="宋体" w:hAnsi="宋体" w:cs="宋体"/>
          <w:bCs/>
          <w:color w:val="auto"/>
          <w:szCs w:val="21"/>
          <w:highlight w:val="none"/>
        </w:rPr>
      </w:pPr>
    </w:p>
    <w:p>
      <w:pPr>
        <w:pStyle w:val="2"/>
        <w:ind w:firstLine="210"/>
        <w:rPr>
          <w:rFonts w:ascii="宋体" w:hAnsi="宋体" w:cs="宋体"/>
          <w:bCs/>
          <w:color w:val="auto"/>
          <w:szCs w:val="21"/>
          <w:highlight w:val="none"/>
        </w:rPr>
      </w:pPr>
    </w:p>
    <w:p>
      <w:pPr>
        <w:pStyle w:val="2"/>
        <w:ind w:firstLine="210"/>
        <w:rPr>
          <w:rFonts w:ascii="宋体" w:hAnsi="宋体" w:cs="宋体"/>
          <w:bCs/>
          <w:color w:val="auto"/>
          <w:szCs w:val="21"/>
          <w:highlight w:val="none"/>
        </w:rPr>
      </w:pPr>
    </w:p>
    <w:p>
      <w:pPr>
        <w:pStyle w:val="2"/>
        <w:ind w:firstLine="210"/>
        <w:rPr>
          <w:rFonts w:ascii="宋体" w:hAnsi="宋体" w:cs="宋体"/>
          <w:bCs/>
          <w:color w:val="auto"/>
          <w:szCs w:val="21"/>
          <w:highlight w:val="none"/>
        </w:rPr>
      </w:pPr>
    </w:p>
    <w:p>
      <w:pPr>
        <w:pStyle w:val="2"/>
        <w:ind w:firstLine="210"/>
        <w:rPr>
          <w:rFonts w:ascii="宋体" w:hAnsi="宋体" w:cs="宋体"/>
          <w:bCs/>
          <w:color w:val="auto"/>
          <w:szCs w:val="21"/>
          <w:highlight w:val="none"/>
        </w:rPr>
      </w:pPr>
    </w:p>
    <w:p>
      <w:pPr>
        <w:pStyle w:val="2"/>
        <w:ind w:firstLine="210"/>
        <w:rPr>
          <w:rFonts w:ascii="宋体" w:hAnsi="宋体" w:cs="宋体"/>
          <w:bCs/>
          <w:color w:val="auto"/>
          <w:szCs w:val="21"/>
          <w:highlight w:val="none"/>
        </w:rPr>
      </w:pPr>
    </w:p>
    <w:p>
      <w:pPr>
        <w:pStyle w:val="2"/>
        <w:ind w:firstLine="210"/>
        <w:rPr>
          <w:rFonts w:ascii="宋体" w:hAnsi="宋体" w:cs="宋体"/>
          <w:bCs/>
          <w:color w:val="auto"/>
          <w:szCs w:val="21"/>
          <w:highlight w:val="none"/>
        </w:rPr>
      </w:pPr>
    </w:p>
    <w:p>
      <w:pPr>
        <w:pStyle w:val="2"/>
        <w:ind w:firstLine="210"/>
        <w:rPr>
          <w:rFonts w:ascii="宋体" w:hAnsi="宋体" w:cs="宋体"/>
          <w:bCs/>
          <w:color w:val="auto"/>
          <w:szCs w:val="21"/>
          <w:highlight w:val="none"/>
        </w:rPr>
      </w:pPr>
    </w:p>
    <w:p>
      <w:pPr>
        <w:pStyle w:val="4"/>
        <w:rPr>
          <w:rFonts w:ascii="宋体" w:hAnsi="宋体" w:cs="宋体"/>
          <w:bCs/>
          <w:color w:val="auto"/>
          <w:szCs w:val="21"/>
          <w:highlight w:val="none"/>
        </w:rPr>
      </w:pPr>
    </w:p>
    <w:p>
      <w:pPr>
        <w:pStyle w:val="4"/>
        <w:rPr>
          <w:rFonts w:ascii="宋体" w:hAnsi="宋体" w:cs="宋体"/>
          <w:bCs/>
          <w:color w:val="auto"/>
          <w:szCs w:val="21"/>
          <w:highlight w:val="none"/>
        </w:rPr>
      </w:pPr>
    </w:p>
    <w:p>
      <w:pPr>
        <w:pStyle w:val="4"/>
        <w:rPr>
          <w:rFonts w:ascii="宋体" w:hAnsi="宋体" w:cs="宋体"/>
          <w:bCs/>
          <w:color w:val="auto"/>
          <w:szCs w:val="21"/>
          <w:highlight w:val="none"/>
        </w:rPr>
      </w:pPr>
    </w:p>
    <w:p>
      <w:pPr>
        <w:pStyle w:val="4"/>
        <w:rPr>
          <w:rFonts w:ascii="宋体" w:hAnsi="宋体" w:cs="宋体"/>
          <w:bCs/>
          <w:color w:val="auto"/>
          <w:szCs w:val="21"/>
          <w:highlight w:val="none"/>
        </w:rPr>
      </w:pPr>
    </w:p>
    <w:p>
      <w:pPr>
        <w:pStyle w:val="4"/>
        <w:rPr>
          <w:rFonts w:ascii="宋体" w:hAnsi="宋体" w:cs="宋体"/>
          <w:bCs/>
          <w:color w:val="auto"/>
          <w:szCs w:val="21"/>
          <w:highlight w:val="none"/>
        </w:rPr>
      </w:pPr>
    </w:p>
    <w:p>
      <w:pPr>
        <w:pStyle w:val="2"/>
        <w:ind w:firstLine="210"/>
        <w:rPr>
          <w:rFonts w:ascii="宋体" w:hAnsi="宋体" w:cs="宋体"/>
          <w:bCs/>
          <w:color w:val="auto"/>
          <w:szCs w:val="21"/>
          <w:highlight w:val="none"/>
        </w:rPr>
      </w:pPr>
    </w:p>
    <w:p>
      <w:pPr>
        <w:pStyle w:val="2"/>
        <w:ind w:firstLine="210"/>
        <w:rPr>
          <w:rFonts w:ascii="宋体" w:hAnsi="宋体" w:cs="宋体"/>
          <w:bCs/>
          <w:color w:val="auto"/>
          <w:szCs w:val="21"/>
          <w:highlight w:val="none"/>
        </w:rPr>
      </w:pPr>
    </w:p>
    <w:p>
      <w:pPr>
        <w:pStyle w:val="2"/>
        <w:ind w:firstLine="210"/>
        <w:rPr>
          <w:rFonts w:ascii="宋体" w:hAnsi="宋体" w:cs="宋体"/>
          <w:bCs/>
          <w:color w:val="auto"/>
          <w:szCs w:val="21"/>
          <w:highlight w:val="none"/>
        </w:rPr>
      </w:pPr>
    </w:p>
    <w:p>
      <w:pPr>
        <w:pStyle w:val="2"/>
        <w:ind w:firstLine="210"/>
        <w:rPr>
          <w:rFonts w:ascii="宋体" w:hAnsi="宋体" w:cs="宋体"/>
          <w:bCs/>
          <w:color w:val="auto"/>
          <w:szCs w:val="21"/>
          <w:highlight w:val="none"/>
        </w:rPr>
      </w:pPr>
    </w:p>
    <w:p>
      <w:pPr>
        <w:pStyle w:val="2"/>
        <w:ind w:firstLine="210"/>
        <w:rPr>
          <w:rFonts w:ascii="宋体" w:hAnsi="宋体" w:cs="宋体"/>
          <w:bCs/>
          <w:color w:val="auto"/>
          <w:szCs w:val="21"/>
          <w:highlight w:val="none"/>
        </w:rPr>
      </w:pPr>
    </w:p>
    <w:p>
      <w:pPr>
        <w:pStyle w:val="2"/>
        <w:ind w:firstLine="210"/>
        <w:rPr>
          <w:rFonts w:ascii="宋体" w:hAnsi="宋体" w:cs="宋体"/>
          <w:bCs/>
          <w:color w:val="auto"/>
          <w:szCs w:val="21"/>
          <w:highlight w:val="none"/>
        </w:rPr>
      </w:pPr>
    </w:p>
    <w:p>
      <w:pPr>
        <w:pStyle w:val="2"/>
        <w:ind w:firstLine="210"/>
        <w:rPr>
          <w:rFonts w:ascii="宋体" w:hAnsi="宋体" w:cs="宋体"/>
          <w:bCs/>
          <w:color w:val="auto"/>
          <w:szCs w:val="21"/>
          <w:highlight w:val="none"/>
        </w:rPr>
      </w:pPr>
    </w:p>
    <w:p>
      <w:pPr>
        <w:pStyle w:val="2"/>
        <w:ind w:firstLine="210"/>
        <w:rPr>
          <w:rFonts w:ascii="宋体" w:hAnsi="宋体" w:cs="宋体"/>
          <w:bCs/>
          <w:color w:val="auto"/>
          <w:szCs w:val="21"/>
          <w:highlight w:val="none"/>
        </w:rPr>
      </w:pPr>
    </w:p>
    <w:bookmarkEnd w:id="101"/>
    <w:bookmarkEnd w:id="102"/>
    <w:bookmarkEnd w:id="103"/>
    <w:bookmarkEnd w:id="104"/>
    <w:bookmarkEnd w:id="105"/>
    <w:p>
      <w:pPr>
        <w:spacing w:before="240" w:beforeLines="100" w:after="240" w:afterLines="100" w:line="400" w:lineRule="exact"/>
        <w:ind w:firstLine="420" w:firstLineChars="200"/>
        <w:rPr>
          <w:rFonts w:ascii="宋体" w:hAnsi="宋体" w:cs="宋体"/>
          <w:color w:val="auto"/>
          <w:szCs w:val="21"/>
          <w:highlight w:val="none"/>
        </w:rPr>
      </w:pPr>
      <w:bookmarkStart w:id="106" w:name="_Toc483496957"/>
      <w:r>
        <w:rPr>
          <w:rFonts w:hint="eastAsia" w:ascii="宋体" w:hAnsi="宋体" w:cs="宋体"/>
          <w:color w:val="auto"/>
          <w:szCs w:val="21"/>
          <w:highlight w:val="none"/>
        </w:rPr>
        <w:t>附表一：</w:t>
      </w:r>
    </w:p>
    <w:p>
      <w:pPr>
        <w:spacing w:before="240" w:beforeLines="100" w:after="240" w:afterLines="100" w:line="40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问题澄清通知</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编号：</w:t>
      </w:r>
      <w:r>
        <w:rPr>
          <w:rFonts w:hint="eastAsia" w:ascii="宋体" w:hAnsi="宋体" w:cs="宋体"/>
          <w:color w:val="auto"/>
          <w:szCs w:val="21"/>
          <w:highlight w:val="none"/>
          <w:u w:val="single"/>
        </w:rPr>
        <w:t xml:space="preserve">                  </w:t>
      </w:r>
    </w:p>
    <w:p>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w:t>
      </w:r>
    </w:p>
    <w:p>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（项目名称）招标的评标委员会，对你方的投标文件进行了仔细的审查，现需你方对本通知所附质疑问卷中的问题以书面形式予以澄清、说明或者补正。</w:t>
      </w:r>
    </w:p>
    <w:p>
      <w:pPr>
        <w:spacing w:line="480" w:lineRule="exact"/>
        <w:ind w:firstLine="420" w:firstLineChars="200"/>
        <w:rPr>
          <w:rFonts w:ascii="宋体" w:hAnsi="宋体" w:cs="宋体"/>
          <w:color w:val="auto"/>
          <w:szCs w:val="21"/>
          <w:highlight w:val="none"/>
        </w:rPr>
      </w:pPr>
    </w:p>
    <w:p>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p>
    <w:p>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p>
    <w:p>
      <w:pPr>
        <w:spacing w:line="480" w:lineRule="exact"/>
        <w:ind w:firstLine="420" w:firstLineChars="200"/>
        <w:rPr>
          <w:rFonts w:ascii="宋体" w:hAnsi="宋体" w:cs="宋体"/>
          <w:color w:val="auto"/>
          <w:szCs w:val="21"/>
          <w:highlight w:val="none"/>
        </w:rPr>
      </w:pPr>
    </w:p>
    <w:p>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p>
    <w:p>
      <w:pPr>
        <w:spacing w:line="480" w:lineRule="exact"/>
        <w:ind w:firstLine="420" w:firstLineChars="200"/>
        <w:rPr>
          <w:rFonts w:ascii="宋体" w:hAnsi="宋体" w:cs="宋体"/>
          <w:color w:val="auto"/>
          <w:szCs w:val="21"/>
          <w:highlight w:val="none"/>
        </w:rPr>
      </w:pPr>
    </w:p>
    <w:p>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请将上述问题的澄清、说明或者补正于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时前密封递交至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（详细地址）。</w:t>
      </w:r>
    </w:p>
    <w:p>
      <w:pPr>
        <w:spacing w:line="480" w:lineRule="exact"/>
        <w:rPr>
          <w:rFonts w:ascii="宋体" w:hAnsi="宋体" w:cs="宋体"/>
          <w:color w:val="auto"/>
          <w:szCs w:val="21"/>
          <w:highlight w:val="none"/>
        </w:rPr>
      </w:pPr>
    </w:p>
    <w:p>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附件：质疑问卷</w:t>
      </w:r>
    </w:p>
    <w:p>
      <w:pPr>
        <w:spacing w:line="480" w:lineRule="exact"/>
        <w:ind w:firstLine="3570" w:firstLineChars="1700"/>
        <w:rPr>
          <w:rFonts w:ascii="宋体" w:hAnsi="宋体" w:cs="宋体"/>
          <w:color w:val="auto"/>
          <w:szCs w:val="21"/>
          <w:highlight w:val="none"/>
          <w:u w:val="single"/>
        </w:rPr>
      </w:pPr>
    </w:p>
    <w:p>
      <w:pPr>
        <w:spacing w:line="480" w:lineRule="exact"/>
        <w:ind w:firstLine="3570" w:firstLineChars="1700"/>
        <w:rPr>
          <w:rFonts w:ascii="宋体" w:hAnsi="宋体" w:cs="宋体"/>
          <w:color w:val="auto"/>
          <w:szCs w:val="21"/>
          <w:highlight w:val="none"/>
          <w:u w:val="single"/>
        </w:rPr>
      </w:pPr>
    </w:p>
    <w:p>
      <w:pPr>
        <w:spacing w:line="480" w:lineRule="exact"/>
        <w:ind w:firstLine="3570" w:firstLineChars="1700"/>
        <w:rPr>
          <w:rFonts w:ascii="宋体" w:hAnsi="宋体" w:cs="宋体"/>
          <w:color w:val="auto"/>
          <w:szCs w:val="21"/>
          <w:highlight w:val="none"/>
          <w:u w:val="single"/>
        </w:rPr>
      </w:pPr>
    </w:p>
    <w:p>
      <w:pPr>
        <w:spacing w:line="480" w:lineRule="exact"/>
        <w:rPr>
          <w:rFonts w:ascii="宋体" w:hAnsi="宋体" w:cs="宋体"/>
          <w:color w:val="auto"/>
          <w:szCs w:val="21"/>
          <w:highlight w:val="none"/>
          <w:u w:val="single"/>
        </w:rPr>
      </w:pPr>
    </w:p>
    <w:p>
      <w:pPr>
        <w:spacing w:line="480" w:lineRule="exact"/>
        <w:ind w:firstLine="3570" w:firstLineChars="1700"/>
        <w:rPr>
          <w:rFonts w:ascii="宋体" w:hAnsi="宋体" w:cs="宋体"/>
          <w:color w:val="auto"/>
          <w:szCs w:val="21"/>
          <w:highlight w:val="none"/>
          <w:u w:val="single"/>
        </w:rPr>
      </w:pPr>
    </w:p>
    <w:p>
      <w:pPr>
        <w:spacing w:line="48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招标评标委员会</w:t>
      </w:r>
    </w:p>
    <w:p>
      <w:pPr>
        <w:spacing w:line="48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（经评标委员会授权的招标人代表签字或招标人加盖单位章）</w:t>
      </w:r>
    </w:p>
    <w:p>
      <w:pPr>
        <w:spacing w:line="48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80" w:lineRule="exact"/>
        <w:jc w:val="right"/>
        <w:rPr>
          <w:rFonts w:ascii="宋体" w:hAnsi="宋体" w:cs="宋体"/>
          <w:color w:val="auto"/>
          <w:szCs w:val="21"/>
          <w:highlight w:val="none"/>
        </w:rPr>
      </w:pPr>
    </w:p>
    <w:p>
      <w:pPr>
        <w:spacing w:line="400" w:lineRule="exact"/>
        <w:ind w:firstLine="420" w:firstLineChars="200"/>
        <w:jc w:val="right"/>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p>
    <w:p>
      <w:pPr>
        <w:pStyle w:val="2"/>
        <w:ind w:firstLine="210"/>
        <w:rPr>
          <w:rFonts w:ascii="宋体" w:hAnsi="宋体" w:cs="宋体"/>
          <w:color w:val="auto"/>
          <w:szCs w:val="21"/>
          <w:highlight w:val="none"/>
        </w:rPr>
      </w:pPr>
    </w:p>
    <w:p>
      <w:pPr>
        <w:pStyle w:val="2"/>
        <w:ind w:firstLine="210"/>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附表二：问题的澄清</w:t>
      </w:r>
    </w:p>
    <w:p>
      <w:pPr>
        <w:spacing w:before="240" w:beforeLines="100" w:after="240" w:afterLines="100" w:line="48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问题的澄清、说明或补正</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编号：</w:t>
      </w:r>
      <w:r>
        <w:rPr>
          <w:rFonts w:hint="eastAsia" w:ascii="宋体" w:hAnsi="宋体" w:cs="宋体"/>
          <w:color w:val="auto"/>
          <w:szCs w:val="21"/>
          <w:highlight w:val="none"/>
          <w:u w:val="single"/>
        </w:rPr>
        <w:t xml:space="preserve">                  </w:t>
      </w:r>
    </w:p>
    <w:p>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（项目名称）招标评标委员会：</w:t>
      </w:r>
    </w:p>
    <w:p>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问题澄清通知（编号：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）已收悉，现澄清、说明或者补正如下：</w:t>
      </w:r>
    </w:p>
    <w:p>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p>
    <w:p>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p>
    <w:p>
      <w:pPr>
        <w:spacing w:line="480" w:lineRule="exact"/>
        <w:ind w:firstLine="420" w:firstLineChars="200"/>
        <w:rPr>
          <w:rFonts w:ascii="宋体" w:hAnsi="宋体" w:cs="宋体"/>
          <w:color w:val="auto"/>
          <w:szCs w:val="21"/>
          <w:highlight w:val="none"/>
        </w:rPr>
      </w:pPr>
    </w:p>
    <w:p>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p>
    <w:p>
      <w:pPr>
        <w:spacing w:line="480" w:lineRule="exact"/>
        <w:ind w:firstLine="420" w:firstLineChars="200"/>
        <w:rPr>
          <w:rFonts w:ascii="宋体" w:hAnsi="宋体" w:cs="宋体"/>
          <w:color w:val="auto"/>
          <w:szCs w:val="21"/>
          <w:highlight w:val="none"/>
        </w:rPr>
      </w:pPr>
    </w:p>
    <w:p>
      <w:pPr>
        <w:spacing w:line="480" w:lineRule="exact"/>
        <w:ind w:firstLine="420" w:firstLineChars="200"/>
        <w:rPr>
          <w:rFonts w:ascii="宋体" w:hAnsi="宋体" w:cs="宋体"/>
          <w:color w:val="auto"/>
          <w:szCs w:val="21"/>
          <w:highlight w:val="none"/>
        </w:rPr>
      </w:pPr>
    </w:p>
    <w:p>
      <w:pPr>
        <w:spacing w:line="480" w:lineRule="exact"/>
        <w:ind w:firstLine="420" w:firstLineChars="200"/>
        <w:rPr>
          <w:rFonts w:ascii="宋体" w:hAnsi="宋体" w:cs="宋体"/>
          <w:color w:val="auto"/>
          <w:szCs w:val="21"/>
          <w:highlight w:val="none"/>
        </w:rPr>
      </w:pPr>
    </w:p>
    <w:p>
      <w:pPr>
        <w:spacing w:line="480" w:lineRule="exact"/>
        <w:ind w:firstLine="420" w:firstLineChars="200"/>
        <w:rPr>
          <w:rFonts w:ascii="宋体" w:hAnsi="宋体" w:cs="宋体"/>
          <w:color w:val="auto"/>
          <w:szCs w:val="21"/>
          <w:highlight w:val="none"/>
        </w:rPr>
      </w:pPr>
    </w:p>
    <w:p>
      <w:pPr>
        <w:spacing w:line="480" w:lineRule="exact"/>
        <w:ind w:firstLine="420" w:firstLineChars="200"/>
        <w:rPr>
          <w:rFonts w:ascii="宋体" w:hAnsi="宋体" w:cs="宋体"/>
          <w:color w:val="auto"/>
          <w:szCs w:val="21"/>
          <w:highlight w:val="none"/>
        </w:rPr>
      </w:pPr>
    </w:p>
    <w:p>
      <w:pPr>
        <w:spacing w:line="480" w:lineRule="exact"/>
        <w:ind w:firstLine="420" w:firstLineChars="200"/>
        <w:rPr>
          <w:rFonts w:ascii="宋体" w:hAnsi="宋体" w:cs="宋体"/>
          <w:color w:val="auto"/>
          <w:szCs w:val="21"/>
          <w:highlight w:val="none"/>
        </w:rPr>
      </w:pPr>
    </w:p>
    <w:p>
      <w:pPr>
        <w:wordWrap w:val="0"/>
        <w:spacing w:line="48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（盖单位章） </w:t>
      </w:r>
    </w:p>
    <w:p>
      <w:pPr>
        <w:wordWrap w:val="0"/>
        <w:spacing w:before="120" w:beforeLines="50" w:after="120" w:afterLines="50" w:line="480" w:lineRule="exact"/>
        <w:ind w:right="210" w:firstLine="420" w:firstLineChars="200"/>
        <w:jc w:val="right"/>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（签字） </w:t>
      </w:r>
    </w:p>
    <w:p>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80" w:lineRule="exact"/>
        <w:rPr>
          <w:rFonts w:ascii="宋体" w:hAnsi="宋体" w:cs="宋体"/>
          <w:color w:val="auto"/>
          <w:szCs w:val="21"/>
          <w:highlight w:val="none"/>
        </w:rPr>
      </w:pPr>
    </w:p>
    <w:p>
      <w:pPr>
        <w:pStyle w:val="2"/>
        <w:ind w:firstLine="210"/>
        <w:rPr>
          <w:rFonts w:ascii="宋体" w:hAnsi="宋体" w:cs="宋体"/>
          <w:color w:val="auto"/>
          <w:szCs w:val="21"/>
          <w:highlight w:val="none"/>
        </w:rPr>
      </w:pPr>
    </w:p>
    <w:p>
      <w:pPr>
        <w:pStyle w:val="2"/>
        <w:ind w:firstLine="210"/>
        <w:rPr>
          <w:rFonts w:ascii="宋体" w:hAnsi="宋体" w:cs="宋体"/>
          <w:color w:val="auto"/>
          <w:szCs w:val="21"/>
          <w:highlight w:val="none"/>
        </w:rPr>
      </w:pPr>
    </w:p>
    <w:p>
      <w:pPr>
        <w:pStyle w:val="2"/>
        <w:ind w:firstLine="210"/>
        <w:rPr>
          <w:rFonts w:ascii="宋体" w:hAnsi="宋体" w:cs="宋体"/>
          <w:color w:val="auto"/>
          <w:szCs w:val="21"/>
          <w:highlight w:val="none"/>
        </w:rPr>
      </w:pPr>
    </w:p>
    <w:p>
      <w:pPr>
        <w:pStyle w:val="2"/>
        <w:ind w:firstLine="210"/>
        <w:rPr>
          <w:rFonts w:ascii="宋体" w:hAnsi="宋体" w:cs="宋体"/>
          <w:color w:val="auto"/>
          <w:szCs w:val="21"/>
          <w:highlight w:val="none"/>
        </w:rPr>
      </w:pPr>
    </w:p>
    <w:p>
      <w:pPr>
        <w:spacing w:line="480" w:lineRule="exact"/>
        <w:rPr>
          <w:rFonts w:ascii="宋体" w:hAnsi="宋体" w:cs="宋体"/>
          <w:color w:val="auto"/>
          <w:szCs w:val="21"/>
          <w:highlight w:val="none"/>
        </w:rPr>
      </w:pPr>
    </w:p>
    <w:p>
      <w:pPr>
        <w:snapToGrid w:val="0"/>
        <w:spacing w:line="360" w:lineRule="auto"/>
        <w:jc w:val="center"/>
        <w:rPr>
          <w:rFonts w:ascii="宋体" w:hAnsi="宋体" w:cs="宋体"/>
          <w:b/>
          <w:bCs/>
          <w:color w:val="auto"/>
          <w:szCs w:val="21"/>
          <w:highlight w:val="none"/>
          <w:lang w:bidi="ar"/>
        </w:rPr>
      </w:pPr>
    </w:p>
    <w:bookmarkEnd w:id="106"/>
    <w:p>
      <w:pPr>
        <w:rPr>
          <w:rFonts w:ascii="宋体" w:hAnsi="宋体" w:cs="宋体"/>
          <w:color w:val="auto"/>
          <w:szCs w:val="21"/>
          <w:highlight w:val="none"/>
        </w:rPr>
      </w:pPr>
    </w:p>
    <w:p>
      <w:pPr>
        <w:pStyle w:val="2"/>
        <w:ind w:firstLine="210"/>
        <w:rPr>
          <w:rFonts w:ascii="宋体" w:hAnsi="宋体" w:cs="宋体"/>
          <w:color w:val="auto"/>
          <w:szCs w:val="21"/>
          <w:highlight w:val="none"/>
        </w:rPr>
      </w:pPr>
    </w:p>
    <w:p>
      <w:pPr>
        <w:pStyle w:val="2"/>
        <w:ind w:firstLine="210"/>
        <w:rPr>
          <w:rFonts w:ascii="宋体" w:hAnsi="宋体" w:cs="宋体"/>
          <w:color w:val="auto"/>
          <w:szCs w:val="21"/>
          <w:highlight w:val="none"/>
        </w:rPr>
      </w:pPr>
    </w:p>
    <w:p>
      <w:pPr>
        <w:pStyle w:val="2"/>
        <w:ind w:firstLine="210"/>
        <w:rPr>
          <w:rFonts w:ascii="宋体" w:hAnsi="宋体" w:cs="宋体"/>
          <w:color w:val="auto"/>
          <w:szCs w:val="21"/>
          <w:highlight w:val="none"/>
        </w:rPr>
      </w:pPr>
    </w:p>
    <w:p>
      <w:pPr>
        <w:pStyle w:val="2"/>
        <w:ind w:firstLine="210"/>
        <w:rPr>
          <w:rFonts w:ascii="宋体" w:hAnsi="宋体" w:cs="宋体"/>
          <w:color w:val="auto"/>
          <w:szCs w:val="21"/>
          <w:highlight w:val="none"/>
        </w:rPr>
      </w:pPr>
    </w:p>
    <w:p>
      <w:pPr>
        <w:keepNext/>
        <w:keepLines/>
        <w:autoSpaceDE w:val="0"/>
        <w:autoSpaceDN w:val="0"/>
        <w:spacing w:before="120" w:beforeLines="50" w:line="400" w:lineRule="exact"/>
        <w:jc w:val="left"/>
        <w:outlineLvl w:val="0"/>
        <w:rPr>
          <w:rFonts w:ascii="黑体" w:hAnsi="宋体" w:eastAsia="黑体" w:cs="宋体"/>
          <w:color w:val="auto"/>
          <w:kern w:val="44"/>
          <w:sz w:val="24"/>
          <w:szCs w:val="24"/>
          <w:highlight w:val="none"/>
          <w:vertAlign w:val="superscript"/>
          <w:lang w:val="zh-CN" w:bidi="zh-CN"/>
        </w:rPr>
      </w:pPr>
      <w:bookmarkStart w:id="107" w:name="_Toc10196"/>
      <w:bookmarkStart w:id="108" w:name="_Toc234382644"/>
      <w:bookmarkStart w:id="109" w:name="_Toc26859"/>
      <w:r>
        <w:rPr>
          <w:rFonts w:hint="eastAsia" w:ascii="黑体" w:hAnsi="宋体" w:eastAsia="黑体" w:cs="宋体"/>
          <w:color w:val="auto"/>
          <w:kern w:val="44"/>
          <w:sz w:val="24"/>
          <w:szCs w:val="24"/>
          <w:highlight w:val="none"/>
          <w:lang w:val="zh-CN" w:bidi="zh-CN"/>
        </w:rPr>
        <w:t>附表三：开标记录表</w:t>
      </w:r>
      <w:bookmarkEnd w:id="107"/>
      <w:bookmarkEnd w:id="108"/>
      <w:bookmarkEnd w:id="109"/>
    </w:p>
    <w:p>
      <w:pPr>
        <w:autoSpaceDE w:val="0"/>
        <w:autoSpaceDN w:val="0"/>
        <w:jc w:val="left"/>
        <w:rPr>
          <w:rFonts w:ascii="宋体" w:hAnsi="宋体" w:cs="宋体"/>
          <w:color w:val="auto"/>
          <w:kern w:val="0"/>
          <w:sz w:val="24"/>
          <w:highlight w:val="none"/>
          <w:lang w:val="zh-CN" w:bidi="zh-CN"/>
        </w:rPr>
      </w:pPr>
    </w:p>
    <w:p>
      <w:pPr>
        <w:keepNext/>
        <w:keepLines/>
        <w:autoSpaceDE w:val="0"/>
        <w:autoSpaceDN w:val="0"/>
        <w:spacing w:before="120" w:beforeLines="50" w:after="120" w:afterLines="50" w:line="400" w:lineRule="exact"/>
        <w:jc w:val="center"/>
        <w:outlineLvl w:val="0"/>
        <w:rPr>
          <w:rFonts w:ascii="黑体" w:hAnsi="宋体" w:eastAsia="黑体" w:cs="宋体"/>
          <w:b/>
          <w:bCs/>
          <w:color w:val="auto"/>
          <w:kern w:val="44"/>
          <w:sz w:val="28"/>
          <w:szCs w:val="28"/>
          <w:highlight w:val="none"/>
          <w:lang w:val="zh-CN" w:bidi="zh-CN"/>
        </w:rPr>
      </w:pPr>
      <w:r>
        <w:rPr>
          <w:rFonts w:hint="eastAsia" w:ascii="黑体" w:hAnsi="宋体" w:eastAsia="黑体" w:cs="宋体"/>
          <w:b/>
          <w:bCs/>
          <w:color w:val="auto"/>
          <w:kern w:val="44"/>
          <w:sz w:val="28"/>
          <w:szCs w:val="28"/>
          <w:highlight w:val="none"/>
          <w:u w:val="single"/>
          <w:lang w:val="zh-CN" w:bidi="zh-CN"/>
        </w:rPr>
        <w:t xml:space="preserve">      </w:t>
      </w:r>
      <w:bookmarkStart w:id="110" w:name="_Toc22201"/>
      <w:bookmarkStart w:id="111" w:name="_Toc32698"/>
      <w:bookmarkStart w:id="112" w:name="_Toc234382645"/>
      <w:r>
        <w:rPr>
          <w:rFonts w:ascii="黑体" w:hAnsi="宋体" w:eastAsia="黑体" w:cs="宋体"/>
          <w:b/>
          <w:bCs/>
          <w:color w:val="auto"/>
          <w:kern w:val="44"/>
          <w:sz w:val="28"/>
          <w:szCs w:val="28"/>
          <w:highlight w:val="none"/>
          <w:lang w:val="zh-CN" w:bidi="zh-CN"/>
        </w:rPr>
        <w:t>（项目名称）施工</w:t>
      </w:r>
      <w:r>
        <w:rPr>
          <w:rFonts w:hint="eastAsia" w:ascii="黑体" w:hAnsi="宋体" w:eastAsia="黑体" w:cs="宋体"/>
          <w:b/>
          <w:bCs/>
          <w:color w:val="auto"/>
          <w:kern w:val="44"/>
          <w:sz w:val="28"/>
          <w:szCs w:val="28"/>
          <w:highlight w:val="none"/>
          <w:lang w:val="zh-CN" w:bidi="zh-CN"/>
        </w:rPr>
        <w:t>第一个信封（商务及技术文件）</w:t>
      </w:r>
      <w:bookmarkEnd w:id="110"/>
      <w:bookmarkEnd w:id="111"/>
    </w:p>
    <w:p>
      <w:pPr>
        <w:keepNext/>
        <w:keepLines/>
        <w:autoSpaceDE w:val="0"/>
        <w:autoSpaceDN w:val="0"/>
        <w:spacing w:before="120" w:beforeLines="50" w:after="120" w:afterLines="50" w:line="400" w:lineRule="exact"/>
        <w:jc w:val="center"/>
        <w:outlineLvl w:val="0"/>
        <w:rPr>
          <w:rFonts w:ascii="黑体" w:hAnsi="宋体" w:eastAsia="黑体" w:cs="宋体"/>
          <w:b/>
          <w:bCs/>
          <w:color w:val="auto"/>
          <w:kern w:val="44"/>
          <w:sz w:val="28"/>
          <w:szCs w:val="28"/>
          <w:highlight w:val="none"/>
          <w:lang w:val="zh-CN" w:bidi="zh-CN"/>
        </w:rPr>
      </w:pPr>
      <w:bookmarkStart w:id="113" w:name="_Toc8607"/>
      <w:bookmarkStart w:id="114" w:name="_Toc19943"/>
      <w:r>
        <w:rPr>
          <w:rFonts w:ascii="黑体" w:hAnsi="宋体" w:eastAsia="黑体" w:cs="宋体"/>
          <w:b/>
          <w:bCs/>
          <w:color w:val="auto"/>
          <w:kern w:val="44"/>
          <w:sz w:val="28"/>
          <w:szCs w:val="28"/>
          <w:highlight w:val="none"/>
          <w:lang w:val="zh-CN" w:bidi="zh-CN"/>
        </w:rPr>
        <w:t>开标记录表</w:t>
      </w:r>
      <w:bookmarkEnd w:id="112"/>
      <w:bookmarkEnd w:id="113"/>
      <w:bookmarkEnd w:id="114"/>
    </w:p>
    <w:p>
      <w:pPr>
        <w:autoSpaceDE w:val="0"/>
        <w:autoSpaceDN w:val="0"/>
        <w:jc w:val="righ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开标时间：</w:t>
      </w:r>
      <w:r>
        <w:rPr>
          <w:rFonts w:hint="eastAsia"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年</w:t>
      </w:r>
      <w:r>
        <w:rPr>
          <w:rFonts w:hint="eastAsia"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月</w:t>
      </w:r>
      <w:r>
        <w:rPr>
          <w:rFonts w:hint="eastAsia"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日</w:t>
      </w:r>
      <w:r>
        <w:rPr>
          <w:rFonts w:hint="eastAsia"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时</w:t>
      </w:r>
      <w:r>
        <w:rPr>
          <w:rFonts w:hint="eastAsia"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分</w:t>
      </w:r>
    </w:p>
    <w:tbl>
      <w:tblPr>
        <w:tblStyle w:val="47"/>
        <w:tblW w:w="9305" w:type="dxa"/>
        <w:jc w:val="center"/>
        <w:tblInd w:w="0" w:type="dxa"/>
        <w:tblLayout w:type="fixed"/>
        <w:tblCellMar>
          <w:top w:w="0" w:type="dxa"/>
          <w:left w:w="0" w:type="dxa"/>
          <w:bottom w:w="0" w:type="dxa"/>
          <w:right w:w="0" w:type="dxa"/>
        </w:tblCellMar>
      </w:tblPr>
      <w:tblGrid>
        <w:gridCol w:w="725"/>
        <w:gridCol w:w="2010"/>
        <w:gridCol w:w="1299"/>
        <w:gridCol w:w="1253"/>
        <w:gridCol w:w="1401"/>
        <w:gridCol w:w="1032"/>
        <w:gridCol w:w="1585"/>
      </w:tblGrid>
      <w:tr>
        <w:tblPrEx>
          <w:tblLayout w:type="fixed"/>
          <w:tblCellMar>
            <w:top w:w="0" w:type="dxa"/>
            <w:left w:w="0" w:type="dxa"/>
            <w:bottom w:w="0" w:type="dxa"/>
            <w:right w:w="0" w:type="dxa"/>
          </w:tblCellMar>
        </w:tblPrEx>
        <w:trPr>
          <w:trHeight w:val="861"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序号</w:t>
            </w: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投标人</w:t>
            </w: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密封情况</w:t>
            </w: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投标保证金递交情况</w:t>
            </w: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工期</w:t>
            </w: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备注</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投标人代表签名</w:t>
            </w: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r>
      <w:tr>
        <w:tblPrEx>
          <w:tblLayout w:type="fixed"/>
          <w:tblCellMar>
            <w:top w:w="0" w:type="dxa"/>
            <w:left w:w="0" w:type="dxa"/>
            <w:bottom w:w="0" w:type="dxa"/>
            <w:right w:w="0" w:type="dxa"/>
          </w:tblCellMar>
        </w:tblPrEx>
        <w:trPr>
          <w:trHeight w:val="615" w:hRule="atLeast"/>
          <w:jc w:val="center"/>
        </w:trPr>
        <w:tc>
          <w:tcPr>
            <w:tcW w:w="725"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20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r>
    </w:tbl>
    <w:p>
      <w:pPr>
        <w:autoSpaceDE w:val="0"/>
        <w:autoSpaceDN w:val="0"/>
        <w:jc w:val="left"/>
        <w:rPr>
          <w:rFonts w:ascii="宋体" w:hAnsi="宋体" w:cs="宋体"/>
          <w:color w:val="auto"/>
          <w:kern w:val="0"/>
          <w:sz w:val="24"/>
          <w:highlight w:val="none"/>
          <w:lang w:val="zh-CN" w:bidi="zh-CN"/>
        </w:rPr>
      </w:pPr>
    </w:p>
    <w:p>
      <w:pPr>
        <w:autoSpaceDE w:val="0"/>
        <w:autoSpaceDN w:val="0"/>
        <w:jc w:val="left"/>
        <w:rPr>
          <w:rFonts w:ascii="宋体" w:hAnsi="宋体" w:cs="宋体"/>
          <w:color w:val="auto"/>
          <w:kern w:val="0"/>
          <w:sz w:val="24"/>
          <w:highlight w:val="none"/>
          <w:lang w:val="zh-CN" w:bidi="zh-CN"/>
        </w:rPr>
      </w:pPr>
    </w:p>
    <w:p>
      <w:pPr>
        <w:autoSpaceDE w:val="0"/>
        <w:autoSpaceDN w:val="0"/>
        <w:jc w:val="left"/>
        <w:rPr>
          <w:rFonts w:ascii="宋体" w:hAnsi="宋体" w:cs="宋体"/>
          <w:color w:val="auto"/>
          <w:kern w:val="0"/>
          <w:sz w:val="24"/>
          <w:highlight w:val="none"/>
          <w:lang w:val="zh-CN" w:bidi="zh-CN"/>
        </w:rPr>
      </w:pPr>
    </w:p>
    <w:p>
      <w:pPr>
        <w:autoSpaceDE w:val="0"/>
        <w:autoSpaceDN w:val="0"/>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招标人代表：</w:t>
      </w: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lang w:val="zh-CN" w:bidi="zh-CN"/>
        </w:rPr>
        <w:t xml:space="preserve">        </w:t>
      </w:r>
      <w:r>
        <w:rPr>
          <w:rFonts w:hint="eastAsia" w:ascii="宋体" w:hAnsi="宋体" w:cs="宋体"/>
          <w:color w:val="auto"/>
          <w:kern w:val="0"/>
          <w:sz w:val="24"/>
          <w:highlight w:val="none"/>
          <w:lang w:bidi="zh-CN"/>
        </w:rPr>
        <w:t xml:space="preserve">                              </w:t>
      </w:r>
      <w:r>
        <w:rPr>
          <w:rFonts w:ascii="宋体" w:hAnsi="宋体" w:cs="宋体"/>
          <w:color w:val="auto"/>
          <w:kern w:val="0"/>
          <w:sz w:val="24"/>
          <w:highlight w:val="none"/>
          <w:lang w:val="zh-CN" w:bidi="zh-CN"/>
        </w:rPr>
        <w:t>记录人：</w:t>
      </w: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 xml:space="preserve"> </w:t>
      </w:r>
      <w:r>
        <w:rPr>
          <w:rFonts w:hint="eastAsia" w:ascii="宋体" w:hAnsi="宋体" w:cs="宋体"/>
          <w:color w:val="auto"/>
          <w:kern w:val="0"/>
          <w:sz w:val="24"/>
          <w:highlight w:val="none"/>
          <w:lang w:val="zh-CN" w:bidi="zh-CN"/>
        </w:rPr>
        <w:t xml:space="preserve">     </w:t>
      </w:r>
    </w:p>
    <w:p>
      <w:pPr>
        <w:autoSpaceDE w:val="0"/>
        <w:autoSpaceDN w:val="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 xml:space="preserve">                                      </w:t>
      </w:r>
    </w:p>
    <w:p>
      <w:pPr>
        <w:autoSpaceDE w:val="0"/>
        <w:autoSpaceDN w:val="0"/>
        <w:ind w:firstLine="6720" w:firstLineChars="280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 xml:space="preserve"> </w:t>
      </w:r>
      <w:r>
        <w:rPr>
          <w:rFonts w:hint="eastAsia"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年</w:t>
      </w:r>
      <w:r>
        <w:rPr>
          <w:rFonts w:hint="eastAsia"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月</w:t>
      </w:r>
      <w:r>
        <w:rPr>
          <w:rFonts w:hint="eastAsia"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日</w:t>
      </w:r>
    </w:p>
    <w:p>
      <w:pPr>
        <w:autoSpaceDE w:val="0"/>
        <w:autoSpaceDN w:val="0"/>
        <w:spacing w:line="400" w:lineRule="exact"/>
        <w:jc w:val="left"/>
        <w:rPr>
          <w:rFonts w:ascii="宋体" w:hAnsi="宋体" w:cs="宋体"/>
          <w:color w:val="auto"/>
          <w:kern w:val="0"/>
          <w:sz w:val="24"/>
          <w:highlight w:val="none"/>
          <w:lang w:bidi="zh-CN"/>
        </w:rPr>
        <w:sectPr>
          <w:footerReference r:id="rId16" w:type="first"/>
          <w:footerReference r:id="rId15" w:type="default"/>
          <w:pgSz w:w="11910" w:h="16850"/>
          <w:pgMar w:top="1480" w:right="1200" w:bottom="1040" w:left="1220" w:header="876" w:footer="853" w:gutter="0"/>
          <w:pgNumType w:fmt="decimal"/>
          <w:cols w:space="720" w:num="1"/>
        </w:sectPr>
      </w:pPr>
    </w:p>
    <w:p>
      <w:pPr>
        <w:keepNext/>
        <w:keepLines/>
        <w:autoSpaceDE w:val="0"/>
        <w:autoSpaceDN w:val="0"/>
        <w:spacing w:before="120" w:beforeLines="50" w:after="120" w:afterLines="50" w:line="400" w:lineRule="exact"/>
        <w:jc w:val="center"/>
        <w:outlineLvl w:val="0"/>
        <w:rPr>
          <w:rFonts w:ascii="黑体" w:hAnsi="宋体" w:eastAsia="黑体" w:cs="宋体"/>
          <w:b/>
          <w:bCs/>
          <w:color w:val="auto"/>
          <w:kern w:val="44"/>
          <w:sz w:val="28"/>
          <w:szCs w:val="28"/>
          <w:highlight w:val="none"/>
          <w:lang w:val="zh-CN" w:bidi="zh-CN"/>
        </w:rPr>
      </w:pPr>
      <w:r>
        <w:rPr>
          <w:rFonts w:hint="eastAsia" w:ascii="黑体" w:hAnsi="宋体" w:eastAsia="黑体" w:cs="宋体"/>
          <w:b/>
          <w:bCs/>
          <w:color w:val="auto"/>
          <w:kern w:val="44"/>
          <w:sz w:val="28"/>
          <w:szCs w:val="28"/>
          <w:highlight w:val="none"/>
          <w:u w:val="single"/>
          <w:lang w:val="zh-CN" w:bidi="zh-CN"/>
        </w:rPr>
        <w:t xml:space="preserve">      </w:t>
      </w:r>
      <w:bookmarkStart w:id="115" w:name="_Toc15664"/>
      <w:bookmarkStart w:id="116" w:name="_Toc16748"/>
      <w:r>
        <w:rPr>
          <w:rFonts w:ascii="黑体" w:hAnsi="宋体" w:eastAsia="黑体" w:cs="宋体"/>
          <w:b/>
          <w:bCs/>
          <w:color w:val="auto"/>
          <w:kern w:val="44"/>
          <w:sz w:val="28"/>
          <w:szCs w:val="28"/>
          <w:highlight w:val="none"/>
          <w:lang w:val="zh-CN" w:bidi="zh-CN"/>
        </w:rPr>
        <w:t>（项目名称）施工</w:t>
      </w:r>
      <w:r>
        <w:rPr>
          <w:rFonts w:hint="eastAsia" w:ascii="黑体" w:hAnsi="宋体" w:eastAsia="黑体" w:cs="宋体"/>
          <w:b/>
          <w:bCs/>
          <w:color w:val="auto"/>
          <w:kern w:val="44"/>
          <w:sz w:val="28"/>
          <w:szCs w:val="28"/>
          <w:highlight w:val="none"/>
          <w:lang w:val="zh-CN" w:bidi="zh-CN"/>
        </w:rPr>
        <w:t>第二个信封（报价文件）</w:t>
      </w:r>
      <w:bookmarkEnd w:id="115"/>
      <w:bookmarkEnd w:id="116"/>
    </w:p>
    <w:p>
      <w:pPr>
        <w:keepNext/>
        <w:keepLines/>
        <w:autoSpaceDE w:val="0"/>
        <w:autoSpaceDN w:val="0"/>
        <w:spacing w:before="120" w:beforeLines="50" w:after="120" w:afterLines="50" w:line="400" w:lineRule="exact"/>
        <w:jc w:val="center"/>
        <w:outlineLvl w:val="0"/>
        <w:rPr>
          <w:rFonts w:ascii="黑体" w:hAnsi="宋体" w:eastAsia="黑体" w:cs="宋体"/>
          <w:b/>
          <w:bCs/>
          <w:color w:val="auto"/>
          <w:kern w:val="44"/>
          <w:sz w:val="28"/>
          <w:szCs w:val="28"/>
          <w:highlight w:val="none"/>
          <w:lang w:val="zh-CN" w:bidi="zh-CN"/>
        </w:rPr>
      </w:pPr>
      <w:bookmarkStart w:id="117" w:name="_Toc3991"/>
      <w:bookmarkStart w:id="118" w:name="_Toc26683"/>
      <w:r>
        <w:rPr>
          <w:rFonts w:ascii="黑体" w:hAnsi="宋体" w:eastAsia="黑体" w:cs="宋体"/>
          <w:b/>
          <w:bCs/>
          <w:color w:val="auto"/>
          <w:kern w:val="44"/>
          <w:sz w:val="28"/>
          <w:szCs w:val="28"/>
          <w:highlight w:val="none"/>
          <w:lang w:val="zh-CN" w:bidi="zh-CN"/>
        </w:rPr>
        <w:t>开标记录表</w:t>
      </w:r>
      <w:bookmarkEnd w:id="117"/>
      <w:bookmarkEnd w:id="118"/>
    </w:p>
    <w:p>
      <w:pPr>
        <w:autoSpaceDE w:val="0"/>
        <w:autoSpaceDN w:val="0"/>
        <w:jc w:val="righ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开标时间：</w:t>
      </w:r>
      <w:r>
        <w:rPr>
          <w:rFonts w:hint="eastAsia"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年</w:t>
      </w:r>
      <w:r>
        <w:rPr>
          <w:rFonts w:hint="eastAsia"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月</w:t>
      </w:r>
      <w:r>
        <w:rPr>
          <w:rFonts w:hint="eastAsia"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日</w:t>
      </w:r>
      <w:r>
        <w:rPr>
          <w:rFonts w:hint="eastAsia"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时</w:t>
      </w:r>
      <w:r>
        <w:rPr>
          <w:rFonts w:hint="eastAsia"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分</w:t>
      </w:r>
    </w:p>
    <w:tbl>
      <w:tblPr>
        <w:tblStyle w:val="47"/>
        <w:tblW w:w="8854" w:type="dxa"/>
        <w:jc w:val="center"/>
        <w:tblInd w:w="0" w:type="dxa"/>
        <w:tblLayout w:type="fixed"/>
        <w:tblCellMar>
          <w:top w:w="0" w:type="dxa"/>
          <w:left w:w="0" w:type="dxa"/>
          <w:bottom w:w="0" w:type="dxa"/>
          <w:right w:w="0" w:type="dxa"/>
        </w:tblCellMar>
      </w:tblPr>
      <w:tblGrid>
        <w:gridCol w:w="769"/>
        <w:gridCol w:w="1875"/>
        <w:gridCol w:w="1260"/>
        <w:gridCol w:w="1253"/>
        <w:gridCol w:w="1401"/>
        <w:gridCol w:w="1032"/>
        <w:gridCol w:w="1264"/>
      </w:tblGrid>
      <w:tr>
        <w:tblPrEx>
          <w:tblLayout w:type="fixed"/>
          <w:tblCellMar>
            <w:top w:w="0" w:type="dxa"/>
            <w:left w:w="0" w:type="dxa"/>
            <w:bottom w:w="0" w:type="dxa"/>
            <w:right w:w="0" w:type="dxa"/>
          </w:tblCellMar>
        </w:tblPrEx>
        <w:trPr>
          <w:trHeight w:val="861"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序号</w:t>
            </w: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投标人</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密封情况</w:t>
            </w: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投标报价</w:t>
            </w:r>
          </w:p>
          <w:p>
            <w:pPr>
              <w:autoSpaceDE w:val="0"/>
              <w:autoSpaceDN w:val="0"/>
              <w:jc w:val="center"/>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（元）</w:t>
            </w: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是否超过最高投标限价</w:t>
            </w: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备注</w:t>
            </w: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投标人代表签名</w:t>
            </w: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r>
      <w:tr>
        <w:tblPrEx>
          <w:tblLayout w:type="fixed"/>
          <w:tblCellMar>
            <w:top w:w="0" w:type="dxa"/>
            <w:left w:w="0" w:type="dxa"/>
            <w:bottom w:w="0" w:type="dxa"/>
            <w:right w:w="0" w:type="dxa"/>
          </w:tblCellMar>
        </w:tblPrEx>
        <w:trPr>
          <w:trHeight w:val="615" w:hRule="atLeast"/>
          <w:jc w:val="center"/>
        </w:trPr>
        <w:tc>
          <w:tcPr>
            <w:tcW w:w="769"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5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4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r>
      <w:tr>
        <w:tblPrEx>
          <w:tblLayout w:type="fixed"/>
          <w:tblCellMar>
            <w:top w:w="0" w:type="dxa"/>
            <w:left w:w="0" w:type="dxa"/>
            <w:bottom w:w="0" w:type="dxa"/>
            <w:right w:w="0" w:type="dxa"/>
          </w:tblCellMar>
        </w:tblPrEx>
        <w:trPr>
          <w:trHeight w:val="615" w:hRule="atLeast"/>
          <w:jc w:val="center"/>
        </w:trPr>
        <w:tc>
          <w:tcPr>
            <w:tcW w:w="3904" w:type="dxa"/>
            <w:gridSpan w:val="3"/>
            <w:tcBorders>
              <w:top w:val="single" w:color="000000" w:sz="4" w:space="0"/>
              <w:left w:val="single" w:color="auto" w:sz="4" w:space="0"/>
              <w:bottom w:val="single" w:color="auto"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r>
              <w:rPr>
                <w:rFonts w:ascii="宋体" w:hAnsi="宋体" w:cs="宋体"/>
                <w:color w:val="auto"/>
                <w:kern w:val="0"/>
                <w:highlight w:val="none"/>
                <w:lang w:val="zh-CN" w:bidi="zh-CN"/>
              </w:rPr>
              <w:t>招标人编制的最高投标限价（如有）</w:t>
            </w:r>
          </w:p>
        </w:tc>
        <w:tc>
          <w:tcPr>
            <w:tcW w:w="4950" w:type="dxa"/>
            <w:gridSpan w:val="4"/>
            <w:tcBorders>
              <w:top w:val="single" w:color="000000" w:sz="4" w:space="0"/>
              <w:left w:val="single" w:color="000000" w:sz="4" w:space="0"/>
              <w:bottom w:val="single" w:color="auto" w:sz="4" w:space="0"/>
              <w:right w:val="single" w:color="000000" w:sz="4" w:space="0"/>
            </w:tcBorders>
            <w:vAlign w:val="center"/>
          </w:tcPr>
          <w:p>
            <w:pPr>
              <w:autoSpaceDE w:val="0"/>
              <w:autoSpaceDN w:val="0"/>
              <w:jc w:val="center"/>
              <w:rPr>
                <w:rFonts w:ascii="宋体" w:hAnsi="宋体" w:cs="宋体"/>
                <w:color w:val="auto"/>
                <w:kern w:val="0"/>
                <w:sz w:val="22"/>
                <w:szCs w:val="21"/>
                <w:highlight w:val="none"/>
                <w:lang w:val="zh-CN" w:bidi="zh-CN"/>
              </w:rPr>
            </w:pPr>
          </w:p>
        </w:tc>
      </w:tr>
    </w:tbl>
    <w:p>
      <w:pPr>
        <w:autoSpaceDE w:val="0"/>
        <w:autoSpaceDN w:val="0"/>
        <w:spacing w:line="360" w:lineRule="auto"/>
        <w:ind w:firstLine="480" w:firstLineChars="200"/>
        <w:jc w:val="left"/>
        <w:rPr>
          <w:rFonts w:ascii="宋体" w:hAnsi="宋体" w:cs="宋体"/>
          <w:color w:val="auto"/>
          <w:kern w:val="0"/>
          <w:sz w:val="24"/>
          <w:highlight w:val="none"/>
          <w:lang w:bidi="zh-CN"/>
        </w:rPr>
      </w:pPr>
    </w:p>
    <w:p>
      <w:pPr>
        <w:autoSpaceDE w:val="0"/>
        <w:autoSpaceDN w:val="0"/>
        <w:jc w:val="left"/>
        <w:rPr>
          <w:rFonts w:ascii="宋体" w:hAnsi="宋体" w:cs="宋体"/>
          <w:color w:val="auto"/>
          <w:kern w:val="0"/>
          <w:sz w:val="24"/>
          <w:highlight w:val="none"/>
          <w:lang w:val="zh-CN" w:bidi="zh-CN"/>
        </w:rPr>
      </w:pPr>
    </w:p>
    <w:p>
      <w:pPr>
        <w:autoSpaceDE w:val="0"/>
        <w:autoSpaceDN w:val="0"/>
        <w:jc w:val="left"/>
        <w:rPr>
          <w:rFonts w:ascii="宋体" w:hAnsi="宋体" w:cs="宋体"/>
          <w:color w:val="auto"/>
          <w:kern w:val="0"/>
          <w:sz w:val="24"/>
          <w:highlight w:val="none"/>
          <w:lang w:val="zh-CN" w:bidi="zh-CN"/>
        </w:rPr>
      </w:pPr>
    </w:p>
    <w:p>
      <w:pPr>
        <w:autoSpaceDE w:val="0"/>
        <w:autoSpaceDN w:val="0"/>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招标人代表：</w:t>
      </w: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lang w:val="zh-CN" w:bidi="zh-CN"/>
        </w:rPr>
        <w:t xml:space="preserve">        </w:t>
      </w:r>
      <w:r>
        <w:rPr>
          <w:rFonts w:hint="eastAsia" w:ascii="宋体" w:hAnsi="宋体" w:cs="宋体"/>
          <w:color w:val="auto"/>
          <w:kern w:val="0"/>
          <w:sz w:val="24"/>
          <w:highlight w:val="none"/>
          <w:lang w:bidi="zh-CN"/>
        </w:rPr>
        <w:t xml:space="preserve">                              </w:t>
      </w:r>
      <w:r>
        <w:rPr>
          <w:rFonts w:ascii="宋体" w:hAnsi="宋体" w:cs="宋体"/>
          <w:color w:val="auto"/>
          <w:kern w:val="0"/>
          <w:sz w:val="24"/>
          <w:highlight w:val="none"/>
          <w:lang w:val="zh-CN" w:bidi="zh-CN"/>
        </w:rPr>
        <w:t>记录人：</w:t>
      </w: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u w:val="single"/>
          <w:lang w:bidi="zh-CN"/>
        </w:rPr>
        <w:t xml:space="preserve">  </w:t>
      </w:r>
      <w:r>
        <w:rPr>
          <w:rFonts w:hint="eastAsia"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 xml:space="preserve"> </w:t>
      </w:r>
      <w:r>
        <w:rPr>
          <w:rFonts w:hint="eastAsia" w:ascii="宋体" w:hAnsi="宋体" w:cs="宋体"/>
          <w:color w:val="auto"/>
          <w:kern w:val="0"/>
          <w:sz w:val="24"/>
          <w:highlight w:val="none"/>
          <w:lang w:val="zh-CN" w:bidi="zh-CN"/>
        </w:rPr>
        <w:t xml:space="preserve">     </w:t>
      </w:r>
    </w:p>
    <w:p>
      <w:pPr>
        <w:autoSpaceDE w:val="0"/>
        <w:autoSpaceDN w:val="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 xml:space="preserve">                                      </w:t>
      </w:r>
    </w:p>
    <w:p>
      <w:pPr>
        <w:autoSpaceDE w:val="0"/>
        <w:autoSpaceDN w:val="0"/>
        <w:ind w:firstLine="6240" w:firstLineChars="260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 xml:space="preserve"> </w:t>
      </w:r>
      <w:r>
        <w:rPr>
          <w:rFonts w:hint="eastAsia"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年</w:t>
      </w:r>
      <w:r>
        <w:rPr>
          <w:rFonts w:hint="eastAsia"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月</w:t>
      </w:r>
      <w:r>
        <w:rPr>
          <w:rFonts w:hint="eastAsia"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日</w:t>
      </w:r>
    </w:p>
    <w:p>
      <w:pPr>
        <w:pStyle w:val="2"/>
        <w:ind w:firstLine="210"/>
        <w:rPr>
          <w:rFonts w:ascii="宋体" w:hAnsi="宋体" w:cs="宋体"/>
          <w:color w:val="auto"/>
          <w:szCs w:val="21"/>
          <w:highlight w:val="none"/>
        </w:rPr>
      </w:pPr>
    </w:p>
    <w:p>
      <w:pPr>
        <w:pStyle w:val="2"/>
        <w:ind w:firstLine="210"/>
        <w:rPr>
          <w:rFonts w:ascii="宋体" w:hAnsi="宋体" w:cs="宋体"/>
          <w:color w:val="auto"/>
          <w:szCs w:val="21"/>
          <w:highlight w:val="none"/>
        </w:rPr>
      </w:pPr>
    </w:p>
    <w:p>
      <w:pPr>
        <w:pStyle w:val="2"/>
        <w:ind w:firstLine="210"/>
        <w:rPr>
          <w:rFonts w:ascii="宋体" w:hAnsi="宋体" w:cs="宋体"/>
          <w:color w:val="auto"/>
          <w:szCs w:val="21"/>
          <w:highlight w:val="none"/>
        </w:rPr>
      </w:pPr>
    </w:p>
    <w:p>
      <w:pPr>
        <w:keepNext/>
        <w:spacing w:line="360" w:lineRule="auto"/>
        <w:jc w:val="center"/>
        <w:outlineLvl w:val="0"/>
        <w:rPr>
          <w:rFonts w:ascii="宋体" w:hAnsi="宋体" w:cs="宋体"/>
          <w:color w:val="auto"/>
          <w:szCs w:val="21"/>
          <w:highlight w:val="none"/>
        </w:rPr>
      </w:pPr>
      <w:bookmarkStart w:id="119" w:name="_Toc28304"/>
      <w:bookmarkStart w:id="120" w:name="_Toc28164_WPSOffice_Level1"/>
      <w:bookmarkStart w:id="121" w:name="_Toc23468_WPSOffice_Level1"/>
      <w:bookmarkStart w:id="122" w:name="_Toc2589"/>
      <w:bookmarkStart w:id="123" w:name="_Toc29082_WPSOffice_Level1"/>
      <w:r>
        <w:rPr>
          <w:rFonts w:hint="eastAsia" w:ascii="宋体" w:hAnsi="宋体"/>
          <w:b/>
          <w:bCs/>
          <w:color w:val="auto"/>
          <w:sz w:val="32"/>
          <w:szCs w:val="32"/>
          <w:highlight w:val="none"/>
        </w:rPr>
        <w:t>第三章 评标办法</w:t>
      </w:r>
      <w:bookmarkEnd w:id="99"/>
      <w:bookmarkEnd w:id="100"/>
      <w:r>
        <w:rPr>
          <w:rFonts w:hint="eastAsia" w:ascii="宋体" w:hAnsi="宋体"/>
          <w:b/>
          <w:bCs/>
          <w:color w:val="auto"/>
          <w:sz w:val="32"/>
          <w:szCs w:val="32"/>
          <w:highlight w:val="none"/>
        </w:rPr>
        <w:t>（技术评分最低标价法）</w:t>
      </w:r>
      <w:bookmarkEnd w:id="119"/>
      <w:bookmarkEnd w:id="120"/>
      <w:bookmarkEnd w:id="121"/>
      <w:bookmarkEnd w:id="122"/>
      <w:bookmarkEnd w:id="123"/>
    </w:p>
    <w:p>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评标办法前附表</w:t>
      </w:r>
    </w:p>
    <w:tbl>
      <w:tblPr>
        <w:tblStyle w:val="47"/>
        <w:tblW w:w="9781" w:type="dxa"/>
        <w:jc w:val="center"/>
        <w:tblInd w:w="0" w:type="dxa"/>
        <w:tblLayout w:type="fixed"/>
        <w:tblCellMar>
          <w:top w:w="0" w:type="dxa"/>
          <w:left w:w="0" w:type="dxa"/>
          <w:bottom w:w="0" w:type="dxa"/>
          <w:right w:w="0" w:type="dxa"/>
        </w:tblCellMar>
      </w:tblPr>
      <w:tblGrid>
        <w:gridCol w:w="992"/>
        <w:gridCol w:w="1420"/>
        <w:gridCol w:w="7369"/>
      </w:tblGrid>
      <w:tr>
        <w:tblPrEx>
          <w:tblLayout w:type="fixed"/>
          <w:tblCellMar>
            <w:top w:w="0" w:type="dxa"/>
            <w:left w:w="0" w:type="dxa"/>
            <w:bottom w:w="0" w:type="dxa"/>
            <w:right w:w="0" w:type="dxa"/>
          </w:tblCellMar>
        </w:tblPrEx>
        <w:trPr>
          <w:trHeight w:val="304" w:hRule="atLeast"/>
          <w:jc w:val="center"/>
        </w:trPr>
        <w:tc>
          <w:tcPr>
            <w:tcW w:w="992"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条款号</w:t>
            </w:r>
          </w:p>
        </w:tc>
        <w:tc>
          <w:tcPr>
            <w:tcW w:w="1420" w:type="dxa"/>
            <w:tcBorders>
              <w:top w:val="single" w:color="000000" w:sz="4" w:space="0"/>
              <w:left w:val="nil"/>
              <w:bottom w:val="single" w:color="000000" w:sz="4" w:space="0"/>
              <w:right w:val="single" w:color="000000" w:sz="4" w:space="0"/>
            </w:tcBorders>
            <w:vAlign w:val="center"/>
          </w:tcPr>
          <w:p>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条款内容</w:t>
            </w:r>
          </w:p>
        </w:tc>
        <w:tc>
          <w:tcPr>
            <w:tcW w:w="7369" w:type="dxa"/>
            <w:tcBorders>
              <w:top w:val="single" w:color="000000" w:sz="4" w:space="0"/>
              <w:left w:val="nil"/>
              <w:bottom w:val="single" w:color="000000" w:sz="4" w:space="0"/>
              <w:right w:val="single" w:color="000000" w:sz="4" w:space="0"/>
            </w:tcBorders>
            <w:vAlign w:val="center"/>
          </w:tcPr>
          <w:p>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评审因素与标准</w:t>
            </w:r>
          </w:p>
        </w:tc>
      </w:tr>
      <w:tr>
        <w:tblPrEx>
          <w:tblLayout w:type="fixed"/>
          <w:tblCellMar>
            <w:top w:w="0" w:type="dxa"/>
            <w:left w:w="0" w:type="dxa"/>
            <w:bottom w:w="0" w:type="dxa"/>
            <w:right w:w="0" w:type="dxa"/>
          </w:tblCellMar>
        </w:tblPrEx>
        <w:trPr>
          <w:trHeight w:val="1239" w:hRule="atLeast"/>
          <w:jc w:val="center"/>
        </w:trPr>
        <w:tc>
          <w:tcPr>
            <w:tcW w:w="992"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b/>
                <w:bCs/>
                <w:color w:val="auto"/>
                <w:szCs w:val="21"/>
                <w:highlight w:val="none"/>
              </w:rPr>
            </w:pPr>
            <w:r>
              <w:rPr>
                <w:rFonts w:hint="eastAsia" w:ascii="宋体" w:hAnsi="宋体" w:cs="宋体"/>
                <w:color w:val="auto"/>
                <w:highlight w:val="none"/>
              </w:rPr>
              <w:t>1</w:t>
            </w:r>
          </w:p>
        </w:tc>
        <w:tc>
          <w:tcPr>
            <w:tcW w:w="1420" w:type="dxa"/>
            <w:tcBorders>
              <w:top w:val="single" w:color="000000" w:sz="4" w:space="0"/>
              <w:left w:val="nil"/>
              <w:bottom w:val="single" w:color="000000" w:sz="4" w:space="0"/>
              <w:right w:val="single" w:color="000000" w:sz="4" w:space="0"/>
            </w:tcBorders>
            <w:vAlign w:val="center"/>
          </w:tcPr>
          <w:p>
            <w:pPr>
              <w:jc w:val="center"/>
              <w:rPr>
                <w:rFonts w:ascii="宋体" w:hAnsi="宋体" w:cs="宋体"/>
                <w:b/>
                <w:bCs/>
                <w:color w:val="auto"/>
                <w:szCs w:val="21"/>
                <w:highlight w:val="none"/>
              </w:rPr>
            </w:pPr>
            <w:r>
              <w:rPr>
                <w:rFonts w:hint="eastAsia" w:ascii="宋体" w:hAnsi="宋体" w:cs="宋体"/>
                <w:color w:val="auto"/>
                <w:highlight w:val="none"/>
              </w:rPr>
              <w:t>评标办法</w:t>
            </w:r>
          </w:p>
        </w:tc>
        <w:tc>
          <w:tcPr>
            <w:tcW w:w="7369" w:type="dxa"/>
            <w:tcBorders>
              <w:top w:val="single" w:color="000000" w:sz="4" w:space="0"/>
              <w:left w:val="nil"/>
              <w:bottom w:val="single" w:color="000000" w:sz="4" w:space="0"/>
              <w:right w:val="single" w:color="000000" w:sz="4" w:space="0"/>
            </w:tcBorders>
            <w:vAlign w:val="center"/>
          </w:tcPr>
          <w:p>
            <w:pPr>
              <w:spacing w:line="360" w:lineRule="exact"/>
              <w:ind w:left="105" w:leftChars="50" w:right="105" w:rightChars="50"/>
              <w:rPr>
                <w:rFonts w:ascii="宋体" w:hAnsi="宋体" w:cs="宋体"/>
                <w:b/>
                <w:bCs/>
                <w:color w:val="auto"/>
                <w:szCs w:val="21"/>
                <w:highlight w:val="none"/>
              </w:rPr>
            </w:pPr>
            <w:r>
              <w:rPr>
                <w:rFonts w:hint="eastAsia" w:ascii="宋体" w:hAnsi="宋体" w:cs="宋体"/>
                <w:color w:val="auto"/>
                <w:highlight w:val="none"/>
              </w:rPr>
              <w:t>评标价相等时，评标委员会依次按照以下优先顺序推荐中标候选人或确定中标人：商务和技术得分较高的投标人优先。</w:t>
            </w:r>
          </w:p>
        </w:tc>
      </w:tr>
      <w:tr>
        <w:tblPrEx>
          <w:tblLayout w:type="fixed"/>
          <w:tblCellMar>
            <w:top w:w="0" w:type="dxa"/>
            <w:left w:w="0" w:type="dxa"/>
            <w:bottom w:w="0" w:type="dxa"/>
            <w:right w:w="0" w:type="dxa"/>
          </w:tblCellMar>
        </w:tblPrEx>
        <w:trPr>
          <w:jc w:val="center"/>
        </w:trPr>
        <w:tc>
          <w:tcPr>
            <w:tcW w:w="992"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2.1.1</w:t>
            </w:r>
          </w:p>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2.1.3</w:t>
            </w:r>
          </w:p>
        </w:tc>
        <w:tc>
          <w:tcPr>
            <w:tcW w:w="1420" w:type="dxa"/>
            <w:tcBorders>
              <w:top w:val="single" w:color="auto" w:sz="4" w:space="0"/>
              <w:left w:val="nil"/>
              <w:bottom w:val="single" w:color="auto" w:sz="4" w:space="0"/>
              <w:right w:val="single" w:color="000000"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形式评审与</w:t>
            </w:r>
          </w:p>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响应性评审</w:t>
            </w:r>
          </w:p>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标准</w:t>
            </w:r>
          </w:p>
        </w:tc>
        <w:tc>
          <w:tcPr>
            <w:tcW w:w="7369" w:type="dxa"/>
            <w:tcBorders>
              <w:top w:val="single" w:color="auto" w:sz="4" w:space="0"/>
              <w:left w:val="nil"/>
              <w:bottom w:val="single" w:color="auto" w:sz="4" w:space="0"/>
              <w:right w:val="single" w:color="000000" w:sz="4" w:space="0"/>
            </w:tcBorders>
            <w:vAlign w:val="center"/>
          </w:tcPr>
          <w:p>
            <w:pPr>
              <w:spacing w:line="360" w:lineRule="exact"/>
              <w:ind w:left="105" w:leftChars="50" w:right="105" w:rightChars="50"/>
              <w:rPr>
                <w:color w:val="auto"/>
                <w:highlight w:val="none"/>
              </w:rPr>
            </w:pPr>
            <w:r>
              <w:rPr>
                <w:rFonts w:hint="eastAsia"/>
                <w:color w:val="auto"/>
                <w:highlight w:val="none"/>
              </w:rPr>
              <w:t>第一个信封（商务及技术文件）评审标准：</w:t>
            </w:r>
          </w:p>
          <w:p>
            <w:pPr>
              <w:spacing w:line="360" w:lineRule="exact"/>
              <w:ind w:left="105" w:leftChars="50" w:right="105" w:rightChars="50"/>
              <w:rPr>
                <w:color w:val="auto"/>
                <w:highlight w:val="none"/>
              </w:rPr>
            </w:pPr>
            <w:r>
              <w:rPr>
                <w:rFonts w:hint="eastAsia"/>
                <w:color w:val="auto"/>
                <w:highlight w:val="none"/>
              </w:rPr>
              <w:t>(1)投标文件按照招标文件规定的格式、内容填写，字迹清晰可辨：</w:t>
            </w:r>
          </w:p>
          <w:p>
            <w:pPr>
              <w:spacing w:line="360" w:lineRule="exact"/>
              <w:ind w:left="105" w:leftChars="50" w:right="105" w:rightChars="50" w:firstLine="210" w:firstLineChars="100"/>
              <w:rPr>
                <w:color w:val="auto"/>
                <w:highlight w:val="none"/>
              </w:rPr>
            </w:pPr>
            <w:r>
              <w:rPr>
                <w:rFonts w:hint="eastAsia"/>
                <w:color w:val="auto"/>
                <w:highlight w:val="none"/>
              </w:rPr>
              <w:t>a.投标函按招标文件规定填报了项目名称、标段号、补遗书编号（如有）、工期、工程质量要求及安全目标；</w:t>
            </w:r>
          </w:p>
          <w:p>
            <w:pPr>
              <w:spacing w:line="360" w:lineRule="exact"/>
              <w:ind w:left="105" w:leftChars="50" w:right="105" w:rightChars="50" w:firstLine="210" w:firstLineChars="100"/>
              <w:rPr>
                <w:color w:val="auto"/>
                <w:highlight w:val="none"/>
              </w:rPr>
            </w:pPr>
            <w:r>
              <w:rPr>
                <w:rFonts w:hint="eastAsia"/>
                <w:color w:val="auto"/>
                <w:highlight w:val="none"/>
              </w:rPr>
              <w:t>b.投标函附录的所有数据均符合招标文件规定；</w:t>
            </w:r>
          </w:p>
          <w:p>
            <w:pPr>
              <w:spacing w:line="360" w:lineRule="exact"/>
              <w:ind w:left="105" w:leftChars="50" w:right="105" w:rightChars="50" w:firstLine="210" w:firstLineChars="100"/>
              <w:rPr>
                <w:color w:val="auto"/>
                <w:highlight w:val="none"/>
              </w:rPr>
            </w:pPr>
            <w:r>
              <w:rPr>
                <w:rFonts w:hint="eastAsia"/>
                <w:color w:val="auto"/>
                <w:highlight w:val="none"/>
              </w:rPr>
              <w:t>c.投标文件组成齐全完整，内容均按规定填写。</w:t>
            </w:r>
          </w:p>
          <w:p>
            <w:pPr>
              <w:spacing w:line="360" w:lineRule="exact"/>
              <w:ind w:left="105" w:leftChars="50" w:right="105" w:rightChars="50"/>
              <w:rPr>
                <w:color w:val="auto"/>
                <w:highlight w:val="none"/>
              </w:rPr>
            </w:pPr>
            <w:r>
              <w:rPr>
                <w:rFonts w:hint="eastAsia"/>
                <w:color w:val="auto"/>
                <w:highlight w:val="none"/>
              </w:rPr>
              <w:t>(2)投标文件上法定代表人或其授权代理人的签字、投标人的单位章盖章齐全，符合招标文件规定。</w:t>
            </w:r>
          </w:p>
          <w:p>
            <w:pPr>
              <w:spacing w:line="360" w:lineRule="exact"/>
              <w:ind w:left="105" w:leftChars="50" w:right="105" w:rightChars="50"/>
              <w:rPr>
                <w:color w:val="auto"/>
                <w:highlight w:val="none"/>
              </w:rPr>
            </w:pPr>
            <w:r>
              <w:rPr>
                <w:rFonts w:hint="eastAsia"/>
                <w:color w:val="auto"/>
                <w:highlight w:val="none"/>
              </w:rPr>
              <w:t>(3)投标人按照招标文件的规定提供了投标保证金：</w:t>
            </w:r>
          </w:p>
          <w:p>
            <w:pPr>
              <w:spacing w:line="360" w:lineRule="exact"/>
              <w:ind w:left="105" w:leftChars="50" w:right="105" w:rightChars="50" w:firstLine="210" w:firstLineChars="100"/>
              <w:rPr>
                <w:color w:val="auto"/>
                <w:highlight w:val="none"/>
              </w:rPr>
            </w:pPr>
            <w:r>
              <w:rPr>
                <w:rFonts w:hint="eastAsia"/>
                <w:color w:val="auto"/>
                <w:highlight w:val="none"/>
              </w:rPr>
              <w:t>a.投标保证金金额符合招标文件规定的金额，且投标保证金有效期不少于投标有效期；</w:t>
            </w:r>
          </w:p>
          <w:p>
            <w:pPr>
              <w:spacing w:line="360" w:lineRule="exact"/>
              <w:ind w:left="105" w:leftChars="50" w:right="105" w:rightChars="50"/>
              <w:rPr>
                <w:color w:val="auto"/>
                <w:highlight w:val="none"/>
              </w:rPr>
            </w:pPr>
            <w:r>
              <w:rPr>
                <w:rFonts w:hint="eastAsia"/>
                <w:color w:val="auto"/>
                <w:highlight w:val="none"/>
              </w:rPr>
              <w:t>(4)投标人法定代表人授权委托代理人签署投标文件的，须提交授权委托书，且授权人和被授权人均在授权委托书上签名，未使用印章、签名章或其他电子制版签名代替。</w:t>
            </w:r>
          </w:p>
          <w:p>
            <w:pPr>
              <w:spacing w:line="360" w:lineRule="exact"/>
              <w:ind w:left="105" w:leftChars="50" w:right="105" w:rightChars="50"/>
              <w:rPr>
                <w:color w:val="auto"/>
                <w:highlight w:val="none"/>
              </w:rPr>
            </w:pPr>
            <w:r>
              <w:rPr>
                <w:rFonts w:hint="eastAsia"/>
                <w:color w:val="auto"/>
                <w:highlight w:val="none"/>
              </w:rPr>
              <w:t>(5)投标人法定代表人亲自签署投标文件的，提供了法定代表人身份证明，且法定代表人在法定代表人身份证明上签名，未使用印章、签名章或其他电子制版签名代替。</w:t>
            </w:r>
          </w:p>
          <w:p>
            <w:pPr>
              <w:spacing w:line="360" w:lineRule="exact"/>
              <w:ind w:left="105" w:leftChars="50" w:right="105" w:rightChars="50"/>
              <w:rPr>
                <w:color w:val="auto"/>
                <w:highlight w:val="none"/>
              </w:rPr>
            </w:pPr>
            <w:r>
              <w:rPr>
                <w:rFonts w:hint="eastAsia"/>
                <w:color w:val="auto"/>
                <w:highlight w:val="none"/>
              </w:rPr>
              <w:t>(6)同一投标人未提交两个以上不同的投标文件，但招标文件要求提交备选投标的除外。</w:t>
            </w:r>
          </w:p>
          <w:p>
            <w:pPr>
              <w:spacing w:line="360" w:lineRule="exact"/>
              <w:ind w:left="105" w:leftChars="50" w:right="105" w:rightChars="50"/>
              <w:rPr>
                <w:color w:val="auto"/>
                <w:highlight w:val="none"/>
              </w:rPr>
            </w:pPr>
            <w:r>
              <w:rPr>
                <w:rFonts w:hint="eastAsia"/>
                <w:color w:val="auto"/>
                <w:highlight w:val="none"/>
              </w:rPr>
              <w:t>(7)商务及技术文件中未出现有关投标报价的内容。</w:t>
            </w:r>
          </w:p>
          <w:p>
            <w:pPr>
              <w:spacing w:line="360" w:lineRule="exact"/>
              <w:ind w:left="105" w:leftChars="50" w:right="105" w:rightChars="50"/>
              <w:rPr>
                <w:color w:val="auto"/>
                <w:highlight w:val="none"/>
              </w:rPr>
            </w:pPr>
            <w:r>
              <w:rPr>
                <w:rFonts w:hint="eastAsia"/>
                <w:color w:val="auto"/>
                <w:highlight w:val="none"/>
              </w:rPr>
              <w:t>(8)投标文件载明的招标项目完成期限未超过招标文件规定的时限。</w:t>
            </w:r>
          </w:p>
          <w:p>
            <w:pPr>
              <w:spacing w:line="360" w:lineRule="exact"/>
              <w:ind w:left="105" w:leftChars="50" w:right="105" w:rightChars="50"/>
              <w:rPr>
                <w:color w:val="auto"/>
                <w:highlight w:val="none"/>
              </w:rPr>
            </w:pPr>
            <w:r>
              <w:rPr>
                <w:rFonts w:hint="eastAsia"/>
                <w:color w:val="auto"/>
                <w:highlight w:val="none"/>
              </w:rPr>
              <w:t>(9)投标文件对招标文件的实质性要求和条件作出响应。</w:t>
            </w:r>
          </w:p>
          <w:p>
            <w:pPr>
              <w:spacing w:line="360" w:lineRule="exact"/>
              <w:ind w:left="105" w:leftChars="50" w:right="105" w:rightChars="50"/>
              <w:rPr>
                <w:color w:val="auto"/>
                <w:highlight w:val="none"/>
              </w:rPr>
            </w:pPr>
            <w:r>
              <w:rPr>
                <w:rFonts w:hint="eastAsia"/>
                <w:color w:val="auto"/>
                <w:highlight w:val="none"/>
              </w:rPr>
              <w:t>(10)权利义务符合招标文件规定：</w:t>
            </w:r>
          </w:p>
          <w:p>
            <w:pPr>
              <w:spacing w:line="360" w:lineRule="exact"/>
              <w:ind w:left="105" w:leftChars="50" w:right="105" w:rightChars="50" w:firstLine="210" w:firstLineChars="100"/>
              <w:rPr>
                <w:color w:val="auto"/>
                <w:highlight w:val="none"/>
              </w:rPr>
            </w:pPr>
            <w:r>
              <w:rPr>
                <w:rFonts w:hint="eastAsia"/>
                <w:color w:val="auto"/>
                <w:highlight w:val="none"/>
              </w:rPr>
              <w:t>a.投标人应接受招标文件规定的风险划分原则，未提出新的风险划分办法；</w:t>
            </w:r>
          </w:p>
          <w:p>
            <w:pPr>
              <w:spacing w:line="360" w:lineRule="exact"/>
              <w:ind w:left="105" w:leftChars="50" w:right="105" w:rightChars="50" w:firstLine="210" w:firstLineChars="100"/>
              <w:rPr>
                <w:color w:val="auto"/>
                <w:highlight w:val="none"/>
              </w:rPr>
            </w:pPr>
            <w:r>
              <w:rPr>
                <w:rFonts w:hint="eastAsia"/>
                <w:color w:val="auto"/>
                <w:highlight w:val="none"/>
              </w:rPr>
              <w:t>b.投标人未增加发包人的责任范围，或减少投标人义务；</w:t>
            </w:r>
          </w:p>
          <w:p>
            <w:pPr>
              <w:spacing w:line="360" w:lineRule="exact"/>
              <w:ind w:left="105" w:leftChars="50" w:right="105" w:rightChars="50" w:firstLine="210" w:firstLineChars="100"/>
              <w:rPr>
                <w:color w:val="auto"/>
                <w:highlight w:val="none"/>
              </w:rPr>
            </w:pPr>
            <w:r>
              <w:rPr>
                <w:rFonts w:hint="eastAsia"/>
                <w:color w:val="auto"/>
                <w:highlight w:val="none"/>
              </w:rPr>
              <w:t>c.投标人未提出不同的工程验收、计量、支付办法；</w:t>
            </w:r>
          </w:p>
          <w:p>
            <w:pPr>
              <w:spacing w:line="360" w:lineRule="exact"/>
              <w:ind w:left="105" w:leftChars="50" w:right="105" w:rightChars="50" w:firstLine="210" w:firstLineChars="100"/>
              <w:rPr>
                <w:color w:val="auto"/>
                <w:highlight w:val="none"/>
              </w:rPr>
            </w:pPr>
            <w:r>
              <w:rPr>
                <w:rFonts w:hint="eastAsia"/>
                <w:color w:val="auto"/>
                <w:highlight w:val="none"/>
              </w:rPr>
              <w:t>d.投标人对合同纠纷、事故处理办法未提出异议；</w:t>
            </w:r>
          </w:p>
          <w:p>
            <w:pPr>
              <w:spacing w:line="360" w:lineRule="exact"/>
              <w:ind w:left="105" w:leftChars="50" w:right="105" w:rightChars="50" w:firstLine="210" w:firstLineChars="100"/>
              <w:rPr>
                <w:color w:val="auto"/>
                <w:highlight w:val="none"/>
              </w:rPr>
            </w:pPr>
            <w:r>
              <w:rPr>
                <w:rFonts w:hint="eastAsia"/>
                <w:color w:val="auto"/>
                <w:highlight w:val="none"/>
              </w:rPr>
              <w:t>e.投标人在投标活动中无欺诈行为；</w:t>
            </w:r>
          </w:p>
          <w:p>
            <w:pPr>
              <w:spacing w:line="360" w:lineRule="exact"/>
              <w:ind w:left="105" w:leftChars="50" w:right="105" w:rightChars="50" w:firstLine="210" w:firstLineChars="100"/>
              <w:rPr>
                <w:color w:val="auto"/>
                <w:highlight w:val="none"/>
              </w:rPr>
            </w:pPr>
            <w:r>
              <w:rPr>
                <w:rFonts w:hint="eastAsia"/>
                <w:color w:val="auto"/>
                <w:highlight w:val="none"/>
              </w:rPr>
              <w:t>f.投标人未对合同条款有重要保留。</w:t>
            </w:r>
          </w:p>
          <w:p>
            <w:pPr>
              <w:spacing w:line="360" w:lineRule="exact"/>
              <w:ind w:left="105" w:leftChars="50" w:right="105" w:rightChars="50"/>
              <w:rPr>
                <w:color w:val="auto"/>
                <w:highlight w:val="none"/>
              </w:rPr>
            </w:pPr>
            <w:r>
              <w:rPr>
                <w:rFonts w:hint="eastAsia"/>
                <w:color w:val="auto"/>
                <w:highlight w:val="none"/>
              </w:rPr>
              <w:t>(11)投标文件份数符合招标文件第二章“投标人须知”第3.7.4项规定。</w:t>
            </w:r>
          </w:p>
          <w:p>
            <w:pPr>
              <w:spacing w:line="360" w:lineRule="exact"/>
              <w:ind w:left="105" w:leftChars="50" w:right="105" w:rightChars="50"/>
              <w:rPr>
                <w:color w:val="auto"/>
                <w:highlight w:val="none"/>
              </w:rPr>
            </w:pPr>
            <w:r>
              <w:rPr>
                <w:rFonts w:hint="eastAsia"/>
                <w:color w:val="auto"/>
                <w:highlight w:val="none"/>
              </w:rPr>
              <w:t>第二个信封（报价文件）评审标准：</w:t>
            </w:r>
          </w:p>
          <w:p>
            <w:pPr>
              <w:spacing w:line="360" w:lineRule="exact"/>
              <w:ind w:left="105" w:leftChars="50" w:right="105" w:rightChars="50"/>
              <w:rPr>
                <w:color w:val="auto"/>
                <w:highlight w:val="none"/>
              </w:rPr>
            </w:pPr>
            <w:r>
              <w:rPr>
                <w:rFonts w:hint="eastAsia"/>
                <w:color w:val="auto"/>
                <w:highlight w:val="none"/>
              </w:rPr>
              <w:t>(1)投标文件按照招标文件规定的格式、内容填写，字迹清晰可辨，内容齐全完整；</w:t>
            </w:r>
          </w:p>
          <w:p>
            <w:pPr>
              <w:spacing w:line="360" w:lineRule="exact"/>
              <w:ind w:left="105" w:leftChars="50" w:right="105" w:rightChars="5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a.投标函按招标文件规定填报了项目名称、标段号、补遗书编号（如有）、投标价（包括大写金额和小写金额）；</w:t>
            </w:r>
          </w:p>
          <w:p>
            <w:pPr>
              <w:spacing w:line="360" w:lineRule="exact"/>
              <w:ind w:left="105" w:leftChars="50" w:right="105" w:rightChars="5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b.已标价工程量清单说明文字与招标文件规定一致，未进行实质性修改和删减；</w:t>
            </w:r>
          </w:p>
          <w:p>
            <w:pPr>
              <w:pStyle w:val="2"/>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c.投标文件组成齐全完整，内容均按规定填写。</w:t>
            </w:r>
          </w:p>
          <w:p>
            <w:pPr>
              <w:spacing w:line="360" w:lineRule="exact"/>
              <w:ind w:left="105" w:leftChars="50" w:right="105" w:rightChars="50"/>
              <w:rPr>
                <w:rFonts w:hint="eastAsia" w:ascii="宋体" w:hAnsi="宋体" w:eastAsia="宋体" w:cs="宋体"/>
                <w:color w:val="auto"/>
                <w:highlight w:val="none"/>
              </w:rPr>
            </w:pPr>
            <w:r>
              <w:rPr>
                <w:rFonts w:hint="eastAsia" w:ascii="宋体" w:hAnsi="宋体" w:eastAsia="宋体" w:cs="宋体"/>
                <w:color w:val="auto"/>
                <w:highlight w:val="none"/>
              </w:rPr>
              <w:t>(2)投标文件上法定代表人或其授权代理人的签字、投标人的单位章盖章齐全，符合招标文件规定。</w:t>
            </w:r>
          </w:p>
          <w:p>
            <w:pPr>
              <w:spacing w:line="360" w:lineRule="exact"/>
              <w:ind w:left="105" w:leftChars="50" w:right="105" w:rightChars="50"/>
              <w:rPr>
                <w:rFonts w:hint="eastAsia" w:ascii="宋体" w:hAnsi="宋体" w:eastAsia="宋体" w:cs="宋体"/>
                <w:color w:val="auto"/>
                <w:highlight w:val="none"/>
              </w:rPr>
            </w:pPr>
            <w:r>
              <w:rPr>
                <w:rFonts w:hint="eastAsia" w:ascii="宋体" w:hAnsi="宋体" w:eastAsia="宋体" w:cs="宋体"/>
                <w:color w:val="auto"/>
                <w:highlight w:val="none"/>
              </w:rPr>
              <w:t>(3)投标报价的报价未超过招标文件设定的最高投标限价（如有）。</w:t>
            </w:r>
          </w:p>
          <w:p>
            <w:pPr>
              <w:spacing w:line="360" w:lineRule="exact"/>
              <w:ind w:left="105" w:leftChars="50" w:right="105" w:rightChars="50"/>
              <w:rPr>
                <w:rFonts w:hint="eastAsia" w:ascii="宋体" w:hAnsi="宋体" w:eastAsia="宋体" w:cs="宋体"/>
                <w:color w:val="auto"/>
                <w:highlight w:val="none"/>
              </w:rPr>
            </w:pPr>
            <w:r>
              <w:rPr>
                <w:rFonts w:hint="eastAsia" w:ascii="宋体" w:hAnsi="宋体" w:eastAsia="宋体" w:cs="宋体"/>
                <w:color w:val="auto"/>
                <w:highlight w:val="none"/>
              </w:rPr>
              <w:t>(4)投标报价中报价的大写金额能够确定具体数值。</w:t>
            </w:r>
          </w:p>
          <w:p>
            <w:pPr>
              <w:spacing w:line="360" w:lineRule="exact"/>
              <w:ind w:left="105" w:leftChars="50" w:right="105" w:rightChars="50"/>
              <w:rPr>
                <w:rFonts w:hint="eastAsia" w:ascii="宋体" w:hAnsi="宋体" w:eastAsia="宋体" w:cs="宋体"/>
                <w:color w:val="auto"/>
                <w:highlight w:val="none"/>
              </w:rPr>
            </w:pPr>
            <w:r>
              <w:rPr>
                <w:rFonts w:hint="eastAsia" w:ascii="宋体" w:hAnsi="宋体" w:eastAsia="宋体" w:cs="宋体"/>
                <w:color w:val="auto"/>
                <w:highlight w:val="none"/>
              </w:rPr>
              <w:t>(5)同一投标人未提交两个以上不同的投标报价，但招标文件要求提交备选投标的除外。</w:t>
            </w:r>
          </w:p>
          <w:p>
            <w:pPr>
              <w:spacing w:line="360" w:lineRule="exact"/>
              <w:ind w:left="105" w:leftChars="50" w:right="105" w:rightChars="50"/>
              <w:rPr>
                <w:rFonts w:hint="eastAsia" w:ascii="宋体" w:hAnsi="宋体" w:eastAsia="宋体" w:cs="宋体"/>
                <w:color w:val="auto"/>
                <w:highlight w:val="none"/>
              </w:rPr>
            </w:pPr>
            <w:r>
              <w:rPr>
                <w:rFonts w:hint="eastAsia" w:ascii="宋体" w:hAnsi="宋体" w:eastAsia="宋体" w:cs="宋体"/>
                <w:color w:val="auto"/>
                <w:highlight w:val="none"/>
              </w:rPr>
              <w:t>(6)投标人若填写工程量固化清单，填写完毕的工程量固化清单未对工程量固化清单电子文件中的数据、格式和运算定义进行修改。工程量固化清单中的投标报价和投标函大写金额报价一致。</w:t>
            </w:r>
          </w:p>
          <w:p>
            <w:pPr>
              <w:spacing w:line="360" w:lineRule="exact"/>
              <w:ind w:left="105" w:leftChars="50" w:right="105" w:rightChars="50"/>
              <w:rPr>
                <w:rFonts w:hint="eastAsia" w:ascii="宋体" w:hAnsi="宋体" w:eastAsia="宋体" w:cs="宋体"/>
                <w:color w:val="auto"/>
                <w:highlight w:val="none"/>
              </w:rPr>
            </w:pPr>
            <w:r>
              <w:rPr>
                <w:rFonts w:hint="eastAsia" w:ascii="宋体" w:hAnsi="宋体" w:eastAsia="宋体" w:cs="宋体"/>
                <w:color w:val="auto"/>
                <w:highlight w:val="none"/>
              </w:rPr>
              <w:t>(7)投标文件份数符合招标文件第二章“投标人须知”第3.7.4 项规定。</w:t>
            </w:r>
          </w:p>
          <w:p>
            <w:pPr>
              <w:pStyle w:val="2"/>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（8）招标文件规定的其他情形。</w:t>
            </w:r>
          </w:p>
          <w:p>
            <w:pPr>
              <w:spacing w:line="360" w:lineRule="auto"/>
              <w:ind w:firstLine="422" w:firstLineChars="200"/>
              <w:rPr>
                <w:color w:val="auto"/>
                <w:highlight w:val="none"/>
              </w:rPr>
            </w:pPr>
            <w:r>
              <w:rPr>
                <w:rFonts w:hint="eastAsia" w:ascii="宋体" w:hAnsi="宋体" w:eastAsia="宋体" w:cs="宋体"/>
                <w:b/>
                <w:bCs/>
                <w:color w:val="auto"/>
                <w:sz w:val="21"/>
                <w:szCs w:val="21"/>
                <w:highlight w:val="none"/>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tc>
      </w:tr>
      <w:tr>
        <w:tblPrEx>
          <w:tblLayout w:type="fixed"/>
          <w:tblCellMar>
            <w:top w:w="0" w:type="dxa"/>
            <w:left w:w="0" w:type="dxa"/>
            <w:bottom w:w="0" w:type="dxa"/>
            <w:right w:w="0" w:type="dxa"/>
          </w:tblCellMar>
        </w:tblPrEx>
        <w:trPr>
          <w:trHeight w:val="4620" w:hRule="atLeast"/>
          <w:jc w:val="center"/>
        </w:trPr>
        <w:tc>
          <w:tcPr>
            <w:tcW w:w="992" w:type="dxa"/>
            <w:tcBorders>
              <w:top w:val="single" w:color="000000" w:sz="4" w:space="0"/>
              <w:left w:val="single" w:color="000000"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2.1.2</w:t>
            </w:r>
          </w:p>
        </w:tc>
        <w:tc>
          <w:tcPr>
            <w:tcW w:w="1420" w:type="dxa"/>
            <w:tcBorders>
              <w:top w:val="single" w:color="000000" w:sz="4" w:space="0"/>
              <w:left w:val="nil"/>
              <w:bottom w:val="single" w:color="auto" w:sz="4" w:space="0"/>
              <w:right w:val="single" w:color="000000"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资格评审</w:t>
            </w:r>
          </w:p>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标准</w:t>
            </w:r>
          </w:p>
        </w:tc>
        <w:tc>
          <w:tcPr>
            <w:tcW w:w="7369" w:type="dxa"/>
            <w:tcBorders>
              <w:top w:val="single" w:color="000000" w:sz="4" w:space="0"/>
              <w:left w:val="nil"/>
              <w:bottom w:val="single" w:color="auto" w:sz="4" w:space="0"/>
              <w:right w:val="single" w:color="000000" w:sz="4" w:space="0"/>
            </w:tcBorders>
            <w:vAlign w:val="center"/>
          </w:tcPr>
          <w:p>
            <w:pPr>
              <w:spacing w:line="360" w:lineRule="exact"/>
              <w:ind w:left="105" w:leftChars="50" w:right="105" w:rightChars="50"/>
              <w:rPr>
                <w:rFonts w:hint="eastAsia" w:ascii="宋体" w:hAnsi="宋体" w:eastAsia="宋体" w:cs="宋体"/>
                <w:color w:val="auto"/>
                <w:highlight w:val="none"/>
              </w:rPr>
            </w:pPr>
            <w:r>
              <w:rPr>
                <w:rFonts w:hint="eastAsia" w:ascii="宋体" w:hAnsi="宋体" w:eastAsia="宋体" w:cs="宋体"/>
                <w:color w:val="auto"/>
                <w:highlight w:val="none"/>
              </w:rPr>
              <w:t>(1)投标人具备有效的营业执照、组织机构代码证、资质证书和基本账户开户许可证；</w:t>
            </w:r>
          </w:p>
          <w:p>
            <w:pPr>
              <w:spacing w:line="360" w:lineRule="exact"/>
              <w:ind w:left="105" w:leftChars="50" w:right="105" w:rightChars="50"/>
              <w:rPr>
                <w:rFonts w:hint="eastAsia" w:ascii="宋体" w:hAnsi="宋体" w:eastAsia="宋体" w:cs="宋体"/>
                <w:color w:val="auto"/>
                <w:highlight w:val="none"/>
              </w:rPr>
            </w:pPr>
            <w:r>
              <w:rPr>
                <w:rFonts w:hint="eastAsia" w:ascii="宋体" w:hAnsi="宋体" w:eastAsia="宋体" w:cs="宋体"/>
                <w:color w:val="auto"/>
                <w:highlight w:val="none"/>
              </w:rPr>
              <w:t>(2)投标人的资质等级符合招标文件规定；</w:t>
            </w:r>
          </w:p>
          <w:p>
            <w:pPr>
              <w:spacing w:line="360" w:lineRule="exact"/>
              <w:ind w:left="105" w:leftChars="50" w:right="105" w:rightChars="50"/>
              <w:rPr>
                <w:rFonts w:hint="eastAsia" w:ascii="宋体" w:hAnsi="宋体" w:eastAsia="宋体" w:cs="宋体"/>
                <w:color w:val="auto"/>
                <w:highlight w:val="none"/>
              </w:rPr>
            </w:pPr>
            <w:r>
              <w:rPr>
                <w:rFonts w:hint="eastAsia" w:ascii="宋体" w:hAnsi="宋体" w:eastAsia="宋体" w:cs="宋体"/>
                <w:color w:val="auto"/>
                <w:highlight w:val="none"/>
              </w:rPr>
              <w:t>(3)投标人的财务状况符合招标文件规定；</w:t>
            </w:r>
          </w:p>
          <w:p>
            <w:pPr>
              <w:spacing w:line="360" w:lineRule="exact"/>
              <w:ind w:left="105" w:leftChars="50" w:right="105" w:rightChars="50"/>
              <w:rPr>
                <w:rFonts w:hint="eastAsia" w:ascii="宋体" w:hAnsi="宋体" w:eastAsia="宋体" w:cs="宋体"/>
                <w:color w:val="auto"/>
                <w:highlight w:val="none"/>
              </w:rPr>
            </w:pPr>
            <w:r>
              <w:rPr>
                <w:rFonts w:hint="eastAsia" w:ascii="宋体" w:hAnsi="宋体" w:eastAsia="宋体" w:cs="宋体"/>
                <w:color w:val="auto"/>
                <w:highlight w:val="none"/>
              </w:rPr>
              <w:t>(4)投标人的类似项目业绩符合招标文件规定。</w:t>
            </w:r>
          </w:p>
          <w:p>
            <w:pPr>
              <w:spacing w:line="360" w:lineRule="exact"/>
              <w:ind w:left="105" w:leftChars="50" w:right="105" w:rightChars="50"/>
              <w:rPr>
                <w:rFonts w:hint="eastAsia" w:ascii="宋体" w:hAnsi="宋体" w:eastAsia="宋体" w:cs="宋体"/>
                <w:color w:val="auto"/>
                <w:highlight w:val="none"/>
              </w:rPr>
            </w:pPr>
            <w:r>
              <w:rPr>
                <w:rFonts w:hint="eastAsia" w:ascii="宋体" w:hAnsi="宋体" w:eastAsia="宋体" w:cs="宋体"/>
                <w:color w:val="auto"/>
                <w:highlight w:val="none"/>
              </w:rPr>
              <w:t>(5)投标人的信誉符合招标文件规定；</w:t>
            </w:r>
          </w:p>
          <w:p>
            <w:pPr>
              <w:spacing w:line="360" w:lineRule="exact"/>
              <w:ind w:left="105" w:leftChars="50" w:right="105" w:rightChars="50"/>
              <w:rPr>
                <w:rFonts w:hint="eastAsia" w:ascii="宋体" w:hAnsi="宋体" w:eastAsia="宋体" w:cs="宋体"/>
                <w:color w:val="auto"/>
                <w:highlight w:val="none"/>
              </w:rPr>
            </w:pPr>
            <w:r>
              <w:rPr>
                <w:rFonts w:hint="eastAsia" w:ascii="宋体" w:hAnsi="宋体" w:eastAsia="宋体" w:cs="宋体"/>
                <w:color w:val="auto"/>
                <w:highlight w:val="none"/>
              </w:rPr>
              <w:t>(6)投标人的项目经理资格和项目总工资格符合招标文件规定；</w:t>
            </w:r>
          </w:p>
          <w:p>
            <w:pPr>
              <w:spacing w:line="360" w:lineRule="exact"/>
              <w:ind w:left="105" w:leftChars="50" w:right="105" w:rightChars="50"/>
              <w:rPr>
                <w:rFonts w:hint="eastAsia" w:ascii="宋体" w:hAnsi="宋体" w:eastAsia="宋体" w:cs="宋体"/>
                <w:color w:val="auto"/>
                <w:highlight w:val="none"/>
              </w:rPr>
            </w:pPr>
            <w:r>
              <w:rPr>
                <w:rFonts w:hint="eastAsia" w:ascii="宋体" w:hAnsi="宋体" w:eastAsia="宋体" w:cs="宋体"/>
                <w:color w:val="auto"/>
                <w:highlight w:val="none"/>
              </w:rPr>
              <w:t>(7)投标人的其他要求符合招标文件规定；</w:t>
            </w:r>
          </w:p>
          <w:p>
            <w:pPr>
              <w:spacing w:line="360" w:lineRule="exact"/>
              <w:ind w:left="105" w:leftChars="50" w:right="105" w:rightChars="50"/>
              <w:rPr>
                <w:rFonts w:hint="eastAsia" w:ascii="宋体" w:hAnsi="宋体" w:eastAsia="宋体" w:cs="宋体"/>
                <w:color w:val="auto"/>
                <w:highlight w:val="none"/>
              </w:rPr>
            </w:pPr>
            <w:r>
              <w:rPr>
                <w:rFonts w:hint="eastAsia" w:ascii="宋体" w:hAnsi="宋体" w:eastAsia="宋体" w:cs="宋体"/>
                <w:color w:val="auto"/>
                <w:highlight w:val="none"/>
              </w:rPr>
              <w:t>(8)投标人不存在第二章“投标人须知”第1.4.3项规定的任何一种情形；</w:t>
            </w:r>
          </w:p>
          <w:p>
            <w:pPr>
              <w:spacing w:line="360" w:lineRule="exact"/>
              <w:ind w:left="105" w:leftChars="50" w:right="105" w:rightChars="50"/>
              <w:rPr>
                <w:rFonts w:hint="eastAsia" w:ascii="宋体" w:hAnsi="宋体" w:eastAsia="宋体" w:cs="宋体"/>
                <w:color w:val="auto"/>
                <w:highlight w:val="none"/>
              </w:rPr>
            </w:pPr>
            <w:r>
              <w:rPr>
                <w:rFonts w:hint="eastAsia" w:ascii="宋体" w:hAnsi="宋体" w:eastAsia="宋体" w:cs="宋体"/>
                <w:color w:val="auto"/>
                <w:highlight w:val="none"/>
              </w:rPr>
              <w:t>(9)投标人符合第二章“投标人须知”第 1.4.4 项规定。</w:t>
            </w:r>
          </w:p>
          <w:p>
            <w:pPr>
              <w:spacing w:line="360" w:lineRule="exact"/>
              <w:ind w:left="105" w:leftChars="50" w:right="105" w:rightChars="50"/>
              <w:rPr>
                <w:rFonts w:hint="eastAsia" w:ascii="宋体" w:hAnsi="宋体" w:eastAsia="宋体" w:cs="宋体"/>
                <w:color w:val="auto"/>
                <w:highlight w:val="none"/>
              </w:rPr>
            </w:pPr>
            <w:r>
              <w:rPr>
                <w:rFonts w:hint="eastAsia" w:ascii="宋体" w:hAnsi="宋体" w:eastAsia="宋体" w:cs="宋体"/>
                <w:color w:val="auto"/>
                <w:highlight w:val="none"/>
              </w:rPr>
              <w:t>(10)投标人不存在第二章“投标人须知”第 1.4.3 项或第 1.4.4 项规</w:t>
            </w:r>
          </w:p>
          <w:p>
            <w:pPr>
              <w:spacing w:line="360" w:lineRule="exact"/>
              <w:ind w:left="105" w:leftChars="50" w:right="105" w:rightChars="50"/>
              <w:rPr>
                <w:color w:val="auto"/>
                <w:highlight w:val="none"/>
              </w:rPr>
            </w:pPr>
            <w:r>
              <w:rPr>
                <w:rFonts w:hint="eastAsia" w:ascii="宋体" w:hAnsi="宋体" w:eastAsia="宋体" w:cs="宋体"/>
                <w:color w:val="auto"/>
                <w:highlight w:val="none"/>
              </w:rPr>
              <w:t>定的任何一种情形。</w:t>
            </w:r>
          </w:p>
        </w:tc>
      </w:tr>
      <w:tr>
        <w:tblPrEx>
          <w:tblLayout w:type="fixed"/>
          <w:tblCellMar>
            <w:top w:w="0" w:type="dxa"/>
            <w:left w:w="0" w:type="dxa"/>
            <w:bottom w:w="0" w:type="dxa"/>
            <w:right w:w="0" w:type="dxa"/>
          </w:tblCellMar>
        </w:tblPrEx>
        <w:trPr>
          <w:trHeight w:val="437" w:hRule="atLeast"/>
          <w:jc w:val="center"/>
        </w:trPr>
        <w:tc>
          <w:tcPr>
            <w:tcW w:w="992" w:type="dxa"/>
            <w:tcBorders>
              <w:top w:val="single" w:color="000000" w:sz="4" w:space="0"/>
              <w:left w:val="single" w:color="000000"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b/>
                <w:bCs/>
                <w:color w:val="auto"/>
                <w:szCs w:val="21"/>
                <w:highlight w:val="none"/>
              </w:rPr>
              <w:t>条款号</w:t>
            </w:r>
          </w:p>
        </w:tc>
        <w:tc>
          <w:tcPr>
            <w:tcW w:w="1420" w:type="dxa"/>
            <w:tcBorders>
              <w:top w:val="single" w:color="000000" w:sz="4" w:space="0"/>
              <w:left w:val="nil"/>
              <w:bottom w:val="single" w:color="auto" w:sz="4" w:space="0"/>
              <w:right w:val="single" w:color="000000"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b/>
                <w:bCs/>
                <w:color w:val="auto"/>
                <w:szCs w:val="21"/>
                <w:highlight w:val="none"/>
              </w:rPr>
              <w:t>条款内容</w:t>
            </w:r>
          </w:p>
        </w:tc>
        <w:tc>
          <w:tcPr>
            <w:tcW w:w="7369" w:type="dxa"/>
            <w:tcBorders>
              <w:top w:val="single" w:color="000000" w:sz="4" w:space="0"/>
              <w:left w:val="nil"/>
              <w:bottom w:val="single" w:color="auto" w:sz="4" w:space="0"/>
              <w:right w:val="single" w:color="000000"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b/>
                <w:bCs/>
                <w:color w:val="auto"/>
                <w:szCs w:val="21"/>
                <w:highlight w:val="none"/>
              </w:rPr>
              <w:t>评审因素与标准</w:t>
            </w:r>
          </w:p>
        </w:tc>
      </w:tr>
      <w:tr>
        <w:tblPrEx>
          <w:tblLayout w:type="fixed"/>
          <w:tblCellMar>
            <w:top w:w="0" w:type="dxa"/>
            <w:left w:w="0" w:type="dxa"/>
            <w:bottom w:w="0" w:type="dxa"/>
            <w:right w:w="0" w:type="dxa"/>
          </w:tblCellMar>
        </w:tblPrEx>
        <w:trPr>
          <w:trHeight w:val="1747" w:hRule="atLeast"/>
          <w:jc w:val="center"/>
        </w:trPr>
        <w:tc>
          <w:tcPr>
            <w:tcW w:w="992"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420" w:type="dxa"/>
            <w:tcBorders>
              <w:top w:val="single" w:color="auto" w:sz="4" w:space="0"/>
              <w:left w:val="nil"/>
              <w:bottom w:val="single" w:color="auto" w:sz="4" w:space="0"/>
              <w:right w:val="single" w:color="000000"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第一个信封</w:t>
            </w:r>
          </w:p>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评分分值构成(总分100分)</w:t>
            </w:r>
          </w:p>
        </w:tc>
        <w:tc>
          <w:tcPr>
            <w:tcW w:w="7369" w:type="dxa"/>
            <w:tcBorders>
              <w:top w:val="single" w:color="auto" w:sz="4" w:space="0"/>
              <w:left w:val="nil"/>
              <w:bottom w:val="single" w:color="auto" w:sz="4" w:space="0"/>
              <w:right w:val="single" w:color="000000" w:sz="4" w:space="0"/>
            </w:tcBorders>
            <w:vAlign w:val="center"/>
          </w:tcPr>
          <w:p>
            <w:pPr>
              <w:spacing w:line="360" w:lineRule="exact"/>
              <w:ind w:left="105" w:leftChars="50" w:right="105" w:rightChars="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1.施工组织设计：40分</w:t>
            </w:r>
          </w:p>
          <w:p>
            <w:pPr>
              <w:spacing w:line="360" w:lineRule="exact"/>
              <w:ind w:left="105" w:leftChars="50" w:right="105" w:rightChars="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2.主要人员:30分</w:t>
            </w:r>
          </w:p>
          <w:p>
            <w:pPr>
              <w:spacing w:line="360" w:lineRule="exact"/>
              <w:ind w:left="105" w:leftChars="50" w:right="105" w:rightChars="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3.承诺：5分</w:t>
            </w:r>
          </w:p>
          <w:p>
            <w:pPr>
              <w:spacing w:line="360" w:lineRule="exact"/>
              <w:ind w:left="105" w:leftChars="50" w:right="105" w:rightChars="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4.履约信誉：5分</w:t>
            </w:r>
          </w:p>
          <w:p>
            <w:pPr>
              <w:spacing w:line="360" w:lineRule="exact"/>
              <w:ind w:left="105" w:leftChars="50" w:right="105" w:rightChars="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5.施工经验：1</w:t>
            </w:r>
            <w:r>
              <w:rPr>
                <w:rFonts w:hint="eastAsia" w:ascii="宋体" w:hAnsi="宋体" w:cs="宋体"/>
                <w:color w:val="auto"/>
                <w:highlight w:val="none"/>
                <w:lang w:val="en-US" w:eastAsia="zh-CN"/>
              </w:rPr>
              <w:t>0</w:t>
            </w:r>
            <w:r>
              <w:rPr>
                <w:rFonts w:hint="eastAsia" w:ascii="宋体" w:hAnsi="宋体" w:eastAsia="宋体" w:cs="宋体"/>
                <w:color w:val="auto"/>
                <w:highlight w:val="none"/>
                <w:lang w:val="en-US" w:eastAsia="zh-CN"/>
              </w:rPr>
              <w:t>分</w:t>
            </w:r>
          </w:p>
          <w:p>
            <w:pPr>
              <w:spacing w:line="360" w:lineRule="exact"/>
              <w:ind w:left="105" w:leftChars="50" w:right="105" w:rightChars="50"/>
              <w:rPr>
                <w:rFonts w:hint="default"/>
                <w:color w:val="auto"/>
                <w:highlight w:val="none"/>
                <w:lang w:val="en-US"/>
              </w:rPr>
            </w:pPr>
            <w:r>
              <w:rPr>
                <w:rFonts w:hint="eastAsia" w:ascii="宋体" w:hAnsi="宋体" w:eastAsia="宋体" w:cs="宋体"/>
                <w:color w:val="auto"/>
                <w:highlight w:val="none"/>
                <w:lang w:val="en-US" w:eastAsia="zh-CN"/>
              </w:rPr>
              <w:t>6.技术能力：10分</w:t>
            </w:r>
          </w:p>
        </w:tc>
      </w:tr>
      <w:tr>
        <w:tblPrEx>
          <w:tblLayout w:type="fixed"/>
          <w:tblCellMar>
            <w:top w:w="0" w:type="dxa"/>
            <w:left w:w="0" w:type="dxa"/>
            <w:bottom w:w="0" w:type="dxa"/>
            <w:right w:w="0" w:type="dxa"/>
          </w:tblCellMar>
        </w:tblPrEx>
        <w:trPr>
          <w:trHeight w:val="90" w:hRule="atLeast"/>
          <w:jc w:val="center"/>
        </w:trPr>
        <w:tc>
          <w:tcPr>
            <w:tcW w:w="992"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1420" w:type="dxa"/>
            <w:tcBorders>
              <w:top w:val="single" w:color="auto" w:sz="4" w:space="0"/>
              <w:left w:val="nil"/>
              <w:bottom w:val="single" w:color="auto" w:sz="4" w:space="0"/>
              <w:right w:val="single" w:color="000000"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第二个信封详细详审标准</w:t>
            </w:r>
          </w:p>
        </w:tc>
        <w:tc>
          <w:tcPr>
            <w:tcW w:w="7369" w:type="dxa"/>
            <w:tcBorders>
              <w:top w:val="single" w:color="auto" w:sz="4" w:space="0"/>
              <w:left w:val="nil"/>
              <w:bottom w:val="single" w:color="auto" w:sz="4" w:space="0"/>
              <w:right w:val="single" w:color="000000" w:sz="4" w:space="0"/>
            </w:tcBorders>
            <w:vAlign w:val="center"/>
          </w:tcPr>
          <w:p>
            <w:pPr>
              <w:spacing w:line="360" w:lineRule="exact"/>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评标价计算公式：评标价=修正后的投标报价-暂估价-暂列金额（不含计日工总额）</w:t>
            </w:r>
          </w:p>
        </w:tc>
      </w:tr>
      <w:tr>
        <w:tblPrEx>
          <w:tblLayout w:type="fixed"/>
          <w:tblCellMar>
            <w:top w:w="0" w:type="dxa"/>
            <w:left w:w="0" w:type="dxa"/>
            <w:bottom w:w="0" w:type="dxa"/>
            <w:right w:w="0" w:type="dxa"/>
          </w:tblCellMar>
        </w:tblPrEx>
        <w:trPr>
          <w:trHeight w:val="1491" w:hRule="atLeast"/>
          <w:jc w:val="center"/>
        </w:trPr>
        <w:tc>
          <w:tcPr>
            <w:tcW w:w="992"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2.2.4</w:t>
            </w:r>
          </w:p>
        </w:tc>
        <w:tc>
          <w:tcPr>
            <w:tcW w:w="142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通过第一个信封详细评审的投标人的数量</w:t>
            </w:r>
          </w:p>
        </w:tc>
        <w:tc>
          <w:tcPr>
            <w:tcW w:w="7369" w:type="dxa"/>
            <w:tcBorders>
              <w:top w:val="single" w:color="auto" w:sz="4" w:space="0"/>
              <w:left w:val="nil"/>
              <w:bottom w:val="single" w:color="auto" w:sz="4" w:space="0"/>
              <w:right w:val="single" w:color="000000" w:sz="4" w:space="0"/>
            </w:tcBorders>
            <w:vAlign w:val="center"/>
          </w:tcPr>
          <w:p>
            <w:pPr>
              <w:spacing w:line="360" w:lineRule="exact"/>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按照投标人的商务和技术得分由高到低排序，选择前3名通过详细评审。</w:t>
            </w:r>
          </w:p>
        </w:tc>
      </w:tr>
    </w:tbl>
    <w:p>
      <w:pPr>
        <w:rPr>
          <w:color w:val="auto"/>
          <w:highlight w:val="none"/>
        </w:rPr>
      </w:pPr>
    </w:p>
    <w:p>
      <w:pPr>
        <w:pStyle w:val="2"/>
        <w:rPr>
          <w:color w:val="auto"/>
          <w:highlight w:val="none"/>
        </w:rPr>
      </w:pPr>
    </w:p>
    <w:tbl>
      <w:tblPr>
        <w:tblStyle w:val="47"/>
        <w:tblW w:w="978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420"/>
        <w:gridCol w:w="1978"/>
        <w:gridCol w:w="695"/>
        <w:gridCol w:w="4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jc w:val="center"/>
        </w:trPr>
        <w:tc>
          <w:tcPr>
            <w:tcW w:w="992" w:type="dxa"/>
            <w:tcBorders>
              <w:right w:val="single" w:color="auto" w:sz="4" w:space="0"/>
            </w:tcBorders>
            <w:shd w:val="clear" w:color="auto" w:fill="auto"/>
            <w:vAlign w:val="center"/>
          </w:tcPr>
          <w:p>
            <w:pPr>
              <w:pStyle w:val="258"/>
              <w:spacing w:before="3"/>
              <w:jc w:val="center"/>
              <w:rPr>
                <w:color w:val="auto"/>
                <w:sz w:val="23"/>
                <w:highlight w:val="none"/>
              </w:rPr>
            </w:pPr>
          </w:p>
          <w:p>
            <w:pPr>
              <w:pStyle w:val="258"/>
              <w:spacing w:before="1"/>
              <w:jc w:val="center"/>
              <w:rPr>
                <w:b/>
                <w:color w:val="auto"/>
                <w:highlight w:val="none"/>
              </w:rPr>
            </w:pPr>
            <w:r>
              <w:rPr>
                <w:b/>
                <w:color w:val="auto"/>
                <w:highlight w:val="none"/>
              </w:rPr>
              <w:t>条款号</w:t>
            </w:r>
          </w:p>
        </w:tc>
        <w:tc>
          <w:tcPr>
            <w:tcW w:w="1420" w:type="dxa"/>
            <w:tcBorders>
              <w:left w:val="single" w:color="auto" w:sz="4" w:space="0"/>
            </w:tcBorders>
            <w:shd w:val="clear" w:color="auto" w:fill="auto"/>
            <w:vAlign w:val="center"/>
          </w:tcPr>
          <w:p>
            <w:pPr>
              <w:pStyle w:val="258"/>
              <w:spacing w:before="3"/>
              <w:jc w:val="center"/>
              <w:rPr>
                <w:color w:val="auto"/>
                <w:sz w:val="23"/>
                <w:highlight w:val="none"/>
              </w:rPr>
            </w:pPr>
          </w:p>
          <w:p>
            <w:pPr>
              <w:pStyle w:val="258"/>
              <w:spacing w:before="1"/>
              <w:ind w:left="262"/>
              <w:jc w:val="center"/>
              <w:rPr>
                <w:b/>
                <w:color w:val="auto"/>
                <w:highlight w:val="none"/>
              </w:rPr>
            </w:pPr>
            <w:r>
              <w:rPr>
                <w:b/>
                <w:color w:val="auto"/>
                <w:highlight w:val="none"/>
              </w:rPr>
              <w:t>评分因素</w:t>
            </w:r>
          </w:p>
        </w:tc>
        <w:tc>
          <w:tcPr>
            <w:tcW w:w="7369" w:type="dxa"/>
            <w:gridSpan w:val="3"/>
            <w:shd w:val="clear" w:color="auto" w:fill="auto"/>
            <w:vAlign w:val="center"/>
          </w:tcPr>
          <w:p>
            <w:pPr>
              <w:pStyle w:val="258"/>
              <w:spacing w:before="15" w:line="380" w:lineRule="exact"/>
              <w:ind w:left="71" w:right="-44"/>
              <w:jc w:val="center"/>
              <w:rPr>
                <w:color w:val="auto"/>
                <w:sz w:val="2"/>
                <w:szCs w:val="2"/>
                <w:highlight w:val="none"/>
              </w:rPr>
            </w:pPr>
            <w:r>
              <w:rPr>
                <w:b/>
                <w:color w:val="auto"/>
                <w:highlight w:val="none"/>
              </w:rPr>
              <w:t>评分因素</w:t>
            </w:r>
            <w:r>
              <w:rPr>
                <w:b/>
                <w:color w:val="auto"/>
                <w:spacing w:val="-1"/>
                <w:highlight w:val="none"/>
              </w:rPr>
              <w:t>权重分值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5" w:hRule="atLeast"/>
          <w:jc w:val="center"/>
        </w:trPr>
        <w:tc>
          <w:tcPr>
            <w:tcW w:w="992" w:type="dxa"/>
            <w:tcBorders>
              <w:bottom w:val="single" w:color="auto" w:sz="4" w:space="0"/>
            </w:tcBorders>
            <w:shd w:val="clear" w:color="auto" w:fill="auto"/>
          </w:tcPr>
          <w:p>
            <w:pPr>
              <w:pStyle w:val="258"/>
              <w:rPr>
                <w:color w:val="auto"/>
                <w:highlight w:val="none"/>
              </w:rPr>
            </w:pPr>
          </w:p>
          <w:p>
            <w:pPr>
              <w:pStyle w:val="258"/>
              <w:spacing w:before="196"/>
              <w:ind w:left="232"/>
              <w:rPr>
                <w:color w:val="auto"/>
                <w:highlight w:val="none"/>
              </w:rPr>
            </w:pPr>
            <w:r>
              <w:rPr>
                <w:rFonts w:hint="eastAsia"/>
                <w:color w:val="auto"/>
                <w:highlight w:val="none"/>
              </w:rPr>
              <w:t>2.2.</w:t>
            </w:r>
            <w:r>
              <w:rPr>
                <w:color w:val="auto"/>
                <w:highlight w:val="none"/>
              </w:rPr>
              <w:t>5</w:t>
            </w:r>
            <w:r>
              <w:rPr>
                <w:rFonts w:hint="eastAsia"/>
                <w:color w:val="auto"/>
                <w:highlight w:val="none"/>
              </w:rPr>
              <w:t>（1）</w:t>
            </w:r>
          </w:p>
        </w:tc>
        <w:tc>
          <w:tcPr>
            <w:tcW w:w="1420" w:type="dxa"/>
            <w:tcBorders>
              <w:bottom w:val="single" w:color="auto" w:sz="4" w:space="0"/>
            </w:tcBorders>
            <w:shd w:val="clear" w:color="auto" w:fill="auto"/>
            <w:vAlign w:val="center"/>
          </w:tcPr>
          <w:p>
            <w:pPr>
              <w:pStyle w:val="258"/>
              <w:spacing w:before="6"/>
              <w:jc w:val="center"/>
              <w:rPr>
                <w:color w:val="auto"/>
                <w:sz w:val="21"/>
                <w:szCs w:val="21"/>
                <w:highlight w:val="none"/>
              </w:rPr>
            </w:pPr>
          </w:p>
          <w:p>
            <w:pPr>
              <w:pStyle w:val="258"/>
              <w:spacing w:before="1" w:line="340" w:lineRule="auto"/>
              <w:ind w:left="577" w:right="152" w:hanging="420"/>
              <w:jc w:val="center"/>
              <w:rPr>
                <w:color w:val="auto"/>
                <w:sz w:val="21"/>
                <w:szCs w:val="21"/>
                <w:highlight w:val="none"/>
              </w:rPr>
            </w:pPr>
            <w:r>
              <w:rPr>
                <w:rFonts w:hint="eastAsia"/>
                <w:color w:val="auto"/>
                <w:sz w:val="21"/>
                <w:szCs w:val="21"/>
                <w:highlight w:val="none"/>
              </w:rPr>
              <w:t>施工组</w:t>
            </w:r>
          </w:p>
          <w:p>
            <w:pPr>
              <w:pStyle w:val="258"/>
              <w:spacing w:before="1" w:line="340" w:lineRule="auto"/>
              <w:ind w:left="577" w:right="152" w:hanging="420"/>
              <w:jc w:val="center"/>
              <w:rPr>
                <w:color w:val="auto"/>
                <w:sz w:val="21"/>
                <w:szCs w:val="21"/>
                <w:highlight w:val="none"/>
              </w:rPr>
            </w:pPr>
            <w:r>
              <w:rPr>
                <w:rFonts w:hint="eastAsia"/>
                <w:color w:val="auto"/>
                <w:sz w:val="21"/>
                <w:szCs w:val="21"/>
                <w:highlight w:val="none"/>
              </w:rPr>
              <w:t>织设计</w:t>
            </w:r>
          </w:p>
          <w:p>
            <w:pPr>
              <w:pStyle w:val="258"/>
              <w:spacing w:before="1" w:line="340" w:lineRule="auto"/>
              <w:ind w:left="577" w:right="152" w:hanging="420"/>
              <w:jc w:val="center"/>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40</w:t>
            </w:r>
            <w:r>
              <w:rPr>
                <w:rFonts w:hint="eastAsia"/>
                <w:color w:val="auto"/>
                <w:sz w:val="21"/>
                <w:szCs w:val="21"/>
                <w:highlight w:val="none"/>
              </w:rPr>
              <w:t>分）</w:t>
            </w:r>
          </w:p>
        </w:tc>
        <w:tc>
          <w:tcPr>
            <w:tcW w:w="7369" w:type="dxa"/>
            <w:gridSpan w:val="3"/>
            <w:tcBorders>
              <w:bottom w:val="single" w:color="auto" w:sz="4" w:space="0"/>
            </w:tcBorders>
            <w:shd w:val="clear" w:color="auto" w:fill="auto"/>
            <w:vAlign w:val="center"/>
          </w:tcPr>
          <w:p>
            <w:pPr>
              <w:spacing w:line="360" w:lineRule="auto"/>
              <w:ind w:left="105" w:leftChars="50" w:firstLine="420" w:firstLineChars="200"/>
              <w:rPr>
                <w:rFonts w:ascii="宋体" w:hAnsi="宋体"/>
                <w:color w:val="auto"/>
                <w:sz w:val="21"/>
                <w:szCs w:val="21"/>
                <w:highlight w:val="none"/>
              </w:rPr>
            </w:pPr>
            <w:r>
              <w:rPr>
                <w:rFonts w:hint="eastAsia" w:ascii="宋体" w:hAnsi="宋体"/>
                <w:color w:val="auto"/>
                <w:sz w:val="21"/>
                <w:szCs w:val="21"/>
                <w:highlight w:val="none"/>
              </w:rPr>
              <w:t>1、投标人应按以下要点编制施工组织设计（文字宜精炼、内容具有针对性，总体控制在30000字以内）；</w:t>
            </w:r>
          </w:p>
          <w:p>
            <w:pPr>
              <w:spacing w:line="360" w:lineRule="auto"/>
              <w:ind w:left="105" w:leftChars="50" w:firstLine="420" w:firstLineChars="200"/>
              <w:rPr>
                <w:rFonts w:ascii="宋体" w:hAnsi="宋体"/>
                <w:color w:val="auto"/>
                <w:sz w:val="21"/>
                <w:szCs w:val="21"/>
                <w:highlight w:val="none"/>
              </w:rPr>
            </w:pPr>
            <w:r>
              <w:rPr>
                <w:rFonts w:hint="eastAsia" w:ascii="宋体" w:hAnsi="宋体"/>
                <w:color w:val="auto"/>
                <w:sz w:val="21"/>
                <w:szCs w:val="21"/>
                <w:highlight w:val="none"/>
              </w:rPr>
              <w:t>（1）总体施工组织布置及规划                   0-</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p>
            <w:pPr>
              <w:spacing w:line="360" w:lineRule="auto"/>
              <w:ind w:left="105" w:leftChars="50" w:firstLine="420" w:firstLineChars="200"/>
              <w:rPr>
                <w:rFonts w:ascii="宋体" w:hAnsi="宋体"/>
                <w:color w:val="auto"/>
                <w:sz w:val="21"/>
                <w:szCs w:val="21"/>
                <w:highlight w:val="none"/>
              </w:rPr>
            </w:pPr>
            <w:r>
              <w:rPr>
                <w:rFonts w:hint="eastAsia" w:ascii="宋体" w:hAnsi="宋体"/>
                <w:color w:val="auto"/>
                <w:sz w:val="21"/>
                <w:szCs w:val="21"/>
                <w:highlight w:val="none"/>
              </w:rPr>
              <w:t>（2）主要工程项目的施工方案、方法与技术措施（尤其对重点、关键和难点工程的施工方案、方法及其措施）                  0-</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分</w:t>
            </w:r>
          </w:p>
          <w:p>
            <w:pPr>
              <w:spacing w:line="360" w:lineRule="auto"/>
              <w:ind w:left="105" w:leftChars="50" w:firstLine="420" w:firstLineChars="200"/>
              <w:rPr>
                <w:rFonts w:ascii="宋体" w:hAnsi="宋体"/>
                <w:color w:val="auto"/>
                <w:sz w:val="21"/>
                <w:szCs w:val="21"/>
                <w:highlight w:val="none"/>
              </w:rPr>
            </w:pPr>
            <w:r>
              <w:rPr>
                <w:rFonts w:hint="eastAsia" w:ascii="宋体" w:hAnsi="宋体"/>
                <w:color w:val="auto"/>
                <w:sz w:val="21"/>
                <w:szCs w:val="21"/>
                <w:highlight w:val="none"/>
              </w:rPr>
              <w:t>（3）工期的保证体系及保证措施                 0-</w:t>
            </w:r>
            <w:r>
              <w:rPr>
                <w:rFonts w:ascii="宋体" w:hAnsi="宋体"/>
                <w:color w:val="auto"/>
                <w:sz w:val="21"/>
                <w:szCs w:val="21"/>
                <w:highlight w:val="none"/>
              </w:rPr>
              <w:t>5</w:t>
            </w:r>
            <w:r>
              <w:rPr>
                <w:rFonts w:hint="eastAsia" w:ascii="宋体" w:hAnsi="宋体"/>
                <w:color w:val="auto"/>
                <w:sz w:val="21"/>
                <w:szCs w:val="21"/>
                <w:highlight w:val="none"/>
              </w:rPr>
              <w:t>分</w:t>
            </w:r>
          </w:p>
          <w:p>
            <w:pPr>
              <w:spacing w:line="360" w:lineRule="auto"/>
              <w:ind w:left="105" w:leftChars="50" w:firstLine="420" w:firstLineChars="200"/>
              <w:rPr>
                <w:rFonts w:ascii="宋体" w:hAnsi="宋体"/>
                <w:color w:val="auto"/>
                <w:sz w:val="21"/>
                <w:szCs w:val="21"/>
                <w:highlight w:val="none"/>
              </w:rPr>
            </w:pPr>
            <w:r>
              <w:rPr>
                <w:rFonts w:hint="eastAsia" w:ascii="宋体" w:hAnsi="宋体"/>
                <w:color w:val="auto"/>
                <w:sz w:val="21"/>
                <w:szCs w:val="21"/>
                <w:highlight w:val="none"/>
              </w:rPr>
              <w:t>（4）工程质量管理体系及保证措施               0-</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分</w:t>
            </w:r>
          </w:p>
          <w:p>
            <w:pPr>
              <w:spacing w:line="360" w:lineRule="auto"/>
              <w:ind w:left="105" w:leftChars="50" w:firstLine="420" w:firstLineChars="200"/>
              <w:rPr>
                <w:rFonts w:ascii="宋体" w:hAnsi="宋体"/>
                <w:color w:val="auto"/>
                <w:sz w:val="21"/>
                <w:szCs w:val="21"/>
                <w:highlight w:val="none"/>
              </w:rPr>
            </w:pPr>
            <w:r>
              <w:rPr>
                <w:rFonts w:hint="eastAsia" w:ascii="宋体" w:hAnsi="宋体"/>
                <w:color w:val="auto"/>
                <w:sz w:val="21"/>
                <w:szCs w:val="21"/>
                <w:highlight w:val="none"/>
              </w:rPr>
              <w:t>（5）安全生产管理体系及保证措施               0-</w:t>
            </w:r>
            <w:r>
              <w:rPr>
                <w:rFonts w:ascii="宋体" w:hAnsi="宋体"/>
                <w:color w:val="auto"/>
                <w:sz w:val="21"/>
                <w:szCs w:val="21"/>
                <w:highlight w:val="none"/>
              </w:rPr>
              <w:t>5</w:t>
            </w:r>
            <w:r>
              <w:rPr>
                <w:rFonts w:hint="eastAsia" w:ascii="宋体" w:hAnsi="宋体"/>
                <w:color w:val="auto"/>
                <w:sz w:val="21"/>
                <w:szCs w:val="21"/>
                <w:highlight w:val="none"/>
              </w:rPr>
              <w:t>分</w:t>
            </w:r>
          </w:p>
          <w:p>
            <w:pPr>
              <w:spacing w:line="360" w:lineRule="auto"/>
              <w:ind w:left="105" w:leftChars="50" w:firstLine="420" w:firstLineChars="200"/>
              <w:rPr>
                <w:rFonts w:ascii="宋体" w:hAnsi="宋体"/>
                <w:b/>
                <w:bCs/>
                <w:color w:val="auto"/>
                <w:sz w:val="21"/>
                <w:szCs w:val="21"/>
                <w:highlight w:val="none"/>
              </w:rPr>
            </w:pPr>
            <w:r>
              <w:rPr>
                <w:rFonts w:hint="eastAsia" w:ascii="宋体" w:hAnsi="宋体"/>
                <w:color w:val="auto"/>
                <w:sz w:val="21"/>
                <w:szCs w:val="21"/>
                <w:highlight w:val="none"/>
              </w:rPr>
              <w:t>（6）环境保护、水土保持保证体系及保证措施</w:t>
            </w:r>
            <w:r>
              <w:rPr>
                <w:rFonts w:hint="eastAsia" w:ascii="宋体" w:hAnsi="宋体"/>
                <w:b/>
                <w:bCs/>
                <w:color w:val="auto"/>
                <w:sz w:val="21"/>
                <w:szCs w:val="21"/>
                <w:highlight w:val="none"/>
              </w:rPr>
              <w:t>（含扬尘治理措施）</w:t>
            </w:r>
            <w:r>
              <w:rPr>
                <w:rFonts w:hint="eastAsia" w:ascii="宋体" w:hAnsi="宋体"/>
                <w:color w:val="auto"/>
                <w:sz w:val="21"/>
                <w:szCs w:val="21"/>
                <w:highlight w:val="none"/>
              </w:rPr>
              <w:t>0-</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分</w:t>
            </w:r>
            <w:r>
              <w:rPr>
                <w:rFonts w:hint="eastAsia" w:ascii="宋体" w:hAnsi="宋体"/>
                <w:b/>
                <w:bCs/>
                <w:color w:val="auto"/>
                <w:sz w:val="21"/>
                <w:szCs w:val="21"/>
                <w:highlight w:val="none"/>
              </w:rPr>
              <w:t xml:space="preserve">                                                                  </w:t>
            </w:r>
          </w:p>
          <w:p>
            <w:pPr>
              <w:spacing w:line="360" w:lineRule="auto"/>
              <w:ind w:left="105" w:leftChars="50" w:firstLine="420" w:firstLineChars="200"/>
              <w:rPr>
                <w:rFonts w:ascii="宋体" w:hAnsi="宋体"/>
                <w:color w:val="auto"/>
                <w:sz w:val="21"/>
                <w:szCs w:val="21"/>
                <w:highlight w:val="none"/>
              </w:rPr>
            </w:pPr>
            <w:r>
              <w:rPr>
                <w:rFonts w:hint="eastAsia" w:ascii="宋体" w:hAnsi="宋体"/>
                <w:color w:val="auto"/>
                <w:sz w:val="21"/>
                <w:szCs w:val="21"/>
                <w:highlight w:val="none"/>
              </w:rPr>
              <w:t>（7）文明施工、文物保护保证体系及保证措施     0-</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p>
            <w:pPr>
              <w:spacing w:line="360" w:lineRule="auto"/>
              <w:ind w:left="105" w:leftChars="50" w:firstLine="420" w:firstLineChars="200"/>
              <w:rPr>
                <w:rFonts w:ascii="宋体" w:hAnsi="宋体"/>
                <w:color w:val="auto"/>
                <w:sz w:val="21"/>
                <w:szCs w:val="21"/>
                <w:highlight w:val="none"/>
              </w:rPr>
            </w:pPr>
            <w:r>
              <w:rPr>
                <w:rFonts w:hint="eastAsia" w:ascii="宋体" w:hAnsi="宋体"/>
                <w:color w:val="auto"/>
                <w:sz w:val="21"/>
                <w:szCs w:val="21"/>
                <w:highlight w:val="none"/>
              </w:rPr>
              <w:t>（8）项目风险预测与防范，事故应急预案         0-</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p>
            <w:pPr>
              <w:spacing w:line="360" w:lineRule="auto"/>
              <w:ind w:left="105" w:leftChars="50" w:firstLine="420" w:firstLineChars="200"/>
              <w:rPr>
                <w:color w:val="auto"/>
                <w:sz w:val="21"/>
                <w:szCs w:val="21"/>
                <w:highlight w:val="none"/>
              </w:rPr>
            </w:pPr>
            <w:r>
              <w:rPr>
                <w:rFonts w:hint="eastAsia" w:ascii="宋体" w:hAnsi="宋体"/>
                <w:color w:val="auto"/>
                <w:sz w:val="21"/>
                <w:szCs w:val="21"/>
                <w:highlight w:val="none"/>
              </w:rPr>
              <w:t xml:space="preserve">（9）施工组织设计除采用文字表述外采用图表描述，图表设计合理、效果清晰明了的；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0-</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r>
              <w:rPr>
                <w:rFonts w:hint="eastAsia" w:ascii="宋体" w:hAnsi="宋体"/>
                <w:b/>
                <w:bCs/>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jc w:val="center"/>
        </w:trPr>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58"/>
              <w:spacing w:before="1"/>
              <w:jc w:val="center"/>
              <w:rPr>
                <w:color w:val="auto"/>
                <w:sz w:val="18"/>
                <w:szCs w:val="18"/>
                <w:highlight w:val="none"/>
              </w:rPr>
            </w:pPr>
            <w:r>
              <w:rPr>
                <w:rFonts w:hint="eastAsia"/>
                <w:color w:val="auto"/>
                <w:sz w:val="18"/>
                <w:szCs w:val="18"/>
                <w:highlight w:val="none"/>
              </w:rPr>
              <w:t>2.2.</w:t>
            </w:r>
            <w:r>
              <w:rPr>
                <w:color w:val="auto"/>
                <w:sz w:val="18"/>
                <w:szCs w:val="18"/>
                <w:highlight w:val="none"/>
              </w:rPr>
              <w:t>5</w:t>
            </w:r>
            <w:r>
              <w:rPr>
                <w:rFonts w:hint="eastAsia"/>
                <w:color w:val="auto"/>
                <w:sz w:val="18"/>
                <w:szCs w:val="18"/>
                <w:highlight w:val="none"/>
              </w:rPr>
              <w:t>（2）</w:t>
            </w:r>
          </w:p>
        </w:tc>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58"/>
              <w:tabs>
                <w:tab w:val="left" w:pos="671"/>
              </w:tabs>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主要人员</w:t>
            </w:r>
          </w:p>
          <w:p>
            <w:pPr>
              <w:pStyle w:val="258"/>
              <w:tabs>
                <w:tab w:val="left" w:pos="671"/>
              </w:tabs>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分</w:t>
            </w:r>
            <w:r>
              <w:rPr>
                <w:rFonts w:hint="eastAsia" w:ascii="宋体" w:hAnsi="宋体"/>
                <w:color w:val="auto"/>
                <w:sz w:val="21"/>
                <w:szCs w:val="21"/>
                <w:highlight w:val="none"/>
                <w:lang w:val="en-US" w:eastAsia="zh-CN"/>
              </w:rPr>
              <w:t>)</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8"/>
              <w:keepNext w:val="0"/>
              <w:keepLines w:val="0"/>
              <w:pageBreakBefore w:val="0"/>
              <w:widowControl w:val="0"/>
              <w:kinsoku/>
              <w:wordWrap/>
              <w:overflowPunct/>
              <w:topLinePunct w:val="0"/>
              <w:autoSpaceDE w:val="0"/>
              <w:autoSpaceDN w:val="0"/>
              <w:bidi w:val="0"/>
              <w:adjustRightInd/>
              <w:snapToGrid/>
              <w:spacing w:before="120" w:after="0" w:afterLines="50" w:line="252" w:lineRule="exact"/>
              <w:ind w:left="105" w:leftChars="50"/>
              <w:jc w:val="center"/>
              <w:textAlignment w:val="auto"/>
              <w:rPr>
                <w:rFonts w:ascii="宋体" w:hAnsi="宋体"/>
                <w:color w:val="auto"/>
                <w:sz w:val="21"/>
                <w:szCs w:val="21"/>
                <w:highlight w:val="none"/>
              </w:rPr>
            </w:pPr>
            <w:r>
              <w:rPr>
                <w:rFonts w:hint="eastAsia"/>
                <w:color w:val="auto"/>
                <w:sz w:val="21"/>
                <w:szCs w:val="21"/>
                <w:highlight w:val="none"/>
              </w:rPr>
              <w:t>项目经理任职资格</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8"/>
              <w:keepNext w:val="0"/>
              <w:keepLines w:val="0"/>
              <w:pageBreakBefore w:val="0"/>
              <w:widowControl w:val="0"/>
              <w:kinsoku/>
              <w:wordWrap/>
              <w:overflowPunct/>
              <w:topLinePunct w:val="0"/>
              <w:autoSpaceDE w:val="0"/>
              <w:autoSpaceDN w:val="0"/>
              <w:bidi w:val="0"/>
              <w:adjustRightInd/>
              <w:snapToGrid/>
              <w:spacing w:before="120" w:after="0" w:afterLines="50" w:line="252" w:lineRule="exact"/>
              <w:ind w:right="-15" w:rightChars="0"/>
              <w:jc w:val="center"/>
              <w:textAlignment w:val="auto"/>
              <w:rPr>
                <w:rFonts w:ascii="宋体" w:hAnsi="宋体"/>
                <w:color w:val="auto"/>
                <w:sz w:val="21"/>
                <w:szCs w:val="21"/>
                <w:highlight w:val="none"/>
              </w:rPr>
            </w:pPr>
            <w:r>
              <w:rPr>
                <w:rFonts w:hint="eastAsia"/>
                <w:color w:val="auto"/>
                <w:sz w:val="21"/>
                <w:szCs w:val="21"/>
                <w:highlight w:val="none"/>
                <w:lang w:val="en-US" w:eastAsia="zh-CN"/>
              </w:rPr>
              <w:t>10</w:t>
            </w:r>
            <w:r>
              <w:rPr>
                <w:rFonts w:hint="eastAsia"/>
                <w:color w:val="auto"/>
                <w:sz w:val="21"/>
                <w:szCs w:val="21"/>
                <w:highlight w:val="none"/>
                <w:lang w:val="en-US"/>
              </w:rPr>
              <w:t>分</w:t>
            </w:r>
          </w:p>
        </w:tc>
        <w:tc>
          <w:tcPr>
            <w:tcW w:w="46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8"/>
              <w:keepNext w:val="0"/>
              <w:keepLines w:val="0"/>
              <w:pageBreakBefore w:val="0"/>
              <w:widowControl w:val="0"/>
              <w:kinsoku/>
              <w:wordWrap/>
              <w:overflowPunct/>
              <w:topLinePunct w:val="0"/>
              <w:autoSpaceDE w:val="0"/>
              <w:autoSpaceDN w:val="0"/>
              <w:bidi w:val="0"/>
              <w:adjustRightInd/>
              <w:snapToGrid/>
              <w:spacing w:before="120" w:after="0" w:afterLines="50" w:line="360" w:lineRule="auto"/>
              <w:ind w:left="105" w:leftChars="50"/>
              <w:jc w:val="both"/>
              <w:textAlignment w:val="auto"/>
              <w:rPr>
                <w:rFonts w:ascii="宋体" w:hAnsi="宋体"/>
                <w:color w:val="auto"/>
                <w:sz w:val="21"/>
                <w:szCs w:val="21"/>
                <w:highlight w:val="none"/>
              </w:rPr>
            </w:pPr>
            <w:r>
              <w:rPr>
                <w:rFonts w:hint="eastAsia"/>
                <w:color w:val="auto"/>
                <w:sz w:val="21"/>
                <w:szCs w:val="21"/>
                <w:highlight w:val="none"/>
              </w:rPr>
              <w:t>项目经理满足资格审查条件得</w:t>
            </w:r>
            <w:r>
              <w:rPr>
                <w:rFonts w:hint="eastAsia"/>
                <w:color w:val="auto"/>
                <w:sz w:val="21"/>
                <w:szCs w:val="21"/>
                <w:highlight w:val="none"/>
                <w:lang w:val="en-US" w:eastAsia="zh-CN"/>
              </w:rPr>
              <w:t>8</w:t>
            </w:r>
            <w:r>
              <w:rPr>
                <w:rFonts w:hint="eastAsia"/>
                <w:color w:val="auto"/>
                <w:sz w:val="21"/>
                <w:szCs w:val="21"/>
                <w:highlight w:val="none"/>
                <w:lang w:val="en-US"/>
              </w:rPr>
              <w:t>分，具有高级工程师及以上职称加2分</w:t>
            </w:r>
            <w:r>
              <w:rPr>
                <w:rFonts w:hint="eastAsia"/>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jc w:val="cent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58"/>
              <w:spacing w:before="1"/>
              <w:jc w:val="center"/>
              <w:rPr>
                <w:rFonts w:hint="eastAsia"/>
                <w:color w:val="auto"/>
                <w:sz w:val="18"/>
                <w:szCs w:val="18"/>
                <w:highlight w:val="none"/>
              </w:rPr>
            </w:pP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58"/>
              <w:tabs>
                <w:tab w:val="left" w:pos="671"/>
              </w:tabs>
              <w:spacing w:line="360" w:lineRule="auto"/>
              <w:ind w:left="210" w:leftChars="100"/>
              <w:rPr>
                <w:rFonts w:hint="eastAsia" w:ascii="宋体" w:hAnsi="宋体"/>
                <w:color w:val="auto"/>
                <w:sz w:val="21"/>
                <w:szCs w:val="21"/>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8"/>
              <w:keepNext w:val="0"/>
              <w:keepLines w:val="0"/>
              <w:pageBreakBefore w:val="0"/>
              <w:widowControl w:val="0"/>
              <w:kinsoku/>
              <w:wordWrap/>
              <w:overflowPunct/>
              <w:topLinePunct w:val="0"/>
              <w:autoSpaceDE w:val="0"/>
              <w:autoSpaceDN w:val="0"/>
              <w:bidi w:val="0"/>
              <w:adjustRightInd/>
              <w:snapToGrid/>
              <w:spacing w:before="120" w:after="0" w:afterLines="50"/>
              <w:ind w:left="105" w:leftChars="50"/>
              <w:jc w:val="center"/>
              <w:textAlignment w:val="auto"/>
              <w:rPr>
                <w:rFonts w:hint="eastAsia"/>
                <w:color w:val="auto"/>
                <w:sz w:val="21"/>
                <w:szCs w:val="21"/>
                <w:highlight w:val="none"/>
              </w:rPr>
            </w:pPr>
            <w:r>
              <w:rPr>
                <w:rFonts w:hint="eastAsia"/>
                <w:color w:val="auto"/>
                <w:sz w:val="21"/>
                <w:szCs w:val="21"/>
                <w:highlight w:val="none"/>
                <w:lang w:eastAsia="zh-CN"/>
              </w:rPr>
              <w:t>项目经理业绩</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8"/>
              <w:keepNext w:val="0"/>
              <w:keepLines w:val="0"/>
              <w:pageBreakBefore w:val="0"/>
              <w:widowControl w:val="0"/>
              <w:kinsoku/>
              <w:wordWrap/>
              <w:overflowPunct/>
              <w:topLinePunct w:val="0"/>
              <w:autoSpaceDE w:val="0"/>
              <w:autoSpaceDN w:val="0"/>
              <w:bidi w:val="0"/>
              <w:adjustRightInd/>
              <w:snapToGrid/>
              <w:spacing w:before="120" w:after="0" w:afterLines="50"/>
              <w:ind w:right="-15" w:rightChars="0"/>
              <w:jc w:val="center"/>
              <w:textAlignment w:val="auto"/>
              <w:rPr>
                <w:rFonts w:hint="eastAsia"/>
                <w:color w:val="auto"/>
                <w:sz w:val="21"/>
                <w:szCs w:val="21"/>
                <w:highlight w:val="none"/>
                <w:lang w:val="en-US"/>
              </w:rPr>
            </w:pPr>
            <w:r>
              <w:rPr>
                <w:rFonts w:hint="eastAsia"/>
                <w:color w:val="auto"/>
                <w:sz w:val="21"/>
                <w:szCs w:val="21"/>
                <w:highlight w:val="none"/>
                <w:lang w:val="en-US" w:eastAsia="zh-CN"/>
              </w:rPr>
              <w:t>5</w:t>
            </w:r>
            <w:r>
              <w:rPr>
                <w:rFonts w:hint="eastAsia"/>
                <w:color w:val="auto"/>
                <w:sz w:val="21"/>
                <w:szCs w:val="21"/>
                <w:highlight w:val="none"/>
              </w:rPr>
              <w:t>分</w:t>
            </w:r>
          </w:p>
        </w:tc>
        <w:tc>
          <w:tcPr>
            <w:tcW w:w="46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8"/>
              <w:keepNext w:val="0"/>
              <w:keepLines w:val="0"/>
              <w:pageBreakBefore w:val="0"/>
              <w:widowControl w:val="0"/>
              <w:kinsoku/>
              <w:wordWrap/>
              <w:overflowPunct/>
              <w:topLinePunct w:val="0"/>
              <w:autoSpaceDE w:val="0"/>
              <w:autoSpaceDN w:val="0"/>
              <w:bidi w:val="0"/>
              <w:adjustRightInd/>
              <w:snapToGrid/>
              <w:spacing w:before="120" w:after="0" w:afterLines="50" w:line="360" w:lineRule="auto"/>
              <w:ind w:left="105" w:leftChars="50"/>
              <w:jc w:val="both"/>
              <w:textAlignment w:val="auto"/>
              <w:rPr>
                <w:rFonts w:hint="eastAsia"/>
                <w:color w:val="auto"/>
                <w:sz w:val="21"/>
                <w:szCs w:val="21"/>
                <w:highlight w:val="none"/>
              </w:rPr>
            </w:pPr>
            <w:r>
              <w:rPr>
                <w:rFonts w:hint="eastAsia"/>
                <w:color w:val="auto"/>
                <w:sz w:val="21"/>
                <w:szCs w:val="21"/>
                <w:highlight w:val="none"/>
                <w:lang w:val="en-US" w:eastAsia="zh-CN"/>
              </w:rPr>
              <w:t>项目经理有业绩者得5分。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2" w:hRule="atLeast"/>
          <w:jc w:val="cent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auto"/>
                <w:sz w:val="18"/>
                <w:szCs w:val="18"/>
                <w:highlight w:val="none"/>
              </w:rPr>
            </w:pPr>
          </w:p>
        </w:tc>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auto"/>
                <w:sz w:val="21"/>
                <w:szCs w:val="21"/>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8"/>
              <w:keepNext w:val="0"/>
              <w:keepLines w:val="0"/>
              <w:pageBreakBefore w:val="0"/>
              <w:widowControl w:val="0"/>
              <w:kinsoku/>
              <w:wordWrap/>
              <w:overflowPunct/>
              <w:topLinePunct w:val="0"/>
              <w:autoSpaceDE w:val="0"/>
              <w:autoSpaceDN w:val="0"/>
              <w:bidi w:val="0"/>
              <w:adjustRightInd/>
              <w:snapToGrid/>
              <w:spacing w:before="120" w:after="0" w:afterLines="50"/>
              <w:ind w:left="105" w:leftChars="50"/>
              <w:jc w:val="center"/>
              <w:textAlignment w:val="auto"/>
              <w:rPr>
                <w:rFonts w:ascii="宋体" w:hAnsi="宋体"/>
                <w:color w:val="auto"/>
                <w:sz w:val="21"/>
                <w:szCs w:val="21"/>
                <w:highlight w:val="none"/>
              </w:rPr>
            </w:pPr>
            <w:r>
              <w:rPr>
                <w:rFonts w:hint="eastAsia"/>
                <w:color w:val="auto"/>
                <w:sz w:val="21"/>
                <w:szCs w:val="21"/>
                <w:highlight w:val="none"/>
                <w:lang w:eastAsia="zh-CN"/>
              </w:rPr>
              <w:t>其他技术人员</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8"/>
              <w:keepNext w:val="0"/>
              <w:keepLines w:val="0"/>
              <w:pageBreakBefore w:val="0"/>
              <w:widowControl w:val="0"/>
              <w:kinsoku/>
              <w:wordWrap/>
              <w:overflowPunct/>
              <w:topLinePunct w:val="0"/>
              <w:autoSpaceDE w:val="0"/>
              <w:autoSpaceDN w:val="0"/>
              <w:bidi w:val="0"/>
              <w:adjustRightInd/>
              <w:snapToGrid/>
              <w:spacing w:before="120" w:after="0" w:afterLines="50"/>
              <w:ind w:left="105" w:leftChars="50" w:right="-15" w:rightChars="0"/>
              <w:jc w:val="center"/>
              <w:textAlignment w:val="auto"/>
              <w:rPr>
                <w:rFonts w:ascii="宋体" w:hAnsi="宋体"/>
                <w:color w:val="auto"/>
                <w:sz w:val="21"/>
                <w:szCs w:val="21"/>
                <w:highlight w:val="none"/>
              </w:rPr>
            </w:pPr>
            <w:r>
              <w:rPr>
                <w:rFonts w:hint="eastAsia"/>
                <w:color w:val="auto"/>
                <w:sz w:val="21"/>
                <w:szCs w:val="21"/>
                <w:highlight w:val="none"/>
                <w:lang w:val="en-US" w:eastAsia="zh-CN"/>
              </w:rPr>
              <w:t>15分</w:t>
            </w:r>
          </w:p>
        </w:tc>
        <w:tc>
          <w:tcPr>
            <w:tcW w:w="46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8"/>
              <w:keepNext w:val="0"/>
              <w:keepLines w:val="0"/>
              <w:pageBreakBefore w:val="0"/>
              <w:widowControl w:val="0"/>
              <w:kinsoku/>
              <w:wordWrap/>
              <w:overflowPunct/>
              <w:topLinePunct w:val="0"/>
              <w:autoSpaceDE w:val="0"/>
              <w:autoSpaceDN w:val="0"/>
              <w:bidi w:val="0"/>
              <w:adjustRightInd/>
              <w:snapToGrid/>
              <w:spacing w:before="120" w:after="0" w:afterLines="50" w:line="360" w:lineRule="auto"/>
              <w:ind w:left="105" w:leftChars="50"/>
              <w:jc w:val="both"/>
              <w:textAlignment w:val="auto"/>
              <w:rPr>
                <w:rFonts w:ascii="宋体" w:hAnsi="宋体"/>
                <w:color w:val="auto"/>
                <w:sz w:val="21"/>
                <w:szCs w:val="21"/>
                <w:highlight w:val="none"/>
              </w:rPr>
            </w:pPr>
            <w:r>
              <w:rPr>
                <w:rFonts w:hint="eastAsia" w:ascii="宋体" w:hAnsi="宋体"/>
                <w:color w:val="auto"/>
                <w:sz w:val="21"/>
                <w:szCs w:val="21"/>
                <w:highlight w:val="none"/>
                <w:lang w:eastAsia="zh-CN"/>
              </w:rPr>
              <w:t>其他专业技术人员按招标文件要求作出承诺的得</w:t>
            </w:r>
            <w:r>
              <w:rPr>
                <w:rFonts w:hint="eastAsia" w:ascii="宋体" w:hAnsi="宋体"/>
                <w:color w:val="auto"/>
                <w:sz w:val="21"/>
                <w:szCs w:val="21"/>
                <w:highlight w:val="none"/>
                <w:lang w:val="en-US" w:eastAsia="zh-CN"/>
              </w:rPr>
              <w:t>6分，如证件齐全加5分，缺一人不加分，高于招标文件要求承诺的（指职业资格或职称），每人每项加2分，最高加4分。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6" w:hRule="atLeast"/>
          <w:jc w:val="center"/>
        </w:trPr>
        <w:tc>
          <w:tcPr>
            <w:tcW w:w="992" w:type="dxa"/>
            <w:vMerge w:val="restart"/>
            <w:tcBorders>
              <w:top w:val="single" w:color="auto" w:sz="4" w:space="0"/>
              <w:left w:val="single" w:color="auto" w:sz="4" w:space="0"/>
            </w:tcBorders>
            <w:shd w:val="clear" w:color="auto" w:fill="auto"/>
          </w:tcPr>
          <w:p>
            <w:pPr>
              <w:pStyle w:val="258"/>
              <w:rPr>
                <w:color w:val="auto"/>
                <w:sz w:val="18"/>
                <w:szCs w:val="18"/>
                <w:highlight w:val="none"/>
              </w:rPr>
            </w:pPr>
          </w:p>
          <w:p>
            <w:pPr>
              <w:pStyle w:val="258"/>
              <w:rPr>
                <w:color w:val="auto"/>
                <w:sz w:val="18"/>
                <w:szCs w:val="18"/>
                <w:highlight w:val="none"/>
              </w:rPr>
            </w:pPr>
          </w:p>
          <w:p>
            <w:pPr>
              <w:pStyle w:val="258"/>
              <w:rPr>
                <w:color w:val="auto"/>
                <w:sz w:val="18"/>
                <w:szCs w:val="18"/>
                <w:highlight w:val="none"/>
              </w:rPr>
            </w:pPr>
          </w:p>
          <w:p>
            <w:pPr>
              <w:pStyle w:val="258"/>
              <w:spacing w:before="9"/>
              <w:rPr>
                <w:color w:val="auto"/>
                <w:sz w:val="18"/>
                <w:szCs w:val="18"/>
                <w:highlight w:val="none"/>
              </w:rPr>
            </w:pPr>
          </w:p>
          <w:p>
            <w:pPr>
              <w:pStyle w:val="258"/>
              <w:spacing w:before="1"/>
              <w:ind w:left="232"/>
              <w:rPr>
                <w:color w:val="auto"/>
                <w:sz w:val="18"/>
                <w:szCs w:val="18"/>
                <w:highlight w:val="none"/>
              </w:rPr>
            </w:pPr>
            <w:r>
              <w:rPr>
                <w:rFonts w:hint="eastAsia"/>
                <w:color w:val="auto"/>
                <w:sz w:val="18"/>
                <w:szCs w:val="18"/>
                <w:highlight w:val="none"/>
              </w:rPr>
              <w:t>2.2.</w:t>
            </w:r>
            <w:r>
              <w:rPr>
                <w:color w:val="auto"/>
                <w:sz w:val="18"/>
                <w:szCs w:val="18"/>
                <w:highlight w:val="none"/>
              </w:rPr>
              <w:t>5</w:t>
            </w:r>
            <w:r>
              <w:rPr>
                <w:rFonts w:hint="eastAsia"/>
                <w:color w:val="auto"/>
                <w:sz w:val="18"/>
                <w:szCs w:val="18"/>
                <w:highlight w:val="none"/>
              </w:rPr>
              <w:t>（3）</w:t>
            </w:r>
          </w:p>
        </w:tc>
        <w:tc>
          <w:tcPr>
            <w:tcW w:w="1420" w:type="dxa"/>
            <w:vMerge w:val="restart"/>
            <w:tcBorders>
              <w:top w:val="single" w:color="auto" w:sz="4" w:space="0"/>
            </w:tcBorders>
            <w:shd w:val="clear" w:color="auto" w:fill="auto"/>
            <w:vAlign w:val="center"/>
          </w:tcPr>
          <w:p>
            <w:pPr>
              <w:pStyle w:val="258"/>
              <w:tabs>
                <w:tab w:val="left" w:pos="671"/>
              </w:tabs>
              <w:jc w:val="center"/>
              <w:rPr>
                <w:rFonts w:hint="eastAsia" w:ascii="宋体" w:hAnsi="宋体"/>
                <w:color w:val="auto"/>
                <w:sz w:val="21"/>
                <w:szCs w:val="21"/>
                <w:highlight w:val="none"/>
              </w:rPr>
            </w:pPr>
            <w:r>
              <w:rPr>
                <w:rFonts w:hint="eastAsia" w:ascii="宋体" w:hAnsi="宋体"/>
                <w:color w:val="auto"/>
                <w:sz w:val="21"/>
                <w:szCs w:val="21"/>
                <w:highlight w:val="none"/>
              </w:rPr>
              <w:t>其他因素</w:t>
            </w:r>
          </w:p>
          <w:p>
            <w:pPr>
              <w:pStyle w:val="258"/>
              <w:tabs>
                <w:tab w:val="left" w:pos="671"/>
              </w:tabs>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30分</w:t>
            </w:r>
            <w:r>
              <w:rPr>
                <w:rFonts w:hint="eastAsia" w:ascii="宋体" w:hAnsi="宋体"/>
                <w:color w:val="auto"/>
                <w:sz w:val="21"/>
                <w:szCs w:val="21"/>
                <w:highlight w:val="none"/>
                <w:lang w:eastAsia="zh-CN"/>
              </w:rPr>
              <w:t>）</w:t>
            </w:r>
          </w:p>
        </w:tc>
        <w:tc>
          <w:tcPr>
            <w:tcW w:w="1978" w:type="dxa"/>
            <w:tcBorders>
              <w:top w:val="single" w:color="auto" w:sz="4" w:space="0"/>
            </w:tcBorders>
            <w:shd w:val="clear" w:color="auto" w:fill="auto"/>
            <w:vAlign w:val="center"/>
          </w:tcPr>
          <w:p>
            <w:pPr>
              <w:pStyle w:val="258"/>
              <w:spacing w:before="113"/>
              <w:ind w:left="18" w:right="13"/>
              <w:jc w:val="center"/>
              <w:rPr>
                <w:rFonts w:ascii="宋体" w:hAnsi="宋体"/>
                <w:color w:val="auto"/>
                <w:sz w:val="21"/>
                <w:szCs w:val="21"/>
                <w:highlight w:val="none"/>
              </w:rPr>
            </w:pPr>
            <w:r>
              <w:rPr>
                <w:rFonts w:hint="eastAsia"/>
                <w:color w:val="auto"/>
                <w:sz w:val="21"/>
                <w:szCs w:val="21"/>
                <w:highlight w:val="none"/>
                <w:lang w:eastAsia="zh-CN"/>
              </w:rPr>
              <w:t>承诺</w:t>
            </w:r>
          </w:p>
        </w:tc>
        <w:tc>
          <w:tcPr>
            <w:tcW w:w="695" w:type="dxa"/>
            <w:tcBorders>
              <w:top w:val="single" w:color="auto" w:sz="4" w:space="0"/>
            </w:tcBorders>
            <w:shd w:val="clear" w:color="auto" w:fill="auto"/>
            <w:vAlign w:val="center"/>
          </w:tcPr>
          <w:p>
            <w:pPr>
              <w:pStyle w:val="258"/>
              <w:tabs>
                <w:tab w:val="left" w:pos="420"/>
              </w:tabs>
              <w:spacing w:before="108" w:line="253" w:lineRule="exact"/>
              <w:ind w:left="105" w:leftChars="50"/>
              <w:jc w:val="center"/>
              <w:rPr>
                <w:rFonts w:ascii="宋体" w:hAnsi="宋体"/>
                <w:color w:val="auto"/>
                <w:sz w:val="21"/>
                <w:szCs w:val="21"/>
                <w:highlight w:val="none"/>
              </w:rPr>
            </w:pPr>
            <w:r>
              <w:rPr>
                <w:rFonts w:hint="eastAsia"/>
                <w:color w:val="auto"/>
                <w:position w:val="1"/>
                <w:sz w:val="21"/>
                <w:szCs w:val="21"/>
                <w:highlight w:val="none"/>
                <w:lang w:val="en-US" w:eastAsia="zh-CN"/>
              </w:rPr>
              <w:t>5分</w:t>
            </w:r>
          </w:p>
        </w:tc>
        <w:tc>
          <w:tcPr>
            <w:tcW w:w="4696" w:type="dxa"/>
            <w:tcBorders>
              <w:top w:val="single" w:color="auto" w:sz="4" w:space="0"/>
              <w:right w:val="single" w:color="auto" w:sz="4" w:space="0"/>
            </w:tcBorders>
            <w:shd w:val="clear" w:color="auto" w:fill="auto"/>
            <w:vAlign w:val="center"/>
          </w:tcPr>
          <w:p>
            <w:pPr>
              <w:pStyle w:val="258"/>
              <w:spacing w:before="132" w:line="360" w:lineRule="auto"/>
              <w:ind w:left="105" w:leftChars="50"/>
              <w:rPr>
                <w:rFonts w:ascii="宋体" w:hAnsi="宋体"/>
                <w:color w:val="auto"/>
                <w:sz w:val="21"/>
                <w:szCs w:val="21"/>
                <w:highlight w:val="none"/>
              </w:rPr>
            </w:pPr>
            <w:r>
              <w:rPr>
                <w:rFonts w:hint="eastAsia" w:ascii="宋体" w:hAnsi="宋体"/>
                <w:color w:val="auto"/>
                <w:sz w:val="21"/>
                <w:szCs w:val="21"/>
                <w:highlight w:val="none"/>
              </w:rPr>
              <w:t>投标人针对招标项目的特点和要求，结合自身条件和潜力做出优惠和服务承诺。投标人有实质性承诺的在0-5分之间酌情打分，评委根据承诺内容的实际情况进行打分。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992" w:type="dxa"/>
            <w:vMerge w:val="continue"/>
            <w:tcBorders>
              <w:top w:val="nil"/>
              <w:left w:val="single" w:color="auto" w:sz="4" w:space="0"/>
            </w:tcBorders>
            <w:shd w:val="clear" w:color="auto" w:fill="auto"/>
          </w:tcPr>
          <w:p>
            <w:pPr>
              <w:rPr>
                <w:color w:val="auto"/>
                <w:sz w:val="18"/>
                <w:szCs w:val="18"/>
                <w:highlight w:val="none"/>
              </w:rPr>
            </w:pPr>
          </w:p>
        </w:tc>
        <w:tc>
          <w:tcPr>
            <w:tcW w:w="1420" w:type="dxa"/>
            <w:vMerge w:val="continue"/>
            <w:shd w:val="clear" w:color="auto" w:fill="auto"/>
            <w:vAlign w:val="center"/>
          </w:tcPr>
          <w:p>
            <w:pPr>
              <w:pStyle w:val="258"/>
              <w:spacing w:before="113"/>
              <w:ind w:left="18" w:leftChars="0" w:right="13" w:rightChars="0"/>
              <w:jc w:val="center"/>
              <w:rPr>
                <w:rFonts w:ascii="宋体" w:hAnsi="宋体"/>
                <w:color w:val="auto"/>
                <w:sz w:val="21"/>
                <w:szCs w:val="21"/>
                <w:highlight w:val="none"/>
              </w:rPr>
            </w:pPr>
          </w:p>
        </w:tc>
        <w:tc>
          <w:tcPr>
            <w:tcW w:w="1978" w:type="dxa"/>
            <w:tcBorders>
              <w:bottom w:val="single" w:color="auto" w:sz="4" w:space="0"/>
            </w:tcBorders>
            <w:shd w:val="clear" w:color="auto" w:fill="auto"/>
            <w:vAlign w:val="center"/>
          </w:tcPr>
          <w:p>
            <w:pPr>
              <w:pStyle w:val="258"/>
              <w:spacing w:before="113"/>
              <w:ind w:left="18" w:right="13"/>
              <w:jc w:val="center"/>
              <w:rPr>
                <w:rFonts w:hint="eastAsia" w:ascii="宋体" w:hAnsi="宋体" w:eastAsia="宋体"/>
                <w:color w:val="auto"/>
                <w:sz w:val="21"/>
                <w:szCs w:val="21"/>
                <w:highlight w:val="none"/>
                <w:lang w:eastAsia="zh-CN"/>
              </w:rPr>
            </w:pPr>
            <w:r>
              <w:rPr>
                <w:rFonts w:hint="eastAsia"/>
                <w:color w:val="auto"/>
                <w:sz w:val="21"/>
                <w:szCs w:val="21"/>
                <w:highlight w:val="none"/>
              </w:rPr>
              <w:t>履约信誉</w:t>
            </w:r>
          </w:p>
        </w:tc>
        <w:tc>
          <w:tcPr>
            <w:tcW w:w="695" w:type="dxa"/>
            <w:shd w:val="clear" w:color="auto" w:fill="auto"/>
            <w:vAlign w:val="center"/>
          </w:tcPr>
          <w:p>
            <w:pPr>
              <w:pStyle w:val="258"/>
              <w:tabs>
                <w:tab w:val="left" w:pos="420"/>
              </w:tabs>
              <w:spacing w:before="108" w:line="253" w:lineRule="exact"/>
              <w:ind w:left="105" w:leftChars="50"/>
              <w:jc w:val="center"/>
              <w:rPr>
                <w:rFonts w:ascii="宋体" w:hAnsi="宋体"/>
                <w:color w:val="auto"/>
                <w:sz w:val="21"/>
                <w:szCs w:val="21"/>
                <w:highlight w:val="none"/>
              </w:rPr>
            </w:pPr>
            <w:r>
              <w:rPr>
                <w:rFonts w:hint="eastAsia"/>
                <w:color w:val="auto"/>
                <w:position w:val="1"/>
                <w:sz w:val="21"/>
                <w:szCs w:val="21"/>
                <w:highlight w:val="none"/>
                <w:lang w:val="en-US"/>
              </w:rPr>
              <w:t>5</w:t>
            </w:r>
            <w:r>
              <w:rPr>
                <w:rFonts w:hint="eastAsia"/>
                <w:color w:val="auto"/>
                <w:position w:val="1"/>
                <w:sz w:val="21"/>
                <w:szCs w:val="21"/>
                <w:highlight w:val="none"/>
              </w:rPr>
              <w:t>分</w:t>
            </w:r>
          </w:p>
        </w:tc>
        <w:tc>
          <w:tcPr>
            <w:tcW w:w="4696" w:type="dxa"/>
            <w:tcBorders>
              <w:right w:val="single" w:color="auto" w:sz="4" w:space="0"/>
            </w:tcBorders>
            <w:shd w:val="clear" w:color="auto" w:fill="auto"/>
            <w:vAlign w:val="center"/>
          </w:tcPr>
          <w:p>
            <w:pPr>
              <w:pStyle w:val="258"/>
              <w:spacing w:before="132" w:line="360" w:lineRule="auto"/>
              <w:ind w:left="105" w:leftChars="50"/>
              <w:rPr>
                <w:rFonts w:ascii="宋体" w:hAnsi="宋体"/>
                <w:color w:val="auto"/>
                <w:sz w:val="21"/>
                <w:szCs w:val="21"/>
                <w:highlight w:val="none"/>
              </w:rPr>
            </w:pPr>
            <w:r>
              <w:rPr>
                <w:rFonts w:hint="eastAsia" w:ascii="宋体" w:hAnsi="宋体"/>
                <w:color w:val="auto"/>
                <w:sz w:val="21"/>
                <w:szCs w:val="21"/>
                <w:highlight w:val="none"/>
                <w:lang w:val="en-US" w:eastAsia="zh-CN"/>
              </w:rPr>
              <w:t>最近一年，被项目所在地省级交通运输主管部门信用等级评价AA级及以上的得5分，A级得2分，否则不得分</w:t>
            </w:r>
            <w:r>
              <w:rPr>
                <w:rFonts w:hint="eastAsia" w:ascii="宋体" w:hAnsi="宋体"/>
                <w:color w:val="auto"/>
                <w:sz w:val="21"/>
                <w:szCs w:val="21"/>
                <w:highlight w:val="none"/>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4" w:hRule="atLeast"/>
          <w:jc w:val="center"/>
        </w:trPr>
        <w:tc>
          <w:tcPr>
            <w:tcW w:w="992" w:type="dxa"/>
            <w:vMerge w:val="continue"/>
            <w:tcBorders>
              <w:top w:val="nil"/>
              <w:left w:val="single" w:color="auto" w:sz="4" w:space="0"/>
            </w:tcBorders>
            <w:shd w:val="clear" w:color="auto" w:fill="auto"/>
          </w:tcPr>
          <w:p>
            <w:pPr>
              <w:rPr>
                <w:color w:val="auto"/>
                <w:sz w:val="18"/>
                <w:szCs w:val="18"/>
                <w:highlight w:val="none"/>
              </w:rPr>
            </w:pPr>
          </w:p>
        </w:tc>
        <w:tc>
          <w:tcPr>
            <w:tcW w:w="1420" w:type="dxa"/>
            <w:vMerge w:val="continue"/>
            <w:shd w:val="clear" w:color="auto" w:fill="auto"/>
            <w:vAlign w:val="center"/>
          </w:tcPr>
          <w:p>
            <w:pPr>
              <w:pStyle w:val="258"/>
              <w:spacing w:before="113"/>
              <w:ind w:left="18" w:leftChars="0" w:right="13" w:rightChars="0"/>
              <w:jc w:val="center"/>
              <w:rPr>
                <w:rFonts w:ascii="宋体" w:hAnsi="宋体"/>
                <w:color w:val="auto"/>
                <w:sz w:val="21"/>
                <w:szCs w:val="21"/>
                <w:highlight w:val="none"/>
              </w:rPr>
            </w:pPr>
          </w:p>
        </w:tc>
        <w:tc>
          <w:tcPr>
            <w:tcW w:w="1978" w:type="dxa"/>
            <w:tcBorders>
              <w:bottom w:val="single" w:color="auto" w:sz="4" w:space="0"/>
            </w:tcBorders>
            <w:shd w:val="clear" w:color="auto" w:fill="auto"/>
            <w:vAlign w:val="center"/>
          </w:tcPr>
          <w:p>
            <w:pPr>
              <w:pStyle w:val="258"/>
              <w:spacing w:before="132" w:line="226" w:lineRule="exact"/>
              <w:ind w:left="105" w:leftChars="50"/>
              <w:jc w:val="center"/>
              <w:rPr>
                <w:rFonts w:hint="eastAsia"/>
                <w:color w:val="auto"/>
                <w:sz w:val="21"/>
                <w:szCs w:val="21"/>
                <w:highlight w:val="none"/>
              </w:rPr>
            </w:pPr>
            <w:r>
              <w:rPr>
                <w:rFonts w:hint="eastAsia"/>
                <w:color w:val="auto"/>
                <w:sz w:val="21"/>
                <w:szCs w:val="21"/>
                <w:highlight w:val="none"/>
              </w:rPr>
              <w:t>施工经验</w:t>
            </w:r>
          </w:p>
        </w:tc>
        <w:tc>
          <w:tcPr>
            <w:tcW w:w="695" w:type="dxa"/>
            <w:shd w:val="clear" w:color="auto" w:fill="auto"/>
            <w:vAlign w:val="center"/>
          </w:tcPr>
          <w:p>
            <w:pPr>
              <w:pStyle w:val="258"/>
              <w:tabs>
                <w:tab w:val="left" w:pos="420"/>
              </w:tabs>
              <w:spacing w:before="108" w:line="250" w:lineRule="exact"/>
              <w:ind w:left="105" w:leftChars="50"/>
              <w:jc w:val="center"/>
              <w:rPr>
                <w:rFonts w:hint="eastAsia"/>
                <w:color w:val="auto"/>
                <w:position w:val="1"/>
                <w:sz w:val="21"/>
                <w:szCs w:val="21"/>
                <w:highlight w:val="none"/>
                <w:lang w:val="en-US"/>
              </w:rPr>
            </w:pPr>
            <w:r>
              <w:rPr>
                <w:rFonts w:hint="eastAsia"/>
                <w:color w:val="auto"/>
                <w:position w:val="1"/>
                <w:sz w:val="21"/>
                <w:szCs w:val="21"/>
                <w:highlight w:val="none"/>
                <w:lang w:val="en-US" w:eastAsia="zh-CN"/>
              </w:rPr>
              <w:t>10</w:t>
            </w:r>
            <w:r>
              <w:rPr>
                <w:rFonts w:hint="eastAsia"/>
                <w:color w:val="auto"/>
                <w:position w:val="1"/>
                <w:sz w:val="21"/>
                <w:szCs w:val="21"/>
                <w:highlight w:val="none"/>
                <w:lang w:val="en-US"/>
              </w:rPr>
              <w:t>分</w:t>
            </w:r>
          </w:p>
        </w:tc>
        <w:tc>
          <w:tcPr>
            <w:tcW w:w="4696" w:type="dxa"/>
            <w:tcBorders>
              <w:right w:val="single" w:color="auto" w:sz="4" w:space="0"/>
            </w:tcBorders>
            <w:shd w:val="clear" w:color="auto" w:fill="auto"/>
            <w:vAlign w:val="center"/>
          </w:tcPr>
          <w:p>
            <w:pPr>
              <w:pStyle w:val="258"/>
              <w:spacing w:before="132" w:line="360" w:lineRule="auto"/>
              <w:ind w:left="105" w:leftChars="50"/>
              <w:jc w:val="both"/>
              <w:rPr>
                <w:rFonts w:hint="eastAsia" w:eastAsia="宋体" w:cs="宋体"/>
                <w:color w:val="auto"/>
                <w:sz w:val="21"/>
                <w:szCs w:val="21"/>
                <w:highlight w:val="none"/>
                <w:u w:val="none"/>
                <w:lang w:val="en-US" w:eastAsia="zh-CN"/>
              </w:rPr>
            </w:pPr>
            <w:r>
              <w:rPr>
                <w:rFonts w:hint="eastAsia"/>
                <w:color w:val="auto"/>
                <w:sz w:val="21"/>
                <w:szCs w:val="21"/>
                <w:highlight w:val="none"/>
              </w:rPr>
              <w:t>企业业绩满足资格审查条件得</w:t>
            </w:r>
            <w:r>
              <w:rPr>
                <w:rFonts w:hint="eastAsia"/>
                <w:color w:val="auto"/>
                <w:sz w:val="21"/>
                <w:szCs w:val="21"/>
                <w:highlight w:val="none"/>
                <w:lang w:val="en-US"/>
              </w:rPr>
              <w:t>5分，</w:t>
            </w:r>
            <w:r>
              <w:rPr>
                <w:rFonts w:hint="eastAsia"/>
                <w:color w:val="auto"/>
                <w:sz w:val="21"/>
                <w:szCs w:val="21"/>
                <w:highlight w:val="none"/>
                <w:lang w:val="en-US" w:eastAsia="zh-CN"/>
              </w:rPr>
              <w:t>多于资审条件的加5分，</w:t>
            </w:r>
            <w:r>
              <w:rPr>
                <w:rFonts w:hint="eastAsia" w:eastAsia="宋体"/>
                <w:color w:val="auto"/>
                <w:sz w:val="21"/>
                <w:szCs w:val="21"/>
                <w:highlight w:val="none"/>
                <w:lang w:val="en-US" w:eastAsia="zh-CN"/>
              </w:rPr>
              <w:t>共</w:t>
            </w:r>
            <w:r>
              <w:rPr>
                <w:rFonts w:hint="eastAsia"/>
                <w:color w:val="auto"/>
                <w:sz w:val="21"/>
                <w:szCs w:val="21"/>
                <w:highlight w:val="none"/>
                <w:lang w:val="en-US" w:eastAsia="zh-CN"/>
              </w:rPr>
              <w:t>10</w:t>
            </w:r>
            <w:r>
              <w:rPr>
                <w:rFonts w:hint="eastAsia"/>
                <w:color w:val="auto"/>
                <w:sz w:val="21"/>
                <w:szCs w:val="21"/>
                <w:highlight w:val="none"/>
                <w:lang w:val="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9" w:hRule="atLeast"/>
          <w:jc w:val="center"/>
        </w:trPr>
        <w:tc>
          <w:tcPr>
            <w:tcW w:w="992" w:type="dxa"/>
            <w:vMerge w:val="continue"/>
            <w:tcBorders>
              <w:top w:val="nil"/>
              <w:left w:val="single" w:color="auto" w:sz="4" w:space="0"/>
              <w:bottom w:val="single" w:color="auto" w:sz="4" w:space="0"/>
            </w:tcBorders>
            <w:shd w:val="clear" w:color="auto" w:fill="auto"/>
          </w:tcPr>
          <w:p>
            <w:pPr>
              <w:rPr>
                <w:color w:val="auto"/>
                <w:sz w:val="18"/>
                <w:szCs w:val="18"/>
                <w:highlight w:val="none"/>
              </w:rPr>
            </w:pPr>
          </w:p>
        </w:tc>
        <w:tc>
          <w:tcPr>
            <w:tcW w:w="1420" w:type="dxa"/>
            <w:vMerge w:val="continue"/>
            <w:tcBorders>
              <w:bottom w:val="single" w:color="auto" w:sz="4" w:space="0"/>
            </w:tcBorders>
            <w:shd w:val="clear" w:color="auto" w:fill="auto"/>
            <w:vAlign w:val="center"/>
          </w:tcPr>
          <w:p>
            <w:pPr>
              <w:pStyle w:val="258"/>
              <w:tabs>
                <w:tab w:val="left" w:pos="671"/>
              </w:tabs>
              <w:jc w:val="center"/>
              <w:rPr>
                <w:rFonts w:ascii="宋体" w:hAnsi="宋体"/>
                <w:color w:val="auto"/>
                <w:sz w:val="21"/>
                <w:szCs w:val="21"/>
                <w:highlight w:val="none"/>
              </w:rPr>
            </w:pPr>
          </w:p>
        </w:tc>
        <w:tc>
          <w:tcPr>
            <w:tcW w:w="1978" w:type="dxa"/>
            <w:tcBorders>
              <w:top w:val="single" w:color="auto" w:sz="4" w:space="0"/>
              <w:bottom w:val="single" w:color="auto" w:sz="4" w:space="0"/>
            </w:tcBorders>
            <w:shd w:val="clear" w:color="auto" w:fill="auto"/>
            <w:vAlign w:val="center"/>
          </w:tcPr>
          <w:p>
            <w:pPr>
              <w:pStyle w:val="258"/>
              <w:tabs>
                <w:tab w:val="left" w:pos="671"/>
              </w:tabs>
              <w:jc w:val="center"/>
              <w:rPr>
                <w:rFonts w:ascii="宋体" w:hAnsi="宋体"/>
                <w:color w:val="auto"/>
                <w:sz w:val="21"/>
                <w:szCs w:val="21"/>
                <w:highlight w:val="none"/>
              </w:rPr>
            </w:pPr>
            <w:r>
              <w:rPr>
                <w:rFonts w:hint="eastAsia" w:ascii="宋体" w:hAnsi="宋体"/>
                <w:color w:val="auto"/>
                <w:sz w:val="21"/>
                <w:szCs w:val="21"/>
                <w:highlight w:val="none"/>
              </w:rPr>
              <w:t>技术能力</w:t>
            </w:r>
          </w:p>
        </w:tc>
        <w:tc>
          <w:tcPr>
            <w:tcW w:w="695" w:type="dxa"/>
            <w:tcBorders>
              <w:bottom w:val="single" w:color="auto" w:sz="4" w:space="0"/>
            </w:tcBorders>
            <w:shd w:val="clear" w:color="auto" w:fill="auto"/>
            <w:vAlign w:val="center"/>
          </w:tcPr>
          <w:p>
            <w:pPr>
              <w:pStyle w:val="258"/>
              <w:tabs>
                <w:tab w:val="left" w:pos="420"/>
              </w:tabs>
              <w:spacing w:before="108" w:line="250" w:lineRule="exact"/>
              <w:ind w:left="105" w:leftChars="50"/>
              <w:jc w:val="center"/>
              <w:rPr>
                <w:rFonts w:ascii="宋体" w:hAnsi="宋体"/>
                <w:color w:val="auto"/>
                <w:sz w:val="21"/>
                <w:szCs w:val="21"/>
                <w:highlight w:val="none"/>
              </w:rPr>
            </w:pPr>
            <w:r>
              <w:rPr>
                <w:rFonts w:hint="eastAsia"/>
                <w:color w:val="auto"/>
                <w:position w:val="1"/>
                <w:sz w:val="21"/>
                <w:szCs w:val="21"/>
                <w:highlight w:val="none"/>
                <w:lang w:val="en-US" w:eastAsia="zh-CN"/>
              </w:rPr>
              <w:t>10</w:t>
            </w:r>
            <w:r>
              <w:rPr>
                <w:rFonts w:hint="eastAsia"/>
                <w:color w:val="auto"/>
                <w:position w:val="1"/>
                <w:sz w:val="21"/>
                <w:szCs w:val="21"/>
                <w:highlight w:val="none"/>
                <w:lang w:val="en-US"/>
              </w:rPr>
              <w:t>分</w:t>
            </w:r>
          </w:p>
        </w:tc>
        <w:tc>
          <w:tcPr>
            <w:tcW w:w="4696" w:type="dxa"/>
            <w:tcBorders>
              <w:bottom w:val="single" w:color="auto" w:sz="4" w:space="0"/>
              <w:right w:val="single" w:color="auto" w:sz="4" w:space="0"/>
            </w:tcBorders>
            <w:shd w:val="clear" w:color="auto" w:fill="auto"/>
            <w:vAlign w:val="center"/>
          </w:tcPr>
          <w:p>
            <w:pPr>
              <w:pStyle w:val="258"/>
              <w:spacing w:before="132" w:line="360" w:lineRule="auto"/>
              <w:ind w:left="105" w:leftChars="50"/>
              <w:jc w:val="both"/>
              <w:rPr>
                <w:rFonts w:ascii="宋体" w:hAnsi="宋体"/>
                <w:color w:val="auto"/>
                <w:sz w:val="21"/>
                <w:szCs w:val="21"/>
                <w:highlight w:val="none"/>
              </w:rPr>
            </w:pPr>
            <w:r>
              <w:rPr>
                <w:rFonts w:hint="eastAsia"/>
                <w:color w:val="auto"/>
                <w:sz w:val="21"/>
                <w:szCs w:val="21"/>
                <w:highlight w:val="none"/>
              </w:rPr>
              <w:t>投标</w:t>
            </w:r>
            <w:r>
              <w:rPr>
                <w:rFonts w:hint="eastAsia"/>
                <w:color w:val="auto"/>
                <w:sz w:val="21"/>
                <w:szCs w:val="21"/>
                <w:highlight w:val="none"/>
                <w:lang w:eastAsia="zh-CN"/>
              </w:rPr>
              <w:t>人</w:t>
            </w:r>
            <w:r>
              <w:rPr>
                <w:rFonts w:hint="eastAsia"/>
                <w:color w:val="auto"/>
                <w:sz w:val="21"/>
                <w:szCs w:val="21"/>
                <w:highlight w:val="none"/>
              </w:rPr>
              <w:t>具有用于本项目的自有母体检测机构得</w:t>
            </w:r>
            <w:r>
              <w:rPr>
                <w:rFonts w:hint="eastAsia"/>
                <w:color w:val="auto"/>
                <w:sz w:val="21"/>
                <w:szCs w:val="21"/>
                <w:highlight w:val="none"/>
                <w:lang w:val="en-US" w:eastAsia="zh-CN"/>
              </w:rPr>
              <w:t>10</w:t>
            </w:r>
            <w:r>
              <w:rPr>
                <w:rFonts w:hint="eastAsia"/>
                <w:color w:val="auto"/>
                <w:sz w:val="21"/>
                <w:szCs w:val="21"/>
                <w:highlight w:val="none"/>
                <w:lang w:val="en-US"/>
              </w:rPr>
              <w:t>分</w:t>
            </w:r>
            <w:r>
              <w:rPr>
                <w:rFonts w:hint="eastAsia"/>
                <w:color w:val="auto"/>
                <w:sz w:val="21"/>
                <w:szCs w:val="21"/>
                <w:highlight w:val="none"/>
              </w:rPr>
              <w:t>，没有不得分。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306" w:hRule="atLeast"/>
          <w:jc w:val="center"/>
        </w:trPr>
        <w:tc>
          <w:tcPr>
            <w:tcW w:w="9781" w:type="dxa"/>
            <w:gridSpan w:val="5"/>
            <w:tcBorders>
              <w:top w:val="single" w:color="auto" w:sz="4" w:space="0"/>
              <w:left w:val="single" w:color="000000" w:sz="4" w:space="0"/>
              <w:bottom w:val="single" w:color="auto" w:sz="4" w:space="0"/>
              <w:right w:val="single" w:color="000000" w:sz="4" w:space="0"/>
            </w:tcBorders>
            <w:vAlign w:val="center"/>
          </w:tcPr>
          <w:p>
            <w:pPr>
              <w:snapToGrid w:val="0"/>
              <w:spacing w:line="420" w:lineRule="exact"/>
              <w:rPr>
                <w:rFonts w:hint="eastAsia" w:hAnsi="宋体" w:cs="宋体"/>
                <w:bCs/>
                <w:color w:val="auto"/>
                <w:szCs w:val="21"/>
                <w:highlight w:val="none"/>
              </w:rPr>
            </w:pPr>
            <w:r>
              <w:rPr>
                <w:rFonts w:hint="eastAsia" w:hAnsi="宋体" w:cs="宋体"/>
                <w:bCs/>
                <w:color w:val="auto"/>
                <w:szCs w:val="21"/>
                <w:highlight w:val="none"/>
              </w:rPr>
              <w:t>注：</w:t>
            </w:r>
          </w:p>
          <w:p>
            <w:pPr>
              <w:snapToGrid w:val="0"/>
              <w:spacing w:line="4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rPr>
              <w:t>类似</w:t>
            </w:r>
            <w:r>
              <w:rPr>
                <w:rFonts w:hint="eastAsia" w:ascii="宋体" w:hAnsi="宋体" w:cs="宋体"/>
                <w:bCs/>
                <w:color w:val="auto"/>
                <w:szCs w:val="21"/>
                <w:highlight w:val="none"/>
                <w:lang w:val="en-US" w:eastAsia="zh-CN"/>
              </w:rPr>
              <w:t>企业</w:t>
            </w:r>
            <w:r>
              <w:rPr>
                <w:rFonts w:hint="eastAsia" w:ascii="宋体" w:hAnsi="宋体" w:eastAsia="宋体" w:cs="宋体"/>
                <w:bCs/>
                <w:color w:val="auto"/>
                <w:szCs w:val="21"/>
                <w:highlight w:val="none"/>
                <w:lang w:val="en-US"/>
              </w:rPr>
              <w:t>业绩是指</w:t>
            </w:r>
            <w:r>
              <w:rPr>
                <w:rFonts w:hint="eastAsia" w:ascii="宋体" w:hAnsi="宋体" w:eastAsia="宋体" w:cs="宋体"/>
                <w:bCs/>
                <w:color w:val="auto"/>
                <w:szCs w:val="21"/>
                <w:highlight w:val="none"/>
                <w:lang w:val="en-US" w:eastAsia="zh-CN"/>
              </w:rPr>
              <w:t>国省干线公路桥梁维修专项工程或包含桥梁工程分项的施工总承包项目。</w:t>
            </w:r>
          </w:p>
          <w:p>
            <w:pPr>
              <w:snapToGrid w:val="0"/>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业绩以</w:t>
            </w:r>
            <w:r>
              <w:rPr>
                <w:rFonts w:hint="eastAsia" w:ascii="宋体" w:hAnsi="宋体" w:cs="宋体"/>
                <w:bCs/>
                <w:color w:val="auto"/>
                <w:szCs w:val="21"/>
                <w:highlight w:val="none"/>
                <w:lang w:eastAsia="zh-CN"/>
              </w:rPr>
              <w:t>合同签订时间</w:t>
            </w:r>
            <w:r>
              <w:rPr>
                <w:rFonts w:hint="eastAsia" w:ascii="宋体" w:hAnsi="宋体" w:eastAsia="宋体" w:cs="宋体"/>
                <w:bCs/>
                <w:color w:val="auto"/>
                <w:szCs w:val="21"/>
                <w:highlight w:val="none"/>
              </w:rPr>
              <w:t>为准。</w:t>
            </w:r>
          </w:p>
          <w:p>
            <w:pPr>
              <w:snapToGrid w:val="0"/>
              <w:spacing w:line="4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en-US" w:eastAsia="zh-CN"/>
              </w:rPr>
              <w:t>）母体检测机构具有公路试验检测综合丙级及以上资质，需提供营业执照和资质证书原件扫描件或图片，及能证明为投标人自有检测机构的相关证明。</w:t>
            </w:r>
          </w:p>
          <w:p>
            <w:pPr>
              <w:snapToGrid w:val="0"/>
              <w:spacing w:line="420" w:lineRule="exact"/>
              <w:rPr>
                <w:b/>
                <w:bCs/>
                <w:color w:val="auto"/>
                <w:highlight w:val="none"/>
              </w:rPr>
            </w:pPr>
            <w:r>
              <w:rPr>
                <w:rFonts w:hint="eastAsia" w:ascii="宋体" w:hAnsi="宋体" w:eastAsia="宋体" w:cs="宋体"/>
                <w:bCs/>
                <w:color w:val="auto"/>
                <w:szCs w:val="21"/>
                <w:highlight w:val="none"/>
                <w:lang w:val="en-US" w:eastAsia="zh-CN"/>
              </w:rPr>
              <w:t>（4）企业业绩和项目经理业绩不可重复计分。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525" w:hRule="atLeast"/>
          <w:jc w:val="center"/>
        </w:trPr>
        <w:tc>
          <w:tcPr>
            <w:tcW w:w="9781" w:type="dxa"/>
            <w:gridSpan w:val="5"/>
            <w:tcBorders>
              <w:top w:val="single" w:color="auto" w:sz="4" w:space="0"/>
              <w:left w:val="single" w:color="000000" w:sz="4" w:space="0"/>
              <w:bottom w:val="single" w:color="auto" w:sz="4" w:space="0"/>
              <w:right w:val="single" w:color="000000" w:sz="4" w:space="0"/>
            </w:tcBorders>
            <w:vAlign w:val="center"/>
          </w:tcPr>
          <w:p>
            <w:pPr>
              <w:spacing w:line="360" w:lineRule="exact"/>
              <w:ind w:left="105" w:leftChars="50" w:right="105" w:rightChars="50"/>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629" w:hRule="atLeast"/>
          <w:jc w:val="center"/>
        </w:trPr>
        <w:tc>
          <w:tcPr>
            <w:tcW w:w="9781" w:type="dxa"/>
            <w:gridSpan w:val="5"/>
            <w:tcBorders>
              <w:top w:val="single" w:color="auto" w:sz="4" w:space="0"/>
              <w:left w:val="single" w:color="000000" w:sz="4" w:space="0"/>
              <w:bottom w:val="single" w:color="000000" w:sz="4" w:space="0"/>
              <w:right w:val="single" w:color="000000" w:sz="4" w:space="0"/>
            </w:tcBorders>
            <w:vAlign w:val="center"/>
          </w:tcPr>
          <w:p>
            <w:pPr>
              <w:spacing w:line="360" w:lineRule="exact"/>
              <w:ind w:left="105" w:leftChars="50" w:right="105" w:rightChars="50"/>
              <w:rPr>
                <w:color w:val="auto"/>
                <w:highlight w:val="none"/>
              </w:rPr>
            </w:pPr>
            <w:r>
              <w:rPr>
                <w:rFonts w:hint="eastAsia"/>
                <w:color w:val="auto"/>
                <w:highlight w:val="none"/>
              </w:rPr>
              <w:t>评标程序如下：</w:t>
            </w:r>
          </w:p>
          <w:p>
            <w:pPr>
              <w:spacing w:line="360" w:lineRule="exact"/>
              <w:ind w:left="105" w:leftChars="50" w:right="105" w:rightChars="50"/>
              <w:rPr>
                <w:color w:val="auto"/>
                <w:highlight w:val="none"/>
              </w:rPr>
            </w:pPr>
            <w:r>
              <w:rPr>
                <w:rFonts w:hint="eastAsia"/>
                <w:color w:val="auto"/>
                <w:highlight w:val="none"/>
              </w:rPr>
              <w:t>1、招标人按照第二章“投标人须知”第5.2.1-5.2.2项的规定对投标文件第一信封（商务及技术文件）进行开标。</w:t>
            </w:r>
          </w:p>
          <w:p>
            <w:pPr>
              <w:spacing w:line="360" w:lineRule="exact"/>
              <w:ind w:left="105" w:leftChars="50" w:right="105" w:rightChars="50"/>
              <w:rPr>
                <w:color w:val="auto"/>
                <w:highlight w:val="none"/>
              </w:rPr>
            </w:pPr>
            <w:r>
              <w:rPr>
                <w:rFonts w:hint="eastAsia"/>
                <w:color w:val="auto"/>
                <w:highlight w:val="none"/>
              </w:rPr>
              <w:t>2、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各项打分保留小数点后两位，小数点后第三位“四舍五入”。</w:t>
            </w:r>
          </w:p>
          <w:p>
            <w:pPr>
              <w:spacing w:line="360" w:lineRule="exact"/>
              <w:ind w:left="105" w:leftChars="50" w:right="105" w:rightChars="50"/>
              <w:rPr>
                <w:color w:val="auto"/>
                <w:highlight w:val="none"/>
              </w:rPr>
            </w:pPr>
            <w:r>
              <w:rPr>
                <w:rFonts w:hint="eastAsia"/>
                <w:color w:val="auto"/>
                <w:highlight w:val="none"/>
              </w:rPr>
              <w:t>3、招标人按照第二章“投标人须知”第5.2.3-5.2.4项的规定对投标文件第一信封（商务及技术文件）评审得分前 3 名的投标文件第二个信封（报价文件）进行开启。</w:t>
            </w:r>
          </w:p>
          <w:p>
            <w:pPr>
              <w:spacing w:line="360" w:lineRule="exact"/>
              <w:ind w:left="105" w:leftChars="50" w:right="105" w:rightChars="50"/>
              <w:rPr>
                <w:color w:val="auto"/>
                <w:highlight w:val="none"/>
              </w:rPr>
            </w:pPr>
            <w:r>
              <w:rPr>
                <w:rFonts w:hint="eastAsia"/>
                <w:color w:val="auto"/>
                <w:highlight w:val="none"/>
              </w:rPr>
              <w:t>4、评标委员会对已开标的投标文件第二个信封（报价文件）进行评审，按照投标报价由低到高顺序，推荐1-3名中标候选人。投标报价相等的，以商务及技术文件得分高低进行排序；若商务及技术文件得分相等时，可以通过公开随机抽取方式确定中标候选人的排序。</w:t>
            </w:r>
          </w:p>
          <w:p>
            <w:pPr>
              <w:spacing w:line="360" w:lineRule="exact"/>
              <w:ind w:left="105" w:leftChars="50" w:right="105" w:rightChars="50"/>
              <w:rPr>
                <w:color w:val="auto"/>
                <w:highlight w:val="none"/>
              </w:rPr>
            </w:pPr>
            <w:r>
              <w:rPr>
                <w:rFonts w:hint="eastAsia"/>
                <w:color w:val="auto"/>
                <w:highlight w:val="none"/>
              </w:rPr>
              <w:t>5、</w:t>
            </w:r>
            <w:r>
              <w:rPr>
                <w:rFonts w:hint="eastAsia"/>
                <w:b/>
                <w:bCs/>
                <w:color w:val="auto"/>
                <w:highlight w:val="none"/>
              </w:rPr>
              <w:t>本评标办法里涉及到的证书、证件、业绩及相关文件，评标现场不再提供原件（招标文件另有规定除外），需在投标文件中附原件扫描件（或图片），否则该项得分应作0分处理。</w:t>
            </w:r>
          </w:p>
          <w:p>
            <w:pPr>
              <w:pStyle w:val="2"/>
              <w:ind w:firstLine="211"/>
              <w:rPr>
                <w:rFonts w:ascii="宋体" w:hAnsi="宋体" w:cs="宋体"/>
                <w:b/>
                <w:bCs/>
                <w:color w:val="auto"/>
                <w:highlight w:val="none"/>
              </w:rPr>
            </w:pPr>
            <w:r>
              <w:rPr>
                <w:rFonts w:hint="eastAsia" w:ascii="宋体" w:hAnsi="宋体" w:cs="宋体"/>
                <w:b/>
                <w:bCs/>
                <w:color w:val="auto"/>
                <w:highlight w:val="none"/>
              </w:rPr>
              <w:t>注意事项：</w:t>
            </w:r>
            <w:r>
              <w:rPr>
                <w:rFonts w:hint="eastAsia" w:ascii="宋体" w:hAnsi="宋体" w:cs="宋体"/>
                <w:b/>
                <w:bCs/>
                <w:color w:val="auto"/>
                <w:szCs w:val="21"/>
                <w:highlight w:val="none"/>
              </w:rPr>
              <w:t>投标文件第一个信封(商务及技术文件)不得出现有关投标报价的内容，否则评标委员会将对投标文件第一个信封(商务及技术文件)作无效标处理。</w:t>
            </w:r>
          </w:p>
        </w:tc>
      </w:tr>
    </w:tbl>
    <w:p>
      <w:pPr>
        <w:spacing w:line="360" w:lineRule="auto"/>
        <w:rPr>
          <w:rFonts w:ascii="宋体" w:hAnsi="宋体" w:cs="宋体"/>
          <w:b/>
          <w:bCs/>
          <w:color w:val="auto"/>
          <w:szCs w:val="21"/>
          <w:highlight w:val="none"/>
        </w:rPr>
      </w:pPr>
    </w:p>
    <w:p>
      <w:pPr>
        <w:numPr>
          <w:ilvl w:val="0"/>
          <w:numId w:val="0"/>
        </w:numPr>
        <w:spacing w:line="360" w:lineRule="auto"/>
        <w:rPr>
          <w:rFonts w:ascii="宋体" w:hAnsi="宋体" w:cs="宋体"/>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评标方法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评标采用技术评分最低标价法。评标委员会对满足招标文件实质性要求的投标文件，按照本章第2.2款规定的评分标准对投标文件第一信封（商务及技术）进行打分，按得分由高到低顺序取前三名进入第二信封（报价文件）评审，并按投标报价由低到高顺序推荐中标候选人，或根据招标人授权直接确定中标人，但投标报价低于其成本的除外。</w:t>
      </w:r>
      <w:bookmarkStart w:id="124" w:name="_bookmark111"/>
      <w:bookmarkEnd w:id="124"/>
      <w:r>
        <w:rPr>
          <w:rFonts w:hint="eastAsia" w:ascii="宋体" w:hAnsi="宋体" w:cs="宋体"/>
          <w:color w:val="auto"/>
          <w:szCs w:val="21"/>
          <w:highlight w:val="none"/>
        </w:rPr>
        <w:t>投标报价相等的，以商务及技术文件得分高低进行排序；若商务及技术文件得分相等时，可以通过公开随机抽取方式确定中标候选人的排序。</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2. 评审标准</w:t>
      </w:r>
    </w:p>
    <w:p>
      <w:pPr>
        <w:spacing w:line="360" w:lineRule="auto"/>
        <w:rPr>
          <w:rFonts w:ascii="宋体" w:hAnsi="宋体" w:cs="宋体"/>
          <w:color w:val="auto"/>
          <w:szCs w:val="21"/>
          <w:highlight w:val="none"/>
        </w:rPr>
      </w:pPr>
      <w:bookmarkStart w:id="125" w:name="_bookmark112"/>
      <w:bookmarkEnd w:id="125"/>
      <w:r>
        <w:rPr>
          <w:rFonts w:hint="eastAsia" w:ascii="宋体" w:hAnsi="宋体" w:cs="宋体"/>
          <w:color w:val="auto"/>
          <w:szCs w:val="21"/>
          <w:highlight w:val="none"/>
        </w:rPr>
        <w:t>2.1初步详审标准：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2.1.1形式评审标准：见评标办法前附表。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2.1.2资格评审标准：见评标办法前附表。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2.1.3响应性评审标准：见评标办法前附表。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2.2 分值构成与评分标准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  第一个信封评分分值构成</w:t>
      </w:r>
    </w:p>
    <w:p>
      <w:pPr>
        <w:spacing w:line="360" w:lineRule="auto"/>
        <w:ind w:left="418" w:leftChars="199" w:firstLine="153" w:firstLineChars="73"/>
        <w:rPr>
          <w:rFonts w:ascii="宋体" w:hAnsi="宋体" w:cs="宋体"/>
          <w:color w:val="auto"/>
          <w:szCs w:val="21"/>
          <w:highlight w:val="none"/>
        </w:rPr>
      </w:pPr>
      <w:r>
        <w:rPr>
          <w:rFonts w:hint="eastAsia" w:ascii="宋体" w:hAnsi="宋体" w:cs="宋体"/>
          <w:color w:val="auto"/>
          <w:szCs w:val="21"/>
          <w:highlight w:val="none"/>
        </w:rPr>
        <w:t>（1）施工组织设计：见评标办法前附表；</w:t>
      </w:r>
    </w:p>
    <w:p>
      <w:pPr>
        <w:spacing w:line="360" w:lineRule="auto"/>
        <w:ind w:left="418" w:leftChars="199" w:firstLine="153" w:firstLineChars="73"/>
        <w:rPr>
          <w:rFonts w:ascii="宋体" w:hAnsi="宋体" w:cs="宋体"/>
          <w:color w:val="auto"/>
          <w:szCs w:val="21"/>
          <w:highlight w:val="none"/>
        </w:rPr>
      </w:pPr>
      <w:r>
        <w:rPr>
          <w:rFonts w:hint="eastAsia" w:ascii="宋体" w:hAnsi="宋体" w:cs="宋体"/>
          <w:color w:val="auto"/>
          <w:szCs w:val="21"/>
          <w:highlight w:val="none"/>
        </w:rPr>
        <w:t>（2）主要人员：见评标办法前附表；</w:t>
      </w:r>
    </w:p>
    <w:p>
      <w:pPr>
        <w:spacing w:line="360" w:lineRule="auto"/>
        <w:ind w:left="418" w:leftChars="199" w:firstLine="153" w:firstLineChars="73"/>
        <w:rPr>
          <w:rFonts w:ascii="宋体" w:hAnsi="宋体" w:cs="宋体"/>
          <w:color w:val="auto"/>
          <w:szCs w:val="21"/>
          <w:highlight w:val="none"/>
        </w:rPr>
      </w:pPr>
      <w:r>
        <w:rPr>
          <w:rFonts w:hint="eastAsia" w:ascii="宋体" w:hAnsi="宋体" w:cs="宋体"/>
          <w:color w:val="auto"/>
          <w:szCs w:val="21"/>
          <w:highlight w:val="none"/>
        </w:rPr>
        <w:t>（3）技术能力：见评标办法前附表；</w:t>
      </w:r>
    </w:p>
    <w:p>
      <w:pPr>
        <w:spacing w:line="360" w:lineRule="auto"/>
        <w:ind w:left="418" w:leftChars="199" w:firstLine="153" w:firstLineChars="73"/>
        <w:rPr>
          <w:rFonts w:ascii="宋体" w:hAnsi="宋体" w:cs="宋体"/>
          <w:color w:val="auto"/>
          <w:szCs w:val="21"/>
          <w:highlight w:val="none"/>
        </w:rPr>
      </w:pPr>
      <w:r>
        <w:rPr>
          <w:rFonts w:hint="eastAsia" w:ascii="宋体" w:hAnsi="宋体" w:cs="宋体"/>
          <w:color w:val="auto"/>
          <w:szCs w:val="21"/>
          <w:highlight w:val="none"/>
        </w:rPr>
        <w:t>（4）履约信誉：见评标办法前附表。</w:t>
      </w:r>
    </w:p>
    <w:p>
      <w:pPr>
        <w:spacing w:line="360" w:lineRule="auto"/>
        <w:ind w:firstLine="627" w:firstLineChars="299"/>
        <w:rPr>
          <w:rFonts w:ascii="宋体" w:hAnsi="宋体" w:cs="宋体"/>
          <w:color w:val="auto"/>
          <w:szCs w:val="21"/>
          <w:highlight w:val="none"/>
        </w:rPr>
      </w:pPr>
      <w:r>
        <w:rPr>
          <w:rFonts w:hint="eastAsia" w:ascii="宋体" w:hAnsi="宋体" w:cs="宋体"/>
          <w:color w:val="auto"/>
          <w:szCs w:val="21"/>
          <w:highlight w:val="none"/>
        </w:rPr>
        <w:t>（5）业绩：见评标办法前附表。</w:t>
      </w:r>
    </w:p>
    <w:p>
      <w:pPr>
        <w:spacing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2.2.2  第一个信封评分评分标准</w:t>
      </w:r>
    </w:p>
    <w:p>
      <w:pPr>
        <w:spacing w:line="360" w:lineRule="auto"/>
        <w:ind w:left="418" w:leftChars="199" w:firstLine="153" w:firstLineChars="73"/>
        <w:rPr>
          <w:rFonts w:ascii="宋体" w:hAnsi="宋体" w:cs="宋体"/>
          <w:color w:val="auto"/>
          <w:szCs w:val="21"/>
          <w:highlight w:val="none"/>
        </w:rPr>
      </w:pPr>
      <w:r>
        <w:rPr>
          <w:rFonts w:hint="eastAsia" w:ascii="宋体" w:hAnsi="宋体" w:cs="宋体"/>
          <w:color w:val="auto"/>
          <w:szCs w:val="21"/>
          <w:highlight w:val="none"/>
        </w:rPr>
        <w:t>（1）施工组织设计评分标准：见评标办法前附表；</w:t>
      </w:r>
    </w:p>
    <w:p>
      <w:pPr>
        <w:spacing w:line="360" w:lineRule="auto"/>
        <w:ind w:left="418" w:leftChars="199" w:firstLine="153" w:firstLineChars="73"/>
        <w:rPr>
          <w:rFonts w:ascii="宋体" w:hAnsi="宋体" w:cs="宋体"/>
          <w:color w:val="auto"/>
          <w:szCs w:val="21"/>
          <w:highlight w:val="none"/>
        </w:rPr>
      </w:pPr>
      <w:r>
        <w:rPr>
          <w:rFonts w:hint="eastAsia" w:ascii="宋体" w:hAnsi="宋体" w:cs="宋体"/>
          <w:color w:val="auto"/>
          <w:szCs w:val="21"/>
          <w:highlight w:val="none"/>
        </w:rPr>
        <w:t>（2）主要人员评分标准：见评标办法前附表；</w:t>
      </w:r>
    </w:p>
    <w:p>
      <w:pPr>
        <w:spacing w:line="360" w:lineRule="auto"/>
        <w:ind w:firstLine="571" w:firstLineChars="272"/>
        <w:rPr>
          <w:rFonts w:ascii="宋体" w:hAnsi="宋体" w:cs="宋体"/>
          <w:color w:val="auto"/>
          <w:szCs w:val="21"/>
          <w:highlight w:val="none"/>
        </w:rPr>
      </w:pPr>
      <w:r>
        <w:rPr>
          <w:rFonts w:hint="eastAsia" w:ascii="宋体" w:hAnsi="宋体" w:cs="宋体"/>
          <w:color w:val="auto"/>
          <w:szCs w:val="21"/>
          <w:highlight w:val="none"/>
        </w:rPr>
        <w:t>（3）其他因素：见评标办法前附表；</w:t>
      </w:r>
    </w:p>
    <w:p>
      <w:pPr>
        <w:spacing w:line="360" w:lineRule="auto"/>
        <w:ind w:left="309" w:leftChars="147" w:firstLine="98" w:firstLineChars="47"/>
        <w:rPr>
          <w:rFonts w:ascii="宋体" w:hAnsi="宋体" w:cs="宋体"/>
          <w:color w:val="auto"/>
          <w:szCs w:val="21"/>
          <w:highlight w:val="none"/>
        </w:rPr>
      </w:pPr>
      <w:r>
        <w:rPr>
          <w:rFonts w:hint="eastAsia" w:ascii="宋体" w:hAnsi="宋体" w:cs="宋体"/>
          <w:color w:val="auto"/>
          <w:szCs w:val="21"/>
          <w:highlight w:val="none"/>
        </w:rPr>
        <w:t>2.2.3  第二个信封详细评审标准：见评标办法前附表。</w:t>
      </w:r>
    </w:p>
    <w:p>
      <w:pPr>
        <w:spacing w:line="360" w:lineRule="auto"/>
        <w:rPr>
          <w:rFonts w:ascii="宋体" w:hAnsi="宋体" w:cs="宋体"/>
          <w:b/>
          <w:bCs/>
          <w:color w:val="auto"/>
          <w:szCs w:val="21"/>
          <w:highlight w:val="none"/>
        </w:rPr>
      </w:pPr>
      <w:bookmarkStart w:id="126" w:name="_bookmark114"/>
      <w:bookmarkEnd w:id="126"/>
      <w:r>
        <w:rPr>
          <w:rFonts w:hint="eastAsia" w:ascii="宋体" w:hAnsi="宋体" w:cs="宋体"/>
          <w:b/>
          <w:bCs/>
          <w:color w:val="auto"/>
          <w:szCs w:val="21"/>
          <w:highlight w:val="none"/>
        </w:rPr>
        <w:t>3. 评标程序</w:t>
      </w:r>
    </w:p>
    <w:p>
      <w:pPr>
        <w:spacing w:line="360" w:lineRule="auto"/>
        <w:ind w:left="657" w:leftChars="100" w:hanging="447" w:hangingChars="213"/>
        <w:rPr>
          <w:rFonts w:ascii="宋体" w:hAnsi="宋体" w:cs="宋体"/>
          <w:color w:val="auto"/>
          <w:szCs w:val="21"/>
          <w:highlight w:val="none"/>
        </w:rPr>
      </w:pPr>
      <w:bookmarkStart w:id="127" w:name="_bookmark115"/>
      <w:bookmarkEnd w:id="127"/>
      <w:r>
        <w:rPr>
          <w:rFonts w:hint="eastAsia" w:ascii="宋体" w:hAnsi="宋体" w:cs="宋体"/>
          <w:color w:val="auto"/>
          <w:szCs w:val="21"/>
          <w:highlight w:val="none"/>
        </w:rPr>
        <w:t>3.1 第一个信封初步评审</w:t>
      </w:r>
    </w:p>
    <w:p>
      <w:pPr>
        <w:spacing w:line="360" w:lineRule="auto"/>
        <w:ind w:left="153" w:leftChars="73" w:firstLine="264" w:firstLineChars="126"/>
        <w:rPr>
          <w:rFonts w:ascii="宋体" w:hAnsi="宋体" w:cs="宋体"/>
          <w:color w:val="auto"/>
          <w:szCs w:val="21"/>
          <w:highlight w:val="none"/>
        </w:rPr>
      </w:pPr>
      <w:r>
        <w:rPr>
          <w:rFonts w:hint="eastAsia" w:ascii="宋体" w:hAnsi="宋体" w:cs="宋体"/>
          <w:color w:val="auto"/>
          <w:szCs w:val="21"/>
          <w:highlight w:val="none"/>
        </w:rPr>
        <w:t>3.1.1 评标委员会依据本章第 2.1款规定的标准对投标文件第一个信封（商务及技术文件）进行初步评审。有一项不符合评审标准的，评标委员会应否决其投标。</w:t>
      </w:r>
    </w:p>
    <w:p>
      <w:pPr>
        <w:pStyle w:val="2"/>
        <w:ind w:firstLineChars="200"/>
        <w:rPr>
          <w:rFonts w:ascii="宋体" w:hAnsi="宋体" w:cs="宋体"/>
          <w:color w:val="auto"/>
          <w:szCs w:val="21"/>
          <w:highlight w:val="none"/>
        </w:rPr>
      </w:pPr>
      <w:r>
        <w:rPr>
          <w:rFonts w:hint="eastAsia" w:ascii="宋体" w:hAnsi="宋体" w:cs="宋体"/>
          <w:color w:val="auto"/>
          <w:szCs w:val="21"/>
          <w:highlight w:val="none"/>
        </w:rPr>
        <w:t>3.1.2 投标人有以下情形之一的其投标作废标处理：</w:t>
      </w:r>
    </w:p>
    <w:p>
      <w:pPr>
        <w:pStyle w:val="2"/>
        <w:ind w:firstLine="210"/>
        <w:rPr>
          <w:rFonts w:ascii="宋体" w:hAnsi="宋体" w:cs="宋体"/>
          <w:color w:val="auto"/>
          <w:szCs w:val="21"/>
          <w:highlight w:val="none"/>
        </w:rPr>
      </w:pPr>
      <w:r>
        <w:rPr>
          <w:rFonts w:hint="eastAsia" w:ascii="宋体" w:hAnsi="宋体" w:cs="宋体"/>
          <w:color w:val="auto"/>
          <w:szCs w:val="21"/>
          <w:highlight w:val="none"/>
        </w:rPr>
        <w:t>（1）第二章“投标人须知”第 1.4.3 项规定的任何一种情形的。</w:t>
      </w:r>
    </w:p>
    <w:p>
      <w:pPr>
        <w:pStyle w:val="2"/>
        <w:ind w:firstLine="210"/>
        <w:rPr>
          <w:rFonts w:ascii="宋体" w:hAnsi="宋体" w:cs="宋体"/>
          <w:color w:val="auto"/>
          <w:szCs w:val="21"/>
          <w:highlight w:val="none"/>
        </w:rPr>
      </w:pPr>
      <w:r>
        <w:rPr>
          <w:rFonts w:hint="eastAsia" w:ascii="宋体" w:hAnsi="宋体" w:cs="宋体"/>
          <w:color w:val="auto"/>
          <w:szCs w:val="21"/>
          <w:highlight w:val="none"/>
        </w:rPr>
        <w:t>（2）串通投标或弄虚作假或有其他违法行为的。</w:t>
      </w:r>
    </w:p>
    <w:p>
      <w:pPr>
        <w:spacing w:line="360" w:lineRule="auto"/>
        <w:ind w:left="657" w:leftChars="100" w:hanging="447" w:hangingChars="213"/>
        <w:rPr>
          <w:rFonts w:ascii="宋体" w:hAnsi="宋体" w:cs="宋体"/>
          <w:color w:val="auto"/>
          <w:szCs w:val="21"/>
          <w:highlight w:val="none"/>
        </w:rPr>
      </w:pPr>
      <w:bookmarkStart w:id="128" w:name="_bookmark116"/>
      <w:bookmarkEnd w:id="128"/>
      <w:r>
        <w:rPr>
          <w:rFonts w:hint="eastAsia" w:ascii="宋体" w:hAnsi="宋体" w:cs="宋体"/>
          <w:color w:val="auto"/>
          <w:szCs w:val="21"/>
          <w:highlight w:val="none"/>
        </w:rPr>
        <w:t>3.2 第一个信封详细评审</w:t>
      </w:r>
    </w:p>
    <w:p>
      <w:pPr>
        <w:spacing w:line="360" w:lineRule="auto"/>
        <w:ind w:left="657" w:leftChars="200" w:hanging="237" w:hangingChars="113"/>
        <w:rPr>
          <w:rFonts w:ascii="宋体" w:hAnsi="宋体" w:cs="宋体"/>
          <w:color w:val="auto"/>
          <w:szCs w:val="21"/>
          <w:highlight w:val="none"/>
        </w:rPr>
      </w:pPr>
      <w:r>
        <w:rPr>
          <w:rFonts w:hint="eastAsia" w:ascii="宋体" w:hAnsi="宋体" w:cs="宋体"/>
          <w:color w:val="auto"/>
          <w:szCs w:val="21"/>
          <w:highlight w:val="none"/>
        </w:rPr>
        <w:t>3.2.1 评标委员会按本章第 2.2 款规定的量化因素和分值进行打分，并计算出各投标人的</w:t>
      </w:r>
    </w:p>
    <w:p>
      <w:pPr>
        <w:spacing w:line="360" w:lineRule="auto"/>
        <w:ind w:left="493" w:leftChars="122" w:hanging="237" w:hangingChars="113"/>
        <w:rPr>
          <w:rFonts w:ascii="宋体" w:hAnsi="宋体" w:cs="宋体"/>
          <w:color w:val="auto"/>
          <w:szCs w:val="21"/>
          <w:highlight w:val="none"/>
        </w:rPr>
      </w:pPr>
      <w:r>
        <w:rPr>
          <w:rFonts w:hint="eastAsia" w:ascii="宋体" w:hAnsi="宋体" w:cs="宋体"/>
          <w:color w:val="auto"/>
          <w:szCs w:val="21"/>
          <w:highlight w:val="none"/>
        </w:rPr>
        <w:t>商务和技术得分。</w:t>
      </w:r>
    </w:p>
    <w:p>
      <w:pPr>
        <w:spacing w:line="360" w:lineRule="auto"/>
        <w:ind w:left="657" w:leftChars="100" w:hanging="447" w:hangingChars="213"/>
        <w:rPr>
          <w:rFonts w:ascii="宋体" w:hAnsi="宋体" w:cs="宋体"/>
          <w:color w:val="auto"/>
          <w:szCs w:val="21"/>
          <w:highlight w:val="none"/>
        </w:rPr>
      </w:pPr>
      <w:r>
        <w:rPr>
          <w:rFonts w:hint="eastAsia" w:ascii="宋体" w:hAnsi="宋体" w:cs="宋体"/>
          <w:color w:val="auto"/>
          <w:szCs w:val="21"/>
          <w:highlight w:val="none"/>
        </w:rPr>
        <w:t>（1）按本章第 2.2.2 项（1）目规定的评审因素和分值对施工组织设计部分计算出得分 A；</w:t>
      </w:r>
    </w:p>
    <w:p>
      <w:pPr>
        <w:spacing w:line="360" w:lineRule="auto"/>
        <w:ind w:left="657" w:leftChars="100" w:hanging="447" w:hangingChars="213"/>
        <w:rPr>
          <w:rFonts w:ascii="宋体" w:hAnsi="宋体" w:cs="宋体"/>
          <w:color w:val="auto"/>
          <w:szCs w:val="21"/>
          <w:highlight w:val="none"/>
        </w:rPr>
      </w:pPr>
      <w:r>
        <w:rPr>
          <w:rFonts w:hint="eastAsia" w:ascii="宋体" w:hAnsi="宋体" w:cs="宋体"/>
          <w:color w:val="auto"/>
          <w:szCs w:val="21"/>
          <w:highlight w:val="none"/>
        </w:rPr>
        <w:t>（2）按本章第 2.2.2 项（2）目规定的评审因素和分值对主要人员部分计算出得分 B；</w:t>
      </w:r>
    </w:p>
    <w:p>
      <w:pPr>
        <w:spacing w:line="360" w:lineRule="auto"/>
        <w:ind w:left="657" w:leftChars="100" w:hanging="447" w:hangingChars="213"/>
        <w:rPr>
          <w:rFonts w:ascii="宋体" w:hAnsi="宋体" w:cs="宋体"/>
          <w:color w:val="auto"/>
          <w:szCs w:val="21"/>
          <w:highlight w:val="none"/>
        </w:rPr>
      </w:pPr>
      <w:r>
        <w:rPr>
          <w:rFonts w:hint="eastAsia" w:ascii="宋体" w:hAnsi="宋体" w:cs="宋体"/>
          <w:color w:val="auto"/>
          <w:szCs w:val="21"/>
          <w:highlight w:val="none"/>
        </w:rPr>
        <w:t xml:space="preserve">（3）按本章第 2.2.2 项（3）目规定的评审因素和分值对其他因素部分计算出得分 C。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3.2.2  </w:t>
      </w:r>
      <w:r>
        <w:rPr>
          <w:rFonts w:hint="eastAsia" w:ascii="宋体" w:hAnsi="宋体" w:cs="宋体"/>
          <w:color w:val="auto"/>
          <w:szCs w:val="21"/>
          <w:highlight w:val="none"/>
          <w:lang w:eastAsia="zh-CN"/>
        </w:rPr>
        <w:t>投标文件各项评分因素得分应以评标委员会各成员的打分平均值确定，评标委员会成员总数为</w:t>
      </w:r>
      <w:r>
        <w:rPr>
          <w:rFonts w:hint="eastAsia" w:ascii="宋体" w:hAnsi="宋体" w:cs="宋体"/>
          <w:color w:val="auto"/>
          <w:szCs w:val="21"/>
          <w:highlight w:val="none"/>
          <w:lang w:val="en-US" w:eastAsia="zh-CN"/>
        </w:rPr>
        <w:t>七人以上时，该平均值以去掉一个最高分和一个最低分后计算。</w:t>
      </w:r>
      <w:r>
        <w:rPr>
          <w:rFonts w:hint="eastAsia" w:ascii="宋体" w:hAnsi="宋体" w:cs="宋体"/>
          <w:color w:val="auto"/>
          <w:szCs w:val="21"/>
          <w:highlight w:val="none"/>
        </w:rPr>
        <w:t>投标人的商务和技术得分分值计算保留小数点后两位，小数点后第三位“四舍五入”。</w:t>
      </w:r>
    </w:p>
    <w:p>
      <w:pPr>
        <w:spacing w:line="360" w:lineRule="auto"/>
        <w:ind w:left="657" w:leftChars="100" w:hanging="447" w:hangingChars="213"/>
        <w:rPr>
          <w:rFonts w:ascii="宋体" w:hAnsi="宋体" w:cs="宋体"/>
          <w:color w:val="auto"/>
          <w:szCs w:val="21"/>
          <w:highlight w:val="none"/>
        </w:rPr>
      </w:pPr>
      <w:r>
        <w:rPr>
          <w:rFonts w:hint="eastAsia" w:ascii="宋体" w:hAnsi="宋体" w:cs="宋体"/>
          <w:color w:val="auto"/>
          <w:szCs w:val="21"/>
          <w:highlight w:val="none"/>
        </w:rPr>
        <w:t>3.2.3 投标人的商务和技术得分=A+B+C。</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3.2.4 评标委员会按照投标人的商务和技术得分由高到低排序。</w:t>
      </w:r>
    </w:p>
    <w:p>
      <w:pPr>
        <w:spacing w:line="360" w:lineRule="auto"/>
        <w:ind w:left="657" w:leftChars="100" w:hanging="447" w:hangingChars="213"/>
        <w:rPr>
          <w:rFonts w:ascii="宋体" w:hAnsi="宋体" w:cs="宋体"/>
          <w:color w:val="auto"/>
          <w:szCs w:val="21"/>
          <w:highlight w:val="none"/>
        </w:rPr>
      </w:pPr>
      <w:bookmarkStart w:id="129" w:name="_bookmark117"/>
      <w:bookmarkEnd w:id="129"/>
      <w:r>
        <w:rPr>
          <w:rFonts w:hint="eastAsia" w:ascii="宋体" w:hAnsi="宋体" w:cs="宋体"/>
          <w:color w:val="auto"/>
          <w:szCs w:val="21"/>
          <w:highlight w:val="none"/>
        </w:rPr>
        <w:t>3.3 第二个信封评标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cs="宋体"/>
          <w:color w:val="auto"/>
          <w:szCs w:val="21"/>
          <w:highlight w:val="none"/>
        </w:rPr>
        <w:t>第一个信封（商务及技术文件）评审结束后，</w:t>
      </w:r>
      <w:r>
        <w:rPr>
          <w:rFonts w:hint="eastAsia"/>
          <w:color w:val="auto"/>
          <w:highlight w:val="none"/>
        </w:rPr>
        <w:t>按照投标人第一信封（商务及技术文件）得分由高到低的顺序，选取前三名进入到第二信封（报价文件）评审。如出现得分并列，评标价低者优先，如评标价也出现并列，由评标委员用采用随机抽取方式确定。</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color w:val="auto"/>
          <w:highlight w:val="none"/>
        </w:rPr>
      </w:pPr>
      <w:r>
        <w:rPr>
          <w:rFonts w:hint="eastAsia"/>
          <w:color w:val="auto"/>
          <w:highlight w:val="none"/>
        </w:rPr>
        <w:t>如果进入第二信封评审的三家投标人均不满足招标文件要求，则按照上述方法再选取三家投标人进入到第二信封（报价文件）评审。如剩余的投标人不足三家，则剩余投标人全部进入第二信封（报价文件）评审。</w:t>
      </w:r>
    </w:p>
    <w:p>
      <w:pPr>
        <w:spacing w:line="360" w:lineRule="auto"/>
        <w:ind w:left="657" w:leftChars="100" w:hanging="447" w:hangingChars="213"/>
        <w:rPr>
          <w:rFonts w:ascii="宋体" w:hAnsi="宋体" w:cs="宋体"/>
          <w:color w:val="auto"/>
          <w:szCs w:val="21"/>
          <w:highlight w:val="none"/>
        </w:rPr>
      </w:pPr>
      <w:bookmarkStart w:id="130" w:name="_bookmark118"/>
      <w:bookmarkEnd w:id="130"/>
      <w:r>
        <w:rPr>
          <w:rFonts w:hint="eastAsia" w:ascii="宋体" w:hAnsi="宋体" w:cs="宋体"/>
          <w:color w:val="auto"/>
          <w:szCs w:val="21"/>
          <w:highlight w:val="none"/>
        </w:rPr>
        <w:t>3.4 第二个信封初步评审</w:t>
      </w:r>
    </w:p>
    <w:p>
      <w:pPr>
        <w:spacing w:line="360" w:lineRule="auto"/>
        <w:ind w:left="657" w:leftChars="100" w:hanging="447" w:hangingChars="213"/>
        <w:rPr>
          <w:rFonts w:ascii="宋体" w:hAnsi="宋体" w:cs="宋体"/>
          <w:color w:val="auto"/>
          <w:szCs w:val="21"/>
          <w:highlight w:val="none"/>
        </w:rPr>
      </w:pPr>
      <w:r>
        <w:rPr>
          <w:rFonts w:hint="eastAsia" w:ascii="宋体" w:hAnsi="宋体" w:cs="宋体"/>
          <w:color w:val="auto"/>
          <w:szCs w:val="21"/>
          <w:highlight w:val="none"/>
        </w:rPr>
        <w:t>3.4.1 评标委员会依据本章第 2.1.1 项、第 2.1.3 项规定的评审标准对投标文件第二个信封（报价文件）进行初步评审。有一项不符合评审标准的，评标委员会应否决其投标。</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3.4.2投标报价有算术错误的，评标委员会按以下原则对投标报价进行修正，修正的价格经投标人书面确认后具有约束力。投标人不接受修正价格的，评标委员 会应否决其投标。</w:t>
      </w:r>
    </w:p>
    <w:p>
      <w:pPr>
        <w:spacing w:line="360" w:lineRule="auto"/>
        <w:ind w:left="657" w:leftChars="100" w:hanging="447" w:hangingChars="213"/>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（2）总价金额与依据单价计算出的结果不一致的，以单价金额为准修正总价，但单价金额小数点有明显错误的除外</w:t>
      </w:r>
      <w:r>
        <w:rPr>
          <w:rFonts w:hint="eastAsia" w:ascii="宋体" w:hAnsi="宋体" w:cs="宋体"/>
          <w:color w:val="auto"/>
          <w:szCs w:val="21"/>
          <w:highlight w:val="none"/>
          <w:lang w:eastAsia="zh-CN"/>
        </w:rPr>
        <w:t>；</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（3）当单价与数量相乘不等于合价时，以单价计算为准，如果单价有明显的小数点位置差错，应以标出的合价为准，同时对单价予以修正；</w:t>
      </w:r>
    </w:p>
    <w:p>
      <w:pPr>
        <w:spacing w:line="360" w:lineRule="auto"/>
        <w:ind w:left="657" w:leftChars="100" w:hanging="447" w:hangingChars="213"/>
        <w:rPr>
          <w:rFonts w:ascii="宋体" w:hAnsi="宋体" w:cs="宋体"/>
          <w:color w:val="auto"/>
          <w:szCs w:val="21"/>
          <w:highlight w:val="none"/>
        </w:rPr>
      </w:pPr>
      <w:r>
        <w:rPr>
          <w:rFonts w:hint="eastAsia" w:ascii="宋体" w:hAnsi="宋体" w:cs="宋体"/>
          <w:color w:val="auto"/>
          <w:szCs w:val="21"/>
          <w:highlight w:val="none"/>
        </w:rPr>
        <w:t>（4）当各子目的合价累计不等于总价时，应以各子目合价累计数为准，修正总价。</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3.4.3 工程量清单中的投标报价有其他错误的，评标委员会按以下原则对投标报价进行修正，修正的价格经投标人书面确认后具有约束力。投标人不接受修正价格的，评标委员会应否决其投标。</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（1）在招标人给定的工程量清单中漏报了某个工程子目的单价、合价或总额价，或所报单价、合价或总额价减少了报价范围，则漏报的工程子目单价、合价和总额 价或单价、合价和总额价中减少的报价内容视为已含入其他工程子目的单价、合价和总额价之中。</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（2）在招标人给定的工程量清单中多报了某个工程子目的单价、合价或总额价，或所报单价、合价或总额价增加了报价范围，则从投标报价中扣除多报的工程子目 报价或工程子目报价中增加了报价范围的部分报价。</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（3）当单价与数量的乘积与合价（金额）虽然一致，但投标人修改了该子目的工程数量，则其合价按招标人给定的工程数量乘以投标人所报单价予以修正。</w:t>
      </w:r>
    </w:p>
    <w:p>
      <w:pPr>
        <w:spacing w:line="360" w:lineRule="auto"/>
        <w:ind w:left="657" w:leftChars="100" w:hanging="447" w:hangingChars="213"/>
        <w:rPr>
          <w:rFonts w:ascii="宋体" w:hAnsi="宋体" w:cs="宋体"/>
          <w:color w:val="auto"/>
          <w:szCs w:val="21"/>
          <w:highlight w:val="none"/>
        </w:rPr>
      </w:pPr>
      <w:r>
        <w:rPr>
          <w:rFonts w:hint="eastAsia" w:ascii="宋体" w:hAnsi="宋体" w:cs="宋体"/>
          <w:color w:val="auto"/>
          <w:szCs w:val="21"/>
          <w:highlight w:val="none"/>
        </w:rPr>
        <w:t>3.4.4  修正后的最终投标报价若超过最高投标限价（如有），评标委员会应否决其投标。</w:t>
      </w:r>
    </w:p>
    <w:p>
      <w:pPr>
        <w:spacing w:line="360" w:lineRule="auto"/>
        <w:ind w:left="657" w:leftChars="100" w:hanging="447" w:hangingChars="213"/>
        <w:rPr>
          <w:rFonts w:ascii="宋体" w:hAnsi="宋体" w:cs="宋体"/>
          <w:color w:val="auto"/>
          <w:szCs w:val="21"/>
          <w:highlight w:val="none"/>
        </w:rPr>
      </w:pPr>
      <w:bookmarkStart w:id="131" w:name="_bookmark119"/>
      <w:bookmarkEnd w:id="131"/>
      <w:r>
        <w:rPr>
          <w:rFonts w:hint="eastAsia" w:ascii="宋体" w:hAnsi="宋体" w:cs="宋体"/>
          <w:color w:val="auto"/>
          <w:szCs w:val="21"/>
          <w:highlight w:val="none"/>
        </w:rPr>
        <w:t>3.5 第二个信封详细评审</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3.5.1  评标委员会按本章第 2.2.3款规定的量化因素和标准进行价格折算，计算出评标价，并编制价格比较一览表。</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 本报价竞标，并否决其投标。</w:t>
      </w:r>
    </w:p>
    <w:p>
      <w:pPr>
        <w:spacing w:line="360" w:lineRule="auto"/>
        <w:ind w:firstLine="210" w:firstLineChars="100"/>
        <w:rPr>
          <w:rFonts w:ascii="宋体" w:hAnsi="宋体" w:cs="宋体"/>
          <w:color w:val="auto"/>
          <w:szCs w:val="21"/>
          <w:highlight w:val="none"/>
        </w:rPr>
      </w:pPr>
      <w:bookmarkStart w:id="132" w:name="_bookmark120"/>
      <w:bookmarkEnd w:id="132"/>
      <w:r>
        <w:rPr>
          <w:rFonts w:hint="eastAsia" w:ascii="宋体" w:hAnsi="宋体" w:cs="宋体"/>
          <w:color w:val="auto"/>
          <w:szCs w:val="21"/>
          <w:highlight w:val="none"/>
        </w:rPr>
        <w:t>3.6评标委员会应对在评标过程中发现的投标人与投标人之间、投标人与招标人之间存在的串通投标的情形进行评审和认定。投标人存在串通投标、弄虚作假、行贿等违法行为的，评标委员会应否决其投标。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360" w:lineRule="auto"/>
        <w:ind w:left="-659" w:firstLine="840" w:firstLineChars="400"/>
        <w:rPr>
          <w:rFonts w:ascii="宋体" w:hAnsi="宋体" w:cs="宋体"/>
          <w:color w:val="auto"/>
          <w:szCs w:val="21"/>
          <w:highlight w:val="none"/>
        </w:rPr>
      </w:pPr>
      <w:r>
        <w:rPr>
          <w:rFonts w:hint="eastAsia" w:ascii="宋体" w:hAnsi="宋体" w:cs="宋体"/>
          <w:color w:val="auto"/>
          <w:szCs w:val="21"/>
          <w:highlight w:val="none"/>
        </w:rPr>
        <w:t>（1）有下列情形之一的，属于投标人相互串通投标：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a.投标人之间协商投标报价等投标文件的实质性内容； </w:t>
      </w:r>
    </w:p>
    <w:p>
      <w:pPr>
        <w:spacing w:line="360" w:lineRule="auto"/>
        <w:ind w:left="420" w:leftChars="200" w:firstLine="71" w:firstLineChars="34"/>
        <w:rPr>
          <w:rFonts w:ascii="宋体" w:hAnsi="宋体" w:cs="宋体"/>
          <w:color w:val="auto"/>
          <w:szCs w:val="21"/>
          <w:highlight w:val="none"/>
        </w:rPr>
      </w:pPr>
      <w:r>
        <w:rPr>
          <w:rFonts w:hint="eastAsia" w:ascii="宋体" w:hAnsi="宋体" w:cs="宋体"/>
          <w:color w:val="auto"/>
          <w:szCs w:val="21"/>
          <w:highlight w:val="none"/>
        </w:rPr>
        <w:t>b.投标人之间约定中标人；</w:t>
      </w:r>
    </w:p>
    <w:p>
      <w:pPr>
        <w:spacing w:line="360" w:lineRule="auto"/>
        <w:ind w:hanging="659"/>
        <w:rPr>
          <w:rFonts w:ascii="宋体" w:hAnsi="宋体" w:cs="宋体"/>
          <w:color w:val="auto"/>
          <w:szCs w:val="21"/>
          <w:highlight w:val="none"/>
        </w:rPr>
      </w:pPr>
      <w:r>
        <w:rPr>
          <w:rFonts w:hint="eastAsia" w:ascii="宋体" w:hAnsi="宋体" w:cs="宋体"/>
          <w:color w:val="auto"/>
          <w:szCs w:val="21"/>
          <w:highlight w:val="none"/>
        </w:rPr>
        <w:t xml:space="preserve">           c.投标人之间约定部分投标人放弃投标或中标；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d.属于同一集团、协会、商会等组织成员的投标人按照该组织要求协同投标；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e.投标人之间为谋取中标或排斥特定投标人而采取的其他联合行动。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（2）有下列情形之一的，视为投标人相互串通投标：</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a.不同投标人的投标文件由同一单位或个人编制；</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b.不同投标人委托同一单位或个人办理投标事宜；</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c.不同投标人的投标文件载明的项目管理成员为同一人；</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d.不同投标人的投标文件异常一致或投标报价呈规律性差异；</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e.不同投标人的投标文件相互混装；</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f.不同投标人的投标保证金从同一单位或个人的账户转出。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（3）有下列情形之一的，属于招标人与投标人串通投标： </w:t>
      </w:r>
    </w:p>
    <w:p>
      <w:pPr>
        <w:spacing w:line="360" w:lineRule="auto"/>
        <w:ind w:left="476" w:leftChars="99" w:hanging="268" w:hangingChars="128"/>
        <w:rPr>
          <w:rFonts w:ascii="宋体" w:hAnsi="宋体" w:cs="宋体"/>
          <w:color w:val="auto"/>
          <w:szCs w:val="21"/>
          <w:highlight w:val="none"/>
        </w:rPr>
      </w:pPr>
      <w:r>
        <w:rPr>
          <w:rFonts w:hint="eastAsia" w:ascii="宋体" w:hAnsi="宋体" w:cs="宋体"/>
          <w:color w:val="auto"/>
          <w:szCs w:val="21"/>
          <w:highlight w:val="none"/>
        </w:rPr>
        <w:t>a.招标人在开标前开启投标文件并将有关信息泄露给其他投标人；</w:t>
      </w:r>
    </w:p>
    <w:p>
      <w:pPr>
        <w:spacing w:line="360" w:lineRule="auto"/>
        <w:ind w:left="657" w:leftChars="100" w:hanging="447" w:hangingChars="213"/>
        <w:rPr>
          <w:rFonts w:ascii="宋体" w:hAnsi="宋体" w:cs="宋体"/>
          <w:color w:val="auto"/>
          <w:szCs w:val="21"/>
          <w:highlight w:val="none"/>
        </w:rPr>
      </w:pPr>
      <w:r>
        <w:rPr>
          <w:rFonts w:hint="eastAsia" w:ascii="宋体" w:hAnsi="宋体" w:cs="宋体"/>
          <w:color w:val="auto"/>
          <w:szCs w:val="21"/>
          <w:highlight w:val="none"/>
        </w:rPr>
        <w:t xml:space="preserve"> b.招标人直接或间接向投标人泄露标底、评标委员会成员等信息；</w:t>
      </w:r>
    </w:p>
    <w:p>
      <w:pPr>
        <w:spacing w:line="360" w:lineRule="auto"/>
        <w:ind w:hanging="659"/>
        <w:rPr>
          <w:rFonts w:ascii="宋体" w:hAnsi="宋体" w:cs="宋体"/>
          <w:color w:val="auto"/>
          <w:szCs w:val="21"/>
          <w:highlight w:val="none"/>
        </w:rPr>
      </w:pPr>
      <w:r>
        <w:rPr>
          <w:rFonts w:hint="eastAsia" w:ascii="宋体" w:hAnsi="宋体" w:cs="宋体"/>
          <w:color w:val="auto"/>
          <w:szCs w:val="21"/>
          <w:highlight w:val="none"/>
        </w:rPr>
        <w:t xml:space="preserve">         c.招标人明示或暗示投标人压低或抬高投标报价；</w:t>
      </w:r>
    </w:p>
    <w:p>
      <w:pPr>
        <w:spacing w:line="360" w:lineRule="auto"/>
        <w:ind w:left="657" w:leftChars="100" w:hanging="447" w:hangingChars="213"/>
        <w:rPr>
          <w:rFonts w:ascii="宋体" w:hAnsi="宋体" w:cs="宋体"/>
          <w:color w:val="auto"/>
          <w:szCs w:val="21"/>
          <w:highlight w:val="none"/>
        </w:rPr>
      </w:pPr>
      <w:r>
        <w:rPr>
          <w:rFonts w:hint="eastAsia" w:ascii="宋体" w:hAnsi="宋体" w:cs="宋体"/>
          <w:color w:val="auto"/>
          <w:szCs w:val="21"/>
          <w:highlight w:val="none"/>
        </w:rPr>
        <w:t xml:space="preserve"> d.招标人授意投标人撤换、修改投标文件；</w:t>
      </w:r>
    </w:p>
    <w:p>
      <w:pPr>
        <w:spacing w:line="360" w:lineRule="auto"/>
        <w:ind w:left="657" w:leftChars="100" w:hanging="447" w:hangingChars="213"/>
        <w:rPr>
          <w:rFonts w:ascii="宋体" w:hAnsi="宋体" w:cs="宋体"/>
          <w:color w:val="auto"/>
          <w:szCs w:val="21"/>
          <w:highlight w:val="none"/>
        </w:rPr>
      </w:pPr>
      <w:r>
        <w:rPr>
          <w:rFonts w:hint="eastAsia" w:ascii="宋体" w:hAnsi="宋体" w:cs="宋体"/>
          <w:color w:val="auto"/>
          <w:szCs w:val="21"/>
          <w:highlight w:val="none"/>
        </w:rPr>
        <w:t xml:space="preserve"> e.招标人明示或暗示投标人为特定投标人中标提供方便；</w:t>
      </w:r>
    </w:p>
    <w:p>
      <w:pPr>
        <w:spacing w:line="360" w:lineRule="auto"/>
        <w:ind w:left="657" w:leftChars="100" w:hanging="447" w:hangingChars="213"/>
        <w:rPr>
          <w:rFonts w:ascii="宋体" w:hAnsi="宋体" w:cs="宋体"/>
          <w:color w:val="auto"/>
          <w:szCs w:val="21"/>
          <w:highlight w:val="none"/>
        </w:rPr>
      </w:pPr>
      <w:r>
        <w:rPr>
          <w:rFonts w:hint="eastAsia" w:ascii="宋体" w:hAnsi="宋体" w:cs="宋体"/>
          <w:color w:val="auto"/>
          <w:szCs w:val="21"/>
          <w:highlight w:val="none"/>
        </w:rPr>
        <w:t xml:space="preserve"> f.招标人与投标人为谋求特定投标人中标而采取的其他串通行为。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（4）投标人有下列情形之一的，属于弄虚作假的行为：</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a.使用通过受让或租借等方式获取的资格、资质证书投标；</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b.使用伪造、变造的许可证件； </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c.提供虚假的财务状况或业绩；</w:t>
      </w:r>
    </w:p>
    <w:p>
      <w:pPr>
        <w:spacing w:line="360" w:lineRule="auto"/>
        <w:ind w:left="657" w:leftChars="100" w:hanging="447" w:hangingChars="213"/>
        <w:rPr>
          <w:rFonts w:ascii="宋体" w:hAnsi="宋体" w:cs="宋体"/>
          <w:color w:val="auto"/>
          <w:szCs w:val="21"/>
          <w:highlight w:val="none"/>
        </w:rPr>
      </w:pPr>
      <w:r>
        <w:rPr>
          <w:rFonts w:hint="eastAsia" w:ascii="宋体" w:hAnsi="宋体" w:cs="宋体"/>
          <w:color w:val="auto"/>
          <w:szCs w:val="21"/>
          <w:highlight w:val="none"/>
        </w:rPr>
        <w:t>d.提供虚假的项目经理或主要技术人员简历、劳动关系证明；</w:t>
      </w:r>
    </w:p>
    <w:p>
      <w:pPr>
        <w:spacing w:line="360" w:lineRule="auto"/>
        <w:ind w:left="657" w:leftChars="100" w:hanging="447" w:hangingChars="213"/>
        <w:rPr>
          <w:rFonts w:ascii="宋体" w:hAnsi="宋体" w:cs="宋体"/>
          <w:color w:val="auto"/>
          <w:szCs w:val="21"/>
          <w:highlight w:val="none"/>
        </w:rPr>
      </w:pPr>
      <w:r>
        <w:rPr>
          <w:rFonts w:hint="eastAsia" w:ascii="宋体" w:hAnsi="宋体" w:cs="宋体"/>
          <w:color w:val="auto"/>
          <w:szCs w:val="21"/>
          <w:highlight w:val="none"/>
        </w:rPr>
        <w:t>e.提供虚假的信况；</w:t>
      </w:r>
    </w:p>
    <w:p>
      <w:pPr>
        <w:spacing w:line="360" w:lineRule="auto"/>
        <w:ind w:left="657" w:leftChars="100" w:hanging="447" w:hangingChars="213"/>
        <w:rPr>
          <w:rFonts w:ascii="宋体" w:hAnsi="宋体" w:cs="宋体"/>
          <w:color w:val="auto"/>
          <w:szCs w:val="21"/>
          <w:highlight w:val="none"/>
        </w:rPr>
      </w:pPr>
      <w:r>
        <w:rPr>
          <w:rFonts w:hint="eastAsia" w:ascii="宋体" w:hAnsi="宋体" w:cs="宋体"/>
          <w:color w:val="auto"/>
          <w:szCs w:val="21"/>
          <w:highlight w:val="none"/>
        </w:rPr>
        <w:t>f.其他弄虚作假的行为。</w:t>
      </w:r>
      <w:bookmarkStart w:id="133" w:name="_bookmark121"/>
      <w:bookmarkEnd w:id="133"/>
    </w:p>
    <w:p>
      <w:pPr>
        <w:spacing w:line="360" w:lineRule="auto"/>
        <w:rPr>
          <w:rFonts w:ascii="宋体" w:hAnsi="宋体" w:cs="宋体"/>
          <w:color w:val="auto"/>
          <w:szCs w:val="21"/>
          <w:highlight w:val="none"/>
        </w:rPr>
      </w:pPr>
      <w:r>
        <w:rPr>
          <w:rFonts w:hint="eastAsia" w:ascii="宋体" w:hAnsi="宋体" w:cs="宋体"/>
          <w:color w:val="auto"/>
          <w:szCs w:val="21"/>
          <w:highlight w:val="none"/>
        </w:rPr>
        <w:t>3.7 投标文件的澄清和说明</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3.7.1 在评标过程中，评标委员会可以书面形式要求投标人对投标文件中含义不 明确的内容、明显文字或计算错误进行书面澄清或说明。评标委员会不接受投标人 主动提出的澄清、说明。投标人不按评标委员会要求澄清或说明的，评标委员会应 否决其投标。</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3.7.2  澄清和说明不得超出投标文件的范围或改变投标文件的实质性内容（算术性错误的修正除外）。投标人的书面澄清、说明属于投标文件的组成部分。</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3.7.3  评标委员会不得暗示或诱导投标人作出澄清、说明，对投标人提交的澄清、说明有疑问的，可以要求投标人进一步澄清或说明，直至满足评标委员会的要求。</w:t>
      </w:r>
    </w:p>
    <w:p>
      <w:pPr>
        <w:spacing w:line="360" w:lineRule="auto"/>
        <w:ind w:left="84" w:leftChars="40" w:firstLine="126" w:firstLineChars="60"/>
        <w:rPr>
          <w:rFonts w:ascii="宋体" w:hAnsi="宋体" w:cs="宋体"/>
          <w:color w:val="auto"/>
          <w:szCs w:val="21"/>
          <w:highlight w:val="none"/>
        </w:rPr>
      </w:pPr>
      <w:r>
        <w:rPr>
          <w:rFonts w:hint="eastAsia" w:ascii="宋体" w:hAnsi="宋体" w:cs="宋体"/>
          <w:color w:val="auto"/>
          <w:szCs w:val="21"/>
          <w:highlight w:val="none"/>
        </w:rPr>
        <w:t>3.7.4  凡超出招标文件规定的或给发包人带来未曾要求的利益的变化、偏差或其他因素在评标时不予考虑。</w:t>
      </w:r>
    </w:p>
    <w:p>
      <w:pPr>
        <w:spacing w:line="360" w:lineRule="auto"/>
        <w:rPr>
          <w:rFonts w:ascii="宋体" w:hAnsi="宋体" w:cs="宋体"/>
          <w:color w:val="auto"/>
          <w:szCs w:val="21"/>
          <w:highlight w:val="none"/>
        </w:rPr>
      </w:pPr>
      <w:bookmarkStart w:id="134" w:name="_bookmark122"/>
      <w:bookmarkEnd w:id="134"/>
      <w:r>
        <w:rPr>
          <w:rFonts w:hint="eastAsia" w:ascii="宋体" w:hAnsi="宋体" w:cs="宋体"/>
          <w:color w:val="auto"/>
          <w:szCs w:val="21"/>
          <w:highlight w:val="none"/>
        </w:rPr>
        <w:t>3.8 不得否决投标的情形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投标文件存在第二章“投标人须知”第 1.12.3 项所列情形的，均视为细微偏差，评标委员会不得否决投标人的投标，应按照第二章“投标人须知”第 1.12.4 项规定的原则处理。</w:t>
      </w:r>
    </w:p>
    <w:p>
      <w:pPr>
        <w:spacing w:line="360" w:lineRule="auto"/>
        <w:rPr>
          <w:rFonts w:ascii="宋体" w:hAnsi="宋体" w:cs="宋体"/>
          <w:color w:val="auto"/>
          <w:szCs w:val="21"/>
          <w:highlight w:val="none"/>
        </w:rPr>
      </w:pPr>
      <w:bookmarkStart w:id="135" w:name="_bookmark123"/>
      <w:bookmarkEnd w:id="135"/>
      <w:r>
        <w:rPr>
          <w:rFonts w:hint="eastAsia" w:ascii="宋体" w:hAnsi="宋体" w:cs="宋体"/>
          <w:color w:val="auto"/>
          <w:szCs w:val="21"/>
          <w:highlight w:val="none"/>
        </w:rPr>
        <w:t xml:space="preserve">3.9 评标结果  </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3.9.1 除第二章“投标人须知”前附表授权直接确定中标人外，评标委员会按照评标价由低到高的顺序推荐中标候选人，并标明排序。</w:t>
      </w:r>
    </w:p>
    <w:p>
      <w:pPr>
        <w:spacing w:line="360" w:lineRule="auto"/>
        <w:ind w:left="657" w:leftChars="100" w:hanging="447" w:hangingChars="213"/>
        <w:rPr>
          <w:rFonts w:ascii="宋体" w:hAnsi="宋体" w:cs="宋体"/>
          <w:color w:val="auto"/>
          <w:szCs w:val="21"/>
          <w:highlight w:val="none"/>
        </w:rPr>
      </w:pPr>
      <w:r>
        <w:rPr>
          <w:rFonts w:hint="eastAsia" w:ascii="宋体" w:hAnsi="宋体" w:cs="宋体"/>
          <w:color w:val="auto"/>
          <w:szCs w:val="21"/>
          <w:highlight w:val="none"/>
        </w:rPr>
        <w:t>3.9.2  评标委员会完成评标后，应向招标人提交书面评标报告。</w:t>
      </w:r>
    </w:p>
    <w:p>
      <w:pPr>
        <w:keepNext/>
        <w:spacing w:before="120" w:beforeLines="50" w:after="240" w:afterLines="100" w:line="360" w:lineRule="auto"/>
        <w:ind w:firstLine="422" w:firstLineChars="200"/>
        <w:jc w:val="left"/>
        <w:outlineLvl w:val="0"/>
        <w:rPr>
          <w:rFonts w:ascii="宋体" w:hAnsi="宋体"/>
          <w:b/>
          <w:color w:val="auto"/>
          <w:szCs w:val="21"/>
          <w:highlight w:val="none"/>
        </w:rPr>
      </w:pPr>
      <w:bookmarkStart w:id="136" w:name="_Toc420611090"/>
      <w:bookmarkStart w:id="137" w:name="_Toc415815800"/>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keepNext/>
        <w:spacing w:before="120" w:beforeLines="50" w:after="240" w:afterLines="100" w:line="360" w:lineRule="auto"/>
        <w:ind w:firstLine="643" w:firstLineChars="200"/>
        <w:jc w:val="center"/>
        <w:outlineLvl w:val="0"/>
        <w:rPr>
          <w:rFonts w:ascii="宋体" w:hAnsi="宋体"/>
          <w:b/>
          <w:bCs/>
          <w:color w:val="auto"/>
          <w:sz w:val="32"/>
          <w:szCs w:val="32"/>
          <w:highlight w:val="none"/>
        </w:rPr>
      </w:pPr>
      <w:bookmarkStart w:id="138" w:name="_Toc19419_WPSOffice_Level1"/>
      <w:bookmarkStart w:id="139" w:name="_Toc24154_WPSOffice_Level1"/>
      <w:bookmarkStart w:id="140" w:name="_Toc9913"/>
      <w:bookmarkStart w:id="141" w:name="_Toc25025_WPSOffice_Level1"/>
      <w:bookmarkStart w:id="142" w:name="_Toc27214"/>
      <w:r>
        <w:rPr>
          <w:rFonts w:hint="eastAsia" w:ascii="宋体" w:hAnsi="宋体"/>
          <w:b/>
          <w:bCs/>
          <w:color w:val="auto"/>
          <w:sz w:val="32"/>
          <w:szCs w:val="32"/>
          <w:highlight w:val="none"/>
        </w:rPr>
        <w:t>第四章  合同条款及格式</w:t>
      </w:r>
      <w:bookmarkEnd w:id="138"/>
      <w:bookmarkEnd w:id="139"/>
      <w:bookmarkEnd w:id="140"/>
      <w:bookmarkEnd w:id="141"/>
      <w:bookmarkEnd w:id="142"/>
    </w:p>
    <w:bookmarkEnd w:id="136"/>
    <w:bookmarkEnd w:id="137"/>
    <w:p>
      <w:pPr>
        <w:pStyle w:val="8"/>
        <w:keepLines w:val="0"/>
        <w:tabs>
          <w:tab w:val="left" w:pos="2940"/>
        </w:tabs>
        <w:spacing w:line="240" w:lineRule="auto"/>
        <w:ind w:firstLine="3012" w:firstLineChars="1000"/>
        <w:rPr>
          <w:rFonts w:ascii="宋体" w:hAnsi="宋体" w:cs="宋体"/>
          <w:bCs/>
          <w:color w:val="auto"/>
          <w:sz w:val="30"/>
          <w:szCs w:val="30"/>
          <w:highlight w:val="none"/>
        </w:rPr>
      </w:pPr>
      <w:bookmarkStart w:id="143" w:name="_Toc321051622"/>
      <w:bookmarkStart w:id="144" w:name="_Toc6125"/>
      <w:bookmarkStart w:id="145" w:name="_Toc7049"/>
      <w:bookmarkStart w:id="146" w:name="_Toc299458621"/>
      <w:bookmarkStart w:id="147" w:name="_Toc483496972"/>
      <w:r>
        <w:rPr>
          <w:rFonts w:hint="eastAsia" w:ascii="宋体" w:hAnsi="宋体" w:cs="宋体"/>
          <w:bCs/>
          <w:color w:val="auto"/>
          <w:sz w:val="30"/>
          <w:szCs w:val="30"/>
          <w:highlight w:val="none"/>
        </w:rPr>
        <w:t>第一节  通用合同条款</w:t>
      </w:r>
      <w:bookmarkEnd w:id="143"/>
      <w:bookmarkEnd w:id="144"/>
      <w:bookmarkEnd w:id="145"/>
      <w:bookmarkEnd w:id="146"/>
      <w:bookmarkEnd w:id="147"/>
    </w:p>
    <w:p>
      <w:pPr>
        <w:spacing w:line="400" w:lineRule="exact"/>
        <w:ind w:left="-1"/>
        <w:rPr>
          <w:rFonts w:ascii="宋体" w:hAnsi="宋体" w:cs="宋体"/>
          <w:color w:val="auto"/>
          <w:sz w:val="20"/>
          <w:szCs w:val="21"/>
          <w:highlight w:val="none"/>
        </w:rPr>
      </w:pPr>
    </w:p>
    <w:p>
      <w:pPr>
        <w:spacing w:before="62"/>
        <w:ind w:left="633" w:firstLine="840" w:firstLineChars="400"/>
        <w:rPr>
          <w:rFonts w:ascii="宋体" w:hAnsi="宋体" w:cs="宋体"/>
          <w:color w:val="auto"/>
          <w:szCs w:val="21"/>
          <w:highlight w:val="none"/>
        </w:rPr>
      </w:pPr>
      <w:r>
        <w:rPr>
          <w:rFonts w:hint="eastAsia" w:ascii="宋体" w:hAnsi="宋体" w:cs="宋体"/>
          <w:color w:val="auto"/>
          <w:szCs w:val="21"/>
          <w:highlight w:val="none"/>
        </w:rPr>
        <w:t>“通用合同条款”参考《标准施工招标文件》的“通用合同条款”。</w:t>
      </w:r>
    </w:p>
    <w:p>
      <w:pPr>
        <w:rPr>
          <w:rFonts w:ascii="宋体" w:hAnsi="宋体" w:cs="宋体"/>
          <w:color w:val="auto"/>
          <w:szCs w:val="21"/>
          <w:highlight w:val="none"/>
        </w:rPr>
        <w:sectPr>
          <w:headerReference r:id="rId17" w:type="first"/>
          <w:footerReference r:id="rId18" w:type="default"/>
          <w:pgSz w:w="11900" w:h="16843"/>
          <w:pgMar w:top="1417" w:right="1417" w:bottom="1417" w:left="1531" w:header="850" w:footer="992" w:gutter="0"/>
          <w:pgNumType w:fmt="decimal"/>
          <w:cols w:space="720" w:num="1"/>
          <w:titlePg/>
        </w:sectPr>
      </w:pPr>
    </w:p>
    <w:p>
      <w:pPr>
        <w:keepNext/>
        <w:tabs>
          <w:tab w:val="left" w:pos="2940"/>
        </w:tabs>
        <w:autoSpaceDE w:val="0"/>
        <w:autoSpaceDN w:val="0"/>
        <w:jc w:val="center"/>
        <w:outlineLvl w:val="2"/>
        <w:rPr>
          <w:rFonts w:ascii="宋体" w:hAnsi="宋体" w:eastAsia="黑体" w:cs="宋体"/>
          <w:color w:val="auto"/>
          <w:kern w:val="0"/>
          <w:sz w:val="36"/>
          <w:szCs w:val="36"/>
          <w:highlight w:val="none"/>
          <w:lang w:val="zh-CN" w:bidi="zh-CN"/>
        </w:rPr>
      </w:pPr>
      <w:bookmarkStart w:id="148" w:name="_Toc3878"/>
      <w:r>
        <w:rPr>
          <w:rFonts w:ascii="宋体" w:hAnsi="宋体" w:eastAsia="黑体" w:cs="宋体"/>
          <w:color w:val="auto"/>
          <w:kern w:val="0"/>
          <w:sz w:val="36"/>
          <w:szCs w:val="36"/>
          <w:highlight w:val="none"/>
          <w:lang w:val="zh-CN" w:bidi="zh-CN"/>
        </w:rPr>
        <w:t>第二节  专用合同条款</w:t>
      </w:r>
      <w:bookmarkEnd w:id="148"/>
      <w:bookmarkStart w:id="149" w:name="_Toc3887"/>
      <w:bookmarkStart w:id="150" w:name="_Toc321051624"/>
    </w:p>
    <w:p>
      <w:pPr>
        <w:autoSpaceDE w:val="0"/>
        <w:autoSpaceDN w:val="0"/>
        <w:jc w:val="left"/>
        <w:rPr>
          <w:rFonts w:ascii="宋体" w:hAnsi="宋体" w:cs="宋体"/>
          <w:color w:val="auto"/>
          <w:kern w:val="0"/>
          <w:sz w:val="22"/>
          <w:highlight w:val="none"/>
          <w:lang w:val="zh-CN" w:bidi="zh-CN"/>
        </w:rPr>
      </w:pPr>
    </w:p>
    <w:p>
      <w:pPr>
        <w:keepNext/>
        <w:tabs>
          <w:tab w:val="left" w:pos="2940"/>
        </w:tabs>
        <w:autoSpaceDE w:val="0"/>
        <w:autoSpaceDN w:val="0"/>
        <w:jc w:val="center"/>
        <w:outlineLvl w:val="2"/>
        <w:rPr>
          <w:rFonts w:ascii="宋体" w:hAnsi="宋体" w:eastAsia="黑体" w:cs="宋体"/>
          <w:color w:val="auto"/>
          <w:kern w:val="0"/>
          <w:sz w:val="36"/>
          <w:szCs w:val="36"/>
          <w:highlight w:val="none"/>
          <w:lang w:val="zh-CN" w:bidi="zh-CN"/>
        </w:rPr>
      </w:pPr>
      <w:bookmarkStart w:id="151" w:name="_Toc81"/>
      <w:bookmarkStart w:id="152" w:name="_Toc483496974"/>
      <w:r>
        <w:rPr>
          <w:rFonts w:hint="eastAsia" w:ascii="黑体" w:hAnsi="宋体" w:eastAsia="黑体" w:cs="宋体"/>
          <w:b/>
          <w:bCs/>
          <w:color w:val="auto"/>
          <w:kern w:val="0"/>
          <w:sz w:val="36"/>
          <w:szCs w:val="36"/>
          <w:highlight w:val="none"/>
          <w:lang w:val="zh-CN" w:bidi="zh-CN"/>
        </w:rPr>
        <w:t>A.</w:t>
      </w:r>
      <w:r>
        <w:rPr>
          <w:rFonts w:ascii="黑体" w:hAnsi="宋体" w:eastAsia="黑体" w:cs="宋体"/>
          <w:b/>
          <w:bCs/>
          <w:color w:val="auto"/>
          <w:kern w:val="0"/>
          <w:sz w:val="36"/>
          <w:szCs w:val="36"/>
          <w:highlight w:val="none"/>
          <w:lang w:val="zh-CN" w:bidi="zh-CN"/>
        </w:rPr>
        <w:t>公路行业标准专用合同条款</w:t>
      </w:r>
      <w:bookmarkEnd w:id="149"/>
      <w:bookmarkEnd w:id="150"/>
      <w:bookmarkEnd w:id="151"/>
      <w:bookmarkEnd w:id="152"/>
    </w:p>
    <w:p>
      <w:pPr>
        <w:autoSpaceDE w:val="0"/>
        <w:autoSpaceDN w:val="0"/>
        <w:jc w:val="left"/>
        <w:rPr>
          <w:rFonts w:ascii="宋体" w:hAnsi="宋体" w:cs="宋体"/>
          <w:color w:val="auto"/>
          <w:kern w:val="0"/>
          <w:sz w:val="22"/>
          <w:highlight w:val="none"/>
          <w:lang w:val="zh-CN" w:bidi="zh-CN"/>
        </w:rPr>
      </w:pPr>
    </w:p>
    <w:p>
      <w:pPr>
        <w:autoSpaceDE w:val="0"/>
        <w:autoSpaceDN w:val="0"/>
        <w:adjustRightInd w:val="0"/>
        <w:snapToGrid w:val="0"/>
        <w:spacing w:line="360" w:lineRule="auto"/>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1．一般约定</w:t>
      </w:r>
    </w:p>
    <w:p>
      <w:pPr>
        <w:autoSpaceDE w:val="0"/>
        <w:autoSpaceDN w:val="0"/>
        <w:adjustRightInd w:val="0"/>
        <w:snapToGrid w:val="0"/>
        <w:spacing w:line="360" w:lineRule="auto"/>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1.1词语定义</w:t>
      </w:r>
    </w:p>
    <w:p>
      <w:pPr>
        <w:autoSpaceDE w:val="0"/>
        <w:autoSpaceDN w:val="0"/>
        <w:adjustRightInd w:val="0"/>
        <w:snapToGrid w:val="0"/>
        <w:spacing w:line="360" w:lineRule="auto"/>
        <w:ind w:firstLine="632" w:firstLineChars="300"/>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1.1.1合同</w:t>
      </w:r>
    </w:p>
    <w:p>
      <w:pPr>
        <w:autoSpaceDE w:val="0"/>
        <w:autoSpaceDN w:val="0"/>
        <w:spacing w:line="360" w:lineRule="auto"/>
        <w:ind w:firstLine="630" w:firstLineChars="300"/>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第 1.1.1.6 目细化为：</w:t>
      </w:r>
    </w:p>
    <w:p>
      <w:pPr>
        <w:autoSpaceDE w:val="0"/>
        <w:autoSpaceDN w:val="0"/>
        <w:spacing w:line="360" w:lineRule="auto"/>
        <w:ind w:firstLine="630" w:firstLineChars="300"/>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技术规范：指本合同所约定的技术标准和要求，是合同文件的组成部分。通用合同条款中“技术标准和要求”一词具有相同含义。</w:t>
      </w:r>
    </w:p>
    <w:p>
      <w:pPr>
        <w:autoSpaceDE w:val="0"/>
        <w:autoSpaceDN w:val="0"/>
        <w:spacing w:line="360" w:lineRule="auto"/>
        <w:ind w:firstLine="630" w:firstLineChars="300"/>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第 1.1.1.8 目细化为：</w:t>
      </w:r>
    </w:p>
    <w:p>
      <w:pPr>
        <w:autoSpaceDE w:val="0"/>
        <w:autoSpaceDN w:val="0"/>
        <w:spacing w:line="360" w:lineRule="auto"/>
        <w:ind w:firstLine="630" w:firstLineChars="300"/>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 5.1～表 5.5）。</w:t>
      </w:r>
    </w:p>
    <w:p>
      <w:pPr>
        <w:autoSpaceDE w:val="0"/>
        <w:autoSpaceDN w:val="0"/>
        <w:spacing w:line="360" w:lineRule="auto"/>
        <w:ind w:firstLine="630" w:firstLineChars="300"/>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本项补充第 1.1.1.10 目：</w:t>
      </w:r>
    </w:p>
    <w:p>
      <w:pPr>
        <w:autoSpaceDE w:val="0"/>
        <w:autoSpaceDN w:val="0"/>
        <w:spacing w:line="360" w:lineRule="auto"/>
        <w:ind w:firstLine="630" w:firstLineChars="300"/>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1.1.1.10 补遗书：指发出招标文件之后由招标人向已取得招标文件的投标人发出的、编号的对招标文件所作的澄清、修改书。</w:t>
      </w:r>
    </w:p>
    <w:p>
      <w:pPr>
        <w:autoSpaceDE w:val="0"/>
        <w:autoSpaceDN w:val="0"/>
        <w:adjustRightInd w:val="0"/>
        <w:snapToGrid w:val="0"/>
        <w:spacing w:line="360" w:lineRule="auto"/>
        <w:ind w:firstLine="632" w:firstLineChars="300"/>
        <w:rPr>
          <w:rFonts w:ascii="宋体" w:hAnsi="宋体" w:eastAsia="黑体" w:cs="宋体"/>
          <w:b/>
          <w:bCs/>
          <w:color w:val="auto"/>
          <w:kern w:val="0"/>
          <w:szCs w:val="21"/>
          <w:highlight w:val="none"/>
          <w:lang w:val="zh-CN" w:bidi="zh-CN"/>
        </w:rPr>
      </w:pPr>
      <w:r>
        <w:rPr>
          <w:rFonts w:hint="eastAsia" w:ascii="宋体" w:hAnsi="宋体" w:eastAsia="黑体" w:cs="宋体"/>
          <w:b/>
          <w:bCs/>
          <w:color w:val="auto"/>
          <w:kern w:val="0"/>
          <w:szCs w:val="21"/>
          <w:highlight w:val="none"/>
          <w:lang w:bidi="zh-CN"/>
        </w:rPr>
        <w:t>1.1.2</w:t>
      </w:r>
      <w:r>
        <w:rPr>
          <w:rFonts w:hint="eastAsia" w:ascii="宋体" w:hAnsi="宋体" w:eastAsia="黑体" w:cs="宋体"/>
          <w:b/>
          <w:bCs/>
          <w:color w:val="auto"/>
          <w:kern w:val="0"/>
          <w:szCs w:val="21"/>
          <w:highlight w:val="none"/>
          <w:lang w:val="zh-CN" w:bidi="zh-CN"/>
        </w:rPr>
        <w:t>合同当事人和人员</w:t>
      </w:r>
    </w:p>
    <w:p>
      <w:pPr>
        <w:autoSpaceDE w:val="0"/>
        <w:autoSpaceDN w:val="0"/>
        <w:spacing w:line="360" w:lineRule="auto"/>
        <w:ind w:firstLine="630" w:firstLineChars="300"/>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本项补充第 1.1.2.8 目：</w:t>
      </w:r>
    </w:p>
    <w:p>
      <w:pPr>
        <w:autoSpaceDE w:val="0"/>
        <w:autoSpaceDN w:val="0"/>
        <w:spacing w:line="360" w:lineRule="auto"/>
        <w:ind w:firstLine="630" w:firstLineChars="300"/>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1.1.2.8 承包人项目总工：指由承包人书面委派常驻现场负责管理本合同工程的总工程师或技术总负责人。</w:t>
      </w:r>
    </w:p>
    <w:p>
      <w:pPr>
        <w:autoSpaceDE w:val="0"/>
        <w:autoSpaceDN w:val="0"/>
        <w:adjustRightInd w:val="0"/>
        <w:snapToGrid w:val="0"/>
        <w:spacing w:line="360" w:lineRule="auto"/>
        <w:ind w:firstLine="632" w:firstLineChars="300"/>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1.1.3工程和设备</w:t>
      </w:r>
    </w:p>
    <w:p>
      <w:pPr>
        <w:autoSpaceDE w:val="0"/>
        <w:autoSpaceDN w:val="0"/>
        <w:adjustRightInd w:val="0"/>
        <w:snapToGrid w:val="0"/>
        <w:spacing w:line="360" w:lineRule="auto"/>
        <w:ind w:firstLine="630" w:firstLineChars="3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1.1.3.4单位工程：指在建设项目中，根据签订的合同，具有独立施工条件的工程。</w:t>
      </w:r>
    </w:p>
    <w:p>
      <w:pPr>
        <w:autoSpaceDE w:val="0"/>
        <w:autoSpaceDN w:val="0"/>
        <w:adjustRightInd w:val="0"/>
        <w:snapToGrid w:val="0"/>
        <w:spacing w:line="360" w:lineRule="auto"/>
        <w:ind w:firstLine="630" w:firstLineChars="3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1.1.3.10永久占地：指为实施本合同工程而需要的一切永久占用的土地，包括公路两侧路权范围内的用地。</w:t>
      </w:r>
    </w:p>
    <w:p>
      <w:pPr>
        <w:autoSpaceDE w:val="0"/>
        <w:autoSpaceDN w:val="0"/>
        <w:adjustRightInd w:val="0"/>
        <w:snapToGrid w:val="0"/>
        <w:spacing w:line="360" w:lineRule="auto"/>
        <w:ind w:firstLine="630" w:firstLineChars="3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1.1.3.11临时占地：指为实施本合同工程而需要的一切临时占用的土地，包括施工所用的临时支线、便道、便桥和现场的临时出入通道，以及生产（办公）、生活等临时设施用地等。</w:t>
      </w:r>
    </w:p>
    <w:p>
      <w:pPr>
        <w:autoSpaceDE w:val="0"/>
        <w:autoSpaceDN w:val="0"/>
        <w:adjustRightInd w:val="0"/>
        <w:snapToGrid w:val="0"/>
        <w:spacing w:line="360" w:lineRule="auto"/>
        <w:ind w:firstLine="630" w:firstLineChars="3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本项增加第1.1.3.12、1.1.3.13目：</w:t>
      </w:r>
    </w:p>
    <w:p>
      <w:pPr>
        <w:autoSpaceDE w:val="0"/>
        <w:autoSpaceDN w:val="0"/>
        <w:adjustRightInd w:val="0"/>
        <w:snapToGrid w:val="0"/>
        <w:spacing w:line="360" w:lineRule="auto"/>
        <w:ind w:firstLine="630" w:firstLineChars="3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1.1.3.12分部工程：指在单位工程中，按结构部位、路段长度及施工特点或施工任务划分的若干个工程。</w:t>
      </w:r>
    </w:p>
    <w:p>
      <w:pPr>
        <w:autoSpaceDE w:val="0"/>
        <w:autoSpaceDN w:val="0"/>
        <w:adjustRightInd w:val="0"/>
        <w:snapToGrid w:val="0"/>
        <w:spacing w:line="360" w:lineRule="auto"/>
        <w:ind w:firstLine="630" w:firstLineChars="3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1.1.3.13分项工程：指在分部工程中，按不同的施工方法、材料、工序及路段长度等划分的若干个工程。</w:t>
      </w:r>
    </w:p>
    <w:p>
      <w:pPr>
        <w:autoSpaceDE w:val="0"/>
        <w:autoSpaceDN w:val="0"/>
        <w:adjustRightInd w:val="0"/>
        <w:snapToGrid w:val="0"/>
        <w:spacing w:line="360" w:lineRule="auto"/>
        <w:ind w:firstLine="632" w:firstLineChars="300"/>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1.1.6其他</w:t>
      </w:r>
    </w:p>
    <w:p>
      <w:pPr>
        <w:autoSpaceDE w:val="0"/>
        <w:autoSpaceDN w:val="0"/>
        <w:adjustRightInd w:val="0"/>
        <w:snapToGrid w:val="0"/>
        <w:spacing w:line="360" w:lineRule="auto"/>
        <w:ind w:firstLine="630" w:firstLineChars="3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本项补充第1.1.6.2目~第1.1.6.</w:t>
      </w:r>
      <w:r>
        <w:rPr>
          <w:rFonts w:hint="eastAsia" w:ascii="宋体" w:hAnsi="宋体" w:cs="宋体"/>
          <w:color w:val="auto"/>
          <w:kern w:val="0"/>
          <w:szCs w:val="21"/>
          <w:highlight w:val="none"/>
          <w:lang w:val="zh-CN" w:bidi="zh-CN"/>
        </w:rPr>
        <w:t>8</w:t>
      </w:r>
      <w:r>
        <w:rPr>
          <w:rFonts w:ascii="宋体" w:hAnsi="宋体" w:cs="宋体"/>
          <w:color w:val="auto"/>
          <w:kern w:val="0"/>
          <w:szCs w:val="21"/>
          <w:highlight w:val="none"/>
          <w:lang w:val="zh-CN" w:bidi="zh-CN"/>
        </w:rPr>
        <w:t>目：</w:t>
      </w:r>
    </w:p>
    <w:p>
      <w:pPr>
        <w:autoSpaceDE w:val="0"/>
        <w:autoSpaceDN w:val="0"/>
        <w:adjustRightInd w:val="0"/>
        <w:snapToGrid w:val="0"/>
        <w:spacing w:line="360" w:lineRule="auto"/>
        <w:ind w:firstLine="630" w:firstLineChars="3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1.1.6.2竣工验收：指《公路工程竣（交）工验收办法》中竣工验收。通用合同条款中“国家验收”一词具有相同含义。</w:t>
      </w:r>
    </w:p>
    <w:p>
      <w:pPr>
        <w:autoSpaceDE w:val="0"/>
        <w:autoSpaceDN w:val="0"/>
        <w:adjustRightInd w:val="0"/>
        <w:snapToGrid w:val="0"/>
        <w:spacing w:line="360" w:lineRule="auto"/>
        <w:ind w:firstLine="630" w:firstLineChars="3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1.1.6.3交工：指《公路工程竣（交）工验收办法》中的交工。通用合同条款中“竣工”一词具有相同含义。</w:t>
      </w:r>
    </w:p>
    <w:p>
      <w:pPr>
        <w:autoSpaceDE w:val="0"/>
        <w:autoSpaceDN w:val="0"/>
        <w:adjustRightInd w:val="0"/>
        <w:snapToGrid w:val="0"/>
        <w:spacing w:line="360" w:lineRule="auto"/>
        <w:ind w:firstLine="630" w:firstLineChars="3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1.1.6.3交工验收：指《公路工程竣（交）工验收办法》中的交工验收。通用合同条款中“竣工验收”一词具人相同含义。</w:t>
      </w:r>
    </w:p>
    <w:p>
      <w:pPr>
        <w:autoSpaceDE w:val="0"/>
        <w:autoSpaceDN w:val="0"/>
        <w:adjustRightInd w:val="0"/>
        <w:snapToGrid w:val="0"/>
        <w:spacing w:line="360" w:lineRule="auto"/>
        <w:ind w:firstLine="630" w:firstLineChars="3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1.1.6.4交工验收证书：指《公路工程竣（交）工验收办法》中的交工验收证书。通用合同条款中“工程接收证书”一词具有相同含义。</w:t>
      </w:r>
    </w:p>
    <w:p>
      <w:pPr>
        <w:autoSpaceDE w:val="0"/>
        <w:autoSpaceDN w:val="0"/>
        <w:adjustRightInd w:val="0"/>
        <w:snapToGrid w:val="0"/>
        <w:spacing w:line="360" w:lineRule="auto"/>
        <w:ind w:firstLine="630" w:firstLineChars="3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1.1.6.5转包：指承包人违反法律和不履行合同规定的责任和义务，将中标工程全部委托或以专业分包的名义将中标工程肢解后全部委托给其他施工企业施工的行为。</w:t>
      </w:r>
    </w:p>
    <w:p>
      <w:pPr>
        <w:autoSpaceDE w:val="0"/>
        <w:autoSpaceDN w:val="0"/>
        <w:adjustRightInd w:val="0"/>
        <w:snapToGrid w:val="0"/>
        <w:spacing w:line="360" w:lineRule="auto"/>
        <w:ind w:firstLine="630" w:firstLineChars="3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1.1.6.6专业分包：指承包人与具有相应资质的施工企业签订专业分包合同，分包人承担承包人委托的分部工程、分项工程或适合专业化队伍施工的其它工程，整体结算，并能独立控制工程质量、施工进度、材料采购、生产安全的施工行为。</w:t>
      </w:r>
    </w:p>
    <w:p>
      <w:pPr>
        <w:autoSpaceDE w:val="0"/>
        <w:autoSpaceDN w:val="0"/>
        <w:adjustRightInd w:val="0"/>
        <w:snapToGrid w:val="0"/>
        <w:spacing w:line="360" w:lineRule="auto"/>
        <w:ind w:firstLine="630" w:firstLineChars="3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1.1.6.7劳务分包：指承包人与具有劳务资质的劳务企业签订劳务分包合同，由劳务企业提供劳务人员及机具，由承包人统一组织施工，统一控制工程质量、施工进度、材料采购、生产安全的施工行为。</w:t>
      </w:r>
    </w:p>
    <w:p>
      <w:pPr>
        <w:autoSpaceDE w:val="0"/>
        <w:autoSpaceDN w:val="0"/>
        <w:adjustRightInd w:val="0"/>
        <w:snapToGrid w:val="0"/>
        <w:spacing w:line="360" w:lineRule="auto"/>
        <w:ind w:firstLine="630" w:firstLineChars="3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1.1.6.8雇用民工：指承包人与具有相应劳动能力的自然人签订劳动合同，由承包人统一组织管理，从事分项工程施工或配套工程施工的行为。</w:t>
      </w:r>
    </w:p>
    <w:p>
      <w:pPr>
        <w:autoSpaceDE w:val="0"/>
        <w:autoSpaceDN w:val="0"/>
        <w:adjustRightInd w:val="0"/>
        <w:snapToGrid w:val="0"/>
        <w:spacing w:line="360" w:lineRule="auto"/>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1.4合同文件的优先顺序</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本款约定为：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组成合同的各项文件应互相解释，互为说明。除项目专用合同条款另有约定外，解释合同文件的优先顺序如下：</w:t>
      </w:r>
    </w:p>
    <w:p>
      <w:pPr>
        <w:numPr>
          <w:ilvl w:val="0"/>
          <w:numId w:val="10"/>
        </w:num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合同协议书及各种合同附件（含评标期间和合同谈判过程中的澄清文件和补充资料）；</w:t>
      </w:r>
    </w:p>
    <w:p>
      <w:pPr>
        <w:numPr>
          <w:ilvl w:val="0"/>
          <w:numId w:val="10"/>
        </w:num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中标通知书；</w:t>
      </w:r>
    </w:p>
    <w:p>
      <w:pPr>
        <w:numPr>
          <w:ilvl w:val="0"/>
          <w:numId w:val="10"/>
        </w:num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投标函及投标函附录；</w:t>
      </w:r>
    </w:p>
    <w:p>
      <w:pPr>
        <w:numPr>
          <w:ilvl w:val="0"/>
          <w:numId w:val="10"/>
        </w:num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项目专用合同条款</w:t>
      </w:r>
      <w:r>
        <w:rPr>
          <w:rFonts w:hint="eastAsia" w:ascii="宋体" w:hAnsi="宋体" w:cs="宋体"/>
          <w:color w:val="auto"/>
          <w:kern w:val="0"/>
          <w:szCs w:val="21"/>
          <w:highlight w:val="none"/>
          <w:lang w:val="zh-CN" w:bidi="zh-CN"/>
        </w:rPr>
        <w:t>；</w:t>
      </w:r>
    </w:p>
    <w:p>
      <w:pPr>
        <w:numPr>
          <w:ilvl w:val="0"/>
          <w:numId w:val="10"/>
        </w:num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公路工程专用合同条款；</w:t>
      </w:r>
    </w:p>
    <w:p>
      <w:pPr>
        <w:numPr>
          <w:ilvl w:val="0"/>
          <w:numId w:val="10"/>
        </w:num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通用合同条款；</w:t>
      </w:r>
    </w:p>
    <w:p>
      <w:pPr>
        <w:numPr>
          <w:ilvl w:val="0"/>
          <w:numId w:val="10"/>
        </w:num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工程量清单计量规则；</w:t>
      </w:r>
    </w:p>
    <w:p>
      <w:pPr>
        <w:numPr>
          <w:ilvl w:val="0"/>
          <w:numId w:val="10"/>
        </w:num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技术规范；</w:t>
      </w:r>
    </w:p>
    <w:p>
      <w:pPr>
        <w:numPr>
          <w:ilvl w:val="0"/>
          <w:numId w:val="10"/>
        </w:num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图纸；</w:t>
      </w:r>
    </w:p>
    <w:p>
      <w:pPr>
        <w:numPr>
          <w:ilvl w:val="0"/>
          <w:numId w:val="10"/>
        </w:num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已标价工程量清单；</w:t>
      </w:r>
    </w:p>
    <w:p>
      <w:pPr>
        <w:numPr>
          <w:ilvl w:val="0"/>
          <w:numId w:val="10"/>
        </w:num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承包人有关人员、设备投入的承诺及投标文件中的施工组织设计；</w:t>
      </w:r>
    </w:p>
    <w:p>
      <w:pPr>
        <w:numPr>
          <w:ilvl w:val="0"/>
          <w:numId w:val="10"/>
        </w:num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其他合同文件。</w:t>
      </w:r>
    </w:p>
    <w:p>
      <w:pPr>
        <w:autoSpaceDE w:val="0"/>
        <w:autoSpaceDN w:val="0"/>
        <w:adjustRightInd w:val="0"/>
        <w:snapToGrid w:val="0"/>
        <w:spacing w:line="360" w:lineRule="auto"/>
        <w:rPr>
          <w:rFonts w:ascii="宋体" w:hAnsi="宋体" w:eastAsia="黑体" w:cs="宋体"/>
          <w:b/>
          <w:bCs/>
          <w:color w:val="auto"/>
          <w:kern w:val="0"/>
          <w:szCs w:val="21"/>
          <w:highlight w:val="none"/>
          <w:lang w:val="zh-CN" w:bidi="zh-CN"/>
        </w:rPr>
      </w:pPr>
      <w:r>
        <w:rPr>
          <w:rFonts w:hint="eastAsia" w:ascii="宋体" w:hAnsi="宋体" w:eastAsia="黑体" w:cs="宋体"/>
          <w:b/>
          <w:bCs/>
          <w:color w:val="auto"/>
          <w:kern w:val="0"/>
          <w:szCs w:val="21"/>
          <w:highlight w:val="none"/>
          <w:lang w:bidi="zh-CN"/>
        </w:rPr>
        <w:t>1.5</w:t>
      </w:r>
      <w:r>
        <w:rPr>
          <w:rFonts w:hint="eastAsia" w:ascii="宋体" w:hAnsi="宋体" w:eastAsia="黑体" w:cs="宋体"/>
          <w:b/>
          <w:bCs/>
          <w:color w:val="auto"/>
          <w:kern w:val="0"/>
          <w:szCs w:val="21"/>
          <w:highlight w:val="none"/>
          <w:lang w:val="zh-CN" w:bidi="zh-CN"/>
        </w:rPr>
        <w:t>合同协议书</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本款补充：</w:t>
      </w:r>
    </w:p>
    <w:p>
      <w:pPr>
        <w:autoSpaceDE w:val="0"/>
        <w:autoSpaceDN w:val="0"/>
        <w:adjustRightInd w:val="0"/>
        <w:snapToGrid w:val="0"/>
        <w:spacing w:line="360" w:lineRule="auto"/>
        <w:ind w:firstLine="420" w:firstLineChars="200"/>
        <w:jc w:val="left"/>
        <w:rPr>
          <w:rFonts w:ascii="宋体" w:hAnsi="宋体" w:eastAsia="黑体" w:cs="宋体"/>
          <w:color w:val="auto"/>
          <w:kern w:val="0"/>
          <w:szCs w:val="21"/>
          <w:highlight w:val="none"/>
          <w:lang w:val="zh-CN" w:bidi="zh-CN"/>
        </w:rPr>
      </w:pPr>
      <w:r>
        <w:rPr>
          <w:rFonts w:hint="eastAsia" w:ascii="宋体" w:hAnsi="宋体" w:cs="宋体"/>
          <w:color w:val="auto"/>
          <w:kern w:val="0"/>
          <w:szCs w:val="21"/>
          <w:highlight w:val="none"/>
          <w:lang w:val="zh-CN" w:bidi="zh-CN"/>
        </w:rPr>
        <w:t>制备本合同文件的费用由发包人承担。在合同协议书签订并生效之前，投标函和中标通知书将约束双方。</w:t>
      </w:r>
    </w:p>
    <w:p>
      <w:pPr>
        <w:autoSpaceDE w:val="0"/>
        <w:autoSpaceDN w:val="0"/>
        <w:adjustRightInd w:val="0"/>
        <w:snapToGrid w:val="0"/>
        <w:spacing w:line="360" w:lineRule="auto"/>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1.6图纸和承包人文件</w:t>
      </w:r>
    </w:p>
    <w:p>
      <w:pPr>
        <w:autoSpaceDE w:val="0"/>
        <w:autoSpaceDN w:val="0"/>
        <w:adjustRightInd w:val="0"/>
        <w:snapToGrid w:val="0"/>
        <w:spacing w:line="360" w:lineRule="auto"/>
        <w:ind w:firstLine="422" w:firstLineChars="200"/>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1.6.1图纸的提供</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  11.3款的约定办理。</w:t>
      </w:r>
    </w:p>
    <w:p>
      <w:pPr>
        <w:autoSpaceDE w:val="0"/>
        <w:autoSpaceDN w:val="0"/>
        <w:adjustRightInd w:val="0"/>
        <w:snapToGrid w:val="0"/>
        <w:spacing w:line="360" w:lineRule="auto"/>
        <w:ind w:firstLine="422" w:firstLineChars="200"/>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1.6.2承包人提供的文件</w:t>
      </w:r>
    </w:p>
    <w:p>
      <w:pPr>
        <w:autoSpaceDE w:val="0"/>
        <w:autoSpaceDN w:val="0"/>
        <w:adjustRightInd w:val="0"/>
        <w:snapToGrid w:val="0"/>
        <w:spacing w:line="360" w:lineRule="auto"/>
        <w:ind w:firstLine="420" w:firstLineChars="200"/>
        <w:rPr>
          <w:rFonts w:ascii="宋体" w:hAnsi="宋体" w:eastAsia="黑体" w:cs="宋体"/>
          <w:color w:val="auto"/>
          <w:kern w:val="0"/>
          <w:szCs w:val="21"/>
          <w:highlight w:val="none"/>
          <w:lang w:val="zh-CN" w:bidi="zh-CN"/>
        </w:rPr>
      </w:pPr>
      <w:r>
        <w:rPr>
          <w:rFonts w:ascii="宋体" w:hAnsi="宋体" w:cs="宋体"/>
          <w:color w:val="auto"/>
          <w:kern w:val="0"/>
          <w:szCs w:val="21"/>
          <w:highlight w:val="none"/>
          <w:lang w:val="zh-CN" w:bidi="zh-CN"/>
        </w:rPr>
        <w:t>本项细化为：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有下列情形之一的，承包人应免费向监理人提交相关部分工程的施工图纸 3 份， 并附必要的计算书、技术资料，或施工工艺图、设备安装图及安装设备的使用和维护手册各 2 份供监理人批准。</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（1）为使第 1.6.1 项所述的施工图纸适合于经施工测量后的纵、横断面；</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（2）为使第 1.6.1 项所述的施工图纸适合于现场具体地形；</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（3）为使第 1.6.1 项所述的施工图纸适合于因尺寸与位置变化而引起局部变更；</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（4）由于合同要求与施工需要。</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此类图纸应按监理人规定的格式和图幅绘制。监理人在收到由承包人绘制的上述工程、工艺图纸、计算书和有关技术资料后 14 天内应予批准或提出修改要求，承包人应按监理人提出的要求作出修改，重新向监理人提交，监理人应在 7 天内批准或提出进一步的修改意见。</w:t>
      </w:r>
    </w:p>
    <w:p>
      <w:pPr>
        <w:autoSpaceDE w:val="0"/>
        <w:autoSpaceDN w:val="0"/>
        <w:adjustRightInd w:val="0"/>
        <w:snapToGrid w:val="0"/>
        <w:spacing w:line="360" w:lineRule="auto"/>
        <w:ind w:firstLine="422" w:firstLineChars="200"/>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1.6.</w:t>
      </w:r>
      <w:r>
        <w:rPr>
          <w:rFonts w:hint="eastAsia" w:ascii="宋体" w:hAnsi="宋体" w:eastAsia="黑体" w:cs="宋体"/>
          <w:b/>
          <w:bCs/>
          <w:color w:val="auto"/>
          <w:kern w:val="0"/>
          <w:szCs w:val="21"/>
          <w:highlight w:val="none"/>
          <w:lang w:bidi="zh-CN"/>
        </w:rPr>
        <w:t>3</w:t>
      </w:r>
      <w:r>
        <w:rPr>
          <w:rFonts w:hint="eastAsia" w:ascii="宋体" w:hAnsi="宋体" w:eastAsia="黑体" w:cs="宋体"/>
          <w:b/>
          <w:bCs/>
          <w:color w:val="auto"/>
          <w:kern w:val="0"/>
          <w:szCs w:val="21"/>
          <w:highlight w:val="none"/>
          <w:lang w:val="zh-CN" w:bidi="zh-CN"/>
        </w:rPr>
        <w:t>图纸的错误</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本项细化为：</w:t>
      </w:r>
    </w:p>
    <w:p>
      <w:pPr>
        <w:autoSpaceDE w:val="0"/>
        <w:autoSpaceDN w:val="0"/>
        <w:adjustRightInd w:val="0"/>
        <w:snapToGrid w:val="0"/>
        <w:spacing w:line="360" w:lineRule="auto"/>
        <w:ind w:firstLine="420" w:firstLineChars="200"/>
        <w:jc w:val="left"/>
        <w:rPr>
          <w:rFonts w:ascii="宋体" w:hAnsi="宋体" w:eastAsia="黑体" w:cs="宋体"/>
          <w:color w:val="auto"/>
          <w:kern w:val="0"/>
          <w:szCs w:val="21"/>
          <w:highlight w:val="none"/>
          <w:lang w:val="zh-CN" w:bidi="zh-CN"/>
        </w:rPr>
      </w:pPr>
      <w:r>
        <w:rPr>
          <w:rFonts w:ascii="宋体" w:hAnsi="宋体" w:cs="宋体"/>
          <w:color w:val="auto"/>
          <w:kern w:val="0"/>
          <w:szCs w:val="21"/>
          <w:highlight w:val="none"/>
          <w:lang w:val="zh-CN" w:bidi="zh-CN"/>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pPr>
        <w:autoSpaceDE w:val="0"/>
        <w:autoSpaceDN w:val="0"/>
        <w:adjustRightInd w:val="0"/>
        <w:snapToGrid w:val="0"/>
        <w:spacing w:line="360" w:lineRule="auto"/>
        <w:rPr>
          <w:rFonts w:ascii="宋体" w:hAnsi="宋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 xml:space="preserve">1.9 </w:t>
      </w:r>
      <w:r>
        <w:rPr>
          <w:rFonts w:hint="eastAsia" w:ascii="宋体" w:hAnsi="宋体" w:eastAsia="黑体" w:cs="宋体"/>
          <w:b/>
          <w:bCs/>
          <w:color w:val="auto"/>
          <w:kern w:val="0"/>
          <w:szCs w:val="21"/>
          <w:highlight w:val="none"/>
          <w:lang w:val="zh-CN" w:bidi="zh-CN"/>
        </w:rPr>
        <w:t>严禁贿赂</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本款补充：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2</w:t>
      </w:r>
      <w:r>
        <w:rPr>
          <w:rFonts w:hint="eastAsia" w:ascii="宋体" w:hAnsi="宋体" w:eastAsia="黑体" w:cs="宋体"/>
          <w:b/>
          <w:bCs/>
          <w:color w:val="auto"/>
          <w:kern w:val="0"/>
          <w:szCs w:val="21"/>
          <w:highlight w:val="none"/>
          <w:lang w:val="zh-CN" w:bidi="zh-CN"/>
        </w:rPr>
        <w:t>．</w:t>
      </w:r>
      <w:r>
        <w:rPr>
          <w:rFonts w:ascii="宋体" w:hAnsi="宋体" w:eastAsia="黑体" w:cs="宋体"/>
          <w:b/>
          <w:bCs/>
          <w:color w:val="auto"/>
          <w:kern w:val="0"/>
          <w:szCs w:val="21"/>
          <w:highlight w:val="none"/>
          <w:lang w:val="zh-CN" w:bidi="zh-CN"/>
        </w:rPr>
        <w:t>发包人义务</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2.3提供施工场地</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本款补充：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发包人负责办理永久占地的征用及与之有关的拆迁赔偿手续并承担相关费用。承包人在按第 10 条规定提交施工进度计划的同时，应向监理人提交一份按施工先后次序所需的永久占地计划。监理人应在收到此计划后的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 以使承包人能够连续不间断地施工。由于承包人施工考虑不周或措施不当等原因而造成的超计划占地或拆迁等所发生的征用和赔偿费用，应由承包人承担。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3</w:t>
      </w:r>
      <w:r>
        <w:rPr>
          <w:rFonts w:hint="eastAsia" w:ascii="宋体" w:hAnsi="宋体" w:eastAsia="黑体" w:cs="宋体"/>
          <w:b/>
          <w:bCs/>
          <w:color w:val="auto"/>
          <w:kern w:val="0"/>
          <w:szCs w:val="21"/>
          <w:highlight w:val="none"/>
          <w:lang w:val="zh-CN" w:bidi="zh-CN"/>
        </w:rPr>
        <w:t>．</w:t>
      </w:r>
      <w:r>
        <w:rPr>
          <w:rFonts w:ascii="宋体" w:hAnsi="宋体" w:eastAsia="黑体" w:cs="宋体"/>
          <w:b/>
          <w:bCs/>
          <w:color w:val="auto"/>
          <w:kern w:val="0"/>
          <w:szCs w:val="21"/>
          <w:highlight w:val="none"/>
          <w:lang w:val="zh-CN" w:bidi="zh-CN"/>
        </w:rPr>
        <w:t>监理人</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3.1监理人的职责和权力</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3.1</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1项补充：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监理人在行使下列权力前需要经发包人事先批准：</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（1）根据第4.3款，同意分包本工程的某非主体和关键性工作；</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（2）确定第4.11款下产生的费用增加额；</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（3）根据第11.1款、12.3款、12.4款发布开工通知、暂停施工指示或复工通知；</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（4）决定第11.3款、11.4款下的工期延长；</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（5）审查批准技术规范或设计的变更；</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（6）根据第 15.3 款发出的变更指示，其单项工程变更或累计变更涉及的金额超过了项目专用合同条款数据表中规定的金额；</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（7）确定第23.1款项下的索赔额；</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（8）按照第15.6款决定有关暂列金额的使用；</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（9）确定第15.8款项下的暂估价金额；</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（10）确定第15.4款下变更工作的单价。</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3.5 款商定或确定。</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3.5商定或确定</w:t>
      </w:r>
    </w:p>
    <w:p>
      <w:pPr>
        <w:autoSpaceDE w:val="0"/>
        <w:autoSpaceDN w:val="0"/>
        <w:adjustRightInd w:val="0"/>
        <w:snapToGrid w:val="0"/>
        <w:spacing w:line="360" w:lineRule="auto"/>
        <w:ind w:firstLine="422" w:firstLineChars="200"/>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3.5</w:t>
      </w:r>
      <w:r>
        <w:rPr>
          <w:rFonts w:hint="eastAsia" w:ascii="宋体" w:hAnsi="宋体" w:eastAsia="黑体" w:cs="宋体"/>
          <w:b/>
          <w:bCs/>
          <w:color w:val="auto"/>
          <w:kern w:val="0"/>
          <w:szCs w:val="21"/>
          <w:highlight w:val="none"/>
          <w:lang w:val="zh-CN" w:bidi="zh-CN"/>
        </w:rPr>
        <w:t>.</w:t>
      </w:r>
      <w:r>
        <w:rPr>
          <w:rFonts w:ascii="宋体" w:hAnsi="宋体" w:eastAsia="黑体" w:cs="宋体"/>
          <w:b/>
          <w:bCs/>
          <w:color w:val="auto"/>
          <w:kern w:val="0"/>
          <w:szCs w:val="21"/>
          <w:highlight w:val="none"/>
          <w:lang w:val="zh-CN" w:bidi="zh-CN"/>
        </w:rPr>
        <w:t>1项补充：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如果这项商定或确定导致费用增加和（或）工期延长，或者涉及确定变更工程的价格，则总监理工程师在发出通知前，应征得发包人的同意。</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4</w:t>
      </w:r>
      <w:r>
        <w:rPr>
          <w:rFonts w:hint="eastAsia" w:ascii="宋体" w:hAnsi="宋体" w:eastAsia="黑体" w:cs="宋体"/>
          <w:b/>
          <w:bCs/>
          <w:color w:val="auto"/>
          <w:kern w:val="0"/>
          <w:szCs w:val="21"/>
          <w:highlight w:val="none"/>
          <w:lang w:val="zh-CN" w:bidi="zh-CN"/>
        </w:rPr>
        <w:t>．</w:t>
      </w:r>
      <w:r>
        <w:rPr>
          <w:rFonts w:ascii="宋体" w:hAnsi="宋体" w:eastAsia="黑体" w:cs="宋体"/>
          <w:b/>
          <w:bCs/>
          <w:color w:val="auto"/>
          <w:kern w:val="0"/>
          <w:szCs w:val="21"/>
          <w:highlight w:val="none"/>
          <w:lang w:val="zh-CN" w:bidi="zh-CN"/>
        </w:rPr>
        <w:t>承包人</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4.1承包人的一般义务</w:t>
      </w:r>
    </w:p>
    <w:p>
      <w:pPr>
        <w:autoSpaceDE w:val="0"/>
        <w:autoSpaceDN w:val="0"/>
        <w:adjustRightInd w:val="0"/>
        <w:snapToGrid w:val="0"/>
        <w:spacing w:line="360" w:lineRule="auto"/>
        <w:ind w:firstLine="422" w:firstLineChars="200"/>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4.1.9工程的维护和照管</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2）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pPr>
        <w:autoSpaceDE w:val="0"/>
        <w:autoSpaceDN w:val="0"/>
        <w:adjustRightInd w:val="0"/>
        <w:snapToGrid w:val="0"/>
        <w:spacing w:line="360" w:lineRule="auto"/>
        <w:ind w:firstLine="422" w:firstLineChars="200"/>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4.1</w:t>
      </w:r>
      <w:r>
        <w:rPr>
          <w:rFonts w:hint="eastAsia" w:ascii="宋体" w:hAnsi="宋体" w:eastAsia="黑体" w:cs="宋体"/>
          <w:b/>
          <w:bCs/>
          <w:color w:val="auto"/>
          <w:kern w:val="0"/>
          <w:szCs w:val="21"/>
          <w:highlight w:val="none"/>
          <w:lang w:val="zh-CN" w:bidi="zh-CN"/>
        </w:rPr>
        <w:t>.</w:t>
      </w:r>
      <w:r>
        <w:rPr>
          <w:rFonts w:ascii="宋体" w:hAnsi="宋体" w:eastAsia="黑体" w:cs="宋体"/>
          <w:b/>
          <w:bCs/>
          <w:color w:val="auto"/>
          <w:kern w:val="0"/>
          <w:szCs w:val="21"/>
          <w:highlight w:val="none"/>
          <w:lang w:val="zh-CN" w:bidi="zh-CN"/>
        </w:rPr>
        <w:t>10其他义务</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 临时占地由承包人向当地政府土地管理部门申请，并办理租用手续</w:t>
      </w:r>
      <w:r>
        <w:rPr>
          <w:rFonts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承包人按有关规定直接支付其费用</w:t>
      </w:r>
      <w:r>
        <w:rPr>
          <w:rFonts w:hint="eastAsia" w:ascii="宋体" w:hAnsi="宋体" w:cs="宋体"/>
          <w:color w:val="auto"/>
          <w:kern w:val="0"/>
          <w:szCs w:val="21"/>
          <w:highlight w:val="none"/>
          <w:lang w:val="zh-CN" w:bidi="zh-CN"/>
        </w:rPr>
        <w:t>（该部分为固定价）</w:t>
      </w:r>
      <w:r>
        <w:rPr>
          <w:rFonts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发包人对此将予以协调。</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 100 章中由承包人按总额报价。</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hint="eastAsia" w:ascii="宋体" w:hAnsi="宋体" w:cs="宋体"/>
          <w:color w:val="auto"/>
          <w:kern w:val="0"/>
          <w:szCs w:val="21"/>
          <w:highlight w:val="none"/>
          <w:lang w:bidi="zh-CN"/>
        </w:rPr>
        <w:t>3</w:t>
      </w:r>
      <w:r>
        <w:rPr>
          <w:rFonts w:ascii="宋体" w:hAnsi="宋体" w:cs="宋体"/>
          <w:color w:val="auto"/>
          <w:kern w:val="0"/>
          <w:szCs w:val="21"/>
          <w:highlight w:val="none"/>
          <w:lang w:val="zh-CN" w:bidi="zh-CN"/>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工资支付表应如实记录支付单位、支付时间、支付对象、支付数额、支付对象的身份证号和签字等信息。民工花名册和工资支付表应报监理人备查。</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hint="eastAsia" w:ascii="宋体" w:hAnsi="宋体" w:cs="宋体"/>
          <w:color w:val="auto"/>
          <w:kern w:val="0"/>
          <w:szCs w:val="21"/>
          <w:highlight w:val="none"/>
          <w:lang w:bidi="zh-CN"/>
        </w:rPr>
        <w:t>5</w:t>
      </w:r>
      <w:r>
        <w:rPr>
          <w:rFonts w:ascii="宋体" w:hAnsi="宋体" w:cs="宋体"/>
          <w:color w:val="auto"/>
          <w:kern w:val="0"/>
          <w:szCs w:val="21"/>
          <w:highlight w:val="none"/>
          <w:lang w:val="zh-CN" w:bidi="zh-CN"/>
        </w:rPr>
        <w:t>）承包人应履行项目专用合同条款约定的其他义务。</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4.2履约担保</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本款补充：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承包人应保证其履约保证金在发包人签发交工验收证书且承包人按照合同约定缴纳质量保证金前一直有效。发包人应在收到承包人缴纳的质量保证金后 28 天内将履约保证金退还给承包人。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承包人拒绝按照本合同约定缴纳质量保证金的，发包人有权从交工付款证书中扣留相应金额作为质量保证金，或者直接将履约保证金金额用于保证承包人在缺陷责任期内履行缺陷修复义务。</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hint="eastAsia" w:ascii="宋体" w:hAnsi="宋体" w:eastAsia="黑体" w:cs="宋体"/>
          <w:b/>
          <w:bCs/>
          <w:color w:val="auto"/>
          <w:kern w:val="0"/>
          <w:szCs w:val="21"/>
          <w:highlight w:val="none"/>
          <w:lang w:bidi="zh-CN"/>
        </w:rPr>
        <w:t>4.3</w:t>
      </w:r>
      <w:r>
        <w:rPr>
          <w:rFonts w:hint="eastAsia" w:ascii="宋体" w:hAnsi="宋体" w:eastAsia="黑体" w:cs="宋体"/>
          <w:b/>
          <w:bCs/>
          <w:color w:val="auto"/>
          <w:kern w:val="0"/>
          <w:szCs w:val="21"/>
          <w:highlight w:val="none"/>
          <w:lang w:val="zh-CN" w:bidi="zh-CN"/>
        </w:rPr>
        <w:t>分包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第 4.3.2 项～第 4.3.4 项细化为：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4.3.2</w:t>
      </w:r>
      <w:r>
        <w:rPr>
          <w:rFonts w:ascii="宋体" w:hAnsi="宋体" w:cs="宋体"/>
          <w:color w:val="auto"/>
          <w:kern w:val="0"/>
          <w:szCs w:val="21"/>
          <w:highlight w:val="none"/>
          <w:lang w:val="zh-CN" w:bidi="zh-CN"/>
        </w:rPr>
        <w:t>承包人不得将工程关键性工作分包给第三人。经发包人同意，承包人可将工程的其他部分或工作分包给第三人。分包包括专业分包和劳务分包。</w:t>
      </w:r>
    </w:p>
    <w:p>
      <w:pPr>
        <w:autoSpaceDE w:val="0"/>
        <w:autoSpaceDN w:val="0"/>
        <w:adjustRightInd w:val="0"/>
        <w:snapToGrid w:val="0"/>
        <w:spacing w:line="360" w:lineRule="auto"/>
        <w:ind w:firstLine="422" w:firstLineChars="200"/>
        <w:jc w:val="left"/>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bidi="zh-CN"/>
        </w:rPr>
        <w:t>4.3.3</w:t>
      </w:r>
      <w:r>
        <w:rPr>
          <w:rFonts w:ascii="宋体" w:hAnsi="宋体" w:cs="宋体"/>
          <w:b/>
          <w:bCs/>
          <w:color w:val="auto"/>
          <w:kern w:val="0"/>
          <w:szCs w:val="21"/>
          <w:highlight w:val="none"/>
          <w:lang w:val="zh-CN" w:bidi="zh-CN"/>
        </w:rPr>
        <w:t>专业分包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在工程施工过程中，承包人进行专业分包必须遵守以下规定：</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（2）专业分包人的资格能力（含安全生产能力）应与其分包工程的标准和规模相适应，且应当具备如下条件：</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具有经工商登记的法人资格；</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具有从事</w:t>
      </w:r>
      <w:r>
        <w:rPr>
          <w:rFonts w:hint="eastAsia" w:ascii="宋体" w:hAnsi="宋体" w:cs="宋体"/>
          <w:color w:val="auto"/>
          <w:kern w:val="0"/>
          <w:szCs w:val="21"/>
          <w:highlight w:val="none"/>
          <w:lang w:val="zh-CN" w:bidi="zh-CN"/>
        </w:rPr>
        <w:t>公路工程</w:t>
      </w:r>
      <w:r>
        <w:rPr>
          <w:rFonts w:ascii="宋体" w:hAnsi="宋体" w:cs="宋体"/>
          <w:color w:val="auto"/>
          <w:kern w:val="0"/>
          <w:szCs w:val="21"/>
          <w:highlight w:val="none"/>
          <w:lang w:val="zh-CN" w:bidi="zh-CN"/>
        </w:rPr>
        <w:t>经验的管理与技术人员；</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具有（自有或租赁）分包工程所需的施工设备。</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承包人应向监理人提交专业分包人的资格能力证明材料，经监理人审查并报发包人批准后，可以将相应专业工程分包给该专业分包人。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（3）专业分包工程不得再次分包。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 确保工程款的支付。承包人应在工程实施前，将经监理人审查同意后的分包合同报发包人备案。</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（7）专业分包人应当依据专业分包合同的约定，组织分包工程的施工，并对分包工程的质量、安全和进度等实施有效控制。专业分包人对其分包的工程向承包人负责，并就所分包的工程向发包人承担连带责任。</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违反上述规定之一者属违规分包。</w:t>
      </w:r>
    </w:p>
    <w:p>
      <w:pPr>
        <w:autoSpaceDE w:val="0"/>
        <w:autoSpaceDN w:val="0"/>
        <w:adjustRightInd w:val="0"/>
        <w:snapToGrid w:val="0"/>
        <w:spacing w:line="360" w:lineRule="auto"/>
        <w:ind w:firstLine="422" w:firstLineChars="200"/>
        <w:jc w:val="left"/>
        <w:rPr>
          <w:rFonts w:ascii="宋体" w:hAnsi="宋体" w:cs="宋体"/>
          <w:b/>
          <w:bCs/>
          <w:color w:val="auto"/>
          <w:kern w:val="0"/>
          <w:szCs w:val="21"/>
          <w:highlight w:val="none"/>
          <w:lang w:bidi="zh-CN"/>
        </w:rPr>
      </w:pPr>
      <w:r>
        <w:rPr>
          <w:rFonts w:hint="eastAsia" w:ascii="宋体" w:hAnsi="宋体" w:cs="宋体"/>
          <w:b/>
          <w:bCs/>
          <w:color w:val="auto"/>
          <w:kern w:val="0"/>
          <w:szCs w:val="21"/>
          <w:highlight w:val="none"/>
          <w:lang w:bidi="zh-CN"/>
        </w:rPr>
        <w:t>4.3.4劳务分包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在工程施工过程中，承包人进行劳务分包必须遵守以下规定：</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（1）劳务分包人应具有施工劳务资质。</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3）承包人雇用的劳务作业应加入到承包人的施工班组统一管理。有关施工质量、施工安全、施工进度、环境保护、技术方案、试验检测、材料保管与供应、机械设备等都必须由承包人管理与调配，不得以包代管。</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（4）承包人应当对劳务分包人员进行安全培训和管理，劳务分包人不得将其分包的劳务作业再次分包。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违反上述规定之一者属违规分包。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本款补充第 4.3.6 项、第 4.3.7 项：</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4.3.6</w:t>
      </w:r>
      <w:r>
        <w:rPr>
          <w:rFonts w:ascii="宋体" w:hAnsi="宋体" w:cs="宋体"/>
          <w:color w:val="auto"/>
          <w:kern w:val="0"/>
          <w:szCs w:val="21"/>
          <w:highlight w:val="none"/>
          <w:lang w:val="zh-CN" w:bidi="zh-CN"/>
        </w:rPr>
        <w:t>发包人对承包人与分包人之间的法律与经济纠纷不承担任何责任和义务。</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4.3.7</w:t>
      </w:r>
      <w:r>
        <w:rPr>
          <w:rFonts w:ascii="宋体" w:hAnsi="宋体" w:cs="宋体"/>
          <w:color w:val="auto"/>
          <w:kern w:val="0"/>
          <w:szCs w:val="21"/>
          <w:highlight w:val="none"/>
          <w:lang w:val="zh-CN" w:bidi="zh-CN"/>
        </w:rPr>
        <w:t>本项目的各项分包工作均应遵守《公路工程施工分包管理办法》的有关规定。</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4.4联合体</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本款增加第4.4.4项：</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4.4.4未经发包人事先同意，联合体的组成与结构不得变动。</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4.6承包人人员的管理</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第 4.6.3 项细化为：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本款补充第 4.6.5 项：</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4.6.5 尽管承包人已按承诺派遣了上述各类人员，但若这些人员仍不能满足合同进度计划和（或）质量要求时，监理人有权要求承包人继续增派或雇用这类人员， 并书面通知承包人和抄送发包人。承包人在接到上述通知后应立即执行监理人的上述指示，不得无故拖延，由此增加的费用和（或）工期延误由承包人承担。</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4.7撤换承包人项目经理和其他人员</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承包人应对其项目经理和其他人员进行有效管理。监理人要求撤换不能胜任本职工作、行为不端或玩忽职守的承包人项目经理和其他人员的，承包人应予以撤</w:t>
      </w:r>
      <w:r>
        <w:rPr>
          <w:rFonts w:hint="eastAsia" w:ascii="宋体" w:hAnsi="宋体" w:cs="宋体"/>
          <w:color w:val="auto"/>
          <w:kern w:val="0"/>
          <w:szCs w:val="21"/>
          <w:highlight w:val="none"/>
          <w:lang w:val="zh-CN" w:bidi="zh-CN"/>
        </w:rPr>
        <w:t>换，</w:t>
      </w:r>
      <w:r>
        <w:rPr>
          <w:rFonts w:ascii="宋体" w:hAnsi="宋体" w:cs="宋体"/>
          <w:color w:val="auto"/>
          <w:kern w:val="0"/>
          <w:szCs w:val="21"/>
          <w:highlight w:val="none"/>
          <w:lang w:val="zh-CN" w:bidi="zh-CN"/>
        </w:rPr>
        <w:t>同时委派经发包人与监理人同意的新的项目经理和其他人员。</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hint="eastAsia" w:ascii="宋体" w:hAnsi="宋体" w:eastAsia="黑体" w:cs="宋体"/>
          <w:b/>
          <w:bCs/>
          <w:color w:val="auto"/>
          <w:kern w:val="0"/>
          <w:szCs w:val="21"/>
          <w:highlight w:val="none"/>
          <w:lang w:bidi="zh-CN"/>
        </w:rPr>
        <w:t>4.9</w:t>
      </w:r>
      <w:r>
        <w:rPr>
          <w:rFonts w:hint="eastAsia" w:ascii="宋体" w:hAnsi="宋体" w:eastAsia="黑体" w:cs="宋体"/>
          <w:b/>
          <w:bCs/>
          <w:color w:val="auto"/>
          <w:kern w:val="0"/>
          <w:szCs w:val="21"/>
          <w:highlight w:val="none"/>
          <w:lang w:val="zh-CN" w:bidi="zh-CN"/>
        </w:rPr>
        <w:t>工程价款应专款专用</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4.10承包人现场查勘</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第 4.10.1 项细化为：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4.11不利物质条件</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第 4.11.2 项细化为：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4.11.2</w:t>
      </w:r>
      <w:r>
        <w:rPr>
          <w:rFonts w:ascii="宋体" w:hAnsi="宋体" w:cs="宋体"/>
          <w:color w:val="auto"/>
          <w:kern w:val="0"/>
          <w:szCs w:val="21"/>
          <w:highlight w:val="none"/>
          <w:lang w:val="zh-CN" w:bidi="zh-CN"/>
        </w:rPr>
        <w:t>承包人遇到不可预见的不利物质条件时，应采取适应不利物质条件的合理措施继续施工，并及时通知监理人。监理人应当及时发出指示，指示构成变更的， 按第 15 条约定办理。监理人没有发出指示的，承包人因采取合理措施而增加的费用和（或）工期延误，由发包人承担。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本款补充第 4.11.3 项：</w:t>
      </w:r>
    </w:p>
    <w:p>
      <w:pPr>
        <w:autoSpaceDE w:val="0"/>
        <w:autoSpaceDN w:val="0"/>
        <w:adjustRightInd w:val="0"/>
        <w:snapToGrid w:val="0"/>
        <w:spacing w:line="360" w:lineRule="auto"/>
        <w:ind w:firstLine="422" w:firstLineChars="200"/>
        <w:jc w:val="left"/>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bidi="zh-CN"/>
        </w:rPr>
        <w:t>4.11.3</w:t>
      </w:r>
      <w:r>
        <w:rPr>
          <w:rFonts w:ascii="宋体" w:hAnsi="宋体" w:cs="宋体"/>
          <w:b/>
          <w:bCs/>
          <w:color w:val="auto"/>
          <w:kern w:val="0"/>
          <w:szCs w:val="21"/>
          <w:highlight w:val="none"/>
          <w:lang w:val="zh-CN" w:bidi="zh-CN"/>
        </w:rPr>
        <w:t>可预见的不利物质条件</w:t>
      </w:r>
    </w:p>
    <w:p>
      <w:pPr>
        <w:numPr>
          <w:ilvl w:val="0"/>
          <w:numId w:val="11"/>
        </w:num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对于项目专用合同条款中已经明确指出的不利物质条件无论承包人是否有其经历和经验均视为承包人在接受合同时已预见其影响，并已在签约合同价中计入因其影响而可能发生的一切费用。</w:t>
      </w:r>
    </w:p>
    <w:p>
      <w:pPr>
        <w:numPr>
          <w:ilvl w:val="0"/>
          <w:numId w:val="11"/>
        </w:num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对于项目专用合同条款未明确指出，但是在不利物质条件发生之前，监理人已经指示承包人有可能发生，但承包人未能及时采取有效措施，而导致的损失和后果均由承包人承担。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补充第 4.12 款、第 4.13 款：</w:t>
      </w:r>
    </w:p>
    <w:p>
      <w:pPr>
        <w:autoSpaceDE w:val="0"/>
        <w:autoSpaceDN w:val="0"/>
        <w:adjustRightInd w:val="0"/>
        <w:snapToGrid w:val="0"/>
        <w:spacing w:line="360" w:lineRule="auto"/>
        <w:jc w:val="left"/>
        <w:rPr>
          <w:rFonts w:ascii="宋体" w:hAnsi="宋体" w:cs="宋体"/>
          <w:b/>
          <w:bCs/>
          <w:color w:val="auto"/>
          <w:kern w:val="0"/>
          <w:szCs w:val="21"/>
          <w:highlight w:val="none"/>
          <w:lang w:val="zh-CN" w:bidi="zh-CN"/>
        </w:rPr>
      </w:pPr>
      <w:bookmarkStart w:id="153" w:name="_bookmark180"/>
      <w:bookmarkEnd w:id="153"/>
      <w:r>
        <w:rPr>
          <w:rFonts w:hint="eastAsia" w:ascii="宋体" w:hAnsi="宋体" w:eastAsia="黑体" w:cs="宋体"/>
          <w:b/>
          <w:bCs/>
          <w:color w:val="auto"/>
          <w:kern w:val="0"/>
          <w:szCs w:val="21"/>
          <w:highlight w:val="none"/>
          <w:lang w:bidi="zh-CN"/>
        </w:rPr>
        <w:t>4.12投标文件的完备性</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bidi="zh-CN"/>
        </w:rPr>
      </w:pPr>
      <w:bookmarkStart w:id="154" w:name="_bookmark181"/>
      <w:bookmarkEnd w:id="154"/>
      <w:r>
        <w:rPr>
          <w:rFonts w:hint="eastAsia" w:ascii="宋体" w:hAnsi="宋体" w:eastAsia="黑体" w:cs="宋体"/>
          <w:b/>
          <w:bCs/>
          <w:color w:val="auto"/>
          <w:kern w:val="0"/>
          <w:szCs w:val="21"/>
          <w:highlight w:val="none"/>
          <w:lang w:bidi="zh-CN"/>
        </w:rPr>
        <w:t>4.13开展党建工作要求</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对于政府投资的国家高速公路项目，或承包人为国有控股或参股企业的，承包人应按规定在项目现场设立基层党组织。不满足上述情形的，承包人应创造条件使党员能够参加党组织生活并接受相应管理。</w:t>
      </w:r>
    </w:p>
    <w:p>
      <w:pPr>
        <w:autoSpaceDE w:val="0"/>
        <w:autoSpaceDN w:val="0"/>
        <w:adjustRightInd w:val="0"/>
        <w:snapToGrid w:val="0"/>
        <w:spacing w:line="360" w:lineRule="auto"/>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bookmarkStart w:id="155" w:name="_bookmark182"/>
      <w:bookmarkEnd w:id="155"/>
      <w:r>
        <w:rPr>
          <w:rFonts w:hint="eastAsia" w:ascii="宋体" w:hAnsi="宋体" w:eastAsia="黑体" w:cs="宋体"/>
          <w:b/>
          <w:bCs/>
          <w:color w:val="auto"/>
          <w:kern w:val="0"/>
          <w:szCs w:val="21"/>
          <w:highlight w:val="none"/>
          <w:lang w:bidi="zh-CN"/>
        </w:rPr>
        <w:t>5.</w:t>
      </w:r>
      <w:r>
        <w:rPr>
          <w:rFonts w:hint="eastAsia" w:ascii="宋体" w:hAnsi="宋体" w:eastAsia="黑体" w:cs="宋体"/>
          <w:b/>
          <w:bCs/>
          <w:color w:val="auto"/>
          <w:kern w:val="0"/>
          <w:szCs w:val="21"/>
          <w:highlight w:val="none"/>
          <w:lang w:val="zh-CN" w:bidi="zh-CN"/>
        </w:rPr>
        <w:t>材料和工程设备</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bookmarkStart w:id="156" w:name="_bookmark183"/>
      <w:bookmarkEnd w:id="156"/>
      <w:r>
        <w:rPr>
          <w:rFonts w:ascii="宋体" w:hAnsi="宋体" w:eastAsia="黑体" w:cs="宋体"/>
          <w:b/>
          <w:bCs/>
          <w:color w:val="auto"/>
          <w:kern w:val="0"/>
          <w:szCs w:val="21"/>
          <w:highlight w:val="none"/>
          <w:lang w:val="zh-CN" w:bidi="zh-CN"/>
        </w:rPr>
        <w:t xml:space="preserve">5.2 </w:t>
      </w:r>
      <w:r>
        <w:rPr>
          <w:rFonts w:hint="eastAsia" w:ascii="宋体" w:hAnsi="宋体" w:eastAsia="黑体" w:cs="宋体"/>
          <w:b/>
          <w:bCs/>
          <w:color w:val="auto"/>
          <w:kern w:val="0"/>
          <w:szCs w:val="21"/>
          <w:highlight w:val="none"/>
          <w:lang w:val="zh-CN" w:bidi="zh-CN"/>
        </w:rPr>
        <w:t>发包人提供的材料和工程设备</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第 5.2.3 项补充：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6．施工设备和临时设施</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6.1承包人提供的施工设备和临时设施</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第 6.1.2 项约定为：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承包人应自行承担修建临时设施的费用，需要临时占地的，应由承包人按第4.1.10 项（1）目的规定办理。</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6.3要求承包人增加或更换施工设备</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必须使投标文件承诺的施工设备按时到达现场，不得拖延、缺少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7．交通运输</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7.1道路通行权和场外设施</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本款约定为：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8．测量放线</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8.4监理人使用施工控制网</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本款补充：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经监理人批准，其他相关承包人也可免费使用施工控制网。</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9．施工安全、治安保卫和环境保护</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9.1发包人的施工安全责任</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9.1.3项补充：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如果承包人或其雇员也对上述人身伤亡或财产损失负有部分责任时，承包人也应承担相应赔偿责任。</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9.2承包人的施工安全责任</w:t>
      </w:r>
    </w:p>
    <w:p>
      <w:pPr>
        <w:autoSpaceDE w:val="0"/>
        <w:autoSpaceDN w:val="0"/>
        <w:spacing w:before="93"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autoSpaceDE w:val="0"/>
        <w:autoSpaceDN w:val="0"/>
        <w:spacing w:line="360" w:lineRule="auto"/>
        <w:ind w:right="384" w:firstLine="420" w:firstLineChars="200"/>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承包人应根据本工程的实际安全施工要求，编制施工安全技术措施，并在签订</w:t>
      </w:r>
      <w:r>
        <w:rPr>
          <w:rFonts w:ascii="宋体" w:hAnsi="宋体" w:cs="宋体"/>
          <w:color w:val="auto"/>
          <w:spacing w:val="-9"/>
          <w:kern w:val="0"/>
          <w:szCs w:val="21"/>
          <w:highlight w:val="none"/>
          <w:lang w:val="zh-CN" w:bidi="zh-CN"/>
        </w:rPr>
        <w:t xml:space="preserve">合同协议书后 </w:t>
      </w:r>
      <w:r>
        <w:rPr>
          <w:rFonts w:hAnsi="宋体" w:eastAsia="Times New Roman" w:cs="宋体"/>
          <w:color w:val="auto"/>
          <w:kern w:val="0"/>
          <w:szCs w:val="21"/>
          <w:highlight w:val="none"/>
          <w:lang w:val="zh-CN" w:bidi="zh-CN"/>
        </w:rPr>
        <w:t xml:space="preserve">28 </w:t>
      </w:r>
      <w:r>
        <w:rPr>
          <w:rFonts w:ascii="宋体" w:hAnsi="宋体" w:cs="宋体"/>
          <w:color w:val="auto"/>
          <w:spacing w:val="-9"/>
          <w:kern w:val="0"/>
          <w:szCs w:val="21"/>
          <w:highlight w:val="none"/>
          <w:lang w:val="zh-CN" w:bidi="zh-CN"/>
        </w:rPr>
        <w:t>天内，报监理人和发包人批准。该施工安全技术措施包括</w:t>
      </w:r>
      <w:r>
        <w:rPr>
          <w:rFonts w:ascii="宋体" w:hAnsi="宋体" w:cs="宋体"/>
          <w:color w:val="auto"/>
          <w:kern w:val="0"/>
          <w:szCs w:val="21"/>
          <w:highlight w:val="none"/>
          <w:lang w:val="zh-CN" w:bidi="zh-CN"/>
        </w:rPr>
        <w:t>（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autoSpaceDE w:val="0"/>
        <w:autoSpaceDN w:val="0"/>
        <w:spacing w:line="360" w:lineRule="auto"/>
        <w:ind w:right="384" w:firstLine="420" w:firstLineChars="200"/>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本项目需要编制专项施工方案的工程包括但不限于以下内容：</w:t>
      </w:r>
    </w:p>
    <w:p>
      <w:pPr>
        <w:autoSpaceDE w:val="0"/>
        <w:autoSpaceDN w:val="0"/>
        <w:spacing w:line="360" w:lineRule="auto"/>
        <w:ind w:right="384" w:firstLine="420" w:firstLineChars="200"/>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（1）不良地质条件下有潜在危险性的土方、石方开挖；</w:t>
      </w:r>
    </w:p>
    <w:p>
      <w:pPr>
        <w:autoSpaceDE w:val="0"/>
        <w:autoSpaceDN w:val="0"/>
        <w:spacing w:line="360" w:lineRule="auto"/>
        <w:ind w:right="384" w:firstLine="420" w:firstLineChars="200"/>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（2）滑坡和高边坡处理；</w:t>
      </w:r>
    </w:p>
    <w:p>
      <w:pPr>
        <w:autoSpaceDE w:val="0"/>
        <w:autoSpaceDN w:val="0"/>
        <w:spacing w:line="360" w:lineRule="auto"/>
        <w:ind w:right="384" w:firstLine="420" w:firstLineChars="200"/>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（3）桩基础、挡墙基础、深水基础及围堰工程；</w:t>
      </w:r>
    </w:p>
    <w:p>
      <w:pPr>
        <w:autoSpaceDE w:val="0"/>
        <w:autoSpaceDN w:val="0"/>
        <w:spacing w:line="360" w:lineRule="auto"/>
        <w:ind w:right="384" w:firstLine="420" w:firstLineChars="200"/>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（4）桥梁工程中的梁、拱、柱等构件施工等；</w:t>
      </w:r>
    </w:p>
    <w:p>
      <w:pPr>
        <w:autoSpaceDE w:val="0"/>
        <w:autoSpaceDN w:val="0"/>
        <w:spacing w:line="360" w:lineRule="auto"/>
        <w:ind w:right="384" w:firstLine="420" w:firstLineChars="200"/>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（5）隧道工程中的不良地质隧道、高瓦斯隧道等；</w:t>
      </w:r>
    </w:p>
    <w:p>
      <w:pPr>
        <w:autoSpaceDE w:val="0"/>
        <w:autoSpaceDN w:val="0"/>
        <w:spacing w:line="360" w:lineRule="auto"/>
        <w:ind w:right="384" w:firstLine="420" w:firstLineChars="200"/>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（6）水上工程中的打桩船作业、施工船作业、外海孤岛作业、边通航边施工作业等；</w:t>
      </w:r>
    </w:p>
    <w:p>
      <w:pPr>
        <w:autoSpaceDE w:val="0"/>
        <w:autoSpaceDN w:val="0"/>
        <w:spacing w:line="360" w:lineRule="auto"/>
        <w:ind w:right="384" w:firstLine="420" w:firstLineChars="200"/>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（7）水下工程中的水下焊接、混凝土浇筑、爆破工程等；</w:t>
      </w:r>
    </w:p>
    <w:p>
      <w:pPr>
        <w:autoSpaceDE w:val="0"/>
        <w:autoSpaceDN w:val="0"/>
        <w:spacing w:line="360" w:lineRule="auto"/>
        <w:ind w:right="384" w:firstLine="420" w:firstLineChars="200"/>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（8）爆破工程；</w:t>
      </w:r>
    </w:p>
    <w:p>
      <w:pPr>
        <w:autoSpaceDE w:val="0"/>
        <w:autoSpaceDN w:val="0"/>
        <w:spacing w:line="360" w:lineRule="auto"/>
        <w:ind w:right="384" w:firstLine="420" w:firstLineChars="200"/>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（9）大型临时工程中的大型支架、模板、便桥的架设与拆除；桥梁、码头的加固与拆除；</w:t>
      </w:r>
    </w:p>
    <w:p>
      <w:pPr>
        <w:autoSpaceDE w:val="0"/>
        <w:autoSpaceDN w:val="0"/>
        <w:spacing w:line="360" w:lineRule="auto"/>
        <w:ind w:right="384" w:firstLine="420" w:firstLineChars="200"/>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（10）其他危险性较大的工程。</w:t>
      </w:r>
    </w:p>
    <w:p>
      <w:pPr>
        <w:autoSpaceDE w:val="0"/>
        <w:autoSpaceDN w:val="0"/>
        <w:spacing w:line="360" w:lineRule="auto"/>
        <w:ind w:right="384" w:firstLine="420" w:firstLineChars="200"/>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监理人和发包人在检查中发现有安全问题或有违反安全管理规章制度的情况时，可视为承包人违约，应按第 22.1 款的规定办理。</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第 9.2.5 项细化为：</w:t>
      </w:r>
    </w:p>
    <w:p>
      <w:pPr>
        <w:autoSpaceDE w:val="0"/>
        <w:autoSpaceDN w:val="0"/>
        <w:spacing w:before="135" w:line="360" w:lineRule="auto"/>
        <w:ind w:right="382" w:firstLine="420" w:firstLineChars="200"/>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除项目专用合同条款另有约定外，安全生产费用应为投标价（不含安全生产费及建筑工程一切险及第三者责任险的保险费</w:t>
      </w:r>
      <w:r>
        <w:rPr>
          <w:rFonts w:ascii="宋体" w:hAnsi="宋体" w:cs="宋体"/>
          <w:color w:val="auto"/>
          <w:spacing w:val="-22"/>
          <w:kern w:val="0"/>
          <w:szCs w:val="21"/>
          <w:highlight w:val="none"/>
          <w:lang w:val="zh-CN" w:bidi="zh-CN"/>
        </w:rPr>
        <w:t>）</w:t>
      </w:r>
      <w:r>
        <w:rPr>
          <w:rFonts w:ascii="宋体" w:hAnsi="宋体" w:cs="宋体"/>
          <w:color w:val="auto"/>
          <w:spacing w:val="-30"/>
          <w:kern w:val="0"/>
          <w:szCs w:val="21"/>
          <w:highlight w:val="none"/>
          <w:lang w:val="zh-CN" w:bidi="zh-CN"/>
        </w:rPr>
        <w:t xml:space="preserve">的 </w:t>
      </w:r>
      <w:r>
        <w:rPr>
          <w:rFonts w:hAnsi="宋体" w:eastAsia="Times New Roman" w:cs="宋体"/>
          <w:color w:val="auto"/>
          <w:spacing w:val="-5"/>
          <w:kern w:val="0"/>
          <w:szCs w:val="21"/>
          <w:highlight w:val="none"/>
          <w:lang w:val="zh-CN" w:bidi="zh-CN"/>
        </w:rPr>
        <w:t>1.5%</w:t>
      </w:r>
      <w:r>
        <w:rPr>
          <w:rFonts w:ascii="宋体" w:hAnsi="宋体" w:cs="宋体"/>
          <w:color w:val="auto"/>
          <w:spacing w:val="-5"/>
          <w:kern w:val="0"/>
          <w:szCs w:val="21"/>
          <w:highlight w:val="none"/>
          <w:lang w:val="zh-CN" w:bidi="zh-CN"/>
        </w:rPr>
        <w:t>（</w:t>
      </w:r>
      <w:r>
        <w:rPr>
          <w:rFonts w:ascii="宋体" w:hAnsi="宋体" w:cs="宋体"/>
          <w:color w:val="auto"/>
          <w:kern w:val="0"/>
          <w:szCs w:val="21"/>
          <w:highlight w:val="none"/>
          <w:lang w:val="zh-CN" w:bidi="zh-CN"/>
        </w:rPr>
        <w:t xml:space="preserve">若发包人公布了最高投标限价时，按最高投标限价的 </w:t>
      </w:r>
      <w:r>
        <w:rPr>
          <w:rFonts w:hAnsi="宋体" w:eastAsia="Times New Roman" w:cs="宋体"/>
          <w:color w:val="auto"/>
          <w:kern w:val="0"/>
          <w:szCs w:val="21"/>
          <w:highlight w:val="none"/>
          <w:lang w:val="zh-CN" w:bidi="zh-CN"/>
        </w:rPr>
        <w:t>1.5%</w:t>
      </w:r>
      <w:r>
        <w:rPr>
          <w:rFonts w:ascii="宋体" w:hAnsi="宋体" w:cs="宋体"/>
          <w:color w:val="auto"/>
          <w:kern w:val="0"/>
          <w:szCs w:val="21"/>
          <w:highlight w:val="none"/>
          <w:lang w:val="zh-CN" w:bidi="zh-CN"/>
        </w:rPr>
        <w:t>计</w:t>
      </w:r>
      <w:r>
        <w:rPr>
          <w:rFonts w:ascii="宋体" w:hAnsi="宋体" w:cs="宋体"/>
          <w:color w:val="auto"/>
          <w:spacing w:val="-120"/>
          <w:kern w:val="0"/>
          <w:szCs w:val="21"/>
          <w:highlight w:val="none"/>
          <w:lang w:val="zh-CN" w:bidi="zh-CN"/>
        </w:rPr>
        <w:t>）</w:t>
      </w:r>
      <w:r>
        <w:rPr>
          <w:rFonts w:ascii="宋体" w:hAnsi="宋体" w:cs="宋体"/>
          <w:color w:val="auto"/>
          <w:kern w:val="0"/>
          <w:szCs w:val="21"/>
          <w:highlight w:val="none"/>
          <w:lang w:val="zh-CN" w:bidi="zh-CN"/>
        </w:rPr>
        <w:t>。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w:t>
      </w:r>
      <w:r>
        <w:rPr>
          <w:rFonts w:ascii="宋体" w:hAnsi="宋体" w:cs="宋体"/>
          <w:color w:val="auto"/>
          <w:spacing w:val="-3"/>
          <w:kern w:val="0"/>
          <w:szCs w:val="21"/>
          <w:highlight w:val="none"/>
          <w:lang w:val="zh-CN" w:bidi="zh-CN"/>
        </w:rPr>
        <w:t xml:space="preserve">同未约定的特殊防护措施增加的费用，由监理人按第 </w:t>
      </w:r>
      <w:r>
        <w:rPr>
          <w:rFonts w:hAnsi="宋体" w:eastAsia="Times New Roman" w:cs="宋体"/>
          <w:color w:val="auto"/>
          <w:kern w:val="0"/>
          <w:szCs w:val="21"/>
          <w:highlight w:val="none"/>
          <w:lang w:val="zh-CN" w:bidi="zh-CN"/>
        </w:rPr>
        <w:t xml:space="preserve">3.5 </w:t>
      </w:r>
      <w:r>
        <w:rPr>
          <w:rFonts w:ascii="宋体" w:hAnsi="宋体" w:cs="宋体"/>
          <w:color w:val="auto"/>
          <w:kern w:val="0"/>
          <w:szCs w:val="21"/>
          <w:highlight w:val="none"/>
          <w:lang w:val="zh-CN" w:bidi="zh-CN"/>
        </w:rPr>
        <w:t>款商定或确定。</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本款增加第9.2.8至9.2.1</w:t>
      </w:r>
      <w:r>
        <w:rPr>
          <w:rFonts w:hint="eastAsia" w:ascii="宋体" w:hAnsi="宋体" w:cs="宋体"/>
          <w:color w:val="auto"/>
          <w:kern w:val="0"/>
          <w:szCs w:val="21"/>
          <w:highlight w:val="none"/>
          <w:lang w:val="zh-CN" w:bidi="zh-CN"/>
        </w:rPr>
        <w:t>2</w:t>
      </w:r>
      <w:r>
        <w:rPr>
          <w:rFonts w:ascii="宋体" w:hAnsi="宋体" w:cs="宋体"/>
          <w:color w:val="auto"/>
          <w:kern w:val="0"/>
          <w:szCs w:val="21"/>
          <w:highlight w:val="none"/>
          <w:lang w:val="zh-CN" w:bidi="zh-CN"/>
        </w:rPr>
        <w:t>项：</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9.2.8承包人应充分关注和保障所有在现场工作的人员的安全，采取有效措施，使现场和本合同工程的实施保持有条不紊，以免使上述人员的安全受到威胁：</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（1）按《公路水运工程安全生产监督管理办法》规定的最低数量和资质条件配备专职安全生产管理人员；</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（2）特殊工种（电工、电梯工、起重工、电焊工、车船驾驶员、爆破工、潜水工、瓦斯检验员等）应经过专业培训，并持有专业主管部门签发的合格证上岗；</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hint="eastAsia" w:ascii="宋体" w:hAnsi="宋体" w:cs="宋体"/>
          <w:color w:val="auto"/>
          <w:kern w:val="0"/>
          <w:szCs w:val="21"/>
          <w:highlight w:val="none"/>
          <w:lang w:bidi="zh-CN"/>
        </w:rPr>
        <w:t>3</w:t>
      </w:r>
      <w:r>
        <w:rPr>
          <w:rFonts w:ascii="宋体" w:hAnsi="宋体" w:cs="宋体"/>
          <w:color w:val="auto"/>
          <w:kern w:val="0"/>
          <w:szCs w:val="21"/>
          <w:highlight w:val="none"/>
          <w:lang w:val="zh-CN" w:bidi="zh-CN"/>
        </w:rPr>
        <w:t>）所有施工机具设备和高空作业设备均应定期检查，并有安全员的签字记录；</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w:t>
      </w:r>
      <w:r>
        <w:rPr>
          <w:rFonts w:hint="eastAsia" w:ascii="宋体" w:hAnsi="宋体" w:cs="宋体"/>
          <w:color w:val="auto"/>
          <w:kern w:val="0"/>
          <w:szCs w:val="21"/>
          <w:highlight w:val="none"/>
          <w:lang w:bidi="zh-CN"/>
        </w:rPr>
        <w:t>4</w:t>
      </w:r>
      <w:r>
        <w:rPr>
          <w:rFonts w:ascii="宋体" w:hAnsi="宋体" w:cs="宋体"/>
          <w:color w:val="auto"/>
          <w:kern w:val="0"/>
          <w:szCs w:val="21"/>
          <w:highlight w:val="none"/>
          <w:lang w:val="zh-CN" w:bidi="zh-CN"/>
        </w:rPr>
        <w:t>）根据本合同各单位工程的施工特点，严格执行《公路水运工程安全生产监督管理办法》、《公路工程施工安全技术规程》与《公路筑养路机械操作规程》的具体规定。</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9.2.9为了保护本合同工程免遭损坏，或为了现场附近和过往群众的安全与方便，在确有必要的时候和地方，或当监理人或有关主管部门要求时，承包人应自费提供照明、警卫、护栅、警告标志等安全防护设施。</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9.2.10在通航水域施工时，承包人应与地方当局取得联系，设置必要的导航标志，及时发布航行通告，确保施工水域安全。</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9.4环境保护</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本款增加第9.4.7至9.4.9项：</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9.4.7承包人应切实执行技术规范中有关环境保护方面的条款和规定。</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（2）对于公路施工中粉尘污染的主要污染源—灰土拌和、施工车辆和筑路机械运行及运输产生的扬尘，应采取有效措施减轻施工现场的大气污染，保护人民健康，如：</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a．拌和设备应有较好的密封，或有防尘设备。</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b．施工通道、沥青混凝土拌和站及灰土拌和站应经常进行洒水降尘。</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c．路面施工应注意保持水份，以免扬尘。</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d．隧道出渣和桥梁钻孔灌注桩施工时排除的泥浆要进行妥善处理，严禁向河流或农田排放。</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（3）采取可靠措施保证原有交通的正常通行，维持沿线村镇的居民饮水、农田灌溉、生产生活用电及通讯等管线的正常使用。</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9.4.9在施工期间，承包人应随时保持现场整洁，施工设备和材料、工程设备应整齐妥善存放和贮存，废料与垃圾及不再需要的临时设施应及时从现场清除、拆除并运走。</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9.4.10</w:t>
      </w:r>
      <w:r>
        <w:rPr>
          <w:rFonts w:ascii="宋体" w:hAnsi="宋体" w:cs="宋体"/>
          <w:color w:val="auto"/>
          <w:kern w:val="0"/>
          <w:szCs w:val="21"/>
          <w:highlight w:val="none"/>
          <w:lang w:val="zh-CN" w:bidi="zh-CN"/>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9.4.11</w:t>
      </w:r>
      <w:r>
        <w:rPr>
          <w:rFonts w:ascii="宋体" w:hAnsi="宋体" w:cs="宋体"/>
          <w:color w:val="auto"/>
          <w:kern w:val="0"/>
          <w:szCs w:val="21"/>
          <w:highlight w:val="none"/>
          <w:lang w:val="zh-CN" w:bidi="zh-CN"/>
        </w:rPr>
        <w:t>承包人应严格按照国家有关法规要求，做好施工过程中的生态保护和水土保持工作。施工中要尽可能减少对原地面的扰动，减少对地面草木的破坏，需要爆破作业的，应按规定进行控爆设计。雨季填筑路基应随挖、随运、随填、随压， 要完善施工中的临时排水系统，加强施工便道的管理。取（弃）土场必须先挡后弃， 严禁在指定的取（弃）土场以外的地方乱挖乱弃。</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10．进度计划</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10.1合同进度计划</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本款补充：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承包人编制施工方案的内容：</w:t>
      </w:r>
      <w:r>
        <w:rPr>
          <w:rFonts w:ascii="宋体" w:hAnsi="宋体" w:cs="宋体"/>
          <w:color w:val="auto"/>
          <w:kern w:val="0"/>
          <w:szCs w:val="21"/>
          <w:highlight w:val="none"/>
          <w:u w:val="single"/>
          <w:lang w:val="zh-CN" w:bidi="zh-CN"/>
        </w:rPr>
        <w:t xml:space="preserve">  （见项目专用合同条款）  </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承包人向监理人报送施工进度计划和施工方案说明的期限：</w:t>
      </w:r>
      <w:r>
        <w:rPr>
          <w:rFonts w:ascii="宋体" w:hAnsi="宋体" w:cs="宋体"/>
          <w:color w:val="auto"/>
          <w:kern w:val="0"/>
          <w:szCs w:val="21"/>
          <w:highlight w:val="none"/>
          <w:u w:val="single"/>
          <w:lang w:val="zh-CN" w:bidi="zh-CN"/>
        </w:rPr>
        <w:t>签订合同协议书后28天之内</w:t>
      </w:r>
      <w:r>
        <w:rPr>
          <w:rFonts w:ascii="宋体" w:hAnsi="宋体" w:cs="宋体"/>
          <w:color w:val="auto"/>
          <w:kern w:val="0"/>
          <w:szCs w:val="21"/>
          <w:highlight w:val="none"/>
          <w:lang w:val="zh-CN" w:bidi="zh-CN"/>
        </w:rPr>
        <w:t>。</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监理人应在</w:t>
      </w:r>
      <w:r>
        <w:rPr>
          <w:rFonts w:ascii="宋体" w:hAnsi="宋体" w:cs="宋体"/>
          <w:color w:val="auto"/>
          <w:kern w:val="0"/>
          <w:szCs w:val="21"/>
          <w:highlight w:val="none"/>
          <w:u w:val="single"/>
          <w:lang w:val="zh-CN" w:bidi="zh-CN"/>
        </w:rPr>
        <w:t>14</w:t>
      </w:r>
      <w:r>
        <w:rPr>
          <w:rFonts w:ascii="宋体" w:hAnsi="宋体" w:cs="宋体"/>
          <w:color w:val="auto"/>
          <w:kern w:val="0"/>
          <w:szCs w:val="21"/>
          <w:highlight w:val="none"/>
          <w:lang w:val="zh-CN" w:bidi="zh-CN"/>
        </w:rPr>
        <w:t>天内对承包人施工进度计划和施工方案说明予以批复或提出修改意见。</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合同进度计划应按照关键线路网络图和主要工作横道图两种形式分别编绘，并应包括每月预计完成的工作量和形象进度。</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10.2合同进度计划的修订</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本款补充：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承包人提交合同进度计划修订申请报告，并附有关措施和相关资料的期限：</w:t>
      </w:r>
      <w:r>
        <w:rPr>
          <w:rFonts w:ascii="宋体" w:hAnsi="宋体" w:cs="宋体"/>
          <w:color w:val="auto"/>
          <w:kern w:val="0"/>
          <w:szCs w:val="21"/>
          <w:highlight w:val="none"/>
          <w:u w:val="single"/>
          <w:lang w:val="zh-CN" w:bidi="zh-CN"/>
        </w:rPr>
        <w:t>实际进度发生滞后的当月25日前</w:t>
      </w:r>
      <w:r>
        <w:rPr>
          <w:rFonts w:ascii="宋体" w:hAnsi="宋体" w:cs="宋体"/>
          <w:color w:val="auto"/>
          <w:kern w:val="0"/>
          <w:szCs w:val="21"/>
          <w:highlight w:val="none"/>
          <w:lang w:val="zh-CN" w:bidi="zh-CN"/>
        </w:rPr>
        <w:t>。</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监理人批复修订合同进度计划的期限：</w:t>
      </w:r>
      <w:r>
        <w:rPr>
          <w:rFonts w:ascii="宋体" w:hAnsi="宋体" w:cs="宋体"/>
          <w:color w:val="auto"/>
          <w:kern w:val="0"/>
          <w:szCs w:val="21"/>
          <w:highlight w:val="none"/>
          <w:u w:val="single"/>
          <w:lang w:val="zh-CN" w:bidi="zh-CN"/>
        </w:rPr>
        <w:t>收到修订合同进度计划后14天内</w:t>
      </w:r>
      <w:r>
        <w:rPr>
          <w:rFonts w:ascii="宋体" w:hAnsi="宋体" w:cs="宋体"/>
          <w:color w:val="auto"/>
          <w:kern w:val="0"/>
          <w:szCs w:val="21"/>
          <w:highlight w:val="none"/>
          <w:lang w:val="zh-CN" w:bidi="zh-CN"/>
        </w:rPr>
        <w:t>。</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补充第10.3款、第10.4款：</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10.3年度施工计划</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10.4合同用款计划</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11.开工和交工</w:t>
      </w:r>
    </w:p>
    <w:p>
      <w:pPr>
        <w:autoSpaceDE w:val="0"/>
        <w:autoSpaceDN w:val="0"/>
        <w:adjustRightInd w:val="0"/>
        <w:snapToGrid w:val="0"/>
        <w:spacing w:line="360" w:lineRule="auto"/>
        <w:jc w:val="left"/>
        <w:rPr>
          <w:rFonts w:ascii="宋体" w:hAnsi="宋体" w:cs="宋体"/>
          <w:b/>
          <w:bCs/>
          <w:color w:val="auto"/>
          <w:kern w:val="0"/>
          <w:szCs w:val="21"/>
          <w:highlight w:val="none"/>
          <w:lang w:val="zh-CN" w:bidi="zh-CN"/>
        </w:rPr>
      </w:pPr>
      <w:bookmarkStart w:id="157" w:name="_bookmark200"/>
      <w:bookmarkEnd w:id="157"/>
      <w:r>
        <w:rPr>
          <w:rFonts w:hint="eastAsia" w:ascii="宋体" w:hAnsi="宋体" w:eastAsia="黑体" w:cs="宋体"/>
          <w:b/>
          <w:bCs/>
          <w:color w:val="auto"/>
          <w:kern w:val="0"/>
          <w:szCs w:val="21"/>
          <w:highlight w:val="none"/>
          <w:lang w:bidi="zh-CN"/>
        </w:rPr>
        <w:t>11.1开工</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第 11.1.2 项补充：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承包人应在分部工程开工前 14 天向监理人提交分部工程开工报审表，若承包人的开工准备、工作计划和质量控制方法是可接受的且已获得批准，则经监理人书面同意，分部工程才能开工。</w:t>
      </w:r>
    </w:p>
    <w:p>
      <w:pPr>
        <w:autoSpaceDE w:val="0"/>
        <w:autoSpaceDN w:val="0"/>
        <w:adjustRightInd w:val="0"/>
        <w:snapToGrid w:val="0"/>
        <w:spacing w:line="360" w:lineRule="auto"/>
        <w:jc w:val="left"/>
        <w:rPr>
          <w:rFonts w:ascii="宋体" w:hAnsi="宋体" w:cs="宋体"/>
          <w:b/>
          <w:bCs/>
          <w:color w:val="auto"/>
          <w:kern w:val="0"/>
          <w:szCs w:val="21"/>
          <w:highlight w:val="none"/>
          <w:lang w:val="zh-CN" w:bidi="zh-CN"/>
        </w:rPr>
      </w:pPr>
      <w:r>
        <w:rPr>
          <w:rFonts w:hint="eastAsia" w:ascii="宋体" w:hAnsi="宋体" w:eastAsia="黑体" w:cs="宋体"/>
          <w:b/>
          <w:bCs/>
          <w:color w:val="auto"/>
          <w:kern w:val="0"/>
          <w:szCs w:val="21"/>
          <w:highlight w:val="none"/>
          <w:lang w:bidi="zh-CN"/>
        </w:rPr>
        <w:t>11.3发包人的工期延误</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本款补充：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val="zh-CN" w:bidi="zh-CN"/>
        </w:rPr>
        <w:t>即使由于上述原因造成工期延误，如果受影响的工程并非处在工程施工进度网络计划的关键线路上，则承包人无权要求延长总工期。</w:t>
      </w:r>
    </w:p>
    <w:p>
      <w:pPr>
        <w:autoSpaceDE w:val="0"/>
        <w:autoSpaceDN w:val="0"/>
        <w:adjustRightInd w:val="0"/>
        <w:snapToGrid w:val="0"/>
        <w:spacing w:line="360" w:lineRule="auto"/>
        <w:jc w:val="left"/>
        <w:rPr>
          <w:rFonts w:ascii="宋体" w:hAnsi="宋体" w:cs="宋体"/>
          <w:b/>
          <w:bCs/>
          <w:color w:val="auto"/>
          <w:kern w:val="0"/>
          <w:szCs w:val="21"/>
          <w:highlight w:val="none"/>
          <w:lang w:val="zh-CN" w:bidi="zh-CN"/>
        </w:rPr>
      </w:pPr>
      <w:bookmarkStart w:id="158" w:name="_bookmark202"/>
      <w:bookmarkEnd w:id="158"/>
      <w:r>
        <w:rPr>
          <w:rFonts w:hint="eastAsia" w:ascii="宋体" w:hAnsi="宋体" w:eastAsia="黑体" w:cs="宋体"/>
          <w:b/>
          <w:bCs/>
          <w:color w:val="auto"/>
          <w:kern w:val="0"/>
          <w:szCs w:val="21"/>
          <w:highlight w:val="none"/>
          <w:lang w:bidi="zh-CN"/>
        </w:rPr>
        <w:t>11.4异常恶劣的气候条件</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本款补充：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异常气候是指项目所在地 30 年以上一遇的罕见气候现象</w:t>
      </w:r>
      <w:r>
        <w:rPr>
          <w:color w:val="auto"/>
          <w:highlight w:val="none"/>
        </w:rPr>
        <w:fldChar w:fldCharType="begin"/>
      </w:r>
      <w:r>
        <w:rPr>
          <w:color w:val="auto"/>
          <w:highlight w:val="none"/>
        </w:rPr>
        <w:instrText xml:space="preserve"> HYPERLINK "http://baike.baidu.com/view/8193.htm" \h </w:instrText>
      </w:r>
      <w:r>
        <w:rPr>
          <w:color w:val="auto"/>
          <w:highlight w:val="none"/>
        </w:rPr>
        <w:fldChar w:fldCharType="separate"/>
      </w:r>
      <w:r>
        <w:rPr>
          <w:rFonts w:hint="eastAsia" w:ascii="宋体" w:hAnsi="宋体" w:cs="宋体"/>
          <w:color w:val="auto"/>
          <w:kern w:val="0"/>
          <w:szCs w:val="21"/>
          <w:highlight w:val="none"/>
          <w:lang w:val="zh-CN" w:bidi="zh-CN"/>
        </w:rPr>
        <w:t>（包括温度</w:t>
      </w:r>
      <w:r>
        <w:rPr>
          <w:rFonts w:hint="eastAsia" w:ascii="宋体" w:hAnsi="宋体" w:cs="宋体"/>
          <w:color w:val="auto"/>
          <w:kern w:val="0"/>
          <w:szCs w:val="21"/>
          <w:highlight w:val="none"/>
          <w:lang w:val="zh-CN" w:bidi="zh-CN"/>
        </w:rPr>
        <w:fldChar w:fldCharType="end"/>
      </w:r>
      <w:r>
        <w:rPr>
          <w:rFonts w:hint="eastAsia" w:ascii="宋体" w:hAnsi="宋体" w:cs="宋体"/>
          <w:color w:val="auto"/>
          <w:kern w:val="0"/>
          <w:szCs w:val="21"/>
          <w:highlight w:val="none"/>
          <w:lang w:val="zh-CN" w:bidi="zh-CN"/>
        </w:rPr>
        <w:t>、降水、降雪、风等）。异常恶劣的气候条件在项目专用合同条款中作具体约定。</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11.5承包人的工期延误</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2）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（4）承包人支付逾期交工违约金，不免除承包人完成工程及修补缺陷的义务。</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5）如果在合同工程完工之前，己对合同工程内按时完工的单位工程签发了工程接收证书，则合同工程的逾期交工违约金，应按已签发工程接收证书的单位工程的价值占合同工程价值的比例予以减少，但本规定不应影响逾期交工违约金的规定限额。</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11.6工期提前</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本款补充：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发包人不得随意要求承包人提前交工，承包人也不得随意提出提前交工的建议。如遇特殊情况，确需将工期提前的，发包人和承包人必须采取有效措施，确保工程质量。</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增加第11.7款：</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11.7工作时间的限制</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承包人在夜间或国家规定的节假日进行永久工程的施工，应向监理人报告，以便监理人履行监理职责和义务。</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但是，为了抢救生命或保护财产，或为了工程的安全、质量而不可避免地短暂作业，则不必事先向监理人报告。但承包人应在事后立即向监理人报告。</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本款规定不适用于习惯上或施工本身要求实行连续生产的作业。</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12．暂停施工</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12.1承包人暂停施工的责任</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12.1（5）项补充：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（5）现场气候条件导致的必要停工（第11.4款规定的异常恶劣的气候条件除外）；</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（6）项目专用合同条款约定由承包人承担的其他暂停施工。</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bidi="zh-CN"/>
        </w:rPr>
      </w:pPr>
      <w:r>
        <w:rPr>
          <w:rFonts w:hint="eastAsia" w:ascii="宋体" w:hAnsi="宋体" w:eastAsia="黑体" w:cs="宋体"/>
          <w:b/>
          <w:bCs/>
          <w:color w:val="auto"/>
          <w:kern w:val="0"/>
          <w:szCs w:val="21"/>
          <w:highlight w:val="none"/>
          <w:lang w:bidi="zh-CN"/>
        </w:rPr>
        <w:t>13．工程质量</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13.1工程质量要求</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13.1.1项约定为：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工程质量验收按技术规范及《公路工程质量检验评定标准》执行。</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本款补充第 13.1.4 项、第 13.1.5 项：</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13.1.4发包人和承包人应严格遵守《关于严格落实公路工程质量责任制的若干意见》的相关规定，认真执行工程质量责任登记制度并按要求填写工程质量责任登记表。</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13.1.5本项目严格执行质量责任追究制度。质量事故处理实行“四不放过”原则： 事故原因调查不清不放过；事故责任者没有受到教育不放过；没有防范措施不放过； 相关责任人没受到处理不放过。</w:t>
      </w:r>
    </w:p>
    <w:p>
      <w:pPr>
        <w:autoSpaceDE w:val="0"/>
        <w:autoSpaceDN w:val="0"/>
        <w:adjustRightInd w:val="0"/>
        <w:snapToGrid w:val="0"/>
        <w:spacing w:line="360" w:lineRule="auto"/>
        <w:jc w:val="left"/>
        <w:rPr>
          <w:rFonts w:ascii="宋体" w:hAnsi="宋体" w:eastAsia="黑体" w:cs="宋体"/>
          <w:color w:val="auto"/>
          <w:kern w:val="0"/>
          <w:szCs w:val="21"/>
          <w:highlight w:val="none"/>
          <w:lang w:val="zh-CN" w:bidi="zh-CN"/>
        </w:rPr>
      </w:pPr>
      <w:r>
        <w:rPr>
          <w:rFonts w:hint="eastAsia" w:ascii="宋体" w:hAnsi="宋体" w:eastAsia="黑体" w:cs="宋体"/>
          <w:color w:val="auto"/>
          <w:kern w:val="0"/>
          <w:szCs w:val="21"/>
          <w:highlight w:val="none"/>
          <w:lang w:bidi="zh-CN"/>
        </w:rPr>
        <w:t>13.2承包人的质量管理</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第 13.2.1 项补充：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承包人提交工程质量保证措施文件的期限：签订合同协议书后 28 天之内。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本款补充第 13.2.3 项~第 13.2.10 项：</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13.2.3</w:t>
      </w:r>
      <w:r>
        <w:rPr>
          <w:rFonts w:ascii="宋体" w:hAnsi="宋体" w:cs="宋体"/>
          <w:color w:val="auto"/>
          <w:kern w:val="0"/>
          <w:szCs w:val="21"/>
          <w:highlight w:val="none"/>
          <w:lang w:val="zh-CN" w:bidi="zh-CN"/>
        </w:rPr>
        <w:t>公路工程施行质量责任终身制。承包人应当书面明确相应的项目负责人和质量负责人。承包人的相关人员按照国家法律法规和有关规定在工程合理使用年限内承担相应的质量责任。</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13.2.4</w:t>
      </w:r>
      <w:r>
        <w:rPr>
          <w:rFonts w:ascii="宋体" w:hAnsi="宋体" w:cs="宋体"/>
          <w:color w:val="auto"/>
          <w:kern w:val="0"/>
          <w:szCs w:val="21"/>
          <w:highlight w:val="none"/>
          <w:lang w:val="zh-CN" w:bidi="zh-CN"/>
        </w:rPr>
        <w:t>承包人应当建立健全工程质量保证体系，制定质量管理制度，强化工程质量管理措施，完善工程质量目标保障机制；严格遵守国家有关法律、法规和规章， 严格执行公路工程强制性技术标准、各类技术规范及规程，全面履行工程合同义务。</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13.2.5</w:t>
      </w:r>
      <w:r>
        <w:rPr>
          <w:rFonts w:ascii="宋体" w:hAnsi="宋体" w:cs="宋体"/>
          <w:color w:val="auto"/>
          <w:kern w:val="0"/>
          <w:szCs w:val="21"/>
          <w:highlight w:val="none"/>
          <w:lang w:val="zh-CN" w:bidi="zh-CN"/>
        </w:rPr>
        <w:t>承包人对工程施工质量负责，应当按合同约定设立现场质量管理机构、配备工程技术人员和质量管理人员，落实工程施工质量责任制。</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13.2.6</w:t>
      </w:r>
      <w:r>
        <w:rPr>
          <w:rFonts w:ascii="宋体" w:hAnsi="宋体" w:cs="宋体"/>
          <w:color w:val="auto"/>
          <w:kern w:val="0"/>
          <w:szCs w:val="21"/>
          <w:highlight w:val="none"/>
          <w:lang w:val="zh-CN" w:bidi="zh-CN"/>
        </w:rPr>
        <w:t>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13.2.7</w:t>
      </w:r>
      <w:r>
        <w:rPr>
          <w:rFonts w:ascii="宋体" w:hAnsi="宋体" w:cs="宋体"/>
          <w:color w:val="auto"/>
          <w:kern w:val="0"/>
          <w:szCs w:val="21"/>
          <w:highlight w:val="none"/>
          <w:lang w:val="zh-CN" w:bidi="zh-CN"/>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13.2.7</w:t>
      </w:r>
      <w:r>
        <w:rPr>
          <w:rFonts w:ascii="宋体" w:hAnsi="宋体" w:cs="宋体"/>
          <w:color w:val="auto"/>
          <w:kern w:val="0"/>
          <w:szCs w:val="21"/>
          <w:highlight w:val="none"/>
          <w:lang w:val="zh-CN" w:bidi="zh-CN"/>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tabs>
          <w:tab w:val="right" w:pos="9010"/>
        </w:tabs>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13.2.8</w:t>
      </w:r>
      <w:r>
        <w:rPr>
          <w:rFonts w:ascii="宋体" w:hAnsi="宋体" w:cs="宋体"/>
          <w:color w:val="auto"/>
          <w:kern w:val="0"/>
          <w:szCs w:val="21"/>
          <w:highlight w:val="none"/>
          <w:lang w:val="zh-CN" w:bidi="zh-CN"/>
        </w:rPr>
        <w:t>承包人应当依法规范分包行为，并对承担的工程质量负总责，分包单位对分包合同范围内的工程质量负责。</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13.2.10</w:t>
      </w:r>
      <w:r>
        <w:rPr>
          <w:rFonts w:ascii="宋体" w:hAnsi="宋体" w:cs="宋体"/>
          <w:color w:val="auto"/>
          <w:kern w:val="0"/>
          <w:szCs w:val="21"/>
          <w:highlight w:val="none"/>
          <w:lang w:val="zh-CN" w:bidi="zh-CN"/>
        </w:rPr>
        <w:t>承包人驻工程现场机构应在现场驻地和重要的分部、分项工程施工现场设置明显的工程质量责任登记表公示牌。</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13.4监理人的质量检查</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本款补充：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监理人及其委派的检验人员，应能进入工程现场，以及材料或工程设备的制造、加工或制配的车间和场所，包括不属于承包人的车间或场所进行检查，承包人应为此提供便利和协助。</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监理人可以将材料或工程设备的检查和检验委托给一家独立的检验单位。该独立检验单位的检验结果应视为监理人完成的。监理人应将这种委托的通知书不少于7天前交给承包人。</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13.5工程隐蔽部位覆盖前的检查</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第</w:t>
      </w:r>
      <w:r>
        <w:rPr>
          <w:rFonts w:hint="eastAsia" w:ascii="宋体" w:hAnsi="宋体" w:cs="宋体"/>
          <w:color w:val="auto"/>
          <w:kern w:val="0"/>
          <w:szCs w:val="21"/>
          <w:highlight w:val="none"/>
          <w:lang w:bidi="zh-CN"/>
        </w:rPr>
        <w:t>13.5.1项</w:t>
      </w:r>
      <w:r>
        <w:rPr>
          <w:rFonts w:ascii="宋体" w:hAnsi="宋体" w:cs="宋体"/>
          <w:color w:val="auto"/>
          <w:kern w:val="0"/>
          <w:szCs w:val="21"/>
          <w:highlight w:val="none"/>
          <w:lang w:val="zh-CN" w:bidi="zh-CN"/>
        </w:rPr>
        <w:t>补充：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13.6清除不合格工程</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13.6.1项细化为：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autoSpaceDE w:val="0"/>
        <w:autoSpaceDN w:val="0"/>
        <w:adjustRightInd w:val="0"/>
        <w:snapToGrid w:val="0"/>
        <w:spacing w:line="360" w:lineRule="auto"/>
        <w:ind w:firstLine="420" w:firstLineChars="200"/>
        <w:jc w:val="left"/>
        <w:rPr>
          <w:rFonts w:ascii="宋体" w:hAnsi="宋体" w:cs="宋体"/>
          <w:b/>
          <w:bCs/>
          <w:color w:val="auto"/>
          <w:kern w:val="0"/>
          <w:szCs w:val="21"/>
          <w:highlight w:val="none"/>
          <w:lang w:val="zh-CN" w:bidi="zh-CN"/>
        </w:rPr>
      </w:pPr>
      <w:r>
        <w:rPr>
          <w:rFonts w:ascii="宋体" w:hAnsi="宋体" w:cs="宋体"/>
          <w:color w:val="auto"/>
          <w:kern w:val="0"/>
          <w:szCs w:val="21"/>
          <w:highlight w:val="none"/>
          <w:lang w:val="zh-CN" w:bidi="zh-CN"/>
        </w:rPr>
        <w:t>（2）如果承包人未在规定时间内执行监理人的指示，发包人有权雇用他人执行，并向其支付有关费用。所有由此造成的或伴随产生的费用，由承包人负责承担。</w:t>
      </w:r>
    </w:p>
    <w:p>
      <w:pPr>
        <w:tabs>
          <w:tab w:val="left" w:pos="914"/>
        </w:tabs>
        <w:autoSpaceDE w:val="0"/>
        <w:autoSpaceDN w:val="0"/>
        <w:spacing w:line="360" w:lineRule="auto"/>
        <w:jc w:val="left"/>
        <w:rPr>
          <w:rFonts w:ascii="黑体" w:hAnsi="宋体" w:cs="宋体"/>
          <w:color w:val="auto"/>
          <w:kern w:val="0"/>
          <w:szCs w:val="21"/>
          <w:highlight w:val="none"/>
          <w:lang w:val="zh-CN" w:bidi="zh-CN"/>
        </w:rPr>
      </w:pPr>
      <w:bookmarkStart w:id="159" w:name="_bookmark214"/>
      <w:bookmarkEnd w:id="159"/>
      <w:r>
        <w:rPr>
          <w:rFonts w:hint="eastAsia" w:ascii="黑体" w:hAnsi="宋体" w:eastAsia="黑体" w:cs="宋体"/>
          <w:b/>
          <w:bCs/>
          <w:color w:val="auto"/>
          <w:kern w:val="0"/>
          <w:szCs w:val="21"/>
          <w:highlight w:val="none"/>
          <w:lang w:bidi="zh-CN"/>
        </w:rPr>
        <w:t>14.</w:t>
      </w:r>
      <w:r>
        <w:rPr>
          <w:rFonts w:hint="eastAsia" w:ascii="黑体" w:hAnsi="宋体" w:eastAsia="黑体" w:cs="宋体"/>
          <w:b/>
          <w:bCs/>
          <w:color w:val="auto"/>
          <w:kern w:val="0"/>
          <w:szCs w:val="21"/>
          <w:highlight w:val="none"/>
          <w:lang w:val="zh-CN" w:bidi="zh-CN"/>
        </w:rPr>
        <w:t>试验和检验</w:t>
      </w:r>
    </w:p>
    <w:p>
      <w:pPr>
        <w:autoSpaceDE w:val="0"/>
        <w:autoSpaceDN w:val="0"/>
        <w:spacing w:line="360" w:lineRule="auto"/>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本条补充第 </w:t>
      </w:r>
      <w:r>
        <w:rPr>
          <w:rFonts w:hAnsi="宋体" w:eastAsia="Times New Roman" w:cs="宋体"/>
          <w:color w:val="auto"/>
          <w:kern w:val="0"/>
          <w:szCs w:val="21"/>
          <w:highlight w:val="none"/>
          <w:lang w:val="zh-CN" w:bidi="zh-CN"/>
        </w:rPr>
        <w:t xml:space="preserve">14.4 </w:t>
      </w:r>
      <w:r>
        <w:rPr>
          <w:rFonts w:ascii="宋体" w:hAnsi="宋体" w:cs="宋体"/>
          <w:color w:val="auto"/>
          <w:kern w:val="0"/>
          <w:szCs w:val="21"/>
          <w:highlight w:val="none"/>
          <w:lang w:val="zh-CN" w:bidi="zh-CN"/>
        </w:rPr>
        <w:t>款：</w:t>
      </w:r>
    </w:p>
    <w:p>
      <w:pPr>
        <w:autoSpaceDE w:val="0"/>
        <w:autoSpaceDN w:val="0"/>
        <w:spacing w:line="360" w:lineRule="auto"/>
        <w:jc w:val="left"/>
        <w:rPr>
          <w:rFonts w:ascii="宋体" w:hAnsi="宋体" w:cs="宋体"/>
          <w:color w:val="auto"/>
          <w:kern w:val="0"/>
          <w:szCs w:val="21"/>
          <w:highlight w:val="none"/>
          <w:lang w:val="zh-CN" w:bidi="zh-CN"/>
        </w:rPr>
      </w:pPr>
      <w:bookmarkStart w:id="160" w:name="_bookmark215"/>
      <w:bookmarkEnd w:id="160"/>
      <w:r>
        <w:rPr>
          <w:rFonts w:hAnsi="宋体" w:eastAsia="Times New Roman" w:cs="宋体"/>
          <w:b/>
          <w:bCs/>
          <w:color w:val="auto"/>
          <w:kern w:val="0"/>
          <w:szCs w:val="21"/>
          <w:highlight w:val="none"/>
          <w:lang w:val="zh-CN" w:bidi="zh-CN"/>
        </w:rPr>
        <w:t>14.4</w:t>
      </w:r>
      <w:r>
        <w:rPr>
          <w:rFonts w:hAnsi="宋体" w:eastAsia="Times New Roman" w:cs="宋体"/>
          <w:b/>
          <w:bCs/>
          <w:color w:val="auto"/>
          <w:spacing w:val="58"/>
          <w:kern w:val="0"/>
          <w:szCs w:val="21"/>
          <w:highlight w:val="none"/>
          <w:lang w:val="zh-CN" w:bidi="zh-CN"/>
        </w:rPr>
        <w:t xml:space="preserve"> </w:t>
      </w:r>
      <w:r>
        <w:rPr>
          <w:rFonts w:hint="eastAsia" w:ascii="黑体" w:hAnsi="宋体" w:eastAsia="黑体" w:cs="宋体"/>
          <w:b/>
          <w:bCs/>
          <w:color w:val="auto"/>
          <w:kern w:val="0"/>
          <w:szCs w:val="21"/>
          <w:highlight w:val="none"/>
          <w:lang w:val="zh-CN" w:bidi="zh-CN"/>
        </w:rPr>
        <w:t>试验和检验费用</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1）承包人应负责提供合同和技术规范规定的试验和检验所需的全部样品，并承担其费用。</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（2）在合同中明确规定的试验和检验，包括无须在工程量清单中单独列项和已在工程量清单中单独列项的试验和检验，其试验和检验的费用由承包人承担。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15．变更</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15.1变更的范围和内容</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本款第</w:t>
      </w:r>
      <w:r>
        <w:rPr>
          <w:rFonts w:ascii="宋体" w:hAnsi="宋体" w:cs="宋体"/>
          <w:color w:val="auto"/>
          <w:kern w:val="0"/>
          <w:szCs w:val="21"/>
          <w:highlight w:val="none"/>
          <w:lang w:val="zh-CN" w:bidi="zh-CN"/>
        </w:rPr>
        <w:t>（1）项细化为：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（1）取消合同中任何一项工作，但被取消的工作不能转由发包人或其他人实施，由于承包人违约造成的情况除外；</w:t>
      </w:r>
    </w:p>
    <w:p>
      <w:pPr>
        <w:autoSpaceDE w:val="0"/>
        <w:autoSpaceDN w:val="0"/>
        <w:adjustRightInd w:val="0"/>
        <w:snapToGrid w:val="0"/>
        <w:spacing w:line="360" w:lineRule="auto"/>
        <w:jc w:val="left"/>
        <w:rPr>
          <w:rFonts w:ascii="宋体" w:hAnsi="宋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15.</w:t>
      </w:r>
      <w:r>
        <w:rPr>
          <w:rFonts w:hint="eastAsia" w:ascii="宋体" w:hAnsi="宋体" w:eastAsia="黑体" w:cs="宋体"/>
          <w:b/>
          <w:bCs/>
          <w:color w:val="auto"/>
          <w:kern w:val="0"/>
          <w:szCs w:val="21"/>
          <w:highlight w:val="none"/>
          <w:lang w:bidi="zh-CN"/>
        </w:rPr>
        <w:t>3</w:t>
      </w:r>
      <w:r>
        <w:rPr>
          <w:rFonts w:ascii="宋体" w:hAnsi="宋体" w:eastAsia="黑体" w:cs="宋体"/>
          <w:b/>
          <w:bCs/>
          <w:color w:val="auto"/>
          <w:kern w:val="0"/>
          <w:szCs w:val="21"/>
          <w:highlight w:val="none"/>
          <w:lang w:val="zh-CN" w:bidi="zh-CN"/>
        </w:rPr>
        <w:t>变更</w:t>
      </w:r>
      <w:r>
        <w:rPr>
          <w:rFonts w:hint="eastAsia" w:ascii="宋体" w:hAnsi="宋体" w:eastAsia="黑体" w:cs="宋体"/>
          <w:b/>
          <w:bCs/>
          <w:color w:val="auto"/>
          <w:kern w:val="0"/>
          <w:szCs w:val="21"/>
          <w:highlight w:val="none"/>
          <w:lang w:val="zh-CN" w:bidi="zh-CN"/>
        </w:rPr>
        <w:t>程序</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本款补充</w:t>
      </w:r>
      <w:r>
        <w:rPr>
          <w:rFonts w:hint="eastAsia" w:ascii="宋体" w:hAnsi="宋体" w:cs="宋体"/>
          <w:color w:val="auto"/>
          <w:kern w:val="0"/>
          <w:szCs w:val="21"/>
          <w:highlight w:val="none"/>
          <w:lang w:val="zh-CN" w:bidi="zh-CN"/>
        </w:rPr>
        <w:t>第</w:t>
      </w:r>
      <w:r>
        <w:rPr>
          <w:rFonts w:hint="eastAsia" w:ascii="宋体" w:hAnsi="宋体" w:cs="宋体"/>
          <w:color w:val="auto"/>
          <w:kern w:val="0"/>
          <w:szCs w:val="21"/>
          <w:highlight w:val="none"/>
          <w:lang w:bidi="zh-CN"/>
        </w:rPr>
        <w:t>15.3.4项</w:t>
      </w:r>
      <w:r>
        <w:rPr>
          <w:rFonts w:ascii="宋体" w:hAnsi="宋体" w:cs="宋体"/>
          <w:color w:val="auto"/>
          <w:kern w:val="0"/>
          <w:szCs w:val="21"/>
          <w:highlight w:val="none"/>
          <w:lang w:val="zh-CN" w:bidi="zh-CN"/>
        </w:rPr>
        <w:t>：</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15.3.4</w:t>
      </w:r>
      <w:r>
        <w:rPr>
          <w:rFonts w:ascii="宋体" w:hAnsi="宋体" w:cs="宋体"/>
          <w:color w:val="auto"/>
          <w:kern w:val="0"/>
          <w:szCs w:val="21"/>
          <w:highlight w:val="none"/>
          <w:lang w:val="zh-CN" w:bidi="zh-CN"/>
        </w:rPr>
        <w:t>设计变更程序应执行交通</w:t>
      </w:r>
      <w:r>
        <w:rPr>
          <w:rFonts w:hint="eastAsia" w:ascii="宋体" w:hAnsi="宋体" w:cs="宋体"/>
          <w:color w:val="auto"/>
          <w:kern w:val="0"/>
          <w:szCs w:val="21"/>
          <w:highlight w:val="none"/>
          <w:lang w:val="zh-CN" w:bidi="zh-CN"/>
        </w:rPr>
        <w:t>运输</w:t>
      </w:r>
      <w:r>
        <w:rPr>
          <w:rFonts w:ascii="宋体" w:hAnsi="宋体" w:cs="宋体"/>
          <w:color w:val="auto"/>
          <w:kern w:val="0"/>
          <w:szCs w:val="21"/>
          <w:highlight w:val="none"/>
          <w:lang w:val="zh-CN" w:bidi="zh-CN"/>
        </w:rPr>
        <w:t>部《公路工程设计变更管理办法》的相关规定。</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15.4变更的估价原则</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除项目专用合同条款另有约定外，因变更引起的价格调整按照本款约定处理。</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15.4.1如果取消某项工作，则该项工作的总额价不予支付；</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15.4.2已标价工程量清单中有适用于变更工作的子目的，采用该子目的单价。</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15.4.3已标价工程量清单中无适用于变更工作的子目，但有类似子目的，可在合理范围内参照类似子目的单价，由监理人按第3.5款商定或确定变更工作的单价。</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15.4.4已标价工程量清单中无适用或类似子目的单价，可在综合考虑承包人在投标时所提供的单价分析表和单价组成表的基础上，由监理人按第3.5款商定或确定变更工作的单价：</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15.4.5如果本工程的变更指示是因承包人过错、承包人违反合同或承包人责任造成的，则这种违约引起的任何额外费用应由承包人承担。</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15.5承包人的合理化建议</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第 15.5.2 项约定为：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承包人提出的合理化建议缩短了工期，发包人按第 11.6 款的规定给予奖励。承包人提出的合理化建议降低了合同价格或者提高了工程经济效益的，发包人按项目专用合同条款数据表中规定的金额给予奖励。</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15.6暂列金额</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15.6.3当监理人提出要求时，承包人应提供有关暂列金额支出的所有报价单、发票、凭证和账单或收据，除非该工作是根据已标价工程量清单列明的单价或总额价进行的估价。</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16</w:t>
      </w:r>
      <w:r>
        <w:rPr>
          <w:rFonts w:hint="eastAsia" w:ascii="宋体" w:hAnsi="宋体" w:eastAsia="黑体" w:cs="宋体"/>
          <w:b/>
          <w:bCs/>
          <w:color w:val="auto"/>
          <w:kern w:val="0"/>
          <w:szCs w:val="21"/>
          <w:highlight w:val="none"/>
          <w:lang w:val="zh-CN" w:bidi="zh-CN"/>
        </w:rPr>
        <w:t>．</w:t>
      </w:r>
      <w:r>
        <w:rPr>
          <w:rFonts w:ascii="宋体" w:hAnsi="宋体" w:eastAsia="黑体" w:cs="宋体"/>
          <w:b/>
          <w:bCs/>
          <w:color w:val="auto"/>
          <w:kern w:val="0"/>
          <w:szCs w:val="21"/>
          <w:highlight w:val="none"/>
          <w:lang w:val="zh-CN" w:bidi="zh-CN"/>
        </w:rPr>
        <w:t>价格调整</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16.1物价波动引起的价格调整</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本款约定为：</w:t>
      </w:r>
    </w:p>
    <w:p>
      <w:pPr>
        <w:numPr>
          <w:ilvl w:val="0"/>
          <w:numId w:val="12"/>
        </w:num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除项目专用合同条款另有约定外，因物价波动引起的价格调整应按项目专用合同条款数据表的规定，按照第 16.1.1 项或第 16.1.2 项约定的原则处理；</w:t>
      </w:r>
    </w:p>
    <w:p>
      <w:pPr>
        <w:numPr>
          <w:ilvl w:val="0"/>
          <w:numId w:val="12"/>
        </w:num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在合同执行期间（包括工期拖延期间）由于人工、材料和设备价格的上涨而引起工程施工成本增加的风险由承包人自行承担，合同价格不会因此而调整。</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16.1.1 </w:t>
      </w:r>
      <w:r>
        <w:rPr>
          <w:rFonts w:hint="eastAsia" w:ascii="宋体" w:hAnsi="宋体" w:cs="宋体"/>
          <w:color w:val="auto"/>
          <w:kern w:val="0"/>
          <w:szCs w:val="21"/>
          <w:highlight w:val="none"/>
          <w:lang w:val="zh-CN" w:bidi="zh-CN"/>
        </w:rPr>
        <w:t>采用价格指数调整价格差额</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16.1.1.1 价格调整公式</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价格调整公式后增加备注如下：</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式中，A=1－（B1＋B2＋B3＋……＋Bn）。本目最后一段文字细化为：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在采用价格调整公式进行调价时，还应遵守以下规定：</w:t>
      </w:r>
    </w:p>
    <w:p>
      <w:pPr>
        <w:numPr>
          <w:ilvl w:val="0"/>
          <w:numId w:val="13"/>
        </w:num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以上价格调整公式中的各可调因子、定值权重，以及基本价格指数及其来源由发包人在投标函附录价格指数和权重表中约定。价格指数应首先采用国家或省</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自治区、直辖市价格部门或统计部门提供的价格指数，缺乏上述价格指数时，可采用上述部门提供的价格代替。</w:t>
      </w:r>
    </w:p>
    <w:p>
      <w:pPr>
        <w:numPr>
          <w:ilvl w:val="0"/>
          <w:numId w:val="13"/>
        </w:num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价格调整公式中的变值权重，由发包人根据项目实际情况测算确定范围， 并在投标函附录价格指数和权重表中约定范围；承包人在投标时在此范围内填写各可调因子的权重，合同实施期间将按此权重进行调价。</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hint="eastAsia" w:ascii="宋体" w:hAnsi="宋体" w:eastAsia="黑体" w:cs="宋体"/>
          <w:b/>
          <w:bCs/>
          <w:color w:val="auto"/>
          <w:kern w:val="0"/>
          <w:szCs w:val="21"/>
          <w:highlight w:val="none"/>
          <w:lang w:bidi="zh-CN"/>
        </w:rPr>
        <w:t>1</w:t>
      </w:r>
      <w:r>
        <w:rPr>
          <w:rFonts w:ascii="宋体" w:hAnsi="宋体" w:eastAsia="黑体" w:cs="宋体"/>
          <w:b/>
          <w:bCs/>
          <w:color w:val="auto"/>
          <w:kern w:val="0"/>
          <w:szCs w:val="21"/>
          <w:highlight w:val="none"/>
          <w:lang w:val="zh-CN" w:bidi="zh-CN"/>
        </w:rPr>
        <w:t>7</w:t>
      </w:r>
      <w:r>
        <w:rPr>
          <w:rFonts w:hint="eastAsia" w:ascii="宋体" w:hAnsi="宋体" w:eastAsia="黑体" w:cs="宋体"/>
          <w:b/>
          <w:bCs/>
          <w:color w:val="auto"/>
          <w:kern w:val="0"/>
          <w:szCs w:val="21"/>
          <w:highlight w:val="none"/>
          <w:lang w:val="zh-CN" w:bidi="zh-CN"/>
        </w:rPr>
        <w:t>．</w:t>
      </w:r>
      <w:r>
        <w:rPr>
          <w:rFonts w:ascii="宋体" w:hAnsi="宋体" w:eastAsia="黑体" w:cs="宋体"/>
          <w:b/>
          <w:bCs/>
          <w:color w:val="auto"/>
          <w:kern w:val="0"/>
          <w:szCs w:val="21"/>
          <w:highlight w:val="none"/>
          <w:lang w:val="zh-CN" w:bidi="zh-CN"/>
        </w:rPr>
        <w:t>计量与支付</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17</w:t>
      </w:r>
      <w:r>
        <w:rPr>
          <w:rFonts w:hint="eastAsia" w:ascii="宋体" w:hAnsi="宋体" w:eastAsia="黑体" w:cs="宋体"/>
          <w:b/>
          <w:bCs/>
          <w:color w:val="auto"/>
          <w:kern w:val="0"/>
          <w:szCs w:val="21"/>
          <w:highlight w:val="none"/>
          <w:lang w:val="zh-CN" w:bidi="zh-CN"/>
        </w:rPr>
        <w:t>.</w:t>
      </w:r>
      <w:r>
        <w:rPr>
          <w:rFonts w:ascii="宋体" w:hAnsi="宋体" w:eastAsia="黑体" w:cs="宋体"/>
          <w:b/>
          <w:bCs/>
          <w:color w:val="auto"/>
          <w:kern w:val="0"/>
          <w:szCs w:val="21"/>
          <w:highlight w:val="none"/>
          <w:lang w:val="zh-CN" w:bidi="zh-CN"/>
        </w:rPr>
        <w:t>1计量</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17.1.2计量方法</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本项约定为：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工程的计量应以净值为准，除非本合同另有约定。工程量清单中各个子目的具体计量方法按本合同文件技术标准与要求中的规定执行。</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17.1.4单价子目的计量</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本目补充：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7</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承包人未在已标价工程量清单中填入单价或总额价的工程子目，将被认为其己包含在本合同的其他子目的单价和总额价中，发包人将不另行支付。</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17.2预付款</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17.2.1预付款</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本项约定的预付款包括开工预付款和材料、设备预付款。具体额度和预付办法如下：</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1</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开工预付款的金额在项目专用合同条款数据表中约定。在承包人签订了合同协议书且承包人承诺的主要设备进场后，监理人应在当期进度付款证书中向承包人支付开工预付款。</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numPr>
          <w:ilvl w:val="0"/>
          <w:numId w:val="13"/>
        </w:num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材料、设备预付款按项目专用合同条款数据表中所列主要材料、设备单据费用（进口的材料、设备为到岸价，国内采购的为出厂价或销售价，地方材料为堆场价）的百分比支付</w:t>
      </w:r>
      <w:r>
        <w:rPr>
          <w:rFonts w:ascii="宋体" w:hAnsi="宋体" w:cs="宋体"/>
          <w:color w:val="auto"/>
          <w:kern w:val="0"/>
          <w:szCs w:val="21"/>
          <w:highlight w:val="none"/>
          <w:lang w:val="zh-CN" w:bidi="zh-CN"/>
        </w:rPr>
        <w:t>。</w:t>
      </w:r>
    </w:p>
    <w:p>
      <w:pPr>
        <w:autoSpaceDE w:val="0"/>
        <w:autoSpaceDN w:val="0"/>
        <w:adjustRightInd w:val="0"/>
        <w:snapToGrid w:val="0"/>
        <w:spacing w:line="360" w:lineRule="auto"/>
        <w:ind w:left="420" w:left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其预付条件为：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a</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材料、设备符合规范要求并经监理人认可；</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b</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承包人已出具材料、设备费用凭证或支付单据；以及</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c</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材料、设备已在现场交货，且存储良好，监理人认为材料、设备的存储方法符合要求。</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则监理人应将此项金额作为材料、设备预付款计入下一次的进度付款证书中。在预计竣工前3个月，将不再支付材料、设备预付款。</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17.2.2</w:t>
      </w:r>
      <w:r>
        <w:rPr>
          <w:rFonts w:hint="eastAsia" w:ascii="宋体" w:hAnsi="宋体" w:cs="宋体"/>
          <w:color w:val="auto"/>
          <w:kern w:val="0"/>
          <w:szCs w:val="21"/>
          <w:highlight w:val="none"/>
          <w:lang w:val="zh-CN" w:bidi="zh-CN"/>
        </w:rPr>
        <w:t>预付款保函</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承包人无须向发包人提交预付款保函。发包人向承包人支付的预付款，应按照本合同第 17.2.1 项规定使用，承包人提交的履约保证金对预付款的正常使用承担保证责任。</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17.2.3</w:t>
      </w:r>
      <w:r>
        <w:rPr>
          <w:rFonts w:hint="eastAsia" w:ascii="宋体" w:hAnsi="宋体" w:cs="宋体"/>
          <w:color w:val="auto"/>
          <w:kern w:val="0"/>
          <w:szCs w:val="21"/>
          <w:highlight w:val="none"/>
          <w:lang w:val="zh-CN" w:bidi="zh-CN"/>
        </w:rPr>
        <w:t>预付款的扣回与还清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本项约定为：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（1）开工预付款在进度付款证书的累计金额未达到签约合同价的 30%之前不予扣回，在达到签约合同价 30%之后，开始按工程进度以固定比例（即每完成签约合同价的 1%，扣回开工预付款的 2%）分期从各月的进度付款证书中扣回，全部金额在进度付款证书的累计金额达到签约合同价的 80%时扣完。</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（2）当材料、设备已用于或安装在永久工程之中时，材料、设备预付款应从进度付款证书中扣回，扣回期不超过 3 个月。已经支付材料、设备预付款的材料、设备的所有权应属于发包人。</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17.3工程进度付款</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17.3.3进度付款证书和支付时间</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本项（1</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目补充：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ascii="宋体" w:hAnsi="宋体" w:cs="宋体"/>
          <w:color w:val="auto"/>
          <w:kern w:val="0"/>
          <w:szCs w:val="21"/>
          <w:highlight w:val="none"/>
          <w:lang w:val="zh-CN" w:bidi="zh-CN"/>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本项（2）目细化为：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发包人应在监理人收到进度付款申请单且承包人提交了合格的增值税专用发票后的 28 天内，将进度应付款支付给承包人。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发包人不按期支付的，按项目专用合同条款数据表中约定的利率向承包人支付逾期付款违约金。违约金计算基数为发包人的全部未付款额，时间从应付而未付该款额之日算起（不计复利）。</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本款补充第 17.3.5 项：</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17.3.5 </w:t>
      </w:r>
      <w:r>
        <w:rPr>
          <w:rFonts w:hint="eastAsia" w:ascii="宋体" w:hAnsi="宋体" w:cs="宋体"/>
          <w:color w:val="auto"/>
          <w:kern w:val="0"/>
          <w:szCs w:val="21"/>
          <w:highlight w:val="none"/>
          <w:lang w:val="zh-CN" w:bidi="zh-CN"/>
        </w:rPr>
        <w:t>农民工工资保证金</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（1）为确保施工过程中农民工工资实时、足额发放到位，承包人应按照项目专用合同条款约定的时间和金额缴存农民工工资保证金。</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（2）农民工工资保证金可采用银行保函或现金、支票形式。采用银行保函时， 出具保函的银行须具有相应担保能力，且按照发包人批准的格式出具，所需费用由承包人承担。</w:t>
      </w:r>
    </w:p>
    <w:p>
      <w:pPr>
        <w:tabs>
          <w:tab w:val="left" w:pos="958"/>
          <w:tab w:val="left" w:pos="965"/>
        </w:tabs>
        <w:autoSpaceDE w:val="0"/>
        <w:autoSpaceDN w:val="0"/>
        <w:spacing w:line="360" w:lineRule="auto"/>
        <w:ind w:left="424"/>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（3）农民工工资保证金的扣留条件、返还时间按照项目专用合同条款的约定执行。</w:t>
      </w:r>
    </w:p>
    <w:p>
      <w:pPr>
        <w:tabs>
          <w:tab w:val="left" w:pos="958"/>
          <w:tab w:val="left" w:pos="965"/>
        </w:tabs>
        <w:autoSpaceDE w:val="0"/>
        <w:autoSpaceDN w:val="0"/>
        <w:spacing w:line="360" w:lineRule="auto"/>
        <w:jc w:val="left"/>
        <w:rPr>
          <w:rFonts w:ascii="宋体" w:hAnsi="宋体" w:cs="宋体"/>
          <w:color w:val="auto"/>
          <w:kern w:val="0"/>
          <w:szCs w:val="21"/>
          <w:highlight w:val="none"/>
          <w:lang w:bidi="zh-CN"/>
        </w:rPr>
      </w:pPr>
      <w:r>
        <w:rPr>
          <w:rFonts w:hint="eastAsia" w:ascii="宋体" w:hAnsi="宋体" w:eastAsia="黑体" w:cs="宋体"/>
          <w:b/>
          <w:bCs/>
          <w:color w:val="auto"/>
          <w:kern w:val="0"/>
          <w:szCs w:val="21"/>
          <w:highlight w:val="none"/>
          <w:lang w:bidi="zh-CN"/>
        </w:rPr>
        <w:t>17.4</w:t>
      </w:r>
      <w:r>
        <w:rPr>
          <w:rFonts w:hint="eastAsia" w:ascii="宋体" w:hAnsi="宋体" w:eastAsia="黑体" w:cs="宋体"/>
          <w:b/>
          <w:bCs/>
          <w:color w:val="auto"/>
          <w:kern w:val="0"/>
          <w:szCs w:val="21"/>
          <w:highlight w:val="none"/>
          <w:lang w:val="zh-CN" w:bidi="zh-CN"/>
        </w:rPr>
        <w:t>质量保证金</w:t>
      </w:r>
    </w:p>
    <w:p>
      <w:pPr>
        <w:numPr>
          <w:ilvl w:val="1"/>
          <w:numId w:val="14"/>
        </w:numPr>
        <w:tabs>
          <w:tab w:val="left" w:pos="958"/>
          <w:tab w:val="left" w:pos="965"/>
        </w:tabs>
        <w:autoSpaceDE w:val="0"/>
        <w:autoSpaceDN w:val="0"/>
        <w:spacing w:line="360" w:lineRule="auto"/>
        <w:ind w:left="964" w:hanging="54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第 17.4.1 项、第 17.4.2 项细化为：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交工验收证书签发后 14 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 xml:space="preserve">质量保证金采用现金、支票形式提交的，发包人应在项目专用合同条款数据表中明确是否计付利息以及利息的计算方式。 </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val="zh-CN" w:bidi="zh-CN"/>
        </w:rPr>
        <w:t>在第 1.1.4.5 目约定的缺陷责任期满，且质量监督机构已按规定对工程质量检测鉴定合格，承包人向发包人申请到期应返还承包人剩余的质量保证金金额， 发包人应在 14 天内会同承包人按照合同约定的内容核实承包人是否完成缺陷责任。如无异议，发包人应当在核实后将剩余保证金返还承包人。</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17.5竣工结算</w:t>
      </w:r>
    </w:p>
    <w:p>
      <w:pPr>
        <w:autoSpaceDE w:val="0"/>
        <w:autoSpaceDN w:val="0"/>
        <w:adjustRightInd w:val="0"/>
        <w:snapToGrid w:val="0"/>
        <w:spacing w:line="360" w:lineRule="auto"/>
        <w:ind w:firstLine="422" w:firstLineChars="200"/>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17.5.1竣工付款申请单</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本项（1）目约定：</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val="zh-CN" w:bidi="zh-CN"/>
        </w:rPr>
        <w:t>承包人向监理人提交竣工付款申请单（包括相关证明材料）的份数：</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份（在项目专用条款数据表中约定）；期限： 工程接收证书签发后42天内 。</w:t>
      </w:r>
    </w:p>
    <w:p>
      <w:pPr>
        <w:autoSpaceDE w:val="0"/>
        <w:autoSpaceDN w:val="0"/>
        <w:adjustRightInd w:val="0"/>
        <w:snapToGrid w:val="0"/>
        <w:spacing w:line="360" w:lineRule="auto"/>
        <w:ind w:firstLine="420" w:firstLineChars="200"/>
        <w:jc w:val="left"/>
        <w:rPr>
          <w:rFonts w:ascii="宋体" w:hAnsi="宋体" w:eastAsia="黑体" w:cs="宋体"/>
          <w:color w:val="auto"/>
          <w:kern w:val="0"/>
          <w:szCs w:val="21"/>
          <w:highlight w:val="none"/>
          <w:lang w:bidi="zh-CN"/>
        </w:rPr>
      </w:pPr>
      <w:r>
        <w:rPr>
          <w:rFonts w:hint="eastAsia" w:ascii="宋体" w:hAnsi="宋体" w:eastAsia="黑体" w:cs="宋体"/>
          <w:color w:val="auto"/>
          <w:kern w:val="0"/>
          <w:szCs w:val="21"/>
          <w:highlight w:val="none"/>
          <w:lang w:bidi="zh-CN"/>
        </w:rPr>
        <w:t>17.5.2交工付款证书及支付时间</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本项（2）目细化为：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发包人应在监理人出具交工付款证书且承包人提交了合格的增值税专用发票后的 14 天内，将应支付款支付给承包人。发包人不按期支付的，按第 17.3.3（2）目的约定，将逾期付款违约金支付给承包人。</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17.6最终结清</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17.6.1最终结清申请单</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本项（1</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目约定：</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承包人向监理人提交最终结清申请单（包括相关证明材料）的份数在项目专用合同条款数据表中约定；期限：缺陷责任期终止证书签发后 28 天内。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ascii="宋体" w:hAnsi="宋体" w:cs="宋体"/>
          <w:color w:val="auto"/>
          <w:kern w:val="0"/>
          <w:szCs w:val="21"/>
          <w:highlight w:val="none"/>
          <w:lang w:val="zh-CN" w:bidi="zh-CN"/>
        </w:rPr>
        <w:t>最终结清申请单中的总金额应认为是代表了根据合同规定应付给承包人的全部款项的最后结算。</w:t>
      </w:r>
    </w:p>
    <w:p>
      <w:pPr>
        <w:autoSpaceDE w:val="0"/>
        <w:autoSpaceDN w:val="0"/>
        <w:adjustRightInd w:val="0"/>
        <w:snapToGrid w:val="0"/>
        <w:spacing w:line="360" w:lineRule="auto"/>
        <w:ind w:firstLine="420" w:firstLineChars="200"/>
        <w:jc w:val="left"/>
        <w:rPr>
          <w:rFonts w:ascii="宋体" w:hAnsi="宋体" w:eastAsia="黑体" w:cs="宋体"/>
          <w:color w:val="auto"/>
          <w:kern w:val="0"/>
          <w:szCs w:val="21"/>
          <w:highlight w:val="none"/>
          <w:lang w:bidi="zh-CN"/>
        </w:rPr>
      </w:pPr>
      <w:r>
        <w:rPr>
          <w:rFonts w:hint="eastAsia" w:ascii="宋体" w:hAnsi="宋体" w:eastAsia="黑体" w:cs="宋体"/>
          <w:color w:val="auto"/>
          <w:kern w:val="0"/>
          <w:szCs w:val="21"/>
          <w:highlight w:val="none"/>
          <w:lang w:bidi="zh-CN"/>
        </w:rPr>
        <w:t>17.6.2最终结清证书和支付时间</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本项（2）目细化为：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（2）发包人应在监理人出具最终结清证书且承包人提交了合格的增值税专用发票后的 14 天内，将应支付款支付给承包人。发包人不按期支付的，按第 17.3.3（2） 目的约定，将逾期付款违约金支付给承包人。</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18．交工验收</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18.2交工验收申请报告</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本款第（2）项约定为：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竣工资料的内容：承包人应按照《公路工程竣（交）工验收办法》和相关规定编制竣工资料。</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竣工资料的份数在项目专用合同条款数据表中约定。</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18.3验收</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18.3.2项补充：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交工验收由发包人主持，由发包人、监理人、质监、设计、施工、运营、管理养护等有关部门代表组成交工验收委员会，对本项目的工程质量进行评定，并写出交工验收报告报交通主管部门备案。承包人应按发包人的要求提交竣工资料，完成交工验收准备工作。</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18.3.5项约定为：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ascii="宋体" w:hAnsi="宋体" w:cs="宋体"/>
          <w:color w:val="auto"/>
          <w:kern w:val="0"/>
          <w:szCs w:val="21"/>
          <w:highlight w:val="none"/>
          <w:lang w:val="zh-CN" w:bidi="zh-CN"/>
        </w:rPr>
        <w:t>经验收合格工程的实际交工日期</w:t>
      </w:r>
      <w:r>
        <w:rPr>
          <w:rFonts w:ascii="宋体" w:hAnsi="宋体" w:cs="宋体"/>
          <w:color w:val="auto"/>
          <w:kern w:val="0"/>
          <w:szCs w:val="21"/>
          <w:highlight w:val="none"/>
          <w:lang w:val="zh-CN" w:bidi="zh-CN"/>
        </w:rPr>
        <w:t>，以最终提交交工验收申请报告的日期为准，并在工程接收证书中写明。</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本款增加第18.3.7项：</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第18.3.</w:t>
      </w:r>
      <w:r>
        <w:rPr>
          <w:rFonts w:hint="eastAsia" w:ascii="宋体" w:hAnsi="宋体" w:cs="宋体"/>
          <w:color w:val="auto"/>
          <w:kern w:val="0"/>
          <w:szCs w:val="21"/>
          <w:highlight w:val="none"/>
          <w:lang w:val="zh-CN" w:bidi="zh-CN"/>
        </w:rPr>
        <w:t>7</w:t>
      </w:r>
      <w:r>
        <w:rPr>
          <w:rFonts w:ascii="宋体" w:hAnsi="宋体" w:cs="宋体"/>
          <w:color w:val="auto"/>
          <w:kern w:val="0"/>
          <w:szCs w:val="21"/>
          <w:highlight w:val="none"/>
          <w:lang w:val="zh-CN" w:bidi="zh-CN"/>
        </w:rPr>
        <w:t>项：</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ascii="宋体" w:hAnsi="宋体" w:cs="宋体"/>
          <w:color w:val="auto"/>
          <w:kern w:val="0"/>
          <w:szCs w:val="21"/>
          <w:highlight w:val="none"/>
          <w:lang w:val="zh-CN" w:bidi="zh-CN"/>
        </w:rPr>
        <w:t>组织办理交工验收和签发交工验收证书的费用由发包人承担。但按照18.3.4项规定达不到合格标准的交工验收费用由承包人承担。</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本条增加第18.9款：</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18.9竣工文件</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ascii="宋体" w:hAnsi="宋体" w:cs="宋体"/>
          <w:color w:val="auto"/>
          <w:kern w:val="0"/>
          <w:szCs w:val="21"/>
          <w:highlight w:val="none"/>
          <w:lang w:val="zh-CN" w:bidi="zh-CN"/>
        </w:rPr>
        <w:t>承包人应按照交通部《公路工程竣（交）工验收办法》的相关规定，在缺陷责任期内为竣工验收补充竣工资料，并在签发缺陷责任期终止证书之前提交。</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19</w:t>
      </w:r>
      <w:r>
        <w:rPr>
          <w:rFonts w:hint="eastAsia" w:ascii="宋体" w:hAnsi="宋体" w:eastAsia="黑体" w:cs="宋体"/>
          <w:b/>
          <w:bCs/>
          <w:color w:val="auto"/>
          <w:kern w:val="0"/>
          <w:szCs w:val="21"/>
          <w:highlight w:val="none"/>
          <w:lang w:val="zh-CN" w:bidi="zh-CN"/>
        </w:rPr>
        <w:t>．</w:t>
      </w:r>
      <w:r>
        <w:rPr>
          <w:rFonts w:ascii="宋体" w:hAnsi="宋体" w:eastAsia="黑体" w:cs="宋体"/>
          <w:b/>
          <w:bCs/>
          <w:color w:val="auto"/>
          <w:kern w:val="0"/>
          <w:szCs w:val="21"/>
          <w:highlight w:val="none"/>
          <w:lang w:val="zh-CN" w:bidi="zh-CN"/>
        </w:rPr>
        <w:t>缺陷责任与保修责任</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19.2缺陷责任</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19.2.2项补充：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ascii="宋体" w:hAnsi="宋体" w:cs="宋体"/>
          <w:color w:val="auto"/>
          <w:kern w:val="0"/>
          <w:szCs w:val="21"/>
          <w:highlight w:val="none"/>
          <w:lang w:val="zh-CN" w:bidi="zh-CN"/>
        </w:rPr>
        <w:t>在缺陷责任期内，承包人应尽快完成在工程接收证书中写明的未完成工作，并完成对本工程缺陷的修复或监理人指令的修补工作。</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19.7保修责任</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w:t>
      </w:r>
      <w:r>
        <w:rPr>
          <w:rFonts w:hint="eastAsia" w:ascii="宋体" w:hAnsi="宋体" w:cs="宋体"/>
          <w:color w:val="auto"/>
          <w:kern w:val="0"/>
          <w:szCs w:val="21"/>
          <w:highlight w:val="none"/>
          <w:lang w:val="zh-CN" w:bidi="zh-CN"/>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（2</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在全部工程竣工验收前，已经发包人提前验收的单位工程，其保修期的起算日期相应提前。</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3</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工程保修期终止后28天内，监理人签发保修期终止证书。</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（4）若承包人不履行保修义务和责任，则承包人应承担由于违约造成的法律后果，并由发包人将其违约行为上报省级交通运输主管部门，作为不良记录纳入公路建设市场信用信息管理系统。</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20</w:t>
      </w:r>
      <w:r>
        <w:rPr>
          <w:rFonts w:hint="eastAsia" w:ascii="宋体" w:hAnsi="宋体" w:eastAsia="黑体" w:cs="宋体"/>
          <w:b/>
          <w:bCs/>
          <w:color w:val="auto"/>
          <w:kern w:val="0"/>
          <w:szCs w:val="21"/>
          <w:highlight w:val="none"/>
          <w:lang w:val="zh-CN" w:bidi="zh-CN"/>
        </w:rPr>
        <w:t>．</w:t>
      </w:r>
      <w:r>
        <w:rPr>
          <w:rFonts w:ascii="宋体" w:hAnsi="宋体" w:eastAsia="黑体" w:cs="宋体"/>
          <w:b/>
          <w:bCs/>
          <w:color w:val="auto"/>
          <w:kern w:val="0"/>
          <w:szCs w:val="21"/>
          <w:highlight w:val="none"/>
          <w:lang w:val="zh-CN" w:bidi="zh-CN"/>
        </w:rPr>
        <w:t>保险</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20.1工程保险</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本款约定为：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建筑工程一切险的投保内容：为永久工程、临时工程和设备及</w:t>
      </w:r>
      <w:r>
        <w:rPr>
          <w:rFonts w:hint="eastAsia" w:ascii="宋体" w:hAnsi="宋体" w:cs="宋体"/>
          <w:color w:val="auto"/>
          <w:kern w:val="0"/>
          <w:szCs w:val="21"/>
          <w:highlight w:val="none"/>
          <w:lang w:val="zh-CN" w:bidi="zh-CN"/>
        </w:rPr>
        <w:t>已</w:t>
      </w:r>
      <w:r>
        <w:rPr>
          <w:rFonts w:ascii="宋体" w:hAnsi="宋体" w:cs="宋体"/>
          <w:color w:val="auto"/>
          <w:kern w:val="0"/>
          <w:szCs w:val="21"/>
          <w:highlight w:val="none"/>
          <w:lang w:val="zh-CN" w:bidi="zh-CN"/>
        </w:rPr>
        <w:t>运至施工工地用于永久工程的材料和设备所投的保险。</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保险金额：工程量清单第100章（不含建筑工程一切险及第三者责任险的保险费）至700章的合计金额。</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保险费率：在项目专用条款数据中约定</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保险期限：开工日起直至本合同工程签发缺陷责任期终止证书止（即合同工期＋缺陷责任期）</w:t>
      </w:r>
    </w:p>
    <w:p>
      <w:pPr>
        <w:autoSpaceDE w:val="0"/>
        <w:autoSpaceDN w:val="0"/>
        <w:adjustRightInd w:val="0"/>
        <w:snapToGrid w:val="0"/>
        <w:spacing w:line="360" w:lineRule="auto"/>
        <w:ind w:firstLine="422" w:firstLineChars="200"/>
        <w:jc w:val="left"/>
        <w:rPr>
          <w:rFonts w:ascii="宋体" w:hAnsi="宋体" w:cs="宋体"/>
          <w:color w:val="auto"/>
          <w:kern w:val="0"/>
          <w:szCs w:val="21"/>
          <w:highlight w:val="none"/>
          <w:lang w:val="zh-CN" w:bidi="zh-CN"/>
        </w:rPr>
      </w:pPr>
      <w:r>
        <w:rPr>
          <w:rFonts w:ascii="宋体" w:hAnsi="宋体" w:cs="宋体"/>
          <w:b/>
          <w:bCs/>
          <w:color w:val="auto"/>
          <w:kern w:val="0"/>
          <w:szCs w:val="21"/>
          <w:highlight w:val="none"/>
          <w:lang w:val="zh-CN" w:bidi="zh-CN"/>
        </w:rPr>
        <w:t>承包人应以发包人和承包人的共同名义投保建筑工程一切险。</w:t>
      </w:r>
      <w:r>
        <w:rPr>
          <w:rFonts w:ascii="宋体" w:hAnsi="宋体" w:cs="宋体"/>
          <w:color w:val="auto"/>
          <w:kern w:val="0"/>
          <w:szCs w:val="21"/>
          <w:highlight w:val="none"/>
          <w:lang w:val="zh-CN" w:bidi="zh-CN"/>
        </w:rPr>
        <w:t>建筑工程一切险的保险费由承包人报价时列入工程量清单100章内。发包人在接到保险单后，将按照保险单的费用直接向承包人支付。</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20.4第三者责任险</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20.4.2项约定为：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第三者责任险的保险费由承包人报价时列入工程量清单100章内。发包人在接到保险单后，将按照保险单的费用直接向承包人支付。</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20.5其他保险</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承包人应为其施工设备等办理保险，其投保金额应足以现场重置。办理本款保险的一切费用均由承包人承担，并包括在工程量清单的单价及总额价中，发包人不单独支付</w:t>
      </w:r>
      <w:r>
        <w:rPr>
          <w:rFonts w:hint="eastAsia" w:ascii="宋体" w:hAnsi="宋体" w:cs="宋体"/>
          <w:color w:val="auto"/>
          <w:kern w:val="0"/>
          <w:szCs w:val="21"/>
          <w:highlight w:val="none"/>
          <w:lang w:val="zh-CN" w:bidi="zh-CN"/>
        </w:rPr>
        <w:t>。</w:t>
      </w:r>
    </w:p>
    <w:p>
      <w:pPr>
        <w:autoSpaceDE w:val="0"/>
        <w:autoSpaceDN w:val="0"/>
        <w:adjustRightInd w:val="0"/>
        <w:snapToGrid w:val="0"/>
        <w:spacing w:line="360" w:lineRule="auto"/>
        <w:jc w:val="left"/>
        <w:rPr>
          <w:rFonts w:ascii="宋体" w:hAnsi="宋体" w:eastAsia="黑体" w:cs="宋体"/>
          <w:color w:val="auto"/>
          <w:kern w:val="0"/>
          <w:szCs w:val="21"/>
          <w:highlight w:val="none"/>
          <w:lang w:val="zh-CN" w:bidi="zh-CN"/>
        </w:rPr>
      </w:pPr>
      <w:r>
        <w:rPr>
          <w:rFonts w:ascii="宋体" w:hAnsi="宋体" w:eastAsia="黑体" w:cs="宋体"/>
          <w:color w:val="auto"/>
          <w:kern w:val="0"/>
          <w:szCs w:val="21"/>
          <w:highlight w:val="none"/>
          <w:lang w:val="zh-CN" w:bidi="zh-CN"/>
        </w:rPr>
        <w:t>20.6对各项保险的一般要求</w:t>
      </w:r>
    </w:p>
    <w:p>
      <w:pPr>
        <w:autoSpaceDE w:val="0"/>
        <w:autoSpaceDN w:val="0"/>
        <w:adjustRightInd w:val="0"/>
        <w:snapToGrid w:val="0"/>
        <w:spacing w:line="360" w:lineRule="auto"/>
        <w:ind w:firstLine="422" w:firstLineChars="200"/>
        <w:jc w:val="left"/>
        <w:rPr>
          <w:rFonts w:ascii="宋体" w:hAnsi="宋体" w:cs="宋体"/>
          <w:b/>
          <w:bCs/>
          <w:color w:val="auto"/>
          <w:kern w:val="0"/>
          <w:szCs w:val="21"/>
          <w:highlight w:val="none"/>
          <w:lang w:val="zh-CN" w:bidi="zh-CN"/>
        </w:rPr>
      </w:pPr>
      <w:r>
        <w:rPr>
          <w:rFonts w:ascii="宋体" w:hAnsi="宋体" w:cs="宋体"/>
          <w:b/>
          <w:bCs/>
          <w:color w:val="auto"/>
          <w:kern w:val="0"/>
          <w:szCs w:val="21"/>
          <w:highlight w:val="none"/>
          <w:lang w:val="zh-CN" w:bidi="zh-CN"/>
        </w:rPr>
        <w:t>20.6.1保险凭证</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本项约定为：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承包人向发包人提交各项保险生效的证据和保险单副本的期限：</w:t>
      </w:r>
      <w:r>
        <w:rPr>
          <w:rFonts w:hint="eastAsia" w:ascii="宋体" w:hAnsi="宋体" w:cs="宋体"/>
          <w:color w:val="auto"/>
          <w:kern w:val="0"/>
          <w:szCs w:val="21"/>
          <w:highlight w:val="none"/>
          <w:u w:val="single"/>
          <w:lang w:val="zh-CN" w:bidi="zh-CN"/>
        </w:rPr>
        <w:t xml:space="preserve">  开工后</w:t>
      </w:r>
      <w:r>
        <w:rPr>
          <w:rFonts w:hint="eastAsia" w:ascii="宋体" w:hAnsi="宋体" w:cs="宋体"/>
          <w:color w:val="auto"/>
          <w:kern w:val="0"/>
          <w:szCs w:val="21"/>
          <w:highlight w:val="none"/>
          <w:u w:val="single"/>
          <w:lang w:bidi="zh-CN"/>
        </w:rPr>
        <w:t>15</w:t>
      </w:r>
      <w:r>
        <w:rPr>
          <w:rFonts w:hint="eastAsia" w:ascii="宋体" w:hAnsi="宋体" w:cs="宋体"/>
          <w:color w:val="auto"/>
          <w:kern w:val="0"/>
          <w:szCs w:val="21"/>
          <w:highlight w:val="none"/>
          <w:u w:val="single"/>
          <w:lang w:val="zh-CN" w:bidi="zh-CN"/>
        </w:rPr>
        <w:t xml:space="preserve">天内 </w:t>
      </w:r>
      <w:r>
        <w:rPr>
          <w:rFonts w:ascii="宋体" w:hAnsi="宋体" w:cs="宋体"/>
          <w:color w:val="auto"/>
          <w:kern w:val="0"/>
          <w:szCs w:val="21"/>
          <w:highlight w:val="none"/>
          <w:lang w:val="zh-CN" w:bidi="zh-CN"/>
        </w:rPr>
        <w:t>。</w:t>
      </w:r>
    </w:p>
    <w:p>
      <w:pPr>
        <w:autoSpaceDE w:val="0"/>
        <w:autoSpaceDN w:val="0"/>
        <w:adjustRightInd w:val="0"/>
        <w:snapToGrid w:val="0"/>
        <w:spacing w:line="360" w:lineRule="auto"/>
        <w:ind w:firstLine="422" w:firstLineChars="200"/>
        <w:jc w:val="left"/>
        <w:rPr>
          <w:rFonts w:ascii="宋体" w:hAnsi="宋体" w:cs="宋体"/>
          <w:b/>
          <w:bCs/>
          <w:color w:val="auto"/>
          <w:kern w:val="0"/>
          <w:szCs w:val="21"/>
          <w:highlight w:val="none"/>
          <w:lang w:val="zh-CN" w:bidi="zh-CN"/>
        </w:rPr>
      </w:pPr>
      <w:r>
        <w:rPr>
          <w:rFonts w:ascii="宋体" w:hAnsi="宋体" w:cs="宋体"/>
          <w:b/>
          <w:bCs/>
          <w:color w:val="auto"/>
          <w:kern w:val="0"/>
          <w:szCs w:val="21"/>
          <w:highlight w:val="none"/>
          <w:lang w:val="zh-CN" w:bidi="zh-CN"/>
        </w:rPr>
        <w:t>20.6.3持续保险</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本项补充：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在整个合同期内，承包人应按合同条款保证足够的保险额。</w:t>
      </w:r>
    </w:p>
    <w:p>
      <w:pPr>
        <w:autoSpaceDE w:val="0"/>
        <w:autoSpaceDN w:val="0"/>
        <w:adjustRightInd w:val="0"/>
        <w:snapToGrid w:val="0"/>
        <w:spacing w:line="360" w:lineRule="auto"/>
        <w:ind w:firstLine="422" w:firstLineChars="200"/>
        <w:jc w:val="left"/>
        <w:rPr>
          <w:rFonts w:ascii="宋体" w:hAnsi="宋体" w:cs="宋体"/>
          <w:b/>
          <w:bCs/>
          <w:color w:val="auto"/>
          <w:kern w:val="0"/>
          <w:szCs w:val="21"/>
          <w:highlight w:val="none"/>
          <w:lang w:val="zh-CN" w:bidi="zh-CN"/>
        </w:rPr>
      </w:pPr>
      <w:r>
        <w:rPr>
          <w:rFonts w:ascii="宋体" w:hAnsi="宋体" w:cs="宋体"/>
          <w:b/>
          <w:bCs/>
          <w:color w:val="auto"/>
          <w:kern w:val="0"/>
          <w:szCs w:val="21"/>
          <w:highlight w:val="none"/>
          <w:lang w:val="zh-CN" w:bidi="zh-CN"/>
        </w:rPr>
        <w:t>20.6.4保险</w:t>
      </w:r>
      <w:r>
        <w:rPr>
          <w:rFonts w:hint="eastAsia" w:ascii="宋体" w:hAnsi="宋体" w:cs="宋体"/>
          <w:b/>
          <w:bCs/>
          <w:color w:val="auto"/>
          <w:kern w:val="0"/>
          <w:szCs w:val="21"/>
          <w:highlight w:val="none"/>
          <w:lang w:val="zh-CN" w:bidi="zh-CN"/>
        </w:rPr>
        <w:t>金</w:t>
      </w:r>
      <w:r>
        <w:rPr>
          <w:rFonts w:ascii="宋体" w:hAnsi="宋体" w:cs="宋体"/>
          <w:b/>
          <w:bCs/>
          <w:color w:val="auto"/>
          <w:kern w:val="0"/>
          <w:szCs w:val="21"/>
          <w:highlight w:val="none"/>
          <w:lang w:val="zh-CN" w:bidi="zh-CN"/>
        </w:rPr>
        <w:t>不足的补偿</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本项细化为： </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保险金不足以补偿损失的（包括免赔额和超过赔偿限额的部分），应由承包人和（或）发包人按合同约定负责补偿。</w:t>
      </w:r>
    </w:p>
    <w:p>
      <w:pPr>
        <w:autoSpaceDE w:val="0"/>
        <w:autoSpaceDN w:val="0"/>
        <w:adjustRightInd w:val="0"/>
        <w:snapToGrid w:val="0"/>
        <w:spacing w:line="360" w:lineRule="auto"/>
        <w:ind w:firstLine="422" w:firstLineChars="200"/>
        <w:jc w:val="left"/>
        <w:rPr>
          <w:rFonts w:ascii="宋体" w:hAnsi="宋体" w:cs="宋体"/>
          <w:b/>
          <w:bCs/>
          <w:color w:val="auto"/>
          <w:kern w:val="0"/>
          <w:szCs w:val="21"/>
          <w:highlight w:val="none"/>
          <w:lang w:val="zh-CN" w:bidi="zh-CN"/>
        </w:rPr>
      </w:pPr>
      <w:r>
        <w:rPr>
          <w:rFonts w:ascii="宋体" w:hAnsi="宋体" w:cs="宋体"/>
          <w:b/>
          <w:bCs/>
          <w:color w:val="auto"/>
          <w:kern w:val="0"/>
          <w:szCs w:val="21"/>
          <w:highlight w:val="none"/>
          <w:lang w:val="zh-CN" w:bidi="zh-CN"/>
        </w:rPr>
        <w:t>20.6.5未按约定投保的补救</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本项（2）目细化为：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2</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21．不可抗力</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21.1不可抗力的确认</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21</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1</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1项细化为：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不可抗力是指承包人和发包人在订立合同时不可预见，在工程施工过程中不可避免发生并不能克服的自然灾害和社会性突发事件。包括但不限于：</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1</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地震、海啸、火山爆发、泥石流、暴雨（雪）、台风、龙卷风、水灾等自然灾害；</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2</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战争、骚乱、暴动，但纯属承包人或其分包人派遣与雇用的人员由于本合同工程施工原因引起者除外；</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（3）核反应、辐射或放射性污染；</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4</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空中飞行物体坠落或非发包人或承包人责任造成的爆炸、火灾；</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（5</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瘟疫；</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6</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项目专用合同条款约定的其他情形。</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21.3不可抗力后果及其处理</w:t>
      </w:r>
    </w:p>
    <w:p>
      <w:pPr>
        <w:autoSpaceDE w:val="0"/>
        <w:autoSpaceDN w:val="0"/>
        <w:adjustRightInd w:val="0"/>
        <w:snapToGrid w:val="0"/>
        <w:spacing w:line="360" w:lineRule="auto"/>
        <w:ind w:firstLine="422" w:firstLineChars="200"/>
        <w:jc w:val="left"/>
        <w:rPr>
          <w:rFonts w:ascii="宋体" w:hAnsi="宋体" w:cs="宋体"/>
          <w:b/>
          <w:bCs/>
          <w:color w:val="auto"/>
          <w:kern w:val="0"/>
          <w:szCs w:val="21"/>
          <w:highlight w:val="none"/>
          <w:lang w:val="zh-CN" w:bidi="zh-CN"/>
        </w:rPr>
      </w:pPr>
      <w:r>
        <w:rPr>
          <w:rFonts w:ascii="宋体" w:hAnsi="宋体" w:cs="宋体"/>
          <w:b/>
          <w:bCs/>
          <w:color w:val="auto"/>
          <w:kern w:val="0"/>
          <w:szCs w:val="21"/>
          <w:highlight w:val="none"/>
          <w:lang w:val="zh-CN" w:bidi="zh-CN"/>
        </w:rPr>
        <w:t>21.3.4因不可抗力解除合同</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22</w:t>
      </w:r>
      <w:r>
        <w:rPr>
          <w:rFonts w:hint="eastAsia" w:ascii="宋体" w:hAnsi="宋体" w:eastAsia="黑体" w:cs="宋体"/>
          <w:b/>
          <w:bCs/>
          <w:color w:val="auto"/>
          <w:kern w:val="0"/>
          <w:szCs w:val="21"/>
          <w:highlight w:val="none"/>
          <w:lang w:val="zh-CN" w:bidi="zh-CN"/>
        </w:rPr>
        <w:t>．</w:t>
      </w:r>
      <w:r>
        <w:rPr>
          <w:rFonts w:ascii="宋体" w:hAnsi="宋体" w:eastAsia="黑体" w:cs="宋体"/>
          <w:b/>
          <w:bCs/>
          <w:color w:val="auto"/>
          <w:kern w:val="0"/>
          <w:szCs w:val="21"/>
          <w:highlight w:val="none"/>
          <w:lang w:val="zh-CN" w:bidi="zh-CN"/>
        </w:rPr>
        <w:t>违约</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22.1承包人违约</w:t>
      </w:r>
    </w:p>
    <w:p>
      <w:pPr>
        <w:autoSpaceDE w:val="0"/>
        <w:autoSpaceDN w:val="0"/>
        <w:adjustRightInd w:val="0"/>
        <w:snapToGrid w:val="0"/>
        <w:spacing w:line="360" w:lineRule="auto"/>
        <w:ind w:firstLine="422" w:firstLineChars="200"/>
        <w:jc w:val="left"/>
        <w:rPr>
          <w:rFonts w:ascii="宋体" w:hAnsi="宋体" w:cs="宋体"/>
          <w:b/>
          <w:bCs/>
          <w:color w:val="auto"/>
          <w:kern w:val="0"/>
          <w:szCs w:val="21"/>
          <w:highlight w:val="none"/>
          <w:lang w:val="zh-CN" w:bidi="zh-CN"/>
        </w:rPr>
      </w:pPr>
      <w:r>
        <w:rPr>
          <w:rFonts w:ascii="宋体" w:hAnsi="宋体" w:cs="宋体"/>
          <w:b/>
          <w:bCs/>
          <w:color w:val="auto"/>
          <w:kern w:val="0"/>
          <w:szCs w:val="21"/>
          <w:highlight w:val="none"/>
          <w:lang w:val="zh-CN" w:bidi="zh-CN"/>
        </w:rPr>
        <w:t>22.1.1承包人违约的情形</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2</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目细化为：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2</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承包人违反第5.3款或第6.4款的约定，未经监理人批准，私自将已按合同约定进入施工场地的施工设备、临时设施、材料或工程设备撤离施工场地；</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7</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目细化为：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（7</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承包人未能按期开工；</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（8</w:t>
      </w:r>
      <w:r>
        <w:rPr>
          <w:rFonts w:hint="eastAsia" w:ascii="宋体" w:hAnsi="宋体" w:cs="宋体"/>
          <w:color w:val="auto"/>
          <w:kern w:val="0"/>
          <w:szCs w:val="21"/>
          <w:highlight w:val="none"/>
          <w:lang w:val="zh-CN" w:bidi="zh-CN"/>
        </w:rPr>
        <w:t>）承包人违反第 4.6 款或第 6.3 款的规定，未按承诺或未按监理人的要求及时配备称职的主要管理人员、技术骨干或关键施工设备；</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（9）经监理人和发包人检查，发现承包人有安全问题或有违反安全管理规章制度的情况；</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w:t>
      </w:r>
      <w:r>
        <w:rPr>
          <w:rFonts w:hint="eastAsia" w:ascii="宋体" w:hAnsi="宋体" w:cs="宋体"/>
          <w:color w:val="auto"/>
          <w:kern w:val="0"/>
          <w:szCs w:val="21"/>
          <w:highlight w:val="none"/>
          <w:lang w:bidi="zh-CN"/>
        </w:rPr>
        <w:t>10</w:t>
      </w:r>
      <w:r>
        <w:rPr>
          <w:rFonts w:hint="eastAsia" w:ascii="宋体" w:hAnsi="宋体" w:cs="宋体"/>
          <w:color w:val="auto"/>
          <w:kern w:val="0"/>
          <w:szCs w:val="21"/>
          <w:highlight w:val="none"/>
          <w:lang w:val="zh-CN" w:bidi="zh-CN"/>
        </w:rPr>
        <w:t>）</w:t>
      </w:r>
      <w:r>
        <w:rPr>
          <w:rFonts w:ascii="宋体" w:hAnsi="宋体" w:cs="宋体"/>
          <w:color w:val="auto"/>
          <w:kern w:val="0"/>
          <w:szCs w:val="21"/>
          <w:highlight w:val="none"/>
          <w:lang w:val="zh-CN" w:bidi="zh-CN"/>
        </w:rPr>
        <w:t>承包人不按合同约定履行义务的其他情况。</w:t>
      </w:r>
    </w:p>
    <w:p>
      <w:pPr>
        <w:autoSpaceDE w:val="0"/>
        <w:autoSpaceDN w:val="0"/>
        <w:adjustRightInd w:val="0"/>
        <w:snapToGrid w:val="0"/>
        <w:spacing w:line="360" w:lineRule="auto"/>
        <w:ind w:firstLine="422" w:firstLineChars="200"/>
        <w:jc w:val="left"/>
        <w:rPr>
          <w:rFonts w:ascii="宋体" w:hAnsi="宋体" w:cs="宋体"/>
          <w:b/>
          <w:bCs/>
          <w:color w:val="auto"/>
          <w:kern w:val="0"/>
          <w:szCs w:val="21"/>
          <w:highlight w:val="none"/>
          <w:lang w:val="zh-CN" w:bidi="zh-CN"/>
        </w:rPr>
      </w:pPr>
      <w:r>
        <w:rPr>
          <w:rFonts w:ascii="宋体" w:hAnsi="宋体" w:cs="宋体"/>
          <w:b/>
          <w:bCs/>
          <w:color w:val="auto"/>
          <w:kern w:val="0"/>
          <w:szCs w:val="21"/>
          <w:highlight w:val="none"/>
          <w:lang w:val="zh-CN" w:bidi="zh-CN"/>
        </w:rPr>
        <w:t>22.1.2对承包人违约的处理</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本项补充：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ascii="宋体" w:hAnsi="宋体" w:cs="宋体"/>
          <w:color w:val="auto"/>
          <w:kern w:val="0"/>
          <w:szCs w:val="21"/>
          <w:highlight w:val="none"/>
          <w:lang w:val="zh-CN" w:bidi="zh-CN"/>
        </w:rPr>
        <w:t>承包人发生第22.1.1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hint="eastAsia" w:ascii="宋体" w:hAnsi="宋体" w:eastAsia="黑体" w:cs="宋体"/>
          <w:b/>
          <w:bCs/>
          <w:color w:val="auto"/>
          <w:kern w:val="0"/>
          <w:szCs w:val="21"/>
          <w:highlight w:val="none"/>
          <w:lang w:bidi="zh-CN"/>
        </w:rPr>
        <w:t>22.2</w:t>
      </w:r>
      <w:r>
        <w:rPr>
          <w:rFonts w:hint="eastAsia" w:ascii="宋体" w:hAnsi="宋体" w:eastAsia="黑体" w:cs="宋体"/>
          <w:b/>
          <w:bCs/>
          <w:color w:val="auto"/>
          <w:kern w:val="0"/>
          <w:szCs w:val="21"/>
          <w:highlight w:val="none"/>
          <w:lang w:val="zh-CN" w:bidi="zh-CN"/>
        </w:rPr>
        <w:t>发包人违约</w:t>
      </w:r>
    </w:p>
    <w:p>
      <w:pPr>
        <w:autoSpaceDE w:val="0"/>
        <w:autoSpaceDN w:val="0"/>
        <w:adjustRightInd w:val="0"/>
        <w:snapToGrid w:val="0"/>
        <w:spacing w:line="360" w:lineRule="auto"/>
        <w:ind w:firstLine="422" w:firstLineChars="200"/>
        <w:jc w:val="left"/>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bidi="zh-CN"/>
        </w:rPr>
        <w:t>22.2.1</w:t>
      </w:r>
      <w:r>
        <w:rPr>
          <w:rFonts w:hint="eastAsia" w:ascii="宋体" w:hAnsi="宋体" w:cs="宋体"/>
          <w:b/>
          <w:bCs/>
          <w:color w:val="auto"/>
          <w:kern w:val="0"/>
          <w:szCs w:val="21"/>
          <w:highlight w:val="none"/>
          <w:lang w:val="zh-CN" w:bidi="zh-CN"/>
        </w:rPr>
        <w:t>发包人违约的情形</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本项（5）目细化为：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（5）发包人无正当理由不按时返还履约保证金、质量保证金或农民工工资保证金的；</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（6）发包人不履行合同约定其他义务的。</w:t>
      </w:r>
    </w:p>
    <w:p>
      <w:pPr>
        <w:autoSpaceDE w:val="0"/>
        <w:autoSpaceDN w:val="0"/>
        <w:adjustRightInd w:val="0"/>
        <w:snapToGrid w:val="0"/>
        <w:spacing w:line="360" w:lineRule="auto"/>
        <w:ind w:firstLine="422" w:firstLineChars="200"/>
        <w:jc w:val="left"/>
        <w:rPr>
          <w:rFonts w:ascii="宋体" w:hAnsi="宋体" w:cs="宋体"/>
          <w:b/>
          <w:bCs/>
          <w:color w:val="auto"/>
          <w:kern w:val="0"/>
          <w:szCs w:val="21"/>
          <w:highlight w:val="none"/>
          <w:lang w:bidi="zh-CN"/>
        </w:rPr>
      </w:pPr>
      <w:r>
        <w:rPr>
          <w:rFonts w:hint="eastAsia" w:ascii="宋体" w:hAnsi="宋体" w:cs="宋体"/>
          <w:b/>
          <w:bCs/>
          <w:color w:val="auto"/>
          <w:kern w:val="0"/>
          <w:szCs w:val="21"/>
          <w:highlight w:val="none"/>
          <w:lang w:bidi="zh-CN"/>
        </w:rPr>
        <w:t>22.2.2承包人有权暂停施工</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发包人发生除第 22.2.1（4）、（5）目以外的违约情况时，承包人可向发包人发出通知，要求发包人采取有效措施纠正违约行为。发包人收到承包人通知后的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发包人发生第 22.2.1（5）目的违约情况时，承包人可向发包人发出通知，要求发包人采取有效措施纠正违约行为。发包人收到承包人通知后的 28 天内仍不返还履约保证金、质量保证金或农民工工资保证金的，发包人应按项目专用合同条款的约定向承包人支付逾期返还保证金的违约金。</w:t>
      </w:r>
    </w:p>
    <w:p>
      <w:pPr>
        <w:autoSpaceDE w:val="0"/>
        <w:autoSpaceDN w:val="0"/>
        <w:adjustRightInd w:val="0"/>
        <w:snapToGrid w:val="0"/>
        <w:spacing w:line="360" w:lineRule="auto"/>
        <w:ind w:firstLine="422" w:firstLineChars="200"/>
        <w:jc w:val="left"/>
        <w:rPr>
          <w:rFonts w:ascii="宋体" w:hAnsi="宋体" w:cs="宋体"/>
          <w:b/>
          <w:bCs/>
          <w:color w:val="auto"/>
          <w:kern w:val="0"/>
          <w:szCs w:val="21"/>
          <w:highlight w:val="none"/>
          <w:lang w:val="zh-CN" w:bidi="zh-CN"/>
        </w:rPr>
      </w:pPr>
      <w:r>
        <w:rPr>
          <w:rFonts w:ascii="宋体" w:hAnsi="宋体" w:cs="宋体"/>
          <w:b/>
          <w:bCs/>
          <w:color w:val="auto"/>
          <w:kern w:val="0"/>
          <w:szCs w:val="21"/>
          <w:highlight w:val="none"/>
          <w:lang w:val="zh-CN" w:bidi="zh-CN"/>
        </w:rPr>
        <w:t xml:space="preserve">22.2.4 </w:t>
      </w:r>
      <w:r>
        <w:rPr>
          <w:rFonts w:hint="eastAsia" w:ascii="宋体" w:hAnsi="宋体" w:cs="宋体"/>
          <w:b/>
          <w:bCs/>
          <w:color w:val="auto"/>
          <w:kern w:val="0"/>
          <w:szCs w:val="21"/>
          <w:highlight w:val="none"/>
          <w:lang w:val="zh-CN" w:bidi="zh-CN"/>
        </w:rPr>
        <w:t>解除合同后的付款</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本项（2）目细化为：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ascii="宋体" w:hAnsi="宋体" w:cs="宋体"/>
          <w:color w:val="auto"/>
          <w:kern w:val="0"/>
          <w:szCs w:val="21"/>
          <w:highlight w:val="none"/>
          <w:lang w:val="zh-CN" w:bidi="zh-CN"/>
        </w:rPr>
        <w:t>（2）承包人为该工程施工订购并已付款的材料、工程设备和其他物品的金额。发包人付款后，该材料、工程设备和其他物品归发包人所有；</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23．索赔</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23.1承包人索赔的提出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本款（4）项细化为：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（4）在索赔事件影响结束后的28天内，承包人应向监理人递交最终索赔通知书，说明最终要求索赔的追加付款金额和（或）延长的工期，并附必要的记录和证明材料。</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23.2承包人索赔处理程序</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本款（2）项细化为：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ascii="宋体" w:hAnsi="宋体" w:cs="宋体"/>
          <w:color w:val="auto"/>
          <w:kern w:val="0"/>
          <w:szCs w:val="21"/>
          <w:highlight w:val="none"/>
          <w:lang w:val="zh-CN" w:bidi="zh-CN"/>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24．争议的解决</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24.3争议评审</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第</w:t>
      </w:r>
      <w:r>
        <w:rPr>
          <w:rFonts w:ascii="宋体" w:hAnsi="宋体" w:cs="宋体"/>
          <w:color w:val="auto"/>
          <w:kern w:val="0"/>
          <w:szCs w:val="21"/>
          <w:highlight w:val="none"/>
          <w:lang w:val="zh-CN" w:bidi="zh-CN"/>
        </w:rPr>
        <w:t>24.3.1项补充：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pPr>
        <w:autoSpaceDE w:val="0"/>
        <w:autoSpaceDN w:val="0"/>
        <w:adjustRightInd w:val="0"/>
        <w:snapToGrid w:val="0"/>
        <w:spacing w:line="360" w:lineRule="auto"/>
        <w:ind w:firstLine="420" w:firstLineChars="200"/>
        <w:jc w:val="left"/>
        <w:rPr>
          <w:rFonts w:ascii="宋体" w:hAnsi="宋体" w:eastAsia="黑体" w:cs="宋体"/>
          <w:color w:val="auto"/>
          <w:kern w:val="0"/>
          <w:szCs w:val="21"/>
          <w:highlight w:val="none"/>
          <w:lang w:val="zh-CN" w:bidi="zh-CN"/>
        </w:rPr>
      </w:pPr>
      <w:r>
        <w:rPr>
          <w:rFonts w:ascii="宋体" w:hAnsi="宋体" w:eastAsia="黑体" w:cs="宋体"/>
          <w:color w:val="auto"/>
          <w:kern w:val="0"/>
          <w:szCs w:val="21"/>
          <w:highlight w:val="none"/>
          <w:lang w:val="zh-CN" w:bidi="zh-CN"/>
        </w:rPr>
        <w:t>本条增加第24.4、24.5款（适用于采用仲裁方式最终解决争议的项目）：</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24.4仲裁</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（1）对于未能友好解决或通过争议评审解决的争议，发包人或承包人任一方均有权提交给第24.1款约定的仲裁委员会仲裁。</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（3）仲裁裁决是终局性的并对发包人和承包人双方具有约束力。</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（4）全部仲裁费用应由败诉方承担；或按仲裁委员会裁决的比例分担。</w:t>
      </w:r>
    </w:p>
    <w:p>
      <w:pPr>
        <w:autoSpaceDE w:val="0"/>
        <w:autoSpaceDN w:val="0"/>
        <w:adjustRightInd w:val="0"/>
        <w:snapToGrid w:val="0"/>
        <w:spacing w:line="360" w:lineRule="auto"/>
        <w:jc w:val="left"/>
        <w:rPr>
          <w:rFonts w:ascii="宋体" w:hAnsi="宋体" w:eastAsia="黑体" w:cs="宋体"/>
          <w:b/>
          <w:bCs/>
          <w:color w:val="auto"/>
          <w:kern w:val="0"/>
          <w:szCs w:val="21"/>
          <w:highlight w:val="none"/>
          <w:lang w:val="zh-CN" w:bidi="zh-CN"/>
        </w:rPr>
      </w:pPr>
      <w:r>
        <w:rPr>
          <w:rFonts w:ascii="宋体" w:hAnsi="宋体" w:eastAsia="黑体" w:cs="宋体"/>
          <w:b/>
          <w:bCs/>
          <w:color w:val="auto"/>
          <w:kern w:val="0"/>
          <w:szCs w:val="21"/>
          <w:highlight w:val="none"/>
          <w:lang w:val="zh-CN" w:bidi="zh-CN"/>
        </w:rPr>
        <w:t>24.5仲裁的执行</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（1）任何一方不履行仲裁机构的裁决的，对方可以向有管辖权的人民法院申请执行。受申请的人民法院应当执行。</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pPr>
        <w:autoSpaceDE w:val="0"/>
        <w:autoSpaceDN w:val="0"/>
        <w:adjustRightInd w:val="0"/>
        <w:snapToGrid w:val="0"/>
        <w:spacing w:before="120" w:beforeLines="50" w:after="120" w:afterLines="50" w:line="460" w:lineRule="exact"/>
        <w:ind w:firstLine="480" w:firstLineChars="200"/>
        <w:jc w:val="center"/>
        <w:rPr>
          <w:rFonts w:ascii="宋体" w:hAnsi="宋体" w:cs="宋体"/>
          <w:color w:val="auto"/>
          <w:kern w:val="0"/>
          <w:sz w:val="24"/>
          <w:szCs w:val="24"/>
          <w:highlight w:val="none"/>
          <w:lang w:bidi="zh-CN"/>
        </w:rPr>
        <w:sectPr>
          <w:footerReference r:id="rId19" w:type="default"/>
          <w:pgSz w:w="11910" w:h="16850"/>
          <w:pgMar w:top="1480" w:right="1200" w:bottom="1080" w:left="1220" w:header="883" w:footer="884" w:gutter="0"/>
          <w:pgNumType w:fmt="decimal"/>
          <w:cols w:space="720" w:num="1"/>
        </w:sectPr>
      </w:pPr>
    </w:p>
    <w:p>
      <w:pPr>
        <w:keepNext/>
        <w:keepLines/>
        <w:autoSpaceDE w:val="0"/>
        <w:autoSpaceDN w:val="0"/>
        <w:spacing w:before="340" w:after="120"/>
        <w:jc w:val="center"/>
        <w:outlineLvl w:val="0"/>
        <w:rPr>
          <w:rFonts w:ascii="黑体" w:hAnsi="宋体" w:eastAsia="黑体" w:cs="宋体"/>
          <w:b/>
          <w:bCs/>
          <w:color w:val="auto"/>
          <w:kern w:val="44"/>
          <w:sz w:val="36"/>
          <w:szCs w:val="36"/>
          <w:highlight w:val="none"/>
          <w:lang w:val="zh-CN" w:bidi="zh-CN"/>
        </w:rPr>
      </w:pPr>
      <w:bookmarkStart w:id="161" w:name="_Toc483496975"/>
      <w:bookmarkStart w:id="162" w:name="_Toc14991"/>
      <w:bookmarkStart w:id="163" w:name="_Toc25341"/>
      <w:r>
        <w:rPr>
          <w:rFonts w:hint="eastAsia" w:ascii="黑体" w:hAnsi="宋体" w:eastAsia="黑体" w:cs="宋体"/>
          <w:b/>
          <w:bCs/>
          <w:color w:val="auto"/>
          <w:kern w:val="44"/>
          <w:sz w:val="36"/>
          <w:szCs w:val="36"/>
          <w:highlight w:val="none"/>
          <w:lang w:val="zh-CN" w:bidi="zh-CN"/>
        </w:rPr>
        <w:t>B.项目专用合同条款</w:t>
      </w:r>
      <w:bookmarkEnd w:id="161"/>
      <w:bookmarkEnd w:id="162"/>
      <w:bookmarkEnd w:id="163"/>
    </w:p>
    <w:p>
      <w:pPr>
        <w:autoSpaceDE w:val="0"/>
        <w:autoSpaceDN w:val="0"/>
        <w:spacing w:line="400" w:lineRule="exact"/>
        <w:ind w:firstLine="482" w:firstLineChars="200"/>
        <w:jc w:val="left"/>
        <w:rPr>
          <w:rFonts w:ascii="黑体" w:hAnsi="宋体" w:eastAsia="黑体" w:cs="宋体"/>
          <w:b/>
          <w:color w:val="auto"/>
          <w:kern w:val="0"/>
          <w:sz w:val="24"/>
          <w:highlight w:val="none"/>
          <w:lang w:val="zh-CN" w:bidi="zh-CN"/>
        </w:rPr>
      </w:pPr>
      <w:r>
        <w:rPr>
          <w:rFonts w:hint="eastAsia" w:ascii="黑体" w:hAnsi="宋体" w:eastAsia="黑体" w:cs="宋体"/>
          <w:b/>
          <w:color w:val="auto"/>
          <w:kern w:val="0"/>
          <w:sz w:val="24"/>
          <w:highlight w:val="none"/>
          <w:lang w:val="zh-CN" w:bidi="zh-CN"/>
        </w:rPr>
        <w:t>说明：</w:t>
      </w:r>
    </w:p>
    <w:p>
      <w:pPr>
        <w:autoSpaceDE w:val="0"/>
        <w:autoSpaceDN w:val="0"/>
        <w:jc w:val="left"/>
        <w:rPr>
          <w:rFonts w:ascii="黑体" w:hAnsi="宋体" w:eastAsia="黑体" w:cs="宋体"/>
          <w:color w:val="auto"/>
          <w:kern w:val="0"/>
          <w:sz w:val="24"/>
          <w:highlight w:val="none"/>
          <w:lang w:val="zh-CN" w:bidi="zh-CN"/>
        </w:rPr>
      </w:pPr>
    </w:p>
    <w:p>
      <w:pPr>
        <w:autoSpaceDE w:val="0"/>
        <w:autoSpaceDN w:val="0"/>
        <w:spacing w:line="400" w:lineRule="exact"/>
        <w:ind w:firstLine="480" w:firstLineChars="200"/>
        <w:jc w:val="left"/>
        <w:rPr>
          <w:rFonts w:ascii="楷体_GB2312" w:hAnsi="宋体" w:eastAsia="楷体_GB2312" w:cs="宋体"/>
          <w:color w:val="auto"/>
          <w:kern w:val="0"/>
          <w:sz w:val="24"/>
          <w:highlight w:val="none"/>
          <w:lang w:val="zh-CN" w:bidi="zh-CN"/>
        </w:rPr>
      </w:pPr>
      <w:r>
        <w:rPr>
          <w:rFonts w:hint="eastAsia" w:ascii="楷体_GB2312" w:hAnsi="宋体" w:eastAsia="楷体_GB2312" w:cs="宋体"/>
          <w:color w:val="auto"/>
          <w:kern w:val="0"/>
          <w:sz w:val="24"/>
          <w:highlight w:val="none"/>
          <w:lang w:val="zh-CN" w:bidi="zh-CN"/>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及“公路工程专用合同条款”明确“项目专用合同条款”可作出不同约定外，补充和细化的内容不得与“通用合同条款”及“公路工程专用合同条款”强制性规定相抵触。同时，补充、细化的不同内容，不得违反法律、行政法规的强制性规定和平等、自愿、公平和诚实信用原则。</w:t>
      </w:r>
    </w:p>
    <w:p>
      <w:pPr>
        <w:autoSpaceDE w:val="0"/>
        <w:autoSpaceDN w:val="0"/>
        <w:spacing w:line="400" w:lineRule="exact"/>
        <w:ind w:firstLine="480" w:firstLineChars="200"/>
        <w:jc w:val="left"/>
        <w:rPr>
          <w:rFonts w:ascii="楷体_GB2312" w:hAnsi="宋体" w:eastAsia="楷体_GB2312" w:cs="宋体"/>
          <w:color w:val="auto"/>
          <w:kern w:val="0"/>
          <w:sz w:val="24"/>
          <w:highlight w:val="none"/>
          <w:lang w:val="zh-CN" w:bidi="zh-CN"/>
        </w:rPr>
      </w:pPr>
      <w:r>
        <w:rPr>
          <w:rFonts w:hint="eastAsia" w:ascii="楷体_GB2312" w:hAnsi="宋体" w:eastAsia="楷体_GB2312" w:cs="宋体"/>
          <w:color w:val="auto"/>
          <w:kern w:val="0"/>
          <w:sz w:val="24"/>
          <w:highlight w:val="none"/>
          <w:lang w:val="zh-CN" w:bidi="zh-CN"/>
        </w:rPr>
        <w:t>2.项目专用合同条款的编号应与通用合同条款和公路工程专用合同条款一致。</w:t>
      </w:r>
    </w:p>
    <w:p>
      <w:pPr>
        <w:autoSpaceDE w:val="0"/>
        <w:autoSpaceDN w:val="0"/>
        <w:spacing w:line="400" w:lineRule="exact"/>
        <w:ind w:firstLine="480" w:firstLineChars="200"/>
        <w:jc w:val="left"/>
        <w:rPr>
          <w:rFonts w:ascii="楷体_GB2312" w:hAnsi="宋体" w:eastAsia="楷体_GB2312" w:cs="宋体"/>
          <w:color w:val="auto"/>
          <w:kern w:val="0"/>
          <w:sz w:val="24"/>
          <w:highlight w:val="none"/>
          <w:lang w:val="zh-CN" w:bidi="zh-CN"/>
        </w:rPr>
      </w:pPr>
      <w:r>
        <w:rPr>
          <w:rFonts w:hint="eastAsia" w:ascii="楷体_GB2312" w:hAnsi="宋体" w:eastAsia="楷体_GB2312" w:cs="宋体"/>
          <w:color w:val="auto"/>
          <w:kern w:val="0"/>
          <w:sz w:val="24"/>
          <w:highlight w:val="none"/>
          <w:lang w:val="zh-CN" w:bidi="zh-CN"/>
        </w:rPr>
        <w:t>3.项目专用合同条款可对下列内容进行补充和细化：</w:t>
      </w:r>
    </w:p>
    <w:p>
      <w:pPr>
        <w:autoSpaceDE w:val="0"/>
        <w:autoSpaceDN w:val="0"/>
        <w:spacing w:line="400" w:lineRule="exact"/>
        <w:ind w:firstLine="480" w:firstLineChars="200"/>
        <w:jc w:val="left"/>
        <w:rPr>
          <w:rFonts w:ascii="楷体_GB2312" w:hAnsi="宋体" w:eastAsia="楷体_GB2312" w:cs="宋体"/>
          <w:color w:val="auto"/>
          <w:kern w:val="0"/>
          <w:sz w:val="24"/>
          <w:highlight w:val="none"/>
          <w:lang w:val="zh-CN" w:bidi="zh-CN"/>
        </w:rPr>
      </w:pPr>
      <w:r>
        <w:rPr>
          <w:rFonts w:hint="eastAsia" w:ascii="楷体_GB2312" w:hAnsi="宋体" w:eastAsia="楷体_GB2312" w:cs="宋体"/>
          <w:color w:val="auto"/>
          <w:kern w:val="0"/>
          <w:sz w:val="24"/>
          <w:highlight w:val="none"/>
          <w:lang w:val="zh-CN" w:bidi="zh-CN"/>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autoSpaceDE w:val="0"/>
        <w:autoSpaceDN w:val="0"/>
        <w:spacing w:line="400" w:lineRule="exact"/>
        <w:ind w:firstLine="480" w:firstLineChars="200"/>
        <w:jc w:val="left"/>
        <w:rPr>
          <w:rFonts w:ascii="楷体_GB2312" w:hAnsi="宋体" w:eastAsia="楷体_GB2312" w:cs="宋体"/>
          <w:color w:val="auto"/>
          <w:kern w:val="0"/>
          <w:sz w:val="24"/>
          <w:highlight w:val="none"/>
          <w:lang w:val="zh-CN" w:bidi="zh-CN"/>
        </w:rPr>
      </w:pPr>
      <w:r>
        <w:rPr>
          <w:rFonts w:hint="eastAsia" w:ascii="楷体_GB2312" w:hAnsi="宋体" w:eastAsia="楷体_GB2312" w:cs="宋体"/>
          <w:color w:val="auto"/>
          <w:kern w:val="0"/>
          <w:sz w:val="24"/>
          <w:highlight w:val="none"/>
          <w:lang w:val="zh-CN" w:bidi="zh-CN"/>
        </w:rPr>
        <w:t>（2）“公路工程专用合同条款”中明确指出“项目专用合同条款”可对“公路工程专用合同条款”进行修改的内容（在“公路工程专用合同条款”中用“除项目专用合同条款里有约定外”。“项目专用合同条款可能约定的”，“项目专用合同条款约定的其他情形”等多种文字形式表达）；</w:t>
      </w:r>
    </w:p>
    <w:p>
      <w:pPr>
        <w:autoSpaceDE w:val="0"/>
        <w:autoSpaceDN w:val="0"/>
        <w:spacing w:line="400" w:lineRule="exact"/>
        <w:ind w:firstLine="480" w:firstLineChars="200"/>
        <w:jc w:val="left"/>
        <w:rPr>
          <w:rFonts w:ascii="楷体_GB2312" w:hAnsi="宋体" w:eastAsia="楷体_GB2312" w:cs="宋体"/>
          <w:color w:val="auto"/>
          <w:kern w:val="0"/>
          <w:sz w:val="24"/>
          <w:highlight w:val="none"/>
          <w:lang w:val="zh-CN" w:bidi="zh-CN"/>
        </w:rPr>
      </w:pPr>
      <w:r>
        <w:rPr>
          <w:rFonts w:hint="eastAsia" w:ascii="楷体_GB2312" w:hAnsi="宋体" w:eastAsia="楷体_GB2312" w:cs="宋体"/>
          <w:color w:val="auto"/>
          <w:kern w:val="0"/>
          <w:sz w:val="24"/>
          <w:highlight w:val="none"/>
          <w:lang w:val="zh-CN" w:bidi="zh-CN"/>
        </w:rPr>
        <w:t>（3）其他需要补充、细化的内容。</w:t>
      </w:r>
    </w:p>
    <w:p>
      <w:pPr>
        <w:adjustRightInd w:val="0"/>
        <w:snapToGrid w:val="0"/>
        <w:spacing w:line="360" w:lineRule="auto"/>
        <w:ind w:firstLine="420" w:firstLineChars="200"/>
        <w:rPr>
          <w:rFonts w:ascii="宋体" w:hAnsi="宋体" w:cs="宋体"/>
          <w:color w:val="auto"/>
          <w:szCs w:val="21"/>
          <w:highlight w:val="none"/>
        </w:rPr>
        <w:sectPr>
          <w:footerReference r:id="rId20" w:type="default"/>
          <w:pgSz w:w="11900" w:h="16843"/>
          <w:pgMar w:top="1417" w:right="1417" w:bottom="1417" w:left="1531" w:header="850" w:footer="992" w:gutter="0"/>
          <w:pgNumType w:fmt="decimal"/>
          <w:cols w:space="720" w:num="1"/>
          <w:titlePg/>
        </w:sectPr>
      </w:pPr>
    </w:p>
    <w:p>
      <w:pPr>
        <w:autoSpaceDE w:val="0"/>
        <w:autoSpaceDN w:val="0"/>
        <w:spacing w:before="240" w:after="240"/>
        <w:jc w:val="center"/>
        <w:rPr>
          <w:rFonts w:ascii="黑体" w:hAnsi="宋体" w:eastAsia="黑体" w:cs="宋体"/>
          <w:b/>
          <w:color w:val="auto"/>
          <w:kern w:val="0"/>
          <w:sz w:val="30"/>
          <w:szCs w:val="30"/>
          <w:highlight w:val="none"/>
          <w:lang w:val="zh-CN" w:bidi="zh-CN"/>
        </w:rPr>
      </w:pPr>
      <w:r>
        <w:rPr>
          <w:rFonts w:hint="eastAsia" w:ascii="黑体" w:hAnsi="宋体" w:eastAsia="黑体" w:cs="宋体"/>
          <w:b/>
          <w:color w:val="auto"/>
          <w:kern w:val="0"/>
          <w:sz w:val="30"/>
          <w:szCs w:val="30"/>
          <w:highlight w:val="none"/>
          <w:lang w:val="zh-CN" w:bidi="zh-CN"/>
        </w:rPr>
        <w:t>项目专用条款数据表</w:t>
      </w:r>
    </w:p>
    <w:p>
      <w:pPr>
        <w:autoSpaceDE w:val="0"/>
        <w:autoSpaceDN w:val="0"/>
        <w:jc w:val="left"/>
        <w:rPr>
          <w:rFonts w:ascii="楷体_GB2312" w:hAnsi="宋体" w:eastAsia="楷体_GB2312" w:cs="宋体"/>
          <w:color w:val="auto"/>
          <w:kern w:val="0"/>
          <w:sz w:val="24"/>
          <w:highlight w:val="none"/>
          <w:lang w:val="zh-CN" w:bidi="zh-CN"/>
        </w:rPr>
      </w:pPr>
      <w:r>
        <w:rPr>
          <w:rFonts w:hint="eastAsia" w:ascii="黑体" w:hAnsi="宋体" w:eastAsia="黑体" w:cs="宋体"/>
          <w:color w:val="auto"/>
          <w:kern w:val="0"/>
          <w:sz w:val="24"/>
          <w:highlight w:val="none"/>
          <w:lang w:val="zh-CN" w:bidi="zh-CN"/>
        </w:rPr>
        <w:t>说明</w:t>
      </w:r>
      <w:r>
        <w:rPr>
          <w:rFonts w:hint="eastAsia" w:ascii="宋体" w:hAnsi="宋体" w:cs="宋体"/>
          <w:color w:val="auto"/>
          <w:kern w:val="0"/>
          <w:sz w:val="24"/>
          <w:highlight w:val="none"/>
          <w:lang w:val="zh-CN" w:bidi="zh-CN"/>
        </w:rPr>
        <w:t>：</w:t>
      </w:r>
      <w:r>
        <w:rPr>
          <w:rFonts w:hint="eastAsia" w:ascii="楷体_GB2312" w:hAnsi="宋体" w:eastAsia="楷体_GB2312" w:cs="宋体"/>
          <w:color w:val="auto"/>
          <w:kern w:val="0"/>
          <w:sz w:val="24"/>
          <w:highlight w:val="none"/>
          <w:lang w:val="zh-CN" w:bidi="zh-CN"/>
        </w:rPr>
        <w:t>本数据表是项目专用合同条款中适用于本项目的信息和数据的归纳与提示，是项目专用合同条款的组成部分。第九章“投标文件格式”的投标函附录中的数据（供投标人确认）与本表所列有重复。编写投标文件的单位应仔细校核，不使数据出现差错或不一致。</w:t>
      </w:r>
    </w:p>
    <w:tbl>
      <w:tblPr>
        <w:tblStyle w:val="47"/>
        <w:tblpPr w:leftFromText="180" w:rightFromText="180" w:vertAnchor="text" w:horzAnchor="page" w:tblpX="1586" w:tblpY="309"/>
        <w:tblOverlap w:val="never"/>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序号</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条款号</w:t>
            </w:r>
          </w:p>
        </w:tc>
        <w:tc>
          <w:tcPr>
            <w:tcW w:w="7027" w:type="dxa"/>
            <w:vAlign w:val="center"/>
          </w:tcPr>
          <w:p>
            <w:pPr>
              <w:autoSpaceDE w:val="0"/>
              <w:autoSpaceDN w:val="0"/>
              <w:adjustRightInd w:val="0"/>
              <w:snapToGrid w:val="0"/>
              <w:spacing w:before="120" w:beforeLines="50" w:after="120" w:afterLines="50" w:line="280" w:lineRule="exact"/>
              <w:jc w:val="center"/>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1</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1.1.2.2</w:t>
            </w:r>
          </w:p>
        </w:tc>
        <w:tc>
          <w:tcPr>
            <w:tcW w:w="7027" w:type="dxa"/>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 xml:space="preserve">发包人： </w:t>
            </w:r>
            <w:r>
              <w:rPr>
                <w:rFonts w:ascii="宋体" w:hAnsi="宋体" w:cs="宋体"/>
                <w:color w:val="auto"/>
                <w:kern w:val="0"/>
                <w:szCs w:val="21"/>
                <w:highlight w:val="none"/>
                <w:lang w:val="zh-CN" w:bidi="zh-CN"/>
              </w:rPr>
              <w:t xml:space="preserve">  </w:t>
            </w:r>
          </w:p>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地  址：</w:t>
            </w:r>
            <w:r>
              <w:rPr>
                <w:rFonts w:hint="eastAsia" w:ascii="宋体" w:hAnsi="宋体" w:cs="宋体"/>
                <w:color w:val="auto"/>
                <w:kern w:val="0"/>
                <w:szCs w:val="21"/>
                <w:highlight w:val="none"/>
                <w:lang w:bidi="zh-CN"/>
              </w:rPr>
              <w:t xml:space="preserve"> </w:t>
            </w:r>
            <w:r>
              <w:rPr>
                <w:rFonts w:ascii="宋体" w:hAnsi="宋体" w:cs="宋体"/>
                <w:color w:val="auto"/>
                <w:kern w:val="0"/>
                <w:szCs w:val="21"/>
                <w:highlight w:val="none"/>
                <w:lang w:bidi="zh-CN"/>
              </w:rPr>
              <w:t xml:space="preserve">                      </w:t>
            </w:r>
            <w:r>
              <w:rPr>
                <w:rFonts w:hint="eastAsia" w:ascii="宋体" w:hAnsi="宋体" w:cs="宋体"/>
                <w:color w:val="auto"/>
                <w:kern w:val="0"/>
                <w:szCs w:val="21"/>
                <w:highlight w:val="none"/>
                <w:lang w:bidi="zh-CN"/>
              </w:rPr>
              <w:t xml:space="preserve"> </w:t>
            </w:r>
            <w:r>
              <w:rPr>
                <w:rFonts w:hint="eastAsia" w:ascii="宋体" w:hAnsi="宋体" w:cs="宋体"/>
                <w:color w:val="auto"/>
                <w:kern w:val="0"/>
                <w:szCs w:val="21"/>
                <w:highlight w:val="none"/>
                <w:lang w:val="zh-CN" w:bidi="zh-CN"/>
              </w:rPr>
              <w:t xml:space="preserve"> 邮编：</w:t>
            </w:r>
            <w:r>
              <w:rPr>
                <w:rFonts w:ascii="宋体" w:hAnsi="宋体" w:cs="宋体"/>
                <w:color w:val="auto"/>
                <w:kern w:val="0"/>
                <w:szCs w:val="21"/>
                <w:highlight w:val="none"/>
                <w:lang w:val="zh-CN" w:bidi="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2</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1.1.2.6</w:t>
            </w:r>
          </w:p>
        </w:tc>
        <w:tc>
          <w:tcPr>
            <w:tcW w:w="7027" w:type="dxa"/>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监理人：</w:t>
            </w:r>
          </w:p>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地  址：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3</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1.1.4.5</w:t>
            </w:r>
          </w:p>
        </w:tc>
        <w:tc>
          <w:tcPr>
            <w:tcW w:w="7027" w:type="dxa"/>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缺陷责任期：</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1</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4</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1.6.3</w:t>
            </w:r>
          </w:p>
        </w:tc>
        <w:tc>
          <w:tcPr>
            <w:tcW w:w="7027" w:type="dxa"/>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图纸需要修改和补充的，应由监理取得发包人同意后，在该工程或工程相应部位施工前</w:t>
            </w:r>
            <w:r>
              <w:rPr>
                <w:rFonts w:hint="eastAsia" w:ascii="宋体" w:hAnsi="宋体" w:cs="宋体"/>
                <w:color w:val="auto"/>
                <w:kern w:val="0"/>
                <w:szCs w:val="21"/>
                <w:highlight w:val="none"/>
                <w:u w:val="single"/>
                <w:lang w:val="zh-CN" w:bidi="zh-CN"/>
              </w:rPr>
              <w:t xml:space="preserve"> 7</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lang w:val="zh-CN" w:bidi="zh-CN"/>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5</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1.7.2</w:t>
            </w:r>
          </w:p>
        </w:tc>
        <w:tc>
          <w:tcPr>
            <w:tcW w:w="7027" w:type="dxa"/>
            <w:vAlign w:val="center"/>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u w:val="single"/>
                <w:lang w:val="zh-CN" w:bidi="zh-CN"/>
              </w:rPr>
              <w:t>材料、设备预付款比例：</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u w:val="single"/>
                <w:lang w:val="zh-CN" w:bidi="zh-CN"/>
              </w:rPr>
              <w:t>等主要材料、设备单据所列费用的 /% 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6</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3.1.1</w:t>
            </w:r>
          </w:p>
        </w:tc>
        <w:tc>
          <w:tcPr>
            <w:tcW w:w="7027" w:type="dxa"/>
            <w:vAlign w:val="center"/>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涉及金额调整的所有变更必须得到业主的审核及批准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7</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5.2.1</w:t>
            </w:r>
          </w:p>
        </w:tc>
        <w:tc>
          <w:tcPr>
            <w:tcW w:w="7027" w:type="dxa"/>
            <w:vAlign w:val="center"/>
          </w:tcPr>
          <w:p>
            <w:pPr>
              <w:autoSpaceDE w:val="0"/>
              <w:autoSpaceDN w:val="0"/>
              <w:adjustRightInd w:val="0"/>
              <w:snapToGrid w:val="0"/>
              <w:spacing w:before="120" w:beforeLines="50" w:after="120" w:afterLines="50" w:line="280" w:lineRule="exac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发包人是否提供材料或工程设备： 否</w:t>
            </w:r>
            <w:r>
              <w:rPr>
                <w:rFonts w:hint="eastAsia" w:ascii="宋体" w:hAnsi="宋体" w:cs="宋体"/>
                <w:color w:val="auto"/>
                <w:kern w:val="0"/>
                <w:szCs w:val="21"/>
                <w:highlight w:val="none"/>
                <w:lang w:val="zh-CN" w:bidi="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8</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6.2</w:t>
            </w:r>
          </w:p>
        </w:tc>
        <w:tc>
          <w:tcPr>
            <w:tcW w:w="7027" w:type="dxa"/>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发包</w:t>
            </w:r>
            <w:r>
              <w:rPr>
                <w:rFonts w:ascii="宋体" w:hAnsi="宋体" w:cs="宋体"/>
                <w:color w:val="auto"/>
                <w:spacing w:val="-3"/>
                <w:kern w:val="0"/>
                <w:szCs w:val="21"/>
                <w:highlight w:val="none"/>
                <w:lang w:val="zh-CN" w:bidi="zh-CN"/>
              </w:rPr>
              <w:t>人</w:t>
            </w:r>
            <w:r>
              <w:rPr>
                <w:rFonts w:ascii="宋体" w:hAnsi="宋体" w:cs="宋体"/>
                <w:color w:val="auto"/>
                <w:kern w:val="0"/>
                <w:szCs w:val="21"/>
                <w:highlight w:val="none"/>
                <w:lang w:val="zh-CN" w:bidi="zh-CN"/>
              </w:rPr>
              <w:t>是</w:t>
            </w:r>
            <w:r>
              <w:rPr>
                <w:rFonts w:ascii="宋体" w:hAnsi="宋体" w:cs="宋体"/>
                <w:color w:val="auto"/>
                <w:spacing w:val="-3"/>
                <w:kern w:val="0"/>
                <w:szCs w:val="21"/>
                <w:highlight w:val="none"/>
                <w:lang w:val="zh-CN" w:bidi="zh-CN"/>
              </w:rPr>
              <w:t>否</w:t>
            </w:r>
            <w:r>
              <w:rPr>
                <w:rFonts w:ascii="宋体" w:hAnsi="宋体" w:cs="宋体"/>
                <w:color w:val="auto"/>
                <w:kern w:val="0"/>
                <w:szCs w:val="21"/>
                <w:highlight w:val="none"/>
                <w:lang w:val="zh-CN" w:bidi="zh-CN"/>
              </w:rPr>
              <w:t>提</w:t>
            </w:r>
            <w:r>
              <w:rPr>
                <w:rFonts w:ascii="宋体" w:hAnsi="宋体" w:cs="宋体"/>
                <w:color w:val="auto"/>
                <w:spacing w:val="-3"/>
                <w:kern w:val="0"/>
                <w:szCs w:val="21"/>
                <w:highlight w:val="none"/>
                <w:lang w:val="zh-CN" w:bidi="zh-CN"/>
              </w:rPr>
              <w:t>供</w:t>
            </w:r>
            <w:r>
              <w:rPr>
                <w:rFonts w:ascii="宋体" w:hAnsi="宋体" w:cs="宋体"/>
                <w:color w:val="auto"/>
                <w:kern w:val="0"/>
                <w:szCs w:val="21"/>
                <w:highlight w:val="none"/>
                <w:lang w:val="zh-CN" w:bidi="zh-CN"/>
              </w:rPr>
              <w:t>施</w:t>
            </w:r>
            <w:r>
              <w:rPr>
                <w:rFonts w:ascii="宋体" w:hAnsi="宋体" w:cs="宋体"/>
                <w:color w:val="auto"/>
                <w:spacing w:val="-3"/>
                <w:kern w:val="0"/>
                <w:szCs w:val="21"/>
                <w:highlight w:val="none"/>
                <w:lang w:val="zh-CN" w:bidi="zh-CN"/>
              </w:rPr>
              <w:t>工</w:t>
            </w:r>
            <w:r>
              <w:rPr>
                <w:rFonts w:ascii="宋体" w:hAnsi="宋体" w:cs="宋体"/>
                <w:color w:val="auto"/>
                <w:kern w:val="0"/>
                <w:szCs w:val="21"/>
                <w:highlight w:val="none"/>
                <w:lang w:val="zh-CN" w:bidi="zh-CN"/>
              </w:rPr>
              <w:t>设</w:t>
            </w:r>
            <w:r>
              <w:rPr>
                <w:rFonts w:ascii="宋体" w:hAnsi="宋体" w:cs="宋体"/>
                <w:color w:val="auto"/>
                <w:spacing w:val="-3"/>
                <w:kern w:val="0"/>
                <w:szCs w:val="21"/>
                <w:highlight w:val="none"/>
                <w:lang w:val="zh-CN" w:bidi="zh-CN"/>
              </w:rPr>
              <w:t>备</w:t>
            </w:r>
            <w:r>
              <w:rPr>
                <w:rFonts w:ascii="宋体" w:hAnsi="宋体" w:cs="宋体"/>
                <w:color w:val="auto"/>
                <w:kern w:val="0"/>
                <w:szCs w:val="21"/>
                <w:highlight w:val="none"/>
                <w:lang w:val="zh-CN" w:bidi="zh-CN"/>
              </w:rPr>
              <w:t>和临</w:t>
            </w:r>
            <w:r>
              <w:rPr>
                <w:rFonts w:ascii="宋体" w:hAnsi="宋体" w:cs="宋体"/>
                <w:color w:val="auto"/>
                <w:spacing w:val="-3"/>
                <w:kern w:val="0"/>
                <w:szCs w:val="21"/>
                <w:highlight w:val="none"/>
                <w:lang w:val="zh-CN" w:bidi="zh-CN"/>
              </w:rPr>
              <w:t>时</w:t>
            </w:r>
            <w:r>
              <w:rPr>
                <w:rFonts w:ascii="宋体" w:hAnsi="宋体" w:cs="宋体"/>
                <w:color w:val="auto"/>
                <w:kern w:val="0"/>
                <w:szCs w:val="21"/>
                <w:highlight w:val="none"/>
                <w:lang w:val="zh-CN" w:bidi="zh-CN"/>
              </w:rPr>
              <w:t>设</w:t>
            </w:r>
            <w:r>
              <w:rPr>
                <w:rFonts w:ascii="宋体" w:hAnsi="宋体" w:cs="宋体"/>
                <w:color w:val="auto"/>
                <w:spacing w:val="-3"/>
                <w:kern w:val="0"/>
                <w:szCs w:val="21"/>
                <w:highlight w:val="none"/>
                <w:lang w:val="zh-CN" w:bidi="zh-CN"/>
              </w:rPr>
              <w:t>施</w:t>
            </w:r>
            <w:r>
              <w:rPr>
                <w:rFonts w:ascii="宋体" w:hAnsi="宋体" w:cs="宋体"/>
                <w:color w:val="auto"/>
                <w:kern w:val="0"/>
                <w:szCs w:val="21"/>
                <w:highlight w:val="none"/>
                <w:lang w:val="zh-CN" w:bidi="zh-CN"/>
              </w:rPr>
              <w:t>：</w:t>
            </w:r>
            <w:r>
              <w:rPr>
                <w:rFonts w:hint="eastAsia" w:ascii="宋体" w:hAnsi="宋体" w:cs="宋体"/>
                <w:color w:val="auto"/>
                <w:kern w:val="0"/>
                <w:szCs w:val="21"/>
                <w:highlight w:val="none"/>
                <w:lang w:val="zh-CN" w:bidi="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864" w:type="dxa"/>
            <w:vAlign w:val="center"/>
          </w:tcPr>
          <w:p>
            <w:pPr>
              <w:autoSpaceDE w:val="0"/>
              <w:autoSpaceDN w:val="0"/>
              <w:spacing w:before="1"/>
              <w:jc w:val="center"/>
              <w:rPr>
                <w:rFonts w:ascii="宋体" w:hAnsi="宋体" w:cs="宋体"/>
                <w:color w:val="auto"/>
                <w:kern w:val="0"/>
                <w:szCs w:val="21"/>
                <w:highlight w:val="none"/>
                <w:lang w:val="zh-CN" w:bidi="zh-CN"/>
              </w:rPr>
            </w:pPr>
          </w:p>
          <w:p>
            <w:pPr>
              <w:autoSpaceDE w:val="0"/>
              <w:autoSpaceDN w:val="0"/>
              <w:ind w:left="9"/>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9</w:t>
            </w:r>
          </w:p>
        </w:tc>
        <w:tc>
          <w:tcPr>
            <w:tcW w:w="1134" w:type="dxa"/>
            <w:vAlign w:val="center"/>
          </w:tcPr>
          <w:p>
            <w:pPr>
              <w:autoSpaceDE w:val="0"/>
              <w:autoSpaceDN w:val="0"/>
              <w:spacing w:before="1"/>
              <w:jc w:val="center"/>
              <w:rPr>
                <w:rFonts w:ascii="宋体" w:hAnsi="宋体" w:cs="宋体"/>
                <w:color w:val="auto"/>
                <w:kern w:val="0"/>
                <w:szCs w:val="21"/>
                <w:highlight w:val="none"/>
                <w:lang w:val="zh-CN" w:bidi="zh-CN"/>
              </w:rPr>
            </w:pPr>
          </w:p>
          <w:p>
            <w:pPr>
              <w:autoSpaceDE w:val="0"/>
              <w:autoSpaceDN w:val="0"/>
              <w:ind w:left="89" w:right="78"/>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8.1.1</w:t>
            </w:r>
          </w:p>
        </w:tc>
        <w:tc>
          <w:tcPr>
            <w:tcW w:w="7027" w:type="dxa"/>
          </w:tcPr>
          <w:p>
            <w:pPr>
              <w:tabs>
                <w:tab w:val="left" w:pos="6908"/>
                <w:tab w:val="left" w:pos="7244"/>
              </w:tabs>
              <w:autoSpaceDE w:val="0"/>
              <w:autoSpaceDN w:val="0"/>
              <w:spacing w:before="1" w:line="360" w:lineRule="atLeast"/>
              <w:ind w:right="48"/>
              <w:jc w:val="left"/>
              <w:rPr>
                <w:rFonts w:ascii="宋体" w:hAnsi="宋体" w:cs="宋体"/>
                <w:color w:val="auto"/>
                <w:kern w:val="0"/>
                <w:szCs w:val="21"/>
                <w:highlight w:val="none"/>
                <w:u w:val="single"/>
                <w:lang w:bidi="zh-CN"/>
              </w:rPr>
            </w:pPr>
            <w:r>
              <w:rPr>
                <w:rFonts w:hint="eastAsia" w:ascii="宋体" w:hAnsi="宋体" w:cs="宋体"/>
                <w:color w:val="auto"/>
                <w:kern w:val="0"/>
                <w:szCs w:val="21"/>
                <w:highlight w:val="none"/>
                <w:lang w:val="zh-CN" w:bidi="zh-CN"/>
              </w:rPr>
              <w:t>发包人提供测量基准点、基准线和水准点及其书面资料的期限：</w:t>
            </w:r>
            <w:r>
              <w:rPr>
                <w:rFonts w:hint="eastAsia" w:ascii="宋体" w:hAnsi="宋体" w:cs="宋体"/>
                <w:color w:val="auto"/>
                <w:kern w:val="0"/>
                <w:szCs w:val="21"/>
                <w:highlight w:val="none"/>
                <w:u w:val="single"/>
                <w:lang w:val="zh-CN" w:bidi="zh-CN"/>
              </w:rPr>
              <w:t>合同签订后</w:t>
            </w:r>
            <w:r>
              <w:rPr>
                <w:rFonts w:hint="eastAsia" w:ascii="宋体" w:hAnsi="宋体" w:cs="宋体"/>
                <w:color w:val="auto"/>
                <w:kern w:val="0"/>
                <w:szCs w:val="21"/>
                <w:highlight w:val="none"/>
                <w:u w:val="single"/>
                <w:lang w:bidi="zh-CN"/>
              </w:rPr>
              <w:t>14天内</w:t>
            </w:r>
          </w:p>
          <w:p>
            <w:pPr>
              <w:tabs>
                <w:tab w:val="left" w:pos="6908"/>
                <w:tab w:val="left" w:pos="7244"/>
              </w:tabs>
              <w:autoSpaceDE w:val="0"/>
              <w:autoSpaceDN w:val="0"/>
              <w:spacing w:before="1" w:line="360" w:lineRule="atLeast"/>
              <w:ind w:right="48"/>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w:t>
            </w:r>
            <w:r>
              <w:rPr>
                <w:rFonts w:ascii="宋体" w:hAnsi="宋体" w:cs="宋体"/>
                <w:color w:val="auto"/>
                <w:spacing w:val="-3"/>
                <w:kern w:val="0"/>
                <w:szCs w:val="21"/>
                <w:highlight w:val="none"/>
                <w:lang w:val="zh-CN" w:bidi="zh-CN"/>
              </w:rPr>
              <w:t>人</w:t>
            </w:r>
            <w:r>
              <w:rPr>
                <w:rFonts w:ascii="宋体" w:hAnsi="宋体" w:cs="宋体"/>
                <w:color w:val="auto"/>
                <w:kern w:val="0"/>
                <w:szCs w:val="21"/>
                <w:highlight w:val="none"/>
                <w:lang w:val="zh-CN" w:bidi="zh-CN"/>
              </w:rPr>
              <w:t>将</w:t>
            </w:r>
            <w:r>
              <w:rPr>
                <w:rFonts w:ascii="宋体" w:hAnsi="宋体" w:cs="宋体"/>
                <w:color w:val="auto"/>
                <w:spacing w:val="-3"/>
                <w:kern w:val="0"/>
                <w:szCs w:val="21"/>
                <w:highlight w:val="none"/>
                <w:lang w:val="zh-CN" w:bidi="zh-CN"/>
              </w:rPr>
              <w:t>施</w:t>
            </w:r>
            <w:r>
              <w:rPr>
                <w:rFonts w:ascii="宋体" w:hAnsi="宋体" w:cs="宋体"/>
                <w:color w:val="auto"/>
                <w:kern w:val="0"/>
                <w:szCs w:val="21"/>
                <w:highlight w:val="none"/>
                <w:lang w:val="zh-CN" w:bidi="zh-CN"/>
              </w:rPr>
              <w:t>工</w:t>
            </w:r>
            <w:r>
              <w:rPr>
                <w:rFonts w:ascii="宋体" w:hAnsi="宋体" w:cs="宋体"/>
                <w:color w:val="auto"/>
                <w:spacing w:val="-3"/>
                <w:kern w:val="0"/>
                <w:szCs w:val="21"/>
                <w:highlight w:val="none"/>
                <w:lang w:val="zh-CN" w:bidi="zh-CN"/>
              </w:rPr>
              <w:t>控</w:t>
            </w:r>
            <w:r>
              <w:rPr>
                <w:rFonts w:ascii="宋体" w:hAnsi="宋体" w:cs="宋体"/>
                <w:color w:val="auto"/>
                <w:kern w:val="0"/>
                <w:szCs w:val="21"/>
                <w:highlight w:val="none"/>
                <w:lang w:val="zh-CN" w:bidi="zh-CN"/>
              </w:rPr>
              <w:t>制</w:t>
            </w:r>
            <w:r>
              <w:rPr>
                <w:rFonts w:ascii="宋体" w:hAnsi="宋体" w:cs="宋体"/>
                <w:color w:val="auto"/>
                <w:spacing w:val="-3"/>
                <w:kern w:val="0"/>
                <w:szCs w:val="21"/>
                <w:highlight w:val="none"/>
                <w:lang w:val="zh-CN" w:bidi="zh-CN"/>
              </w:rPr>
              <w:t>网</w:t>
            </w:r>
            <w:r>
              <w:rPr>
                <w:rFonts w:ascii="宋体" w:hAnsi="宋体" w:cs="宋体"/>
                <w:color w:val="auto"/>
                <w:kern w:val="0"/>
                <w:szCs w:val="21"/>
                <w:highlight w:val="none"/>
                <w:lang w:val="zh-CN" w:bidi="zh-CN"/>
              </w:rPr>
              <w:t>资</w:t>
            </w:r>
            <w:r>
              <w:rPr>
                <w:rFonts w:ascii="宋体" w:hAnsi="宋体" w:cs="宋体"/>
                <w:color w:val="auto"/>
                <w:spacing w:val="-3"/>
                <w:kern w:val="0"/>
                <w:szCs w:val="21"/>
                <w:highlight w:val="none"/>
                <w:lang w:val="zh-CN" w:bidi="zh-CN"/>
              </w:rPr>
              <w:t>料</w:t>
            </w:r>
            <w:r>
              <w:rPr>
                <w:rFonts w:ascii="宋体" w:hAnsi="宋体" w:cs="宋体"/>
                <w:color w:val="auto"/>
                <w:kern w:val="0"/>
                <w:szCs w:val="21"/>
                <w:highlight w:val="none"/>
                <w:lang w:val="zh-CN" w:bidi="zh-CN"/>
              </w:rPr>
              <w:t>报送</w:t>
            </w:r>
            <w:r>
              <w:rPr>
                <w:rFonts w:ascii="宋体" w:hAnsi="宋体" w:cs="宋体"/>
                <w:color w:val="auto"/>
                <w:spacing w:val="-3"/>
                <w:kern w:val="0"/>
                <w:szCs w:val="21"/>
                <w:highlight w:val="none"/>
                <w:lang w:val="zh-CN" w:bidi="zh-CN"/>
              </w:rPr>
              <w:t>监</w:t>
            </w:r>
            <w:r>
              <w:rPr>
                <w:rFonts w:ascii="宋体" w:hAnsi="宋体" w:cs="宋体"/>
                <w:color w:val="auto"/>
                <w:kern w:val="0"/>
                <w:szCs w:val="21"/>
                <w:highlight w:val="none"/>
                <w:lang w:val="zh-CN" w:bidi="zh-CN"/>
              </w:rPr>
              <w:t>理</w:t>
            </w:r>
            <w:r>
              <w:rPr>
                <w:rFonts w:ascii="宋体" w:hAnsi="宋体" w:cs="宋体"/>
                <w:color w:val="auto"/>
                <w:spacing w:val="-3"/>
                <w:kern w:val="0"/>
                <w:szCs w:val="21"/>
                <w:highlight w:val="none"/>
                <w:lang w:val="zh-CN" w:bidi="zh-CN"/>
              </w:rPr>
              <w:t>人</w:t>
            </w:r>
            <w:r>
              <w:rPr>
                <w:rFonts w:ascii="宋体" w:hAnsi="宋体" w:cs="宋体"/>
                <w:color w:val="auto"/>
                <w:kern w:val="0"/>
                <w:szCs w:val="21"/>
                <w:highlight w:val="none"/>
                <w:lang w:val="zh-CN" w:bidi="zh-CN"/>
              </w:rPr>
              <w:t>审</w:t>
            </w:r>
            <w:r>
              <w:rPr>
                <w:rFonts w:ascii="宋体" w:hAnsi="宋体" w:cs="宋体"/>
                <w:color w:val="auto"/>
                <w:spacing w:val="-3"/>
                <w:kern w:val="0"/>
                <w:szCs w:val="21"/>
                <w:highlight w:val="none"/>
                <w:lang w:val="zh-CN" w:bidi="zh-CN"/>
              </w:rPr>
              <w:t>批</w:t>
            </w:r>
            <w:r>
              <w:rPr>
                <w:rFonts w:ascii="宋体" w:hAnsi="宋体" w:cs="宋体"/>
                <w:color w:val="auto"/>
                <w:kern w:val="0"/>
                <w:szCs w:val="21"/>
                <w:highlight w:val="none"/>
                <w:lang w:val="zh-CN" w:bidi="zh-CN"/>
              </w:rPr>
              <w:t>的</w:t>
            </w:r>
            <w:r>
              <w:rPr>
                <w:rFonts w:ascii="宋体" w:hAnsi="宋体" w:cs="宋体"/>
                <w:color w:val="auto"/>
                <w:spacing w:val="-3"/>
                <w:kern w:val="0"/>
                <w:szCs w:val="21"/>
                <w:highlight w:val="none"/>
                <w:lang w:val="zh-CN" w:bidi="zh-CN"/>
              </w:rPr>
              <w:t>期</w:t>
            </w:r>
            <w:r>
              <w:rPr>
                <w:rFonts w:ascii="宋体" w:hAnsi="宋体" w:cs="宋体"/>
                <w:color w:val="auto"/>
                <w:kern w:val="0"/>
                <w:szCs w:val="21"/>
                <w:highlight w:val="none"/>
                <w:lang w:val="zh-CN" w:bidi="zh-CN"/>
              </w:rPr>
              <w:t>限</w:t>
            </w:r>
            <w:r>
              <w:rPr>
                <w:rFonts w:ascii="宋体" w:hAnsi="宋体" w:cs="宋体"/>
                <w:color w:val="auto"/>
                <w:spacing w:val="-3"/>
                <w:kern w:val="0"/>
                <w:szCs w:val="21"/>
                <w:highlight w:val="none"/>
                <w:lang w:val="zh-CN" w:bidi="zh-CN"/>
              </w:rPr>
              <w:t>：</w:t>
            </w:r>
            <w:r>
              <w:rPr>
                <w:rFonts w:hint="eastAsia" w:hAnsi="宋体" w:cs="宋体"/>
                <w:color w:val="auto"/>
                <w:kern w:val="0"/>
                <w:szCs w:val="21"/>
                <w:highlight w:val="none"/>
                <w:u w:val="single"/>
                <w:lang w:val="zh-CN" w:bidi="zh-CN"/>
              </w:rPr>
              <w:t>合同签订后</w:t>
            </w:r>
            <w:r>
              <w:rPr>
                <w:rFonts w:hint="eastAsia" w:hAnsi="宋体" w:cs="宋体"/>
                <w:color w:val="auto"/>
                <w:kern w:val="0"/>
                <w:szCs w:val="21"/>
                <w:highlight w:val="none"/>
                <w:u w:val="single"/>
                <w:lang w:bidi="zh-CN"/>
              </w:rPr>
              <w:t>28天内</w:t>
            </w:r>
            <w:r>
              <w:rPr>
                <w:rFonts w:hint="eastAsia" w:ascii="宋体" w:hAnsi="宋体" w:cs="宋体"/>
                <w:color w:val="auto"/>
                <w:kern w:val="0"/>
                <w:szCs w:val="21"/>
                <w:highlight w:val="none"/>
                <w:lang w:val="zh-CN" w:bidi="zh-CN"/>
              </w:rPr>
              <w:tab/>
            </w:r>
            <w:r>
              <w:rPr>
                <w:rFonts w:hint="eastAsia" w:ascii="宋体" w:hAnsi="宋体" w:cs="宋体"/>
                <w:color w:val="auto"/>
                <w:kern w:val="0"/>
                <w:szCs w:val="21"/>
                <w:highlight w:val="none"/>
                <w:lang w:val="zh-CN" w:bidi="zh-CN"/>
              </w:rPr>
              <w:tab/>
            </w:r>
            <w:r>
              <w:rPr>
                <w:rFonts w:hint="eastAsia" w:ascii="宋体" w:hAnsi="宋体" w:cs="宋体"/>
                <w:color w:val="auto"/>
                <w:kern w:val="0"/>
                <w:szCs w:val="21"/>
                <w:highlight w:val="none"/>
                <w:lang w:val="zh-CN" w:bidi="zh-CN"/>
              </w:rPr>
              <w:t xml:space="preserve">        承包人将施工控制网资料报送监理人审批的期限： </w:t>
            </w:r>
            <w:r>
              <w:rPr>
                <w:rFonts w:hint="eastAsia" w:ascii="宋体" w:hAnsi="宋体" w:cs="宋体"/>
                <w:color w:val="auto"/>
                <w:kern w:val="0"/>
                <w:szCs w:val="21"/>
                <w:highlight w:val="none"/>
                <w:lang w:val="zh-CN" w:bidi="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10</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9.2.5</w:t>
            </w:r>
          </w:p>
        </w:tc>
        <w:tc>
          <w:tcPr>
            <w:tcW w:w="7027" w:type="dxa"/>
            <w:vAlign w:val="center"/>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安全生产费按招标人固化清单中公布的金额计取（为固定值）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11</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11.5</w:t>
            </w:r>
          </w:p>
        </w:tc>
        <w:tc>
          <w:tcPr>
            <w:tcW w:w="7027" w:type="dxa"/>
            <w:vAlign w:val="center"/>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逾期交工违约金：人民币</w:t>
            </w:r>
            <w:r>
              <w:rPr>
                <w:rFonts w:hint="eastAsia" w:ascii="宋体" w:hAnsi="宋体" w:cs="宋体"/>
                <w:color w:val="auto"/>
                <w:kern w:val="0"/>
                <w:szCs w:val="21"/>
                <w:highlight w:val="none"/>
                <w:u w:val="single"/>
                <w:lang w:bidi="zh-CN"/>
              </w:rPr>
              <w:t>200</w:t>
            </w:r>
            <w:r>
              <w:rPr>
                <w:rFonts w:hint="eastAsia" w:ascii="宋体" w:hAnsi="宋体" w:cs="宋体"/>
                <w:color w:val="auto"/>
                <w:kern w:val="0"/>
                <w:szCs w:val="21"/>
                <w:highlight w:val="none"/>
                <w:lang w:val="zh-CN" w:bidi="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12</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11.5</w:t>
            </w:r>
          </w:p>
        </w:tc>
        <w:tc>
          <w:tcPr>
            <w:tcW w:w="7027" w:type="dxa"/>
            <w:vAlign w:val="center"/>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逾期交工违约金限额：签约合同价的10%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13</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11.6</w:t>
            </w:r>
          </w:p>
        </w:tc>
        <w:tc>
          <w:tcPr>
            <w:tcW w:w="7027" w:type="dxa"/>
          </w:tcPr>
          <w:p>
            <w:pPr>
              <w:tabs>
                <w:tab w:val="left" w:pos="2450"/>
              </w:tabs>
              <w:autoSpaceDE w:val="0"/>
              <w:autoSpaceDN w:val="0"/>
              <w:spacing w:before="90" w:line="25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提前</w:t>
            </w:r>
            <w:r>
              <w:rPr>
                <w:rFonts w:ascii="宋体" w:hAnsi="宋体" w:cs="宋体"/>
                <w:color w:val="auto"/>
                <w:spacing w:val="-3"/>
                <w:kern w:val="0"/>
                <w:szCs w:val="21"/>
                <w:highlight w:val="none"/>
                <w:lang w:val="zh-CN" w:bidi="zh-CN"/>
              </w:rPr>
              <w:t>交</w:t>
            </w:r>
            <w:r>
              <w:rPr>
                <w:rFonts w:ascii="宋体" w:hAnsi="宋体" w:cs="宋体"/>
                <w:color w:val="auto"/>
                <w:kern w:val="0"/>
                <w:szCs w:val="21"/>
                <w:highlight w:val="none"/>
                <w:lang w:val="zh-CN" w:bidi="zh-CN"/>
              </w:rPr>
              <w:t>工</w:t>
            </w:r>
            <w:r>
              <w:rPr>
                <w:rFonts w:ascii="宋体" w:hAnsi="宋体" w:cs="宋体"/>
                <w:color w:val="auto"/>
                <w:spacing w:val="-3"/>
                <w:kern w:val="0"/>
                <w:szCs w:val="21"/>
                <w:highlight w:val="none"/>
                <w:lang w:val="zh-CN" w:bidi="zh-CN"/>
              </w:rPr>
              <w:t>的</w:t>
            </w:r>
            <w:r>
              <w:rPr>
                <w:rFonts w:ascii="宋体" w:hAnsi="宋体" w:cs="宋体"/>
                <w:color w:val="auto"/>
                <w:kern w:val="0"/>
                <w:szCs w:val="21"/>
                <w:highlight w:val="none"/>
                <w:lang w:val="zh-CN" w:bidi="zh-CN"/>
              </w:rPr>
              <w:t>奖</w:t>
            </w:r>
            <w:r>
              <w:rPr>
                <w:rFonts w:ascii="宋体" w:hAnsi="宋体" w:cs="宋体"/>
                <w:color w:val="auto"/>
                <w:spacing w:val="-3"/>
                <w:kern w:val="0"/>
                <w:szCs w:val="21"/>
                <w:highlight w:val="none"/>
                <w:lang w:val="zh-CN" w:bidi="zh-CN"/>
              </w:rPr>
              <w:t>金</w:t>
            </w:r>
            <w:r>
              <w:rPr>
                <w:rFonts w:ascii="宋体" w:hAnsi="宋体" w:cs="宋体"/>
                <w:color w:val="auto"/>
                <w:kern w:val="0"/>
                <w:szCs w:val="21"/>
                <w:highlight w:val="none"/>
                <w:lang w:val="zh-CN" w:bidi="zh-CN"/>
              </w:rPr>
              <w:t>：</w:t>
            </w:r>
            <w:r>
              <w:rPr>
                <w:rFonts w:hint="eastAsia" w:ascii="宋体" w:hAnsi="宋体" w:cs="宋体"/>
                <w:color w:val="auto"/>
                <w:kern w:val="0"/>
                <w:szCs w:val="21"/>
                <w:highlight w:val="none"/>
                <w:u w:val="single"/>
                <w:lang w:bidi="zh-CN"/>
              </w:rPr>
              <w:t xml:space="preserve">  \    </w:t>
            </w:r>
            <w:r>
              <w:rPr>
                <w:rFonts w:ascii="宋体" w:hAnsi="宋体" w:cs="宋体"/>
                <w:color w:val="auto"/>
                <w:kern w:val="0"/>
                <w:szCs w:val="21"/>
                <w:highlight w:val="none"/>
                <w:lang w:val="zh-CN" w:bidi="zh-CN"/>
              </w:rPr>
              <w:tab/>
            </w:r>
            <w:r>
              <w:rPr>
                <w:rFonts w:ascii="宋体" w:hAnsi="宋体" w:cs="宋体"/>
                <w:color w:val="auto"/>
                <w:kern w:val="0"/>
                <w:szCs w:val="21"/>
                <w:highlight w:val="none"/>
                <w:lang w:val="zh-CN" w:bidi="zh-CN"/>
              </w:rPr>
              <w:t>元</w:t>
            </w:r>
            <w:r>
              <w:rPr>
                <w:rFonts w:hAnsi="宋体" w:eastAsia="Times New Roman" w:cs="宋体"/>
                <w:color w:val="auto"/>
                <w:spacing w:val="-4"/>
                <w:kern w:val="0"/>
                <w:szCs w:val="21"/>
                <w:highlight w:val="none"/>
                <w:lang w:val="zh-CN" w:bidi="zh-CN"/>
              </w:rPr>
              <w:t>/</w:t>
            </w:r>
            <w:r>
              <w:rPr>
                <w:rFonts w:ascii="宋体" w:hAnsi="宋体" w:cs="宋体"/>
                <w:color w:val="auto"/>
                <w:kern w:val="0"/>
                <w:szCs w:val="21"/>
                <w:highlight w:val="none"/>
                <w:lang w:val="zh-CN" w:bidi="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14</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11.6</w:t>
            </w:r>
          </w:p>
        </w:tc>
        <w:tc>
          <w:tcPr>
            <w:tcW w:w="7027" w:type="dxa"/>
          </w:tcPr>
          <w:p>
            <w:pPr>
              <w:tabs>
                <w:tab w:val="left" w:pos="2868"/>
              </w:tabs>
              <w:autoSpaceDE w:val="0"/>
              <w:autoSpaceDN w:val="0"/>
              <w:spacing w:before="89" w:line="25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提前</w:t>
            </w:r>
            <w:r>
              <w:rPr>
                <w:rFonts w:ascii="宋体" w:hAnsi="宋体" w:cs="宋体"/>
                <w:color w:val="auto"/>
                <w:spacing w:val="-3"/>
                <w:kern w:val="0"/>
                <w:szCs w:val="21"/>
                <w:highlight w:val="none"/>
                <w:lang w:val="zh-CN" w:bidi="zh-CN"/>
              </w:rPr>
              <w:t>交</w:t>
            </w:r>
            <w:r>
              <w:rPr>
                <w:rFonts w:ascii="宋体" w:hAnsi="宋体" w:cs="宋体"/>
                <w:color w:val="auto"/>
                <w:kern w:val="0"/>
                <w:szCs w:val="21"/>
                <w:highlight w:val="none"/>
                <w:lang w:val="zh-CN" w:bidi="zh-CN"/>
              </w:rPr>
              <w:t>工</w:t>
            </w:r>
            <w:r>
              <w:rPr>
                <w:rFonts w:ascii="宋体" w:hAnsi="宋体" w:cs="宋体"/>
                <w:color w:val="auto"/>
                <w:spacing w:val="-3"/>
                <w:kern w:val="0"/>
                <w:szCs w:val="21"/>
                <w:highlight w:val="none"/>
                <w:lang w:val="zh-CN" w:bidi="zh-CN"/>
              </w:rPr>
              <w:t>的</w:t>
            </w:r>
            <w:r>
              <w:rPr>
                <w:rFonts w:ascii="宋体" w:hAnsi="宋体" w:cs="宋体"/>
                <w:color w:val="auto"/>
                <w:kern w:val="0"/>
                <w:szCs w:val="21"/>
                <w:highlight w:val="none"/>
                <w:lang w:val="zh-CN" w:bidi="zh-CN"/>
              </w:rPr>
              <w:t>奖</w:t>
            </w:r>
            <w:r>
              <w:rPr>
                <w:rFonts w:ascii="宋体" w:hAnsi="宋体" w:cs="宋体"/>
                <w:color w:val="auto"/>
                <w:spacing w:val="-3"/>
                <w:kern w:val="0"/>
                <w:szCs w:val="21"/>
                <w:highlight w:val="none"/>
                <w:lang w:val="zh-CN" w:bidi="zh-CN"/>
              </w:rPr>
              <w:t>金</w:t>
            </w:r>
            <w:r>
              <w:rPr>
                <w:rFonts w:ascii="宋体" w:hAnsi="宋体" w:cs="宋体"/>
                <w:color w:val="auto"/>
                <w:kern w:val="0"/>
                <w:szCs w:val="21"/>
                <w:highlight w:val="none"/>
                <w:lang w:val="zh-CN" w:bidi="zh-CN"/>
              </w:rPr>
              <w:t>限</w:t>
            </w:r>
            <w:r>
              <w:rPr>
                <w:rFonts w:ascii="宋体" w:hAnsi="宋体" w:cs="宋体"/>
                <w:color w:val="auto"/>
                <w:spacing w:val="-3"/>
                <w:kern w:val="0"/>
                <w:szCs w:val="21"/>
                <w:highlight w:val="none"/>
                <w:lang w:val="zh-CN" w:bidi="zh-CN"/>
              </w:rPr>
              <w:t>额</w:t>
            </w:r>
            <w:r>
              <w:rPr>
                <w:rFonts w:ascii="宋体" w:hAnsi="宋体" w:cs="宋体"/>
                <w:color w:val="auto"/>
                <w:kern w:val="0"/>
                <w:szCs w:val="21"/>
                <w:highlight w:val="none"/>
                <w:lang w:val="zh-CN" w:bidi="zh-CN"/>
              </w:rPr>
              <w:t>：</w:t>
            </w:r>
            <w:r>
              <w:rPr>
                <w:rFonts w:hint="eastAsia" w:ascii="宋体" w:hAnsi="宋体" w:cs="宋体"/>
                <w:color w:val="auto"/>
                <w:kern w:val="0"/>
                <w:szCs w:val="21"/>
                <w:highlight w:val="none"/>
                <w:u w:val="single"/>
                <w:lang w:bidi="zh-CN"/>
              </w:rPr>
              <w:t xml:space="preserve">  \    </w:t>
            </w:r>
            <w:r>
              <w:rPr>
                <w:rFonts w:hAnsi="宋体" w:eastAsia="Times New Roman" w:cs="宋体"/>
                <w:color w:val="auto"/>
                <w:kern w:val="0"/>
                <w:szCs w:val="21"/>
                <w:highlight w:val="none"/>
                <w:lang w:val="zh-CN" w:bidi="zh-CN"/>
              </w:rPr>
              <w:t>%</w:t>
            </w:r>
            <w:r>
              <w:rPr>
                <w:rFonts w:ascii="宋体" w:hAnsi="宋体" w:cs="宋体"/>
                <w:color w:val="auto"/>
                <w:kern w:val="0"/>
                <w:szCs w:val="21"/>
                <w:highlight w:val="none"/>
                <w:lang w:val="zh-CN" w:bidi="zh-CN"/>
              </w:rPr>
              <w:t>签</w:t>
            </w:r>
            <w:r>
              <w:rPr>
                <w:rFonts w:ascii="宋体" w:hAnsi="宋体" w:cs="宋体"/>
                <w:color w:val="auto"/>
                <w:spacing w:val="-3"/>
                <w:kern w:val="0"/>
                <w:szCs w:val="21"/>
                <w:highlight w:val="none"/>
                <w:lang w:val="zh-CN" w:bidi="zh-CN"/>
              </w:rPr>
              <w:t>约</w:t>
            </w:r>
            <w:r>
              <w:rPr>
                <w:rFonts w:ascii="宋体" w:hAnsi="宋体" w:cs="宋体"/>
                <w:color w:val="auto"/>
                <w:kern w:val="0"/>
                <w:szCs w:val="21"/>
                <w:highlight w:val="none"/>
                <w:lang w:val="zh-CN" w:bidi="zh-CN"/>
              </w:rPr>
              <w:t>合</w:t>
            </w:r>
            <w:r>
              <w:rPr>
                <w:rFonts w:ascii="宋体" w:hAnsi="宋体" w:cs="宋体"/>
                <w:color w:val="auto"/>
                <w:spacing w:val="-3"/>
                <w:kern w:val="0"/>
                <w:szCs w:val="21"/>
                <w:highlight w:val="none"/>
                <w:lang w:val="zh-CN" w:bidi="zh-CN"/>
              </w:rPr>
              <w:t>同</w:t>
            </w:r>
            <w:r>
              <w:rPr>
                <w:rFonts w:ascii="宋体" w:hAnsi="宋体" w:cs="宋体"/>
                <w:color w:val="auto"/>
                <w:kern w:val="0"/>
                <w:szCs w:val="21"/>
                <w:highlight w:val="none"/>
                <w:lang w:val="zh-CN" w:bidi="zh-CN"/>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15</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15.4.4</w:t>
            </w:r>
          </w:p>
        </w:tc>
        <w:tc>
          <w:tcPr>
            <w:tcW w:w="7027" w:type="dxa"/>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无适用于变更工作的子目单价时，</w:t>
            </w:r>
            <w:r>
              <w:rPr>
                <w:rFonts w:hint="eastAsia" w:ascii="宋体" w:hAnsi="宋体" w:cs="宋体"/>
                <w:color w:val="auto"/>
                <w:kern w:val="0"/>
                <w:szCs w:val="21"/>
                <w:highlight w:val="none"/>
                <w:lang w:bidi="zh-CN"/>
              </w:rPr>
              <w:t>由市财政局评审中心评审单价为变更依据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16</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15.5.2</w:t>
            </w:r>
          </w:p>
        </w:tc>
        <w:tc>
          <w:tcPr>
            <w:tcW w:w="7027" w:type="dxa"/>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w:t>
            </w:r>
            <w:r>
              <w:rPr>
                <w:rFonts w:ascii="宋体" w:hAnsi="宋体" w:cs="宋体"/>
                <w:color w:val="auto"/>
                <w:spacing w:val="-3"/>
                <w:kern w:val="0"/>
                <w:szCs w:val="21"/>
                <w:highlight w:val="none"/>
                <w:lang w:val="zh-CN" w:bidi="zh-CN"/>
              </w:rPr>
              <w:t>人</w:t>
            </w:r>
            <w:r>
              <w:rPr>
                <w:rFonts w:ascii="宋体" w:hAnsi="宋体" w:cs="宋体"/>
                <w:color w:val="auto"/>
                <w:kern w:val="0"/>
                <w:szCs w:val="21"/>
                <w:highlight w:val="none"/>
                <w:lang w:val="zh-CN" w:bidi="zh-CN"/>
              </w:rPr>
              <w:t>提出的</w:t>
            </w:r>
            <w:r>
              <w:rPr>
                <w:rFonts w:ascii="宋体" w:hAnsi="宋体" w:cs="宋体"/>
                <w:color w:val="auto"/>
                <w:spacing w:val="-3"/>
                <w:kern w:val="0"/>
                <w:szCs w:val="21"/>
                <w:highlight w:val="none"/>
                <w:lang w:val="zh-CN" w:bidi="zh-CN"/>
              </w:rPr>
              <w:t>合</w:t>
            </w:r>
            <w:r>
              <w:rPr>
                <w:rFonts w:ascii="宋体" w:hAnsi="宋体" w:cs="宋体"/>
                <w:color w:val="auto"/>
                <w:kern w:val="0"/>
                <w:szCs w:val="21"/>
                <w:highlight w:val="none"/>
                <w:lang w:val="zh-CN" w:bidi="zh-CN"/>
              </w:rPr>
              <w:t>理</w:t>
            </w:r>
            <w:r>
              <w:rPr>
                <w:rFonts w:ascii="宋体" w:hAnsi="宋体" w:cs="宋体"/>
                <w:color w:val="auto"/>
                <w:spacing w:val="-3"/>
                <w:kern w:val="0"/>
                <w:szCs w:val="21"/>
                <w:highlight w:val="none"/>
                <w:lang w:val="zh-CN" w:bidi="zh-CN"/>
              </w:rPr>
              <w:t>化</w:t>
            </w:r>
            <w:r>
              <w:rPr>
                <w:rFonts w:ascii="宋体" w:hAnsi="宋体" w:cs="宋体"/>
                <w:color w:val="auto"/>
                <w:kern w:val="0"/>
                <w:szCs w:val="21"/>
                <w:highlight w:val="none"/>
                <w:lang w:val="zh-CN" w:bidi="zh-CN"/>
              </w:rPr>
              <w:t>建</w:t>
            </w:r>
            <w:r>
              <w:rPr>
                <w:rFonts w:ascii="宋体" w:hAnsi="宋体" w:cs="宋体"/>
                <w:color w:val="auto"/>
                <w:spacing w:val="-3"/>
                <w:kern w:val="0"/>
                <w:szCs w:val="21"/>
                <w:highlight w:val="none"/>
                <w:lang w:val="zh-CN" w:bidi="zh-CN"/>
              </w:rPr>
              <w:t>议</w:t>
            </w:r>
            <w:r>
              <w:rPr>
                <w:rFonts w:ascii="宋体" w:hAnsi="宋体" w:cs="宋体"/>
                <w:color w:val="auto"/>
                <w:kern w:val="0"/>
                <w:szCs w:val="21"/>
                <w:highlight w:val="none"/>
                <w:lang w:val="zh-CN" w:bidi="zh-CN"/>
              </w:rPr>
              <w:t>降低</w:t>
            </w:r>
            <w:r>
              <w:rPr>
                <w:rFonts w:ascii="宋体" w:hAnsi="宋体" w:cs="宋体"/>
                <w:color w:val="auto"/>
                <w:spacing w:val="-3"/>
                <w:kern w:val="0"/>
                <w:szCs w:val="21"/>
                <w:highlight w:val="none"/>
                <w:lang w:val="zh-CN" w:bidi="zh-CN"/>
              </w:rPr>
              <w:t>了</w:t>
            </w:r>
            <w:r>
              <w:rPr>
                <w:rFonts w:ascii="宋体" w:hAnsi="宋体" w:cs="宋体"/>
                <w:color w:val="auto"/>
                <w:kern w:val="0"/>
                <w:szCs w:val="21"/>
                <w:highlight w:val="none"/>
                <w:lang w:val="zh-CN" w:bidi="zh-CN"/>
              </w:rPr>
              <w:t>合</w:t>
            </w:r>
            <w:r>
              <w:rPr>
                <w:rFonts w:ascii="宋体" w:hAnsi="宋体" w:cs="宋体"/>
                <w:color w:val="auto"/>
                <w:spacing w:val="-3"/>
                <w:kern w:val="0"/>
                <w:szCs w:val="21"/>
                <w:highlight w:val="none"/>
                <w:lang w:val="zh-CN" w:bidi="zh-CN"/>
              </w:rPr>
              <w:t>同</w:t>
            </w:r>
            <w:r>
              <w:rPr>
                <w:rFonts w:ascii="宋体" w:hAnsi="宋体" w:cs="宋体"/>
                <w:color w:val="auto"/>
                <w:kern w:val="0"/>
                <w:szCs w:val="21"/>
                <w:highlight w:val="none"/>
                <w:lang w:val="zh-CN" w:bidi="zh-CN"/>
              </w:rPr>
              <w:t>价</w:t>
            </w:r>
            <w:r>
              <w:rPr>
                <w:rFonts w:ascii="宋体" w:hAnsi="宋体" w:cs="宋体"/>
                <w:color w:val="auto"/>
                <w:spacing w:val="-3"/>
                <w:kern w:val="0"/>
                <w:szCs w:val="21"/>
                <w:highlight w:val="none"/>
                <w:lang w:val="zh-CN" w:bidi="zh-CN"/>
              </w:rPr>
              <w:t>格</w:t>
            </w:r>
            <w:r>
              <w:rPr>
                <w:rFonts w:ascii="宋体" w:hAnsi="宋体" w:cs="宋体"/>
                <w:color w:val="auto"/>
                <w:kern w:val="0"/>
                <w:szCs w:val="21"/>
                <w:highlight w:val="none"/>
                <w:lang w:val="zh-CN" w:bidi="zh-CN"/>
              </w:rPr>
              <w:t>或</w:t>
            </w:r>
            <w:r>
              <w:rPr>
                <w:rFonts w:ascii="宋体" w:hAnsi="宋体" w:cs="宋体"/>
                <w:color w:val="auto"/>
                <w:spacing w:val="-3"/>
                <w:kern w:val="0"/>
                <w:szCs w:val="21"/>
                <w:highlight w:val="none"/>
                <w:lang w:val="zh-CN" w:bidi="zh-CN"/>
              </w:rPr>
              <w:t>者</w:t>
            </w:r>
            <w:r>
              <w:rPr>
                <w:rFonts w:ascii="宋体" w:hAnsi="宋体" w:cs="宋体"/>
                <w:color w:val="auto"/>
                <w:kern w:val="0"/>
                <w:szCs w:val="21"/>
                <w:highlight w:val="none"/>
                <w:lang w:val="zh-CN" w:bidi="zh-CN"/>
              </w:rPr>
              <w:t>提</w:t>
            </w:r>
            <w:r>
              <w:rPr>
                <w:rFonts w:ascii="宋体" w:hAnsi="宋体" w:cs="宋体"/>
                <w:color w:val="auto"/>
                <w:spacing w:val="-3"/>
                <w:kern w:val="0"/>
                <w:szCs w:val="21"/>
                <w:highlight w:val="none"/>
                <w:lang w:val="zh-CN" w:bidi="zh-CN"/>
              </w:rPr>
              <w:t>高</w:t>
            </w:r>
            <w:r>
              <w:rPr>
                <w:rFonts w:ascii="宋体" w:hAnsi="宋体" w:cs="宋体"/>
                <w:color w:val="auto"/>
                <w:kern w:val="0"/>
                <w:szCs w:val="21"/>
                <w:highlight w:val="none"/>
                <w:lang w:val="zh-CN" w:bidi="zh-CN"/>
              </w:rPr>
              <w:t>了工</w:t>
            </w:r>
            <w:r>
              <w:rPr>
                <w:rFonts w:ascii="宋体" w:hAnsi="宋体" w:cs="宋体"/>
                <w:color w:val="auto"/>
                <w:spacing w:val="-3"/>
                <w:kern w:val="0"/>
                <w:szCs w:val="21"/>
                <w:highlight w:val="none"/>
                <w:lang w:val="zh-CN" w:bidi="zh-CN"/>
              </w:rPr>
              <w:t>程</w:t>
            </w:r>
            <w:r>
              <w:rPr>
                <w:rFonts w:ascii="宋体" w:hAnsi="宋体" w:cs="宋体"/>
                <w:color w:val="auto"/>
                <w:kern w:val="0"/>
                <w:szCs w:val="21"/>
                <w:highlight w:val="none"/>
                <w:lang w:val="zh-CN" w:bidi="zh-CN"/>
              </w:rPr>
              <w:t>经</w:t>
            </w:r>
            <w:r>
              <w:rPr>
                <w:rFonts w:ascii="宋体" w:hAnsi="宋体" w:cs="宋体"/>
                <w:color w:val="auto"/>
                <w:spacing w:val="-3"/>
                <w:kern w:val="0"/>
                <w:szCs w:val="21"/>
                <w:highlight w:val="none"/>
                <w:lang w:val="zh-CN" w:bidi="zh-CN"/>
              </w:rPr>
              <w:t>济</w:t>
            </w:r>
            <w:r>
              <w:rPr>
                <w:rFonts w:ascii="宋体" w:hAnsi="宋体" w:cs="宋体"/>
                <w:color w:val="auto"/>
                <w:kern w:val="0"/>
                <w:szCs w:val="21"/>
                <w:highlight w:val="none"/>
                <w:lang w:val="zh-CN" w:bidi="zh-CN"/>
              </w:rPr>
              <w:t>效</w:t>
            </w:r>
            <w:r>
              <w:rPr>
                <w:rFonts w:ascii="宋体" w:hAnsi="宋体" w:cs="宋体"/>
                <w:color w:val="auto"/>
                <w:spacing w:val="-3"/>
                <w:kern w:val="0"/>
                <w:szCs w:val="21"/>
                <w:highlight w:val="none"/>
                <w:lang w:val="zh-CN" w:bidi="zh-CN"/>
              </w:rPr>
              <w:t>益</w:t>
            </w:r>
            <w:r>
              <w:rPr>
                <w:rFonts w:ascii="宋体" w:hAnsi="宋体" w:cs="宋体"/>
                <w:color w:val="auto"/>
                <w:kern w:val="0"/>
                <w:szCs w:val="21"/>
                <w:highlight w:val="none"/>
                <w:lang w:val="zh-CN" w:bidi="zh-CN"/>
              </w:rPr>
              <w:t>的</w:t>
            </w:r>
            <w:r>
              <w:rPr>
                <w:rFonts w:ascii="宋体" w:hAnsi="宋体" w:cs="宋体"/>
                <w:color w:val="auto"/>
                <w:spacing w:val="-85"/>
                <w:kern w:val="0"/>
                <w:szCs w:val="21"/>
                <w:highlight w:val="none"/>
                <w:lang w:val="zh-CN" w:bidi="zh-CN"/>
              </w:rPr>
              <w:t>，</w:t>
            </w:r>
            <w:r>
              <w:rPr>
                <w:rFonts w:ascii="宋体" w:hAnsi="宋体" w:cs="宋体"/>
                <w:color w:val="auto"/>
                <w:spacing w:val="-3"/>
                <w:kern w:val="0"/>
                <w:szCs w:val="21"/>
                <w:highlight w:val="none"/>
                <w:lang w:val="zh-CN" w:bidi="zh-CN"/>
              </w:rPr>
              <w:t>发</w:t>
            </w:r>
            <w:r>
              <w:rPr>
                <w:rFonts w:ascii="宋体" w:hAnsi="宋体" w:cs="宋体"/>
                <w:color w:val="auto"/>
                <w:kern w:val="0"/>
                <w:szCs w:val="21"/>
                <w:highlight w:val="none"/>
                <w:lang w:val="zh-CN" w:bidi="zh-CN"/>
              </w:rPr>
              <w:t>包人按</w:t>
            </w:r>
            <w:r>
              <w:rPr>
                <w:rFonts w:ascii="宋体" w:hAnsi="宋体" w:cs="宋体"/>
                <w:color w:val="auto"/>
                <w:spacing w:val="-3"/>
                <w:kern w:val="0"/>
                <w:szCs w:val="21"/>
                <w:highlight w:val="none"/>
                <w:lang w:val="zh-CN" w:bidi="zh-CN"/>
              </w:rPr>
              <w:t>所</w:t>
            </w:r>
            <w:r>
              <w:rPr>
                <w:rFonts w:ascii="宋体" w:hAnsi="宋体" w:cs="宋体"/>
                <w:color w:val="auto"/>
                <w:kern w:val="0"/>
                <w:szCs w:val="21"/>
                <w:highlight w:val="none"/>
                <w:lang w:val="zh-CN" w:bidi="zh-CN"/>
              </w:rPr>
              <w:t>节</w:t>
            </w:r>
            <w:r>
              <w:rPr>
                <w:rFonts w:ascii="宋体" w:hAnsi="宋体" w:cs="宋体"/>
                <w:color w:val="auto"/>
                <w:spacing w:val="-3"/>
                <w:kern w:val="0"/>
                <w:szCs w:val="21"/>
                <w:highlight w:val="none"/>
                <w:lang w:val="zh-CN" w:bidi="zh-CN"/>
              </w:rPr>
              <w:t>约</w:t>
            </w:r>
            <w:r>
              <w:rPr>
                <w:rFonts w:ascii="宋体" w:hAnsi="宋体" w:cs="宋体"/>
                <w:color w:val="auto"/>
                <w:kern w:val="0"/>
                <w:szCs w:val="21"/>
                <w:highlight w:val="none"/>
                <w:lang w:val="zh-CN" w:bidi="zh-CN"/>
              </w:rPr>
              <w:t>成本的</w:t>
            </w:r>
            <w:r>
              <w:rPr>
                <w:rFonts w:hint="eastAsia" w:ascii="宋体" w:hAnsi="宋体" w:cs="宋体"/>
                <w:color w:val="auto"/>
                <w:kern w:val="0"/>
                <w:szCs w:val="21"/>
                <w:highlight w:val="none"/>
                <w:u w:val="single"/>
                <w:lang w:bidi="zh-CN"/>
              </w:rPr>
              <w:t xml:space="preserve"> \ </w:t>
            </w:r>
            <w:r>
              <w:rPr>
                <w:rFonts w:hAnsi="宋体" w:eastAsia="Times New Roman" w:cs="宋体"/>
                <w:color w:val="auto"/>
                <w:spacing w:val="-4"/>
                <w:kern w:val="0"/>
                <w:szCs w:val="21"/>
                <w:highlight w:val="none"/>
                <w:lang w:val="zh-CN" w:bidi="zh-CN"/>
              </w:rPr>
              <w:t>%</w:t>
            </w:r>
            <w:r>
              <w:rPr>
                <w:rFonts w:ascii="宋体" w:hAnsi="宋体" w:cs="宋体"/>
                <w:color w:val="auto"/>
                <w:kern w:val="0"/>
                <w:szCs w:val="21"/>
                <w:highlight w:val="none"/>
                <w:lang w:val="zh-CN" w:bidi="zh-CN"/>
              </w:rPr>
              <w:t>或增</w:t>
            </w:r>
            <w:r>
              <w:rPr>
                <w:rFonts w:ascii="宋体" w:hAnsi="宋体" w:cs="宋体"/>
                <w:color w:val="auto"/>
                <w:spacing w:val="-3"/>
                <w:kern w:val="0"/>
                <w:szCs w:val="21"/>
                <w:highlight w:val="none"/>
                <w:lang w:val="zh-CN" w:bidi="zh-CN"/>
              </w:rPr>
              <w:t>加</w:t>
            </w:r>
            <w:r>
              <w:rPr>
                <w:rFonts w:ascii="宋体" w:hAnsi="宋体" w:cs="宋体"/>
                <w:color w:val="auto"/>
                <w:kern w:val="0"/>
                <w:szCs w:val="21"/>
                <w:highlight w:val="none"/>
                <w:lang w:val="zh-CN" w:bidi="zh-CN"/>
              </w:rPr>
              <w:t>收</w:t>
            </w:r>
            <w:r>
              <w:rPr>
                <w:rFonts w:ascii="宋体" w:hAnsi="宋体" w:cs="宋体"/>
                <w:color w:val="auto"/>
                <w:spacing w:val="-3"/>
                <w:kern w:val="0"/>
                <w:szCs w:val="21"/>
                <w:highlight w:val="none"/>
                <w:lang w:val="zh-CN" w:bidi="zh-CN"/>
              </w:rPr>
              <w:t>益</w:t>
            </w:r>
            <w:r>
              <w:rPr>
                <w:rFonts w:ascii="宋体" w:hAnsi="宋体" w:cs="宋体"/>
                <w:color w:val="auto"/>
                <w:kern w:val="0"/>
                <w:szCs w:val="21"/>
                <w:highlight w:val="none"/>
                <w:lang w:val="zh-CN" w:bidi="zh-CN"/>
              </w:rPr>
              <w:t>的</w:t>
            </w:r>
            <w:r>
              <w:rPr>
                <w:rFonts w:hint="eastAsia" w:ascii="宋体" w:hAnsi="宋体" w:cs="宋体"/>
                <w:color w:val="auto"/>
                <w:kern w:val="0"/>
                <w:szCs w:val="21"/>
                <w:highlight w:val="none"/>
                <w:u w:val="single"/>
                <w:lang w:bidi="zh-CN"/>
              </w:rPr>
              <w:t xml:space="preserve"> \ </w:t>
            </w:r>
            <w:r>
              <w:rPr>
                <w:rFonts w:hAnsi="宋体" w:eastAsia="Times New Roman" w:cs="宋体"/>
                <w:color w:val="auto"/>
                <w:spacing w:val="-4"/>
                <w:kern w:val="0"/>
                <w:szCs w:val="21"/>
                <w:highlight w:val="none"/>
                <w:lang w:val="zh-CN" w:bidi="zh-CN"/>
              </w:rPr>
              <w:t>%</w:t>
            </w:r>
            <w:r>
              <w:rPr>
                <w:rFonts w:ascii="宋体" w:hAnsi="宋体" w:cs="宋体"/>
                <w:color w:val="auto"/>
                <w:kern w:val="0"/>
                <w:szCs w:val="21"/>
                <w:highlight w:val="none"/>
                <w:lang w:val="zh-CN" w:bidi="zh-CN"/>
              </w:rPr>
              <w:t>给</w:t>
            </w:r>
            <w:r>
              <w:rPr>
                <w:rFonts w:ascii="宋体" w:hAnsi="宋体" w:cs="宋体"/>
                <w:color w:val="auto"/>
                <w:spacing w:val="-3"/>
                <w:kern w:val="0"/>
                <w:szCs w:val="21"/>
                <w:highlight w:val="none"/>
                <w:lang w:val="zh-CN" w:bidi="zh-CN"/>
              </w:rPr>
              <w:t>予</w:t>
            </w:r>
            <w:r>
              <w:rPr>
                <w:rFonts w:ascii="宋体" w:hAnsi="宋体" w:cs="宋体"/>
                <w:color w:val="auto"/>
                <w:kern w:val="0"/>
                <w:szCs w:val="21"/>
                <w:highlight w:val="none"/>
                <w:lang w:val="zh-CN" w:bidi="zh-CN"/>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17</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16.1</w:t>
            </w:r>
          </w:p>
        </w:tc>
        <w:tc>
          <w:tcPr>
            <w:tcW w:w="7027" w:type="dxa"/>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val="zh-CN" w:bidi="zh-CN"/>
              </w:rPr>
              <w:t>因物价波动引起的价格调整按照项目专用合同条款约定的</w:t>
            </w:r>
            <w:r>
              <w:rPr>
                <w:rFonts w:hint="eastAsia" w:ascii="宋体" w:hAnsi="宋体" w:cs="宋体"/>
                <w:color w:val="auto"/>
                <w:kern w:val="0"/>
                <w:szCs w:val="21"/>
                <w:highlight w:val="none"/>
                <w:lang w:bidi="zh-CN"/>
              </w:rPr>
              <w:t>16.1.3项进行处理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18</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val="zh-CN" w:bidi="zh-CN"/>
              </w:rPr>
              <w:t>17.2.1（</w:t>
            </w:r>
            <w:r>
              <w:rPr>
                <w:rFonts w:hint="eastAsia" w:ascii="宋体" w:hAnsi="宋体" w:cs="宋体"/>
                <w:color w:val="auto"/>
                <w:kern w:val="0"/>
                <w:szCs w:val="21"/>
                <w:highlight w:val="none"/>
                <w:lang w:bidi="zh-CN"/>
              </w:rPr>
              <w:t>1）</w:t>
            </w:r>
          </w:p>
        </w:tc>
        <w:tc>
          <w:tcPr>
            <w:tcW w:w="7027" w:type="dxa"/>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val="zh-CN" w:bidi="zh-CN"/>
              </w:rPr>
              <w:t>开工预付款金额：</w:t>
            </w:r>
            <w:r>
              <w:rPr>
                <w:rFonts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lang w:bidi="zh-CN"/>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ascii="宋体" w:hAnsi="宋体" w:cs="宋体"/>
                <w:color w:val="auto"/>
                <w:kern w:val="0"/>
                <w:szCs w:val="21"/>
                <w:highlight w:val="none"/>
                <w:lang w:bidi="zh-CN"/>
              </w:rPr>
              <w:t>19</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17.3.2</w:t>
            </w:r>
          </w:p>
        </w:tc>
        <w:tc>
          <w:tcPr>
            <w:tcW w:w="7027" w:type="dxa"/>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进度付款申请单：向监理人提交进度付款申请单的份数：</w:t>
            </w:r>
            <w:r>
              <w:rPr>
                <w:rFonts w:hint="eastAsia" w:ascii="宋体" w:hAnsi="宋体" w:cs="宋体"/>
                <w:color w:val="auto"/>
                <w:kern w:val="0"/>
                <w:szCs w:val="21"/>
                <w:highlight w:val="none"/>
                <w:u w:val="single"/>
                <w:lang w:val="zh-CN" w:bidi="zh-CN"/>
              </w:rPr>
              <w:t>6</w:t>
            </w:r>
            <w:r>
              <w:rPr>
                <w:rFonts w:hint="eastAsia" w:ascii="宋体" w:hAnsi="宋体" w:cs="宋体"/>
                <w:color w:val="auto"/>
                <w:kern w:val="0"/>
                <w:szCs w:val="21"/>
                <w:highlight w:val="none"/>
                <w:lang w:val="zh-CN" w:bidi="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ascii="宋体" w:hAnsi="宋体" w:cs="宋体"/>
                <w:color w:val="auto"/>
                <w:kern w:val="0"/>
                <w:szCs w:val="21"/>
                <w:highlight w:val="none"/>
                <w:lang w:bidi="zh-CN"/>
              </w:rPr>
              <w:t>20</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val="zh-CN" w:bidi="zh-CN"/>
              </w:rPr>
              <w:t>17.3.3（</w:t>
            </w:r>
            <w:r>
              <w:rPr>
                <w:rFonts w:hint="eastAsia" w:ascii="宋体" w:hAnsi="宋体" w:cs="宋体"/>
                <w:color w:val="auto"/>
                <w:kern w:val="0"/>
                <w:szCs w:val="21"/>
                <w:highlight w:val="none"/>
                <w:lang w:bidi="zh-CN"/>
              </w:rPr>
              <w:t>1）</w:t>
            </w:r>
          </w:p>
        </w:tc>
        <w:tc>
          <w:tcPr>
            <w:tcW w:w="7027" w:type="dxa"/>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进度付款申请证书最低限额：人民币</w:t>
            </w:r>
            <w:r>
              <w:rPr>
                <w:rFonts w:hint="eastAsia" w:ascii="宋体" w:hAnsi="宋体" w:cs="宋体"/>
                <w:color w:val="auto"/>
                <w:kern w:val="0"/>
                <w:szCs w:val="21"/>
                <w:highlight w:val="none"/>
                <w:lang w:bidi="zh-CN"/>
              </w:rPr>
              <w:t>5</w:t>
            </w:r>
            <w:r>
              <w:rPr>
                <w:rFonts w:hint="eastAsia" w:ascii="宋体" w:hAnsi="宋体" w:cs="宋体"/>
                <w:color w:val="auto"/>
                <w:kern w:val="0"/>
                <w:szCs w:val="21"/>
                <w:highlight w:val="none"/>
                <w:lang w:val="zh-CN" w:bidi="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ascii="宋体" w:hAnsi="宋体" w:cs="宋体"/>
                <w:color w:val="auto"/>
                <w:kern w:val="0"/>
                <w:szCs w:val="21"/>
                <w:highlight w:val="none"/>
                <w:lang w:bidi="zh-CN"/>
              </w:rPr>
              <w:t>21</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val="zh-CN" w:bidi="zh-CN"/>
              </w:rPr>
              <w:t>17.3.3（</w:t>
            </w:r>
            <w:r>
              <w:rPr>
                <w:rFonts w:hint="eastAsia" w:ascii="宋体" w:hAnsi="宋体" w:cs="宋体"/>
                <w:color w:val="auto"/>
                <w:kern w:val="0"/>
                <w:szCs w:val="21"/>
                <w:highlight w:val="none"/>
                <w:lang w:bidi="zh-CN"/>
              </w:rPr>
              <w:t>2）</w:t>
            </w:r>
          </w:p>
        </w:tc>
        <w:tc>
          <w:tcPr>
            <w:tcW w:w="7027" w:type="dxa"/>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bidi="zh-CN"/>
              </w:rPr>
            </w:pPr>
            <w:r>
              <w:rPr>
                <w:rFonts w:ascii="宋体" w:hAnsi="宋体" w:cs="宋体"/>
                <w:color w:val="auto"/>
                <w:kern w:val="0"/>
                <w:szCs w:val="21"/>
                <w:highlight w:val="none"/>
                <w:lang w:val="zh-CN" w:bidi="zh-CN"/>
              </w:rPr>
              <w:t>按中国人民银行当期</w:t>
            </w:r>
            <w:r>
              <w:rPr>
                <w:rFonts w:hint="eastAsia" w:ascii="宋体" w:hAnsi="宋体" w:cs="宋体"/>
                <w:color w:val="auto"/>
                <w:kern w:val="0"/>
                <w:szCs w:val="21"/>
                <w:highlight w:val="none"/>
                <w:lang w:val="zh-CN" w:bidi="zh-CN"/>
              </w:rPr>
              <w:t>活期存款</w:t>
            </w:r>
            <w:r>
              <w:rPr>
                <w:rFonts w:ascii="宋体" w:hAnsi="宋体" w:cs="宋体"/>
                <w:color w:val="auto"/>
                <w:kern w:val="0"/>
                <w:szCs w:val="21"/>
                <w:highlight w:val="none"/>
                <w:lang w:val="zh-CN" w:bidi="zh-CN"/>
              </w:rPr>
              <w:t>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ascii="宋体" w:hAnsi="宋体" w:cs="宋体"/>
                <w:color w:val="auto"/>
                <w:kern w:val="0"/>
                <w:szCs w:val="21"/>
                <w:highlight w:val="none"/>
                <w:lang w:bidi="zh-CN"/>
              </w:rPr>
              <w:t>22</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17.4.1</w:t>
            </w:r>
          </w:p>
        </w:tc>
        <w:tc>
          <w:tcPr>
            <w:tcW w:w="7027" w:type="dxa"/>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质量保证金金额：</w:t>
            </w:r>
            <w:r>
              <w:rPr>
                <w:rFonts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lang w:val="zh-CN" w:bidi="zh-CN"/>
              </w:rPr>
              <w:t>%合同价格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24</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val="zh-CN" w:bidi="zh-CN"/>
              </w:rPr>
              <w:t>17.5.1（</w:t>
            </w:r>
            <w:r>
              <w:rPr>
                <w:rFonts w:hint="eastAsia" w:ascii="宋体" w:hAnsi="宋体" w:cs="宋体"/>
                <w:color w:val="auto"/>
                <w:kern w:val="0"/>
                <w:szCs w:val="21"/>
                <w:highlight w:val="none"/>
                <w:lang w:bidi="zh-CN"/>
              </w:rPr>
              <w:t>1）</w:t>
            </w:r>
          </w:p>
        </w:tc>
        <w:tc>
          <w:tcPr>
            <w:tcW w:w="7027" w:type="dxa"/>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交工付款申请单：承包人向监理人提交交工付款申请单（包括相关证明材料）的份数：</w:t>
            </w:r>
            <w:r>
              <w:rPr>
                <w:rFonts w:hint="eastAsia" w:ascii="宋体" w:hAnsi="宋体" w:cs="宋体"/>
                <w:color w:val="auto"/>
                <w:kern w:val="0"/>
                <w:szCs w:val="21"/>
                <w:highlight w:val="none"/>
                <w:u w:val="single"/>
                <w:lang w:val="zh-CN" w:bidi="zh-CN"/>
              </w:rPr>
              <w:t>6</w:t>
            </w:r>
            <w:r>
              <w:rPr>
                <w:rFonts w:hint="eastAsia" w:ascii="宋体" w:hAnsi="宋体" w:cs="宋体"/>
                <w:color w:val="auto"/>
                <w:kern w:val="0"/>
                <w:szCs w:val="21"/>
                <w:highlight w:val="none"/>
                <w:lang w:val="zh-CN" w:bidi="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25</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val="zh-CN" w:bidi="zh-CN"/>
              </w:rPr>
              <w:t>17.6.1（</w:t>
            </w:r>
            <w:r>
              <w:rPr>
                <w:rFonts w:hint="eastAsia" w:ascii="宋体" w:hAnsi="宋体" w:cs="宋体"/>
                <w:color w:val="auto"/>
                <w:kern w:val="0"/>
                <w:szCs w:val="21"/>
                <w:highlight w:val="none"/>
                <w:lang w:bidi="zh-CN"/>
              </w:rPr>
              <w:t>1）</w:t>
            </w:r>
          </w:p>
        </w:tc>
        <w:tc>
          <w:tcPr>
            <w:tcW w:w="7027" w:type="dxa"/>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最终结清申请单：承包人向监理人提交最终结清申请单（包括相关证明材料）的份数：</w:t>
            </w:r>
            <w:r>
              <w:rPr>
                <w:rFonts w:hint="eastAsia" w:ascii="宋体" w:hAnsi="宋体" w:cs="宋体"/>
                <w:color w:val="auto"/>
                <w:kern w:val="0"/>
                <w:szCs w:val="21"/>
                <w:highlight w:val="none"/>
                <w:u w:val="single"/>
                <w:lang w:val="zh-CN" w:bidi="zh-CN"/>
              </w:rPr>
              <w:t xml:space="preserve"> 6 </w:t>
            </w:r>
            <w:r>
              <w:rPr>
                <w:rFonts w:hint="eastAsia" w:ascii="宋体" w:hAnsi="宋体" w:cs="宋体"/>
                <w:color w:val="auto"/>
                <w:kern w:val="0"/>
                <w:szCs w:val="21"/>
                <w:highlight w:val="none"/>
                <w:lang w:val="zh-CN" w:bidi="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26</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18.2（2）</w:t>
            </w:r>
          </w:p>
        </w:tc>
        <w:tc>
          <w:tcPr>
            <w:tcW w:w="7027" w:type="dxa"/>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竣工</w:t>
            </w:r>
            <w:r>
              <w:rPr>
                <w:rFonts w:ascii="宋体" w:hAnsi="宋体" w:cs="宋体"/>
                <w:color w:val="auto"/>
                <w:spacing w:val="-3"/>
                <w:kern w:val="0"/>
                <w:szCs w:val="21"/>
                <w:highlight w:val="none"/>
                <w:lang w:val="zh-CN" w:bidi="zh-CN"/>
              </w:rPr>
              <w:t>资</w:t>
            </w:r>
            <w:r>
              <w:rPr>
                <w:rFonts w:ascii="宋体" w:hAnsi="宋体" w:cs="宋体"/>
                <w:color w:val="auto"/>
                <w:kern w:val="0"/>
                <w:szCs w:val="21"/>
                <w:highlight w:val="none"/>
                <w:lang w:val="zh-CN" w:bidi="zh-CN"/>
              </w:rPr>
              <w:t>料</w:t>
            </w:r>
            <w:r>
              <w:rPr>
                <w:rFonts w:ascii="宋体" w:hAnsi="宋体" w:cs="宋体"/>
                <w:color w:val="auto"/>
                <w:spacing w:val="-3"/>
                <w:kern w:val="0"/>
                <w:szCs w:val="21"/>
                <w:highlight w:val="none"/>
                <w:lang w:val="zh-CN" w:bidi="zh-CN"/>
              </w:rPr>
              <w:t>的</w:t>
            </w:r>
            <w:r>
              <w:rPr>
                <w:rFonts w:ascii="宋体" w:hAnsi="宋体" w:cs="宋体"/>
                <w:color w:val="auto"/>
                <w:kern w:val="0"/>
                <w:szCs w:val="21"/>
                <w:highlight w:val="none"/>
                <w:lang w:val="zh-CN" w:bidi="zh-CN"/>
              </w:rPr>
              <w:t>份</w:t>
            </w:r>
            <w:r>
              <w:rPr>
                <w:rFonts w:ascii="宋体" w:hAnsi="宋体" w:cs="宋体"/>
                <w:color w:val="auto"/>
                <w:spacing w:val="-3"/>
                <w:kern w:val="0"/>
                <w:szCs w:val="21"/>
                <w:highlight w:val="none"/>
                <w:lang w:val="zh-CN" w:bidi="zh-CN"/>
              </w:rPr>
              <w:t>数</w:t>
            </w:r>
            <w:r>
              <w:rPr>
                <w:rFonts w:ascii="宋体" w:hAnsi="宋体" w:cs="宋体"/>
                <w:color w:val="auto"/>
                <w:kern w:val="0"/>
                <w:szCs w:val="21"/>
                <w:highlight w:val="none"/>
                <w:lang w:val="zh-CN" w:bidi="zh-CN"/>
              </w:rPr>
              <w:t>：</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2 </w:t>
            </w:r>
            <w:r>
              <w:rPr>
                <w:rFonts w:ascii="宋体" w:hAnsi="宋体" w:cs="宋体"/>
                <w:color w:val="auto"/>
                <w:kern w:val="0"/>
                <w:szCs w:val="21"/>
                <w:highlight w:val="none"/>
                <w:lang w:val="zh-CN" w:bidi="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27</w:t>
            </w:r>
          </w:p>
        </w:tc>
        <w:tc>
          <w:tcPr>
            <w:tcW w:w="1134" w:type="dxa"/>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18.5.1</w:t>
            </w:r>
          </w:p>
        </w:tc>
        <w:tc>
          <w:tcPr>
            <w:tcW w:w="7027" w:type="dxa"/>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 xml:space="preserve">单位工程或工程设备是否需投入施工期运行： 否  </w:t>
            </w:r>
            <w:r>
              <w:rPr>
                <w:rFonts w:hint="eastAsia" w:ascii="宋体" w:hAnsi="宋体" w:cs="宋体"/>
                <w:color w:val="auto"/>
                <w:kern w:val="0"/>
                <w:szCs w:val="21"/>
                <w:highlight w:val="none"/>
                <w:lang w:val="zh-CN" w:bidi="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28</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18.6.1</w:t>
            </w:r>
          </w:p>
        </w:tc>
        <w:tc>
          <w:tcPr>
            <w:tcW w:w="7027" w:type="dxa"/>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本工程及工程设备是否进行试运行：否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29</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val="zh-CN" w:bidi="zh-CN"/>
              </w:rPr>
              <w:t>19.7（</w:t>
            </w:r>
            <w:r>
              <w:rPr>
                <w:rFonts w:hint="eastAsia" w:ascii="宋体" w:hAnsi="宋体" w:cs="宋体"/>
                <w:color w:val="auto"/>
                <w:kern w:val="0"/>
                <w:szCs w:val="21"/>
                <w:highlight w:val="none"/>
                <w:lang w:bidi="zh-CN"/>
              </w:rPr>
              <w:t>1）</w:t>
            </w:r>
          </w:p>
        </w:tc>
        <w:tc>
          <w:tcPr>
            <w:tcW w:w="7027" w:type="dxa"/>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保修期：</w:t>
            </w:r>
            <w:r>
              <w:rPr>
                <w:rFonts w:hint="eastAsia" w:ascii="宋体" w:hAnsi="宋体" w:cs="宋体"/>
                <w:color w:val="auto"/>
                <w:kern w:val="0"/>
                <w:szCs w:val="21"/>
                <w:highlight w:val="none"/>
                <w:u w:val="single"/>
                <w:lang w:val="zh-CN" w:bidi="zh-CN"/>
              </w:rPr>
              <w:t xml:space="preserve"> 5 </w:t>
            </w:r>
            <w:r>
              <w:rPr>
                <w:rFonts w:hint="eastAsia" w:ascii="宋体" w:hAnsi="宋体" w:cs="宋体"/>
                <w:color w:val="auto"/>
                <w:kern w:val="0"/>
                <w:szCs w:val="21"/>
                <w:highlight w:val="none"/>
                <w:lang w:val="zh-CN" w:bidi="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30</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20.1</w:t>
            </w:r>
          </w:p>
        </w:tc>
        <w:tc>
          <w:tcPr>
            <w:tcW w:w="7027" w:type="dxa"/>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建筑工程一切险的保险费率：</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31</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20.4.2</w:t>
            </w:r>
          </w:p>
        </w:tc>
        <w:tc>
          <w:tcPr>
            <w:tcW w:w="7027" w:type="dxa"/>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第三者责任的最低投保金额：</w:t>
            </w:r>
            <w:r>
              <w:rPr>
                <w:rFonts w:hint="eastAsia" w:ascii="宋体" w:hAnsi="宋体" w:cs="宋体"/>
                <w:b/>
                <w:color w:val="auto"/>
                <w:kern w:val="0"/>
                <w:szCs w:val="21"/>
                <w:highlight w:val="none"/>
                <w:u w:val="single"/>
                <w:lang w:val="zh-CN" w:bidi="zh-CN"/>
              </w:rPr>
              <w:t xml:space="preserve"> </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 xml:space="preserve">万元人民币，事故次数不限（不计免赔额） </w:t>
            </w:r>
          </w:p>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保险费率：</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32</w:t>
            </w:r>
          </w:p>
        </w:tc>
        <w:tc>
          <w:tcPr>
            <w:tcW w:w="1134" w:type="dxa"/>
            <w:vAlign w:val="center"/>
          </w:tcPr>
          <w:p>
            <w:pPr>
              <w:autoSpaceDE w:val="0"/>
              <w:autoSpaceDN w:val="0"/>
              <w:adjustRightInd w:val="0"/>
              <w:snapToGrid w:val="0"/>
              <w:spacing w:before="120" w:beforeLines="50" w:after="120" w:afterLines="50" w:line="280" w:lineRule="exact"/>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24.1</w:t>
            </w:r>
          </w:p>
        </w:tc>
        <w:tc>
          <w:tcPr>
            <w:tcW w:w="7027" w:type="dxa"/>
          </w:tcPr>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u w:val="single"/>
                <w:lang w:val="zh-CN" w:bidi="zh-CN"/>
              </w:rPr>
            </w:pPr>
            <w:r>
              <w:rPr>
                <w:rFonts w:hint="eastAsia" w:ascii="宋体" w:hAnsi="宋体" w:cs="宋体"/>
                <w:color w:val="auto"/>
                <w:kern w:val="0"/>
                <w:szCs w:val="21"/>
                <w:highlight w:val="none"/>
                <w:lang w:val="zh-CN" w:bidi="zh-CN"/>
              </w:rPr>
              <w:t>争议的最终解决方式：</w:t>
            </w:r>
            <w:r>
              <w:rPr>
                <w:rFonts w:hint="eastAsia" w:ascii="宋体" w:hAnsi="宋体" w:cs="宋体"/>
                <w:color w:val="auto"/>
                <w:kern w:val="0"/>
                <w:szCs w:val="21"/>
                <w:highlight w:val="none"/>
                <w:u w:val="single"/>
                <w:lang w:val="zh-CN" w:bidi="zh-CN"/>
              </w:rPr>
              <w:t>仲裁</w:t>
            </w:r>
          </w:p>
          <w:p>
            <w:pPr>
              <w:autoSpaceDE w:val="0"/>
              <w:autoSpaceDN w:val="0"/>
              <w:adjustRightInd w:val="0"/>
              <w:snapToGrid w:val="0"/>
              <w:spacing w:before="120" w:beforeLines="50" w:after="120" w:afterLines="50" w:line="28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仲裁委员会名称</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val="zh-CN" w:bidi="zh-CN"/>
              </w:rPr>
              <w:t xml:space="preserve">  </w:t>
            </w:r>
          </w:p>
        </w:tc>
      </w:tr>
    </w:tbl>
    <w:p>
      <w:pPr>
        <w:autoSpaceDE w:val="0"/>
        <w:autoSpaceDN w:val="0"/>
        <w:adjustRightInd w:val="0"/>
        <w:snapToGrid w:val="0"/>
        <w:spacing w:line="360" w:lineRule="auto"/>
        <w:ind w:firstLine="480" w:firstLineChars="200"/>
        <w:jc w:val="left"/>
        <w:rPr>
          <w:rFonts w:ascii="宋体" w:hAnsi="宋体" w:cs="宋体"/>
          <w:color w:val="auto"/>
          <w:kern w:val="0"/>
          <w:sz w:val="24"/>
          <w:highlight w:val="none"/>
          <w:lang w:bidi="zh-CN"/>
        </w:rPr>
      </w:pPr>
    </w:p>
    <w:p>
      <w:pPr>
        <w:autoSpaceDE w:val="0"/>
        <w:autoSpaceDN w:val="0"/>
        <w:spacing w:before="214"/>
        <w:ind w:left="3482"/>
        <w:jc w:val="left"/>
        <w:outlineLvl w:val="5"/>
        <w:rPr>
          <w:rFonts w:ascii="黑体" w:hAnsi="黑体" w:eastAsia="黑体" w:cs="黑体"/>
          <w:color w:val="auto"/>
          <w:kern w:val="0"/>
          <w:sz w:val="32"/>
          <w:szCs w:val="32"/>
          <w:highlight w:val="none"/>
          <w:lang w:val="zh-CN" w:bidi="zh-CN"/>
        </w:rPr>
      </w:pPr>
    </w:p>
    <w:p>
      <w:pPr>
        <w:autoSpaceDE w:val="0"/>
        <w:autoSpaceDN w:val="0"/>
        <w:spacing w:before="214"/>
        <w:ind w:left="3482"/>
        <w:jc w:val="left"/>
        <w:outlineLvl w:val="5"/>
        <w:rPr>
          <w:rFonts w:ascii="黑体" w:hAnsi="黑体" w:eastAsia="黑体" w:cs="黑体"/>
          <w:color w:val="auto"/>
          <w:kern w:val="0"/>
          <w:sz w:val="32"/>
          <w:szCs w:val="32"/>
          <w:highlight w:val="none"/>
          <w:lang w:val="zh-CN" w:bidi="zh-CN"/>
        </w:rPr>
      </w:pPr>
    </w:p>
    <w:p>
      <w:pPr>
        <w:autoSpaceDE w:val="0"/>
        <w:autoSpaceDN w:val="0"/>
        <w:spacing w:before="214"/>
        <w:ind w:left="3482"/>
        <w:jc w:val="left"/>
        <w:outlineLvl w:val="5"/>
        <w:rPr>
          <w:rFonts w:ascii="黑体" w:hAnsi="黑体" w:eastAsia="黑体" w:cs="黑体"/>
          <w:color w:val="auto"/>
          <w:kern w:val="0"/>
          <w:sz w:val="32"/>
          <w:szCs w:val="32"/>
          <w:highlight w:val="none"/>
          <w:lang w:val="zh-CN" w:bidi="zh-CN"/>
        </w:rPr>
      </w:pPr>
    </w:p>
    <w:p>
      <w:pPr>
        <w:autoSpaceDE w:val="0"/>
        <w:autoSpaceDN w:val="0"/>
        <w:spacing w:before="214"/>
        <w:ind w:left="3482"/>
        <w:jc w:val="left"/>
        <w:outlineLvl w:val="5"/>
        <w:rPr>
          <w:rFonts w:ascii="黑体" w:hAnsi="黑体" w:eastAsia="黑体" w:cs="黑体"/>
          <w:color w:val="auto"/>
          <w:kern w:val="0"/>
          <w:sz w:val="32"/>
          <w:szCs w:val="32"/>
          <w:highlight w:val="none"/>
          <w:lang w:val="zh-CN" w:bidi="zh-CN"/>
        </w:rPr>
      </w:pPr>
      <w:r>
        <w:rPr>
          <w:rFonts w:ascii="黑体" w:hAnsi="黑体" w:eastAsia="黑体" w:cs="黑体"/>
          <w:color w:val="auto"/>
          <w:kern w:val="0"/>
          <w:sz w:val="32"/>
          <w:szCs w:val="32"/>
          <w:highlight w:val="none"/>
          <w:lang w:val="zh-CN" w:bidi="zh-CN"/>
        </w:rPr>
        <w:t>项目专用合同条款</w:t>
      </w:r>
    </w:p>
    <w:p>
      <w:pPr>
        <w:autoSpaceDE w:val="0"/>
        <w:autoSpaceDN w:val="0"/>
        <w:spacing w:before="2"/>
        <w:jc w:val="left"/>
        <w:rPr>
          <w:rFonts w:ascii="宋体" w:hAnsi="宋体" w:cs="宋体"/>
          <w:color w:val="auto"/>
          <w:kern w:val="0"/>
          <w:szCs w:val="21"/>
          <w:highlight w:val="none"/>
          <w:lang w:val="zh-CN" w:bidi="zh-CN"/>
        </w:rPr>
      </w:pPr>
    </w:p>
    <w:p>
      <w:pPr>
        <w:autoSpaceDE w:val="0"/>
        <w:autoSpaceDN w:val="0"/>
        <w:spacing w:line="360" w:lineRule="auto"/>
        <w:ind w:left="1084" w:right="389" w:hanging="66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说明：本部分所列的项目专用合同条款是对“公路工程专用合同条款”中规定必须在  项目专用合同条款中明确的内容的集中，招标人编制的“项目专用合同条款” 不限于本部分所列内容</w:t>
      </w:r>
      <w:r>
        <w:rPr>
          <w:rFonts w:ascii="宋体" w:hAnsi="宋体" w:cs="宋体"/>
          <w:color w:val="auto"/>
          <w:kern w:val="0"/>
          <w:szCs w:val="21"/>
          <w:highlight w:val="none"/>
          <w:lang w:val="zh-CN" w:bidi="zh-CN"/>
        </w:rPr>
        <w:t>。</w:t>
      </w:r>
    </w:p>
    <w:p>
      <w:pPr>
        <w:autoSpaceDE w:val="0"/>
        <w:autoSpaceDN w:val="0"/>
        <w:adjustRightInd w:val="0"/>
        <w:snapToGrid w:val="0"/>
        <w:spacing w:before="120" w:beforeLines="50" w:after="120" w:afterLines="50" w:line="360" w:lineRule="auto"/>
        <w:ind w:firstLine="422" w:firstLineChars="200"/>
        <w:jc w:val="left"/>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1.1.1合同</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增加1.1.1.10条</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发包人下发的管理文件：发包人为使项目达到合同约定的质量、造价、进度、安全、保通、文明等一系列目标，在项目实施期间制定的相关管理、实施办法、方案等文件。</w:t>
      </w:r>
    </w:p>
    <w:p>
      <w:pPr>
        <w:autoSpaceDE w:val="0"/>
        <w:autoSpaceDN w:val="0"/>
        <w:adjustRightInd w:val="0"/>
        <w:snapToGrid w:val="0"/>
        <w:spacing w:before="120" w:beforeLines="50" w:after="120" w:afterLines="50" w:line="360" w:lineRule="auto"/>
        <w:ind w:firstLine="480"/>
        <w:jc w:val="left"/>
        <w:rPr>
          <w:rFonts w:ascii="宋体" w:hAnsi="宋体" w:cs="宋体"/>
          <w:b/>
          <w:bCs/>
          <w:color w:val="auto"/>
          <w:kern w:val="0"/>
          <w:szCs w:val="21"/>
          <w:highlight w:val="none"/>
          <w:lang w:bidi="zh-CN"/>
        </w:rPr>
      </w:pPr>
      <w:r>
        <w:rPr>
          <w:rFonts w:hint="eastAsia" w:ascii="宋体" w:hAnsi="宋体" w:cs="宋体"/>
          <w:b/>
          <w:bCs/>
          <w:color w:val="auto"/>
          <w:kern w:val="0"/>
          <w:szCs w:val="21"/>
          <w:highlight w:val="none"/>
          <w:lang w:bidi="zh-CN"/>
        </w:rPr>
        <w:t>1.1.5合同价格和费用</w:t>
      </w:r>
    </w:p>
    <w:p>
      <w:pPr>
        <w:autoSpaceDE w:val="0"/>
        <w:autoSpaceDN w:val="0"/>
        <w:adjustRightInd w:val="0"/>
        <w:snapToGrid w:val="0"/>
        <w:spacing w:before="120" w:beforeLines="50" w:after="120" w:afterLines="50" w:line="360" w:lineRule="auto"/>
        <w:ind w:firstLine="480"/>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增加1.1.5.8条</w:t>
      </w:r>
    </w:p>
    <w:p>
      <w:pPr>
        <w:autoSpaceDE w:val="0"/>
        <w:autoSpaceDN w:val="0"/>
        <w:adjustRightInd w:val="0"/>
        <w:snapToGrid w:val="0"/>
        <w:spacing w:before="120" w:beforeLines="50" w:after="120" w:afterLines="50" w:line="360" w:lineRule="auto"/>
        <w:ind w:firstLine="480"/>
        <w:jc w:val="left"/>
        <w:rPr>
          <w:rFonts w:ascii="宋体" w:hAnsi="宋体" w:cs="宋体"/>
          <w:color w:val="auto"/>
          <w:kern w:val="0"/>
          <w:szCs w:val="21"/>
          <w:highlight w:val="none"/>
          <w:lang w:bidi="zh-CN"/>
        </w:rPr>
      </w:pPr>
      <w:r>
        <w:rPr>
          <w:rFonts w:hint="eastAsia" w:ascii="宋体" w:hAnsi="宋体" w:cs="宋体"/>
          <w:b/>
          <w:bCs/>
          <w:color w:val="auto"/>
          <w:kern w:val="0"/>
          <w:szCs w:val="21"/>
          <w:highlight w:val="none"/>
          <w:lang w:bidi="zh-CN"/>
        </w:rPr>
        <w:t>1.1.5.8扬尘污染防治费：</w:t>
      </w:r>
      <w:r>
        <w:rPr>
          <w:rFonts w:hint="eastAsia" w:ascii="宋体" w:hAnsi="宋体" w:cs="宋体"/>
          <w:color w:val="auto"/>
          <w:kern w:val="0"/>
          <w:szCs w:val="21"/>
          <w:highlight w:val="none"/>
          <w:lang w:bidi="zh-CN"/>
        </w:rPr>
        <w:t>施工过程中履行河南省交通运输厅、许昌市政府关于工地扬尘治理相关要求（费用计列按照“豫交文[2017]140号《河南省交通运输厅关于发布河南省公路建设养护工程施工扬尘污染防治专项增加费费率标准的通知》”执行，投标人将该项费用考虑在投标报价中。</w:t>
      </w:r>
    </w:p>
    <w:p>
      <w:pPr>
        <w:autoSpaceDE w:val="0"/>
        <w:autoSpaceDN w:val="0"/>
        <w:adjustRightInd w:val="0"/>
        <w:snapToGrid w:val="0"/>
        <w:spacing w:before="120" w:beforeLines="50" w:after="120" w:afterLines="50" w:line="360" w:lineRule="auto"/>
        <w:ind w:firstLine="422" w:firstLineChars="200"/>
        <w:jc w:val="left"/>
        <w:rPr>
          <w:rFonts w:ascii="宋体" w:hAnsi="宋体" w:cs="宋体"/>
          <w:b/>
          <w:bCs/>
          <w:color w:val="auto"/>
          <w:kern w:val="0"/>
          <w:szCs w:val="21"/>
          <w:highlight w:val="none"/>
          <w:lang w:val="zh-CN" w:bidi="zh-CN"/>
        </w:rPr>
      </w:pPr>
      <w:r>
        <w:rPr>
          <w:rFonts w:ascii="宋体" w:hAnsi="宋体" w:cs="宋体"/>
          <w:b/>
          <w:bCs/>
          <w:color w:val="auto"/>
          <w:kern w:val="0"/>
          <w:szCs w:val="21"/>
          <w:highlight w:val="none"/>
          <w:lang w:val="zh-CN" w:bidi="zh-CN"/>
        </w:rPr>
        <w:t>1.4合同文件的优先顺序：</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在本款1.4(12)后增加:(13)施工组织设计；（14）项目经理委任书；(15) 农民工工资支付承诺书；（16）发包人下发的管理文件</w:t>
      </w:r>
      <w:r>
        <w:rPr>
          <w:rFonts w:hint="eastAsia" w:ascii="宋体" w:hAnsi="宋体" w:cs="宋体"/>
          <w:color w:val="auto"/>
          <w:kern w:val="0"/>
          <w:szCs w:val="21"/>
          <w:highlight w:val="none"/>
          <w:lang w:val="zh-CN" w:bidi="zh-CN"/>
        </w:rPr>
        <w:t>（含合同执行期间）</w:t>
      </w:r>
      <w:r>
        <w:rPr>
          <w:rFonts w:ascii="宋体" w:hAnsi="宋体" w:cs="宋体"/>
          <w:color w:val="auto"/>
          <w:kern w:val="0"/>
          <w:szCs w:val="21"/>
          <w:highlight w:val="none"/>
          <w:lang w:val="zh-CN" w:bidi="zh-CN"/>
        </w:rPr>
        <w:t>。将原1.4（1</w:t>
      </w:r>
      <w:r>
        <w:rPr>
          <w:rFonts w:hint="eastAsia" w:ascii="宋体" w:hAnsi="宋体" w:cs="宋体"/>
          <w:color w:val="auto"/>
          <w:kern w:val="0"/>
          <w:szCs w:val="21"/>
          <w:highlight w:val="none"/>
          <w:lang w:bidi="zh-CN"/>
        </w:rPr>
        <w:t>2</w:t>
      </w:r>
      <w:r>
        <w:rPr>
          <w:rFonts w:ascii="宋体" w:hAnsi="宋体" w:cs="宋体"/>
          <w:color w:val="auto"/>
          <w:kern w:val="0"/>
          <w:szCs w:val="21"/>
          <w:highlight w:val="none"/>
          <w:lang w:val="zh-CN" w:bidi="zh-CN"/>
        </w:rPr>
        <w:t>）子款修正为1.4(17)子款：“构成本合同组成部分的任何其他文件。”</w:t>
      </w:r>
    </w:p>
    <w:p>
      <w:pPr>
        <w:autoSpaceDE w:val="0"/>
        <w:autoSpaceDN w:val="0"/>
        <w:adjustRightInd w:val="0"/>
        <w:snapToGrid w:val="0"/>
        <w:spacing w:before="120" w:beforeLines="50" w:after="120" w:afterLines="50" w:line="360" w:lineRule="auto"/>
        <w:ind w:firstLine="422" w:firstLineChars="200"/>
        <w:jc w:val="left"/>
        <w:rPr>
          <w:rFonts w:ascii="宋体" w:hAnsi="宋体" w:cs="宋体"/>
          <w:color w:val="auto"/>
          <w:kern w:val="0"/>
          <w:szCs w:val="21"/>
          <w:highlight w:val="none"/>
          <w:lang w:val="zh-CN" w:bidi="zh-CN"/>
        </w:rPr>
      </w:pPr>
      <w:r>
        <w:rPr>
          <w:rFonts w:ascii="宋体" w:hAnsi="宋体" w:cs="宋体"/>
          <w:b/>
          <w:bCs/>
          <w:color w:val="auto"/>
          <w:kern w:val="0"/>
          <w:szCs w:val="21"/>
          <w:highlight w:val="none"/>
          <w:lang w:val="zh-CN" w:bidi="zh-CN"/>
        </w:rPr>
        <w:t>1.7.2来往函件送达的期限：</w:t>
      </w:r>
      <w:r>
        <w:rPr>
          <w:rFonts w:ascii="宋体" w:hAnsi="宋体" w:cs="宋体"/>
          <w:color w:val="auto"/>
          <w:kern w:val="0"/>
          <w:szCs w:val="21"/>
          <w:highlight w:val="none"/>
          <w:lang w:val="zh-CN" w:bidi="zh-CN"/>
        </w:rPr>
        <w:t xml:space="preserve"> 3天内</w:t>
      </w:r>
    </w:p>
    <w:p>
      <w:pPr>
        <w:autoSpaceDE w:val="0"/>
        <w:autoSpaceDN w:val="0"/>
        <w:adjustRightInd w:val="0"/>
        <w:snapToGrid w:val="0"/>
        <w:spacing w:before="120" w:beforeLines="50" w:after="120" w:afterLines="50" w:line="360" w:lineRule="auto"/>
        <w:ind w:firstLine="422" w:firstLineChars="200"/>
        <w:jc w:val="left"/>
        <w:rPr>
          <w:rFonts w:ascii="宋体" w:hAnsi="宋体" w:cs="宋体"/>
          <w:color w:val="auto"/>
          <w:kern w:val="0"/>
          <w:szCs w:val="21"/>
          <w:highlight w:val="none"/>
          <w:lang w:val="zh-CN" w:bidi="zh-CN"/>
        </w:rPr>
      </w:pPr>
      <w:r>
        <w:rPr>
          <w:rFonts w:ascii="宋体" w:hAnsi="宋体" w:cs="宋体"/>
          <w:b/>
          <w:bCs/>
          <w:color w:val="auto"/>
          <w:kern w:val="0"/>
          <w:szCs w:val="21"/>
          <w:highlight w:val="none"/>
          <w:lang w:val="zh-CN" w:bidi="zh-CN"/>
        </w:rPr>
        <w:t>4.1.2依法纳税：</w:t>
      </w:r>
      <w:r>
        <w:rPr>
          <w:rFonts w:ascii="宋体" w:hAnsi="宋体" w:cs="宋体"/>
          <w:color w:val="auto"/>
          <w:kern w:val="0"/>
          <w:szCs w:val="21"/>
          <w:highlight w:val="none"/>
          <w:lang w:val="zh-CN" w:bidi="zh-CN"/>
        </w:rPr>
        <w:t>国家及地方法律、法规规定应缴纳的一切税费</w:t>
      </w:r>
    </w:p>
    <w:p>
      <w:pPr>
        <w:autoSpaceDE w:val="0"/>
        <w:autoSpaceDN w:val="0"/>
        <w:adjustRightInd w:val="0"/>
        <w:snapToGrid w:val="0"/>
        <w:spacing w:before="120" w:beforeLines="50" w:after="120" w:afterLines="50" w:line="360" w:lineRule="auto"/>
        <w:ind w:firstLine="422" w:firstLineChars="200"/>
        <w:jc w:val="left"/>
        <w:rPr>
          <w:rFonts w:ascii="宋体" w:hAnsi="宋体" w:cs="宋体"/>
          <w:b/>
          <w:bCs/>
          <w:color w:val="auto"/>
          <w:kern w:val="0"/>
          <w:szCs w:val="21"/>
          <w:highlight w:val="none"/>
          <w:lang w:val="zh-CN" w:bidi="zh-CN"/>
        </w:rPr>
      </w:pPr>
      <w:r>
        <w:rPr>
          <w:rFonts w:ascii="宋体" w:hAnsi="宋体" w:cs="宋体"/>
          <w:b/>
          <w:bCs/>
          <w:color w:val="auto"/>
          <w:kern w:val="0"/>
          <w:szCs w:val="21"/>
          <w:highlight w:val="none"/>
          <w:lang w:val="zh-CN" w:bidi="zh-CN"/>
        </w:rPr>
        <w:t>4.1.8为他人提供方便</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承包人为他人提供条件的内容：</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1、工程用地红线以外临时用地等有关问题由施工单位与当地群众协调，协调过程中所发生的费用由承包商承担；</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2、承包商应与地方政府、各部门及当地群众搞好关系，自觉遵守村规民约、法律、法规；</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3、因施工过程中造成道路、房屋以及其他沿线设施的损坏，由承包商负责赔偿；</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4、有经验的承包商，应当能够预见在施工过程中，因意外造成的停工停产以及其它原因所产生的相应费用，其费用包含在报价中。</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承包人为他人提供条件可能发生费用的处理方法：由此产生的一切费用由承包人自行负责，应综合考虑到报价中，不再单独计量</w:t>
      </w:r>
    </w:p>
    <w:p>
      <w:pPr>
        <w:autoSpaceDE w:val="0"/>
        <w:autoSpaceDN w:val="0"/>
        <w:adjustRightInd w:val="0"/>
        <w:snapToGrid w:val="0"/>
        <w:spacing w:before="120" w:beforeLines="50" w:after="120" w:afterLines="50" w:line="360" w:lineRule="auto"/>
        <w:ind w:firstLine="422" w:firstLineChars="200"/>
        <w:jc w:val="left"/>
        <w:rPr>
          <w:rFonts w:ascii="宋体" w:hAnsi="宋体" w:cs="宋体"/>
          <w:b/>
          <w:bCs/>
          <w:color w:val="auto"/>
          <w:kern w:val="0"/>
          <w:szCs w:val="21"/>
          <w:highlight w:val="none"/>
          <w:lang w:val="zh-CN" w:bidi="zh-CN"/>
        </w:rPr>
      </w:pPr>
      <w:r>
        <w:rPr>
          <w:rFonts w:ascii="宋体" w:hAnsi="宋体" w:cs="宋体"/>
          <w:b/>
          <w:bCs/>
          <w:color w:val="auto"/>
          <w:kern w:val="0"/>
          <w:szCs w:val="21"/>
          <w:highlight w:val="none"/>
          <w:lang w:val="zh-CN" w:bidi="zh-CN"/>
        </w:rPr>
        <w:t>4.1.10其他义务</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明确第（</w:t>
      </w:r>
      <w:r>
        <w:rPr>
          <w:rFonts w:hint="eastAsia" w:ascii="宋体" w:hAnsi="宋体" w:cs="宋体"/>
          <w:color w:val="auto"/>
          <w:kern w:val="0"/>
          <w:szCs w:val="21"/>
          <w:highlight w:val="none"/>
          <w:lang w:bidi="zh-CN"/>
        </w:rPr>
        <w:t>6</w:t>
      </w:r>
      <w:r>
        <w:rPr>
          <w:rFonts w:ascii="宋体" w:hAnsi="宋体" w:cs="宋体"/>
          <w:color w:val="auto"/>
          <w:kern w:val="0"/>
          <w:szCs w:val="21"/>
          <w:highlight w:val="none"/>
          <w:lang w:val="zh-CN" w:bidi="zh-CN"/>
        </w:rPr>
        <w:t>）条款：积极配合好与本项目相关的审计和稽查工作。</w:t>
      </w:r>
    </w:p>
    <w:p>
      <w:pPr>
        <w:autoSpaceDE w:val="0"/>
        <w:autoSpaceDN w:val="0"/>
        <w:adjustRightInd w:val="0"/>
        <w:snapToGrid w:val="0"/>
        <w:spacing w:before="120" w:beforeLines="50" w:after="120" w:afterLines="50" w:line="360" w:lineRule="auto"/>
        <w:ind w:firstLine="422" w:firstLineChars="200"/>
        <w:jc w:val="left"/>
        <w:rPr>
          <w:rFonts w:ascii="宋体" w:hAnsi="宋体" w:cs="宋体"/>
          <w:color w:val="auto"/>
          <w:kern w:val="0"/>
          <w:szCs w:val="21"/>
          <w:highlight w:val="none"/>
          <w:lang w:val="zh-CN" w:bidi="zh-CN"/>
        </w:rPr>
      </w:pPr>
      <w:r>
        <w:rPr>
          <w:rFonts w:ascii="宋体" w:hAnsi="宋体" w:cs="宋体"/>
          <w:b/>
          <w:bCs/>
          <w:color w:val="auto"/>
          <w:kern w:val="0"/>
          <w:szCs w:val="21"/>
          <w:highlight w:val="none"/>
          <w:lang w:val="zh-CN" w:bidi="zh-CN"/>
        </w:rPr>
        <w:t>4.2履约担保：</w:t>
      </w:r>
      <w:r>
        <w:rPr>
          <w:rFonts w:hint="eastAsia" w:ascii="宋体" w:hAnsi="宋体" w:cs="宋体"/>
          <w:color w:val="auto"/>
          <w:kern w:val="0"/>
          <w:szCs w:val="21"/>
          <w:highlight w:val="none"/>
          <w:lang w:val="zh-CN" w:bidi="zh-CN"/>
        </w:rPr>
        <w:t>现金或银行保函，投标人采用现金形式提交的，应从基本账户一次性汇入指定账户</w:t>
      </w:r>
      <w:r>
        <w:rPr>
          <w:rFonts w:ascii="宋体" w:hAnsi="宋体" w:cs="宋体"/>
          <w:color w:val="auto"/>
          <w:kern w:val="0"/>
          <w:szCs w:val="21"/>
          <w:highlight w:val="none"/>
          <w:lang w:val="zh-CN" w:bidi="zh-CN"/>
        </w:rPr>
        <w:t>；</w:t>
      </w:r>
      <w:r>
        <w:rPr>
          <w:rFonts w:hint="eastAsia" w:ascii="宋体" w:hAnsi="宋体" w:cs="宋体"/>
          <w:color w:val="auto"/>
          <w:kern w:val="0"/>
          <w:szCs w:val="21"/>
          <w:highlight w:val="none"/>
          <w:lang w:val="zh-CN" w:bidi="zh-CN"/>
        </w:rPr>
        <w:t>采用银行保函形式的，</w:t>
      </w:r>
      <w:r>
        <w:rPr>
          <w:rFonts w:ascii="宋体" w:hAnsi="宋体" w:cs="宋体"/>
          <w:color w:val="auto"/>
          <w:kern w:val="0"/>
          <w:szCs w:val="21"/>
          <w:highlight w:val="none"/>
          <w:lang w:val="zh-CN" w:bidi="zh-CN"/>
        </w:rPr>
        <w:t>出具履约担保的银行级别：具有开保函资格和所需额度的信誉良好的国内地市级以上（含地市级）的全国性商业银行分行或支行。</w:t>
      </w:r>
    </w:p>
    <w:p>
      <w:pPr>
        <w:autoSpaceDE w:val="0"/>
        <w:autoSpaceDN w:val="0"/>
        <w:adjustRightInd w:val="0"/>
        <w:snapToGrid w:val="0"/>
        <w:spacing w:before="120" w:beforeLines="50" w:after="120" w:afterLines="50" w:line="360" w:lineRule="auto"/>
        <w:ind w:firstLine="422" w:firstLineChars="200"/>
        <w:jc w:val="left"/>
        <w:rPr>
          <w:rFonts w:ascii="宋体" w:hAnsi="宋体" w:cs="宋体"/>
          <w:color w:val="auto"/>
          <w:kern w:val="0"/>
          <w:szCs w:val="21"/>
          <w:highlight w:val="none"/>
          <w:lang w:val="zh-CN" w:bidi="zh-CN"/>
        </w:rPr>
      </w:pPr>
      <w:r>
        <w:rPr>
          <w:rFonts w:ascii="宋体" w:hAnsi="宋体" w:cs="宋体"/>
          <w:b/>
          <w:bCs/>
          <w:color w:val="auto"/>
          <w:kern w:val="0"/>
          <w:szCs w:val="21"/>
          <w:highlight w:val="none"/>
          <w:lang w:val="zh-CN" w:bidi="zh-CN"/>
        </w:rPr>
        <w:t>4.6.3本款细化为：</w:t>
      </w:r>
      <w:r>
        <w:rPr>
          <w:rFonts w:hint="eastAsia" w:ascii="宋体" w:hAnsi="宋体" w:cs="宋体"/>
          <w:color w:val="auto"/>
          <w:kern w:val="0"/>
          <w:szCs w:val="21"/>
          <w:highlight w:val="none"/>
          <w:lang w:val="zh-CN" w:bidi="zh-CN"/>
        </w:rPr>
        <w:t>承包人安排在施工场地的主要管理人员和技术骨干应与投标文件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pPr>
        <w:autoSpaceDE w:val="0"/>
        <w:autoSpaceDN w:val="0"/>
        <w:adjustRightInd w:val="0"/>
        <w:snapToGrid w:val="0"/>
        <w:spacing w:before="120" w:beforeLines="50" w:after="120" w:afterLines="50" w:line="360" w:lineRule="auto"/>
        <w:ind w:firstLine="422" w:firstLineChars="200"/>
        <w:jc w:val="left"/>
        <w:rPr>
          <w:rFonts w:ascii="宋体" w:hAnsi="宋体" w:cs="宋体"/>
          <w:color w:val="auto"/>
          <w:kern w:val="0"/>
          <w:szCs w:val="21"/>
          <w:highlight w:val="none"/>
          <w:lang w:val="zh-CN" w:bidi="zh-CN"/>
        </w:rPr>
      </w:pPr>
      <w:r>
        <w:rPr>
          <w:rFonts w:ascii="宋体" w:hAnsi="宋体" w:cs="宋体"/>
          <w:b/>
          <w:bCs/>
          <w:color w:val="auto"/>
          <w:kern w:val="0"/>
          <w:szCs w:val="21"/>
          <w:highlight w:val="none"/>
          <w:lang w:val="zh-CN" w:bidi="zh-CN"/>
        </w:rPr>
        <w:t>4.11.1不利物质条件的范围：</w:t>
      </w:r>
      <w:r>
        <w:rPr>
          <w:rFonts w:ascii="宋体" w:hAnsi="宋体" w:cs="宋体"/>
          <w:color w:val="auto"/>
          <w:kern w:val="0"/>
          <w:szCs w:val="21"/>
          <w:highlight w:val="none"/>
          <w:lang w:val="zh-CN" w:bidi="zh-CN"/>
        </w:rPr>
        <w:t>指承包人在施工场地遇到的不可预见的自然物质条件、非自然的物质障碍和污染物，包括地下和水文条件，但不包括气候条件。</w:t>
      </w:r>
    </w:p>
    <w:p>
      <w:pPr>
        <w:autoSpaceDE w:val="0"/>
        <w:autoSpaceDN w:val="0"/>
        <w:adjustRightInd w:val="0"/>
        <w:snapToGrid w:val="0"/>
        <w:spacing w:before="120" w:beforeLines="50" w:after="120" w:afterLines="50" w:line="360" w:lineRule="auto"/>
        <w:ind w:firstLine="422" w:firstLineChars="200"/>
        <w:jc w:val="left"/>
        <w:rPr>
          <w:rFonts w:ascii="宋体" w:hAnsi="宋体" w:cs="宋体"/>
          <w:b/>
          <w:bCs/>
          <w:color w:val="auto"/>
          <w:kern w:val="0"/>
          <w:szCs w:val="21"/>
          <w:highlight w:val="none"/>
          <w:lang w:bidi="zh-CN"/>
        </w:rPr>
      </w:pPr>
      <w:r>
        <w:rPr>
          <w:rFonts w:hint="eastAsia" w:ascii="宋体" w:hAnsi="宋体" w:cs="宋体"/>
          <w:b/>
          <w:bCs/>
          <w:color w:val="auto"/>
          <w:kern w:val="0"/>
          <w:szCs w:val="21"/>
          <w:highlight w:val="none"/>
          <w:lang w:bidi="zh-CN"/>
        </w:rPr>
        <w:t>9.2.5安全生产费用：</w:t>
      </w:r>
      <w:r>
        <w:rPr>
          <w:rFonts w:hint="eastAsia" w:ascii="宋体" w:hAnsi="宋体" w:cs="宋体"/>
          <w:color w:val="auto"/>
          <w:kern w:val="0"/>
          <w:szCs w:val="21"/>
          <w:highlight w:val="none"/>
          <w:lang w:val="zh-CN" w:bidi="zh-CN"/>
        </w:rPr>
        <w:t>安全生产费按招标人固化清单中公布的金额计取（为固定值）。</w:t>
      </w:r>
    </w:p>
    <w:p>
      <w:pPr>
        <w:autoSpaceDE w:val="0"/>
        <w:autoSpaceDN w:val="0"/>
        <w:adjustRightInd w:val="0"/>
        <w:snapToGrid w:val="0"/>
        <w:spacing w:before="120" w:beforeLines="50" w:after="120" w:afterLines="50" w:line="360" w:lineRule="auto"/>
        <w:ind w:firstLine="422" w:firstLineChars="200"/>
        <w:jc w:val="left"/>
        <w:rPr>
          <w:rFonts w:ascii="宋体" w:hAnsi="宋体" w:cs="宋体"/>
          <w:b/>
          <w:bCs/>
          <w:color w:val="auto"/>
          <w:kern w:val="0"/>
          <w:szCs w:val="21"/>
          <w:highlight w:val="none"/>
          <w:lang w:val="zh-CN" w:bidi="zh-CN"/>
        </w:rPr>
      </w:pPr>
      <w:r>
        <w:rPr>
          <w:rFonts w:ascii="宋体" w:hAnsi="宋体" w:cs="宋体"/>
          <w:b/>
          <w:bCs/>
          <w:color w:val="auto"/>
          <w:kern w:val="0"/>
          <w:szCs w:val="21"/>
          <w:highlight w:val="none"/>
          <w:lang w:val="zh-CN" w:bidi="zh-CN"/>
        </w:rPr>
        <w:t>10.1合同进度计划</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承包人编制施工方案的内容：</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1、施工组织设计的文字说明。</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1）设备、人员动员周期和设备、人员、材料运到施工现场的方法；</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2）施工便道修建方案；</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3)主要工程项目的施工方案、施工方法；各分项工程的施工顺序；重点（关键）和难点工程的施工方案、方法及其措施；</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4）工期进度安排：应编制施工总体计划表（横道图及网络图形式），详细说明整个工程开、竣工日期及分阶段计划安排；保证工期的措施。</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5）确保质量的措施：质保体系的建立；质量目标的制定；明确各分部、分项工程的质量控制重点，并提出对可能出现的质量问题的事前、事中、事后控制的处理措施；消除质量通病的方法和措施；</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6）冬季和雨季的施工安排；</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7）安全生产、文明施工及环保措施；</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8）与其它在建工程施工单位之间的配合、协调；</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9）其它应说明的事项。</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2、分项工程进度率计划 </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3、工程管理曲线</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4、施工总平面布置</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5、主要分项工程施工工艺框图</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6、分项工程生产率和施工周期表</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7、施工总体计划表</w:t>
      </w:r>
    </w:p>
    <w:p>
      <w:pPr>
        <w:autoSpaceDE w:val="0"/>
        <w:autoSpaceDN w:val="0"/>
        <w:adjustRightInd w:val="0"/>
        <w:snapToGrid w:val="0"/>
        <w:spacing w:before="120" w:beforeLines="50" w:after="120" w:afterLines="50" w:line="360" w:lineRule="auto"/>
        <w:ind w:firstLine="422" w:firstLineChars="200"/>
        <w:jc w:val="left"/>
        <w:rPr>
          <w:rFonts w:ascii="宋体" w:hAnsi="宋体" w:cs="宋体"/>
          <w:color w:val="auto"/>
          <w:kern w:val="0"/>
          <w:szCs w:val="21"/>
          <w:highlight w:val="none"/>
          <w:lang w:val="zh-CN" w:bidi="zh-CN"/>
        </w:rPr>
      </w:pPr>
      <w:r>
        <w:rPr>
          <w:rFonts w:ascii="宋体" w:hAnsi="宋体" w:cs="宋体"/>
          <w:b/>
          <w:bCs/>
          <w:color w:val="auto"/>
          <w:kern w:val="0"/>
          <w:szCs w:val="21"/>
          <w:highlight w:val="none"/>
          <w:lang w:val="zh-CN" w:bidi="zh-CN"/>
        </w:rPr>
        <w:t>11.4异常恶劣的气候条件：</w:t>
      </w:r>
      <w:r>
        <w:rPr>
          <w:rFonts w:ascii="宋体" w:hAnsi="宋体" w:cs="宋体"/>
          <w:color w:val="auto"/>
          <w:kern w:val="0"/>
          <w:szCs w:val="21"/>
          <w:highlight w:val="none"/>
          <w:lang w:val="zh-CN" w:bidi="zh-CN"/>
        </w:rPr>
        <w:t xml:space="preserve"> 本合同工程指发生烈度为七度以上地震、龙卷风、超过百年一遇洪水位等引起的延误情况。</w:t>
      </w:r>
    </w:p>
    <w:p>
      <w:pPr>
        <w:autoSpaceDE w:val="0"/>
        <w:autoSpaceDN w:val="0"/>
        <w:spacing w:line="360" w:lineRule="auto"/>
        <w:ind w:firstLine="210" w:firstLineChars="100"/>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bidi="zh-CN"/>
        </w:rPr>
        <w:t xml:space="preserve">  </w:t>
      </w:r>
      <w:r>
        <w:rPr>
          <w:rFonts w:hint="eastAsia" w:ascii="宋体" w:hAnsi="宋体" w:cs="宋体"/>
          <w:b/>
          <w:bCs/>
          <w:color w:val="auto"/>
          <w:kern w:val="0"/>
          <w:szCs w:val="21"/>
          <w:highlight w:val="none"/>
          <w:lang w:bidi="zh-CN"/>
        </w:rPr>
        <w:t>15.4.4</w:t>
      </w:r>
      <w:r>
        <w:rPr>
          <w:rFonts w:hint="eastAsia" w:ascii="宋体" w:hAnsi="宋体" w:cs="宋体"/>
          <w:color w:val="auto"/>
          <w:kern w:val="0"/>
          <w:szCs w:val="21"/>
          <w:highlight w:val="none"/>
          <w:lang w:bidi="zh-CN"/>
        </w:rPr>
        <w:t>已标价工程量清单无适用或者类似子目的单价，按照市财政局评审中心评审单价执行。</w:t>
      </w:r>
    </w:p>
    <w:p>
      <w:pPr>
        <w:autoSpaceDE w:val="0"/>
        <w:autoSpaceDN w:val="0"/>
        <w:spacing w:line="360" w:lineRule="auto"/>
        <w:ind w:firstLine="210" w:firstLineChars="100"/>
        <w:jc w:val="left"/>
        <w:rPr>
          <w:rFonts w:ascii="宋体" w:hAnsi="宋体" w:cs="宋体"/>
          <w:b/>
          <w:bCs/>
          <w:color w:val="auto"/>
          <w:kern w:val="0"/>
          <w:szCs w:val="21"/>
          <w:highlight w:val="none"/>
          <w:lang w:bidi="zh-CN"/>
        </w:rPr>
      </w:pPr>
      <w:r>
        <w:rPr>
          <w:rFonts w:hint="eastAsia" w:ascii="宋体" w:hAnsi="宋体" w:cs="宋体"/>
          <w:color w:val="auto"/>
          <w:kern w:val="0"/>
          <w:szCs w:val="21"/>
          <w:highlight w:val="none"/>
          <w:lang w:bidi="zh-CN"/>
        </w:rPr>
        <w:t xml:space="preserve">  </w:t>
      </w:r>
      <w:r>
        <w:rPr>
          <w:rFonts w:hint="eastAsia" w:ascii="宋体" w:hAnsi="宋体" w:cs="宋体"/>
          <w:b/>
          <w:bCs/>
          <w:color w:val="auto"/>
          <w:kern w:val="0"/>
          <w:szCs w:val="21"/>
          <w:highlight w:val="none"/>
          <w:lang w:bidi="zh-CN"/>
        </w:rPr>
        <w:t>15.6.4本条补充：</w:t>
      </w:r>
      <w:r>
        <w:rPr>
          <w:rFonts w:hint="eastAsia" w:ascii="宋体" w:hAnsi="宋体" w:cs="宋体"/>
          <w:color w:val="auto"/>
          <w:kern w:val="0"/>
          <w:szCs w:val="21"/>
          <w:highlight w:val="none"/>
          <w:lang w:bidi="zh-CN"/>
        </w:rPr>
        <w:t>本项目属于公路养护工程，暂列金额主要用于</w:t>
      </w:r>
      <w:r>
        <w:rPr>
          <w:rFonts w:hint="eastAsia" w:ascii="宋体" w:hAnsi="宋体" w:cs="宋体"/>
          <w:color w:val="auto"/>
          <w:kern w:val="0"/>
          <w:szCs w:val="21"/>
          <w:highlight w:val="none"/>
          <w:lang w:val="zh-CN" w:bidi="zh-CN"/>
        </w:rPr>
        <w:t>因隐蔽工程、病害发展产生的设计变更或工程数量增减的造成费用增加，根据实际计量金额由发包人批准是否同意使用。</w:t>
      </w:r>
    </w:p>
    <w:p>
      <w:pPr>
        <w:autoSpaceDE w:val="0"/>
        <w:autoSpaceDN w:val="0"/>
        <w:spacing w:line="360" w:lineRule="auto"/>
        <w:ind w:left="480"/>
        <w:jc w:val="left"/>
        <w:rPr>
          <w:rFonts w:ascii="宋体" w:hAnsi="宋体" w:cs="宋体"/>
          <w:b/>
          <w:bCs/>
          <w:color w:val="auto"/>
          <w:kern w:val="0"/>
          <w:szCs w:val="21"/>
          <w:highlight w:val="none"/>
          <w:lang w:bidi="zh-CN"/>
        </w:rPr>
      </w:pPr>
      <w:r>
        <w:rPr>
          <w:rFonts w:hint="eastAsia" w:ascii="宋体" w:hAnsi="宋体" w:cs="宋体"/>
          <w:b/>
          <w:bCs/>
          <w:color w:val="auto"/>
          <w:kern w:val="0"/>
          <w:szCs w:val="21"/>
          <w:highlight w:val="none"/>
          <w:lang w:bidi="zh-CN"/>
        </w:rPr>
        <w:t>16.1物价波动引起的价格调整</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因物价波动引起的价格调整，本项目针对主要材料价格浮动按照</w:t>
      </w:r>
      <w:r>
        <w:rPr>
          <w:rFonts w:hint="eastAsia" w:ascii="宋体" w:hAnsi="宋体" w:cs="宋体"/>
          <w:color w:val="auto"/>
          <w:kern w:val="0"/>
          <w:szCs w:val="21"/>
          <w:highlight w:val="none"/>
          <w:lang w:bidi="zh-CN"/>
        </w:rPr>
        <w:t>16.1.3项进行调整。</w:t>
      </w:r>
    </w:p>
    <w:p>
      <w:pPr>
        <w:autoSpaceDE w:val="0"/>
        <w:autoSpaceDN w:val="0"/>
        <w:adjustRightInd w:val="0"/>
        <w:snapToGrid w:val="0"/>
        <w:spacing w:line="360" w:lineRule="auto"/>
        <w:ind w:firstLine="420" w:firstLineChars="200"/>
        <w:jc w:val="left"/>
        <w:rPr>
          <w:rFonts w:ascii="宋体" w:hAnsi="宋体" w:cs="黑体"/>
          <w:color w:val="auto"/>
          <w:kern w:val="0"/>
          <w:szCs w:val="21"/>
          <w:highlight w:val="none"/>
          <w:lang w:bidi="zh-CN"/>
        </w:rPr>
      </w:pPr>
      <w:r>
        <w:rPr>
          <w:rFonts w:hint="eastAsia" w:ascii="宋体" w:hAnsi="宋体" w:cs="黑体"/>
          <w:color w:val="auto"/>
          <w:kern w:val="0"/>
          <w:szCs w:val="21"/>
          <w:highlight w:val="none"/>
          <w:lang w:bidi="zh-CN"/>
        </w:rPr>
        <w:t>16.1.3</w:t>
      </w:r>
      <w:r>
        <w:rPr>
          <w:rFonts w:hint="eastAsia" w:ascii="宋体" w:hAnsi="宋体" w:cs="宋体"/>
          <w:b/>
          <w:bCs/>
          <w:color w:val="auto"/>
          <w:kern w:val="0"/>
          <w:szCs w:val="21"/>
          <w:highlight w:val="none"/>
          <w:lang w:val="zh-CN" w:bidi="zh-CN"/>
        </w:rPr>
        <w:t>采用河南省交通运输厅《河南省交通建设项目工程施工主要材料价差调整指导性意见》（豫交〔</w:t>
      </w:r>
      <w:r>
        <w:rPr>
          <w:rFonts w:ascii="宋体" w:hAnsi="宋体" w:cs="宋体"/>
          <w:b/>
          <w:bCs/>
          <w:color w:val="auto"/>
          <w:kern w:val="0"/>
          <w:szCs w:val="21"/>
          <w:highlight w:val="none"/>
          <w:lang w:val="zh-CN" w:bidi="zh-CN"/>
        </w:rPr>
        <w:t>2011</w:t>
      </w:r>
      <w:r>
        <w:rPr>
          <w:rFonts w:hint="eastAsia" w:ascii="宋体" w:hAnsi="宋体" w:cs="宋体"/>
          <w:b/>
          <w:bCs/>
          <w:color w:val="auto"/>
          <w:kern w:val="0"/>
          <w:szCs w:val="21"/>
          <w:highlight w:val="none"/>
          <w:lang w:val="zh-CN" w:bidi="zh-CN"/>
        </w:rPr>
        <w:t>〕</w:t>
      </w:r>
      <w:r>
        <w:rPr>
          <w:rFonts w:ascii="宋体" w:hAnsi="宋体" w:cs="宋体"/>
          <w:b/>
          <w:bCs/>
          <w:color w:val="auto"/>
          <w:kern w:val="0"/>
          <w:szCs w:val="21"/>
          <w:highlight w:val="none"/>
          <w:lang w:val="zh-CN" w:bidi="zh-CN"/>
        </w:rPr>
        <w:t>42</w:t>
      </w:r>
      <w:r>
        <w:rPr>
          <w:rFonts w:hint="eastAsia" w:ascii="宋体" w:hAnsi="宋体" w:cs="宋体"/>
          <w:b/>
          <w:bCs/>
          <w:color w:val="auto"/>
          <w:kern w:val="0"/>
          <w:szCs w:val="21"/>
          <w:highlight w:val="none"/>
          <w:lang w:val="zh-CN" w:bidi="zh-CN"/>
        </w:rPr>
        <w:t>号文）文件规定办法进行调整。</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16.1.3.1</w:t>
      </w:r>
      <w:r>
        <w:rPr>
          <w:rFonts w:hint="eastAsia" w:ascii="宋体" w:hAnsi="宋体" w:cs="宋体"/>
          <w:color w:val="auto"/>
          <w:kern w:val="0"/>
          <w:szCs w:val="21"/>
          <w:highlight w:val="none"/>
          <w:lang w:val="zh-CN" w:bidi="zh-CN"/>
        </w:rPr>
        <w:t>调差材料种类：</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 xml:space="preserve">调差的主要材料指《公路工程预算定额》（JTG/T B06-02-2007）附录四表中的主要材料。具体如下： </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 xml:space="preserve">钢材：代号 111～143、代号 182～183、代号 191、代号 263（水中）、代号 265、代号 290～291、代号 301～304、代号 310、代号 667～668； </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水泥：代号 832～834； 沥青：代号 851～853；</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val="zh-CN" w:bidi="zh-CN"/>
        </w:rPr>
        <w:t>沥青：代号</w:t>
      </w:r>
      <w:r>
        <w:rPr>
          <w:rFonts w:hint="eastAsia" w:ascii="宋体" w:hAnsi="宋体" w:cs="宋体"/>
          <w:color w:val="auto"/>
          <w:kern w:val="0"/>
          <w:szCs w:val="21"/>
          <w:highlight w:val="none"/>
          <w:lang w:bidi="zh-CN"/>
        </w:rPr>
        <w:t>851</w:t>
      </w:r>
      <w:r>
        <w:rPr>
          <w:rFonts w:hint="eastAsia" w:ascii="宋体" w:hAnsi="宋体" w:cs="宋体"/>
          <w:color w:val="auto"/>
          <w:kern w:val="0"/>
          <w:szCs w:val="21"/>
          <w:highlight w:val="none"/>
          <w:lang w:val="zh-CN" w:bidi="zh-CN"/>
        </w:rPr>
        <w:t>～</w:t>
      </w:r>
      <w:r>
        <w:rPr>
          <w:rFonts w:hint="eastAsia" w:ascii="宋体" w:hAnsi="宋体" w:cs="宋体"/>
          <w:color w:val="auto"/>
          <w:kern w:val="0"/>
          <w:szCs w:val="21"/>
          <w:highlight w:val="none"/>
          <w:lang w:bidi="zh-CN"/>
        </w:rPr>
        <w:t>853；</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燃油：重油代号 861、汽油代号 862、柴油代号 863；</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地材：中（粗）砂代号 899、碎石代号 951～971、生石灰代号 891；片石代号 931；</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半成品：混凝土及钢筋混凝土构件。</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16.1.3.2</w:t>
      </w:r>
      <w:r>
        <w:rPr>
          <w:rFonts w:hint="eastAsia" w:ascii="宋体" w:hAnsi="宋体" w:cs="宋体"/>
          <w:color w:val="auto"/>
          <w:kern w:val="0"/>
          <w:szCs w:val="21"/>
          <w:highlight w:val="none"/>
          <w:lang w:val="zh-CN" w:bidi="zh-CN"/>
        </w:rPr>
        <w:t>计算方法</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1、价差调整费用（ΔCt）计算公式：</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ΔCt=（|ΔC|－Co×|r％|）×V</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式中：ΔCt：价差调整费用</w:t>
      </w:r>
    </w:p>
    <w:p>
      <w:pPr>
        <w:autoSpaceDE w:val="0"/>
        <w:autoSpaceDN w:val="0"/>
        <w:adjustRightInd w:val="0"/>
        <w:snapToGrid w:val="0"/>
        <w:spacing w:line="360" w:lineRule="auto"/>
        <w:ind w:firstLine="1050" w:firstLineChars="5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ΔC：材料价差</w:t>
      </w:r>
    </w:p>
    <w:p>
      <w:pPr>
        <w:autoSpaceDE w:val="0"/>
        <w:autoSpaceDN w:val="0"/>
        <w:adjustRightInd w:val="0"/>
        <w:snapToGrid w:val="0"/>
        <w:spacing w:line="360" w:lineRule="auto"/>
        <w:ind w:firstLine="1050" w:firstLineChars="5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r％：材料价格涨降风险幅度</w:t>
      </w:r>
    </w:p>
    <w:p>
      <w:pPr>
        <w:autoSpaceDE w:val="0"/>
        <w:autoSpaceDN w:val="0"/>
        <w:adjustRightInd w:val="0"/>
        <w:snapToGrid w:val="0"/>
        <w:spacing w:line="360" w:lineRule="auto"/>
        <w:ind w:firstLine="1050" w:firstLineChars="5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Co：基准价</w:t>
      </w:r>
    </w:p>
    <w:p>
      <w:pPr>
        <w:autoSpaceDE w:val="0"/>
        <w:autoSpaceDN w:val="0"/>
        <w:adjustRightInd w:val="0"/>
        <w:snapToGrid w:val="0"/>
        <w:spacing w:line="360" w:lineRule="auto"/>
        <w:ind w:firstLine="1050" w:firstLineChars="5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V：材料数量</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2、材料价差（ΔC）</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ΔC＝Ca－Co</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基准价（Co）：指项目招投标时，招标人报价中公示的材料价格；未公示的材料价格可按业主编制标底时采用的材料价格，或参考河南省交通工程定额站以及当地市级以上造价管理机构在业主招标时发布的信息价格。基准价包含运费。</w:t>
      </w:r>
    </w:p>
    <w:p>
      <w:pPr>
        <w:widowControl/>
        <w:shd w:val="clear" w:color="auto" w:fill="FEFEFE"/>
        <w:autoSpaceDE w:val="0"/>
        <w:autoSpaceDN w:val="0"/>
        <w:snapToGrid w:val="0"/>
        <w:spacing w:line="360" w:lineRule="auto"/>
        <w:ind w:firstLine="480"/>
        <w:jc w:val="left"/>
        <w:rPr>
          <w:rFonts w:ascii="宋体" w:hAnsi="宋体"/>
          <w:color w:val="auto"/>
          <w:szCs w:val="21"/>
          <w:highlight w:val="none"/>
          <w:lang w:val="zh-CN" w:bidi="zh-CN"/>
        </w:rPr>
      </w:pPr>
      <w:r>
        <w:rPr>
          <w:rFonts w:hint="eastAsia" w:ascii="宋体" w:hAnsi="宋体"/>
          <w:color w:val="auto"/>
          <w:szCs w:val="21"/>
          <w:highlight w:val="none"/>
          <w:lang w:val="zh-CN" w:bidi="zh-CN"/>
        </w:rPr>
        <w:t>调整价（Ca）：以工程实体形成前一个季度，由业主、监理、承包商三方调查核实的市场价，参考河南省交通工程定额站或当地市级以上造价管理机构发布的当期信息价确定，没有信息价的按施工期市场价确定，最终以审计为准。调整价包含运费。</w:t>
      </w:r>
    </w:p>
    <w:p>
      <w:pPr>
        <w:widowControl/>
        <w:shd w:val="clear" w:color="auto" w:fill="FEFEFE"/>
        <w:autoSpaceDE w:val="0"/>
        <w:autoSpaceDN w:val="0"/>
        <w:snapToGrid w:val="0"/>
        <w:spacing w:line="360" w:lineRule="auto"/>
        <w:ind w:firstLine="420" w:firstLineChars="200"/>
        <w:jc w:val="left"/>
        <w:rPr>
          <w:rFonts w:ascii="宋体" w:hAnsi="宋体"/>
          <w:color w:val="auto"/>
          <w:szCs w:val="21"/>
          <w:highlight w:val="none"/>
          <w:lang w:val="zh-CN" w:bidi="zh-CN"/>
        </w:rPr>
      </w:pPr>
      <w:r>
        <w:rPr>
          <w:rFonts w:hint="eastAsia" w:ascii="宋体" w:hAnsi="宋体"/>
          <w:color w:val="auto"/>
          <w:szCs w:val="21"/>
          <w:highlight w:val="none"/>
          <w:lang w:val="zh-CN" w:bidi="zh-CN"/>
        </w:rPr>
        <w:t>3、风险幅度（r％）</w:t>
      </w:r>
    </w:p>
    <w:p>
      <w:pPr>
        <w:widowControl/>
        <w:shd w:val="clear" w:color="auto" w:fill="FEFEFE"/>
        <w:autoSpaceDE w:val="0"/>
        <w:autoSpaceDN w:val="0"/>
        <w:snapToGrid w:val="0"/>
        <w:spacing w:line="360" w:lineRule="auto"/>
        <w:ind w:firstLine="480"/>
        <w:jc w:val="left"/>
        <w:rPr>
          <w:rFonts w:ascii="宋体" w:hAnsi="宋体"/>
          <w:color w:val="auto"/>
          <w:szCs w:val="21"/>
          <w:highlight w:val="none"/>
          <w:lang w:val="zh-CN" w:bidi="zh-CN"/>
        </w:rPr>
      </w:pPr>
      <w:r>
        <w:rPr>
          <w:rFonts w:hint="eastAsia" w:ascii="宋体" w:hAnsi="宋体"/>
          <w:color w:val="auto"/>
          <w:szCs w:val="21"/>
          <w:highlight w:val="none"/>
          <w:lang w:val="zh-CN" w:bidi="zh-CN"/>
        </w:rPr>
        <w:t>基准价（Co）风险幅度内的价差作为项目业主、承包人风险，不予调差。当材料价格上涨幅度超过取定的|r|值时，业主应向承包人支付按条款计算的材料价差；下降幅度超过取定的|r|值时，业主应从计量支付款中扣回按条款计算的材料价差。</w:t>
      </w:r>
    </w:p>
    <w:p>
      <w:pPr>
        <w:widowControl/>
        <w:shd w:val="clear" w:color="auto" w:fill="FEFEFE"/>
        <w:autoSpaceDE w:val="0"/>
        <w:autoSpaceDN w:val="0"/>
        <w:snapToGrid w:val="0"/>
        <w:spacing w:line="360" w:lineRule="auto"/>
        <w:ind w:firstLine="480"/>
        <w:jc w:val="left"/>
        <w:rPr>
          <w:rFonts w:ascii="宋体" w:hAnsi="宋体"/>
          <w:color w:val="auto"/>
          <w:szCs w:val="21"/>
          <w:highlight w:val="none"/>
          <w:lang w:val="zh-CN" w:bidi="zh-CN"/>
        </w:rPr>
      </w:pPr>
      <w:r>
        <w:rPr>
          <w:rFonts w:hint="eastAsia" w:ascii="宋体" w:hAnsi="宋体"/>
          <w:color w:val="auto"/>
          <w:szCs w:val="21"/>
          <w:highlight w:val="none"/>
          <w:lang w:val="zh-CN" w:bidi="zh-CN"/>
        </w:rPr>
        <w:t>风险幅度系数：</w:t>
      </w:r>
    </w:p>
    <w:p>
      <w:pPr>
        <w:widowControl/>
        <w:shd w:val="clear" w:color="auto" w:fill="FEFEFE"/>
        <w:autoSpaceDE w:val="0"/>
        <w:autoSpaceDN w:val="0"/>
        <w:snapToGrid w:val="0"/>
        <w:spacing w:line="360" w:lineRule="auto"/>
        <w:ind w:firstLine="480"/>
        <w:jc w:val="left"/>
        <w:rPr>
          <w:rFonts w:ascii="宋体" w:hAnsi="宋体"/>
          <w:color w:val="auto"/>
          <w:szCs w:val="21"/>
          <w:highlight w:val="none"/>
          <w:lang w:val="zh-CN" w:bidi="zh-CN"/>
        </w:rPr>
      </w:pPr>
      <w:r>
        <w:rPr>
          <w:rFonts w:hint="eastAsia" w:ascii="宋体" w:hAnsi="宋体"/>
          <w:color w:val="auto"/>
          <w:szCs w:val="21"/>
          <w:highlight w:val="none"/>
          <w:lang w:val="zh-CN" w:bidi="zh-CN"/>
        </w:rPr>
        <w:t>（1）</w:t>
      </w:r>
      <w:r>
        <w:rPr>
          <w:rFonts w:hint="eastAsia" w:ascii="宋体" w:hAnsi="宋体"/>
          <w:color w:val="auto"/>
          <w:kern w:val="0"/>
          <w:szCs w:val="21"/>
          <w:highlight w:val="none"/>
          <w:lang w:val="zh-CN" w:bidi="zh-CN"/>
        </w:rPr>
        <w:t>钢材、沥青、钢轨、橡胶护舷（梯）、止水铜材</w:t>
      </w:r>
      <w:r>
        <w:rPr>
          <w:rFonts w:hint="eastAsia" w:ascii="宋体" w:hAnsi="宋体"/>
          <w:color w:val="auto"/>
          <w:szCs w:val="21"/>
          <w:highlight w:val="none"/>
          <w:lang w:val="zh-CN" w:bidi="zh-CN"/>
        </w:rPr>
        <w:t>，r取正负5；</w:t>
      </w:r>
    </w:p>
    <w:p>
      <w:pPr>
        <w:widowControl/>
        <w:shd w:val="clear" w:color="auto" w:fill="FEFEFE"/>
        <w:autoSpaceDE w:val="0"/>
        <w:autoSpaceDN w:val="0"/>
        <w:snapToGrid w:val="0"/>
        <w:spacing w:line="360" w:lineRule="auto"/>
        <w:ind w:firstLine="480"/>
        <w:jc w:val="left"/>
        <w:rPr>
          <w:rFonts w:ascii="宋体" w:hAnsi="宋体"/>
          <w:color w:val="auto"/>
          <w:szCs w:val="21"/>
          <w:highlight w:val="none"/>
          <w:lang w:val="zh-CN" w:bidi="zh-CN"/>
        </w:rPr>
      </w:pPr>
      <w:r>
        <w:rPr>
          <w:rFonts w:hint="eastAsia" w:ascii="宋体" w:hAnsi="宋体"/>
          <w:color w:val="auto"/>
          <w:szCs w:val="21"/>
          <w:highlight w:val="none"/>
          <w:lang w:val="zh-CN" w:bidi="zh-CN"/>
        </w:rPr>
        <w:t>（2）水泥、半成品（含成品）、燃油，r取正负8；</w:t>
      </w:r>
    </w:p>
    <w:p>
      <w:pPr>
        <w:widowControl/>
        <w:shd w:val="clear" w:color="auto" w:fill="FEFEFE"/>
        <w:autoSpaceDE w:val="0"/>
        <w:autoSpaceDN w:val="0"/>
        <w:snapToGrid w:val="0"/>
        <w:spacing w:line="360" w:lineRule="auto"/>
        <w:ind w:firstLine="480"/>
        <w:jc w:val="left"/>
        <w:rPr>
          <w:rFonts w:ascii="宋体" w:hAnsi="宋体"/>
          <w:color w:val="auto"/>
          <w:szCs w:val="21"/>
          <w:highlight w:val="none"/>
          <w:lang w:val="zh-CN" w:bidi="zh-CN"/>
        </w:rPr>
      </w:pPr>
      <w:r>
        <w:rPr>
          <w:rFonts w:hint="eastAsia" w:ascii="宋体" w:hAnsi="宋体"/>
          <w:color w:val="auto"/>
          <w:szCs w:val="21"/>
          <w:highlight w:val="none"/>
          <w:lang w:val="zh-CN" w:bidi="zh-CN"/>
        </w:rPr>
        <w:t>（3）地材，r取正负10。</w:t>
      </w:r>
    </w:p>
    <w:p>
      <w:pPr>
        <w:widowControl/>
        <w:shd w:val="clear" w:color="auto" w:fill="FEFEFE"/>
        <w:autoSpaceDE w:val="0"/>
        <w:autoSpaceDN w:val="0"/>
        <w:snapToGrid w:val="0"/>
        <w:spacing w:line="360" w:lineRule="auto"/>
        <w:ind w:firstLine="420" w:firstLineChars="200"/>
        <w:jc w:val="left"/>
        <w:rPr>
          <w:rFonts w:ascii="宋体" w:hAnsi="宋体"/>
          <w:color w:val="auto"/>
          <w:szCs w:val="21"/>
          <w:highlight w:val="none"/>
          <w:lang w:val="zh-CN" w:bidi="zh-CN"/>
        </w:rPr>
      </w:pPr>
      <w:r>
        <w:rPr>
          <w:rFonts w:hint="eastAsia" w:ascii="宋体" w:hAnsi="宋体"/>
          <w:color w:val="auto"/>
          <w:szCs w:val="21"/>
          <w:highlight w:val="none"/>
          <w:lang w:val="zh-CN" w:bidi="zh-CN"/>
        </w:rPr>
        <w:t>4、材料数量（V）</w:t>
      </w:r>
    </w:p>
    <w:p>
      <w:pPr>
        <w:widowControl/>
        <w:shd w:val="clear" w:color="auto" w:fill="FEFEFE"/>
        <w:autoSpaceDE w:val="0"/>
        <w:autoSpaceDN w:val="0"/>
        <w:snapToGrid w:val="0"/>
        <w:spacing w:line="360" w:lineRule="auto"/>
        <w:ind w:firstLine="480"/>
        <w:jc w:val="left"/>
        <w:rPr>
          <w:rFonts w:ascii="宋体" w:hAnsi="宋体"/>
          <w:color w:val="auto"/>
          <w:szCs w:val="21"/>
          <w:highlight w:val="none"/>
          <w:lang w:val="zh-CN" w:bidi="zh-CN"/>
        </w:rPr>
      </w:pPr>
      <w:r>
        <w:rPr>
          <w:rFonts w:hint="eastAsia" w:ascii="宋体" w:hAnsi="宋体"/>
          <w:color w:val="auto"/>
          <w:szCs w:val="21"/>
          <w:highlight w:val="none"/>
          <w:lang w:val="zh-CN" w:bidi="zh-CN"/>
        </w:rPr>
        <w:t>指形成工程实体的材料数量，但钢材调差总量不应超过预算定额消耗量；水泥、地材不应超过预算定额配合比计算的消耗量；沥青不应超过施工配合比计算的消耗量；燃油（重油、汽油、柴油）总量不应超过预算定额消耗量的80%。</w:t>
      </w:r>
    </w:p>
    <w:p>
      <w:pPr>
        <w:widowControl/>
        <w:shd w:val="clear" w:color="auto" w:fill="FEFEFE"/>
        <w:autoSpaceDE w:val="0"/>
        <w:autoSpaceDN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zh-CN"/>
        </w:rPr>
        <w:t>16.1.3.3</w:t>
      </w:r>
      <w:r>
        <w:rPr>
          <w:rFonts w:hint="eastAsia" w:ascii="宋体" w:hAnsi="宋体" w:cs="宋体"/>
          <w:color w:val="auto"/>
          <w:kern w:val="0"/>
          <w:szCs w:val="21"/>
          <w:highlight w:val="none"/>
          <w:lang w:val="zh-CN" w:bidi="zh-CN"/>
        </w:rPr>
        <w:t>调整周期</w:t>
      </w:r>
    </w:p>
    <w:p>
      <w:pPr>
        <w:widowControl/>
        <w:shd w:val="clear" w:color="auto" w:fill="FEFEFE"/>
        <w:autoSpaceDE w:val="0"/>
        <w:autoSpaceDN w:val="0"/>
        <w:snapToGrid w:val="0"/>
        <w:spacing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自项目建设形成工程实体起，原则上以一个季度为一个调价周期。</w:t>
      </w:r>
    </w:p>
    <w:p>
      <w:pPr>
        <w:widowControl/>
        <w:shd w:val="clear" w:color="auto" w:fill="FEFEFE"/>
        <w:autoSpaceDE w:val="0"/>
        <w:autoSpaceDN w:val="0"/>
        <w:snapToGrid w:val="0"/>
        <w:spacing w:line="360" w:lineRule="auto"/>
        <w:ind w:firstLine="422" w:firstLineChars="200"/>
        <w:jc w:val="left"/>
        <w:rPr>
          <w:rFonts w:ascii="宋体" w:hAnsi="宋体" w:cs="宋体"/>
          <w:b/>
          <w:bCs/>
          <w:color w:val="auto"/>
          <w:kern w:val="0"/>
          <w:szCs w:val="21"/>
          <w:highlight w:val="none"/>
          <w:lang w:bidi="zh-CN"/>
        </w:rPr>
      </w:pPr>
      <w:r>
        <w:rPr>
          <w:rFonts w:hint="eastAsia" w:ascii="宋体" w:hAnsi="宋体" w:cs="宋体"/>
          <w:b/>
          <w:bCs/>
          <w:color w:val="auto"/>
          <w:kern w:val="0"/>
          <w:szCs w:val="21"/>
          <w:highlight w:val="none"/>
          <w:lang w:bidi="zh-CN"/>
        </w:rPr>
        <w:t>17.1计量</w:t>
      </w:r>
    </w:p>
    <w:p>
      <w:pPr>
        <w:widowControl/>
        <w:shd w:val="clear" w:color="auto" w:fill="FEFEFE"/>
        <w:autoSpaceDE w:val="0"/>
        <w:autoSpaceDN w:val="0"/>
        <w:snapToGrid w:val="0"/>
        <w:spacing w:line="360" w:lineRule="auto"/>
        <w:ind w:firstLine="420" w:firstLineChars="200"/>
        <w:jc w:val="left"/>
        <w:rPr>
          <w:rFonts w:ascii="宋体" w:hAnsi="宋体" w:cs="宋体"/>
          <w:b/>
          <w:bCs/>
          <w:color w:val="auto"/>
          <w:kern w:val="0"/>
          <w:szCs w:val="21"/>
          <w:highlight w:val="none"/>
          <w:lang w:val="zh-CN" w:bidi="zh-CN"/>
        </w:rPr>
      </w:pPr>
      <w:r>
        <w:rPr>
          <w:rFonts w:hint="eastAsia" w:ascii="宋体" w:hAnsi="宋体" w:cs="宋体"/>
          <w:color w:val="auto"/>
          <w:kern w:val="0"/>
          <w:szCs w:val="21"/>
          <w:highlight w:val="none"/>
          <w:lang w:bidi="zh-CN"/>
        </w:rPr>
        <w:t>17.1.5本项目工程量清单中要求承包人以“总额”方式报价的子目，各子目的支付原则和支付进度按照《河南省公路施工招标工程量清单计量与支付规则》进行计量支付。</w:t>
      </w:r>
    </w:p>
    <w:p>
      <w:pPr>
        <w:widowControl/>
        <w:shd w:val="clear" w:color="auto" w:fill="FEFEFE"/>
        <w:autoSpaceDE w:val="0"/>
        <w:autoSpaceDN w:val="0"/>
        <w:snapToGrid w:val="0"/>
        <w:spacing w:line="360" w:lineRule="auto"/>
        <w:ind w:firstLine="422" w:firstLineChars="200"/>
        <w:jc w:val="left"/>
        <w:rPr>
          <w:rFonts w:ascii="宋体" w:hAnsi="宋体" w:cs="宋体"/>
          <w:b/>
          <w:bCs/>
          <w:color w:val="auto"/>
          <w:kern w:val="0"/>
          <w:szCs w:val="21"/>
          <w:highlight w:val="none"/>
          <w:lang w:bidi="zh-CN"/>
        </w:rPr>
      </w:pPr>
      <w:r>
        <w:rPr>
          <w:rFonts w:hint="eastAsia" w:ascii="宋体" w:hAnsi="宋体" w:cs="宋体"/>
          <w:b/>
          <w:bCs/>
          <w:color w:val="auto"/>
          <w:kern w:val="0"/>
          <w:szCs w:val="21"/>
          <w:highlight w:val="none"/>
          <w:lang w:bidi="zh-CN"/>
        </w:rPr>
        <w:t xml:space="preserve">17.3进度付款证书和支付时间： </w:t>
      </w:r>
    </w:p>
    <w:p>
      <w:pPr>
        <w:autoSpaceDE w:val="0"/>
        <w:autoSpaceDN w:val="0"/>
        <w:spacing w:line="360" w:lineRule="auto"/>
        <w:jc w:val="left"/>
        <w:rPr>
          <w:rFonts w:ascii="宋体" w:hAnsi="宋体" w:cs="宋体"/>
          <w:color w:val="auto"/>
          <w:kern w:val="0"/>
          <w:szCs w:val="21"/>
          <w:highlight w:val="none"/>
          <w:u w:val="single"/>
          <w:lang w:val="zh-CN" w:bidi="zh-CN"/>
        </w:rPr>
      </w:pPr>
      <w:r>
        <w:rPr>
          <w:rFonts w:hint="eastAsia" w:ascii="宋体" w:hAnsi="宋体" w:cs="宋体"/>
          <w:b/>
          <w:bCs/>
          <w:color w:val="auto"/>
          <w:kern w:val="0"/>
          <w:szCs w:val="21"/>
          <w:highlight w:val="none"/>
          <w:lang w:bidi="zh-CN"/>
        </w:rPr>
        <w:t xml:space="preserve">    </w:t>
      </w:r>
      <w:r>
        <w:rPr>
          <w:rFonts w:ascii="宋体" w:hAnsi="宋体" w:cs="宋体"/>
          <w:color w:val="auto"/>
          <w:kern w:val="0"/>
          <w:szCs w:val="21"/>
          <w:highlight w:val="none"/>
          <w:lang w:val="zh-CN" w:bidi="zh-CN"/>
        </w:rPr>
        <w:t>17.3.5 农民工工资保证金的缴存时间：</w:t>
      </w:r>
      <w:r>
        <w:rPr>
          <w:rFonts w:hint="eastAsia" w:ascii="宋体" w:hAnsi="宋体" w:cs="宋体"/>
          <w:color w:val="auto"/>
          <w:kern w:val="0"/>
          <w:szCs w:val="21"/>
          <w:highlight w:val="none"/>
          <w:u w:val="single"/>
          <w:lang w:val="zh-CN" w:bidi="zh-CN"/>
        </w:rPr>
        <w:t>项目开工前。</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u w:val="single"/>
          <w:lang w:bidi="zh-CN"/>
        </w:rPr>
      </w:pPr>
      <w:r>
        <w:rPr>
          <w:rFonts w:ascii="宋体" w:hAnsi="宋体" w:cs="宋体"/>
          <w:color w:val="auto"/>
          <w:kern w:val="0"/>
          <w:szCs w:val="21"/>
          <w:highlight w:val="none"/>
          <w:lang w:val="zh-CN" w:bidi="zh-CN"/>
        </w:rPr>
        <w:t xml:space="preserve"> </w:t>
      </w:r>
      <w:r>
        <w:rPr>
          <w:rFonts w:hint="eastAsia" w:ascii="宋体" w:hAnsi="宋体" w:cs="宋体"/>
          <w:color w:val="auto"/>
          <w:kern w:val="0"/>
          <w:szCs w:val="21"/>
          <w:highlight w:val="none"/>
          <w:lang w:bidi="zh-CN"/>
        </w:rPr>
        <w:t xml:space="preserve">       </w:t>
      </w:r>
      <w:r>
        <w:rPr>
          <w:rFonts w:ascii="宋体" w:hAnsi="宋体" w:cs="宋体"/>
          <w:color w:val="auto"/>
          <w:kern w:val="0"/>
          <w:szCs w:val="21"/>
          <w:highlight w:val="none"/>
          <w:lang w:val="zh-CN" w:bidi="zh-CN"/>
        </w:rPr>
        <w:t>农民工工资保证金的缴存金额：</w:t>
      </w:r>
      <w:r>
        <w:rPr>
          <w:rFonts w:hint="eastAsia" w:ascii="宋体" w:hAnsi="宋体" w:cs="宋体"/>
          <w:color w:val="auto"/>
          <w:kern w:val="0"/>
          <w:szCs w:val="21"/>
          <w:highlight w:val="none"/>
          <w:u w:val="single"/>
          <w:lang w:bidi="zh-CN"/>
        </w:rPr>
        <w:t>2%签约合同价。</w:t>
      </w:r>
    </w:p>
    <w:p>
      <w:pPr>
        <w:autoSpaceDE w:val="0"/>
        <w:autoSpaceDN w:val="0"/>
        <w:adjustRightInd w:val="0"/>
        <w:snapToGrid w:val="0"/>
        <w:spacing w:before="120" w:beforeLines="50" w:after="120" w:afterLines="50" w:line="360" w:lineRule="auto"/>
        <w:ind w:firstLine="1260" w:firstLineChars="6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农民工工资保证金的扣留条件：</w:t>
      </w:r>
      <w:r>
        <w:rPr>
          <w:rFonts w:hint="eastAsia" w:ascii="宋体" w:hAnsi="宋体" w:cs="宋体"/>
          <w:color w:val="auto"/>
          <w:kern w:val="0"/>
          <w:szCs w:val="21"/>
          <w:highlight w:val="none"/>
          <w:u w:val="single"/>
          <w:lang w:val="zh-CN" w:bidi="zh-CN"/>
        </w:rPr>
        <w:t>出现经核实的农民工工资上访事件</w:t>
      </w:r>
      <w:r>
        <w:rPr>
          <w:rFonts w:ascii="宋体" w:hAnsi="宋体" w:cs="宋体"/>
          <w:color w:val="auto"/>
          <w:kern w:val="0"/>
          <w:szCs w:val="21"/>
          <w:highlight w:val="none"/>
          <w:lang w:val="zh-CN" w:bidi="zh-CN"/>
        </w:rPr>
        <w:t xml:space="preserve"> </w:t>
      </w:r>
      <w:r>
        <w:rPr>
          <w:rFonts w:ascii="宋体" w:hAnsi="宋体" w:cs="宋体"/>
          <w:color w:val="auto"/>
          <w:kern w:val="0"/>
          <w:szCs w:val="21"/>
          <w:highlight w:val="none"/>
          <w:lang w:val="zh-CN" w:bidi="zh-CN"/>
        </w:rPr>
        <w:tab/>
      </w:r>
      <w:r>
        <w:rPr>
          <w:rFonts w:ascii="宋体" w:hAnsi="宋体" w:cs="宋体"/>
          <w:color w:val="auto"/>
          <w:kern w:val="0"/>
          <w:szCs w:val="21"/>
          <w:highlight w:val="none"/>
          <w:lang w:val="zh-CN" w:bidi="zh-CN"/>
        </w:rPr>
        <w:t xml:space="preserve"> </w:t>
      </w:r>
    </w:p>
    <w:p>
      <w:pPr>
        <w:autoSpaceDE w:val="0"/>
        <w:autoSpaceDN w:val="0"/>
        <w:adjustRightInd w:val="0"/>
        <w:snapToGrid w:val="0"/>
        <w:spacing w:before="120" w:beforeLines="50" w:after="120" w:afterLines="50" w:line="360" w:lineRule="auto"/>
        <w:ind w:firstLine="1260" w:firstLineChars="6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农民工工资保证金的返还时间：</w:t>
      </w:r>
      <w:r>
        <w:rPr>
          <w:rFonts w:hint="eastAsia" w:ascii="宋体" w:hAnsi="宋体" w:cs="宋体"/>
          <w:color w:val="auto"/>
          <w:kern w:val="0"/>
          <w:szCs w:val="21"/>
          <w:highlight w:val="none"/>
          <w:u w:val="single"/>
          <w:lang w:val="zh-CN" w:bidi="zh-CN"/>
        </w:rPr>
        <w:t>项目完成结算审计后</w:t>
      </w:r>
      <w:r>
        <w:rPr>
          <w:rFonts w:ascii="宋体" w:hAnsi="宋体" w:cs="宋体"/>
          <w:color w:val="auto"/>
          <w:kern w:val="0"/>
          <w:szCs w:val="21"/>
          <w:highlight w:val="none"/>
          <w:u w:val="single"/>
          <w:lang w:val="zh-CN" w:bidi="zh-CN"/>
        </w:rPr>
        <w:tab/>
      </w:r>
    </w:p>
    <w:p>
      <w:pPr>
        <w:autoSpaceDE w:val="0"/>
        <w:autoSpaceDN w:val="0"/>
        <w:adjustRightInd w:val="0"/>
        <w:snapToGrid w:val="0"/>
        <w:spacing w:before="120" w:beforeLines="50" w:after="120" w:afterLines="50" w:line="360" w:lineRule="auto"/>
        <w:ind w:firstLine="422" w:firstLineChars="200"/>
        <w:jc w:val="left"/>
        <w:rPr>
          <w:rFonts w:ascii="宋体" w:hAnsi="宋体" w:cs="宋体"/>
          <w:color w:val="auto"/>
          <w:kern w:val="0"/>
          <w:szCs w:val="21"/>
          <w:highlight w:val="none"/>
          <w:lang w:val="zh-CN" w:bidi="zh-CN"/>
        </w:rPr>
      </w:pPr>
      <w:r>
        <w:rPr>
          <w:rFonts w:ascii="宋体" w:hAnsi="宋体" w:cs="宋体"/>
          <w:b/>
          <w:bCs/>
          <w:color w:val="auto"/>
          <w:kern w:val="0"/>
          <w:szCs w:val="21"/>
          <w:highlight w:val="none"/>
          <w:lang w:val="zh-CN" w:bidi="zh-CN"/>
        </w:rPr>
        <w:t>18.9竣工文件</w:t>
      </w:r>
      <w:r>
        <w:rPr>
          <w:rFonts w:ascii="宋体" w:hAnsi="宋体" w:cs="宋体"/>
          <w:color w:val="auto"/>
          <w:kern w:val="0"/>
          <w:szCs w:val="21"/>
          <w:highlight w:val="none"/>
          <w:lang w:val="zh-CN" w:bidi="zh-CN"/>
        </w:rPr>
        <w:tab/>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本款修改为：</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应按照交通部《公路工程竣工验收办法》和河南省交通运输厅豫交办[2011]39号文关于下发《河南省公路建设项目文件材料立卷归档整理规范》的通知的有关规定：公路工程建设项目档案的验收应与工程验收的初步验收和竣工验收同步进行，交工时对档案进行初验，竣工验收前三个月进行验收归档。竣工资料档案验收时，如果档案管理部门认为不满足有关档案管理的要求时，承包人必须根据发包人或监理人的要求及时进行补充和完善，所发生的费用由承包人承担。</w:t>
      </w:r>
    </w:p>
    <w:p>
      <w:pPr>
        <w:autoSpaceDE w:val="0"/>
        <w:autoSpaceDN w:val="0"/>
        <w:adjustRightInd w:val="0"/>
        <w:snapToGrid w:val="0"/>
        <w:spacing w:before="120" w:beforeLines="50" w:after="120" w:afterLines="50" w:line="360" w:lineRule="auto"/>
        <w:ind w:firstLine="422" w:firstLineChars="200"/>
        <w:jc w:val="left"/>
        <w:rPr>
          <w:rFonts w:ascii="宋体" w:hAnsi="宋体" w:cs="宋体"/>
          <w:b/>
          <w:bCs/>
          <w:color w:val="auto"/>
          <w:kern w:val="0"/>
          <w:szCs w:val="21"/>
          <w:highlight w:val="none"/>
          <w:lang w:bidi="zh-CN"/>
        </w:rPr>
      </w:pPr>
      <w:r>
        <w:rPr>
          <w:rFonts w:hint="eastAsia" w:ascii="宋体" w:hAnsi="宋体" w:cs="宋体"/>
          <w:b/>
          <w:bCs/>
          <w:color w:val="auto"/>
          <w:kern w:val="0"/>
          <w:szCs w:val="21"/>
          <w:highlight w:val="none"/>
          <w:lang w:bidi="zh-CN"/>
        </w:rPr>
        <w:t>22.1承包人违约</w:t>
      </w:r>
    </w:p>
    <w:p>
      <w:pPr>
        <w:autoSpaceDE w:val="0"/>
        <w:autoSpaceDN w:val="0"/>
        <w:adjustRightInd w:val="0"/>
        <w:snapToGrid w:val="0"/>
        <w:spacing w:before="120" w:beforeLines="50" w:after="120" w:afterLines="50" w:line="360" w:lineRule="auto"/>
        <w:ind w:firstLine="422" w:firstLineChars="200"/>
        <w:jc w:val="left"/>
        <w:rPr>
          <w:rFonts w:ascii="宋体" w:hAnsi="宋体" w:cs="宋体"/>
          <w:b/>
          <w:bCs/>
          <w:color w:val="auto"/>
          <w:kern w:val="0"/>
          <w:szCs w:val="21"/>
          <w:highlight w:val="none"/>
          <w:lang w:val="zh-CN" w:bidi="zh-CN"/>
        </w:rPr>
      </w:pPr>
      <w:r>
        <w:rPr>
          <w:rFonts w:ascii="宋体" w:hAnsi="宋体" w:cs="宋体"/>
          <w:b/>
          <w:bCs/>
          <w:color w:val="auto"/>
          <w:kern w:val="0"/>
          <w:szCs w:val="21"/>
          <w:highlight w:val="none"/>
          <w:lang w:val="zh-CN" w:bidi="zh-CN"/>
        </w:rPr>
        <w:t>22.1.1承包人违约的情形</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本项（9）目修改为：</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（9）承包人违反第9.2款的约定，未按专项施工方案施工，或违反国家、本项目相关安全管理规章制度，或没有有效保障现场工作人员安全的措施等情况。</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（10）承包人不按合同约定履行义务的其他情况</w:t>
      </w:r>
    </w:p>
    <w:p>
      <w:pPr>
        <w:autoSpaceDE w:val="0"/>
        <w:autoSpaceDN w:val="0"/>
        <w:adjustRightInd w:val="0"/>
        <w:snapToGrid w:val="0"/>
        <w:spacing w:before="120" w:beforeLines="50" w:after="120" w:afterLines="50" w:line="360" w:lineRule="auto"/>
        <w:ind w:firstLine="422" w:firstLineChars="200"/>
        <w:jc w:val="left"/>
        <w:rPr>
          <w:rFonts w:ascii="宋体" w:hAnsi="宋体" w:cs="宋体"/>
          <w:color w:val="auto"/>
          <w:kern w:val="0"/>
          <w:szCs w:val="21"/>
          <w:highlight w:val="none"/>
          <w:lang w:val="zh-CN" w:bidi="zh-CN"/>
        </w:rPr>
      </w:pPr>
      <w:r>
        <w:rPr>
          <w:rFonts w:ascii="宋体" w:hAnsi="宋体" w:cs="宋体"/>
          <w:b/>
          <w:bCs/>
          <w:color w:val="auto"/>
          <w:kern w:val="0"/>
          <w:szCs w:val="21"/>
          <w:highlight w:val="none"/>
          <w:lang w:val="zh-CN" w:bidi="zh-CN"/>
        </w:rPr>
        <w:t>22.1.2对承包人违约的处理：</w:t>
      </w:r>
      <w:r>
        <w:rPr>
          <w:rFonts w:hint="eastAsia" w:ascii="宋体" w:hAnsi="宋体" w:cs="宋体"/>
          <w:color w:val="auto"/>
          <w:kern w:val="0"/>
          <w:szCs w:val="21"/>
          <w:highlight w:val="none"/>
          <w:lang w:val="zh-CN" w:bidi="zh-CN"/>
        </w:rPr>
        <w:t>课</w:t>
      </w:r>
      <w:r>
        <w:rPr>
          <w:rFonts w:ascii="宋体" w:hAnsi="宋体" w:cs="宋体"/>
          <w:color w:val="auto"/>
          <w:kern w:val="0"/>
          <w:szCs w:val="21"/>
          <w:highlight w:val="none"/>
          <w:lang w:val="zh-CN" w:bidi="zh-CN"/>
        </w:rPr>
        <w:t>以项目不超过合同价5%的违约金</w:t>
      </w:r>
      <w:r>
        <w:rPr>
          <w:rFonts w:hint="eastAsia" w:ascii="宋体" w:hAnsi="宋体" w:cs="宋体"/>
          <w:color w:val="auto"/>
          <w:kern w:val="0"/>
          <w:szCs w:val="21"/>
          <w:highlight w:val="none"/>
          <w:lang w:val="zh-CN" w:bidi="zh-CN"/>
        </w:rPr>
        <w:t>。</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将本款最后自然段增加违约金规定：</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（1）项目经理、总工</w:t>
      </w:r>
      <w:r>
        <w:rPr>
          <w:rFonts w:hint="eastAsia" w:ascii="宋体" w:hAnsi="宋体" w:cs="宋体"/>
          <w:color w:val="auto"/>
          <w:kern w:val="0"/>
          <w:szCs w:val="21"/>
          <w:highlight w:val="none"/>
          <w:lang w:val="zh-CN" w:bidi="zh-CN"/>
        </w:rPr>
        <w:t>、质检负责人</w:t>
      </w:r>
      <w:r>
        <w:rPr>
          <w:rFonts w:ascii="宋体" w:hAnsi="宋体" w:cs="宋体"/>
          <w:color w:val="auto"/>
          <w:kern w:val="0"/>
          <w:szCs w:val="21"/>
          <w:highlight w:val="none"/>
          <w:lang w:val="zh-CN" w:bidi="zh-CN"/>
        </w:rPr>
        <w:t>等主要负责人员没有按时进场，或进场后，未经批准又离开工地，发包人将按10000元/人·天扣除违约金。其他工地主要人员没有按时进场，或进场后，未经批准又离开工地，发包人将按2000元/人·天扣除违约金。</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(2)承包人承诺的主要机械及试验、测量设备不能按时进场，每迟到1天，发包人将按照设备的台班费（以承包人投标书中单价分析为准）的三倍扣除违约金，直到设备进场为止。</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(3)承包人承诺的主要机械进场后，未经批准又离开工地，发包人将按10000元/台天扣除违约金。直到设备返场为止。</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(4)承包人未履行施工安全责任，在发包人、监理人要求期限内未响应改正的，发包人有权根据情节严重程度对承包人处以10万元以内罚款每次。</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以上违约金罚款不免除承包人违约的其他责任。</w:t>
      </w:r>
    </w:p>
    <w:p>
      <w:pPr>
        <w:autoSpaceDE w:val="0"/>
        <w:autoSpaceDN w:val="0"/>
        <w:adjustRightInd w:val="0"/>
        <w:snapToGrid w:val="0"/>
        <w:spacing w:before="120" w:beforeLines="50" w:after="120" w:afterLines="50" w:line="360" w:lineRule="auto"/>
        <w:ind w:firstLine="422" w:firstLineChars="200"/>
        <w:jc w:val="left"/>
        <w:rPr>
          <w:rFonts w:ascii="宋体" w:hAnsi="宋体" w:cs="宋体"/>
          <w:b/>
          <w:bCs/>
          <w:color w:val="auto"/>
          <w:kern w:val="0"/>
          <w:szCs w:val="21"/>
          <w:highlight w:val="none"/>
          <w:lang w:bidi="zh-CN"/>
        </w:rPr>
      </w:pPr>
      <w:r>
        <w:rPr>
          <w:rFonts w:hint="eastAsia" w:ascii="宋体" w:hAnsi="宋体" w:cs="宋体"/>
          <w:b/>
          <w:bCs/>
          <w:color w:val="auto"/>
          <w:kern w:val="0"/>
          <w:szCs w:val="21"/>
          <w:highlight w:val="none"/>
          <w:lang w:bidi="zh-CN"/>
        </w:rPr>
        <w:t>22.2发包人违约</w:t>
      </w:r>
    </w:p>
    <w:p>
      <w:pPr>
        <w:autoSpaceDE w:val="0"/>
        <w:autoSpaceDN w:val="0"/>
        <w:adjustRightInd w:val="0"/>
        <w:snapToGrid w:val="0"/>
        <w:spacing w:before="120" w:beforeLines="50" w:after="120" w:afterLines="50" w:line="360" w:lineRule="auto"/>
        <w:ind w:firstLine="420" w:firstLineChars="200"/>
        <w:jc w:val="left"/>
        <w:rPr>
          <w:rFonts w:ascii="宋体" w:hAnsi="宋体" w:cs="宋体"/>
          <w:b/>
          <w:bCs/>
          <w:color w:val="auto"/>
          <w:kern w:val="0"/>
          <w:szCs w:val="21"/>
          <w:highlight w:val="none"/>
          <w:lang w:bidi="zh-CN"/>
        </w:rPr>
      </w:pPr>
      <w:r>
        <w:rPr>
          <w:rFonts w:hint="eastAsia" w:ascii="宋体" w:hAnsi="宋体" w:cs="宋体"/>
          <w:color w:val="auto"/>
          <w:kern w:val="0"/>
          <w:szCs w:val="21"/>
          <w:highlight w:val="none"/>
          <w:lang w:bidi="zh-CN"/>
        </w:rPr>
        <w:t>22.2.2</w:t>
      </w:r>
      <w:r>
        <w:rPr>
          <w:rFonts w:ascii="宋体" w:hAnsi="宋体" w:cs="宋体"/>
          <w:color w:val="auto"/>
          <w:kern w:val="0"/>
          <w:szCs w:val="21"/>
          <w:highlight w:val="none"/>
          <w:lang w:val="zh-CN" w:bidi="zh-CN"/>
        </w:rPr>
        <w:t>发包人无正当理由不按时返还履约保证金、质量保证金或农民工工资保证金的，发包人应向承包人支付的违约金如下：</w:t>
      </w:r>
      <w:r>
        <w:rPr>
          <w:rFonts w:hint="eastAsia" w:ascii="宋体" w:hAnsi="宋体" w:cs="宋体"/>
          <w:color w:val="auto"/>
          <w:kern w:val="0"/>
          <w:szCs w:val="21"/>
          <w:highlight w:val="none"/>
          <w:u w:val="single"/>
          <w:lang w:val="zh-CN" w:bidi="zh-CN"/>
        </w:rPr>
        <w:t>中国人民银行同期活期存款利率</w:t>
      </w:r>
    </w:p>
    <w:p>
      <w:pPr>
        <w:autoSpaceDE w:val="0"/>
        <w:autoSpaceDN w:val="0"/>
        <w:adjustRightInd w:val="0"/>
        <w:snapToGrid w:val="0"/>
        <w:spacing w:before="120" w:beforeLines="50" w:after="120" w:afterLines="50" w:line="360" w:lineRule="auto"/>
        <w:ind w:firstLine="422" w:firstLineChars="200"/>
        <w:jc w:val="left"/>
        <w:rPr>
          <w:rFonts w:ascii="宋体" w:hAnsi="宋体" w:cs="宋体"/>
          <w:b/>
          <w:bCs/>
          <w:color w:val="auto"/>
          <w:kern w:val="0"/>
          <w:szCs w:val="21"/>
          <w:highlight w:val="none"/>
          <w:lang w:val="zh-CN" w:bidi="zh-CN"/>
        </w:rPr>
      </w:pPr>
      <w:r>
        <w:rPr>
          <w:rFonts w:ascii="宋体" w:hAnsi="宋体" w:cs="宋体"/>
          <w:b/>
          <w:bCs/>
          <w:color w:val="auto"/>
          <w:kern w:val="0"/>
          <w:szCs w:val="21"/>
          <w:highlight w:val="none"/>
          <w:lang w:val="zh-CN" w:bidi="zh-CN"/>
        </w:rPr>
        <w:t>增加25、26、27、28、29、30、31、32、33、34、35条</w:t>
      </w:r>
    </w:p>
    <w:p>
      <w:pPr>
        <w:autoSpaceDE w:val="0"/>
        <w:autoSpaceDN w:val="0"/>
        <w:adjustRightInd w:val="0"/>
        <w:snapToGrid w:val="0"/>
        <w:spacing w:before="120" w:beforeLines="50" w:after="120" w:afterLines="50" w:line="360" w:lineRule="auto"/>
        <w:ind w:firstLine="422" w:firstLineChars="200"/>
        <w:jc w:val="left"/>
        <w:rPr>
          <w:rFonts w:ascii="宋体" w:hAnsi="宋体" w:cs="宋体"/>
          <w:b/>
          <w:bCs/>
          <w:color w:val="auto"/>
          <w:kern w:val="0"/>
          <w:szCs w:val="21"/>
          <w:highlight w:val="none"/>
          <w:lang w:val="zh-CN" w:bidi="zh-CN"/>
        </w:rPr>
      </w:pPr>
      <w:r>
        <w:rPr>
          <w:rFonts w:ascii="宋体" w:hAnsi="宋体" w:cs="宋体"/>
          <w:b/>
          <w:bCs/>
          <w:color w:val="auto"/>
          <w:kern w:val="0"/>
          <w:szCs w:val="21"/>
          <w:highlight w:val="none"/>
          <w:lang w:val="zh-CN" w:bidi="zh-CN"/>
        </w:rPr>
        <w:t>25、安全生产费用</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25.1安全生产费由发包人控制使用和支付。工程实施期间发包人将根据承包人在安全生产方面的投入、安全生产管理水平、有无发生安全事故以及发包人平时对承包人安全生产方面的考核、考评情况来决定对安全生产费的支付。该项费用视上述情况在合同执行期间分次支付。</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25.2 在整个合同执行期间，如未达到承诺的安全目标，安全生产费将不予支付，已经支付应予扣回。</w:t>
      </w:r>
    </w:p>
    <w:p>
      <w:pPr>
        <w:autoSpaceDE w:val="0"/>
        <w:autoSpaceDN w:val="0"/>
        <w:adjustRightInd w:val="0"/>
        <w:snapToGrid w:val="0"/>
        <w:spacing w:before="120" w:beforeLines="50" w:after="120" w:afterLines="50" w:line="360" w:lineRule="auto"/>
        <w:ind w:firstLine="422" w:firstLineChars="200"/>
        <w:jc w:val="left"/>
        <w:rPr>
          <w:rFonts w:ascii="宋体" w:hAnsi="宋体" w:cs="宋体"/>
          <w:b/>
          <w:bCs/>
          <w:color w:val="auto"/>
          <w:kern w:val="0"/>
          <w:szCs w:val="21"/>
          <w:highlight w:val="none"/>
          <w:lang w:val="zh-CN" w:bidi="zh-CN"/>
        </w:rPr>
      </w:pPr>
      <w:r>
        <w:rPr>
          <w:rFonts w:ascii="宋体" w:hAnsi="宋体" w:cs="宋体"/>
          <w:b/>
          <w:bCs/>
          <w:color w:val="auto"/>
          <w:kern w:val="0"/>
          <w:szCs w:val="21"/>
          <w:highlight w:val="none"/>
          <w:lang w:val="zh-CN" w:bidi="zh-CN"/>
        </w:rPr>
        <w:t>26、项目审计、稽查和检查等的配合</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bookmarkStart w:id="164" w:name="_Hlt225138316"/>
      <w:bookmarkEnd w:id="164"/>
      <w:r>
        <w:rPr>
          <w:rFonts w:ascii="宋体" w:hAnsi="宋体" w:cs="宋体"/>
          <w:color w:val="auto"/>
          <w:kern w:val="0"/>
          <w:szCs w:val="21"/>
          <w:highlight w:val="none"/>
          <w:lang w:val="zh-CN" w:bidi="zh-CN"/>
        </w:rPr>
        <w:t>（1）与本项目相关的审计和稽查，承包人应高度重视并委派专人积极予以配合工作，对审计和稽查的有关意见承包人应无条件执行并及时整改。</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（2）有关单位对本项目的各种检查和视察等活动，承包人和监理人有义务予以积极配合开展各项工作。</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（3）本项目有关的各类统计报表和汇报材料及后评估报告，承包人和监理人有义务予以积极配合发包人做好编制工作并提供相应的资料。</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4）承包人和监理人应按发包人和有关文件要求，建立相应的计量、支付和变更台帐，同时承包人和监理人应积极配合发包人建立相应的台帐，三方各自的台帐应相应保持一致并保持其持续有效，直至工程决算完成。</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5）承包人应按发包人要求将主要材料的供货合同等资料提供给发包人和监理人备案。取材的料场和货源应保持相对固定，承包人及其供货人应接受发包人和监理人的监督检查，如有变更应及时通知发包人或监理人并报送相应有关资料。监理人征得发包人同意后有权要求承包人更换不符合要求的材料，承包人必须接受。</w:t>
      </w:r>
    </w:p>
    <w:p>
      <w:pPr>
        <w:autoSpaceDE w:val="0"/>
        <w:autoSpaceDN w:val="0"/>
        <w:adjustRightInd w:val="0"/>
        <w:snapToGrid w:val="0"/>
        <w:spacing w:before="120" w:beforeLines="50" w:after="120" w:afterLines="50" w:line="360" w:lineRule="auto"/>
        <w:ind w:firstLine="422" w:firstLineChars="200"/>
        <w:jc w:val="left"/>
        <w:rPr>
          <w:rFonts w:ascii="宋体" w:hAnsi="宋体" w:cs="宋体"/>
          <w:b/>
          <w:bCs/>
          <w:color w:val="auto"/>
          <w:kern w:val="0"/>
          <w:szCs w:val="21"/>
          <w:highlight w:val="none"/>
          <w:lang w:val="zh-CN" w:bidi="zh-CN"/>
        </w:rPr>
      </w:pPr>
      <w:r>
        <w:rPr>
          <w:rFonts w:ascii="宋体" w:hAnsi="宋体" w:cs="宋体"/>
          <w:b/>
          <w:bCs/>
          <w:color w:val="auto"/>
          <w:kern w:val="0"/>
          <w:szCs w:val="21"/>
          <w:highlight w:val="none"/>
          <w:lang w:val="zh-CN" w:bidi="zh-CN"/>
        </w:rPr>
        <w:t>27、防止和避免电力、电讯线路非正常中断</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根据《公路行业标准专用合同条款》第2.3.2项规定，承包人在为了临时出入和施工交通方便而修建的临时道路的过程中，应征得有关电力、电讯等部门同意，防止和避免由于承包人或其任何分包人的疏忽不正当的施工方法和手段而造成电力、电讯线路及地下电缆的非正常中断。否则，由于承包人或其任何分包人的过失而造成的电力、电讯线路及地下电缆的非正常中断而引起的一切索赔、诉讼、损害赔偿、指控费及其它开支，应由承包人自负。</w:t>
      </w:r>
    </w:p>
    <w:p>
      <w:pPr>
        <w:autoSpaceDE w:val="0"/>
        <w:autoSpaceDN w:val="0"/>
        <w:adjustRightInd w:val="0"/>
        <w:snapToGrid w:val="0"/>
        <w:spacing w:before="120" w:beforeLines="50" w:after="120" w:afterLines="50" w:line="360" w:lineRule="auto"/>
        <w:ind w:firstLine="422" w:firstLineChars="200"/>
        <w:jc w:val="left"/>
        <w:rPr>
          <w:rFonts w:ascii="宋体" w:hAnsi="宋体" w:cs="宋体"/>
          <w:b/>
          <w:bCs/>
          <w:color w:val="auto"/>
          <w:kern w:val="0"/>
          <w:szCs w:val="21"/>
          <w:highlight w:val="none"/>
          <w:lang w:val="zh-CN" w:bidi="zh-CN"/>
        </w:rPr>
      </w:pPr>
      <w:r>
        <w:rPr>
          <w:rFonts w:ascii="宋体" w:hAnsi="宋体" w:cs="宋体"/>
          <w:b/>
          <w:bCs/>
          <w:color w:val="auto"/>
          <w:kern w:val="0"/>
          <w:szCs w:val="21"/>
          <w:highlight w:val="none"/>
          <w:lang w:val="zh-CN" w:bidi="zh-CN"/>
        </w:rPr>
        <w:t>28、摄影</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有关工地、工程的任何部分或工程的任何事项的照片，其版权归发包人所有，在没有发包人书面许可的情况下，不得发表或发行。发包人的许可不免除承包商遵守任何法律规定的有关照片拍摄、出版所应承担的责任。</w:t>
      </w:r>
    </w:p>
    <w:p>
      <w:pPr>
        <w:autoSpaceDE w:val="0"/>
        <w:autoSpaceDN w:val="0"/>
        <w:adjustRightInd w:val="0"/>
        <w:snapToGrid w:val="0"/>
        <w:spacing w:before="120" w:beforeLines="50" w:after="120" w:afterLines="50" w:line="360" w:lineRule="auto"/>
        <w:ind w:firstLine="422" w:firstLineChars="200"/>
        <w:jc w:val="left"/>
        <w:rPr>
          <w:rFonts w:ascii="宋体" w:hAnsi="宋体" w:cs="宋体"/>
          <w:b/>
          <w:bCs/>
          <w:color w:val="auto"/>
          <w:kern w:val="0"/>
          <w:szCs w:val="21"/>
          <w:highlight w:val="none"/>
          <w:lang w:val="zh-CN" w:bidi="zh-CN"/>
        </w:rPr>
      </w:pPr>
      <w:r>
        <w:rPr>
          <w:rFonts w:ascii="宋体" w:hAnsi="宋体" w:cs="宋体"/>
          <w:b/>
          <w:bCs/>
          <w:color w:val="auto"/>
          <w:kern w:val="0"/>
          <w:szCs w:val="21"/>
          <w:highlight w:val="none"/>
          <w:lang w:val="zh-CN" w:bidi="zh-CN"/>
        </w:rPr>
        <w:t>29、广告</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承包人不应在施工场地或施工机械、车辆上张贴商业性广告。需要在现场张贴布告时，应经监理人批准。</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未经监理人书面许可，除发包人组织的有关视察外，不允许任何人到工地视察。</w:t>
      </w:r>
    </w:p>
    <w:p>
      <w:pPr>
        <w:autoSpaceDE w:val="0"/>
        <w:autoSpaceDN w:val="0"/>
        <w:adjustRightInd w:val="0"/>
        <w:snapToGrid w:val="0"/>
        <w:spacing w:before="120" w:beforeLines="50" w:after="120" w:afterLines="50" w:line="360" w:lineRule="auto"/>
        <w:ind w:firstLine="422" w:firstLineChars="200"/>
        <w:jc w:val="left"/>
        <w:rPr>
          <w:rFonts w:ascii="宋体" w:hAnsi="宋体" w:cs="宋体"/>
          <w:b/>
          <w:bCs/>
          <w:color w:val="auto"/>
          <w:kern w:val="0"/>
          <w:szCs w:val="21"/>
          <w:highlight w:val="none"/>
          <w:lang w:val="zh-CN" w:bidi="zh-CN"/>
        </w:rPr>
      </w:pPr>
      <w:r>
        <w:rPr>
          <w:rFonts w:ascii="宋体" w:hAnsi="宋体" w:cs="宋体"/>
          <w:b/>
          <w:bCs/>
          <w:color w:val="auto"/>
          <w:kern w:val="0"/>
          <w:szCs w:val="21"/>
          <w:highlight w:val="none"/>
          <w:lang w:val="zh-CN" w:bidi="zh-CN"/>
        </w:rPr>
        <w:t>3</w:t>
      </w:r>
      <w:r>
        <w:rPr>
          <w:rFonts w:hint="eastAsia" w:ascii="宋体" w:hAnsi="宋体" w:cs="宋体"/>
          <w:b/>
          <w:bCs/>
          <w:color w:val="auto"/>
          <w:kern w:val="0"/>
          <w:szCs w:val="21"/>
          <w:highlight w:val="none"/>
          <w:lang w:bidi="zh-CN"/>
        </w:rPr>
        <w:t>1</w:t>
      </w:r>
      <w:r>
        <w:rPr>
          <w:rFonts w:ascii="宋体" w:hAnsi="宋体" w:cs="宋体"/>
          <w:b/>
          <w:bCs/>
          <w:color w:val="auto"/>
          <w:kern w:val="0"/>
          <w:szCs w:val="21"/>
          <w:highlight w:val="none"/>
          <w:lang w:val="zh-CN" w:bidi="zh-CN"/>
        </w:rPr>
        <w:t>、不平衡报价</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考虑养护工程的特殊性，项目工程量增减变量难以去确定，因此项目清单单价杜绝不平衡报价。各清单子目单价报价范围应为招标人报价的105％（含105％）至</w:t>
      </w:r>
      <w:r>
        <w:rPr>
          <w:rFonts w:hint="eastAsia" w:ascii="宋体" w:hAnsi="宋体" w:cs="宋体"/>
          <w:color w:val="auto"/>
          <w:kern w:val="0"/>
          <w:szCs w:val="21"/>
          <w:highlight w:val="none"/>
          <w:lang w:bidi="zh-CN"/>
        </w:rPr>
        <w:t>90</w:t>
      </w:r>
      <w:r>
        <w:rPr>
          <w:rFonts w:hint="eastAsia" w:ascii="宋体" w:hAnsi="宋体" w:cs="宋体"/>
          <w:color w:val="auto"/>
          <w:kern w:val="0"/>
          <w:szCs w:val="21"/>
          <w:highlight w:val="none"/>
          <w:lang w:val="zh-CN" w:bidi="zh-CN"/>
        </w:rPr>
        <w:t>％（含</w:t>
      </w:r>
      <w:r>
        <w:rPr>
          <w:rFonts w:hint="eastAsia" w:ascii="宋体" w:hAnsi="宋体" w:cs="宋体"/>
          <w:color w:val="auto"/>
          <w:kern w:val="0"/>
          <w:szCs w:val="21"/>
          <w:highlight w:val="none"/>
          <w:lang w:bidi="zh-CN"/>
        </w:rPr>
        <w:t>90</w:t>
      </w:r>
      <w:r>
        <w:rPr>
          <w:rFonts w:hint="eastAsia" w:ascii="宋体" w:hAnsi="宋体" w:cs="宋体"/>
          <w:color w:val="auto"/>
          <w:kern w:val="0"/>
          <w:szCs w:val="21"/>
          <w:highlight w:val="none"/>
          <w:lang w:val="zh-CN" w:bidi="zh-CN"/>
        </w:rPr>
        <w:t>％）之间，不在该范围的投标人清单报价作为废标处理。</w:t>
      </w:r>
    </w:p>
    <w:p>
      <w:pPr>
        <w:autoSpaceDE w:val="0"/>
        <w:autoSpaceDN w:val="0"/>
        <w:adjustRightInd w:val="0"/>
        <w:snapToGrid w:val="0"/>
        <w:spacing w:before="120" w:beforeLines="50" w:after="120" w:afterLines="50" w:line="360" w:lineRule="auto"/>
        <w:ind w:firstLine="422" w:firstLineChars="200"/>
        <w:jc w:val="left"/>
        <w:rPr>
          <w:rFonts w:ascii="宋体" w:hAnsi="宋体" w:cs="宋体"/>
          <w:b/>
          <w:bCs/>
          <w:color w:val="auto"/>
          <w:kern w:val="0"/>
          <w:szCs w:val="21"/>
          <w:highlight w:val="none"/>
          <w:lang w:val="zh-CN" w:bidi="zh-CN"/>
        </w:rPr>
      </w:pPr>
      <w:r>
        <w:rPr>
          <w:rFonts w:ascii="宋体" w:hAnsi="宋体" w:cs="宋体"/>
          <w:b/>
          <w:bCs/>
          <w:color w:val="auto"/>
          <w:kern w:val="0"/>
          <w:szCs w:val="21"/>
          <w:highlight w:val="none"/>
          <w:lang w:val="zh-CN" w:bidi="zh-CN"/>
        </w:rPr>
        <w:t>3</w:t>
      </w:r>
      <w:r>
        <w:rPr>
          <w:rFonts w:hint="eastAsia" w:ascii="宋体" w:hAnsi="宋体" w:cs="宋体"/>
          <w:b/>
          <w:bCs/>
          <w:color w:val="auto"/>
          <w:kern w:val="0"/>
          <w:szCs w:val="21"/>
          <w:highlight w:val="none"/>
          <w:lang w:bidi="zh-CN"/>
        </w:rPr>
        <w:t>2</w:t>
      </w:r>
      <w:r>
        <w:rPr>
          <w:rFonts w:ascii="宋体" w:hAnsi="宋体" w:cs="宋体"/>
          <w:b/>
          <w:bCs/>
          <w:color w:val="auto"/>
          <w:kern w:val="0"/>
          <w:szCs w:val="21"/>
          <w:highlight w:val="none"/>
          <w:lang w:val="zh-CN" w:bidi="zh-CN"/>
        </w:rPr>
        <w:t>、施工过程中，对于施工质量差、进度严重滞后的施工单位，发包人可以将其驱逐出场，或者强行分割其承包工程。</w:t>
      </w:r>
    </w:p>
    <w:p>
      <w:pPr>
        <w:autoSpaceDE w:val="0"/>
        <w:autoSpaceDN w:val="0"/>
        <w:adjustRightInd w:val="0"/>
        <w:snapToGrid w:val="0"/>
        <w:spacing w:before="120" w:beforeLines="50" w:after="120" w:afterLines="50" w:line="360" w:lineRule="auto"/>
        <w:ind w:firstLine="422" w:firstLineChars="200"/>
        <w:jc w:val="left"/>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3</w:t>
      </w:r>
      <w:r>
        <w:rPr>
          <w:rFonts w:hint="eastAsia" w:ascii="宋体" w:hAnsi="宋体" w:cs="宋体"/>
          <w:b/>
          <w:bCs/>
          <w:color w:val="auto"/>
          <w:kern w:val="0"/>
          <w:szCs w:val="21"/>
          <w:highlight w:val="none"/>
          <w:lang w:bidi="zh-CN"/>
        </w:rPr>
        <w:t>3</w:t>
      </w:r>
      <w:r>
        <w:rPr>
          <w:rFonts w:hint="eastAsia" w:ascii="宋体" w:hAnsi="宋体" w:cs="宋体"/>
          <w:b/>
          <w:bCs/>
          <w:color w:val="auto"/>
          <w:kern w:val="0"/>
          <w:szCs w:val="21"/>
          <w:highlight w:val="none"/>
          <w:lang w:val="zh-CN" w:bidi="zh-CN"/>
        </w:rPr>
        <w:t>、大气污染防治</w:t>
      </w:r>
    </w:p>
    <w:p>
      <w:pPr>
        <w:autoSpaceDE w:val="0"/>
        <w:autoSpaceDN w:val="0"/>
        <w:adjustRightInd w:val="0"/>
        <w:snapToGrid w:val="0"/>
        <w:spacing w:before="120" w:beforeLines="50" w:after="120" w:afterLines="50" w:line="36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要严格按照《河南省交通运输厅关于印发河南省公路水运工程施工扬尘污染防治标准（试行）的通知》（豫交文〔2016〕436号）各级大气污染防治工作部门的相关要求的要求开展大气污染防治工作。</w:t>
      </w:r>
    </w:p>
    <w:p>
      <w:pPr>
        <w:autoSpaceDE w:val="0"/>
        <w:autoSpaceDN w:val="0"/>
        <w:adjustRightInd w:val="0"/>
        <w:snapToGrid w:val="0"/>
        <w:spacing w:before="120" w:beforeLines="50" w:after="120" w:afterLines="50" w:line="360" w:lineRule="auto"/>
        <w:ind w:firstLine="422" w:firstLineChars="200"/>
        <w:jc w:val="left"/>
        <w:rPr>
          <w:rFonts w:ascii="宋体" w:hAnsi="宋体" w:cs="宋体"/>
          <w:b/>
          <w:bCs/>
          <w:color w:val="auto"/>
          <w:kern w:val="0"/>
          <w:szCs w:val="21"/>
          <w:highlight w:val="none"/>
          <w:lang w:bidi="zh-CN"/>
        </w:rPr>
      </w:pPr>
      <w:r>
        <w:rPr>
          <w:rFonts w:hint="eastAsia" w:ascii="宋体" w:hAnsi="宋体" w:cs="宋体"/>
          <w:b/>
          <w:bCs/>
          <w:color w:val="auto"/>
          <w:kern w:val="0"/>
          <w:szCs w:val="21"/>
          <w:highlight w:val="none"/>
          <w:lang w:bidi="zh-CN"/>
        </w:rPr>
        <w:t xml:space="preserve">34、工程质量目标 </w:t>
      </w:r>
      <w:r>
        <w:rPr>
          <w:rFonts w:ascii="宋体" w:hAnsi="宋体" w:cs="宋体"/>
          <w:b/>
          <w:bCs/>
          <w:color w:val="auto"/>
          <w:kern w:val="0"/>
          <w:szCs w:val="21"/>
          <w:highlight w:val="none"/>
          <w:u w:val="single"/>
          <w:lang w:bidi="zh-CN"/>
        </w:rPr>
        <w:t xml:space="preserve">                                    </w:t>
      </w:r>
      <w:r>
        <w:rPr>
          <w:rFonts w:hint="eastAsia" w:ascii="宋体" w:hAnsi="宋体" w:cs="宋体"/>
          <w:b/>
          <w:bCs/>
          <w:color w:val="auto"/>
          <w:kern w:val="0"/>
          <w:szCs w:val="21"/>
          <w:highlight w:val="none"/>
          <w:lang w:bidi="zh-CN"/>
        </w:rPr>
        <w:t>；</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6"/>
        <w:spacing w:after="120"/>
        <w:rPr>
          <w:rFonts w:ascii="宋体" w:hAnsi="宋体" w:cs="宋体"/>
          <w:color w:val="auto"/>
          <w:sz w:val="21"/>
          <w:szCs w:val="21"/>
          <w:highlight w:val="none"/>
        </w:rPr>
      </w:pPr>
      <w:bookmarkStart w:id="165" w:name="_Toc483496976"/>
      <w:bookmarkStart w:id="166" w:name="_Toc2527"/>
      <w:bookmarkStart w:id="167" w:name="_Toc12474"/>
      <w:bookmarkStart w:id="168" w:name="_Toc12743"/>
      <w:r>
        <w:rPr>
          <w:rFonts w:hint="eastAsia" w:ascii="宋体" w:hAnsi="宋体" w:cs="宋体"/>
          <w:color w:val="auto"/>
          <w:sz w:val="21"/>
          <w:szCs w:val="21"/>
          <w:highlight w:val="none"/>
        </w:rPr>
        <w:t>第三节</w:t>
      </w:r>
      <w:r>
        <w:rPr>
          <w:rFonts w:hint="eastAsia" w:ascii="宋体" w:hAnsi="宋体" w:cs="宋体"/>
          <w:color w:val="auto"/>
          <w:sz w:val="21"/>
          <w:szCs w:val="21"/>
          <w:highlight w:val="none"/>
        </w:rPr>
        <w:tab/>
      </w:r>
      <w:r>
        <w:rPr>
          <w:rFonts w:hint="eastAsia" w:ascii="宋体" w:hAnsi="宋体" w:cs="宋体"/>
          <w:color w:val="auto"/>
          <w:sz w:val="21"/>
          <w:szCs w:val="21"/>
          <w:highlight w:val="none"/>
        </w:rPr>
        <w:t xml:space="preserve">  合同附件格式</w:t>
      </w:r>
      <w:bookmarkEnd w:id="165"/>
      <w:bookmarkEnd w:id="166"/>
      <w:bookmarkEnd w:id="167"/>
      <w:bookmarkEnd w:id="168"/>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附件一：合同协议书</w:t>
      </w:r>
    </w:p>
    <w:p>
      <w:pPr>
        <w:spacing w:line="360" w:lineRule="auto"/>
        <w:ind w:firstLine="422" w:firstLineChars="200"/>
        <w:jc w:val="center"/>
        <w:rPr>
          <w:rFonts w:ascii="宋体" w:hAnsi="宋体" w:cs="宋体"/>
          <w:b/>
          <w:color w:val="auto"/>
          <w:szCs w:val="21"/>
          <w:highlight w:val="none"/>
        </w:rPr>
      </w:pPr>
      <w:r>
        <w:rPr>
          <w:rFonts w:hint="eastAsia" w:ascii="宋体" w:hAnsi="宋体" w:cs="宋体"/>
          <w:b/>
          <w:color w:val="auto"/>
          <w:szCs w:val="21"/>
          <w:highlight w:val="none"/>
        </w:rPr>
        <w:t>合同协议书</w:t>
      </w:r>
    </w:p>
    <w:p>
      <w:pPr>
        <w:pStyle w:val="3"/>
        <w:tabs>
          <w:tab w:val="left" w:pos="2104"/>
          <w:tab w:val="left" w:pos="3156"/>
          <w:tab w:val="left" w:pos="8619"/>
          <w:tab w:val="left" w:pos="8861"/>
        </w:tabs>
        <w:spacing w:before="74" w:line="360" w:lineRule="auto"/>
        <w:ind w:right="382" w:firstLine="630" w:firstLineChars="300"/>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（发包人名称</w:t>
      </w:r>
      <w:r>
        <w:rPr>
          <w:rFonts w:hint="eastAsia" w:ascii="宋体" w:hAnsi="宋体" w:cs="宋体"/>
          <w:color w:val="auto"/>
          <w:spacing w:val="-60"/>
          <w:szCs w:val="21"/>
          <w:highlight w:val="none"/>
        </w:rPr>
        <w:t>，</w:t>
      </w:r>
      <w:r>
        <w:rPr>
          <w:rFonts w:hint="eastAsia" w:ascii="宋体" w:hAnsi="宋体" w:cs="宋体"/>
          <w:color w:val="auto"/>
          <w:szCs w:val="21"/>
          <w:highlight w:val="none"/>
        </w:rPr>
        <w:t>以下简称“发包人</w:t>
      </w:r>
      <w:r>
        <w:rPr>
          <w:rFonts w:hint="eastAsia" w:ascii="宋体" w:hAnsi="宋体" w:cs="宋体"/>
          <w:color w:val="auto"/>
          <w:spacing w:val="-30"/>
          <w:szCs w:val="21"/>
          <w:highlight w:val="none"/>
        </w:rPr>
        <w:t>”）</w:t>
      </w:r>
      <w:r>
        <w:rPr>
          <w:rFonts w:hint="eastAsia" w:ascii="宋体" w:hAnsi="宋体" w:cs="宋体"/>
          <w:color w:val="auto"/>
          <w:szCs w:val="21"/>
          <w:highlight w:val="none"/>
        </w:rPr>
        <w:t>为实施</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pPr>
        <w:pStyle w:val="3"/>
        <w:tabs>
          <w:tab w:val="left" w:pos="2104"/>
          <w:tab w:val="left" w:pos="3156"/>
          <w:tab w:val="left" w:pos="8619"/>
          <w:tab w:val="left" w:pos="8861"/>
        </w:tabs>
        <w:spacing w:before="74" w:line="360" w:lineRule="auto"/>
        <w:ind w:right="382" w:firstLine="630" w:firstLineChars="300"/>
        <w:rPr>
          <w:rFonts w:ascii="宋体" w:hAnsi="宋体" w:cs="宋体"/>
          <w:color w:val="auto"/>
          <w:szCs w:val="21"/>
          <w:highlight w:val="none"/>
          <w:u w:val="single"/>
        </w:rPr>
      </w:pPr>
      <w:r>
        <w:rPr>
          <w:rFonts w:hint="eastAsia" w:ascii="宋体" w:hAnsi="宋体" w:cs="宋体"/>
          <w:color w:val="auto"/>
          <w:szCs w:val="21"/>
          <w:highlight w:val="none"/>
          <w:u w:val="single"/>
        </w:rPr>
        <w:t>（</w:t>
      </w:r>
      <w:r>
        <w:rPr>
          <w:rFonts w:hint="eastAsia" w:ascii="宋体" w:hAnsi="宋体" w:cs="宋体"/>
          <w:color w:val="auto"/>
          <w:szCs w:val="21"/>
          <w:highlight w:val="none"/>
        </w:rPr>
        <w:t>项目名</w:t>
      </w:r>
      <w:r>
        <w:rPr>
          <w:rFonts w:hint="eastAsia" w:ascii="宋体" w:hAnsi="宋体" w:cs="宋体"/>
          <w:color w:val="auto"/>
          <w:spacing w:val="-1"/>
          <w:szCs w:val="21"/>
          <w:highlight w:val="none"/>
        </w:rPr>
        <w:t>称</w:t>
      </w:r>
      <w:r>
        <w:rPr>
          <w:rFonts w:hint="eastAsia" w:ascii="宋体" w:hAnsi="宋体" w:cs="宋体"/>
          <w:color w:val="auto"/>
          <w:spacing w:val="-120"/>
          <w:szCs w:val="21"/>
          <w:highlight w:val="none"/>
        </w:rPr>
        <w:t>）</w:t>
      </w:r>
      <w:r>
        <w:rPr>
          <w:rFonts w:hint="eastAsia" w:ascii="宋体" w:hAnsi="宋体" w:cs="宋体"/>
          <w:color w:val="auto"/>
          <w:spacing w:val="-15"/>
          <w:szCs w:val="21"/>
          <w:highlight w:val="none"/>
        </w:rPr>
        <w:t>，</w:t>
      </w:r>
      <w:r>
        <w:rPr>
          <w:rFonts w:hint="eastAsia" w:ascii="宋体" w:hAnsi="宋体" w:cs="宋体"/>
          <w:color w:val="auto"/>
          <w:szCs w:val="21"/>
          <w:highlight w:val="none"/>
        </w:rPr>
        <w:t>已接受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（承包人名称</w:t>
      </w:r>
      <w:r>
        <w:rPr>
          <w:rFonts w:hint="eastAsia" w:ascii="宋体" w:hAnsi="宋体" w:cs="宋体"/>
          <w:color w:val="auto"/>
          <w:spacing w:val="-15"/>
          <w:szCs w:val="21"/>
          <w:highlight w:val="none"/>
        </w:rPr>
        <w:t>，</w:t>
      </w:r>
      <w:r>
        <w:rPr>
          <w:rFonts w:hint="eastAsia" w:ascii="宋体" w:hAnsi="宋体" w:cs="宋体"/>
          <w:color w:val="auto"/>
          <w:szCs w:val="21"/>
          <w:highlight w:val="none"/>
        </w:rPr>
        <w:t>以下简称</w:t>
      </w:r>
      <w:r>
        <w:rPr>
          <w:rFonts w:hint="eastAsia" w:ascii="宋体" w:hAnsi="宋体" w:cs="宋体"/>
          <w:color w:val="auto"/>
          <w:spacing w:val="-1"/>
          <w:szCs w:val="21"/>
          <w:highlight w:val="none"/>
        </w:rPr>
        <w:t>“</w:t>
      </w:r>
      <w:r>
        <w:rPr>
          <w:rFonts w:hint="eastAsia" w:ascii="宋体" w:hAnsi="宋体" w:cs="宋体"/>
          <w:color w:val="auto"/>
          <w:szCs w:val="21"/>
          <w:highlight w:val="none"/>
        </w:rPr>
        <w:t>承包人</w:t>
      </w:r>
      <w:r>
        <w:rPr>
          <w:rFonts w:hint="eastAsia" w:ascii="宋体" w:hAnsi="宋体" w:cs="宋体"/>
          <w:color w:val="auto"/>
          <w:spacing w:val="-1"/>
          <w:szCs w:val="21"/>
          <w:highlight w:val="none"/>
        </w:rPr>
        <w:t>”</w:t>
      </w:r>
      <w:r>
        <w:rPr>
          <w:rFonts w:hint="eastAsia" w:ascii="宋体" w:hAnsi="宋体" w:cs="宋体"/>
          <w:color w:val="auto"/>
          <w:spacing w:val="-15"/>
          <w:szCs w:val="21"/>
          <w:highlight w:val="none"/>
        </w:rPr>
        <w:t>）</w:t>
      </w:r>
      <w:r>
        <w:rPr>
          <w:rFonts w:hint="eastAsia" w:ascii="宋体" w:hAnsi="宋体" w:cs="宋体"/>
          <w:color w:val="auto"/>
          <w:szCs w:val="21"/>
          <w:highlight w:val="none"/>
        </w:rPr>
        <w:t>对</w:t>
      </w:r>
      <w:r>
        <w:rPr>
          <w:rFonts w:hint="eastAsia" w:ascii="宋体" w:hAnsi="宋体" w:cs="宋体"/>
          <w:color w:val="auto"/>
          <w:spacing w:val="1"/>
          <w:szCs w:val="21"/>
          <w:highlight w:val="none"/>
        </w:rPr>
        <w:t>该</w:t>
      </w:r>
      <w:r>
        <w:rPr>
          <w:rFonts w:hint="eastAsia" w:ascii="宋体" w:hAnsi="宋体" w:cs="宋体"/>
          <w:color w:val="auto"/>
          <w:szCs w:val="21"/>
          <w:highlight w:val="none"/>
        </w:rPr>
        <w:t>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pPr>
        <w:pStyle w:val="3"/>
        <w:tabs>
          <w:tab w:val="left" w:pos="2104"/>
          <w:tab w:val="left" w:pos="3156"/>
          <w:tab w:val="left" w:pos="8619"/>
          <w:tab w:val="left" w:pos="8861"/>
        </w:tabs>
        <w:spacing w:before="74" w:line="360" w:lineRule="auto"/>
        <w:ind w:right="382" w:firstLine="630" w:firstLineChars="300"/>
        <w:rPr>
          <w:rFonts w:ascii="宋体" w:hAnsi="宋体" w:cs="宋体"/>
          <w:color w:val="auto"/>
          <w:szCs w:val="21"/>
          <w:highlight w:val="none"/>
        </w:rPr>
      </w:pPr>
      <w:r>
        <w:rPr>
          <w:rFonts w:hint="eastAsia" w:ascii="宋体" w:hAnsi="宋体" w:cs="宋体"/>
          <w:color w:val="auto"/>
          <w:szCs w:val="21"/>
          <w:highlight w:val="none"/>
          <w:u w:val="single"/>
        </w:rPr>
        <w:tab/>
      </w:r>
      <w:r>
        <w:rPr>
          <w:rFonts w:hint="eastAsia" w:ascii="宋体" w:hAnsi="宋体" w:cs="宋体"/>
          <w:color w:val="auto"/>
          <w:szCs w:val="21"/>
          <w:highlight w:val="none"/>
        </w:rPr>
        <w:t>标段施工的投标。发包人和承包人共同达成如下协议。</w:t>
      </w:r>
    </w:p>
    <w:p>
      <w:pPr>
        <w:pStyle w:val="241"/>
        <w:tabs>
          <w:tab w:val="left" w:pos="1342"/>
          <w:tab w:val="left" w:pos="2224"/>
        </w:tabs>
        <w:spacing w:before="1" w:line="360" w:lineRule="auto"/>
        <w:ind w:left="420" w:leftChars="200" w:right="384"/>
        <w:rPr>
          <w:rFonts w:ascii="宋体" w:hAnsi="宋体" w:cs="宋体"/>
          <w:color w:val="auto"/>
          <w:szCs w:val="21"/>
          <w:highlight w:val="none"/>
        </w:rPr>
      </w:pPr>
      <w:r>
        <w:rPr>
          <w:rFonts w:hint="eastAsia" w:ascii="宋体" w:hAnsi="宋体" w:cs="宋体"/>
          <w:color w:val="auto"/>
          <w:szCs w:val="21"/>
          <w:highlight w:val="none"/>
        </w:rPr>
        <w:t>1、第</w:t>
      </w:r>
      <w:r>
        <w:rPr>
          <w:rFonts w:hint="eastAsia" w:ascii="宋体" w:hAnsi="宋体" w:cs="宋体"/>
          <w:color w:val="auto"/>
          <w:szCs w:val="21"/>
          <w:highlight w:val="none"/>
          <w:u w:val="single"/>
        </w:rPr>
        <w:t xml:space="preserve"> </w:t>
      </w:r>
      <w:r>
        <w:rPr>
          <w:rFonts w:hint="eastAsia" w:ascii="宋体" w:hAnsi="宋体" w:cs="宋体"/>
          <w:color w:val="auto"/>
          <w:spacing w:val="118"/>
          <w:szCs w:val="21"/>
          <w:highlight w:val="none"/>
          <w:u w:val="single"/>
        </w:rPr>
        <w:t xml:space="preserve"> </w:t>
      </w:r>
      <w:r>
        <w:rPr>
          <w:rFonts w:hint="eastAsia" w:ascii="宋体" w:hAnsi="宋体" w:cs="宋体"/>
          <w:color w:val="auto"/>
          <w:szCs w:val="21"/>
          <w:highlight w:val="none"/>
        </w:rPr>
        <w:t>标段由</w:t>
      </w:r>
      <w:r>
        <w:rPr>
          <w:rFonts w:hint="eastAsia" w:ascii="宋体" w:hAnsi="宋体" w:cs="宋体"/>
          <w:color w:val="auto"/>
          <w:spacing w:val="-49"/>
          <w:szCs w:val="21"/>
          <w:highlight w:val="none"/>
        </w:rPr>
        <w:t xml:space="preserve"> </w:t>
      </w:r>
      <w:r>
        <w:rPr>
          <w:rFonts w:hint="eastAsia" w:ascii="宋体" w:hAnsi="宋体" w:cs="宋体"/>
          <w:color w:val="auto"/>
          <w:szCs w:val="21"/>
          <w:highlight w:val="none"/>
        </w:rPr>
        <w:t>K</w:t>
      </w:r>
      <w:r>
        <w:rPr>
          <w:rFonts w:hint="eastAsia" w:ascii="宋体" w:hAnsi="宋体" w:cs="宋体"/>
          <w:color w:val="auto"/>
          <w:szCs w:val="21"/>
          <w:highlight w:val="none"/>
          <w:u w:val="single"/>
        </w:rPr>
        <w:t xml:space="preserve">  </w:t>
      </w:r>
      <w:r>
        <w:rPr>
          <w:rFonts w:hint="eastAsia" w:ascii="宋体" w:hAnsi="宋体" w:cs="宋体"/>
          <w:color w:val="auto"/>
          <w:spacing w:val="58"/>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pacing w:val="118"/>
          <w:szCs w:val="21"/>
          <w:highlight w:val="none"/>
          <w:u w:val="single"/>
        </w:rPr>
        <w:t xml:space="preserve"> </w:t>
      </w:r>
      <w:r>
        <w:rPr>
          <w:rFonts w:hint="eastAsia" w:ascii="宋体" w:hAnsi="宋体" w:cs="宋体"/>
          <w:color w:val="auto"/>
          <w:szCs w:val="21"/>
          <w:highlight w:val="none"/>
        </w:rPr>
        <w:t>至</w:t>
      </w:r>
      <w:r>
        <w:rPr>
          <w:rFonts w:hint="eastAsia" w:ascii="宋体" w:hAnsi="宋体" w:cs="宋体"/>
          <w:color w:val="auto"/>
          <w:spacing w:val="-49"/>
          <w:szCs w:val="21"/>
          <w:highlight w:val="none"/>
        </w:rPr>
        <w:t xml:space="preserve"> </w:t>
      </w:r>
      <w:r>
        <w:rPr>
          <w:rFonts w:hint="eastAsia" w:ascii="宋体" w:hAnsi="宋体" w:cs="宋体"/>
          <w:color w:val="auto"/>
          <w:szCs w:val="21"/>
          <w:highlight w:val="none"/>
        </w:rPr>
        <w:t>K</w:t>
      </w:r>
      <w:r>
        <w:rPr>
          <w:rFonts w:hint="eastAsia" w:ascii="宋体" w:hAnsi="宋体" w:cs="宋体"/>
          <w:color w:val="auto"/>
          <w:szCs w:val="21"/>
          <w:highlight w:val="none"/>
          <w:u w:val="single"/>
        </w:rPr>
        <w:t xml:space="preserve">   </w:t>
      </w:r>
      <w:r>
        <w:rPr>
          <w:rFonts w:hint="eastAsia" w:ascii="宋体" w:hAnsi="宋体" w:cs="宋体"/>
          <w:color w:val="auto"/>
          <w:spacing w:val="58"/>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pacing w:val="118"/>
          <w:szCs w:val="21"/>
          <w:highlight w:val="none"/>
          <w:u w:val="single"/>
        </w:rPr>
        <w:t xml:space="preserve"> </w:t>
      </w:r>
      <w:r>
        <w:rPr>
          <w:rFonts w:hint="eastAsia" w:ascii="宋体" w:hAnsi="宋体" w:cs="宋体"/>
          <w:color w:val="auto"/>
          <w:szCs w:val="21"/>
          <w:highlight w:val="none"/>
        </w:rPr>
        <w:t>，长约</w:t>
      </w:r>
      <w:r>
        <w:rPr>
          <w:rFonts w:hint="eastAsia" w:ascii="宋体" w:hAnsi="宋体" w:cs="宋体"/>
          <w:color w:val="auto"/>
          <w:szCs w:val="21"/>
          <w:highlight w:val="none"/>
          <w:u w:val="single"/>
        </w:rPr>
        <w:t xml:space="preserve"> </w:t>
      </w:r>
      <w:r>
        <w:rPr>
          <w:rFonts w:hint="eastAsia" w:ascii="宋体" w:hAnsi="宋体" w:cs="宋体"/>
          <w:color w:val="auto"/>
          <w:spacing w:val="118"/>
          <w:szCs w:val="21"/>
          <w:highlight w:val="none"/>
          <w:u w:val="single"/>
        </w:rPr>
        <w:t xml:space="preserve"> </w:t>
      </w:r>
      <w:r>
        <w:rPr>
          <w:rFonts w:hint="eastAsia" w:ascii="宋体" w:hAnsi="宋体" w:cs="宋体"/>
          <w:color w:val="auto"/>
          <w:szCs w:val="21"/>
          <w:highlight w:val="none"/>
        </w:rPr>
        <w:t>km，公路等级为</w:t>
      </w:r>
      <w:r>
        <w:rPr>
          <w:rFonts w:hint="eastAsia" w:ascii="宋体" w:hAnsi="宋体" w:cs="宋体"/>
          <w:color w:val="auto"/>
          <w:szCs w:val="21"/>
          <w:highlight w:val="none"/>
          <w:u w:val="single"/>
        </w:rPr>
        <w:t xml:space="preserve">  </w:t>
      </w:r>
      <w:r>
        <w:rPr>
          <w:rFonts w:hint="eastAsia" w:ascii="宋体" w:hAnsi="宋体" w:cs="宋体"/>
          <w:color w:val="auto"/>
          <w:spacing w:val="118"/>
          <w:szCs w:val="21"/>
          <w:highlight w:val="none"/>
          <w:u w:val="single"/>
        </w:rPr>
        <w:t xml:space="preserve"> </w:t>
      </w:r>
      <w:r>
        <w:rPr>
          <w:rFonts w:hint="eastAsia" w:ascii="宋体" w:hAnsi="宋体" w:cs="宋体"/>
          <w:color w:val="auto"/>
          <w:szCs w:val="21"/>
          <w:highlight w:val="none"/>
        </w:rPr>
        <w:t>，设计速度为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pacing w:val="-8"/>
          <w:szCs w:val="21"/>
          <w:highlight w:val="none"/>
        </w:rPr>
        <w:t>，</w:t>
      </w:r>
      <w:r>
        <w:rPr>
          <w:rFonts w:hint="eastAsia" w:ascii="宋体" w:hAnsi="宋体" w:cs="宋体"/>
          <w:color w:val="auto"/>
          <w:spacing w:val="-8"/>
          <w:szCs w:val="21"/>
          <w:highlight w:val="none"/>
          <w:u w:val="single"/>
        </w:rPr>
        <w:t xml:space="preserve">  </w:t>
      </w:r>
      <w:r>
        <w:rPr>
          <w:rFonts w:hint="eastAsia" w:ascii="宋体" w:hAnsi="宋体" w:cs="宋体"/>
          <w:color w:val="auto"/>
          <w:spacing w:val="31"/>
          <w:szCs w:val="21"/>
          <w:highlight w:val="none"/>
        </w:rPr>
        <w:t xml:space="preserve"> </w:t>
      </w:r>
      <w:r>
        <w:rPr>
          <w:rFonts w:hint="eastAsia" w:ascii="宋体" w:hAnsi="宋体" w:cs="宋体"/>
          <w:color w:val="auto"/>
          <w:szCs w:val="21"/>
          <w:highlight w:val="none"/>
        </w:rPr>
        <w:t>路面</w:t>
      </w:r>
      <w:r>
        <w:rPr>
          <w:rFonts w:hint="eastAsia" w:ascii="宋体" w:hAnsi="宋体" w:cs="宋体"/>
          <w:color w:val="auto"/>
          <w:spacing w:val="-8"/>
          <w:szCs w:val="21"/>
          <w:highlight w:val="none"/>
        </w:rPr>
        <w:t>，</w:t>
      </w:r>
      <w:r>
        <w:rPr>
          <w:rFonts w:hint="eastAsia" w:ascii="宋体" w:hAnsi="宋体" w:cs="宋体"/>
          <w:color w:val="auto"/>
          <w:szCs w:val="21"/>
          <w:highlight w:val="none"/>
        </w:rPr>
        <w:t>有</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立交</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处</w:t>
      </w:r>
      <w:r>
        <w:rPr>
          <w:rFonts w:hint="eastAsia" w:ascii="宋体" w:hAnsi="宋体" w:cs="宋体"/>
          <w:color w:val="auto"/>
          <w:spacing w:val="-8"/>
          <w:szCs w:val="21"/>
          <w:highlight w:val="none"/>
        </w:rPr>
        <w:t>；</w:t>
      </w:r>
      <w:r>
        <w:rPr>
          <w:rFonts w:hint="eastAsia" w:ascii="宋体" w:hAnsi="宋体" w:cs="宋体"/>
          <w:color w:val="auto"/>
          <w:szCs w:val="21"/>
          <w:highlight w:val="none"/>
        </w:rPr>
        <w:t>特大桥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座</w:t>
      </w:r>
      <w:r>
        <w:rPr>
          <w:rFonts w:hint="eastAsia" w:ascii="宋体" w:hAnsi="宋体" w:cs="宋体"/>
          <w:color w:val="auto"/>
          <w:spacing w:val="-8"/>
          <w:szCs w:val="21"/>
          <w:highlight w:val="none"/>
        </w:rPr>
        <w:t>，</w:t>
      </w:r>
      <w:r>
        <w:rPr>
          <w:rFonts w:hint="eastAsia" w:ascii="宋体" w:hAnsi="宋体" w:cs="宋体"/>
          <w:color w:val="auto"/>
          <w:szCs w:val="21"/>
          <w:highlight w:val="none"/>
        </w:rPr>
        <w:t>计长</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pacing w:val="-4"/>
          <w:szCs w:val="21"/>
          <w:highlight w:val="none"/>
        </w:rPr>
        <w:t>m；</w:t>
      </w:r>
      <w:r>
        <w:rPr>
          <w:rFonts w:hint="eastAsia" w:ascii="宋体" w:hAnsi="宋体" w:cs="宋体"/>
          <w:color w:val="auto"/>
          <w:szCs w:val="21"/>
          <w:highlight w:val="none"/>
        </w:rPr>
        <w:t>大中桥</w:t>
      </w:r>
      <w:r>
        <w:rPr>
          <w:rFonts w:hint="eastAsia" w:ascii="宋体" w:hAnsi="宋体" w:cs="宋体"/>
          <w:color w:val="auto"/>
          <w:spacing w:val="118"/>
          <w:szCs w:val="21"/>
          <w:highlight w:val="none"/>
          <w:u w:val="single"/>
        </w:rPr>
        <w:t xml:space="preserve"> </w:t>
      </w:r>
      <w:r>
        <w:rPr>
          <w:rFonts w:hint="eastAsia" w:ascii="宋体" w:hAnsi="宋体" w:cs="宋体"/>
          <w:color w:val="auto"/>
          <w:szCs w:val="21"/>
          <w:highlight w:val="none"/>
        </w:rPr>
        <w:t>座，计长 m；隧道 座，计长 m 以及其他构造物工程等。</w:t>
      </w:r>
    </w:p>
    <w:p>
      <w:pPr>
        <w:pStyle w:val="241"/>
        <w:tabs>
          <w:tab w:val="left" w:pos="1342"/>
        </w:tabs>
        <w:spacing w:before="1"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2、下列文件应视为构成合同文件的组成部分：</w:t>
      </w:r>
    </w:p>
    <w:p>
      <w:pPr>
        <w:pStyle w:val="3"/>
        <w:spacing w:after="0" w:line="360" w:lineRule="auto"/>
        <w:ind w:left="425" w:right="420" w:firstLine="618"/>
        <w:rPr>
          <w:rFonts w:ascii="宋体" w:hAnsi="宋体" w:cs="宋体"/>
          <w:color w:val="auto"/>
          <w:szCs w:val="21"/>
          <w:highlight w:val="none"/>
        </w:rPr>
      </w:pPr>
      <w:r>
        <w:rPr>
          <w:rFonts w:hint="eastAsia" w:ascii="宋体" w:hAnsi="宋体" w:cs="宋体"/>
          <w:color w:val="auto"/>
          <w:spacing w:val="-3"/>
          <w:szCs w:val="21"/>
          <w:highlight w:val="none"/>
        </w:rPr>
        <w:t>（1）</w:t>
      </w:r>
      <w:r>
        <w:rPr>
          <w:rFonts w:hint="eastAsia" w:ascii="宋体" w:hAnsi="宋体" w:cs="宋体"/>
          <w:color w:val="auto"/>
          <w:spacing w:val="-1"/>
          <w:szCs w:val="21"/>
          <w:highlight w:val="none"/>
        </w:rPr>
        <w:t>本协议书及各种合同附件</w:t>
      </w:r>
      <w:r>
        <w:rPr>
          <w:rFonts w:hint="eastAsia" w:ascii="宋体" w:hAnsi="宋体" w:cs="宋体"/>
          <w:color w:val="auto"/>
          <w:szCs w:val="21"/>
          <w:highlight w:val="none"/>
        </w:rPr>
        <w:t>（含评标期间和合同谈判过程中的澄清文件和</w:t>
      </w:r>
      <w:r>
        <w:rPr>
          <w:rFonts w:hint="eastAsia" w:ascii="宋体" w:hAnsi="宋体" w:cs="宋体"/>
          <w:color w:val="auto"/>
          <w:spacing w:val="-1"/>
          <w:szCs w:val="21"/>
          <w:highlight w:val="none"/>
        </w:rPr>
        <w:t>补充资料</w:t>
      </w:r>
      <w:r>
        <w:rPr>
          <w:rFonts w:hint="eastAsia" w:ascii="宋体" w:hAnsi="宋体" w:cs="宋体"/>
          <w:color w:val="auto"/>
          <w:spacing w:val="-120"/>
          <w:szCs w:val="21"/>
          <w:highlight w:val="none"/>
        </w:rPr>
        <w:t>）</w:t>
      </w:r>
      <w:r>
        <w:rPr>
          <w:rFonts w:hint="eastAsia" w:ascii="宋体" w:hAnsi="宋体" w:cs="宋体"/>
          <w:color w:val="auto"/>
          <w:szCs w:val="21"/>
          <w:highlight w:val="none"/>
        </w:rPr>
        <w:t>；</w:t>
      </w:r>
    </w:p>
    <w:p>
      <w:pPr>
        <w:pStyle w:val="3"/>
        <w:spacing w:before="2" w:after="0" w:line="360" w:lineRule="auto"/>
        <w:ind w:left="1041"/>
        <w:rPr>
          <w:rFonts w:ascii="宋体" w:hAnsi="宋体" w:cs="宋体"/>
          <w:color w:val="auto"/>
          <w:szCs w:val="21"/>
          <w:highlight w:val="none"/>
        </w:rPr>
      </w:pPr>
      <w:r>
        <w:rPr>
          <w:rFonts w:hint="eastAsia" w:ascii="宋体" w:hAnsi="宋体" w:cs="宋体"/>
          <w:color w:val="auto"/>
          <w:szCs w:val="21"/>
          <w:highlight w:val="none"/>
        </w:rPr>
        <w:t>（2）中标通知书；</w:t>
      </w:r>
    </w:p>
    <w:p>
      <w:pPr>
        <w:pStyle w:val="3"/>
        <w:spacing w:before="131" w:after="0" w:line="360" w:lineRule="auto"/>
        <w:ind w:left="1041"/>
        <w:rPr>
          <w:rFonts w:ascii="宋体" w:hAnsi="宋体" w:cs="宋体"/>
          <w:color w:val="auto"/>
          <w:szCs w:val="21"/>
          <w:highlight w:val="none"/>
        </w:rPr>
      </w:pPr>
      <w:r>
        <w:rPr>
          <w:rFonts w:hint="eastAsia" w:ascii="宋体" w:hAnsi="宋体" w:cs="宋体"/>
          <w:color w:val="auto"/>
          <w:szCs w:val="21"/>
          <w:highlight w:val="none"/>
        </w:rPr>
        <w:t>（3）投标函及投标函附录；</w:t>
      </w:r>
    </w:p>
    <w:p>
      <w:pPr>
        <w:pStyle w:val="3"/>
        <w:spacing w:before="132" w:after="0" w:line="360" w:lineRule="auto"/>
        <w:ind w:left="1041"/>
        <w:rPr>
          <w:rFonts w:ascii="宋体" w:hAnsi="宋体" w:cs="宋体"/>
          <w:color w:val="auto"/>
          <w:szCs w:val="21"/>
          <w:highlight w:val="none"/>
        </w:rPr>
      </w:pPr>
      <w:r>
        <w:rPr>
          <w:rFonts w:hint="eastAsia" w:ascii="宋体" w:hAnsi="宋体" w:cs="宋体"/>
          <w:color w:val="auto"/>
          <w:szCs w:val="21"/>
          <w:highlight w:val="none"/>
        </w:rPr>
        <w:t>（4）项目专用合同条款；</w:t>
      </w:r>
    </w:p>
    <w:p>
      <w:pPr>
        <w:pStyle w:val="3"/>
        <w:spacing w:before="134" w:after="0" w:line="360" w:lineRule="auto"/>
        <w:ind w:left="1041"/>
        <w:rPr>
          <w:rFonts w:ascii="宋体" w:hAnsi="宋体" w:cs="宋体"/>
          <w:color w:val="auto"/>
          <w:szCs w:val="21"/>
          <w:highlight w:val="none"/>
        </w:rPr>
      </w:pPr>
      <w:r>
        <w:rPr>
          <w:rFonts w:hint="eastAsia" w:ascii="宋体" w:hAnsi="宋体" w:cs="宋体"/>
          <w:color w:val="auto"/>
          <w:szCs w:val="21"/>
          <w:highlight w:val="none"/>
        </w:rPr>
        <w:t>（5）公路工程专用合同条款；</w:t>
      </w:r>
    </w:p>
    <w:p>
      <w:pPr>
        <w:pStyle w:val="3"/>
        <w:spacing w:before="132" w:after="0" w:line="360" w:lineRule="auto"/>
        <w:ind w:left="1041"/>
        <w:rPr>
          <w:rFonts w:ascii="宋体" w:hAnsi="宋体" w:cs="宋体"/>
          <w:color w:val="auto"/>
          <w:szCs w:val="21"/>
          <w:highlight w:val="none"/>
        </w:rPr>
      </w:pPr>
      <w:r>
        <w:rPr>
          <w:rFonts w:hint="eastAsia" w:ascii="宋体" w:hAnsi="宋体" w:cs="宋体"/>
          <w:color w:val="auto"/>
          <w:szCs w:val="21"/>
          <w:highlight w:val="none"/>
        </w:rPr>
        <w:t>（6）通用合同条款；</w:t>
      </w:r>
    </w:p>
    <w:p>
      <w:pPr>
        <w:pStyle w:val="3"/>
        <w:spacing w:before="132" w:after="0" w:line="360" w:lineRule="auto"/>
        <w:ind w:left="1041"/>
        <w:rPr>
          <w:rFonts w:ascii="宋体" w:hAnsi="宋体" w:cs="宋体"/>
          <w:color w:val="auto"/>
          <w:szCs w:val="21"/>
          <w:highlight w:val="none"/>
        </w:rPr>
      </w:pPr>
      <w:r>
        <w:rPr>
          <w:rFonts w:hint="eastAsia" w:ascii="宋体" w:hAnsi="宋体" w:cs="宋体"/>
          <w:color w:val="auto"/>
          <w:szCs w:val="21"/>
          <w:highlight w:val="none"/>
        </w:rPr>
        <w:t>（7）工程量清单计量规则；</w:t>
      </w:r>
    </w:p>
    <w:p>
      <w:pPr>
        <w:pStyle w:val="3"/>
        <w:spacing w:before="134" w:after="0" w:line="360" w:lineRule="auto"/>
        <w:ind w:left="1041"/>
        <w:rPr>
          <w:rFonts w:ascii="宋体" w:hAnsi="宋体" w:cs="宋体"/>
          <w:color w:val="auto"/>
          <w:szCs w:val="21"/>
          <w:highlight w:val="none"/>
        </w:rPr>
      </w:pPr>
      <w:r>
        <w:rPr>
          <w:rFonts w:hint="eastAsia" w:ascii="宋体" w:hAnsi="宋体" w:cs="宋体"/>
          <w:color w:val="auto"/>
          <w:szCs w:val="21"/>
          <w:highlight w:val="none"/>
        </w:rPr>
        <w:t>（8）技术规范；</w:t>
      </w:r>
    </w:p>
    <w:p>
      <w:pPr>
        <w:pStyle w:val="3"/>
        <w:spacing w:before="132" w:after="0" w:line="360" w:lineRule="auto"/>
        <w:ind w:left="1041"/>
        <w:rPr>
          <w:rFonts w:ascii="宋体" w:hAnsi="宋体" w:cs="宋体"/>
          <w:color w:val="auto"/>
          <w:szCs w:val="21"/>
          <w:highlight w:val="none"/>
        </w:rPr>
      </w:pPr>
      <w:r>
        <w:rPr>
          <w:rFonts w:hint="eastAsia" w:ascii="宋体" w:hAnsi="宋体" w:cs="宋体"/>
          <w:color w:val="auto"/>
          <w:szCs w:val="21"/>
          <w:highlight w:val="none"/>
        </w:rPr>
        <w:t>（9）图纸；</w:t>
      </w:r>
    </w:p>
    <w:p>
      <w:pPr>
        <w:pStyle w:val="3"/>
        <w:spacing w:before="131" w:after="0" w:line="360" w:lineRule="auto"/>
        <w:ind w:left="1041"/>
        <w:rPr>
          <w:rFonts w:ascii="宋体" w:hAnsi="宋体" w:cs="宋体"/>
          <w:color w:val="auto"/>
          <w:szCs w:val="21"/>
          <w:highlight w:val="none"/>
        </w:rPr>
      </w:pPr>
      <w:r>
        <w:rPr>
          <w:rFonts w:hint="eastAsia" w:ascii="宋体" w:hAnsi="宋体" w:cs="宋体"/>
          <w:color w:val="auto"/>
          <w:szCs w:val="21"/>
          <w:highlight w:val="none"/>
        </w:rPr>
        <w:t>（10）已标价工程量清单；</w:t>
      </w:r>
    </w:p>
    <w:p>
      <w:pPr>
        <w:pStyle w:val="3"/>
        <w:spacing w:before="135" w:after="0" w:line="360" w:lineRule="auto"/>
        <w:ind w:left="1041"/>
        <w:rPr>
          <w:rFonts w:ascii="宋体" w:hAnsi="宋体" w:cs="宋体"/>
          <w:color w:val="auto"/>
          <w:szCs w:val="21"/>
          <w:highlight w:val="none"/>
        </w:rPr>
      </w:pPr>
      <w:r>
        <w:rPr>
          <w:rFonts w:hint="eastAsia" w:ascii="宋体" w:hAnsi="宋体" w:cs="宋体"/>
          <w:color w:val="auto"/>
          <w:szCs w:val="21"/>
          <w:highlight w:val="none"/>
        </w:rPr>
        <w:t>（11）承包人有关人员、设备投入的承诺及投标文件中的施工组织设计；</w:t>
      </w:r>
    </w:p>
    <w:p>
      <w:pPr>
        <w:pStyle w:val="3"/>
        <w:spacing w:before="132" w:after="0" w:line="360" w:lineRule="auto"/>
        <w:ind w:left="1041"/>
        <w:rPr>
          <w:rFonts w:ascii="宋体" w:hAnsi="宋体" w:cs="宋体"/>
          <w:color w:val="auto"/>
          <w:szCs w:val="21"/>
          <w:highlight w:val="none"/>
        </w:rPr>
      </w:pPr>
      <w:r>
        <w:rPr>
          <w:rFonts w:hint="eastAsia" w:ascii="宋体" w:hAnsi="宋体" w:cs="宋体"/>
          <w:color w:val="auto"/>
          <w:szCs w:val="21"/>
          <w:highlight w:val="none"/>
        </w:rPr>
        <w:t>（12）其他合同文件。</w:t>
      </w:r>
    </w:p>
    <w:p>
      <w:pPr>
        <w:pStyle w:val="3"/>
        <w:spacing w:before="131" w:line="360" w:lineRule="auto"/>
        <w:ind w:left="424" w:right="427" w:firstLine="616"/>
        <w:rPr>
          <w:rFonts w:ascii="宋体" w:hAnsi="宋体" w:cs="宋体"/>
          <w:color w:val="auto"/>
          <w:szCs w:val="21"/>
          <w:highlight w:val="none"/>
        </w:rPr>
      </w:pPr>
      <w:r>
        <w:rPr>
          <w:rFonts w:hint="eastAsia" w:ascii="宋体" w:hAnsi="宋体" w:cs="宋体"/>
          <w:color w:val="auto"/>
          <w:szCs w:val="21"/>
          <w:highlight w:val="none"/>
        </w:rPr>
        <w:t>上述合同文件互相补充和解释。如果合同文件之间存在矛盾或不一致之处， 以上述文件的排列顺序在先者为准。</w:t>
      </w:r>
    </w:p>
    <w:p>
      <w:pPr>
        <w:pStyle w:val="241"/>
        <w:numPr>
          <w:ilvl w:val="3"/>
          <w:numId w:val="15"/>
        </w:numPr>
        <w:tabs>
          <w:tab w:val="left" w:pos="1344"/>
          <w:tab w:val="left" w:pos="2584"/>
          <w:tab w:val="left" w:pos="4144"/>
        </w:tabs>
        <w:spacing w:line="360" w:lineRule="auto"/>
        <w:ind w:right="415" w:firstLine="420"/>
        <w:rPr>
          <w:rFonts w:ascii="宋体" w:hAnsi="宋体" w:cs="宋体"/>
          <w:color w:val="auto"/>
          <w:szCs w:val="21"/>
          <w:highlight w:val="none"/>
        </w:rPr>
      </w:pPr>
      <w:r>
        <w:rPr>
          <w:rFonts w:hint="eastAsia" w:ascii="宋体" w:hAnsi="宋体" w:cs="宋体"/>
          <w:color w:val="auto"/>
          <w:szCs w:val="21"/>
          <w:highlight w:val="none"/>
        </w:rPr>
        <w:t>根据工程量清单所列的预计数量和单价或总额价计算</w:t>
      </w:r>
      <w:r>
        <w:rPr>
          <w:rFonts w:hint="eastAsia" w:ascii="宋体" w:hAnsi="宋体" w:cs="宋体"/>
          <w:color w:val="auto"/>
          <w:spacing w:val="5"/>
          <w:szCs w:val="21"/>
          <w:highlight w:val="none"/>
        </w:rPr>
        <w:t>的</w:t>
      </w:r>
      <w:r>
        <w:rPr>
          <w:rFonts w:hint="eastAsia" w:ascii="宋体" w:hAnsi="宋体" w:cs="宋体"/>
          <w:color w:val="auto"/>
          <w:szCs w:val="21"/>
          <w:highlight w:val="none"/>
        </w:rPr>
        <w:t>签约合同价：人民币（大写）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pacing w:val="-120"/>
          <w:szCs w:val="21"/>
          <w:highlight w:val="none"/>
        </w:rPr>
        <w:t>）</w:t>
      </w:r>
      <w:r>
        <w:rPr>
          <w:rFonts w:hint="eastAsia" w:ascii="宋体" w:hAnsi="宋体" w:cs="宋体"/>
          <w:color w:val="auto"/>
          <w:szCs w:val="21"/>
          <w:highlight w:val="none"/>
        </w:rPr>
        <w:t>。</w:t>
      </w:r>
    </w:p>
    <w:p>
      <w:pPr>
        <w:pStyle w:val="241"/>
        <w:numPr>
          <w:ilvl w:val="3"/>
          <w:numId w:val="15"/>
        </w:numPr>
        <w:tabs>
          <w:tab w:val="left" w:pos="1342"/>
          <w:tab w:val="left" w:pos="4701"/>
          <w:tab w:val="left" w:pos="8782"/>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承包人项目经理：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。承包人项目总工：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w:t>
      </w:r>
    </w:p>
    <w:p>
      <w:pPr>
        <w:pStyle w:val="241"/>
        <w:numPr>
          <w:ilvl w:val="3"/>
          <w:numId w:val="15"/>
        </w:numPr>
        <w:tabs>
          <w:tab w:val="left" w:pos="1342"/>
          <w:tab w:val="left" w:pos="4341"/>
          <w:tab w:val="left" w:pos="8662"/>
        </w:tabs>
        <w:spacing w:before="129" w:line="360" w:lineRule="auto"/>
        <w:ind w:firstLine="420"/>
        <w:rPr>
          <w:rFonts w:ascii="宋体" w:hAnsi="宋体" w:cs="宋体"/>
          <w:color w:val="auto"/>
          <w:szCs w:val="21"/>
          <w:highlight w:val="none"/>
        </w:rPr>
      </w:pPr>
      <w:r>
        <w:rPr>
          <w:rFonts w:hint="eastAsia" w:ascii="宋体" w:hAnsi="宋体" w:cs="宋体"/>
          <w:color w:val="auto"/>
          <w:szCs w:val="21"/>
          <w:highlight w:val="none"/>
        </w:rPr>
        <w:t>工程质量符合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标准。工程安全目标：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w:t>
      </w:r>
    </w:p>
    <w:p>
      <w:pPr>
        <w:pStyle w:val="241"/>
        <w:numPr>
          <w:ilvl w:val="3"/>
          <w:numId w:val="15"/>
        </w:numPr>
        <w:tabs>
          <w:tab w:val="left" w:pos="1342"/>
        </w:tabs>
        <w:spacing w:before="132" w:line="360" w:lineRule="auto"/>
        <w:ind w:firstLine="420"/>
        <w:rPr>
          <w:rFonts w:ascii="宋体" w:hAnsi="宋体" w:cs="宋体"/>
          <w:color w:val="auto"/>
          <w:szCs w:val="21"/>
          <w:highlight w:val="none"/>
        </w:rPr>
      </w:pPr>
      <w:r>
        <w:rPr>
          <w:rFonts w:hint="eastAsia" w:ascii="宋体" w:hAnsi="宋体" w:cs="宋体"/>
          <w:color w:val="auto"/>
          <w:szCs w:val="21"/>
          <w:highlight w:val="none"/>
        </w:rPr>
        <w:t>承包人承诺按合同约定承担工程的实施、完成及缺陷修复。</w:t>
      </w:r>
    </w:p>
    <w:p>
      <w:pPr>
        <w:pStyle w:val="3"/>
        <w:spacing w:before="6" w:line="360" w:lineRule="auto"/>
        <w:rPr>
          <w:rFonts w:ascii="宋体" w:hAnsi="宋体" w:cs="宋体"/>
          <w:color w:val="auto"/>
          <w:szCs w:val="21"/>
          <w:highlight w:val="none"/>
        </w:rPr>
      </w:pPr>
      <w:r>
        <w:rPr>
          <w:rFonts w:hint="eastAsia" w:ascii="宋体" w:hAnsi="宋体" w:cs="宋体"/>
          <w:color w:val="auto"/>
          <w:szCs w:val="21"/>
          <w:highlight w:val="none"/>
        </w:rPr>
        <w:t>发包人承诺按合同约定的条件、时间和方式向承包人支付合同价款。</w:t>
      </w:r>
    </w:p>
    <w:p>
      <w:pPr>
        <w:pStyle w:val="241"/>
        <w:numPr>
          <w:ilvl w:val="3"/>
          <w:numId w:val="15"/>
        </w:numPr>
        <w:tabs>
          <w:tab w:val="left" w:pos="1342"/>
          <w:tab w:val="left" w:pos="5902"/>
        </w:tabs>
        <w:spacing w:before="74" w:line="360" w:lineRule="auto"/>
        <w:ind w:firstLine="420"/>
        <w:rPr>
          <w:rFonts w:ascii="宋体" w:hAnsi="宋体" w:cs="宋体"/>
          <w:color w:val="auto"/>
          <w:szCs w:val="21"/>
          <w:highlight w:val="none"/>
        </w:rPr>
      </w:pPr>
      <w:r>
        <w:rPr>
          <w:rFonts w:hint="eastAsia" w:ascii="宋体" w:hAnsi="宋体" w:cs="宋体"/>
          <w:color w:val="auto"/>
          <w:szCs w:val="21"/>
          <w:highlight w:val="none"/>
        </w:rPr>
        <w:t>承包人应按照监理人指示开工，工期为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日历天。</w:t>
      </w:r>
    </w:p>
    <w:p>
      <w:pPr>
        <w:pStyle w:val="241"/>
        <w:numPr>
          <w:ilvl w:val="3"/>
          <w:numId w:val="15"/>
        </w:numPr>
        <w:tabs>
          <w:tab w:val="left" w:pos="1344"/>
        </w:tabs>
        <w:spacing w:before="132" w:line="360" w:lineRule="auto"/>
        <w:ind w:right="382" w:firstLine="420"/>
        <w:rPr>
          <w:rFonts w:ascii="宋体" w:hAnsi="宋体" w:cs="宋体"/>
          <w:color w:val="auto"/>
          <w:szCs w:val="21"/>
          <w:highlight w:val="none"/>
        </w:rPr>
      </w:pPr>
      <w:r>
        <w:rPr>
          <w:rFonts w:hint="eastAsia" w:ascii="宋体" w:hAnsi="宋体" w:cs="宋体"/>
          <w:color w:val="auto"/>
          <w:szCs w:val="21"/>
          <w:highlight w:val="none"/>
        </w:rPr>
        <w:t>本协议书在承包人提供履约保证金后，由双方法定代表人或其委托代理人签署并加盖单位章后生效。全部工程完工后经交工验收合格、缺陷责任期满签发缺陷责任终止证书后失效。</w:t>
      </w:r>
    </w:p>
    <w:p>
      <w:pPr>
        <w:pStyle w:val="241"/>
        <w:numPr>
          <w:ilvl w:val="3"/>
          <w:numId w:val="15"/>
        </w:numPr>
        <w:tabs>
          <w:tab w:val="left" w:pos="1462"/>
          <w:tab w:val="left" w:pos="4581"/>
          <w:tab w:val="left" w:pos="8662"/>
        </w:tabs>
        <w:spacing w:line="360" w:lineRule="auto"/>
        <w:ind w:right="341" w:firstLine="420"/>
        <w:rPr>
          <w:rFonts w:ascii="宋体" w:hAnsi="宋体" w:cs="宋体"/>
          <w:color w:val="auto"/>
          <w:szCs w:val="21"/>
          <w:highlight w:val="none"/>
        </w:rPr>
      </w:pPr>
      <w:r>
        <w:rPr>
          <w:rFonts w:hint="eastAsia" w:ascii="宋体" w:hAnsi="宋体" w:cs="宋体"/>
          <w:color w:val="auto"/>
          <w:szCs w:val="21"/>
          <w:highlight w:val="none"/>
        </w:rPr>
        <w:t>本协议书正本二份、副本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份，合同双方各执正本一份，副本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份，</w:t>
      </w:r>
    </w:p>
    <w:p>
      <w:pPr>
        <w:pStyle w:val="241"/>
        <w:numPr>
          <w:ilvl w:val="3"/>
          <w:numId w:val="15"/>
        </w:numPr>
        <w:tabs>
          <w:tab w:val="left" w:pos="1462"/>
          <w:tab w:val="left" w:pos="4581"/>
          <w:tab w:val="left" w:pos="8662"/>
        </w:tabs>
        <w:spacing w:line="360" w:lineRule="auto"/>
        <w:ind w:right="341" w:firstLine="420"/>
        <w:rPr>
          <w:rFonts w:ascii="宋体" w:hAnsi="宋体" w:cs="宋体"/>
          <w:color w:val="auto"/>
          <w:szCs w:val="21"/>
          <w:highlight w:val="none"/>
        </w:rPr>
      </w:pPr>
      <w:r>
        <w:rPr>
          <w:rFonts w:hint="eastAsia" w:ascii="宋体" w:hAnsi="宋体" w:cs="宋体"/>
          <w:color w:val="auto"/>
          <w:szCs w:val="21"/>
          <w:highlight w:val="none"/>
        </w:rPr>
        <w:t xml:space="preserve"> 当正本与副本的内容不一致时，以正本为准。</w:t>
      </w:r>
    </w:p>
    <w:p>
      <w:pPr>
        <w:pStyle w:val="241"/>
        <w:tabs>
          <w:tab w:val="left" w:pos="1452"/>
        </w:tabs>
        <w:spacing w:before="2"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9、合同未尽事宜，双方另行签订补充协议。补充协议是合同的组成部分。</w:t>
      </w:r>
    </w:p>
    <w:p>
      <w:pPr>
        <w:pStyle w:val="3"/>
        <w:spacing w:line="360" w:lineRule="auto"/>
        <w:rPr>
          <w:rFonts w:ascii="宋体" w:hAnsi="宋体" w:cs="宋体"/>
          <w:color w:val="auto"/>
          <w:szCs w:val="21"/>
          <w:highlight w:val="none"/>
        </w:rPr>
      </w:pPr>
    </w:p>
    <w:p>
      <w:pPr>
        <w:pStyle w:val="3"/>
        <w:spacing w:before="7" w:line="360" w:lineRule="auto"/>
        <w:rPr>
          <w:rFonts w:ascii="宋体" w:hAnsi="宋体" w:cs="宋体"/>
          <w:color w:val="auto"/>
          <w:szCs w:val="21"/>
          <w:highlight w:val="none"/>
        </w:rPr>
      </w:pPr>
    </w:p>
    <w:p>
      <w:pPr>
        <w:pStyle w:val="3"/>
        <w:tabs>
          <w:tab w:val="left" w:pos="3151"/>
          <w:tab w:val="left" w:pos="4934"/>
          <w:tab w:val="left" w:pos="5174"/>
          <w:tab w:val="left" w:pos="7781"/>
        </w:tabs>
        <w:spacing w:line="360" w:lineRule="auto"/>
        <w:ind w:left="424" w:right="262"/>
        <w:rPr>
          <w:rFonts w:ascii="宋体" w:hAnsi="宋体" w:cs="宋体"/>
          <w:color w:val="auto"/>
          <w:szCs w:val="21"/>
          <w:highlight w:val="none"/>
        </w:rPr>
      </w:pPr>
    </w:p>
    <w:p>
      <w:pPr>
        <w:pStyle w:val="3"/>
        <w:tabs>
          <w:tab w:val="left" w:pos="3151"/>
          <w:tab w:val="left" w:pos="4934"/>
          <w:tab w:val="left" w:pos="5174"/>
          <w:tab w:val="left" w:pos="7781"/>
        </w:tabs>
        <w:spacing w:line="360" w:lineRule="auto"/>
        <w:ind w:left="424" w:right="262"/>
        <w:rPr>
          <w:rFonts w:ascii="宋体" w:hAnsi="宋体" w:cs="宋体"/>
          <w:color w:val="auto"/>
          <w:szCs w:val="21"/>
          <w:highlight w:val="none"/>
        </w:rPr>
      </w:pPr>
    </w:p>
    <w:p>
      <w:pPr>
        <w:pStyle w:val="3"/>
        <w:tabs>
          <w:tab w:val="left" w:pos="3151"/>
          <w:tab w:val="left" w:pos="4934"/>
          <w:tab w:val="left" w:pos="5174"/>
          <w:tab w:val="left" w:pos="7781"/>
        </w:tabs>
        <w:spacing w:line="360" w:lineRule="auto"/>
        <w:ind w:left="424" w:right="262"/>
        <w:rPr>
          <w:rFonts w:ascii="宋体" w:hAnsi="宋体" w:cs="宋体"/>
          <w:color w:val="auto"/>
          <w:szCs w:val="21"/>
          <w:highlight w:val="none"/>
        </w:rPr>
      </w:pPr>
      <w:r>
        <w:rPr>
          <w:rFonts w:hint="eastAsia" w:ascii="宋体" w:hAnsi="宋体" w:cs="宋体"/>
          <w:color w:val="auto"/>
          <w:szCs w:val="21"/>
          <w:highlight w:val="none"/>
        </w:rPr>
        <w:t>发包人</w:t>
      </w:r>
      <w:r>
        <w:rPr>
          <w:rFonts w:hint="eastAsia" w:ascii="宋体" w:hAnsi="宋体" w:cs="宋体"/>
          <w:color w:val="auto"/>
          <w:spacing w:val="-17"/>
          <w:szCs w:val="21"/>
          <w:highlight w:val="none"/>
        </w:rPr>
        <w:t>：</w:t>
      </w:r>
      <w:r>
        <w:rPr>
          <w:rFonts w:hint="eastAsia" w:ascii="宋体" w:hAnsi="宋体" w:cs="宋体"/>
          <w:color w:val="auto"/>
          <w:spacing w:val="-17"/>
          <w:szCs w:val="21"/>
          <w:highlight w:val="none"/>
          <w:u w:val="single"/>
        </w:rPr>
        <w:t xml:space="preserve"> </w:t>
      </w:r>
      <w:r>
        <w:rPr>
          <w:rFonts w:hint="eastAsia" w:ascii="宋体" w:hAnsi="宋体" w:cs="宋体"/>
          <w:color w:val="auto"/>
          <w:spacing w:val="-17"/>
          <w:szCs w:val="21"/>
          <w:highlight w:val="none"/>
          <w:u w:val="single"/>
        </w:rPr>
        <w:tab/>
      </w:r>
      <w:r>
        <w:rPr>
          <w:rFonts w:hint="eastAsia" w:ascii="宋体" w:hAnsi="宋体" w:cs="宋体"/>
          <w:color w:val="auto"/>
          <w:szCs w:val="21"/>
          <w:highlight w:val="none"/>
        </w:rPr>
        <w:t>（盖单位章）</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承包人</w:t>
      </w:r>
      <w:r>
        <w:rPr>
          <w:rFonts w:hint="eastAsia" w:ascii="宋体" w:hAnsi="宋体" w:cs="宋体"/>
          <w:color w:val="auto"/>
          <w:spacing w:val="-17"/>
          <w:szCs w:val="21"/>
          <w:highlight w:val="none"/>
        </w:rPr>
        <w:t>：</w:t>
      </w:r>
      <w:r>
        <w:rPr>
          <w:rFonts w:hint="eastAsia" w:ascii="宋体" w:hAnsi="宋体" w:cs="宋体"/>
          <w:color w:val="auto"/>
          <w:spacing w:val="-17"/>
          <w:szCs w:val="21"/>
          <w:highlight w:val="none"/>
          <w:u w:val="single"/>
        </w:rPr>
        <w:t xml:space="preserve"> </w:t>
      </w:r>
      <w:r>
        <w:rPr>
          <w:rFonts w:hint="eastAsia" w:ascii="宋体" w:hAnsi="宋体" w:cs="宋体"/>
          <w:color w:val="auto"/>
          <w:spacing w:val="-17"/>
          <w:szCs w:val="21"/>
          <w:highlight w:val="none"/>
          <w:u w:val="single"/>
        </w:rPr>
        <w:tab/>
      </w:r>
      <w:r>
        <w:rPr>
          <w:rFonts w:hint="eastAsia" w:ascii="宋体" w:hAnsi="宋体" w:cs="宋体"/>
          <w:color w:val="auto"/>
          <w:szCs w:val="21"/>
          <w:highlight w:val="none"/>
        </w:rPr>
        <w:t>（盖单位章） 法定代表人或其委托代理人</w:t>
      </w:r>
      <w:r>
        <w:rPr>
          <w:rFonts w:hint="eastAsia" w:ascii="宋体" w:hAnsi="宋体" w:cs="宋体"/>
          <w:color w:val="auto"/>
          <w:spacing w:val="-17"/>
          <w:szCs w:val="21"/>
          <w:highlight w:val="none"/>
        </w:rPr>
        <w:t>：</w:t>
      </w:r>
      <w:r>
        <w:rPr>
          <w:rFonts w:hint="eastAsia" w:ascii="宋体" w:hAnsi="宋体" w:cs="宋体"/>
          <w:color w:val="auto"/>
          <w:spacing w:val="-17"/>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r>
        <w:rPr>
          <w:rFonts w:hint="eastAsia" w:ascii="宋体" w:hAnsi="宋体" w:cs="宋体"/>
          <w:color w:val="auto"/>
          <w:szCs w:val="21"/>
          <w:highlight w:val="none"/>
        </w:rPr>
        <w:tab/>
      </w:r>
      <w:r>
        <w:rPr>
          <w:rFonts w:hint="eastAsia" w:ascii="宋体" w:hAnsi="宋体" w:cs="宋体"/>
          <w:color w:val="auto"/>
          <w:szCs w:val="21"/>
          <w:highlight w:val="none"/>
        </w:rPr>
        <w:t>法定代表人或其委托代理人</w:t>
      </w:r>
      <w:r>
        <w:rPr>
          <w:rFonts w:hint="eastAsia" w:ascii="宋体" w:hAnsi="宋体" w:cs="宋体"/>
          <w:color w:val="auto"/>
          <w:spacing w:val="-16"/>
          <w:szCs w:val="21"/>
          <w:highlight w:val="none"/>
        </w:rPr>
        <w:t>：</w:t>
      </w:r>
      <w:r>
        <w:rPr>
          <w:rFonts w:hint="eastAsia" w:ascii="宋体" w:hAnsi="宋体" w:cs="宋体"/>
          <w:color w:val="auto"/>
          <w:spacing w:val="-1"/>
          <w:szCs w:val="21"/>
          <w:highlight w:val="none"/>
          <w:u w:val="single"/>
        </w:rPr>
        <w:t xml:space="preserve"> </w:t>
      </w:r>
      <w:r>
        <w:rPr>
          <w:rFonts w:hint="eastAsia" w:ascii="宋体" w:hAnsi="宋体" w:cs="宋体"/>
          <w:color w:val="auto"/>
          <w:szCs w:val="21"/>
          <w:highlight w:val="none"/>
        </w:rPr>
        <w:t>（签字）</w:t>
      </w:r>
    </w:p>
    <w:p>
      <w:pPr>
        <w:pStyle w:val="3"/>
        <w:tabs>
          <w:tab w:val="left" w:pos="2344"/>
          <w:tab w:val="left" w:pos="3184"/>
          <w:tab w:val="left" w:pos="4024"/>
          <w:tab w:val="left" w:pos="5945"/>
          <w:tab w:val="left" w:pos="7025"/>
          <w:tab w:val="left" w:pos="7865"/>
          <w:tab w:val="left" w:pos="8705"/>
        </w:tabs>
        <w:spacing w:line="360" w:lineRule="auto"/>
        <w:ind w:left="1264"/>
        <w:rPr>
          <w:rFonts w:ascii="宋体" w:hAnsi="宋体" w:cs="宋体"/>
          <w:color w:val="auto"/>
          <w:szCs w:val="21"/>
          <w:highlight w:val="none"/>
        </w:rPr>
        <w:sectPr>
          <w:footerReference r:id="rId21" w:type="default"/>
          <w:pgSz w:w="11900" w:h="16843"/>
          <w:pgMar w:top="1417" w:right="1417" w:bottom="1417" w:left="1531" w:header="850" w:footer="992" w:gutter="0"/>
          <w:pgNumType w:fmt="decimal"/>
          <w:cols w:space="720" w:num="1"/>
          <w:titlePg/>
        </w:sect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pPr>
        <w:pStyle w:val="3"/>
        <w:spacing w:before="66" w:line="360" w:lineRule="auto"/>
        <w:rPr>
          <w:rFonts w:ascii="宋体" w:hAnsi="宋体" w:cs="宋体"/>
          <w:b/>
          <w:bCs/>
          <w:color w:val="auto"/>
          <w:szCs w:val="21"/>
          <w:highlight w:val="none"/>
        </w:rPr>
      </w:pPr>
      <w:r>
        <w:rPr>
          <w:rFonts w:hint="eastAsia" w:ascii="宋体" w:hAnsi="宋体" w:cs="宋体"/>
          <w:b/>
          <w:bCs/>
          <w:color w:val="auto"/>
          <w:szCs w:val="21"/>
          <w:highlight w:val="none"/>
        </w:rPr>
        <w:t>附件二 廉政合同</w:t>
      </w:r>
    </w:p>
    <w:p>
      <w:pPr>
        <w:pStyle w:val="3"/>
        <w:spacing w:line="360" w:lineRule="auto"/>
        <w:jc w:val="center"/>
        <w:rPr>
          <w:rFonts w:ascii="宋体" w:hAnsi="宋体" w:cs="宋体"/>
          <w:b/>
          <w:bCs/>
          <w:color w:val="auto"/>
          <w:sz w:val="22"/>
          <w:highlight w:val="none"/>
        </w:rPr>
      </w:pPr>
      <w:r>
        <w:rPr>
          <w:rFonts w:hint="eastAsia" w:ascii="宋体" w:hAnsi="宋体" w:cs="宋体"/>
          <w:b/>
          <w:bCs/>
          <w:color w:val="auto"/>
          <w:sz w:val="22"/>
          <w:highlight w:val="none"/>
        </w:rPr>
        <w:t>廉 政 合 同</w:t>
      </w:r>
    </w:p>
    <w:p>
      <w:pPr>
        <w:pStyle w:val="3"/>
        <w:tabs>
          <w:tab w:val="left" w:pos="2485"/>
          <w:tab w:val="left" w:pos="2824"/>
          <w:tab w:val="left" w:pos="7176"/>
          <w:tab w:val="left" w:pos="8139"/>
        </w:tabs>
        <w:adjustRightInd w:val="0"/>
        <w:spacing w:after="0" w:line="360" w:lineRule="auto"/>
        <w:ind w:right="266" w:firstLine="420" w:firstLineChars="200"/>
        <w:rPr>
          <w:rFonts w:ascii="宋体" w:hAnsi="宋体" w:cs="宋体"/>
          <w:snapToGrid w:val="0"/>
          <w:color w:val="auto"/>
          <w:szCs w:val="21"/>
          <w:highlight w:val="none"/>
        </w:rPr>
      </w:pPr>
      <w:r>
        <w:rPr>
          <w:rFonts w:hint="eastAsia" w:ascii="宋体" w:hAnsi="宋体" w:cs="宋体"/>
          <w:snapToGrid w:val="0"/>
          <w:color w:val="auto"/>
          <w:szCs w:val="21"/>
          <w:highlight w:val="none"/>
        </w:rPr>
        <w:t>根据《关于在交通基础设施建设中加强廉政建设的若干意见》以及有关工程建设、廉政建设的规定，为做好工程建设中的党风廉政建设，保证工程建设高效优质， 保证建设资金的安全和有效使用以及投资效益，</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（项目名称）的项目法人</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（项目法人名称，以下简称“发包人”）与该项目</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标段的施工单位</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（施工单位名称，以下简称“承包人”），特订立如下合同。</w:t>
      </w:r>
    </w:p>
    <w:p>
      <w:pPr>
        <w:pStyle w:val="241"/>
        <w:numPr>
          <w:ilvl w:val="0"/>
          <w:numId w:val="16"/>
        </w:numPr>
        <w:tabs>
          <w:tab w:val="left" w:pos="1342"/>
        </w:tabs>
        <w:adjustRightInd w:val="0"/>
        <w:spacing w:line="360" w:lineRule="auto"/>
        <w:ind w:left="425" w:firstLine="420"/>
        <w:rPr>
          <w:rFonts w:ascii="宋体" w:hAnsi="宋体" w:cs="宋体"/>
          <w:snapToGrid w:val="0"/>
          <w:color w:val="auto"/>
          <w:szCs w:val="21"/>
          <w:highlight w:val="none"/>
        </w:rPr>
      </w:pPr>
      <w:r>
        <w:rPr>
          <w:rFonts w:hint="eastAsia" w:ascii="宋体" w:hAnsi="宋体" w:cs="宋体"/>
          <w:snapToGrid w:val="0"/>
          <w:color w:val="auto"/>
          <w:szCs w:val="21"/>
          <w:highlight w:val="none"/>
        </w:rPr>
        <w:t>发包人和承包人双方的权利和义务</w:t>
      </w:r>
    </w:p>
    <w:p>
      <w:pPr>
        <w:pStyle w:val="3"/>
        <w:adjustRightInd w:val="0"/>
        <w:spacing w:before="94" w:after="0" w:line="360" w:lineRule="auto"/>
        <w:ind w:left="1041"/>
        <w:rPr>
          <w:rFonts w:ascii="宋体" w:hAnsi="宋体" w:cs="宋体"/>
          <w:snapToGrid w:val="0"/>
          <w:color w:val="auto"/>
          <w:szCs w:val="21"/>
          <w:highlight w:val="none"/>
        </w:rPr>
      </w:pPr>
      <w:r>
        <w:rPr>
          <w:rFonts w:hint="eastAsia" w:ascii="宋体" w:hAnsi="宋体" w:cs="宋体"/>
          <w:snapToGrid w:val="0"/>
          <w:color w:val="auto"/>
          <w:szCs w:val="21"/>
          <w:highlight w:val="none"/>
        </w:rPr>
        <w:t>（1）严格遵守党的政策规定和国家有关法律法规及交通运输部的有关规定。</w:t>
      </w:r>
    </w:p>
    <w:p>
      <w:pPr>
        <w:pStyle w:val="3"/>
        <w:tabs>
          <w:tab w:val="left" w:pos="3688"/>
          <w:tab w:val="left" w:pos="5736"/>
        </w:tabs>
        <w:adjustRightInd w:val="0"/>
        <w:spacing w:before="93" w:after="0" w:line="360" w:lineRule="auto"/>
        <w:ind w:left="424" w:right="383" w:firstLine="616"/>
        <w:rPr>
          <w:rFonts w:ascii="宋体" w:hAnsi="宋体" w:cs="宋体"/>
          <w:snapToGrid w:val="0"/>
          <w:color w:val="auto"/>
          <w:szCs w:val="21"/>
          <w:highlight w:val="none"/>
        </w:rPr>
      </w:pPr>
      <w:r>
        <w:rPr>
          <w:rFonts w:hint="eastAsia" w:ascii="宋体" w:hAnsi="宋体" w:cs="宋体"/>
          <w:snapToGrid w:val="0"/>
          <w:color w:val="auto"/>
          <w:szCs w:val="21"/>
          <w:highlight w:val="none"/>
        </w:rPr>
        <w:t>（2）严格执行</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（项目名称）</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标段施工合同文件，自觉按合同办事。</w:t>
      </w:r>
    </w:p>
    <w:p>
      <w:pPr>
        <w:pStyle w:val="3"/>
        <w:adjustRightInd w:val="0"/>
        <w:spacing w:after="0" w:line="360" w:lineRule="auto"/>
        <w:ind w:left="424" w:right="385" w:firstLine="616"/>
        <w:rPr>
          <w:rFonts w:ascii="宋体" w:hAnsi="宋体" w:cs="宋体"/>
          <w:snapToGrid w:val="0"/>
          <w:color w:val="auto"/>
          <w:szCs w:val="21"/>
          <w:highlight w:val="none"/>
        </w:rPr>
      </w:pPr>
      <w:r>
        <w:rPr>
          <w:rFonts w:hint="eastAsia" w:ascii="宋体" w:hAnsi="宋体" w:cs="宋体"/>
          <w:snapToGrid w:val="0"/>
          <w:color w:val="auto"/>
          <w:szCs w:val="21"/>
          <w:highlight w:val="none"/>
        </w:rPr>
        <w:t>（3）双方的业务活动坚持公开、公正、诚信、透明的原则（法律认定的商业秘密和合同文件另有规定除外），不得损害国家和集体利益，不得违反工程建设管理规章制度。</w:t>
      </w:r>
    </w:p>
    <w:p>
      <w:pPr>
        <w:pStyle w:val="3"/>
        <w:adjustRightInd w:val="0"/>
        <w:spacing w:before="1" w:after="0" w:line="360" w:lineRule="auto"/>
        <w:ind w:left="424" w:right="390" w:firstLine="616"/>
        <w:rPr>
          <w:rFonts w:ascii="宋体" w:hAnsi="宋体" w:cs="宋体"/>
          <w:snapToGrid w:val="0"/>
          <w:color w:val="auto"/>
          <w:szCs w:val="21"/>
          <w:highlight w:val="none"/>
        </w:rPr>
      </w:pPr>
      <w:r>
        <w:rPr>
          <w:rFonts w:hint="eastAsia" w:ascii="宋体" w:hAnsi="宋体" w:cs="宋体"/>
          <w:snapToGrid w:val="0"/>
          <w:color w:val="auto"/>
          <w:szCs w:val="21"/>
          <w:highlight w:val="none"/>
        </w:rPr>
        <w:t>（4）建立健全廉政制度，开展廉政教育，设立廉政告示牌，公布举报电话， 监督并认真查处违法违纪行为。</w:t>
      </w:r>
    </w:p>
    <w:p>
      <w:pPr>
        <w:pStyle w:val="3"/>
        <w:adjustRightInd w:val="0"/>
        <w:spacing w:after="0" w:line="360" w:lineRule="auto"/>
        <w:ind w:left="424" w:right="390" w:firstLine="616"/>
        <w:rPr>
          <w:rFonts w:ascii="宋体" w:hAnsi="宋体" w:cs="宋体"/>
          <w:snapToGrid w:val="0"/>
          <w:color w:val="auto"/>
          <w:szCs w:val="21"/>
          <w:highlight w:val="none"/>
        </w:rPr>
      </w:pPr>
      <w:r>
        <w:rPr>
          <w:rFonts w:hint="eastAsia" w:ascii="宋体" w:hAnsi="宋体" w:cs="宋体"/>
          <w:snapToGrid w:val="0"/>
          <w:color w:val="auto"/>
          <w:szCs w:val="21"/>
          <w:highlight w:val="none"/>
        </w:rPr>
        <w:t>（5）发现对方在业务活动中有违反廉政规定的行为，有及时提醒对方纠正的权利和义务。</w:t>
      </w:r>
    </w:p>
    <w:p>
      <w:pPr>
        <w:pStyle w:val="3"/>
        <w:adjustRightInd w:val="0"/>
        <w:spacing w:before="2" w:after="0" w:line="360" w:lineRule="auto"/>
        <w:ind w:left="424" w:right="390" w:firstLine="616"/>
        <w:rPr>
          <w:rFonts w:ascii="宋体" w:hAnsi="宋体" w:cs="宋体"/>
          <w:snapToGrid w:val="0"/>
          <w:color w:val="auto"/>
          <w:szCs w:val="21"/>
          <w:highlight w:val="none"/>
        </w:rPr>
      </w:pPr>
      <w:r>
        <w:rPr>
          <w:rFonts w:hint="eastAsia" w:ascii="宋体" w:hAnsi="宋体" w:cs="宋体"/>
          <w:snapToGrid w:val="0"/>
          <w:color w:val="auto"/>
          <w:szCs w:val="21"/>
          <w:highlight w:val="none"/>
        </w:rPr>
        <w:t>（6）发现对方严重违反本合同义务条款的行为，有向其上级有关部门举报、建议给予处理并要求告知处理结果的权利。</w:t>
      </w:r>
    </w:p>
    <w:p>
      <w:pPr>
        <w:pStyle w:val="241"/>
        <w:numPr>
          <w:ilvl w:val="0"/>
          <w:numId w:val="16"/>
        </w:numPr>
        <w:tabs>
          <w:tab w:val="left" w:pos="1342"/>
        </w:tabs>
        <w:adjustRightInd w:val="0"/>
        <w:spacing w:line="360" w:lineRule="auto"/>
        <w:ind w:left="425" w:firstLine="420"/>
        <w:rPr>
          <w:rFonts w:ascii="宋体" w:hAnsi="宋体" w:cs="宋体"/>
          <w:snapToGrid w:val="0"/>
          <w:color w:val="auto"/>
          <w:szCs w:val="21"/>
          <w:highlight w:val="none"/>
        </w:rPr>
      </w:pPr>
      <w:r>
        <w:rPr>
          <w:rFonts w:hint="eastAsia" w:ascii="宋体" w:hAnsi="宋体" w:cs="宋体"/>
          <w:snapToGrid w:val="0"/>
          <w:color w:val="auto"/>
          <w:szCs w:val="21"/>
          <w:highlight w:val="none"/>
        </w:rPr>
        <w:t>发包人的义务</w:t>
      </w:r>
    </w:p>
    <w:p>
      <w:pPr>
        <w:pStyle w:val="3"/>
        <w:adjustRightInd w:val="0"/>
        <w:spacing w:before="93" w:after="0" w:line="360" w:lineRule="auto"/>
        <w:ind w:left="425" w:right="387" w:firstLine="618"/>
        <w:rPr>
          <w:rFonts w:ascii="宋体" w:hAnsi="宋体" w:cs="宋体"/>
          <w:snapToGrid w:val="0"/>
          <w:color w:val="auto"/>
          <w:szCs w:val="21"/>
          <w:highlight w:val="none"/>
        </w:rPr>
      </w:pPr>
      <w:r>
        <w:rPr>
          <w:rFonts w:hint="eastAsia" w:ascii="宋体" w:hAnsi="宋体" w:cs="宋体"/>
          <w:snapToGrid w:val="0"/>
          <w:color w:val="auto"/>
          <w:szCs w:val="21"/>
          <w:highlight w:val="none"/>
        </w:rPr>
        <w:t>（1）发包人及其工作人员不得索要或接受承包人的礼金、有价证券和贵重物品，不得让承包人报销任何应由发包人或发包人工作人员个人支付的费用等。</w:t>
      </w:r>
    </w:p>
    <w:p>
      <w:pPr>
        <w:pStyle w:val="3"/>
        <w:adjustRightInd w:val="0"/>
        <w:spacing w:after="0" w:line="360" w:lineRule="auto"/>
        <w:ind w:left="425" w:right="388" w:firstLine="618"/>
        <w:rPr>
          <w:rFonts w:ascii="宋体" w:hAnsi="宋体" w:cs="宋体"/>
          <w:snapToGrid w:val="0"/>
          <w:color w:val="auto"/>
          <w:szCs w:val="21"/>
          <w:highlight w:val="none"/>
        </w:rPr>
      </w:pPr>
      <w:r>
        <w:rPr>
          <w:rFonts w:hint="eastAsia" w:ascii="宋体" w:hAnsi="宋体" w:cs="宋体"/>
          <w:snapToGrid w:val="0"/>
          <w:color w:val="auto"/>
          <w:szCs w:val="21"/>
          <w:highlight w:val="none"/>
        </w:rPr>
        <w:t>（2）发包人工作人员不得参加承包人安排的超标准宴请和娱乐活动；不得接受承包人提供的通信工具、交通工具和高档办公用品等。</w:t>
      </w:r>
    </w:p>
    <w:p>
      <w:pPr>
        <w:pStyle w:val="3"/>
        <w:adjustRightInd w:val="0"/>
        <w:spacing w:after="0" w:line="360" w:lineRule="auto"/>
        <w:ind w:left="425" w:right="388" w:firstLine="618"/>
        <w:rPr>
          <w:rFonts w:ascii="宋体" w:hAnsi="宋体" w:cs="宋体"/>
          <w:snapToGrid w:val="0"/>
          <w:color w:val="auto"/>
          <w:szCs w:val="21"/>
          <w:highlight w:val="none"/>
        </w:rPr>
      </w:pPr>
      <w:r>
        <w:rPr>
          <w:rFonts w:hint="eastAsia" w:ascii="宋体" w:hAnsi="宋体" w:cs="宋体"/>
          <w:snapToGrid w:val="0"/>
          <w:color w:val="auto"/>
          <w:szCs w:val="21"/>
          <w:highlight w:val="none"/>
        </w:rPr>
        <w:t>（3）发包人及其工作人员不得要求或者接受承包人为其住房装修、婚丧嫁娶活动、配偶子女的工作安排以及出国出境、旅游等提供方便等。</w:t>
      </w:r>
    </w:p>
    <w:p>
      <w:pPr>
        <w:pStyle w:val="3"/>
        <w:adjustRightInd w:val="0"/>
        <w:spacing w:before="2" w:after="0" w:line="360" w:lineRule="auto"/>
        <w:ind w:left="425" w:right="388" w:firstLine="618"/>
        <w:rPr>
          <w:rFonts w:ascii="宋体" w:hAnsi="宋体" w:cs="宋体"/>
          <w:snapToGrid w:val="0"/>
          <w:color w:val="auto"/>
          <w:szCs w:val="21"/>
          <w:highlight w:val="none"/>
        </w:rPr>
      </w:pPr>
      <w:r>
        <w:rPr>
          <w:rFonts w:hint="eastAsia" w:ascii="宋体" w:hAnsi="宋体" w:cs="宋体"/>
          <w:snapToGrid w:val="0"/>
          <w:color w:val="auto"/>
          <w:szCs w:val="21"/>
          <w:highlight w:val="none"/>
        </w:rPr>
        <w:t>（4）发包人工作人员及其配偶、子女不得从事与发包人工程有关的材料设备供应、工程分包、劳务等经济活动等。</w:t>
      </w:r>
    </w:p>
    <w:p>
      <w:pPr>
        <w:pStyle w:val="3"/>
        <w:adjustRightInd w:val="0"/>
        <w:spacing w:after="0" w:line="360" w:lineRule="auto"/>
        <w:ind w:left="425" w:right="263" w:firstLine="618"/>
        <w:rPr>
          <w:rFonts w:ascii="宋体" w:hAnsi="宋体" w:cs="宋体"/>
          <w:snapToGrid w:val="0"/>
          <w:color w:val="auto"/>
          <w:szCs w:val="21"/>
          <w:highlight w:val="none"/>
        </w:rPr>
      </w:pPr>
      <w:r>
        <w:rPr>
          <w:rFonts w:hint="eastAsia" w:ascii="宋体" w:hAnsi="宋体" w:cs="宋体"/>
          <w:snapToGrid w:val="0"/>
          <w:color w:val="auto"/>
          <w:szCs w:val="21"/>
          <w:highlight w:val="none"/>
        </w:rPr>
        <w:t>（5）发包人及其工作人员不得以任何理由向承包人推荐分包单位或推销材料，不得要求承包人购买合同规定外的材料和设备。</w:t>
      </w:r>
    </w:p>
    <w:p>
      <w:pPr>
        <w:pStyle w:val="3"/>
        <w:adjustRightInd w:val="0"/>
        <w:spacing w:after="0" w:line="360" w:lineRule="auto"/>
        <w:ind w:left="425" w:right="391" w:firstLine="618"/>
        <w:rPr>
          <w:rFonts w:ascii="宋体" w:hAnsi="宋体" w:cs="宋体"/>
          <w:snapToGrid w:val="0"/>
          <w:color w:val="auto"/>
          <w:szCs w:val="21"/>
          <w:highlight w:val="none"/>
        </w:rPr>
      </w:pPr>
      <w:r>
        <w:rPr>
          <w:rFonts w:hint="eastAsia" w:ascii="宋体" w:hAnsi="宋体" w:cs="宋体"/>
          <w:snapToGrid w:val="0"/>
          <w:color w:val="auto"/>
          <w:szCs w:val="21"/>
          <w:highlight w:val="none"/>
        </w:rPr>
        <w:t>（6）发包人工作人员要秉公办事，不准营私舞弊，不准利用职权从事各种个人有偿中介活动和安排个人施工队伍。</w:t>
      </w:r>
    </w:p>
    <w:p>
      <w:pPr>
        <w:pStyle w:val="241"/>
        <w:numPr>
          <w:ilvl w:val="0"/>
          <w:numId w:val="16"/>
        </w:numPr>
        <w:tabs>
          <w:tab w:val="left" w:pos="1342"/>
        </w:tabs>
        <w:adjustRightInd w:val="0"/>
        <w:spacing w:before="74" w:line="360" w:lineRule="auto"/>
        <w:ind w:firstLine="420"/>
        <w:rPr>
          <w:rFonts w:ascii="宋体" w:hAnsi="宋体" w:cs="宋体"/>
          <w:snapToGrid w:val="0"/>
          <w:color w:val="auto"/>
          <w:szCs w:val="21"/>
          <w:highlight w:val="none"/>
        </w:rPr>
      </w:pPr>
      <w:r>
        <w:rPr>
          <w:rFonts w:hint="eastAsia" w:ascii="宋体" w:hAnsi="宋体" w:cs="宋体"/>
          <w:snapToGrid w:val="0"/>
          <w:color w:val="auto"/>
          <w:szCs w:val="21"/>
          <w:highlight w:val="none"/>
        </w:rPr>
        <w:t>承包人的义务</w:t>
      </w:r>
    </w:p>
    <w:p>
      <w:pPr>
        <w:pStyle w:val="3"/>
        <w:adjustRightInd w:val="0"/>
        <w:spacing w:before="91" w:after="0" w:line="360" w:lineRule="auto"/>
        <w:ind w:left="424" w:right="388" w:firstLine="616"/>
        <w:rPr>
          <w:rFonts w:ascii="宋体" w:hAnsi="宋体" w:cs="宋体"/>
          <w:snapToGrid w:val="0"/>
          <w:color w:val="auto"/>
          <w:szCs w:val="21"/>
          <w:highlight w:val="none"/>
        </w:rPr>
      </w:pPr>
      <w:r>
        <w:rPr>
          <w:rFonts w:hint="eastAsia" w:ascii="宋体" w:hAnsi="宋体" w:cs="宋体"/>
          <w:snapToGrid w:val="0"/>
          <w:color w:val="auto"/>
          <w:szCs w:val="21"/>
          <w:highlight w:val="none"/>
        </w:rPr>
        <w:t>（1）承包人不得以任何理由向发包人及其工作人员行贿或馈赠礼金、有价证券、贵重礼品。</w:t>
      </w:r>
    </w:p>
    <w:p>
      <w:pPr>
        <w:pStyle w:val="3"/>
        <w:adjustRightInd w:val="0"/>
        <w:spacing w:before="2" w:after="0" w:line="360" w:lineRule="auto"/>
        <w:ind w:left="424" w:right="387" w:firstLine="616"/>
        <w:rPr>
          <w:rFonts w:ascii="宋体" w:hAnsi="宋体" w:cs="宋体"/>
          <w:snapToGrid w:val="0"/>
          <w:color w:val="auto"/>
          <w:szCs w:val="21"/>
          <w:highlight w:val="none"/>
        </w:rPr>
      </w:pPr>
      <w:r>
        <w:rPr>
          <w:rFonts w:hint="eastAsia" w:ascii="宋体" w:hAnsi="宋体" w:cs="宋体"/>
          <w:snapToGrid w:val="0"/>
          <w:color w:val="auto"/>
          <w:szCs w:val="21"/>
          <w:highlight w:val="none"/>
        </w:rPr>
        <w:t>（2）承包人不得以任何名义为发包人及其工作人员报销应由发包人单位或个人支付的任何费用。</w:t>
      </w:r>
    </w:p>
    <w:p>
      <w:pPr>
        <w:pStyle w:val="3"/>
        <w:adjustRightInd w:val="0"/>
        <w:spacing w:after="0" w:line="360" w:lineRule="auto"/>
        <w:ind w:left="1041"/>
        <w:rPr>
          <w:rFonts w:ascii="宋体" w:hAnsi="宋体" w:cs="宋体"/>
          <w:snapToGrid w:val="0"/>
          <w:color w:val="auto"/>
          <w:szCs w:val="21"/>
          <w:highlight w:val="none"/>
        </w:rPr>
      </w:pPr>
      <w:r>
        <w:rPr>
          <w:rFonts w:hint="eastAsia" w:ascii="宋体" w:hAnsi="宋体" w:cs="宋体"/>
          <w:snapToGrid w:val="0"/>
          <w:color w:val="auto"/>
          <w:szCs w:val="21"/>
          <w:highlight w:val="none"/>
        </w:rPr>
        <w:t>（3）承包人不得以任何理由安排发包人工作人员参加超标准宴请及娱乐活动。</w:t>
      </w:r>
    </w:p>
    <w:p>
      <w:pPr>
        <w:pStyle w:val="3"/>
        <w:adjustRightInd w:val="0"/>
        <w:spacing w:before="94" w:after="0" w:line="360" w:lineRule="auto"/>
        <w:ind w:left="424" w:right="388" w:firstLine="616"/>
        <w:rPr>
          <w:rFonts w:ascii="宋体" w:hAnsi="宋体" w:cs="宋体"/>
          <w:snapToGrid w:val="0"/>
          <w:color w:val="auto"/>
          <w:szCs w:val="21"/>
          <w:highlight w:val="none"/>
        </w:rPr>
      </w:pPr>
      <w:r>
        <w:rPr>
          <w:rFonts w:hint="eastAsia" w:ascii="宋体" w:hAnsi="宋体" w:cs="宋体"/>
          <w:snapToGrid w:val="0"/>
          <w:color w:val="auto"/>
          <w:szCs w:val="21"/>
          <w:highlight w:val="none"/>
        </w:rPr>
        <w:t>（4）承包人不得为发包人单位和个人购置或提供通信工具、交通工具和高档办公用品等。</w:t>
      </w:r>
    </w:p>
    <w:p>
      <w:pPr>
        <w:pStyle w:val="241"/>
        <w:numPr>
          <w:ilvl w:val="0"/>
          <w:numId w:val="16"/>
        </w:numPr>
        <w:tabs>
          <w:tab w:val="left" w:pos="1342"/>
        </w:tabs>
        <w:adjustRightInd w:val="0"/>
        <w:spacing w:line="360" w:lineRule="auto"/>
        <w:ind w:left="425" w:firstLine="420"/>
        <w:rPr>
          <w:rFonts w:ascii="宋体" w:hAnsi="宋体" w:cs="宋体"/>
          <w:snapToGrid w:val="0"/>
          <w:color w:val="auto"/>
          <w:szCs w:val="21"/>
          <w:highlight w:val="none"/>
        </w:rPr>
      </w:pPr>
      <w:r>
        <w:rPr>
          <w:rFonts w:hint="eastAsia" w:ascii="宋体" w:hAnsi="宋体" w:cs="宋体"/>
          <w:snapToGrid w:val="0"/>
          <w:color w:val="auto"/>
          <w:szCs w:val="21"/>
          <w:highlight w:val="none"/>
        </w:rPr>
        <w:t>违约责任</w:t>
      </w:r>
    </w:p>
    <w:p>
      <w:pPr>
        <w:pStyle w:val="3"/>
        <w:adjustRightInd w:val="0"/>
        <w:spacing w:after="0" w:line="360" w:lineRule="auto"/>
        <w:ind w:left="425" w:right="386" w:firstLine="618"/>
        <w:rPr>
          <w:rFonts w:ascii="宋体" w:hAnsi="宋体" w:cs="宋体"/>
          <w:snapToGrid w:val="0"/>
          <w:color w:val="auto"/>
          <w:szCs w:val="21"/>
          <w:highlight w:val="none"/>
        </w:rPr>
      </w:pPr>
      <w:r>
        <w:rPr>
          <w:rFonts w:hint="eastAsia" w:ascii="宋体" w:hAnsi="宋体" w:cs="宋体"/>
          <w:snapToGrid w:val="0"/>
          <w:color w:val="auto"/>
          <w:szCs w:val="21"/>
          <w:highlight w:val="none"/>
        </w:rPr>
        <w:t>（1）发包人及其工作人员违反本合同第 1、2 条，按管理权限，依据有关规定给予党纪、政纪或组织处理；涉嫌犯罪的，移交司法机关追究刑事责任；给承包人单位造成经济损失的，应予以赔偿。</w:t>
      </w:r>
    </w:p>
    <w:p>
      <w:pPr>
        <w:pStyle w:val="3"/>
        <w:adjustRightInd w:val="0"/>
        <w:spacing w:before="1" w:after="0" w:line="360" w:lineRule="auto"/>
        <w:ind w:left="425" w:right="386" w:firstLine="618"/>
        <w:rPr>
          <w:rFonts w:ascii="宋体" w:hAnsi="宋体" w:cs="宋体"/>
          <w:snapToGrid w:val="0"/>
          <w:color w:val="auto"/>
          <w:szCs w:val="21"/>
          <w:highlight w:val="none"/>
        </w:rPr>
      </w:pPr>
      <w:r>
        <w:rPr>
          <w:rFonts w:hint="eastAsia" w:ascii="宋体" w:hAnsi="宋体" w:cs="宋体"/>
          <w:snapToGrid w:val="0"/>
          <w:color w:val="auto"/>
          <w:szCs w:val="21"/>
          <w:highlight w:val="none"/>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pPr>
        <w:pStyle w:val="241"/>
        <w:numPr>
          <w:ilvl w:val="0"/>
          <w:numId w:val="16"/>
        </w:numPr>
        <w:tabs>
          <w:tab w:val="left" w:pos="1344"/>
        </w:tabs>
        <w:adjustRightInd w:val="0"/>
        <w:spacing w:line="360" w:lineRule="auto"/>
        <w:ind w:right="383" w:firstLine="420"/>
        <w:rPr>
          <w:rFonts w:ascii="宋体" w:hAnsi="宋体" w:cs="宋体"/>
          <w:snapToGrid w:val="0"/>
          <w:color w:val="auto"/>
          <w:szCs w:val="21"/>
          <w:highlight w:val="none"/>
        </w:rPr>
      </w:pPr>
      <w:r>
        <w:rPr>
          <w:rFonts w:hint="eastAsia" w:ascii="宋体" w:hAnsi="宋体" w:cs="宋体"/>
          <w:snapToGrid w:val="0"/>
          <w:color w:val="auto"/>
          <w:szCs w:val="21"/>
          <w:highlight w:val="none"/>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pStyle w:val="241"/>
        <w:numPr>
          <w:ilvl w:val="0"/>
          <w:numId w:val="16"/>
        </w:numPr>
        <w:tabs>
          <w:tab w:val="left" w:pos="1342"/>
        </w:tabs>
        <w:adjustRightInd w:val="0"/>
        <w:spacing w:before="1" w:line="360" w:lineRule="auto"/>
        <w:ind w:firstLine="420"/>
        <w:rPr>
          <w:rFonts w:ascii="宋体" w:hAnsi="宋体" w:cs="宋体"/>
          <w:snapToGrid w:val="0"/>
          <w:color w:val="auto"/>
          <w:szCs w:val="21"/>
          <w:highlight w:val="none"/>
        </w:rPr>
      </w:pPr>
      <w:r>
        <w:rPr>
          <w:rFonts w:hint="eastAsia" w:ascii="宋体" w:hAnsi="宋体" w:cs="宋体"/>
          <w:snapToGrid w:val="0"/>
          <w:color w:val="auto"/>
          <w:szCs w:val="21"/>
          <w:highlight w:val="none"/>
        </w:rPr>
        <w:t>本合同有效期为发包人和承包人签署之日起至该工程项目竣工验收后止。</w:t>
      </w:r>
    </w:p>
    <w:p>
      <w:pPr>
        <w:pStyle w:val="241"/>
        <w:numPr>
          <w:ilvl w:val="0"/>
          <w:numId w:val="16"/>
        </w:numPr>
        <w:tabs>
          <w:tab w:val="left" w:pos="1344"/>
          <w:tab w:val="left" w:pos="3652"/>
        </w:tabs>
        <w:adjustRightInd w:val="0"/>
        <w:spacing w:before="93" w:line="360" w:lineRule="auto"/>
        <w:ind w:right="384" w:firstLine="420"/>
        <w:rPr>
          <w:rFonts w:ascii="宋体" w:hAnsi="宋体" w:cs="宋体"/>
          <w:snapToGrid w:val="0"/>
          <w:color w:val="auto"/>
          <w:szCs w:val="21"/>
          <w:highlight w:val="none"/>
        </w:rPr>
      </w:pPr>
      <w:r>
        <w:rPr>
          <w:rFonts w:hint="eastAsia" w:ascii="宋体" w:hAnsi="宋体" w:cs="宋体"/>
          <w:snapToGrid w:val="0"/>
          <w:color w:val="auto"/>
          <w:szCs w:val="21"/>
          <w:highlight w:val="none"/>
        </w:rPr>
        <w:t>本合同作为</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（项目名称）</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 xml:space="preserve"> 标段施工合同的附件，与工程施工合同具有同等的法律效力，经合同双方签署后立即生效。</w:t>
      </w:r>
    </w:p>
    <w:p>
      <w:pPr>
        <w:pStyle w:val="241"/>
        <w:numPr>
          <w:ilvl w:val="0"/>
          <w:numId w:val="16"/>
        </w:numPr>
        <w:tabs>
          <w:tab w:val="left" w:pos="1344"/>
        </w:tabs>
        <w:adjustRightInd w:val="0"/>
        <w:spacing w:line="360" w:lineRule="auto"/>
        <w:ind w:right="382" w:firstLine="420"/>
        <w:rPr>
          <w:rFonts w:ascii="宋体" w:hAnsi="宋体" w:cs="宋体"/>
          <w:snapToGrid w:val="0"/>
          <w:color w:val="auto"/>
          <w:szCs w:val="21"/>
          <w:highlight w:val="none"/>
        </w:rPr>
      </w:pPr>
      <w:r>
        <w:rPr>
          <w:rFonts w:hint="eastAsia" w:ascii="宋体" w:hAnsi="宋体" w:cs="宋体"/>
          <w:snapToGrid w:val="0"/>
          <w:color w:val="auto"/>
          <w:szCs w:val="21"/>
          <w:highlight w:val="none"/>
        </w:rPr>
        <w:t>本合同一式四份，由发包人和承包人各执一份，送交发包人和承包人的监督单位各一份。</w:t>
      </w:r>
    </w:p>
    <w:p>
      <w:pPr>
        <w:pStyle w:val="3"/>
        <w:adjustRightInd w:val="0"/>
        <w:spacing w:before="8" w:line="360" w:lineRule="auto"/>
        <w:rPr>
          <w:rFonts w:ascii="宋体" w:hAnsi="宋体" w:cs="宋体"/>
          <w:snapToGrid w:val="0"/>
          <w:color w:val="auto"/>
          <w:szCs w:val="21"/>
          <w:highlight w:val="none"/>
        </w:rPr>
      </w:pPr>
    </w:p>
    <w:p>
      <w:pPr>
        <w:pStyle w:val="3"/>
        <w:tabs>
          <w:tab w:val="left" w:pos="3151"/>
          <w:tab w:val="left" w:pos="5174"/>
          <w:tab w:val="left" w:pos="7781"/>
          <w:tab w:val="left" w:pos="8261"/>
        </w:tabs>
        <w:adjustRightInd w:val="0"/>
        <w:spacing w:before="1" w:line="360" w:lineRule="auto"/>
        <w:ind w:left="424" w:right="262"/>
        <w:rPr>
          <w:rFonts w:ascii="宋体" w:hAnsi="宋体" w:cs="宋体"/>
          <w:snapToGrid w:val="0"/>
          <w:color w:val="auto"/>
          <w:szCs w:val="21"/>
          <w:highlight w:val="none"/>
        </w:rPr>
      </w:pPr>
      <w:r>
        <w:rPr>
          <w:rFonts w:hint="eastAsia" w:ascii="宋体" w:hAnsi="宋体" w:cs="宋体"/>
          <w:snapToGrid w:val="0"/>
          <w:color w:val="auto"/>
          <w:szCs w:val="21"/>
          <w:highlight w:val="none"/>
        </w:rPr>
        <w:t>发包人：</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（盖单位章）</w:t>
      </w:r>
      <w:r>
        <w:rPr>
          <w:rFonts w:hint="eastAsia" w:ascii="宋体" w:hAnsi="宋体" w:cs="宋体"/>
          <w:snapToGrid w:val="0"/>
          <w:color w:val="auto"/>
          <w:szCs w:val="21"/>
          <w:highlight w:val="none"/>
        </w:rPr>
        <w:tab/>
      </w:r>
      <w:r>
        <w:rPr>
          <w:rFonts w:hint="eastAsia" w:ascii="宋体" w:hAnsi="宋体" w:cs="宋体"/>
          <w:snapToGrid w:val="0"/>
          <w:color w:val="auto"/>
          <w:szCs w:val="21"/>
          <w:highlight w:val="none"/>
        </w:rPr>
        <w:t>承包人：</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（盖单位章） 法定代表人或其委托代理人</w:t>
      </w:r>
      <w:r>
        <w:rPr>
          <w:rFonts w:hint="eastAsia" w:ascii="宋体" w:hAnsi="宋体" w:cs="宋体"/>
          <w:snapToGrid w:val="0"/>
          <w:color w:val="auto"/>
          <w:szCs w:val="21"/>
          <w:highlight w:val="none"/>
          <w:u w:val="single"/>
        </w:rPr>
        <w:t>： （</w:t>
      </w:r>
      <w:r>
        <w:rPr>
          <w:rFonts w:hint="eastAsia" w:ascii="宋体" w:hAnsi="宋体" w:cs="宋体"/>
          <w:snapToGrid w:val="0"/>
          <w:color w:val="auto"/>
          <w:szCs w:val="21"/>
          <w:highlight w:val="none"/>
        </w:rPr>
        <w:t>签字） 法定代表人或其委托代理人：</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u w:val="single"/>
        </w:rPr>
        <w:t>（</w:t>
      </w:r>
      <w:r>
        <w:rPr>
          <w:rFonts w:hint="eastAsia" w:ascii="宋体" w:hAnsi="宋体" w:cs="宋体"/>
          <w:snapToGrid w:val="0"/>
          <w:color w:val="auto"/>
          <w:szCs w:val="21"/>
          <w:highlight w:val="none"/>
        </w:rPr>
        <w:t>签字）</w:t>
      </w:r>
    </w:p>
    <w:p>
      <w:pPr>
        <w:pStyle w:val="3"/>
        <w:tabs>
          <w:tab w:val="left" w:pos="2344"/>
          <w:tab w:val="left" w:pos="3184"/>
          <w:tab w:val="left" w:pos="4024"/>
          <w:tab w:val="left" w:pos="5104"/>
          <w:tab w:val="left" w:pos="5945"/>
          <w:tab w:val="left" w:pos="7025"/>
          <w:tab w:val="left" w:pos="7865"/>
          <w:tab w:val="left" w:pos="8705"/>
        </w:tabs>
        <w:adjustRightInd w:val="0"/>
        <w:spacing w:line="360" w:lineRule="auto"/>
        <w:ind w:left="424" w:right="298" w:firstLine="839"/>
        <w:rPr>
          <w:rFonts w:ascii="宋体" w:hAnsi="宋体" w:cs="宋体"/>
          <w:snapToGrid w:val="0"/>
          <w:color w:val="auto"/>
          <w:szCs w:val="21"/>
          <w:highlight w:val="none"/>
        </w:rPr>
      </w:pP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年</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日</w:t>
      </w:r>
      <w:r>
        <w:rPr>
          <w:rFonts w:hint="eastAsia" w:ascii="宋体" w:hAnsi="宋体" w:cs="宋体"/>
          <w:snapToGrid w:val="0"/>
          <w:color w:val="auto"/>
          <w:szCs w:val="21"/>
          <w:highlight w:val="none"/>
        </w:rPr>
        <w:tab/>
      </w:r>
      <w:r>
        <w:rPr>
          <w:rFonts w:hint="eastAsia" w:ascii="宋体" w:hAnsi="宋体" w:cs="宋体"/>
          <w:snapToGrid w:val="0"/>
          <w:color w:val="auto"/>
          <w:szCs w:val="21"/>
          <w:highlight w:val="none"/>
        </w:rPr>
        <w:tab/>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年</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u w:val="single"/>
        </w:rPr>
        <w:tab/>
      </w:r>
      <w:r>
        <w:rPr>
          <w:rFonts w:hint="eastAsia" w:ascii="宋体" w:hAnsi="宋体" w:cs="宋体"/>
          <w:snapToGrid w:val="0"/>
          <w:color w:val="auto"/>
          <w:szCs w:val="21"/>
          <w:highlight w:val="none"/>
        </w:rPr>
        <w:t>日</w:t>
      </w:r>
    </w:p>
    <w:p>
      <w:pPr>
        <w:pStyle w:val="3"/>
        <w:tabs>
          <w:tab w:val="left" w:pos="2344"/>
          <w:tab w:val="left" w:pos="3184"/>
          <w:tab w:val="left" w:pos="4024"/>
          <w:tab w:val="left" w:pos="5104"/>
          <w:tab w:val="left" w:pos="5945"/>
          <w:tab w:val="left" w:pos="7025"/>
          <w:tab w:val="left" w:pos="7865"/>
          <w:tab w:val="left" w:pos="8705"/>
        </w:tabs>
        <w:adjustRightInd w:val="0"/>
        <w:spacing w:line="360" w:lineRule="auto"/>
        <w:ind w:left="424" w:right="298" w:firstLine="839"/>
        <w:rPr>
          <w:rFonts w:ascii="宋体" w:hAnsi="宋体" w:cs="宋体"/>
          <w:snapToGrid w:val="0"/>
          <w:color w:val="auto"/>
          <w:szCs w:val="21"/>
          <w:highlight w:val="none"/>
        </w:rPr>
      </w:pPr>
      <w:r>
        <w:rPr>
          <w:rFonts w:hint="eastAsia" w:ascii="宋体" w:hAnsi="宋体" w:cs="宋体"/>
          <w:snapToGrid w:val="0"/>
          <w:color w:val="auto"/>
          <w:szCs w:val="21"/>
          <w:highlight w:val="none"/>
        </w:rPr>
        <w:t>发包人监督单位：</w:t>
      </w:r>
      <w:r>
        <w:rPr>
          <w:rFonts w:hint="eastAsia" w:ascii="宋体" w:hAnsi="宋体" w:cs="宋体"/>
          <w:snapToGrid w:val="0"/>
          <w:color w:val="auto"/>
          <w:szCs w:val="21"/>
          <w:highlight w:val="none"/>
          <w:u w:val="single"/>
        </w:rPr>
        <w:t>（全称）（盖单位章）</w:t>
      </w:r>
      <w:r>
        <w:rPr>
          <w:rFonts w:hint="eastAsia" w:ascii="宋体" w:hAnsi="宋体" w:cs="宋体"/>
          <w:snapToGrid w:val="0"/>
          <w:color w:val="auto"/>
          <w:szCs w:val="21"/>
          <w:highlight w:val="none"/>
        </w:rPr>
        <w:tab/>
      </w:r>
      <w:r>
        <w:rPr>
          <w:rFonts w:hint="eastAsia" w:ascii="宋体" w:hAnsi="宋体" w:cs="宋体"/>
          <w:snapToGrid w:val="0"/>
          <w:color w:val="auto"/>
          <w:szCs w:val="21"/>
          <w:highlight w:val="none"/>
        </w:rPr>
        <w:t>承包人监督单位：</w:t>
      </w:r>
      <w:r>
        <w:rPr>
          <w:rFonts w:hint="eastAsia" w:ascii="宋体" w:hAnsi="宋体" w:cs="宋体"/>
          <w:snapToGrid w:val="0"/>
          <w:color w:val="auto"/>
          <w:szCs w:val="21"/>
          <w:highlight w:val="none"/>
          <w:u w:val="single"/>
        </w:rPr>
        <w:t>（全称）（盖单位章）</w:t>
      </w:r>
    </w:p>
    <w:p>
      <w:pPr>
        <w:adjustRightInd w:val="0"/>
        <w:snapToGrid w:val="0"/>
        <w:spacing w:line="360" w:lineRule="auto"/>
        <w:rPr>
          <w:rFonts w:ascii="宋体" w:hAnsi="宋体" w:cs="宋体"/>
          <w:snapToGrid w:val="0"/>
          <w:color w:val="auto"/>
          <w:szCs w:val="21"/>
          <w:highlight w:val="none"/>
        </w:rPr>
        <w:sectPr>
          <w:pgSz w:w="11900" w:h="16843"/>
          <w:pgMar w:top="1417" w:right="1417" w:bottom="1417" w:left="1531" w:header="850" w:footer="992" w:gutter="0"/>
          <w:pgNumType w:fmt="decimal"/>
          <w:cols w:space="720" w:num="1"/>
          <w:titlePg/>
        </w:sectPr>
      </w:pPr>
    </w:p>
    <w:p>
      <w:pPr>
        <w:pStyle w:val="3"/>
        <w:spacing w:before="66" w:line="360" w:lineRule="auto"/>
        <w:ind w:left="424"/>
        <w:rPr>
          <w:rFonts w:ascii="宋体" w:hAnsi="宋体" w:cs="宋体"/>
          <w:b/>
          <w:bCs/>
          <w:color w:val="auto"/>
          <w:szCs w:val="21"/>
          <w:highlight w:val="none"/>
        </w:rPr>
      </w:pPr>
      <w:r>
        <w:rPr>
          <w:rFonts w:hint="eastAsia" w:ascii="宋体" w:hAnsi="宋体" w:cs="宋体"/>
          <w:b/>
          <w:bCs/>
          <w:color w:val="auto"/>
          <w:szCs w:val="21"/>
          <w:highlight w:val="none"/>
        </w:rPr>
        <w:t>附件三 安全生产合同</w:t>
      </w:r>
    </w:p>
    <w:p>
      <w:pPr>
        <w:pStyle w:val="3"/>
        <w:spacing w:before="6"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安全生产合同</w:t>
      </w:r>
    </w:p>
    <w:p>
      <w:pPr>
        <w:pStyle w:val="3"/>
        <w:spacing w:before="6" w:line="360" w:lineRule="auto"/>
        <w:rPr>
          <w:rFonts w:ascii="宋体" w:hAnsi="宋体" w:cs="宋体"/>
          <w:color w:val="auto"/>
          <w:szCs w:val="21"/>
          <w:highlight w:val="none"/>
        </w:rPr>
      </w:pPr>
    </w:p>
    <w:p>
      <w:pPr>
        <w:pStyle w:val="3"/>
        <w:spacing w:before="6"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标段施工合同的实施过程中创造安全、高效的施工环境，切实搞好本项目的安全管理工作，本项目发包人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（发包人名称，以下简称“发包人”）与承包人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（承包人名称，以下简称“承包人”）特此签订安全生产合同。</w:t>
      </w:r>
    </w:p>
    <w:p>
      <w:pPr>
        <w:pStyle w:val="3"/>
        <w:spacing w:after="0" w:line="360" w:lineRule="auto"/>
        <w:ind w:left="1041"/>
        <w:rPr>
          <w:rFonts w:ascii="宋体" w:hAnsi="宋体" w:cs="宋体"/>
          <w:color w:val="auto"/>
          <w:szCs w:val="21"/>
          <w:highlight w:val="none"/>
        </w:rPr>
      </w:pPr>
      <w:r>
        <w:rPr>
          <w:rFonts w:hint="eastAsia" w:ascii="宋体" w:hAnsi="宋体" w:cs="宋体"/>
          <w:color w:val="auto"/>
          <w:szCs w:val="21"/>
          <w:highlight w:val="none"/>
        </w:rPr>
        <w:t>1.发包人职责</w:t>
      </w:r>
    </w:p>
    <w:p>
      <w:pPr>
        <w:pStyle w:val="3"/>
        <w:spacing w:before="82" w:after="0" w:line="360" w:lineRule="auto"/>
        <w:ind w:left="424" w:right="390" w:firstLine="616"/>
        <w:rPr>
          <w:rFonts w:ascii="宋体" w:hAnsi="宋体" w:cs="宋体"/>
          <w:color w:val="auto"/>
          <w:szCs w:val="21"/>
          <w:highlight w:val="none"/>
        </w:rPr>
      </w:pPr>
      <w:r>
        <w:rPr>
          <w:rFonts w:hint="eastAsia" w:ascii="宋体" w:hAnsi="宋体" w:cs="宋体"/>
          <w:color w:val="auto"/>
          <w:szCs w:val="21"/>
          <w:highlight w:val="none"/>
        </w:rPr>
        <w:t>（1）严格遵守国家有关安全生产的法律法规，认真执行工程承包合同中的有关安全要求。</w:t>
      </w:r>
    </w:p>
    <w:p>
      <w:pPr>
        <w:pStyle w:val="3"/>
        <w:spacing w:after="0" w:line="360" w:lineRule="auto"/>
        <w:ind w:left="424" w:right="380" w:firstLine="616"/>
        <w:rPr>
          <w:rFonts w:ascii="宋体" w:hAnsi="宋体" w:cs="宋体"/>
          <w:color w:val="auto"/>
          <w:szCs w:val="21"/>
          <w:highlight w:val="none"/>
        </w:rPr>
      </w:pPr>
      <w:r>
        <w:rPr>
          <w:rFonts w:hint="eastAsia" w:ascii="宋体" w:hAnsi="宋体" w:cs="宋体"/>
          <w:color w:val="auto"/>
          <w:szCs w:val="21"/>
          <w:highlight w:val="none"/>
        </w:rPr>
        <w:t>（2）按照“安全第一、预防为主、综合治理”和坚持“管生产必须管安全”的原则进行安全生产管理，做到生产与安全工作同时计划、布置、检查、总结和评比。</w:t>
      </w:r>
    </w:p>
    <w:p>
      <w:pPr>
        <w:pStyle w:val="3"/>
        <w:spacing w:after="0" w:line="360" w:lineRule="auto"/>
        <w:ind w:left="424" w:right="382" w:firstLine="616"/>
        <w:rPr>
          <w:rFonts w:ascii="宋体" w:hAnsi="宋体" w:cs="宋体"/>
          <w:color w:val="auto"/>
          <w:szCs w:val="21"/>
          <w:highlight w:val="none"/>
        </w:rPr>
      </w:pPr>
      <w:r>
        <w:rPr>
          <w:rFonts w:hint="eastAsia" w:ascii="宋体" w:hAnsi="宋体" w:cs="宋体"/>
          <w:color w:val="auto"/>
          <w:szCs w:val="21"/>
          <w:highlight w:val="none"/>
        </w:rPr>
        <w:t>（3）重要的安全设施必须坚持与主体工程“三同时”的原则，即：同时设计、审批，同时施工，同时验收，投入使用。</w:t>
      </w:r>
    </w:p>
    <w:p>
      <w:pPr>
        <w:pStyle w:val="3"/>
        <w:spacing w:after="0" w:line="360" w:lineRule="auto"/>
        <w:ind w:left="1041"/>
        <w:rPr>
          <w:rFonts w:ascii="宋体" w:hAnsi="宋体" w:cs="宋体"/>
          <w:color w:val="auto"/>
          <w:szCs w:val="21"/>
          <w:highlight w:val="none"/>
        </w:rPr>
      </w:pPr>
      <w:r>
        <w:rPr>
          <w:rFonts w:hint="eastAsia" w:ascii="宋体" w:hAnsi="宋体" w:cs="宋体"/>
          <w:color w:val="auto"/>
          <w:szCs w:val="21"/>
          <w:highlight w:val="none"/>
        </w:rPr>
        <w:t>（4）定期召开安全生产调度会，及时传达中央及地方有关安全生产的精神。</w:t>
      </w:r>
    </w:p>
    <w:p>
      <w:pPr>
        <w:pStyle w:val="3"/>
        <w:spacing w:before="82" w:after="0" w:line="360" w:lineRule="auto"/>
        <w:ind w:left="424" w:right="388" w:firstLine="616"/>
        <w:rPr>
          <w:rFonts w:ascii="宋体" w:hAnsi="宋体" w:cs="宋体"/>
          <w:color w:val="auto"/>
          <w:szCs w:val="21"/>
          <w:highlight w:val="none"/>
        </w:rPr>
      </w:pPr>
      <w:r>
        <w:rPr>
          <w:rFonts w:hint="eastAsia" w:ascii="宋体" w:hAnsi="宋体" w:cs="宋体"/>
          <w:color w:val="auto"/>
          <w:szCs w:val="21"/>
          <w:highlight w:val="none"/>
        </w:rPr>
        <w:t>（5）组织对承包人施工现场进行安全生产检查，监督承包人及时处理发现的各种安全隐患。</w:t>
      </w:r>
    </w:p>
    <w:p>
      <w:pPr>
        <w:pStyle w:val="3"/>
        <w:spacing w:after="0" w:line="360" w:lineRule="auto"/>
        <w:ind w:left="1043"/>
        <w:rPr>
          <w:rFonts w:ascii="宋体" w:hAnsi="宋体" w:cs="宋体"/>
          <w:color w:val="auto"/>
          <w:szCs w:val="21"/>
          <w:highlight w:val="none"/>
        </w:rPr>
      </w:pPr>
      <w:r>
        <w:rPr>
          <w:rFonts w:hint="eastAsia" w:ascii="宋体" w:hAnsi="宋体" w:cs="宋体"/>
          <w:color w:val="auto"/>
          <w:szCs w:val="21"/>
          <w:highlight w:val="none"/>
        </w:rPr>
        <w:t>2.承包人职责</w:t>
      </w:r>
    </w:p>
    <w:p>
      <w:pPr>
        <w:pStyle w:val="3"/>
        <w:spacing w:after="0" w:line="360" w:lineRule="auto"/>
        <w:ind w:left="425" w:right="283" w:firstLine="618"/>
        <w:rPr>
          <w:rFonts w:ascii="宋体" w:hAnsi="宋体" w:cs="宋体"/>
          <w:color w:val="auto"/>
          <w:szCs w:val="21"/>
          <w:highlight w:val="none"/>
        </w:rPr>
      </w:pPr>
      <w:r>
        <w:rPr>
          <w:rFonts w:hint="eastAsia" w:ascii="宋体" w:hAnsi="宋体" w:cs="宋体"/>
          <w:color w:val="auto"/>
          <w:szCs w:val="21"/>
          <w:highlight w:val="none"/>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pPr>
        <w:pStyle w:val="3"/>
        <w:spacing w:after="0" w:line="360" w:lineRule="auto"/>
        <w:ind w:left="425" w:right="266" w:firstLine="618"/>
        <w:rPr>
          <w:rFonts w:ascii="宋体" w:hAnsi="宋体" w:cs="宋体"/>
          <w:color w:val="auto"/>
          <w:szCs w:val="21"/>
          <w:highlight w:val="none"/>
        </w:rPr>
      </w:pPr>
      <w:r>
        <w:rPr>
          <w:rFonts w:hint="eastAsia" w:ascii="宋体" w:hAnsi="宋体" w:cs="宋体"/>
          <w:color w:val="auto"/>
          <w:szCs w:val="21"/>
          <w:highlight w:val="none"/>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pStyle w:val="3"/>
        <w:spacing w:after="0" w:line="360" w:lineRule="auto"/>
        <w:ind w:left="425" w:right="386" w:firstLine="618"/>
        <w:rPr>
          <w:rFonts w:ascii="宋体" w:hAnsi="宋体" w:cs="宋体"/>
          <w:color w:val="auto"/>
          <w:szCs w:val="21"/>
          <w:highlight w:val="none"/>
        </w:rPr>
      </w:pPr>
      <w:r>
        <w:rPr>
          <w:rFonts w:hint="eastAsia" w:ascii="宋体" w:hAnsi="宋体" w:cs="宋体"/>
          <w:color w:val="auto"/>
          <w:szCs w:val="21"/>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pStyle w:val="3"/>
        <w:spacing w:after="0" w:line="360" w:lineRule="auto"/>
        <w:ind w:left="424" w:right="387" w:firstLine="616"/>
        <w:rPr>
          <w:rFonts w:ascii="宋体" w:hAnsi="宋体" w:cs="宋体"/>
          <w:color w:val="auto"/>
          <w:szCs w:val="21"/>
          <w:highlight w:val="none"/>
        </w:rPr>
      </w:pPr>
      <w:r>
        <w:rPr>
          <w:rFonts w:hint="eastAsia" w:ascii="宋体" w:hAnsi="宋体" w:cs="宋体"/>
          <w:color w:val="auto"/>
          <w:szCs w:val="21"/>
          <w:highlight w:val="none"/>
        </w:rPr>
        <w:t>（4）承包人在任何时候都应采取各种合理的预防措施，防止其员工发生任何</w:t>
      </w:r>
    </w:p>
    <w:p>
      <w:pPr>
        <w:pStyle w:val="3"/>
        <w:spacing w:before="67"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违法、违禁、暴力或妨碍治安的行为。</w:t>
      </w:r>
    </w:p>
    <w:p>
      <w:pPr>
        <w:pStyle w:val="3"/>
        <w:spacing w:before="81" w:after="0" w:line="360" w:lineRule="auto"/>
        <w:ind w:left="424" w:right="266" w:firstLine="616"/>
        <w:rPr>
          <w:rFonts w:ascii="宋体" w:hAnsi="宋体" w:cs="宋体"/>
          <w:color w:val="auto"/>
          <w:szCs w:val="21"/>
          <w:highlight w:val="none"/>
        </w:rPr>
      </w:pPr>
      <w:r>
        <w:rPr>
          <w:rFonts w:hint="eastAsia" w:ascii="宋体" w:hAnsi="宋体" w:cs="宋体"/>
          <w:color w:val="auto"/>
          <w:szCs w:val="21"/>
          <w:highlight w:val="none"/>
        </w:rPr>
        <w:t>（5）承包人必须具有劳动安全管理部门颁发的安全生产考核合格证书，参加施工的人员，必须接受安全技术教育，熟知和遵守本工种的各项安全技术操作规程，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3"/>
        <w:spacing w:after="0" w:line="360" w:lineRule="auto"/>
        <w:ind w:left="425" w:right="388" w:firstLine="618"/>
        <w:rPr>
          <w:rFonts w:ascii="宋体" w:hAnsi="宋体" w:cs="宋体"/>
          <w:color w:val="auto"/>
          <w:szCs w:val="21"/>
          <w:highlight w:val="none"/>
        </w:rPr>
      </w:pPr>
      <w:r>
        <w:rPr>
          <w:rFonts w:hint="eastAsia" w:ascii="宋体" w:hAnsi="宋体" w:cs="宋体"/>
          <w:color w:val="auto"/>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Style w:val="3"/>
        <w:spacing w:after="0" w:line="360" w:lineRule="auto"/>
        <w:ind w:left="425" w:right="390" w:firstLine="618"/>
        <w:rPr>
          <w:rFonts w:ascii="宋体" w:hAnsi="宋体" w:cs="宋体"/>
          <w:color w:val="auto"/>
          <w:szCs w:val="21"/>
          <w:highlight w:val="none"/>
        </w:rPr>
      </w:pPr>
      <w:r>
        <w:rPr>
          <w:rFonts w:hint="eastAsia" w:ascii="宋体" w:hAnsi="宋体" w:cs="宋体"/>
          <w:color w:val="auto"/>
          <w:szCs w:val="21"/>
          <w:highlight w:val="none"/>
        </w:rPr>
        <w:t>（7）操作人员上岗，必须按规定穿戴防护用品。施工负责人和安全检查员应随时检查劳动防护用品的穿戴情况，不按规定穿戴防护用品的人员不得上岗。</w:t>
      </w:r>
    </w:p>
    <w:p>
      <w:pPr>
        <w:pStyle w:val="3"/>
        <w:spacing w:before="2" w:after="0" w:line="360" w:lineRule="auto"/>
        <w:ind w:left="425" w:right="389" w:firstLine="618"/>
        <w:rPr>
          <w:rFonts w:ascii="宋体" w:hAnsi="宋体" w:cs="宋体"/>
          <w:color w:val="auto"/>
          <w:szCs w:val="21"/>
          <w:highlight w:val="none"/>
        </w:rPr>
      </w:pPr>
      <w:r>
        <w:rPr>
          <w:rFonts w:hint="eastAsia" w:ascii="宋体" w:hAnsi="宋体" w:cs="宋体"/>
          <w:color w:val="auto"/>
          <w:szCs w:val="21"/>
          <w:highlight w:val="none"/>
        </w:rPr>
        <w:t>（8）所有施工机具设备和高空作业的设备均应定期检查，并有安全员的签字记录，保证其经常处于完好状态；不合格的机具、设备和劳动保护用品严禁使用。</w:t>
      </w:r>
    </w:p>
    <w:p>
      <w:pPr>
        <w:pStyle w:val="3"/>
        <w:spacing w:before="5" w:after="0" w:line="360" w:lineRule="auto"/>
        <w:ind w:left="425" w:right="390" w:firstLine="618"/>
        <w:rPr>
          <w:rFonts w:ascii="宋体" w:hAnsi="宋体" w:cs="宋体"/>
          <w:color w:val="auto"/>
          <w:szCs w:val="21"/>
          <w:highlight w:val="none"/>
        </w:rPr>
      </w:pPr>
      <w:r>
        <w:rPr>
          <w:rFonts w:hint="eastAsia" w:ascii="宋体" w:hAnsi="宋体" w:cs="宋体"/>
          <w:color w:val="auto"/>
          <w:szCs w:val="21"/>
          <w:highlight w:val="none"/>
        </w:rPr>
        <w:t>（9）施工中采用新技术、新工艺、新设备、新材料时，必须制定相应的安全技术措施，施工现场必须具有相关的安全标志牌。</w:t>
      </w:r>
    </w:p>
    <w:p>
      <w:pPr>
        <w:pStyle w:val="3"/>
        <w:spacing w:after="0" w:line="360" w:lineRule="auto"/>
        <w:ind w:left="425" w:right="377" w:firstLine="618"/>
        <w:rPr>
          <w:rFonts w:ascii="宋体" w:hAnsi="宋体" w:cs="宋体"/>
          <w:color w:val="auto"/>
          <w:szCs w:val="21"/>
          <w:highlight w:val="none"/>
        </w:rPr>
      </w:pPr>
      <w:r>
        <w:rPr>
          <w:rFonts w:hint="eastAsia" w:ascii="宋体" w:hAnsi="宋体" w:cs="宋体"/>
          <w:color w:val="auto"/>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 严肃处理相关责任人。</w:t>
      </w:r>
    </w:p>
    <w:p>
      <w:pPr>
        <w:pStyle w:val="3"/>
        <w:spacing w:after="0" w:line="360" w:lineRule="auto"/>
        <w:ind w:left="425" w:right="385" w:firstLine="618"/>
        <w:rPr>
          <w:rFonts w:ascii="宋体" w:hAnsi="宋体" w:cs="宋体"/>
          <w:color w:val="auto"/>
          <w:szCs w:val="21"/>
          <w:highlight w:val="none"/>
        </w:rPr>
      </w:pPr>
      <w:r>
        <w:rPr>
          <w:rFonts w:hint="eastAsia" w:ascii="宋体" w:hAnsi="宋体" w:cs="宋体"/>
          <w:color w:val="auto"/>
          <w:szCs w:val="21"/>
          <w:highlight w:val="none"/>
        </w:rPr>
        <w:t>（11）安全生产费用按照《公路水运工程安全生产监督管理办法》的相关规定使用和管理。</w:t>
      </w:r>
    </w:p>
    <w:p>
      <w:pPr>
        <w:pStyle w:val="3"/>
        <w:spacing w:before="3" w:after="0" w:line="360" w:lineRule="auto"/>
        <w:ind w:left="1043"/>
        <w:rPr>
          <w:rFonts w:ascii="宋体" w:hAnsi="宋体" w:cs="宋体"/>
          <w:color w:val="auto"/>
          <w:szCs w:val="21"/>
          <w:highlight w:val="none"/>
        </w:rPr>
      </w:pPr>
      <w:r>
        <w:rPr>
          <w:rFonts w:hint="eastAsia" w:ascii="宋体" w:hAnsi="宋体" w:cs="宋体"/>
          <w:color w:val="auto"/>
          <w:szCs w:val="21"/>
          <w:highlight w:val="none"/>
        </w:rPr>
        <w:t>3.违约责任</w:t>
      </w:r>
    </w:p>
    <w:p>
      <w:pPr>
        <w:pStyle w:val="3"/>
        <w:spacing w:before="82" w:after="0" w:line="360" w:lineRule="auto"/>
        <w:ind w:left="1043"/>
        <w:rPr>
          <w:rFonts w:ascii="宋体" w:hAnsi="宋体" w:cs="宋体"/>
          <w:color w:val="auto"/>
          <w:szCs w:val="21"/>
          <w:highlight w:val="none"/>
        </w:rPr>
      </w:pPr>
      <w:r>
        <w:rPr>
          <w:rFonts w:hint="eastAsia" w:ascii="宋体" w:hAnsi="宋体" w:cs="宋体"/>
          <w:color w:val="auto"/>
          <w:szCs w:val="21"/>
          <w:highlight w:val="none"/>
        </w:rPr>
        <w:t>如因发包人或承包人违约造成安全事故，将依法追究责任。</w:t>
      </w:r>
    </w:p>
    <w:p>
      <w:pPr>
        <w:pStyle w:val="241"/>
        <w:tabs>
          <w:tab w:val="left" w:pos="1344"/>
        </w:tabs>
        <w:spacing w:before="83" w:line="360" w:lineRule="auto"/>
        <w:ind w:left="420" w:leftChars="200" w:right="385"/>
        <w:rPr>
          <w:rFonts w:ascii="宋体" w:hAnsi="宋体" w:cs="宋体"/>
          <w:color w:val="auto"/>
          <w:szCs w:val="21"/>
          <w:highlight w:val="none"/>
        </w:rPr>
      </w:pPr>
      <w:r>
        <w:rPr>
          <w:rFonts w:hint="eastAsia" w:ascii="宋体" w:hAnsi="宋体" w:cs="宋体"/>
          <w:color w:val="auto"/>
          <w:szCs w:val="21"/>
          <w:highlight w:val="none"/>
        </w:rPr>
        <w:t>4、本合同由双方法定代表人或其授权的代理人签署并加盖单位章后生效，全部工程竣工验收后失效。</w:t>
      </w:r>
    </w:p>
    <w:p>
      <w:pPr>
        <w:pStyle w:val="241"/>
        <w:tabs>
          <w:tab w:val="left" w:pos="1344"/>
          <w:tab w:val="left" w:pos="4252"/>
          <w:tab w:val="left" w:pos="8377"/>
        </w:tabs>
        <w:spacing w:before="6" w:line="360" w:lineRule="auto"/>
        <w:ind w:left="420" w:leftChars="200" w:right="380"/>
        <w:rPr>
          <w:rFonts w:ascii="宋体" w:hAnsi="宋体" w:cs="宋体"/>
          <w:color w:val="auto"/>
          <w:szCs w:val="21"/>
          <w:highlight w:val="none"/>
        </w:rPr>
      </w:pPr>
      <w:r>
        <w:rPr>
          <w:rFonts w:hint="eastAsia" w:ascii="宋体" w:hAnsi="宋体" w:cs="宋体"/>
          <w:color w:val="auto"/>
          <w:szCs w:val="21"/>
          <w:highlight w:val="none"/>
        </w:rPr>
        <w:t>5、本合同正本二份、副本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份，合同双方各执正本一份，副本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份，当正本与副本的内容不一致时，以正本为准。</w:t>
      </w:r>
    </w:p>
    <w:p>
      <w:pPr>
        <w:pStyle w:val="3"/>
        <w:spacing w:line="360" w:lineRule="auto"/>
        <w:rPr>
          <w:rFonts w:ascii="宋体" w:hAnsi="宋体" w:cs="宋体"/>
          <w:color w:val="auto"/>
          <w:szCs w:val="21"/>
          <w:highlight w:val="none"/>
        </w:rPr>
      </w:pPr>
    </w:p>
    <w:p>
      <w:pPr>
        <w:pStyle w:val="3"/>
        <w:spacing w:before="4" w:line="360" w:lineRule="auto"/>
        <w:rPr>
          <w:rFonts w:ascii="宋体" w:hAnsi="宋体" w:cs="宋体"/>
          <w:color w:val="auto"/>
          <w:szCs w:val="21"/>
          <w:highlight w:val="none"/>
        </w:rPr>
      </w:pPr>
    </w:p>
    <w:p>
      <w:pPr>
        <w:pStyle w:val="3"/>
        <w:tabs>
          <w:tab w:val="left" w:pos="3151"/>
          <w:tab w:val="left" w:pos="4934"/>
          <w:tab w:val="left" w:pos="5174"/>
          <w:tab w:val="left" w:pos="7781"/>
        </w:tabs>
        <w:spacing w:before="1" w:line="360" w:lineRule="auto"/>
        <w:ind w:left="424" w:right="262"/>
        <w:rPr>
          <w:rFonts w:ascii="宋体" w:hAnsi="宋体" w:cs="宋体"/>
          <w:color w:val="auto"/>
          <w:szCs w:val="21"/>
          <w:highlight w:val="none"/>
        </w:rPr>
      </w:pPr>
      <w:r>
        <w:rPr>
          <w:rFonts w:hint="eastAsia" w:ascii="宋体" w:hAnsi="宋体" w:cs="宋体"/>
          <w:color w:val="auto"/>
          <w:szCs w:val="21"/>
          <w:highlight w:val="none"/>
        </w:rPr>
        <w:t>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（盖单位章）</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（盖单位章） 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r>
        <w:rPr>
          <w:rFonts w:hint="eastAsia" w:ascii="宋体" w:hAnsi="宋体" w:cs="宋体"/>
          <w:color w:val="auto"/>
          <w:szCs w:val="21"/>
          <w:highlight w:val="none"/>
        </w:rPr>
        <w:tab/>
      </w: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pStyle w:val="3"/>
        <w:tabs>
          <w:tab w:val="left" w:pos="2344"/>
          <w:tab w:val="left" w:pos="3184"/>
          <w:tab w:val="left" w:pos="4024"/>
          <w:tab w:val="left" w:pos="5945"/>
          <w:tab w:val="left" w:pos="7025"/>
          <w:tab w:val="left" w:pos="7865"/>
          <w:tab w:val="left" w:pos="8705"/>
        </w:tabs>
        <w:spacing w:before="2" w:line="360" w:lineRule="auto"/>
        <w:ind w:left="1264"/>
        <w:rPr>
          <w:rFonts w:ascii="宋体" w:hAnsi="宋体" w:cs="宋体"/>
          <w:color w:val="auto"/>
          <w:szCs w:val="21"/>
          <w:highlight w:val="none"/>
        </w:rPr>
        <w:sectPr>
          <w:pgSz w:w="11900" w:h="16843"/>
          <w:pgMar w:top="1417" w:right="1417" w:bottom="1417" w:left="1531" w:header="850" w:footer="992" w:gutter="0"/>
          <w:pgNumType w:fmt="decimal"/>
          <w:cols w:space="720" w:num="1"/>
          <w:titlePg/>
        </w:sect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p>
      <w:pPr>
        <w:adjustRightInd w:val="0"/>
        <w:snapToGrid w:val="0"/>
        <w:spacing w:line="360" w:lineRule="auto"/>
        <w:rPr>
          <w:rFonts w:hint="eastAsia" w:eastAsia="宋体"/>
          <w:b/>
          <w:color w:val="auto"/>
          <w:sz w:val="24"/>
          <w:highlight w:val="none"/>
          <w:lang w:eastAsia="zh-CN"/>
        </w:rPr>
      </w:pPr>
      <w:r>
        <w:rPr>
          <w:b/>
          <w:color w:val="auto"/>
          <w:sz w:val="24"/>
          <w:highlight w:val="none"/>
        </w:rPr>
        <w:t>附件</w:t>
      </w:r>
      <w:r>
        <w:rPr>
          <w:rFonts w:hint="eastAsia"/>
          <w:b/>
          <w:color w:val="auto"/>
          <w:sz w:val="24"/>
          <w:highlight w:val="none"/>
          <w:lang w:eastAsia="zh-CN"/>
        </w:rPr>
        <w:t>四</w:t>
      </w:r>
      <w:r>
        <w:rPr>
          <w:b/>
          <w:color w:val="auto"/>
          <w:sz w:val="24"/>
          <w:highlight w:val="none"/>
        </w:rPr>
        <w:t>：</w:t>
      </w:r>
      <w:r>
        <w:rPr>
          <w:rFonts w:hint="eastAsia"/>
          <w:b/>
          <w:color w:val="auto"/>
          <w:sz w:val="24"/>
          <w:highlight w:val="none"/>
          <w:lang w:eastAsia="zh-CN"/>
        </w:rPr>
        <w:t>其他管理和技术人员最低要求</w:t>
      </w:r>
    </w:p>
    <w:tbl>
      <w:tblPr>
        <w:tblStyle w:val="47"/>
        <w:tblW w:w="91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866"/>
        <w:gridCol w:w="6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2249" w:type="dxa"/>
            <w:noWrap w:val="0"/>
            <w:vAlign w:val="center"/>
          </w:tcPr>
          <w:p>
            <w:pPr>
              <w:jc w:val="center"/>
              <w:rPr>
                <w:color w:val="auto"/>
                <w:sz w:val="24"/>
                <w:highlight w:val="none"/>
              </w:rPr>
            </w:pPr>
            <w:r>
              <w:rPr>
                <w:color w:val="auto"/>
                <w:sz w:val="24"/>
                <w:highlight w:val="none"/>
              </w:rPr>
              <w:t>人员</w:t>
            </w:r>
          </w:p>
        </w:tc>
        <w:tc>
          <w:tcPr>
            <w:tcW w:w="866" w:type="dxa"/>
            <w:noWrap w:val="0"/>
            <w:vAlign w:val="center"/>
          </w:tcPr>
          <w:p>
            <w:pPr>
              <w:jc w:val="center"/>
              <w:rPr>
                <w:color w:val="auto"/>
                <w:sz w:val="24"/>
                <w:highlight w:val="none"/>
              </w:rPr>
            </w:pPr>
            <w:r>
              <w:rPr>
                <w:color w:val="auto"/>
                <w:sz w:val="24"/>
                <w:highlight w:val="none"/>
              </w:rPr>
              <w:t>数量</w:t>
            </w:r>
          </w:p>
        </w:tc>
        <w:tc>
          <w:tcPr>
            <w:tcW w:w="6026" w:type="dxa"/>
            <w:noWrap w:val="0"/>
            <w:vAlign w:val="center"/>
          </w:tcPr>
          <w:p>
            <w:pPr>
              <w:jc w:val="center"/>
              <w:rPr>
                <w:color w:val="auto"/>
                <w:sz w:val="24"/>
                <w:highlight w:val="none"/>
              </w:rPr>
            </w:pPr>
            <w:r>
              <w:rPr>
                <w:color w:val="auto"/>
                <w:sz w:val="24"/>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2249" w:type="dxa"/>
            <w:noWrap w:val="0"/>
            <w:vAlign w:val="center"/>
          </w:tcPr>
          <w:p>
            <w:pPr>
              <w:jc w:val="center"/>
              <w:rPr>
                <w:color w:val="auto"/>
                <w:szCs w:val="21"/>
                <w:highlight w:val="none"/>
              </w:rPr>
            </w:pPr>
            <w:r>
              <w:rPr>
                <w:color w:val="auto"/>
                <w:szCs w:val="21"/>
                <w:highlight w:val="none"/>
              </w:rPr>
              <w:t>合同、计划工程师</w:t>
            </w:r>
          </w:p>
        </w:tc>
        <w:tc>
          <w:tcPr>
            <w:tcW w:w="866" w:type="dxa"/>
            <w:noWrap w:val="0"/>
            <w:vAlign w:val="center"/>
          </w:tcPr>
          <w:p>
            <w:pPr>
              <w:jc w:val="center"/>
              <w:rPr>
                <w:color w:val="auto"/>
                <w:szCs w:val="21"/>
                <w:highlight w:val="none"/>
              </w:rPr>
            </w:pPr>
            <w:r>
              <w:rPr>
                <w:color w:val="auto"/>
                <w:szCs w:val="21"/>
                <w:highlight w:val="none"/>
              </w:rPr>
              <w:t>1</w:t>
            </w:r>
          </w:p>
        </w:tc>
        <w:tc>
          <w:tcPr>
            <w:tcW w:w="6026" w:type="dxa"/>
            <w:noWrap w:val="0"/>
            <w:vAlign w:val="center"/>
          </w:tcPr>
          <w:p>
            <w:pPr>
              <w:rPr>
                <w:color w:val="auto"/>
                <w:szCs w:val="21"/>
                <w:highlight w:val="none"/>
              </w:rPr>
            </w:pPr>
            <w:r>
              <w:rPr>
                <w:color w:val="auto"/>
                <w:szCs w:val="21"/>
                <w:highlight w:val="none"/>
              </w:rPr>
              <w:t>工程师，具有交通运输部颁发的公路工程</w:t>
            </w:r>
            <w:r>
              <w:rPr>
                <w:rFonts w:hint="eastAsia"/>
                <w:color w:val="auto"/>
                <w:szCs w:val="21"/>
                <w:highlight w:val="none"/>
                <w:lang w:eastAsia="zh-CN"/>
              </w:rPr>
              <w:t>乙</w:t>
            </w:r>
            <w:r>
              <w:rPr>
                <w:color w:val="auto"/>
                <w:szCs w:val="21"/>
                <w:highlight w:val="none"/>
              </w:rPr>
              <w:t>级造价人员资格证或建设部颁发的注册造价工程师证。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2249" w:type="dxa"/>
            <w:noWrap w:val="0"/>
            <w:vAlign w:val="center"/>
          </w:tcPr>
          <w:p>
            <w:pPr>
              <w:jc w:val="center"/>
              <w:rPr>
                <w:color w:val="auto"/>
                <w:szCs w:val="21"/>
                <w:highlight w:val="none"/>
              </w:rPr>
            </w:pPr>
            <w:r>
              <w:rPr>
                <w:color w:val="auto"/>
                <w:szCs w:val="21"/>
                <w:highlight w:val="none"/>
              </w:rPr>
              <w:t>质检工程师</w:t>
            </w:r>
          </w:p>
        </w:tc>
        <w:tc>
          <w:tcPr>
            <w:tcW w:w="866" w:type="dxa"/>
            <w:noWrap w:val="0"/>
            <w:vAlign w:val="center"/>
          </w:tcPr>
          <w:p>
            <w:pPr>
              <w:jc w:val="center"/>
              <w:rPr>
                <w:color w:val="auto"/>
                <w:szCs w:val="21"/>
                <w:highlight w:val="none"/>
              </w:rPr>
            </w:pPr>
            <w:r>
              <w:rPr>
                <w:color w:val="auto"/>
                <w:szCs w:val="21"/>
                <w:highlight w:val="none"/>
              </w:rPr>
              <w:t>1</w:t>
            </w:r>
          </w:p>
        </w:tc>
        <w:tc>
          <w:tcPr>
            <w:tcW w:w="6026" w:type="dxa"/>
            <w:noWrap w:val="0"/>
            <w:vAlign w:val="center"/>
          </w:tcPr>
          <w:p>
            <w:pPr>
              <w:rPr>
                <w:color w:val="auto"/>
                <w:szCs w:val="21"/>
                <w:highlight w:val="none"/>
              </w:rPr>
            </w:pPr>
            <w:r>
              <w:rPr>
                <w:color w:val="auto"/>
                <w:szCs w:val="21"/>
                <w:highlight w:val="none"/>
              </w:rPr>
              <w:t>工程师，</w:t>
            </w:r>
            <w:r>
              <w:rPr>
                <w:rFonts w:hint="eastAsia"/>
                <w:color w:val="auto"/>
                <w:szCs w:val="21"/>
                <w:highlight w:val="none"/>
              </w:rPr>
              <w:t>具有交通运输部颁发的试验检测工程师资格证书（公路类）</w:t>
            </w: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2249" w:type="dxa"/>
            <w:noWrap w:val="0"/>
            <w:vAlign w:val="center"/>
          </w:tcPr>
          <w:p>
            <w:pPr>
              <w:jc w:val="center"/>
              <w:rPr>
                <w:color w:val="auto"/>
                <w:szCs w:val="21"/>
                <w:highlight w:val="none"/>
              </w:rPr>
            </w:pPr>
            <w:r>
              <w:rPr>
                <w:rFonts w:hint="eastAsia"/>
                <w:color w:val="auto"/>
                <w:szCs w:val="21"/>
                <w:highlight w:val="none"/>
                <w:lang w:eastAsia="zh-CN"/>
              </w:rPr>
              <w:t>桥梁</w:t>
            </w:r>
            <w:r>
              <w:rPr>
                <w:color w:val="auto"/>
                <w:szCs w:val="21"/>
                <w:highlight w:val="none"/>
              </w:rPr>
              <w:t>工程师</w:t>
            </w:r>
          </w:p>
        </w:tc>
        <w:tc>
          <w:tcPr>
            <w:tcW w:w="866" w:type="dxa"/>
            <w:noWrap w:val="0"/>
            <w:vAlign w:val="center"/>
          </w:tcPr>
          <w:p>
            <w:pPr>
              <w:jc w:val="center"/>
              <w:rPr>
                <w:color w:val="auto"/>
                <w:szCs w:val="21"/>
                <w:highlight w:val="none"/>
              </w:rPr>
            </w:pPr>
            <w:r>
              <w:rPr>
                <w:color w:val="auto"/>
                <w:szCs w:val="21"/>
                <w:highlight w:val="none"/>
              </w:rPr>
              <w:t>1</w:t>
            </w:r>
          </w:p>
        </w:tc>
        <w:tc>
          <w:tcPr>
            <w:tcW w:w="6026" w:type="dxa"/>
            <w:noWrap w:val="0"/>
            <w:vAlign w:val="center"/>
          </w:tcPr>
          <w:p>
            <w:pPr>
              <w:rPr>
                <w:color w:val="auto"/>
                <w:szCs w:val="21"/>
                <w:highlight w:val="none"/>
              </w:rPr>
            </w:pPr>
            <w:r>
              <w:rPr>
                <w:color w:val="auto"/>
                <w:szCs w:val="21"/>
                <w:highlight w:val="none"/>
              </w:rPr>
              <w:t>工程师，工程经验</w:t>
            </w:r>
            <w:r>
              <w:rPr>
                <w:rFonts w:hint="eastAsia"/>
                <w:color w:val="auto"/>
                <w:szCs w:val="21"/>
                <w:highlight w:val="none"/>
              </w:rPr>
              <w:t>5</w:t>
            </w:r>
            <w:r>
              <w:rPr>
                <w:color w:val="auto"/>
                <w:szCs w:val="21"/>
                <w:highlight w:val="none"/>
              </w:rPr>
              <w:t>年以上，从事类似工作</w:t>
            </w:r>
            <w:r>
              <w:rPr>
                <w:rFonts w:hint="eastAsia"/>
                <w:color w:val="auto"/>
                <w:szCs w:val="21"/>
                <w:highlight w:val="none"/>
              </w:rPr>
              <w:t>3</w:t>
            </w:r>
            <w:r>
              <w:rPr>
                <w:color w:val="auto"/>
                <w:szCs w:val="21"/>
                <w:highlight w:val="none"/>
              </w:rPr>
              <w:t>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2249" w:type="dxa"/>
            <w:noWrap w:val="0"/>
            <w:vAlign w:val="center"/>
          </w:tcPr>
          <w:p>
            <w:pPr>
              <w:jc w:val="center"/>
              <w:rPr>
                <w:rFonts w:hint="eastAsia" w:eastAsia="宋体"/>
                <w:color w:val="auto"/>
                <w:szCs w:val="21"/>
                <w:highlight w:val="none"/>
                <w:lang w:eastAsia="zh-CN"/>
              </w:rPr>
            </w:pPr>
            <w:r>
              <w:rPr>
                <w:color w:val="auto"/>
                <w:szCs w:val="21"/>
                <w:highlight w:val="none"/>
              </w:rPr>
              <w:t>试验</w:t>
            </w:r>
            <w:r>
              <w:rPr>
                <w:rFonts w:hint="eastAsia"/>
                <w:color w:val="auto"/>
                <w:szCs w:val="21"/>
                <w:highlight w:val="none"/>
                <w:lang w:eastAsia="zh-CN"/>
              </w:rPr>
              <w:t>人员</w:t>
            </w:r>
          </w:p>
        </w:tc>
        <w:tc>
          <w:tcPr>
            <w:tcW w:w="866" w:type="dxa"/>
            <w:noWrap w:val="0"/>
            <w:vAlign w:val="center"/>
          </w:tcPr>
          <w:p>
            <w:pPr>
              <w:jc w:val="center"/>
              <w:rPr>
                <w:color w:val="auto"/>
                <w:szCs w:val="21"/>
                <w:highlight w:val="none"/>
              </w:rPr>
            </w:pPr>
            <w:r>
              <w:rPr>
                <w:color w:val="auto"/>
                <w:szCs w:val="21"/>
                <w:highlight w:val="none"/>
              </w:rPr>
              <w:t>1</w:t>
            </w:r>
          </w:p>
        </w:tc>
        <w:tc>
          <w:tcPr>
            <w:tcW w:w="6026" w:type="dxa"/>
            <w:noWrap w:val="0"/>
            <w:vAlign w:val="center"/>
          </w:tcPr>
          <w:p>
            <w:pPr>
              <w:rPr>
                <w:color w:val="auto"/>
                <w:szCs w:val="21"/>
                <w:highlight w:val="none"/>
              </w:rPr>
            </w:pPr>
            <w:r>
              <w:rPr>
                <w:rFonts w:hint="eastAsia"/>
                <w:color w:val="auto"/>
                <w:szCs w:val="21"/>
                <w:highlight w:val="none"/>
                <w:lang w:eastAsia="zh-CN"/>
              </w:rPr>
              <w:t>助理工程师</w:t>
            </w:r>
            <w:r>
              <w:rPr>
                <w:color w:val="auto"/>
                <w:szCs w:val="21"/>
                <w:highlight w:val="none"/>
              </w:rPr>
              <w:t>，，具有交通运输部颁发的试验检测</w:t>
            </w:r>
            <w:r>
              <w:rPr>
                <w:rFonts w:hint="eastAsia"/>
                <w:color w:val="auto"/>
                <w:szCs w:val="21"/>
                <w:highlight w:val="none"/>
                <w:lang w:eastAsia="zh-CN"/>
              </w:rPr>
              <w:t>员</w:t>
            </w:r>
            <w:r>
              <w:rPr>
                <w:color w:val="auto"/>
                <w:szCs w:val="21"/>
                <w:highlight w:val="none"/>
              </w:rPr>
              <w:t>资格证</w:t>
            </w:r>
            <w:r>
              <w:rPr>
                <w:rFonts w:hint="eastAsia"/>
                <w:color w:val="auto"/>
                <w:szCs w:val="21"/>
                <w:highlight w:val="none"/>
              </w:rPr>
              <w:t>（公路类）</w:t>
            </w: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2249" w:type="dxa"/>
            <w:noWrap w:val="0"/>
            <w:vAlign w:val="center"/>
          </w:tcPr>
          <w:p>
            <w:pPr>
              <w:jc w:val="center"/>
              <w:rPr>
                <w:color w:val="auto"/>
                <w:szCs w:val="21"/>
                <w:highlight w:val="none"/>
              </w:rPr>
            </w:pPr>
            <w:r>
              <w:rPr>
                <w:color w:val="auto"/>
                <w:szCs w:val="21"/>
                <w:highlight w:val="none"/>
              </w:rPr>
              <w:t>专职安全员</w:t>
            </w:r>
          </w:p>
        </w:tc>
        <w:tc>
          <w:tcPr>
            <w:tcW w:w="866" w:type="dxa"/>
            <w:noWrap w:val="0"/>
            <w:vAlign w:val="center"/>
          </w:tcPr>
          <w:p>
            <w:pPr>
              <w:jc w:val="center"/>
              <w:rPr>
                <w:rFonts w:hint="eastAsia" w:eastAsia="宋体"/>
                <w:color w:val="auto"/>
                <w:szCs w:val="21"/>
                <w:highlight w:val="none"/>
                <w:lang w:eastAsia="zh-CN"/>
              </w:rPr>
            </w:pPr>
            <w:r>
              <w:rPr>
                <w:rFonts w:hint="eastAsia"/>
                <w:color w:val="auto"/>
                <w:szCs w:val="21"/>
                <w:highlight w:val="none"/>
                <w:lang w:val="en-US" w:eastAsia="zh-CN"/>
              </w:rPr>
              <w:t>1</w:t>
            </w:r>
          </w:p>
        </w:tc>
        <w:tc>
          <w:tcPr>
            <w:tcW w:w="6026" w:type="dxa"/>
            <w:noWrap w:val="0"/>
            <w:vAlign w:val="center"/>
          </w:tcPr>
          <w:p>
            <w:pPr>
              <w:rPr>
                <w:color w:val="auto"/>
                <w:szCs w:val="21"/>
                <w:highlight w:val="none"/>
              </w:rPr>
            </w:pPr>
            <w:r>
              <w:rPr>
                <w:rFonts w:hint="eastAsia"/>
                <w:color w:val="auto"/>
                <w:szCs w:val="21"/>
                <w:highlight w:val="none"/>
                <w:lang w:eastAsia="zh-CN"/>
              </w:rPr>
              <w:t>助理工程师</w:t>
            </w:r>
            <w:r>
              <w:rPr>
                <w:color w:val="auto"/>
                <w:szCs w:val="21"/>
                <w:highlight w:val="none"/>
                <w:lang w:val="zh-CN"/>
              </w:rPr>
              <w:t>，</w:t>
            </w:r>
            <w:r>
              <w:rPr>
                <w:color w:val="auto"/>
                <w:szCs w:val="21"/>
                <w:highlight w:val="none"/>
              </w:rPr>
              <w:t>具有</w:t>
            </w:r>
            <w:r>
              <w:rPr>
                <w:rFonts w:hint="eastAsia"/>
                <w:color w:val="auto"/>
                <w:szCs w:val="21"/>
                <w:highlight w:val="none"/>
              </w:rPr>
              <w:t>交安C类公路行业</w:t>
            </w:r>
            <w:r>
              <w:rPr>
                <w:color w:val="auto"/>
                <w:szCs w:val="21"/>
                <w:highlight w:val="none"/>
              </w:rPr>
              <w:t>安全生产考核合格证。</w:t>
            </w:r>
          </w:p>
        </w:tc>
      </w:tr>
    </w:tbl>
    <w:p>
      <w:pPr>
        <w:pStyle w:val="3"/>
        <w:rPr>
          <w:color w:val="auto"/>
          <w:highlight w:val="none"/>
        </w:rPr>
      </w:pPr>
    </w:p>
    <w:p>
      <w:pPr>
        <w:adjustRightInd w:val="0"/>
        <w:snapToGrid w:val="0"/>
        <w:spacing w:line="360" w:lineRule="auto"/>
        <w:rPr>
          <w:b/>
          <w:color w:val="auto"/>
          <w:sz w:val="24"/>
          <w:highlight w:val="none"/>
        </w:rPr>
      </w:pPr>
    </w:p>
    <w:p>
      <w:pPr>
        <w:pStyle w:val="2"/>
        <w:rPr>
          <w:b/>
          <w:color w:val="auto"/>
          <w:sz w:val="24"/>
          <w:highlight w:val="none"/>
        </w:rPr>
      </w:pPr>
    </w:p>
    <w:p>
      <w:pPr>
        <w:pStyle w:val="2"/>
        <w:rPr>
          <w:b/>
          <w:color w:val="auto"/>
          <w:sz w:val="24"/>
          <w:highlight w:val="none"/>
        </w:rPr>
      </w:pPr>
    </w:p>
    <w:p>
      <w:pPr>
        <w:pStyle w:val="2"/>
        <w:rPr>
          <w:b/>
          <w:color w:val="auto"/>
          <w:sz w:val="24"/>
          <w:highlight w:val="none"/>
        </w:rPr>
      </w:pPr>
    </w:p>
    <w:p>
      <w:pPr>
        <w:pStyle w:val="2"/>
        <w:rPr>
          <w:b/>
          <w:color w:val="auto"/>
          <w:sz w:val="24"/>
          <w:highlight w:val="none"/>
        </w:rPr>
      </w:pPr>
    </w:p>
    <w:p>
      <w:pPr>
        <w:pStyle w:val="2"/>
        <w:rPr>
          <w:b/>
          <w:color w:val="auto"/>
          <w:sz w:val="24"/>
          <w:highlight w:val="none"/>
        </w:rPr>
      </w:pPr>
    </w:p>
    <w:p>
      <w:pPr>
        <w:pStyle w:val="2"/>
        <w:rPr>
          <w:b/>
          <w:color w:val="auto"/>
          <w:sz w:val="24"/>
          <w:highlight w:val="none"/>
        </w:rPr>
      </w:pPr>
    </w:p>
    <w:p>
      <w:pPr>
        <w:pStyle w:val="2"/>
        <w:rPr>
          <w:b/>
          <w:color w:val="auto"/>
          <w:sz w:val="24"/>
          <w:highlight w:val="none"/>
        </w:rPr>
      </w:pPr>
    </w:p>
    <w:p>
      <w:pPr>
        <w:pStyle w:val="2"/>
        <w:rPr>
          <w:b/>
          <w:color w:val="auto"/>
          <w:sz w:val="24"/>
          <w:highlight w:val="none"/>
        </w:rPr>
      </w:pPr>
    </w:p>
    <w:p>
      <w:pPr>
        <w:pStyle w:val="2"/>
        <w:rPr>
          <w:b/>
          <w:color w:val="auto"/>
          <w:sz w:val="24"/>
          <w:highlight w:val="none"/>
        </w:rPr>
      </w:pPr>
    </w:p>
    <w:p>
      <w:pPr>
        <w:pStyle w:val="4"/>
        <w:rPr>
          <w:color w:val="auto"/>
          <w:highlight w:val="none"/>
        </w:rPr>
      </w:pPr>
    </w:p>
    <w:p>
      <w:pPr>
        <w:pStyle w:val="4"/>
        <w:rPr>
          <w:color w:val="auto"/>
          <w:highlight w:val="none"/>
        </w:rPr>
      </w:pPr>
    </w:p>
    <w:p>
      <w:pPr>
        <w:pStyle w:val="2"/>
        <w:rPr>
          <w:b/>
          <w:color w:val="auto"/>
          <w:sz w:val="24"/>
          <w:highlight w:val="none"/>
        </w:rPr>
      </w:pPr>
    </w:p>
    <w:p>
      <w:pPr>
        <w:pStyle w:val="2"/>
        <w:rPr>
          <w:b/>
          <w:color w:val="auto"/>
          <w:sz w:val="24"/>
          <w:highlight w:val="none"/>
        </w:rPr>
      </w:pPr>
    </w:p>
    <w:p>
      <w:pPr>
        <w:adjustRightInd w:val="0"/>
        <w:snapToGrid w:val="0"/>
        <w:spacing w:line="360" w:lineRule="auto"/>
        <w:rPr>
          <w:rFonts w:hint="eastAsia"/>
          <w:b/>
          <w:color w:val="auto"/>
          <w:sz w:val="24"/>
          <w:highlight w:val="none"/>
          <w:lang w:eastAsia="zh-CN"/>
        </w:rPr>
      </w:pPr>
      <w:r>
        <w:rPr>
          <w:b/>
          <w:color w:val="auto"/>
          <w:sz w:val="24"/>
          <w:highlight w:val="none"/>
        </w:rPr>
        <w:t>附件五：</w:t>
      </w:r>
      <w:r>
        <w:rPr>
          <w:rFonts w:hint="eastAsia"/>
          <w:b/>
          <w:color w:val="auto"/>
          <w:sz w:val="24"/>
          <w:highlight w:val="none"/>
          <w:lang w:eastAsia="zh-CN"/>
        </w:rPr>
        <w:t>主要机械设备和实验检测设备最低要求</w:t>
      </w:r>
    </w:p>
    <w:tbl>
      <w:tblPr>
        <w:tblStyle w:val="47"/>
        <w:tblpPr w:leftFromText="180" w:rightFromText="180" w:vertAnchor="text" w:horzAnchor="page" w:tblpX="1422" w:tblpY="294"/>
        <w:tblOverlap w:val="never"/>
        <w:tblW w:w="893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7"/>
        <w:gridCol w:w="2413"/>
        <w:gridCol w:w="994"/>
        <w:gridCol w:w="1135"/>
        <w:gridCol w:w="21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2287" w:type="dxa"/>
            <w:noWrap w:val="0"/>
            <w:vAlign w:val="center"/>
          </w:tcPr>
          <w:p>
            <w:pPr>
              <w:spacing w:line="400" w:lineRule="exact"/>
              <w:jc w:val="center"/>
              <w:rPr>
                <w:color w:val="auto"/>
                <w:szCs w:val="21"/>
                <w:highlight w:val="none"/>
              </w:rPr>
            </w:pPr>
            <w:r>
              <w:rPr>
                <w:color w:val="auto"/>
                <w:szCs w:val="21"/>
                <w:highlight w:val="none"/>
              </w:rPr>
              <w:t>设备名称</w:t>
            </w:r>
          </w:p>
        </w:tc>
        <w:tc>
          <w:tcPr>
            <w:tcW w:w="2413" w:type="dxa"/>
            <w:noWrap w:val="0"/>
            <w:vAlign w:val="center"/>
          </w:tcPr>
          <w:p>
            <w:pPr>
              <w:spacing w:line="400" w:lineRule="exact"/>
              <w:jc w:val="center"/>
              <w:rPr>
                <w:color w:val="auto"/>
                <w:szCs w:val="21"/>
                <w:highlight w:val="none"/>
              </w:rPr>
            </w:pPr>
            <w:r>
              <w:rPr>
                <w:color w:val="auto"/>
                <w:szCs w:val="21"/>
                <w:highlight w:val="none"/>
              </w:rPr>
              <w:t>设备类型和技术指标</w:t>
            </w:r>
          </w:p>
        </w:tc>
        <w:tc>
          <w:tcPr>
            <w:tcW w:w="994" w:type="dxa"/>
            <w:noWrap w:val="0"/>
            <w:vAlign w:val="center"/>
          </w:tcPr>
          <w:p>
            <w:pPr>
              <w:spacing w:line="400" w:lineRule="exact"/>
              <w:jc w:val="center"/>
              <w:rPr>
                <w:color w:val="auto"/>
                <w:szCs w:val="21"/>
                <w:highlight w:val="none"/>
              </w:rPr>
            </w:pPr>
            <w:r>
              <w:rPr>
                <w:color w:val="auto"/>
                <w:szCs w:val="21"/>
                <w:highlight w:val="none"/>
              </w:rPr>
              <w:t>单位</w:t>
            </w:r>
          </w:p>
        </w:tc>
        <w:tc>
          <w:tcPr>
            <w:tcW w:w="1135" w:type="dxa"/>
            <w:noWrap w:val="0"/>
            <w:vAlign w:val="center"/>
          </w:tcPr>
          <w:p>
            <w:pPr>
              <w:spacing w:line="400" w:lineRule="exact"/>
              <w:jc w:val="center"/>
              <w:rPr>
                <w:color w:val="auto"/>
                <w:szCs w:val="21"/>
                <w:highlight w:val="none"/>
              </w:rPr>
            </w:pPr>
            <w:r>
              <w:rPr>
                <w:color w:val="auto"/>
                <w:szCs w:val="21"/>
                <w:highlight w:val="none"/>
              </w:rPr>
              <w:t>数量</w:t>
            </w:r>
          </w:p>
        </w:tc>
        <w:tc>
          <w:tcPr>
            <w:tcW w:w="2105" w:type="dxa"/>
            <w:noWrap w:val="0"/>
            <w:vAlign w:val="center"/>
          </w:tcPr>
          <w:p>
            <w:pPr>
              <w:spacing w:line="400" w:lineRule="exact"/>
              <w:jc w:val="center"/>
              <w:rPr>
                <w:color w:val="auto"/>
                <w:szCs w:val="21"/>
                <w:highlight w:val="none"/>
              </w:rPr>
            </w:pPr>
            <w:r>
              <w:rPr>
                <w:color w:val="auto"/>
                <w:szCs w:val="21"/>
                <w:highlight w:val="none"/>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2287" w:type="dxa"/>
            <w:noWrap w:val="0"/>
            <w:vAlign w:val="center"/>
          </w:tcPr>
          <w:p>
            <w:pPr>
              <w:spacing w:line="400" w:lineRule="exact"/>
              <w:jc w:val="center"/>
              <w:rPr>
                <w:rFonts w:hint="eastAsia" w:eastAsia="宋体"/>
                <w:color w:val="auto"/>
                <w:szCs w:val="21"/>
                <w:highlight w:val="none"/>
                <w:lang w:eastAsia="zh-CN"/>
              </w:rPr>
            </w:pPr>
            <w:r>
              <w:rPr>
                <w:rFonts w:hint="eastAsia"/>
                <w:color w:val="auto"/>
                <w:szCs w:val="21"/>
                <w:highlight w:val="none"/>
                <w:lang w:eastAsia="zh-CN"/>
              </w:rPr>
              <w:t>起重机</w:t>
            </w:r>
          </w:p>
        </w:tc>
        <w:tc>
          <w:tcPr>
            <w:tcW w:w="2413" w:type="dxa"/>
            <w:noWrap w:val="0"/>
            <w:vAlign w:val="center"/>
          </w:tcPr>
          <w:p>
            <w:pPr>
              <w:spacing w:line="400" w:lineRule="exact"/>
              <w:jc w:val="center"/>
              <w:rPr>
                <w:rFonts w:hint="eastAsia" w:eastAsia="宋体"/>
                <w:color w:val="auto"/>
                <w:szCs w:val="21"/>
                <w:highlight w:val="none"/>
                <w:lang w:val="en-US" w:eastAsia="zh-CN"/>
              </w:rPr>
            </w:pPr>
            <w:r>
              <w:rPr>
                <w:rFonts w:hint="eastAsia"/>
                <w:color w:val="auto"/>
                <w:szCs w:val="21"/>
                <w:highlight w:val="none"/>
                <w:lang w:val="en-US" w:eastAsia="zh-CN"/>
              </w:rPr>
              <w:t>8-16吨</w:t>
            </w:r>
          </w:p>
        </w:tc>
        <w:tc>
          <w:tcPr>
            <w:tcW w:w="994" w:type="dxa"/>
            <w:noWrap w:val="0"/>
            <w:vAlign w:val="center"/>
          </w:tcPr>
          <w:p>
            <w:pPr>
              <w:spacing w:line="400" w:lineRule="exact"/>
              <w:jc w:val="center"/>
              <w:rPr>
                <w:rFonts w:hint="eastAsia" w:eastAsia="宋体"/>
                <w:color w:val="auto"/>
                <w:szCs w:val="21"/>
                <w:highlight w:val="none"/>
                <w:lang w:eastAsia="zh-CN"/>
              </w:rPr>
            </w:pPr>
            <w:r>
              <w:rPr>
                <w:rFonts w:hint="eastAsia"/>
                <w:color w:val="auto"/>
                <w:szCs w:val="21"/>
                <w:highlight w:val="none"/>
                <w:lang w:eastAsia="zh-CN"/>
              </w:rPr>
              <w:t>台</w:t>
            </w:r>
          </w:p>
        </w:tc>
        <w:tc>
          <w:tcPr>
            <w:tcW w:w="1135" w:type="dxa"/>
            <w:noWrap w:val="0"/>
            <w:vAlign w:val="center"/>
          </w:tcPr>
          <w:p>
            <w:pPr>
              <w:spacing w:line="400" w:lineRule="exact"/>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2105" w:type="dxa"/>
            <w:noWrap w:val="0"/>
            <w:vAlign w:val="center"/>
          </w:tcPr>
          <w:p>
            <w:pPr>
              <w:spacing w:line="400" w:lineRule="exact"/>
              <w:jc w:val="center"/>
              <w:rPr>
                <w:rFonts w:hint="eastAsia" w:eastAsia="宋体"/>
                <w:color w:val="auto"/>
                <w:szCs w:val="21"/>
                <w:highlight w:val="none"/>
                <w:lang w:val="en-US" w:eastAsia="zh-CN"/>
              </w:rPr>
            </w:pPr>
            <w:r>
              <w:rPr>
                <w:rFonts w:hint="eastAsia"/>
                <w:color w:val="auto"/>
                <w:szCs w:val="21"/>
                <w:highlight w:val="none"/>
                <w:lang w:eastAsia="zh-CN"/>
              </w:rPr>
              <w:t>近</w:t>
            </w:r>
            <w:r>
              <w:rPr>
                <w:rFonts w:hint="eastAsia"/>
                <w:color w:val="auto"/>
                <w:szCs w:val="21"/>
                <w:highlight w:val="none"/>
                <w:lang w:val="en-US" w:eastAsia="zh-CN"/>
              </w:rPr>
              <w:t>5年购置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2287"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起重机</w:t>
            </w:r>
          </w:p>
        </w:tc>
        <w:tc>
          <w:tcPr>
            <w:tcW w:w="2413" w:type="dxa"/>
            <w:noWrap w:val="0"/>
            <w:vAlign w:val="center"/>
          </w:tcPr>
          <w:p>
            <w:pPr>
              <w:spacing w:line="400" w:lineRule="exact"/>
              <w:jc w:val="center"/>
              <w:rPr>
                <w:rFonts w:hint="eastAsia"/>
                <w:color w:val="auto"/>
                <w:szCs w:val="21"/>
                <w:highlight w:val="none"/>
                <w:lang w:val="en-US" w:eastAsia="zh-CN"/>
              </w:rPr>
            </w:pPr>
            <w:r>
              <w:rPr>
                <w:rFonts w:hint="eastAsia"/>
                <w:color w:val="auto"/>
                <w:szCs w:val="21"/>
                <w:highlight w:val="none"/>
                <w:lang w:val="en-US" w:eastAsia="zh-CN"/>
              </w:rPr>
              <w:t>30吨</w:t>
            </w:r>
          </w:p>
        </w:tc>
        <w:tc>
          <w:tcPr>
            <w:tcW w:w="994"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台</w:t>
            </w:r>
          </w:p>
        </w:tc>
        <w:tc>
          <w:tcPr>
            <w:tcW w:w="1135" w:type="dxa"/>
            <w:noWrap w:val="0"/>
            <w:vAlign w:val="center"/>
          </w:tcPr>
          <w:p>
            <w:pPr>
              <w:spacing w:line="400" w:lineRule="exact"/>
              <w:jc w:val="center"/>
              <w:rPr>
                <w:rFonts w:hint="eastAsia"/>
                <w:color w:val="auto"/>
                <w:szCs w:val="21"/>
                <w:highlight w:val="none"/>
                <w:lang w:val="en-US" w:eastAsia="zh-CN"/>
              </w:rPr>
            </w:pPr>
            <w:r>
              <w:rPr>
                <w:rFonts w:hint="eastAsia"/>
                <w:color w:val="auto"/>
                <w:szCs w:val="21"/>
                <w:highlight w:val="none"/>
                <w:lang w:val="en-US" w:eastAsia="zh-CN"/>
              </w:rPr>
              <w:t>1</w:t>
            </w:r>
          </w:p>
        </w:tc>
        <w:tc>
          <w:tcPr>
            <w:tcW w:w="2105"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近</w:t>
            </w:r>
            <w:r>
              <w:rPr>
                <w:rFonts w:hint="eastAsia"/>
                <w:color w:val="auto"/>
                <w:szCs w:val="21"/>
                <w:highlight w:val="none"/>
                <w:lang w:val="en-US" w:eastAsia="zh-CN"/>
              </w:rPr>
              <w:t>5年购置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2287"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砼输送泵</w:t>
            </w:r>
          </w:p>
        </w:tc>
        <w:tc>
          <w:tcPr>
            <w:tcW w:w="2413" w:type="dxa"/>
            <w:noWrap w:val="0"/>
            <w:vAlign w:val="center"/>
          </w:tcPr>
          <w:p>
            <w:pPr>
              <w:spacing w:line="400" w:lineRule="exact"/>
              <w:jc w:val="center"/>
              <w:rPr>
                <w:rFonts w:hint="eastAsia"/>
                <w:color w:val="auto"/>
                <w:szCs w:val="21"/>
                <w:highlight w:val="none"/>
                <w:lang w:val="en-US" w:eastAsia="zh-CN"/>
              </w:rPr>
            </w:pPr>
            <w:r>
              <w:rPr>
                <w:rFonts w:hint="eastAsia"/>
                <w:color w:val="auto"/>
                <w:szCs w:val="21"/>
                <w:highlight w:val="none"/>
                <w:lang w:val="en-US" w:eastAsia="zh-CN"/>
              </w:rPr>
              <w:t>60kw</w:t>
            </w:r>
          </w:p>
        </w:tc>
        <w:tc>
          <w:tcPr>
            <w:tcW w:w="994"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台</w:t>
            </w:r>
          </w:p>
        </w:tc>
        <w:tc>
          <w:tcPr>
            <w:tcW w:w="1135" w:type="dxa"/>
            <w:noWrap w:val="0"/>
            <w:vAlign w:val="center"/>
          </w:tcPr>
          <w:p>
            <w:pPr>
              <w:spacing w:line="400" w:lineRule="exact"/>
              <w:jc w:val="center"/>
              <w:rPr>
                <w:rFonts w:hint="eastAsia"/>
                <w:color w:val="auto"/>
                <w:szCs w:val="21"/>
                <w:highlight w:val="none"/>
                <w:lang w:val="en-US" w:eastAsia="zh-CN"/>
              </w:rPr>
            </w:pPr>
            <w:r>
              <w:rPr>
                <w:rFonts w:hint="eastAsia"/>
                <w:color w:val="auto"/>
                <w:szCs w:val="21"/>
                <w:highlight w:val="none"/>
                <w:lang w:val="en-US" w:eastAsia="zh-CN"/>
              </w:rPr>
              <w:t>1</w:t>
            </w:r>
          </w:p>
        </w:tc>
        <w:tc>
          <w:tcPr>
            <w:tcW w:w="2105"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近</w:t>
            </w:r>
            <w:r>
              <w:rPr>
                <w:rFonts w:hint="eastAsia"/>
                <w:color w:val="auto"/>
                <w:szCs w:val="21"/>
                <w:highlight w:val="none"/>
                <w:lang w:val="en-US" w:eastAsia="zh-CN"/>
              </w:rPr>
              <w:t>5年购置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2287"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砼运输车</w:t>
            </w:r>
          </w:p>
        </w:tc>
        <w:tc>
          <w:tcPr>
            <w:tcW w:w="2413" w:type="dxa"/>
            <w:noWrap w:val="0"/>
            <w:vAlign w:val="center"/>
          </w:tcPr>
          <w:p>
            <w:pPr>
              <w:spacing w:line="400" w:lineRule="exact"/>
              <w:jc w:val="center"/>
              <w:rPr>
                <w:rFonts w:hint="eastAsia"/>
                <w:color w:val="auto"/>
                <w:szCs w:val="21"/>
                <w:highlight w:val="none"/>
                <w:lang w:val="en-US" w:eastAsia="zh-CN"/>
              </w:rPr>
            </w:pPr>
            <w:r>
              <w:rPr>
                <w:rFonts w:hint="eastAsia"/>
                <w:color w:val="auto"/>
                <w:szCs w:val="21"/>
                <w:highlight w:val="none"/>
                <w:lang w:val="en-US" w:eastAsia="zh-CN"/>
              </w:rPr>
              <w:t>满足施工需要</w:t>
            </w:r>
          </w:p>
        </w:tc>
        <w:tc>
          <w:tcPr>
            <w:tcW w:w="994"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台</w:t>
            </w:r>
          </w:p>
        </w:tc>
        <w:tc>
          <w:tcPr>
            <w:tcW w:w="1135" w:type="dxa"/>
            <w:noWrap w:val="0"/>
            <w:vAlign w:val="center"/>
          </w:tcPr>
          <w:p>
            <w:pPr>
              <w:spacing w:line="400" w:lineRule="exact"/>
              <w:jc w:val="center"/>
              <w:rPr>
                <w:rFonts w:hint="eastAsia"/>
                <w:color w:val="auto"/>
                <w:szCs w:val="21"/>
                <w:highlight w:val="none"/>
                <w:lang w:val="en-US" w:eastAsia="zh-CN"/>
              </w:rPr>
            </w:pPr>
            <w:r>
              <w:rPr>
                <w:rFonts w:hint="eastAsia"/>
                <w:color w:val="auto"/>
                <w:szCs w:val="21"/>
                <w:highlight w:val="none"/>
                <w:lang w:val="en-US" w:eastAsia="zh-CN"/>
              </w:rPr>
              <w:t>3</w:t>
            </w:r>
          </w:p>
        </w:tc>
        <w:tc>
          <w:tcPr>
            <w:tcW w:w="2105"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近</w:t>
            </w:r>
            <w:r>
              <w:rPr>
                <w:rFonts w:hint="eastAsia"/>
                <w:color w:val="auto"/>
                <w:szCs w:val="21"/>
                <w:highlight w:val="none"/>
                <w:lang w:val="en-US" w:eastAsia="zh-CN"/>
              </w:rPr>
              <w:t>5年购置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2287"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风镐</w:t>
            </w:r>
          </w:p>
        </w:tc>
        <w:tc>
          <w:tcPr>
            <w:tcW w:w="2413" w:type="dxa"/>
            <w:noWrap w:val="0"/>
            <w:vAlign w:val="center"/>
          </w:tcPr>
          <w:p>
            <w:pPr>
              <w:spacing w:line="400" w:lineRule="exact"/>
              <w:jc w:val="center"/>
              <w:rPr>
                <w:rFonts w:hint="eastAsia"/>
                <w:color w:val="auto"/>
                <w:szCs w:val="21"/>
                <w:highlight w:val="none"/>
                <w:lang w:val="en-US" w:eastAsia="zh-CN"/>
              </w:rPr>
            </w:pPr>
            <w:r>
              <w:rPr>
                <w:rFonts w:hint="eastAsia"/>
                <w:color w:val="auto"/>
                <w:szCs w:val="21"/>
                <w:highlight w:val="none"/>
                <w:lang w:eastAsia="zh-CN"/>
              </w:rPr>
              <w:t>满足施工需要</w:t>
            </w:r>
          </w:p>
        </w:tc>
        <w:tc>
          <w:tcPr>
            <w:tcW w:w="994"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台</w:t>
            </w:r>
          </w:p>
        </w:tc>
        <w:tc>
          <w:tcPr>
            <w:tcW w:w="1135" w:type="dxa"/>
            <w:noWrap w:val="0"/>
            <w:vAlign w:val="center"/>
          </w:tcPr>
          <w:p>
            <w:pPr>
              <w:spacing w:line="400" w:lineRule="exact"/>
              <w:jc w:val="center"/>
              <w:rPr>
                <w:rFonts w:hint="eastAsia"/>
                <w:color w:val="auto"/>
                <w:szCs w:val="21"/>
                <w:highlight w:val="none"/>
                <w:lang w:val="en-US" w:eastAsia="zh-CN"/>
              </w:rPr>
            </w:pPr>
            <w:r>
              <w:rPr>
                <w:rFonts w:hint="eastAsia"/>
                <w:color w:val="auto"/>
                <w:szCs w:val="21"/>
                <w:highlight w:val="none"/>
                <w:lang w:val="en-US" w:eastAsia="zh-CN"/>
              </w:rPr>
              <w:t>4</w:t>
            </w:r>
          </w:p>
        </w:tc>
        <w:tc>
          <w:tcPr>
            <w:tcW w:w="2105"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2287"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水泥混凝土路面振捣设备</w:t>
            </w:r>
          </w:p>
        </w:tc>
        <w:tc>
          <w:tcPr>
            <w:tcW w:w="2413" w:type="dxa"/>
            <w:noWrap w:val="0"/>
            <w:vAlign w:val="center"/>
          </w:tcPr>
          <w:p>
            <w:pPr>
              <w:spacing w:line="400" w:lineRule="exact"/>
              <w:jc w:val="center"/>
              <w:rPr>
                <w:rFonts w:hint="eastAsia"/>
                <w:color w:val="auto"/>
                <w:szCs w:val="21"/>
                <w:highlight w:val="none"/>
                <w:lang w:val="en-US" w:eastAsia="zh-CN"/>
              </w:rPr>
            </w:pPr>
            <w:r>
              <w:rPr>
                <w:rFonts w:hint="eastAsia"/>
                <w:color w:val="auto"/>
                <w:szCs w:val="21"/>
                <w:highlight w:val="none"/>
                <w:lang w:eastAsia="zh-CN"/>
              </w:rPr>
              <w:t>满足施工需要</w:t>
            </w:r>
          </w:p>
        </w:tc>
        <w:tc>
          <w:tcPr>
            <w:tcW w:w="994"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套</w:t>
            </w:r>
          </w:p>
        </w:tc>
        <w:tc>
          <w:tcPr>
            <w:tcW w:w="1135" w:type="dxa"/>
            <w:noWrap w:val="0"/>
            <w:vAlign w:val="center"/>
          </w:tcPr>
          <w:p>
            <w:pPr>
              <w:spacing w:line="400" w:lineRule="exact"/>
              <w:jc w:val="center"/>
              <w:rPr>
                <w:rFonts w:hint="eastAsia"/>
                <w:color w:val="auto"/>
                <w:szCs w:val="21"/>
                <w:highlight w:val="none"/>
                <w:lang w:val="en-US" w:eastAsia="zh-CN"/>
              </w:rPr>
            </w:pPr>
            <w:r>
              <w:rPr>
                <w:rFonts w:hint="eastAsia"/>
                <w:color w:val="auto"/>
                <w:szCs w:val="21"/>
                <w:highlight w:val="none"/>
                <w:lang w:val="en-US" w:eastAsia="zh-CN"/>
              </w:rPr>
              <w:t>2</w:t>
            </w:r>
          </w:p>
        </w:tc>
        <w:tc>
          <w:tcPr>
            <w:tcW w:w="2105"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2287"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钢筋切断机</w:t>
            </w:r>
          </w:p>
        </w:tc>
        <w:tc>
          <w:tcPr>
            <w:tcW w:w="2413"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val="en-US" w:eastAsia="zh-CN"/>
              </w:rPr>
              <w:t>满足施工需要</w:t>
            </w:r>
          </w:p>
        </w:tc>
        <w:tc>
          <w:tcPr>
            <w:tcW w:w="994"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台</w:t>
            </w:r>
          </w:p>
        </w:tc>
        <w:tc>
          <w:tcPr>
            <w:tcW w:w="1135" w:type="dxa"/>
            <w:noWrap w:val="0"/>
            <w:vAlign w:val="center"/>
          </w:tcPr>
          <w:p>
            <w:pPr>
              <w:spacing w:line="400" w:lineRule="exact"/>
              <w:jc w:val="center"/>
              <w:rPr>
                <w:rFonts w:hint="eastAsia"/>
                <w:color w:val="auto"/>
                <w:szCs w:val="21"/>
                <w:highlight w:val="none"/>
                <w:lang w:val="en-US" w:eastAsia="zh-CN"/>
              </w:rPr>
            </w:pPr>
            <w:r>
              <w:rPr>
                <w:rFonts w:hint="eastAsia"/>
                <w:color w:val="auto"/>
                <w:szCs w:val="21"/>
                <w:highlight w:val="none"/>
                <w:lang w:val="en-US" w:eastAsia="zh-CN"/>
              </w:rPr>
              <w:t>4</w:t>
            </w:r>
          </w:p>
        </w:tc>
        <w:tc>
          <w:tcPr>
            <w:tcW w:w="2105"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2287"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电焊机</w:t>
            </w:r>
          </w:p>
        </w:tc>
        <w:tc>
          <w:tcPr>
            <w:tcW w:w="2413"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val="en-US" w:eastAsia="zh-CN"/>
              </w:rPr>
              <w:t>满足施工需要</w:t>
            </w:r>
          </w:p>
        </w:tc>
        <w:tc>
          <w:tcPr>
            <w:tcW w:w="994"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台</w:t>
            </w:r>
          </w:p>
        </w:tc>
        <w:tc>
          <w:tcPr>
            <w:tcW w:w="1135" w:type="dxa"/>
            <w:noWrap w:val="0"/>
            <w:vAlign w:val="center"/>
          </w:tcPr>
          <w:p>
            <w:pPr>
              <w:spacing w:line="400" w:lineRule="exact"/>
              <w:jc w:val="center"/>
              <w:rPr>
                <w:rFonts w:hint="eastAsia"/>
                <w:color w:val="auto"/>
                <w:szCs w:val="21"/>
                <w:highlight w:val="none"/>
                <w:lang w:val="en-US" w:eastAsia="zh-CN"/>
              </w:rPr>
            </w:pPr>
            <w:r>
              <w:rPr>
                <w:rFonts w:hint="eastAsia"/>
                <w:color w:val="auto"/>
                <w:szCs w:val="21"/>
                <w:highlight w:val="none"/>
                <w:lang w:val="en-US" w:eastAsia="zh-CN"/>
              </w:rPr>
              <w:t>4</w:t>
            </w:r>
          </w:p>
        </w:tc>
        <w:tc>
          <w:tcPr>
            <w:tcW w:w="2105"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2287"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液压千斤顶</w:t>
            </w:r>
          </w:p>
        </w:tc>
        <w:tc>
          <w:tcPr>
            <w:tcW w:w="2413" w:type="dxa"/>
            <w:noWrap w:val="0"/>
            <w:vAlign w:val="center"/>
          </w:tcPr>
          <w:p>
            <w:pPr>
              <w:spacing w:line="400" w:lineRule="exact"/>
              <w:jc w:val="center"/>
              <w:rPr>
                <w:rFonts w:hint="eastAsia"/>
                <w:color w:val="auto"/>
                <w:szCs w:val="21"/>
                <w:highlight w:val="none"/>
                <w:lang w:val="en-US" w:eastAsia="zh-CN"/>
              </w:rPr>
            </w:pPr>
            <w:r>
              <w:rPr>
                <w:rFonts w:hint="eastAsia"/>
                <w:color w:val="auto"/>
                <w:szCs w:val="21"/>
                <w:highlight w:val="none"/>
                <w:lang w:val="en-US" w:eastAsia="zh-CN"/>
              </w:rPr>
              <w:t>满足施工需要</w:t>
            </w:r>
          </w:p>
        </w:tc>
        <w:tc>
          <w:tcPr>
            <w:tcW w:w="994"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台</w:t>
            </w:r>
          </w:p>
        </w:tc>
        <w:tc>
          <w:tcPr>
            <w:tcW w:w="1135" w:type="dxa"/>
            <w:noWrap w:val="0"/>
            <w:vAlign w:val="center"/>
          </w:tcPr>
          <w:p>
            <w:pPr>
              <w:spacing w:line="400" w:lineRule="exact"/>
              <w:jc w:val="center"/>
              <w:rPr>
                <w:rFonts w:hint="eastAsia"/>
                <w:color w:val="auto"/>
                <w:szCs w:val="21"/>
                <w:highlight w:val="none"/>
                <w:lang w:val="en-US" w:eastAsia="zh-CN"/>
              </w:rPr>
            </w:pPr>
            <w:r>
              <w:rPr>
                <w:rFonts w:hint="eastAsia"/>
                <w:color w:val="auto"/>
                <w:szCs w:val="21"/>
                <w:highlight w:val="none"/>
                <w:lang w:val="en-US" w:eastAsia="zh-CN"/>
              </w:rPr>
              <w:t>1</w:t>
            </w:r>
          </w:p>
        </w:tc>
        <w:tc>
          <w:tcPr>
            <w:tcW w:w="2105"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2287"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钢筋弯曲机</w:t>
            </w:r>
          </w:p>
        </w:tc>
        <w:tc>
          <w:tcPr>
            <w:tcW w:w="2413" w:type="dxa"/>
            <w:noWrap w:val="0"/>
            <w:vAlign w:val="center"/>
          </w:tcPr>
          <w:p>
            <w:pPr>
              <w:spacing w:line="400" w:lineRule="exact"/>
              <w:jc w:val="center"/>
              <w:rPr>
                <w:rFonts w:hint="eastAsia"/>
                <w:color w:val="auto"/>
                <w:szCs w:val="21"/>
                <w:highlight w:val="none"/>
                <w:lang w:val="en-US" w:eastAsia="zh-CN"/>
              </w:rPr>
            </w:pPr>
            <w:r>
              <w:rPr>
                <w:rFonts w:hint="eastAsia"/>
                <w:color w:val="auto"/>
                <w:szCs w:val="21"/>
                <w:highlight w:val="none"/>
                <w:lang w:val="en-US" w:eastAsia="zh-CN"/>
              </w:rPr>
              <w:t>3kw</w:t>
            </w:r>
          </w:p>
        </w:tc>
        <w:tc>
          <w:tcPr>
            <w:tcW w:w="994"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台</w:t>
            </w:r>
          </w:p>
        </w:tc>
        <w:tc>
          <w:tcPr>
            <w:tcW w:w="1135" w:type="dxa"/>
            <w:noWrap w:val="0"/>
            <w:vAlign w:val="center"/>
          </w:tcPr>
          <w:p>
            <w:pPr>
              <w:spacing w:line="400" w:lineRule="exact"/>
              <w:jc w:val="center"/>
              <w:rPr>
                <w:rFonts w:hint="eastAsia"/>
                <w:color w:val="auto"/>
                <w:szCs w:val="21"/>
                <w:highlight w:val="none"/>
                <w:lang w:val="en-US" w:eastAsia="zh-CN"/>
              </w:rPr>
            </w:pPr>
            <w:r>
              <w:rPr>
                <w:rFonts w:hint="eastAsia"/>
                <w:color w:val="auto"/>
                <w:szCs w:val="21"/>
                <w:highlight w:val="none"/>
                <w:lang w:val="en-US" w:eastAsia="zh-CN"/>
              </w:rPr>
              <w:t>4</w:t>
            </w:r>
          </w:p>
        </w:tc>
        <w:tc>
          <w:tcPr>
            <w:tcW w:w="2105"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2287"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钢筋调直机</w:t>
            </w:r>
          </w:p>
        </w:tc>
        <w:tc>
          <w:tcPr>
            <w:tcW w:w="2413" w:type="dxa"/>
            <w:noWrap w:val="0"/>
            <w:vAlign w:val="center"/>
          </w:tcPr>
          <w:p>
            <w:pPr>
              <w:spacing w:line="400" w:lineRule="exact"/>
              <w:jc w:val="center"/>
              <w:rPr>
                <w:rFonts w:hint="eastAsia"/>
                <w:color w:val="auto"/>
                <w:szCs w:val="21"/>
                <w:highlight w:val="none"/>
                <w:lang w:val="en-US" w:eastAsia="zh-CN"/>
              </w:rPr>
            </w:pPr>
            <w:r>
              <w:rPr>
                <w:rFonts w:hint="eastAsia"/>
                <w:color w:val="auto"/>
                <w:szCs w:val="21"/>
                <w:highlight w:val="none"/>
                <w:lang w:val="en-US" w:eastAsia="zh-CN"/>
              </w:rPr>
              <w:t>4kw</w:t>
            </w:r>
          </w:p>
        </w:tc>
        <w:tc>
          <w:tcPr>
            <w:tcW w:w="994"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台</w:t>
            </w:r>
          </w:p>
        </w:tc>
        <w:tc>
          <w:tcPr>
            <w:tcW w:w="1135"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val="en-US" w:eastAsia="zh-CN"/>
              </w:rPr>
              <w:t>4</w:t>
            </w:r>
          </w:p>
        </w:tc>
        <w:tc>
          <w:tcPr>
            <w:tcW w:w="2105"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2287"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挖掘机</w:t>
            </w:r>
          </w:p>
        </w:tc>
        <w:tc>
          <w:tcPr>
            <w:tcW w:w="2413" w:type="dxa"/>
            <w:noWrap w:val="0"/>
            <w:vAlign w:val="center"/>
          </w:tcPr>
          <w:p>
            <w:pPr>
              <w:spacing w:line="400" w:lineRule="exact"/>
              <w:jc w:val="center"/>
              <w:rPr>
                <w:rFonts w:hint="eastAsia"/>
                <w:color w:val="auto"/>
                <w:szCs w:val="21"/>
                <w:highlight w:val="none"/>
                <w:lang w:val="en-US" w:eastAsia="zh-CN"/>
              </w:rPr>
            </w:pPr>
            <w:r>
              <w:rPr>
                <w:rFonts w:hint="eastAsia"/>
                <w:color w:val="auto"/>
                <w:szCs w:val="21"/>
                <w:highlight w:val="none"/>
                <w:lang w:eastAsia="zh-CN"/>
              </w:rPr>
              <w:t>1立方米</w:t>
            </w:r>
          </w:p>
        </w:tc>
        <w:tc>
          <w:tcPr>
            <w:tcW w:w="994"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台</w:t>
            </w:r>
          </w:p>
        </w:tc>
        <w:tc>
          <w:tcPr>
            <w:tcW w:w="1135"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3</w:t>
            </w:r>
          </w:p>
        </w:tc>
        <w:tc>
          <w:tcPr>
            <w:tcW w:w="2105"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2287"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装载机</w:t>
            </w:r>
          </w:p>
        </w:tc>
        <w:tc>
          <w:tcPr>
            <w:tcW w:w="2413" w:type="dxa"/>
            <w:noWrap w:val="0"/>
            <w:vAlign w:val="center"/>
          </w:tcPr>
          <w:p>
            <w:pPr>
              <w:spacing w:line="400" w:lineRule="exact"/>
              <w:jc w:val="center"/>
              <w:rPr>
                <w:rFonts w:hint="eastAsia"/>
                <w:color w:val="auto"/>
                <w:szCs w:val="21"/>
                <w:highlight w:val="none"/>
                <w:lang w:val="en-US" w:eastAsia="zh-CN"/>
              </w:rPr>
            </w:pPr>
            <w:r>
              <w:rPr>
                <w:rFonts w:hint="eastAsia"/>
                <w:color w:val="auto"/>
                <w:szCs w:val="21"/>
                <w:highlight w:val="none"/>
                <w:lang w:eastAsia="zh-CN"/>
              </w:rPr>
              <w:t>3立方米</w:t>
            </w:r>
          </w:p>
        </w:tc>
        <w:tc>
          <w:tcPr>
            <w:tcW w:w="994"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台</w:t>
            </w:r>
          </w:p>
        </w:tc>
        <w:tc>
          <w:tcPr>
            <w:tcW w:w="1135"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3</w:t>
            </w:r>
          </w:p>
        </w:tc>
        <w:tc>
          <w:tcPr>
            <w:tcW w:w="2105"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2287"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自卸车</w:t>
            </w:r>
          </w:p>
        </w:tc>
        <w:tc>
          <w:tcPr>
            <w:tcW w:w="2413" w:type="dxa"/>
            <w:noWrap w:val="0"/>
            <w:vAlign w:val="center"/>
          </w:tcPr>
          <w:p>
            <w:pPr>
              <w:spacing w:line="400" w:lineRule="exact"/>
              <w:jc w:val="center"/>
              <w:rPr>
                <w:rFonts w:hint="eastAsia"/>
                <w:color w:val="auto"/>
                <w:szCs w:val="21"/>
                <w:highlight w:val="none"/>
                <w:lang w:val="en-US" w:eastAsia="zh-CN"/>
              </w:rPr>
            </w:pPr>
            <w:r>
              <w:rPr>
                <w:rFonts w:hint="eastAsia"/>
                <w:color w:val="auto"/>
                <w:szCs w:val="21"/>
                <w:highlight w:val="none"/>
                <w:lang w:eastAsia="zh-CN"/>
              </w:rPr>
              <w:t>8T</w:t>
            </w:r>
          </w:p>
        </w:tc>
        <w:tc>
          <w:tcPr>
            <w:tcW w:w="994"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台</w:t>
            </w:r>
          </w:p>
        </w:tc>
        <w:tc>
          <w:tcPr>
            <w:tcW w:w="1135"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6</w:t>
            </w:r>
          </w:p>
        </w:tc>
        <w:tc>
          <w:tcPr>
            <w:tcW w:w="2105" w:type="dxa"/>
            <w:noWrap w:val="0"/>
            <w:vAlign w:val="center"/>
          </w:tcPr>
          <w:p>
            <w:pPr>
              <w:spacing w:line="400" w:lineRule="exact"/>
              <w:jc w:val="center"/>
              <w:rPr>
                <w:rFonts w:hint="eastAsia"/>
                <w:color w:val="auto"/>
                <w:szCs w:val="21"/>
                <w:highlight w:val="none"/>
                <w:lang w:eastAsia="zh-CN"/>
              </w:rPr>
            </w:pPr>
            <w:r>
              <w:rPr>
                <w:rFonts w:hint="eastAsia"/>
                <w:color w:val="auto"/>
                <w:szCs w:val="21"/>
                <w:highlight w:val="none"/>
                <w:lang w:eastAsia="zh-CN"/>
              </w:rPr>
              <w:t>近5年内购置</w:t>
            </w:r>
          </w:p>
        </w:tc>
      </w:tr>
    </w:tbl>
    <w:p>
      <w:pPr>
        <w:pStyle w:val="2"/>
        <w:rPr>
          <w:rFonts w:hint="eastAsia"/>
          <w:b/>
          <w:color w:val="auto"/>
          <w:sz w:val="24"/>
          <w:highlight w:val="none"/>
          <w:lang w:eastAsia="zh-CN"/>
        </w:rPr>
      </w:pPr>
    </w:p>
    <w:p>
      <w:pPr>
        <w:pStyle w:val="2"/>
        <w:rPr>
          <w:rFonts w:hint="eastAsia"/>
          <w:b/>
          <w:color w:val="auto"/>
          <w:sz w:val="24"/>
          <w:highlight w:val="none"/>
          <w:lang w:eastAsia="zh-CN"/>
        </w:rPr>
      </w:pPr>
    </w:p>
    <w:p>
      <w:pPr>
        <w:pStyle w:val="2"/>
        <w:rPr>
          <w:rFonts w:hint="eastAsia"/>
          <w:b/>
          <w:color w:val="auto"/>
          <w:sz w:val="24"/>
          <w:highlight w:val="none"/>
          <w:lang w:eastAsia="zh-CN"/>
        </w:rPr>
      </w:pPr>
    </w:p>
    <w:p>
      <w:pPr>
        <w:pStyle w:val="2"/>
        <w:rPr>
          <w:rFonts w:hint="eastAsia"/>
          <w:b/>
          <w:color w:val="auto"/>
          <w:sz w:val="24"/>
          <w:highlight w:val="none"/>
          <w:lang w:eastAsia="zh-CN"/>
        </w:rPr>
      </w:pPr>
    </w:p>
    <w:p>
      <w:pPr>
        <w:pStyle w:val="2"/>
        <w:ind w:firstLine="240"/>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adjustRightInd w:val="0"/>
        <w:snapToGrid w:val="0"/>
        <w:spacing w:line="360" w:lineRule="auto"/>
        <w:rPr>
          <w:b/>
          <w:color w:val="auto"/>
          <w:sz w:val="24"/>
          <w:highlight w:val="none"/>
        </w:rPr>
      </w:pPr>
      <w:r>
        <w:rPr>
          <w:b/>
          <w:color w:val="auto"/>
          <w:sz w:val="24"/>
          <w:highlight w:val="none"/>
        </w:rPr>
        <w:t>附件</w:t>
      </w:r>
      <w:r>
        <w:rPr>
          <w:rFonts w:hint="eastAsia"/>
          <w:b/>
          <w:color w:val="auto"/>
          <w:sz w:val="24"/>
          <w:highlight w:val="none"/>
          <w:lang w:eastAsia="zh-CN"/>
        </w:rPr>
        <w:t>六</w:t>
      </w:r>
      <w:r>
        <w:rPr>
          <w:b/>
          <w:color w:val="auto"/>
          <w:sz w:val="24"/>
          <w:highlight w:val="none"/>
        </w:rPr>
        <w:t>：项目经理委任书</w:t>
      </w:r>
    </w:p>
    <w:p>
      <w:pPr>
        <w:adjustRightInd w:val="0"/>
        <w:snapToGrid w:val="0"/>
        <w:spacing w:line="360" w:lineRule="auto"/>
        <w:jc w:val="center"/>
        <w:rPr>
          <w:b/>
          <w:color w:val="auto"/>
          <w:sz w:val="32"/>
          <w:szCs w:val="32"/>
          <w:highlight w:val="none"/>
          <w:u w:val="single"/>
        </w:rPr>
      </w:pPr>
      <w:r>
        <w:rPr>
          <w:b/>
          <w:color w:val="auto"/>
          <w:sz w:val="32"/>
          <w:szCs w:val="32"/>
          <w:highlight w:val="none"/>
          <w:u w:val="single"/>
        </w:rPr>
        <w:t>（承包人全称）</w:t>
      </w:r>
    </w:p>
    <w:p>
      <w:pPr>
        <w:adjustRightInd w:val="0"/>
        <w:snapToGrid w:val="0"/>
        <w:spacing w:line="360" w:lineRule="auto"/>
        <w:jc w:val="center"/>
        <w:rPr>
          <w:b/>
          <w:color w:val="auto"/>
          <w:sz w:val="32"/>
          <w:szCs w:val="32"/>
          <w:highlight w:val="none"/>
        </w:rPr>
      </w:pPr>
      <w:r>
        <w:rPr>
          <w:b/>
          <w:color w:val="auto"/>
          <w:sz w:val="32"/>
          <w:szCs w:val="32"/>
          <w:highlight w:val="none"/>
          <w:u w:val="single"/>
        </w:rPr>
        <w:t>（合同工程名称）</w:t>
      </w:r>
      <w:r>
        <w:rPr>
          <w:b/>
          <w:color w:val="auto"/>
          <w:sz w:val="32"/>
          <w:szCs w:val="32"/>
          <w:highlight w:val="none"/>
        </w:rPr>
        <w:t>项目经理委任书</w:t>
      </w:r>
    </w:p>
    <w:p>
      <w:pPr>
        <w:adjustRightInd w:val="0"/>
        <w:snapToGrid w:val="0"/>
        <w:spacing w:line="360" w:lineRule="auto"/>
        <w:jc w:val="center"/>
        <w:rPr>
          <w:color w:val="auto"/>
          <w:sz w:val="21"/>
          <w:szCs w:val="21"/>
          <w:highlight w:val="none"/>
        </w:rPr>
      </w:pPr>
    </w:p>
    <w:p>
      <w:pPr>
        <w:adjustRightInd w:val="0"/>
        <w:spacing w:line="360" w:lineRule="auto"/>
        <w:rPr>
          <w:color w:val="auto"/>
          <w:sz w:val="21"/>
          <w:szCs w:val="21"/>
          <w:highlight w:val="none"/>
        </w:rPr>
      </w:pPr>
      <w:r>
        <w:rPr>
          <w:color w:val="auto"/>
          <w:sz w:val="21"/>
          <w:szCs w:val="21"/>
          <w:highlight w:val="none"/>
        </w:rPr>
        <w:t>致：</w:t>
      </w:r>
      <w:r>
        <w:rPr>
          <w:color w:val="auto"/>
          <w:sz w:val="21"/>
          <w:szCs w:val="21"/>
          <w:highlight w:val="none"/>
          <w:u w:val="single"/>
        </w:rPr>
        <w:t>（发包人全称）</w:t>
      </w:r>
    </w:p>
    <w:p>
      <w:pPr>
        <w:adjustRightInd w:val="0"/>
        <w:spacing w:line="360" w:lineRule="auto"/>
        <w:ind w:firstLine="420" w:firstLineChars="200"/>
        <w:rPr>
          <w:color w:val="auto"/>
          <w:sz w:val="21"/>
          <w:szCs w:val="21"/>
          <w:highlight w:val="none"/>
        </w:rPr>
      </w:pPr>
      <w:r>
        <w:rPr>
          <w:color w:val="auto"/>
          <w:sz w:val="21"/>
          <w:szCs w:val="21"/>
          <w:highlight w:val="none"/>
          <w:u w:val="single"/>
        </w:rPr>
        <w:t xml:space="preserve">  （承包人全称）  </w:t>
      </w:r>
      <w:r>
        <w:rPr>
          <w:color w:val="auto"/>
          <w:sz w:val="21"/>
          <w:szCs w:val="21"/>
          <w:highlight w:val="none"/>
        </w:rPr>
        <w:t>法定代表人</w:t>
      </w:r>
      <w:r>
        <w:rPr>
          <w:color w:val="auto"/>
          <w:sz w:val="21"/>
          <w:szCs w:val="21"/>
          <w:highlight w:val="none"/>
          <w:u w:val="single"/>
        </w:rPr>
        <w:t xml:space="preserve">  （职务、姓名）  </w:t>
      </w:r>
      <w:r>
        <w:rPr>
          <w:color w:val="auto"/>
          <w:sz w:val="21"/>
          <w:szCs w:val="21"/>
          <w:highlight w:val="none"/>
        </w:rPr>
        <w:t>代表本单位委任</w:t>
      </w:r>
      <w:r>
        <w:rPr>
          <w:color w:val="auto"/>
          <w:sz w:val="21"/>
          <w:szCs w:val="21"/>
          <w:highlight w:val="none"/>
          <w:u w:val="single"/>
        </w:rPr>
        <w:t xml:space="preserve">  （职务、姓名）  </w:t>
      </w:r>
      <w:r>
        <w:rPr>
          <w:color w:val="auto"/>
          <w:sz w:val="21"/>
          <w:szCs w:val="21"/>
          <w:highlight w:val="none"/>
        </w:rPr>
        <w:t>为</w:t>
      </w:r>
      <w:r>
        <w:rPr>
          <w:color w:val="auto"/>
          <w:sz w:val="21"/>
          <w:szCs w:val="21"/>
          <w:highlight w:val="none"/>
          <w:u w:val="single"/>
        </w:rPr>
        <w:t xml:space="preserve">  （合同工程名称）  </w:t>
      </w:r>
      <w:r>
        <w:rPr>
          <w:color w:val="auto"/>
          <w:sz w:val="21"/>
          <w:szCs w:val="21"/>
          <w:highlight w:val="none"/>
        </w:rPr>
        <w:t>的项目经理。凡本合同执行中的有关技术、工程进度、现场管理、质量检验、结算与支付等方面工作，由</w:t>
      </w:r>
      <w:r>
        <w:rPr>
          <w:color w:val="auto"/>
          <w:sz w:val="21"/>
          <w:szCs w:val="21"/>
          <w:highlight w:val="none"/>
          <w:u w:val="single"/>
        </w:rPr>
        <w:t xml:space="preserve">   （姓名）  </w:t>
      </w:r>
      <w:r>
        <w:rPr>
          <w:color w:val="auto"/>
          <w:sz w:val="21"/>
          <w:szCs w:val="21"/>
          <w:highlight w:val="none"/>
        </w:rPr>
        <w:t>代表本单位全面负责。</w:t>
      </w:r>
    </w:p>
    <w:p>
      <w:pPr>
        <w:adjustRightInd w:val="0"/>
        <w:spacing w:line="360" w:lineRule="auto"/>
        <w:ind w:firstLine="420" w:firstLineChars="200"/>
        <w:rPr>
          <w:color w:val="auto"/>
          <w:sz w:val="21"/>
          <w:szCs w:val="21"/>
          <w:highlight w:val="none"/>
        </w:rPr>
      </w:pPr>
    </w:p>
    <w:p>
      <w:pPr>
        <w:adjustRightInd w:val="0"/>
        <w:spacing w:line="360" w:lineRule="auto"/>
        <w:ind w:firstLine="420" w:firstLineChars="200"/>
        <w:rPr>
          <w:color w:val="auto"/>
          <w:sz w:val="21"/>
          <w:szCs w:val="21"/>
          <w:highlight w:val="none"/>
        </w:rPr>
      </w:pPr>
    </w:p>
    <w:p>
      <w:pPr>
        <w:adjustRightInd w:val="0"/>
        <w:spacing w:line="360" w:lineRule="auto"/>
        <w:ind w:firstLine="3570" w:firstLineChars="1700"/>
        <w:rPr>
          <w:color w:val="auto"/>
          <w:sz w:val="21"/>
          <w:szCs w:val="21"/>
          <w:highlight w:val="none"/>
        </w:rPr>
      </w:pPr>
      <w:r>
        <w:rPr>
          <w:color w:val="auto"/>
          <w:sz w:val="21"/>
          <w:szCs w:val="21"/>
          <w:highlight w:val="none"/>
        </w:rPr>
        <w:t>承 包 人：</w:t>
      </w:r>
      <w:r>
        <w:rPr>
          <w:color w:val="auto"/>
          <w:sz w:val="21"/>
          <w:szCs w:val="21"/>
          <w:highlight w:val="none"/>
          <w:u w:val="single"/>
        </w:rPr>
        <w:t xml:space="preserve">    （全称）    </w:t>
      </w:r>
      <w:r>
        <w:rPr>
          <w:color w:val="auto"/>
          <w:sz w:val="21"/>
          <w:szCs w:val="21"/>
          <w:highlight w:val="none"/>
        </w:rPr>
        <w:t>…</w:t>
      </w:r>
      <w:r>
        <w:rPr>
          <w:color w:val="auto"/>
          <w:sz w:val="21"/>
          <w:szCs w:val="21"/>
          <w:highlight w:val="none"/>
          <w:u w:val="single"/>
        </w:rPr>
        <w:t xml:space="preserve">    （盖章） </w:t>
      </w:r>
    </w:p>
    <w:p>
      <w:pPr>
        <w:adjustRightInd w:val="0"/>
        <w:spacing w:line="360" w:lineRule="auto"/>
        <w:ind w:firstLine="4200" w:firstLineChars="2000"/>
        <w:rPr>
          <w:color w:val="auto"/>
          <w:sz w:val="21"/>
          <w:szCs w:val="21"/>
          <w:highlight w:val="none"/>
        </w:rPr>
      </w:pPr>
      <w:r>
        <w:rPr>
          <w:color w:val="auto"/>
          <w:sz w:val="21"/>
          <w:szCs w:val="21"/>
          <w:highlight w:val="none"/>
        </w:rPr>
        <w:t>法定代表人：</w:t>
      </w:r>
      <w:r>
        <w:rPr>
          <w:color w:val="auto"/>
          <w:sz w:val="21"/>
          <w:szCs w:val="21"/>
          <w:highlight w:val="none"/>
          <w:u w:val="single"/>
        </w:rPr>
        <w:t xml:space="preserve">     （职务）     </w:t>
      </w:r>
    </w:p>
    <w:p>
      <w:pPr>
        <w:adjustRightInd w:val="0"/>
        <w:spacing w:line="360" w:lineRule="auto"/>
        <w:ind w:firstLine="5460" w:firstLineChars="2600"/>
        <w:rPr>
          <w:color w:val="auto"/>
          <w:sz w:val="21"/>
          <w:szCs w:val="21"/>
          <w:highlight w:val="none"/>
          <w:u w:val="single"/>
        </w:rPr>
      </w:pPr>
      <w:r>
        <w:rPr>
          <w:color w:val="auto"/>
          <w:sz w:val="21"/>
          <w:szCs w:val="21"/>
          <w:highlight w:val="none"/>
          <w:u w:val="single"/>
        </w:rPr>
        <w:t xml:space="preserve">     （姓名）     </w:t>
      </w:r>
    </w:p>
    <w:p>
      <w:pPr>
        <w:adjustRightInd w:val="0"/>
        <w:spacing w:line="360" w:lineRule="auto"/>
        <w:ind w:firstLine="5460" w:firstLineChars="2600"/>
        <w:rPr>
          <w:color w:val="auto"/>
          <w:sz w:val="21"/>
          <w:szCs w:val="21"/>
          <w:highlight w:val="none"/>
        </w:rPr>
      </w:pPr>
      <w:r>
        <w:rPr>
          <w:color w:val="auto"/>
          <w:sz w:val="21"/>
          <w:szCs w:val="21"/>
          <w:highlight w:val="none"/>
          <w:u w:val="single"/>
        </w:rPr>
        <w:t xml:space="preserve">     （签字）     </w:t>
      </w:r>
    </w:p>
    <w:p>
      <w:pPr>
        <w:adjustRightInd w:val="0"/>
        <w:spacing w:line="360" w:lineRule="auto"/>
        <w:ind w:firstLine="5040" w:firstLineChars="2400"/>
        <w:rPr>
          <w:color w:val="auto"/>
          <w:sz w:val="21"/>
          <w:szCs w:val="21"/>
          <w:highlight w:val="none"/>
        </w:rPr>
      </w:pP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color w:val="auto"/>
          <w:sz w:val="21"/>
          <w:szCs w:val="21"/>
          <w:highlight w:val="none"/>
        </w:rPr>
        <w:t>月</w:t>
      </w:r>
      <w:r>
        <w:rPr>
          <w:color w:val="auto"/>
          <w:sz w:val="21"/>
          <w:szCs w:val="21"/>
          <w:highlight w:val="none"/>
          <w:u w:val="single"/>
        </w:rPr>
        <w:t xml:space="preserve">      </w:t>
      </w:r>
      <w:r>
        <w:rPr>
          <w:color w:val="auto"/>
          <w:sz w:val="21"/>
          <w:szCs w:val="21"/>
          <w:highlight w:val="none"/>
        </w:rPr>
        <w:t>日</w:t>
      </w:r>
    </w:p>
    <w:p>
      <w:pPr>
        <w:adjustRightInd w:val="0"/>
        <w:snapToGrid w:val="0"/>
        <w:spacing w:line="360" w:lineRule="auto"/>
        <w:rPr>
          <w:color w:val="auto"/>
          <w:sz w:val="21"/>
          <w:szCs w:val="21"/>
          <w:highlight w:val="none"/>
        </w:rPr>
      </w:pPr>
    </w:p>
    <w:p>
      <w:pPr>
        <w:adjustRightInd w:val="0"/>
        <w:snapToGrid w:val="0"/>
        <w:spacing w:line="360" w:lineRule="auto"/>
        <w:ind w:firstLine="5670" w:firstLineChars="2700"/>
        <w:rPr>
          <w:color w:val="auto"/>
          <w:sz w:val="21"/>
          <w:szCs w:val="21"/>
          <w:highlight w:val="none"/>
        </w:rPr>
      </w:pPr>
      <w:r>
        <w:rPr>
          <w:color w:val="auto"/>
          <w:sz w:val="21"/>
          <w:szCs w:val="21"/>
          <w:highlight w:val="none"/>
        </w:rPr>
        <w:t>抄送：</w:t>
      </w:r>
      <w:r>
        <w:rPr>
          <w:color w:val="auto"/>
          <w:sz w:val="21"/>
          <w:szCs w:val="21"/>
          <w:highlight w:val="none"/>
          <w:u w:val="single"/>
        </w:rPr>
        <w:t xml:space="preserve">   （监理人）   </w:t>
      </w:r>
    </w:p>
    <w:p>
      <w:pPr>
        <w:rPr>
          <w:color w:val="auto"/>
          <w:highlight w:val="none"/>
        </w:rPr>
        <w:sectPr>
          <w:pgSz w:w="11910" w:h="16850"/>
          <w:pgMar w:top="1480" w:right="1200" w:bottom="1040" w:left="1220" w:header="876" w:footer="853" w:gutter="0"/>
          <w:pgNumType w:fmt="decimal"/>
          <w:cols w:space="720" w:num="1"/>
        </w:sectPr>
      </w:pPr>
    </w:p>
    <w:p>
      <w:pPr>
        <w:pStyle w:val="3"/>
        <w:spacing w:before="2"/>
        <w:rPr>
          <w:color w:val="auto"/>
          <w:sz w:val="10"/>
          <w:highlight w:val="none"/>
        </w:rPr>
      </w:pPr>
    </w:p>
    <w:p>
      <w:pPr>
        <w:adjustRightInd w:val="0"/>
        <w:snapToGrid w:val="0"/>
        <w:spacing w:line="360" w:lineRule="auto"/>
        <w:rPr>
          <w:b/>
          <w:color w:val="auto"/>
          <w:sz w:val="24"/>
          <w:highlight w:val="none"/>
        </w:rPr>
      </w:pPr>
      <w:r>
        <w:rPr>
          <w:b/>
          <w:color w:val="auto"/>
          <w:sz w:val="24"/>
          <w:highlight w:val="none"/>
        </w:rPr>
        <w:t>附件</w:t>
      </w:r>
      <w:r>
        <w:rPr>
          <w:rFonts w:hint="eastAsia"/>
          <w:b/>
          <w:color w:val="auto"/>
          <w:sz w:val="24"/>
          <w:highlight w:val="none"/>
          <w:lang w:eastAsia="zh-CN"/>
        </w:rPr>
        <w:t>七</w:t>
      </w:r>
      <w:r>
        <w:rPr>
          <w:b/>
          <w:color w:val="auto"/>
          <w:sz w:val="24"/>
          <w:highlight w:val="none"/>
        </w:rPr>
        <w:t>：履约担保格式</w:t>
      </w:r>
    </w:p>
    <w:p>
      <w:pPr>
        <w:adjustRightInd w:val="0"/>
        <w:snapToGrid w:val="0"/>
        <w:spacing w:before="240" w:beforeLines="100" w:after="240" w:afterLines="100" w:line="360" w:lineRule="auto"/>
        <w:jc w:val="center"/>
        <w:rPr>
          <w:b/>
          <w:color w:val="auto"/>
          <w:sz w:val="32"/>
          <w:szCs w:val="32"/>
          <w:highlight w:val="none"/>
        </w:rPr>
      </w:pPr>
      <w:r>
        <w:rPr>
          <w:b/>
          <w:color w:val="auto"/>
          <w:sz w:val="32"/>
          <w:szCs w:val="32"/>
          <w:highlight w:val="none"/>
        </w:rPr>
        <w:t>履 约 担 保</w:t>
      </w:r>
    </w:p>
    <w:p>
      <w:pPr>
        <w:adjustRightInd w:val="0"/>
        <w:snapToGrid w:val="0"/>
        <w:spacing w:line="360" w:lineRule="auto"/>
        <w:rPr>
          <w:color w:val="auto"/>
          <w:sz w:val="21"/>
          <w:szCs w:val="21"/>
          <w:highlight w:val="none"/>
        </w:rPr>
      </w:pPr>
      <w:r>
        <w:rPr>
          <w:color w:val="auto"/>
          <w:sz w:val="21"/>
          <w:szCs w:val="21"/>
          <w:highlight w:val="none"/>
          <w:u w:val="single"/>
        </w:rPr>
        <w:t xml:space="preserve">                      </w:t>
      </w:r>
      <w:r>
        <w:rPr>
          <w:color w:val="auto"/>
          <w:sz w:val="21"/>
          <w:szCs w:val="21"/>
          <w:highlight w:val="none"/>
        </w:rPr>
        <w:t>（发包人名称）：</w:t>
      </w:r>
    </w:p>
    <w:p>
      <w:pPr>
        <w:adjustRightInd w:val="0"/>
        <w:snapToGrid w:val="0"/>
        <w:spacing w:line="360" w:lineRule="auto"/>
        <w:rPr>
          <w:color w:val="auto"/>
          <w:sz w:val="21"/>
          <w:szCs w:val="21"/>
          <w:highlight w:val="none"/>
        </w:rPr>
      </w:pPr>
    </w:p>
    <w:p>
      <w:pPr>
        <w:adjustRightInd w:val="0"/>
        <w:snapToGrid w:val="0"/>
        <w:spacing w:line="360" w:lineRule="auto"/>
        <w:ind w:firstLine="420" w:firstLineChars="200"/>
        <w:rPr>
          <w:color w:val="auto"/>
          <w:sz w:val="21"/>
          <w:szCs w:val="21"/>
          <w:highlight w:val="none"/>
        </w:rPr>
      </w:pPr>
      <w:r>
        <w:rPr>
          <w:color w:val="auto"/>
          <w:sz w:val="21"/>
          <w:szCs w:val="21"/>
          <w:highlight w:val="none"/>
        </w:rPr>
        <w:t>鉴于</w:t>
      </w:r>
      <w:r>
        <w:rPr>
          <w:color w:val="auto"/>
          <w:sz w:val="21"/>
          <w:szCs w:val="21"/>
          <w:highlight w:val="none"/>
          <w:u w:val="single"/>
        </w:rPr>
        <w:t xml:space="preserve">                    </w:t>
      </w:r>
      <w:r>
        <w:rPr>
          <w:color w:val="auto"/>
          <w:sz w:val="21"/>
          <w:szCs w:val="21"/>
          <w:highlight w:val="none"/>
        </w:rPr>
        <w:t>（发包人名称，以下简称“发包人”）接受</w:t>
      </w:r>
      <w:r>
        <w:rPr>
          <w:color w:val="auto"/>
          <w:sz w:val="21"/>
          <w:szCs w:val="21"/>
          <w:highlight w:val="none"/>
          <w:u w:val="single"/>
        </w:rPr>
        <w:t xml:space="preserve">          </w:t>
      </w:r>
      <w:r>
        <w:rPr>
          <w:color w:val="auto"/>
          <w:sz w:val="21"/>
          <w:szCs w:val="21"/>
          <w:highlight w:val="none"/>
        </w:rPr>
        <w:t>（承包人名称）（以下称“承包人”）于</w:t>
      </w: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color w:val="auto"/>
          <w:sz w:val="21"/>
          <w:szCs w:val="21"/>
          <w:highlight w:val="none"/>
        </w:rPr>
        <w:t>月</w:t>
      </w:r>
      <w:r>
        <w:rPr>
          <w:color w:val="auto"/>
          <w:sz w:val="21"/>
          <w:szCs w:val="21"/>
          <w:highlight w:val="none"/>
          <w:u w:val="single"/>
        </w:rPr>
        <w:t xml:space="preserve">    </w:t>
      </w:r>
      <w:r>
        <w:rPr>
          <w:color w:val="auto"/>
          <w:sz w:val="21"/>
          <w:szCs w:val="21"/>
          <w:highlight w:val="none"/>
        </w:rPr>
        <w:t>日参加</w:t>
      </w:r>
      <w:r>
        <w:rPr>
          <w:color w:val="auto"/>
          <w:sz w:val="21"/>
          <w:szCs w:val="21"/>
          <w:highlight w:val="none"/>
          <w:u w:val="single"/>
        </w:rPr>
        <w:t xml:space="preserve">             </w:t>
      </w:r>
      <w:r>
        <w:rPr>
          <w:color w:val="auto"/>
          <w:sz w:val="21"/>
          <w:szCs w:val="21"/>
          <w:highlight w:val="none"/>
        </w:rPr>
        <w:t>（项目名称）</w:t>
      </w:r>
      <w:r>
        <w:rPr>
          <w:color w:val="auto"/>
          <w:sz w:val="21"/>
          <w:szCs w:val="21"/>
          <w:highlight w:val="none"/>
          <w:u w:val="single"/>
        </w:rPr>
        <w:t xml:space="preserve">          </w:t>
      </w:r>
      <w:r>
        <w:rPr>
          <w:color w:val="auto"/>
          <w:sz w:val="21"/>
          <w:szCs w:val="21"/>
          <w:highlight w:val="none"/>
        </w:rPr>
        <w:t>标段施工的投标。我方愿意无条件地、不可撤销地就承包人履行与你方订立的合同，向你方提供担保。</w:t>
      </w:r>
    </w:p>
    <w:p>
      <w:pPr>
        <w:adjustRightInd w:val="0"/>
        <w:snapToGrid w:val="0"/>
        <w:spacing w:line="360" w:lineRule="auto"/>
        <w:ind w:firstLine="420" w:firstLineChars="200"/>
        <w:rPr>
          <w:color w:val="auto"/>
          <w:sz w:val="21"/>
          <w:szCs w:val="21"/>
          <w:highlight w:val="none"/>
        </w:rPr>
      </w:pPr>
      <w:r>
        <w:rPr>
          <w:color w:val="auto"/>
          <w:sz w:val="21"/>
          <w:szCs w:val="21"/>
          <w:highlight w:val="none"/>
        </w:rPr>
        <w:t>1．担保金额人民币（大写）</w:t>
      </w:r>
      <w:r>
        <w:rPr>
          <w:color w:val="auto"/>
          <w:sz w:val="21"/>
          <w:szCs w:val="21"/>
          <w:highlight w:val="none"/>
          <w:u w:val="single"/>
        </w:rPr>
        <w:t xml:space="preserve">                </w:t>
      </w:r>
      <w:r>
        <w:rPr>
          <w:color w:val="auto"/>
          <w:sz w:val="21"/>
          <w:szCs w:val="21"/>
          <w:highlight w:val="none"/>
        </w:rPr>
        <w:t>元（￥</w:t>
      </w:r>
      <w:r>
        <w:rPr>
          <w:color w:val="auto"/>
          <w:sz w:val="21"/>
          <w:szCs w:val="21"/>
          <w:highlight w:val="none"/>
          <w:u w:val="single"/>
        </w:rPr>
        <w:t xml:space="preserve">            </w:t>
      </w:r>
      <w:r>
        <w:rPr>
          <w:color w:val="auto"/>
          <w:sz w:val="21"/>
          <w:szCs w:val="21"/>
          <w:highlight w:val="none"/>
        </w:rPr>
        <w:t>）。</w:t>
      </w:r>
    </w:p>
    <w:p>
      <w:pPr>
        <w:adjustRightInd w:val="0"/>
        <w:snapToGrid w:val="0"/>
        <w:spacing w:line="360" w:lineRule="auto"/>
        <w:ind w:firstLine="420" w:firstLineChars="200"/>
        <w:rPr>
          <w:color w:val="auto"/>
          <w:sz w:val="21"/>
          <w:szCs w:val="21"/>
          <w:highlight w:val="none"/>
        </w:rPr>
      </w:pPr>
      <w:r>
        <w:rPr>
          <w:color w:val="auto"/>
          <w:sz w:val="21"/>
          <w:szCs w:val="21"/>
          <w:highlight w:val="none"/>
        </w:rPr>
        <w:t>2．担保有效期自发包人与承包人签订的合同生效之日起至发包人签发工程接收证书之日止。</w:t>
      </w:r>
    </w:p>
    <w:p>
      <w:pPr>
        <w:adjustRightInd w:val="0"/>
        <w:snapToGrid w:val="0"/>
        <w:spacing w:line="360" w:lineRule="auto"/>
        <w:ind w:firstLine="420" w:firstLineChars="200"/>
        <w:rPr>
          <w:color w:val="auto"/>
          <w:sz w:val="21"/>
          <w:szCs w:val="21"/>
          <w:highlight w:val="none"/>
        </w:rPr>
      </w:pPr>
      <w:r>
        <w:rPr>
          <w:color w:val="auto"/>
          <w:sz w:val="21"/>
          <w:szCs w:val="21"/>
          <w:highlight w:val="none"/>
        </w:rPr>
        <w:t>3．在本担保有效期内，因承包人违反合同约定的义务给你方造成经济损失时，我方在收到你方以书面形式提出的在担保金额内的赔偿要求后，在7天内无条件支付，无须你方出具证明或陈述理由。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360" w:lineRule="auto"/>
        <w:ind w:firstLine="420" w:firstLineChars="200"/>
        <w:rPr>
          <w:color w:val="auto"/>
          <w:sz w:val="21"/>
          <w:szCs w:val="21"/>
          <w:highlight w:val="none"/>
        </w:rPr>
      </w:pPr>
      <w:r>
        <w:rPr>
          <w:color w:val="auto"/>
          <w:sz w:val="21"/>
          <w:szCs w:val="21"/>
          <w:highlight w:val="none"/>
        </w:rPr>
        <w:t>4．发包人和承包人按合同条款第15条变更合同时，我方承担本担保规定的义务不变。</w:t>
      </w:r>
    </w:p>
    <w:p>
      <w:pPr>
        <w:adjustRightInd w:val="0"/>
        <w:snapToGrid w:val="0"/>
        <w:spacing w:line="360" w:lineRule="auto"/>
        <w:ind w:firstLine="420" w:firstLineChars="200"/>
        <w:rPr>
          <w:color w:val="auto"/>
          <w:sz w:val="21"/>
          <w:szCs w:val="21"/>
          <w:highlight w:val="none"/>
        </w:rPr>
      </w:pPr>
    </w:p>
    <w:p>
      <w:pPr>
        <w:adjustRightInd w:val="0"/>
        <w:snapToGrid w:val="0"/>
        <w:spacing w:line="360" w:lineRule="auto"/>
        <w:ind w:firstLine="420" w:firstLineChars="200"/>
        <w:rPr>
          <w:color w:val="auto"/>
          <w:sz w:val="21"/>
          <w:szCs w:val="21"/>
          <w:highlight w:val="none"/>
        </w:rPr>
      </w:pPr>
    </w:p>
    <w:p>
      <w:pPr>
        <w:adjustRightInd w:val="0"/>
        <w:snapToGrid w:val="0"/>
        <w:spacing w:line="360" w:lineRule="auto"/>
        <w:ind w:firstLine="3360" w:firstLineChars="1600"/>
        <w:rPr>
          <w:color w:val="auto"/>
          <w:sz w:val="21"/>
          <w:szCs w:val="21"/>
          <w:highlight w:val="none"/>
        </w:rPr>
      </w:pPr>
      <w:r>
        <w:rPr>
          <w:color w:val="auto"/>
          <w:sz w:val="21"/>
          <w:szCs w:val="21"/>
          <w:highlight w:val="none"/>
        </w:rPr>
        <w:t>担保人：</w:t>
      </w:r>
      <w:r>
        <w:rPr>
          <w:color w:val="auto"/>
          <w:sz w:val="21"/>
          <w:szCs w:val="21"/>
          <w:highlight w:val="none"/>
          <w:u w:val="single"/>
        </w:rPr>
        <w:t xml:space="preserve">                   </w:t>
      </w:r>
      <w:r>
        <w:rPr>
          <w:color w:val="auto"/>
          <w:sz w:val="21"/>
          <w:szCs w:val="21"/>
          <w:highlight w:val="none"/>
        </w:rPr>
        <w:t>（盖单位公章）</w:t>
      </w:r>
    </w:p>
    <w:p>
      <w:pPr>
        <w:adjustRightInd w:val="0"/>
        <w:snapToGrid w:val="0"/>
        <w:spacing w:line="360" w:lineRule="auto"/>
        <w:ind w:firstLine="3355" w:firstLineChars="1598"/>
        <w:rPr>
          <w:color w:val="auto"/>
          <w:sz w:val="21"/>
          <w:szCs w:val="21"/>
          <w:highlight w:val="none"/>
        </w:rPr>
      </w:pPr>
      <w:r>
        <w:rPr>
          <w:color w:val="auto"/>
          <w:sz w:val="21"/>
          <w:szCs w:val="21"/>
          <w:highlight w:val="none"/>
        </w:rPr>
        <w:t>法定代表人或其委托代理人：</w:t>
      </w:r>
      <w:r>
        <w:rPr>
          <w:color w:val="auto"/>
          <w:sz w:val="21"/>
          <w:szCs w:val="21"/>
          <w:highlight w:val="none"/>
          <w:u w:val="single"/>
        </w:rPr>
        <w:t xml:space="preserve">         </w:t>
      </w:r>
      <w:r>
        <w:rPr>
          <w:color w:val="auto"/>
          <w:sz w:val="21"/>
          <w:szCs w:val="21"/>
          <w:highlight w:val="none"/>
        </w:rPr>
        <w:t>（签字）</w:t>
      </w:r>
    </w:p>
    <w:p>
      <w:pPr>
        <w:adjustRightInd w:val="0"/>
        <w:snapToGrid w:val="0"/>
        <w:spacing w:line="360" w:lineRule="auto"/>
        <w:ind w:firstLine="3355" w:firstLineChars="1598"/>
        <w:rPr>
          <w:color w:val="auto"/>
          <w:sz w:val="21"/>
          <w:szCs w:val="21"/>
          <w:highlight w:val="none"/>
        </w:rPr>
      </w:pPr>
      <w:r>
        <w:rPr>
          <w:color w:val="auto"/>
          <w:sz w:val="21"/>
          <w:szCs w:val="21"/>
          <w:highlight w:val="none"/>
        </w:rPr>
        <w:t>地    址：</w:t>
      </w:r>
      <w:r>
        <w:rPr>
          <w:color w:val="auto"/>
          <w:sz w:val="21"/>
          <w:szCs w:val="21"/>
          <w:highlight w:val="none"/>
          <w:u w:val="single"/>
        </w:rPr>
        <w:t xml:space="preserve">                       </w:t>
      </w:r>
    </w:p>
    <w:p>
      <w:pPr>
        <w:adjustRightInd w:val="0"/>
        <w:snapToGrid w:val="0"/>
        <w:spacing w:line="360" w:lineRule="auto"/>
        <w:ind w:firstLine="3355" w:firstLineChars="1598"/>
        <w:rPr>
          <w:color w:val="auto"/>
          <w:sz w:val="21"/>
          <w:szCs w:val="21"/>
          <w:highlight w:val="none"/>
          <w:u w:val="single"/>
        </w:rPr>
      </w:pPr>
      <w:r>
        <w:rPr>
          <w:color w:val="auto"/>
          <w:sz w:val="21"/>
          <w:szCs w:val="21"/>
          <w:highlight w:val="none"/>
        </w:rPr>
        <w:t>邮政编码：</w:t>
      </w:r>
      <w:r>
        <w:rPr>
          <w:color w:val="auto"/>
          <w:sz w:val="21"/>
          <w:szCs w:val="21"/>
          <w:highlight w:val="none"/>
          <w:u w:val="single"/>
        </w:rPr>
        <w:t xml:space="preserve">                       </w:t>
      </w:r>
    </w:p>
    <w:p>
      <w:pPr>
        <w:adjustRightInd w:val="0"/>
        <w:snapToGrid w:val="0"/>
        <w:spacing w:line="360" w:lineRule="auto"/>
        <w:ind w:firstLine="3355" w:firstLineChars="1598"/>
        <w:rPr>
          <w:color w:val="auto"/>
          <w:sz w:val="21"/>
          <w:szCs w:val="21"/>
          <w:highlight w:val="none"/>
          <w:u w:val="single"/>
        </w:rPr>
      </w:pPr>
      <w:r>
        <w:rPr>
          <w:color w:val="auto"/>
          <w:sz w:val="21"/>
          <w:szCs w:val="21"/>
          <w:highlight w:val="none"/>
        </w:rPr>
        <w:t>电    话：</w:t>
      </w:r>
      <w:r>
        <w:rPr>
          <w:color w:val="auto"/>
          <w:sz w:val="21"/>
          <w:szCs w:val="21"/>
          <w:highlight w:val="none"/>
          <w:u w:val="single"/>
        </w:rPr>
        <w:t xml:space="preserve">                       </w:t>
      </w:r>
    </w:p>
    <w:p>
      <w:pPr>
        <w:adjustRightInd w:val="0"/>
        <w:snapToGrid w:val="0"/>
        <w:spacing w:line="360" w:lineRule="auto"/>
        <w:ind w:firstLine="3355" w:firstLineChars="1598"/>
        <w:rPr>
          <w:color w:val="auto"/>
          <w:sz w:val="21"/>
          <w:szCs w:val="21"/>
          <w:highlight w:val="none"/>
          <w:u w:val="single"/>
        </w:rPr>
      </w:pPr>
      <w:r>
        <w:rPr>
          <w:color w:val="auto"/>
          <w:sz w:val="21"/>
          <w:szCs w:val="21"/>
          <w:highlight w:val="none"/>
        </w:rPr>
        <w:t>传    真：</w:t>
      </w:r>
      <w:r>
        <w:rPr>
          <w:color w:val="auto"/>
          <w:sz w:val="21"/>
          <w:szCs w:val="21"/>
          <w:highlight w:val="none"/>
          <w:u w:val="single"/>
        </w:rPr>
        <w:t xml:space="preserve">                       </w:t>
      </w:r>
    </w:p>
    <w:p>
      <w:pPr>
        <w:adjustRightInd w:val="0"/>
        <w:snapToGrid w:val="0"/>
        <w:spacing w:line="360" w:lineRule="auto"/>
        <w:ind w:firstLine="3983" w:firstLineChars="1897"/>
        <w:rPr>
          <w:color w:val="auto"/>
          <w:sz w:val="21"/>
          <w:szCs w:val="21"/>
          <w:highlight w:val="none"/>
        </w:rPr>
      </w:pP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color w:val="auto"/>
          <w:sz w:val="21"/>
          <w:szCs w:val="21"/>
          <w:highlight w:val="none"/>
        </w:rPr>
        <w:t>月</w:t>
      </w:r>
      <w:r>
        <w:rPr>
          <w:color w:val="auto"/>
          <w:sz w:val="21"/>
          <w:szCs w:val="21"/>
          <w:highlight w:val="none"/>
          <w:u w:val="single"/>
        </w:rPr>
        <w:t xml:space="preserve">     </w:t>
      </w:r>
      <w:r>
        <w:rPr>
          <w:color w:val="auto"/>
          <w:sz w:val="21"/>
          <w:szCs w:val="21"/>
          <w:highlight w:val="none"/>
        </w:rPr>
        <w:t>日</w:t>
      </w:r>
    </w:p>
    <w:p>
      <w:pPr>
        <w:pStyle w:val="3"/>
        <w:spacing w:before="2"/>
        <w:rPr>
          <w:rFonts w:hint="eastAsia"/>
          <w:color w:val="auto"/>
          <w:highlight w:val="none"/>
        </w:rPr>
      </w:pPr>
      <w:bookmarkStart w:id="169" w:name="_bookmark201"/>
      <w:bookmarkEnd w:id="169"/>
    </w:p>
    <w:p>
      <w:pPr>
        <w:pStyle w:val="3"/>
        <w:spacing w:before="2"/>
        <w:rPr>
          <w:rFonts w:hint="eastAsia"/>
          <w:color w:val="auto"/>
          <w:highlight w:val="none"/>
        </w:rPr>
      </w:pPr>
    </w:p>
    <w:p>
      <w:pPr>
        <w:pStyle w:val="3"/>
        <w:spacing w:before="2"/>
        <w:rPr>
          <w:rFonts w:hint="eastAsia"/>
          <w:color w:val="auto"/>
          <w:highlight w:val="none"/>
        </w:rPr>
      </w:pPr>
    </w:p>
    <w:p>
      <w:pPr>
        <w:pStyle w:val="3"/>
        <w:spacing w:before="2"/>
        <w:rPr>
          <w:rFonts w:hint="eastAsia"/>
          <w:color w:val="auto"/>
          <w:highlight w:val="none"/>
        </w:rPr>
      </w:pPr>
    </w:p>
    <w:p>
      <w:pPr>
        <w:pStyle w:val="3"/>
        <w:spacing w:before="2"/>
        <w:rPr>
          <w:rFonts w:hint="eastAsia"/>
          <w:color w:val="auto"/>
          <w:highlight w:val="none"/>
        </w:rPr>
      </w:pPr>
    </w:p>
    <w:p>
      <w:pPr>
        <w:pStyle w:val="3"/>
        <w:spacing w:before="2"/>
        <w:rPr>
          <w:rFonts w:hint="eastAsia"/>
          <w:color w:val="auto"/>
          <w:highlight w:val="none"/>
        </w:rPr>
      </w:pPr>
    </w:p>
    <w:p>
      <w:pPr>
        <w:pStyle w:val="3"/>
        <w:spacing w:before="2"/>
        <w:rPr>
          <w:rFonts w:hint="eastAsia"/>
          <w:color w:val="auto"/>
          <w:highlight w:val="none"/>
        </w:rPr>
      </w:pPr>
    </w:p>
    <w:p>
      <w:pPr>
        <w:pStyle w:val="3"/>
        <w:spacing w:before="2"/>
        <w:rPr>
          <w:rFonts w:hint="eastAsia"/>
          <w:color w:val="auto"/>
          <w:highlight w:val="none"/>
        </w:rPr>
      </w:pPr>
    </w:p>
    <w:p>
      <w:pPr>
        <w:pStyle w:val="3"/>
        <w:spacing w:before="2"/>
        <w:rPr>
          <w:rFonts w:hint="eastAsia"/>
          <w:color w:val="auto"/>
          <w:highlight w:val="none"/>
        </w:rPr>
      </w:pPr>
    </w:p>
    <w:p>
      <w:pPr>
        <w:pStyle w:val="3"/>
        <w:spacing w:before="2"/>
        <w:rPr>
          <w:rFonts w:hint="eastAsia"/>
          <w:color w:val="auto"/>
          <w:highlight w:val="none"/>
        </w:rPr>
      </w:pPr>
    </w:p>
    <w:p>
      <w:pPr>
        <w:pStyle w:val="3"/>
        <w:spacing w:before="2"/>
        <w:rPr>
          <w:rFonts w:hint="eastAsia"/>
          <w:color w:val="auto"/>
          <w:highlight w:val="none"/>
        </w:rPr>
      </w:pPr>
    </w:p>
    <w:p>
      <w:pPr>
        <w:adjustRightInd w:val="0"/>
        <w:snapToGrid w:val="0"/>
        <w:spacing w:line="360" w:lineRule="auto"/>
        <w:rPr>
          <w:b/>
          <w:color w:val="auto"/>
          <w:sz w:val="24"/>
          <w:highlight w:val="none"/>
        </w:rPr>
      </w:pPr>
      <w:r>
        <w:rPr>
          <w:b/>
          <w:color w:val="auto"/>
          <w:sz w:val="24"/>
          <w:highlight w:val="none"/>
        </w:rPr>
        <w:t>附件</w:t>
      </w:r>
      <w:r>
        <w:rPr>
          <w:rFonts w:hint="eastAsia"/>
          <w:b/>
          <w:color w:val="auto"/>
          <w:sz w:val="24"/>
          <w:highlight w:val="none"/>
          <w:lang w:eastAsia="zh-CN"/>
        </w:rPr>
        <w:t>八</w:t>
      </w:r>
      <w:r>
        <w:rPr>
          <w:b/>
          <w:color w:val="auto"/>
          <w:sz w:val="24"/>
          <w:highlight w:val="none"/>
        </w:rPr>
        <w:t>：</w:t>
      </w:r>
    </w:p>
    <w:p>
      <w:pPr>
        <w:adjustRightInd w:val="0"/>
        <w:snapToGrid w:val="0"/>
        <w:spacing w:before="240" w:beforeLines="100" w:after="240" w:afterLines="100" w:line="360" w:lineRule="auto"/>
        <w:jc w:val="center"/>
        <w:rPr>
          <w:b/>
          <w:color w:val="auto"/>
          <w:sz w:val="32"/>
          <w:szCs w:val="32"/>
          <w:highlight w:val="none"/>
        </w:rPr>
      </w:pPr>
      <w:r>
        <w:rPr>
          <w:b/>
          <w:color w:val="auto"/>
          <w:sz w:val="32"/>
          <w:szCs w:val="32"/>
          <w:highlight w:val="none"/>
        </w:rPr>
        <w:t>工 程 资 金 监 管 协 议</w:t>
      </w:r>
    </w:p>
    <w:p>
      <w:pPr>
        <w:adjustRightInd w:val="0"/>
        <w:snapToGrid w:val="0"/>
        <w:spacing w:line="400" w:lineRule="exact"/>
        <w:rPr>
          <w:color w:val="auto"/>
          <w:sz w:val="21"/>
          <w:szCs w:val="21"/>
          <w:highlight w:val="none"/>
        </w:rPr>
      </w:pPr>
      <w:r>
        <w:rPr>
          <w:color w:val="auto"/>
          <w:sz w:val="21"/>
          <w:szCs w:val="21"/>
          <w:highlight w:val="none"/>
        </w:rPr>
        <w:t>发 包 人：</w:t>
      </w:r>
      <w:r>
        <w:rPr>
          <w:color w:val="auto"/>
          <w:sz w:val="21"/>
          <w:szCs w:val="21"/>
          <w:highlight w:val="none"/>
          <w:u w:val="single"/>
        </w:rPr>
        <w:t xml:space="preserve">            </w:t>
      </w:r>
      <w:r>
        <w:rPr>
          <w:color w:val="auto"/>
          <w:sz w:val="21"/>
          <w:szCs w:val="21"/>
          <w:highlight w:val="none"/>
        </w:rPr>
        <w:t>（以下简称“甲方”）：</w:t>
      </w:r>
    </w:p>
    <w:p>
      <w:pPr>
        <w:adjustRightInd w:val="0"/>
        <w:snapToGrid w:val="0"/>
        <w:spacing w:line="400" w:lineRule="exact"/>
        <w:rPr>
          <w:color w:val="auto"/>
          <w:sz w:val="21"/>
          <w:szCs w:val="21"/>
          <w:highlight w:val="none"/>
        </w:rPr>
      </w:pPr>
      <w:r>
        <w:rPr>
          <w:color w:val="auto"/>
          <w:sz w:val="21"/>
          <w:szCs w:val="21"/>
          <w:highlight w:val="none"/>
        </w:rPr>
        <w:t>承 包 人：</w:t>
      </w:r>
      <w:r>
        <w:rPr>
          <w:color w:val="auto"/>
          <w:sz w:val="21"/>
          <w:szCs w:val="21"/>
          <w:highlight w:val="none"/>
          <w:u w:val="single"/>
        </w:rPr>
        <w:t xml:space="preserve">            </w:t>
      </w:r>
      <w:r>
        <w:rPr>
          <w:color w:val="auto"/>
          <w:sz w:val="21"/>
          <w:szCs w:val="21"/>
          <w:highlight w:val="none"/>
        </w:rPr>
        <w:t>（以下简称“乙方”）：</w:t>
      </w:r>
    </w:p>
    <w:p>
      <w:pPr>
        <w:adjustRightInd w:val="0"/>
        <w:snapToGrid w:val="0"/>
        <w:spacing w:line="400" w:lineRule="exact"/>
        <w:rPr>
          <w:color w:val="auto"/>
          <w:sz w:val="21"/>
          <w:szCs w:val="21"/>
          <w:highlight w:val="none"/>
        </w:rPr>
      </w:pPr>
      <w:r>
        <w:rPr>
          <w:color w:val="auto"/>
          <w:sz w:val="21"/>
          <w:szCs w:val="21"/>
          <w:highlight w:val="none"/>
        </w:rPr>
        <w:t>经办银行：</w:t>
      </w:r>
      <w:r>
        <w:rPr>
          <w:color w:val="auto"/>
          <w:sz w:val="21"/>
          <w:szCs w:val="21"/>
          <w:highlight w:val="none"/>
          <w:u w:val="single"/>
        </w:rPr>
        <w:t xml:space="preserve">            </w:t>
      </w:r>
      <w:r>
        <w:rPr>
          <w:color w:val="auto"/>
          <w:sz w:val="21"/>
          <w:szCs w:val="21"/>
          <w:highlight w:val="none"/>
        </w:rPr>
        <w:t>（以下简称“丙方”）：</w:t>
      </w:r>
    </w:p>
    <w:p>
      <w:pPr>
        <w:adjustRightInd w:val="0"/>
        <w:snapToGrid w:val="0"/>
        <w:spacing w:line="400" w:lineRule="exact"/>
        <w:ind w:firstLine="420" w:firstLineChars="200"/>
        <w:rPr>
          <w:color w:val="auto"/>
          <w:sz w:val="21"/>
          <w:szCs w:val="21"/>
          <w:highlight w:val="none"/>
        </w:rPr>
      </w:pPr>
      <w:r>
        <w:rPr>
          <w:color w:val="auto"/>
          <w:sz w:val="21"/>
          <w:szCs w:val="21"/>
          <w:highlight w:val="none"/>
        </w:rPr>
        <w:t>为了促进</w:t>
      </w:r>
      <w:r>
        <w:rPr>
          <w:color w:val="auto"/>
          <w:sz w:val="21"/>
          <w:szCs w:val="21"/>
          <w:highlight w:val="none"/>
          <w:u w:val="single"/>
        </w:rPr>
        <w:t xml:space="preserve">                    </w:t>
      </w:r>
      <w:r>
        <w:rPr>
          <w:color w:val="auto"/>
          <w:sz w:val="21"/>
          <w:szCs w:val="21"/>
          <w:highlight w:val="none"/>
        </w:rPr>
        <w:t>（项目名称）的顺利实施，管好用好建设资金，确保工程资金专款专用，同时为承包人提供便捷有效的银行业务服务，根据</w:t>
      </w:r>
      <w:r>
        <w:rPr>
          <w:color w:val="auto"/>
          <w:sz w:val="21"/>
          <w:szCs w:val="21"/>
          <w:highlight w:val="none"/>
          <w:u w:val="single"/>
        </w:rPr>
        <w:t xml:space="preserve">          </w:t>
      </w:r>
      <w:r>
        <w:rPr>
          <w:color w:val="auto"/>
          <w:sz w:val="21"/>
          <w:szCs w:val="21"/>
          <w:highlight w:val="none"/>
        </w:rPr>
        <w:t>（项目名称）合同条款有关规定，经甲、乙、丙三方协商，达成协议如下：</w:t>
      </w:r>
    </w:p>
    <w:p>
      <w:pPr>
        <w:adjustRightInd w:val="0"/>
        <w:snapToGrid w:val="0"/>
        <w:spacing w:line="400" w:lineRule="exact"/>
        <w:ind w:firstLine="420" w:firstLineChars="200"/>
        <w:rPr>
          <w:color w:val="auto"/>
          <w:sz w:val="21"/>
          <w:szCs w:val="21"/>
          <w:highlight w:val="none"/>
        </w:rPr>
      </w:pPr>
      <w:r>
        <w:rPr>
          <w:color w:val="auto"/>
          <w:sz w:val="21"/>
          <w:szCs w:val="21"/>
          <w:highlight w:val="none"/>
        </w:rPr>
        <w:t>1．资金管理的内容</w:t>
      </w:r>
    </w:p>
    <w:p>
      <w:pPr>
        <w:adjustRightInd w:val="0"/>
        <w:snapToGrid w:val="0"/>
        <w:spacing w:line="400" w:lineRule="exact"/>
        <w:ind w:firstLine="420" w:firstLineChars="200"/>
        <w:rPr>
          <w:color w:val="auto"/>
          <w:sz w:val="21"/>
          <w:szCs w:val="21"/>
          <w:highlight w:val="none"/>
        </w:rPr>
      </w:pPr>
      <w:r>
        <w:rPr>
          <w:color w:val="auto"/>
          <w:sz w:val="21"/>
          <w:szCs w:val="21"/>
          <w:highlight w:val="none"/>
        </w:rPr>
        <w:t>（1）乙方为完成</w:t>
      </w:r>
      <w:r>
        <w:rPr>
          <w:color w:val="auto"/>
          <w:sz w:val="21"/>
          <w:szCs w:val="21"/>
          <w:highlight w:val="none"/>
          <w:u w:val="single"/>
        </w:rPr>
        <w:t xml:space="preserve">            </w:t>
      </w:r>
      <w:r>
        <w:rPr>
          <w:color w:val="auto"/>
          <w:sz w:val="21"/>
          <w:szCs w:val="21"/>
          <w:highlight w:val="none"/>
        </w:rPr>
        <w:t>（项目名称）工程成立的项目经理部在丙方开设基本结算户；</w:t>
      </w:r>
    </w:p>
    <w:p>
      <w:pPr>
        <w:adjustRightInd w:val="0"/>
        <w:snapToGrid w:val="0"/>
        <w:spacing w:line="400" w:lineRule="exact"/>
        <w:ind w:firstLine="420" w:firstLineChars="200"/>
        <w:rPr>
          <w:color w:val="auto"/>
          <w:sz w:val="21"/>
          <w:szCs w:val="21"/>
          <w:highlight w:val="none"/>
        </w:rPr>
      </w:pPr>
      <w:r>
        <w:rPr>
          <w:color w:val="auto"/>
          <w:sz w:val="21"/>
          <w:szCs w:val="21"/>
          <w:highlight w:val="none"/>
        </w:rPr>
        <w:t>（2）甲方应按合同规定将工程款（质量保证金除外）汇入乙方在丙方开设的账户；</w:t>
      </w:r>
    </w:p>
    <w:p>
      <w:pPr>
        <w:adjustRightInd w:val="0"/>
        <w:snapToGrid w:val="0"/>
        <w:spacing w:line="400" w:lineRule="exact"/>
        <w:ind w:firstLine="420" w:firstLineChars="200"/>
        <w:rPr>
          <w:color w:val="auto"/>
          <w:sz w:val="21"/>
          <w:szCs w:val="21"/>
          <w:highlight w:val="none"/>
        </w:rPr>
      </w:pPr>
      <w:r>
        <w:rPr>
          <w:color w:val="auto"/>
          <w:sz w:val="21"/>
          <w:szCs w:val="21"/>
          <w:highlight w:val="none"/>
        </w:rPr>
        <w:t>（3）乙方应将流动资金及甲方所拨付资金专项用于</w:t>
      </w:r>
      <w:r>
        <w:rPr>
          <w:color w:val="auto"/>
          <w:sz w:val="21"/>
          <w:szCs w:val="21"/>
          <w:highlight w:val="none"/>
          <w:u w:val="single"/>
        </w:rPr>
        <w:t xml:space="preserve">            </w:t>
      </w:r>
      <w:r>
        <w:rPr>
          <w:color w:val="auto"/>
          <w:sz w:val="21"/>
          <w:szCs w:val="21"/>
          <w:highlight w:val="none"/>
        </w:rPr>
        <w:t>（项目名称）；</w:t>
      </w:r>
    </w:p>
    <w:p>
      <w:pPr>
        <w:adjustRightInd w:val="0"/>
        <w:snapToGrid w:val="0"/>
        <w:spacing w:line="400" w:lineRule="exact"/>
        <w:ind w:firstLine="420" w:firstLineChars="200"/>
        <w:rPr>
          <w:color w:val="auto"/>
          <w:sz w:val="21"/>
          <w:szCs w:val="21"/>
          <w:highlight w:val="none"/>
        </w:rPr>
      </w:pPr>
      <w:r>
        <w:rPr>
          <w:color w:val="auto"/>
          <w:sz w:val="21"/>
          <w:szCs w:val="21"/>
          <w:highlight w:val="none"/>
        </w:rPr>
        <w:t>（4）丙方应为乙方提供便捷有效的银行业务服务，并接受甲方委托对乙方在丙方开设的基本结算户资金使用情况进行监督。</w:t>
      </w:r>
    </w:p>
    <w:p>
      <w:pPr>
        <w:adjustRightInd w:val="0"/>
        <w:snapToGrid w:val="0"/>
        <w:spacing w:line="400" w:lineRule="exact"/>
        <w:ind w:firstLine="420" w:firstLineChars="200"/>
        <w:rPr>
          <w:color w:val="auto"/>
          <w:sz w:val="21"/>
          <w:szCs w:val="21"/>
          <w:highlight w:val="none"/>
        </w:rPr>
      </w:pPr>
      <w:r>
        <w:rPr>
          <w:color w:val="auto"/>
          <w:sz w:val="21"/>
          <w:szCs w:val="21"/>
          <w:highlight w:val="none"/>
        </w:rPr>
        <w:t>2．甲方的权责</w:t>
      </w:r>
    </w:p>
    <w:p>
      <w:pPr>
        <w:adjustRightInd w:val="0"/>
        <w:snapToGrid w:val="0"/>
        <w:spacing w:line="400" w:lineRule="exact"/>
        <w:ind w:firstLine="420" w:firstLineChars="200"/>
        <w:rPr>
          <w:color w:val="auto"/>
          <w:sz w:val="21"/>
          <w:szCs w:val="21"/>
          <w:highlight w:val="none"/>
        </w:rPr>
      </w:pPr>
      <w:r>
        <w:rPr>
          <w:color w:val="auto"/>
          <w:sz w:val="21"/>
          <w:szCs w:val="21"/>
          <w:highlight w:val="none"/>
        </w:rPr>
        <w:t>（1）按照</w:t>
      </w:r>
      <w:r>
        <w:rPr>
          <w:color w:val="auto"/>
          <w:sz w:val="21"/>
          <w:szCs w:val="21"/>
          <w:highlight w:val="none"/>
          <w:u w:val="single"/>
        </w:rPr>
        <w:t xml:space="preserve">            </w:t>
      </w:r>
      <w:r>
        <w:rPr>
          <w:color w:val="auto"/>
          <w:sz w:val="21"/>
          <w:szCs w:val="21"/>
          <w:highlight w:val="none"/>
        </w:rPr>
        <w:t>（项目名称）合同有关条款规定的时间和方式，向乙方支付工程款；</w:t>
      </w:r>
    </w:p>
    <w:p>
      <w:pPr>
        <w:adjustRightInd w:val="0"/>
        <w:snapToGrid w:val="0"/>
        <w:spacing w:line="400" w:lineRule="exact"/>
        <w:ind w:firstLine="420" w:firstLineChars="200"/>
        <w:rPr>
          <w:color w:val="auto"/>
          <w:sz w:val="21"/>
          <w:szCs w:val="21"/>
          <w:highlight w:val="none"/>
        </w:rPr>
      </w:pPr>
      <w:r>
        <w:rPr>
          <w:color w:val="auto"/>
          <w:sz w:val="21"/>
          <w:szCs w:val="21"/>
          <w:highlight w:val="none"/>
        </w:rPr>
        <w:t>（2）在发现乙方将本项目资金挪用、转移时，甲方有权终止工程支付，直至乙方改正为止；</w:t>
      </w:r>
    </w:p>
    <w:p>
      <w:pPr>
        <w:adjustRightInd w:val="0"/>
        <w:snapToGrid w:val="0"/>
        <w:spacing w:line="400" w:lineRule="exact"/>
        <w:ind w:firstLine="420" w:firstLineChars="200"/>
        <w:rPr>
          <w:color w:val="auto"/>
          <w:sz w:val="21"/>
          <w:szCs w:val="21"/>
          <w:highlight w:val="none"/>
        </w:rPr>
      </w:pPr>
      <w:r>
        <w:rPr>
          <w:color w:val="auto"/>
          <w:sz w:val="21"/>
          <w:szCs w:val="21"/>
          <w:highlight w:val="none"/>
        </w:rPr>
        <w:t>（3）不定期审查丙方对乙方的资金使用监督情况，如丙方不能履行其责任，甲方有权随时终止本协议；</w:t>
      </w:r>
    </w:p>
    <w:p>
      <w:pPr>
        <w:adjustRightInd w:val="0"/>
        <w:snapToGrid w:val="0"/>
        <w:spacing w:line="400" w:lineRule="exact"/>
        <w:ind w:firstLine="420" w:firstLineChars="200"/>
        <w:rPr>
          <w:color w:val="auto"/>
          <w:sz w:val="21"/>
          <w:szCs w:val="21"/>
          <w:highlight w:val="none"/>
        </w:rPr>
      </w:pPr>
      <w:r>
        <w:rPr>
          <w:color w:val="auto"/>
          <w:sz w:val="21"/>
          <w:szCs w:val="21"/>
          <w:highlight w:val="none"/>
        </w:rPr>
        <w:t>（4）在乙、丙双方发生争议时，甲方应负责协调、解决。</w:t>
      </w:r>
    </w:p>
    <w:p>
      <w:pPr>
        <w:adjustRightInd w:val="0"/>
        <w:snapToGrid w:val="0"/>
        <w:spacing w:line="400" w:lineRule="exact"/>
        <w:ind w:firstLine="420" w:firstLineChars="200"/>
        <w:rPr>
          <w:color w:val="auto"/>
          <w:sz w:val="21"/>
          <w:szCs w:val="21"/>
          <w:highlight w:val="none"/>
        </w:rPr>
      </w:pPr>
      <w:r>
        <w:rPr>
          <w:color w:val="auto"/>
          <w:sz w:val="21"/>
          <w:szCs w:val="21"/>
          <w:highlight w:val="none"/>
        </w:rPr>
        <w:t>3．乙方的权责</w:t>
      </w:r>
    </w:p>
    <w:p>
      <w:pPr>
        <w:adjustRightInd w:val="0"/>
        <w:snapToGrid w:val="0"/>
        <w:spacing w:line="400" w:lineRule="exact"/>
        <w:ind w:firstLine="420" w:firstLineChars="200"/>
        <w:rPr>
          <w:color w:val="auto"/>
          <w:sz w:val="21"/>
          <w:szCs w:val="21"/>
          <w:highlight w:val="none"/>
        </w:rPr>
      </w:pPr>
      <w:r>
        <w:rPr>
          <w:color w:val="auto"/>
          <w:sz w:val="21"/>
          <w:szCs w:val="21"/>
          <w:highlight w:val="none"/>
        </w:rPr>
        <w:t>（1）项目经理部成立以后，乙方应尽快在丙方开设基本结算户；</w:t>
      </w:r>
    </w:p>
    <w:p>
      <w:pPr>
        <w:adjustRightInd w:val="0"/>
        <w:snapToGrid w:val="0"/>
        <w:spacing w:line="400" w:lineRule="exact"/>
        <w:ind w:firstLine="420" w:firstLineChars="200"/>
        <w:rPr>
          <w:color w:val="auto"/>
          <w:sz w:val="21"/>
          <w:szCs w:val="21"/>
          <w:highlight w:val="none"/>
        </w:rPr>
      </w:pPr>
      <w:r>
        <w:rPr>
          <w:color w:val="auto"/>
          <w:sz w:val="21"/>
          <w:szCs w:val="21"/>
          <w:highlight w:val="none"/>
        </w:rPr>
        <w:t>（2）确保本项目资金专款专用，不发生挪用、转移资金的现象；保证不通过权益转让、抵押、担保承担债务等任何其他方式使用基本结算户的资金；</w:t>
      </w:r>
    </w:p>
    <w:p>
      <w:pPr>
        <w:adjustRightInd w:val="0"/>
        <w:snapToGrid w:val="0"/>
        <w:spacing w:line="400" w:lineRule="exact"/>
        <w:ind w:firstLine="420" w:firstLineChars="200"/>
        <w:rPr>
          <w:color w:val="auto"/>
          <w:sz w:val="21"/>
          <w:szCs w:val="21"/>
          <w:highlight w:val="none"/>
        </w:rPr>
      </w:pPr>
      <w:r>
        <w:rPr>
          <w:color w:val="auto"/>
          <w:sz w:val="21"/>
          <w:szCs w:val="21"/>
          <w:highlight w:val="none"/>
        </w:rPr>
        <w:t>（3）办理材料、设备等采购业务金额在</w:t>
      </w:r>
      <w:r>
        <w:rPr>
          <w:color w:val="auto"/>
          <w:sz w:val="21"/>
          <w:szCs w:val="21"/>
          <w:highlight w:val="none"/>
          <w:u w:val="single"/>
        </w:rPr>
        <w:t xml:space="preserve">      </w:t>
      </w:r>
      <w:r>
        <w:rPr>
          <w:color w:val="auto"/>
          <w:sz w:val="21"/>
          <w:szCs w:val="21"/>
          <w:highlight w:val="none"/>
        </w:rPr>
        <w:t>万元以上的，应出示购货合同、协议和发票；在办理总额超过</w:t>
      </w:r>
      <w:r>
        <w:rPr>
          <w:color w:val="auto"/>
          <w:sz w:val="21"/>
          <w:szCs w:val="21"/>
          <w:highlight w:val="none"/>
          <w:u w:val="single"/>
        </w:rPr>
        <w:t xml:space="preserve">      </w:t>
      </w:r>
      <w:r>
        <w:rPr>
          <w:color w:val="auto"/>
          <w:sz w:val="21"/>
          <w:szCs w:val="21"/>
          <w:highlight w:val="none"/>
        </w:rPr>
        <w:t>万元以上的采购业务时，应将合同、协议和发票复印件送丙方备案；购买应急材料、设备时可先办理支付手续，但事后必须补备有关资料；</w:t>
      </w:r>
    </w:p>
    <w:p>
      <w:pPr>
        <w:adjustRightInd w:val="0"/>
        <w:snapToGrid w:val="0"/>
        <w:spacing w:line="400" w:lineRule="exact"/>
        <w:ind w:firstLine="420" w:firstLineChars="200"/>
        <w:rPr>
          <w:color w:val="auto"/>
          <w:sz w:val="21"/>
          <w:szCs w:val="21"/>
          <w:highlight w:val="none"/>
        </w:rPr>
      </w:pPr>
      <w:r>
        <w:rPr>
          <w:color w:val="auto"/>
          <w:sz w:val="21"/>
          <w:szCs w:val="21"/>
          <w:highlight w:val="none"/>
        </w:rPr>
        <w:t>（4）用银行转帐支票办理支付款项时，必须将转帐支票送交丙方，由丙方负责办理支票转付手续；</w:t>
      </w:r>
    </w:p>
    <w:p>
      <w:pPr>
        <w:adjustRightInd w:val="0"/>
        <w:snapToGrid w:val="0"/>
        <w:spacing w:line="400" w:lineRule="exact"/>
        <w:ind w:firstLine="420" w:firstLineChars="200"/>
        <w:rPr>
          <w:color w:val="auto"/>
          <w:sz w:val="21"/>
          <w:szCs w:val="21"/>
          <w:highlight w:val="none"/>
        </w:rPr>
      </w:pPr>
      <w:r>
        <w:rPr>
          <w:color w:val="auto"/>
          <w:sz w:val="21"/>
          <w:szCs w:val="21"/>
          <w:highlight w:val="none"/>
        </w:rPr>
        <w:t>（5）向分包单位支付工程进度款时，应附甲方批准分包的文件；</w:t>
      </w:r>
    </w:p>
    <w:p>
      <w:pPr>
        <w:adjustRightInd w:val="0"/>
        <w:snapToGrid w:val="0"/>
        <w:spacing w:line="400" w:lineRule="exact"/>
        <w:ind w:firstLine="420" w:firstLineChars="200"/>
        <w:rPr>
          <w:color w:val="auto"/>
          <w:sz w:val="21"/>
          <w:szCs w:val="21"/>
          <w:highlight w:val="none"/>
        </w:rPr>
      </w:pPr>
      <w:r>
        <w:rPr>
          <w:color w:val="auto"/>
          <w:sz w:val="21"/>
          <w:szCs w:val="21"/>
          <w:highlight w:val="none"/>
        </w:rPr>
        <w:t>（6）向上级单位缴纳管理费、机械设备及周转材料租赁摊销费等款项时，应附上级单位出具的转帐通知等有关材料，以确保资金专款专用。</w:t>
      </w:r>
    </w:p>
    <w:p>
      <w:pPr>
        <w:adjustRightInd w:val="0"/>
        <w:snapToGrid w:val="0"/>
        <w:spacing w:line="400" w:lineRule="exact"/>
        <w:ind w:firstLine="420" w:firstLineChars="200"/>
        <w:rPr>
          <w:color w:val="auto"/>
          <w:sz w:val="21"/>
          <w:szCs w:val="21"/>
          <w:highlight w:val="none"/>
        </w:rPr>
      </w:pPr>
      <w:r>
        <w:rPr>
          <w:color w:val="auto"/>
          <w:sz w:val="21"/>
          <w:szCs w:val="21"/>
          <w:highlight w:val="none"/>
        </w:rPr>
        <w:t>4．丙方的权责</w:t>
      </w:r>
    </w:p>
    <w:p>
      <w:pPr>
        <w:adjustRightInd w:val="0"/>
        <w:snapToGrid w:val="0"/>
        <w:spacing w:line="400" w:lineRule="exact"/>
        <w:ind w:firstLine="420" w:firstLineChars="200"/>
        <w:rPr>
          <w:color w:val="auto"/>
          <w:sz w:val="21"/>
          <w:szCs w:val="21"/>
          <w:highlight w:val="none"/>
        </w:rPr>
      </w:pPr>
      <w:r>
        <w:rPr>
          <w:color w:val="auto"/>
          <w:sz w:val="21"/>
          <w:szCs w:val="21"/>
          <w:highlight w:val="none"/>
        </w:rPr>
        <w:t>（1）成立</w:t>
      </w:r>
      <w:r>
        <w:rPr>
          <w:color w:val="auto"/>
          <w:sz w:val="21"/>
          <w:szCs w:val="21"/>
          <w:highlight w:val="none"/>
          <w:u w:val="single"/>
        </w:rPr>
        <w:t xml:space="preserve">            </w:t>
      </w:r>
      <w:r>
        <w:rPr>
          <w:color w:val="auto"/>
          <w:sz w:val="21"/>
          <w:szCs w:val="21"/>
          <w:highlight w:val="none"/>
        </w:rPr>
        <w:t>（项目名称）工程资金管理服务小组，明确业务流程，提高工作效率，杜绝“压票”现象；</w:t>
      </w:r>
    </w:p>
    <w:p>
      <w:pPr>
        <w:adjustRightInd w:val="0"/>
        <w:snapToGrid w:val="0"/>
        <w:spacing w:line="400" w:lineRule="exact"/>
        <w:ind w:firstLine="420" w:firstLineChars="200"/>
        <w:rPr>
          <w:color w:val="auto"/>
          <w:sz w:val="21"/>
          <w:szCs w:val="21"/>
          <w:highlight w:val="none"/>
          <w:u w:val="single"/>
        </w:rPr>
      </w:pPr>
      <w:r>
        <w:rPr>
          <w:color w:val="auto"/>
          <w:sz w:val="21"/>
          <w:szCs w:val="21"/>
          <w:highlight w:val="none"/>
        </w:rPr>
        <w:t>（2）根据乙方提供的购货合同、协议和发票，检查其所购材料、设备是否用于</w:t>
      </w:r>
      <w:r>
        <w:rPr>
          <w:color w:val="auto"/>
          <w:sz w:val="21"/>
          <w:szCs w:val="21"/>
          <w:highlight w:val="none"/>
          <w:u w:val="single"/>
        </w:rPr>
        <w:t xml:space="preserve">   </w:t>
      </w:r>
    </w:p>
    <w:p>
      <w:pPr>
        <w:adjustRightInd w:val="0"/>
        <w:snapToGrid w:val="0"/>
        <w:spacing w:line="400" w:lineRule="exact"/>
        <w:ind w:firstLine="420" w:firstLineChars="200"/>
        <w:rPr>
          <w:color w:val="auto"/>
          <w:sz w:val="21"/>
          <w:szCs w:val="21"/>
          <w:highlight w:val="none"/>
        </w:rPr>
      </w:pPr>
      <w:r>
        <w:rPr>
          <w:color w:val="auto"/>
          <w:sz w:val="21"/>
          <w:szCs w:val="21"/>
          <w:highlight w:val="none"/>
          <w:u w:val="single"/>
        </w:rPr>
        <w:t xml:space="preserve">             </w:t>
      </w:r>
      <w:r>
        <w:rPr>
          <w:color w:val="auto"/>
          <w:sz w:val="21"/>
          <w:szCs w:val="21"/>
          <w:highlight w:val="none"/>
        </w:rPr>
        <w:t>（项目名称）工程建设，对本标段以外的购货款项，有权拒绝办理，并及时报告甲方；</w:t>
      </w:r>
    </w:p>
    <w:p>
      <w:pPr>
        <w:adjustRightInd w:val="0"/>
        <w:snapToGrid w:val="0"/>
        <w:spacing w:line="400" w:lineRule="exact"/>
        <w:ind w:firstLine="420" w:firstLineChars="200"/>
        <w:rPr>
          <w:color w:val="auto"/>
          <w:sz w:val="21"/>
          <w:szCs w:val="21"/>
          <w:highlight w:val="none"/>
        </w:rPr>
      </w:pPr>
      <w:r>
        <w:rPr>
          <w:color w:val="auto"/>
          <w:sz w:val="21"/>
          <w:szCs w:val="21"/>
          <w:highlight w:val="none"/>
        </w:rPr>
        <w:t>（3）根据乙方与分包单位签订的合同及支付文件，检查其支付款项是否符合有关条件，向分包单位以外单位的支付有权拒绝办理，并及时报告甲方；</w:t>
      </w:r>
    </w:p>
    <w:p>
      <w:pPr>
        <w:adjustRightInd w:val="0"/>
        <w:snapToGrid w:val="0"/>
        <w:spacing w:line="400" w:lineRule="exact"/>
        <w:ind w:firstLine="420" w:firstLineChars="200"/>
        <w:rPr>
          <w:color w:val="auto"/>
          <w:sz w:val="21"/>
          <w:szCs w:val="21"/>
          <w:highlight w:val="none"/>
        </w:rPr>
      </w:pPr>
      <w:r>
        <w:rPr>
          <w:color w:val="auto"/>
          <w:sz w:val="21"/>
          <w:szCs w:val="21"/>
          <w:highlight w:val="none"/>
        </w:rPr>
        <w:t>（4）根据乙方提供的上级单位出具的转帐通知等有关资料，办理管理费、机械设备及周转材料租赁摊销费等款项的支付；对超出转帐通知等有关资料以外的支付，有权拒绝办理，并及时报告甲方；</w:t>
      </w:r>
    </w:p>
    <w:p>
      <w:pPr>
        <w:adjustRightInd w:val="0"/>
        <w:snapToGrid w:val="0"/>
        <w:spacing w:line="400" w:lineRule="exact"/>
        <w:ind w:firstLine="420" w:firstLineChars="200"/>
        <w:rPr>
          <w:color w:val="auto"/>
          <w:sz w:val="21"/>
          <w:szCs w:val="21"/>
          <w:highlight w:val="none"/>
        </w:rPr>
      </w:pPr>
      <w:r>
        <w:rPr>
          <w:color w:val="auto"/>
          <w:sz w:val="21"/>
          <w:szCs w:val="21"/>
          <w:highlight w:val="none"/>
        </w:rPr>
        <w:t>（5）定期将乙方前一个周期的支付情况，整理后书面报送甲方；乙方复印备案的材料一并送甲方。</w:t>
      </w:r>
    </w:p>
    <w:p>
      <w:pPr>
        <w:adjustRightInd w:val="0"/>
        <w:snapToGrid w:val="0"/>
        <w:spacing w:line="400" w:lineRule="exact"/>
        <w:ind w:firstLine="420" w:firstLineChars="200"/>
        <w:rPr>
          <w:color w:val="auto"/>
          <w:sz w:val="21"/>
          <w:szCs w:val="21"/>
          <w:highlight w:val="none"/>
        </w:rPr>
      </w:pPr>
      <w:r>
        <w:rPr>
          <w:color w:val="auto"/>
          <w:sz w:val="21"/>
          <w:szCs w:val="21"/>
          <w:highlight w:val="none"/>
        </w:rPr>
        <w:t>5、甲、乙、丙三方都应履行保密责任，不得将其他两方的业务情况透露给三方以外的其他单位或个人。</w:t>
      </w:r>
    </w:p>
    <w:p>
      <w:pPr>
        <w:adjustRightInd w:val="0"/>
        <w:snapToGrid w:val="0"/>
        <w:spacing w:line="400" w:lineRule="exact"/>
        <w:ind w:firstLine="420" w:firstLineChars="200"/>
        <w:rPr>
          <w:color w:val="auto"/>
          <w:sz w:val="21"/>
          <w:szCs w:val="21"/>
          <w:highlight w:val="none"/>
        </w:rPr>
      </w:pPr>
      <w:r>
        <w:rPr>
          <w:color w:val="auto"/>
          <w:sz w:val="21"/>
          <w:szCs w:val="21"/>
          <w:highlight w:val="none"/>
        </w:rPr>
        <w:t>6、本协议有效期自乙方在丙方开户起，至工程交工验收甲方向乙方颁发交工验收证书后结束。</w:t>
      </w:r>
    </w:p>
    <w:p>
      <w:pPr>
        <w:adjustRightInd w:val="0"/>
        <w:snapToGrid w:val="0"/>
        <w:spacing w:line="400" w:lineRule="exact"/>
        <w:ind w:firstLine="420" w:firstLineChars="200"/>
        <w:rPr>
          <w:color w:val="auto"/>
          <w:sz w:val="21"/>
          <w:szCs w:val="21"/>
          <w:highlight w:val="none"/>
        </w:rPr>
      </w:pPr>
      <w:r>
        <w:rPr>
          <w:color w:val="auto"/>
          <w:sz w:val="21"/>
          <w:szCs w:val="21"/>
          <w:highlight w:val="none"/>
        </w:rPr>
        <w:t>7、本协议未尽事宜，由甲方牵头，三方协商解决。</w:t>
      </w:r>
    </w:p>
    <w:p>
      <w:pPr>
        <w:adjustRightInd w:val="0"/>
        <w:snapToGrid w:val="0"/>
        <w:spacing w:line="400" w:lineRule="exact"/>
        <w:ind w:firstLine="420" w:firstLineChars="200"/>
        <w:rPr>
          <w:color w:val="auto"/>
          <w:sz w:val="21"/>
          <w:szCs w:val="21"/>
          <w:highlight w:val="none"/>
        </w:rPr>
      </w:pPr>
      <w:r>
        <w:rPr>
          <w:color w:val="auto"/>
          <w:sz w:val="21"/>
          <w:szCs w:val="21"/>
          <w:highlight w:val="none"/>
        </w:rPr>
        <w:t>8、本协议正本三份、副本</w:t>
      </w:r>
      <w:r>
        <w:rPr>
          <w:color w:val="auto"/>
          <w:sz w:val="21"/>
          <w:szCs w:val="21"/>
          <w:highlight w:val="none"/>
          <w:u w:val="single"/>
        </w:rPr>
        <w:t xml:space="preserve">     </w:t>
      </w:r>
      <w:r>
        <w:rPr>
          <w:color w:val="auto"/>
          <w:sz w:val="21"/>
          <w:szCs w:val="21"/>
          <w:highlight w:val="none"/>
        </w:rPr>
        <w:t>份。合同三方各执正本一份、副本</w:t>
      </w:r>
      <w:r>
        <w:rPr>
          <w:color w:val="auto"/>
          <w:sz w:val="21"/>
          <w:szCs w:val="21"/>
          <w:highlight w:val="none"/>
          <w:u w:val="single"/>
        </w:rPr>
        <w:t xml:space="preserve">    </w:t>
      </w:r>
      <w:r>
        <w:rPr>
          <w:color w:val="auto"/>
          <w:sz w:val="21"/>
          <w:szCs w:val="21"/>
          <w:highlight w:val="none"/>
        </w:rPr>
        <w:t>份，当正本与副本内容不一致时，以正本为准。</w:t>
      </w:r>
    </w:p>
    <w:p>
      <w:pPr>
        <w:adjustRightInd w:val="0"/>
        <w:snapToGrid w:val="0"/>
        <w:spacing w:line="400" w:lineRule="exact"/>
        <w:jc w:val="right"/>
        <w:rPr>
          <w:color w:val="auto"/>
          <w:sz w:val="21"/>
          <w:szCs w:val="21"/>
          <w:highlight w:val="none"/>
        </w:rPr>
      </w:pPr>
      <w:r>
        <w:rPr>
          <w:color w:val="auto"/>
          <w:sz w:val="21"/>
          <w:szCs w:val="21"/>
          <w:highlight w:val="none"/>
        </w:rPr>
        <w:t>发包人：</w:t>
      </w:r>
      <w:r>
        <w:rPr>
          <w:color w:val="auto"/>
          <w:sz w:val="21"/>
          <w:szCs w:val="21"/>
          <w:highlight w:val="none"/>
          <w:u w:val="single"/>
        </w:rPr>
        <w:t xml:space="preserve">                     </w:t>
      </w:r>
      <w:r>
        <w:rPr>
          <w:color w:val="auto"/>
          <w:sz w:val="21"/>
          <w:szCs w:val="21"/>
          <w:highlight w:val="none"/>
        </w:rPr>
        <w:t>（盖单位公章）</w:t>
      </w:r>
    </w:p>
    <w:p>
      <w:pPr>
        <w:adjustRightInd w:val="0"/>
        <w:snapToGrid w:val="0"/>
        <w:spacing w:line="400" w:lineRule="exact"/>
        <w:jc w:val="right"/>
        <w:rPr>
          <w:color w:val="auto"/>
          <w:sz w:val="21"/>
          <w:szCs w:val="21"/>
          <w:highlight w:val="none"/>
        </w:rPr>
      </w:pPr>
      <w:r>
        <w:rPr>
          <w:color w:val="auto"/>
          <w:sz w:val="21"/>
          <w:szCs w:val="21"/>
          <w:highlight w:val="none"/>
        </w:rPr>
        <w:t>法定代表人或其委托代理人：</w:t>
      </w:r>
      <w:r>
        <w:rPr>
          <w:color w:val="auto"/>
          <w:sz w:val="21"/>
          <w:szCs w:val="21"/>
          <w:highlight w:val="none"/>
          <w:u w:val="single"/>
        </w:rPr>
        <w:t xml:space="preserve">         </w:t>
      </w:r>
      <w:r>
        <w:rPr>
          <w:color w:val="auto"/>
          <w:sz w:val="21"/>
          <w:szCs w:val="21"/>
          <w:highlight w:val="none"/>
        </w:rPr>
        <w:t>（签字）</w:t>
      </w:r>
    </w:p>
    <w:p>
      <w:pPr>
        <w:adjustRightInd w:val="0"/>
        <w:snapToGrid w:val="0"/>
        <w:spacing w:line="400" w:lineRule="exact"/>
        <w:ind w:firstLine="1890" w:firstLineChars="900"/>
        <w:jc w:val="right"/>
        <w:rPr>
          <w:color w:val="auto"/>
          <w:sz w:val="21"/>
          <w:szCs w:val="21"/>
          <w:highlight w:val="none"/>
        </w:rPr>
      </w:pP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color w:val="auto"/>
          <w:sz w:val="21"/>
          <w:szCs w:val="21"/>
          <w:highlight w:val="none"/>
        </w:rPr>
        <w:t>月</w:t>
      </w:r>
      <w:r>
        <w:rPr>
          <w:color w:val="auto"/>
          <w:sz w:val="21"/>
          <w:szCs w:val="21"/>
          <w:highlight w:val="none"/>
          <w:u w:val="single"/>
        </w:rPr>
        <w:t xml:space="preserve">     </w:t>
      </w:r>
      <w:r>
        <w:rPr>
          <w:color w:val="auto"/>
          <w:sz w:val="21"/>
          <w:szCs w:val="21"/>
          <w:highlight w:val="none"/>
        </w:rPr>
        <w:t>日</w:t>
      </w:r>
    </w:p>
    <w:p>
      <w:pPr>
        <w:adjustRightInd w:val="0"/>
        <w:snapToGrid w:val="0"/>
        <w:spacing w:line="400" w:lineRule="exact"/>
        <w:ind w:firstLine="1890" w:firstLineChars="900"/>
        <w:jc w:val="right"/>
        <w:rPr>
          <w:color w:val="auto"/>
          <w:sz w:val="21"/>
          <w:szCs w:val="21"/>
          <w:highlight w:val="none"/>
        </w:rPr>
      </w:pPr>
    </w:p>
    <w:p>
      <w:pPr>
        <w:adjustRightInd w:val="0"/>
        <w:snapToGrid w:val="0"/>
        <w:spacing w:line="400" w:lineRule="exact"/>
        <w:jc w:val="right"/>
        <w:rPr>
          <w:color w:val="auto"/>
          <w:sz w:val="21"/>
          <w:szCs w:val="21"/>
          <w:highlight w:val="none"/>
        </w:rPr>
      </w:pPr>
      <w:r>
        <w:rPr>
          <w:color w:val="auto"/>
          <w:sz w:val="21"/>
          <w:szCs w:val="21"/>
          <w:highlight w:val="none"/>
        </w:rPr>
        <w:t>承包人：</w:t>
      </w:r>
      <w:r>
        <w:rPr>
          <w:color w:val="auto"/>
          <w:sz w:val="21"/>
          <w:szCs w:val="21"/>
          <w:highlight w:val="none"/>
          <w:u w:val="single"/>
        </w:rPr>
        <w:t xml:space="preserve">                     </w:t>
      </w:r>
      <w:r>
        <w:rPr>
          <w:color w:val="auto"/>
          <w:sz w:val="21"/>
          <w:szCs w:val="21"/>
          <w:highlight w:val="none"/>
        </w:rPr>
        <w:t>（盖单位公章）</w:t>
      </w:r>
    </w:p>
    <w:p>
      <w:pPr>
        <w:adjustRightInd w:val="0"/>
        <w:snapToGrid w:val="0"/>
        <w:spacing w:line="400" w:lineRule="exact"/>
        <w:jc w:val="right"/>
        <w:rPr>
          <w:color w:val="auto"/>
          <w:sz w:val="21"/>
          <w:szCs w:val="21"/>
          <w:highlight w:val="none"/>
        </w:rPr>
      </w:pPr>
      <w:r>
        <w:rPr>
          <w:color w:val="auto"/>
          <w:sz w:val="21"/>
          <w:szCs w:val="21"/>
          <w:highlight w:val="none"/>
        </w:rPr>
        <w:t>法定代表人或其委托代理人：</w:t>
      </w:r>
      <w:r>
        <w:rPr>
          <w:color w:val="auto"/>
          <w:sz w:val="21"/>
          <w:szCs w:val="21"/>
          <w:highlight w:val="none"/>
          <w:u w:val="single"/>
        </w:rPr>
        <w:t xml:space="preserve">         </w:t>
      </w:r>
      <w:r>
        <w:rPr>
          <w:color w:val="auto"/>
          <w:sz w:val="21"/>
          <w:szCs w:val="21"/>
          <w:highlight w:val="none"/>
        </w:rPr>
        <w:t>（签字）</w:t>
      </w:r>
    </w:p>
    <w:p>
      <w:pPr>
        <w:adjustRightInd w:val="0"/>
        <w:snapToGrid w:val="0"/>
        <w:spacing w:line="400" w:lineRule="exact"/>
        <w:ind w:firstLine="1890" w:firstLineChars="900"/>
        <w:jc w:val="right"/>
        <w:rPr>
          <w:color w:val="auto"/>
          <w:sz w:val="21"/>
          <w:szCs w:val="21"/>
          <w:highlight w:val="none"/>
        </w:rPr>
      </w:pP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color w:val="auto"/>
          <w:sz w:val="21"/>
          <w:szCs w:val="21"/>
          <w:highlight w:val="none"/>
        </w:rPr>
        <w:t>月</w:t>
      </w:r>
      <w:r>
        <w:rPr>
          <w:color w:val="auto"/>
          <w:sz w:val="21"/>
          <w:szCs w:val="21"/>
          <w:highlight w:val="none"/>
          <w:u w:val="single"/>
        </w:rPr>
        <w:t xml:space="preserve">     </w:t>
      </w:r>
      <w:r>
        <w:rPr>
          <w:color w:val="auto"/>
          <w:sz w:val="21"/>
          <w:szCs w:val="21"/>
          <w:highlight w:val="none"/>
        </w:rPr>
        <w:t>日</w:t>
      </w:r>
    </w:p>
    <w:p>
      <w:pPr>
        <w:adjustRightInd w:val="0"/>
        <w:snapToGrid w:val="0"/>
        <w:spacing w:line="400" w:lineRule="exact"/>
        <w:jc w:val="right"/>
        <w:rPr>
          <w:color w:val="auto"/>
          <w:sz w:val="21"/>
          <w:szCs w:val="21"/>
          <w:highlight w:val="none"/>
        </w:rPr>
      </w:pPr>
      <w:r>
        <w:rPr>
          <w:color w:val="auto"/>
          <w:sz w:val="21"/>
          <w:szCs w:val="21"/>
          <w:highlight w:val="none"/>
        </w:rPr>
        <w:t>经办银行：</w:t>
      </w:r>
      <w:r>
        <w:rPr>
          <w:color w:val="auto"/>
          <w:sz w:val="21"/>
          <w:szCs w:val="21"/>
          <w:highlight w:val="none"/>
          <w:u w:val="single"/>
        </w:rPr>
        <w:t xml:space="preserve">                   </w:t>
      </w:r>
      <w:r>
        <w:rPr>
          <w:color w:val="auto"/>
          <w:sz w:val="21"/>
          <w:szCs w:val="21"/>
          <w:highlight w:val="none"/>
        </w:rPr>
        <w:t>（盖单位公章）</w:t>
      </w:r>
    </w:p>
    <w:p>
      <w:pPr>
        <w:adjustRightInd w:val="0"/>
        <w:snapToGrid w:val="0"/>
        <w:spacing w:line="400" w:lineRule="exact"/>
        <w:jc w:val="right"/>
        <w:rPr>
          <w:color w:val="auto"/>
          <w:sz w:val="21"/>
          <w:szCs w:val="21"/>
          <w:highlight w:val="none"/>
        </w:rPr>
      </w:pPr>
      <w:r>
        <w:rPr>
          <w:color w:val="auto"/>
          <w:sz w:val="21"/>
          <w:szCs w:val="21"/>
          <w:highlight w:val="none"/>
        </w:rPr>
        <w:t>法定代表人或其委托代理人：</w:t>
      </w:r>
      <w:r>
        <w:rPr>
          <w:color w:val="auto"/>
          <w:sz w:val="21"/>
          <w:szCs w:val="21"/>
          <w:highlight w:val="none"/>
          <w:u w:val="single"/>
        </w:rPr>
        <w:t xml:space="preserve">         </w:t>
      </w:r>
      <w:r>
        <w:rPr>
          <w:color w:val="auto"/>
          <w:sz w:val="21"/>
          <w:szCs w:val="21"/>
          <w:highlight w:val="none"/>
        </w:rPr>
        <w:t>（签字）</w:t>
      </w:r>
    </w:p>
    <w:p>
      <w:pPr>
        <w:adjustRightInd w:val="0"/>
        <w:snapToGrid w:val="0"/>
        <w:spacing w:line="400" w:lineRule="exact"/>
        <w:ind w:firstLine="1890" w:firstLineChars="900"/>
        <w:jc w:val="right"/>
        <w:rPr>
          <w:color w:val="auto"/>
          <w:sz w:val="21"/>
          <w:szCs w:val="21"/>
          <w:highlight w:val="none"/>
        </w:rPr>
      </w:pP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color w:val="auto"/>
          <w:sz w:val="21"/>
          <w:szCs w:val="21"/>
          <w:highlight w:val="none"/>
        </w:rPr>
        <w:t>月</w:t>
      </w:r>
      <w:r>
        <w:rPr>
          <w:color w:val="auto"/>
          <w:sz w:val="21"/>
          <w:szCs w:val="21"/>
          <w:highlight w:val="none"/>
          <w:u w:val="single"/>
        </w:rPr>
        <w:t xml:space="preserve">     </w:t>
      </w:r>
      <w:r>
        <w:rPr>
          <w:color w:val="auto"/>
          <w:sz w:val="21"/>
          <w:szCs w:val="21"/>
          <w:highlight w:val="none"/>
        </w:rPr>
        <w:t>日</w:t>
      </w:r>
    </w:p>
    <w:p>
      <w:pPr>
        <w:adjustRightInd w:val="0"/>
        <w:snapToGrid w:val="0"/>
        <w:spacing w:before="240" w:beforeLines="100" w:after="240" w:afterLines="100"/>
        <w:rPr>
          <w:rFonts w:hint="eastAsia"/>
          <w:b/>
          <w:color w:val="auto"/>
          <w:sz w:val="32"/>
          <w:szCs w:val="32"/>
          <w:highlight w:val="none"/>
        </w:rPr>
      </w:pPr>
      <w:r>
        <w:rPr>
          <w:color w:val="auto"/>
          <w:sz w:val="36"/>
          <w:szCs w:val="36"/>
          <w:highlight w:val="none"/>
        </w:rPr>
        <w:br w:type="page"/>
      </w:r>
      <w:r>
        <w:rPr>
          <w:rFonts w:hint="eastAsia"/>
          <w:b/>
          <w:bCs/>
          <w:color w:val="auto"/>
          <w:highlight w:val="none"/>
        </w:rPr>
        <w:t>附件</w:t>
      </w:r>
      <w:r>
        <w:rPr>
          <w:rFonts w:hint="eastAsia"/>
          <w:b/>
          <w:bCs/>
          <w:color w:val="auto"/>
          <w:highlight w:val="none"/>
          <w:lang w:eastAsia="zh-CN"/>
        </w:rPr>
        <w:t>九</w:t>
      </w:r>
      <w:r>
        <w:rPr>
          <w:rFonts w:hint="eastAsia"/>
          <w:b/>
          <w:bCs/>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b/>
          <w:color w:val="auto"/>
          <w:sz w:val="32"/>
          <w:szCs w:val="32"/>
          <w:highlight w:val="none"/>
        </w:rPr>
      </w:pPr>
      <w:r>
        <w:rPr>
          <w:rFonts w:hint="eastAsia"/>
          <w:b/>
          <w:color w:val="auto"/>
          <w:sz w:val="32"/>
          <w:szCs w:val="32"/>
          <w:highlight w:val="none"/>
        </w:rPr>
        <w:t>道路施工工地扬尘污染防治目标承诺书</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为切实推进我市大气污染防治工作，控制道路施工工地扬尘对空气环境的影响，特与你单位签订《道路施工工地扬尘污染防治目标责任书》。</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一、施工现场设立扬尘治理公示牌，公示主管领导、人员，明确扬尘治理责任。</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二、施工单位要建立扬尘污染防治责任制和预防施工扬尘预案，明确扬尘防治责任和要求，配齐配强扬尘防治专职人员和专用设备。必须每5公里配备2台洒水车和1台雾炮车。</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三、必须达到“施工工地百分之百围挡、物料堆放百分之百覆盖、出入车辆百分之百冲洗、施工现场地面百分之百硬化、拆迁工地百分之百湿法作业、渣土车辆百分之百密闭运输”六个百分之百。</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四、在路基、桥梁基础等的开挖时应避开大风、雾霾等恶劣天气。在施工中确保开挖一段，碾压（硬化）一段，并保持喷水压尘。对破损的路缘石要及时整修或重新铺设。</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五、施工现场的场地内的土石方等物料要集中堆放，全面覆盖，水泥和其它粉状建筑材料应封闭储存或覆盖，严禁露天堆放。</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六、不得将建筑、生活垃圾焚烧、掩埋等，不得将土石方沿途抛洒或偷倒、乱倒等，要将产生扬尘的物料、垃圾等杂物按照规定进行集中科学处理。</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七、建立现场“三员”管理公示制度，在每个建设工地出入口醒目位置公布现场“三员”姓名、联系方式、工作内容、监督电话。</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八、道路施工应在拌合场、居民区、边通车边施工路段、土方作业面等环境敏感点设置在线监控设施。</w:t>
      </w:r>
    </w:p>
    <w:p>
      <w:pPr>
        <w:spacing w:line="360" w:lineRule="auto"/>
        <w:ind w:firstLine="645"/>
        <w:rPr>
          <w:rFonts w:hint="eastAsia"/>
          <w:color w:val="auto"/>
          <w:sz w:val="21"/>
          <w:szCs w:val="21"/>
          <w:highlight w:val="none"/>
        </w:rPr>
      </w:pPr>
      <w:r>
        <w:rPr>
          <w:rFonts w:hint="eastAsia"/>
          <w:color w:val="auto"/>
          <w:sz w:val="21"/>
          <w:szCs w:val="21"/>
          <w:highlight w:val="none"/>
        </w:rPr>
        <w:t>九、积极响应恶劣天气管控措施，严格按照管控要求，停止土石方作业，每天按时上报污染天气管控信息日报表。</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九、对因疏于管理或管理不到位、工作人员失职，将追究主要领导、分管领导和直接责任人的相关责任。</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十、如未能认真履行扬尘污染防治管理职责，扬尘污染整治治理责任落实不力，未能达到目标责任书的要求，除进行整改外，将对责任单位进行处罚。</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本责任书一式两份，双方各持一份，经双方签字盖章后生效。</w:t>
      </w:r>
    </w:p>
    <w:p>
      <w:pPr>
        <w:spacing w:line="360" w:lineRule="auto"/>
        <w:ind w:firstLine="210" w:firstLineChars="100"/>
        <w:rPr>
          <w:rFonts w:hint="eastAsia"/>
          <w:color w:val="auto"/>
          <w:sz w:val="21"/>
          <w:szCs w:val="21"/>
          <w:highlight w:val="none"/>
        </w:rPr>
      </w:pPr>
      <w:r>
        <w:rPr>
          <w:rFonts w:hint="eastAsia"/>
          <w:color w:val="auto"/>
          <w:sz w:val="21"/>
          <w:szCs w:val="21"/>
          <w:highlight w:val="none"/>
        </w:rPr>
        <w:t>施工单位（盖章）：             建设单位（盖章）：</w:t>
      </w:r>
    </w:p>
    <w:p>
      <w:pPr>
        <w:spacing w:line="360" w:lineRule="auto"/>
        <w:ind w:firstLine="210" w:firstLineChars="100"/>
        <w:rPr>
          <w:rFonts w:hint="eastAsia"/>
          <w:color w:val="auto"/>
          <w:sz w:val="21"/>
          <w:szCs w:val="21"/>
          <w:highlight w:val="none"/>
        </w:rPr>
      </w:pPr>
      <w:r>
        <w:rPr>
          <w:rFonts w:hint="eastAsia"/>
          <w:color w:val="auto"/>
          <w:sz w:val="21"/>
          <w:szCs w:val="21"/>
          <w:highlight w:val="none"/>
        </w:rPr>
        <w:t>项目负责人（签字）：           项目负责人（签字）：</w:t>
      </w:r>
    </w:p>
    <w:p>
      <w:pPr>
        <w:spacing w:line="360" w:lineRule="auto"/>
        <w:ind w:firstLine="210" w:firstLineChars="100"/>
        <w:rPr>
          <w:rFonts w:hint="eastAsia"/>
          <w:color w:val="auto"/>
          <w:sz w:val="21"/>
          <w:szCs w:val="21"/>
          <w:highlight w:val="none"/>
          <w:lang w:val="en-US"/>
        </w:rPr>
      </w:pPr>
      <w:r>
        <w:rPr>
          <w:rFonts w:hint="eastAsia"/>
          <w:color w:val="auto"/>
          <w:sz w:val="21"/>
          <w:szCs w:val="21"/>
          <w:highlight w:val="none"/>
        </w:rPr>
        <w:t xml:space="preserve">                    </w:t>
      </w:r>
      <w:r>
        <w:rPr>
          <w:rFonts w:hint="eastAsia"/>
          <w:color w:val="auto"/>
          <w:sz w:val="21"/>
          <w:szCs w:val="21"/>
          <w:highlight w:val="none"/>
          <w:lang w:val="en-US"/>
        </w:rPr>
        <w:t xml:space="preserve">                     </w:t>
      </w:r>
      <w:r>
        <w:rPr>
          <w:rFonts w:hint="eastAsia"/>
          <w:color w:val="auto"/>
          <w:sz w:val="21"/>
          <w:szCs w:val="21"/>
          <w:highlight w:val="none"/>
        </w:rPr>
        <w:t xml:space="preserve">  201</w:t>
      </w:r>
      <w:r>
        <w:rPr>
          <w:rFonts w:hint="eastAsia"/>
          <w:color w:val="auto"/>
          <w:sz w:val="21"/>
          <w:szCs w:val="21"/>
          <w:highlight w:val="none"/>
          <w:lang w:val="en-US"/>
        </w:rPr>
        <w:t>9</w:t>
      </w:r>
      <w:r>
        <w:rPr>
          <w:rFonts w:hint="eastAsia"/>
          <w:color w:val="auto"/>
          <w:sz w:val="21"/>
          <w:szCs w:val="21"/>
          <w:highlight w:val="none"/>
        </w:rPr>
        <w:t>年    月    日</w:t>
      </w:r>
    </w:p>
    <w:p>
      <w:pPr>
        <w:spacing w:line="360" w:lineRule="auto"/>
        <w:ind w:firstLine="4830" w:firstLineChars="2300"/>
        <w:rPr>
          <w:rFonts w:hint="eastAsia"/>
          <w:color w:val="auto"/>
          <w:sz w:val="21"/>
          <w:szCs w:val="21"/>
          <w:highlight w:val="none"/>
        </w:rPr>
      </w:pPr>
      <w:r>
        <w:rPr>
          <w:rFonts w:hint="eastAsia"/>
          <w:color w:val="auto"/>
          <w:sz w:val="21"/>
          <w:szCs w:val="21"/>
          <w:highlight w:val="none"/>
        </w:rPr>
        <w:t>责任单位：（公章）</w:t>
      </w:r>
    </w:p>
    <w:p>
      <w:pPr>
        <w:spacing w:line="360" w:lineRule="auto"/>
        <w:ind w:firstLine="4200" w:firstLineChars="2000"/>
        <w:rPr>
          <w:rFonts w:hint="eastAsia"/>
          <w:color w:val="auto"/>
          <w:sz w:val="21"/>
          <w:szCs w:val="21"/>
          <w:highlight w:val="none"/>
        </w:rPr>
      </w:pPr>
      <w:r>
        <w:rPr>
          <w:rFonts w:hint="eastAsia"/>
          <w:color w:val="auto"/>
          <w:sz w:val="21"/>
          <w:szCs w:val="21"/>
          <w:highlight w:val="none"/>
        </w:rPr>
        <w:t>法定代表人或其授权代表（签字）：</w:t>
      </w:r>
    </w:p>
    <w:p>
      <w:pPr>
        <w:spacing w:line="360" w:lineRule="auto"/>
        <w:ind w:firstLine="5145" w:firstLineChars="2450"/>
        <w:rPr>
          <w:rFonts w:hint="eastAsia"/>
          <w:color w:val="auto"/>
          <w:sz w:val="21"/>
          <w:szCs w:val="21"/>
          <w:highlight w:val="none"/>
        </w:rPr>
      </w:pPr>
      <w:r>
        <w:rPr>
          <w:rFonts w:hint="eastAsia"/>
          <w:color w:val="auto"/>
          <w:sz w:val="21"/>
          <w:szCs w:val="21"/>
          <w:highlight w:val="none"/>
        </w:rPr>
        <w:t>年   月   日</w:t>
      </w:r>
    </w:p>
    <w:p>
      <w:pPr>
        <w:keepNext/>
        <w:spacing w:line="360" w:lineRule="auto"/>
        <w:jc w:val="center"/>
        <w:outlineLvl w:val="0"/>
        <w:rPr>
          <w:rFonts w:ascii="宋体" w:hAnsi="宋体"/>
          <w:b/>
          <w:bCs/>
          <w:color w:val="auto"/>
          <w:sz w:val="28"/>
          <w:szCs w:val="28"/>
          <w:highlight w:val="none"/>
        </w:rPr>
      </w:pPr>
      <w:bookmarkStart w:id="170" w:name="_Toc8429_WPSOffice_Level1"/>
      <w:bookmarkStart w:id="171" w:name="_Toc5171"/>
      <w:bookmarkStart w:id="172" w:name="_Toc29621_WPSOffice_Level1"/>
      <w:bookmarkStart w:id="173" w:name="_Toc11556"/>
      <w:bookmarkStart w:id="174" w:name="_Toc777_WPSOffice_Level1"/>
      <w:r>
        <w:rPr>
          <w:rFonts w:hint="eastAsia" w:ascii="宋体" w:hAnsi="宋体"/>
          <w:b/>
          <w:bCs/>
          <w:color w:val="auto"/>
          <w:sz w:val="32"/>
          <w:szCs w:val="32"/>
          <w:highlight w:val="none"/>
        </w:rPr>
        <w:t>第五章 工程量清单</w:t>
      </w:r>
      <w:bookmarkEnd w:id="170"/>
      <w:bookmarkEnd w:id="171"/>
      <w:bookmarkEnd w:id="172"/>
      <w:bookmarkEnd w:id="173"/>
      <w:bookmarkEnd w:id="174"/>
    </w:p>
    <w:p>
      <w:pPr>
        <w:pStyle w:val="6"/>
        <w:spacing w:line="360" w:lineRule="auto"/>
        <w:jc w:val="left"/>
        <w:rPr>
          <w:rFonts w:ascii="宋体" w:hAnsi="宋体" w:cs="宋体"/>
          <w:color w:val="auto"/>
          <w:sz w:val="24"/>
          <w:szCs w:val="24"/>
          <w:highlight w:val="none"/>
        </w:rPr>
      </w:pPr>
      <w:bookmarkStart w:id="175" w:name="_Toc30008"/>
      <w:bookmarkStart w:id="176" w:name="_Toc483496978"/>
      <w:bookmarkStart w:id="177" w:name="_Toc4666"/>
      <w:bookmarkStart w:id="178" w:name="_Toc237866020"/>
      <w:bookmarkStart w:id="179" w:name="_Toc32597"/>
      <w:r>
        <w:rPr>
          <w:rFonts w:hint="eastAsia" w:ascii="宋体" w:hAnsi="宋体" w:cs="宋体"/>
          <w:color w:val="auto"/>
          <w:sz w:val="24"/>
          <w:szCs w:val="24"/>
          <w:highlight w:val="none"/>
        </w:rPr>
        <w:t>1．工程量清单说明</w:t>
      </w:r>
      <w:bookmarkEnd w:id="175"/>
      <w:bookmarkEnd w:id="176"/>
      <w:bookmarkEnd w:id="177"/>
      <w:bookmarkEnd w:id="178"/>
      <w:bookmarkEnd w:id="179"/>
    </w:p>
    <w:p>
      <w:pPr>
        <w:spacing w:line="360" w:lineRule="auto"/>
        <w:ind w:firstLine="420" w:firstLineChars="200"/>
        <w:rPr>
          <w:rFonts w:ascii="宋体" w:hAnsi="宋体" w:cs="宋体"/>
          <w:color w:val="auto"/>
          <w:szCs w:val="21"/>
          <w:highlight w:val="none"/>
        </w:rPr>
      </w:pPr>
      <w:bookmarkStart w:id="180" w:name="_Hlt236721459"/>
      <w:bookmarkEnd w:id="180"/>
      <w:r>
        <w:rPr>
          <w:rFonts w:hint="eastAsia" w:ascii="宋体" w:hAnsi="宋体" w:cs="宋体"/>
          <w:color w:val="auto"/>
          <w:szCs w:val="21"/>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 本工程量清单应与招标文件中的投标人须知、通用合同条款、专用合同条款、技术规范及图纸等一起阅读和理解。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 工程量清单各章是按第七章“技术规范”的相应章次编号的，因此，工程量清单中各章的工程子目的范围与计量等应与“技术规范”相应章节的范围、计量与支付条款结合起来理解或解释。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 对作业和材料的—般说明或规定，未重复写入工程量清单内，在给工程量清单各子目标价前，应参阅第七章“技术规范”的有关内容。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 工程量清单中所列工程量的变动，丝毫不会降低或影响合同条款的效力，也不免除承包人按规定的标准进行施工和修复缺陷的责任。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 图纸中所列的工程数量表及数量汇总表仅是提供资料，不是工程量清单的外延。当图纸与工程量清单所列数量不一致时，以工程量清单所列数量作为报价的依据。</w:t>
      </w:r>
    </w:p>
    <w:p>
      <w:pPr>
        <w:pStyle w:val="6"/>
        <w:spacing w:line="360" w:lineRule="auto"/>
        <w:jc w:val="left"/>
        <w:rPr>
          <w:rFonts w:ascii="宋体" w:hAnsi="宋体" w:cs="宋体"/>
          <w:color w:val="auto"/>
          <w:sz w:val="24"/>
          <w:szCs w:val="24"/>
          <w:highlight w:val="none"/>
        </w:rPr>
      </w:pPr>
      <w:bookmarkStart w:id="181" w:name="_Toc17894"/>
      <w:bookmarkStart w:id="182" w:name="_Toc19975"/>
      <w:bookmarkStart w:id="183" w:name="_Toc7001"/>
      <w:r>
        <w:rPr>
          <w:rFonts w:hint="eastAsia" w:ascii="宋体" w:hAnsi="宋体" w:cs="宋体"/>
          <w:color w:val="auto"/>
          <w:sz w:val="24"/>
          <w:szCs w:val="24"/>
          <w:highlight w:val="none"/>
        </w:rPr>
        <w:t>2．投标报价说明</w:t>
      </w:r>
      <w:bookmarkEnd w:id="181"/>
      <w:bookmarkEnd w:id="182"/>
      <w:bookmarkEnd w:id="183"/>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工程量清单中的每一子目须填入单价或价格，且只允许有一个报价。</w:t>
      </w:r>
      <w:r>
        <w:rPr>
          <w:rFonts w:hint="eastAsia" w:ascii="宋体" w:hAnsi="宋体" w:cs="宋体"/>
          <w:b/>
          <w:bCs/>
          <w:color w:val="auto"/>
          <w:szCs w:val="21"/>
          <w:highlight w:val="none"/>
        </w:rPr>
        <w:t>各清单子目单价超出招标人报价的90%-105%范围以外的投标人报价，为不平衡报价，视为未响应招标文件。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符合合同条款规定的全部费用应认为已被计入有标价的工程量清单所列各子目之中，未列子目不予计量的工作，其费用应视为已分摊在本合同工程的有关子目的单价或总额价之中。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2.5承包人用于本合同工程的各类装备的提供、运输、维护、拆卸、拼装等支付的费用，已包括在工程量清单的单价与总额价之中。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 工程量清单中各项金额均以人民币（元）结算。</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 暂列金额（不含计日工总额）的数量及拟用子目的说明：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 暂估价的数量及拟用子目的说明：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6"/>
        <w:spacing w:line="360" w:lineRule="auto"/>
        <w:jc w:val="left"/>
        <w:rPr>
          <w:rFonts w:ascii="宋体" w:hAnsi="宋体" w:cs="宋体"/>
          <w:color w:val="auto"/>
          <w:sz w:val="24"/>
          <w:szCs w:val="24"/>
          <w:highlight w:val="none"/>
        </w:rPr>
      </w:pPr>
      <w:bookmarkStart w:id="184" w:name="_Toc16500"/>
      <w:bookmarkStart w:id="185" w:name="_Toc12762"/>
      <w:bookmarkStart w:id="186" w:name="_Toc18334"/>
      <w:r>
        <w:rPr>
          <w:rFonts w:hint="eastAsia" w:ascii="宋体" w:hAnsi="宋体" w:cs="宋体"/>
          <w:color w:val="auto"/>
          <w:sz w:val="24"/>
          <w:szCs w:val="24"/>
          <w:highlight w:val="none"/>
        </w:rPr>
        <w:t>3．计日工说明</w:t>
      </w:r>
      <w:bookmarkEnd w:id="184"/>
      <w:bookmarkEnd w:id="185"/>
      <w:bookmarkEnd w:id="186"/>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3.1 总则</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（l）本说明应参照通用合同条款第15.7款一并理解。</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（2）未经监理人书面指令，任何工程不得按计日工施工；接到监理人按计日工施工的书面指令，承包人也不得拒绝。</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（4）计日工不调价。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计日工劳务</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（2）承包人可以得到用于计日工劳务的全部工时的支付，此支付按承包人填报的“计日工劳务单价表”所列单价计算，该单价应包括基本单价及承包人的管理费、税费、利润等所有附加费，说明如下：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a.劳务基本单价包括：承包人劳务的全部直接费用，如：工资、加班费、津贴、福利费及劳动保护费等。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b.承包人的利润、管理、质检、保险、税费；易耗品的使用、水电及照明费，工作台、脚手架、临时设施费，手动机具与工具的使用及维修，以及上述各项伴随而来的费用。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 计日工材料</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a．材料基本单价按供货价加运杂费（到达承包人现场仓库）、保险费、仓库管理费以及运输损耗等计算。</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 承包人的利润、管理、质检、保险、税费及其他附加费：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c．从现场运至使用地点的人工费和施工机械使用费不包括在上述基本单价内。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 计日工施工机械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pStyle w:val="6"/>
        <w:spacing w:line="360" w:lineRule="auto"/>
        <w:jc w:val="left"/>
        <w:rPr>
          <w:rFonts w:ascii="宋体" w:hAnsi="宋体" w:cs="宋体"/>
          <w:color w:val="auto"/>
          <w:sz w:val="24"/>
          <w:szCs w:val="24"/>
          <w:highlight w:val="none"/>
        </w:rPr>
      </w:pPr>
      <w:bookmarkStart w:id="187" w:name="_Toc5372"/>
      <w:bookmarkStart w:id="188" w:name="_Toc26200"/>
      <w:bookmarkStart w:id="189" w:name="_Toc31443"/>
      <w:r>
        <w:rPr>
          <w:rFonts w:hint="eastAsia" w:ascii="宋体" w:hAnsi="宋体" w:cs="宋体"/>
          <w:color w:val="auto"/>
          <w:sz w:val="24"/>
          <w:szCs w:val="24"/>
          <w:highlight w:val="none"/>
        </w:rPr>
        <w:t>4．其他说明</w:t>
      </w:r>
      <w:bookmarkEnd w:id="187"/>
      <w:bookmarkEnd w:id="188"/>
      <w:bookmarkEnd w:id="18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1.设计的图纸；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2.依据《公路工程预算定额》及省市相关配套文件；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3.依据《许昌工程造价信息》及市场询价；</w:t>
      </w:r>
    </w:p>
    <w:p>
      <w:pPr>
        <w:spacing w:line="360" w:lineRule="auto"/>
        <w:rPr>
          <w:rFonts w:ascii="宋体" w:hAnsi="宋体" w:cs="宋体"/>
          <w:color w:val="auto"/>
          <w:sz w:val="24"/>
          <w:szCs w:val="24"/>
          <w:highlight w:val="none"/>
        </w:rPr>
      </w:pPr>
      <w:bookmarkStart w:id="190" w:name="_Toc19577"/>
      <w:r>
        <w:rPr>
          <w:rFonts w:hint="eastAsia" w:ascii="宋体" w:hAnsi="宋体" w:cs="宋体"/>
          <w:color w:val="auto"/>
          <w:sz w:val="24"/>
          <w:szCs w:val="24"/>
          <w:highlight w:val="none"/>
        </w:rPr>
        <w:t>5.工程量清单（</w:t>
      </w:r>
      <w:r>
        <w:rPr>
          <w:rFonts w:hint="eastAsia"/>
          <w:color w:val="auto"/>
          <w:sz w:val="24"/>
          <w:highlight w:val="none"/>
        </w:rPr>
        <w:t>自行</w:t>
      </w:r>
      <w:r>
        <w:rPr>
          <w:rFonts w:hint="eastAsia" w:ascii="宋体" w:hAnsi="宋体" w:cs="宋体"/>
          <w:color w:val="auto"/>
          <w:sz w:val="24"/>
          <w:szCs w:val="24"/>
          <w:highlight w:val="none"/>
        </w:rPr>
        <w:t>下载）</w:t>
      </w:r>
      <w:bookmarkEnd w:id="190"/>
    </w:p>
    <w:p>
      <w:pPr>
        <w:keepNext/>
        <w:spacing w:line="360" w:lineRule="auto"/>
        <w:jc w:val="center"/>
        <w:outlineLvl w:val="0"/>
        <w:rPr>
          <w:rFonts w:ascii="宋体" w:hAnsi="宋体"/>
          <w:b/>
          <w:bCs/>
          <w:color w:val="auto"/>
          <w:sz w:val="32"/>
          <w:szCs w:val="32"/>
          <w:highlight w:val="none"/>
        </w:rPr>
      </w:pPr>
      <w:bookmarkStart w:id="191" w:name="_Toc8808"/>
    </w:p>
    <w:p>
      <w:pPr>
        <w:keepNext/>
        <w:spacing w:line="360" w:lineRule="auto"/>
        <w:jc w:val="center"/>
        <w:outlineLvl w:val="0"/>
        <w:rPr>
          <w:rFonts w:ascii="宋体" w:hAnsi="宋体"/>
          <w:b/>
          <w:bCs/>
          <w:color w:val="auto"/>
          <w:sz w:val="32"/>
          <w:szCs w:val="32"/>
          <w:highlight w:val="none"/>
        </w:rPr>
      </w:pPr>
    </w:p>
    <w:p>
      <w:pPr>
        <w:keepNext/>
        <w:spacing w:line="360" w:lineRule="auto"/>
        <w:jc w:val="center"/>
        <w:outlineLvl w:val="0"/>
        <w:rPr>
          <w:rFonts w:ascii="宋体" w:hAnsi="宋体"/>
          <w:b/>
          <w:bCs/>
          <w:color w:val="auto"/>
          <w:sz w:val="32"/>
          <w:szCs w:val="32"/>
          <w:highlight w:val="none"/>
        </w:rPr>
      </w:pPr>
    </w:p>
    <w:p>
      <w:pPr>
        <w:keepNext/>
        <w:spacing w:line="360" w:lineRule="auto"/>
        <w:jc w:val="center"/>
        <w:outlineLvl w:val="0"/>
        <w:rPr>
          <w:rFonts w:ascii="宋体" w:hAnsi="宋体"/>
          <w:b/>
          <w:bCs/>
          <w:color w:val="auto"/>
          <w:sz w:val="32"/>
          <w:szCs w:val="32"/>
          <w:highlight w:val="none"/>
        </w:rPr>
      </w:pPr>
    </w:p>
    <w:p>
      <w:pPr>
        <w:pStyle w:val="2"/>
        <w:ind w:firstLine="321"/>
        <w:rPr>
          <w:rFonts w:ascii="宋体" w:hAnsi="宋体"/>
          <w:b/>
          <w:bCs/>
          <w:color w:val="auto"/>
          <w:sz w:val="32"/>
          <w:szCs w:val="32"/>
          <w:highlight w:val="none"/>
        </w:rPr>
      </w:pPr>
    </w:p>
    <w:p>
      <w:pPr>
        <w:pStyle w:val="2"/>
        <w:ind w:firstLine="321"/>
        <w:rPr>
          <w:rFonts w:ascii="宋体" w:hAnsi="宋体"/>
          <w:b/>
          <w:bCs/>
          <w:color w:val="auto"/>
          <w:sz w:val="32"/>
          <w:szCs w:val="32"/>
          <w:highlight w:val="none"/>
        </w:rPr>
      </w:pPr>
    </w:p>
    <w:p>
      <w:pPr>
        <w:pStyle w:val="2"/>
        <w:ind w:firstLine="321"/>
        <w:rPr>
          <w:rFonts w:ascii="宋体" w:hAnsi="宋体"/>
          <w:b/>
          <w:bCs/>
          <w:color w:val="auto"/>
          <w:sz w:val="32"/>
          <w:szCs w:val="32"/>
          <w:highlight w:val="none"/>
        </w:rPr>
      </w:pPr>
    </w:p>
    <w:p>
      <w:pPr>
        <w:pStyle w:val="2"/>
        <w:ind w:firstLine="321"/>
        <w:rPr>
          <w:rFonts w:ascii="宋体" w:hAnsi="宋体"/>
          <w:b/>
          <w:bCs/>
          <w:color w:val="auto"/>
          <w:sz w:val="32"/>
          <w:szCs w:val="32"/>
          <w:highlight w:val="none"/>
        </w:rPr>
      </w:pPr>
    </w:p>
    <w:p>
      <w:pPr>
        <w:pStyle w:val="2"/>
        <w:ind w:firstLine="321"/>
        <w:rPr>
          <w:rFonts w:ascii="宋体" w:hAnsi="宋体"/>
          <w:b/>
          <w:bCs/>
          <w:color w:val="auto"/>
          <w:sz w:val="32"/>
          <w:szCs w:val="32"/>
          <w:highlight w:val="none"/>
        </w:rPr>
      </w:pPr>
    </w:p>
    <w:p>
      <w:pPr>
        <w:pStyle w:val="2"/>
        <w:ind w:firstLine="321"/>
        <w:rPr>
          <w:rFonts w:ascii="宋体" w:hAnsi="宋体"/>
          <w:b/>
          <w:bCs/>
          <w:color w:val="auto"/>
          <w:sz w:val="32"/>
          <w:szCs w:val="32"/>
          <w:highlight w:val="none"/>
        </w:rPr>
      </w:pPr>
    </w:p>
    <w:p>
      <w:pPr>
        <w:pStyle w:val="2"/>
        <w:ind w:firstLine="321"/>
        <w:rPr>
          <w:rFonts w:ascii="宋体" w:hAnsi="宋体"/>
          <w:b/>
          <w:bCs/>
          <w:color w:val="auto"/>
          <w:sz w:val="32"/>
          <w:szCs w:val="32"/>
          <w:highlight w:val="none"/>
        </w:rPr>
      </w:pPr>
    </w:p>
    <w:p>
      <w:pPr>
        <w:pStyle w:val="2"/>
        <w:ind w:firstLine="321"/>
        <w:rPr>
          <w:rFonts w:ascii="宋体" w:hAnsi="宋体"/>
          <w:b/>
          <w:bCs/>
          <w:color w:val="auto"/>
          <w:sz w:val="32"/>
          <w:szCs w:val="32"/>
          <w:highlight w:val="none"/>
        </w:rPr>
      </w:pPr>
    </w:p>
    <w:p>
      <w:pPr>
        <w:pStyle w:val="2"/>
        <w:ind w:firstLine="321"/>
        <w:rPr>
          <w:rFonts w:ascii="宋体" w:hAnsi="宋体"/>
          <w:b/>
          <w:bCs/>
          <w:color w:val="auto"/>
          <w:sz w:val="32"/>
          <w:szCs w:val="32"/>
          <w:highlight w:val="none"/>
        </w:rPr>
      </w:pPr>
    </w:p>
    <w:p>
      <w:pPr>
        <w:pStyle w:val="2"/>
        <w:ind w:firstLine="321"/>
        <w:rPr>
          <w:rFonts w:ascii="宋体" w:hAnsi="宋体"/>
          <w:b/>
          <w:bCs/>
          <w:color w:val="auto"/>
          <w:sz w:val="32"/>
          <w:szCs w:val="32"/>
          <w:highlight w:val="none"/>
        </w:rPr>
      </w:pPr>
    </w:p>
    <w:p>
      <w:pPr>
        <w:pStyle w:val="2"/>
        <w:ind w:firstLine="321"/>
        <w:rPr>
          <w:rFonts w:ascii="宋体" w:hAnsi="宋体"/>
          <w:b/>
          <w:bCs/>
          <w:color w:val="auto"/>
          <w:sz w:val="32"/>
          <w:szCs w:val="32"/>
          <w:highlight w:val="none"/>
        </w:rPr>
      </w:pPr>
    </w:p>
    <w:p>
      <w:pPr>
        <w:pStyle w:val="2"/>
        <w:ind w:firstLine="321"/>
        <w:rPr>
          <w:rFonts w:ascii="宋体" w:hAnsi="宋体"/>
          <w:b/>
          <w:bCs/>
          <w:color w:val="auto"/>
          <w:sz w:val="32"/>
          <w:szCs w:val="32"/>
          <w:highlight w:val="none"/>
        </w:rPr>
      </w:pPr>
    </w:p>
    <w:p>
      <w:pPr>
        <w:pStyle w:val="2"/>
        <w:ind w:firstLine="321"/>
        <w:rPr>
          <w:rFonts w:ascii="宋体" w:hAnsi="宋体"/>
          <w:b/>
          <w:bCs/>
          <w:color w:val="auto"/>
          <w:sz w:val="32"/>
          <w:szCs w:val="32"/>
          <w:highlight w:val="none"/>
        </w:rPr>
      </w:pPr>
    </w:p>
    <w:p>
      <w:pPr>
        <w:keepNext/>
        <w:spacing w:line="360" w:lineRule="auto"/>
        <w:jc w:val="center"/>
        <w:outlineLvl w:val="0"/>
        <w:rPr>
          <w:rFonts w:ascii="宋体" w:hAnsi="宋体"/>
          <w:b/>
          <w:bCs/>
          <w:color w:val="auto"/>
          <w:sz w:val="32"/>
          <w:szCs w:val="32"/>
          <w:highlight w:val="none"/>
        </w:rPr>
      </w:pPr>
      <w:bookmarkStart w:id="192" w:name="_Toc21190_WPSOffice_Level1"/>
      <w:bookmarkStart w:id="193" w:name="_Toc2639_WPSOffice_Level1"/>
      <w:bookmarkStart w:id="194" w:name="_Toc26827"/>
      <w:bookmarkStart w:id="195" w:name="_Toc32252"/>
      <w:bookmarkStart w:id="196" w:name="_Toc15641_WPSOffice_Level1"/>
      <w:r>
        <w:rPr>
          <w:rFonts w:hint="eastAsia" w:ascii="宋体" w:hAnsi="宋体"/>
          <w:b/>
          <w:bCs/>
          <w:color w:val="auto"/>
          <w:sz w:val="32"/>
          <w:szCs w:val="32"/>
          <w:highlight w:val="none"/>
        </w:rPr>
        <w:t>第六章 图 纸</w:t>
      </w:r>
      <w:bookmarkEnd w:id="191"/>
      <w:bookmarkEnd w:id="192"/>
      <w:bookmarkEnd w:id="193"/>
      <w:bookmarkEnd w:id="194"/>
      <w:bookmarkEnd w:id="195"/>
      <w:bookmarkEnd w:id="196"/>
    </w:p>
    <w:p>
      <w:pPr>
        <w:spacing w:line="360" w:lineRule="auto"/>
        <w:jc w:val="center"/>
        <w:rPr>
          <w:rFonts w:ascii="宋体" w:hAnsi="宋体" w:cs="宋体"/>
          <w:color w:val="auto"/>
          <w:sz w:val="24"/>
          <w:highlight w:val="none"/>
        </w:rPr>
      </w:pPr>
      <w:r>
        <w:rPr>
          <w:rFonts w:hint="eastAsia"/>
          <w:color w:val="auto"/>
          <w:sz w:val="24"/>
          <w:highlight w:val="none"/>
        </w:rPr>
        <w:t>按照招</w:t>
      </w:r>
      <w:r>
        <w:rPr>
          <w:rFonts w:hint="eastAsia" w:ascii="宋体" w:hAnsi="宋体" w:cs="宋体"/>
          <w:color w:val="auto"/>
          <w:sz w:val="24"/>
          <w:highlight w:val="none"/>
        </w:rPr>
        <w:t>标文件中第二章投标人须知前附表说明自行下载。</w:t>
      </w:r>
    </w:p>
    <w:p>
      <w:pPr>
        <w:pStyle w:val="2"/>
        <w:ind w:left="0" w:leftChars="0" w:firstLine="0" w:firstLineChars="0"/>
        <w:rPr>
          <w:b/>
          <w:bCs/>
          <w:color w:val="auto"/>
          <w:highlight w:val="none"/>
        </w:rPr>
      </w:pPr>
      <w:r>
        <w:rPr>
          <w:rFonts w:hint="eastAsia"/>
          <w:b/>
          <w:bCs/>
          <w:color w:val="auto"/>
          <w:highlight w:val="none"/>
        </w:rPr>
        <w:t>说明：图纸为参考图纸，并非完整的施工图，仅供投标人在投标阶段作为报价的参考依据。如有与清单内容不一致的地方，均以清单为主。</w:t>
      </w:r>
    </w:p>
    <w:p>
      <w:pPr>
        <w:keepNext/>
        <w:spacing w:line="360" w:lineRule="auto"/>
        <w:jc w:val="center"/>
        <w:outlineLvl w:val="0"/>
        <w:rPr>
          <w:rFonts w:ascii="宋体" w:hAnsi="宋体" w:cs="宋体"/>
          <w:b/>
          <w:bCs/>
          <w:color w:val="auto"/>
          <w:sz w:val="32"/>
          <w:szCs w:val="32"/>
          <w:highlight w:val="none"/>
        </w:rPr>
      </w:pPr>
    </w:p>
    <w:p>
      <w:pPr>
        <w:keepNext/>
        <w:spacing w:line="360" w:lineRule="auto"/>
        <w:jc w:val="center"/>
        <w:outlineLvl w:val="0"/>
        <w:rPr>
          <w:rFonts w:ascii="宋体" w:hAnsi="宋体" w:cs="宋体"/>
          <w:b/>
          <w:bCs/>
          <w:color w:val="auto"/>
          <w:sz w:val="32"/>
          <w:szCs w:val="32"/>
          <w:highlight w:val="none"/>
        </w:rPr>
      </w:pPr>
    </w:p>
    <w:p>
      <w:pPr>
        <w:pStyle w:val="2"/>
        <w:ind w:firstLine="321"/>
        <w:rPr>
          <w:rFonts w:ascii="宋体" w:hAnsi="宋体" w:cs="宋体"/>
          <w:b/>
          <w:bCs/>
          <w:color w:val="auto"/>
          <w:sz w:val="32"/>
          <w:szCs w:val="32"/>
          <w:highlight w:val="none"/>
        </w:rPr>
      </w:pPr>
    </w:p>
    <w:p>
      <w:pPr>
        <w:pStyle w:val="2"/>
        <w:ind w:firstLine="321"/>
        <w:rPr>
          <w:rFonts w:ascii="宋体" w:hAnsi="宋体" w:cs="宋体"/>
          <w:b/>
          <w:bCs/>
          <w:color w:val="auto"/>
          <w:sz w:val="32"/>
          <w:szCs w:val="32"/>
          <w:highlight w:val="none"/>
        </w:rPr>
      </w:pPr>
    </w:p>
    <w:p>
      <w:pPr>
        <w:keepNext/>
        <w:spacing w:line="360" w:lineRule="auto"/>
        <w:jc w:val="center"/>
        <w:outlineLvl w:val="0"/>
        <w:rPr>
          <w:rFonts w:ascii="宋体" w:hAnsi="宋体" w:cs="宋体"/>
          <w:b/>
          <w:bCs/>
          <w:color w:val="auto"/>
          <w:sz w:val="32"/>
          <w:szCs w:val="32"/>
          <w:highlight w:val="none"/>
        </w:rPr>
      </w:pPr>
      <w:bookmarkStart w:id="197" w:name="_Toc15101_WPSOffice_Level1"/>
      <w:bookmarkStart w:id="198" w:name="_Toc17938_WPSOffice_Level1"/>
      <w:bookmarkStart w:id="199" w:name="_Toc10716"/>
      <w:bookmarkStart w:id="200" w:name="_Toc13735"/>
      <w:bookmarkStart w:id="201" w:name="_Toc1081_WPSOffice_Level1"/>
      <w:r>
        <w:rPr>
          <w:rFonts w:hint="eastAsia" w:ascii="宋体" w:hAnsi="宋体" w:cs="宋体"/>
          <w:b/>
          <w:bCs/>
          <w:color w:val="auto"/>
          <w:sz w:val="32"/>
          <w:szCs w:val="32"/>
          <w:highlight w:val="none"/>
        </w:rPr>
        <w:t>第七章 技术规范</w:t>
      </w:r>
      <w:bookmarkEnd w:id="197"/>
      <w:bookmarkEnd w:id="198"/>
      <w:bookmarkEnd w:id="199"/>
      <w:bookmarkEnd w:id="200"/>
      <w:bookmarkEnd w:id="201"/>
    </w:p>
    <w:p>
      <w:pPr>
        <w:spacing w:line="360" w:lineRule="auto"/>
        <w:jc w:val="center"/>
        <w:rPr>
          <w:color w:val="auto"/>
          <w:sz w:val="24"/>
          <w:highlight w:val="none"/>
        </w:rPr>
      </w:pPr>
      <w:r>
        <w:rPr>
          <w:rFonts w:hint="eastAsia" w:ascii="宋体" w:hAnsi="宋体" w:cs="宋体"/>
          <w:color w:val="auto"/>
          <w:sz w:val="24"/>
          <w:highlight w:val="none"/>
        </w:rPr>
        <w:t>技术规范参照《公路工程标准施工招标文件》2018年版和施工图纸总说</w:t>
      </w:r>
      <w:r>
        <w:rPr>
          <w:rFonts w:hint="eastAsia"/>
          <w:color w:val="auto"/>
          <w:sz w:val="24"/>
          <w:highlight w:val="none"/>
        </w:rPr>
        <w:t>明执行。</w:t>
      </w:r>
      <w:bookmarkStart w:id="202" w:name="_Hlt233718691"/>
      <w:bookmarkEnd w:id="202"/>
    </w:p>
    <w:p>
      <w:pPr>
        <w:pStyle w:val="2"/>
        <w:ind w:firstLine="210"/>
        <w:rPr>
          <w:rFonts w:ascii="宋体" w:hAnsi="宋体" w:cs="宋体"/>
          <w:color w:val="auto"/>
          <w:highlight w:val="none"/>
        </w:rPr>
      </w:pPr>
    </w:p>
    <w:p>
      <w:pPr>
        <w:pStyle w:val="2"/>
        <w:ind w:firstLine="210"/>
        <w:rPr>
          <w:rFonts w:ascii="宋体" w:hAnsi="宋体" w:cs="宋体"/>
          <w:color w:val="auto"/>
          <w:highlight w:val="none"/>
        </w:rPr>
      </w:pPr>
    </w:p>
    <w:p>
      <w:pPr>
        <w:pStyle w:val="2"/>
        <w:ind w:firstLine="210"/>
        <w:rPr>
          <w:rFonts w:ascii="宋体" w:hAnsi="宋体" w:cs="宋体"/>
          <w:color w:val="auto"/>
          <w:highlight w:val="none"/>
        </w:rPr>
      </w:pPr>
    </w:p>
    <w:p>
      <w:pPr>
        <w:pStyle w:val="2"/>
        <w:ind w:firstLine="210"/>
        <w:rPr>
          <w:rFonts w:ascii="宋体" w:hAnsi="宋体" w:cs="宋体"/>
          <w:color w:val="auto"/>
          <w:highlight w:val="none"/>
        </w:rPr>
      </w:pPr>
    </w:p>
    <w:p>
      <w:pPr>
        <w:pStyle w:val="2"/>
        <w:ind w:firstLine="210"/>
        <w:rPr>
          <w:rFonts w:ascii="宋体" w:hAnsi="宋体" w:cs="宋体"/>
          <w:color w:val="auto"/>
          <w:highlight w:val="none"/>
        </w:rPr>
      </w:pPr>
    </w:p>
    <w:p>
      <w:pPr>
        <w:keepNext/>
        <w:spacing w:line="360" w:lineRule="auto"/>
        <w:jc w:val="center"/>
        <w:outlineLvl w:val="0"/>
        <w:rPr>
          <w:rFonts w:ascii="宋体" w:hAnsi="宋体" w:cs="宋体"/>
          <w:b/>
          <w:bCs/>
          <w:color w:val="auto"/>
          <w:sz w:val="32"/>
          <w:szCs w:val="32"/>
          <w:highlight w:val="none"/>
        </w:rPr>
      </w:pPr>
      <w:bookmarkStart w:id="203" w:name="_Toc9539_WPSOffice_Level1"/>
      <w:bookmarkStart w:id="204" w:name="_Toc4034_WPSOffice_Level1"/>
      <w:bookmarkStart w:id="205" w:name="_Toc21721"/>
      <w:bookmarkStart w:id="206" w:name="_Toc851"/>
      <w:bookmarkStart w:id="207" w:name="_Toc19545_WPSOffice_Level1"/>
      <w:r>
        <w:rPr>
          <w:rFonts w:hint="eastAsia" w:ascii="宋体" w:hAnsi="宋体" w:cs="宋体"/>
          <w:b/>
          <w:bCs/>
          <w:color w:val="auto"/>
          <w:sz w:val="32"/>
          <w:szCs w:val="32"/>
          <w:highlight w:val="none"/>
        </w:rPr>
        <w:t>第八章 工程量清单计量规则</w:t>
      </w:r>
      <w:bookmarkEnd w:id="203"/>
      <w:bookmarkEnd w:id="204"/>
      <w:bookmarkEnd w:id="205"/>
      <w:bookmarkEnd w:id="206"/>
      <w:bookmarkEnd w:id="207"/>
    </w:p>
    <w:p>
      <w:pPr>
        <w:adjustRightInd w:val="0"/>
        <w:snapToGrid w:val="0"/>
        <w:spacing w:line="360" w:lineRule="auto"/>
        <w:jc w:val="center"/>
        <w:rPr>
          <w:color w:val="auto"/>
          <w:sz w:val="24"/>
          <w:highlight w:val="none"/>
        </w:rPr>
        <w:sectPr>
          <w:pgSz w:w="11900" w:h="16843"/>
          <w:pgMar w:top="1417" w:right="1417" w:bottom="1417" w:left="1531" w:header="850" w:footer="992" w:gutter="0"/>
          <w:pgNumType w:fmt="decimal"/>
          <w:cols w:space="720" w:num="1"/>
          <w:titlePg/>
        </w:sectPr>
      </w:pPr>
      <w:r>
        <w:rPr>
          <w:rFonts w:hint="eastAsia"/>
          <w:color w:val="auto"/>
          <w:sz w:val="24"/>
          <w:highlight w:val="none"/>
        </w:rPr>
        <w:t>参照《河南省公路施工招标工程量清单》计量与支付规则执行。</w:t>
      </w:r>
    </w:p>
    <w:p>
      <w:pPr>
        <w:keepNext/>
        <w:spacing w:line="360" w:lineRule="auto"/>
        <w:jc w:val="center"/>
        <w:outlineLvl w:val="0"/>
        <w:rPr>
          <w:color w:val="auto"/>
          <w:highlight w:val="none"/>
        </w:rPr>
      </w:pPr>
      <w:bookmarkStart w:id="208" w:name="_Toc23733_WPSOffice_Level1"/>
      <w:bookmarkStart w:id="209" w:name="_Toc5687"/>
      <w:bookmarkStart w:id="210" w:name="_Toc28176_WPSOffice_Level1"/>
      <w:bookmarkStart w:id="211" w:name="_Toc2628_WPSOffice_Level1"/>
      <w:bookmarkStart w:id="212" w:name="_Toc29446"/>
      <w:r>
        <w:rPr>
          <w:rFonts w:hint="eastAsia" w:ascii="宋体" w:hAnsi="宋体" w:cs="宋体"/>
          <w:b/>
          <w:bCs/>
          <w:color w:val="auto"/>
          <w:sz w:val="32"/>
          <w:szCs w:val="32"/>
          <w:highlight w:val="none"/>
        </w:rPr>
        <w:t>第九章  投标文件格式</w:t>
      </w:r>
      <w:bookmarkEnd w:id="208"/>
      <w:bookmarkEnd w:id="209"/>
      <w:bookmarkEnd w:id="210"/>
      <w:bookmarkEnd w:id="211"/>
      <w:bookmarkEnd w:id="212"/>
    </w:p>
    <w:p>
      <w:pPr>
        <w:autoSpaceDE w:val="0"/>
        <w:autoSpaceDN w:val="0"/>
        <w:adjustRightInd w:val="0"/>
        <w:jc w:val="center"/>
        <w:rPr>
          <w:rFonts w:ascii="宋体" w:hAnsi="宋体" w:cs="宋体"/>
          <w:b/>
          <w:bCs/>
          <w:color w:val="auto"/>
          <w:kern w:val="0"/>
          <w:sz w:val="32"/>
          <w:szCs w:val="32"/>
          <w:highlight w:val="none"/>
        </w:rPr>
      </w:pPr>
      <w:r>
        <w:rPr>
          <w:rFonts w:hint="eastAsia" w:ascii="宋体" w:hAnsi="宋体" w:cs="宋体"/>
          <w:b/>
          <w:bCs/>
          <w:color w:val="auto"/>
          <w:kern w:val="0"/>
          <w:sz w:val="36"/>
          <w:szCs w:val="36"/>
          <w:highlight w:val="none"/>
        </w:rPr>
        <w:t xml:space="preserve">                                 </w:t>
      </w:r>
      <w:r>
        <w:rPr>
          <w:rFonts w:hint="eastAsia" w:ascii="宋体" w:hAnsi="宋体" w:cs="宋体"/>
          <w:b/>
          <w:bCs/>
          <w:color w:val="auto"/>
          <w:kern w:val="0"/>
          <w:sz w:val="32"/>
          <w:szCs w:val="32"/>
          <w:highlight w:val="none"/>
        </w:rPr>
        <w:t>正/副本</w:t>
      </w:r>
    </w:p>
    <w:p>
      <w:pPr>
        <w:keepNext w:val="0"/>
        <w:keepLines w:val="0"/>
        <w:pageBreakBefore w:val="0"/>
        <w:widowControl w:val="0"/>
        <w:kinsoku/>
        <w:wordWrap/>
        <w:overflowPunct/>
        <w:topLinePunct w:val="0"/>
        <w:autoSpaceDE w:val="0"/>
        <w:autoSpaceDN w:val="0"/>
        <w:bidi w:val="0"/>
        <w:adjustRightInd w:val="0"/>
        <w:jc w:val="center"/>
        <w:textAlignment w:val="auto"/>
        <w:rPr>
          <w:rFonts w:ascii="宋体" w:hAnsi="宋体" w:cs="宋体"/>
          <w:b/>
          <w:color w:val="auto"/>
          <w:spacing w:val="60"/>
          <w:sz w:val="36"/>
          <w:szCs w:val="36"/>
          <w:highlight w:val="none"/>
          <w:u w:val="single"/>
        </w:rPr>
      </w:pPr>
      <w:r>
        <w:rPr>
          <w:rFonts w:hint="eastAsia" w:ascii="宋体" w:hAnsi="宋体" w:cs="宋体"/>
          <w:b/>
          <w:bCs/>
          <w:color w:val="auto"/>
          <w:kern w:val="0"/>
          <w:sz w:val="36"/>
          <w:szCs w:val="36"/>
          <w:highlight w:val="none"/>
          <w:u w:val="single"/>
        </w:rPr>
        <w:t xml:space="preserve">                      </w:t>
      </w:r>
      <w:bookmarkStart w:id="213" w:name="_Toc20988_WPSOffice_Level1"/>
      <w:bookmarkStart w:id="214" w:name="_Toc19090_WPSOffice_Level1"/>
      <w:bookmarkStart w:id="215" w:name="_Toc1492_WPSOffice_Level1"/>
      <w:bookmarkStart w:id="216" w:name="_Toc13453_WPSOffice_Level1"/>
      <w:bookmarkStart w:id="217" w:name="_Toc22680_WPSOffice_Level1"/>
      <w:bookmarkStart w:id="218" w:name="_Toc9603_WPSOffice_Level1"/>
      <w:bookmarkStart w:id="219" w:name="_Toc27917_WPSOffice_Level1"/>
      <w:r>
        <w:rPr>
          <w:rFonts w:hint="eastAsia" w:ascii="宋体" w:hAnsi="宋体" w:cs="宋体"/>
          <w:b/>
          <w:bCs/>
          <w:color w:val="auto"/>
          <w:kern w:val="0"/>
          <w:sz w:val="36"/>
          <w:szCs w:val="36"/>
          <w:highlight w:val="none"/>
        </w:rPr>
        <w:t>（项目名称）</w:t>
      </w:r>
      <w:bookmarkEnd w:id="213"/>
      <w:bookmarkEnd w:id="214"/>
      <w:bookmarkEnd w:id="215"/>
      <w:bookmarkEnd w:id="216"/>
      <w:bookmarkEnd w:id="217"/>
      <w:bookmarkEnd w:id="218"/>
      <w:bookmarkEnd w:id="219"/>
    </w:p>
    <w:p>
      <w:pPr>
        <w:keepNext w:val="0"/>
        <w:keepLines w:val="0"/>
        <w:pageBreakBefore w:val="0"/>
        <w:widowControl w:val="0"/>
        <w:tabs>
          <w:tab w:val="center" w:pos="4739"/>
        </w:tabs>
        <w:kinsoku/>
        <w:wordWrap/>
        <w:overflowPunct/>
        <w:topLinePunct w:val="0"/>
        <w:bidi w:val="0"/>
        <w:ind w:left="180"/>
        <w:jc w:val="center"/>
        <w:textAlignment w:val="auto"/>
        <w:rPr>
          <w:rFonts w:ascii="宋体" w:hAnsi="宋体" w:cs="宋体"/>
          <w:b/>
          <w:color w:val="auto"/>
          <w:sz w:val="36"/>
          <w:szCs w:val="36"/>
          <w:highlight w:val="none"/>
        </w:rPr>
      </w:pPr>
    </w:p>
    <w:p>
      <w:pPr>
        <w:pStyle w:val="2"/>
        <w:keepNext w:val="0"/>
        <w:keepLines w:val="0"/>
        <w:pageBreakBefore w:val="0"/>
        <w:widowControl w:val="0"/>
        <w:kinsoku/>
        <w:wordWrap/>
        <w:overflowPunct/>
        <w:topLinePunct w:val="0"/>
        <w:bidi w:val="0"/>
        <w:ind w:firstLine="210"/>
        <w:textAlignment w:val="auto"/>
        <w:rPr>
          <w:color w:val="auto"/>
          <w:highlight w:val="none"/>
        </w:rPr>
      </w:pPr>
    </w:p>
    <w:p>
      <w:pPr>
        <w:pStyle w:val="2"/>
        <w:keepNext w:val="0"/>
        <w:keepLines w:val="0"/>
        <w:pageBreakBefore w:val="0"/>
        <w:widowControl w:val="0"/>
        <w:kinsoku/>
        <w:wordWrap/>
        <w:overflowPunct/>
        <w:topLinePunct w:val="0"/>
        <w:bidi w:val="0"/>
        <w:ind w:firstLine="210"/>
        <w:textAlignment w:val="auto"/>
        <w:rPr>
          <w:color w:val="auto"/>
          <w:highlight w:val="none"/>
        </w:rPr>
      </w:pPr>
    </w:p>
    <w:p>
      <w:pPr>
        <w:keepNext w:val="0"/>
        <w:keepLines w:val="0"/>
        <w:pageBreakBefore w:val="0"/>
        <w:widowControl w:val="0"/>
        <w:tabs>
          <w:tab w:val="center" w:pos="4739"/>
        </w:tabs>
        <w:kinsoku/>
        <w:wordWrap/>
        <w:overflowPunct/>
        <w:topLinePunct w:val="0"/>
        <w:bidi w:val="0"/>
        <w:ind w:left="180"/>
        <w:textAlignment w:val="auto"/>
        <w:rPr>
          <w:rFonts w:ascii="宋体" w:hAnsi="宋体" w:cs="宋体"/>
          <w:color w:val="auto"/>
          <w:sz w:val="24"/>
          <w:highlight w:val="none"/>
        </w:rPr>
      </w:pPr>
    </w:p>
    <w:p>
      <w:pPr>
        <w:pStyle w:val="2"/>
        <w:keepNext w:val="0"/>
        <w:keepLines w:val="0"/>
        <w:pageBreakBefore w:val="0"/>
        <w:widowControl w:val="0"/>
        <w:kinsoku/>
        <w:wordWrap/>
        <w:overflowPunct/>
        <w:topLinePunct w:val="0"/>
        <w:bidi w:val="0"/>
        <w:ind w:firstLine="240"/>
        <w:textAlignment w:val="auto"/>
        <w:rPr>
          <w:rFonts w:ascii="宋体" w:hAnsi="宋体" w:cs="宋体"/>
          <w:color w:val="auto"/>
          <w:sz w:val="24"/>
          <w:highlight w:val="none"/>
        </w:rPr>
      </w:pPr>
    </w:p>
    <w:p>
      <w:pPr>
        <w:pStyle w:val="2"/>
        <w:keepNext w:val="0"/>
        <w:keepLines w:val="0"/>
        <w:pageBreakBefore w:val="0"/>
        <w:widowControl w:val="0"/>
        <w:kinsoku/>
        <w:wordWrap/>
        <w:overflowPunct/>
        <w:topLinePunct w:val="0"/>
        <w:bidi w:val="0"/>
        <w:ind w:firstLine="210"/>
        <w:textAlignment w:val="auto"/>
        <w:rPr>
          <w:color w:val="auto"/>
          <w:highlight w:val="none"/>
        </w:rPr>
      </w:pPr>
    </w:p>
    <w:p>
      <w:pPr>
        <w:keepNext w:val="0"/>
        <w:keepLines w:val="0"/>
        <w:pageBreakBefore w:val="0"/>
        <w:widowControl w:val="0"/>
        <w:tabs>
          <w:tab w:val="center" w:pos="4739"/>
        </w:tabs>
        <w:kinsoku/>
        <w:wordWrap/>
        <w:overflowPunct/>
        <w:topLinePunct w:val="0"/>
        <w:bidi w:val="0"/>
        <w:ind w:left="180"/>
        <w:textAlignment w:val="auto"/>
        <w:rPr>
          <w:rFonts w:ascii="宋体" w:hAnsi="宋体" w:cs="宋体"/>
          <w:color w:val="auto"/>
          <w:sz w:val="24"/>
          <w:highlight w:val="none"/>
        </w:rPr>
      </w:pPr>
    </w:p>
    <w:p>
      <w:pPr>
        <w:keepNext w:val="0"/>
        <w:keepLines w:val="0"/>
        <w:pageBreakBefore w:val="0"/>
        <w:widowControl w:val="0"/>
        <w:tabs>
          <w:tab w:val="center" w:pos="4739"/>
        </w:tabs>
        <w:kinsoku/>
        <w:wordWrap/>
        <w:overflowPunct/>
        <w:topLinePunct w:val="0"/>
        <w:bidi w:val="0"/>
        <w:ind w:left="180"/>
        <w:textAlignment w:val="auto"/>
        <w:rPr>
          <w:rFonts w:ascii="宋体" w:hAnsi="宋体" w:cs="宋体"/>
          <w:color w:val="auto"/>
          <w:sz w:val="24"/>
          <w:highlight w:val="none"/>
        </w:rPr>
      </w:pPr>
    </w:p>
    <w:p>
      <w:pPr>
        <w:keepNext w:val="0"/>
        <w:keepLines w:val="0"/>
        <w:pageBreakBefore w:val="0"/>
        <w:widowControl w:val="0"/>
        <w:tabs>
          <w:tab w:val="center" w:pos="4739"/>
        </w:tabs>
        <w:kinsoku/>
        <w:wordWrap/>
        <w:overflowPunct/>
        <w:topLinePunct w:val="0"/>
        <w:bidi w:val="0"/>
        <w:ind w:left="180"/>
        <w:jc w:val="center"/>
        <w:textAlignment w:val="auto"/>
        <w:rPr>
          <w:rFonts w:ascii="宋体" w:hAnsi="宋体" w:cs="宋体"/>
          <w:b/>
          <w:color w:val="auto"/>
          <w:sz w:val="72"/>
          <w:szCs w:val="72"/>
          <w:highlight w:val="none"/>
        </w:rPr>
      </w:pPr>
      <w:r>
        <w:rPr>
          <w:rFonts w:hint="eastAsia" w:ascii="宋体" w:hAnsi="宋体" w:cs="宋体"/>
          <w:b/>
          <w:color w:val="auto"/>
          <w:sz w:val="72"/>
          <w:szCs w:val="72"/>
          <w:highlight w:val="none"/>
        </w:rPr>
        <w:t>投 标 文 件</w:t>
      </w:r>
    </w:p>
    <w:p>
      <w:pPr>
        <w:keepNext w:val="0"/>
        <w:keepLines w:val="0"/>
        <w:pageBreakBefore w:val="0"/>
        <w:widowControl w:val="0"/>
        <w:tabs>
          <w:tab w:val="center" w:pos="4739"/>
        </w:tabs>
        <w:kinsoku/>
        <w:wordWrap/>
        <w:overflowPunct/>
        <w:topLinePunct w:val="0"/>
        <w:bidi w:val="0"/>
        <w:spacing w:before="120" w:beforeLines="50" w:line="360" w:lineRule="auto"/>
        <w:ind w:left="181"/>
        <w:textAlignment w:val="auto"/>
        <w:rPr>
          <w:rFonts w:ascii="宋体" w:hAnsi="宋体" w:cs="宋体"/>
          <w:color w:val="auto"/>
          <w:sz w:val="22"/>
          <w:szCs w:val="21"/>
          <w:highlight w:val="none"/>
        </w:rPr>
      </w:pPr>
      <w:r>
        <w:rPr>
          <w:rFonts w:hint="eastAsia" w:ascii="宋体" w:hAnsi="宋体" w:cs="宋体"/>
          <w:b/>
          <w:color w:val="auto"/>
          <w:sz w:val="32"/>
          <w:szCs w:val="32"/>
          <w:highlight w:val="none"/>
        </w:rPr>
        <w:t xml:space="preserve">    </w:t>
      </w:r>
      <w:r>
        <w:rPr>
          <w:rFonts w:hint="eastAsia" w:ascii="宋体" w:hAnsi="宋体" w:cs="宋体"/>
          <w:b/>
          <w:color w:val="auto"/>
          <w:sz w:val="28"/>
          <w:szCs w:val="28"/>
          <w:highlight w:val="none"/>
        </w:rPr>
        <w:t xml:space="preserve">              项目编号：</w:t>
      </w:r>
    </w:p>
    <w:p>
      <w:pPr>
        <w:keepNext w:val="0"/>
        <w:keepLines w:val="0"/>
        <w:pageBreakBefore w:val="0"/>
        <w:widowControl w:val="0"/>
        <w:kinsoku/>
        <w:wordWrap/>
        <w:overflowPunct/>
        <w:topLinePunct w:val="0"/>
        <w:bidi w:val="0"/>
        <w:spacing w:line="0" w:lineRule="atLeast"/>
        <w:jc w:val="center"/>
        <w:textAlignment w:val="auto"/>
        <w:rPr>
          <w:rFonts w:ascii="宋体" w:hAnsi="宋体" w:cs="宋体"/>
          <w:b/>
          <w:color w:val="auto"/>
          <w:sz w:val="32"/>
          <w:szCs w:val="28"/>
          <w:highlight w:val="none"/>
        </w:rPr>
      </w:pPr>
      <w:r>
        <w:rPr>
          <w:rFonts w:hint="eastAsia" w:ascii="宋体" w:hAnsi="宋体" w:cs="宋体"/>
          <w:color w:val="auto"/>
          <w:sz w:val="24"/>
          <w:highlight w:val="none"/>
        </w:rPr>
        <w:t xml:space="preserve">                           </w:t>
      </w:r>
      <w:r>
        <w:rPr>
          <w:rFonts w:hint="eastAsia" w:ascii="宋体" w:hAnsi="宋体" w:cs="宋体"/>
          <w:color w:val="auto"/>
          <w:sz w:val="28"/>
          <w:szCs w:val="24"/>
          <w:highlight w:val="none"/>
        </w:rPr>
        <w:t xml:space="preserve"> </w:t>
      </w:r>
      <w:r>
        <w:rPr>
          <w:rFonts w:hint="eastAsia" w:ascii="宋体" w:hAnsi="宋体" w:cs="宋体"/>
          <w:b/>
          <w:color w:val="auto"/>
          <w:sz w:val="32"/>
          <w:szCs w:val="28"/>
          <w:highlight w:val="none"/>
        </w:rPr>
        <w:t xml:space="preserve"> </w:t>
      </w:r>
    </w:p>
    <w:p>
      <w:pPr>
        <w:keepNext w:val="0"/>
        <w:keepLines w:val="0"/>
        <w:pageBreakBefore w:val="0"/>
        <w:widowControl w:val="0"/>
        <w:kinsoku/>
        <w:wordWrap/>
        <w:overflowPunct/>
        <w:topLinePunct w:val="0"/>
        <w:bidi w:val="0"/>
        <w:spacing w:line="0" w:lineRule="atLeast"/>
        <w:ind w:firstLine="2530" w:firstLineChars="700"/>
        <w:textAlignment w:val="auto"/>
        <w:rPr>
          <w:rFonts w:ascii="宋体" w:hAnsi="宋体" w:cs="宋体"/>
          <w:b/>
          <w:color w:val="auto"/>
          <w:sz w:val="36"/>
          <w:szCs w:val="36"/>
          <w:highlight w:val="none"/>
        </w:rPr>
      </w:pPr>
      <w:r>
        <w:rPr>
          <w:rFonts w:hint="eastAsia" w:ascii="宋体" w:hAnsi="宋体" w:cs="宋体"/>
          <w:b/>
          <w:color w:val="auto"/>
          <w:sz w:val="36"/>
          <w:szCs w:val="36"/>
          <w:highlight w:val="none"/>
        </w:rPr>
        <w:t>第一信封</w:t>
      </w:r>
      <w:r>
        <w:rPr>
          <w:rFonts w:ascii="宋体" w:hAnsi="宋体" w:cs="宋体"/>
          <w:b/>
          <w:color w:val="auto"/>
          <w:sz w:val="36"/>
          <w:szCs w:val="36"/>
          <w:highlight w:val="none"/>
        </w:rPr>
        <w:t>（商务及技术文件）</w:t>
      </w:r>
    </w:p>
    <w:p>
      <w:pPr>
        <w:keepNext w:val="0"/>
        <w:keepLines w:val="0"/>
        <w:pageBreakBefore w:val="0"/>
        <w:widowControl w:val="0"/>
        <w:tabs>
          <w:tab w:val="center" w:pos="4739"/>
        </w:tabs>
        <w:kinsoku/>
        <w:wordWrap/>
        <w:overflowPunct/>
        <w:topLinePunct w:val="0"/>
        <w:bidi w:val="0"/>
        <w:ind w:left="180"/>
        <w:textAlignment w:val="auto"/>
        <w:rPr>
          <w:rFonts w:ascii="宋体" w:hAnsi="宋体" w:cs="宋体"/>
          <w:b/>
          <w:color w:val="auto"/>
          <w:sz w:val="32"/>
          <w:szCs w:val="32"/>
          <w:highlight w:val="none"/>
        </w:rPr>
      </w:pPr>
    </w:p>
    <w:p>
      <w:pPr>
        <w:keepNext w:val="0"/>
        <w:keepLines w:val="0"/>
        <w:pageBreakBefore w:val="0"/>
        <w:widowControl w:val="0"/>
        <w:tabs>
          <w:tab w:val="center" w:pos="4739"/>
        </w:tabs>
        <w:kinsoku/>
        <w:wordWrap/>
        <w:overflowPunct/>
        <w:topLinePunct w:val="0"/>
        <w:bidi w:val="0"/>
        <w:ind w:left="180"/>
        <w:textAlignment w:val="auto"/>
        <w:rPr>
          <w:rFonts w:ascii="宋体" w:hAnsi="宋体" w:cs="宋体"/>
          <w:b/>
          <w:color w:val="auto"/>
          <w:sz w:val="32"/>
          <w:szCs w:val="32"/>
          <w:highlight w:val="none"/>
        </w:rPr>
      </w:pPr>
      <w:r>
        <w:rPr>
          <w:rFonts w:hint="eastAsia" w:ascii="宋体" w:hAnsi="宋体" w:cs="宋体"/>
          <w:b/>
          <w:color w:val="auto"/>
          <w:sz w:val="32"/>
          <w:szCs w:val="32"/>
          <w:highlight w:val="none"/>
        </w:rPr>
        <w:t xml:space="preserve">          </w:t>
      </w:r>
    </w:p>
    <w:p>
      <w:pPr>
        <w:keepNext w:val="0"/>
        <w:keepLines w:val="0"/>
        <w:pageBreakBefore w:val="0"/>
        <w:widowControl w:val="0"/>
        <w:tabs>
          <w:tab w:val="center" w:pos="4739"/>
        </w:tabs>
        <w:kinsoku/>
        <w:wordWrap/>
        <w:overflowPunct/>
        <w:topLinePunct w:val="0"/>
        <w:bidi w:val="0"/>
        <w:ind w:left="180"/>
        <w:textAlignment w:val="auto"/>
        <w:rPr>
          <w:rFonts w:ascii="宋体" w:hAnsi="宋体" w:cs="宋体"/>
          <w:color w:val="auto"/>
          <w:sz w:val="24"/>
          <w:highlight w:val="none"/>
        </w:rPr>
      </w:pPr>
    </w:p>
    <w:p>
      <w:pPr>
        <w:keepNext w:val="0"/>
        <w:keepLines w:val="0"/>
        <w:pageBreakBefore w:val="0"/>
        <w:widowControl w:val="0"/>
        <w:tabs>
          <w:tab w:val="center" w:pos="4739"/>
        </w:tabs>
        <w:kinsoku/>
        <w:wordWrap/>
        <w:overflowPunct/>
        <w:topLinePunct w:val="0"/>
        <w:bidi w:val="0"/>
        <w:ind w:left="180"/>
        <w:textAlignment w:val="auto"/>
        <w:rPr>
          <w:rFonts w:ascii="宋体" w:hAnsi="宋体" w:cs="宋体"/>
          <w:color w:val="auto"/>
          <w:sz w:val="24"/>
          <w:highlight w:val="none"/>
        </w:rPr>
      </w:pPr>
    </w:p>
    <w:p>
      <w:pPr>
        <w:pStyle w:val="2"/>
        <w:keepNext w:val="0"/>
        <w:keepLines w:val="0"/>
        <w:pageBreakBefore w:val="0"/>
        <w:widowControl w:val="0"/>
        <w:kinsoku/>
        <w:wordWrap/>
        <w:overflowPunct/>
        <w:topLinePunct w:val="0"/>
        <w:bidi w:val="0"/>
        <w:ind w:firstLine="240"/>
        <w:textAlignment w:val="auto"/>
        <w:rPr>
          <w:rFonts w:ascii="宋体" w:hAnsi="宋体" w:cs="宋体"/>
          <w:color w:val="auto"/>
          <w:sz w:val="24"/>
          <w:highlight w:val="none"/>
        </w:rPr>
      </w:pPr>
    </w:p>
    <w:p>
      <w:pPr>
        <w:pStyle w:val="2"/>
        <w:keepNext w:val="0"/>
        <w:keepLines w:val="0"/>
        <w:pageBreakBefore w:val="0"/>
        <w:widowControl w:val="0"/>
        <w:kinsoku/>
        <w:wordWrap/>
        <w:overflowPunct/>
        <w:topLinePunct w:val="0"/>
        <w:bidi w:val="0"/>
        <w:ind w:firstLine="240"/>
        <w:textAlignment w:val="auto"/>
        <w:rPr>
          <w:rFonts w:ascii="宋体" w:hAnsi="宋体" w:cs="宋体"/>
          <w:color w:val="auto"/>
          <w:sz w:val="24"/>
          <w:highlight w:val="none"/>
        </w:rPr>
      </w:pPr>
    </w:p>
    <w:p>
      <w:pPr>
        <w:keepNext w:val="0"/>
        <w:keepLines w:val="0"/>
        <w:pageBreakBefore w:val="0"/>
        <w:widowControl w:val="0"/>
        <w:tabs>
          <w:tab w:val="center" w:pos="4739"/>
        </w:tabs>
        <w:kinsoku/>
        <w:wordWrap/>
        <w:overflowPunct/>
        <w:topLinePunct w:val="0"/>
        <w:bidi w:val="0"/>
        <w:ind w:left="180"/>
        <w:textAlignment w:val="auto"/>
        <w:rPr>
          <w:rFonts w:ascii="宋体" w:hAnsi="宋体" w:cs="宋体"/>
          <w:color w:val="auto"/>
          <w:sz w:val="24"/>
          <w:highlight w:val="none"/>
        </w:rPr>
      </w:pPr>
    </w:p>
    <w:p>
      <w:pPr>
        <w:keepNext w:val="0"/>
        <w:keepLines w:val="0"/>
        <w:pageBreakBefore w:val="0"/>
        <w:widowControl w:val="0"/>
        <w:tabs>
          <w:tab w:val="center" w:pos="4739"/>
        </w:tabs>
        <w:kinsoku/>
        <w:wordWrap/>
        <w:overflowPunct/>
        <w:topLinePunct w:val="0"/>
        <w:bidi w:val="0"/>
        <w:ind w:left="180"/>
        <w:textAlignment w:val="auto"/>
        <w:rPr>
          <w:rFonts w:ascii="宋体" w:hAnsi="宋体" w:cs="宋体"/>
          <w:color w:val="auto"/>
          <w:sz w:val="24"/>
          <w:highlight w:val="none"/>
        </w:rPr>
      </w:pPr>
    </w:p>
    <w:p>
      <w:pPr>
        <w:keepNext w:val="0"/>
        <w:keepLines w:val="0"/>
        <w:pageBreakBefore w:val="0"/>
        <w:widowControl w:val="0"/>
        <w:tabs>
          <w:tab w:val="center" w:pos="4739"/>
        </w:tabs>
        <w:kinsoku/>
        <w:wordWrap/>
        <w:overflowPunct/>
        <w:topLinePunct w:val="0"/>
        <w:bidi w:val="0"/>
        <w:ind w:left="180"/>
        <w:textAlignment w:val="auto"/>
        <w:rPr>
          <w:rFonts w:ascii="宋体" w:hAnsi="宋体" w:cs="宋体"/>
          <w:color w:val="auto"/>
          <w:sz w:val="24"/>
          <w:highlight w:val="none"/>
        </w:rPr>
      </w:pPr>
    </w:p>
    <w:p>
      <w:pPr>
        <w:keepNext w:val="0"/>
        <w:keepLines w:val="0"/>
        <w:pageBreakBefore w:val="0"/>
        <w:widowControl w:val="0"/>
        <w:tabs>
          <w:tab w:val="center" w:pos="4739"/>
        </w:tabs>
        <w:kinsoku/>
        <w:wordWrap/>
        <w:overflowPunct/>
        <w:topLinePunct w:val="0"/>
        <w:bidi w:val="0"/>
        <w:ind w:left="180"/>
        <w:textAlignment w:val="auto"/>
        <w:rPr>
          <w:rFonts w:ascii="宋体" w:hAnsi="宋体" w:cs="宋体"/>
          <w:color w:val="auto"/>
          <w:sz w:val="24"/>
          <w:highlight w:val="none"/>
        </w:rPr>
      </w:pPr>
    </w:p>
    <w:p>
      <w:pPr>
        <w:keepNext w:val="0"/>
        <w:keepLines w:val="0"/>
        <w:pageBreakBefore w:val="0"/>
        <w:widowControl w:val="0"/>
        <w:tabs>
          <w:tab w:val="center" w:pos="4739"/>
        </w:tabs>
        <w:kinsoku/>
        <w:wordWrap/>
        <w:overflowPunct/>
        <w:topLinePunct w:val="0"/>
        <w:bidi w:val="0"/>
        <w:spacing w:line="360" w:lineRule="auto"/>
        <w:ind w:left="181"/>
        <w:jc w:val="center"/>
        <w:textAlignment w:val="auto"/>
        <w:rPr>
          <w:rFonts w:ascii="宋体" w:hAnsi="宋体" w:cs="宋体"/>
          <w:b/>
          <w:color w:val="auto"/>
          <w:sz w:val="28"/>
          <w:szCs w:val="21"/>
          <w:highlight w:val="none"/>
        </w:rPr>
      </w:pPr>
      <w:r>
        <w:rPr>
          <w:rFonts w:hint="eastAsia" w:ascii="宋体" w:hAnsi="宋体" w:cs="宋体"/>
          <w:b/>
          <w:color w:val="auto"/>
          <w:sz w:val="28"/>
          <w:szCs w:val="21"/>
          <w:highlight w:val="none"/>
        </w:rPr>
        <w:t>投标人:</w:t>
      </w:r>
      <w:r>
        <w:rPr>
          <w:rFonts w:hint="eastAsia" w:ascii="宋体" w:hAnsi="宋体" w:cs="宋体"/>
          <w:b/>
          <w:color w:val="auto"/>
          <w:sz w:val="28"/>
          <w:szCs w:val="21"/>
          <w:highlight w:val="none"/>
          <w:u w:val="single"/>
        </w:rPr>
        <w:t xml:space="preserve">                            </w:t>
      </w:r>
      <w:r>
        <w:rPr>
          <w:rFonts w:hint="eastAsia" w:ascii="宋体" w:hAnsi="宋体" w:cs="宋体"/>
          <w:b/>
          <w:color w:val="auto"/>
          <w:sz w:val="28"/>
          <w:szCs w:val="21"/>
          <w:highlight w:val="none"/>
        </w:rPr>
        <w:t>(盖单位章)</w:t>
      </w:r>
    </w:p>
    <w:p>
      <w:pPr>
        <w:keepNext w:val="0"/>
        <w:keepLines w:val="0"/>
        <w:pageBreakBefore w:val="0"/>
        <w:widowControl w:val="0"/>
        <w:tabs>
          <w:tab w:val="center" w:pos="4739"/>
        </w:tabs>
        <w:kinsoku/>
        <w:wordWrap/>
        <w:overflowPunct/>
        <w:topLinePunct w:val="0"/>
        <w:bidi w:val="0"/>
        <w:spacing w:line="360" w:lineRule="auto"/>
        <w:ind w:left="181"/>
        <w:jc w:val="center"/>
        <w:textAlignment w:val="auto"/>
        <w:rPr>
          <w:rFonts w:ascii="宋体" w:hAnsi="宋体" w:cs="宋体"/>
          <w:b/>
          <w:color w:val="auto"/>
          <w:sz w:val="28"/>
          <w:szCs w:val="21"/>
          <w:highlight w:val="none"/>
        </w:rPr>
      </w:pPr>
      <w:r>
        <w:rPr>
          <w:rFonts w:hint="eastAsia" w:ascii="宋体" w:hAnsi="宋体" w:cs="宋体"/>
          <w:b/>
          <w:color w:val="auto"/>
          <w:sz w:val="28"/>
          <w:szCs w:val="21"/>
          <w:highlight w:val="none"/>
        </w:rPr>
        <w:t xml:space="preserve">法定代表人或其委托代理人： </w:t>
      </w:r>
      <w:r>
        <w:rPr>
          <w:rFonts w:hint="eastAsia" w:ascii="宋体" w:hAnsi="宋体" w:cs="宋体"/>
          <w:b/>
          <w:color w:val="auto"/>
          <w:sz w:val="28"/>
          <w:szCs w:val="21"/>
          <w:highlight w:val="none"/>
          <w:u w:val="single"/>
        </w:rPr>
        <w:t xml:space="preserve">          </w:t>
      </w:r>
      <w:r>
        <w:rPr>
          <w:rFonts w:hint="eastAsia" w:ascii="宋体" w:hAnsi="宋体" w:cs="宋体"/>
          <w:b/>
          <w:color w:val="auto"/>
          <w:sz w:val="28"/>
          <w:szCs w:val="21"/>
          <w:highlight w:val="none"/>
        </w:rPr>
        <w:t>（签字）</w:t>
      </w:r>
    </w:p>
    <w:p>
      <w:pPr>
        <w:keepNext w:val="0"/>
        <w:keepLines w:val="0"/>
        <w:pageBreakBefore w:val="0"/>
        <w:widowControl w:val="0"/>
        <w:tabs>
          <w:tab w:val="center" w:pos="4739"/>
        </w:tabs>
        <w:kinsoku/>
        <w:wordWrap/>
        <w:overflowPunct/>
        <w:topLinePunct w:val="0"/>
        <w:bidi w:val="0"/>
        <w:spacing w:line="360" w:lineRule="auto"/>
        <w:ind w:left="181"/>
        <w:jc w:val="center"/>
        <w:textAlignment w:val="auto"/>
        <w:rPr>
          <w:rFonts w:ascii="宋体" w:hAnsi="宋体" w:cs="宋体"/>
          <w:b/>
          <w:color w:val="auto"/>
          <w:sz w:val="32"/>
          <w:szCs w:val="32"/>
          <w:highlight w:val="none"/>
        </w:rPr>
      </w:pPr>
      <w:r>
        <w:rPr>
          <w:rFonts w:hint="eastAsia" w:ascii="宋体" w:hAnsi="宋体" w:cs="宋体"/>
          <w:b/>
          <w:color w:val="auto"/>
          <w:sz w:val="28"/>
          <w:szCs w:val="21"/>
          <w:highlight w:val="none"/>
          <w:u w:val="single"/>
        </w:rPr>
        <w:t xml:space="preserve">        </w:t>
      </w:r>
      <w:r>
        <w:rPr>
          <w:rFonts w:hint="eastAsia" w:ascii="宋体" w:hAnsi="宋体" w:cs="宋体"/>
          <w:b/>
          <w:color w:val="auto"/>
          <w:sz w:val="28"/>
          <w:szCs w:val="21"/>
          <w:highlight w:val="none"/>
        </w:rPr>
        <w:t>年</w:t>
      </w:r>
      <w:r>
        <w:rPr>
          <w:rFonts w:hint="eastAsia" w:ascii="宋体" w:hAnsi="宋体" w:cs="宋体"/>
          <w:b/>
          <w:color w:val="auto"/>
          <w:sz w:val="28"/>
          <w:szCs w:val="21"/>
          <w:highlight w:val="none"/>
          <w:u w:val="single"/>
        </w:rPr>
        <w:t xml:space="preserve">      </w:t>
      </w:r>
      <w:r>
        <w:rPr>
          <w:rFonts w:hint="eastAsia" w:ascii="宋体" w:hAnsi="宋体" w:cs="宋体"/>
          <w:b/>
          <w:color w:val="auto"/>
          <w:sz w:val="28"/>
          <w:szCs w:val="21"/>
          <w:highlight w:val="none"/>
        </w:rPr>
        <w:t>月</w:t>
      </w:r>
      <w:r>
        <w:rPr>
          <w:rFonts w:hint="eastAsia" w:ascii="宋体" w:hAnsi="宋体" w:cs="宋体"/>
          <w:b/>
          <w:color w:val="auto"/>
          <w:sz w:val="28"/>
          <w:szCs w:val="21"/>
          <w:highlight w:val="none"/>
          <w:u w:val="single"/>
        </w:rPr>
        <w:t xml:space="preserve">       </w:t>
      </w:r>
      <w:r>
        <w:rPr>
          <w:rFonts w:hint="eastAsia" w:ascii="宋体" w:hAnsi="宋体" w:cs="宋体"/>
          <w:b/>
          <w:color w:val="auto"/>
          <w:sz w:val="28"/>
          <w:szCs w:val="21"/>
          <w:highlight w:val="none"/>
        </w:rPr>
        <w:t>日</w:t>
      </w:r>
    </w:p>
    <w:p>
      <w:pPr>
        <w:keepNext w:val="0"/>
        <w:keepLines w:val="0"/>
        <w:pageBreakBefore w:val="0"/>
        <w:widowControl w:val="0"/>
        <w:kinsoku/>
        <w:wordWrap/>
        <w:overflowPunct/>
        <w:topLinePunct w:val="0"/>
        <w:bidi w:val="0"/>
        <w:jc w:val="center"/>
        <w:textAlignment w:val="auto"/>
        <w:rPr>
          <w:rFonts w:ascii="黑体" w:eastAsia="黑体"/>
          <w:b/>
          <w:color w:val="auto"/>
          <w:sz w:val="36"/>
          <w:szCs w:val="36"/>
          <w:highlight w:val="none"/>
        </w:rPr>
      </w:pPr>
      <w:r>
        <w:rPr>
          <w:rFonts w:hint="eastAsia" w:ascii="宋体" w:hAnsi="宋体" w:cs="宋体"/>
          <w:b/>
          <w:color w:val="auto"/>
          <w:sz w:val="36"/>
          <w:szCs w:val="36"/>
          <w:highlight w:val="none"/>
        </w:rPr>
        <w:br w:type="page"/>
      </w:r>
      <w:bookmarkStart w:id="220" w:name="_Toc3962_WPSOffice_Level1"/>
      <w:bookmarkStart w:id="221" w:name="_Toc32670_WPSOffice_Level1"/>
      <w:bookmarkStart w:id="222" w:name="_Toc9381_WPSOffice_Level1"/>
      <w:bookmarkStart w:id="223" w:name="_Toc32454_WPSOffice_Level1"/>
      <w:bookmarkStart w:id="224" w:name="_Toc6934_WPSOffice_Level1"/>
      <w:bookmarkStart w:id="225" w:name="_Toc3909_WPSOffice_Level1"/>
      <w:bookmarkStart w:id="226" w:name="_Toc3976_WPSOffice_Level1"/>
      <w:r>
        <w:rPr>
          <w:rFonts w:hint="eastAsia" w:ascii="宋体" w:hAnsi="宋体" w:cs="宋体"/>
          <w:b/>
          <w:color w:val="auto"/>
          <w:sz w:val="36"/>
          <w:szCs w:val="36"/>
          <w:highlight w:val="none"/>
        </w:rPr>
        <w:t>目</w:t>
      </w:r>
      <w:r>
        <w:rPr>
          <w:rFonts w:hint="eastAsia" w:ascii="宋体" w:hAnsi="宋体" w:cs="宋体"/>
          <w:b/>
          <w:color w:val="auto"/>
          <w:sz w:val="36"/>
          <w:szCs w:val="36"/>
          <w:highlight w:val="none"/>
        </w:rPr>
        <w:tab/>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rPr>
        <w:t>录</w:t>
      </w:r>
      <w:bookmarkEnd w:id="220"/>
      <w:bookmarkEnd w:id="221"/>
      <w:bookmarkEnd w:id="222"/>
      <w:bookmarkEnd w:id="223"/>
      <w:bookmarkEnd w:id="224"/>
      <w:bookmarkEnd w:id="225"/>
      <w:bookmarkEnd w:id="226"/>
    </w:p>
    <w:p>
      <w:pPr>
        <w:keepNext w:val="0"/>
        <w:keepLines w:val="0"/>
        <w:pageBreakBefore w:val="0"/>
        <w:widowControl w:val="0"/>
        <w:kinsoku/>
        <w:wordWrap/>
        <w:overflowPunct/>
        <w:topLinePunct w:val="0"/>
        <w:bidi w:val="0"/>
        <w:textAlignment w:val="auto"/>
        <w:rPr>
          <w:color w:val="auto"/>
          <w:sz w:val="24"/>
          <w:highlight w:val="none"/>
        </w:rPr>
      </w:pP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color w:val="auto"/>
          <w:sz w:val="24"/>
          <w:szCs w:val="24"/>
          <w:highlight w:val="none"/>
        </w:rPr>
      </w:pPr>
    </w:p>
    <w:p>
      <w:pPr>
        <w:bidi w:val="0"/>
        <w:spacing w:line="360" w:lineRule="auto"/>
        <w:rPr>
          <w:color w:val="auto"/>
          <w:sz w:val="24"/>
          <w:szCs w:val="24"/>
          <w:highlight w:val="none"/>
        </w:rPr>
      </w:pPr>
      <w:bookmarkStart w:id="227" w:name="_Toc32213_WPSOffice_Level1"/>
      <w:bookmarkStart w:id="228" w:name="_Toc18077_WPSOffice_Level1"/>
      <w:bookmarkStart w:id="229" w:name="_Toc27106_WPSOffice_Level1"/>
      <w:bookmarkStart w:id="230" w:name="_Toc10412_WPSOffice_Level1"/>
      <w:bookmarkStart w:id="231" w:name="_Toc18958_WPSOffice_Level1"/>
      <w:bookmarkStart w:id="232" w:name="_Toc20235_WPSOffice_Level1"/>
      <w:bookmarkStart w:id="233" w:name="_Toc28736_WPSOffice_Level1"/>
      <w:r>
        <w:rPr>
          <w:rFonts w:hint="eastAsia"/>
          <w:color w:val="auto"/>
          <w:sz w:val="24"/>
          <w:szCs w:val="24"/>
          <w:highlight w:val="none"/>
        </w:rPr>
        <w:t>一、投标函及投标函附录</w:t>
      </w:r>
      <w:bookmarkEnd w:id="227"/>
      <w:bookmarkEnd w:id="228"/>
      <w:bookmarkEnd w:id="229"/>
      <w:bookmarkEnd w:id="230"/>
      <w:bookmarkEnd w:id="231"/>
      <w:bookmarkEnd w:id="232"/>
      <w:bookmarkEnd w:id="233"/>
    </w:p>
    <w:p>
      <w:pPr>
        <w:bidi w:val="0"/>
        <w:spacing w:line="360" w:lineRule="auto"/>
        <w:rPr>
          <w:color w:val="auto"/>
          <w:sz w:val="24"/>
          <w:szCs w:val="24"/>
          <w:highlight w:val="none"/>
        </w:rPr>
      </w:pPr>
      <w:bookmarkStart w:id="234" w:name="_Toc19726_WPSOffice_Level1"/>
      <w:bookmarkStart w:id="235" w:name="_Toc27282_WPSOffice_Level1"/>
      <w:bookmarkStart w:id="236" w:name="_Toc12823_WPSOffice_Level1"/>
      <w:bookmarkStart w:id="237" w:name="_Toc29616_WPSOffice_Level1"/>
      <w:bookmarkStart w:id="238" w:name="_Toc16284_WPSOffice_Level1"/>
      <w:bookmarkStart w:id="239" w:name="_Toc29308_WPSOffice_Level1"/>
      <w:bookmarkStart w:id="240" w:name="_Toc29247_WPSOffice_Level1"/>
      <w:r>
        <w:rPr>
          <w:rFonts w:hint="eastAsia"/>
          <w:color w:val="auto"/>
          <w:sz w:val="24"/>
          <w:szCs w:val="24"/>
          <w:highlight w:val="none"/>
        </w:rPr>
        <w:t>二、授权委托书或法人代表身份证明</w:t>
      </w:r>
      <w:bookmarkEnd w:id="234"/>
      <w:bookmarkEnd w:id="235"/>
      <w:bookmarkEnd w:id="236"/>
      <w:bookmarkEnd w:id="237"/>
      <w:bookmarkEnd w:id="238"/>
      <w:bookmarkEnd w:id="239"/>
      <w:bookmarkEnd w:id="240"/>
    </w:p>
    <w:p>
      <w:pPr>
        <w:bidi w:val="0"/>
        <w:spacing w:line="360" w:lineRule="auto"/>
        <w:rPr>
          <w:color w:val="auto"/>
          <w:sz w:val="24"/>
          <w:szCs w:val="24"/>
          <w:highlight w:val="none"/>
        </w:rPr>
      </w:pPr>
      <w:bookmarkStart w:id="241" w:name="_Toc2421_WPSOffice_Level1"/>
      <w:bookmarkStart w:id="242" w:name="_Toc26457_WPSOffice_Level1"/>
      <w:bookmarkStart w:id="243" w:name="_Toc21933_WPSOffice_Level1"/>
      <w:bookmarkStart w:id="244" w:name="_Toc25180_WPSOffice_Level1"/>
      <w:bookmarkStart w:id="245" w:name="_Toc13503_WPSOffice_Level1"/>
      <w:bookmarkStart w:id="246" w:name="_Toc6058_WPSOffice_Level1"/>
      <w:bookmarkStart w:id="247" w:name="_Toc28448_WPSOffice_Level1"/>
      <w:r>
        <w:rPr>
          <w:rFonts w:hint="eastAsia"/>
          <w:color w:val="auto"/>
          <w:sz w:val="24"/>
          <w:szCs w:val="24"/>
          <w:highlight w:val="none"/>
        </w:rPr>
        <w:t>三、投标保证金</w:t>
      </w:r>
      <w:bookmarkEnd w:id="241"/>
      <w:bookmarkEnd w:id="242"/>
      <w:bookmarkEnd w:id="243"/>
      <w:bookmarkEnd w:id="244"/>
      <w:bookmarkEnd w:id="245"/>
      <w:bookmarkEnd w:id="246"/>
      <w:bookmarkEnd w:id="247"/>
      <w:r>
        <w:rPr>
          <w:rFonts w:hint="eastAsia"/>
          <w:color w:val="auto"/>
          <w:sz w:val="24"/>
          <w:szCs w:val="24"/>
          <w:highlight w:val="none"/>
        </w:rPr>
        <w:t xml:space="preserve"> </w:t>
      </w:r>
    </w:p>
    <w:p>
      <w:pPr>
        <w:bidi w:val="0"/>
        <w:spacing w:line="360" w:lineRule="auto"/>
        <w:rPr>
          <w:color w:val="auto"/>
          <w:sz w:val="24"/>
          <w:szCs w:val="24"/>
          <w:highlight w:val="none"/>
        </w:rPr>
      </w:pPr>
      <w:bookmarkStart w:id="248" w:name="_Toc11061_WPSOffice_Level1"/>
      <w:bookmarkStart w:id="249" w:name="_Toc31886_WPSOffice_Level1"/>
      <w:bookmarkStart w:id="250" w:name="_Toc26698_WPSOffice_Level1"/>
      <w:bookmarkStart w:id="251" w:name="_Toc11789_WPSOffice_Level1"/>
      <w:bookmarkStart w:id="252" w:name="_Toc2_WPSOffice_Level1"/>
      <w:bookmarkStart w:id="253" w:name="_Toc21339_WPSOffice_Level1"/>
      <w:bookmarkStart w:id="254" w:name="_Toc23249_WPSOffice_Level1"/>
      <w:r>
        <w:rPr>
          <w:rFonts w:hint="eastAsia"/>
          <w:color w:val="auto"/>
          <w:sz w:val="24"/>
          <w:szCs w:val="24"/>
          <w:highlight w:val="none"/>
        </w:rPr>
        <w:t>四、施工组织设计</w:t>
      </w:r>
      <w:bookmarkEnd w:id="248"/>
      <w:bookmarkEnd w:id="249"/>
      <w:bookmarkEnd w:id="250"/>
      <w:bookmarkEnd w:id="251"/>
      <w:bookmarkEnd w:id="252"/>
      <w:bookmarkEnd w:id="253"/>
      <w:bookmarkEnd w:id="254"/>
      <w:r>
        <w:rPr>
          <w:rFonts w:hint="eastAsia"/>
          <w:color w:val="auto"/>
          <w:sz w:val="24"/>
          <w:szCs w:val="24"/>
          <w:highlight w:val="none"/>
        </w:rPr>
        <w:t xml:space="preserve"> </w:t>
      </w:r>
    </w:p>
    <w:p>
      <w:pPr>
        <w:bidi w:val="0"/>
        <w:spacing w:line="360" w:lineRule="auto"/>
        <w:rPr>
          <w:color w:val="auto"/>
          <w:sz w:val="24"/>
          <w:szCs w:val="24"/>
          <w:highlight w:val="none"/>
        </w:rPr>
      </w:pPr>
      <w:bookmarkStart w:id="255" w:name="_Toc9735_WPSOffice_Level1"/>
      <w:bookmarkStart w:id="256" w:name="_Toc24736_WPSOffice_Level1"/>
      <w:bookmarkStart w:id="257" w:name="_Toc27138_WPSOffice_Level1"/>
      <w:bookmarkStart w:id="258" w:name="_Toc13452_WPSOffice_Level1"/>
      <w:bookmarkStart w:id="259" w:name="_Toc390_WPSOffice_Level1"/>
      <w:bookmarkStart w:id="260" w:name="_Toc24966_WPSOffice_Level1"/>
      <w:bookmarkStart w:id="261" w:name="_Toc28652_WPSOffice_Level1"/>
      <w:r>
        <w:rPr>
          <w:rFonts w:hint="eastAsia"/>
          <w:color w:val="auto"/>
          <w:sz w:val="24"/>
          <w:szCs w:val="24"/>
          <w:highlight w:val="none"/>
        </w:rPr>
        <w:t>五、项目管理机构</w:t>
      </w:r>
      <w:bookmarkEnd w:id="255"/>
      <w:bookmarkEnd w:id="256"/>
      <w:bookmarkEnd w:id="257"/>
      <w:bookmarkEnd w:id="258"/>
      <w:bookmarkEnd w:id="259"/>
      <w:bookmarkEnd w:id="260"/>
      <w:bookmarkEnd w:id="261"/>
      <w:r>
        <w:rPr>
          <w:rFonts w:hint="eastAsia"/>
          <w:color w:val="auto"/>
          <w:sz w:val="24"/>
          <w:szCs w:val="24"/>
          <w:highlight w:val="none"/>
        </w:rPr>
        <w:t xml:space="preserve"> </w:t>
      </w:r>
    </w:p>
    <w:p>
      <w:pPr>
        <w:bidi w:val="0"/>
        <w:spacing w:line="360" w:lineRule="auto"/>
        <w:rPr>
          <w:color w:val="auto"/>
          <w:sz w:val="24"/>
          <w:szCs w:val="24"/>
          <w:highlight w:val="none"/>
        </w:rPr>
      </w:pPr>
      <w:bookmarkStart w:id="262" w:name="_Toc19093_WPSOffice_Level1"/>
      <w:bookmarkStart w:id="263" w:name="_Toc4680_WPSOffice_Level1"/>
      <w:bookmarkStart w:id="264" w:name="_Toc25376_WPSOffice_Level1"/>
      <w:bookmarkStart w:id="265" w:name="_Toc12102_WPSOffice_Level1"/>
      <w:bookmarkStart w:id="266" w:name="_Toc28738_WPSOffice_Level1"/>
      <w:bookmarkStart w:id="267" w:name="_Toc18041_WPSOffice_Level1"/>
      <w:bookmarkStart w:id="268" w:name="_Toc27267_WPSOffice_Level1"/>
      <w:r>
        <w:rPr>
          <w:rFonts w:hint="eastAsia"/>
          <w:color w:val="auto"/>
          <w:sz w:val="24"/>
          <w:szCs w:val="24"/>
          <w:highlight w:val="none"/>
        </w:rPr>
        <w:t>六、资格审查资料</w:t>
      </w:r>
      <w:bookmarkEnd w:id="262"/>
      <w:bookmarkEnd w:id="263"/>
      <w:bookmarkEnd w:id="264"/>
      <w:bookmarkEnd w:id="265"/>
      <w:bookmarkEnd w:id="266"/>
      <w:bookmarkEnd w:id="267"/>
      <w:bookmarkEnd w:id="268"/>
    </w:p>
    <w:p>
      <w:pPr>
        <w:bidi w:val="0"/>
        <w:spacing w:line="360" w:lineRule="auto"/>
        <w:rPr>
          <w:color w:val="auto"/>
          <w:sz w:val="24"/>
          <w:szCs w:val="24"/>
          <w:highlight w:val="none"/>
        </w:rPr>
      </w:pPr>
      <w:bookmarkStart w:id="269" w:name="_Toc20309_WPSOffice_Level1"/>
      <w:bookmarkStart w:id="270" w:name="_Toc20670_WPSOffice_Level1"/>
      <w:bookmarkStart w:id="271" w:name="_Toc15395_WPSOffice_Level1"/>
      <w:bookmarkStart w:id="272" w:name="_Toc23452_WPSOffice_Level1"/>
      <w:bookmarkStart w:id="273" w:name="_Toc727_WPSOffice_Level1"/>
      <w:bookmarkStart w:id="274" w:name="_Toc24246_WPSOffice_Level1"/>
      <w:bookmarkStart w:id="275" w:name="_Toc17851_WPSOffice_Level1"/>
      <w:r>
        <w:rPr>
          <w:rFonts w:hint="eastAsia"/>
          <w:color w:val="auto"/>
          <w:sz w:val="24"/>
          <w:szCs w:val="24"/>
          <w:highlight w:val="none"/>
        </w:rPr>
        <w:t>七、承诺函</w:t>
      </w:r>
      <w:bookmarkEnd w:id="269"/>
      <w:bookmarkEnd w:id="270"/>
      <w:bookmarkEnd w:id="271"/>
      <w:bookmarkEnd w:id="272"/>
      <w:bookmarkEnd w:id="273"/>
      <w:bookmarkEnd w:id="274"/>
      <w:bookmarkEnd w:id="275"/>
    </w:p>
    <w:p>
      <w:pPr>
        <w:bidi w:val="0"/>
        <w:spacing w:line="360" w:lineRule="auto"/>
        <w:rPr>
          <w:color w:val="auto"/>
          <w:sz w:val="24"/>
          <w:szCs w:val="24"/>
          <w:highlight w:val="none"/>
        </w:rPr>
      </w:pPr>
      <w:bookmarkStart w:id="276" w:name="_Toc5495_WPSOffice_Level1"/>
      <w:bookmarkStart w:id="277" w:name="_Toc2592_WPSOffice_Level1"/>
      <w:bookmarkStart w:id="278" w:name="_Toc26225_WPSOffice_Level1"/>
      <w:bookmarkStart w:id="279" w:name="_Toc30072_WPSOffice_Level1"/>
      <w:bookmarkStart w:id="280" w:name="_Toc17627_WPSOffice_Level1"/>
      <w:bookmarkStart w:id="281" w:name="_Toc8307_WPSOffice_Level1"/>
      <w:bookmarkStart w:id="282" w:name="_Toc10508_WPSOffice_Level1"/>
      <w:r>
        <w:rPr>
          <w:rFonts w:hint="eastAsia"/>
          <w:color w:val="auto"/>
          <w:sz w:val="24"/>
          <w:szCs w:val="24"/>
          <w:highlight w:val="none"/>
        </w:rPr>
        <w:t>八、目标承诺书</w:t>
      </w:r>
      <w:bookmarkEnd w:id="276"/>
      <w:bookmarkEnd w:id="277"/>
      <w:bookmarkEnd w:id="278"/>
      <w:bookmarkEnd w:id="279"/>
      <w:bookmarkEnd w:id="280"/>
      <w:bookmarkEnd w:id="281"/>
      <w:bookmarkEnd w:id="282"/>
    </w:p>
    <w:p>
      <w:pPr>
        <w:bidi w:val="0"/>
        <w:spacing w:line="360" w:lineRule="auto"/>
        <w:rPr>
          <w:color w:val="auto"/>
          <w:sz w:val="24"/>
          <w:szCs w:val="24"/>
          <w:highlight w:val="none"/>
        </w:rPr>
      </w:pPr>
      <w:bookmarkStart w:id="283" w:name="_Toc10587_WPSOffice_Level1"/>
      <w:bookmarkStart w:id="284" w:name="_Toc2758_WPSOffice_Level1"/>
      <w:bookmarkStart w:id="285" w:name="_Toc51_WPSOffice_Level1"/>
      <w:bookmarkStart w:id="286" w:name="_Toc11792_WPSOffice_Level1"/>
      <w:bookmarkStart w:id="287" w:name="_Toc5880_WPSOffice_Level1"/>
      <w:bookmarkStart w:id="288" w:name="_Toc5712_WPSOffice_Level1"/>
      <w:bookmarkStart w:id="289" w:name="_Toc24157_WPSOffice_Level1"/>
      <w:r>
        <w:rPr>
          <w:rFonts w:hint="eastAsia"/>
          <w:color w:val="auto"/>
          <w:sz w:val="24"/>
          <w:szCs w:val="24"/>
          <w:highlight w:val="none"/>
        </w:rPr>
        <w:t>九、需要补充的其他材料</w:t>
      </w:r>
      <w:bookmarkEnd w:id="283"/>
      <w:bookmarkEnd w:id="284"/>
      <w:bookmarkEnd w:id="285"/>
      <w:bookmarkEnd w:id="286"/>
      <w:bookmarkEnd w:id="287"/>
      <w:bookmarkEnd w:id="288"/>
      <w:bookmarkEnd w:id="289"/>
    </w:p>
    <w:p>
      <w:pPr>
        <w:bidi w:val="0"/>
        <w:spacing w:line="360" w:lineRule="auto"/>
        <w:rPr>
          <w:color w:val="auto"/>
          <w:sz w:val="24"/>
          <w:szCs w:val="24"/>
          <w:highlight w:val="none"/>
        </w:rPr>
      </w:pPr>
    </w:p>
    <w:p>
      <w:pPr>
        <w:bidi w:val="0"/>
        <w:spacing w:line="360" w:lineRule="auto"/>
        <w:rPr>
          <w:color w:val="auto"/>
          <w:sz w:val="24"/>
          <w:szCs w:val="24"/>
          <w:highlight w:val="none"/>
        </w:rPr>
      </w:pPr>
    </w:p>
    <w:p>
      <w:pPr>
        <w:bidi w:val="0"/>
        <w:spacing w:line="360" w:lineRule="auto"/>
        <w:rPr>
          <w:color w:val="auto"/>
          <w:sz w:val="24"/>
          <w:szCs w:val="24"/>
          <w:highlight w:val="none"/>
        </w:rPr>
      </w:pPr>
    </w:p>
    <w:p>
      <w:pPr>
        <w:bidi w:val="0"/>
        <w:spacing w:line="360" w:lineRule="auto"/>
        <w:rPr>
          <w:color w:val="auto"/>
          <w:sz w:val="24"/>
          <w:szCs w:val="24"/>
          <w:highlight w:val="none"/>
        </w:rPr>
      </w:pPr>
      <w:r>
        <w:rPr>
          <w:rFonts w:hint="eastAsia"/>
          <w:color w:val="auto"/>
          <w:sz w:val="24"/>
          <w:szCs w:val="24"/>
          <w:highlight w:val="none"/>
        </w:rPr>
        <w:t>本章中如有未提供的格式，投标人可自行编制</w:t>
      </w:r>
    </w:p>
    <w:p>
      <w:pPr>
        <w:bidi w:val="0"/>
        <w:spacing w:line="360" w:lineRule="auto"/>
        <w:rPr>
          <w:color w:val="auto"/>
          <w:sz w:val="24"/>
          <w:szCs w:val="24"/>
          <w:highlight w:val="none"/>
        </w:rPr>
      </w:pPr>
    </w:p>
    <w:p>
      <w:pPr>
        <w:keepNext w:val="0"/>
        <w:keepLines w:val="0"/>
        <w:pageBreakBefore w:val="0"/>
        <w:widowControl w:val="0"/>
        <w:kinsoku/>
        <w:wordWrap/>
        <w:overflowPunct/>
        <w:topLinePunct w:val="0"/>
        <w:bidi w:val="0"/>
        <w:spacing w:line="440" w:lineRule="exact"/>
        <w:textAlignment w:val="auto"/>
        <w:rPr>
          <w:color w:val="auto"/>
          <w:sz w:val="24"/>
          <w:highlight w:val="none"/>
        </w:rPr>
        <w:sectPr>
          <w:footerReference r:id="rId22" w:type="default"/>
          <w:pgSz w:w="11900" w:h="16843"/>
          <w:pgMar w:top="1417" w:right="1417" w:bottom="1417" w:left="1531" w:header="850" w:footer="992" w:gutter="0"/>
          <w:pgNumType w:fmt="decimal"/>
          <w:cols w:space="720" w:num="1"/>
          <w:titlePg/>
        </w:sectPr>
      </w:pPr>
    </w:p>
    <w:p>
      <w:pPr>
        <w:pStyle w:val="14"/>
        <w:spacing w:before="57" w:line="360" w:lineRule="auto"/>
        <w:ind w:right="58"/>
        <w:jc w:val="center"/>
        <w:rPr>
          <w:b/>
          <w:bCs/>
          <w:color w:val="auto"/>
          <w:sz w:val="32"/>
          <w:szCs w:val="32"/>
          <w:highlight w:val="none"/>
        </w:rPr>
      </w:pPr>
      <w:bookmarkStart w:id="290" w:name="_Toc32472_WPSOffice_Level1"/>
      <w:bookmarkStart w:id="291" w:name="_Toc12254_WPSOffice_Level1"/>
      <w:bookmarkStart w:id="292" w:name="_Toc20610_WPSOffice_Level1"/>
      <w:bookmarkStart w:id="293" w:name="_Toc2008_WPSOffice_Level1"/>
      <w:bookmarkStart w:id="294" w:name="_Toc31406_WPSOffice_Level1"/>
      <w:bookmarkStart w:id="295" w:name="_Toc9745_WPSOffice_Level1"/>
      <w:bookmarkStart w:id="296" w:name="_Toc13355_WPSOffice_Level1"/>
      <w:r>
        <w:rPr>
          <w:b/>
          <w:bCs/>
          <w:color w:val="auto"/>
          <w:sz w:val="32"/>
          <w:szCs w:val="32"/>
          <w:highlight w:val="none"/>
        </w:rPr>
        <w:t>一、投标函及投标函附录</w:t>
      </w:r>
      <w:bookmarkEnd w:id="290"/>
      <w:bookmarkEnd w:id="291"/>
      <w:bookmarkEnd w:id="292"/>
      <w:bookmarkEnd w:id="293"/>
      <w:bookmarkEnd w:id="294"/>
      <w:bookmarkEnd w:id="295"/>
      <w:bookmarkEnd w:id="296"/>
    </w:p>
    <w:p>
      <w:pPr>
        <w:spacing w:before="1" w:line="360" w:lineRule="auto"/>
        <w:ind w:right="58"/>
        <w:jc w:val="center"/>
        <w:rPr>
          <w:rFonts w:ascii="宋体" w:hAnsi="宋体" w:cs="宋体"/>
          <w:color w:val="auto"/>
          <w:szCs w:val="21"/>
          <w:highlight w:val="none"/>
          <w:u w:val="single"/>
        </w:rPr>
      </w:pPr>
      <w:bookmarkStart w:id="297" w:name="_bookmark290"/>
      <w:bookmarkEnd w:id="297"/>
      <w:r>
        <w:rPr>
          <w:rFonts w:hint="eastAsia" w:ascii="宋体" w:hAnsi="宋体" w:cs="宋体"/>
          <w:color w:val="auto"/>
          <w:sz w:val="30"/>
          <w:szCs w:val="30"/>
          <w:highlight w:val="none"/>
        </w:rPr>
        <w:t>（一） 投 标 函</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（招标人名称）：</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1．我方已仔细研究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（项目名称）招标文件的全部内容（含补遗书第  号至第   号），在考察工程现场后，愿意以第二个信封（报价文件）中的投标总报价（或根据招标文件规定修正核实后确定的另一金额），按合同约定实施和完成承包工程，修补工程中的任何缺陷。</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本投标文件的有效期为</w:t>
      </w:r>
      <w:r>
        <w:rPr>
          <w:rFonts w:hint="eastAsia" w:ascii="宋体" w:hAnsi="宋体" w:cs="黑体"/>
          <w:color w:val="auto"/>
          <w:kern w:val="0"/>
          <w:szCs w:val="21"/>
          <w:highlight w:val="none"/>
        </w:rPr>
        <w:t>从投标截止之日算起</w:t>
      </w:r>
      <w:r>
        <w:rPr>
          <w:rFonts w:hint="eastAsia" w:ascii="宋体" w:hAnsi="宋体"/>
          <w:color w:val="auto"/>
          <w:szCs w:val="21"/>
          <w:highlight w:val="none"/>
        </w:rPr>
        <w:t>60日历天。</w:t>
      </w:r>
      <w:r>
        <w:rPr>
          <w:rFonts w:hint="eastAsia" w:ascii="宋体" w:hAnsi="宋体" w:cs="宋体"/>
          <w:color w:val="auto"/>
          <w:szCs w:val="21"/>
          <w:highlight w:val="none"/>
        </w:rPr>
        <w:t>我方承诺在投标有效期内不撤销投标文件。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rPr>
        <w:t>项目经理：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w:t>
      </w:r>
      <w:r>
        <w:rPr>
          <w:rFonts w:hint="eastAsia" w:ascii="宋体" w:hAnsi="宋体" w:cs="宋体"/>
          <w:color w:val="auto"/>
          <w:szCs w:val="21"/>
          <w:highlight w:val="none"/>
        </w:rPr>
        <w:t>项目总工程师：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，工程质量：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，安全目标：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日历天。</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4．如我方中标，我方承诺：</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（1）在收到中标通知书后，在中标通知书规定的期限内与你方签订合同；</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（2）在签订合同时不向你方提出附加条件；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（3）按照招标文件要求提交履约保证金；</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（4）在合同约定的期限内完成合同规定的全部义务；</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（5）如若我方中标，愿按文件中规定缴纳招标代理服务费。</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5．我方在此声明，所递交的投标文件及有关资料内容完整、真实和准确，且不存在招标文件第二章“投标人须知”第 1.4.3 项和第 1.4.4 项规定的任何一种情形。</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6．在合同协议书正式签署生效之前，本投标函连同你方的中标通知书将构成我们双方之间共同遵守的文件，对双方具有约束力。</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（其他补充说明）。</w:t>
      </w:r>
    </w:p>
    <w:p>
      <w:pPr>
        <w:spacing w:line="360" w:lineRule="auto"/>
        <w:rPr>
          <w:rFonts w:ascii="宋体" w:hAnsi="宋体" w:cs="宋体"/>
          <w:color w:val="auto"/>
          <w:szCs w:val="21"/>
          <w:highlight w:val="none"/>
        </w:rPr>
      </w:pPr>
    </w:p>
    <w:p>
      <w:pPr>
        <w:tabs>
          <w:tab w:val="left" w:pos="2977"/>
          <w:tab w:val="left" w:pos="3261"/>
        </w:tabs>
        <w:spacing w:line="360" w:lineRule="auto"/>
        <w:ind w:firstLine="2730" w:firstLineChars="1300"/>
        <w:rPr>
          <w:rFonts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地址：</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网址：</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电话：</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传真：</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pPr>
        <w:spacing w:line="360" w:lineRule="auto"/>
        <w:jc w:val="center"/>
        <w:rPr>
          <w:rFonts w:ascii="宋体" w:hAnsi="宋体" w:cs="宋体"/>
          <w:color w:val="auto"/>
          <w:sz w:val="28"/>
          <w:szCs w:val="28"/>
          <w:highlight w:val="none"/>
        </w:rPr>
      </w:pP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rPr>
        <w:br w:type="page"/>
      </w:r>
      <w:bookmarkStart w:id="298" w:name="_Toc486277924"/>
      <w:bookmarkStart w:id="299" w:name="_Toc485889057"/>
      <w:bookmarkStart w:id="300" w:name="_Toc5832"/>
      <w:bookmarkStart w:id="301" w:name="_Toc234382959"/>
      <w:r>
        <w:rPr>
          <w:rFonts w:hint="eastAsia" w:ascii="宋体" w:hAnsi="宋体" w:cs="宋体"/>
          <w:color w:val="auto"/>
          <w:sz w:val="28"/>
          <w:szCs w:val="28"/>
          <w:highlight w:val="none"/>
        </w:rPr>
        <w:t>（二）投标函附录</w:t>
      </w:r>
      <w:bookmarkEnd w:id="298"/>
      <w:bookmarkEnd w:id="299"/>
      <w:bookmarkEnd w:id="300"/>
      <w:bookmarkEnd w:id="301"/>
    </w:p>
    <w:tbl>
      <w:tblPr>
        <w:tblStyle w:val="47"/>
        <w:tblW w:w="9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617"/>
        <w:gridCol w:w="1456"/>
        <w:gridCol w:w="4003"/>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7" w:type="dxa"/>
            <w:tcBorders>
              <w:top w:val="single" w:color="auto" w:sz="8" w:space="0"/>
              <w:left w:val="single" w:color="auto" w:sz="8" w:space="0"/>
            </w:tcBorders>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617" w:type="dxa"/>
            <w:tcBorders>
              <w:top w:val="single" w:color="auto" w:sz="8" w:space="0"/>
            </w:tcBorders>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1456" w:type="dxa"/>
            <w:tcBorders>
              <w:top w:val="single" w:color="auto" w:sz="8" w:space="0"/>
            </w:tcBorders>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合同条款号</w:t>
            </w:r>
          </w:p>
        </w:tc>
        <w:tc>
          <w:tcPr>
            <w:tcW w:w="4003" w:type="dxa"/>
            <w:tcBorders>
              <w:top w:val="single" w:color="auto" w:sz="8" w:space="0"/>
              <w:right w:val="single" w:color="auto" w:sz="8" w:space="0"/>
            </w:tcBorders>
            <w:vAlign w:val="center"/>
          </w:tcPr>
          <w:p>
            <w:pPr>
              <w:pStyle w:val="298"/>
              <w:widowControl w:val="0"/>
              <w:spacing w:before="0" w:beforeAutospacing="0" w:after="0" w:afterAutospacing="0" w:line="440" w:lineRule="exact"/>
              <w:jc w:val="center"/>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约定内容</w:t>
            </w:r>
          </w:p>
        </w:tc>
        <w:tc>
          <w:tcPr>
            <w:tcW w:w="757" w:type="dxa"/>
            <w:tcBorders>
              <w:top w:val="single" w:color="auto" w:sz="8" w:space="0"/>
              <w:right w:val="single" w:color="auto" w:sz="8" w:space="0"/>
            </w:tcBorders>
          </w:tcPr>
          <w:p>
            <w:pPr>
              <w:pStyle w:val="298"/>
              <w:widowControl w:val="0"/>
              <w:spacing w:before="0" w:beforeAutospacing="0" w:after="0" w:afterAutospacing="0" w:line="440" w:lineRule="exact"/>
              <w:jc w:val="center"/>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pStyle w:val="298"/>
              <w:widowControl w:val="0"/>
              <w:spacing w:before="0" w:beforeAutospacing="0" w:after="0" w:afterAutospacing="0" w:line="440" w:lineRule="exact"/>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617" w:type="dxa"/>
            <w:vAlign w:val="center"/>
          </w:tcPr>
          <w:p>
            <w:pPr>
              <w:pStyle w:val="20"/>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项目经理</w:t>
            </w:r>
          </w:p>
        </w:tc>
        <w:tc>
          <w:tcPr>
            <w:tcW w:w="1456" w:type="dxa"/>
            <w:vAlign w:val="center"/>
          </w:tcPr>
          <w:p>
            <w:pPr>
              <w:pStyle w:val="298"/>
              <w:widowControl w:val="0"/>
              <w:spacing w:before="0" w:beforeAutospacing="0" w:after="0" w:afterAutospacing="0" w:line="440" w:lineRule="exact"/>
              <w:jc w:val="center"/>
              <w:textAlignment w:val="auto"/>
              <w:rPr>
                <w:rFonts w:ascii="宋体" w:hAnsi="宋体" w:eastAsia="宋体" w:cs="宋体"/>
                <w:color w:val="auto"/>
                <w:sz w:val="21"/>
                <w:szCs w:val="21"/>
                <w:highlight w:val="none"/>
              </w:rPr>
            </w:pPr>
          </w:p>
        </w:tc>
        <w:tc>
          <w:tcPr>
            <w:tcW w:w="4003" w:type="dxa"/>
            <w:tcBorders>
              <w:right w:val="single" w:color="auto" w:sz="8" w:space="0"/>
            </w:tcBorders>
            <w:vAlign w:val="center"/>
          </w:tcPr>
          <w:p>
            <w:pPr>
              <w:spacing w:line="440" w:lineRule="exact"/>
              <w:rPr>
                <w:rFonts w:ascii="宋体" w:hAnsi="宋体" w:cs="宋体"/>
                <w:color w:val="auto"/>
                <w:szCs w:val="21"/>
                <w:highlight w:val="none"/>
                <w:u w:val="singl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p>
        </w:tc>
        <w:tc>
          <w:tcPr>
            <w:tcW w:w="757" w:type="dxa"/>
            <w:tcBorders>
              <w:right w:val="single" w:color="auto" w:sz="8" w:space="0"/>
            </w:tcBorders>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pStyle w:val="298"/>
              <w:widowControl w:val="0"/>
              <w:spacing w:before="0" w:beforeAutospacing="0" w:after="0" w:afterAutospacing="0" w:line="440" w:lineRule="exact"/>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617" w:type="dxa"/>
            <w:vAlign w:val="center"/>
          </w:tcPr>
          <w:p>
            <w:pPr>
              <w:pStyle w:val="20"/>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项目总工程师</w:t>
            </w:r>
          </w:p>
        </w:tc>
        <w:tc>
          <w:tcPr>
            <w:tcW w:w="1456" w:type="dxa"/>
            <w:vAlign w:val="center"/>
          </w:tcPr>
          <w:p>
            <w:pPr>
              <w:pStyle w:val="298"/>
              <w:widowControl w:val="0"/>
              <w:spacing w:before="0" w:beforeAutospacing="0" w:after="0" w:afterAutospacing="0" w:line="440" w:lineRule="exact"/>
              <w:jc w:val="center"/>
              <w:textAlignment w:val="auto"/>
              <w:rPr>
                <w:rFonts w:ascii="宋体" w:hAnsi="宋体" w:eastAsia="宋体" w:cs="宋体"/>
                <w:color w:val="auto"/>
                <w:sz w:val="21"/>
                <w:szCs w:val="21"/>
                <w:highlight w:val="none"/>
              </w:rPr>
            </w:pPr>
          </w:p>
        </w:tc>
        <w:tc>
          <w:tcPr>
            <w:tcW w:w="4003" w:type="dxa"/>
            <w:tcBorders>
              <w:right w:val="single" w:color="auto" w:sz="8"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p>
        </w:tc>
        <w:tc>
          <w:tcPr>
            <w:tcW w:w="757" w:type="dxa"/>
            <w:tcBorders>
              <w:right w:val="single" w:color="auto" w:sz="8" w:space="0"/>
            </w:tcBorders>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pStyle w:val="298"/>
              <w:widowControl w:val="0"/>
              <w:spacing w:before="0" w:beforeAutospacing="0" w:after="0" w:afterAutospacing="0" w:line="440" w:lineRule="exact"/>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17" w:type="dxa"/>
            <w:vAlign w:val="center"/>
          </w:tcPr>
          <w:p>
            <w:pPr>
              <w:pStyle w:val="20"/>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工期</w:t>
            </w:r>
          </w:p>
        </w:tc>
        <w:tc>
          <w:tcPr>
            <w:tcW w:w="1456" w:type="dxa"/>
            <w:vAlign w:val="center"/>
          </w:tcPr>
          <w:p>
            <w:pPr>
              <w:pStyle w:val="298"/>
              <w:widowControl w:val="0"/>
              <w:spacing w:before="0" w:beforeAutospacing="0" w:after="0" w:afterAutospacing="0" w:line="440" w:lineRule="exact"/>
              <w:jc w:val="center"/>
              <w:textAlignment w:val="auto"/>
              <w:rPr>
                <w:rFonts w:ascii="宋体" w:hAnsi="宋体" w:eastAsia="宋体" w:cs="宋体"/>
                <w:color w:val="auto"/>
                <w:sz w:val="21"/>
                <w:szCs w:val="21"/>
                <w:highlight w:val="none"/>
              </w:rPr>
            </w:pPr>
          </w:p>
        </w:tc>
        <w:tc>
          <w:tcPr>
            <w:tcW w:w="4003" w:type="dxa"/>
            <w:tcBorders>
              <w:right w:val="single" w:color="auto" w:sz="8"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天数：合同签订后</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tc>
        <w:tc>
          <w:tcPr>
            <w:tcW w:w="757" w:type="dxa"/>
            <w:tcBorders>
              <w:right w:val="single" w:color="auto" w:sz="8" w:space="0"/>
            </w:tcBorders>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617"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缺陷责任期</w:t>
            </w:r>
          </w:p>
        </w:tc>
        <w:tc>
          <w:tcPr>
            <w:tcW w:w="1456" w:type="dxa"/>
            <w:vAlign w:val="center"/>
          </w:tcPr>
          <w:p>
            <w:pPr>
              <w:spacing w:line="440" w:lineRule="exact"/>
              <w:jc w:val="center"/>
              <w:rPr>
                <w:rFonts w:ascii="宋体" w:hAnsi="宋体" w:cs="宋体"/>
                <w:color w:val="auto"/>
                <w:szCs w:val="21"/>
                <w:highlight w:val="none"/>
              </w:rPr>
            </w:pPr>
          </w:p>
        </w:tc>
        <w:tc>
          <w:tcPr>
            <w:tcW w:w="4003" w:type="dxa"/>
            <w:tcBorders>
              <w:right w:val="single" w:color="auto" w:sz="8"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u w:val="single"/>
              </w:rPr>
              <w:t>自实际交工日期起计算1年</w:t>
            </w:r>
          </w:p>
        </w:tc>
        <w:tc>
          <w:tcPr>
            <w:tcW w:w="757" w:type="dxa"/>
            <w:tcBorders>
              <w:right w:val="single" w:color="auto" w:sz="8" w:space="0"/>
            </w:tcBorders>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pStyle w:val="298"/>
              <w:widowControl w:val="0"/>
              <w:spacing w:before="0" w:beforeAutospacing="0" w:after="0" w:afterAutospacing="0" w:line="440" w:lineRule="exact"/>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3.1</w:t>
            </w:r>
          </w:p>
        </w:tc>
        <w:tc>
          <w:tcPr>
            <w:tcW w:w="2617" w:type="dxa"/>
            <w:vAlign w:val="center"/>
          </w:tcPr>
          <w:p>
            <w:pPr>
              <w:pStyle w:val="20"/>
              <w:spacing w:line="440" w:lineRule="exact"/>
              <w:jc w:val="center"/>
              <w:rPr>
                <w:rFonts w:ascii="宋体" w:hAnsi="宋体" w:cs="宋体"/>
                <w:color w:val="auto"/>
                <w:szCs w:val="21"/>
                <w:highlight w:val="none"/>
              </w:rPr>
            </w:pPr>
            <w:r>
              <w:rPr>
                <w:rFonts w:hint="eastAsia" w:ascii="宋体" w:hAnsi="宋体" w:cs="宋体"/>
                <w:color w:val="auto"/>
                <w:sz w:val="21"/>
                <w:szCs w:val="21"/>
                <w:highlight w:val="none"/>
              </w:rPr>
              <w:t>质量</w:t>
            </w:r>
          </w:p>
        </w:tc>
        <w:tc>
          <w:tcPr>
            <w:tcW w:w="1456" w:type="dxa"/>
            <w:vAlign w:val="center"/>
          </w:tcPr>
          <w:p>
            <w:pPr>
              <w:pStyle w:val="298"/>
              <w:widowControl w:val="0"/>
              <w:spacing w:before="0" w:beforeAutospacing="0" w:after="0" w:afterAutospacing="0" w:line="440" w:lineRule="exact"/>
              <w:jc w:val="center"/>
              <w:textAlignment w:val="auto"/>
              <w:rPr>
                <w:rFonts w:ascii="宋体" w:hAnsi="宋体" w:cs="宋体"/>
                <w:color w:val="auto"/>
                <w:szCs w:val="21"/>
                <w:highlight w:val="none"/>
              </w:rPr>
            </w:pPr>
          </w:p>
        </w:tc>
        <w:tc>
          <w:tcPr>
            <w:tcW w:w="4003" w:type="dxa"/>
            <w:tcBorders>
              <w:right w:val="single" w:color="auto" w:sz="8"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tc>
        <w:tc>
          <w:tcPr>
            <w:tcW w:w="757" w:type="dxa"/>
            <w:tcBorders>
              <w:right w:val="single" w:color="auto" w:sz="8" w:space="0"/>
            </w:tcBorders>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617"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履约担保金额</w:t>
            </w:r>
          </w:p>
        </w:tc>
        <w:tc>
          <w:tcPr>
            <w:tcW w:w="1456"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4.2</w:t>
            </w:r>
          </w:p>
        </w:tc>
        <w:tc>
          <w:tcPr>
            <w:tcW w:w="4003" w:type="dxa"/>
            <w:tcBorders>
              <w:right w:val="single" w:color="auto" w:sz="8" w:space="0"/>
            </w:tcBorders>
            <w:vAlign w:val="center"/>
          </w:tcPr>
          <w:p>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签约合</w:t>
            </w:r>
            <w:r>
              <w:rPr>
                <w:rFonts w:hint="eastAsia" w:ascii="宋体" w:hAnsi="宋体" w:cs="宋体"/>
                <w:color w:val="auto"/>
                <w:szCs w:val="21"/>
                <w:highlight w:val="none"/>
              </w:rPr>
              <w:t>同价的</w:t>
            </w:r>
            <w:r>
              <w:rPr>
                <w:rFonts w:ascii="宋体" w:hAnsi="宋体" w:cs="宋体"/>
                <w:color w:val="auto"/>
                <w:szCs w:val="21"/>
                <w:highlight w:val="none"/>
              </w:rPr>
              <w:t>10</w:t>
            </w:r>
            <w:r>
              <w:rPr>
                <w:rFonts w:hint="eastAsia" w:ascii="宋体" w:hAnsi="宋体" w:cs="宋体"/>
                <w:color w:val="auto"/>
                <w:szCs w:val="21"/>
                <w:highlight w:val="none"/>
              </w:rPr>
              <w:t>%</w:t>
            </w:r>
          </w:p>
        </w:tc>
        <w:tc>
          <w:tcPr>
            <w:tcW w:w="757" w:type="dxa"/>
            <w:tcBorders>
              <w:right w:val="single" w:color="auto" w:sz="8" w:space="0"/>
            </w:tcBorders>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2617" w:type="dxa"/>
            <w:vAlign w:val="center"/>
          </w:tcPr>
          <w:p>
            <w:pPr>
              <w:pStyle w:val="20"/>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分包</w:t>
            </w:r>
          </w:p>
        </w:tc>
        <w:tc>
          <w:tcPr>
            <w:tcW w:w="1456" w:type="dxa"/>
            <w:vAlign w:val="center"/>
          </w:tcPr>
          <w:p>
            <w:pPr>
              <w:spacing w:line="440" w:lineRule="exact"/>
              <w:jc w:val="center"/>
              <w:rPr>
                <w:rFonts w:ascii="宋体" w:hAnsi="宋体" w:cs="宋体"/>
                <w:color w:val="auto"/>
                <w:szCs w:val="21"/>
                <w:highlight w:val="none"/>
              </w:rPr>
            </w:pPr>
          </w:p>
        </w:tc>
        <w:tc>
          <w:tcPr>
            <w:tcW w:w="4003" w:type="dxa"/>
            <w:tcBorders>
              <w:right w:val="single" w:color="auto" w:sz="8"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不允许</w:t>
            </w:r>
          </w:p>
        </w:tc>
        <w:tc>
          <w:tcPr>
            <w:tcW w:w="757" w:type="dxa"/>
            <w:tcBorders>
              <w:right w:val="single" w:color="auto" w:sz="8" w:space="0"/>
            </w:tcBorders>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2617"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发出开工通知期限</w:t>
            </w:r>
          </w:p>
        </w:tc>
        <w:tc>
          <w:tcPr>
            <w:tcW w:w="1456"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11.1</w:t>
            </w:r>
          </w:p>
        </w:tc>
        <w:tc>
          <w:tcPr>
            <w:tcW w:w="4003" w:type="dxa"/>
            <w:tcBorders>
              <w:right w:val="single" w:color="auto" w:sz="8" w:space="0"/>
            </w:tcBorders>
            <w:vAlign w:val="center"/>
          </w:tcPr>
          <w:p>
            <w:pPr>
              <w:spacing w:line="440" w:lineRule="exact"/>
              <w:rPr>
                <w:rFonts w:ascii="宋体" w:hAnsi="宋体" w:cs="宋体"/>
                <w:color w:val="auto"/>
                <w:szCs w:val="21"/>
                <w:highlight w:val="none"/>
              </w:rPr>
            </w:pPr>
            <w:bookmarkStart w:id="302" w:name="_Hlt130800536"/>
            <w:bookmarkEnd w:id="302"/>
            <w:r>
              <w:rPr>
                <w:rFonts w:hint="eastAsia" w:ascii="宋体" w:hAnsi="宋体" w:cs="宋体"/>
                <w:color w:val="auto"/>
                <w:szCs w:val="21"/>
                <w:highlight w:val="none"/>
              </w:rPr>
              <w:t>开工日期7天前</w:t>
            </w:r>
          </w:p>
        </w:tc>
        <w:tc>
          <w:tcPr>
            <w:tcW w:w="757" w:type="dxa"/>
            <w:tcBorders>
              <w:right w:val="single" w:color="auto" w:sz="8" w:space="0"/>
            </w:tcBorders>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2617"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逾期竣工违约金</w:t>
            </w:r>
          </w:p>
        </w:tc>
        <w:tc>
          <w:tcPr>
            <w:tcW w:w="1456"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11.5</w:t>
            </w:r>
          </w:p>
        </w:tc>
        <w:tc>
          <w:tcPr>
            <w:tcW w:w="4003" w:type="dxa"/>
            <w:tcBorders>
              <w:right w:val="single" w:color="auto" w:sz="8" w:space="0"/>
            </w:tcBorders>
            <w:vAlign w:val="center"/>
          </w:tcPr>
          <w:p>
            <w:pPr>
              <w:spacing w:line="440" w:lineRule="exact"/>
              <w:rPr>
                <w:rFonts w:ascii="宋体" w:hAnsi="宋体" w:cs="宋体"/>
                <w:color w:val="auto"/>
                <w:szCs w:val="21"/>
                <w:highlight w:val="none"/>
              </w:rPr>
            </w:pPr>
            <w:bookmarkStart w:id="303" w:name="_Hlt130800716"/>
            <w:bookmarkEnd w:id="303"/>
            <w:r>
              <w:rPr>
                <w:rFonts w:hint="eastAsia" w:ascii="宋体" w:hAnsi="宋体" w:cs="宋体"/>
                <w:color w:val="auto"/>
                <w:szCs w:val="21"/>
                <w:highlight w:val="none"/>
              </w:rPr>
              <w:t>人民币</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200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元/天</w:t>
            </w:r>
          </w:p>
        </w:tc>
        <w:tc>
          <w:tcPr>
            <w:tcW w:w="757" w:type="dxa"/>
            <w:tcBorders>
              <w:right w:val="single" w:color="auto" w:sz="8" w:space="0"/>
            </w:tcBorders>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2617" w:type="dxa"/>
            <w:vAlign w:val="center"/>
          </w:tcPr>
          <w:p>
            <w:pPr>
              <w:pStyle w:val="20"/>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逾期竣工违约金限额</w:t>
            </w:r>
          </w:p>
        </w:tc>
        <w:tc>
          <w:tcPr>
            <w:tcW w:w="1456"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11.5</w:t>
            </w:r>
          </w:p>
        </w:tc>
        <w:tc>
          <w:tcPr>
            <w:tcW w:w="4003" w:type="dxa"/>
            <w:tcBorders>
              <w:right w:val="single" w:color="auto" w:sz="8"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签约合同价的</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10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tc>
        <w:tc>
          <w:tcPr>
            <w:tcW w:w="757" w:type="dxa"/>
            <w:tcBorders>
              <w:right w:val="single" w:color="auto" w:sz="8" w:space="0"/>
            </w:tcBorders>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2617" w:type="dxa"/>
            <w:vAlign w:val="center"/>
          </w:tcPr>
          <w:p>
            <w:pPr>
              <w:pStyle w:val="20"/>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提前竣工的奖金</w:t>
            </w:r>
          </w:p>
        </w:tc>
        <w:tc>
          <w:tcPr>
            <w:tcW w:w="1456"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11.6</w:t>
            </w:r>
          </w:p>
        </w:tc>
        <w:tc>
          <w:tcPr>
            <w:tcW w:w="4003" w:type="dxa"/>
            <w:tcBorders>
              <w:right w:val="single" w:color="auto" w:sz="8"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人民币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元/天</w:t>
            </w:r>
          </w:p>
        </w:tc>
        <w:tc>
          <w:tcPr>
            <w:tcW w:w="757" w:type="dxa"/>
            <w:tcBorders>
              <w:right w:val="single" w:color="auto" w:sz="8" w:space="0"/>
            </w:tcBorders>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2617"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提前竣工的奖金限额</w:t>
            </w:r>
          </w:p>
        </w:tc>
        <w:tc>
          <w:tcPr>
            <w:tcW w:w="1456"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11.6</w:t>
            </w:r>
          </w:p>
        </w:tc>
        <w:tc>
          <w:tcPr>
            <w:tcW w:w="4003" w:type="dxa"/>
            <w:tcBorders>
              <w:right w:val="single" w:color="auto" w:sz="8"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签约合同价的</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tc>
        <w:tc>
          <w:tcPr>
            <w:tcW w:w="757" w:type="dxa"/>
            <w:tcBorders>
              <w:right w:val="single" w:color="auto" w:sz="8" w:space="0"/>
            </w:tcBorders>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w:t>
            </w:r>
          </w:p>
        </w:tc>
        <w:tc>
          <w:tcPr>
            <w:tcW w:w="2617"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价格调整的差额计算</w:t>
            </w:r>
          </w:p>
        </w:tc>
        <w:tc>
          <w:tcPr>
            <w:tcW w:w="1456" w:type="dxa"/>
            <w:vAlign w:val="center"/>
          </w:tcPr>
          <w:p>
            <w:pPr>
              <w:spacing w:line="440" w:lineRule="exact"/>
              <w:jc w:val="center"/>
              <w:rPr>
                <w:rFonts w:ascii="宋体" w:hAnsi="宋体" w:cs="宋体"/>
                <w:color w:val="auto"/>
                <w:szCs w:val="21"/>
                <w:highlight w:val="none"/>
              </w:rPr>
            </w:pPr>
            <w:r>
              <w:rPr>
                <w:rFonts w:ascii="宋体" w:hAnsi="宋体" w:cs="宋体"/>
                <w:color w:val="auto"/>
                <w:szCs w:val="21"/>
                <w:highlight w:val="none"/>
              </w:rPr>
              <w:t>16.1.1</w:t>
            </w:r>
          </w:p>
        </w:tc>
        <w:tc>
          <w:tcPr>
            <w:tcW w:w="4003" w:type="dxa"/>
            <w:tcBorders>
              <w:right w:val="single" w:color="auto" w:sz="8"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按照《河南省交通建设项目工程施工主要材料价差调整指导性意见》（豫交〔2011〕42号文）文件规定执行</w:t>
            </w:r>
          </w:p>
        </w:tc>
        <w:tc>
          <w:tcPr>
            <w:tcW w:w="757" w:type="dxa"/>
            <w:tcBorders>
              <w:right w:val="single" w:color="auto" w:sz="8" w:space="0"/>
            </w:tcBorders>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w:t>
            </w:r>
          </w:p>
        </w:tc>
        <w:tc>
          <w:tcPr>
            <w:tcW w:w="2617" w:type="dxa"/>
          </w:tcPr>
          <w:p>
            <w:pPr>
              <w:spacing w:line="440" w:lineRule="exact"/>
              <w:jc w:val="center"/>
              <w:rPr>
                <w:rFonts w:ascii="宋体" w:hAnsi="宋体" w:cs="宋体"/>
                <w:color w:val="auto"/>
                <w:szCs w:val="21"/>
                <w:highlight w:val="none"/>
              </w:rPr>
            </w:pPr>
            <w:r>
              <w:rPr>
                <w:color w:val="auto"/>
                <w:highlight w:val="none"/>
              </w:rPr>
              <w:t>进度付款证书最低限额</w:t>
            </w:r>
          </w:p>
        </w:tc>
        <w:tc>
          <w:tcPr>
            <w:tcW w:w="1456" w:type="dxa"/>
          </w:tcPr>
          <w:p>
            <w:pPr>
              <w:spacing w:line="440" w:lineRule="exact"/>
              <w:jc w:val="center"/>
              <w:rPr>
                <w:rFonts w:ascii="宋体" w:hAnsi="宋体" w:cs="宋体"/>
                <w:color w:val="auto"/>
                <w:szCs w:val="21"/>
                <w:highlight w:val="none"/>
              </w:rPr>
            </w:pPr>
            <w:r>
              <w:rPr>
                <w:rFonts w:eastAsia="Times New Roman"/>
                <w:color w:val="auto"/>
                <w:highlight w:val="none"/>
              </w:rPr>
              <w:t>17.3.3</w:t>
            </w:r>
            <w:r>
              <w:rPr>
                <w:color w:val="auto"/>
                <w:highlight w:val="none"/>
              </w:rPr>
              <w:t>（</w:t>
            </w:r>
            <w:r>
              <w:rPr>
                <w:rFonts w:eastAsia="Times New Roman"/>
                <w:color w:val="auto"/>
                <w:highlight w:val="none"/>
              </w:rPr>
              <w:t>1</w:t>
            </w:r>
            <w:r>
              <w:rPr>
                <w:color w:val="auto"/>
                <w:highlight w:val="none"/>
              </w:rPr>
              <w:t>）</w:t>
            </w:r>
          </w:p>
        </w:tc>
        <w:tc>
          <w:tcPr>
            <w:tcW w:w="4003" w:type="dxa"/>
            <w:tcBorders>
              <w:right w:val="single" w:color="auto" w:sz="8" w:space="0"/>
            </w:tcBorders>
          </w:tcPr>
          <w:p>
            <w:pPr>
              <w:spacing w:line="440" w:lineRule="exact"/>
              <w:rPr>
                <w:rFonts w:ascii="宋体" w:hAnsi="宋体" w:cs="宋体"/>
                <w:color w:val="auto"/>
                <w:szCs w:val="21"/>
                <w:highlight w:val="none"/>
              </w:rPr>
            </w:pPr>
            <w:r>
              <w:rPr>
                <w:color w:val="auto"/>
                <w:highlight w:val="none"/>
                <w:u w:val="single"/>
              </w:rPr>
              <w:t xml:space="preserve"> </w:t>
            </w:r>
            <w:r>
              <w:rPr>
                <w:rFonts w:hint="eastAsia"/>
                <w:color w:val="auto"/>
                <w:highlight w:val="none"/>
                <w:u w:val="single"/>
              </w:rPr>
              <w:t>5</w:t>
            </w:r>
            <w:r>
              <w:rPr>
                <w:color w:val="auto"/>
                <w:highlight w:val="none"/>
              </w:rPr>
              <w:t>万元</w:t>
            </w:r>
          </w:p>
        </w:tc>
        <w:tc>
          <w:tcPr>
            <w:tcW w:w="757" w:type="dxa"/>
            <w:tcBorders>
              <w:right w:val="single" w:color="auto" w:sz="8" w:space="0"/>
            </w:tcBorders>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3</w:t>
            </w:r>
          </w:p>
        </w:tc>
        <w:tc>
          <w:tcPr>
            <w:tcW w:w="2617" w:type="dxa"/>
          </w:tcPr>
          <w:p>
            <w:pPr>
              <w:spacing w:line="440" w:lineRule="exact"/>
              <w:jc w:val="center"/>
              <w:rPr>
                <w:color w:val="auto"/>
                <w:highlight w:val="none"/>
              </w:rPr>
            </w:pPr>
            <w:r>
              <w:rPr>
                <w:rFonts w:hint="eastAsia"/>
                <w:color w:val="auto"/>
                <w:highlight w:val="none"/>
              </w:rPr>
              <w:t>逾期付款违约金的利率</w:t>
            </w:r>
          </w:p>
        </w:tc>
        <w:tc>
          <w:tcPr>
            <w:tcW w:w="1456" w:type="dxa"/>
          </w:tcPr>
          <w:p>
            <w:pPr>
              <w:spacing w:line="440" w:lineRule="exact"/>
              <w:jc w:val="center"/>
              <w:rPr>
                <w:rFonts w:eastAsia="Times New Roman"/>
                <w:color w:val="auto"/>
                <w:highlight w:val="none"/>
              </w:rPr>
            </w:pPr>
            <w:r>
              <w:rPr>
                <w:rFonts w:hint="eastAsia"/>
                <w:color w:val="auto"/>
                <w:highlight w:val="none"/>
              </w:rPr>
              <w:t>17.3.3（2）</w:t>
            </w:r>
          </w:p>
        </w:tc>
        <w:tc>
          <w:tcPr>
            <w:tcW w:w="4003" w:type="dxa"/>
            <w:tcBorders>
              <w:right w:val="single" w:color="auto" w:sz="8" w:space="0"/>
            </w:tcBorders>
          </w:tcPr>
          <w:p>
            <w:pPr>
              <w:spacing w:line="440" w:lineRule="exact"/>
              <w:rPr>
                <w:color w:val="auto"/>
                <w:highlight w:val="none"/>
                <w:u w:val="single"/>
              </w:rPr>
            </w:pPr>
            <w:r>
              <w:rPr>
                <w:rFonts w:hint="eastAsia"/>
                <w:color w:val="auto"/>
                <w:highlight w:val="none"/>
              </w:rPr>
              <w:t>按中国人民银行当期活期存款利率</w:t>
            </w:r>
          </w:p>
        </w:tc>
        <w:tc>
          <w:tcPr>
            <w:tcW w:w="757" w:type="dxa"/>
            <w:tcBorders>
              <w:right w:val="single" w:color="auto" w:sz="8" w:space="0"/>
            </w:tcBorders>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4</w:t>
            </w:r>
          </w:p>
        </w:tc>
        <w:tc>
          <w:tcPr>
            <w:tcW w:w="2617"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质量保证金限额</w:t>
            </w:r>
          </w:p>
        </w:tc>
        <w:tc>
          <w:tcPr>
            <w:tcW w:w="1456"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17.4.1</w:t>
            </w:r>
          </w:p>
        </w:tc>
        <w:tc>
          <w:tcPr>
            <w:tcW w:w="4003" w:type="dxa"/>
            <w:tcBorders>
              <w:right w:val="single" w:color="auto" w:sz="8"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合同</w:t>
            </w:r>
            <w:r>
              <w:rPr>
                <w:rFonts w:hint="eastAsia" w:ascii="宋体" w:hAnsi="宋体" w:cs="宋体"/>
                <w:color w:val="auto"/>
                <w:szCs w:val="21"/>
                <w:highlight w:val="none"/>
              </w:rPr>
              <w:t>价格的3%</w:t>
            </w:r>
          </w:p>
        </w:tc>
        <w:tc>
          <w:tcPr>
            <w:tcW w:w="757" w:type="dxa"/>
            <w:tcBorders>
              <w:right w:val="single" w:color="auto" w:sz="8" w:space="0"/>
            </w:tcBorders>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717" w:type="dxa"/>
            <w:tcBorders>
              <w:left w:val="single" w:color="auto" w:sz="8" w:space="0"/>
            </w:tcBorders>
            <w:vAlign w:val="center"/>
          </w:tcPr>
          <w:p>
            <w:pPr>
              <w:spacing w:line="440" w:lineRule="exact"/>
              <w:jc w:val="center"/>
              <w:rPr>
                <w:rFonts w:ascii="宋体" w:hAnsi="宋体" w:cs="宋体"/>
                <w:color w:val="auto"/>
                <w:szCs w:val="21"/>
                <w:highlight w:val="none"/>
              </w:rPr>
            </w:pPr>
            <w:r>
              <w:rPr>
                <w:rFonts w:ascii="宋体" w:hAnsi="宋体" w:cs="宋体"/>
                <w:color w:val="auto"/>
                <w:szCs w:val="21"/>
                <w:highlight w:val="none"/>
              </w:rPr>
              <w:t>15</w:t>
            </w:r>
          </w:p>
        </w:tc>
        <w:tc>
          <w:tcPr>
            <w:tcW w:w="2617" w:type="dxa"/>
            <w:vAlign w:val="center"/>
          </w:tcPr>
          <w:p>
            <w:pPr>
              <w:spacing w:line="440" w:lineRule="exact"/>
              <w:jc w:val="center"/>
              <w:rPr>
                <w:rFonts w:ascii="宋体" w:hAnsi="宋体" w:cs="宋体"/>
                <w:color w:val="auto"/>
                <w:szCs w:val="21"/>
                <w:highlight w:val="none"/>
              </w:rPr>
            </w:pPr>
            <w:r>
              <w:rPr>
                <w:rFonts w:ascii="宋体" w:hAnsi="宋体"/>
                <w:color w:val="auto"/>
                <w:highlight w:val="none"/>
              </w:rPr>
              <w:t>保修期</w:t>
            </w:r>
          </w:p>
        </w:tc>
        <w:tc>
          <w:tcPr>
            <w:tcW w:w="1456"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19.7（1）</w:t>
            </w:r>
          </w:p>
        </w:tc>
        <w:tc>
          <w:tcPr>
            <w:tcW w:w="4003" w:type="dxa"/>
            <w:tcBorders>
              <w:right w:val="single" w:color="auto" w:sz="8" w:space="0"/>
            </w:tcBorders>
            <w:vAlign w:val="center"/>
          </w:tcPr>
          <w:p>
            <w:pPr>
              <w:spacing w:line="239" w:lineRule="exact"/>
              <w:rPr>
                <w:rFonts w:ascii="宋体" w:hAnsi="宋体" w:cs="宋体"/>
                <w:color w:val="auto"/>
                <w:szCs w:val="21"/>
                <w:highlight w:val="none"/>
              </w:rPr>
            </w:pPr>
            <w:r>
              <w:rPr>
                <w:rFonts w:ascii="宋体" w:hAnsi="宋体"/>
                <w:color w:val="auto"/>
                <w:highlight w:val="none"/>
              </w:rPr>
              <w:t>自实际交工日期起计算</w:t>
            </w:r>
            <w:r>
              <w:rPr>
                <w:rFonts w:hint="eastAsia" w:ascii="宋体" w:hAnsi="宋体"/>
                <w:color w:val="auto"/>
                <w:highlight w:val="none"/>
                <w:u w:val="single"/>
              </w:rPr>
              <w:t xml:space="preserve">  5 </w:t>
            </w:r>
            <w:r>
              <w:rPr>
                <w:rFonts w:hint="eastAsia" w:ascii="宋体" w:hAnsi="宋体"/>
                <w:color w:val="auto"/>
                <w:highlight w:val="none"/>
              </w:rPr>
              <w:t>年</w:t>
            </w:r>
          </w:p>
        </w:tc>
        <w:tc>
          <w:tcPr>
            <w:tcW w:w="757" w:type="dxa"/>
            <w:tcBorders>
              <w:right w:val="single" w:color="auto" w:sz="8" w:space="0"/>
            </w:tcBorders>
          </w:tcPr>
          <w:p>
            <w:pPr>
              <w:spacing w:line="440" w:lineRule="exact"/>
              <w:jc w:val="center"/>
              <w:rPr>
                <w:rFonts w:ascii="宋体" w:hAnsi="宋体" w:cs="宋体"/>
                <w:color w:val="auto"/>
                <w:szCs w:val="21"/>
                <w:highlight w:val="none"/>
              </w:rPr>
            </w:pPr>
          </w:p>
        </w:tc>
      </w:tr>
    </w:tbl>
    <w:p>
      <w:pPr>
        <w:pStyle w:val="2"/>
        <w:ind w:firstLine="280"/>
        <w:rPr>
          <w:rFonts w:ascii="宋体" w:hAnsi="宋体" w:cs="宋体"/>
          <w:color w:val="auto"/>
          <w:sz w:val="28"/>
          <w:szCs w:val="28"/>
          <w:highlight w:val="none"/>
        </w:rPr>
      </w:pPr>
    </w:p>
    <w:p>
      <w:pPr>
        <w:tabs>
          <w:tab w:val="left" w:pos="2977"/>
          <w:tab w:val="left" w:pos="3261"/>
        </w:tabs>
        <w:spacing w:line="360" w:lineRule="auto"/>
        <w:ind w:firstLine="3780" w:firstLineChars="1800"/>
        <w:rPr>
          <w:rFonts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pStyle w:val="3"/>
        <w:tabs>
          <w:tab w:val="left" w:pos="5682"/>
          <w:tab w:val="left" w:pos="7002"/>
          <w:tab w:val="left" w:pos="8138"/>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2"/>
        <w:ind w:firstLine="280"/>
        <w:rPr>
          <w:rFonts w:ascii="宋体" w:hAnsi="宋体" w:cs="宋体"/>
          <w:color w:val="auto"/>
          <w:sz w:val="28"/>
          <w:szCs w:val="28"/>
          <w:highlight w:val="none"/>
        </w:rPr>
      </w:pPr>
    </w:p>
    <w:p>
      <w:pPr>
        <w:pStyle w:val="2"/>
        <w:ind w:firstLine="280"/>
        <w:rPr>
          <w:rFonts w:ascii="宋体" w:hAnsi="宋体" w:cs="宋体"/>
          <w:color w:val="auto"/>
          <w:sz w:val="28"/>
          <w:szCs w:val="28"/>
          <w:highlight w:val="none"/>
        </w:rPr>
      </w:pPr>
    </w:p>
    <w:p>
      <w:pPr>
        <w:pStyle w:val="2"/>
        <w:ind w:firstLine="280"/>
        <w:rPr>
          <w:rFonts w:ascii="宋体" w:hAnsi="宋体" w:cs="宋体"/>
          <w:color w:val="auto"/>
          <w:sz w:val="28"/>
          <w:szCs w:val="28"/>
          <w:highlight w:val="none"/>
        </w:rPr>
      </w:pPr>
    </w:p>
    <w:p>
      <w:pPr>
        <w:pStyle w:val="2"/>
        <w:ind w:firstLine="280"/>
        <w:rPr>
          <w:rFonts w:ascii="宋体" w:hAnsi="宋体" w:cs="宋体"/>
          <w:color w:val="auto"/>
          <w:sz w:val="28"/>
          <w:szCs w:val="28"/>
          <w:highlight w:val="none"/>
        </w:rPr>
      </w:pPr>
    </w:p>
    <w:p>
      <w:pPr>
        <w:spacing w:line="500" w:lineRule="exact"/>
        <w:ind w:right="480"/>
        <w:jc w:val="center"/>
        <w:rPr>
          <w:b/>
          <w:bCs/>
          <w:color w:val="auto"/>
          <w:sz w:val="32"/>
          <w:szCs w:val="32"/>
          <w:highlight w:val="none"/>
        </w:rPr>
      </w:pPr>
      <w:bookmarkStart w:id="304" w:name="_Toc12417_WPSOffice_Level1"/>
      <w:bookmarkStart w:id="305" w:name="_Toc12678_WPSOffice_Level1"/>
      <w:bookmarkStart w:id="306" w:name="_Toc7515_WPSOffice_Level1"/>
      <w:bookmarkStart w:id="307" w:name="_Toc22222_WPSOffice_Level1"/>
      <w:bookmarkStart w:id="308" w:name="_Toc18350_WPSOffice_Level1"/>
      <w:bookmarkStart w:id="309" w:name="_Toc2611_WPSOffice_Level1"/>
      <w:bookmarkStart w:id="310" w:name="_Toc808_WPSOffice_Level1"/>
      <w:r>
        <w:rPr>
          <w:b/>
          <w:bCs/>
          <w:color w:val="auto"/>
          <w:sz w:val="32"/>
          <w:szCs w:val="32"/>
          <w:highlight w:val="none"/>
        </w:rPr>
        <w:t>二、授权委托书或法定代表人身份证明</w:t>
      </w:r>
      <w:bookmarkEnd w:id="304"/>
      <w:bookmarkEnd w:id="305"/>
      <w:bookmarkEnd w:id="306"/>
      <w:bookmarkEnd w:id="307"/>
      <w:bookmarkEnd w:id="308"/>
      <w:bookmarkEnd w:id="309"/>
      <w:bookmarkEnd w:id="310"/>
    </w:p>
    <w:p>
      <w:pPr>
        <w:spacing w:line="360" w:lineRule="auto"/>
        <w:ind w:right="62"/>
        <w:jc w:val="center"/>
        <w:rPr>
          <w:rFonts w:ascii="宋体" w:hAnsi="宋体" w:cs="宋体"/>
          <w:bCs/>
          <w:color w:val="auto"/>
          <w:sz w:val="28"/>
          <w:szCs w:val="28"/>
          <w:highlight w:val="none"/>
        </w:rPr>
      </w:pPr>
      <w:bookmarkStart w:id="311" w:name="_bookmark293"/>
      <w:bookmarkEnd w:id="311"/>
    </w:p>
    <w:p>
      <w:pPr>
        <w:spacing w:line="360" w:lineRule="auto"/>
        <w:ind w:right="62"/>
        <w:jc w:val="center"/>
        <w:rPr>
          <w:rFonts w:ascii="宋体" w:hAnsi="宋体" w:cs="宋体"/>
          <w:bCs/>
          <w:color w:val="auto"/>
          <w:sz w:val="28"/>
          <w:szCs w:val="28"/>
          <w:highlight w:val="none"/>
        </w:rPr>
      </w:pPr>
      <w:r>
        <w:rPr>
          <w:rFonts w:hint="eastAsia" w:ascii="宋体" w:hAnsi="宋体" w:cs="宋体"/>
          <w:bCs/>
          <w:color w:val="auto"/>
          <w:sz w:val="28"/>
          <w:szCs w:val="28"/>
          <w:highlight w:val="none"/>
        </w:rPr>
        <w:t>（一）授权委托书</w:t>
      </w:r>
    </w:p>
    <w:p>
      <w:pPr>
        <w:adjustRightInd w:val="0"/>
        <w:snapToGrid w:val="0"/>
        <w:spacing w:line="360" w:lineRule="auto"/>
        <w:ind w:firstLine="440" w:firstLineChars="200"/>
        <w:rPr>
          <w:rFonts w:ascii="宋体" w:hAnsi="宋体" w:cs="宋体"/>
          <w:color w:val="auto"/>
          <w:sz w:val="22"/>
          <w:highlight w:val="none"/>
        </w:rPr>
      </w:pPr>
    </w:p>
    <w:p>
      <w:pPr>
        <w:adjustRightInd w:val="0"/>
        <w:snapToGrid w:val="0"/>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本人</w:t>
      </w:r>
      <w:r>
        <w:rPr>
          <w:rFonts w:hint="eastAsia" w:ascii="宋体" w:hAnsi="宋体" w:cs="宋体"/>
          <w:color w:val="auto"/>
          <w:sz w:val="22"/>
          <w:highlight w:val="none"/>
          <w:u w:val="single"/>
        </w:rPr>
        <w:t xml:space="preserve"> </w:t>
      </w:r>
      <w:r>
        <w:rPr>
          <w:rFonts w:hint="eastAsia" w:ascii="宋体" w:hAnsi="宋体" w:cs="宋体"/>
          <w:color w:val="auto"/>
          <w:sz w:val="22"/>
          <w:highlight w:val="none"/>
          <w:u w:val="single"/>
        </w:rPr>
        <w:tab/>
      </w:r>
      <w:r>
        <w:rPr>
          <w:rFonts w:hint="eastAsia" w:ascii="宋体" w:hAnsi="宋体" w:cs="宋体"/>
          <w:color w:val="auto"/>
          <w:sz w:val="22"/>
          <w:highlight w:val="none"/>
        </w:rPr>
        <w:t>（姓名）系</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（投标人名称）的法定代表人，现委托</w:t>
      </w:r>
      <w:r>
        <w:rPr>
          <w:rFonts w:hint="eastAsia" w:ascii="宋体" w:hAnsi="宋体" w:cs="宋体"/>
          <w:color w:val="auto"/>
          <w:sz w:val="22"/>
          <w:highlight w:val="none"/>
          <w:u w:val="single"/>
        </w:rPr>
        <w:t xml:space="preserve"> </w:t>
      </w:r>
      <w:r>
        <w:rPr>
          <w:rFonts w:hint="eastAsia" w:ascii="宋体" w:hAnsi="宋体" w:cs="宋体"/>
          <w:color w:val="auto"/>
          <w:sz w:val="22"/>
          <w:highlight w:val="none"/>
          <w:u w:val="single"/>
        </w:rPr>
        <w:tab/>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姓名）为我方代理人。代理人根据授权，以我方名义签署、澄清确认、递交、撤回、修改</w:t>
      </w:r>
      <w:r>
        <w:rPr>
          <w:rFonts w:hint="eastAsia" w:ascii="宋体" w:hAnsi="宋体" w:cs="宋体"/>
          <w:color w:val="auto"/>
          <w:sz w:val="22"/>
          <w:highlight w:val="none"/>
          <w:u w:val="single"/>
        </w:rPr>
        <w:t xml:space="preserve"> </w:t>
      </w:r>
      <w:r>
        <w:rPr>
          <w:rFonts w:hint="eastAsia" w:ascii="宋体" w:hAnsi="宋体" w:cs="宋体"/>
          <w:color w:val="auto"/>
          <w:sz w:val="22"/>
          <w:highlight w:val="none"/>
          <w:u w:val="single"/>
        </w:rPr>
        <w:tab/>
      </w:r>
      <w:r>
        <w:rPr>
          <w:rFonts w:hint="eastAsia" w:ascii="宋体" w:hAnsi="宋体" w:cs="宋体"/>
          <w:color w:val="auto"/>
          <w:sz w:val="22"/>
          <w:highlight w:val="none"/>
          <w:u w:val="single"/>
        </w:rPr>
        <w:tab/>
      </w:r>
      <w:r>
        <w:rPr>
          <w:rFonts w:hint="eastAsia" w:ascii="宋体" w:hAnsi="宋体" w:cs="宋体"/>
          <w:color w:val="auto"/>
          <w:sz w:val="22"/>
          <w:highlight w:val="none"/>
        </w:rPr>
        <w:t>（项目名称）投标文件、签订合同和处理有关事宜，其法律后果由我方承担。</w:t>
      </w:r>
    </w:p>
    <w:p>
      <w:pPr>
        <w:adjustRightInd w:val="0"/>
        <w:snapToGrid w:val="0"/>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委托期限：自本委托书签署之日起至投标有效期期满。代理人无转委托权。</w:t>
      </w:r>
    </w:p>
    <w:p>
      <w:pPr>
        <w:pStyle w:val="3"/>
        <w:spacing w:line="360" w:lineRule="auto"/>
        <w:rPr>
          <w:rFonts w:ascii="宋体" w:hAnsi="宋体" w:cs="宋体"/>
          <w:color w:val="auto"/>
          <w:highlight w:val="none"/>
        </w:rPr>
      </w:pPr>
    </w:p>
    <w:p>
      <w:pPr>
        <w:spacing w:before="163" w:line="360" w:lineRule="auto"/>
        <w:ind w:firstLine="210" w:firstLineChars="100"/>
        <w:rPr>
          <w:rFonts w:ascii="宋体" w:hAnsi="宋体" w:cs="宋体"/>
          <w:color w:val="auto"/>
          <w:highlight w:val="none"/>
        </w:rPr>
      </w:pPr>
      <w:r>
        <w:rPr>
          <w:rFonts w:hint="eastAsia" w:ascii="宋体" w:hAnsi="宋体" w:cs="宋体"/>
          <w:color w:val="auto"/>
          <w:highlight w:val="none"/>
        </w:rPr>
        <w:t>附：法定代表人身份证复印件及委托代理人身份证复印件。</w:t>
      </w:r>
    </w:p>
    <w:p>
      <w:pPr>
        <w:pStyle w:val="3"/>
        <w:spacing w:line="360" w:lineRule="auto"/>
        <w:rPr>
          <w:rFonts w:ascii="宋体" w:hAnsi="宋体" w:cs="宋体"/>
          <w:color w:val="auto"/>
          <w:highlight w:val="none"/>
        </w:rPr>
      </w:pPr>
    </w:p>
    <w:p>
      <w:pPr>
        <w:pStyle w:val="3"/>
        <w:tabs>
          <w:tab w:val="left" w:pos="7115"/>
          <w:tab w:val="left" w:pos="7716"/>
          <w:tab w:val="left" w:pos="8371"/>
        </w:tabs>
        <w:spacing w:line="360" w:lineRule="auto"/>
        <w:ind w:right="508" w:firstLine="2520" w:firstLineChars="1200"/>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pStyle w:val="3"/>
        <w:tabs>
          <w:tab w:val="left" w:pos="7115"/>
          <w:tab w:val="left" w:pos="7716"/>
          <w:tab w:val="left" w:pos="8371"/>
        </w:tabs>
        <w:spacing w:line="360" w:lineRule="auto"/>
        <w:ind w:right="508" w:firstLine="2520" w:firstLineChars="1200"/>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（签字） </w:t>
      </w:r>
    </w:p>
    <w:p>
      <w:pPr>
        <w:pStyle w:val="3"/>
        <w:tabs>
          <w:tab w:val="left" w:pos="7115"/>
          <w:tab w:val="left" w:pos="7716"/>
          <w:tab w:val="left" w:pos="8371"/>
        </w:tabs>
        <w:spacing w:line="360" w:lineRule="auto"/>
        <w:ind w:right="508" w:firstLine="2520" w:firstLineChars="1200"/>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pStyle w:val="3"/>
        <w:tabs>
          <w:tab w:val="left" w:pos="7115"/>
          <w:tab w:val="left" w:pos="7716"/>
          <w:tab w:val="left" w:pos="8371"/>
        </w:tabs>
        <w:spacing w:line="360" w:lineRule="auto"/>
        <w:ind w:right="508" w:firstLine="2520" w:firstLineChars="1200"/>
        <w:rPr>
          <w:rFonts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（签字） </w:t>
      </w:r>
    </w:p>
    <w:p>
      <w:pPr>
        <w:pStyle w:val="3"/>
        <w:tabs>
          <w:tab w:val="left" w:pos="7836"/>
          <w:tab w:val="left" w:pos="8491"/>
        </w:tabs>
        <w:spacing w:before="2" w:line="360" w:lineRule="auto"/>
        <w:ind w:right="388" w:firstLine="2520" w:firstLineChars="1200"/>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pStyle w:val="3"/>
        <w:tabs>
          <w:tab w:val="left" w:pos="5682"/>
          <w:tab w:val="left" w:pos="7002"/>
          <w:tab w:val="left" w:pos="8138"/>
        </w:tabs>
        <w:spacing w:line="360" w:lineRule="auto"/>
        <w:ind w:left="4842"/>
        <w:rPr>
          <w:rFonts w:ascii="宋体" w:hAnsi="宋体" w:cs="宋体"/>
          <w:color w:val="auto"/>
          <w:szCs w:val="21"/>
          <w:highlight w:val="none"/>
          <w:u w:val="single"/>
        </w:rPr>
      </w:pPr>
    </w:p>
    <w:p>
      <w:pPr>
        <w:pStyle w:val="3"/>
        <w:tabs>
          <w:tab w:val="left" w:pos="5682"/>
          <w:tab w:val="left" w:pos="7002"/>
          <w:tab w:val="left" w:pos="8138"/>
        </w:tabs>
        <w:spacing w:line="360" w:lineRule="auto"/>
        <w:jc w:val="righ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3"/>
        <w:spacing w:before="9" w:line="360" w:lineRule="auto"/>
        <w:rPr>
          <w:rFonts w:ascii="宋体" w:hAnsi="宋体" w:cs="宋体"/>
          <w:color w:val="auto"/>
          <w:szCs w:val="21"/>
          <w:highlight w:val="none"/>
        </w:rPr>
      </w:pPr>
    </w:p>
    <w:p>
      <w:pPr>
        <w:spacing w:line="400" w:lineRule="exact"/>
        <w:rPr>
          <w:rFonts w:ascii="宋体" w:hAnsi="宋体" w:cs="宋体"/>
          <w:color w:val="auto"/>
          <w:sz w:val="24"/>
          <w:highlight w:val="none"/>
        </w:rPr>
      </w:pPr>
    </w:p>
    <w:p>
      <w:pPr>
        <w:pStyle w:val="2"/>
        <w:ind w:firstLine="0" w:firstLineChars="0"/>
        <w:rPr>
          <w:rFonts w:ascii="宋体" w:hAnsi="宋体" w:cs="宋体"/>
          <w:color w:val="auto"/>
          <w:sz w:val="30"/>
          <w:szCs w:val="30"/>
          <w:highlight w:val="none"/>
        </w:rPr>
      </w:pPr>
    </w:p>
    <w:p>
      <w:pPr>
        <w:pStyle w:val="2"/>
        <w:ind w:firstLine="0" w:firstLineChars="0"/>
        <w:rPr>
          <w:rFonts w:ascii="宋体" w:hAnsi="宋体" w:cs="宋体"/>
          <w:color w:val="auto"/>
          <w:sz w:val="30"/>
          <w:szCs w:val="30"/>
          <w:highlight w:val="none"/>
        </w:rPr>
      </w:pPr>
    </w:p>
    <w:p>
      <w:pPr>
        <w:pStyle w:val="2"/>
        <w:ind w:firstLine="0" w:firstLineChars="0"/>
        <w:rPr>
          <w:rFonts w:ascii="宋体" w:hAnsi="宋体" w:cs="宋体"/>
          <w:color w:val="auto"/>
          <w:sz w:val="30"/>
          <w:szCs w:val="30"/>
          <w:highlight w:val="none"/>
        </w:rPr>
      </w:pPr>
    </w:p>
    <w:p>
      <w:pPr>
        <w:pStyle w:val="2"/>
        <w:ind w:firstLine="0" w:firstLineChars="0"/>
        <w:rPr>
          <w:rFonts w:ascii="宋体" w:hAnsi="宋体" w:cs="宋体"/>
          <w:color w:val="auto"/>
          <w:sz w:val="30"/>
          <w:szCs w:val="30"/>
          <w:highlight w:val="none"/>
        </w:rPr>
      </w:pPr>
    </w:p>
    <w:p>
      <w:pPr>
        <w:pStyle w:val="2"/>
        <w:ind w:firstLine="0" w:firstLineChars="0"/>
        <w:rPr>
          <w:rFonts w:ascii="宋体" w:hAnsi="宋体" w:cs="宋体"/>
          <w:color w:val="auto"/>
          <w:sz w:val="30"/>
          <w:szCs w:val="30"/>
          <w:highlight w:val="none"/>
        </w:rPr>
      </w:pPr>
    </w:p>
    <w:p>
      <w:pPr>
        <w:pStyle w:val="2"/>
        <w:ind w:firstLine="0" w:firstLineChars="0"/>
        <w:rPr>
          <w:rFonts w:ascii="宋体" w:hAnsi="宋体" w:cs="宋体"/>
          <w:color w:val="auto"/>
          <w:sz w:val="30"/>
          <w:szCs w:val="30"/>
          <w:highlight w:val="none"/>
        </w:rPr>
      </w:pPr>
    </w:p>
    <w:p>
      <w:pPr>
        <w:pStyle w:val="2"/>
        <w:ind w:firstLine="0" w:firstLineChars="0"/>
        <w:rPr>
          <w:rFonts w:ascii="宋体" w:hAnsi="宋体" w:cs="宋体"/>
          <w:color w:val="auto"/>
          <w:sz w:val="30"/>
          <w:szCs w:val="30"/>
          <w:highlight w:val="none"/>
        </w:rPr>
      </w:pPr>
    </w:p>
    <w:p>
      <w:pPr>
        <w:pStyle w:val="2"/>
        <w:ind w:firstLine="0" w:firstLineChars="0"/>
        <w:rPr>
          <w:rFonts w:ascii="宋体" w:hAnsi="宋体" w:cs="宋体"/>
          <w:color w:val="auto"/>
          <w:sz w:val="30"/>
          <w:szCs w:val="30"/>
          <w:highlight w:val="none"/>
        </w:rPr>
      </w:pPr>
    </w:p>
    <w:p>
      <w:pPr>
        <w:spacing w:line="360" w:lineRule="auto"/>
        <w:ind w:right="62"/>
        <w:jc w:val="center"/>
        <w:rPr>
          <w:rFonts w:ascii="宋体" w:hAnsi="宋体" w:cs="宋体"/>
          <w:bCs/>
          <w:color w:val="auto"/>
          <w:sz w:val="28"/>
          <w:szCs w:val="28"/>
          <w:highlight w:val="none"/>
        </w:rPr>
      </w:pPr>
      <w:r>
        <w:rPr>
          <w:rFonts w:hint="eastAsia" w:ascii="宋体" w:hAnsi="宋体" w:cs="宋体"/>
          <w:bCs/>
          <w:color w:val="auto"/>
          <w:sz w:val="28"/>
          <w:szCs w:val="28"/>
          <w:highlight w:val="none"/>
        </w:rPr>
        <w:t>（二）法定代表人身份证明</w:t>
      </w:r>
    </w:p>
    <w:p>
      <w:pPr>
        <w:pStyle w:val="3"/>
        <w:snapToGrid w:val="0"/>
        <w:spacing w:line="360" w:lineRule="auto"/>
        <w:rPr>
          <w:rFonts w:ascii="宋体" w:hAnsi="宋体" w:cs="宋体"/>
          <w:color w:val="auto"/>
          <w:szCs w:val="21"/>
          <w:highlight w:val="none"/>
        </w:rPr>
      </w:pPr>
    </w:p>
    <w:p>
      <w:pPr>
        <w:pStyle w:val="3"/>
        <w:tabs>
          <w:tab w:val="left" w:pos="5080"/>
        </w:tabs>
        <w:snapToGrid w:val="0"/>
        <w:spacing w:line="360" w:lineRule="auto"/>
        <w:rPr>
          <w:rFonts w:ascii="宋体" w:hAnsi="宋体" w:cs="宋体"/>
          <w:color w:val="auto"/>
          <w:szCs w:val="21"/>
          <w:highlight w:val="none"/>
        </w:rPr>
      </w:pPr>
      <w:r>
        <w:rPr>
          <w:rFonts w:hint="eastAsia" w:ascii="宋体" w:hAnsi="宋体" w:cs="宋体"/>
          <w:color w:val="auto"/>
          <w:spacing w:val="-1"/>
          <w:szCs w:val="21"/>
          <w:highlight w:val="none"/>
        </w:rPr>
        <w:t>投</w:t>
      </w:r>
      <w:r>
        <w:rPr>
          <w:rFonts w:hint="eastAsia" w:ascii="宋体" w:hAnsi="宋体" w:cs="宋体"/>
          <w:color w:val="auto"/>
          <w:szCs w:val="21"/>
          <w:highlight w:val="none"/>
        </w:rPr>
        <w:t>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pPr>
        <w:pStyle w:val="3"/>
        <w:tabs>
          <w:tab w:val="left" w:pos="4110"/>
          <w:tab w:val="left" w:pos="5440"/>
          <w:tab w:val="left" w:pos="7185"/>
          <w:tab w:val="left" w:pos="8920"/>
        </w:tabs>
        <w:snapToGrid w:val="0"/>
        <w:spacing w:before="134" w:line="360" w:lineRule="auto"/>
        <w:ind w:right="263" w:firstLine="420" w:firstLineChars="200"/>
        <w:rPr>
          <w:rFonts w:ascii="宋体" w:hAnsi="宋体" w:cs="宋体"/>
          <w:color w:val="auto"/>
          <w:szCs w:val="21"/>
          <w:highlight w:val="none"/>
          <w:u w:val="single"/>
        </w:rPr>
      </w:pPr>
      <w:r>
        <w:rPr>
          <w:rFonts w:hint="eastAsia" w:ascii="宋体" w:hAnsi="宋体" w:cs="宋体"/>
          <w:color w:val="auto"/>
          <w:szCs w:val="21"/>
          <w:highlight w:val="none"/>
        </w:rPr>
        <w:t>姓名：</w:t>
      </w:r>
      <w:r>
        <w:rPr>
          <w:color w:val="auto"/>
          <w:highlight w:val="none"/>
          <w:u w:val="single"/>
        </w:rPr>
        <w:t>（法定代表人亲笔签字）</w:t>
      </w:r>
      <w:r>
        <w:rPr>
          <w:rFonts w:hint="eastAsia"/>
          <w:color w:val="auto"/>
          <w:highlight w:val="none"/>
          <w:u w:val="single"/>
        </w:rPr>
        <w:t xml:space="preserve"> </w:t>
      </w:r>
      <w:r>
        <w:rPr>
          <w:color w:val="auto"/>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pPr>
        <w:pStyle w:val="3"/>
        <w:tabs>
          <w:tab w:val="left" w:pos="3999"/>
          <w:tab w:val="left" w:pos="5440"/>
          <w:tab w:val="left" w:pos="7185"/>
          <w:tab w:val="left" w:pos="8920"/>
        </w:tabs>
        <w:snapToGrid w:val="0"/>
        <w:spacing w:before="134" w:line="360" w:lineRule="auto"/>
        <w:ind w:right="263"/>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ab/>
      </w:r>
      <w:r>
        <w:rPr>
          <w:rFonts w:hint="eastAsia" w:ascii="宋体" w:hAnsi="宋体" w:cs="宋体"/>
          <w:color w:val="auto"/>
          <w:szCs w:val="21"/>
          <w:highlight w:val="none"/>
        </w:rPr>
        <w:t>（投标人名称）的法定代表人。</w:t>
      </w:r>
    </w:p>
    <w:p>
      <w:pPr>
        <w:pStyle w:val="3"/>
        <w:snapToGrid w:val="0"/>
        <w:spacing w:line="360" w:lineRule="auto"/>
        <w:ind w:left="704"/>
        <w:rPr>
          <w:rFonts w:ascii="宋体" w:hAnsi="宋体" w:cs="宋体"/>
          <w:color w:val="auto"/>
          <w:szCs w:val="21"/>
          <w:highlight w:val="none"/>
        </w:rPr>
      </w:pPr>
      <w:r>
        <w:rPr>
          <w:rFonts w:hint="eastAsia" w:ascii="宋体" w:hAnsi="宋体" w:cs="宋体"/>
          <w:color w:val="auto"/>
          <w:szCs w:val="21"/>
          <w:highlight w:val="none"/>
        </w:rPr>
        <w:t>特此证明。</w:t>
      </w:r>
    </w:p>
    <w:p>
      <w:pPr>
        <w:pStyle w:val="3"/>
        <w:snapToGrid w:val="0"/>
        <w:spacing w:line="360" w:lineRule="auto"/>
        <w:rPr>
          <w:rFonts w:ascii="宋体" w:hAnsi="宋体" w:cs="宋体"/>
          <w:color w:val="auto"/>
          <w:szCs w:val="21"/>
          <w:highlight w:val="none"/>
        </w:rPr>
      </w:pPr>
    </w:p>
    <w:p>
      <w:pPr>
        <w:pStyle w:val="3"/>
        <w:snapToGrid w:val="0"/>
        <w:spacing w:before="1" w:line="360" w:lineRule="auto"/>
        <w:rPr>
          <w:rFonts w:ascii="宋体" w:hAnsi="宋体" w:cs="宋体"/>
          <w:color w:val="auto"/>
          <w:szCs w:val="21"/>
          <w:highlight w:val="none"/>
        </w:rPr>
      </w:pPr>
    </w:p>
    <w:p>
      <w:pPr>
        <w:snapToGrid w:val="0"/>
        <w:spacing w:line="360" w:lineRule="auto"/>
        <w:ind w:left="224"/>
        <w:rPr>
          <w:rFonts w:ascii="宋体" w:hAnsi="宋体" w:cs="宋体"/>
          <w:color w:val="auto"/>
          <w:szCs w:val="21"/>
          <w:highlight w:val="none"/>
        </w:rPr>
      </w:pPr>
      <w:r>
        <w:rPr>
          <w:rFonts w:hint="eastAsia" w:ascii="宋体" w:hAnsi="宋体" w:cs="宋体"/>
          <w:color w:val="auto"/>
          <w:szCs w:val="21"/>
          <w:highlight w:val="none"/>
        </w:rPr>
        <w:t>附：法定代表人身份证复印件。</w:t>
      </w:r>
    </w:p>
    <w:p>
      <w:pPr>
        <w:pStyle w:val="3"/>
        <w:snapToGrid w:val="0"/>
        <w:spacing w:line="360" w:lineRule="auto"/>
        <w:rPr>
          <w:rFonts w:ascii="宋体" w:hAnsi="宋体" w:cs="宋体"/>
          <w:color w:val="auto"/>
          <w:szCs w:val="21"/>
          <w:highlight w:val="none"/>
        </w:rPr>
      </w:pPr>
    </w:p>
    <w:p>
      <w:pPr>
        <w:pStyle w:val="3"/>
        <w:snapToGrid w:val="0"/>
        <w:spacing w:line="360" w:lineRule="auto"/>
        <w:rPr>
          <w:color w:val="auto"/>
          <w:szCs w:val="21"/>
          <w:highlight w:val="none"/>
        </w:rPr>
      </w:pPr>
    </w:p>
    <w:p>
      <w:pPr>
        <w:pStyle w:val="3"/>
        <w:snapToGrid w:val="0"/>
        <w:spacing w:line="360" w:lineRule="auto"/>
        <w:rPr>
          <w:color w:val="auto"/>
          <w:szCs w:val="21"/>
          <w:highlight w:val="none"/>
        </w:rPr>
      </w:pPr>
    </w:p>
    <w:p>
      <w:pPr>
        <w:pStyle w:val="3"/>
        <w:snapToGrid w:val="0"/>
        <w:spacing w:before="9" w:line="360" w:lineRule="auto"/>
        <w:rPr>
          <w:color w:val="auto"/>
          <w:szCs w:val="21"/>
          <w:highlight w:val="none"/>
        </w:rPr>
      </w:pPr>
    </w:p>
    <w:p>
      <w:pPr>
        <w:pStyle w:val="3"/>
        <w:tabs>
          <w:tab w:val="left" w:pos="6345"/>
        </w:tabs>
        <w:snapToGrid w:val="0"/>
        <w:spacing w:line="360" w:lineRule="auto"/>
        <w:ind w:left="3345"/>
        <w:rPr>
          <w:color w:val="auto"/>
          <w:szCs w:val="21"/>
          <w:highlight w:val="none"/>
        </w:rPr>
      </w:pPr>
      <w:r>
        <w:rPr>
          <w:color w:val="auto"/>
          <w:szCs w:val="21"/>
          <w:highlight w:val="none"/>
        </w:rPr>
        <w:t>投标人：</w:t>
      </w:r>
      <w:r>
        <w:rPr>
          <w:color w:val="auto"/>
          <w:szCs w:val="21"/>
          <w:highlight w:val="none"/>
          <w:u w:val="single"/>
        </w:rPr>
        <w:t xml:space="preserve"> </w:t>
      </w:r>
      <w:r>
        <w:rPr>
          <w:color w:val="auto"/>
          <w:szCs w:val="21"/>
          <w:highlight w:val="none"/>
          <w:u w:val="single"/>
        </w:rPr>
        <w:tab/>
      </w:r>
      <w:r>
        <w:rPr>
          <w:color w:val="auto"/>
          <w:szCs w:val="21"/>
          <w:highlight w:val="none"/>
        </w:rPr>
        <w:t>（盖单位章）</w:t>
      </w:r>
    </w:p>
    <w:p>
      <w:pPr>
        <w:pStyle w:val="3"/>
        <w:tabs>
          <w:tab w:val="left" w:pos="5625"/>
          <w:tab w:val="left" w:pos="6585"/>
          <w:tab w:val="left" w:pos="7240"/>
        </w:tabs>
        <w:snapToGrid w:val="0"/>
        <w:spacing w:before="131" w:line="360" w:lineRule="auto"/>
        <w:ind w:left="4545"/>
        <w:rPr>
          <w:color w:val="auto"/>
          <w:szCs w:val="21"/>
          <w:highlight w:val="none"/>
        </w:rPr>
      </w:pPr>
      <w:r>
        <w:rPr>
          <w:rFonts w:eastAsia="Times New Roman"/>
          <w:color w:val="auto"/>
          <w:szCs w:val="21"/>
          <w:highlight w:val="none"/>
          <w:u w:val="single"/>
        </w:rPr>
        <w:t xml:space="preserve"> </w:t>
      </w:r>
      <w:r>
        <w:rPr>
          <w:rFonts w:eastAsia="Times New Roman"/>
          <w:color w:val="auto"/>
          <w:szCs w:val="21"/>
          <w:highlight w:val="none"/>
          <w:u w:val="single"/>
        </w:rPr>
        <w:tab/>
      </w:r>
      <w:r>
        <w:rPr>
          <w:color w:val="auto"/>
          <w:szCs w:val="21"/>
          <w:highlight w:val="none"/>
        </w:rPr>
        <w:t>年</w:t>
      </w:r>
      <w:r>
        <w:rPr>
          <w:color w:val="auto"/>
          <w:szCs w:val="21"/>
          <w:highlight w:val="none"/>
          <w:u w:val="single"/>
        </w:rPr>
        <w:t xml:space="preserve"> </w:t>
      </w:r>
      <w:r>
        <w:rPr>
          <w:color w:val="auto"/>
          <w:szCs w:val="21"/>
          <w:highlight w:val="none"/>
          <w:u w:val="single"/>
        </w:rPr>
        <w:tab/>
      </w:r>
      <w:r>
        <w:rPr>
          <w:color w:val="auto"/>
          <w:szCs w:val="21"/>
          <w:highlight w:val="none"/>
        </w:rPr>
        <w:t>月</w:t>
      </w:r>
      <w:r>
        <w:rPr>
          <w:color w:val="auto"/>
          <w:szCs w:val="21"/>
          <w:highlight w:val="none"/>
          <w:u w:val="single"/>
        </w:rPr>
        <w:tab/>
      </w:r>
      <w:r>
        <w:rPr>
          <w:color w:val="auto"/>
          <w:szCs w:val="21"/>
          <w:highlight w:val="none"/>
        </w:rPr>
        <w:t>日</w:t>
      </w:r>
    </w:p>
    <w:p>
      <w:pPr>
        <w:pStyle w:val="3"/>
        <w:snapToGrid w:val="0"/>
        <w:spacing w:line="360" w:lineRule="auto"/>
        <w:rPr>
          <w:color w:val="auto"/>
          <w:szCs w:val="21"/>
          <w:highlight w:val="none"/>
        </w:rPr>
      </w:pPr>
    </w:p>
    <w:p>
      <w:pPr>
        <w:snapToGrid w:val="0"/>
        <w:spacing w:line="360" w:lineRule="auto"/>
        <w:rPr>
          <w:color w:val="auto"/>
          <w:szCs w:val="21"/>
          <w:highlight w:val="none"/>
        </w:rPr>
      </w:pPr>
    </w:p>
    <w:p>
      <w:pPr>
        <w:snapToGrid w:val="0"/>
        <w:spacing w:line="360" w:lineRule="auto"/>
        <w:rPr>
          <w:color w:val="auto"/>
          <w:sz w:val="24"/>
          <w:highlight w:val="none"/>
        </w:rPr>
      </w:pPr>
    </w:p>
    <w:p>
      <w:pPr>
        <w:snapToGrid w:val="0"/>
        <w:spacing w:line="360" w:lineRule="auto"/>
        <w:rPr>
          <w:color w:val="auto"/>
          <w:sz w:val="24"/>
          <w:highlight w:val="none"/>
        </w:rPr>
      </w:pPr>
    </w:p>
    <w:p>
      <w:pPr>
        <w:snapToGrid w:val="0"/>
        <w:spacing w:line="360" w:lineRule="auto"/>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pStyle w:val="14"/>
        <w:spacing w:before="57" w:line="360" w:lineRule="auto"/>
        <w:ind w:right="58"/>
        <w:jc w:val="center"/>
        <w:rPr>
          <w:b/>
          <w:bCs/>
          <w:color w:val="auto"/>
          <w:sz w:val="32"/>
          <w:szCs w:val="32"/>
          <w:highlight w:val="none"/>
        </w:rPr>
      </w:pPr>
      <w:bookmarkStart w:id="312" w:name="_Toc12163_WPSOffice_Level1"/>
      <w:bookmarkStart w:id="313" w:name="_Toc23176_WPSOffice_Level1"/>
      <w:bookmarkStart w:id="314" w:name="_Toc14316_WPSOffice_Level1"/>
      <w:bookmarkStart w:id="315" w:name="_Toc10656_WPSOffice_Level1"/>
      <w:bookmarkStart w:id="316" w:name="_Toc20036_WPSOffice_Level1"/>
      <w:bookmarkStart w:id="317" w:name="_Toc29146_WPSOffice_Level1"/>
      <w:bookmarkStart w:id="318" w:name="_Toc19700_WPSOffice_Level1"/>
      <w:r>
        <w:rPr>
          <w:rFonts w:hint="eastAsia"/>
          <w:b/>
          <w:bCs/>
          <w:color w:val="auto"/>
          <w:sz w:val="32"/>
          <w:szCs w:val="32"/>
          <w:highlight w:val="none"/>
        </w:rPr>
        <w:t>三、投标保证金</w:t>
      </w:r>
      <w:bookmarkEnd w:id="312"/>
      <w:bookmarkEnd w:id="313"/>
      <w:bookmarkEnd w:id="314"/>
      <w:bookmarkEnd w:id="315"/>
      <w:bookmarkEnd w:id="316"/>
      <w:bookmarkEnd w:id="317"/>
      <w:bookmarkEnd w:id="318"/>
    </w:p>
    <w:p>
      <w:pPr>
        <w:pStyle w:val="3"/>
        <w:spacing w:before="2"/>
        <w:rPr>
          <w:rFonts w:ascii="黑体"/>
          <w:color w:val="auto"/>
          <w:sz w:val="32"/>
          <w:highlight w:val="none"/>
        </w:rPr>
      </w:pPr>
    </w:p>
    <w:p>
      <w:pPr>
        <w:autoSpaceDE w:val="0"/>
        <w:autoSpaceDN w:val="0"/>
        <w:adjustRightInd w:val="0"/>
        <w:spacing w:line="420" w:lineRule="exact"/>
        <w:jc w:val="center"/>
        <w:rPr>
          <w:rFonts w:cs="仿宋_GB2312"/>
          <w:color w:val="auto"/>
          <w:sz w:val="24"/>
          <w:szCs w:val="24"/>
          <w:highlight w:val="none"/>
        </w:rPr>
      </w:pPr>
      <w:r>
        <w:rPr>
          <w:rFonts w:hint="eastAsia" w:cs="仿宋_GB2312"/>
          <w:color w:val="auto"/>
          <w:sz w:val="24"/>
          <w:szCs w:val="24"/>
          <w:highlight w:val="none"/>
        </w:rPr>
        <w:t>（附许昌</w:t>
      </w:r>
      <w:r>
        <w:rPr>
          <w:rFonts w:hint="eastAsia"/>
          <w:color w:val="auto"/>
          <w:sz w:val="24"/>
          <w:szCs w:val="24"/>
          <w:highlight w:val="none"/>
          <w:lang w:val="zh-CN"/>
        </w:rPr>
        <w:t>公共资源交易中心保证金缴纳回执及企业基本账户开户许可证复印件</w:t>
      </w:r>
      <w:r>
        <w:rPr>
          <w:rFonts w:hint="eastAsia" w:cs="仿宋_GB2312"/>
          <w:color w:val="auto"/>
          <w:sz w:val="24"/>
          <w:szCs w:val="24"/>
          <w:highlight w:val="none"/>
        </w:rPr>
        <w:t>）</w:t>
      </w:r>
    </w:p>
    <w:p>
      <w:pPr>
        <w:pStyle w:val="3"/>
        <w:ind w:left="733" w:firstLine="2310" w:firstLineChars="1100"/>
        <w:rPr>
          <w:color w:val="auto"/>
          <w:szCs w:val="21"/>
          <w:highlight w:val="none"/>
        </w:rPr>
      </w:pPr>
    </w:p>
    <w:p>
      <w:pPr>
        <w:spacing w:before="61"/>
        <w:ind w:right="56"/>
        <w:jc w:val="center"/>
        <w:rPr>
          <w:rFonts w:ascii="黑体" w:eastAsia="黑体"/>
          <w:color w:val="auto"/>
          <w:sz w:val="30"/>
          <w:szCs w:val="30"/>
          <w:highlight w:val="none"/>
        </w:rPr>
      </w:pPr>
    </w:p>
    <w:p>
      <w:pPr>
        <w:spacing w:before="61"/>
        <w:ind w:right="56"/>
        <w:jc w:val="center"/>
        <w:rPr>
          <w:rFonts w:ascii="黑体" w:eastAsia="黑体"/>
          <w:color w:val="auto"/>
          <w:sz w:val="30"/>
          <w:szCs w:val="30"/>
          <w:highlight w:val="none"/>
        </w:rPr>
      </w:pPr>
    </w:p>
    <w:p>
      <w:pPr>
        <w:pStyle w:val="2"/>
        <w:ind w:firstLine="300"/>
        <w:rPr>
          <w:rFonts w:ascii="黑体" w:eastAsia="黑体"/>
          <w:color w:val="auto"/>
          <w:sz w:val="30"/>
          <w:szCs w:val="30"/>
          <w:highlight w:val="none"/>
        </w:rPr>
      </w:pPr>
    </w:p>
    <w:p>
      <w:pPr>
        <w:pStyle w:val="2"/>
        <w:ind w:firstLine="300"/>
        <w:rPr>
          <w:rFonts w:ascii="黑体" w:eastAsia="黑体"/>
          <w:color w:val="auto"/>
          <w:sz w:val="30"/>
          <w:szCs w:val="30"/>
          <w:highlight w:val="none"/>
        </w:rPr>
      </w:pPr>
    </w:p>
    <w:p>
      <w:pPr>
        <w:pStyle w:val="2"/>
        <w:ind w:firstLine="300"/>
        <w:rPr>
          <w:rFonts w:ascii="黑体" w:eastAsia="黑体"/>
          <w:color w:val="auto"/>
          <w:sz w:val="30"/>
          <w:szCs w:val="30"/>
          <w:highlight w:val="none"/>
        </w:rPr>
      </w:pPr>
    </w:p>
    <w:p>
      <w:pPr>
        <w:pStyle w:val="2"/>
        <w:ind w:firstLine="300"/>
        <w:rPr>
          <w:rFonts w:ascii="黑体" w:eastAsia="黑体"/>
          <w:color w:val="auto"/>
          <w:sz w:val="30"/>
          <w:szCs w:val="30"/>
          <w:highlight w:val="none"/>
        </w:rPr>
      </w:pPr>
    </w:p>
    <w:p>
      <w:pPr>
        <w:pStyle w:val="2"/>
        <w:ind w:firstLine="300"/>
        <w:rPr>
          <w:rFonts w:ascii="黑体" w:eastAsia="黑体"/>
          <w:color w:val="auto"/>
          <w:sz w:val="30"/>
          <w:szCs w:val="30"/>
          <w:highlight w:val="none"/>
        </w:rPr>
      </w:pPr>
    </w:p>
    <w:p>
      <w:pPr>
        <w:pStyle w:val="2"/>
        <w:ind w:firstLine="300"/>
        <w:rPr>
          <w:rFonts w:ascii="黑体" w:eastAsia="黑体"/>
          <w:color w:val="auto"/>
          <w:sz w:val="30"/>
          <w:szCs w:val="30"/>
          <w:highlight w:val="none"/>
        </w:rPr>
      </w:pPr>
    </w:p>
    <w:p>
      <w:pPr>
        <w:pStyle w:val="2"/>
        <w:ind w:firstLine="300"/>
        <w:rPr>
          <w:rFonts w:ascii="黑体" w:eastAsia="黑体"/>
          <w:color w:val="auto"/>
          <w:sz w:val="30"/>
          <w:szCs w:val="30"/>
          <w:highlight w:val="none"/>
        </w:rPr>
      </w:pPr>
    </w:p>
    <w:p>
      <w:pPr>
        <w:pStyle w:val="2"/>
        <w:ind w:firstLine="300"/>
        <w:rPr>
          <w:rFonts w:ascii="黑体" w:eastAsia="黑体"/>
          <w:color w:val="auto"/>
          <w:sz w:val="30"/>
          <w:szCs w:val="30"/>
          <w:highlight w:val="none"/>
        </w:rPr>
      </w:pPr>
    </w:p>
    <w:p>
      <w:pPr>
        <w:pStyle w:val="2"/>
        <w:ind w:firstLine="300"/>
        <w:rPr>
          <w:rFonts w:ascii="黑体" w:eastAsia="黑体"/>
          <w:color w:val="auto"/>
          <w:sz w:val="30"/>
          <w:szCs w:val="30"/>
          <w:highlight w:val="none"/>
        </w:rPr>
      </w:pPr>
    </w:p>
    <w:p>
      <w:pPr>
        <w:pStyle w:val="2"/>
        <w:ind w:firstLine="300"/>
        <w:rPr>
          <w:rFonts w:ascii="黑体" w:eastAsia="黑体"/>
          <w:color w:val="auto"/>
          <w:sz w:val="30"/>
          <w:szCs w:val="30"/>
          <w:highlight w:val="none"/>
        </w:rPr>
      </w:pPr>
    </w:p>
    <w:p>
      <w:pPr>
        <w:pStyle w:val="2"/>
        <w:ind w:firstLine="300"/>
        <w:rPr>
          <w:rFonts w:ascii="黑体" w:eastAsia="黑体"/>
          <w:color w:val="auto"/>
          <w:sz w:val="30"/>
          <w:szCs w:val="30"/>
          <w:highlight w:val="none"/>
        </w:rPr>
      </w:pPr>
    </w:p>
    <w:p>
      <w:pPr>
        <w:pStyle w:val="2"/>
        <w:ind w:firstLine="300"/>
        <w:rPr>
          <w:rFonts w:ascii="黑体" w:eastAsia="黑体"/>
          <w:color w:val="auto"/>
          <w:sz w:val="30"/>
          <w:szCs w:val="30"/>
          <w:highlight w:val="none"/>
        </w:rPr>
      </w:pPr>
    </w:p>
    <w:p>
      <w:pPr>
        <w:pStyle w:val="2"/>
        <w:ind w:firstLine="300"/>
        <w:rPr>
          <w:rFonts w:ascii="黑体" w:eastAsia="黑体"/>
          <w:color w:val="auto"/>
          <w:sz w:val="30"/>
          <w:szCs w:val="30"/>
          <w:highlight w:val="none"/>
        </w:rPr>
      </w:pPr>
    </w:p>
    <w:p>
      <w:pPr>
        <w:pStyle w:val="2"/>
        <w:ind w:firstLine="300"/>
        <w:rPr>
          <w:rFonts w:ascii="黑体" w:eastAsia="黑体"/>
          <w:color w:val="auto"/>
          <w:sz w:val="30"/>
          <w:szCs w:val="30"/>
          <w:highlight w:val="none"/>
        </w:rPr>
      </w:pPr>
    </w:p>
    <w:p>
      <w:pPr>
        <w:pStyle w:val="2"/>
        <w:ind w:firstLine="300"/>
        <w:rPr>
          <w:rFonts w:ascii="黑体" w:eastAsia="黑体"/>
          <w:color w:val="auto"/>
          <w:sz w:val="30"/>
          <w:szCs w:val="30"/>
          <w:highlight w:val="none"/>
        </w:rPr>
      </w:pPr>
    </w:p>
    <w:p>
      <w:pPr>
        <w:pStyle w:val="2"/>
        <w:ind w:firstLine="300"/>
        <w:rPr>
          <w:rFonts w:ascii="黑体" w:eastAsia="黑体"/>
          <w:color w:val="auto"/>
          <w:sz w:val="30"/>
          <w:szCs w:val="30"/>
          <w:highlight w:val="none"/>
        </w:rPr>
      </w:pPr>
    </w:p>
    <w:p>
      <w:pPr>
        <w:pStyle w:val="2"/>
        <w:ind w:firstLine="300"/>
        <w:rPr>
          <w:rFonts w:ascii="黑体" w:eastAsia="黑体"/>
          <w:color w:val="auto"/>
          <w:sz w:val="30"/>
          <w:szCs w:val="30"/>
          <w:highlight w:val="none"/>
        </w:rPr>
      </w:pPr>
    </w:p>
    <w:p>
      <w:pPr>
        <w:pStyle w:val="2"/>
        <w:ind w:firstLine="300"/>
        <w:rPr>
          <w:rFonts w:ascii="黑体" w:eastAsia="黑体"/>
          <w:color w:val="auto"/>
          <w:sz w:val="30"/>
          <w:szCs w:val="30"/>
          <w:highlight w:val="none"/>
        </w:rPr>
      </w:pPr>
    </w:p>
    <w:p>
      <w:pPr>
        <w:pStyle w:val="2"/>
        <w:ind w:firstLine="0" w:firstLineChars="0"/>
        <w:rPr>
          <w:rFonts w:ascii="黑体" w:eastAsia="黑体"/>
          <w:color w:val="auto"/>
          <w:sz w:val="30"/>
          <w:szCs w:val="30"/>
          <w:highlight w:val="none"/>
        </w:rPr>
      </w:pPr>
    </w:p>
    <w:p>
      <w:pPr>
        <w:pStyle w:val="2"/>
        <w:ind w:firstLine="0" w:firstLineChars="0"/>
        <w:rPr>
          <w:rFonts w:ascii="黑体" w:eastAsia="黑体"/>
          <w:color w:val="auto"/>
          <w:sz w:val="30"/>
          <w:szCs w:val="30"/>
          <w:highlight w:val="none"/>
        </w:rPr>
      </w:pPr>
    </w:p>
    <w:p>
      <w:pPr>
        <w:pStyle w:val="2"/>
        <w:ind w:firstLine="0" w:firstLineChars="0"/>
        <w:rPr>
          <w:rFonts w:ascii="黑体" w:eastAsia="黑体"/>
          <w:color w:val="auto"/>
          <w:sz w:val="30"/>
          <w:szCs w:val="30"/>
          <w:highlight w:val="none"/>
        </w:rPr>
      </w:pPr>
    </w:p>
    <w:p>
      <w:pPr>
        <w:pStyle w:val="2"/>
        <w:ind w:firstLine="300"/>
        <w:rPr>
          <w:rFonts w:ascii="黑体" w:eastAsia="黑体"/>
          <w:color w:val="auto"/>
          <w:sz w:val="30"/>
          <w:szCs w:val="30"/>
          <w:highlight w:val="none"/>
        </w:rPr>
      </w:pPr>
    </w:p>
    <w:p>
      <w:pPr>
        <w:pStyle w:val="14"/>
        <w:spacing w:before="57" w:line="360" w:lineRule="auto"/>
        <w:ind w:right="58"/>
        <w:jc w:val="center"/>
        <w:rPr>
          <w:b/>
          <w:bCs/>
          <w:color w:val="auto"/>
          <w:sz w:val="32"/>
          <w:szCs w:val="32"/>
          <w:highlight w:val="none"/>
        </w:rPr>
      </w:pPr>
      <w:bookmarkStart w:id="319" w:name="_Toc13380_WPSOffice_Level1"/>
      <w:bookmarkStart w:id="320" w:name="_Toc485889062"/>
      <w:bookmarkStart w:id="321" w:name="_Toc6564_WPSOffice_Level1"/>
      <w:bookmarkStart w:id="322" w:name="_Toc19556"/>
      <w:bookmarkStart w:id="323" w:name="_Toc234382966"/>
      <w:bookmarkStart w:id="324" w:name="_Toc26313_WPSOffice_Level1"/>
      <w:bookmarkStart w:id="325" w:name="_Toc30113_WPSOffice_Level1"/>
      <w:bookmarkStart w:id="326" w:name="_Toc21989_WPSOffice_Level1"/>
      <w:bookmarkStart w:id="327" w:name="_Toc23709_WPSOffice_Level1"/>
      <w:bookmarkStart w:id="328" w:name="_Toc12058_WPSOffice_Level1"/>
      <w:bookmarkStart w:id="329" w:name="_Toc486277929"/>
      <w:bookmarkStart w:id="330" w:name="_Toc483497004"/>
      <w:r>
        <w:rPr>
          <w:rFonts w:hint="eastAsia"/>
          <w:b/>
          <w:bCs/>
          <w:color w:val="auto"/>
          <w:sz w:val="32"/>
          <w:szCs w:val="32"/>
          <w:highlight w:val="none"/>
        </w:rPr>
        <w:t>四</w:t>
      </w:r>
      <w:r>
        <w:rPr>
          <w:b/>
          <w:bCs/>
          <w:color w:val="auto"/>
          <w:sz w:val="32"/>
          <w:szCs w:val="32"/>
          <w:highlight w:val="none"/>
        </w:rPr>
        <w:t>、施工组织设计</w:t>
      </w:r>
      <w:bookmarkEnd w:id="319"/>
      <w:bookmarkEnd w:id="320"/>
      <w:bookmarkEnd w:id="321"/>
      <w:bookmarkEnd w:id="322"/>
      <w:bookmarkEnd w:id="323"/>
      <w:bookmarkEnd w:id="324"/>
      <w:bookmarkEnd w:id="325"/>
      <w:bookmarkEnd w:id="326"/>
      <w:bookmarkEnd w:id="327"/>
      <w:bookmarkEnd w:id="328"/>
      <w:bookmarkEnd w:id="329"/>
    </w:p>
    <w:p>
      <w:pPr>
        <w:spacing w:line="400" w:lineRule="exact"/>
        <w:ind w:firstLine="480" w:firstLineChars="200"/>
        <w:rPr>
          <w:color w:val="auto"/>
          <w:sz w:val="24"/>
          <w:highlight w:val="none"/>
        </w:rPr>
      </w:pPr>
      <w:r>
        <w:rPr>
          <w:rFonts w:hint="eastAsia"/>
          <w:color w:val="auto"/>
          <w:sz w:val="24"/>
          <w:highlight w:val="none"/>
        </w:rPr>
        <w:t>1、投标人应按以下要点编制施工组织设计（文字宜精炼、内容具有针对性）；</w:t>
      </w:r>
    </w:p>
    <w:p>
      <w:pPr>
        <w:spacing w:line="400" w:lineRule="exact"/>
        <w:ind w:firstLine="480" w:firstLineChars="200"/>
        <w:rPr>
          <w:color w:val="auto"/>
          <w:sz w:val="24"/>
          <w:highlight w:val="none"/>
        </w:rPr>
      </w:pPr>
      <w:r>
        <w:rPr>
          <w:rFonts w:hint="eastAsia"/>
          <w:color w:val="auto"/>
          <w:sz w:val="24"/>
          <w:highlight w:val="none"/>
        </w:rPr>
        <w:t>（1）总体施工组织布置及规划</w:t>
      </w:r>
    </w:p>
    <w:p>
      <w:pPr>
        <w:spacing w:line="400" w:lineRule="exact"/>
        <w:ind w:firstLine="480" w:firstLineChars="200"/>
        <w:rPr>
          <w:color w:val="auto"/>
          <w:sz w:val="24"/>
          <w:highlight w:val="none"/>
        </w:rPr>
      </w:pPr>
      <w:r>
        <w:rPr>
          <w:rFonts w:hint="eastAsia"/>
          <w:color w:val="auto"/>
          <w:sz w:val="24"/>
          <w:highlight w:val="none"/>
        </w:rPr>
        <w:t>（2）主要工程项目的施工方案、方法与技术措施（尤其对重点、关键和难点工程的施工方案、方法及其措施）</w:t>
      </w:r>
    </w:p>
    <w:p>
      <w:pPr>
        <w:spacing w:line="400" w:lineRule="exact"/>
        <w:ind w:firstLine="480" w:firstLineChars="200"/>
        <w:rPr>
          <w:color w:val="auto"/>
          <w:sz w:val="24"/>
          <w:highlight w:val="none"/>
        </w:rPr>
      </w:pPr>
      <w:r>
        <w:rPr>
          <w:rFonts w:hint="eastAsia"/>
          <w:color w:val="auto"/>
          <w:sz w:val="24"/>
          <w:highlight w:val="none"/>
        </w:rPr>
        <w:t>（3）工期的保证体系及保证措施</w:t>
      </w:r>
    </w:p>
    <w:p>
      <w:pPr>
        <w:spacing w:line="400" w:lineRule="exact"/>
        <w:ind w:firstLine="480" w:firstLineChars="200"/>
        <w:rPr>
          <w:color w:val="auto"/>
          <w:sz w:val="24"/>
          <w:highlight w:val="none"/>
        </w:rPr>
      </w:pPr>
      <w:r>
        <w:rPr>
          <w:rFonts w:hint="eastAsia"/>
          <w:color w:val="auto"/>
          <w:sz w:val="24"/>
          <w:highlight w:val="none"/>
        </w:rPr>
        <w:t>（4）工程质量管理体系及保证措施</w:t>
      </w:r>
    </w:p>
    <w:p>
      <w:pPr>
        <w:spacing w:line="400" w:lineRule="exact"/>
        <w:ind w:firstLine="480" w:firstLineChars="200"/>
        <w:rPr>
          <w:color w:val="auto"/>
          <w:sz w:val="24"/>
          <w:highlight w:val="none"/>
        </w:rPr>
      </w:pPr>
      <w:r>
        <w:rPr>
          <w:rFonts w:hint="eastAsia"/>
          <w:color w:val="auto"/>
          <w:sz w:val="24"/>
          <w:highlight w:val="none"/>
        </w:rPr>
        <w:t>（5）安全生产管理体系及保证措施</w:t>
      </w:r>
    </w:p>
    <w:p>
      <w:pPr>
        <w:spacing w:line="400" w:lineRule="exact"/>
        <w:ind w:firstLine="480" w:firstLineChars="200"/>
        <w:rPr>
          <w:color w:val="auto"/>
          <w:sz w:val="24"/>
          <w:highlight w:val="none"/>
        </w:rPr>
      </w:pPr>
      <w:r>
        <w:rPr>
          <w:rFonts w:hint="eastAsia"/>
          <w:color w:val="auto"/>
          <w:sz w:val="24"/>
          <w:highlight w:val="none"/>
        </w:rPr>
        <w:t>（6）环境保护、水土保持保证体系及保证措施</w:t>
      </w:r>
      <w:r>
        <w:rPr>
          <w:rFonts w:hint="eastAsia"/>
          <w:b/>
          <w:bCs/>
          <w:color w:val="auto"/>
          <w:sz w:val="24"/>
          <w:highlight w:val="none"/>
        </w:rPr>
        <w:t>（含扬尘治理措施）</w:t>
      </w:r>
    </w:p>
    <w:p>
      <w:pPr>
        <w:spacing w:line="400" w:lineRule="exact"/>
        <w:ind w:firstLine="480" w:firstLineChars="200"/>
        <w:rPr>
          <w:color w:val="auto"/>
          <w:sz w:val="24"/>
          <w:highlight w:val="none"/>
        </w:rPr>
      </w:pPr>
      <w:r>
        <w:rPr>
          <w:rFonts w:hint="eastAsia"/>
          <w:color w:val="auto"/>
          <w:sz w:val="24"/>
          <w:highlight w:val="none"/>
        </w:rPr>
        <w:t>（7）文明施工、文物保护保证体系及保证措施</w:t>
      </w:r>
    </w:p>
    <w:p>
      <w:pPr>
        <w:spacing w:line="400" w:lineRule="exact"/>
        <w:ind w:firstLine="480" w:firstLineChars="200"/>
        <w:rPr>
          <w:color w:val="auto"/>
          <w:sz w:val="24"/>
          <w:highlight w:val="none"/>
        </w:rPr>
      </w:pPr>
      <w:r>
        <w:rPr>
          <w:rFonts w:hint="eastAsia"/>
          <w:color w:val="auto"/>
          <w:sz w:val="24"/>
          <w:highlight w:val="none"/>
        </w:rPr>
        <w:t>（8）项目风险预测与防范，事故应急预案</w:t>
      </w:r>
    </w:p>
    <w:p>
      <w:pPr>
        <w:spacing w:line="400" w:lineRule="exact"/>
        <w:ind w:firstLine="480" w:firstLineChars="200"/>
        <w:rPr>
          <w:color w:val="auto"/>
          <w:sz w:val="24"/>
          <w:highlight w:val="none"/>
        </w:rPr>
      </w:pPr>
      <w:r>
        <w:rPr>
          <w:rFonts w:hint="eastAsia"/>
          <w:color w:val="auto"/>
          <w:sz w:val="24"/>
          <w:highlight w:val="none"/>
        </w:rPr>
        <w:t>（9）其他应说明的事项</w:t>
      </w:r>
    </w:p>
    <w:p>
      <w:pPr>
        <w:spacing w:line="400" w:lineRule="exact"/>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施工组织设计除采用文字表述外可附下列图表，图表及格式要求附后。</w:t>
      </w:r>
    </w:p>
    <w:p>
      <w:pPr>
        <w:spacing w:line="400" w:lineRule="exact"/>
        <w:ind w:firstLine="480" w:firstLineChars="200"/>
        <w:rPr>
          <w:color w:val="auto"/>
          <w:sz w:val="24"/>
          <w:highlight w:val="none"/>
        </w:rPr>
      </w:pPr>
      <w:r>
        <w:rPr>
          <w:rFonts w:hint="eastAsia"/>
          <w:color w:val="auto"/>
          <w:sz w:val="24"/>
          <w:highlight w:val="none"/>
        </w:rPr>
        <w:t xml:space="preserve">   附表一  施工总体计划表</w:t>
      </w:r>
    </w:p>
    <w:p>
      <w:pPr>
        <w:spacing w:line="400" w:lineRule="exact"/>
        <w:ind w:firstLine="480" w:firstLineChars="200"/>
        <w:rPr>
          <w:color w:val="auto"/>
          <w:sz w:val="24"/>
          <w:highlight w:val="none"/>
        </w:rPr>
      </w:pPr>
      <w:r>
        <w:rPr>
          <w:rFonts w:hint="eastAsia"/>
          <w:color w:val="auto"/>
          <w:sz w:val="24"/>
          <w:highlight w:val="none"/>
        </w:rPr>
        <w:t xml:space="preserve">   附表二  分项工程进度率计划（斜率图） </w:t>
      </w:r>
    </w:p>
    <w:p>
      <w:pPr>
        <w:spacing w:line="400" w:lineRule="exact"/>
        <w:ind w:firstLine="480" w:firstLineChars="200"/>
        <w:rPr>
          <w:color w:val="auto"/>
          <w:sz w:val="24"/>
          <w:highlight w:val="none"/>
        </w:rPr>
      </w:pPr>
      <w:r>
        <w:rPr>
          <w:rFonts w:hint="eastAsia"/>
          <w:color w:val="auto"/>
          <w:sz w:val="24"/>
          <w:highlight w:val="none"/>
        </w:rPr>
        <w:t xml:space="preserve">   附表三  工程管理曲线</w:t>
      </w:r>
    </w:p>
    <w:p>
      <w:pPr>
        <w:spacing w:line="400" w:lineRule="exact"/>
        <w:ind w:firstLine="480" w:firstLineChars="200"/>
        <w:rPr>
          <w:color w:val="auto"/>
          <w:sz w:val="24"/>
          <w:highlight w:val="none"/>
        </w:rPr>
      </w:pPr>
      <w:r>
        <w:rPr>
          <w:rFonts w:hint="eastAsia"/>
          <w:color w:val="auto"/>
          <w:sz w:val="24"/>
          <w:highlight w:val="none"/>
        </w:rPr>
        <w:t xml:space="preserve">   附表四  分项工程生产率和施工周期表</w:t>
      </w:r>
    </w:p>
    <w:p>
      <w:pPr>
        <w:spacing w:line="400" w:lineRule="exact"/>
        <w:ind w:firstLine="480" w:firstLineChars="200"/>
        <w:rPr>
          <w:color w:val="auto"/>
          <w:sz w:val="24"/>
          <w:highlight w:val="none"/>
        </w:rPr>
      </w:pPr>
      <w:r>
        <w:rPr>
          <w:rFonts w:hint="eastAsia"/>
          <w:color w:val="auto"/>
          <w:sz w:val="24"/>
          <w:highlight w:val="none"/>
        </w:rPr>
        <w:t xml:space="preserve">   附表五  施工总平面图</w:t>
      </w:r>
    </w:p>
    <w:p>
      <w:pPr>
        <w:spacing w:line="400" w:lineRule="exact"/>
        <w:ind w:firstLine="480" w:firstLineChars="200"/>
        <w:rPr>
          <w:color w:val="auto"/>
          <w:sz w:val="24"/>
          <w:highlight w:val="none"/>
        </w:rPr>
      </w:pPr>
      <w:r>
        <w:rPr>
          <w:rFonts w:hint="eastAsia"/>
          <w:color w:val="auto"/>
          <w:sz w:val="24"/>
          <w:highlight w:val="none"/>
        </w:rPr>
        <w:t xml:space="preserve">   附表六  劳动力计划表</w:t>
      </w:r>
    </w:p>
    <w:p>
      <w:pPr>
        <w:spacing w:line="400" w:lineRule="exact"/>
        <w:ind w:firstLine="840" w:firstLineChars="350"/>
        <w:rPr>
          <w:color w:val="auto"/>
          <w:sz w:val="24"/>
          <w:highlight w:val="none"/>
        </w:rPr>
      </w:pPr>
      <w:r>
        <w:rPr>
          <w:rFonts w:hint="eastAsia"/>
          <w:color w:val="auto"/>
          <w:sz w:val="24"/>
          <w:highlight w:val="none"/>
        </w:rPr>
        <w:t>附表七  临时用地计划表</w:t>
      </w:r>
    </w:p>
    <w:p>
      <w:pPr>
        <w:spacing w:line="400" w:lineRule="exact"/>
        <w:ind w:firstLine="840" w:firstLineChars="350"/>
        <w:rPr>
          <w:color w:val="auto"/>
          <w:sz w:val="24"/>
          <w:highlight w:val="none"/>
        </w:rPr>
      </w:pPr>
      <w:r>
        <w:rPr>
          <w:rFonts w:hint="eastAsia"/>
          <w:color w:val="auto"/>
          <w:sz w:val="24"/>
          <w:highlight w:val="none"/>
        </w:rPr>
        <w:t>附表八  外供电力需求计划表</w:t>
      </w:r>
    </w:p>
    <w:p>
      <w:pPr>
        <w:spacing w:line="400" w:lineRule="exact"/>
        <w:ind w:firstLine="840" w:firstLineChars="350"/>
        <w:rPr>
          <w:color w:val="auto"/>
          <w:sz w:val="24"/>
          <w:highlight w:val="none"/>
        </w:rPr>
      </w:pPr>
    </w:p>
    <w:p>
      <w:pPr>
        <w:spacing w:line="440" w:lineRule="exact"/>
        <w:ind w:firstLine="480" w:firstLineChars="200"/>
        <w:rPr>
          <w:color w:val="auto"/>
          <w:sz w:val="24"/>
          <w:highlight w:val="none"/>
        </w:rPr>
      </w:pPr>
    </w:p>
    <w:p>
      <w:pPr>
        <w:pStyle w:val="2"/>
        <w:ind w:firstLine="240"/>
        <w:rPr>
          <w:color w:val="auto"/>
          <w:sz w:val="24"/>
          <w:highlight w:val="none"/>
        </w:rPr>
      </w:pPr>
    </w:p>
    <w:p>
      <w:pPr>
        <w:pStyle w:val="2"/>
        <w:ind w:firstLine="240"/>
        <w:rPr>
          <w:color w:val="auto"/>
          <w:sz w:val="24"/>
          <w:highlight w:val="none"/>
        </w:rPr>
      </w:pPr>
    </w:p>
    <w:p>
      <w:pPr>
        <w:pStyle w:val="2"/>
        <w:ind w:firstLine="240"/>
        <w:rPr>
          <w:color w:val="auto"/>
          <w:sz w:val="24"/>
          <w:highlight w:val="none"/>
        </w:rPr>
      </w:pPr>
    </w:p>
    <w:p>
      <w:pPr>
        <w:pStyle w:val="2"/>
        <w:ind w:firstLine="240"/>
        <w:rPr>
          <w:color w:val="auto"/>
          <w:sz w:val="24"/>
          <w:highlight w:val="none"/>
        </w:rPr>
      </w:pPr>
    </w:p>
    <w:p>
      <w:pPr>
        <w:pStyle w:val="2"/>
        <w:ind w:firstLine="240"/>
        <w:rPr>
          <w:color w:val="auto"/>
          <w:sz w:val="24"/>
          <w:highlight w:val="none"/>
        </w:rPr>
      </w:pPr>
    </w:p>
    <w:p>
      <w:pPr>
        <w:pStyle w:val="2"/>
        <w:ind w:firstLine="240"/>
        <w:rPr>
          <w:color w:val="auto"/>
          <w:sz w:val="24"/>
          <w:highlight w:val="none"/>
        </w:rPr>
      </w:pPr>
    </w:p>
    <w:p>
      <w:pPr>
        <w:pStyle w:val="2"/>
        <w:ind w:firstLine="240"/>
        <w:rPr>
          <w:color w:val="auto"/>
          <w:sz w:val="24"/>
          <w:highlight w:val="none"/>
        </w:rPr>
      </w:pPr>
    </w:p>
    <w:p>
      <w:pPr>
        <w:pStyle w:val="2"/>
        <w:ind w:firstLine="0" w:firstLineChars="0"/>
        <w:rPr>
          <w:color w:val="auto"/>
          <w:sz w:val="24"/>
          <w:highlight w:val="none"/>
        </w:rPr>
        <w:sectPr>
          <w:footnotePr>
            <w:numFmt w:val="decimalEnclosedCircleChinese"/>
            <w:numRestart w:val="eachPage"/>
          </w:footnotePr>
          <w:pgSz w:w="11900" w:h="16843"/>
          <w:pgMar w:top="1417" w:right="1417" w:bottom="1417" w:left="1531" w:header="850" w:footer="992" w:gutter="0"/>
          <w:pgNumType w:fmt="decimal"/>
          <w:cols w:space="720" w:num="1"/>
          <w:titlePg/>
        </w:sectPr>
      </w:pPr>
    </w:p>
    <w:bookmarkEnd w:id="330"/>
    <w:p>
      <w:pPr>
        <w:tabs>
          <w:tab w:val="left" w:pos="1575"/>
          <w:tab w:val="left" w:pos="4689"/>
        </w:tabs>
        <w:spacing w:before="120" w:after="120" w:line="377" w:lineRule="auto"/>
        <w:outlineLvl w:val="3"/>
        <w:rPr>
          <w:rFonts w:ascii="宋体" w:hAnsi="宋体" w:cs="宋体"/>
          <w:b/>
          <w:bCs/>
          <w:color w:val="auto"/>
          <w:sz w:val="28"/>
          <w:szCs w:val="28"/>
          <w:highlight w:val="none"/>
        </w:rPr>
      </w:pPr>
      <w:bookmarkStart w:id="331" w:name="_Toc21422_WPSOffice_Level1"/>
      <w:bookmarkStart w:id="332" w:name="_Toc7240_WPSOffice_Level1"/>
      <w:r>
        <w:rPr>
          <w:rFonts w:hint="eastAsia" w:ascii="宋体" w:hAnsi="宋体" w:cs="宋体"/>
          <w:b/>
          <w:bCs/>
          <w:color w:val="auto"/>
          <w:sz w:val="28"/>
          <w:szCs w:val="28"/>
          <w:highlight w:val="none"/>
        </w:rPr>
        <w:t>附表一    施工总体计划表</w:t>
      </w:r>
    </w:p>
    <w:tbl>
      <w:tblPr>
        <w:tblStyle w:val="47"/>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859" w:type="dxa"/>
            <w:tcBorders>
              <w:top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年度</w:t>
            </w:r>
          </w:p>
        </w:tc>
        <w:tc>
          <w:tcPr>
            <w:tcW w:w="4913" w:type="dxa"/>
            <w:gridSpan w:val="12"/>
            <w:tcBorders>
              <w:top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年</w:t>
            </w:r>
          </w:p>
        </w:tc>
        <w:tc>
          <w:tcPr>
            <w:tcW w:w="4924" w:type="dxa"/>
            <w:gridSpan w:val="12"/>
            <w:tcBorders>
              <w:top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年</w:t>
            </w:r>
          </w:p>
        </w:tc>
        <w:tc>
          <w:tcPr>
            <w:tcW w:w="2046" w:type="dxa"/>
            <w:gridSpan w:val="5"/>
            <w:tcBorders>
              <w:top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8" w:hRule="exact"/>
          <w:jc w:val="center"/>
        </w:trPr>
        <w:tc>
          <w:tcPr>
            <w:tcW w:w="2859" w:type="dxa"/>
            <w:tcBorders>
              <w:tl2br w:val="single" w:color="auto" w:sz="6" w:space="0"/>
            </w:tcBorders>
            <w:vAlign w:val="center"/>
          </w:tcPr>
          <w:p>
            <w:pPr>
              <w:jc w:val="center"/>
              <w:rPr>
                <w:rFonts w:ascii="宋体" w:hAnsi="宋体"/>
                <w:color w:val="auto"/>
                <w:szCs w:val="21"/>
                <w:highlight w:val="none"/>
              </w:rPr>
            </w:pPr>
            <w:r>
              <w:rPr>
                <w:rFonts w:hint="eastAsia" w:ascii="宋体" w:hAnsi="宋体"/>
                <w:color w:val="auto"/>
                <w:szCs w:val="21"/>
                <w:highlight w:val="none"/>
              </w:rPr>
              <w:t>月份</w:t>
            </w:r>
          </w:p>
          <w:p>
            <w:pPr>
              <w:jc w:val="left"/>
              <w:rPr>
                <w:rFonts w:ascii="宋体" w:hAnsi="宋体"/>
                <w:color w:val="auto"/>
                <w:szCs w:val="21"/>
                <w:highlight w:val="none"/>
              </w:rPr>
            </w:pPr>
          </w:p>
          <w:p>
            <w:pPr>
              <w:jc w:val="left"/>
              <w:rPr>
                <w:rFonts w:ascii="宋体" w:hAnsi="宋体"/>
                <w:color w:val="auto"/>
                <w:szCs w:val="21"/>
                <w:highlight w:val="none"/>
              </w:rPr>
            </w:pPr>
            <w:r>
              <w:rPr>
                <w:rFonts w:hint="eastAsia" w:ascii="宋体" w:hAnsi="宋体"/>
                <w:color w:val="auto"/>
                <w:szCs w:val="21"/>
                <w:highlight w:val="none"/>
              </w:rPr>
              <w:t>主要工程项目</w:t>
            </w:r>
          </w:p>
        </w:tc>
        <w:tc>
          <w:tcPr>
            <w:tcW w:w="403"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403"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403"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403"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403"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404"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404"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404"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404"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426"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426" w:type="dxa"/>
            <w:vAlign w:val="center"/>
          </w:tcPr>
          <w:p>
            <w:pPr>
              <w:jc w:val="center"/>
              <w:rPr>
                <w:rFonts w:ascii="宋体" w:hAnsi="宋体"/>
                <w:color w:val="auto"/>
                <w:szCs w:val="21"/>
                <w:highlight w:val="none"/>
              </w:rPr>
            </w:pPr>
            <w:r>
              <w:rPr>
                <w:rFonts w:ascii="宋体" w:hAnsi="宋体"/>
                <w:color w:val="auto"/>
                <w:szCs w:val="21"/>
                <w:highlight w:val="none"/>
              </w:rPr>
              <w:t>11</w:t>
            </w:r>
          </w:p>
        </w:tc>
        <w:tc>
          <w:tcPr>
            <w:tcW w:w="430" w:type="dxa"/>
            <w:vAlign w:val="center"/>
          </w:tcPr>
          <w:p>
            <w:pPr>
              <w:jc w:val="center"/>
              <w:rPr>
                <w:rFonts w:ascii="宋体" w:hAnsi="宋体"/>
                <w:color w:val="auto"/>
                <w:szCs w:val="21"/>
                <w:highlight w:val="none"/>
              </w:rPr>
            </w:pPr>
            <w:r>
              <w:rPr>
                <w:rFonts w:ascii="宋体" w:hAnsi="宋体"/>
                <w:color w:val="auto"/>
                <w:szCs w:val="21"/>
                <w:highlight w:val="none"/>
              </w:rPr>
              <w:t>12</w:t>
            </w:r>
          </w:p>
        </w:tc>
        <w:tc>
          <w:tcPr>
            <w:tcW w:w="404"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404"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404"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404"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404"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404"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404"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404"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404"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426"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426" w:type="dxa"/>
            <w:vAlign w:val="center"/>
          </w:tcPr>
          <w:p>
            <w:pPr>
              <w:jc w:val="center"/>
              <w:rPr>
                <w:rFonts w:ascii="宋体" w:hAnsi="宋体"/>
                <w:color w:val="auto"/>
                <w:szCs w:val="21"/>
                <w:highlight w:val="none"/>
              </w:rPr>
            </w:pPr>
            <w:r>
              <w:rPr>
                <w:rFonts w:ascii="宋体" w:hAnsi="宋体"/>
                <w:color w:val="auto"/>
                <w:szCs w:val="21"/>
                <w:highlight w:val="none"/>
              </w:rPr>
              <w:t>11</w:t>
            </w:r>
          </w:p>
        </w:tc>
        <w:tc>
          <w:tcPr>
            <w:tcW w:w="436" w:type="dxa"/>
            <w:vAlign w:val="center"/>
          </w:tcPr>
          <w:p>
            <w:pPr>
              <w:jc w:val="center"/>
              <w:rPr>
                <w:rFonts w:ascii="宋体" w:hAnsi="宋体"/>
                <w:color w:val="auto"/>
                <w:szCs w:val="21"/>
                <w:highlight w:val="none"/>
              </w:rPr>
            </w:pPr>
            <w:r>
              <w:rPr>
                <w:rFonts w:ascii="宋体" w:hAnsi="宋体"/>
                <w:color w:val="auto"/>
                <w:szCs w:val="21"/>
                <w:highlight w:val="none"/>
              </w:rPr>
              <w:t>12</w:t>
            </w:r>
          </w:p>
        </w:tc>
        <w:tc>
          <w:tcPr>
            <w:tcW w:w="404"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404"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404"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404"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43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30"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36"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3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30"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36"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3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30"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36"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3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30"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36"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3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30"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36"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3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30"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36"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3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30"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36"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3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3"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30"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26" w:type="dxa"/>
            <w:vAlign w:val="center"/>
          </w:tcPr>
          <w:p>
            <w:pPr>
              <w:jc w:val="center"/>
              <w:rPr>
                <w:rFonts w:ascii="宋体" w:hAnsi="宋体"/>
                <w:color w:val="auto"/>
                <w:szCs w:val="21"/>
                <w:highlight w:val="none"/>
              </w:rPr>
            </w:pPr>
          </w:p>
        </w:tc>
        <w:tc>
          <w:tcPr>
            <w:tcW w:w="436"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04" w:type="dxa"/>
            <w:vAlign w:val="center"/>
          </w:tcPr>
          <w:p>
            <w:pPr>
              <w:jc w:val="center"/>
              <w:rPr>
                <w:rFonts w:ascii="宋体" w:hAnsi="宋体"/>
                <w:color w:val="auto"/>
                <w:szCs w:val="21"/>
                <w:highlight w:val="none"/>
              </w:rPr>
            </w:pPr>
          </w:p>
        </w:tc>
        <w:tc>
          <w:tcPr>
            <w:tcW w:w="43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tcBorders>
              <w:bottom w:val="single" w:color="auto" w:sz="12" w:space="0"/>
            </w:tcBorders>
            <w:vAlign w:val="center"/>
          </w:tcPr>
          <w:p>
            <w:pPr>
              <w:ind w:left="105" w:leftChars="50"/>
              <w:rPr>
                <w:rFonts w:ascii="宋体" w:hAnsi="宋体"/>
                <w:color w:val="auto"/>
                <w:szCs w:val="21"/>
                <w:highlight w:val="none"/>
              </w:rPr>
            </w:pPr>
          </w:p>
        </w:tc>
        <w:tc>
          <w:tcPr>
            <w:tcW w:w="403" w:type="dxa"/>
            <w:tcBorders>
              <w:bottom w:val="single" w:color="auto" w:sz="12" w:space="0"/>
            </w:tcBorders>
            <w:vAlign w:val="center"/>
          </w:tcPr>
          <w:p>
            <w:pPr>
              <w:jc w:val="center"/>
              <w:rPr>
                <w:rFonts w:ascii="宋体" w:hAnsi="宋体"/>
                <w:color w:val="auto"/>
                <w:szCs w:val="21"/>
                <w:highlight w:val="none"/>
              </w:rPr>
            </w:pPr>
          </w:p>
        </w:tc>
        <w:tc>
          <w:tcPr>
            <w:tcW w:w="403" w:type="dxa"/>
            <w:tcBorders>
              <w:bottom w:val="single" w:color="auto" w:sz="12" w:space="0"/>
            </w:tcBorders>
            <w:vAlign w:val="center"/>
          </w:tcPr>
          <w:p>
            <w:pPr>
              <w:jc w:val="center"/>
              <w:rPr>
                <w:rFonts w:ascii="宋体" w:hAnsi="宋体"/>
                <w:color w:val="auto"/>
                <w:szCs w:val="21"/>
                <w:highlight w:val="none"/>
              </w:rPr>
            </w:pPr>
          </w:p>
        </w:tc>
        <w:tc>
          <w:tcPr>
            <w:tcW w:w="403" w:type="dxa"/>
            <w:tcBorders>
              <w:bottom w:val="single" w:color="auto" w:sz="12" w:space="0"/>
            </w:tcBorders>
            <w:vAlign w:val="center"/>
          </w:tcPr>
          <w:p>
            <w:pPr>
              <w:jc w:val="center"/>
              <w:rPr>
                <w:rFonts w:ascii="宋体" w:hAnsi="宋体"/>
                <w:color w:val="auto"/>
                <w:szCs w:val="21"/>
                <w:highlight w:val="none"/>
              </w:rPr>
            </w:pPr>
          </w:p>
        </w:tc>
        <w:tc>
          <w:tcPr>
            <w:tcW w:w="403" w:type="dxa"/>
            <w:tcBorders>
              <w:bottom w:val="single" w:color="auto" w:sz="12" w:space="0"/>
            </w:tcBorders>
            <w:vAlign w:val="center"/>
          </w:tcPr>
          <w:p>
            <w:pPr>
              <w:jc w:val="center"/>
              <w:rPr>
                <w:rFonts w:ascii="宋体" w:hAnsi="宋体"/>
                <w:color w:val="auto"/>
                <w:szCs w:val="21"/>
                <w:highlight w:val="none"/>
              </w:rPr>
            </w:pPr>
          </w:p>
        </w:tc>
        <w:tc>
          <w:tcPr>
            <w:tcW w:w="403" w:type="dxa"/>
            <w:tcBorders>
              <w:bottom w:val="single" w:color="auto" w:sz="12" w:space="0"/>
            </w:tcBorders>
            <w:vAlign w:val="center"/>
          </w:tcPr>
          <w:p>
            <w:pPr>
              <w:jc w:val="center"/>
              <w:rPr>
                <w:rFonts w:ascii="宋体" w:hAnsi="宋体"/>
                <w:color w:val="auto"/>
                <w:szCs w:val="21"/>
                <w:highlight w:val="none"/>
              </w:rPr>
            </w:pPr>
          </w:p>
        </w:tc>
        <w:tc>
          <w:tcPr>
            <w:tcW w:w="404" w:type="dxa"/>
            <w:tcBorders>
              <w:bottom w:val="single" w:color="auto" w:sz="12" w:space="0"/>
            </w:tcBorders>
            <w:vAlign w:val="center"/>
          </w:tcPr>
          <w:p>
            <w:pPr>
              <w:jc w:val="center"/>
              <w:rPr>
                <w:rFonts w:ascii="宋体" w:hAnsi="宋体"/>
                <w:color w:val="auto"/>
                <w:szCs w:val="21"/>
                <w:highlight w:val="none"/>
              </w:rPr>
            </w:pPr>
          </w:p>
        </w:tc>
        <w:tc>
          <w:tcPr>
            <w:tcW w:w="404" w:type="dxa"/>
            <w:tcBorders>
              <w:bottom w:val="single" w:color="auto" w:sz="12" w:space="0"/>
            </w:tcBorders>
            <w:vAlign w:val="center"/>
          </w:tcPr>
          <w:p>
            <w:pPr>
              <w:jc w:val="center"/>
              <w:rPr>
                <w:rFonts w:ascii="宋体" w:hAnsi="宋体"/>
                <w:color w:val="auto"/>
                <w:szCs w:val="21"/>
                <w:highlight w:val="none"/>
              </w:rPr>
            </w:pPr>
          </w:p>
        </w:tc>
        <w:tc>
          <w:tcPr>
            <w:tcW w:w="404" w:type="dxa"/>
            <w:tcBorders>
              <w:bottom w:val="single" w:color="auto" w:sz="12" w:space="0"/>
            </w:tcBorders>
            <w:vAlign w:val="center"/>
          </w:tcPr>
          <w:p>
            <w:pPr>
              <w:jc w:val="center"/>
              <w:rPr>
                <w:rFonts w:ascii="宋体" w:hAnsi="宋体"/>
                <w:color w:val="auto"/>
                <w:szCs w:val="21"/>
                <w:highlight w:val="none"/>
              </w:rPr>
            </w:pPr>
          </w:p>
        </w:tc>
        <w:tc>
          <w:tcPr>
            <w:tcW w:w="404" w:type="dxa"/>
            <w:tcBorders>
              <w:bottom w:val="single" w:color="auto" w:sz="12" w:space="0"/>
            </w:tcBorders>
            <w:vAlign w:val="center"/>
          </w:tcPr>
          <w:p>
            <w:pPr>
              <w:jc w:val="center"/>
              <w:rPr>
                <w:rFonts w:ascii="宋体" w:hAnsi="宋体"/>
                <w:color w:val="auto"/>
                <w:szCs w:val="21"/>
                <w:highlight w:val="none"/>
              </w:rPr>
            </w:pPr>
          </w:p>
        </w:tc>
        <w:tc>
          <w:tcPr>
            <w:tcW w:w="426" w:type="dxa"/>
            <w:tcBorders>
              <w:bottom w:val="single" w:color="auto" w:sz="12" w:space="0"/>
            </w:tcBorders>
            <w:vAlign w:val="center"/>
          </w:tcPr>
          <w:p>
            <w:pPr>
              <w:jc w:val="center"/>
              <w:rPr>
                <w:rFonts w:ascii="宋体" w:hAnsi="宋体"/>
                <w:color w:val="auto"/>
                <w:szCs w:val="21"/>
                <w:highlight w:val="none"/>
              </w:rPr>
            </w:pPr>
          </w:p>
        </w:tc>
        <w:tc>
          <w:tcPr>
            <w:tcW w:w="426" w:type="dxa"/>
            <w:tcBorders>
              <w:bottom w:val="single" w:color="auto" w:sz="12" w:space="0"/>
            </w:tcBorders>
            <w:vAlign w:val="center"/>
          </w:tcPr>
          <w:p>
            <w:pPr>
              <w:jc w:val="center"/>
              <w:rPr>
                <w:rFonts w:ascii="宋体" w:hAnsi="宋体"/>
                <w:color w:val="auto"/>
                <w:szCs w:val="21"/>
                <w:highlight w:val="none"/>
              </w:rPr>
            </w:pPr>
          </w:p>
        </w:tc>
        <w:tc>
          <w:tcPr>
            <w:tcW w:w="430" w:type="dxa"/>
            <w:tcBorders>
              <w:bottom w:val="single" w:color="auto" w:sz="12" w:space="0"/>
            </w:tcBorders>
            <w:vAlign w:val="center"/>
          </w:tcPr>
          <w:p>
            <w:pPr>
              <w:jc w:val="center"/>
              <w:rPr>
                <w:rFonts w:ascii="宋体" w:hAnsi="宋体"/>
                <w:color w:val="auto"/>
                <w:szCs w:val="21"/>
                <w:highlight w:val="none"/>
              </w:rPr>
            </w:pPr>
          </w:p>
        </w:tc>
        <w:tc>
          <w:tcPr>
            <w:tcW w:w="404" w:type="dxa"/>
            <w:tcBorders>
              <w:bottom w:val="single" w:color="auto" w:sz="12" w:space="0"/>
            </w:tcBorders>
            <w:vAlign w:val="center"/>
          </w:tcPr>
          <w:p>
            <w:pPr>
              <w:jc w:val="center"/>
              <w:rPr>
                <w:rFonts w:ascii="宋体" w:hAnsi="宋体"/>
                <w:color w:val="auto"/>
                <w:szCs w:val="21"/>
                <w:highlight w:val="none"/>
              </w:rPr>
            </w:pPr>
          </w:p>
        </w:tc>
        <w:tc>
          <w:tcPr>
            <w:tcW w:w="404" w:type="dxa"/>
            <w:tcBorders>
              <w:bottom w:val="single" w:color="auto" w:sz="12" w:space="0"/>
            </w:tcBorders>
            <w:vAlign w:val="center"/>
          </w:tcPr>
          <w:p>
            <w:pPr>
              <w:jc w:val="center"/>
              <w:rPr>
                <w:rFonts w:ascii="宋体" w:hAnsi="宋体"/>
                <w:color w:val="auto"/>
                <w:szCs w:val="21"/>
                <w:highlight w:val="none"/>
              </w:rPr>
            </w:pPr>
          </w:p>
        </w:tc>
        <w:tc>
          <w:tcPr>
            <w:tcW w:w="404" w:type="dxa"/>
            <w:tcBorders>
              <w:bottom w:val="single" w:color="auto" w:sz="12" w:space="0"/>
            </w:tcBorders>
            <w:vAlign w:val="center"/>
          </w:tcPr>
          <w:p>
            <w:pPr>
              <w:jc w:val="center"/>
              <w:rPr>
                <w:rFonts w:ascii="宋体" w:hAnsi="宋体"/>
                <w:color w:val="auto"/>
                <w:szCs w:val="21"/>
                <w:highlight w:val="none"/>
              </w:rPr>
            </w:pPr>
          </w:p>
        </w:tc>
        <w:tc>
          <w:tcPr>
            <w:tcW w:w="404" w:type="dxa"/>
            <w:tcBorders>
              <w:bottom w:val="single" w:color="auto" w:sz="12" w:space="0"/>
            </w:tcBorders>
            <w:vAlign w:val="center"/>
          </w:tcPr>
          <w:p>
            <w:pPr>
              <w:jc w:val="center"/>
              <w:rPr>
                <w:rFonts w:ascii="宋体" w:hAnsi="宋体"/>
                <w:color w:val="auto"/>
                <w:szCs w:val="21"/>
                <w:highlight w:val="none"/>
              </w:rPr>
            </w:pPr>
          </w:p>
        </w:tc>
        <w:tc>
          <w:tcPr>
            <w:tcW w:w="404" w:type="dxa"/>
            <w:tcBorders>
              <w:bottom w:val="single" w:color="auto" w:sz="12" w:space="0"/>
            </w:tcBorders>
            <w:vAlign w:val="center"/>
          </w:tcPr>
          <w:p>
            <w:pPr>
              <w:jc w:val="center"/>
              <w:rPr>
                <w:rFonts w:ascii="宋体" w:hAnsi="宋体"/>
                <w:color w:val="auto"/>
                <w:szCs w:val="21"/>
                <w:highlight w:val="none"/>
              </w:rPr>
            </w:pPr>
          </w:p>
        </w:tc>
        <w:tc>
          <w:tcPr>
            <w:tcW w:w="404" w:type="dxa"/>
            <w:tcBorders>
              <w:bottom w:val="single" w:color="auto" w:sz="12" w:space="0"/>
            </w:tcBorders>
            <w:vAlign w:val="center"/>
          </w:tcPr>
          <w:p>
            <w:pPr>
              <w:jc w:val="center"/>
              <w:rPr>
                <w:rFonts w:ascii="宋体" w:hAnsi="宋体"/>
                <w:color w:val="auto"/>
                <w:szCs w:val="21"/>
                <w:highlight w:val="none"/>
              </w:rPr>
            </w:pPr>
          </w:p>
        </w:tc>
        <w:tc>
          <w:tcPr>
            <w:tcW w:w="404" w:type="dxa"/>
            <w:tcBorders>
              <w:bottom w:val="single" w:color="auto" w:sz="12" w:space="0"/>
            </w:tcBorders>
            <w:vAlign w:val="center"/>
          </w:tcPr>
          <w:p>
            <w:pPr>
              <w:jc w:val="center"/>
              <w:rPr>
                <w:rFonts w:ascii="宋体" w:hAnsi="宋体"/>
                <w:color w:val="auto"/>
                <w:szCs w:val="21"/>
                <w:highlight w:val="none"/>
              </w:rPr>
            </w:pPr>
          </w:p>
        </w:tc>
        <w:tc>
          <w:tcPr>
            <w:tcW w:w="404" w:type="dxa"/>
            <w:tcBorders>
              <w:bottom w:val="single" w:color="auto" w:sz="12" w:space="0"/>
            </w:tcBorders>
            <w:vAlign w:val="center"/>
          </w:tcPr>
          <w:p>
            <w:pPr>
              <w:jc w:val="center"/>
              <w:rPr>
                <w:rFonts w:ascii="宋体" w:hAnsi="宋体"/>
                <w:color w:val="auto"/>
                <w:szCs w:val="21"/>
                <w:highlight w:val="none"/>
              </w:rPr>
            </w:pPr>
          </w:p>
        </w:tc>
        <w:tc>
          <w:tcPr>
            <w:tcW w:w="404" w:type="dxa"/>
            <w:tcBorders>
              <w:bottom w:val="single" w:color="auto" w:sz="12" w:space="0"/>
            </w:tcBorders>
            <w:vAlign w:val="center"/>
          </w:tcPr>
          <w:p>
            <w:pPr>
              <w:jc w:val="center"/>
              <w:rPr>
                <w:rFonts w:ascii="宋体" w:hAnsi="宋体"/>
                <w:color w:val="auto"/>
                <w:szCs w:val="21"/>
                <w:highlight w:val="none"/>
              </w:rPr>
            </w:pPr>
          </w:p>
        </w:tc>
        <w:tc>
          <w:tcPr>
            <w:tcW w:w="426" w:type="dxa"/>
            <w:tcBorders>
              <w:bottom w:val="single" w:color="auto" w:sz="12" w:space="0"/>
            </w:tcBorders>
            <w:vAlign w:val="center"/>
          </w:tcPr>
          <w:p>
            <w:pPr>
              <w:jc w:val="center"/>
              <w:rPr>
                <w:rFonts w:ascii="宋体" w:hAnsi="宋体"/>
                <w:color w:val="auto"/>
                <w:szCs w:val="21"/>
                <w:highlight w:val="none"/>
              </w:rPr>
            </w:pPr>
          </w:p>
        </w:tc>
        <w:tc>
          <w:tcPr>
            <w:tcW w:w="426" w:type="dxa"/>
            <w:tcBorders>
              <w:bottom w:val="single" w:color="auto" w:sz="12" w:space="0"/>
            </w:tcBorders>
            <w:vAlign w:val="center"/>
          </w:tcPr>
          <w:p>
            <w:pPr>
              <w:jc w:val="center"/>
              <w:rPr>
                <w:rFonts w:ascii="宋体" w:hAnsi="宋体"/>
                <w:color w:val="auto"/>
                <w:szCs w:val="21"/>
                <w:highlight w:val="none"/>
              </w:rPr>
            </w:pPr>
          </w:p>
        </w:tc>
        <w:tc>
          <w:tcPr>
            <w:tcW w:w="436" w:type="dxa"/>
            <w:tcBorders>
              <w:bottom w:val="single" w:color="auto" w:sz="12" w:space="0"/>
            </w:tcBorders>
            <w:vAlign w:val="center"/>
          </w:tcPr>
          <w:p>
            <w:pPr>
              <w:jc w:val="center"/>
              <w:rPr>
                <w:rFonts w:ascii="宋体" w:hAnsi="宋体"/>
                <w:color w:val="auto"/>
                <w:szCs w:val="21"/>
                <w:highlight w:val="none"/>
              </w:rPr>
            </w:pPr>
          </w:p>
        </w:tc>
        <w:tc>
          <w:tcPr>
            <w:tcW w:w="404" w:type="dxa"/>
            <w:tcBorders>
              <w:bottom w:val="single" w:color="auto" w:sz="12" w:space="0"/>
            </w:tcBorders>
            <w:vAlign w:val="center"/>
          </w:tcPr>
          <w:p>
            <w:pPr>
              <w:jc w:val="center"/>
              <w:rPr>
                <w:rFonts w:ascii="宋体" w:hAnsi="宋体"/>
                <w:color w:val="auto"/>
                <w:szCs w:val="21"/>
                <w:highlight w:val="none"/>
              </w:rPr>
            </w:pPr>
          </w:p>
        </w:tc>
        <w:tc>
          <w:tcPr>
            <w:tcW w:w="404" w:type="dxa"/>
            <w:tcBorders>
              <w:bottom w:val="single" w:color="auto" w:sz="12" w:space="0"/>
            </w:tcBorders>
            <w:vAlign w:val="center"/>
          </w:tcPr>
          <w:p>
            <w:pPr>
              <w:jc w:val="center"/>
              <w:rPr>
                <w:rFonts w:ascii="宋体" w:hAnsi="宋体"/>
                <w:color w:val="auto"/>
                <w:szCs w:val="21"/>
                <w:highlight w:val="none"/>
              </w:rPr>
            </w:pPr>
          </w:p>
        </w:tc>
        <w:tc>
          <w:tcPr>
            <w:tcW w:w="404" w:type="dxa"/>
            <w:tcBorders>
              <w:bottom w:val="single" w:color="auto" w:sz="12" w:space="0"/>
            </w:tcBorders>
            <w:vAlign w:val="center"/>
          </w:tcPr>
          <w:p>
            <w:pPr>
              <w:jc w:val="center"/>
              <w:rPr>
                <w:rFonts w:ascii="宋体" w:hAnsi="宋体"/>
                <w:color w:val="auto"/>
                <w:szCs w:val="21"/>
                <w:highlight w:val="none"/>
              </w:rPr>
            </w:pPr>
          </w:p>
        </w:tc>
        <w:tc>
          <w:tcPr>
            <w:tcW w:w="404" w:type="dxa"/>
            <w:tcBorders>
              <w:bottom w:val="single" w:color="auto" w:sz="12" w:space="0"/>
            </w:tcBorders>
            <w:vAlign w:val="center"/>
          </w:tcPr>
          <w:p>
            <w:pPr>
              <w:jc w:val="center"/>
              <w:rPr>
                <w:rFonts w:ascii="宋体" w:hAnsi="宋体"/>
                <w:color w:val="auto"/>
                <w:szCs w:val="21"/>
                <w:highlight w:val="none"/>
              </w:rPr>
            </w:pPr>
          </w:p>
        </w:tc>
        <w:tc>
          <w:tcPr>
            <w:tcW w:w="430" w:type="dxa"/>
            <w:tcBorders>
              <w:bottom w:val="single" w:color="auto" w:sz="12" w:space="0"/>
            </w:tcBorders>
            <w:vAlign w:val="center"/>
          </w:tcPr>
          <w:p>
            <w:pPr>
              <w:jc w:val="center"/>
              <w:rPr>
                <w:rFonts w:ascii="宋体" w:hAnsi="宋体"/>
                <w:color w:val="auto"/>
                <w:szCs w:val="21"/>
                <w:highlight w:val="none"/>
              </w:rPr>
            </w:pPr>
          </w:p>
        </w:tc>
      </w:tr>
    </w:tbl>
    <w:p>
      <w:pPr>
        <w:spacing w:before="120"/>
        <w:outlineLvl w:val="3"/>
        <w:rPr>
          <w:rFonts w:ascii="宋体" w:hAnsi="宋体" w:cs="宋体"/>
          <w:b/>
          <w:bCs/>
          <w:color w:val="auto"/>
          <w:sz w:val="28"/>
          <w:szCs w:val="28"/>
          <w:highlight w:val="none"/>
        </w:rPr>
      </w:pPr>
      <w:r>
        <w:rPr>
          <w:rFonts w:ascii="宋体" w:hAnsi="宋体" w:cs="宋体"/>
          <w:b/>
          <w:bCs/>
          <w:color w:val="auto"/>
          <w:sz w:val="28"/>
          <w:szCs w:val="28"/>
          <w:highlight w:val="none"/>
        </w:rPr>
        <w:br w:type="page"/>
      </w:r>
      <w:r>
        <w:rPr>
          <w:rFonts w:hint="eastAsia" w:ascii="宋体" w:hAnsi="宋体" w:cs="宋体"/>
          <w:b/>
          <w:bCs/>
          <w:color w:val="auto"/>
          <w:sz w:val="28"/>
          <w:szCs w:val="28"/>
          <w:highlight w:val="none"/>
        </w:rPr>
        <w:t>附表二  分项工程进度率计划（斜率图）</w:t>
      </w:r>
    </w:p>
    <w:tbl>
      <w:tblPr>
        <w:tblStyle w:val="47"/>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tcBorders>
              <w:top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年度</w:t>
            </w:r>
          </w:p>
        </w:tc>
        <w:tc>
          <w:tcPr>
            <w:tcW w:w="5605" w:type="dxa"/>
            <w:gridSpan w:val="12"/>
            <w:tcBorders>
              <w:top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年</w:t>
            </w:r>
          </w:p>
        </w:tc>
        <w:tc>
          <w:tcPr>
            <w:tcW w:w="5139" w:type="dxa"/>
            <w:gridSpan w:val="11"/>
            <w:tcBorders>
              <w:top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季度</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一</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二</w:t>
            </w:r>
          </w:p>
        </w:tc>
        <w:tc>
          <w:tcPr>
            <w:tcW w:w="1402"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三</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四</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一</w:t>
            </w:r>
          </w:p>
        </w:tc>
        <w:tc>
          <w:tcPr>
            <w:tcW w:w="1402"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二</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三</w:t>
            </w:r>
          </w:p>
        </w:tc>
        <w:tc>
          <w:tcPr>
            <w:tcW w:w="935"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月份</w:t>
            </w:r>
          </w:p>
        </w:tc>
        <w:tc>
          <w:tcPr>
            <w:tcW w:w="467"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467"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467"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467"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467"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467"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467"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468"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467"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467"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467" w:type="dxa"/>
            <w:vAlign w:val="center"/>
          </w:tcPr>
          <w:p>
            <w:pPr>
              <w:jc w:val="center"/>
              <w:rPr>
                <w:rFonts w:ascii="宋体" w:hAnsi="宋体"/>
                <w:color w:val="auto"/>
                <w:szCs w:val="21"/>
                <w:highlight w:val="none"/>
              </w:rPr>
            </w:pPr>
            <w:r>
              <w:rPr>
                <w:rFonts w:ascii="宋体" w:hAnsi="宋体"/>
                <w:color w:val="auto"/>
                <w:szCs w:val="21"/>
                <w:highlight w:val="none"/>
              </w:rPr>
              <w:t>11</w:t>
            </w:r>
          </w:p>
        </w:tc>
        <w:tc>
          <w:tcPr>
            <w:tcW w:w="467" w:type="dxa"/>
            <w:vAlign w:val="center"/>
          </w:tcPr>
          <w:p>
            <w:pPr>
              <w:jc w:val="center"/>
              <w:rPr>
                <w:rFonts w:ascii="宋体" w:hAnsi="宋体"/>
                <w:color w:val="auto"/>
                <w:szCs w:val="21"/>
                <w:highlight w:val="none"/>
              </w:rPr>
            </w:pPr>
            <w:r>
              <w:rPr>
                <w:rFonts w:ascii="宋体" w:hAnsi="宋体"/>
                <w:color w:val="auto"/>
                <w:szCs w:val="21"/>
                <w:highlight w:val="none"/>
              </w:rPr>
              <w:t>12</w:t>
            </w:r>
          </w:p>
        </w:tc>
        <w:tc>
          <w:tcPr>
            <w:tcW w:w="467"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467"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467"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468"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467"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467"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467"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467"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467"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467"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468"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bottom w:val="nil"/>
              <w:right w:val="nil"/>
            </w:tcBorders>
            <w:vAlign w:val="center"/>
          </w:tcPr>
          <w:p>
            <w:pPr>
              <w:jc w:val="left"/>
              <w:rPr>
                <w:rFonts w:ascii="宋体" w:hAnsi="宋体"/>
                <w:color w:val="auto"/>
                <w:szCs w:val="21"/>
                <w:highlight w:val="none"/>
              </w:rPr>
            </w:pPr>
            <w:r>
              <w:rPr>
                <w:rFonts w:hint="eastAsia" w:ascii="宋体" w:hAnsi="宋体"/>
                <w:color w:val="auto"/>
                <w:szCs w:val="21"/>
                <w:highlight w:val="none"/>
              </w:rPr>
              <w:t>图例：</w:t>
            </w:r>
          </w:p>
        </w:tc>
        <w:tc>
          <w:tcPr>
            <w:tcW w:w="1276" w:type="dxa"/>
            <w:tcBorders>
              <w:left w:val="nil"/>
              <w:bottom w:val="nil"/>
            </w:tcBorders>
            <w:vAlign w:val="center"/>
          </w:tcPr>
          <w:p>
            <w:pPr>
              <w:jc w:val="right"/>
              <w:rPr>
                <w:rFonts w:ascii="宋体" w:hAns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施工准备</w:t>
            </w:r>
          </w:p>
        </w:tc>
        <w:tc>
          <w:tcPr>
            <w:tcW w:w="1276" w:type="dxa"/>
            <w:tcBorders>
              <w:top w:val="nil"/>
              <w:left w:val="nil"/>
              <w:bottom w:val="nil"/>
            </w:tcBorders>
            <w:vAlign w:val="center"/>
          </w:tcPr>
          <w:p>
            <w:pPr>
              <w:jc w:val="right"/>
              <w:rPr>
                <w:rFonts w:ascii="宋体" w:hAnsi="宋体"/>
                <w:color w:val="auto"/>
                <w:szCs w:val="21"/>
                <w:highlight w:val="none"/>
              </w:rPr>
            </w:pPr>
            <w:r>
              <w:rPr>
                <w:rFonts w:ascii="宋体" w:hAnsi="宋体"/>
                <w:color w:val="auto"/>
                <w:szCs w:val="21"/>
                <w:highlight w:val="none"/>
              </w:rPr>
              <w:t>90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路基填筑</w:t>
            </w:r>
          </w:p>
        </w:tc>
        <w:tc>
          <w:tcPr>
            <w:tcW w:w="1276" w:type="dxa"/>
            <w:tcBorders>
              <w:top w:val="nil"/>
              <w:left w:val="nil"/>
              <w:bottom w:val="nil"/>
            </w:tcBorders>
            <w:vAlign w:val="center"/>
          </w:tcPr>
          <w:p>
            <w:pPr>
              <w:jc w:val="right"/>
              <w:rPr>
                <w:rFonts w:ascii="宋体" w:hAnsi="宋体"/>
                <w:color w:val="auto"/>
                <w:szCs w:val="21"/>
                <w:highlight w:val="none"/>
              </w:rPr>
            </w:pPr>
            <w:r>
              <w:rPr>
                <w:rFonts w:ascii="宋体" w:hAnsi="宋体"/>
                <w:color w:val="auto"/>
                <w:szCs w:val="21"/>
                <w:highlight w:val="none"/>
              </w:rPr>
              <w:t>80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路面基层</w:t>
            </w:r>
          </w:p>
        </w:tc>
        <w:tc>
          <w:tcPr>
            <w:tcW w:w="1276" w:type="dxa"/>
            <w:tcBorders>
              <w:top w:val="nil"/>
              <w:left w:val="nil"/>
              <w:bottom w:val="nil"/>
            </w:tcBorders>
            <w:vAlign w:val="center"/>
          </w:tcPr>
          <w:p>
            <w:pPr>
              <w:jc w:val="right"/>
              <w:rPr>
                <w:rFonts w:ascii="宋体" w:hAnsi="宋体"/>
                <w:color w:val="auto"/>
                <w:szCs w:val="21"/>
                <w:highlight w:val="none"/>
              </w:rPr>
            </w:pPr>
            <w:r>
              <w:rPr>
                <w:rFonts w:ascii="宋体" w:hAnsi="宋体"/>
                <w:color w:val="auto"/>
                <w:szCs w:val="21"/>
                <w:highlight w:val="none"/>
              </w:rPr>
              <w:t>70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路面面层</w:t>
            </w:r>
          </w:p>
        </w:tc>
        <w:tc>
          <w:tcPr>
            <w:tcW w:w="1276" w:type="dxa"/>
            <w:tcBorders>
              <w:top w:val="nil"/>
              <w:left w:val="nil"/>
              <w:bottom w:val="nil"/>
            </w:tcBorders>
            <w:vAlign w:val="center"/>
          </w:tcPr>
          <w:p>
            <w:pPr>
              <w:jc w:val="right"/>
              <w:rPr>
                <w:rFonts w:ascii="宋体" w:hAnsi="宋体"/>
                <w:color w:val="auto"/>
                <w:szCs w:val="21"/>
                <w:highlight w:val="none"/>
              </w:rPr>
            </w:pPr>
            <w:r>
              <w:rPr>
                <w:rFonts w:ascii="宋体" w:hAnsi="宋体"/>
                <w:color w:val="auto"/>
                <w:szCs w:val="21"/>
                <w:highlight w:val="none"/>
              </w:rPr>
              <w:t>60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wave" w:color="auto" w:sz="6"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防护及排水</w:t>
            </w:r>
          </w:p>
        </w:tc>
        <w:tc>
          <w:tcPr>
            <w:tcW w:w="1276" w:type="dxa"/>
            <w:tcBorders>
              <w:top w:val="nil"/>
              <w:left w:val="nil"/>
              <w:bottom w:val="nil"/>
            </w:tcBorders>
            <w:vAlign w:val="center"/>
          </w:tcPr>
          <w:p>
            <w:pPr>
              <w:jc w:val="right"/>
              <w:rPr>
                <w:rFonts w:ascii="宋体" w:hAnsi="宋体"/>
                <w:color w:val="auto"/>
                <w:szCs w:val="21"/>
                <w:highlight w:val="none"/>
              </w:rPr>
            </w:pPr>
            <w:r>
              <w:rPr>
                <w:rFonts w:ascii="宋体" w:hAnsi="宋体"/>
                <w:color w:val="auto"/>
                <w:szCs w:val="21"/>
                <w:highlight w:val="none"/>
              </w:rPr>
              <w:t>50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tDotDash" w:color="auto" w:sz="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tcBorders>
              <w:bottom w:val="single" w:color="auto" w:sz="12" w:space="0"/>
            </w:tcBorders>
            <w:vAlign w:val="center"/>
          </w:tcPr>
          <w:p>
            <w:pPr>
              <w:jc w:val="center"/>
              <w:rPr>
                <w:rFonts w:ascii="宋体" w:hAnsi="宋体"/>
                <w:color w:val="auto"/>
                <w:szCs w:val="21"/>
                <w:highlight w:val="none"/>
              </w:rPr>
            </w:pPr>
          </w:p>
        </w:tc>
        <w:tc>
          <w:tcPr>
            <w:tcW w:w="467" w:type="dxa"/>
            <w:tcBorders>
              <w:bottom w:val="single" w:color="auto" w:sz="12" w:space="0"/>
            </w:tcBorders>
            <w:vAlign w:val="center"/>
          </w:tcPr>
          <w:p>
            <w:pPr>
              <w:jc w:val="center"/>
              <w:rPr>
                <w:rFonts w:ascii="宋体" w:hAnsi="宋体"/>
                <w:color w:val="auto"/>
                <w:szCs w:val="21"/>
                <w:highlight w:val="none"/>
              </w:rPr>
            </w:pPr>
          </w:p>
        </w:tc>
        <w:tc>
          <w:tcPr>
            <w:tcW w:w="467" w:type="dxa"/>
            <w:tcBorders>
              <w:bottom w:val="single" w:color="auto" w:sz="12" w:space="0"/>
            </w:tcBorders>
            <w:vAlign w:val="center"/>
          </w:tcPr>
          <w:p>
            <w:pPr>
              <w:jc w:val="center"/>
              <w:rPr>
                <w:rFonts w:ascii="宋体" w:hAnsi="宋体"/>
                <w:color w:val="auto"/>
                <w:szCs w:val="21"/>
                <w:highlight w:val="none"/>
              </w:rPr>
            </w:pPr>
          </w:p>
        </w:tc>
        <w:tc>
          <w:tcPr>
            <w:tcW w:w="467" w:type="dxa"/>
            <w:tcBorders>
              <w:bottom w:val="single" w:color="auto" w:sz="12" w:space="0"/>
            </w:tcBorders>
            <w:vAlign w:val="center"/>
          </w:tcPr>
          <w:p>
            <w:pPr>
              <w:jc w:val="center"/>
              <w:rPr>
                <w:rFonts w:ascii="宋体" w:hAnsi="宋体"/>
                <w:color w:val="auto"/>
                <w:szCs w:val="21"/>
                <w:highlight w:val="none"/>
              </w:rPr>
            </w:pPr>
          </w:p>
        </w:tc>
        <w:tc>
          <w:tcPr>
            <w:tcW w:w="467" w:type="dxa"/>
            <w:tcBorders>
              <w:bottom w:val="single" w:color="auto" w:sz="12" w:space="0"/>
            </w:tcBorders>
            <w:vAlign w:val="center"/>
          </w:tcPr>
          <w:p>
            <w:pPr>
              <w:jc w:val="center"/>
              <w:rPr>
                <w:rFonts w:ascii="宋体" w:hAnsi="宋体"/>
                <w:color w:val="auto"/>
                <w:szCs w:val="21"/>
                <w:highlight w:val="none"/>
              </w:rPr>
            </w:pPr>
          </w:p>
        </w:tc>
        <w:tc>
          <w:tcPr>
            <w:tcW w:w="467" w:type="dxa"/>
            <w:tcBorders>
              <w:bottom w:val="single" w:color="auto" w:sz="12" w:space="0"/>
            </w:tcBorders>
            <w:vAlign w:val="center"/>
          </w:tcPr>
          <w:p>
            <w:pPr>
              <w:jc w:val="center"/>
              <w:rPr>
                <w:rFonts w:ascii="宋体" w:hAnsi="宋体"/>
                <w:color w:val="auto"/>
                <w:szCs w:val="21"/>
                <w:highlight w:val="none"/>
              </w:rPr>
            </w:pPr>
          </w:p>
        </w:tc>
        <w:tc>
          <w:tcPr>
            <w:tcW w:w="467" w:type="dxa"/>
            <w:tcBorders>
              <w:bottom w:val="single" w:color="auto" w:sz="12" w:space="0"/>
            </w:tcBorders>
            <w:vAlign w:val="center"/>
          </w:tcPr>
          <w:p>
            <w:pPr>
              <w:jc w:val="center"/>
              <w:rPr>
                <w:rFonts w:ascii="宋体" w:hAnsi="宋体"/>
                <w:color w:val="auto"/>
                <w:szCs w:val="21"/>
                <w:highlight w:val="none"/>
              </w:rPr>
            </w:pPr>
          </w:p>
        </w:tc>
        <w:tc>
          <w:tcPr>
            <w:tcW w:w="468" w:type="dxa"/>
            <w:tcBorders>
              <w:bottom w:val="single" w:color="auto" w:sz="12" w:space="0"/>
            </w:tcBorders>
            <w:vAlign w:val="center"/>
          </w:tcPr>
          <w:p>
            <w:pPr>
              <w:jc w:val="center"/>
              <w:rPr>
                <w:rFonts w:ascii="宋体" w:hAnsi="宋体"/>
                <w:color w:val="auto"/>
                <w:szCs w:val="21"/>
                <w:highlight w:val="none"/>
              </w:rPr>
            </w:pPr>
          </w:p>
        </w:tc>
        <w:tc>
          <w:tcPr>
            <w:tcW w:w="467" w:type="dxa"/>
            <w:tcBorders>
              <w:bottom w:val="single" w:color="auto" w:sz="12" w:space="0"/>
            </w:tcBorders>
            <w:vAlign w:val="center"/>
          </w:tcPr>
          <w:p>
            <w:pPr>
              <w:jc w:val="center"/>
              <w:rPr>
                <w:rFonts w:ascii="宋体" w:hAnsi="宋体"/>
                <w:color w:val="auto"/>
                <w:szCs w:val="21"/>
                <w:highlight w:val="none"/>
              </w:rPr>
            </w:pPr>
          </w:p>
        </w:tc>
        <w:tc>
          <w:tcPr>
            <w:tcW w:w="467" w:type="dxa"/>
            <w:tcBorders>
              <w:bottom w:val="single" w:color="auto" w:sz="12" w:space="0"/>
            </w:tcBorders>
            <w:vAlign w:val="center"/>
          </w:tcPr>
          <w:p>
            <w:pPr>
              <w:jc w:val="center"/>
              <w:rPr>
                <w:rFonts w:ascii="宋体" w:hAnsi="宋体"/>
                <w:color w:val="auto"/>
                <w:szCs w:val="21"/>
                <w:highlight w:val="none"/>
              </w:rPr>
            </w:pPr>
          </w:p>
        </w:tc>
        <w:tc>
          <w:tcPr>
            <w:tcW w:w="467" w:type="dxa"/>
            <w:tcBorders>
              <w:bottom w:val="single" w:color="auto" w:sz="12" w:space="0"/>
            </w:tcBorders>
            <w:vAlign w:val="center"/>
          </w:tcPr>
          <w:p>
            <w:pPr>
              <w:jc w:val="center"/>
              <w:rPr>
                <w:rFonts w:ascii="宋体" w:hAnsi="宋体"/>
                <w:color w:val="auto"/>
                <w:szCs w:val="21"/>
                <w:highlight w:val="none"/>
              </w:rPr>
            </w:pPr>
          </w:p>
        </w:tc>
        <w:tc>
          <w:tcPr>
            <w:tcW w:w="467" w:type="dxa"/>
            <w:tcBorders>
              <w:bottom w:val="single" w:color="auto" w:sz="12" w:space="0"/>
            </w:tcBorders>
            <w:vAlign w:val="center"/>
          </w:tcPr>
          <w:p>
            <w:pPr>
              <w:jc w:val="center"/>
              <w:rPr>
                <w:rFonts w:ascii="宋体" w:hAnsi="宋体"/>
                <w:color w:val="auto"/>
                <w:szCs w:val="21"/>
                <w:highlight w:val="none"/>
              </w:rPr>
            </w:pPr>
          </w:p>
        </w:tc>
        <w:tc>
          <w:tcPr>
            <w:tcW w:w="467" w:type="dxa"/>
            <w:tcBorders>
              <w:bottom w:val="single" w:color="auto" w:sz="12" w:space="0"/>
            </w:tcBorders>
            <w:vAlign w:val="center"/>
          </w:tcPr>
          <w:p>
            <w:pPr>
              <w:jc w:val="center"/>
              <w:rPr>
                <w:rFonts w:ascii="宋体" w:hAnsi="宋体"/>
                <w:color w:val="auto"/>
                <w:szCs w:val="21"/>
                <w:highlight w:val="none"/>
              </w:rPr>
            </w:pPr>
          </w:p>
        </w:tc>
        <w:tc>
          <w:tcPr>
            <w:tcW w:w="467" w:type="dxa"/>
            <w:tcBorders>
              <w:bottom w:val="single" w:color="auto" w:sz="12" w:space="0"/>
            </w:tcBorders>
            <w:vAlign w:val="center"/>
          </w:tcPr>
          <w:p>
            <w:pPr>
              <w:jc w:val="center"/>
              <w:rPr>
                <w:rFonts w:ascii="宋体" w:hAnsi="宋体"/>
                <w:color w:val="auto"/>
                <w:szCs w:val="21"/>
                <w:highlight w:val="none"/>
              </w:rPr>
            </w:pPr>
          </w:p>
        </w:tc>
        <w:tc>
          <w:tcPr>
            <w:tcW w:w="467" w:type="dxa"/>
            <w:tcBorders>
              <w:bottom w:val="single" w:color="auto" w:sz="12" w:space="0"/>
            </w:tcBorders>
            <w:vAlign w:val="center"/>
          </w:tcPr>
          <w:p>
            <w:pPr>
              <w:jc w:val="center"/>
              <w:rPr>
                <w:rFonts w:ascii="宋体" w:hAnsi="宋体"/>
                <w:color w:val="auto"/>
                <w:szCs w:val="21"/>
                <w:highlight w:val="none"/>
              </w:rPr>
            </w:pPr>
          </w:p>
        </w:tc>
        <w:tc>
          <w:tcPr>
            <w:tcW w:w="468" w:type="dxa"/>
            <w:tcBorders>
              <w:bottom w:val="single" w:color="auto" w:sz="12" w:space="0"/>
            </w:tcBorders>
            <w:vAlign w:val="center"/>
          </w:tcPr>
          <w:p>
            <w:pPr>
              <w:jc w:val="center"/>
              <w:rPr>
                <w:rFonts w:ascii="宋体" w:hAnsi="宋体"/>
                <w:color w:val="auto"/>
                <w:szCs w:val="21"/>
                <w:highlight w:val="none"/>
              </w:rPr>
            </w:pPr>
          </w:p>
        </w:tc>
        <w:tc>
          <w:tcPr>
            <w:tcW w:w="467" w:type="dxa"/>
            <w:tcBorders>
              <w:bottom w:val="single" w:color="auto" w:sz="12" w:space="0"/>
            </w:tcBorders>
            <w:vAlign w:val="center"/>
          </w:tcPr>
          <w:p>
            <w:pPr>
              <w:jc w:val="center"/>
              <w:rPr>
                <w:rFonts w:ascii="宋体" w:hAnsi="宋体"/>
                <w:color w:val="auto"/>
                <w:szCs w:val="21"/>
                <w:highlight w:val="none"/>
              </w:rPr>
            </w:pPr>
          </w:p>
        </w:tc>
        <w:tc>
          <w:tcPr>
            <w:tcW w:w="467" w:type="dxa"/>
            <w:tcBorders>
              <w:bottom w:val="single" w:color="auto" w:sz="12" w:space="0"/>
            </w:tcBorders>
            <w:vAlign w:val="center"/>
          </w:tcPr>
          <w:p>
            <w:pPr>
              <w:jc w:val="center"/>
              <w:rPr>
                <w:rFonts w:ascii="宋体" w:hAnsi="宋体"/>
                <w:color w:val="auto"/>
                <w:szCs w:val="21"/>
                <w:highlight w:val="none"/>
              </w:rPr>
            </w:pPr>
          </w:p>
        </w:tc>
        <w:tc>
          <w:tcPr>
            <w:tcW w:w="467" w:type="dxa"/>
            <w:tcBorders>
              <w:bottom w:val="single" w:color="auto" w:sz="12" w:space="0"/>
            </w:tcBorders>
            <w:vAlign w:val="center"/>
          </w:tcPr>
          <w:p>
            <w:pPr>
              <w:jc w:val="center"/>
              <w:rPr>
                <w:rFonts w:ascii="宋体" w:hAnsi="宋体"/>
                <w:color w:val="auto"/>
                <w:szCs w:val="21"/>
                <w:highlight w:val="none"/>
              </w:rPr>
            </w:pPr>
          </w:p>
        </w:tc>
        <w:tc>
          <w:tcPr>
            <w:tcW w:w="467" w:type="dxa"/>
            <w:tcBorders>
              <w:bottom w:val="single" w:color="auto" w:sz="12" w:space="0"/>
            </w:tcBorders>
            <w:vAlign w:val="center"/>
          </w:tcPr>
          <w:p>
            <w:pPr>
              <w:jc w:val="center"/>
              <w:rPr>
                <w:rFonts w:ascii="宋体" w:hAnsi="宋体"/>
                <w:color w:val="auto"/>
                <w:szCs w:val="21"/>
                <w:highlight w:val="none"/>
              </w:rPr>
            </w:pPr>
          </w:p>
        </w:tc>
        <w:tc>
          <w:tcPr>
            <w:tcW w:w="467" w:type="dxa"/>
            <w:tcBorders>
              <w:bottom w:val="single" w:color="auto" w:sz="12" w:space="0"/>
            </w:tcBorders>
            <w:vAlign w:val="center"/>
          </w:tcPr>
          <w:p>
            <w:pPr>
              <w:jc w:val="center"/>
              <w:rPr>
                <w:rFonts w:ascii="宋体" w:hAnsi="宋体"/>
                <w:color w:val="auto"/>
                <w:szCs w:val="21"/>
                <w:highlight w:val="none"/>
              </w:rPr>
            </w:pPr>
          </w:p>
        </w:tc>
        <w:tc>
          <w:tcPr>
            <w:tcW w:w="467" w:type="dxa"/>
            <w:tcBorders>
              <w:bottom w:val="single" w:color="auto" w:sz="12" w:space="0"/>
            </w:tcBorders>
            <w:vAlign w:val="center"/>
          </w:tcPr>
          <w:p>
            <w:pPr>
              <w:jc w:val="center"/>
              <w:rPr>
                <w:rFonts w:ascii="宋体" w:hAnsi="宋体"/>
                <w:color w:val="auto"/>
                <w:szCs w:val="21"/>
                <w:highlight w:val="none"/>
              </w:rPr>
            </w:pPr>
          </w:p>
        </w:tc>
        <w:tc>
          <w:tcPr>
            <w:tcW w:w="468" w:type="dxa"/>
            <w:tcBorders>
              <w:bottom w:val="single" w:color="auto" w:sz="12" w:space="0"/>
            </w:tcBorders>
            <w:vAlign w:val="center"/>
          </w:tcPr>
          <w:p>
            <w:pPr>
              <w:jc w:val="center"/>
              <w:rPr>
                <w:rFonts w:ascii="宋体" w:hAnsi="宋体"/>
                <w:color w:val="auto"/>
                <w:szCs w:val="21"/>
                <w:highlight w:val="none"/>
              </w:rPr>
            </w:pPr>
          </w:p>
        </w:tc>
      </w:tr>
    </w:tbl>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应按标段实际工程内容填写。</w:t>
      </w:r>
    </w:p>
    <w:p>
      <w:pPr>
        <w:rPr>
          <w:rFonts w:ascii="宋体" w:hAnsi="宋体"/>
          <w:color w:val="auto"/>
          <w:szCs w:val="21"/>
          <w:highlight w:val="none"/>
        </w:rPr>
        <w:sectPr>
          <w:headerReference r:id="rId24" w:type="first"/>
          <w:headerReference r:id="rId23" w:type="default"/>
          <w:footerReference r:id="rId25" w:type="default"/>
          <w:type w:val="continuous"/>
          <w:pgSz w:w="16843" w:h="11900" w:orient="landscape"/>
          <w:pgMar w:top="1531" w:right="1417" w:bottom="1417" w:left="1417" w:header="850" w:footer="992" w:gutter="0"/>
          <w:pgNumType w:fmt="decimal"/>
          <w:cols w:space="720" w:num="1"/>
          <w:titlePg/>
          <w:docGrid w:linePitch="312" w:charSpace="0"/>
        </w:sectPr>
      </w:pPr>
      <w:r>
        <w:rPr>
          <w:rFonts w:ascii="宋体" w:hAnsi="宋体"/>
          <w:color w:val="auto"/>
          <w:szCs w:val="21"/>
          <w:highlight w:val="none"/>
        </w:rPr>
        <w:t xml:space="preserve">    2.</w:t>
      </w:r>
      <w:r>
        <w:rPr>
          <w:rFonts w:hint="eastAsia" w:ascii="宋体" w:hAnsi="宋体"/>
          <w:color w:val="auto"/>
          <w:szCs w:val="21"/>
          <w:highlight w:val="none"/>
        </w:rPr>
        <w:t>各个项目的进程可用线条的长短来表示</w:t>
      </w:r>
    </w:p>
    <w:p>
      <w:pPr>
        <w:pStyle w:val="6"/>
        <w:keepNext w:val="0"/>
        <w:spacing w:before="120" w:beforeLines="50" w:after="120" w:afterLines="50" w:line="400" w:lineRule="exact"/>
        <w:jc w:val="both"/>
        <w:rPr>
          <w:rFonts w:ascii="宋体" w:hAnsi="宋体" w:cs="宋体"/>
          <w:color w:val="auto"/>
          <w:kern w:val="2"/>
          <w:sz w:val="28"/>
          <w:szCs w:val="28"/>
          <w:highlight w:val="none"/>
        </w:rPr>
      </w:pPr>
      <w:bookmarkStart w:id="333" w:name="_Toc15876"/>
      <w:bookmarkStart w:id="334" w:name="_Toc16883"/>
      <w:bookmarkStart w:id="335" w:name="_Toc7172"/>
      <w:r>
        <w:rPr>
          <w:rFonts w:hint="eastAsia" w:ascii="宋体" w:hAnsi="宋体" w:cs="宋体"/>
          <w:color w:val="auto"/>
          <w:kern w:val="2"/>
          <w:sz w:val="28"/>
          <w:szCs w:val="28"/>
          <w:highlight w:val="none"/>
        </w:rPr>
        <w:t>附表三  工程管理曲线</w:t>
      </w:r>
      <w:bookmarkEnd w:id="333"/>
      <w:bookmarkEnd w:id="334"/>
      <w:bookmarkEnd w:id="335"/>
    </w:p>
    <w:tbl>
      <w:tblPr>
        <w:tblStyle w:val="47"/>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restart"/>
            <w:tcBorders>
              <w:top w:val="single" w:color="auto" w:sz="12" w:space="0"/>
              <w:tl2br w:val="single" w:color="auto" w:sz="6" w:space="0"/>
            </w:tcBorders>
            <w:vAlign w:val="center"/>
          </w:tcPr>
          <w:p>
            <w:pPr>
              <w:jc w:val="center"/>
              <w:rPr>
                <w:rFonts w:ascii="宋体" w:hAnsi="宋体"/>
                <w:color w:val="auto"/>
                <w:highlight w:val="none"/>
              </w:rPr>
            </w:pPr>
            <w:r>
              <w:rPr>
                <w:rFonts w:ascii="宋体"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41275</wp:posOffset>
                      </wp:positionV>
                      <wp:extent cx="1375410" cy="281940"/>
                      <wp:effectExtent l="7620" t="12700" r="7620" b="1016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1375410" cy="28194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5pt;margin-top:3.25pt;height:22.2pt;width:108.3pt;z-index:251660288;mso-width-relative:page;mso-height-relative:page;" filled="f" stroked="t" coordsize="21600,21600" o:gfxdata="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e6NtK1QAAAAcB&#10;AAAPAAAAAAAAAAEAIAAAACIAAABkcnMvZG93bnJldi54bWxQSwECFAAUAAAACACHTuJAzB+PYeUB&#10;AACDAwAADgAAAAAAAAABACAAAAAkAQAAZHJzL2Uyb0RvYy54bWxQSwUGAAAAAAYABgBZAQAAewUA&#10;AAAA&#10;">
                      <v:fill on="f" focussize="0,0"/>
                      <v:stroke color="#000000" joinstyle="round"/>
                      <v:imagedata o:title=""/>
                      <o:lock v:ext="edit" aspectratio="f"/>
                    </v:shape>
                  </w:pict>
                </mc:Fallback>
              </mc:AlternateContent>
            </w:r>
            <w:r>
              <w:rPr>
                <w:rFonts w:hint="eastAsia" w:ascii="宋体" w:hAnsi="宋体"/>
                <w:color w:val="auto"/>
                <w:highlight w:val="none"/>
              </w:rPr>
              <w:t xml:space="preserve">             年度</w:t>
            </w:r>
          </w:p>
          <w:p>
            <w:pPr>
              <w:jc w:val="center"/>
              <w:rPr>
                <w:rFonts w:ascii="宋体" w:hAnsi="宋体"/>
                <w:color w:val="auto"/>
                <w:highlight w:val="none"/>
              </w:rPr>
            </w:pPr>
            <w:r>
              <w:rPr>
                <w:rFonts w:ascii="宋体" w:hAnsi="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39370</wp:posOffset>
                      </wp:positionV>
                      <wp:extent cx="217805" cy="273685"/>
                      <wp:effectExtent l="0" t="0" r="0" b="0"/>
                      <wp:wrapNone/>
                      <wp:docPr id="7" name="矩形 7"/>
                      <wp:cNvGraphicFramePr/>
                      <a:graphic xmlns:a="http://schemas.openxmlformats.org/drawingml/2006/main">
                        <a:graphicData uri="http://schemas.microsoft.com/office/word/2010/wordprocessingShape">
                          <wps:wsp>
                            <wps:cNvSpPr/>
                            <wps:spPr>
                              <a:xfrm>
                                <a:off x="0" y="0"/>
                                <a:ext cx="217805" cy="273685"/>
                              </a:xfrm>
                              <a:prstGeom prst="rect">
                                <a:avLst/>
                              </a:prstGeom>
                              <a:noFill/>
                              <a:ln w="9525">
                                <a:noFill/>
                              </a:ln>
                            </wps:spPr>
                            <wps:txbx>
                              <w:txbxContent>
                                <w:p>
                                  <w:r>
                                    <w:rPr>
                                      <w:rFonts w:hint="eastAsia"/>
                                    </w:rPr>
                                    <w:t>季</w:t>
                                  </w:r>
                                </w:p>
                              </w:txbxContent>
                            </wps:txbx>
                            <wps:bodyPr upright="1"/>
                          </wps:wsp>
                        </a:graphicData>
                      </a:graphic>
                    </wp:anchor>
                  </w:drawing>
                </mc:Choice>
                <mc:Fallback>
                  <w:pict>
                    <v:rect id="_x0000_s1026" o:spid="_x0000_s1026" o:spt="1" style="position:absolute;left:0pt;margin-left:59.25pt;margin-top:3.1pt;height:21.55pt;width:17.15pt;z-index:251661312;mso-width-relative:page;mso-height-relative:page;" filled="f" stroked="f" coordsize="21600,21600" o:gfxdata="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WHqKnZAAAACAEAAA8AAAAAAAAAAQAgAAAAIgAAAGRycy9kb3du&#10;cmV2LnhtbFBLAQIUABQAAAAIAIdO4kAPCsxPjAEAAPsCAAAOAAAAAAAAAAEAIAAAACgBAABkcnMv&#10;ZTJvRG9jLnhtbFBLBQYAAAAABgAGAFkBAAAmBQAAAAA=&#10;">
                      <v:fill on="f" focussize="0,0"/>
                      <v:stroke on="f"/>
                      <v:imagedata o:title=""/>
                      <o:lock v:ext="edit" aspectratio="f"/>
                      <v:textbox>
                        <w:txbxContent>
                          <w:p>
                            <w:r>
                              <w:rPr>
                                <w:rFonts w:hint="eastAsia"/>
                              </w:rPr>
                              <w:t>季</w:t>
                            </w:r>
                          </w:p>
                        </w:txbxContent>
                      </v:textbox>
                    </v:rect>
                  </w:pict>
                </mc:Fallback>
              </mc:AlternateContent>
            </w:r>
          </w:p>
          <w:p>
            <w:pPr>
              <w:jc w:val="center"/>
              <w:rPr>
                <w:rFonts w:ascii="宋体" w:hAnsi="宋体"/>
                <w:color w:val="auto"/>
                <w:highlight w:val="none"/>
              </w:rPr>
            </w:pPr>
          </w:p>
          <w:p>
            <w:pPr>
              <w:jc w:val="center"/>
              <w:rPr>
                <w:rFonts w:ascii="宋体" w:hAnsi="宋体"/>
                <w:color w:val="auto"/>
                <w:highlight w:val="none"/>
              </w:rPr>
            </w:pPr>
            <w:r>
              <w:rPr>
                <w:rFonts w:ascii="宋体" w:hAnsi="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1066800</wp:posOffset>
                      </wp:positionH>
                      <wp:positionV relativeFrom="paragraph">
                        <wp:posOffset>-5715</wp:posOffset>
                      </wp:positionV>
                      <wp:extent cx="217805" cy="273685"/>
                      <wp:effectExtent l="0" t="0" r="0" b="0"/>
                      <wp:wrapNone/>
                      <wp:docPr id="8" name="矩形 8"/>
                      <wp:cNvGraphicFramePr/>
                      <a:graphic xmlns:a="http://schemas.openxmlformats.org/drawingml/2006/main">
                        <a:graphicData uri="http://schemas.microsoft.com/office/word/2010/wordprocessingShape">
                          <wps:wsp>
                            <wps:cNvSpPr/>
                            <wps:spPr>
                              <a:xfrm>
                                <a:off x="0" y="0"/>
                                <a:ext cx="217805" cy="273685"/>
                              </a:xfrm>
                              <a:prstGeom prst="rect">
                                <a:avLst/>
                              </a:prstGeom>
                              <a:noFill/>
                              <a:ln w="9525">
                                <a:noFill/>
                              </a:ln>
                            </wps:spPr>
                            <wps:txbx>
                              <w:txbxContent>
                                <w:p>
                                  <w:r>
                                    <w:rPr>
                                      <w:rFonts w:hint="eastAsia"/>
                                    </w:rPr>
                                    <w:t>度</w:t>
                                  </w:r>
                                </w:p>
                              </w:txbxContent>
                            </wps:txbx>
                            <wps:bodyPr upright="1"/>
                          </wps:wsp>
                        </a:graphicData>
                      </a:graphic>
                    </wp:anchor>
                  </w:drawing>
                </mc:Choice>
                <mc:Fallback>
                  <w:pict>
                    <v:rect id="_x0000_s1026" o:spid="_x0000_s1026" o:spt="1" style="position:absolute;left:0pt;margin-left:84pt;margin-top:-0.45pt;height:21.55pt;width:17.15pt;z-index:251664384;mso-width-relative:page;mso-height-relative:page;" filled="f" stroked="f" coordsize="21600,21600"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MIDcOHZAAAACAEAAA8AAAAAAAAAAQAgAAAAIgAAAGRycy9kb3du&#10;cmV2LnhtbFBLAQIUABQAAAAIAIdO4kA8aXjgjAEAAPsCAAAOAAAAAAAAAAEAIAAAACgBAABkcnMv&#10;ZTJvRG9jLnhtbFBLBQYAAAAABgAGAFkBAAAmBQAAAAA=&#10;">
                      <v:fill on="f" focussize="0,0"/>
                      <v:stroke on="f"/>
                      <v:imagedata o:title=""/>
                      <o:lock v:ext="edit" aspectratio="f"/>
                      <v:textbox>
                        <w:txbxContent>
                          <w:p>
                            <w:r>
                              <w:rPr>
                                <w:rFonts w:hint="eastAsia"/>
                              </w:rPr>
                              <w:t>度</w:t>
                            </w:r>
                          </w:p>
                        </w:txbxContent>
                      </v:textbox>
                    </v:rect>
                  </w:pict>
                </mc:Fallback>
              </mc:AlternateContent>
            </w:r>
          </w:p>
          <w:p>
            <w:pPr>
              <w:jc w:val="left"/>
              <w:rPr>
                <w:rFonts w:ascii="宋体" w:hAnsi="宋体"/>
                <w:color w:val="auto"/>
                <w:highlight w:val="none"/>
              </w:rPr>
            </w:pPr>
          </w:p>
          <w:p>
            <w:pPr>
              <w:jc w:val="left"/>
              <w:rPr>
                <w:rFonts w:ascii="宋体" w:hAnsi="宋体"/>
                <w:color w:val="auto"/>
                <w:highlight w:val="none"/>
              </w:rPr>
            </w:pPr>
            <w:r>
              <w:rPr>
                <w:rFonts w:hint="eastAsia" w:ascii="宋体" w:hAnsi="宋体"/>
                <w:color w:val="auto"/>
                <w:highlight w:val="none"/>
              </w:rPr>
              <w:t>进度</w:t>
            </w:r>
          </w:p>
        </w:tc>
        <w:tc>
          <w:tcPr>
            <w:tcW w:w="4537" w:type="dxa"/>
            <w:gridSpan w:val="12"/>
            <w:tcBorders>
              <w:top w:val="single" w:color="auto" w:sz="12" w:space="0"/>
            </w:tcBorders>
            <w:vAlign w:val="center"/>
          </w:tcPr>
          <w:p>
            <w:pPr>
              <w:jc w:val="center"/>
              <w:rPr>
                <w:rFonts w:ascii="宋体" w:hAnsi="宋体"/>
                <w:color w:val="auto"/>
                <w:highlight w:val="none"/>
              </w:rPr>
            </w:pPr>
            <w:r>
              <w:rPr>
                <w:rFonts w:hint="eastAsia" w:ascii="宋体" w:hAnsi="宋体"/>
                <w:color w:val="auto"/>
                <w:szCs w:val="21"/>
                <w:highlight w:val="none"/>
              </w:rPr>
              <w:t>年</w:t>
            </w:r>
          </w:p>
        </w:tc>
        <w:tc>
          <w:tcPr>
            <w:tcW w:w="2896" w:type="dxa"/>
            <w:gridSpan w:val="8"/>
            <w:tcBorders>
              <w:top w:val="single" w:color="auto" w:sz="12" w:space="0"/>
            </w:tcBorders>
            <w:vAlign w:val="center"/>
          </w:tcPr>
          <w:p>
            <w:pPr>
              <w:jc w:val="center"/>
              <w:rPr>
                <w:rFonts w:ascii="宋体" w:hAnsi="宋体"/>
                <w:color w:val="auto"/>
                <w:highlight w:val="none"/>
              </w:rPr>
            </w:pP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left"/>
              <w:rPr>
                <w:rFonts w:ascii="宋体" w:hAnsi="宋体"/>
                <w:color w:val="auto"/>
                <w:highlight w:val="none"/>
              </w:rPr>
            </w:pPr>
          </w:p>
        </w:tc>
        <w:tc>
          <w:tcPr>
            <w:tcW w:w="1093" w:type="dxa"/>
            <w:gridSpan w:val="3"/>
            <w:vAlign w:val="center"/>
          </w:tcPr>
          <w:p>
            <w:pPr>
              <w:jc w:val="center"/>
              <w:rPr>
                <w:rFonts w:ascii="宋体" w:hAnsi="宋体"/>
                <w:color w:val="auto"/>
                <w:highlight w:val="none"/>
              </w:rPr>
            </w:pPr>
            <w:r>
              <w:rPr>
                <w:rFonts w:hint="eastAsia" w:ascii="宋体" w:hAnsi="宋体"/>
                <w:color w:val="auto"/>
                <w:highlight w:val="none"/>
              </w:rPr>
              <w:t>一</w:t>
            </w:r>
          </w:p>
        </w:tc>
        <w:tc>
          <w:tcPr>
            <w:tcW w:w="1089" w:type="dxa"/>
            <w:gridSpan w:val="3"/>
            <w:vAlign w:val="center"/>
          </w:tcPr>
          <w:p>
            <w:pPr>
              <w:jc w:val="center"/>
              <w:rPr>
                <w:rFonts w:ascii="宋体" w:hAnsi="宋体"/>
                <w:color w:val="auto"/>
                <w:highlight w:val="none"/>
              </w:rPr>
            </w:pPr>
            <w:r>
              <w:rPr>
                <w:rFonts w:hint="eastAsia" w:ascii="宋体" w:hAnsi="宋体"/>
                <w:color w:val="auto"/>
                <w:highlight w:val="none"/>
              </w:rPr>
              <w:t>二</w:t>
            </w:r>
          </w:p>
        </w:tc>
        <w:tc>
          <w:tcPr>
            <w:tcW w:w="1084" w:type="dxa"/>
            <w:gridSpan w:val="3"/>
            <w:vAlign w:val="center"/>
          </w:tcPr>
          <w:p>
            <w:pPr>
              <w:jc w:val="center"/>
              <w:rPr>
                <w:rFonts w:ascii="宋体" w:hAnsi="宋体"/>
                <w:color w:val="auto"/>
                <w:highlight w:val="none"/>
              </w:rPr>
            </w:pPr>
            <w:r>
              <w:rPr>
                <w:rFonts w:hint="eastAsia" w:ascii="宋体" w:hAnsi="宋体"/>
                <w:color w:val="auto"/>
                <w:highlight w:val="none"/>
              </w:rPr>
              <w:t>三</w:t>
            </w:r>
          </w:p>
        </w:tc>
        <w:tc>
          <w:tcPr>
            <w:tcW w:w="1271" w:type="dxa"/>
            <w:gridSpan w:val="3"/>
            <w:vAlign w:val="center"/>
          </w:tcPr>
          <w:p>
            <w:pPr>
              <w:jc w:val="center"/>
              <w:rPr>
                <w:rFonts w:ascii="宋体" w:hAnsi="宋体"/>
                <w:color w:val="auto"/>
                <w:highlight w:val="none"/>
              </w:rPr>
            </w:pPr>
            <w:r>
              <w:rPr>
                <w:rFonts w:hint="eastAsia" w:ascii="宋体" w:hAnsi="宋体"/>
                <w:color w:val="auto"/>
                <w:highlight w:val="none"/>
              </w:rPr>
              <w:t>四</w:t>
            </w:r>
          </w:p>
        </w:tc>
        <w:tc>
          <w:tcPr>
            <w:tcW w:w="1084" w:type="dxa"/>
            <w:gridSpan w:val="3"/>
            <w:vAlign w:val="center"/>
          </w:tcPr>
          <w:p>
            <w:pPr>
              <w:jc w:val="center"/>
              <w:rPr>
                <w:rFonts w:ascii="宋体" w:hAnsi="宋体"/>
                <w:color w:val="auto"/>
                <w:highlight w:val="none"/>
              </w:rPr>
            </w:pPr>
            <w:r>
              <w:rPr>
                <w:rFonts w:hint="eastAsia" w:ascii="宋体" w:hAnsi="宋体"/>
                <w:color w:val="auto"/>
                <w:highlight w:val="none"/>
              </w:rPr>
              <w:t>一</w:t>
            </w:r>
          </w:p>
        </w:tc>
        <w:tc>
          <w:tcPr>
            <w:tcW w:w="1088" w:type="dxa"/>
            <w:gridSpan w:val="3"/>
            <w:vAlign w:val="center"/>
          </w:tcPr>
          <w:p>
            <w:pPr>
              <w:jc w:val="center"/>
              <w:rPr>
                <w:rFonts w:ascii="宋体" w:hAnsi="宋体"/>
                <w:color w:val="auto"/>
                <w:highlight w:val="none"/>
              </w:rPr>
            </w:pPr>
            <w:r>
              <w:rPr>
                <w:rFonts w:hint="eastAsia" w:ascii="宋体" w:hAnsi="宋体"/>
                <w:color w:val="auto"/>
                <w:highlight w:val="none"/>
              </w:rPr>
              <w:t>二</w:t>
            </w:r>
          </w:p>
        </w:tc>
        <w:tc>
          <w:tcPr>
            <w:tcW w:w="724" w:type="dxa"/>
            <w:gridSpan w:val="2"/>
            <w:vAlign w:val="center"/>
          </w:tcPr>
          <w:p>
            <w:pPr>
              <w:jc w:val="center"/>
              <w:rPr>
                <w:rFonts w:ascii="宋体" w:hAnsi="宋体"/>
                <w:color w:val="auto"/>
                <w:highlight w:val="none"/>
              </w:rPr>
            </w:pPr>
            <w:r>
              <w:rPr>
                <w:rFonts w:hint="eastAsia" w:ascii="宋体" w:hAnsi="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9" w:hRule="exact"/>
          <w:jc w:val="center"/>
        </w:trPr>
        <w:tc>
          <w:tcPr>
            <w:tcW w:w="2206" w:type="dxa"/>
            <w:vMerge w:val="continue"/>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r>
              <w:rPr>
                <w:rFonts w:ascii="宋体" w:hAnsi="宋体"/>
                <w:color w:val="auto"/>
                <w:highlight w:val="none"/>
              </w:rPr>
              <w:t>1</w:t>
            </w:r>
          </w:p>
        </w:tc>
        <w:tc>
          <w:tcPr>
            <w:tcW w:w="361" w:type="dxa"/>
            <w:vAlign w:val="center"/>
          </w:tcPr>
          <w:p>
            <w:pPr>
              <w:jc w:val="center"/>
              <w:rPr>
                <w:rFonts w:ascii="宋体" w:hAnsi="宋体"/>
                <w:color w:val="auto"/>
                <w:highlight w:val="none"/>
              </w:rPr>
            </w:pPr>
            <w:r>
              <w:rPr>
                <w:rFonts w:ascii="宋体" w:hAnsi="宋体"/>
                <w:color w:val="auto"/>
                <w:highlight w:val="none"/>
              </w:rPr>
              <w:t>2</w:t>
            </w:r>
          </w:p>
        </w:tc>
        <w:tc>
          <w:tcPr>
            <w:tcW w:w="371" w:type="dxa"/>
            <w:vAlign w:val="center"/>
          </w:tcPr>
          <w:p>
            <w:pPr>
              <w:jc w:val="center"/>
              <w:rPr>
                <w:rFonts w:ascii="宋体" w:hAnsi="宋体"/>
                <w:color w:val="auto"/>
                <w:highlight w:val="none"/>
              </w:rPr>
            </w:pPr>
            <w:r>
              <w:rPr>
                <w:rFonts w:ascii="宋体" w:hAnsi="宋体"/>
                <w:color w:val="auto"/>
                <w:highlight w:val="none"/>
              </w:rPr>
              <w:t>3</w:t>
            </w:r>
          </w:p>
        </w:tc>
        <w:tc>
          <w:tcPr>
            <w:tcW w:w="361" w:type="dxa"/>
            <w:vAlign w:val="center"/>
          </w:tcPr>
          <w:p>
            <w:pPr>
              <w:jc w:val="center"/>
              <w:rPr>
                <w:rFonts w:ascii="宋体" w:hAnsi="宋体"/>
                <w:color w:val="auto"/>
                <w:highlight w:val="none"/>
              </w:rPr>
            </w:pPr>
            <w:r>
              <w:rPr>
                <w:rFonts w:ascii="宋体" w:hAnsi="宋体"/>
                <w:color w:val="auto"/>
                <w:highlight w:val="none"/>
              </w:rPr>
              <w:t>4</w:t>
            </w:r>
          </w:p>
        </w:tc>
        <w:tc>
          <w:tcPr>
            <w:tcW w:w="361" w:type="dxa"/>
            <w:vAlign w:val="center"/>
          </w:tcPr>
          <w:p>
            <w:pPr>
              <w:jc w:val="center"/>
              <w:rPr>
                <w:rFonts w:ascii="宋体" w:hAnsi="宋体"/>
                <w:color w:val="auto"/>
                <w:highlight w:val="none"/>
              </w:rPr>
            </w:pPr>
            <w:r>
              <w:rPr>
                <w:rFonts w:ascii="宋体" w:hAnsi="宋体"/>
                <w:color w:val="auto"/>
                <w:highlight w:val="none"/>
              </w:rPr>
              <w:t>5</w:t>
            </w:r>
          </w:p>
        </w:tc>
        <w:tc>
          <w:tcPr>
            <w:tcW w:w="367" w:type="dxa"/>
            <w:vAlign w:val="center"/>
          </w:tcPr>
          <w:p>
            <w:pPr>
              <w:jc w:val="center"/>
              <w:rPr>
                <w:rFonts w:ascii="宋体" w:hAnsi="宋体"/>
                <w:color w:val="auto"/>
                <w:highlight w:val="none"/>
              </w:rPr>
            </w:pPr>
            <w:r>
              <w:rPr>
                <w:rFonts w:ascii="宋体" w:hAnsi="宋体"/>
                <w:color w:val="auto"/>
                <w:highlight w:val="none"/>
              </w:rPr>
              <w:t>6</w:t>
            </w:r>
          </w:p>
        </w:tc>
        <w:tc>
          <w:tcPr>
            <w:tcW w:w="360" w:type="dxa"/>
            <w:vAlign w:val="center"/>
          </w:tcPr>
          <w:p>
            <w:pPr>
              <w:jc w:val="center"/>
              <w:rPr>
                <w:rFonts w:ascii="宋体" w:hAnsi="宋体"/>
                <w:color w:val="auto"/>
                <w:highlight w:val="none"/>
              </w:rPr>
            </w:pPr>
            <w:r>
              <w:rPr>
                <w:rFonts w:ascii="宋体" w:hAnsi="宋体"/>
                <w:color w:val="auto"/>
                <w:highlight w:val="none"/>
              </w:rPr>
              <w:t>7</w:t>
            </w:r>
          </w:p>
        </w:tc>
        <w:tc>
          <w:tcPr>
            <w:tcW w:w="360" w:type="dxa"/>
            <w:vAlign w:val="center"/>
          </w:tcPr>
          <w:p>
            <w:pPr>
              <w:jc w:val="center"/>
              <w:rPr>
                <w:rFonts w:ascii="宋体" w:hAnsi="宋体"/>
                <w:color w:val="auto"/>
                <w:highlight w:val="none"/>
              </w:rPr>
            </w:pPr>
            <w:r>
              <w:rPr>
                <w:rFonts w:ascii="宋体" w:hAnsi="宋体"/>
                <w:color w:val="auto"/>
                <w:highlight w:val="none"/>
              </w:rPr>
              <w:t>8</w:t>
            </w:r>
          </w:p>
        </w:tc>
        <w:tc>
          <w:tcPr>
            <w:tcW w:w="364" w:type="dxa"/>
            <w:vAlign w:val="center"/>
          </w:tcPr>
          <w:p>
            <w:pPr>
              <w:jc w:val="center"/>
              <w:rPr>
                <w:rFonts w:ascii="宋体" w:hAnsi="宋体"/>
                <w:color w:val="auto"/>
                <w:highlight w:val="none"/>
              </w:rPr>
            </w:pPr>
            <w:r>
              <w:rPr>
                <w:rFonts w:ascii="宋体" w:hAnsi="宋体"/>
                <w:color w:val="auto"/>
                <w:highlight w:val="none"/>
              </w:rPr>
              <w:t>9</w:t>
            </w:r>
          </w:p>
        </w:tc>
        <w:tc>
          <w:tcPr>
            <w:tcW w:w="426" w:type="dxa"/>
            <w:vAlign w:val="center"/>
          </w:tcPr>
          <w:p>
            <w:pPr>
              <w:jc w:val="center"/>
              <w:rPr>
                <w:rFonts w:ascii="宋体" w:hAnsi="宋体"/>
                <w:color w:val="auto"/>
                <w:highlight w:val="none"/>
              </w:rPr>
            </w:pPr>
            <w:r>
              <w:rPr>
                <w:rFonts w:ascii="宋体" w:hAnsi="宋体"/>
                <w:color w:val="auto"/>
                <w:highlight w:val="none"/>
              </w:rPr>
              <w:t>10</w:t>
            </w:r>
          </w:p>
        </w:tc>
        <w:tc>
          <w:tcPr>
            <w:tcW w:w="419" w:type="dxa"/>
            <w:vAlign w:val="center"/>
          </w:tcPr>
          <w:p>
            <w:pPr>
              <w:jc w:val="center"/>
              <w:rPr>
                <w:rFonts w:ascii="宋体" w:hAnsi="宋体"/>
                <w:color w:val="auto"/>
                <w:highlight w:val="none"/>
              </w:rPr>
            </w:pPr>
            <w:r>
              <w:rPr>
                <w:rFonts w:ascii="宋体" w:hAnsi="宋体"/>
                <w:color w:val="auto"/>
                <w:highlight w:val="none"/>
              </w:rPr>
              <w:t>11</w:t>
            </w:r>
          </w:p>
        </w:tc>
        <w:tc>
          <w:tcPr>
            <w:tcW w:w="426" w:type="dxa"/>
            <w:vAlign w:val="center"/>
          </w:tcPr>
          <w:p>
            <w:pPr>
              <w:jc w:val="center"/>
              <w:rPr>
                <w:rFonts w:ascii="宋体" w:hAnsi="宋体"/>
                <w:color w:val="auto"/>
                <w:highlight w:val="none"/>
              </w:rPr>
            </w:pPr>
            <w:r>
              <w:rPr>
                <w:rFonts w:ascii="宋体" w:hAnsi="宋体"/>
                <w:color w:val="auto"/>
                <w:highlight w:val="none"/>
              </w:rPr>
              <w:t>12</w:t>
            </w:r>
          </w:p>
        </w:tc>
        <w:tc>
          <w:tcPr>
            <w:tcW w:w="360" w:type="dxa"/>
            <w:vAlign w:val="center"/>
          </w:tcPr>
          <w:p>
            <w:pPr>
              <w:jc w:val="center"/>
              <w:rPr>
                <w:rFonts w:ascii="宋体" w:hAnsi="宋体"/>
                <w:color w:val="auto"/>
                <w:highlight w:val="none"/>
              </w:rPr>
            </w:pPr>
            <w:r>
              <w:rPr>
                <w:rFonts w:ascii="宋体" w:hAnsi="宋体"/>
                <w:color w:val="auto"/>
                <w:highlight w:val="none"/>
              </w:rPr>
              <w:t>1</w:t>
            </w:r>
          </w:p>
        </w:tc>
        <w:tc>
          <w:tcPr>
            <w:tcW w:w="360" w:type="dxa"/>
            <w:vAlign w:val="center"/>
          </w:tcPr>
          <w:p>
            <w:pPr>
              <w:jc w:val="center"/>
              <w:rPr>
                <w:rFonts w:ascii="宋体" w:hAnsi="宋体"/>
                <w:color w:val="auto"/>
                <w:highlight w:val="none"/>
              </w:rPr>
            </w:pPr>
            <w:r>
              <w:rPr>
                <w:rFonts w:ascii="宋体" w:hAnsi="宋体"/>
                <w:color w:val="auto"/>
                <w:highlight w:val="none"/>
              </w:rPr>
              <w:t>2</w:t>
            </w:r>
          </w:p>
        </w:tc>
        <w:tc>
          <w:tcPr>
            <w:tcW w:w="364" w:type="dxa"/>
            <w:vAlign w:val="center"/>
          </w:tcPr>
          <w:p>
            <w:pPr>
              <w:jc w:val="center"/>
              <w:rPr>
                <w:rFonts w:ascii="宋体" w:hAnsi="宋体"/>
                <w:color w:val="auto"/>
                <w:highlight w:val="none"/>
              </w:rPr>
            </w:pPr>
            <w:r>
              <w:rPr>
                <w:rFonts w:ascii="宋体" w:hAnsi="宋体"/>
                <w:color w:val="auto"/>
                <w:highlight w:val="none"/>
              </w:rPr>
              <w:t>3</w:t>
            </w:r>
          </w:p>
        </w:tc>
        <w:tc>
          <w:tcPr>
            <w:tcW w:w="362" w:type="dxa"/>
            <w:vAlign w:val="center"/>
          </w:tcPr>
          <w:p>
            <w:pPr>
              <w:jc w:val="center"/>
              <w:rPr>
                <w:rFonts w:ascii="宋体" w:hAnsi="宋体"/>
                <w:color w:val="auto"/>
                <w:highlight w:val="none"/>
              </w:rPr>
            </w:pPr>
            <w:r>
              <w:rPr>
                <w:rFonts w:ascii="宋体" w:hAnsi="宋体"/>
                <w:color w:val="auto"/>
                <w:highlight w:val="none"/>
              </w:rPr>
              <w:t>4</w:t>
            </w:r>
          </w:p>
        </w:tc>
        <w:tc>
          <w:tcPr>
            <w:tcW w:w="362" w:type="dxa"/>
            <w:vAlign w:val="center"/>
          </w:tcPr>
          <w:p>
            <w:pPr>
              <w:jc w:val="center"/>
              <w:rPr>
                <w:rFonts w:ascii="宋体" w:hAnsi="宋体"/>
                <w:color w:val="auto"/>
                <w:highlight w:val="none"/>
              </w:rPr>
            </w:pPr>
            <w:r>
              <w:rPr>
                <w:rFonts w:ascii="宋体" w:hAnsi="宋体"/>
                <w:color w:val="auto"/>
                <w:highlight w:val="none"/>
              </w:rPr>
              <w:t>5</w:t>
            </w:r>
          </w:p>
        </w:tc>
        <w:tc>
          <w:tcPr>
            <w:tcW w:w="364" w:type="dxa"/>
            <w:vAlign w:val="center"/>
          </w:tcPr>
          <w:p>
            <w:pPr>
              <w:jc w:val="center"/>
              <w:rPr>
                <w:rFonts w:ascii="宋体" w:hAnsi="宋体"/>
                <w:color w:val="auto"/>
                <w:highlight w:val="none"/>
              </w:rPr>
            </w:pPr>
            <w:r>
              <w:rPr>
                <w:rFonts w:ascii="宋体" w:hAnsi="宋体"/>
                <w:color w:val="auto"/>
                <w:highlight w:val="none"/>
              </w:rPr>
              <w:t>6</w:t>
            </w:r>
          </w:p>
        </w:tc>
        <w:tc>
          <w:tcPr>
            <w:tcW w:w="362" w:type="dxa"/>
            <w:vAlign w:val="center"/>
          </w:tcPr>
          <w:p>
            <w:pPr>
              <w:jc w:val="center"/>
              <w:rPr>
                <w:rFonts w:ascii="宋体" w:hAnsi="宋体"/>
                <w:color w:val="auto"/>
                <w:highlight w:val="none"/>
              </w:rPr>
            </w:pPr>
            <w:r>
              <w:rPr>
                <w:rFonts w:hint="eastAsia" w:ascii="宋体" w:hAnsi="宋体"/>
                <w:color w:val="auto"/>
                <w:highlight w:val="none"/>
              </w:rPr>
              <w:t>7</w:t>
            </w:r>
          </w:p>
        </w:tc>
        <w:tc>
          <w:tcPr>
            <w:tcW w:w="362" w:type="dxa"/>
            <w:vAlign w:val="center"/>
          </w:tcPr>
          <w:p>
            <w:pPr>
              <w:jc w:val="center"/>
              <w:rPr>
                <w:rFonts w:ascii="宋体" w:hAnsi="宋体"/>
                <w:color w:val="auto"/>
                <w:highlight w:val="none"/>
              </w:rPr>
            </w:pPr>
            <w:r>
              <w:rPr>
                <w:rFonts w:hint="eastAsia" w:ascii="宋体" w:hAnsi="宋体"/>
                <w:color w:val="auto"/>
                <w:highlight w:val="none"/>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restart"/>
            <w:vAlign w:val="center"/>
          </w:tcPr>
          <w:p>
            <w:pPr>
              <w:jc w:val="right"/>
              <w:rPr>
                <w:rFonts w:ascii="宋体" w:hAnsi="宋体"/>
                <w:color w:val="auto"/>
                <w:highlight w:val="none"/>
              </w:rPr>
            </w:pPr>
            <w:r>
              <w:rPr>
                <w:rFonts w:ascii="宋体" w:hAnsi="宋体"/>
                <w:color w:val="auto"/>
                <w:highlight w:val="none"/>
              </w:rPr>
              <w:t>100</w:t>
            </w:r>
          </w:p>
          <w:p>
            <w:pPr>
              <w:jc w:val="right"/>
              <w:rPr>
                <w:rFonts w:ascii="宋体" w:hAnsi="宋体"/>
                <w:color w:val="auto"/>
                <w:highlight w:val="none"/>
              </w:rPr>
            </w:pPr>
            <w:r>
              <w:rPr>
                <w:rFonts w:ascii="宋体" w:hAnsi="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-100965</wp:posOffset>
                      </wp:positionH>
                      <wp:positionV relativeFrom="paragraph">
                        <wp:posOffset>45720</wp:posOffset>
                      </wp:positionV>
                      <wp:extent cx="694690" cy="5515610"/>
                      <wp:effectExtent l="3810" t="0" r="0" b="1270"/>
                      <wp:wrapNone/>
                      <wp:docPr id="1" name="矩形 1"/>
                      <wp:cNvGraphicFramePr/>
                      <a:graphic xmlns:a="http://schemas.openxmlformats.org/drawingml/2006/main">
                        <a:graphicData uri="http://schemas.microsoft.com/office/word/2010/wordprocessingShape">
                          <wps:wsp>
                            <wps:cNvSpPr>
                              <a:spLocks noChangeArrowheads="1"/>
                            </wps:cNvSpPr>
                            <wps:spPr bwMode="auto">
                              <a:xfrm flipH="1">
                                <a:off x="0" y="0"/>
                                <a:ext cx="694690" cy="5515610"/>
                              </a:xfrm>
                              <a:prstGeom prst="rect">
                                <a:avLst/>
                              </a:prstGeom>
                              <a:noFill/>
                              <a:ln>
                                <a:noFill/>
                              </a:ln>
                              <a:effectLst/>
                            </wps:spPr>
                            <wps:txb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240" w:lineRule="exact"/>
                                    <w:jc w:val="center"/>
                                  </w:pPr>
                                  <w:r>
                                    <w:rPr>
                                      <w:rFonts w:hint="eastAsia"/>
                                    </w:rPr>
                                    <w:t>工</w:t>
                                  </w:r>
                                </w:p>
                                <w:p>
                                  <w:pPr>
                                    <w:spacing w:line="240" w:lineRule="exact"/>
                                    <w:jc w:val="center"/>
                                  </w:pPr>
                                </w:p>
                                <w:p>
                                  <w:pPr>
                                    <w:spacing w:line="240" w:lineRule="exact"/>
                                    <w:jc w:val="center"/>
                                  </w:pPr>
                                  <w:r>
                                    <w:rPr>
                                      <w:rFonts w:hint="eastAsia"/>
                                    </w:rPr>
                                    <w:t>程</w:t>
                                  </w:r>
                                </w:p>
                                <w:p>
                                  <w:pPr>
                                    <w:spacing w:line="240" w:lineRule="exact"/>
                                    <w:jc w:val="center"/>
                                  </w:pPr>
                                </w:p>
                                <w:p>
                                  <w:pPr>
                                    <w:spacing w:line="240" w:lineRule="exact"/>
                                    <w:jc w:val="center"/>
                                  </w:pPr>
                                  <w:r>
                                    <w:rPr>
                                      <w:rFonts w:hint="eastAsia"/>
                                    </w:rPr>
                                    <w:t>完</w:t>
                                  </w:r>
                                </w:p>
                                <w:p>
                                  <w:pPr>
                                    <w:spacing w:line="240" w:lineRule="exact"/>
                                    <w:jc w:val="center"/>
                                  </w:pPr>
                                </w:p>
                                <w:p>
                                  <w:pPr>
                                    <w:spacing w:line="240" w:lineRule="exact"/>
                                    <w:jc w:val="center"/>
                                  </w:pPr>
                                  <w:r>
                                    <w:rPr>
                                      <w:rFonts w:hint="eastAsia"/>
                                    </w:rPr>
                                    <w:t>成</w:t>
                                  </w:r>
                                </w:p>
                                <w:p>
                                  <w:pPr>
                                    <w:spacing w:line="240" w:lineRule="exact"/>
                                    <w:jc w:val="center"/>
                                  </w:pPr>
                                </w:p>
                                <w:p>
                                  <w:pPr>
                                    <w:spacing w:line="240" w:lineRule="exact"/>
                                    <w:jc w:val="center"/>
                                  </w:pPr>
                                  <w:r>
                                    <w:rPr>
                                      <w:rFonts w:hint="eastAsia"/>
                                    </w:rPr>
                                    <w:t>的</w:t>
                                  </w:r>
                                </w:p>
                                <w:p>
                                  <w:pPr>
                                    <w:spacing w:line="240" w:lineRule="exact"/>
                                    <w:jc w:val="center"/>
                                  </w:pPr>
                                </w:p>
                                <w:p>
                                  <w:pPr>
                                    <w:spacing w:line="240" w:lineRule="exact"/>
                                    <w:jc w:val="center"/>
                                  </w:pPr>
                                  <w:r>
                                    <w:rPr>
                                      <w:rFonts w:hint="eastAsia"/>
                                    </w:rPr>
                                    <w:t>百</w:t>
                                  </w:r>
                                </w:p>
                                <w:p>
                                  <w:pPr>
                                    <w:spacing w:line="240" w:lineRule="exact"/>
                                    <w:jc w:val="center"/>
                                  </w:pPr>
                                </w:p>
                                <w:p>
                                  <w:pPr>
                                    <w:spacing w:line="240" w:lineRule="exact"/>
                                    <w:jc w:val="center"/>
                                  </w:pPr>
                                  <w:r>
                                    <w:rPr>
                                      <w:rFonts w:hint="eastAsia"/>
                                    </w:rPr>
                                    <w:t>分</w:t>
                                  </w:r>
                                </w:p>
                                <w:p>
                                  <w:pPr>
                                    <w:spacing w:line="240" w:lineRule="exact"/>
                                    <w:jc w:val="center"/>
                                  </w:pPr>
                                </w:p>
                                <w:p>
                                  <w:pPr>
                                    <w:spacing w:line="240" w:lineRule="exact"/>
                                    <w:jc w:val="center"/>
                                  </w:pPr>
                                  <w:r>
                                    <w:rPr>
                                      <w:rFonts w:hint="eastAsia"/>
                                    </w:rPr>
                                    <w:t>比</w:t>
                                  </w:r>
                                </w:p>
                                <w:p>
                                  <w:pPr>
                                    <w:spacing w:line="240" w:lineRule="exact"/>
                                    <w:jc w:val="center"/>
                                  </w:pPr>
                                </w:p>
                                <w:p>
                                  <w:pPr>
                                    <w:spacing w:line="240" w:lineRule="exact"/>
                                    <w:jc w:val="center"/>
                                  </w:pPr>
                                  <w:r>
                                    <w:rPr>
                                      <w:rFonts w:hint="eastAsia"/>
                                    </w:rPr>
                                    <w:t>（</w:t>
                                  </w:r>
                                  <w:r>
                                    <w:t>%</w:t>
                                  </w:r>
                                  <w:r>
                                    <w:rPr>
                                      <w:rFonts w:hint="eastAsia"/>
                                    </w:rPr>
                                    <w:t>）</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flip:x;margin-left:-7.95pt;margin-top:3.6pt;height:434.3pt;width:54.7pt;z-index:251662336;mso-width-relative:page;mso-height-relative:page;" filled="f" stroked="f" coordsize="21600,21600" o:gfxdata="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4MxAdYAAAAIAQAADwAAAAAAAAABACAAAAAiAAAAZHJzL2Rvd25yZXYueG1s&#10;UEsBAhQAFAAAAAgAh07iQIJb+Pf6AQAA0gMAAA4AAAAAAAAAAQAgAAAAJQEAAGRycy9lMm9Eb2Mu&#10;eG1sUEsFBgAAAAAGAAYAWQEAAJEFAAAAAA==&#10;">
                      <v:fill on="f" focussize="0,0"/>
                      <v:stroke on="f"/>
                      <v:imagedata o:title=""/>
                      <o:lock v:ext="edit" aspectratio="f"/>
                      <v:textbo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240" w:lineRule="exact"/>
                              <w:jc w:val="center"/>
                            </w:pPr>
                            <w:r>
                              <w:rPr>
                                <w:rFonts w:hint="eastAsia"/>
                              </w:rPr>
                              <w:t>工</w:t>
                            </w:r>
                          </w:p>
                          <w:p>
                            <w:pPr>
                              <w:spacing w:line="240" w:lineRule="exact"/>
                              <w:jc w:val="center"/>
                            </w:pPr>
                          </w:p>
                          <w:p>
                            <w:pPr>
                              <w:spacing w:line="240" w:lineRule="exact"/>
                              <w:jc w:val="center"/>
                            </w:pPr>
                            <w:r>
                              <w:rPr>
                                <w:rFonts w:hint="eastAsia"/>
                              </w:rPr>
                              <w:t>程</w:t>
                            </w:r>
                          </w:p>
                          <w:p>
                            <w:pPr>
                              <w:spacing w:line="240" w:lineRule="exact"/>
                              <w:jc w:val="center"/>
                            </w:pPr>
                          </w:p>
                          <w:p>
                            <w:pPr>
                              <w:spacing w:line="240" w:lineRule="exact"/>
                              <w:jc w:val="center"/>
                            </w:pPr>
                            <w:r>
                              <w:rPr>
                                <w:rFonts w:hint="eastAsia"/>
                              </w:rPr>
                              <w:t>完</w:t>
                            </w:r>
                          </w:p>
                          <w:p>
                            <w:pPr>
                              <w:spacing w:line="240" w:lineRule="exact"/>
                              <w:jc w:val="center"/>
                            </w:pPr>
                          </w:p>
                          <w:p>
                            <w:pPr>
                              <w:spacing w:line="240" w:lineRule="exact"/>
                              <w:jc w:val="center"/>
                            </w:pPr>
                            <w:r>
                              <w:rPr>
                                <w:rFonts w:hint="eastAsia"/>
                              </w:rPr>
                              <w:t>成</w:t>
                            </w:r>
                          </w:p>
                          <w:p>
                            <w:pPr>
                              <w:spacing w:line="240" w:lineRule="exact"/>
                              <w:jc w:val="center"/>
                            </w:pPr>
                          </w:p>
                          <w:p>
                            <w:pPr>
                              <w:spacing w:line="240" w:lineRule="exact"/>
                              <w:jc w:val="center"/>
                            </w:pPr>
                            <w:r>
                              <w:rPr>
                                <w:rFonts w:hint="eastAsia"/>
                              </w:rPr>
                              <w:t>的</w:t>
                            </w:r>
                          </w:p>
                          <w:p>
                            <w:pPr>
                              <w:spacing w:line="240" w:lineRule="exact"/>
                              <w:jc w:val="center"/>
                            </w:pPr>
                          </w:p>
                          <w:p>
                            <w:pPr>
                              <w:spacing w:line="240" w:lineRule="exact"/>
                              <w:jc w:val="center"/>
                            </w:pPr>
                            <w:r>
                              <w:rPr>
                                <w:rFonts w:hint="eastAsia"/>
                              </w:rPr>
                              <w:t>百</w:t>
                            </w:r>
                          </w:p>
                          <w:p>
                            <w:pPr>
                              <w:spacing w:line="240" w:lineRule="exact"/>
                              <w:jc w:val="center"/>
                            </w:pPr>
                          </w:p>
                          <w:p>
                            <w:pPr>
                              <w:spacing w:line="240" w:lineRule="exact"/>
                              <w:jc w:val="center"/>
                            </w:pPr>
                            <w:r>
                              <w:rPr>
                                <w:rFonts w:hint="eastAsia"/>
                              </w:rPr>
                              <w:t>分</w:t>
                            </w:r>
                          </w:p>
                          <w:p>
                            <w:pPr>
                              <w:spacing w:line="240" w:lineRule="exact"/>
                              <w:jc w:val="center"/>
                            </w:pPr>
                          </w:p>
                          <w:p>
                            <w:pPr>
                              <w:spacing w:line="240" w:lineRule="exact"/>
                              <w:jc w:val="center"/>
                            </w:pPr>
                            <w:r>
                              <w:rPr>
                                <w:rFonts w:hint="eastAsia"/>
                              </w:rPr>
                              <w:t>比</w:t>
                            </w:r>
                          </w:p>
                          <w:p>
                            <w:pPr>
                              <w:spacing w:line="240" w:lineRule="exact"/>
                              <w:jc w:val="center"/>
                            </w:pPr>
                          </w:p>
                          <w:p>
                            <w:pPr>
                              <w:spacing w:line="240" w:lineRule="exact"/>
                              <w:jc w:val="center"/>
                            </w:pPr>
                            <w:r>
                              <w:rPr>
                                <w:rFonts w:hint="eastAsia"/>
                              </w:rPr>
                              <w:t>（</w:t>
                            </w:r>
                            <w:r>
                              <w:t>%</w:t>
                            </w:r>
                            <w:r>
                              <w:rPr>
                                <w:rFonts w:hint="eastAsia"/>
                              </w:rPr>
                              <w:t>）</w:t>
                            </w:r>
                          </w:p>
                        </w:txbxContent>
                      </v:textbox>
                    </v:rect>
                  </w:pict>
                </mc:Fallback>
              </mc:AlternateContent>
            </w:r>
          </w:p>
          <w:p>
            <w:pPr>
              <w:jc w:val="right"/>
              <w:rPr>
                <w:rFonts w:ascii="宋体" w:hAnsi="宋体"/>
                <w:color w:val="auto"/>
                <w:highlight w:val="none"/>
              </w:rPr>
            </w:pPr>
          </w:p>
          <w:p>
            <w:pPr>
              <w:jc w:val="right"/>
              <w:rPr>
                <w:rFonts w:ascii="宋体" w:hAnsi="宋体"/>
                <w:color w:val="auto"/>
                <w:highlight w:val="none"/>
              </w:rPr>
            </w:pPr>
            <w:r>
              <w:rPr>
                <w:rFonts w:ascii="宋体" w:hAnsi="宋体"/>
                <w:color w:val="auto"/>
                <w:highlight w:val="none"/>
              </w:rPr>
              <w:t>90</w:t>
            </w:r>
          </w:p>
          <w:p>
            <w:pPr>
              <w:jc w:val="right"/>
              <w:rPr>
                <w:rFonts w:ascii="宋体" w:hAnsi="宋体"/>
                <w:color w:val="auto"/>
                <w:highlight w:val="none"/>
              </w:rPr>
            </w:pPr>
          </w:p>
          <w:p>
            <w:pPr>
              <w:jc w:val="right"/>
              <w:rPr>
                <w:rFonts w:ascii="宋体" w:hAnsi="宋体"/>
                <w:color w:val="auto"/>
                <w:highlight w:val="none"/>
              </w:rPr>
            </w:pPr>
          </w:p>
          <w:p>
            <w:pPr>
              <w:jc w:val="right"/>
              <w:rPr>
                <w:rFonts w:ascii="宋体" w:hAnsi="宋体"/>
                <w:color w:val="auto"/>
                <w:highlight w:val="none"/>
              </w:rPr>
            </w:pPr>
            <w:r>
              <w:rPr>
                <w:rFonts w:ascii="宋体" w:hAnsi="宋体"/>
                <w:color w:val="auto"/>
                <w:highlight w:val="none"/>
              </w:rPr>
              <w:t>80</w:t>
            </w:r>
          </w:p>
          <w:p>
            <w:pPr>
              <w:jc w:val="right"/>
              <w:rPr>
                <w:rFonts w:ascii="宋体" w:hAnsi="宋体"/>
                <w:color w:val="auto"/>
                <w:highlight w:val="none"/>
              </w:rPr>
            </w:pPr>
          </w:p>
          <w:p>
            <w:pPr>
              <w:jc w:val="right"/>
              <w:rPr>
                <w:rFonts w:ascii="宋体" w:hAnsi="宋体"/>
                <w:color w:val="auto"/>
                <w:highlight w:val="none"/>
              </w:rPr>
            </w:pPr>
          </w:p>
          <w:p>
            <w:pPr>
              <w:jc w:val="right"/>
              <w:rPr>
                <w:rFonts w:ascii="宋体" w:hAnsi="宋体"/>
                <w:color w:val="auto"/>
                <w:highlight w:val="none"/>
              </w:rPr>
            </w:pPr>
            <w:r>
              <w:rPr>
                <w:rFonts w:ascii="宋体" w:hAnsi="宋体"/>
                <w:color w:val="auto"/>
                <w:highlight w:val="none"/>
              </w:rPr>
              <w:t>70</w:t>
            </w:r>
          </w:p>
          <w:p>
            <w:pPr>
              <w:jc w:val="right"/>
              <w:rPr>
                <w:rFonts w:ascii="宋体" w:hAnsi="宋体"/>
                <w:color w:val="auto"/>
                <w:highlight w:val="none"/>
              </w:rPr>
            </w:pPr>
          </w:p>
          <w:p>
            <w:pPr>
              <w:jc w:val="right"/>
              <w:rPr>
                <w:rFonts w:ascii="宋体" w:hAnsi="宋体"/>
                <w:color w:val="auto"/>
                <w:highlight w:val="none"/>
              </w:rPr>
            </w:pPr>
          </w:p>
          <w:p>
            <w:pPr>
              <w:jc w:val="right"/>
              <w:rPr>
                <w:rFonts w:ascii="宋体" w:hAnsi="宋体"/>
                <w:color w:val="auto"/>
                <w:highlight w:val="none"/>
              </w:rPr>
            </w:pPr>
          </w:p>
          <w:p>
            <w:pPr>
              <w:jc w:val="right"/>
              <w:rPr>
                <w:rFonts w:ascii="宋体" w:hAnsi="宋体"/>
                <w:color w:val="auto"/>
                <w:highlight w:val="none"/>
              </w:rPr>
            </w:pPr>
            <w:r>
              <w:rPr>
                <w:rFonts w:ascii="宋体" w:hAnsi="宋体"/>
                <w:color w:val="auto"/>
                <w:highlight w:val="none"/>
              </w:rPr>
              <w:t>60</w:t>
            </w:r>
          </w:p>
          <w:p>
            <w:pPr>
              <w:jc w:val="right"/>
              <w:rPr>
                <w:rFonts w:ascii="宋体" w:hAnsi="宋体"/>
                <w:color w:val="auto"/>
                <w:highlight w:val="none"/>
              </w:rPr>
            </w:pPr>
          </w:p>
          <w:p>
            <w:pPr>
              <w:jc w:val="right"/>
              <w:rPr>
                <w:rFonts w:ascii="宋体" w:hAnsi="宋体"/>
                <w:color w:val="auto"/>
                <w:highlight w:val="none"/>
              </w:rPr>
            </w:pPr>
          </w:p>
          <w:p>
            <w:pPr>
              <w:jc w:val="right"/>
              <w:rPr>
                <w:rFonts w:ascii="宋体" w:hAnsi="宋体"/>
                <w:color w:val="auto"/>
                <w:highlight w:val="none"/>
              </w:rPr>
            </w:pPr>
            <w:r>
              <w:rPr>
                <w:rFonts w:ascii="宋体" w:hAnsi="宋体"/>
                <w:color w:val="auto"/>
                <w:highlight w:val="none"/>
              </w:rPr>
              <w:t>50</w:t>
            </w:r>
          </w:p>
          <w:p>
            <w:pPr>
              <w:jc w:val="right"/>
              <w:rPr>
                <w:rFonts w:ascii="宋体" w:hAnsi="宋体"/>
                <w:color w:val="auto"/>
                <w:highlight w:val="none"/>
              </w:rPr>
            </w:pPr>
          </w:p>
          <w:p>
            <w:pPr>
              <w:jc w:val="right"/>
              <w:rPr>
                <w:rFonts w:ascii="宋体" w:hAnsi="宋体"/>
                <w:color w:val="auto"/>
                <w:highlight w:val="none"/>
              </w:rPr>
            </w:pPr>
          </w:p>
          <w:p>
            <w:pPr>
              <w:jc w:val="right"/>
              <w:rPr>
                <w:rFonts w:ascii="宋体" w:hAnsi="宋体"/>
                <w:color w:val="auto"/>
                <w:highlight w:val="none"/>
              </w:rPr>
            </w:pPr>
            <w:r>
              <w:rPr>
                <w:rFonts w:ascii="宋体" w:hAnsi="宋体"/>
                <w:color w:val="auto"/>
                <w:highlight w:val="none"/>
              </w:rPr>
              <w:t>40</w:t>
            </w:r>
          </w:p>
          <w:p>
            <w:pPr>
              <w:jc w:val="right"/>
              <w:rPr>
                <w:rFonts w:ascii="宋体" w:hAnsi="宋体"/>
                <w:color w:val="auto"/>
                <w:highlight w:val="none"/>
              </w:rPr>
            </w:pPr>
          </w:p>
          <w:p>
            <w:pPr>
              <w:jc w:val="right"/>
              <w:rPr>
                <w:rFonts w:ascii="宋体" w:hAnsi="宋体"/>
                <w:color w:val="auto"/>
                <w:highlight w:val="none"/>
              </w:rPr>
            </w:pPr>
          </w:p>
          <w:p>
            <w:pPr>
              <w:jc w:val="right"/>
              <w:rPr>
                <w:rFonts w:ascii="宋体" w:hAnsi="宋体"/>
                <w:color w:val="auto"/>
                <w:highlight w:val="none"/>
              </w:rPr>
            </w:pPr>
          </w:p>
          <w:p>
            <w:pPr>
              <w:jc w:val="right"/>
              <w:rPr>
                <w:rFonts w:ascii="宋体" w:hAnsi="宋体"/>
                <w:color w:val="auto"/>
                <w:highlight w:val="none"/>
              </w:rPr>
            </w:pPr>
            <w:r>
              <w:rPr>
                <w:rFonts w:ascii="宋体" w:hAnsi="宋体"/>
                <w:color w:val="auto"/>
                <w:highlight w:val="none"/>
              </w:rPr>
              <w:t>30</w:t>
            </w:r>
          </w:p>
          <w:p>
            <w:pPr>
              <w:jc w:val="right"/>
              <w:rPr>
                <w:rFonts w:ascii="宋体" w:hAnsi="宋体"/>
                <w:color w:val="auto"/>
                <w:highlight w:val="none"/>
              </w:rPr>
            </w:pPr>
          </w:p>
          <w:p>
            <w:pPr>
              <w:jc w:val="right"/>
              <w:rPr>
                <w:rFonts w:ascii="宋体" w:hAnsi="宋体"/>
                <w:color w:val="auto"/>
                <w:highlight w:val="none"/>
              </w:rPr>
            </w:pPr>
          </w:p>
          <w:p>
            <w:pPr>
              <w:jc w:val="right"/>
              <w:rPr>
                <w:rFonts w:ascii="宋体" w:hAnsi="宋体"/>
                <w:color w:val="auto"/>
                <w:highlight w:val="none"/>
              </w:rPr>
            </w:pPr>
            <w:r>
              <w:rPr>
                <w:rFonts w:ascii="宋体" w:hAnsi="宋体"/>
                <w:color w:val="auto"/>
                <w:highlight w:val="none"/>
              </w:rPr>
              <w:t>20</w:t>
            </w:r>
          </w:p>
          <w:p>
            <w:pPr>
              <w:jc w:val="right"/>
              <w:rPr>
                <w:rFonts w:ascii="宋体" w:hAnsi="宋体"/>
                <w:color w:val="auto"/>
                <w:highlight w:val="none"/>
              </w:rPr>
            </w:pPr>
          </w:p>
          <w:p>
            <w:pPr>
              <w:jc w:val="right"/>
              <w:rPr>
                <w:rFonts w:ascii="宋体" w:hAnsi="宋体"/>
                <w:color w:val="auto"/>
                <w:highlight w:val="none"/>
              </w:rPr>
            </w:pPr>
          </w:p>
          <w:p>
            <w:pPr>
              <w:jc w:val="right"/>
              <w:rPr>
                <w:rFonts w:ascii="宋体" w:hAnsi="宋体"/>
                <w:color w:val="auto"/>
                <w:highlight w:val="none"/>
              </w:rPr>
            </w:pPr>
          </w:p>
          <w:p>
            <w:pPr>
              <w:jc w:val="right"/>
              <w:rPr>
                <w:rFonts w:ascii="宋体" w:hAnsi="宋体"/>
                <w:color w:val="auto"/>
                <w:highlight w:val="none"/>
              </w:rPr>
            </w:pPr>
            <w:r>
              <w:rPr>
                <w:rFonts w:ascii="宋体" w:hAnsi="宋体"/>
                <w:color w:val="auto"/>
                <w:highlight w:val="none"/>
              </w:rPr>
              <w:t>10</w:t>
            </w:r>
          </w:p>
        </w:tc>
        <w:tc>
          <w:tcPr>
            <w:tcW w:w="361" w:type="dxa"/>
            <w:tcBorders>
              <w:bottom w:val="single" w:color="auto" w:sz="4" w:space="0"/>
            </w:tcBorders>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7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7"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419"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color w:val="auto"/>
                <w:highlight w:val="none"/>
              </w:rPr>
            </w:pPr>
          </w:p>
        </w:tc>
        <w:tc>
          <w:tcPr>
            <w:tcW w:w="361" w:type="dxa"/>
            <w:tcBorders>
              <w:top w:val="single" w:color="auto" w:sz="4" w:space="0"/>
              <w:left w:val="single" w:color="auto" w:sz="4" w:space="0"/>
              <w:bottom w:val="single" w:color="auto" w:sz="4" w:space="0"/>
            </w:tcBorders>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7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7"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419"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color w:val="auto"/>
                <w:highlight w:val="none"/>
              </w:rPr>
            </w:pPr>
          </w:p>
        </w:tc>
        <w:tc>
          <w:tcPr>
            <w:tcW w:w="361" w:type="dxa"/>
            <w:tcBorders>
              <w:top w:val="single" w:color="auto" w:sz="4" w:space="0"/>
              <w:bottom w:val="single" w:color="auto" w:sz="4" w:space="0"/>
            </w:tcBorders>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7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7"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419"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color w:val="auto"/>
                <w:highlight w:val="none"/>
              </w:rPr>
            </w:pPr>
          </w:p>
        </w:tc>
        <w:tc>
          <w:tcPr>
            <w:tcW w:w="361" w:type="dxa"/>
            <w:tcBorders>
              <w:top w:val="single" w:color="auto" w:sz="4" w:space="0"/>
              <w:bottom w:val="single" w:color="auto" w:sz="4" w:space="0"/>
            </w:tcBorders>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7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7"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419"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color w:val="auto"/>
                <w:highlight w:val="none"/>
              </w:rPr>
            </w:pPr>
          </w:p>
        </w:tc>
        <w:tc>
          <w:tcPr>
            <w:tcW w:w="361" w:type="dxa"/>
            <w:tcBorders>
              <w:top w:val="single" w:color="auto" w:sz="4" w:space="0"/>
              <w:bottom w:val="single" w:color="auto" w:sz="4" w:space="0"/>
            </w:tcBorders>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7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7"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419"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color w:val="auto"/>
                <w:highlight w:val="none"/>
              </w:rPr>
            </w:pPr>
          </w:p>
        </w:tc>
        <w:tc>
          <w:tcPr>
            <w:tcW w:w="361" w:type="dxa"/>
            <w:tcBorders>
              <w:top w:val="single" w:color="auto" w:sz="4" w:space="0"/>
              <w:bottom w:val="single" w:color="auto" w:sz="4" w:space="0"/>
            </w:tcBorders>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7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7"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419"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color w:val="auto"/>
                <w:highlight w:val="none"/>
              </w:rPr>
            </w:pPr>
          </w:p>
        </w:tc>
        <w:tc>
          <w:tcPr>
            <w:tcW w:w="361" w:type="dxa"/>
            <w:tcBorders>
              <w:top w:val="single" w:color="auto" w:sz="4" w:space="0"/>
              <w:bottom w:val="single" w:color="auto" w:sz="4" w:space="0"/>
            </w:tcBorders>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7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7"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419"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color w:val="auto"/>
                <w:highlight w:val="none"/>
              </w:rPr>
            </w:pPr>
          </w:p>
        </w:tc>
        <w:tc>
          <w:tcPr>
            <w:tcW w:w="361" w:type="dxa"/>
            <w:tcBorders>
              <w:top w:val="single" w:color="auto" w:sz="4" w:space="0"/>
              <w:bottom w:val="single" w:color="auto" w:sz="4" w:space="0"/>
            </w:tcBorders>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7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7"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419"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color w:val="auto"/>
                <w:highlight w:val="none"/>
              </w:rPr>
            </w:pPr>
          </w:p>
        </w:tc>
        <w:tc>
          <w:tcPr>
            <w:tcW w:w="361" w:type="dxa"/>
            <w:tcBorders>
              <w:top w:val="single" w:color="auto" w:sz="4" w:space="0"/>
              <w:bottom w:val="single" w:color="auto" w:sz="4" w:space="0"/>
            </w:tcBorders>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7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7"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419"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color w:val="auto"/>
                <w:highlight w:val="none"/>
              </w:rPr>
            </w:pPr>
          </w:p>
        </w:tc>
        <w:tc>
          <w:tcPr>
            <w:tcW w:w="361" w:type="dxa"/>
            <w:tcBorders>
              <w:top w:val="single" w:color="auto" w:sz="4" w:space="0"/>
              <w:bottom w:val="single" w:color="auto" w:sz="4" w:space="0"/>
            </w:tcBorders>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7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7"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419"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color w:val="auto"/>
                <w:highlight w:val="none"/>
              </w:rPr>
            </w:pPr>
          </w:p>
        </w:tc>
        <w:tc>
          <w:tcPr>
            <w:tcW w:w="361" w:type="dxa"/>
            <w:tcBorders>
              <w:top w:val="single" w:color="auto" w:sz="4" w:space="0"/>
              <w:bottom w:val="single" w:color="auto" w:sz="4" w:space="0"/>
            </w:tcBorders>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7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7"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419"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color w:val="auto"/>
                <w:highlight w:val="none"/>
              </w:rPr>
            </w:pPr>
          </w:p>
        </w:tc>
        <w:tc>
          <w:tcPr>
            <w:tcW w:w="361" w:type="dxa"/>
            <w:tcBorders>
              <w:top w:val="single" w:color="auto" w:sz="4" w:space="0"/>
              <w:bottom w:val="single" w:color="auto" w:sz="4" w:space="0"/>
            </w:tcBorders>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7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7"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419"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color w:val="auto"/>
                <w:highlight w:val="none"/>
              </w:rPr>
            </w:pPr>
          </w:p>
        </w:tc>
        <w:tc>
          <w:tcPr>
            <w:tcW w:w="361" w:type="dxa"/>
            <w:tcBorders>
              <w:top w:val="single" w:color="auto" w:sz="4" w:space="0"/>
              <w:bottom w:val="single" w:color="auto" w:sz="4" w:space="0"/>
            </w:tcBorders>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7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7"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419"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color w:val="auto"/>
                <w:highlight w:val="none"/>
              </w:rPr>
            </w:pPr>
          </w:p>
        </w:tc>
        <w:tc>
          <w:tcPr>
            <w:tcW w:w="361" w:type="dxa"/>
            <w:tcBorders>
              <w:top w:val="single" w:color="auto" w:sz="4" w:space="0"/>
              <w:bottom w:val="single" w:color="auto" w:sz="4" w:space="0"/>
            </w:tcBorders>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7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7"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419"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color w:val="auto"/>
                <w:highlight w:val="none"/>
              </w:rPr>
            </w:pPr>
          </w:p>
        </w:tc>
        <w:tc>
          <w:tcPr>
            <w:tcW w:w="361" w:type="dxa"/>
            <w:tcBorders>
              <w:top w:val="single" w:color="auto" w:sz="4" w:space="0"/>
            </w:tcBorders>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7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7"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419"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7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7"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419"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7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7"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419"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7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7"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419"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7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1" w:type="dxa"/>
            <w:vAlign w:val="center"/>
          </w:tcPr>
          <w:p>
            <w:pPr>
              <w:jc w:val="center"/>
              <w:rPr>
                <w:rFonts w:ascii="宋体" w:hAnsi="宋体"/>
                <w:color w:val="auto"/>
                <w:highlight w:val="none"/>
              </w:rPr>
            </w:pPr>
          </w:p>
        </w:tc>
        <w:tc>
          <w:tcPr>
            <w:tcW w:w="367"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419" w:type="dxa"/>
            <w:vAlign w:val="center"/>
          </w:tcPr>
          <w:p>
            <w:pPr>
              <w:jc w:val="center"/>
              <w:rPr>
                <w:rFonts w:ascii="宋体" w:hAnsi="宋体"/>
                <w:color w:val="auto"/>
                <w:highlight w:val="none"/>
              </w:rPr>
            </w:pPr>
          </w:p>
        </w:tc>
        <w:tc>
          <w:tcPr>
            <w:tcW w:w="426"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0"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4"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c>
          <w:tcPr>
            <w:tcW w:w="362"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tcBorders>
              <w:bottom w:val="single" w:color="auto" w:sz="12" w:space="0"/>
            </w:tcBorders>
            <w:vAlign w:val="center"/>
          </w:tcPr>
          <w:p>
            <w:pPr>
              <w:jc w:val="right"/>
              <w:rPr>
                <w:rFonts w:ascii="宋体" w:hAnsi="宋体"/>
                <w:color w:val="auto"/>
                <w:highlight w:val="none"/>
              </w:rPr>
            </w:pPr>
          </w:p>
        </w:tc>
        <w:tc>
          <w:tcPr>
            <w:tcW w:w="361" w:type="dxa"/>
            <w:tcBorders>
              <w:bottom w:val="single" w:color="auto" w:sz="12" w:space="0"/>
            </w:tcBorders>
            <w:vAlign w:val="center"/>
          </w:tcPr>
          <w:p>
            <w:pPr>
              <w:jc w:val="center"/>
              <w:rPr>
                <w:rFonts w:ascii="宋体" w:hAnsi="宋体"/>
                <w:color w:val="auto"/>
                <w:highlight w:val="none"/>
              </w:rPr>
            </w:pPr>
          </w:p>
        </w:tc>
        <w:tc>
          <w:tcPr>
            <w:tcW w:w="361" w:type="dxa"/>
            <w:tcBorders>
              <w:bottom w:val="single" w:color="auto" w:sz="12" w:space="0"/>
            </w:tcBorders>
            <w:vAlign w:val="center"/>
          </w:tcPr>
          <w:p>
            <w:pPr>
              <w:jc w:val="center"/>
              <w:rPr>
                <w:rFonts w:ascii="宋体" w:hAnsi="宋体"/>
                <w:color w:val="auto"/>
                <w:highlight w:val="none"/>
              </w:rPr>
            </w:pPr>
          </w:p>
        </w:tc>
        <w:tc>
          <w:tcPr>
            <w:tcW w:w="371" w:type="dxa"/>
            <w:tcBorders>
              <w:bottom w:val="single" w:color="auto" w:sz="12" w:space="0"/>
            </w:tcBorders>
            <w:vAlign w:val="center"/>
          </w:tcPr>
          <w:p>
            <w:pPr>
              <w:jc w:val="center"/>
              <w:rPr>
                <w:rFonts w:ascii="宋体" w:hAnsi="宋体"/>
                <w:color w:val="auto"/>
                <w:highlight w:val="none"/>
              </w:rPr>
            </w:pPr>
          </w:p>
        </w:tc>
        <w:tc>
          <w:tcPr>
            <w:tcW w:w="361" w:type="dxa"/>
            <w:tcBorders>
              <w:bottom w:val="single" w:color="auto" w:sz="12" w:space="0"/>
            </w:tcBorders>
            <w:vAlign w:val="center"/>
          </w:tcPr>
          <w:p>
            <w:pPr>
              <w:jc w:val="center"/>
              <w:rPr>
                <w:rFonts w:ascii="宋体" w:hAnsi="宋体"/>
                <w:color w:val="auto"/>
                <w:highlight w:val="none"/>
              </w:rPr>
            </w:pPr>
          </w:p>
        </w:tc>
        <w:tc>
          <w:tcPr>
            <w:tcW w:w="361" w:type="dxa"/>
            <w:tcBorders>
              <w:bottom w:val="single" w:color="auto" w:sz="12" w:space="0"/>
            </w:tcBorders>
            <w:vAlign w:val="center"/>
          </w:tcPr>
          <w:p>
            <w:pPr>
              <w:jc w:val="center"/>
              <w:rPr>
                <w:rFonts w:ascii="宋体" w:hAnsi="宋体"/>
                <w:color w:val="auto"/>
                <w:highlight w:val="none"/>
              </w:rPr>
            </w:pPr>
          </w:p>
        </w:tc>
        <w:tc>
          <w:tcPr>
            <w:tcW w:w="367" w:type="dxa"/>
            <w:tcBorders>
              <w:bottom w:val="single" w:color="auto" w:sz="12" w:space="0"/>
            </w:tcBorders>
            <w:vAlign w:val="center"/>
          </w:tcPr>
          <w:p>
            <w:pPr>
              <w:jc w:val="center"/>
              <w:rPr>
                <w:rFonts w:ascii="宋体" w:hAnsi="宋体"/>
                <w:color w:val="auto"/>
                <w:highlight w:val="none"/>
              </w:rPr>
            </w:pPr>
          </w:p>
        </w:tc>
        <w:tc>
          <w:tcPr>
            <w:tcW w:w="360" w:type="dxa"/>
            <w:tcBorders>
              <w:bottom w:val="single" w:color="auto" w:sz="12" w:space="0"/>
            </w:tcBorders>
            <w:vAlign w:val="center"/>
          </w:tcPr>
          <w:p>
            <w:pPr>
              <w:jc w:val="center"/>
              <w:rPr>
                <w:rFonts w:ascii="宋体" w:hAnsi="宋体"/>
                <w:color w:val="auto"/>
                <w:highlight w:val="none"/>
              </w:rPr>
            </w:pPr>
          </w:p>
        </w:tc>
        <w:tc>
          <w:tcPr>
            <w:tcW w:w="360" w:type="dxa"/>
            <w:tcBorders>
              <w:bottom w:val="single" w:color="auto" w:sz="12" w:space="0"/>
            </w:tcBorders>
            <w:vAlign w:val="center"/>
          </w:tcPr>
          <w:p>
            <w:pPr>
              <w:jc w:val="center"/>
              <w:rPr>
                <w:rFonts w:ascii="宋体" w:hAnsi="宋体"/>
                <w:color w:val="auto"/>
                <w:highlight w:val="none"/>
              </w:rPr>
            </w:pPr>
          </w:p>
        </w:tc>
        <w:tc>
          <w:tcPr>
            <w:tcW w:w="364" w:type="dxa"/>
            <w:tcBorders>
              <w:bottom w:val="single" w:color="auto" w:sz="12" w:space="0"/>
            </w:tcBorders>
            <w:vAlign w:val="center"/>
          </w:tcPr>
          <w:p>
            <w:pPr>
              <w:jc w:val="center"/>
              <w:rPr>
                <w:rFonts w:ascii="宋体" w:hAnsi="宋体"/>
                <w:color w:val="auto"/>
                <w:highlight w:val="none"/>
              </w:rPr>
            </w:pPr>
          </w:p>
        </w:tc>
        <w:tc>
          <w:tcPr>
            <w:tcW w:w="426" w:type="dxa"/>
            <w:tcBorders>
              <w:bottom w:val="single" w:color="auto" w:sz="12" w:space="0"/>
            </w:tcBorders>
            <w:vAlign w:val="center"/>
          </w:tcPr>
          <w:p>
            <w:pPr>
              <w:jc w:val="center"/>
              <w:rPr>
                <w:rFonts w:ascii="宋体" w:hAnsi="宋体"/>
                <w:color w:val="auto"/>
                <w:highlight w:val="none"/>
              </w:rPr>
            </w:pPr>
          </w:p>
        </w:tc>
        <w:tc>
          <w:tcPr>
            <w:tcW w:w="419" w:type="dxa"/>
            <w:tcBorders>
              <w:bottom w:val="single" w:color="auto" w:sz="12" w:space="0"/>
            </w:tcBorders>
            <w:vAlign w:val="center"/>
          </w:tcPr>
          <w:p>
            <w:pPr>
              <w:jc w:val="center"/>
              <w:rPr>
                <w:rFonts w:ascii="宋体" w:hAnsi="宋体"/>
                <w:color w:val="auto"/>
                <w:highlight w:val="none"/>
              </w:rPr>
            </w:pPr>
          </w:p>
        </w:tc>
        <w:tc>
          <w:tcPr>
            <w:tcW w:w="426" w:type="dxa"/>
            <w:tcBorders>
              <w:bottom w:val="single" w:color="auto" w:sz="12" w:space="0"/>
            </w:tcBorders>
            <w:vAlign w:val="center"/>
          </w:tcPr>
          <w:p>
            <w:pPr>
              <w:jc w:val="center"/>
              <w:rPr>
                <w:rFonts w:ascii="宋体" w:hAnsi="宋体"/>
                <w:color w:val="auto"/>
                <w:highlight w:val="none"/>
              </w:rPr>
            </w:pPr>
          </w:p>
        </w:tc>
        <w:tc>
          <w:tcPr>
            <w:tcW w:w="360" w:type="dxa"/>
            <w:tcBorders>
              <w:bottom w:val="single" w:color="auto" w:sz="12" w:space="0"/>
            </w:tcBorders>
            <w:vAlign w:val="center"/>
          </w:tcPr>
          <w:p>
            <w:pPr>
              <w:jc w:val="center"/>
              <w:rPr>
                <w:rFonts w:ascii="宋体" w:hAnsi="宋体"/>
                <w:color w:val="auto"/>
                <w:highlight w:val="none"/>
              </w:rPr>
            </w:pPr>
          </w:p>
        </w:tc>
        <w:tc>
          <w:tcPr>
            <w:tcW w:w="360" w:type="dxa"/>
            <w:tcBorders>
              <w:bottom w:val="single" w:color="auto" w:sz="12" w:space="0"/>
            </w:tcBorders>
            <w:vAlign w:val="center"/>
          </w:tcPr>
          <w:p>
            <w:pPr>
              <w:jc w:val="center"/>
              <w:rPr>
                <w:rFonts w:ascii="宋体" w:hAnsi="宋体"/>
                <w:color w:val="auto"/>
                <w:highlight w:val="none"/>
              </w:rPr>
            </w:pPr>
          </w:p>
        </w:tc>
        <w:tc>
          <w:tcPr>
            <w:tcW w:w="364" w:type="dxa"/>
            <w:tcBorders>
              <w:bottom w:val="single" w:color="auto" w:sz="12" w:space="0"/>
            </w:tcBorders>
            <w:vAlign w:val="center"/>
          </w:tcPr>
          <w:p>
            <w:pPr>
              <w:jc w:val="center"/>
              <w:rPr>
                <w:rFonts w:ascii="宋体" w:hAnsi="宋体"/>
                <w:color w:val="auto"/>
                <w:highlight w:val="none"/>
              </w:rPr>
            </w:pPr>
          </w:p>
        </w:tc>
        <w:tc>
          <w:tcPr>
            <w:tcW w:w="362" w:type="dxa"/>
            <w:tcBorders>
              <w:bottom w:val="single" w:color="auto" w:sz="12" w:space="0"/>
            </w:tcBorders>
            <w:vAlign w:val="center"/>
          </w:tcPr>
          <w:p>
            <w:pPr>
              <w:jc w:val="center"/>
              <w:rPr>
                <w:rFonts w:ascii="宋体" w:hAnsi="宋体"/>
                <w:color w:val="auto"/>
                <w:highlight w:val="none"/>
              </w:rPr>
            </w:pPr>
          </w:p>
        </w:tc>
        <w:tc>
          <w:tcPr>
            <w:tcW w:w="362" w:type="dxa"/>
            <w:tcBorders>
              <w:bottom w:val="single" w:color="auto" w:sz="12" w:space="0"/>
            </w:tcBorders>
            <w:vAlign w:val="center"/>
          </w:tcPr>
          <w:p>
            <w:pPr>
              <w:jc w:val="center"/>
              <w:rPr>
                <w:rFonts w:ascii="宋体" w:hAnsi="宋体"/>
                <w:color w:val="auto"/>
                <w:highlight w:val="none"/>
              </w:rPr>
            </w:pPr>
          </w:p>
        </w:tc>
        <w:tc>
          <w:tcPr>
            <w:tcW w:w="364" w:type="dxa"/>
            <w:tcBorders>
              <w:bottom w:val="single" w:color="auto" w:sz="12" w:space="0"/>
            </w:tcBorders>
            <w:vAlign w:val="center"/>
          </w:tcPr>
          <w:p>
            <w:pPr>
              <w:jc w:val="center"/>
              <w:rPr>
                <w:rFonts w:ascii="宋体" w:hAnsi="宋体"/>
                <w:color w:val="auto"/>
                <w:highlight w:val="none"/>
              </w:rPr>
            </w:pPr>
          </w:p>
        </w:tc>
        <w:tc>
          <w:tcPr>
            <w:tcW w:w="362" w:type="dxa"/>
            <w:tcBorders>
              <w:bottom w:val="single" w:color="auto" w:sz="12" w:space="0"/>
            </w:tcBorders>
            <w:vAlign w:val="center"/>
          </w:tcPr>
          <w:p>
            <w:pPr>
              <w:jc w:val="center"/>
              <w:rPr>
                <w:rFonts w:ascii="宋体" w:hAnsi="宋体"/>
                <w:color w:val="auto"/>
                <w:highlight w:val="none"/>
              </w:rPr>
            </w:pPr>
          </w:p>
        </w:tc>
        <w:tc>
          <w:tcPr>
            <w:tcW w:w="362" w:type="dxa"/>
            <w:tcBorders>
              <w:bottom w:val="single" w:color="auto" w:sz="12" w:space="0"/>
            </w:tcBorders>
            <w:vAlign w:val="center"/>
          </w:tcPr>
          <w:p>
            <w:pPr>
              <w:jc w:val="center"/>
              <w:rPr>
                <w:rFonts w:ascii="宋体" w:hAnsi="宋体"/>
                <w:color w:val="auto"/>
                <w:highlight w:val="none"/>
              </w:rPr>
            </w:pPr>
          </w:p>
        </w:tc>
      </w:tr>
    </w:tbl>
    <w:p>
      <w:pPr>
        <w:rPr>
          <w:rFonts w:ascii="宋体" w:hAnsi="宋体"/>
          <w:color w:val="auto"/>
          <w:highlight w:val="none"/>
        </w:rPr>
      </w:pPr>
      <w:r>
        <w:rPr>
          <w:rFonts w:ascii="宋体" w:hAnsi="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1149350</wp:posOffset>
                </wp:positionH>
                <wp:positionV relativeFrom="paragraph">
                  <wp:posOffset>20955</wp:posOffset>
                </wp:positionV>
                <wp:extent cx="5218430" cy="267335"/>
                <wp:effectExtent l="0" t="0" r="0" b="0"/>
                <wp:wrapNone/>
                <wp:docPr id="10" name="矩形 10"/>
                <wp:cNvGraphicFramePr/>
                <a:graphic xmlns:a="http://schemas.openxmlformats.org/drawingml/2006/main">
                  <a:graphicData uri="http://schemas.microsoft.com/office/word/2010/wordprocessingShape">
                    <wps:wsp>
                      <wps:cNvSpPr/>
                      <wps:spPr>
                        <a:xfrm>
                          <a:off x="0" y="0"/>
                          <a:ext cx="5218430" cy="267335"/>
                        </a:xfrm>
                        <a:prstGeom prst="rect">
                          <a:avLst/>
                        </a:prstGeom>
                        <a:noFill/>
                        <a:ln w="9525">
                          <a:noFill/>
                        </a:ln>
                      </wps:spPr>
                      <wps:txbx>
                        <w:txbxContent>
                          <w:p>
                            <w:r>
                              <w:t>0     10     20     30     40      50     60     70     80     90    100</w:t>
                            </w:r>
                          </w:p>
                        </w:txbxContent>
                      </wps:txbx>
                      <wps:bodyPr upright="1"/>
                    </wps:wsp>
                  </a:graphicData>
                </a:graphic>
              </wp:anchor>
            </w:drawing>
          </mc:Choice>
          <mc:Fallback>
            <w:pict>
              <v:rect id="_x0000_s1026" o:spid="_x0000_s1026" o:spt="1" style="position:absolute;left:0pt;margin-left:90.5pt;margin-top:1.65pt;height:21.05pt;width:410.9pt;z-index:251663360;mso-width-relative:page;mso-height-relative:page;" filled="f" stroked="f" coordsize="21600,21600"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w/UCd2QAAAAkBAAAPAAAAAAAAAAEAIAAAACIAAABkcnMvZG93&#10;bnJldi54bWxQSwECFAAUAAAACACHTuJA65iuZ40BAAD+AgAADgAAAAAAAAABACAAAAAoAQAAZHJz&#10;L2Uyb0RvYy54bWxQSwUGAAAAAAYABgBZAQAAJwUAAAAA&#10;">
                <v:fill on="f" focussize="0,0"/>
                <v:stroke on="f"/>
                <v:imagedata o:title=""/>
                <o:lock v:ext="edit" aspectratio="f"/>
                <v:textbox>
                  <w:txbxContent>
                    <w:p>
                      <w:r>
                        <w:t>0     10     20     30     40      50     60     70     80     90    100</w:t>
                      </w:r>
                    </w:p>
                  </w:txbxContent>
                </v:textbox>
              </v:rect>
            </w:pict>
          </mc:Fallback>
        </mc:AlternateContent>
      </w:r>
    </w:p>
    <w:p>
      <w:pPr>
        <w:rPr>
          <w:rFonts w:ascii="宋体" w:hAnsi="宋体"/>
          <w:color w:val="auto"/>
          <w:highlight w:val="none"/>
        </w:rPr>
      </w:pPr>
    </w:p>
    <w:p>
      <w:pPr>
        <w:rPr>
          <w:rFonts w:ascii="宋体" w:hAnsi="宋体"/>
          <w:color w:val="auto"/>
          <w:highlight w:val="none"/>
        </w:rPr>
      </w:pPr>
      <w:r>
        <w:rPr>
          <w:rFonts w:ascii="宋体"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918845</wp:posOffset>
                </wp:positionH>
                <wp:positionV relativeFrom="paragraph">
                  <wp:posOffset>72390</wp:posOffset>
                </wp:positionV>
                <wp:extent cx="3657600" cy="5568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657600" cy="556895"/>
                        </a:xfrm>
                        <a:prstGeom prst="rect">
                          <a:avLst/>
                        </a:prstGeom>
                        <a:noFill/>
                        <a:ln w="9525">
                          <a:noFill/>
                        </a:ln>
                      </wps:spPr>
                      <wps:txbx>
                        <w:txbxContent>
                          <w:p>
                            <w:pPr>
                              <w:spacing w:line="360" w:lineRule="auto"/>
                              <w:jc w:val="center"/>
                              <w:rPr>
                                <w:rFonts w:ascii="宋体"/>
                              </w:rPr>
                            </w:pPr>
                            <w:r>
                              <w:rPr>
                                <w:rFonts w:hint="eastAsia" w:ascii="宋体" w:hAnsi="宋体"/>
                              </w:rPr>
                              <w:t>工期历程的百分比（</w:t>
                            </w:r>
                            <w:r>
                              <w:rPr>
                                <w:rFonts w:ascii="宋体" w:hAnsi="宋体"/>
                              </w:rPr>
                              <w:t>%</w:t>
                            </w:r>
                            <w:r>
                              <w:rPr>
                                <w:rFonts w:hint="eastAsia" w:ascii="宋体" w:hAnsi="宋体"/>
                              </w:rPr>
                              <w:t>）</w:t>
                            </w:r>
                          </w:p>
                        </w:txbxContent>
                      </wps:txbx>
                      <wps:bodyPr upright="1"/>
                    </wps:wsp>
                  </a:graphicData>
                </a:graphic>
              </wp:anchor>
            </w:drawing>
          </mc:Choice>
          <mc:Fallback>
            <w:pict>
              <v:shape id="_x0000_s1026" o:spid="_x0000_s1026" o:spt="202" type="#_x0000_t202" style="position:absolute;left:0pt;margin-left:72.35pt;margin-top:5.7pt;height:43.85pt;width:288pt;z-index:251659264;mso-width-relative:page;mso-height-relative:page;" filled="f" stroked="f" coordsize="21600,21600" o:gfxdata="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FfSE2dUAAAAJAQAADwAAAAAAAAABACAAAAAiAAAAZHJz&#10;L2Rvd25yZXYueG1sUEsBAhQAFAAAAAgAh07iQD3vQLqVAQAACQMAAA4AAAAAAAAAAQAgAAAAJAEA&#10;AGRycy9lMm9Eb2MueG1sUEsFBgAAAAAGAAYAWQEAACsFAAAAAA==&#10;">
                <v:fill on="f" focussize="0,0"/>
                <v:stroke on="f"/>
                <v:imagedata o:title=""/>
                <o:lock v:ext="edit" aspectratio="f"/>
                <v:textbox>
                  <w:txbxContent>
                    <w:p>
                      <w:pPr>
                        <w:spacing w:line="360" w:lineRule="auto"/>
                        <w:jc w:val="center"/>
                        <w:rPr>
                          <w:rFonts w:ascii="宋体"/>
                        </w:rPr>
                      </w:pPr>
                      <w:r>
                        <w:rPr>
                          <w:rFonts w:hint="eastAsia" w:ascii="宋体" w:hAnsi="宋体"/>
                        </w:rPr>
                        <w:t>工期历程的百分比（</w:t>
                      </w:r>
                      <w:r>
                        <w:rPr>
                          <w:rFonts w:ascii="宋体" w:hAnsi="宋体"/>
                        </w:rPr>
                        <w:t>%</w:t>
                      </w:r>
                      <w:r>
                        <w:rPr>
                          <w:rFonts w:hint="eastAsia" w:ascii="宋体" w:hAnsi="宋体"/>
                        </w:rPr>
                        <w:t>）</w:t>
                      </w:r>
                    </w:p>
                  </w:txbxContent>
                </v:textbox>
              </v:shape>
            </w:pict>
          </mc:Fallback>
        </mc:AlternateContent>
      </w: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tabs>
          <w:tab w:val="left" w:pos="2805"/>
        </w:tabs>
        <w:rPr>
          <w:rFonts w:ascii="宋体" w:hAnsi="宋体"/>
          <w:color w:val="auto"/>
          <w:szCs w:val="21"/>
          <w:highlight w:val="none"/>
        </w:rPr>
      </w:pPr>
      <w:r>
        <w:rPr>
          <w:rFonts w:ascii="宋体" w:hAnsi="宋体"/>
          <w:color w:val="auto"/>
          <w:szCs w:val="21"/>
          <w:highlight w:val="none"/>
        </w:rPr>
        <w:tab/>
      </w:r>
    </w:p>
    <w:p>
      <w:pPr>
        <w:pStyle w:val="2"/>
        <w:ind w:firstLine="210"/>
        <w:rPr>
          <w:color w:val="auto"/>
          <w:highlight w:val="none"/>
        </w:rPr>
      </w:pPr>
    </w:p>
    <w:p>
      <w:pPr>
        <w:widowControl/>
        <w:jc w:val="left"/>
        <w:rPr>
          <w:rFonts w:ascii="宋体" w:hAnsi="宋体"/>
          <w:color w:val="auto"/>
          <w:szCs w:val="21"/>
          <w:highlight w:val="none"/>
        </w:rPr>
        <w:sectPr>
          <w:headerReference r:id="rId26" w:type="first"/>
          <w:footerReference r:id="rId27" w:type="default"/>
          <w:footnotePr>
            <w:numFmt w:val="decimalEnclosedCircleChinese"/>
            <w:numRestart w:val="eachPage"/>
          </w:footnotePr>
          <w:type w:val="continuous"/>
          <w:pgSz w:w="11900" w:h="16843"/>
          <w:pgMar w:top="1417" w:right="1417" w:bottom="1417" w:left="1531" w:header="850" w:footer="992" w:gutter="0"/>
          <w:pgNumType w:fmt="decimal"/>
          <w:cols w:space="720" w:num="1"/>
          <w:titlePg/>
        </w:sectPr>
      </w:pPr>
      <w:r>
        <w:rPr>
          <w:rFonts w:ascii="宋体" w:hAnsi="宋体"/>
          <w:color w:val="auto"/>
          <w:szCs w:val="21"/>
          <w:highlight w:val="none"/>
        </w:rPr>
        <w:tab/>
      </w:r>
    </w:p>
    <w:p>
      <w:pPr>
        <w:spacing w:before="120" w:beforeLines="50" w:after="120" w:afterLines="50"/>
        <w:rPr>
          <w:rFonts w:ascii="宋体" w:hAnsi="宋体"/>
          <w:b/>
          <w:color w:val="auto"/>
          <w:sz w:val="28"/>
          <w:szCs w:val="28"/>
          <w:highlight w:val="none"/>
        </w:rPr>
      </w:pPr>
      <w:r>
        <w:rPr>
          <w:rFonts w:hint="eastAsia" w:ascii="宋体" w:hAnsi="宋体"/>
          <w:b/>
          <w:color w:val="auto"/>
          <w:sz w:val="28"/>
          <w:szCs w:val="28"/>
          <w:highlight w:val="none"/>
        </w:rPr>
        <w:t>附表四   分项工程生产率和施工周期表</w:t>
      </w:r>
    </w:p>
    <w:tbl>
      <w:tblPr>
        <w:tblStyle w:val="47"/>
        <w:tblW w:w="890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0"/>
        <w:gridCol w:w="1198"/>
        <w:gridCol w:w="763"/>
        <w:gridCol w:w="708"/>
        <w:gridCol w:w="1486"/>
        <w:gridCol w:w="1232"/>
        <w:gridCol w:w="1354"/>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3" w:hRule="atLeast"/>
          <w:jc w:val="center"/>
        </w:trPr>
        <w:tc>
          <w:tcPr>
            <w:tcW w:w="460" w:type="dxa"/>
            <w:tcBorders>
              <w:top w:val="single" w:color="auto" w:sz="12" w:space="0"/>
            </w:tcBorders>
            <w:vAlign w:val="center"/>
          </w:tcPr>
          <w:p>
            <w:pPr>
              <w:rPr>
                <w:rFonts w:ascii="宋体" w:hAnsi="宋体"/>
                <w:color w:val="auto"/>
                <w:highlight w:val="none"/>
              </w:rPr>
            </w:pPr>
            <w:r>
              <w:rPr>
                <w:rFonts w:hint="eastAsia" w:ascii="宋体" w:hAnsi="宋体"/>
                <w:color w:val="auto"/>
                <w:highlight w:val="none"/>
              </w:rPr>
              <w:t>序号</w:t>
            </w:r>
          </w:p>
        </w:tc>
        <w:tc>
          <w:tcPr>
            <w:tcW w:w="1198" w:type="dxa"/>
            <w:tcBorders>
              <w:top w:val="single" w:color="auto" w:sz="12" w:space="0"/>
            </w:tcBorders>
            <w:vAlign w:val="center"/>
          </w:tcPr>
          <w:p>
            <w:pPr>
              <w:rPr>
                <w:rFonts w:ascii="宋体" w:hAnsi="宋体"/>
                <w:color w:val="auto"/>
                <w:highlight w:val="none"/>
              </w:rPr>
            </w:pPr>
            <w:r>
              <w:rPr>
                <w:rFonts w:hint="eastAsia" w:ascii="宋体" w:hAnsi="宋体"/>
                <w:color w:val="auto"/>
                <w:highlight w:val="none"/>
              </w:rPr>
              <w:t>工程项目</w:t>
            </w:r>
          </w:p>
        </w:tc>
        <w:tc>
          <w:tcPr>
            <w:tcW w:w="763" w:type="dxa"/>
            <w:tcBorders>
              <w:top w:val="single" w:color="auto" w:sz="12" w:space="0"/>
            </w:tcBorders>
            <w:vAlign w:val="center"/>
          </w:tcPr>
          <w:p>
            <w:pPr>
              <w:rPr>
                <w:rFonts w:ascii="宋体" w:hAnsi="宋体"/>
                <w:color w:val="auto"/>
                <w:highlight w:val="none"/>
              </w:rPr>
            </w:pPr>
            <w:r>
              <w:rPr>
                <w:rFonts w:hint="eastAsia" w:ascii="宋体" w:hAnsi="宋体"/>
                <w:color w:val="auto"/>
                <w:highlight w:val="none"/>
              </w:rPr>
              <w:t>单位</w:t>
            </w:r>
          </w:p>
        </w:tc>
        <w:tc>
          <w:tcPr>
            <w:tcW w:w="708" w:type="dxa"/>
            <w:tcBorders>
              <w:top w:val="single" w:color="auto" w:sz="12" w:space="0"/>
            </w:tcBorders>
            <w:vAlign w:val="center"/>
          </w:tcPr>
          <w:p>
            <w:pPr>
              <w:rPr>
                <w:rFonts w:ascii="宋体" w:hAnsi="宋体"/>
                <w:color w:val="auto"/>
                <w:highlight w:val="none"/>
              </w:rPr>
            </w:pPr>
            <w:r>
              <w:rPr>
                <w:rFonts w:hint="eastAsia" w:ascii="宋体" w:hAnsi="宋体"/>
                <w:color w:val="auto"/>
                <w:highlight w:val="none"/>
              </w:rPr>
              <w:t>数量</w:t>
            </w:r>
          </w:p>
        </w:tc>
        <w:tc>
          <w:tcPr>
            <w:tcW w:w="1486" w:type="dxa"/>
            <w:tcBorders>
              <w:top w:val="single" w:color="auto" w:sz="12" w:space="0"/>
            </w:tcBorders>
            <w:vAlign w:val="center"/>
          </w:tcPr>
          <w:p>
            <w:pPr>
              <w:rPr>
                <w:rFonts w:ascii="宋体" w:hAnsi="宋体"/>
                <w:color w:val="auto"/>
                <w:highlight w:val="none"/>
              </w:rPr>
            </w:pPr>
            <w:r>
              <w:rPr>
                <w:rFonts w:hint="eastAsia" w:ascii="宋体" w:hAnsi="宋体"/>
                <w:color w:val="auto"/>
                <w:highlight w:val="none"/>
              </w:rPr>
              <w:t>平均每生产单位规模（人，各种机械台）</w:t>
            </w:r>
          </w:p>
        </w:tc>
        <w:tc>
          <w:tcPr>
            <w:tcW w:w="1232" w:type="dxa"/>
            <w:tcBorders>
              <w:top w:val="single" w:color="auto" w:sz="12" w:space="0"/>
            </w:tcBorders>
            <w:vAlign w:val="center"/>
          </w:tcPr>
          <w:p>
            <w:pPr>
              <w:rPr>
                <w:rFonts w:ascii="宋体" w:hAnsi="宋体"/>
                <w:color w:val="auto"/>
                <w:highlight w:val="none"/>
              </w:rPr>
            </w:pPr>
            <w:r>
              <w:rPr>
                <w:rFonts w:hint="eastAsia" w:ascii="宋体" w:hAnsi="宋体"/>
                <w:color w:val="auto"/>
                <w:highlight w:val="none"/>
              </w:rPr>
              <w:t>平均每生产单位生产率（数量，每周）</w:t>
            </w:r>
          </w:p>
        </w:tc>
        <w:tc>
          <w:tcPr>
            <w:tcW w:w="1354" w:type="dxa"/>
            <w:tcBorders>
              <w:top w:val="single" w:color="auto" w:sz="12" w:space="0"/>
            </w:tcBorders>
            <w:vAlign w:val="center"/>
          </w:tcPr>
          <w:p>
            <w:pPr>
              <w:rPr>
                <w:rFonts w:ascii="宋体" w:hAnsi="宋体"/>
                <w:color w:val="auto"/>
                <w:highlight w:val="none"/>
              </w:rPr>
            </w:pPr>
            <w:r>
              <w:rPr>
                <w:rFonts w:hint="eastAsia" w:ascii="宋体" w:hAnsi="宋体"/>
                <w:color w:val="auto"/>
                <w:highlight w:val="none"/>
              </w:rPr>
              <w:t>每生产单位</w:t>
            </w:r>
          </w:p>
          <w:p>
            <w:pPr>
              <w:rPr>
                <w:rFonts w:ascii="宋体" w:hAnsi="宋体"/>
                <w:color w:val="auto"/>
                <w:highlight w:val="none"/>
              </w:rPr>
            </w:pPr>
            <w:r>
              <w:rPr>
                <w:rFonts w:hint="eastAsia" w:ascii="宋体" w:hAnsi="宋体"/>
                <w:color w:val="auto"/>
                <w:highlight w:val="none"/>
              </w:rPr>
              <w:t>平均施工时间（周）</w:t>
            </w:r>
          </w:p>
        </w:tc>
        <w:tc>
          <w:tcPr>
            <w:tcW w:w="1701" w:type="dxa"/>
            <w:tcBorders>
              <w:top w:val="single" w:color="auto" w:sz="12" w:space="0"/>
            </w:tcBorders>
            <w:vAlign w:val="center"/>
          </w:tcPr>
          <w:p>
            <w:pPr>
              <w:rPr>
                <w:rFonts w:ascii="宋体" w:hAnsi="宋体"/>
                <w:color w:val="auto"/>
                <w:highlight w:val="none"/>
              </w:rPr>
            </w:pPr>
            <w:r>
              <w:rPr>
                <w:rFonts w:hint="eastAsia" w:ascii="宋体" w:hAnsi="宋体"/>
                <w:color w:val="auto"/>
                <w:highlight w:val="none"/>
              </w:rPr>
              <w:t>生产单位总数</w:t>
            </w:r>
          </w:p>
          <w:p>
            <w:pPr>
              <w:rPr>
                <w:rFonts w:ascii="宋体" w:hAnsi="宋体"/>
                <w:color w:val="auto"/>
                <w:highlight w:val="none"/>
              </w:rPr>
            </w:pPr>
            <w:r>
              <w:rPr>
                <w:rFonts w:hint="eastAsia" w:ascii="宋体" w:hAnsi="宋体"/>
                <w:color w:val="auto"/>
                <w:highlight w:val="none"/>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460" w:type="dxa"/>
            <w:vAlign w:val="center"/>
          </w:tcPr>
          <w:p>
            <w:pPr>
              <w:rPr>
                <w:rFonts w:ascii="宋体" w:hAnsi="宋体"/>
                <w:color w:val="auto"/>
                <w:highlight w:val="none"/>
              </w:rPr>
            </w:pPr>
            <w:r>
              <w:rPr>
                <w:rFonts w:ascii="宋体" w:hAnsi="宋体"/>
                <w:color w:val="auto"/>
                <w:highlight w:val="none"/>
              </w:rPr>
              <w:t>1</w:t>
            </w:r>
          </w:p>
        </w:tc>
        <w:tc>
          <w:tcPr>
            <w:tcW w:w="1198" w:type="dxa"/>
            <w:vAlign w:val="center"/>
          </w:tcPr>
          <w:p>
            <w:pPr>
              <w:rPr>
                <w:rFonts w:ascii="宋体" w:hAnsi="宋体"/>
                <w:color w:val="auto"/>
                <w:highlight w:val="none"/>
              </w:rPr>
            </w:pPr>
            <w:r>
              <w:rPr>
                <w:rFonts w:hint="eastAsia" w:ascii="宋体" w:hAnsi="宋体"/>
                <w:color w:val="auto"/>
                <w:highlight w:val="none"/>
              </w:rPr>
              <w:t>特殊路基处理</w:t>
            </w:r>
          </w:p>
        </w:tc>
        <w:tc>
          <w:tcPr>
            <w:tcW w:w="763" w:type="dxa"/>
            <w:vAlign w:val="center"/>
          </w:tcPr>
          <w:p>
            <w:pPr>
              <w:rPr>
                <w:rFonts w:ascii="宋体" w:hAnsi="宋体"/>
                <w:color w:val="auto"/>
                <w:highlight w:val="none"/>
              </w:rPr>
            </w:pPr>
            <w:r>
              <w:rPr>
                <w:rFonts w:hint="eastAsia" w:ascii="宋体" w:hAnsi="宋体"/>
                <w:color w:val="auto"/>
                <w:highlight w:val="none"/>
              </w:rPr>
              <w:t>公里</w:t>
            </w:r>
          </w:p>
        </w:tc>
        <w:tc>
          <w:tcPr>
            <w:tcW w:w="708" w:type="dxa"/>
            <w:vAlign w:val="center"/>
          </w:tcPr>
          <w:p>
            <w:pPr>
              <w:rPr>
                <w:rFonts w:ascii="宋体" w:hAnsi="宋体"/>
                <w:color w:val="auto"/>
                <w:highlight w:val="none"/>
              </w:rPr>
            </w:pPr>
          </w:p>
        </w:tc>
        <w:tc>
          <w:tcPr>
            <w:tcW w:w="1486" w:type="dxa"/>
            <w:vAlign w:val="center"/>
          </w:tcPr>
          <w:p>
            <w:pPr>
              <w:rPr>
                <w:rFonts w:ascii="宋体" w:hAnsi="宋体"/>
                <w:color w:val="auto"/>
                <w:highlight w:val="none"/>
              </w:rPr>
            </w:pPr>
          </w:p>
        </w:tc>
        <w:tc>
          <w:tcPr>
            <w:tcW w:w="1232" w:type="dxa"/>
            <w:vAlign w:val="center"/>
          </w:tcPr>
          <w:p>
            <w:pPr>
              <w:rPr>
                <w:rFonts w:ascii="宋体" w:hAnsi="宋体"/>
                <w:color w:val="auto"/>
                <w:highlight w:val="none"/>
              </w:rPr>
            </w:pPr>
          </w:p>
        </w:tc>
        <w:tc>
          <w:tcPr>
            <w:tcW w:w="1354" w:type="dxa"/>
            <w:vAlign w:val="center"/>
          </w:tcPr>
          <w:p>
            <w:pPr>
              <w:rPr>
                <w:rFonts w:ascii="宋体" w:hAnsi="宋体"/>
                <w:color w:val="auto"/>
                <w:highlight w:val="none"/>
              </w:rPr>
            </w:pPr>
          </w:p>
        </w:tc>
        <w:tc>
          <w:tcPr>
            <w:tcW w:w="1701" w:type="dxa"/>
            <w:vAlign w:val="center"/>
          </w:tcPr>
          <w:p>
            <w:pP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460" w:type="dxa"/>
            <w:vAlign w:val="center"/>
          </w:tcPr>
          <w:p>
            <w:pPr>
              <w:rPr>
                <w:rFonts w:ascii="宋体" w:hAnsi="宋体"/>
                <w:color w:val="auto"/>
                <w:highlight w:val="none"/>
              </w:rPr>
            </w:pPr>
            <w:r>
              <w:rPr>
                <w:rFonts w:ascii="宋体" w:hAnsi="宋体"/>
                <w:color w:val="auto"/>
                <w:highlight w:val="none"/>
              </w:rPr>
              <w:t>2</w:t>
            </w:r>
          </w:p>
        </w:tc>
        <w:tc>
          <w:tcPr>
            <w:tcW w:w="1198" w:type="dxa"/>
            <w:vAlign w:val="center"/>
          </w:tcPr>
          <w:p>
            <w:pPr>
              <w:rPr>
                <w:rFonts w:ascii="宋体" w:hAnsi="宋体"/>
                <w:color w:val="auto"/>
                <w:highlight w:val="none"/>
              </w:rPr>
            </w:pPr>
            <w:r>
              <w:rPr>
                <w:rFonts w:hint="eastAsia" w:ascii="宋体" w:hAnsi="宋体"/>
                <w:color w:val="auto"/>
                <w:highlight w:val="none"/>
              </w:rPr>
              <w:t>路基填筑</w:t>
            </w:r>
          </w:p>
        </w:tc>
        <w:tc>
          <w:tcPr>
            <w:tcW w:w="763" w:type="dxa"/>
            <w:vAlign w:val="center"/>
          </w:tcPr>
          <w:p>
            <w:pPr>
              <w:rPr>
                <w:rFonts w:ascii="宋体" w:hAnsi="宋体"/>
                <w:color w:val="auto"/>
                <w:highlight w:val="none"/>
              </w:rPr>
            </w:pPr>
            <w:r>
              <w:rPr>
                <w:rFonts w:hint="eastAsia" w:ascii="宋体" w:hAnsi="宋体"/>
                <w:color w:val="auto"/>
                <w:highlight w:val="none"/>
              </w:rPr>
              <w:t>万</w:t>
            </w:r>
            <w:r>
              <w:rPr>
                <w:rFonts w:ascii="宋体" w:hAnsi="宋体"/>
                <w:color w:val="auto"/>
                <w:highlight w:val="none"/>
              </w:rPr>
              <w:t>m</w:t>
            </w:r>
            <w:r>
              <w:rPr>
                <w:rFonts w:ascii="宋体" w:hAnsi="宋体"/>
                <w:color w:val="auto"/>
                <w:highlight w:val="none"/>
                <w:vertAlign w:val="superscript"/>
              </w:rPr>
              <w:t>3</w:t>
            </w:r>
          </w:p>
        </w:tc>
        <w:tc>
          <w:tcPr>
            <w:tcW w:w="708" w:type="dxa"/>
            <w:vAlign w:val="center"/>
          </w:tcPr>
          <w:p>
            <w:pPr>
              <w:rPr>
                <w:rFonts w:ascii="宋体" w:hAnsi="宋体"/>
                <w:color w:val="auto"/>
                <w:highlight w:val="none"/>
              </w:rPr>
            </w:pPr>
          </w:p>
        </w:tc>
        <w:tc>
          <w:tcPr>
            <w:tcW w:w="1486" w:type="dxa"/>
            <w:vAlign w:val="center"/>
          </w:tcPr>
          <w:p>
            <w:pPr>
              <w:rPr>
                <w:rFonts w:ascii="宋体" w:hAnsi="宋体"/>
                <w:color w:val="auto"/>
                <w:highlight w:val="none"/>
              </w:rPr>
            </w:pPr>
          </w:p>
        </w:tc>
        <w:tc>
          <w:tcPr>
            <w:tcW w:w="1232" w:type="dxa"/>
            <w:vAlign w:val="center"/>
          </w:tcPr>
          <w:p>
            <w:pPr>
              <w:rPr>
                <w:rFonts w:ascii="宋体" w:hAnsi="宋体"/>
                <w:color w:val="auto"/>
                <w:highlight w:val="none"/>
              </w:rPr>
            </w:pPr>
          </w:p>
        </w:tc>
        <w:tc>
          <w:tcPr>
            <w:tcW w:w="1354" w:type="dxa"/>
            <w:vAlign w:val="center"/>
          </w:tcPr>
          <w:p>
            <w:pPr>
              <w:rPr>
                <w:rFonts w:ascii="宋体" w:hAnsi="宋体"/>
                <w:color w:val="auto"/>
                <w:highlight w:val="none"/>
              </w:rPr>
            </w:pPr>
          </w:p>
        </w:tc>
        <w:tc>
          <w:tcPr>
            <w:tcW w:w="1701" w:type="dxa"/>
            <w:vAlign w:val="center"/>
          </w:tcPr>
          <w:p>
            <w:pP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460" w:type="dxa"/>
            <w:vAlign w:val="center"/>
          </w:tcPr>
          <w:p>
            <w:pPr>
              <w:rPr>
                <w:rFonts w:ascii="宋体" w:hAnsi="宋体"/>
                <w:color w:val="auto"/>
                <w:highlight w:val="none"/>
              </w:rPr>
            </w:pPr>
            <w:r>
              <w:rPr>
                <w:rFonts w:ascii="宋体" w:hAnsi="宋体"/>
                <w:color w:val="auto"/>
                <w:highlight w:val="none"/>
              </w:rPr>
              <w:t>3</w:t>
            </w:r>
          </w:p>
        </w:tc>
        <w:tc>
          <w:tcPr>
            <w:tcW w:w="1198" w:type="dxa"/>
            <w:vAlign w:val="center"/>
          </w:tcPr>
          <w:p>
            <w:pPr>
              <w:rPr>
                <w:rFonts w:ascii="宋体" w:hAnsi="宋体"/>
                <w:color w:val="auto"/>
                <w:highlight w:val="none"/>
              </w:rPr>
            </w:pPr>
            <w:r>
              <w:rPr>
                <w:rFonts w:hint="eastAsia" w:ascii="宋体" w:hAnsi="宋体"/>
                <w:color w:val="auto"/>
                <w:highlight w:val="none"/>
              </w:rPr>
              <w:t>路面基层</w:t>
            </w:r>
          </w:p>
        </w:tc>
        <w:tc>
          <w:tcPr>
            <w:tcW w:w="763" w:type="dxa"/>
            <w:vAlign w:val="center"/>
          </w:tcPr>
          <w:p>
            <w:pPr>
              <w:rPr>
                <w:rFonts w:ascii="宋体" w:hAnsi="宋体"/>
                <w:color w:val="auto"/>
                <w:highlight w:val="none"/>
              </w:rPr>
            </w:pPr>
            <w:r>
              <w:rPr>
                <w:rFonts w:hint="eastAsia" w:ascii="宋体" w:hAnsi="宋体"/>
                <w:color w:val="auto"/>
                <w:highlight w:val="none"/>
              </w:rPr>
              <w:t>万</w:t>
            </w:r>
            <w:r>
              <w:rPr>
                <w:rFonts w:ascii="宋体" w:hAnsi="宋体"/>
                <w:color w:val="auto"/>
                <w:highlight w:val="none"/>
              </w:rPr>
              <w:t>m</w:t>
            </w:r>
            <w:r>
              <w:rPr>
                <w:rFonts w:ascii="宋体" w:hAnsi="宋体"/>
                <w:color w:val="auto"/>
                <w:highlight w:val="none"/>
                <w:vertAlign w:val="superscript"/>
              </w:rPr>
              <w:t>2</w:t>
            </w:r>
          </w:p>
        </w:tc>
        <w:tc>
          <w:tcPr>
            <w:tcW w:w="708" w:type="dxa"/>
            <w:vAlign w:val="center"/>
          </w:tcPr>
          <w:p>
            <w:pPr>
              <w:rPr>
                <w:rFonts w:ascii="宋体" w:hAnsi="宋体"/>
                <w:color w:val="auto"/>
                <w:highlight w:val="none"/>
              </w:rPr>
            </w:pPr>
          </w:p>
        </w:tc>
        <w:tc>
          <w:tcPr>
            <w:tcW w:w="1486" w:type="dxa"/>
            <w:vAlign w:val="center"/>
          </w:tcPr>
          <w:p>
            <w:pPr>
              <w:rPr>
                <w:rFonts w:ascii="宋体" w:hAnsi="宋体"/>
                <w:color w:val="auto"/>
                <w:highlight w:val="none"/>
              </w:rPr>
            </w:pPr>
          </w:p>
        </w:tc>
        <w:tc>
          <w:tcPr>
            <w:tcW w:w="1232" w:type="dxa"/>
            <w:vAlign w:val="center"/>
          </w:tcPr>
          <w:p>
            <w:pPr>
              <w:rPr>
                <w:rFonts w:ascii="宋体" w:hAnsi="宋体"/>
                <w:color w:val="auto"/>
                <w:highlight w:val="none"/>
              </w:rPr>
            </w:pPr>
          </w:p>
        </w:tc>
        <w:tc>
          <w:tcPr>
            <w:tcW w:w="1354" w:type="dxa"/>
            <w:vAlign w:val="center"/>
          </w:tcPr>
          <w:p>
            <w:pPr>
              <w:rPr>
                <w:rFonts w:ascii="宋体" w:hAnsi="宋体"/>
                <w:color w:val="auto"/>
                <w:highlight w:val="none"/>
              </w:rPr>
            </w:pPr>
          </w:p>
        </w:tc>
        <w:tc>
          <w:tcPr>
            <w:tcW w:w="1701" w:type="dxa"/>
            <w:vAlign w:val="center"/>
          </w:tcPr>
          <w:p>
            <w:pP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460" w:type="dxa"/>
            <w:vAlign w:val="center"/>
          </w:tcPr>
          <w:p>
            <w:pPr>
              <w:rPr>
                <w:rFonts w:ascii="宋体" w:hAnsi="宋体"/>
                <w:color w:val="auto"/>
                <w:highlight w:val="none"/>
              </w:rPr>
            </w:pPr>
            <w:r>
              <w:rPr>
                <w:rFonts w:ascii="宋体" w:hAnsi="宋体"/>
                <w:color w:val="auto"/>
                <w:highlight w:val="none"/>
              </w:rPr>
              <w:t>4</w:t>
            </w:r>
          </w:p>
        </w:tc>
        <w:tc>
          <w:tcPr>
            <w:tcW w:w="1198" w:type="dxa"/>
            <w:vAlign w:val="center"/>
          </w:tcPr>
          <w:p>
            <w:pPr>
              <w:rPr>
                <w:rFonts w:ascii="宋体" w:hAnsi="宋体"/>
                <w:color w:val="auto"/>
                <w:highlight w:val="none"/>
              </w:rPr>
            </w:pPr>
            <w:r>
              <w:rPr>
                <w:rFonts w:hint="eastAsia" w:ascii="宋体" w:hAnsi="宋体"/>
                <w:color w:val="auto"/>
                <w:highlight w:val="none"/>
              </w:rPr>
              <w:t>路面面层</w:t>
            </w:r>
          </w:p>
        </w:tc>
        <w:tc>
          <w:tcPr>
            <w:tcW w:w="763" w:type="dxa"/>
            <w:vAlign w:val="center"/>
          </w:tcPr>
          <w:p>
            <w:pPr>
              <w:rPr>
                <w:rFonts w:ascii="宋体" w:hAnsi="宋体"/>
                <w:color w:val="auto"/>
                <w:highlight w:val="none"/>
              </w:rPr>
            </w:pPr>
            <w:r>
              <w:rPr>
                <w:rFonts w:hint="eastAsia" w:ascii="宋体" w:hAnsi="宋体"/>
                <w:color w:val="auto"/>
                <w:highlight w:val="none"/>
              </w:rPr>
              <w:t>万</w:t>
            </w:r>
            <w:r>
              <w:rPr>
                <w:rFonts w:ascii="宋体" w:hAnsi="宋体"/>
                <w:color w:val="auto"/>
                <w:highlight w:val="none"/>
              </w:rPr>
              <w:t>m</w:t>
            </w:r>
            <w:r>
              <w:rPr>
                <w:rFonts w:ascii="宋体" w:hAnsi="宋体"/>
                <w:color w:val="auto"/>
                <w:highlight w:val="none"/>
                <w:vertAlign w:val="superscript"/>
              </w:rPr>
              <w:t>2</w:t>
            </w:r>
          </w:p>
        </w:tc>
        <w:tc>
          <w:tcPr>
            <w:tcW w:w="708" w:type="dxa"/>
            <w:vAlign w:val="center"/>
          </w:tcPr>
          <w:p>
            <w:pPr>
              <w:rPr>
                <w:rFonts w:ascii="宋体" w:hAnsi="宋体"/>
                <w:color w:val="auto"/>
                <w:highlight w:val="none"/>
              </w:rPr>
            </w:pPr>
          </w:p>
        </w:tc>
        <w:tc>
          <w:tcPr>
            <w:tcW w:w="1486" w:type="dxa"/>
            <w:vAlign w:val="center"/>
          </w:tcPr>
          <w:p>
            <w:pPr>
              <w:rPr>
                <w:rFonts w:ascii="宋体" w:hAnsi="宋体"/>
                <w:color w:val="auto"/>
                <w:highlight w:val="none"/>
              </w:rPr>
            </w:pPr>
          </w:p>
        </w:tc>
        <w:tc>
          <w:tcPr>
            <w:tcW w:w="1232" w:type="dxa"/>
            <w:vAlign w:val="center"/>
          </w:tcPr>
          <w:p>
            <w:pPr>
              <w:rPr>
                <w:rFonts w:ascii="宋体" w:hAnsi="宋体"/>
                <w:color w:val="auto"/>
                <w:highlight w:val="none"/>
              </w:rPr>
            </w:pPr>
          </w:p>
        </w:tc>
        <w:tc>
          <w:tcPr>
            <w:tcW w:w="1354" w:type="dxa"/>
            <w:vAlign w:val="center"/>
          </w:tcPr>
          <w:p>
            <w:pPr>
              <w:rPr>
                <w:rFonts w:ascii="宋体" w:hAnsi="宋体"/>
                <w:color w:val="auto"/>
                <w:highlight w:val="none"/>
              </w:rPr>
            </w:pPr>
          </w:p>
        </w:tc>
        <w:tc>
          <w:tcPr>
            <w:tcW w:w="1701" w:type="dxa"/>
            <w:vAlign w:val="center"/>
          </w:tcPr>
          <w:p>
            <w:pP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460" w:type="dxa"/>
            <w:vAlign w:val="center"/>
          </w:tcPr>
          <w:p>
            <w:pPr>
              <w:rPr>
                <w:rFonts w:ascii="宋体" w:hAnsi="宋体"/>
                <w:color w:val="auto"/>
                <w:highlight w:val="none"/>
              </w:rPr>
            </w:pPr>
            <w:r>
              <w:rPr>
                <w:rFonts w:ascii="宋体" w:hAnsi="宋体"/>
                <w:color w:val="auto"/>
                <w:highlight w:val="none"/>
              </w:rPr>
              <w:t>5</w:t>
            </w:r>
          </w:p>
        </w:tc>
        <w:tc>
          <w:tcPr>
            <w:tcW w:w="1198" w:type="dxa"/>
            <w:vAlign w:val="center"/>
          </w:tcPr>
          <w:p>
            <w:pPr>
              <w:rPr>
                <w:rFonts w:ascii="宋体" w:hAnsi="宋体"/>
                <w:color w:val="auto"/>
                <w:highlight w:val="none"/>
              </w:rPr>
            </w:pPr>
            <w:r>
              <w:rPr>
                <w:rFonts w:hint="eastAsia" w:ascii="宋体" w:hAnsi="宋体"/>
                <w:color w:val="auto"/>
                <w:highlight w:val="none"/>
              </w:rPr>
              <w:t>路基防护及排水</w:t>
            </w:r>
          </w:p>
        </w:tc>
        <w:tc>
          <w:tcPr>
            <w:tcW w:w="763" w:type="dxa"/>
            <w:vAlign w:val="center"/>
          </w:tcPr>
          <w:p>
            <w:pPr>
              <w:rPr>
                <w:rFonts w:ascii="宋体" w:hAnsi="宋体"/>
                <w:color w:val="auto"/>
                <w:highlight w:val="none"/>
              </w:rPr>
            </w:pPr>
            <w:r>
              <w:rPr>
                <w:rFonts w:ascii="宋体" w:hAnsi="宋体"/>
                <w:color w:val="auto"/>
                <w:highlight w:val="none"/>
              </w:rPr>
              <w:t>km</w:t>
            </w:r>
          </w:p>
        </w:tc>
        <w:tc>
          <w:tcPr>
            <w:tcW w:w="708" w:type="dxa"/>
            <w:vAlign w:val="center"/>
          </w:tcPr>
          <w:p>
            <w:pPr>
              <w:rPr>
                <w:rFonts w:ascii="宋体" w:hAnsi="宋体"/>
                <w:color w:val="auto"/>
                <w:highlight w:val="none"/>
              </w:rPr>
            </w:pPr>
          </w:p>
        </w:tc>
        <w:tc>
          <w:tcPr>
            <w:tcW w:w="1486" w:type="dxa"/>
            <w:vAlign w:val="center"/>
          </w:tcPr>
          <w:p>
            <w:pPr>
              <w:rPr>
                <w:rFonts w:ascii="宋体" w:hAnsi="宋体"/>
                <w:color w:val="auto"/>
                <w:highlight w:val="none"/>
              </w:rPr>
            </w:pPr>
          </w:p>
        </w:tc>
        <w:tc>
          <w:tcPr>
            <w:tcW w:w="1232" w:type="dxa"/>
            <w:vAlign w:val="center"/>
          </w:tcPr>
          <w:p>
            <w:pPr>
              <w:rPr>
                <w:rFonts w:ascii="宋体" w:hAnsi="宋体"/>
                <w:color w:val="auto"/>
                <w:highlight w:val="none"/>
              </w:rPr>
            </w:pPr>
          </w:p>
        </w:tc>
        <w:tc>
          <w:tcPr>
            <w:tcW w:w="1354" w:type="dxa"/>
            <w:vAlign w:val="center"/>
          </w:tcPr>
          <w:p>
            <w:pPr>
              <w:rPr>
                <w:rFonts w:ascii="宋体" w:hAnsi="宋体"/>
                <w:color w:val="auto"/>
                <w:highlight w:val="none"/>
              </w:rPr>
            </w:pPr>
          </w:p>
        </w:tc>
        <w:tc>
          <w:tcPr>
            <w:tcW w:w="1701" w:type="dxa"/>
            <w:vAlign w:val="center"/>
          </w:tcPr>
          <w:p>
            <w:pP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460" w:type="dxa"/>
            <w:tcBorders>
              <w:bottom w:val="single" w:color="auto" w:sz="12" w:space="0"/>
            </w:tcBorders>
            <w:vAlign w:val="center"/>
          </w:tcPr>
          <w:p>
            <w:pPr>
              <w:rPr>
                <w:rFonts w:ascii="宋体" w:hAnsi="宋体"/>
                <w:color w:val="auto"/>
                <w:highlight w:val="none"/>
              </w:rPr>
            </w:pPr>
            <w:r>
              <w:rPr>
                <w:rFonts w:hint="eastAsia" w:ascii="宋体" w:hAnsi="宋体"/>
                <w:color w:val="auto"/>
                <w:highlight w:val="none"/>
              </w:rPr>
              <w:t>6</w:t>
            </w:r>
          </w:p>
        </w:tc>
        <w:tc>
          <w:tcPr>
            <w:tcW w:w="1198" w:type="dxa"/>
            <w:tcBorders>
              <w:bottom w:val="single" w:color="auto" w:sz="12" w:space="0"/>
            </w:tcBorders>
            <w:vAlign w:val="center"/>
          </w:tcPr>
          <w:p>
            <w:pPr>
              <w:rPr>
                <w:rFonts w:ascii="宋体" w:hAnsi="宋体"/>
                <w:color w:val="auto"/>
                <w:highlight w:val="none"/>
              </w:rPr>
            </w:pPr>
            <w:r>
              <w:rPr>
                <w:rFonts w:hint="eastAsia" w:ascii="宋体" w:hAnsi="宋体"/>
                <w:color w:val="auto"/>
                <w:highlight w:val="none"/>
              </w:rPr>
              <w:t>护栏安装</w:t>
            </w:r>
          </w:p>
        </w:tc>
        <w:tc>
          <w:tcPr>
            <w:tcW w:w="763" w:type="dxa"/>
            <w:tcBorders>
              <w:bottom w:val="single" w:color="auto" w:sz="12" w:space="0"/>
            </w:tcBorders>
            <w:vAlign w:val="center"/>
          </w:tcPr>
          <w:p>
            <w:pPr>
              <w:rPr>
                <w:rFonts w:ascii="宋体" w:hAnsi="宋体"/>
                <w:color w:val="auto"/>
                <w:highlight w:val="none"/>
              </w:rPr>
            </w:pPr>
            <w:r>
              <w:rPr>
                <w:rFonts w:ascii="宋体" w:hAnsi="宋体"/>
                <w:color w:val="auto"/>
                <w:highlight w:val="none"/>
              </w:rPr>
              <w:t>m</w:t>
            </w:r>
          </w:p>
        </w:tc>
        <w:tc>
          <w:tcPr>
            <w:tcW w:w="708" w:type="dxa"/>
            <w:tcBorders>
              <w:bottom w:val="single" w:color="auto" w:sz="12" w:space="0"/>
            </w:tcBorders>
            <w:vAlign w:val="center"/>
          </w:tcPr>
          <w:p>
            <w:pPr>
              <w:rPr>
                <w:rFonts w:ascii="宋体" w:hAnsi="宋体"/>
                <w:color w:val="auto"/>
                <w:highlight w:val="none"/>
              </w:rPr>
            </w:pPr>
          </w:p>
        </w:tc>
        <w:tc>
          <w:tcPr>
            <w:tcW w:w="1486" w:type="dxa"/>
            <w:tcBorders>
              <w:bottom w:val="single" w:color="auto" w:sz="12" w:space="0"/>
            </w:tcBorders>
            <w:vAlign w:val="center"/>
          </w:tcPr>
          <w:p>
            <w:pPr>
              <w:rPr>
                <w:rFonts w:ascii="宋体" w:hAnsi="宋体"/>
                <w:color w:val="auto"/>
                <w:highlight w:val="none"/>
              </w:rPr>
            </w:pPr>
          </w:p>
        </w:tc>
        <w:tc>
          <w:tcPr>
            <w:tcW w:w="1232" w:type="dxa"/>
            <w:tcBorders>
              <w:bottom w:val="single" w:color="auto" w:sz="12" w:space="0"/>
            </w:tcBorders>
            <w:vAlign w:val="center"/>
          </w:tcPr>
          <w:p>
            <w:pPr>
              <w:rPr>
                <w:rFonts w:ascii="宋体" w:hAnsi="宋体"/>
                <w:color w:val="auto"/>
                <w:highlight w:val="none"/>
              </w:rPr>
            </w:pPr>
          </w:p>
        </w:tc>
        <w:tc>
          <w:tcPr>
            <w:tcW w:w="1354" w:type="dxa"/>
            <w:tcBorders>
              <w:bottom w:val="single" w:color="auto" w:sz="12" w:space="0"/>
            </w:tcBorders>
            <w:vAlign w:val="center"/>
          </w:tcPr>
          <w:p>
            <w:pPr>
              <w:rPr>
                <w:rFonts w:ascii="宋体" w:hAnsi="宋体"/>
                <w:color w:val="auto"/>
                <w:highlight w:val="none"/>
              </w:rPr>
            </w:pPr>
          </w:p>
        </w:tc>
        <w:tc>
          <w:tcPr>
            <w:tcW w:w="1701" w:type="dxa"/>
            <w:tcBorders>
              <w:bottom w:val="single" w:color="auto" w:sz="12" w:space="0"/>
            </w:tcBorders>
            <w:vAlign w:val="center"/>
          </w:tcPr>
          <w:p>
            <w:pPr>
              <w:rPr>
                <w:rFonts w:ascii="宋体" w:hAnsi="宋体"/>
                <w:color w:val="auto"/>
                <w:highlight w:val="none"/>
              </w:rPr>
            </w:pPr>
          </w:p>
        </w:tc>
      </w:tr>
    </w:tbl>
    <w:p>
      <w:pPr>
        <w:rPr>
          <w:rFonts w:ascii="宋体" w:hAnsi="宋体"/>
          <w:color w:val="auto"/>
          <w:highlight w:val="none"/>
        </w:rPr>
      </w:pPr>
    </w:p>
    <w:p>
      <w:pPr>
        <w:rPr>
          <w:rFonts w:ascii="宋体" w:hAnsi="宋体"/>
          <w:b/>
          <w:color w:val="auto"/>
          <w:sz w:val="28"/>
          <w:szCs w:val="28"/>
          <w:highlight w:val="none"/>
        </w:rPr>
      </w:pPr>
    </w:p>
    <w:p>
      <w:pPr>
        <w:rPr>
          <w:rFonts w:ascii="宋体" w:hAnsi="宋体"/>
          <w:b/>
          <w:color w:val="auto"/>
          <w:sz w:val="28"/>
          <w:szCs w:val="28"/>
          <w:highlight w:val="none"/>
        </w:rPr>
      </w:pPr>
    </w:p>
    <w:p>
      <w:pPr>
        <w:rPr>
          <w:rFonts w:ascii="宋体" w:hAnsi="宋体"/>
          <w:b/>
          <w:color w:val="auto"/>
          <w:sz w:val="28"/>
          <w:szCs w:val="28"/>
          <w:highlight w:val="none"/>
        </w:rPr>
      </w:pPr>
    </w:p>
    <w:p>
      <w:pPr>
        <w:pStyle w:val="2"/>
        <w:ind w:firstLine="281"/>
        <w:rPr>
          <w:rFonts w:ascii="宋体" w:hAnsi="宋体"/>
          <w:b/>
          <w:color w:val="auto"/>
          <w:sz w:val="28"/>
          <w:szCs w:val="28"/>
          <w:highlight w:val="none"/>
        </w:rPr>
      </w:pPr>
    </w:p>
    <w:p>
      <w:pPr>
        <w:pStyle w:val="2"/>
        <w:ind w:firstLine="281"/>
        <w:rPr>
          <w:rFonts w:ascii="宋体" w:hAnsi="宋体"/>
          <w:b/>
          <w:color w:val="auto"/>
          <w:sz w:val="28"/>
          <w:szCs w:val="28"/>
          <w:highlight w:val="none"/>
        </w:rPr>
      </w:pPr>
    </w:p>
    <w:p>
      <w:pPr>
        <w:rPr>
          <w:rFonts w:ascii="宋体" w:hAnsi="宋体"/>
          <w:b/>
          <w:color w:val="auto"/>
          <w:sz w:val="28"/>
          <w:szCs w:val="28"/>
          <w:highlight w:val="none"/>
        </w:rPr>
      </w:pPr>
      <w:r>
        <w:rPr>
          <w:rFonts w:hint="eastAsia" w:ascii="宋体" w:hAnsi="宋体"/>
          <w:b/>
          <w:color w:val="auto"/>
          <w:sz w:val="28"/>
          <w:szCs w:val="28"/>
          <w:highlight w:val="none"/>
        </w:rPr>
        <w:t>附表五   施工总平面图</w:t>
      </w:r>
    </w:p>
    <w:p>
      <w:pPr>
        <w:rPr>
          <w:rFonts w:ascii="宋体" w:hAnsi="宋体"/>
          <w:color w:val="auto"/>
          <w:highlight w:val="none"/>
        </w:rPr>
      </w:pPr>
    </w:p>
    <w:p>
      <w:pPr>
        <w:spacing w:line="360" w:lineRule="auto"/>
        <w:ind w:firstLine="420" w:firstLineChars="200"/>
        <w:rPr>
          <w:rFonts w:ascii="宋体" w:hAnsi="宋体"/>
          <w:color w:val="auto"/>
          <w:highlight w:val="none"/>
        </w:rPr>
      </w:pPr>
      <w:r>
        <w:rPr>
          <w:rFonts w:hint="eastAsia" w:ascii="宋体" w:hAnsi="宋体"/>
          <w:color w:val="auto"/>
          <w:highlight w:val="none"/>
        </w:rPr>
        <w:t>投标人应递交一份施工总平面图，绘出现场临时设施布置图表并附文字说明，说明施工营地、料场、临时设施、加工车间、现场办公、设备及仓储、供电、供水、卫生、生活、道路、消防等设施的情况和布置。</w:t>
      </w:r>
    </w:p>
    <w:p>
      <w:pPr>
        <w:pStyle w:val="2"/>
        <w:ind w:firstLine="210"/>
        <w:rPr>
          <w:rFonts w:ascii="宋体" w:hAnsi="宋体"/>
          <w:color w:val="auto"/>
          <w:highlight w:val="none"/>
        </w:rPr>
      </w:pPr>
    </w:p>
    <w:p>
      <w:pPr>
        <w:pStyle w:val="2"/>
        <w:ind w:firstLine="210"/>
        <w:rPr>
          <w:rFonts w:ascii="宋体" w:hAnsi="宋体"/>
          <w:color w:val="auto"/>
          <w:highlight w:val="none"/>
        </w:rPr>
      </w:pPr>
    </w:p>
    <w:p>
      <w:pPr>
        <w:pStyle w:val="2"/>
        <w:ind w:firstLine="210"/>
        <w:rPr>
          <w:rFonts w:ascii="宋体" w:hAnsi="宋体"/>
          <w:color w:val="auto"/>
          <w:highlight w:val="none"/>
        </w:rPr>
      </w:pPr>
    </w:p>
    <w:p>
      <w:pPr>
        <w:pStyle w:val="2"/>
        <w:ind w:firstLine="210"/>
        <w:rPr>
          <w:rFonts w:ascii="宋体" w:hAnsi="宋体"/>
          <w:color w:val="auto"/>
          <w:highlight w:val="none"/>
        </w:rPr>
      </w:pPr>
    </w:p>
    <w:p>
      <w:pPr>
        <w:pStyle w:val="2"/>
        <w:ind w:firstLine="210"/>
        <w:rPr>
          <w:rFonts w:ascii="宋体" w:hAnsi="宋体"/>
          <w:color w:val="auto"/>
          <w:highlight w:val="none"/>
        </w:rPr>
      </w:pPr>
    </w:p>
    <w:p>
      <w:pPr>
        <w:pStyle w:val="2"/>
        <w:ind w:firstLine="210"/>
        <w:rPr>
          <w:rFonts w:ascii="宋体" w:hAnsi="宋体"/>
          <w:color w:val="auto"/>
          <w:highlight w:val="none"/>
        </w:rPr>
      </w:pPr>
    </w:p>
    <w:p>
      <w:pPr>
        <w:pStyle w:val="2"/>
        <w:ind w:firstLine="210"/>
        <w:rPr>
          <w:rFonts w:ascii="宋体" w:hAnsi="宋体"/>
          <w:color w:val="auto"/>
          <w:highlight w:val="none"/>
        </w:rPr>
      </w:pPr>
    </w:p>
    <w:p>
      <w:pPr>
        <w:pStyle w:val="2"/>
        <w:ind w:firstLine="210"/>
        <w:rPr>
          <w:rFonts w:ascii="宋体" w:hAnsi="宋体"/>
          <w:color w:val="auto"/>
          <w:highlight w:val="none"/>
        </w:rPr>
      </w:pPr>
    </w:p>
    <w:p>
      <w:pPr>
        <w:pStyle w:val="2"/>
        <w:ind w:firstLine="210"/>
        <w:rPr>
          <w:rFonts w:ascii="宋体" w:hAnsi="宋体"/>
          <w:color w:val="auto"/>
          <w:highlight w:val="none"/>
        </w:rPr>
      </w:pPr>
    </w:p>
    <w:p>
      <w:pPr>
        <w:pStyle w:val="2"/>
        <w:ind w:firstLine="210"/>
        <w:rPr>
          <w:rFonts w:ascii="宋体" w:hAnsi="宋体"/>
          <w:color w:val="auto"/>
          <w:highlight w:val="none"/>
        </w:rPr>
        <w:sectPr>
          <w:footnotePr>
            <w:numFmt w:val="decimalEnclosedCircleChinese"/>
            <w:numRestart w:val="eachPage"/>
          </w:footnotePr>
          <w:type w:val="continuous"/>
          <w:pgSz w:w="11900" w:h="16843"/>
          <w:pgMar w:top="1417" w:right="1417" w:bottom="1417" w:left="1531" w:header="850" w:footer="992" w:gutter="0"/>
          <w:pgNumType w:fmt="decimal"/>
          <w:cols w:space="720" w:num="1"/>
          <w:titlePg/>
        </w:sectPr>
      </w:pPr>
    </w:p>
    <w:p>
      <w:pPr>
        <w:pStyle w:val="6"/>
        <w:keepNext w:val="0"/>
        <w:spacing w:before="120" w:beforeLines="50" w:after="240" w:line="400" w:lineRule="exact"/>
        <w:jc w:val="both"/>
        <w:rPr>
          <w:rFonts w:ascii="宋体" w:hAnsi="宋体"/>
          <w:color w:val="auto"/>
          <w:kern w:val="2"/>
          <w:sz w:val="28"/>
          <w:szCs w:val="28"/>
          <w:highlight w:val="none"/>
        </w:rPr>
      </w:pPr>
      <w:bookmarkStart w:id="336" w:name="_Toc9133"/>
      <w:bookmarkStart w:id="337" w:name="_Toc21412"/>
      <w:bookmarkStart w:id="338" w:name="_Toc30874"/>
      <w:r>
        <w:rPr>
          <w:rFonts w:ascii="宋体" w:hAnsi="宋体"/>
          <w:color w:val="auto"/>
          <w:kern w:val="2"/>
          <w:sz w:val="28"/>
          <w:szCs w:val="28"/>
          <w:highlight w:val="none"/>
        </w:rPr>
        <w:t>附表</w:t>
      </w:r>
      <w:r>
        <w:rPr>
          <w:rFonts w:hint="eastAsia" w:ascii="宋体" w:hAnsi="宋体"/>
          <w:color w:val="auto"/>
          <w:kern w:val="2"/>
          <w:sz w:val="28"/>
          <w:szCs w:val="28"/>
          <w:highlight w:val="none"/>
        </w:rPr>
        <w:t>六   劳动力计划表</w:t>
      </w:r>
      <w:bookmarkEnd w:id="336"/>
      <w:bookmarkEnd w:id="337"/>
      <w:bookmarkEnd w:id="338"/>
    </w:p>
    <w:p>
      <w:pPr>
        <w:jc w:val="right"/>
        <w:rPr>
          <w:rFonts w:ascii="宋体" w:hAnsi="宋体"/>
          <w:color w:val="auto"/>
          <w:sz w:val="24"/>
          <w:highlight w:val="none"/>
        </w:rPr>
      </w:pPr>
      <w:r>
        <w:rPr>
          <w:rFonts w:hint="eastAsia" w:ascii="宋体" w:hAnsi="宋体"/>
          <w:color w:val="auto"/>
          <w:sz w:val="24"/>
          <w:highlight w:val="none"/>
        </w:rPr>
        <w:t>单位：人</w:t>
      </w:r>
    </w:p>
    <w:tbl>
      <w:tblPr>
        <w:tblStyle w:val="47"/>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color w:val="auto"/>
                <w:szCs w:val="21"/>
                <w:highlight w:val="none"/>
              </w:rPr>
            </w:pPr>
            <w:r>
              <w:rPr>
                <w:rFonts w:hint="eastAsia" w:ascii="宋体" w:hAnsi="宋体"/>
                <w:color w:val="auto"/>
                <w:szCs w:val="21"/>
                <w:highlight w:val="none"/>
              </w:rPr>
              <w:t>工种</w:t>
            </w:r>
          </w:p>
        </w:tc>
        <w:tc>
          <w:tcPr>
            <w:tcW w:w="8434" w:type="dxa"/>
            <w:gridSpan w:val="7"/>
            <w:vAlign w:val="center"/>
          </w:tcPr>
          <w:p>
            <w:pPr>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4"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4"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4"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4"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4"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4"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4"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4"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4"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4"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4"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4"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4"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4"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4"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4"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4"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4"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4"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4"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4"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4"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4"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4"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4"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c>
          <w:tcPr>
            <w:tcW w:w="1205" w:type="dxa"/>
            <w:vAlign w:val="center"/>
          </w:tcPr>
          <w:p>
            <w:pPr>
              <w:jc w:val="center"/>
              <w:rPr>
                <w:rFonts w:ascii="宋体" w:hAnsi="宋体"/>
                <w:color w:val="auto"/>
                <w:highlight w:val="none"/>
              </w:rPr>
            </w:pPr>
          </w:p>
        </w:tc>
      </w:tr>
    </w:tbl>
    <w:p>
      <w:pPr>
        <w:ind w:firstLine="6600" w:firstLineChars="2750"/>
        <w:rPr>
          <w:rFonts w:ascii="宋体" w:hAnsi="宋体"/>
          <w:color w:val="auto"/>
          <w:sz w:val="24"/>
          <w:highlight w:val="none"/>
        </w:rPr>
      </w:pPr>
    </w:p>
    <w:p>
      <w:pPr>
        <w:rPr>
          <w:rFonts w:ascii="宋体" w:hAnsi="宋体"/>
          <w:color w:val="auto"/>
          <w:highlight w:val="none"/>
        </w:rPr>
        <w:sectPr>
          <w:type w:val="continuous"/>
          <w:pgSz w:w="11900" w:h="16843"/>
          <w:pgMar w:top="1417" w:right="1417" w:bottom="1417" w:left="1531" w:header="850" w:footer="992" w:gutter="0"/>
          <w:pgNumType w:fmt="decimal"/>
          <w:cols w:space="720" w:num="1"/>
          <w:titlePg/>
          <w:docGrid w:linePitch="312" w:charSpace="0"/>
        </w:sectPr>
      </w:pPr>
    </w:p>
    <w:p>
      <w:pPr>
        <w:pStyle w:val="6"/>
        <w:keepNext w:val="0"/>
        <w:spacing w:before="120" w:beforeLines="50" w:after="240" w:line="400" w:lineRule="exact"/>
        <w:rPr>
          <w:rFonts w:ascii="宋体" w:hAnsi="宋体"/>
          <w:color w:val="auto"/>
          <w:kern w:val="2"/>
          <w:sz w:val="28"/>
          <w:szCs w:val="28"/>
          <w:highlight w:val="none"/>
        </w:rPr>
      </w:pPr>
    </w:p>
    <w:p>
      <w:pPr>
        <w:pStyle w:val="6"/>
        <w:keepNext w:val="0"/>
        <w:spacing w:before="120" w:beforeLines="50" w:after="240" w:line="400" w:lineRule="exact"/>
        <w:jc w:val="both"/>
        <w:rPr>
          <w:rFonts w:ascii="宋体" w:hAnsi="宋体"/>
          <w:color w:val="auto"/>
          <w:kern w:val="2"/>
          <w:sz w:val="28"/>
          <w:szCs w:val="28"/>
          <w:highlight w:val="none"/>
        </w:rPr>
      </w:pPr>
      <w:bookmarkStart w:id="339" w:name="_Toc23698"/>
      <w:bookmarkStart w:id="340" w:name="_Toc29662"/>
      <w:bookmarkStart w:id="341" w:name="_Toc14646"/>
      <w:r>
        <w:rPr>
          <w:rFonts w:ascii="宋体" w:hAnsi="宋体"/>
          <w:color w:val="auto"/>
          <w:kern w:val="2"/>
          <w:sz w:val="28"/>
          <w:szCs w:val="28"/>
          <w:highlight w:val="none"/>
        </w:rPr>
        <w:t>附表</w:t>
      </w:r>
      <w:r>
        <w:rPr>
          <w:rFonts w:hint="eastAsia" w:ascii="宋体" w:hAnsi="宋体"/>
          <w:color w:val="auto"/>
          <w:kern w:val="2"/>
          <w:sz w:val="28"/>
          <w:szCs w:val="28"/>
          <w:highlight w:val="none"/>
        </w:rPr>
        <w:t>七  临时占地计划表</w:t>
      </w:r>
      <w:bookmarkEnd w:id="339"/>
      <w:bookmarkEnd w:id="340"/>
      <w:bookmarkEnd w:id="341"/>
    </w:p>
    <w:tbl>
      <w:tblPr>
        <w:tblStyle w:val="47"/>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用   途</w:t>
            </w:r>
          </w:p>
        </w:tc>
        <w:tc>
          <w:tcPr>
            <w:tcW w:w="3507" w:type="dxa"/>
            <w:gridSpan w:val="5"/>
            <w:vAlign w:val="center"/>
          </w:tcPr>
          <w:p>
            <w:pPr>
              <w:jc w:val="center"/>
              <w:rPr>
                <w:rFonts w:ascii="宋体" w:hAnsi="宋体"/>
                <w:color w:val="auto"/>
                <w:szCs w:val="21"/>
                <w:highlight w:val="none"/>
              </w:rPr>
            </w:pPr>
            <w:r>
              <w:rPr>
                <w:rFonts w:hint="eastAsia" w:ascii="宋体" w:hAnsi="宋体"/>
                <w:color w:val="auto"/>
                <w:szCs w:val="21"/>
                <w:highlight w:val="none"/>
              </w:rPr>
              <w:t>面积（m</w:t>
            </w:r>
            <w:r>
              <w:rPr>
                <w:rFonts w:hint="eastAsia" w:ascii="宋体" w:hAnsi="宋体"/>
                <w:color w:val="auto"/>
                <w:szCs w:val="21"/>
                <w:highlight w:val="none"/>
                <w:vertAlign w:val="superscript"/>
              </w:rPr>
              <w:t>2</w:t>
            </w:r>
            <w:r>
              <w:rPr>
                <w:rFonts w:hint="eastAsia" w:ascii="宋体" w:hAnsi="宋体"/>
                <w:color w:val="auto"/>
                <w:szCs w:val="21"/>
                <w:highlight w:val="none"/>
              </w:rPr>
              <w:t>）</w:t>
            </w:r>
          </w:p>
        </w:tc>
        <w:tc>
          <w:tcPr>
            <w:tcW w:w="177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需用时间</w:t>
            </w:r>
          </w:p>
          <w:p>
            <w:pPr>
              <w:ind w:firstLine="5"/>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tc>
        <w:tc>
          <w:tcPr>
            <w:tcW w:w="2156"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97" w:type="dxa"/>
            <w:vMerge w:val="continue"/>
            <w:vAlign w:val="center"/>
          </w:tcPr>
          <w:p>
            <w:pPr>
              <w:jc w:val="center"/>
              <w:rPr>
                <w:rFonts w:ascii="宋体" w:hAnsi="宋体"/>
                <w:color w:val="auto"/>
                <w:szCs w:val="21"/>
                <w:highlight w:val="none"/>
              </w:rPr>
            </w:pPr>
          </w:p>
        </w:tc>
        <w:tc>
          <w:tcPr>
            <w:tcW w:w="699" w:type="dxa"/>
            <w:vAlign w:val="center"/>
          </w:tcPr>
          <w:p>
            <w:pPr>
              <w:jc w:val="center"/>
              <w:rPr>
                <w:rFonts w:ascii="宋体" w:hAnsi="宋体"/>
                <w:color w:val="auto"/>
                <w:szCs w:val="21"/>
                <w:highlight w:val="none"/>
              </w:rPr>
            </w:pPr>
            <w:r>
              <w:rPr>
                <w:rFonts w:hint="eastAsia" w:ascii="宋体" w:hAnsi="宋体"/>
                <w:color w:val="auto"/>
                <w:szCs w:val="21"/>
                <w:highlight w:val="none"/>
              </w:rPr>
              <w:t>菜地</w:t>
            </w:r>
          </w:p>
        </w:tc>
        <w:tc>
          <w:tcPr>
            <w:tcW w:w="700" w:type="dxa"/>
            <w:vAlign w:val="center"/>
          </w:tcPr>
          <w:p>
            <w:pPr>
              <w:jc w:val="center"/>
              <w:rPr>
                <w:rFonts w:ascii="宋体" w:hAnsi="宋体"/>
                <w:color w:val="auto"/>
                <w:szCs w:val="21"/>
                <w:highlight w:val="none"/>
              </w:rPr>
            </w:pPr>
            <w:r>
              <w:rPr>
                <w:rFonts w:hint="eastAsia" w:ascii="宋体" w:hAnsi="宋体"/>
                <w:color w:val="auto"/>
                <w:szCs w:val="21"/>
                <w:highlight w:val="none"/>
              </w:rPr>
              <w:t>水田</w:t>
            </w:r>
          </w:p>
        </w:tc>
        <w:tc>
          <w:tcPr>
            <w:tcW w:w="702" w:type="dxa"/>
            <w:vAlign w:val="center"/>
          </w:tcPr>
          <w:p>
            <w:pPr>
              <w:jc w:val="center"/>
              <w:rPr>
                <w:rFonts w:ascii="宋体" w:hAnsi="宋体"/>
                <w:color w:val="auto"/>
                <w:szCs w:val="21"/>
                <w:highlight w:val="none"/>
              </w:rPr>
            </w:pPr>
            <w:r>
              <w:rPr>
                <w:rFonts w:hint="eastAsia" w:ascii="宋体" w:hAnsi="宋体"/>
                <w:color w:val="auto"/>
                <w:szCs w:val="21"/>
                <w:highlight w:val="none"/>
              </w:rPr>
              <w:t>旱地</w:t>
            </w:r>
          </w:p>
        </w:tc>
        <w:tc>
          <w:tcPr>
            <w:tcW w:w="700" w:type="dxa"/>
            <w:vAlign w:val="center"/>
          </w:tcPr>
          <w:p>
            <w:pPr>
              <w:jc w:val="center"/>
              <w:rPr>
                <w:rFonts w:ascii="宋体" w:hAnsi="宋体"/>
                <w:color w:val="auto"/>
                <w:szCs w:val="21"/>
                <w:highlight w:val="none"/>
              </w:rPr>
            </w:pPr>
            <w:r>
              <w:rPr>
                <w:rFonts w:hint="eastAsia" w:ascii="宋体" w:hAnsi="宋体"/>
                <w:color w:val="auto"/>
                <w:szCs w:val="21"/>
                <w:highlight w:val="none"/>
              </w:rPr>
              <w:t>果园</w:t>
            </w:r>
          </w:p>
        </w:tc>
        <w:tc>
          <w:tcPr>
            <w:tcW w:w="706" w:type="dxa"/>
            <w:vAlign w:val="center"/>
          </w:tcPr>
          <w:p>
            <w:pPr>
              <w:jc w:val="center"/>
              <w:rPr>
                <w:rFonts w:ascii="宋体" w:hAnsi="宋体"/>
                <w:color w:val="auto"/>
                <w:szCs w:val="21"/>
                <w:highlight w:val="none"/>
              </w:rPr>
            </w:pPr>
            <w:r>
              <w:rPr>
                <w:rFonts w:hint="eastAsia" w:ascii="宋体" w:hAnsi="宋体"/>
                <w:color w:val="auto"/>
                <w:szCs w:val="21"/>
                <w:highlight w:val="none"/>
              </w:rPr>
              <w:t>荒地</w:t>
            </w:r>
          </w:p>
        </w:tc>
        <w:tc>
          <w:tcPr>
            <w:tcW w:w="1779" w:type="dxa"/>
            <w:vMerge w:val="continue"/>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r>
              <w:rPr>
                <w:rFonts w:hint="eastAsia" w:ascii="宋体" w:hAnsi="宋体"/>
                <w:color w:val="auto"/>
                <w:szCs w:val="21"/>
                <w:highlight w:val="none"/>
              </w:rPr>
              <w:t>桩</w:t>
            </w:r>
          </w:p>
          <w:p>
            <w:pPr>
              <w:jc w:val="center"/>
              <w:rPr>
                <w:rFonts w:ascii="宋体" w:hAnsi="宋体"/>
                <w:color w:val="auto"/>
                <w:szCs w:val="21"/>
                <w:highlight w:val="none"/>
              </w:rPr>
            </w:pPr>
            <w:r>
              <w:rPr>
                <w:rFonts w:hint="eastAsia" w:ascii="宋体" w:hAnsi="宋体"/>
                <w:color w:val="auto"/>
                <w:szCs w:val="21"/>
                <w:highlight w:val="none"/>
              </w:rPr>
              <w:t>号</w:t>
            </w:r>
          </w:p>
        </w:tc>
        <w:tc>
          <w:tcPr>
            <w:tcW w:w="741" w:type="dxa"/>
            <w:vAlign w:val="center"/>
          </w:tcPr>
          <w:p>
            <w:pPr>
              <w:jc w:val="center"/>
              <w:rPr>
                <w:rFonts w:ascii="宋体" w:hAnsi="宋体"/>
                <w:color w:val="auto"/>
                <w:szCs w:val="21"/>
                <w:highlight w:val="none"/>
              </w:rPr>
            </w:pPr>
            <w:r>
              <w:rPr>
                <w:rFonts w:hint="eastAsia" w:ascii="宋体" w:hAnsi="宋体"/>
                <w:color w:val="auto"/>
                <w:szCs w:val="21"/>
                <w:highlight w:val="none"/>
              </w:rPr>
              <w:t>左侧（m）</w:t>
            </w:r>
          </w:p>
        </w:tc>
        <w:tc>
          <w:tcPr>
            <w:tcW w:w="742" w:type="dxa"/>
            <w:vAlign w:val="center"/>
          </w:tcPr>
          <w:p>
            <w:pPr>
              <w:jc w:val="center"/>
              <w:rPr>
                <w:rFonts w:ascii="宋体" w:hAnsi="宋体"/>
                <w:color w:val="auto"/>
                <w:szCs w:val="21"/>
                <w:highlight w:val="none"/>
              </w:rPr>
            </w:pPr>
            <w:r>
              <w:rPr>
                <w:rFonts w:hint="eastAsia" w:ascii="宋体" w:hAnsi="宋体"/>
                <w:color w:val="auto"/>
                <w:szCs w:val="21"/>
                <w:highlight w:val="none"/>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一、临时工程</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1.便道</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2.……</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二、生产及生活临时设施</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1.临时住房</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2.办公等公用房屋</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3.料场</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租用面积合计</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bl>
    <w:p>
      <w:pPr>
        <w:rPr>
          <w:rFonts w:ascii="宋体" w:hAnsi="宋体"/>
          <w:color w:val="auto"/>
          <w:highlight w:val="none"/>
        </w:rPr>
        <w:sectPr>
          <w:headerReference r:id="rId28" w:type="default"/>
          <w:type w:val="continuous"/>
          <w:pgSz w:w="11900" w:h="16843"/>
          <w:pgMar w:top="1417" w:right="1417" w:bottom="1417" w:left="1531" w:header="850" w:footer="850" w:gutter="0"/>
          <w:pgNumType w:fmt="decimal"/>
          <w:cols w:space="720" w:num="1"/>
          <w:titlePg/>
          <w:docGrid w:linePitch="312" w:charSpace="0"/>
        </w:sectPr>
      </w:pPr>
    </w:p>
    <w:p>
      <w:pPr>
        <w:pStyle w:val="6"/>
        <w:keepNext w:val="0"/>
        <w:spacing w:before="120" w:beforeLines="50" w:after="240" w:line="400" w:lineRule="exact"/>
        <w:jc w:val="both"/>
        <w:rPr>
          <w:rFonts w:ascii="宋体" w:hAnsi="宋体"/>
          <w:color w:val="auto"/>
          <w:sz w:val="30"/>
          <w:szCs w:val="30"/>
          <w:highlight w:val="none"/>
        </w:rPr>
      </w:pPr>
      <w:bookmarkStart w:id="342" w:name="_Toc234382972"/>
      <w:bookmarkStart w:id="343" w:name="_Toc5566"/>
      <w:bookmarkStart w:id="344" w:name="_Toc3195"/>
      <w:bookmarkStart w:id="345" w:name="_Toc14450"/>
      <w:r>
        <w:rPr>
          <w:rFonts w:hint="eastAsia" w:ascii="宋体" w:hAnsi="宋体"/>
          <w:color w:val="auto"/>
          <w:kern w:val="2"/>
          <w:sz w:val="28"/>
          <w:szCs w:val="28"/>
          <w:highlight w:val="none"/>
        </w:rPr>
        <w:t>附表八  外供电力需求计划表</w:t>
      </w:r>
      <w:bookmarkEnd w:id="342"/>
      <w:bookmarkEnd w:id="343"/>
      <w:bookmarkEnd w:id="344"/>
      <w:bookmarkEnd w:id="345"/>
    </w:p>
    <w:tbl>
      <w:tblPr>
        <w:tblStyle w:val="47"/>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用电位置</w:t>
            </w:r>
          </w:p>
        </w:tc>
        <w:tc>
          <w:tcPr>
            <w:tcW w:w="1984"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计划用电数量（KW·h）</w:t>
            </w:r>
          </w:p>
        </w:tc>
        <w:tc>
          <w:tcPr>
            <w:tcW w:w="1701"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用  途</w:t>
            </w:r>
          </w:p>
        </w:tc>
        <w:tc>
          <w:tcPr>
            <w:tcW w:w="2552"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需 用 时 间</w:t>
            </w:r>
          </w:p>
          <w:p>
            <w:pPr>
              <w:ind w:left="735" w:hanging="735" w:hangingChars="350"/>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p>
            <w:pPr>
              <w:ind w:left="735" w:hanging="735" w:hangingChars="350"/>
              <w:jc w:val="center"/>
              <w:rPr>
                <w:rFonts w:ascii="宋体" w:hAnsi="宋体"/>
                <w:color w:val="auto"/>
                <w:szCs w:val="21"/>
                <w:highlight w:val="none"/>
              </w:rPr>
            </w:pPr>
            <w:r>
              <w:rPr>
                <w:rFonts w:hint="eastAsia" w:ascii="宋体" w:hAnsi="宋体"/>
                <w:color w:val="auto"/>
                <w:szCs w:val="21"/>
                <w:highlight w:val="none"/>
              </w:rPr>
              <w:t>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tc>
        <w:tc>
          <w:tcPr>
            <w:tcW w:w="1190"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1106" w:type="dxa"/>
            <w:vAlign w:val="center"/>
          </w:tcPr>
          <w:p>
            <w:pPr>
              <w:jc w:val="center"/>
              <w:rPr>
                <w:rFonts w:ascii="宋体" w:hAnsi="宋体"/>
                <w:color w:val="auto"/>
                <w:szCs w:val="21"/>
                <w:highlight w:val="none"/>
              </w:rPr>
            </w:pPr>
            <w:r>
              <w:rPr>
                <w:rFonts w:hint="eastAsia" w:ascii="宋体" w:hAnsi="宋体"/>
                <w:color w:val="auto"/>
                <w:szCs w:val="21"/>
                <w:highlight w:val="none"/>
              </w:rPr>
              <w:t>桩号</w:t>
            </w:r>
          </w:p>
        </w:tc>
        <w:tc>
          <w:tcPr>
            <w:tcW w:w="1106" w:type="dxa"/>
            <w:vAlign w:val="center"/>
          </w:tcPr>
          <w:p>
            <w:pPr>
              <w:jc w:val="center"/>
              <w:rPr>
                <w:rFonts w:ascii="宋体" w:hAnsi="宋体"/>
                <w:color w:val="auto"/>
                <w:szCs w:val="21"/>
                <w:highlight w:val="none"/>
              </w:rPr>
            </w:pPr>
            <w:r>
              <w:rPr>
                <w:rFonts w:hint="eastAsia" w:ascii="宋体" w:hAnsi="宋体"/>
                <w:color w:val="auto"/>
                <w:szCs w:val="21"/>
                <w:highlight w:val="none"/>
              </w:rPr>
              <w:t>左或右（m）</w:t>
            </w:r>
          </w:p>
        </w:tc>
        <w:tc>
          <w:tcPr>
            <w:tcW w:w="1984" w:type="dxa"/>
            <w:vMerge w:val="continue"/>
            <w:vAlign w:val="center"/>
          </w:tcPr>
          <w:p>
            <w:pPr>
              <w:jc w:val="center"/>
              <w:rPr>
                <w:rFonts w:ascii="宋体" w:hAnsi="宋体"/>
                <w:color w:val="auto"/>
                <w:szCs w:val="21"/>
                <w:highlight w:val="none"/>
              </w:rPr>
            </w:pPr>
          </w:p>
        </w:tc>
        <w:tc>
          <w:tcPr>
            <w:tcW w:w="1701" w:type="dxa"/>
            <w:vMerge w:val="continue"/>
            <w:vAlign w:val="center"/>
          </w:tcPr>
          <w:p>
            <w:pPr>
              <w:jc w:val="center"/>
              <w:rPr>
                <w:rFonts w:ascii="宋体" w:hAnsi="宋体"/>
                <w:color w:val="auto"/>
                <w:szCs w:val="21"/>
                <w:highlight w:val="none"/>
              </w:rPr>
            </w:pPr>
          </w:p>
        </w:tc>
        <w:tc>
          <w:tcPr>
            <w:tcW w:w="2552" w:type="dxa"/>
            <w:vMerge w:val="continue"/>
            <w:vAlign w:val="center"/>
          </w:tcPr>
          <w:p>
            <w:pPr>
              <w:jc w:val="center"/>
              <w:rPr>
                <w:rFonts w:ascii="宋体" w:hAnsi="宋体"/>
                <w:color w:val="auto"/>
                <w:szCs w:val="21"/>
                <w:highlight w:val="none"/>
              </w:rPr>
            </w:pPr>
          </w:p>
        </w:tc>
        <w:tc>
          <w:tcPr>
            <w:tcW w:w="1190" w:type="dxa"/>
            <w:vMerge w:val="continue"/>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color w:val="auto"/>
                <w:szCs w:val="21"/>
                <w:highlight w:val="none"/>
              </w:rPr>
            </w:pPr>
          </w:p>
        </w:tc>
        <w:tc>
          <w:tcPr>
            <w:tcW w:w="1106" w:type="dxa"/>
            <w:vAlign w:val="center"/>
          </w:tcPr>
          <w:p>
            <w:pPr>
              <w:jc w:val="center"/>
              <w:rPr>
                <w:rFonts w:ascii="宋体" w:hAnsi="宋体"/>
                <w:color w:val="auto"/>
                <w:szCs w:val="21"/>
                <w:highlight w:val="none"/>
              </w:rPr>
            </w:pPr>
          </w:p>
        </w:tc>
        <w:tc>
          <w:tcPr>
            <w:tcW w:w="1984" w:type="dxa"/>
            <w:vAlign w:val="center"/>
          </w:tcPr>
          <w:p>
            <w:pPr>
              <w:jc w:val="center"/>
              <w:rPr>
                <w:rFonts w:ascii="宋体" w:hAnsi="宋体"/>
                <w:color w:val="auto"/>
                <w:szCs w:val="21"/>
                <w:highlight w:val="none"/>
              </w:rPr>
            </w:pPr>
          </w:p>
        </w:tc>
        <w:tc>
          <w:tcPr>
            <w:tcW w:w="1701" w:type="dxa"/>
            <w:vAlign w:val="center"/>
          </w:tcPr>
          <w:p>
            <w:pPr>
              <w:jc w:val="center"/>
              <w:rPr>
                <w:rFonts w:ascii="宋体" w:hAnsi="宋体"/>
                <w:color w:val="auto"/>
                <w:szCs w:val="21"/>
                <w:highlight w:val="none"/>
              </w:rPr>
            </w:pPr>
          </w:p>
        </w:tc>
        <w:tc>
          <w:tcPr>
            <w:tcW w:w="2552" w:type="dxa"/>
            <w:vAlign w:val="center"/>
          </w:tcPr>
          <w:p>
            <w:pPr>
              <w:jc w:val="center"/>
              <w:rPr>
                <w:rFonts w:ascii="宋体" w:hAnsi="宋体"/>
                <w:color w:val="auto"/>
                <w:szCs w:val="21"/>
                <w:highlight w:val="none"/>
              </w:rPr>
            </w:pP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color w:val="auto"/>
                <w:szCs w:val="21"/>
                <w:highlight w:val="none"/>
              </w:rPr>
            </w:pPr>
          </w:p>
        </w:tc>
        <w:tc>
          <w:tcPr>
            <w:tcW w:w="1106" w:type="dxa"/>
            <w:vAlign w:val="center"/>
          </w:tcPr>
          <w:p>
            <w:pPr>
              <w:jc w:val="center"/>
              <w:rPr>
                <w:rFonts w:ascii="宋体" w:hAnsi="宋体"/>
                <w:color w:val="auto"/>
                <w:szCs w:val="21"/>
                <w:highlight w:val="none"/>
              </w:rPr>
            </w:pPr>
          </w:p>
        </w:tc>
        <w:tc>
          <w:tcPr>
            <w:tcW w:w="1984" w:type="dxa"/>
            <w:vAlign w:val="center"/>
          </w:tcPr>
          <w:p>
            <w:pPr>
              <w:jc w:val="center"/>
              <w:rPr>
                <w:rFonts w:ascii="宋体" w:hAnsi="宋体"/>
                <w:color w:val="auto"/>
                <w:szCs w:val="21"/>
                <w:highlight w:val="none"/>
              </w:rPr>
            </w:pPr>
          </w:p>
        </w:tc>
        <w:tc>
          <w:tcPr>
            <w:tcW w:w="1701" w:type="dxa"/>
            <w:vAlign w:val="center"/>
          </w:tcPr>
          <w:p>
            <w:pPr>
              <w:jc w:val="center"/>
              <w:rPr>
                <w:rFonts w:ascii="宋体" w:hAnsi="宋体"/>
                <w:color w:val="auto"/>
                <w:szCs w:val="21"/>
                <w:highlight w:val="none"/>
              </w:rPr>
            </w:pPr>
          </w:p>
        </w:tc>
        <w:tc>
          <w:tcPr>
            <w:tcW w:w="2552" w:type="dxa"/>
            <w:vAlign w:val="center"/>
          </w:tcPr>
          <w:p>
            <w:pPr>
              <w:jc w:val="center"/>
              <w:rPr>
                <w:rFonts w:ascii="宋体" w:hAnsi="宋体"/>
                <w:color w:val="auto"/>
                <w:szCs w:val="21"/>
                <w:highlight w:val="none"/>
              </w:rPr>
            </w:pP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color w:val="auto"/>
                <w:szCs w:val="21"/>
                <w:highlight w:val="none"/>
              </w:rPr>
            </w:pPr>
          </w:p>
        </w:tc>
        <w:tc>
          <w:tcPr>
            <w:tcW w:w="1106" w:type="dxa"/>
            <w:vAlign w:val="center"/>
          </w:tcPr>
          <w:p>
            <w:pPr>
              <w:jc w:val="center"/>
              <w:rPr>
                <w:rFonts w:ascii="宋体" w:hAnsi="宋体"/>
                <w:color w:val="auto"/>
                <w:szCs w:val="21"/>
                <w:highlight w:val="none"/>
              </w:rPr>
            </w:pPr>
          </w:p>
        </w:tc>
        <w:tc>
          <w:tcPr>
            <w:tcW w:w="1984" w:type="dxa"/>
            <w:vAlign w:val="center"/>
          </w:tcPr>
          <w:p>
            <w:pPr>
              <w:jc w:val="center"/>
              <w:rPr>
                <w:rFonts w:ascii="宋体" w:hAnsi="宋体"/>
                <w:color w:val="auto"/>
                <w:szCs w:val="21"/>
                <w:highlight w:val="none"/>
              </w:rPr>
            </w:pPr>
          </w:p>
        </w:tc>
        <w:tc>
          <w:tcPr>
            <w:tcW w:w="1701" w:type="dxa"/>
            <w:vAlign w:val="center"/>
          </w:tcPr>
          <w:p>
            <w:pPr>
              <w:jc w:val="center"/>
              <w:rPr>
                <w:rFonts w:ascii="宋体" w:hAnsi="宋体"/>
                <w:color w:val="auto"/>
                <w:szCs w:val="21"/>
                <w:highlight w:val="none"/>
              </w:rPr>
            </w:pPr>
          </w:p>
        </w:tc>
        <w:tc>
          <w:tcPr>
            <w:tcW w:w="2552" w:type="dxa"/>
            <w:vAlign w:val="center"/>
          </w:tcPr>
          <w:p>
            <w:pPr>
              <w:jc w:val="center"/>
              <w:rPr>
                <w:rFonts w:ascii="宋体" w:hAnsi="宋体"/>
                <w:color w:val="auto"/>
                <w:szCs w:val="21"/>
                <w:highlight w:val="none"/>
              </w:rPr>
            </w:pP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color w:val="auto"/>
                <w:szCs w:val="21"/>
                <w:highlight w:val="none"/>
              </w:rPr>
            </w:pPr>
          </w:p>
        </w:tc>
        <w:tc>
          <w:tcPr>
            <w:tcW w:w="1106" w:type="dxa"/>
            <w:vAlign w:val="center"/>
          </w:tcPr>
          <w:p>
            <w:pPr>
              <w:jc w:val="center"/>
              <w:rPr>
                <w:rFonts w:ascii="宋体" w:hAnsi="宋体"/>
                <w:color w:val="auto"/>
                <w:szCs w:val="21"/>
                <w:highlight w:val="none"/>
              </w:rPr>
            </w:pPr>
          </w:p>
        </w:tc>
        <w:tc>
          <w:tcPr>
            <w:tcW w:w="1984" w:type="dxa"/>
            <w:vAlign w:val="center"/>
          </w:tcPr>
          <w:p>
            <w:pPr>
              <w:jc w:val="center"/>
              <w:rPr>
                <w:rFonts w:ascii="宋体" w:hAnsi="宋体"/>
                <w:color w:val="auto"/>
                <w:szCs w:val="21"/>
                <w:highlight w:val="none"/>
              </w:rPr>
            </w:pPr>
          </w:p>
        </w:tc>
        <w:tc>
          <w:tcPr>
            <w:tcW w:w="1701" w:type="dxa"/>
            <w:vAlign w:val="center"/>
          </w:tcPr>
          <w:p>
            <w:pPr>
              <w:jc w:val="center"/>
              <w:rPr>
                <w:rFonts w:ascii="宋体" w:hAnsi="宋体"/>
                <w:color w:val="auto"/>
                <w:szCs w:val="21"/>
                <w:highlight w:val="none"/>
              </w:rPr>
            </w:pPr>
          </w:p>
        </w:tc>
        <w:tc>
          <w:tcPr>
            <w:tcW w:w="2552" w:type="dxa"/>
            <w:vAlign w:val="center"/>
          </w:tcPr>
          <w:p>
            <w:pPr>
              <w:jc w:val="center"/>
              <w:rPr>
                <w:rFonts w:ascii="宋体" w:hAnsi="宋体"/>
                <w:color w:val="auto"/>
                <w:szCs w:val="21"/>
                <w:highlight w:val="none"/>
              </w:rPr>
            </w:pP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color w:val="auto"/>
                <w:szCs w:val="21"/>
                <w:highlight w:val="none"/>
              </w:rPr>
            </w:pPr>
          </w:p>
        </w:tc>
        <w:tc>
          <w:tcPr>
            <w:tcW w:w="1106" w:type="dxa"/>
            <w:vAlign w:val="center"/>
          </w:tcPr>
          <w:p>
            <w:pPr>
              <w:jc w:val="center"/>
              <w:rPr>
                <w:rFonts w:ascii="宋体" w:hAnsi="宋体"/>
                <w:color w:val="auto"/>
                <w:szCs w:val="21"/>
                <w:highlight w:val="none"/>
              </w:rPr>
            </w:pPr>
          </w:p>
        </w:tc>
        <w:tc>
          <w:tcPr>
            <w:tcW w:w="1984" w:type="dxa"/>
            <w:vAlign w:val="center"/>
          </w:tcPr>
          <w:p>
            <w:pPr>
              <w:jc w:val="center"/>
              <w:rPr>
                <w:rFonts w:ascii="宋体" w:hAnsi="宋体"/>
                <w:color w:val="auto"/>
                <w:szCs w:val="21"/>
                <w:highlight w:val="none"/>
              </w:rPr>
            </w:pPr>
          </w:p>
        </w:tc>
        <w:tc>
          <w:tcPr>
            <w:tcW w:w="1701" w:type="dxa"/>
            <w:vAlign w:val="center"/>
          </w:tcPr>
          <w:p>
            <w:pPr>
              <w:jc w:val="center"/>
              <w:rPr>
                <w:rFonts w:ascii="宋体" w:hAnsi="宋体"/>
                <w:color w:val="auto"/>
                <w:szCs w:val="21"/>
                <w:highlight w:val="none"/>
              </w:rPr>
            </w:pPr>
          </w:p>
        </w:tc>
        <w:tc>
          <w:tcPr>
            <w:tcW w:w="2552" w:type="dxa"/>
            <w:vAlign w:val="center"/>
          </w:tcPr>
          <w:p>
            <w:pPr>
              <w:jc w:val="center"/>
              <w:rPr>
                <w:rFonts w:ascii="宋体" w:hAnsi="宋体"/>
                <w:color w:val="auto"/>
                <w:szCs w:val="21"/>
                <w:highlight w:val="none"/>
              </w:rPr>
            </w:pP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color w:val="auto"/>
                <w:szCs w:val="21"/>
                <w:highlight w:val="none"/>
              </w:rPr>
            </w:pPr>
          </w:p>
        </w:tc>
        <w:tc>
          <w:tcPr>
            <w:tcW w:w="1106" w:type="dxa"/>
            <w:vAlign w:val="center"/>
          </w:tcPr>
          <w:p>
            <w:pPr>
              <w:jc w:val="center"/>
              <w:rPr>
                <w:rFonts w:ascii="宋体" w:hAnsi="宋体"/>
                <w:color w:val="auto"/>
                <w:szCs w:val="21"/>
                <w:highlight w:val="none"/>
              </w:rPr>
            </w:pPr>
          </w:p>
        </w:tc>
        <w:tc>
          <w:tcPr>
            <w:tcW w:w="1984" w:type="dxa"/>
            <w:vAlign w:val="center"/>
          </w:tcPr>
          <w:p>
            <w:pPr>
              <w:jc w:val="center"/>
              <w:rPr>
                <w:rFonts w:ascii="宋体" w:hAnsi="宋体"/>
                <w:color w:val="auto"/>
                <w:szCs w:val="21"/>
                <w:highlight w:val="none"/>
              </w:rPr>
            </w:pPr>
          </w:p>
        </w:tc>
        <w:tc>
          <w:tcPr>
            <w:tcW w:w="1701" w:type="dxa"/>
            <w:vAlign w:val="center"/>
          </w:tcPr>
          <w:p>
            <w:pPr>
              <w:jc w:val="center"/>
              <w:rPr>
                <w:rFonts w:ascii="宋体" w:hAnsi="宋体"/>
                <w:color w:val="auto"/>
                <w:szCs w:val="21"/>
                <w:highlight w:val="none"/>
              </w:rPr>
            </w:pPr>
          </w:p>
        </w:tc>
        <w:tc>
          <w:tcPr>
            <w:tcW w:w="2552" w:type="dxa"/>
            <w:vAlign w:val="center"/>
          </w:tcPr>
          <w:p>
            <w:pPr>
              <w:jc w:val="center"/>
              <w:rPr>
                <w:rFonts w:ascii="宋体" w:hAnsi="宋体"/>
                <w:color w:val="auto"/>
                <w:szCs w:val="21"/>
                <w:highlight w:val="none"/>
              </w:rPr>
            </w:pP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color w:val="auto"/>
                <w:szCs w:val="21"/>
                <w:highlight w:val="none"/>
              </w:rPr>
            </w:pPr>
          </w:p>
        </w:tc>
        <w:tc>
          <w:tcPr>
            <w:tcW w:w="1106" w:type="dxa"/>
            <w:vAlign w:val="center"/>
          </w:tcPr>
          <w:p>
            <w:pPr>
              <w:jc w:val="center"/>
              <w:rPr>
                <w:rFonts w:ascii="宋体" w:hAnsi="宋体"/>
                <w:color w:val="auto"/>
                <w:szCs w:val="21"/>
                <w:highlight w:val="none"/>
              </w:rPr>
            </w:pPr>
          </w:p>
        </w:tc>
        <w:tc>
          <w:tcPr>
            <w:tcW w:w="1984" w:type="dxa"/>
            <w:vAlign w:val="center"/>
          </w:tcPr>
          <w:p>
            <w:pPr>
              <w:jc w:val="center"/>
              <w:rPr>
                <w:rFonts w:ascii="宋体" w:hAnsi="宋体"/>
                <w:color w:val="auto"/>
                <w:szCs w:val="21"/>
                <w:highlight w:val="none"/>
              </w:rPr>
            </w:pPr>
          </w:p>
        </w:tc>
        <w:tc>
          <w:tcPr>
            <w:tcW w:w="1701" w:type="dxa"/>
            <w:vAlign w:val="center"/>
          </w:tcPr>
          <w:p>
            <w:pPr>
              <w:jc w:val="center"/>
              <w:rPr>
                <w:rFonts w:ascii="宋体" w:hAnsi="宋体"/>
                <w:color w:val="auto"/>
                <w:szCs w:val="21"/>
                <w:highlight w:val="none"/>
              </w:rPr>
            </w:pPr>
          </w:p>
        </w:tc>
        <w:tc>
          <w:tcPr>
            <w:tcW w:w="2552" w:type="dxa"/>
            <w:vAlign w:val="center"/>
          </w:tcPr>
          <w:p>
            <w:pPr>
              <w:jc w:val="center"/>
              <w:rPr>
                <w:rFonts w:ascii="宋体" w:hAnsi="宋体"/>
                <w:color w:val="auto"/>
                <w:szCs w:val="21"/>
                <w:highlight w:val="none"/>
              </w:rPr>
            </w:pP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color w:val="auto"/>
                <w:szCs w:val="21"/>
                <w:highlight w:val="none"/>
              </w:rPr>
            </w:pPr>
          </w:p>
        </w:tc>
        <w:tc>
          <w:tcPr>
            <w:tcW w:w="1106" w:type="dxa"/>
            <w:vAlign w:val="center"/>
          </w:tcPr>
          <w:p>
            <w:pPr>
              <w:jc w:val="center"/>
              <w:rPr>
                <w:rFonts w:ascii="宋体" w:hAnsi="宋体"/>
                <w:color w:val="auto"/>
                <w:szCs w:val="21"/>
                <w:highlight w:val="none"/>
              </w:rPr>
            </w:pPr>
          </w:p>
        </w:tc>
        <w:tc>
          <w:tcPr>
            <w:tcW w:w="1984" w:type="dxa"/>
            <w:vAlign w:val="center"/>
          </w:tcPr>
          <w:p>
            <w:pPr>
              <w:jc w:val="center"/>
              <w:rPr>
                <w:rFonts w:ascii="宋体" w:hAnsi="宋体"/>
                <w:color w:val="auto"/>
                <w:szCs w:val="21"/>
                <w:highlight w:val="none"/>
              </w:rPr>
            </w:pPr>
          </w:p>
        </w:tc>
        <w:tc>
          <w:tcPr>
            <w:tcW w:w="1701" w:type="dxa"/>
            <w:vAlign w:val="center"/>
          </w:tcPr>
          <w:p>
            <w:pPr>
              <w:jc w:val="center"/>
              <w:rPr>
                <w:rFonts w:ascii="宋体" w:hAnsi="宋体"/>
                <w:color w:val="auto"/>
                <w:szCs w:val="21"/>
                <w:highlight w:val="none"/>
              </w:rPr>
            </w:pPr>
          </w:p>
        </w:tc>
        <w:tc>
          <w:tcPr>
            <w:tcW w:w="2552" w:type="dxa"/>
            <w:vAlign w:val="center"/>
          </w:tcPr>
          <w:p>
            <w:pPr>
              <w:jc w:val="center"/>
              <w:rPr>
                <w:rFonts w:ascii="宋体" w:hAnsi="宋体"/>
                <w:color w:val="auto"/>
                <w:szCs w:val="21"/>
                <w:highlight w:val="none"/>
              </w:rPr>
            </w:pP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color w:val="auto"/>
                <w:szCs w:val="21"/>
                <w:highlight w:val="none"/>
              </w:rPr>
            </w:pPr>
          </w:p>
        </w:tc>
        <w:tc>
          <w:tcPr>
            <w:tcW w:w="1106" w:type="dxa"/>
            <w:vAlign w:val="center"/>
          </w:tcPr>
          <w:p>
            <w:pPr>
              <w:jc w:val="center"/>
              <w:rPr>
                <w:rFonts w:ascii="宋体" w:hAnsi="宋体"/>
                <w:color w:val="auto"/>
                <w:szCs w:val="21"/>
                <w:highlight w:val="none"/>
              </w:rPr>
            </w:pPr>
          </w:p>
        </w:tc>
        <w:tc>
          <w:tcPr>
            <w:tcW w:w="1984" w:type="dxa"/>
            <w:vAlign w:val="center"/>
          </w:tcPr>
          <w:p>
            <w:pPr>
              <w:jc w:val="center"/>
              <w:rPr>
                <w:rFonts w:ascii="宋体" w:hAnsi="宋体"/>
                <w:color w:val="auto"/>
                <w:szCs w:val="21"/>
                <w:highlight w:val="none"/>
              </w:rPr>
            </w:pPr>
          </w:p>
        </w:tc>
        <w:tc>
          <w:tcPr>
            <w:tcW w:w="1701" w:type="dxa"/>
            <w:vAlign w:val="center"/>
          </w:tcPr>
          <w:p>
            <w:pPr>
              <w:jc w:val="center"/>
              <w:rPr>
                <w:rFonts w:ascii="宋体" w:hAnsi="宋体"/>
                <w:color w:val="auto"/>
                <w:szCs w:val="21"/>
                <w:highlight w:val="none"/>
              </w:rPr>
            </w:pPr>
          </w:p>
        </w:tc>
        <w:tc>
          <w:tcPr>
            <w:tcW w:w="2552" w:type="dxa"/>
            <w:vAlign w:val="center"/>
          </w:tcPr>
          <w:p>
            <w:pPr>
              <w:jc w:val="center"/>
              <w:rPr>
                <w:rFonts w:ascii="宋体" w:hAnsi="宋体"/>
                <w:color w:val="auto"/>
                <w:szCs w:val="21"/>
                <w:highlight w:val="none"/>
              </w:rPr>
            </w:pP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color w:val="auto"/>
                <w:szCs w:val="21"/>
                <w:highlight w:val="none"/>
              </w:rPr>
            </w:pPr>
          </w:p>
        </w:tc>
        <w:tc>
          <w:tcPr>
            <w:tcW w:w="1106" w:type="dxa"/>
            <w:vAlign w:val="center"/>
          </w:tcPr>
          <w:p>
            <w:pPr>
              <w:jc w:val="center"/>
              <w:rPr>
                <w:rFonts w:ascii="宋体" w:hAnsi="宋体"/>
                <w:color w:val="auto"/>
                <w:szCs w:val="21"/>
                <w:highlight w:val="none"/>
              </w:rPr>
            </w:pPr>
          </w:p>
        </w:tc>
        <w:tc>
          <w:tcPr>
            <w:tcW w:w="1984" w:type="dxa"/>
            <w:vAlign w:val="center"/>
          </w:tcPr>
          <w:p>
            <w:pPr>
              <w:jc w:val="center"/>
              <w:rPr>
                <w:rFonts w:ascii="宋体" w:hAnsi="宋体"/>
                <w:color w:val="auto"/>
                <w:szCs w:val="21"/>
                <w:highlight w:val="none"/>
              </w:rPr>
            </w:pPr>
          </w:p>
        </w:tc>
        <w:tc>
          <w:tcPr>
            <w:tcW w:w="1701" w:type="dxa"/>
            <w:vAlign w:val="center"/>
          </w:tcPr>
          <w:p>
            <w:pPr>
              <w:jc w:val="center"/>
              <w:rPr>
                <w:rFonts w:ascii="宋体" w:hAnsi="宋体"/>
                <w:color w:val="auto"/>
                <w:szCs w:val="21"/>
                <w:highlight w:val="none"/>
              </w:rPr>
            </w:pPr>
          </w:p>
        </w:tc>
        <w:tc>
          <w:tcPr>
            <w:tcW w:w="2552" w:type="dxa"/>
            <w:vAlign w:val="center"/>
          </w:tcPr>
          <w:p>
            <w:pPr>
              <w:jc w:val="center"/>
              <w:rPr>
                <w:rFonts w:ascii="宋体" w:hAnsi="宋体"/>
                <w:color w:val="auto"/>
                <w:szCs w:val="21"/>
                <w:highlight w:val="none"/>
              </w:rPr>
            </w:pP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color w:val="auto"/>
                <w:szCs w:val="21"/>
                <w:highlight w:val="none"/>
              </w:rPr>
            </w:pPr>
          </w:p>
        </w:tc>
        <w:tc>
          <w:tcPr>
            <w:tcW w:w="1106" w:type="dxa"/>
            <w:vAlign w:val="center"/>
          </w:tcPr>
          <w:p>
            <w:pPr>
              <w:jc w:val="center"/>
              <w:rPr>
                <w:rFonts w:ascii="宋体" w:hAnsi="宋体"/>
                <w:color w:val="auto"/>
                <w:szCs w:val="21"/>
                <w:highlight w:val="none"/>
              </w:rPr>
            </w:pPr>
          </w:p>
        </w:tc>
        <w:tc>
          <w:tcPr>
            <w:tcW w:w="1984" w:type="dxa"/>
            <w:vAlign w:val="center"/>
          </w:tcPr>
          <w:p>
            <w:pPr>
              <w:jc w:val="center"/>
              <w:rPr>
                <w:rFonts w:ascii="宋体" w:hAnsi="宋体"/>
                <w:color w:val="auto"/>
                <w:szCs w:val="21"/>
                <w:highlight w:val="none"/>
              </w:rPr>
            </w:pPr>
          </w:p>
        </w:tc>
        <w:tc>
          <w:tcPr>
            <w:tcW w:w="1701" w:type="dxa"/>
            <w:vAlign w:val="center"/>
          </w:tcPr>
          <w:p>
            <w:pPr>
              <w:jc w:val="center"/>
              <w:rPr>
                <w:rFonts w:ascii="宋体" w:hAnsi="宋体"/>
                <w:color w:val="auto"/>
                <w:szCs w:val="21"/>
                <w:highlight w:val="none"/>
              </w:rPr>
            </w:pPr>
          </w:p>
        </w:tc>
        <w:tc>
          <w:tcPr>
            <w:tcW w:w="2552" w:type="dxa"/>
            <w:vAlign w:val="center"/>
          </w:tcPr>
          <w:p>
            <w:pPr>
              <w:jc w:val="center"/>
              <w:rPr>
                <w:rFonts w:ascii="宋体" w:hAnsi="宋体"/>
                <w:color w:val="auto"/>
                <w:szCs w:val="21"/>
                <w:highlight w:val="none"/>
              </w:rPr>
            </w:pP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color w:val="auto"/>
                <w:szCs w:val="21"/>
                <w:highlight w:val="none"/>
              </w:rPr>
            </w:pPr>
          </w:p>
        </w:tc>
        <w:tc>
          <w:tcPr>
            <w:tcW w:w="1106" w:type="dxa"/>
            <w:vAlign w:val="center"/>
          </w:tcPr>
          <w:p>
            <w:pPr>
              <w:jc w:val="center"/>
              <w:rPr>
                <w:rFonts w:ascii="宋体" w:hAnsi="宋体"/>
                <w:color w:val="auto"/>
                <w:szCs w:val="21"/>
                <w:highlight w:val="none"/>
              </w:rPr>
            </w:pPr>
          </w:p>
        </w:tc>
        <w:tc>
          <w:tcPr>
            <w:tcW w:w="1984" w:type="dxa"/>
            <w:vAlign w:val="center"/>
          </w:tcPr>
          <w:p>
            <w:pPr>
              <w:jc w:val="center"/>
              <w:rPr>
                <w:rFonts w:ascii="宋体" w:hAnsi="宋体"/>
                <w:color w:val="auto"/>
                <w:szCs w:val="21"/>
                <w:highlight w:val="none"/>
              </w:rPr>
            </w:pPr>
          </w:p>
        </w:tc>
        <w:tc>
          <w:tcPr>
            <w:tcW w:w="1701" w:type="dxa"/>
            <w:vAlign w:val="center"/>
          </w:tcPr>
          <w:p>
            <w:pPr>
              <w:jc w:val="center"/>
              <w:rPr>
                <w:rFonts w:ascii="宋体" w:hAnsi="宋体"/>
                <w:color w:val="auto"/>
                <w:szCs w:val="21"/>
                <w:highlight w:val="none"/>
              </w:rPr>
            </w:pPr>
          </w:p>
        </w:tc>
        <w:tc>
          <w:tcPr>
            <w:tcW w:w="2552" w:type="dxa"/>
            <w:vAlign w:val="center"/>
          </w:tcPr>
          <w:p>
            <w:pPr>
              <w:jc w:val="center"/>
              <w:rPr>
                <w:rFonts w:ascii="宋体" w:hAnsi="宋体"/>
                <w:color w:val="auto"/>
                <w:szCs w:val="21"/>
                <w:highlight w:val="none"/>
              </w:rPr>
            </w:pP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color w:val="auto"/>
                <w:szCs w:val="21"/>
                <w:highlight w:val="none"/>
              </w:rPr>
            </w:pPr>
          </w:p>
        </w:tc>
        <w:tc>
          <w:tcPr>
            <w:tcW w:w="1106" w:type="dxa"/>
            <w:vAlign w:val="center"/>
          </w:tcPr>
          <w:p>
            <w:pPr>
              <w:jc w:val="center"/>
              <w:rPr>
                <w:rFonts w:ascii="宋体" w:hAnsi="宋体"/>
                <w:color w:val="auto"/>
                <w:szCs w:val="21"/>
                <w:highlight w:val="none"/>
              </w:rPr>
            </w:pPr>
          </w:p>
        </w:tc>
        <w:tc>
          <w:tcPr>
            <w:tcW w:w="1984" w:type="dxa"/>
            <w:vAlign w:val="center"/>
          </w:tcPr>
          <w:p>
            <w:pPr>
              <w:jc w:val="center"/>
              <w:rPr>
                <w:rFonts w:ascii="宋体" w:hAnsi="宋体"/>
                <w:color w:val="auto"/>
                <w:szCs w:val="21"/>
                <w:highlight w:val="none"/>
              </w:rPr>
            </w:pPr>
          </w:p>
        </w:tc>
        <w:tc>
          <w:tcPr>
            <w:tcW w:w="1701" w:type="dxa"/>
            <w:vAlign w:val="center"/>
          </w:tcPr>
          <w:p>
            <w:pPr>
              <w:jc w:val="center"/>
              <w:rPr>
                <w:rFonts w:ascii="宋体" w:hAnsi="宋体"/>
                <w:color w:val="auto"/>
                <w:szCs w:val="21"/>
                <w:highlight w:val="none"/>
              </w:rPr>
            </w:pPr>
          </w:p>
        </w:tc>
        <w:tc>
          <w:tcPr>
            <w:tcW w:w="2552" w:type="dxa"/>
            <w:vAlign w:val="center"/>
          </w:tcPr>
          <w:p>
            <w:pPr>
              <w:jc w:val="center"/>
              <w:rPr>
                <w:rFonts w:ascii="宋体" w:hAnsi="宋体"/>
                <w:color w:val="auto"/>
                <w:szCs w:val="21"/>
                <w:highlight w:val="none"/>
              </w:rPr>
            </w:pP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color w:val="auto"/>
                <w:szCs w:val="21"/>
                <w:highlight w:val="none"/>
              </w:rPr>
            </w:pPr>
          </w:p>
        </w:tc>
        <w:tc>
          <w:tcPr>
            <w:tcW w:w="1106" w:type="dxa"/>
            <w:vAlign w:val="center"/>
          </w:tcPr>
          <w:p>
            <w:pPr>
              <w:jc w:val="center"/>
              <w:rPr>
                <w:rFonts w:ascii="宋体" w:hAnsi="宋体"/>
                <w:color w:val="auto"/>
                <w:szCs w:val="21"/>
                <w:highlight w:val="none"/>
              </w:rPr>
            </w:pPr>
          </w:p>
        </w:tc>
        <w:tc>
          <w:tcPr>
            <w:tcW w:w="1984" w:type="dxa"/>
            <w:vAlign w:val="center"/>
          </w:tcPr>
          <w:p>
            <w:pPr>
              <w:jc w:val="center"/>
              <w:rPr>
                <w:rFonts w:ascii="宋体" w:hAnsi="宋体"/>
                <w:color w:val="auto"/>
                <w:szCs w:val="21"/>
                <w:highlight w:val="none"/>
              </w:rPr>
            </w:pPr>
          </w:p>
        </w:tc>
        <w:tc>
          <w:tcPr>
            <w:tcW w:w="1701" w:type="dxa"/>
            <w:vAlign w:val="center"/>
          </w:tcPr>
          <w:p>
            <w:pPr>
              <w:jc w:val="center"/>
              <w:rPr>
                <w:rFonts w:ascii="宋体" w:hAnsi="宋体"/>
                <w:color w:val="auto"/>
                <w:szCs w:val="21"/>
                <w:highlight w:val="none"/>
              </w:rPr>
            </w:pPr>
          </w:p>
        </w:tc>
        <w:tc>
          <w:tcPr>
            <w:tcW w:w="2552" w:type="dxa"/>
            <w:vAlign w:val="center"/>
          </w:tcPr>
          <w:p>
            <w:pPr>
              <w:jc w:val="center"/>
              <w:rPr>
                <w:rFonts w:ascii="宋体" w:hAnsi="宋体"/>
                <w:color w:val="auto"/>
                <w:szCs w:val="21"/>
                <w:highlight w:val="none"/>
              </w:rPr>
            </w:pP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color w:val="auto"/>
                <w:szCs w:val="21"/>
                <w:highlight w:val="none"/>
              </w:rPr>
            </w:pPr>
          </w:p>
        </w:tc>
        <w:tc>
          <w:tcPr>
            <w:tcW w:w="1106" w:type="dxa"/>
            <w:vAlign w:val="center"/>
          </w:tcPr>
          <w:p>
            <w:pPr>
              <w:jc w:val="center"/>
              <w:rPr>
                <w:rFonts w:ascii="宋体" w:hAnsi="宋体"/>
                <w:color w:val="auto"/>
                <w:szCs w:val="21"/>
                <w:highlight w:val="none"/>
              </w:rPr>
            </w:pPr>
          </w:p>
        </w:tc>
        <w:tc>
          <w:tcPr>
            <w:tcW w:w="1984" w:type="dxa"/>
            <w:vAlign w:val="center"/>
          </w:tcPr>
          <w:p>
            <w:pPr>
              <w:jc w:val="center"/>
              <w:rPr>
                <w:rFonts w:ascii="宋体" w:hAnsi="宋体"/>
                <w:color w:val="auto"/>
                <w:szCs w:val="21"/>
                <w:highlight w:val="none"/>
              </w:rPr>
            </w:pPr>
          </w:p>
        </w:tc>
        <w:tc>
          <w:tcPr>
            <w:tcW w:w="1701" w:type="dxa"/>
            <w:vAlign w:val="center"/>
          </w:tcPr>
          <w:p>
            <w:pPr>
              <w:jc w:val="center"/>
              <w:rPr>
                <w:rFonts w:ascii="宋体" w:hAnsi="宋体"/>
                <w:color w:val="auto"/>
                <w:szCs w:val="21"/>
                <w:highlight w:val="none"/>
              </w:rPr>
            </w:pPr>
          </w:p>
        </w:tc>
        <w:tc>
          <w:tcPr>
            <w:tcW w:w="2552" w:type="dxa"/>
            <w:vAlign w:val="center"/>
          </w:tcPr>
          <w:p>
            <w:pPr>
              <w:jc w:val="center"/>
              <w:rPr>
                <w:rFonts w:ascii="宋体" w:hAnsi="宋体"/>
                <w:color w:val="auto"/>
                <w:szCs w:val="21"/>
                <w:highlight w:val="none"/>
              </w:rPr>
            </w:pP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color w:val="auto"/>
                <w:szCs w:val="21"/>
                <w:highlight w:val="none"/>
              </w:rPr>
            </w:pPr>
          </w:p>
        </w:tc>
        <w:tc>
          <w:tcPr>
            <w:tcW w:w="1106" w:type="dxa"/>
            <w:vAlign w:val="center"/>
          </w:tcPr>
          <w:p>
            <w:pPr>
              <w:jc w:val="center"/>
              <w:rPr>
                <w:rFonts w:ascii="宋体" w:hAnsi="宋体"/>
                <w:color w:val="auto"/>
                <w:szCs w:val="21"/>
                <w:highlight w:val="none"/>
              </w:rPr>
            </w:pPr>
          </w:p>
        </w:tc>
        <w:tc>
          <w:tcPr>
            <w:tcW w:w="1984" w:type="dxa"/>
            <w:vAlign w:val="center"/>
          </w:tcPr>
          <w:p>
            <w:pPr>
              <w:jc w:val="center"/>
              <w:rPr>
                <w:rFonts w:ascii="宋体" w:hAnsi="宋体"/>
                <w:color w:val="auto"/>
                <w:szCs w:val="21"/>
                <w:highlight w:val="none"/>
              </w:rPr>
            </w:pPr>
          </w:p>
        </w:tc>
        <w:tc>
          <w:tcPr>
            <w:tcW w:w="1701" w:type="dxa"/>
            <w:vAlign w:val="center"/>
          </w:tcPr>
          <w:p>
            <w:pPr>
              <w:jc w:val="center"/>
              <w:rPr>
                <w:rFonts w:ascii="宋体" w:hAnsi="宋体"/>
                <w:color w:val="auto"/>
                <w:szCs w:val="21"/>
                <w:highlight w:val="none"/>
              </w:rPr>
            </w:pPr>
          </w:p>
        </w:tc>
        <w:tc>
          <w:tcPr>
            <w:tcW w:w="2552" w:type="dxa"/>
            <w:vAlign w:val="center"/>
          </w:tcPr>
          <w:p>
            <w:pPr>
              <w:jc w:val="center"/>
              <w:rPr>
                <w:rFonts w:ascii="宋体" w:hAnsi="宋体"/>
                <w:color w:val="auto"/>
                <w:szCs w:val="21"/>
                <w:highlight w:val="none"/>
              </w:rPr>
            </w:pP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color w:val="auto"/>
                <w:szCs w:val="21"/>
                <w:highlight w:val="none"/>
              </w:rPr>
            </w:pPr>
          </w:p>
        </w:tc>
        <w:tc>
          <w:tcPr>
            <w:tcW w:w="1106" w:type="dxa"/>
            <w:vAlign w:val="center"/>
          </w:tcPr>
          <w:p>
            <w:pPr>
              <w:jc w:val="center"/>
              <w:rPr>
                <w:rFonts w:ascii="宋体" w:hAnsi="宋体"/>
                <w:color w:val="auto"/>
                <w:szCs w:val="21"/>
                <w:highlight w:val="none"/>
              </w:rPr>
            </w:pPr>
          </w:p>
        </w:tc>
        <w:tc>
          <w:tcPr>
            <w:tcW w:w="1984" w:type="dxa"/>
            <w:vAlign w:val="center"/>
          </w:tcPr>
          <w:p>
            <w:pPr>
              <w:jc w:val="center"/>
              <w:rPr>
                <w:rFonts w:ascii="宋体" w:hAnsi="宋体"/>
                <w:color w:val="auto"/>
                <w:szCs w:val="21"/>
                <w:highlight w:val="none"/>
              </w:rPr>
            </w:pPr>
          </w:p>
        </w:tc>
        <w:tc>
          <w:tcPr>
            <w:tcW w:w="1701" w:type="dxa"/>
            <w:vAlign w:val="center"/>
          </w:tcPr>
          <w:p>
            <w:pPr>
              <w:jc w:val="center"/>
              <w:rPr>
                <w:rFonts w:ascii="宋体" w:hAnsi="宋体"/>
                <w:color w:val="auto"/>
                <w:szCs w:val="21"/>
                <w:highlight w:val="none"/>
              </w:rPr>
            </w:pPr>
          </w:p>
        </w:tc>
        <w:tc>
          <w:tcPr>
            <w:tcW w:w="2552" w:type="dxa"/>
            <w:vAlign w:val="center"/>
          </w:tcPr>
          <w:p>
            <w:pPr>
              <w:jc w:val="center"/>
              <w:rPr>
                <w:rFonts w:ascii="宋体" w:hAnsi="宋体"/>
                <w:color w:val="auto"/>
                <w:szCs w:val="21"/>
                <w:highlight w:val="none"/>
              </w:rPr>
            </w:pP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color w:val="auto"/>
                <w:szCs w:val="21"/>
                <w:highlight w:val="none"/>
              </w:rPr>
            </w:pPr>
          </w:p>
        </w:tc>
        <w:tc>
          <w:tcPr>
            <w:tcW w:w="1106" w:type="dxa"/>
            <w:vAlign w:val="center"/>
          </w:tcPr>
          <w:p>
            <w:pPr>
              <w:jc w:val="center"/>
              <w:rPr>
                <w:rFonts w:ascii="宋体" w:hAnsi="宋体"/>
                <w:color w:val="auto"/>
                <w:szCs w:val="21"/>
                <w:highlight w:val="none"/>
              </w:rPr>
            </w:pPr>
          </w:p>
        </w:tc>
        <w:tc>
          <w:tcPr>
            <w:tcW w:w="1984" w:type="dxa"/>
            <w:vAlign w:val="center"/>
          </w:tcPr>
          <w:p>
            <w:pPr>
              <w:jc w:val="center"/>
              <w:rPr>
                <w:rFonts w:ascii="宋体" w:hAnsi="宋体"/>
                <w:color w:val="auto"/>
                <w:szCs w:val="21"/>
                <w:highlight w:val="none"/>
              </w:rPr>
            </w:pPr>
          </w:p>
        </w:tc>
        <w:tc>
          <w:tcPr>
            <w:tcW w:w="1701" w:type="dxa"/>
            <w:vAlign w:val="center"/>
          </w:tcPr>
          <w:p>
            <w:pPr>
              <w:jc w:val="center"/>
              <w:rPr>
                <w:rFonts w:ascii="宋体" w:hAnsi="宋体"/>
                <w:color w:val="auto"/>
                <w:szCs w:val="21"/>
                <w:highlight w:val="none"/>
              </w:rPr>
            </w:pPr>
          </w:p>
        </w:tc>
        <w:tc>
          <w:tcPr>
            <w:tcW w:w="2552" w:type="dxa"/>
            <w:vAlign w:val="center"/>
          </w:tcPr>
          <w:p>
            <w:pPr>
              <w:jc w:val="center"/>
              <w:rPr>
                <w:rFonts w:ascii="宋体" w:hAnsi="宋体"/>
                <w:color w:val="auto"/>
                <w:szCs w:val="21"/>
                <w:highlight w:val="none"/>
              </w:rPr>
            </w:pP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color w:val="auto"/>
                <w:szCs w:val="21"/>
                <w:highlight w:val="none"/>
              </w:rPr>
            </w:pPr>
          </w:p>
        </w:tc>
        <w:tc>
          <w:tcPr>
            <w:tcW w:w="1106" w:type="dxa"/>
            <w:vAlign w:val="center"/>
          </w:tcPr>
          <w:p>
            <w:pPr>
              <w:jc w:val="center"/>
              <w:rPr>
                <w:rFonts w:ascii="宋体" w:hAnsi="宋体"/>
                <w:color w:val="auto"/>
                <w:szCs w:val="21"/>
                <w:highlight w:val="none"/>
              </w:rPr>
            </w:pPr>
          </w:p>
        </w:tc>
        <w:tc>
          <w:tcPr>
            <w:tcW w:w="1984" w:type="dxa"/>
            <w:vAlign w:val="center"/>
          </w:tcPr>
          <w:p>
            <w:pPr>
              <w:jc w:val="center"/>
              <w:rPr>
                <w:rFonts w:ascii="宋体" w:hAnsi="宋体"/>
                <w:color w:val="auto"/>
                <w:szCs w:val="21"/>
                <w:highlight w:val="none"/>
              </w:rPr>
            </w:pPr>
          </w:p>
        </w:tc>
        <w:tc>
          <w:tcPr>
            <w:tcW w:w="1701" w:type="dxa"/>
            <w:vAlign w:val="center"/>
          </w:tcPr>
          <w:p>
            <w:pPr>
              <w:jc w:val="center"/>
              <w:rPr>
                <w:rFonts w:ascii="宋体" w:hAnsi="宋体"/>
                <w:color w:val="auto"/>
                <w:szCs w:val="21"/>
                <w:highlight w:val="none"/>
              </w:rPr>
            </w:pPr>
          </w:p>
        </w:tc>
        <w:tc>
          <w:tcPr>
            <w:tcW w:w="2552" w:type="dxa"/>
            <w:vAlign w:val="center"/>
          </w:tcPr>
          <w:p>
            <w:pPr>
              <w:jc w:val="center"/>
              <w:rPr>
                <w:rFonts w:ascii="宋体" w:hAnsi="宋体"/>
                <w:color w:val="auto"/>
                <w:szCs w:val="21"/>
                <w:highlight w:val="none"/>
              </w:rPr>
            </w:pPr>
          </w:p>
        </w:tc>
        <w:tc>
          <w:tcPr>
            <w:tcW w:w="1190" w:type="dxa"/>
            <w:vAlign w:val="center"/>
          </w:tcPr>
          <w:p>
            <w:pPr>
              <w:jc w:val="center"/>
              <w:rPr>
                <w:rFonts w:ascii="宋体" w:hAnsi="宋体"/>
                <w:color w:val="auto"/>
                <w:szCs w:val="21"/>
                <w:highlight w:val="none"/>
              </w:rPr>
            </w:pPr>
          </w:p>
        </w:tc>
      </w:tr>
      <w:bookmarkEnd w:id="331"/>
      <w:bookmarkEnd w:id="332"/>
    </w:tbl>
    <w:p>
      <w:pPr>
        <w:spacing w:line="0" w:lineRule="atLeast"/>
        <w:ind w:left="2840"/>
        <w:rPr>
          <w:rFonts w:ascii="宋体" w:hAnsi="宋体"/>
          <w:color w:val="auto"/>
          <w:sz w:val="28"/>
          <w:highlight w:val="none"/>
        </w:rPr>
      </w:pPr>
      <w:bookmarkStart w:id="346" w:name="_Toc18211"/>
      <w:bookmarkStart w:id="347" w:name="_Toc234382977"/>
      <w:bookmarkStart w:id="348" w:name="_Toc485889072"/>
      <w:bookmarkStart w:id="349" w:name="_Toc486277938"/>
    </w:p>
    <w:p>
      <w:pPr>
        <w:spacing w:line="0" w:lineRule="atLeast"/>
        <w:ind w:left="2840"/>
        <w:rPr>
          <w:rFonts w:ascii="宋体" w:hAnsi="宋体"/>
          <w:color w:val="auto"/>
          <w:sz w:val="28"/>
          <w:highlight w:val="none"/>
        </w:rPr>
      </w:pPr>
    </w:p>
    <w:p>
      <w:pPr>
        <w:spacing w:line="0" w:lineRule="atLeast"/>
        <w:ind w:left="2840"/>
        <w:rPr>
          <w:rFonts w:ascii="宋体" w:hAnsi="宋体"/>
          <w:color w:val="auto"/>
          <w:sz w:val="28"/>
          <w:highlight w:val="none"/>
        </w:rPr>
      </w:pPr>
    </w:p>
    <w:p>
      <w:pPr>
        <w:pStyle w:val="14"/>
        <w:spacing w:before="57" w:line="360" w:lineRule="auto"/>
        <w:ind w:right="58"/>
        <w:jc w:val="center"/>
        <w:rPr>
          <w:b/>
          <w:bCs/>
          <w:color w:val="auto"/>
          <w:sz w:val="32"/>
          <w:szCs w:val="32"/>
          <w:highlight w:val="none"/>
        </w:rPr>
      </w:pPr>
      <w:bookmarkStart w:id="350" w:name="_Toc16326_WPSOffice_Level1"/>
      <w:bookmarkStart w:id="351" w:name="_Toc1339_WPSOffice_Level1"/>
      <w:bookmarkStart w:id="352" w:name="_Toc13061_WPSOffice_Level1"/>
      <w:bookmarkStart w:id="353" w:name="_Toc31255_WPSOffice_Level1"/>
      <w:bookmarkStart w:id="354" w:name="_Toc17433_WPSOffice_Level1"/>
      <w:bookmarkStart w:id="355" w:name="_Toc28757_WPSOffice_Level1"/>
      <w:bookmarkStart w:id="356" w:name="_Toc29083_WPSOffice_Level1"/>
      <w:r>
        <w:rPr>
          <w:rFonts w:hint="eastAsia"/>
          <w:b/>
          <w:bCs/>
          <w:color w:val="auto"/>
          <w:sz w:val="32"/>
          <w:szCs w:val="32"/>
          <w:highlight w:val="none"/>
        </w:rPr>
        <w:t>五、项目管理机构</w:t>
      </w:r>
      <w:bookmarkEnd w:id="350"/>
      <w:bookmarkEnd w:id="351"/>
      <w:bookmarkEnd w:id="352"/>
      <w:bookmarkEnd w:id="353"/>
      <w:bookmarkEnd w:id="354"/>
      <w:bookmarkEnd w:id="355"/>
      <w:bookmarkEnd w:id="356"/>
    </w:p>
    <w:p>
      <w:pPr>
        <w:spacing w:line="200" w:lineRule="exact"/>
        <w:rPr>
          <w:rFonts w:eastAsia="Times New Roman"/>
          <w:color w:val="auto"/>
          <w:highlight w:val="none"/>
        </w:rPr>
      </w:pPr>
    </w:p>
    <w:tbl>
      <w:tblPr>
        <w:tblStyle w:val="47"/>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9" w:hRule="atLeast"/>
        </w:trPr>
        <w:tc>
          <w:tcPr>
            <w:tcW w:w="9260" w:type="dxa"/>
          </w:tcPr>
          <w:p>
            <w:pPr>
              <w:spacing w:before="120" w:beforeLines="50"/>
              <w:rPr>
                <w:rFonts w:ascii="宋体" w:hAnsi="宋体"/>
                <w:color w:val="auto"/>
                <w:highlight w:val="none"/>
              </w:rPr>
            </w:pPr>
            <w:r>
              <w:rPr>
                <w:rFonts w:ascii="宋体" w:hAnsi="宋体"/>
                <w:color w:val="auto"/>
                <w:highlight w:val="none"/>
              </w:rPr>
              <w:t>拟为承包本标段工程设立的组织机构以框图方式表示。</w:t>
            </w:r>
          </w:p>
          <w:p>
            <w:pPr>
              <w:spacing w:line="200" w:lineRule="exact"/>
              <w:rPr>
                <w:rFonts w:eastAsia="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9" w:hRule="atLeast"/>
        </w:trPr>
        <w:tc>
          <w:tcPr>
            <w:tcW w:w="9260" w:type="dxa"/>
          </w:tcPr>
          <w:p>
            <w:pPr>
              <w:spacing w:line="0" w:lineRule="atLeast"/>
              <w:rPr>
                <w:rFonts w:ascii="宋体" w:hAnsi="宋体"/>
                <w:color w:val="auto"/>
                <w:highlight w:val="none"/>
              </w:rPr>
            </w:pPr>
            <w:r>
              <w:rPr>
                <w:rFonts w:ascii="宋体" w:hAnsi="宋体"/>
                <w:color w:val="auto"/>
                <w:highlight w:val="none"/>
              </w:rPr>
              <w:t>说明</w:t>
            </w:r>
          </w:p>
          <w:p>
            <w:pPr>
              <w:spacing w:line="200" w:lineRule="exact"/>
              <w:rPr>
                <w:rFonts w:eastAsia="Times New Roman"/>
                <w:color w:val="auto"/>
                <w:highlight w:val="none"/>
              </w:rPr>
            </w:pPr>
          </w:p>
        </w:tc>
      </w:tr>
    </w:tbl>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pStyle w:val="14"/>
        <w:spacing w:before="57" w:line="360" w:lineRule="auto"/>
        <w:ind w:right="58"/>
        <w:jc w:val="center"/>
        <w:rPr>
          <w:b/>
          <w:bCs/>
          <w:color w:val="auto"/>
          <w:sz w:val="32"/>
          <w:szCs w:val="32"/>
          <w:highlight w:val="none"/>
        </w:rPr>
      </w:pPr>
      <w:bookmarkStart w:id="357" w:name="page234"/>
      <w:bookmarkEnd w:id="357"/>
      <w:bookmarkStart w:id="358" w:name="_Toc2182_WPSOffice_Level1"/>
      <w:bookmarkStart w:id="359" w:name="_Toc3306_WPSOffice_Level1"/>
      <w:bookmarkStart w:id="360" w:name="_Toc26990_WPSOffice_Level1"/>
      <w:bookmarkStart w:id="361" w:name="_Toc18790_WPSOffice_Level1"/>
      <w:bookmarkStart w:id="362" w:name="_Toc11815_WPSOffice_Level1"/>
      <w:bookmarkStart w:id="363" w:name="_Toc280_WPSOffice_Level1"/>
      <w:bookmarkStart w:id="364" w:name="_Toc16239_WPSOffice_Level1"/>
      <w:r>
        <w:rPr>
          <w:rFonts w:hint="eastAsia"/>
          <w:b/>
          <w:bCs/>
          <w:color w:val="auto"/>
          <w:sz w:val="32"/>
          <w:szCs w:val="32"/>
          <w:highlight w:val="none"/>
        </w:rPr>
        <w:t>六、资格审查资料</w:t>
      </w:r>
      <w:bookmarkEnd w:id="346"/>
      <w:bookmarkEnd w:id="347"/>
      <w:bookmarkEnd w:id="348"/>
      <w:bookmarkEnd w:id="349"/>
      <w:bookmarkEnd w:id="358"/>
      <w:bookmarkEnd w:id="359"/>
      <w:bookmarkEnd w:id="360"/>
      <w:bookmarkEnd w:id="361"/>
      <w:bookmarkEnd w:id="362"/>
      <w:bookmarkEnd w:id="363"/>
      <w:bookmarkEnd w:id="364"/>
    </w:p>
    <w:p>
      <w:pPr>
        <w:pStyle w:val="6"/>
        <w:spacing w:before="240" w:beforeLines="100" w:after="360" w:afterLines="150" w:line="360" w:lineRule="exact"/>
        <w:rPr>
          <w:rFonts w:ascii="黑体" w:eastAsia="黑体"/>
          <w:color w:val="auto"/>
          <w:sz w:val="28"/>
          <w:szCs w:val="28"/>
          <w:highlight w:val="none"/>
        </w:rPr>
      </w:pPr>
      <w:bookmarkStart w:id="365" w:name="_Toc11061"/>
      <w:bookmarkStart w:id="366" w:name="_Toc485889073"/>
      <w:bookmarkStart w:id="367" w:name="_Toc486277939"/>
      <w:bookmarkStart w:id="368" w:name="_Toc9432"/>
      <w:bookmarkStart w:id="369" w:name="_Toc234382978"/>
      <w:bookmarkStart w:id="370" w:name="_Toc28332"/>
      <w:bookmarkStart w:id="371" w:name="_Toc5807"/>
      <w:r>
        <w:rPr>
          <w:rFonts w:hint="eastAsia" w:ascii="黑体" w:eastAsia="黑体"/>
          <w:color w:val="auto"/>
          <w:sz w:val="28"/>
          <w:szCs w:val="28"/>
          <w:highlight w:val="none"/>
        </w:rPr>
        <w:t>（一）投标人基本情况表</w:t>
      </w:r>
      <w:bookmarkEnd w:id="365"/>
      <w:bookmarkEnd w:id="366"/>
      <w:bookmarkEnd w:id="367"/>
      <w:bookmarkEnd w:id="368"/>
      <w:bookmarkEnd w:id="369"/>
      <w:bookmarkEnd w:id="370"/>
      <w:bookmarkEnd w:id="371"/>
    </w:p>
    <w:tbl>
      <w:tblPr>
        <w:tblStyle w:val="47"/>
        <w:tblW w:w="892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901"/>
        <w:gridCol w:w="1080"/>
        <w:gridCol w:w="528"/>
        <w:gridCol w:w="732"/>
        <w:gridCol w:w="1077"/>
        <w:gridCol w:w="182"/>
        <w:gridCol w:w="900"/>
        <w:gridCol w:w="1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jc w:val="center"/>
        </w:trPr>
        <w:tc>
          <w:tcPr>
            <w:tcW w:w="1908" w:type="dxa"/>
          </w:tcPr>
          <w:p>
            <w:pPr>
              <w:autoSpaceDE w:val="0"/>
              <w:autoSpaceDN w:val="0"/>
              <w:spacing w:before="142"/>
              <w:ind w:left="426"/>
              <w:jc w:val="left"/>
              <w:rPr>
                <w:rFonts w:ascii="宋体" w:hAnsi="宋体" w:cs="宋体"/>
                <w:color w:val="auto"/>
                <w:kern w:val="0"/>
                <w:highlight w:val="none"/>
                <w:lang w:val="zh-CN" w:bidi="zh-CN"/>
              </w:rPr>
            </w:pPr>
            <w:r>
              <w:rPr>
                <w:rFonts w:ascii="宋体" w:hAnsi="宋体" w:cs="宋体"/>
                <w:color w:val="auto"/>
                <w:kern w:val="0"/>
                <w:highlight w:val="none"/>
                <w:lang w:val="zh-CN" w:bidi="zh-CN"/>
              </w:rPr>
              <w:t>投标人名称</w:t>
            </w:r>
          </w:p>
        </w:tc>
        <w:tc>
          <w:tcPr>
            <w:tcW w:w="7021" w:type="dxa"/>
            <w:gridSpan w:val="8"/>
          </w:tcPr>
          <w:p>
            <w:pPr>
              <w:autoSpaceDE w:val="0"/>
              <w:autoSpaceDN w:val="0"/>
              <w:jc w:val="left"/>
              <w:rPr>
                <w:rFonts w:hAnsi="宋体" w:cs="宋体"/>
                <w:color w:val="auto"/>
                <w:kern w:val="0"/>
                <w:sz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jc w:val="center"/>
        </w:trPr>
        <w:tc>
          <w:tcPr>
            <w:tcW w:w="1908" w:type="dxa"/>
          </w:tcPr>
          <w:p>
            <w:pPr>
              <w:autoSpaceDE w:val="0"/>
              <w:autoSpaceDN w:val="0"/>
              <w:spacing w:before="142"/>
              <w:ind w:left="532"/>
              <w:jc w:val="left"/>
              <w:rPr>
                <w:rFonts w:ascii="宋体" w:hAnsi="宋体" w:cs="宋体"/>
                <w:color w:val="auto"/>
                <w:kern w:val="0"/>
                <w:highlight w:val="none"/>
                <w:lang w:val="zh-CN" w:bidi="zh-CN"/>
              </w:rPr>
            </w:pPr>
            <w:r>
              <w:rPr>
                <w:rFonts w:ascii="宋体" w:hAnsi="宋体" w:cs="宋体"/>
                <w:color w:val="auto"/>
                <w:kern w:val="0"/>
                <w:highlight w:val="none"/>
                <w:lang w:val="zh-CN" w:bidi="zh-CN"/>
              </w:rPr>
              <w:t>注册地址</w:t>
            </w:r>
          </w:p>
        </w:tc>
        <w:tc>
          <w:tcPr>
            <w:tcW w:w="3241" w:type="dxa"/>
            <w:gridSpan w:val="4"/>
          </w:tcPr>
          <w:p>
            <w:pPr>
              <w:autoSpaceDE w:val="0"/>
              <w:autoSpaceDN w:val="0"/>
              <w:jc w:val="left"/>
              <w:rPr>
                <w:rFonts w:hAnsi="宋体" w:cs="宋体"/>
                <w:color w:val="auto"/>
                <w:kern w:val="0"/>
                <w:sz w:val="20"/>
                <w:highlight w:val="none"/>
                <w:lang w:val="zh-CN" w:bidi="zh-CN"/>
              </w:rPr>
            </w:pPr>
          </w:p>
        </w:tc>
        <w:tc>
          <w:tcPr>
            <w:tcW w:w="1077" w:type="dxa"/>
          </w:tcPr>
          <w:p>
            <w:pPr>
              <w:autoSpaceDE w:val="0"/>
              <w:autoSpaceDN w:val="0"/>
              <w:spacing w:before="142"/>
              <w:ind w:left="98" w:right="88"/>
              <w:jc w:val="center"/>
              <w:rPr>
                <w:rFonts w:ascii="宋体" w:hAnsi="宋体" w:cs="宋体"/>
                <w:color w:val="auto"/>
                <w:kern w:val="0"/>
                <w:highlight w:val="none"/>
                <w:lang w:val="zh-CN" w:bidi="zh-CN"/>
              </w:rPr>
            </w:pPr>
            <w:r>
              <w:rPr>
                <w:rFonts w:ascii="宋体" w:hAnsi="宋体" w:cs="宋体"/>
                <w:color w:val="auto"/>
                <w:kern w:val="0"/>
                <w:highlight w:val="none"/>
                <w:lang w:val="zh-CN" w:bidi="zh-CN"/>
              </w:rPr>
              <w:t>邮政编码</w:t>
            </w:r>
          </w:p>
        </w:tc>
        <w:tc>
          <w:tcPr>
            <w:tcW w:w="2703" w:type="dxa"/>
            <w:gridSpan w:val="3"/>
          </w:tcPr>
          <w:p>
            <w:pPr>
              <w:autoSpaceDE w:val="0"/>
              <w:autoSpaceDN w:val="0"/>
              <w:jc w:val="left"/>
              <w:rPr>
                <w:rFonts w:hAnsi="宋体" w:cs="宋体"/>
                <w:color w:val="auto"/>
                <w:kern w:val="0"/>
                <w:sz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jc w:val="center"/>
        </w:trPr>
        <w:tc>
          <w:tcPr>
            <w:tcW w:w="1908" w:type="dxa"/>
            <w:vMerge w:val="restart"/>
          </w:tcPr>
          <w:p>
            <w:pPr>
              <w:autoSpaceDE w:val="0"/>
              <w:autoSpaceDN w:val="0"/>
              <w:spacing w:before="9"/>
              <w:jc w:val="left"/>
              <w:rPr>
                <w:rFonts w:ascii="黑体" w:hAnsi="宋体" w:cs="宋体"/>
                <w:color w:val="auto"/>
                <w:kern w:val="0"/>
                <w:sz w:val="28"/>
                <w:highlight w:val="none"/>
                <w:lang w:val="zh-CN" w:bidi="zh-CN"/>
              </w:rPr>
            </w:pPr>
          </w:p>
          <w:p>
            <w:pPr>
              <w:autoSpaceDE w:val="0"/>
              <w:autoSpaceDN w:val="0"/>
              <w:ind w:left="532"/>
              <w:jc w:val="left"/>
              <w:rPr>
                <w:rFonts w:ascii="宋体" w:hAnsi="宋体" w:cs="宋体"/>
                <w:color w:val="auto"/>
                <w:kern w:val="0"/>
                <w:highlight w:val="none"/>
                <w:lang w:val="zh-CN" w:bidi="zh-CN"/>
              </w:rPr>
            </w:pPr>
            <w:r>
              <w:rPr>
                <w:rFonts w:ascii="宋体" w:hAnsi="宋体" w:cs="宋体"/>
                <w:color w:val="auto"/>
                <w:kern w:val="0"/>
                <w:highlight w:val="none"/>
                <w:lang w:val="zh-CN" w:bidi="zh-CN"/>
              </w:rPr>
              <w:t>联系方式</w:t>
            </w:r>
          </w:p>
        </w:tc>
        <w:tc>
          <w:tcPr>
            <w:tcW w:w="901" w:type="dxa"/>
          </w:tcPr>
          <w:p>
            <w:pPr>
              <w:autoSpaceDE w:val="0"/>
              <w:autoSpaceDN w:val="0"/>
              <w:spacing w:before="142"/>
              <w:ind w:left="10"/>
              <w:jc w:val="center"/>
              <w:rPr>
                <w:rFonts w:ascii="宋体" w:hAnsi="宋体" w:cs="宋体"/>
                <w:color w:val="auto"/>
                <w:kern w:val="0"/>
                <w:highlight w:val="none"/>
                <w:lang w:val="zh-CN" w:bidi="zh-CN"/>
              </w:rPr>
            </w:pPr>
            <w:r>
              <w:rPr>
                <w:rFonts w:ascii="宋体" w:hAnsi="宋体" w:cs="宋体"/>
                <w:color w:val="auto"/>
                <w:kern w:val="0"/>
                <w:highlight w:val="none"/>
                <w:lang w:val="zh-CN" w:bidi="zh-CN"/>
              </w:rPr>
              <w:t>联系人</w:t>
            </w:r>
          </w:p>
        </w:tc>
        <w:tc>
          <w:tcPr>
            <w:tcW w:w="2340" w:type="dxa"/>
            <w:gridSpan w:val="3"/>
          </w:tcPr>
          <w:p>
            <w:pPr>
              <w:autoSpaceDE w:val="0"/>
              <w:autoSpaceDN w:val="0"/>
              <w:jc w:val="left"/>
              <w:rPr>
                <w:rFonts w:hAnsi="宋体" w:cs="宋体"/>
                <w:color w:val="auto"/>
                <w:kern w:val="0"/>
                <w:sz w:val="20"/>
                <w:highlight w:val="none"/>
                <w:lang w:val="zh-CN" w:bidi="zh-CN"/>
              </w:rPr>
            </w:pPr>
          </w:p>
        </w:tc>
        <w:tc>
          <w:tcPr>
            <w:tcW w:w="1077" w:type="dxa"/>
          </w:tcPr>
          <w:p>
            <w:pPr>
              <w:autoSpaceDE w:val="0"/>
              <w:autoSpaceDN w:val="0"/>
              <w:spacing w:before="142"/>
              <w:ind w:left="98" w:right="86"/>
              <w:jc w:val="center"/>
              <w:rPr>
                <w:rFonts w:ascii="宋体" w:hAnsi="宋体" w:cs="宋体"/>
                <w:color w:val="auto"/>
                <w:kern w:val="0"/>
                <w:highlight w:val="none"/>
                <w:lang w:val="zh-CN" w:bidi="zh-CN"/>
              </w:rPr>
            </w:pPr>
            <w:r>
              <w:rPr>
                <w:rFonts w:ascii="宋体" w:hAnsi="宋体" w:cs="宋体"/>
                <w:color w:val="auto"/>
                <w:kern w:val="0"/>
                <w:highlight w:val="none"/>
                <w:lang w:val="zh-CN" w:bidi="zh-CN"/>
              </w:rPr>
              <w:t>电 话</w:t>
            </w:r>
          </w:p>
        </w:tc>
        <w:tc>
          <w:tcPr>
            <w:tcW w:w="2703" w:type="dxa"/>
            <w:gridSpan w:val="3"/>
          </w:tcPr>
          <w:p>
            <w:pPr>
              <w:autoSpaceDE w:val="0"/>
              <w:autoSpaceDN w:val="0"/>
              <w:jc w:val="left"/>
              <w:rPr>
                <w:rFonts w:hAnsi="宋体" w:cs="宋体"/>
                <w:color w:val="auto"/>
                <w:kern w:val="0"/>
                <w:sz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jc w:val="center"/>
        </w:trPr>
        <w:tc>
          <w:tcPr>
            <w:tcW w:w="1908" w:type="dxa"/>
            <w:vMerge w:val="continue"/>
            <w:tcBorders>
              <w:top w:val="nil"/>
            </w:tcBorders>
          </w:tcPr>
          <w:p>
            <w:pPr>
              <w:autoSpaceDE w:val="0"/>
              <w:autoSpaceDN w:val="0"/>
              <w:jc w:val="left"/>
              <w:rPr>
                <w:rFonts w:ascii="宋体" w:hAnsi="宋体" w:cs="宋体"/>
                <w:color w:val="auto"/>
                <w:kern w:val="0"/>
                <w:sz w:val="2"/>
                <w:szCs w:val="2"/>
                <w:highlight w:val="none"/>
                <w:lang w:val="zh-CN" w:bidi="zh-CN"/>
              </w:rPr>
            </w:pPr>
          </w:p>
        </w:tc>
        <w:tc>
          <w:tcPr>
            <w:tcW w:w="901" w:type="dxa"/>
          </w:tcPr>
          <w:p>
            <w:pPr>
              <w:tabs>
                <w:tab w:val="left" w:pos="434"/>
              </w:tabs>
              <w:autoSpaceDE w:val="0"/>
              <w:autoSpaceDN w:val="0"/>
              <w:spacing w:before="142"/>
              <w:ind w:left="11"/>
              <w:jc w:val="center"/>
              <w:rPr>
                <w:rFonts w:ascii="宋体" w:hAnsi="宋体" w:cs="宋体"/>
                <w:color w:val="auto"/>
                <w:kern w:val="0"/>
                <w:highlight w:val="none"/>
                <w:lang w:val="zh-CN" w:bidi="zh-CN"/>
              </w:rPr>
            </w:pPr>
            <w:r>
              <w:rPr>
                <w:rFonts w:ascii="宋体" w:hAnsi="宋体" w:cs="宋体"/>
                <w:color w:val="auto"/>
                <w:kern w:val="0"/>
                <w:highlight w:val="none"/>
                <w:lang w:val="zh-CN" w:bidi="zh-CN"/>
              </w:rPr>
              <w:t>传</w:t>
            </w:r>
            <w:r>
              <w:rPr>
                <w:rFonts w:ascii="宋体" w:hAnsi="宋体" w:cs="宋体"/>
                <w:color w:val="auto"/>
                <w:kern w:val="0"/>
                <w:highlight w:val="none"/>
                <w:lang w:val="zh-CN" w:bidi="zh-CN"/>
              </w:rPr>
              <w:tab/>
            </w:r>
            <w:r>
              <w:rPr>
                <w:rFonts w:ascii="宋体" w:hAnsi="宋体" w:cs="宋体"/>
                <w:color w:val="auto"/>
                <w:kern w:val="0"/>
                <w:highlight w:val="none"/>
                <w:lang w:val="zh-CN" w:bidi="zh-CN"/>
              </w:rPr>
              <w:t>真</w:t>
            </w:r>
          </w:p>
        </w:tc>
        <w:tc>
          <w:tcPr>
            <w:tcW w:w="2340" w:type="dxa"/>
            <w:gridSpan w:val="3"/>
          </w:tcPr>
          <w:p>
            <w:pPr>
              <w:autoSpaceDE w:val="0"/>
              <w:autoSpaceDN w:val="0"/>
              <w:jc w:val="left"/>
              <w:rPr>
                <w:rFonts w:hAnsi="宋体" w:cs="宋体"/>
                <w:color w:val="auto"/>
                <w:kern w:val="0"/>
                <w:sz w:val="20"/>
                <w:highlight w:val="none"/>
                <w:lang w:val="zh-CN" w:bidi="zh-CN"/>
              </w:rPr>
            </w:pPr>
          </w:p>
        </w:tc>
        <w:tc>
          <w:tcPr>
            <w:tcW w:w="1077" w:type="dxa"/>
          </w:tcPr>
          <w:p>
            <w:pPr>
              <w:autoSpaceDE w:val="0"/>
              <w:autoSpaceDN w:val="0"/>
              <w:spacing w:before="142"/>
              <w:ind w:left="98" w:right="88"/>
              <w:jc w:val="center"/>
              <w:rPr>
                <w:rFonts w:ascii="宋体" w:hAnsi="宋体" w:cs="宋体"/>
                <w:color w:val="auto"/>
                <w:kern w:val="0"/>
                <w:highlight w:val="none"/>
                <w:lang w:val="zh-CN" w:bidi="zh-CN"/>
              </w:rPr>
            </w:pPr>
            <w:r>
              <w:rPr>
                <w:rFonts w:ascii="宋体" w:hAnsi="宋体" w:cs="宋体"/>
                <w:color w:val="auto"/>
                <w:kern w:val="0"/>
                <w:highlight w:val="none"/>
                <w:lang w:val="zh-CN" w:bidi="zh-CN"/>
              </w:rPr>
              <w:t>电子邮件</w:t>
            </w:r>
          </w:p>
        </w:tc>
        <w:tc>
          <w:tcPr>
            <w:tcW w:w="2703" w:type="dxa"/>
            <w:gridSpan w:val="3"/>
          </w:tcPr>
          <w:p>
            <w:pPr>
              <w:autoSpaceDE w:val="0"/>
              <w:autoSpaceDN w:val="0"/>
              <w:jc w:val="left"/>
              <w:rPr>
                <w:rFonts w:hAnsi="宋体" w:cs="宋体"/>
                <w:color w:val="auto"/>
                <w:kern w:val="0"/>
                <w:sz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jc w:val="center"/>
        </w:trPr>
        <w:tc>
          <w:tcPr>
            <w:tcW w:w="1908" w:type="dxa"/>
          </w:tcPr>
          <w:p>
            <w:pPr>
              <w:autoSpaceDE w:val="0"/>
              <w:autoSpaceDN w:val="0"/>
              <w:spacing w:before="143"/>
              <w:ind w:left="426"/>
              <w:jc w:val="left"/>
              <w:rPr>
                <w:rFonts w:ascii="宋体" w:hAnsi="宋体" w:cs="宋体"/>
                <w:color w:val="auto"/>
                <w:kern w:val="0"/>
                <w:highlight w:val="none"/>
                <w:lang w:val="zh-CN" w:bidi="zh-CN"/>
              </w:rPr>
            </w:pPr>
            <w:r>
              <w:rPr>
                <w:rFonts w:ascii="宋体" w:hAnsi="宋体" w:cs="宋体"/>
                <w:color w:val="auto"/>
                <w:kern w:val="0"/>
                <w:highlight w:val="none"/>
                <w:lang w:val="zh-CN" w:bidi="zh-CN"/>
              </w:rPr>
              <w:t>法定代表人</w:t>
            </w:r>
          </w:p>
        </w:tc>
        <w:tc>
          <w:tcPr>
            <w:tcW w:w="901" w:type="dxa"/>
          </w:tcPr>
          <w:p>
            <w:pPr>
              <w:autoSpaceDE w:val="0"/>
              <w:autoSpaceDN w:val="0"/>
              <w:spacing w:before="143"/>
              <w:ind w:left="10"/>
              <w:jc w:val="center"/>
              <w:rPr>
                <w:rFonts w:ascii="宋体" w:hAnsi="宋体" w:cs="宋体"/>
                <w:color w:val="auto"/>
                <w:kern w:val="0"/>
                <w:highlight w:val="none"/>
                <w:lang w:val="zh-CN" w:bidi="zh-CN"/>
              </w:rPr>
            </w:pPr>
            <w:r>
              <w:rPr>
                <w:rFonts w:ascii="宋体" w:hAnsi="宋体" w:cs="宋体"/>
                <w:color w:val="auto"/>
                <w:kern w:val="0"/>
                <w:highlight w:val="none"/>
                <w:lang w:val="zh-CN" w:bidi="zh-CN"/>
              </w:rPr>
              <w:t>姓名</w:t>
            </w:r>
          </w:p>
        </w:tc>
        <w:tc>
          <w:tcPr>
            <w:tcW w:w="1080" w:type="dxa"/>
          </w:tcPr>
          <w:p>
            <w:pPr>
              <w:autoSpaceDE w:val="0"/>
              <w:autoSpaceDN w:val="0"/>
              <w:jc w:val="left"/>
              <w:rPr>
                <w:rFonts w:hAnsi="宋体" w:cs="宋体"/>
                <w:color w:val="auto"/>
                <w:kern w:val="0"/>
                <w:sz w:val="20"/>
                <w:highlight w:val="none"/>
                <w:lang w:val="zh-CN" w:bidi="zh-CN"/>
              </w:rPr>
            </w:pPr>
          </w:p>
        </w:tc>
        <w:tc>
          <w:tcPr>
            <w:tcW w:w="1260" w:type="dxa"/>
            <w:gridSpan w:val="2"/>
          </w:tcPr>
          <w:p>
            <w:pPr>
              <w:autoSpaceDE w:val="0"/>
              <w:autoSpaceDN w:val="0"/>
              <w:spacing w:before="143"/>
              <w:ind w:left="208"/>
              <w:jc w:val="left"/>
              <w:rPr>
                <w:rFonts w:ascii="宋体" w:hAnsi="宋体" w:cs="宋体"/>
                <w:color w:val="auto"/>
                <w:kern w:val="0"/>
                <w:highlight w:val="none"/>
                <w:lang w:val="zh-CN" w:bidi="zh-CN"/>
              </w:rPr>
            </w:pPr>
            <w:r>
              <w:rPr>
                <w:rFonts w:ascii="宋体" w:hAnsi="宋体" w:cs="宋体"/>
                <w:color w:val="auto"/>
                <w:kern w:val="0"/>
                <w:highlight w:val="none"/>
                <w:lang w:val="zh-CN" w:bidi="zh-CN"/>
              </w:rPr>
              <w:t>技术职称</w:t>
            </w:r>
          </w:p>
        </w:tc>
        <w:tc>
          <w:tcPr>
            <w:tcW w:w="1077" w:type="dxa"/>
          </w:tcPr>
          <w:p>
            <w:pPr>
              <w:autoSpaceDE w:val="0"/>
              <w:autoSpaceDN w:val="0"/>
              <w:jc w:val="left"/>
              <w:rPr>
                <w:rFonts w:hAnsi="宋体" w:cs="宋体"/>
                <w:color w:val="auto"/>
                <w:kern w:val="0"/>
                <w:sz w:val="20"/>
                <w:highlight w:val="none"/>
                <w:lang w:val="zh-CN" w:bidi="zh-CN"/>
              </w:rPr>
            </w:pPr>
          </w:p>
        </w:tc>
        <w:tc>
          <w:tcPr>
            <w:tcW w:w="1082" w:type="dxa"/>
            <w:gridSpan w:val="2"/>
          </w:tcPr>
          <w:p>
            <w:pPr>
              <w:autoSpaceDE w:val="0"/>
              <w:autoSpaceDN w:val="0"/>
              <w:spacing w:before="143"/>
              <w:ind w:left="331"/>
              <w:jc w:val="left"/>
              <w:rPr>
                <w:rFonts w:ascii="宋体" w:hAnsi="宋体" w:cs="宋体"/>
                <w:color w:val="auto"/>
                <w:kern w:val="0"/>
                <w:highlight w:val="none"/>
                <w:lang w:val="zh-CN" w:bidi="zh-CN"/>
              </w:rPr>
            </w:pPr>
            <w:r>
              <w:rPr>
                <w:rFonts w:ascii="宋体" w:hAnsi="宋体" w:cs="宋体"/>
                <w:color w:val="auto"/>
                <w:kern w:val="0"/>
                <w:highlight w:val="none"/>
                <w:lang w:val="zh-CN" w:bidi="zh-CN"/>
              </w:rPr>
              <w:t>电话</w:t>
            </w:r>
          </w:p>
        </w:tc>
        <w:tc>
          <w:tcPr>
            <w:tcW w:w="1621" w:type="dxa"/>
          </w:tcPr>
          <w:p>
            <w:pPr>
              <w:autoSpaceDE w:val="0"/>
              <w:autoSpaceDN w:val="0"/>
              <w:jc w:val="left"/>
              <w:rPr>
                <w:rFonts w:hAnsi="宋体" w:cs="宋体"/>
                <w:color w:val="auto"/>
                <w:kern w:val="0"/>
                <w:sz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jc w:val="center"/>
        </w:trPr>
        <w:tc>
          <w:tcPr>
            <w:tcW w:w="1908" w:type="dxa"/>
          </w:tcPr>
          <w:p>
            <w:pPr>
              <w:autoSpaceDE w:val="0"/>
              <w:autoSpaceDN w:val="0"/>
              <w:spacing w:before="142"/>
              <w:ind w:left="426"/>
              <w:jc w:val="left"/>
              <w:rPr>
                <w:rFonts w:ascii="宋体" w:hAnsi="宋体" w:cs="宋体"/>
                <w:color w:val="auto"/>
                <w:kern w:val="0"/>
                <w:highlight w:val="none"/>
                <w:lang w:val="zh-CN" w:bidi="zh-CN"/>
              </w:rPr>
            </w:pPr>
            <w:r>
              <w:rPr>
                <w:rFonts w:ascii="宋体" w:hAnsi="宋体" w:cs="宋体"/>
                <w:color w:val="auto"/>
                <w:kern w:val="0"/>
                <w:highlight w:val="none"/>
                <w:lang w:val="zh-CN" w:bidi="zh-CN"/>
              </w:rPr>
              <w:t>技术负责人</w:t>
            </w:r>
          </w:p>
        </w:tc>
        <w:tc>
          <w:tcPr>
            <w:tcW w:w="901" w:type="dxa"/>
          </w:tcPr>
          <w:p>
            <w:pPr>
              <w:autoSpaceDE w:val="0"/>
              <w:autoSpaceDN w:val="0"/>
              <w:spacing w:before="142"/>
              <w:ind w:left="10"/>
              <w:jc w:val="center"/>
              <w:rPr>
                <w:rFonts w:ascii="宋体" w:hAnsi="宋体" w:cs="宋体"/>
                <w:color w:val="auto"/>
                <w:kern w:val="0"/>
                <w:highlight w:val="none"/>
                <w:lang w:val="zh-CN" w:bidi="zh-CN"/>
              </w:rPr>
            </w:pPr>
            <w:r>
              <w:rPr>
                <w:rFonts w:ascii="宋体" w:hAnsi="宋体" w:cs="宋体"/>
                <w:color w:val="auto"/>
                <w:kern w:val="0"/>
                <w:highlight w:val="none"/>
                <w:lang w:val="zh-CN" w:bidi="zh-CN"/>
              </w:rPr>
              <w:t>姓名</w:t>
            </w:r>
          </w:p>
        </w:tc>
        <w:tc>
          <w:tcPr>
            <w:tcW w:w="1080" w:type="dxa"/>
          </w:tcPr>
          <w:p>
            <w:pPr>
              <w:autoSpaceDE w:val="0"/>
              <w:autoSpaceDN w:val="0"/>
              <w:jc w:val="left"/>
              <w:rPr>
                <w:rFonts w:hAnsi="宋体" w:cs="宋体"/>
                <w:color w:val="auto"/>
                <w:kern w:val="0"/>
                <w:sz w:val="20"/>
                <w:highlight w:val="none"/>
                <w:lang w:val="zh-CN" w:bidi="zh-CN"/>
              </w:rPr>
            </w:pPr>
          </w:p>
        </w:tc>
        <w:tc>
          <w:tcPr>
            <w:tcW w:w="1260" w:type="dxa"/>
            <w:gridSpan w:val="2"/>
          </w:tcPr>
          <w:p>
            <w:pPr>
              <w:autoSpaceDE w:val="0"/>
              <w:autoSpaceDN w:val="0"/>
              <w:spacing w:before="142"/>
              <w:ind w:left="208"/>
              <w:jc w:val="left"/>
              <w:rPr>
                <w:rFonts w:ascii="宋体" w:hAnsi="宋体" w:cs="宋体"/>
                <w:color w:val="auto"/>
                <w:kern w:val="0"/>
                <w:highlight w:val="none"/>
                <w:lang w:val="zh-CN" w:bidi="zh-CN"/>
              </w:rPr>
            </w:pPr>
            <w:r>
              <w:rPr>
                <w:rFonts w:ascii="宋体" w:hAnsi="宋体" w:cs="宋体"/>
                <w:color w:val="auto"/>
                <w:kern w:val="0"/>
                <w:highlight w:val="none"/>
                <w:lang w:val="zh-CN" w:bidi="zh-CN"/>
              </w:rPr>
              <w:t>技术职称</w:t>
            </w:r>
          </w:p>
        </w:tc>
        <w:tc>
          <w:tcPr>
            <w:tcW w:w="1077" w:type="dxa"/>
          </w:tcPr>
          <w:p>
            <w:pPr>
              <w:autoSpaceDE w:val="0"/>
              <w:autoSpaceDN w:val="0"/>
              <w:jc w:val="left"/>
              <w:rPr>
                <w:rFonts w:hAnsi="宋体" w:cs="宋体"/>
                <w:color w:val="auto"/>
                <w:kern w:val="0"/>
                <w:sz w:val="20"/>
                <w:highlight w:val="none"/>
                <w:lang w:val="zh-CN" w:bidi="zh-CN"/>
              </w:rPr>
            </w:pPr>
          </w:p>
        </w:tc>
        <w:tc>
          <w:tcPr>
            <w:tcW w:w="1082" w:type="dxa"/>
            <w:gridSpan w:val="2"/>
          </w:tcPr>
          <w:p>
            <w:pPr>
              <w:autoSpaceDE w:val="0"/>
              <w:autoSpaceDN w:val="0"/>
              <w:spacing w:before="142"/>
              <w:ind w:left="331"/>
              <w:jc w:val="left"/>
              <w:rPr>
                <w:rFonts w:ascii="宋体" w:hAnsi="宋体" w:cs="宋体"/>
                <w:color w:val="auto"/>
                <w:kern w:val="0"/>
                <w:highlight w:val="none"/>
                <w:lang w:val="zh-CN" w:bidi="zh-CN"/>
              </w:rPr>
            </w:pPr>
            <w:r>
              <w:rPr>
                <w:rFonts w:ascii="宋体" w:hAnsi="宋体" w:cs="宋体"/>
                <w:color w:val="auto"/>
                <w:kern w:val="0"/>
                <w:highlight w:val="none"/>
                <w:lang w:val="zh-CN" w:bidi="zh-CN"/>
              </w:rPr>
              <w:t>电话</w:t>
            </w:r>
          </w:p>
        </w:tc>
        <w:tc>
          <w:tcPr>
            <w:tcW w:w="1621" w:type="dxa"/>
          </w:tcPr>
          <w:p>
            <w:pPr>
              <w:autoSpaceDE w:val="0"/>
              <w:autoSpaceDN w:val="0"/>
              <w:jc w:val="left"/>
              <w:rPr>
                <w:rFonts w:hAnsi="宋体" w:cs="宋体"/>
                <w:color w:val="auto"/>
                <w:kern w:val="0"/>
                <w:sz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jc w:val="center"/>
        </w:trPr>
        <w:tc>
          <w:tcPr>
            <w:tcW w:w="1908" w:type="dxa"/>
          </w:tcPr>
          <w:p>
            <w:pPr>
              <w:autoSpaceDE w:val="0"/>
              <w:autoSpaceDN w:val="0"/>
              <w:spacing w:before="142"/>
              <w:ind w:left="426"/>
              <w:jc w:val="left"/>
              <w:rPr>
                <w:rFonts w:ascii="宋体" w:hAnsi="宋体" w:cs="宋体"/>
                <w:color w:val="auto"/>
                <w:kern w:val="0"/>
                <w:highlight w:val="none"/>
                <w:lang w:val="zh-CN" w:bidi="zh-CN"/>
              </w:rPr>
            </w:pPr>
            <w:r>
              <w:rPr>
                <w:rFonts w:ascii="宋体" w:hAnsi="宋体" w:cs="宋体"/>
                <w:color w:val="auto"/>
                <w:kern w:val="0"/>
                <w:highlight w:val="none"/>
                <w:lang w:val="zh-CN" w:bidi="zh-CN"/>
              </w:rPr>
              <w:t>营业执照号</w:t>
            </w:r>
          </w:p>
        </w:tc>
        <w:tc>
          <w:tcPr>
            <w:tcW w:w="1981" w:type="dxa"/>
            <w:gridSpan w:val="2"/>
          </w:tcPr>
          <w:p>
            <w:pPr>
              <w:autoSpaceDE w:val="0"/>
              <w:autoSpaceDN w:val="0"/>
              <w:jc w:val="left"/>
              <w:rPr>
                <w:rFonts w:hAnsi="宋体" w:cs="宋体"/>
                <w:color w:val="auto"/>
                <w:kern w:val="0"/>
                <w:sz w:val="20"/>
                <w:highlight w:val="none"/>
                <w:lang w:val="zh-CN" w:bidi="zh-CN"/>
              </w:rPr>
            </w:pPr>
          </w:p>
        </w:tc>
        <w:tc>
          <w:tcPr>
            <w:tcW w:w="5040" w:type="dxa"/>
            <w:gridSpan w:val="6"/>
          </w:tcPr>
          <w:p>
            <w:pPr>
              <w:autoSpaceDE w:val="0"/>
              <w:autoSpaceDN w:val="0"/>
              <w:spacing w:before="142"/>
              <w:ind w:left="1922" w:right="1807"/>
              <w:jc w:val="center"/>
              <w:rPr>
                <w:rFonts w:ascii="宋体" w:hAnsi="宋体" w:cs="宋体"/>
                <w:color w:val="auto"/>
                <w:kern w:val="0"/>
                <w:highlight w:val="none"/>
                <w:lang w:val="zh-CN" w:bidi="zh-CN"/>
              </w:rPr>
            </w:pPr>
            <w:r>
              <w:rPr>
                <w:rFonts w:ascii="宋体" w:hAnsi="宋体" w:cs="宋体"/>
                <w:color w:val="auto"/>
                <w:kern w:val="0"/>
                <w:highlight w:val="none"/>
                <w:lang w:val="zh-CN" w:bidi="zh-CN"/>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jc w:val="center"/>
        </w:trPr>
        <w:tc>
          <w:tcPr>
            <w:tcW w:w="1908" w:type="dxa"/>
          </w:tcPr>
          <w:p>
            <w:pPr>
              <w:autoSpaceDE w:val="0"/>
              <w:autoSpaceDN w:val="0"/>
              <w:spacing w:before="142"/>
              <w:ind w:left="323"/>
              <w:jc w:val="left"/>
              <w:rPr>
                <w:rFonts w:ascii="宋体" w:hAnsi="宋体" w:cs="宋体"/>
                <w:color w:val="auto"/>
                <w:kern w:val="0"/>
                <w:highlight w:val="none"/>
                <w:lang w:val="zh-CN" w:bidi="zh-CN"/>
              </w:rPr>
            </w:pPr>
            <w:r>
              <w:rPr>
                <w:rFonts w:ascii="宋体" w:hAnsi="宋体" w:cs="宋体"/>
                <w:color w:val="auto"/>
                <w:kern w:val="0"/>
                <w:highlight w:val="none"/>
                <w:lang w:val="zh-CN" w:bidi="zh-CN"/>
              </w:rPr>
              <w:t>企业资质等级</w:t>
            </w:r>
          </w:p>
        </w:tc>
        <w:tc>
          <w:tcPr>
            <w:tcW w:w="1981" w:type="dxa"/>
            <w:gridSpan w:val="2"/>
          </w:tcPr>
          <w:p>
            <w:pPr>
              <w:autoSpaceDE w:val="0"/>
              <w:autoSpaceDN w:val="0"/>
              <w:jc w:val="left"/>
              <w:rPr>
                <w:rFonts w:hAnsi="宋体" w:cs="宋体"/>
                <w:color w:val="auto"/>
                <w:kern w:val="0"/>
                <w:sz w:val="20"/>
                <w:highlight w:val="none"/>
                <w:lang w:val="zh-CN" w:bidi="zh-CN"/>
              </w:rPr>
            </w:pPr>
          </w:p>
        </w:tc>
        <w:tc>
          <w:tcPr>
            <w:tcW w:w="528" w:type="dxa"/>
            <w:vMerge w:val="restart"/>
          </w:tcPr>
          <w:p>
            <w:pPr>
              <w:autoSpaceDE w:val="0"/>
              <w:autoSpaceDN w:val="0"/>
              <w:jc w:val="left"/>
              <w:rPr>
                <w:rFonts w:ascii="黑体" w:hAnsi="宋体" w:cs="宋体"/>
                <w:color w:val="auto"/>
                <w:kern w:val="0"/>
                <w:sz w:val="20"/>
                <w:highlight w:val="none"/>
                <w:lang w:val="zh-CN" w:bidi="zh-CN"/>
              </w:rPr>
            </w:pPr>
          </w:p>
          <w:p>
            <w:pPr>
              <w:autoSpaceDE w:val="0"/>
              <w:autoSpaceDN w:val="0"/>
              <w:jc w:val="left"/>
              <w:rPr>
                <w:rFonts w:ascii="黑体" w:hAnsi="宋体" w:cs="宋体"/>
                <w:color w:val="auto"/>
                <w:kern w:val="0"/>
                <w:sz w:val="20"/>
                <w:highlight w:val="none"/>
                <w:lang w:val="zh-CN" w:bidi="zh-CN"/>
              </w:rPr>
            </w:pPr>
          </w:p>
          <w:p>
            <w:pPr>
              <w:autoSpaceDE w:val="0"/>
              <w:autoSpaceDN w:val="0"/>
              <w:spacing w:before="4"/>
              <w:jc w:val="left"/>
              <w:rPr>
                <w:rFonts w:ascii="黑体" w:hAnsi="宋体" w:cs="宋体"/>
                <w:color w:val="auto"/>
                <w:kern w:val="0"/>
                <w:sz w:val="24"/>
                <w:highlight w:val="none"/>
                <w:lang w:val="zh-CN" w:bidi="zh-CN"/>
              </w:rPr>
            </w:pPr>
          </w:p>
          <w:p>
            <w:pPr>
              <w:autoSpaceDE w:val="0"/>
              <w:autoSpaceDN w:val="0"/>
              <w:spacing w:line="391" w:lineRule="auto"/>
              <w:ind w:left="157" w:right="147"/>
              <w:jc w:val="left"/>
              <w:rPr>
                <w:rFonts w:ascii="宋体" w:hAnsi="宋体" w:cs="宋体"/>
                <w:color w:val="auto"/>
                <w:kern w:val="0"/>
                <w:highlight w:val="none"/>
                <w:lang w:val="zh-CN" w:bidi="zh-CN"/>
              </w:rPr>
            </w:pPr>
            <w:r>
              <w:rPr>
                <w:rFonts w:ascii="宋体" w:hAnsi="宋体" w:cs="宋体"/>
                <w:color w:val="auto"/>
                <w:kern w:val="0"/>
                <w:highlight w:val="none"/>
                <w:lang w:val="zh-CN" w:bidi="zh-CN"/>
              </w:rPr>
              <w:t>其中</w:t>
            </w:r>
          </w:p>
        </w:tc>
        <w:tc>
          <w:tcPr>
            <w:tcW w:w="1991" w:type="dxa"/>
            <w:gridSpan w:val="3"/>
          </w:tcPr>
          <w:p>
            <w:pPr>
              <w:autoSpaceDE w:val="0"/>
              <w:autoSpaceDN w:val="0"/>
              <w:spacing w:before="142"/>
              <w:ind w:left="575"/>
              <w:jc w:val="left"/>
              <w:rPr>
                <w:rFonts w:ascii="宋体" w:hAnsi="宋体" w:cs="宋体"/>
                <w:color w:val="auto"/>
                <w:kern w:val="0"/>
                <w:highlight w:val="none"/>
                <w:lang w:val="zh-CN" w:bidi="zh-CN"/>
              </w:rPr>
            </w:pPr>
            <w:r>
              <w:rPr>
                <w:rFonts w:ascii="宋体" w:hAnsi="宋体" w:cs="宋体"/>
                <w:color w:val="auto"/>
                <w:kern w:val="0"/>
                <w:highlight w:val="none"/>
                <w:lang w:val="zh-CN" w:bidi="zh-CN"/>
              </w:rPr>
              <w:t>项目经理</w:t>
            </w:r>
          </w:p>
        </w:tc>
        <w:tc>
          <w:tcPr>
            <w:tcW w:w="2521" w:type="dxa"/>
            <w:gridSpan w:val="2"/>
          </w:tcPr>
          <w:p>
            <w:pPr>
              <w:autoSpaceDE w:val="0"/>
              <w:autoSpaceDN w:val="0"/>
              <w:jc w:val="left"/>
              <w:rPr>
                <w:rFonts w:hAnsi="宋体" w:cs="宋体"/>
                <w:color w:val="auto"/>
                <w:kern w:val="0"/>
                <w:sz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jc w:val="center"/>
        </w:trPr>
        <w:tc>
          <w:tcPr>
            <w:tcW w:w="1908" w:type="dxa"/>
          </w:tcPr>
          <w:p>
            <w:pPr>
              <w:autoSpaceDE w:val="0"/>
              <w:autoSpaceDN w:val="0"/>
              <w:spacing w:before="142"/>
              <w:ind w:left="532"/>
              <w:jc w:val="left"/>
              <w:rPr>
                <w:rFonts w:ascii="宋体" w:hAnsi="宋体" w:cs="宋体"/>
                <w:color w:val="auto"/>
                <w:kern w:val="0"/>
                <w:highlight w:val="none"/>
                <w:lang w:val="zh-CN" w:bidi="zh-CN"/>
              </w:rPr>
            </w:pPr>
            <w:r>
              <w:rPr>
                <w:rFonts w:ascii="宋体" w:hAnsi="宋体" w:cs="宋体"/>
                <w:color w:val="auto"/>
                <w:kern w:val="0"/>
                <w:highlight w:val="none"/>
                <w:lang w:val="zh-CN" w:bidi="zh-CN"/>
              </w:rPr>
              <w:t>注册资本</w:t>
            </w:r>
          </w:p>
        </w:tc>
        <w:tc>
          <w:tcPr>
            <w:tcW w:w="1981" w:type="dxa"/>
            <w:gridSpan w:val="2"/>
          </w:tcPr>
          <w:p>
            <w:pPr>
              <w:autoSpaceDE w:val="0"/>
              <w:autoSpaceDN w:val="0"/>
              <w:jc w:val="left"/>
              <w:rPr>
                <w:rFonts w:hAnsi="宋体" w:cs="宋体"/>
                <w:color w:val="auto"/>
                <w:kern w:val="0"/>
                <w:sz w:val="20"/>
                <w:highlight w:val="none"/>
                <w:lang w:val="zh-CN" w:bidi="zh-CN"/>
              </w:rPr>
            </w:pPr>
          </w:p>
        </w:tc>
        <w:tc>
          <w:tcPr>
            <w:tcW w:w="528" w:type="dxa"/>
            <w:vMerge w:val="continue"/>
            <w:tcBorders>
              <w:top w:val="nil"/>
            </w:tcBorders>
          </w:tcPr>
          <w:p>
            <w:pPr>
              <w:autoSpaceDE w:val="0"/>
              <w:autoSpaceDN w:val="0"/>
              <w:jc w:val="left"/>
              <w:rPr>
                <w:rFonts w:ascii="宋体" w:hAnsi="宋体" w:cs="宋体"/>
                <w:color w:val="auto"/>
                <w:kern w:val="0"/>
                <w:sz w:val="2"/>
                <w:szCs w:val="2"/>
                <w:highlight w:val="none"/>
                <w:lang w:val="zh-CN" w:bidi="zh-CN"/>
              </w:rPr>
            </w:pPr>
          </w:p>
        </w:tc>
        <w:tc>
          <w:tcPr>
            <w:tcW w:w="1991" w:type="dxa"/>
            <w:gridSpan w:val="3"/>
          </w:tcPr>
          <w:p>
            <w:pPr>
              <w:autoSpaceDE w:val="0"/>
              <w:autoSpaceDN w:val="0"/>
              <w:spacing w:before="142"/>
              <w:ind w:left="364"/>
              <w:jc w:val="left"/>
              <w:rPr>
                <w:rFonts w:ascii="宋体" w:hAnsi="宋体" w:cs="宋体"/>
                <w:color w:val="auto"/>
                <w:kern w:val="0"/>
                <w:highlight w:val="none"/>
                <w:lang w:val="zh-CN" w:bidi="zh-CN"/>
              </w:rPr>
            </w:pPr>
            <w:r>
              <w:rPr>
                <w:rFonts w:ascii="宋体" w:hAnsi="宋体" w:cs="宋体"/>
                <w:color w:val="auto"/>
                <w:kern w:val="0"/>
                <w:highlight w:val="none"/>
                <w:lang w:val="zh-CN" w:bidi="zh-CN"/>
              </w:rPr>
              <w:t>高级职称人员</w:t>
            </w:r>
          </w:p>
        </w:tc>
        <w:tc>
          <w:tcPr>
            <w:tcW w:w="2521" w:type="dxa"/>
            <w:gridSpan w:val="2"/>
          </w:tcPr>
          <w:p>
            <w:pPr>
              <w:autoSpaceDE w:val="0"/>
              <w:autoSpaceDN w:val="0"/>
              <w:jc w:val="left"/>
              <w:rPr>
                <w:rFonts w:hAnsi="宋体" w:cs="宋体"/>
                <w:color w:val="auto"/>
                <w:kern w:val="0"/>
                <w:sz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jc w:val="center"/>
        </w:trPr>
        <w:tc>
          <w:tcPr>
            <w:tcW w:w="1908" w:type="dxa"/>
          </w:tcPr>
          <w:p>
            <w:pPr>
              <w:autoSpaceDE w:val="0"/>
              <w:autoSpaceDN w:val="0"/>
              <w:spacing w:before="142"/>
              <w:ind w:left="532"/>
              <w:jc w:val="left"/>
              <w:rPr>
                <w:rFonts w:ascii="宋体" w:hAnsi="宋体" w:cs="宋体"/>
                <w:color w:val="auto"/>
                <w:kern w:val="0"/>
                <w:highlight w:val="none"/>
                <w:lang w:val="zh-CN" w:bidi="zh-CN"/>
              </w:rPr>
            </w:pPr>
            <w:r>
              <w:rPr>
                <w:rFonts w:ascii="宋体" w:hAnsi="宋体" w:cs="宋体"/>
                <w:color w:val="auto"/>
                <w:kern w:val="0"/>
                <w:highlight w:val="none"/>
                <w:lang w:val="zh-CN" w:bidi="zh-CN"/>
              </w:rPr>
              <w:t>成立日期</w:t>
            </w:r>
          </w:p>
        </w:tc>
        <w:tc>
          <w:tcPr>
            <w:tcW w:w="1981" w:type="dxa"/>
            <w:gridSpan w:val="2"/>
          </w:tcPr>
          <w:p>
            <w:pPr>
              <w:autoSpaceDE w:val="0"/>
              <w:autoSpaceDN w:val="0"/>
              <w:jc w:val="left"/>
              <w:rPr>
                <w:rFonts w:hAnsi="宋体" w:cs="宋体"/>
                <w:color w:val="auto"/>
                <w:kern w:val="0"/>
                <w:sz w:val="20"/>
                <w:highlight w:val="none"/>
                <w:lang w:val="zh-CN" w:bidi="zh-CN"/>
              </w:rPr>
            </w:pPr>
          </w:p>
        </w:tc>
        <w:tc>
          <w:tcPr>
            <w:tcW w:w="528" w:type="dxa"/>
            <w:vMerge w:val="continue"/>
            <w:tcBorders>
              <w:top w:val="nil"/>
            </w:tcBorders>
          </w:tcPr>
          <w:p>
            <w:pPr>
              <w:autoSpaceDE w:val="0"/>
              <w:autoSpaceDN w:val="0"/>
              <w:jc w:val="left"/>
              <w:rPr>
                <w:rFonts w:ascii="宋体" w:hAnsi="宋体" w:cs="宋体"/>
                <w:color w:val="auto"/>
                <w:kern w:val="0"/>
                <w:sz w:val="2"/>
                <w:szCs w:val="2"/>
                <w:highlight w:val="none"/>
                <w:lang w:val="zh-CN" w:bidi="zh-CN"/>
              </w:rPr>
            </w:pPr>
          </w:p>
        </w:tc>
        <w:tc>
          <w:tcPr>
            <w:tcW w:w="1991" w:type="dxa"/>
            <w:gridSpan w:val="3"/>
          </w:tcPr>
          <w:p>
            <w:pPr>
              <w:autoSpaceDE w:val="0"/>
              <w:autoSpaceDN w:val="0"/>
              <w:spacing w:before="142"/>
              <w:ind w:left="364"/>
              <w:jc w:val="left"/>
              <w:rPr>
                <w:rFonts w:ascii="宋体" w:hAnsi="宋体" w:cs="宋体"/>
                <w:color w:val="auto"/>
                <w:kern w:val="0"/>
                <w:highlight w:val="none"/>
                <w:lang w:val="zh-CN" w:bidi="zh-CN"/>
              </w:rPr>
            </w:pPr>
            <w:r>
              <w:rPr>
                <w:rFonts w:ascii="宋体" w:hAnsi="宋体" w:cs="宋体"/>
                <w:color w:val="auto"/>
                <w:kern w:val="0"/>
                <w:highlight w:val="none"/>
                <w:lang w:val="zh-CN" w:bidi="zh-CN"/>
              </w:rPr>
              <w:t>中级职称人员</w:t>
            </w:r>
          </w:p>
        </w:tc>
        <w:tc>
          <w:tcPr>
            <w:tcW w:w="2521" w:type="dxa"/>
            <w:gridSpan w:val="2"/>
          </w:tcPr>
          <w:p>
            <w:pPr>
              <w:autoSpaceDE w:val="0"/>
              <w:autoSpaceDN w:val="0"/>
              <w:jc w:val="left"/>
              <w:rPr>
                <w:rFonts w:hAnsi="宋体" w:cs="宋体"/>
                <w:color w:val="auto"/>
                <w:kern w:val="0"/>
                <w:sz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jc w:val="center"/>
        </w:trPr>
        <w:tc>
          <w:tcPr>
            <w:tcW w:w="1908" w:type="dxa"/>
          </w:tcPr>
          <w:p>
            <w:pPr>
              <w:autoSpaceDE w:val="0"/>
              <w:autoSpaceDN w:val="0"/>
              <w:spacing w:before="142"/>
              <w:ind w:right="100"/>
              <w:jc w:val="right"/>
              <w:rPr>
                <w:rFonts w:ascii="宋体" w:hAnsi="宋体" w:cs="宋体"/>
                <w:color w:val="auto"/>
                <w:kern w:val="0"/>
                <w:highlight w:val="none"/>
                <w:lang w:val="zh-CN" w:bidi="zh-CN"/>
              </w:rPr>
            </w:pPr>
            <w:r>
              <w:rPr>
                <w:rFonts w:ascii="宋体" w:hAnsi="宋体" w:cs="宋体"/>
                <w:color w:val="auto"/>
                <w:kern w:val="0"/>
                <w:highlight w:val="none"/>
                <w:lang w:val="zh-CN" w:bidi="zh-CN"/>
              </w:rPr>
              <w:t>基本账户开户银行</w:t>
            </w:r>
          </w:p>
        </w:tc>
        <w:tc>
          <w:tcPr>
            <w:tcW w:w="1981" w:type="dxa"/>
            <w:gridSpan w:val="2"/>
          </w:tcPr>
          <w:p>
            <w:pPr>
              <w:autoSpaceDE w:val="0"/>
              <w:autoSpaceDN w:val="0"/>
              <w:jc w:val="left"/>
              <w:rPr>
                <w:rFonts w:hAnsi="宋体" w:cs="宋体"/>
                <w:color w:val="auto"/>
                <w:kern w:val="0"/>
                <w:sz w:val="20"/>
                <w:highlight w:val="none"/>
                <w:lang w:val="zh-CN" w:bidi="zh-CN"/>
              </w:rPr>
            </w:pPr>
          </w:p>
        </w:tc>
        <w:tc>
          <w:tcPr>
            <w:tcW w:w="528" w:type="dxa"/>
            <w:vMerge w:val="continue"/>
            <w:tcBorders>
              <w:top w:val="nil"/>
            </w:tcBorders>
          </w:tcPr>
          <w:p>
            <w:pPr>
              <w:autoSpaceDE w:val="0"/>
              <w:autoSpaceDN w:val="0"/>
              <w:jc w:val="left"/>
              <w:rPr>
                <w:rFonts w:ascii="宋体" w:hAnsi="宋体" w:cs="宋体"/>
                <w:color w:val="auto"/>
                <w:kern w:val="0"/>
                <w:sz w:val="2"/>
                <w:szCs w:val="2"/>
                <w:highlight w:val="none"/>
                <w:lang w:val="zh-CN" w:bidi="zh-CN"/>
              </w:rPr>
            </w:pPr>
          </w:p>
        </w:tc>
        <w:tc>
          <w:tcPr>
            <w:tcW w:w="1991" w:type="dxa"/>
            <w:gridSpan w:val="3"/>
          </w:tcPr>
          <w:p>
            <w:pPr>
              <w:autoSpaceDE w:val="0"/>
              <w:autoSpaceDN w:val="0"/>
              <w:spacing w:before="142"/>
              <w:ind w:left="364"/>
              <w:jc w:val="left"/>
              <w:rPr>
                <w:rFonts w:ascii="宋体" w:hAnsi="宋体" w:cs="宋体"/>
                <w:color w:val="auto"/>
                <w:kern w:val="0"/>
                <w:highlight w:val="none"/>
                <w:lang w:val="zh-CN" w:bidi="zh-CN"/>
              </w:rPr>
            </w:pPr>
            <w:r>
              <w:rPr>
                <w:rFonts w:ascii="宋体" w:hAnsi="宋体" w:cs="宋体"/>
                <w:color w:val="auto"/>
                <w:kern w:val="0"/>
                <w:highlight w:val="none"/>
                <w:lang w:val="zh-CN" w:bidi="zh-CN"/>
              </w:rPr>
              <w:t>初级职称人员</w:t>
            </w:r>
          </w:p>
        </w:tc>
        <w:tc>
          <w:tcPr>
            <w:tcW w:w="2521" w:type="dxa"/>
            <w:gridSpan w:val="2"/>
          </w:tcPr>
          <w:p>
            <w:pPr>
              <w:autoSpaceDE w:val="0"/>
              <w:autoSpaceDN w:val="0"/>
              <w:jc w:val="left"/>
              <w:rPr>
                <w:rFonts w:hAnsi="宋体" w:cs="宋体"/>
                <w:color w:val="auto"/>
                <w:kern w:val="0"/>
                <w:sz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jc w:val="center"/>
        </w:trPr>
        <w:tc>
          <w:tcPr>
            <w:tcW w:w="1908" w:type="dxa"/>
          </w:tcPr>
          <w:p>
            <w:pPr>
              <w:autoSpaceDE w:val="0"/>
              <w:autoSpaceDN w:val="0"/>
              <w:spacing w:before="143"/>
              <w:ind w:right="103"/>
              <w:jc w:val="right"/>
              <w:rPr>
                <w:rFonts w:ascii="宋体" w:hAnsi="宋体" w:cs="宋体"/>
                <w:color w:val="auto"/>
                <w:kern w:val="0"/>
                <w:highlight w:val="none"/>
                <w:lang w:val="zh-CN" w:bidi="zh-CN"/>
              </w:rPr>
            </w:pPr>
            <w:r>
              <w:rPr>
                <w:rFonts w:ascii="宋体" w:hAnsi="宋体" w:cs="宋体"/>
                <w:color w:val="auto"/>
                <w:kern w:val="0"/>
                <w:highlight w:val="none"/>
                <w:lang w:val="zh-CN" w:bidi="zh-CN"/>
              </w:rPr>
              <w:t>基本账户银行账号</w:t>
            </w:r>
          </w:p>
        </w:tc>
        <w:tc>
          <w:tcPr>
            <w:tcW w:w="1981" w:type="dxa"/>
            <w:gridSpan w:val="2"/>
          </w:tcPr>
          <w:p>
            <w:pPr>
              <w:autoSpaceDE w:val="0"/>
              <w:autoSpaceDN w:val="0"/>
              <w:jc w:val="left"/>
              <w:rPr>
                <w:rFonts w:hAnsi="宋体" w:cs="宋体"/>
                <w:color w:val="auto"/>
                <w:kern w:val="0"/>
                <w:sz w:val="20"/>
                <w:highlight w:val="none"/>
                <w:lang w:val="zh-CN" w:bidi="zh-CN"/>
              </w:rPr>
            </w:pPr>
          </w:p>
        </w:tc>
        <w:tc>
          <w:tcPr>
            <w:tcW w:w="528" w:type="dxa"/>
            <w:vMerge w:val="continue"/>
            <w:tcBorders>
              <w:top w:val="nil"/>
            </w:tcBorders>
          </w:tcPr>
          <w:p>
            <w:pPr>
              <w:autoSpaceDE w:val="0"/>
              <w:autoSpaceDN w:val="0"/>
              <w:jc w:val="left"/>
              <w:rPr>
                <w:rFonts w:ascii="宋体" w:hAnsi="宋体" w:cs="宋体"/>
                <w:color w:val="auto"/>
                <w:kern w:val="0"/>
                <w:sz w:val="2"/>
                <w:szCs w:val="2"/>
                <w:highlight w:val="none"/>
                <w:lang w:val="zh-CN" w:bidi="zh-CN"/>
              </w:rPr>
            </w:pPr>
          </w:p>
        </w:tc>
        <w:tc>
          <w:tcPr>
            <w:tcW w:w="1991" w:type="dxa"/>
            <w:gridSpan w:val="3"/>
          </w:tcPr>
          <w:p>
            <w:pPr>
              <w:autoSpaceDE w:val="0"/>
              <w:autoSpaceDN w:val="0"/>
              <w:spacing w:before="153"/>
              <w:ind w:left="773" w:right="768"/>
              <w:jc w:val="center"/>
              <w:rPr>
                <w:rFonts w:ascii="宋体" w:hAnsi="宋体" w:cs="宋体"/>
                <w:color w:val="auto"/>
                <w:kern w:val="0"/>
                <w:sz w:val="20"/>
                <w:highlight w:val="none"/>
                <w:lang w:val="zh-CN" w:bidi="zh-CN"/>
              </w:rPr>
            </w:pPr>
            <w:r>
              <w:rPr>
                <w:rFonts w:ascii="宋体" w:hAnsi="宋体" w:cs="宋体"/>
                <w:color w:val="auto"/>
                <w:kern w:val="0"/>
                <w:sz w:val="20"/>
                <w:highlight w:val="none"/>
                <w:lang w:val="zh-CN" w:bidi="zh-CN"/>
              </w:rPr>
              <w:t>技工</w:t>
            </w:r>
          </w:p>
        </w:tc>
        <w:tc>
          <w:tcPr>
            <w:tcW w:w="2521" w:type="dxa"/>
            <w:gridSpan w:val="2"/>
          </w:tcPr>
          <w:p>
            <w:pPr>
              <w:autoSpaceDE w:val="0"/>
              <w:autoSpaceDN w:val="0"/>
              <w:jc w:val="left"/>
              <w:rPr>
                <w:rFonts w:hAnsi="宋体" w:cs="宋体"/>
                <w:color w:val="auto"/>
                <w:kern w:val="0"/>
                <w:sz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8" w:hRule="atLeast"/>
          <w:jc w:val="center"/>
        </w:trPr>
        <w:tc>
          <w:tcPr>
            <w:tcW w:w="1908" w:type="dxa"/>
          </w:tcPr>
          <w:p>
            <w:pPr>
              <w:autoSpaceDE w:val="0"/>
              <w:autoSpaceDN w:val="0"/>
              <w:jc w:val="left"/>
              <w:rPr>
                <w:rFonts w:ascii="黑体" w:hAnsi="宋体" w:cs="宋体"/>
                <w:color w:val="auto"/>
                <w:kern w:val="0"/>
                <w:sz w:val="20"/>
                <w:highlight w:val="none"/>
                <w:lang w:val="zh-CN" w:bidi="zh-CN"/>
              </w:rPr>
            </w:pPr>
          </w:p>
          <w:p>
            <w:pPr>
              <w:autoSpaceDE w:val="0"/>
              <w:autoSpaceDN w:val="0"/>
              <w:jc w:val="left"/>
              <w:rPr>
                <w:rFonts w:ascii="黑体" w:hAnsi="宋体" w:cs="宋体"/>
                <w:color w:val="auto"/>
                <w:kern w:val="0"/>
                <w:sz w:val="20"/>
                <w:highlight w:val="none"/>
                <w:lang w:val="zh-CN" w:bidi="zh-CN"/>
              </w:rPr>
            </w:pPr>
          </w:p>
          <w:p>
            <w:pPr>
              <w:autoSpaceDE w:val="0"/>
              <w:autoSpaceDN w:val="0"/>
              <w:spacing w:before="8"/>
              <w:jc w:val="left"/>
              <w:rPr>
                <w:rFonts w:ascii="黑体" w:hAnsi="宋体" w:cs="宋体"/>
                <w:color w:val="auto"/>
                <w:kern w:val="0"/>
                <w:sz w:val="22"/>
                <w:highlight w:val="none"/>
                <w:lang w:val="zh-CN" w:bidi="zh-CN"/>
              </w:rPr>
            </w:pPr>
          </w:p>
          <w:p>
            <w:pPr>
              <w:autoSpaceDE w:val="0"/>
              <w:autoSpaceDN w:val="0"/>
              <w:ind w:left="638"/>
              <w:jc w:val="left"/>
              <w:rPr>
                <w:rFonts w:ascii="宋体" w:hAnsi="宋体" w:cs="宋体"/>
                <w:color w:val="auto"/>
                <w:kern w:val="0"/>
                <w:highlight w:val="none"/>
                <w:lang w:val="zh-CN" w:bidi="zh-CN"/>
              </w:rPr>
            </w:pPr>
            <w:r>
              <w:rPr>
                <w:rFonts w:ascii="宋体" w:hAnsi="宋体" w:cs="宋体"/>
                <w:color w:val="auto"/>
                <w:kern w:val="0"/>
                <w:highlight w:val="none"/>
                <w:lang w:val="zh-CN" w:bidi="zh-CN"/>
              </w:rPr>
              <w:t>经营范围</w:t>
            </w:r>
          </w:p>
        </w:tc>
        <w:tc>
          <w:tcPr>
            <w:tcW w:w="7021" w:type="dxa"/>
            <w:gridSpan w:val="8"/>
          </w:tcPr>
          <w:p>
            <w:pPr>
              <w:autoSpaceDE w:val="0"/>
              <w:autoSpaceDN w:val="0"/>
              <w:jc w:val="left"/>
              <w:rPr>
                <w:rFonts w:hAnsi="宋体" w:cs="宋体"/>
                <w:color w:val="auto"/>
                <w:kern w:val="0"/>
                <w:sz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40" w:hRule="atLeast"/>
          <w:jc w:val="center"/>
        </w:trPr>
        <w:tc>
          <w:tcPr>
            <w:tcW w:w="1908" w:type="dxa"/>
          </w:tcPr>
          <w:p>
            <w:pPr>
              <w:autoSpaceDE w:val="0"/>
              <w:autoSpaceDN w:val="0"/>
              <w:jc w:val="left"/>
              <w:rPr>
                <w:rFonts w:ascii="黑体" w:hAnsi="宋体" w:cs="宋体"/>
                <w:color w:val="auto"/>
                <w:kern w:val="0"/>
                <w:sz w:val="20"/>
                <w:highlight w:val="none"/>
                <w:lang w:val="zh-CN" w:bidi="zh-CN"/>
              </w:rPr>
            </w:pPr>
          </w:p>
          <w:p>
            <w:pPr>
              <w:autoSpaceDE w:val="0"/>
              <w:autoSpaceDN w:val="0"/>
              <w:jc w:val="left"/>
              <w:rPr>
                <w:rFonts w:ascii="黑体" w:hAnsi="宋体" w:cs="宋体"/>
                <w:color w:val="auto"/>
                <w:kern w:val="0"/>
                <w:sz w:val="20"/>
                <w:highlight w:val="none"/>
                <w:lang w:val="zh-CN" w:bidi="zh-CN"/>
              </w:rPr>
            </w:pPr>
          </w:p>
          <w:p>
            <w:pPr>
              <w:autoSpaceDE w:val="0"/>
              <w:autoSpaceDN w:val="0"/>
              <w:jc w:val="left"/>
              <w:rPr>
                <w:rFonts w:ascii="黑体" w:hAnsi="宋体" w:cs="宋体"/>
                <w:color w:val="auto"/>
                <w:kern w:val="0"/>
                <w:sz w:val="20"/>
                <w:highlight w:val="none"/>
                <w:lang w:val="zh-CN" w:bidi="zh-CN"/>
              </w:rPr>
            </w:pPr>
          </w:p>
          <w:p>
            <w:pPr>
              <w:autoSpaceDE w:val="0"/>
              <w:autoSpaceDN w:val="0"/>
              <w:jc w:val="left"/>
              <w:rPr>
                <w:rFonts w:ascii="黑体" w:hAnsi="宋体" w:cs="宋体"/>
                <w:color w:val="auto"/>
                <w:kern w:val="0"/>
                <w:sz w:val="20"/>
                <w:highlight w:val="none"/>
                <w:lang w:val="zh-CN" w:bidi="zh-CN"/>
              </w:rPr>
            </w:pPr>
          </w:p>
          <w:p>
            <w:pPr>
              <w:autoSpaceDE w:val="0"/>
              <w:autoSpaceDN w:val="0"/>
              <w:spacing w:before="4"/>
              <w:jc w:val="left"/>
              <w:rPr>
                <w:rFonts w:ascii="黑体" w:hAnsi="宋体" w:cs="宋体"/>
                <w:color w:val="auto"/>
                <w:kern w:val="0"/>
                <w:sz w:val="23"/>
                <w:highlight w:val="none"/>
                <w:lang w:val="zh-CN" w:bidi="zh-CN"/>
              </w:rPr>
            </w:pPr>
          </w:p>
          <w:p>
            <w:pPr>
              <w:autoSpaceDE w:val="0"/>
              <w:autoSpaceDN w:val="0"/>
              <w:spacing w:line="391" w:lineRule="auto"/>
              <w:ind w:left="846" w:right="100" w:hanging="735"/>
              <w:jc w:val="left"/>
              <w:rPr>
                <w:rFonts w:ascii="宋体" w:hAnsi="宋体" w:cs="宋体"/>
                <w:color w:val="auto"/>
                <w:kern w:val="0"/>
                <w:highlight w:val="none"/>
                <w:lang w:val="zh-CN" w:bidi="zh-CN"/>
              </w:rPr>
            </w:pPr>
            <w:r>
              <w:rPr>
                <w:rFonts w:ascii="宋体" w:hAnsi="宋体" w:cs="宋体"/>
                <w:color w:val="auto"/>
                <w:kern w:val="0"/>
                <w:highlight w:val="none"/>
                <w:lang w:val="zh-CN" w:bidi="zh-CN"/>
              </w:rPr>
              <w:t>投标人关联企业情况</w:t>
            </w:r>
          </w:p>
        </w:tc>
        <w:tc>
          <w:tcPr>
            <w:tcW w:w="7021" w:type="dxa"/>
            <w:gridSpan w:val="8"/>
          </w:tcPr>
          <w:p>
            <w:pPr>
              <w:autoSpaceDE w:val="0"/>
              <w:autoSpaceDN w:val="0"/>
              <w:spacing w:before="128"/>
              <w:ind w:left="107"/>
              <w:jc w:val="left"/>
              <w:rPr>
                <w:rFonts w:ascii="宋体" w:hAnsi="宋体" w:cs="宋体"/>
                <w:color w:val="auto"/>
                <w:kern w:val="0"/>
                <w:highlight w:val="none"/>
                <w:lang w:val="zh-CN" w:bidi="zh-CN"/>
              </w:rPr>
            </w:pPr>
            <w:r>
              <w:rPr>
                <w:rFonts w:ascii="宋体" w:hAnsi="宋体" w:cs="宋体"/>
                <w:color w:val="auto"/>
                <w:kern w:val="0"/>
                <w:highlight w:val="none"/>
                <w:lang w:val="zh-CN" w:bidi="zh-CN"/>
              </w:rPr>
              <w:t>投标人应提供关联企业情况，包括：</w:t>
            </w:r>
          </w:p>
          <w:p>
            <w:pPr>
              <w:autoSpaceDE w:val="0"/>
              <w:autoSpaceDN w:val="0"/>
              <w:spacing w:before="132" w:line="357" w:lineRule="auto"/>
              <w:ind w:left="107" w:right="90" w:hanging="106"/>
              <w:rPr>
                <w:rFonts w:ascii="宋体" w:hAnsi="宋体" w:cs="宋体"/>
                <w:color w:val="auto"/>
                <w:kern w:val="0"/>
                <w:highlight w:val="none"/>
                <w:lang w:val="zh-CN" w:bidi="zh-CN"/>
              </w:rPr>
            </w:pPr>
            <w:r>
              <w:rPr>
                <w:rFonts w:ascii="宋体" w:hAnsi="宋体" w:cs="宋体"/>
                <w:color w:val="auto"/>
                <w:kern w:val="0"/>
                <w:highlight w:val="none"/>
                <w:lang w:val="zh-CN" w:bidi="zh-CN"/>
              </w:rPr>
              <w:t>（</w:t>
            </w:r>
            <w:r>
              <w:rPr>
                <w:rFonts w:hAnsi="宋体" w:eastAsia="Times New Roman" w:cs="宋体"/>
                <w:color w:val="auto"/>
                <w:kern w:val="0"/>
                <w:highlight w:val="none"/>
                <w:lang w:val="zh-CN" w:bidi="zh-CN"/>
              </w:rPr>
              <w:t>1</w:t>
            </w:r>
            <w:r>
              <w:rPr>
                <w:rFonts w:ascii="宋体" w:hAnsi="宋体" w:cs="宋体"/>
                <w:color w:val="auto"/>
                <w:kern w:val="0"/>
                <w:highlight w:val="none"/>
                <w:lang w:val="zh-CN" w:bidi="zh-CN"/>
              </w:rPr>
              <w:t>）投标人的所有股东名称及相应股权（出资额）比例；如投标人为上市公司，投标人应提供股权占公司股份总数</w:t>
            </w:r>
            <w:r>
              <w:rPr>
                <w:rFonts w:ascii="宋体" w:hAnsi="宋体" w:cs="宋体"/>
                <w:color w:val="auto"/>
                <w:kern w:val="0"/>
                <w:highlight w:val="none"/>
                <w:u w:val="single"/>
                <w:lang w:val="zh-CN" w:bidi="zh-CN"/>
              </w:rPr>
              <w:t xml:space="preserve">  </w:t>
            </w:r>
            <w:r>
              <w:rPr>
                <w:rFonts w:hAnsi="宋体" w:eastAsia="Times New Roman" w:cs="宋体"/>
                <w:color w:val="auto"/>
                <w:kern w:val="0"/>
                <w:highlight w:val="none"/>
                <w:lang w:val="zh-CN" w:bidi="zh-CN"/>
              </w:rPr>
              <w:t>%</w:t>
            </w:r>
            <w:r>
              <w:rPr>
                <w:rFonts w:ascii="宋体" w:hAnsi="宋体" w:cs="宋体"/>
                <w:color w:val="auto"/>
                <w:kern w:val="0"/>
                <w:highlight w:val="none"/>
                <w:lang w:val="zh-CN" w:bidi="zh-CN"/>
              </w:rPr>
              <w:t>以上的所有股东名称及相应股权比例；</w:t>
            </w:r>
          </w:p>
          <w:p>
            <w:pPr>
              <w:autoSpaceDE w:val="0"/>
              <w:autoSpaceDN w:val="0"/>
              <w:spacing w:line="357" w:lineRule="auto"/>
              <w:ind w:left="107" w:right="94" w:hanging="106"/>
              <w:rPr>
                <w:rFonts w:ascii="宋体" w:hAnsi="宋体" w:cs="宋体"/>
                <w:color w:val="auto"/>
                <w:kern w:val="0"/>
                <w:highlight w:val="none"/>
                <w:lang w:val="zh-CN" w:bidi="zh-CN"/>
              </w:rPr>
            </w:pPr>
            <w:r>
              <w:rPr>
                <w:rFonts w:ascii="宋体" w:hAnsi="宋体" w:cs="宋体"/>
                <w:color w:val="auto"/>
                <w:kern w:val="0"/>
                <w:highlight w:val="none"/>
                <w:lang w:val="zh-CN" w:bidi="zh-CN"/>
              </w:rPr>
              <w:t>（</w:t>
            </w:r>
            <w:r>
              <w:rPr>
                <w:rFonts w:hAnsi="宋体" w:eastAsia="Times New Roman" w:cs="宋体"/>
                <w:color w:val="auto"/>
                <w:kern w:val="0"/>
                <w:highlight w:val="none"/>
                <w:lang w:val="zh-CN" w:bidi="zh-CN"/>
              </w:rPr>
              <w:t>2</w:t>
            </w:r>
            <w:r>
              <w:rPr>
                <w:rFonts w:ascii="宋体" w:hAnsi="宋体" w:cs="宋体"/>
                <w:color w:val="auto"/>
                <w:kern w:val="0"/>
                <w:highlight w:val="none"/>
                <w:lang w:val="zh-CN" w:bidi="zh-CN"/>
              </w:rPr>
              <w:t>）投标人投资（控股）或管理的下属企业名称、持有股权（出资额）比例；</w:t>
            </w:r>
          </w:p>
          <w:p>
            <w:pPr>
              <w:autoSpaceDE w:val="0"/>
              <w:autoSpaceDN w:val="0"/>
              <w:spacing w:line="266" w:lineRule="exact"/>
              <w:ind w:left="2"/>
              <w:jc w:val="left"/>
              <w:rPr>
                <w:rFonts w:ascii="宋体" w:hAnsi="宋体" w:cs="宋体"/>
                <w:color w:val="auto"/>
                <w:kern w:val="0"/>
                <w:highlight w:val="none"/>
                <w:lang w:val="zh-CN" w:bidi="zh-CN"/>
              </w:rPr>
            </w:pPr>
            <w:r>
              <w:rPr>
                <w:rFonts w:ascii="宋体" w:hAnsi="宋体" w:cs="宋体"/>
                <w:color w:val="auto"/>
                <w:kern w:val="0"/>
                <w:highlight w:val="none"/>
                <w:lang w:val="zh-CN" w:bidi="zh-CN"/>
              </w:rPr>
              <w:t>（</w:t>
            </w:r>
            <w:r>
              <w:rPr>
                <w:rFonts w:hAnsi="宋体" w:eastAsia="Times New Roman" w:cs="宋体"/>
                <w:color w:val="auto"/>
                <w:kern w:val="0"/>
                <w:highlight w:val="none"/>
                <w:lang w:val="zh-CN" w:bidi="zh-CN"/>
              </w:rPr>
              <w:t>3</w:t>
            </w:r>
            <w:r>
              <w:rPr>
                <w:rFonts w:ascii="宋体" w:hAnsi="宋体" w:cs="宋体"/>
                <w:color w:val="auto"/>
                <w:kern w:val="0"/>
                <w:highlight w:val="none"/>
                <w:lang w:val="zh-CN" w:bidi="zh-CN"/>
              </w:rPr>
              <w:t>）与投标人单位负责人（即法定代表人）为同一人的其他单位名称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jc w:val="center"/>
        </w:trPr>
        <w:tc>
          <w:tcPr>
            <w:tcW w:w="1908" w:type="dxa"/>
          </w:tcPr>
          <w:p>
            <w:pPr>
              <w:autoSpaceDE w:val="0"/>
              <w:autoSpaceDN w:val="0"/>
              <w:spacing w:before="142"/>
              <w:ind w:left="724" w:right="713"/>
              <w:jc w:val="center"/>
              <w:rPr>
                <w:rFonts w:ascii="宋体" w:hAnsi="宋体" w:cs="宋体"/>
                <w:color w:val="auto"/>
                <w:kern w:val="0"/>
                <w:highlight w:val="none"/>
                <w:lang w:val="zh-CN" w:bidi="zh-CN"/>
              </w:rPr>
            </w:pPr>
            <w:r>
              <w:rPr>
                <w:rFonts w:ascii="宋体" w:hAnsi="宋体" w:cs="宋体"/>
                <w:color w:val="auto"/>
                <w:kern w:val="0"/>
                <w:highlight w:val="none"/>
                <w:lang w:val="zh-CN" w:bidi="zh-CN"/>
              </w:rPr>
              <w:t>备注</w:t>
            </w:r>
          </w:p>
        </w:tc>
        <w:tc>
          <w:tcPr>
            <w:tcW w:w="7021" w:type="dxa"/>
            <w:gridSpan w:val="8"/>
          </w:tcPr>
          <w:p>
            <w:pPr>
              <w:autoSpaceDE w:val="0"/>
              <w:autoSpaceDN w:val="0"/>
              <w:jc w:val="left"/>
              <w:rPr>
                <w:rFonts w:hAnsi="宋体" w:cs="宋体"/>
                <w:color w:val="auto"/>
                <w:kern w:val="0"/>
                <w:sz w:val="20"/>
                <w:highlight w:val="none"/>
                <w:lang w:val="zh-CN" w:bidi="zh-CN"/>
              </w:rPr>
            </w:pPr>
          </w:p>
        </w:tc>
      </w:tr>
    </w:tbl>
    <w:p>
      <w:pPr>
        <w:rPr>
          <w:color w:val="auto"/>
          <w:szCs w:val="21"/>
          <w:highlight w:val="none"/>
        </w:rPr>
      </w:pPr>
    </w:p>
    <w:p>
      <w:pPr>
        <w:rPr>
          <w:color w:val="auto"/>
          <w:szCs w:val="21"/>
          <w:highlight w:val="none"/>
        </w:rPr>
      </w:pPr>
    </w:p>
    <w:p>
      <w:pPr>
        <w:spacing w:line="400" w:lineRule="exact"/>
        <w:jc w:val="center"/>
        <w:rPr>
          <w:rFonts w:ascii="黑体" w:eastAsia="黑体"/>
          <w:color w:val="auto"/>
          <w:sz w:val="28"/>
          <w:highlight w:val="none"/>
        </w:rPr>
      </w:pPr>
      <w:r>
        <w:rPr>
          <w:rFonts w:hint="eastAsia"/>
          <w:color w:val="auto"/>
          <w:szCs w:val="21"/>
          <w:highlight w:val="none"/>
        </w:rPr>
        <w:t>注：1.投标人应根据招标文件第二章“投标人须知”第3.5.1项的要求在本表后附相关证明材料。</w:t>
      </w: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3"/>
        <w:numPr>
          <w:ilvl w:val="0"/>
          <w:numId w:val="17"/>
        </w:numPr>
        <w:spacing w:before="108"/>
        <w:jc w:val="center"/>
        <w:rPr>
          <w:rFonts w:ascii="黑体" w:eastAsia="黑体"/>
          <w:color w:val="auto"/>
          <w:sz w:val="30"/>
          <w:szCs w:val="30"/>
          <w:highlight w:val="none"/>
        </w:rPr>
      </w:pPr>
      <w:r>
        <w:rPr>
          <w:rFonts w:hint="eastAsia" w:ascii="黑体" w:eastAsia="黑体"/>
          <w:color w:val="auto"/>
          <w:sz w:val="30"/>
          <w:szCs w:val="30"/>
          <w:highlight w:val="none"/>
        </w:rPr>
        <w:t>投标人企业组织机构框图</w:t>
      </w:r>
    </w:p>
    <w:p>
      <w:pPr>
        <w:pStyle w:val="3"/>
        <w:spacing w:before="108"/>
        <w:rPr>
          <w:rFonts w:ascii="黑体" w:eastAsia="黑体"/>
          <w:color w:val="auto"/>
          <w:sz w:val="30"/>
          <w:szCs w:val="30"/>
          <w:highlight w:val="none"/>
        </w:rPr>
      </w:pPr>
    </w:p>
    <w:tbl>
      <w:tblPr>
        <w:tblStyle w:val="47"/>
        <w:tblW w:w="88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26" w:hRule="atLeast"/>
          <w:jc w:val="center"/>
        </w:trPr>
        <w:tc>
          <w:tcPr>
            <w:tcW w:w="8894" w:type="dxa"/>
          </w:tcPr>
          <w:p>
            <w:pPr>
              <w:pStyle w:val="258"/>
              <w:rPr>
                <w:rFonts w:ascii="黑体"/>
                <w:color w:val="auto"/>
                <w:sz w:val="20"/>
                <w:highlight w:val="none"/>
              </w:rPr>
            </w:pPr>
          </w:p>
          <w:p>
            <w:pPr>
              <w:pStyle w:val="258"/>
              <w:spacing w:before="136"/>
              <w:ind w:left="378"/>
              <w:rPr>
                <w:color w:val="auto"/>
                <w:highlight w:val="none"/>
              </w:rPr>
            </w:pPr>
            <w:r>
              <w:rPr>
                <w:color w:val="auto"/>
                <w:highlight w:val="none"/>
              </w:rPr>
              <w:t>以框图方式表示。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3" w:hRule="atLeast"/>
          <w:jc w:val="center"/>
        </w:trPr>
        <w:tc>
          <w:tcPr>
            <w:tcW w:w="8894" w:type="dxa"/>
          </w:tcPr>
          <w:p>
            <w:pPr>
              <w:pStyle w:val="258"/>
              <w:spacing w:before="128"/>
              <w:ind w:left="378"/>
              <w:rPr>
                <w:color w:val="auto"/>
                <w:highlight w:val="none"/>
              </w:rPr>
            </w:pPr>
            <w:r>
              <w:rPr>
                <w:color w:val="auto"/>
                <w:highlight w:val="none"/>
              </w:rPr>
              <w:t>说明</w:t>
            </w:r>
          </w:p>
        </w:tc>
      </w:tr>
    </w:tbl>
    <w:p>
      <w:pPr>
        <w:spacing w:line="400" w:lineRule="exact"/>
        <w:jc w:val="center"/>
        <w:rPr>
          <w:rFonts w:ascii="黑体" w:eastAsia="黑体"/>
          <w:color w:val="auto"/>
          <w:sz w:val="28"/>
          <w:highlight w:val="none"/>
        </w:rPr>
      </w:pPr>
    </w:p>
    <w:p>
      <w:pPr>
        <w:spacing w:line="400" w:lineRule="exact"/>
        <w:rPr>
          <w:rFonts w:ascii="黑体" w:eastAsia="黑体"/>
          <w:color w:val="auto"/>
          <w:sz w:val="28"/>
          <w:highlight w:val="none"/>
        </w:rPr>
      </w:pPr>
    </w:p>
    <w:p>
      <w:pPr>
        <w:pStyle w:val="3"/>
        <w:spacing w:before="108"/>
        <w:jc w:val="center"/>
        <w:rPr>
          <w:rFonts w:ascii="黑体" w:eastAsia="黑体"/>
          <w:color w:val="auto"/>
          <w:sz w:val="30"/>
          <w:szCs w:val="30"/>
          <w:highlight w:val="none"/>
        </w:rPr>
      </w:pPr>
    </w:p>
    <w:p>
      <w:pPr>
        <w:pStyle w:val="3"/>
        <w:spacing w:before="108"/>
        <w:jc w:val="center"/>
        <w:rPr>
          <w:rFonts w:ascii="黑体" w:eastAsia="黑体"/>
          <w:color w:val="auto"/>
          <w:sz w:val="30"/>
          <w:szCs w:val="30"/>
          <w:highlight w:val="none"/>
        </w:rPr>
      </w:pPr>
    </w:p>
    <w:p>
      <w:pPr>
        <w:pStyle w:val="3"/>
        <w:spacing w:before="108"/>
        <w:jc w:val="center"/>
        <w:rPr>
          <w:rFonts w:ascii="黑体" w:eastAsia="黑体"/>
          <w:color w:val="auto"/>
          <w:sz w:val="30"/>
          <w:szCs w:val="30"/>
          <w:highlight w:val="none"/>
        </w:rPr>
      </w:pPr>
      <w:r>
        <w:rPr>
          <w:rFonts w:hint="eastAsia" w:ascii="黑体" w:eastAsia="黑体"/>
          <w:color w:val="auto"/>
          <w:sz w:val="30"/>
          <w:szCs w:val="30"/>
          <w:highlight w:val="none"/>
        </w:rPr>
        <w:t>（三）近年财务状况</w:t>
      </w:r>
    </w:p>
    <w:p>
      <w:pPr>
        <w:spacing w:before="179" w:line="360" w:lineRule="auto"/>
        <w:rPr>
          <w:color w:val="auto"/>
          <w:highlight w:val="none"/>
        </w:rPr>
      </w:pPr>
      <w:r>
        <w:rPr>
          <w:color w:val="auto"/>
          <w:highlight w:val="none"/>
        </w:rPr>
        <w:t>注：投标人应根据招标文件第二章“投标人须知”要求</w:t>
      </w:r>
      <w:r>
        <w:rPr>
          <w:rFonts w:hint="eastAsia"/>
          <w:color w:val="auto"/>
          <w:highlight w:val="none"/>
        </w:rPr>
        <w:t>年份附经会计师事务所或审计机构审计的财务审计报告原件扫描件或图片</w:t>
      </w:r>
      <w:r>
        <w:rPr>
          <w:color w:val="auto"/>
          <w:highlight w:val="none"/>
        </w:rPr>
        <w:t>。</w:t>
      </w:r>
    </w:p>
    <w:p>
      <w:pPr>
        <w:pStyle w:val="2"/>
        <w:ind w:firstLine="210"/>
        <w:rPr>
          <w:color w:val="auto"/>
          <w:highlight w:val="none"/>
        </w:rPr>
      </w:pPr>
    </w:p>
    <w:p>
      <w:pPr>
        <w:pStyle w:val="2"/>
        <w:ind w:firstLine="210"/>
        <w:jc w:val="center"/>
        <w:rPr>
          <w:rFonts w:ascii="黑体" w:eastAsia="黑体"/>
          <w:color w:val="auto"/>
          <w:sz w:val="30"/>
          <w:szCs w:val="30"/>
          <w:highlight w:val="none"/>
        </w:rPr>
      </w:pPr>
      <w:r>
        <w:rPr>
          <w:color w:val="auto"/>
          <w:highlight w:val="none"/>
        </w:rPr>
        <w:br w:type="page"/>
      </w:r>
      <w:r>
        <w:rPr>
          <w:rFonts w:hint="eastAsia" w:ascii="黑体" w:eastAsia="黑体"/>
          <w:color w:val="auto"/>
          <w:sz w:val="30"/>
          <w:szCs w:val="30"/>
          <w:highlight w:val="none"/>
        </w:rPr>
        <w:t>（四）近年完成的类似项目情况表</w:t>
      </w:r>
    </w:p>
    <w:tbl>
      <w:tblPr>
        <w:tblStyle w:val="47"/>
        <w:tblW w:w="889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7"/>
        <w:gridCol w:w="6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1" w:hRule="atLeast"/>
          <w:jc w:val="center"/>
        </w:trPr>
        <w:tc>
          <w:tcPr>
            <w:tcW w:w="2367" w:type="dxa"/>
          </w:tcPr>
          <w:p>
            <w:pPr>
              <w:pStyle w:val="258"/>
              <w:spacing w:before="1"/>
              <w:rPr>
                <w:rFonts w:ascii="黑体"/>
                <w:color w:val="auto"/>
                <w:sz w:val="20"/>
                <w:highlight w:val="none"/>
              </w:rPr>
            </w:pPr>
          </w:p>
          <w:p>
            <w:pPr>
              <w:pStyle w:val="258"/>
              <w:tabs>
                <w:tab w:val="left" w:pos="642"/>
              </w:tabs>
              <w:ind w:left="11"/>
              <w:jc w:val="center"/>
              <w:rPr>
                <w:color w:val="auto"/>
                <w:highlight w:val="none"/>
              </w:rPr>
            </w:pPr>
            <w:r>
              <w:rPr>
                <w:color w:val="auto"/>
                <w:highlight w:val="none"/>
              </w:rPr>
              <w:t>序</w:t>
            </w:r>
            <w:r>
              <w:rPr>
                <w:color w:val="auto"/>
                <w:highlight w:val="none"/>
              </w:rPr>
              <w:tab/>
            </w:r>
            <w:r>
              <w:rPr>
                <w:color w:val="auto"/>
                <w:highlight w:val="none"/>
              </w:rPr>
              <w:t>号</w:t>
            </w:r>
          </w:p>
        </w:tc>
        <w:tc>
          <w:tcPr>
            <w:tcW w:w="6527" w:type="dxa"/>
          </w:tcPr>
          <w:p>
            <w:pPr>
              <w:pStyle w:val="258"/>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jc w:val="center"/>
        </w:trPr>
        <w:tc>
          <w:tcPr>
            <w:tcW w:w="2367" w:type="dxa"/>
          </w:tcPr>
          <w:p>
            <w:pPr>
              <w:pStyle w:val="258"/>
              <w:spacing w:before="11"/>
              <w:rPr>
                <w:rFonts w:ascii="黑体"/>
                <w:color w:val="auto"/>
                <w:sz w:val="20"/>
                <w:highlight w:val="none"/>
              </w:rPr>
            </w:pPr>
          </w:p>
          <w:p>
            <w:pPr>
              <w:pStyle w:val="258"/>
              <w:ind w:left="4"/>
              <w:jc w:val="center"/>
              <w:rPr>
                <w:color w:val="auto"/>
                <w:sz w:val="20"/>
                <w:highlight w:val="none"/>
              </w:rPr>
            </w:pPr>
            <w:r>
              <w:rPr>
                <w:color w:val="auto"/>
                <w:sz w:val="20"/>
                <w:highlight w:val="none"/>
              </w:rPr>
              <w:t>项目名称</w:t>
            </w:r>
          </w:p>
        </w:tc>
        <w:tc>
          <w:tcPr>
            <w:tcW w:w="6527" w:type="dxa"/>
          </w:tcPr>
          <w:p>
            <w:pPr>
              <w:pStyle w:val="258"/>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jc w:val="center"/>
        </w:trPr>
        <w:tc>
          <w:tcPr>
            <w:tcW w:w="2367" w:type="dxa"/>
          </w:tcPr>
          <w:p>
            <w:pPr>
              <w:pStyle w:val="258"/>
              <w:spacing w:before="5"/>
              <w:rPr>
                <w:rFonts w:ascii="黑体"/>
                <w:color w:val="auto"/>
                <w:sz w:val="18"/>
                <w:highlight w:val="none"/>
              </w:rPr>
            </w:pPr>
          </w:p>
          <w:p>
            <w:pPr>
              <w:pStyle w:val="258"/>
              <w:spacing w:before="1"/>
              <w:ind w:left="3"/>
              <w:jc w:val="center"/>
              <w:rPr>
                <w:color w:val="auto"/>
                <w:sz w:val="20"/>
                <w:highlight w:val="none"/>
              </w:rPr>
            </w:pPr>
            <w:r>
              <w:rPr>
                <w:color w:val="auto"/>
                <w:sz w:val="20"/>
                <w:highlight w:val="none"/>
              </w:rPr>
              <w:t>项目所在地</w:t>
            </w:r>
          </w:p>
        </w:tc>
        <w:tc>
          <w:tcPr>
            <w:tcW w:w="6527" w:type="dxa"/>
          </w:tcPr>
          <w:p>
            <w:pPr>
              <w:pStyle w:val="258"/>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4" w:hRule="atLeast"/>
          <w:jc w:val="center"/>
        </w:trPr>
        <w:tc>
          <w:tcPr>
            <w:tcW w:w="2367" w:type="dxa"/>
          </w:tcPr>
          <w:p>
            <w:pPr>
              <w:pStyle w:val="258"/>
              <w:spacing w:before="8"/>
              <w:rPr>
                <w:rFonts w:ascii="黑体"/>
                <w:color w:val="auto"/>
                <w:sz w:val="18"/>
                <w:highlight w:val="none"/>
              </w:rPr>
            </w:pPr>
          </w:p>
          <w:p>
            <w:pPr>
              <w:pStyle w:val="258"/>
              <w:spacing w:before="1"/>
              <w:ind w:left="3"/>
              <w:jc w:val="center"/>
              <w:rPr>
                <w:color w:val="auto"/>
                <w:sz w:val="20"/>
                <w:highlight w:val="none"/>
              </w:rPr>
            </w:pPr>
            <w:r>
              <w:rPr>
                <w:color w:val="auto"/>
                <w:sz w:val="20"/>
                <w:highlight w:val="none"/>
              </w:rPr>
              <w:t>发包人名称</w:t>
            </w:r>
          </w:p>
        </w:tc>
        <w:tc>
          <w:tcPr>
            <w:tcW w:w="6527" w:type="dxa"/>
          </w:tcPr>
          <w:p>
            <w:pPr>
              <w:pStyle w:val="258"/>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jc w:val="center"/>
        </w:trPr>
        <w:tc>
          <w:tcPr>
            <w:tcW w:w="2367" w:type="dxa"/>
          </w:tcPr>
          <w:p>
            <w:pPr>
              <w:pStyle w:val="258"/>
              <w:spacing w:before="5"/>
              <w:rPr>
                <w:rFonts w:ascii="黑体"/>
                <w:color w:val="auto"/>
                <w:sz w:val="18"/>
                <w:highlight w:val="none"/>
              </w:rPr>
            </w:pPr>
          </w:p>
          <w:p>
            <w:pPr>
              <w:pStyle w:val="258"/>
              <w:spacing w:before="1"/>
              <w:ind w:left="3"/>
              <w:jc w:val="center"/>
              <w:rPr>
                <w:color w:val="auto"/>
                <w:sz w:val="20"/>
                <w:highlight w:val="none"/>
              </w:rPr>
            </w:pPr>
            <w:r>
              <w:rPr>
                <w:color w:val="auto"/>
                <w:sz w:val="20"/>
                <w:highlight w:val="none"/>
              </w:rPr>
              <w:t>发包人地址</w:t>
            </w:r>
          </w:p>
        </w:tc>
        <w:tc>
          <w:tcPr>
            <w:tcW w:w="6527" w:type="dxa"/>
          </w:tcPr>
          <w:p>
            <w:pPr>
              <w:pStyle w:val="258"/>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6" w:hRule="atLeast"/>
          <w:jc w:val="center"/>
        </w:trPr>
        <w:tc>
          <w:tcPr>
            <w:tcW w:w="2367" w:type="dxa"/>
          </w:tcPr>
          <w:p>
            <w:pPr>
              <w:pStyle w:val="258"/>
              <w:spacing w:before="10"/>
              <w:rPr>
                <w:rFonts w:ascii="黑体"/>
                <w:color w:val="auto"/>
                <w:sz w:val="18"/>
                <w:highlight w:val="none"/>
              </w:rPr>
            </w:pPr>
          </w:p>
          <w:p>
            <w:pPr>
              <w:pStyle w:val="258"/>
              <w:ind w:left="3"/>
              <w:jc w:val="center"/>
              <w:rPr>
                <w:color w:val="auto"/>
                <w:sz w:val="20"/>
                <w:highlight w:val="none"/>
              </w:rPr>
            </w:pPr>
            <w:r>
              <w:rPr>
                <w:color w:val="auto"/>
                <w:sz w:val="20"/>
                <w:highlight w:val="none"/>
              </w:rPr>
              <w:t>发包人电话</w:t>
            </w:r>
          </w:p>
        </w:tc>
        <w:tc>
          <w:tcPr>
            <w:tcW w:w="6527" w:type="dxa"/>
          </w:tcPr>
          <w:p>
            <w:pPr>
              <w:pStyle w:val="258"/>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jc w:val="center"/>
        </w:trPr>
        <w:tc>
          <w:tcPr>
            <w:tcW w:w="2367" w:type="dxa"/>
          </w:tcPr>
          <w:p>
            <w:pPr>
              <w:pStyle w:val="258"/>
              <w:spacing w:before="8"/>
              <w:rPr>
                <w:rFonts w:ascii="黑体"/>
                <w:color w:val="auto"/>
                <w:sz w:val="18"/>
                <w:highlight w:val="none"/>
              </w:rPr>
            </w:pPr>
          </w:p>
          <w:p>
            <w:pPr>
              <w:pStyle w:val="258"/>
              <w:ind w:left="4"/>
              <w:jc w:val="center"/>
              <w:rPr>
                <w:color w:val="auto"/>
                <w:sz w:val="20"/>
                <w:highlight w:val="none"/>
              </w:rPr>
            </w:pPr>
            <w:r>
              <w:rPr>
                <w:color w:val="auto"/>
                <w:sz w:val="20"/>
                <w:highlight w:val="none"/>
              </w:rPr>
              <w:t>合同价格</w:t>
            </w:r>
          </w:p>
        </w:tc>
        <w:tc>
          <w:tcPr>
            <w:tcW w:w="6527" w:type="dxa"/>
          </w:tcPr>
          <w:p>
            <w:pPr>
              <w:pStyle w:val="258"/>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jc w:val="center"/>
        </w:trPr>
        <w:tc>
          <w:tcPr>
            <w:tcW w:w="2367" w:type="dxa"/>
          </w:tcPr>
          <w:p>
            <w:pPr>
              <w:pStyle w:val="258"/>
              <w:spacing w:before="5"/>
              <w:rPr>
                <w:rFonts w:ascii="黑体"/>
                <w:color w:val="auto"/>
                <w:sz w:val="18"/>
                <w:highlight w:val="none"/>
              </w:rPr>
            </w:pPr>
          </w:p>
          <w:p>
            <w:pPr>
              <w:pStyle w:val="258"/>
              <w:spacing w:before="1"/>
              <w:ind w:left="4"/>
              <w:jc w:val="center"/>
              <w:rPr>
                <w:color w:val="auto"/>
                <w:sz w:val="20"/>
                <w:highlight w:val="none"/>
              </w:rPr>
            </w:pPr>
            <w:r>
              <w:rPr>
                <w:color w:val="auto"/>
                <w:sz w:val="20"/>
                <w:highlight w:val="none"/>
              </w:rPr>
              <w:t>开工日期</w:t>
            </w:r>
          </w:p>
        </w:tc>
        <w:tc>
          <w:tcPr>
            <w:tcW w:w="6527" w:type="dxa"/>
          </w:tcPr>
          <w:p>
            <w:pPr>
              <w:pStyle w:val="258"/>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jc w:val="center"/>
        </w:trPr>
        <w:tc>
          <w:tcPr>
            <w:tcW w:w="2367" w:type="dxa"/>
          </w:tcPr>
          <w:p>
            <w:pPr>
              <w:pStyle w:val="258"/>
              <w:spacing w:before="3"/>
              <w:rPr>
                <w:rFonts w:ascii="黑体"/>
                <w:color w:val="auto"/>
                <w:sz w:val="19"/>
                <w:highlight w:val="none"/>
              </w:rPr>
            </w:pPr>
          </w:p>
          <w:p>
            <w:pPr>
              <w:pStyle w:val="258"/>
              <w:ind w:left="4"/>
              <w:jc w:val="center"/>
              <w:rPr>
                <w:color w:val="auto"/>
                <w:sz w:val="20"/>
                <w:highlight w:val="none"/>
              </w:rPr>
            </w:pPr>
            <w:r>
              <w:rPr>
                <w:color w:val="auto"/>
                <w:sz w:val="20"/>
                <w:highlight w:val="none"/>
              </w:rPr>
              <w:t>交工日期</w:t>
            </w:r>
          </w:p>
        </w:tc>
        <w:tc>
          <w:tcPr>
            <w:tcW w:w="6527" w:type="dxa"/>
          </w:tcPr>
          <w:p>
            <w:pPr>
              <w:pStyle w:val="258"/>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jc w:val="center"/>
        </w:trPr>
        <w:tc>
          <w:tcPr>
            <w:tcW w:w="2367" w:type="dxa"/>
          </w:tcPr>
          <w:p>
            <w:pPr>
              <w:pStyle w:val="258"/>
              <w:spacing w:before="5"/>
              <w:rPr>
                <w:rFonts w:ascii="黑体"/>
                <w:color w:val="auto"/>
                <w:sz w:val="18"/>
                <w:highlight w:val="none"/>
              </w:rPr>
            </w:pPr>
          </w:p>
          <w:p>
            <w:pPr>
              <w:pStyle w:val="258"/>
              <w:spacing w:before="1"/>
              <w:ind w:left="3"/>
              <w:jc w:val="center"/>
              <w:rPr>
                <w:color w:val="auto"/>
                <w:sz w:val="20"/>
                <w:highlight w:val="none"/>
              </w:rPr>
            </w:pPr>
            <w:r>
              <w:rPr>
                <w:color w:val="auto"/>
                <w:sz w:val="20"/>
                <w:highlight w:val="none"/>
              </w:rPr>
              <w:t>承担的工作</w:t>
            </w:r>
          </w:p>
        </w:tc>
        <w:tc>
          <w:tcPr>
            <w:tcW w:w="6527" w:type="dxa"/>
          </w:tcPr>
          <w:p>
            <w:pPr>
              <w:pStyle w:val="258"/>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4" w:hRule="atLeast"/>
          <w:jc w:val="center"/>
        </w:trPr>
        <w:tc>
          <w:tcPr>
            <w:tcW w:w="2367" w:type="dxa"/>
          </w:tcPr>
          <w:p>
            <w:pPr>
              <w:pStyle w:val="258"/>
              <w:spacing w:before="8"/>
              <w:rPr>
                <w:rFonts w:ascii="黑体"/>
                <w:color w:val="auto"/>
                <w:sz w:val="18"/>
                <w:highlight w:val="none"/>
              </w:rPr>
            </w:pPr>
          </w:p>
          <w:p>
            <w:pPr>
              <w:pStyle w:val="258"/>
              <w:ind w:left="4"/>
              <w:jc w:val="center"/>
              <w:rPr>
                <w:color w:val="auto"/>
                <w:sz w:val="20"/>
                <w:highlight w:val="none"/>
              </w:rPr>
            </w:pPr>
            <w:r>
              <w:rPr>
                <w:color w:val="auto"/>
                <w:sz w:val="20"/>
                <w:highlight w:val="none"/>
              </w:rPr>
              <w:t>工程质量</w:t>
            </w:r>
          </w:p>
        </w:tc>
        <w:tc>
          <w:tcPr>
            <w:tcW w:w="6527" w:type="dxa"/>
          </w:tcPr>
          <w:p>
            <w:pPr>
              <w:pStyle w:val="258"/>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jc w:val="center"/>
        </w:trPr>
        <w:tc>
          <w:tcPr>
            <w:tcW w:w="2367" w:type="dxa"/>
          </w:tcPr>
          <w:p>
            <w:pPr>
              <w:pStyle w:val="258"/>
              <w:spacing w:before="5"/>
              <w:rPr>
                <w:rFonts w:ascii="黑体"/>
                <w:color w:val="auto"/>
                <w:sz w:val="18"/>
                <w:highlight w:val="none"/>
              </w:rPr>
            </w:pPr>
          </w:p>
          <w:p>
            <w:pPr>
              <w:pStyle w:val="258"/>
              <w:spacing w:before="1"/>
              <w:ind w:left="4"/>
              <w:jc w:val="center"/>
              <w:rPr>
                <w:color w:val="auto"/>
                <w:sz w:val="20"/>
                <w:highlight w:val="none"/>
              </w:rPr>
            </w:pPr>
            <w:r>
              <w:rPr>
                <w:color w:val="auto"/>
                <w:sz w:val="20"/>
                <w:highlight w:val="none"/>
              </w:rPr>
              <w:t>项目经理</w:t>
            </w:r>
          </w:p>
        </w:tc>
        <w:tc>
          <w:tcPr>
            <w:tcW w:w="6527" w:type="dxa"/>
          </w:tcPr>
          <w:p>
            <w:pPr>
              <w:pStyle w:val="258"/>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6" w:hRule="atLeast"/>
          <w:jc w:val="center"/>
        </w:trPr>
        <w:tc>
          <w:tcPr>
            <w:tcW w:w="2367" w:type="dxa"/>
          </w:tcPr>
          <w:p>
            <w:pPr>
              <w:pStyle w:val="258"/>
              <w:spacing w:before="10"/>
              <w:rPr>
                <w:rFonts w:ascii="黑体"/>
                <w:color w:val="auto"/>
                <w:sz w:val="18"/>
                <w:highlight w:val="none"/>
              </w:rPr>
            </w:pPr>
          </w:p>
          <w:p>
            <w:pPr>
              <w:pStyle w:val="258"/>
              <w:ind w:left="4"/>
              <w:jc w:val="center"/>
              <w:rPr>
                <w:color w:val="auto"/>
                <w:sz w:val="20"/>
                <w:highlight w:val="none"/>
              </w:rPr>
            </w:pPr>
            <w:r>
              <w:rPr>
                <w:color w:val="auto"/>
                <w:sz w:val="20"/>
                <w:highlight w:val="none"/>
              </w:rPr>
              <w:t>项目总工</w:t>
            </w:r>
          </w:p>
        </w:tc>
        <w:tc>
          <w:tcPr>
            <w:tcW w:w="6527" w:type="dxa"/>
          </w:tcPr>
          <w:p>
            <w:pPr>
              <w:pStyle w:val="258"/>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2" w:hRule="atLeast"/>
          <w:jc w:val="center"/>
        </w:trPr>
        <w:tc>
          <w:tcPr>
            <w:tcW w:w="2367" w:type="dxa"/>
          </w:tcPr>
          <w:p>
            <w:pPr>
              <w:pStyle w:val="258"/>
              <w:spacing w:before="8"/>
              <w:rPr>
                <w:rFonts w:ascii="黑体"/>
                <w:color w:val="auto"/>
                <w:sz w:val="18"/>
                <w:highlight w:val="none"/>
              </w:rPr>
            </w:pPr>
          </w:p>
          <w:p>
            <w:pPr>
              <w:pStyle w:val="258"/>
              <w:spacing w:before="1"/>
              <w:ind w:left="6"/>
              <w:jc w:val="center"/>
              <w:rPr>
                <w:color w:val="auto"/>
                <w:sz w:val="20"/>
                <w:highlight w:val="none"/>
              </w:rPr>
            </w:pPr>
            <w:r>
              <w:rPr>
                <w:color w:val="auto"/>
                <w:sz w:val="20"/>
                <w:highlight w:val="none"/>
              </w:rPr>
              <w:t>总监理工程师及电话</w:t>
            </w:r>
          </w:p>
        </w:tc>
        <w:tc>
          <w:tcPr>
            <w:tcW w:w="6527" w:type="dxa"/>
          </w:tcPr>
          <w:p>
            <w:pPr>
              <w:pStyle w:val="258"/>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9" w:hRule="atLeast"/>
          <w:jc w:val="center"/>
        </w:trPr>
        <w:tc>
          <w:tcPr>
            <w:tcW w:w="2367" w:type="dxa"/>
          </w:tcPr>
          <w:p>
            <w:pPr>
              <w:pStyle w:val="258"/>
              <w:rPr>
                <w:rFonts w:ascii="黑体"/>
                <w:color w:val="auto"/>
                <w:sz w:val="20"/>
                <w:highlight w:val="none"/>
              </w:rPr>
            </w:pPr>
          </w:p>
          <w:p>
            <w:pPr>
              <w:pStyle w:val="258"/>
              <w:spacing w:before="2"/>
              <w:rPr>
                <w:rFonts w:ascii="黑体"/>
                <w:color w:val="auto"/>
                <w:sz w:val="26"/>
                <w:highlight w:val="none"/>
              </w:rPr>
            </w:pPr>
          </w:p>
          <w:p>
            <w:pPr>
              <w:pStyle w:val="258"/>
              <w:ind w:left="4"/>
              <w:jc w:val="center"/>
              <w:rPr>
                <w:color w:val="auto"/>
                <w:sz w:val="20"/>
                <w:highlight w:val="none"/>
              </w:rPr>
            </w:pPr>
            <w:r>
              <w:rPr>
                <w:color w:val="auto"/>
                <w:sz w:val="20"/>
                <w:highlight w:val="none"/>
              </w:rPr>
              <w:t>项目描述</w:t>
            </w:r>
          </w:p>
        </w:tc>
        <w:tc>
          <w:tcPr>
            <w:tcW w:w="6527" w:type="dxa"/>
          </w:tcPr>
          <w:p>
            <w:pPr>
              <w:pStyle w:val="258"/>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jc w:val="center"/>
        </w:trPr>
        <w:tc>
          <w:tcPr>
            <w:tcW w:w="2367" w:type="dxa"/>
          </w:tcPr>
          <w:p>
            <w:pPr>
              <w:pStyle w:val="258"/>
              <w:spacing w:before="3"/>
              <w:rPr>
                <w:rFonts w:ascii="黑体"/>
                <w:color w:val="auto"/>
                <w:sz w:val="18"/>
                <w:highlight w:val="none"/>
              </w:rPr>
            </w:pPr>
          </w:p>
          <w:p>
            <w:pPr>
              <w:pStyle w:val="258"/>
              <w:ind w:left="4"/>
              <w:jc w:val="center"/>
              <w:rPr>
                <w:color w:val="auto"/>
                <w:sz w:val="20"/>
                <w:highlight w:val="none"/>
              </w:rPr>
            </w:pPr>
            <w:r>
              <w:rPr>
                <w:color w:val="auto"/>
                <w:sz w:val="20"/>
                <w:highlight w:val="none"/>
              </w:rPr>
              <w:t>备注</w:t>
            </w:r>
          </w:p>
        </w:tc>
        <w:tc>
          <w:tcPr>
            <w:tcW w:w="6527" w:type="dxa"/>
          </w:tcPr>
          <w:p>
            <w:pPr>
              <w:pStyle w:val="258"/>
              <w:rPr>
                <w:color w:val="auto"/>
                <w:sz w:val="20"/>
                <w:highlight w:val="none"/>
              </w:rPr>
            </w:pPr>
          </w:p>
        </w:tc>
      </w:tr>
    </w:tbl>
    <w:p>
      <w:pPr>
        <w:spacing w:before="128"/>
        <w:rPr>
          <w:color w:val="auto"/>
          <w:highlight w:val="none"/>
        </w:rPr>
      </w:pPr>
    </w:p>
    <w:p>
      <w:pPr>
        <w:spacing w:before="128"/>
        <w:rPr>
          <w:color w:val="auto"/>
          <w:highlight w:val="none"/>
        </w:rPr>
      </w:pPr>
      <w:r>
        <w:rPr>
          <w:color w:val="auto"/>
          <w:highlight w:val="none"/>
        </w:rPr>
        <w:t>注：</w:t>
      </w:r>
      <w:r>
        <w:rPr>
          <w:rFonts w:eastAsia="Times New Roman"/>
          <w:color w:val="auto"/>
          <w:highlight w:val="none"/>
        </w:rPr>
        <w:t>1.</w:t>
      </w:r>
      <w:r>
        <w:rPr>
          <w:color w:val="auto"/>
          <w:highlight w:val="none"/>
        </w:rPr>
        <w:t>每张表格只填写一个项目，并标明序号。</w:t>
      </w:r>
    </w:p>
    <w:p>
      <w:pPr>
        <w:spacing w:before="130"/>
        <w:ind w:firstLine="420" w:firstLineChars="200"/>
        <w:rPr>
          <w:color w:val="auto"/>
          <w:highlight w:val="none"/>
        </w:rPr>
      </w:pPr>
      <w:r>
        <w:rPr>
          <w:rFonts w:eastAsia="Times New Roman"/>
          <w:color w:val="auto"/>
          <w:highlight w:val="none"/>
        </w:rPr>
        <w:t>2.</w:t>
      </w:r>
      <w:r>
        <w:rPr>
          <w:color w:val="auto"/>
          <w:highlight w:val="none"/>
        </w:rPr>
        <w:t xml:space="preserve">投标人应根据招标文件第二章“投标人须知”第 </w:t>
      </w:r>
      <w:r>
        <w:rPr>
          <w:rFonts w:eastAsia="Times New Roman"/>
          <w:color w:val="auto"/>
          <w:highlight w:val="none"/>
        </w:rPr>
        <w:t xml:space="preserve">3.5.3 </w:t>
      </w:r>
      <w:r>
        <w:rPr>
          <w:color w:val="auto"/>
          <w:highlight w:val="none"/>
        </w:rPr>
        <w:t>项的要求在本表后附相关证明材料</w:t>
      </w:r>
      <w:r>
        <w:rPr>
          <w:rFonts w:hint="eastAsia"/>
          <w:color w:val="auto"/>
          <w:highlight w:val="none"/>
        </w:rPr>
        <w:t>的原件扫描件或图片</w:t>
      </w:r>
      <w:r>
        <w:rPr>
          <w:color w:val="auto"/>
          <w:highlight w:val="none"/>
        </w:rPr>
        <w:t>。</w:t>
      </w:r>
    </w:p>
    <w:p>
      <w:pPr>
        <w:spacing w:before="132" w:line="357" w:lineRule="auto"/>
        <w:ind w:right="440" w:firstLine="420" w:firstLineChars="200"/>
        <w:rPr>
          <w:color w:val="auto"/>
          <w:spacing w:val="-5"/>
          <w:highlight w:val="none"/>
        </w:rPr>
      </w:pPr>
      <w:r>
        <w:rPr>
          <w:rFonts w:eastAsia="Times New Roman"/>
          <w:color w:val="auto"/>
          <w:highlight w:val="none"/>
        </w:rPr>
        <w:t>3.</w:t>
      </w:r>
      <w:r>
        <w:rPr>
          <w:color w:val="auto"/>
          <w:spacing w:val="-10"/>
          <w:highlight w:val="none"/>
        </w:rPr>
        <w:t>如近年来，投标人法人机构发生合法变更或重组或法人名称变更时，应提供相关部门的合</w:t>
      </w:r>
      <w:r>
        <w:rPr>
          <w:color w:val="auto"/>
          <w:spacing w:val="-5"/>
          <w:highlight w:val="none"/>
        </w:rPr>
        <w:t>法批件或其他相关证明材料</w:t>
      </w:r>
      <w:r>
        <w:rPr>
          <w:rFonts w:hint="eastAsia"/>
          <w:color w:val="auto"/>
          <w:highlight w:val="none"/>
        </w:rPr>
        <w:t>的原件扫描件或图片</w:t>
      </w:r>
      <w:r>
        <w:rPr>
          <w:color w:val="auto"/>
          <w:spacing w:val="-5"/>
          <w:highlight w:val="none"/>
        </w:rPr>
        <w:t>来证明其所附业绩的继承性。</w:t>
      </w:r>
    </w:p>
    <w:p>
      <w:pPr>
        <w:pStyle w:val="2"/>
        <w:ind w:firstLine="210"/>
        <w:rPr>
          <w:color w:val="auto"/>
          <w:highlight w:val="none"/>
        </w:rPr>
      </w:pPr>
    </w:p>
    <w:p>
      <w:pPr>
        <w:pStyle w:val="3"/>
        <w:spacing w:before="66"/>
        <w:ind w:right="180"/>
        <w:jc w:val="center"/>
        <w:rPr>
          <w:rFonts w:ascii="黑体" w:eastAsia="黑体"/>
          <w:color w:val="auto"/>
          <w:sz w:val="30"/>
          <w:szCs w:val="30"/>
          <w:highlight w:val="none"/>
        </w:rPr>
      </w:pPr>
      <w:r>
        <w:rPr>
          <w:rFonts w:hint="eastAsia" w:ascii="黑体" w:eastAsia="黑体"/>
          <w:color w:val="auto"/>
          <w:sz w:val="30"/>
          <w:szCs w:val="30"/>
          <w:highlight w:val="none"/>
        </w:rPr>
        <w:t>（五）投标人的信誉情况表</w:t>
      </w:r>
    </w:p>
    <w:tbl>
      <w:tblPr>
        <w:tblStyle w:val="47"/>
        <w:tblW w:w="85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5" w:hRule="atLeast"/>
          <w:jc w:val="center"/>
        </w:trPr>
        <w:tc>
          <w:tcPr>
            <w:tcW w:w="4261" w:type="dxa"/>
          </w:tcPr>
          <w:p>
            <w:pPr>
              <w:pStyle w:val="258"/>
              <w:rPr>
                <w:rFonts w:ascii="黑体"/>
                <w:color w:val="auto"/>
                <w:sz w:val="20"/>
                <w:highlight w:val="none"/>
              </w:rPr>
            </w:pPr>
          </w:p>
          <w:p>
            <w:pPr>
              <w:pStyle w:val="258"/>
              <w:spacing w:before="8"/>
              <w:rPr>
                <w:rFonts w:ascii="黑体"/>
                <w:color w:val="auto"/>
                <w:sz w:val="15"/>
                <w:highlight w:val="none"/>
              </w:rPr>
            </w:pPr>
          </w:p>
          <w:p>
            <w:pPr>
              <w:pStyle w:val="258"/>
              <w:ind w:left="1848" w:right="1838"/>
              <w:jc w:val="center"/>
              <w:rPr>
                <w:color w:val="auto"/>
                <w:highlight w:val="none"/>
              </w:rPr>
            </w:pPr>
            <w:r>
              <w:rPr>
                <w:color w:val="auto"/>
                <w:highlight w:val="none"/>
              </w:rPr>
              <w:t>项 目</w:t>
            </w:r>
          </w:p>
        </w:tc>
        <w:tc>
          <w:tcPr>
            <w:tcW w:w="4264" w:type="dxa"/>
          </w:tcPr>
          <w:p>
            <w:pPr>
              <w:pStyle w:val="258"/>
              <w:rPr>
                <w:rFonts w:ascii="黑体"/>
                <w:color w:val="auto"/>
                <w:sz w:val="20"/>
                <w:highlight w:val="none"/>
              </w:rPr>
            </w:pPr>
          </w:p>
          <w:p>
            <w:pPr>
              <w:pStyle w:val="258"/>
              <w:spacing w:before="8"/>
              <w:rPr>
                <w:rFonts w:ascii="黑体"/>
                <w:color w:val="auto"/>
                <w:sz w:val="15"/>
                <w:highlight w:val="none"/>
              </w:rPr>
            </w:pPr>
          </w:p>
          <w:p>
            <w:pPr>
              <w:pStyle w:val="258"/>
              <w:ind w:left="1394"/>
              <w:rPr>
                <w:color w:val="auto"/>
                <w:highlight w:val="none"/>
              </w:rPr>
            </w:pPr>
            <w:r>
              <w:rPr>
                <w:color w:val="auto"/>
                <w:highlight w:val="none"/>
              </w:rP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258"/>
              <w:rPr>
                <w:color w:val="auto"/>
                <w:sz w:val="20"/>
                <w:highlight w:val="none"/>
              </w:rPr>
            </w:pPr>
          </w:p>
        </w:tc>
        <w:tc>
          <w:tcPr>
            <w:tcW w:w="4264" w:type="dxa"/>
          </w:tcPr>
          <w:p>
            <w:pPr>
              <w:pStyle w:val="258"/>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258"/>
              <w:rPr>
                <w:color w:val="auto"/>
                <w:sz w:val="20"/>
                <w:highlight w:val="none"/>
              </w:rPr>
            </w:pPr>
          </w:p>
        </w:tc>
        <w:tc>
          <w:tcPr>
            <w:tcW w:w="4264" w:type="dxa"/>
          </w:tcPr>
          <w:p>
            <w:pPr>
              <w:pStyle w:val="258"/>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258"/>
              <w:rPr>
                <w:color w:val="auto"/>
                <w:sz w:val="20"/>
                <w:highlight w:val="none"/>
              </w:rPr>
            </w:pPr>
          </w:p>
        </w:tc>
        <w:tc>
          <w:tcPr>
            <w:tcW w:w="4264" w:type="dxa"/>
          </w:tcPr>
          <w:p>
            <w:pPr>
              <w:pStyle w:val="258"/>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258"/>
              <w:rPr>
                <w:color w:val="auto"/>
                <w:sz w:val="20"/>
                <w:highlight w:val="none"/>
              </w:rPr>
            </w:pPr>
          </w:p>
        </w:tc>
        <w:tc>
          <w:tcPr>
            <w:tcW w:w="4264" w:type="dxa"/>
          </w:tcPr>
          <w:p>
            <w:pPr>
              <w:pStyle w:val="258"/>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258"/>
              <w:rPr>
                <w:color w:val="auto"/>
                <w:sz w:val="20"/>
                <w:highlight w:val="none"/>
              </w:rPr>
            </w:pPr>
          </w:p>
        </w:tc>
        <w:tc>
          <w:tcPr>
            <w:tcW w:w="4264" w:type="dxa"/>
          </w:tcPr>
          <w:p>
            <w:pPr>
              <w:pStyle w:val="258"/>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258"/>
              <w:rPr>
                <w:color w:val="auto"/>
                <w:sz w:val="20"/>
                <w:highlight w:val="none"/>
              </w:rPr>
            </w:pPr>
          </w:p>
        </w:tc>
        <w:tc>
          <w:tcPr>
            <w:tcW w:w="4264" w:type="dxa"/>
          </w:tcPr>
          <w:p>
            <w:pPr>
              <w:pStyle w:val="258"/>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258"/>
              <w:rPr>
                <w:color w:val="auto"/>
                <w:sz w:val="20"/>
                <w:highlight w:val="none"/>
              </w:rPr>
            </w:pPr>
          </w:p>
        </w:tc>
        <w:tc>
          <w:tcPr>
            <w:tcW w:w="4264" w:type="dxa"/>
          </w:tcPr>
          <w:p>
            <w:pPr>
              <w:pStyle w:val="258"/>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258"/>
              <w:rPr>
                <w:color w:val="auto"/>
                <w:sz w:val="20"/>
                <w:highlight w:val="none"/>
              </w:rPr>
            </w:pPr>
          </w:p>
        </w:tc>
        <w:tc>
          <w:tcPr>
            <w:tcW w:w="4264" w:type="dxa"/>
          </w:tcPr>
          <w:p>
            <w:pPr>
              <w:pStyle w:val="258"/>
              <w:rPr>
                <w:color w:val="auto"/>
                <w:sz w:val="20"/>
                <w:highlight w:val="none"/>
              </w:rPr>
            </w:pPr>
          </w:p>
        </w:tc>
      </w:tr>
    </w:tbl>
    <w:p>
      <w:pPr>
        <w:spacing w:line="360" w:lineRule="auto"/>
        <w:rPr>
          <w:rFonts w:ascii="黑体" w:eastAsia="黑体"/>
          <w:color w:val="auto"/>
          <w:sz w:val="28"/>
          <w:highlight w:val="none"/>
        </w:rPr>
      </w:pPr>
    </w:p>
    <w:p>
      <w:pPr>
        <w:spacing w:before="128" w:line="360" w:lineRule="auto"/>
        <w:ind w:right="380"/>
        <w:rPr>
          <w:color w:val="auto"/>
          <w:highlight w:val="none"/>
        </w:rPr>
      </w:pPr>
      <w:r>
        <w:rPr>
          <w:color w:val="auto"/>
          <w:highlight w:val="none"/>
        </w:rPr>
        <w:t>注：</w:t>
      </w:r>
      <w:r>
        <w:rPr>
          <w:rFonts w:eastAsia="Times New Roman"/>
          <w:color w:val="auto"/>
          <w:highlight w:val="none"/>
        </w:rPr>
        <w:t>1.</w:t>
      </w:r>
      <w:r>
        <w:rPr>
          <w:color w:val="auto"/>
          <w:highlight w:val="none"/>
        </w:rPr>
        <w:t>投标人应按照招标文件第二章</w:t>
      </w:r>
      <w:r>
        <w:rPr>
          <w:rFonts w:eastAsia="Times New Roman"/>
          <w:color w:val="auto"/>
          <w:highlight w:val="none"/>
        </w:rPr>
        <w:t>“</w:t>
      </w:r>
      <w:r>
        <w:rPr>
          <w:color w:val="auto"/>
          <w:highlight w:val="none"/>
        </w:rPr>
        <w:t>投标人须知</w:t>
      </w:r>
      <w:r>
        <w:rPr>
          <w:rFonts w:eastAsia="Times New Roman"/>
          <w:color w:val="auto"/>
          <w:highlight w:val="none"/>
        </w:rPr>
        <w:t>”</w:t>
      </w:r>
      <w:r>
        <w:rPr>
          <w:color w:val="auto"/>
          <w:highlight w:val="none"/>
        </w:rPr>
        <w:t xml:space="preserve">前附表附录 </w:t>
      </w:r>
      <w:r>
        <w:rPr>
          <w:rFonts w:eastAsia="Times New Roman"/>
          <w:color w:val="auto"/>
          <w:highlight w:val="none"/>
        </w:rPr>
        <w:t xml:space="preserve">4 </w:t>
      </w:r>
      <w:r>
        <w:rPr>
          <w:color w:val="auto"/>
          <w:highlight w:val="none"/>
        </w:rPr>
        <w:t>和</w:t>
      </w:r>
      <w:r>
        <w:rPr>
          <w:rFonts w:eastAsia="Times New Roman"/>
          <w:color w:val="auto"/>
          <w:highlight w:val="none"/>
        </w:rPr>
        <w:t>“</w:t>
      </w:r>
      <w:r>
        <w:rPr>
          <w:color w:val="auto"/>
          <w:highlight w:val="none"/>
        </w:rPr>
        <w:t>投标人须知</w:t>
      </w:r>
      <w:r>
        <w:rPr>
          <w:rFonts w:eastAsia="Times New Roman"/>
          <w:color w:val="auto"/>
          <w:highlight w:val="none"/>
        </w:rPr>
        <w:t>”</w:t>
      </w:r>
      <w:r>
        <w:rPr>
          <w:color w:val="auto"/>
          <w:highlight w:val="none"/>
        </w:rPr>
        <w:t xml:space="preserve">正文第 </w:t>
      </w:r>
      <w:r>
        <w:rPr>
          <w:rFonts w:eastAsia="Times New Roman"/>
          <w:color w:val="auto"/>
          <w:highlight w:val="none"/>
        </w:rPr>
        <w:t xml:space="preserve">1.4.4 </w:t>
      </w:r>
      <w:r>
        <w:rPr>
          <w:color w:val="auto"/>
          <w:highlight w:val="none"/>
        </w:rPr>
        <w:t>项规定，逐条说明其信誉情况。</w:t>
      </w:r>
    </w:p>
    <w:p>
      <w:pPr>
        <w:spacing w:line="360" w:lineRule="auto"/>
        <w:ind w:firstLine="420" w:firstLineChars="200"/>
        <w:rPr>
          <w:color w:val="auto"/>
          <w:highlight w:val="none"/>
        </w:rPr>
      </w:pPr>
      <w:r>
        <w:rPr>
          <w:rFonts w:eastAsia="Times New Roman"/>
          <w:color w:val="auto"/>
          <w:highlight w:val="none"/>
        </w:rPr>
        <w:t>2.</w:t>
      </w:r>
      <w:r>
        <w:rPr>
          <w:color w:val="auto"/>
          <w:highlight w:val="none"/>
        </w:rPr>
        <w:t xml:space="preserve">投标人应根据招标文件第二章“投标人须知”第 </w:t>
      </w:r>
      <w:r>
        <w:rPr>
          <w:rFonts w:eastAsia="Times New Roman"/>
          <w:color w:val="auto"/>
          <w:highlight w:val="none"/>
        </w:rPr>
        <w:t xml:space="preserve">3.5.4 </w:t>
      </w:r>
      <w:r>
        <w:rPr>
          <w:color w:val="auto"/>
          <w:highlight w:val="none"/>
        </w:rPr>
        <w:t>项的要求在本表后附相关证明材料</w:t>
      </w:r>
      <w:r>
        <w:rPr>
          <w:rFonts w:hint="eastAsia"/>
          <w:color w:val="auto"/>
          <w:highlight w:val="none"/>
        </w:rPr>
        <w:t>的原件扫描件或图片</w:t>
      </w:r>
      <w:r>
        <w:rPr>
          <w:color w:val="auto"/>
          <w:highlight w:val="none"/>
        </w:rPr>
        <w:t>。</w:t>
      </w:r>
    </w:p>
    <w:p>
      <w:pPr>
        <w:spacing w:line="360" w:lineRule="auto"/>
        <w:rPr>
          <w:rFonts w:ascii="黑体" w:eastAsia="黑体"/>
          <w:color w:val="auto"/>
          <w:sz w:val="28"/>
          <w:highlight w:val="none"/>
        </w:rPr>
      </w:pPr>
    </w:p>
    <w:p>
      <w:pPr>
        <w:pStyle w:val="3"/>
        <w:spacing w:before="108"/>
        <w:jc w:val="center"/>
        <w:rPr>
          <w:rFonts w:ascii="黑体" w:hAnsi="宋体" w:eastAsia="黑体" w:cs="宋体"/>
          <w:color w:val="auto"/>
          <w:sz w:val="30"/>
          <w:szCs w:val="30"/>
          <w:highlight w:val="none"/>
          <w:lang w:val="zh-CN" w:bidi="zh-CN"/>
        </w:rPr>
      </w:pPr>
      <w:r>
        <w:rPr>
          <w:color w:val="auto"/>
          <w:highlight w:val="none"/>
        </w:rPr>
        <w:br w:type="page"/>
      </w:r>
      <w:r>
        <w:rPr>
          <w:rFonts w:hint="eastAsia" w:ascii="黑体" w:hAnsi="宋体" w:eastAsia="黑体" w:cs="宋体"/>
          <w:color w:val="auto"/>
          <w:sz w:val="30"/>
          <w:szCs w:val="30"/>
          <w:highlight w:val="none"/>
          <w:lang w:val="zh-CN" w:bidi="zh-CN"/>
        </w:rPr>
        <w:t>（六）拟委任的项目经理和项目总工资历表</w:t>
      </w:r>
    </w:p>
    <w:tbl>
      <w:tblPr>
        <w:tblStyle w:val="47"/>
        <w:tblW w:w="87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544"/>
        <w:gridCol w:w="38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jc w:val="center"/>
        </w:trPr>
        <w:tc>
          <w:tcPr>
            <w:tcW w:w="1261" w:type="dxa"/>
          </w:tcPr>
          <w:p>
            <w:pPr>
              <w:autoSpaceDE w:val="0"/>
              <w:autoSpaceDN w:val="0"/>
              <w:spacing w:before="6"/>
              <w:jc w:val="left"/>
              <w:rPr>
                <w:rFonts w:ascii="黑体" w:hAnsi="宋体" w:cs="宋体"/>
                <w:color w:val="auto"/>
                <w:kern w:val="0"/>
                <w:sz w:val="14"/>
                <w:highlight w:val="none"/>
                <w:lang w:val="zh-CN" w:bidi="zh-CN"/>
              </w:rPr>
            </w:pPr>
          </w:p>
          <w:p>
            <w:pPr>
              <w:tabs>
                <w:tab w:val="left" w:pos="631"/>
              </w:tabs>
              <w:autoSpaceDE w:val="0"/>
              <w:autoSpaceDN w:val="0"/>
              <w:ind w:right="13"/>
              <w:jc w:val="center"/>
              <w:rPr>
                <w:rFonts w:ascii="宋体" w:hAnsi="宋体" w:cs="宋体"/>
                <w:color w:val="auto"/>
                <w:kern w:val="0"/>
                <w:highlight w:val="none"/>
                <w:lang w:val="zh-CN" w:bidi="zh-CN"/>
              </w:rPr>
            </w:pPr>
            <w:r>
              <w:rPr>
                <w:rFonts w:ascii="宋体" w:hAnsi="宋体" w:cs="宋体"/>
                <w:color w:val="auto"/>
                <w:kern w:val="0"/>
                <w:highlight w:val="none"/>
                <w:lang w:val="zh-CN" w:bidi="zh-CN"/>
              </w:rPr>
              <w:t>姓</w:t>
            </w:r>
            <w:r>
              <w:rPr>
                <w:rFonts w:ascii="宋体" w:hAnsi="宋体" w:cs="宋体"/>
                <w:color w:val="auto"/>
                <w:kern w:val="0"/>
                <w:highlight w:val="none"/>
                <w:lang w:val="zh-CN" w:bidi="zh-CN"/>
              </w:rPr>
              <w:tab/>
            </w:r>
            <w:r>
              <w:rPr>
                <w:rFonts w:ascii="宋体" w:hAnsi="宋体" w:cs="宋体"/>
                <w:color w:val="auto"/>
                <w:kern w:val="0"/>
                <w:highlight w:val="none"/>
                <w:lang w:val="zh-CN" w:bidi="zh-CN"/>
              </w:rPr>
              <w:t>名</w:t>
            </w:r>
          </w:p>
        </w:tc>
        <w:tc>
          <w:tcPr>
            <w:tcW w:w="1480" w:type="dxa"/>
            <w:gridSpan w:val="2"/>
          </w:tcPr>
          <w:p>
            <w:pPr>
              <w:autoSpaceDE w:val="0"/>
              <w:autoSpaceDN w:val="0"/>
              <w:jc w:val="left"/>
              <w:rPr>
                <w:rFonts w:hAnsi="宋体" w:cs="宋体"/>
                <w:color w:val="auto"/>
                <w:kern w:val="0"/>
                <w:sz w:val="20"/>
                <w:highlight w:val="none"/>
                <w:lang w:val="zh-CN" w:bidi="zh-CN"/>
              </w:rPr>
            </w:pPr>
          </w:p>
        </w:tc>
        <w:tc>
          <w:tcPr>
            <w:tcW w:w="1061" w:type="dxa"/>
          </w:tcPr>
          <w:p>
            <w:pPr>
              <w:autoSpaceDE w:val="0"/>
              <w:autoSpaceDN w:val="0"/>
              <w:spacing w:before="6"/>
              <w:jc w:val="left"/>
              <w:rPr>
                <w:rFonts w:ascii="黑体" w:hAnsi="宋体" w:cs="宋体"/>
                <w:color w:val="auto"/>
                <w:kern w:val="0"/>
                <w:sz w:val="14"/>
                <w:highlight w:val="none"/>
                <w:lang w:val="zh-CN" w:bidi="zh-CN"/>
              </w:rPr>
            </w:pPr>
          </w:p>
          <w:p>
            <w:pPr>
              <w:tabs>
                <w:tab w:val="left" w:pos="643"/>
              </w:tabs>
              <w:autoSpaceDE w:val="0"/>
              <w:autoSpaceDN w:val="0"/>
              <w:ind w:left="12"/>
              <w:jc w:val="center"/>
              <w:rPr>
                <w:rFonts w:ascii="宋体" w:hAnsi="宋体" w:cs="宋体"/>
                <w:color w:val="auto"/>
                <w:kern w:val="0"/>
                <w:highlight w:val="none"/>
                <w:lang w:val="zh-CN" w:bidi="zh-CN"/>
              </w:rPr>
            </w:pPr>
            <w:r>
              <w:rPr>
                <w:rFonts w:ascii="宋体" w:hAnsi="宋体" w:cs="宋体"/>
                <w:color w:val="auto"/>
                <w:kern w:val="0"/>
                <w:highlight w:val="none"/>
                <w:lang w:val="zh-CN" w:bidi="zh-CN"/>
              </w:rPr>
              <w:t>年</w:t>
            </w:r>
            <w:r>
              <w:rPr>
                <w:rFonts w:ascii="宋体" w:hAnsi="宋体" w:cs="宋体"/>
                <w:color w:val="auto"/>
                <w:kern w:val="0"/>
                <w:highlight w:val="none"/>
                <w:lang w:val="zh-CN" w:bidi="zh-CN"/>
              </w:rPr>
              <w:tab/>
            </w:r>
            <w:r>
              <w:rPr>
                <w:rFonts w:ascii="宋体" w:hAnsi="宋体" w:cs="宋体"/>
                <w:color w:val="auto"/>
                <w:kern w:val="0"/>
                <w:highlight w:val="none"/>
                <w:lang w:val="zh-CN" w:bidi="zh-CN"/>
              </w:rPr>
              <w:t>龄</w:t>
            </w:r>
          </w:p>
        </w:tc>
        <w:tc>
          <w:tcPr>
            <w:tcW w:w="1381" w:type="dxa"/>
          </w:tcPr>
          <w:p>
            <w:pPr>
              <w:autoSpaceDE w:val="0"/>
              <w:autoSpaceDN w:val="0"/>
              <w:jc w:val="left"/>
              <w:rPr>
                <w:rFonts w:hAnsi="宋体" w:cs="宋体"/>
                <w:color w:val="auto"/>
                <w:kern w:val="0"/>
                <w:sz w:val="20"/>
                <w:highlight w:val="none"/>
                <w:lang w:val="zh-CN" w:bidi="zh-CN"/>
              </w:rPr>
            </w:pPr>
          </w:p>
        </w:tc>
        <w:tc>
          <w:tcPr>
            <w:tcW w:w="1883" w:type="dxa"/>
            <w:gridSpan w:val="2"/>
          </w:tcPr>
          <w:p>
            <w:pPr>
              <w:autoSpaceDE w:val="0"/>
              <w:autoSpaceDN w:val="0"/>
              <w:spacing w:before="6"/>
              <w:jc w:val="left"/>
              <w:rPr>
                <w:rFonts w:ascii="黑体" w:hAnsi="宋体" w:cs="宋体"/>
                <w:color w:val="auto"/>
                <w:kern w:val="0"/>
                <w:sz w:val="14"/>
                <w:highlight w:val="none"/>
                <w:lang w:val="zh-CN" w:bidi="zh-CN"/>
              </w:rPr>
            </w:pPr>
          </w:p>
          <w:p>
            <w:pPr>
              <w:tabs>
                <w:tab w:val="left" w:pos="1151"/>
              </w:tabs>
              <w:autoSpaceDE w:val="0"/>
              <w:autoSpaceDN w:val="0"/>
              <w:ind w:left="520"/>
              <w:jc w:val="left"/>
              <w:rPr>
                <w:rFonts w:ascii="宋体" w:hAnsi="宋体" w:cs="宋体"/>
                <w:color w:val="auto"/>
                <w:kern w:val="0"/>
                <w:highlight w:val="none"/>
                <w:lang w:val="zh-CN" w:bidi="zh-CN"/>
              </w:rPr>
            </w:pPr>
            <w:r>
              <w:rPr>
                <w:rFonts w:ascii="宋体" w:hAnsi="宋体" w:cs="宋体"/>
                <w:color w:val="auto"/>
                <w:kern w:val="0"/>
                <w:highlight w:val="none"/>
                <w:lang w:val="zh-CN" w:bidi="zh-CN"/>
              </w:rPr>
              <w:t>专</w:t>
            </w:r>
            <w:r>
              <w:rPr>
                <w:rFonts w:ascii="宋体" w:hAnsi="宋体" w:cs="宋体"/>
                <w:color w:val="auto"/>
                <w:kern w:val="0"/>
                <w:highlight w:val="none"/>
                <w:lang w:val="zh-CN" w:bidi="zh-CN"/>
              </w:rPr>
              <w:tab/>
            </w:r>
            <w:r>
              <w:rPr>
                <w:rFonts w:ascii="宋体" w:hAnsi="宋体" w:cs="宋体"/>
                <w:color w:val="auto"/>
                <w:kern w:val="0"/>
                <w:highlight w:val="none"/>
                <w:lang w:val="zh-CN" w:bidi="zh-CN"/>
              </w:rPr>
              <w:t>业</w:t>
            </w:r>
          </w:p>
        </w:tc>
        <w:tc>
          <w:tcPr>
            <w:tcW w:w="1671" w:type="dxa"/>
            <w:gridSpan w:val="2"/>
          </w:tcPr>
          <w:p>
            <w:pPr>
              <w:autoSpaceDE w:val="0"/>
              <w:autoSpaceDN w:val="0"/>
              <w:jc w:val="left"/>
              <w:rPr>
                <w:rFonts w:hAnsi="宋体" w:cs="宋体"/>
                <w:color w:val="auto"/>
                <w:kern w:val="0"/>
                <w:sz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1" w:hRule="atLeast"/>
          <w:jc w:val="center"/>
        </w:trPr>
        <w:tc>
          <w:tcPr>
            <w:tcW w:w="1261" w:type="dxa"/>
          </w:tcPr>
          <w:p>
            <w:pPr>
              <w:autoSpaceDE w:val="0"/>
              <w:autoSpaceDN w:val="0"/>
              <w:jc w:val="left"/>
              <w:rPr>
                <w:rFonts w:ascii="黑体" w:hAnsi="宋体" w:cs="宋体"/>
                <w:color w:val="auto"/>
                <w:kern w:val="0"/>
                <w:sz w:val="20"/>
                <w:highlight w:val="none"/>
                <w:lang w:val="zh-CN" w:bidi="zh-CN"/>
              </w:rPr>
            </w:pPr>
          </w:p>
          <w:p>
            <w:pPr>
              <w:autoSpaceDE w:val="0"/>
              <w:autoSpaceDN w:val="0"/>
              <w:spacing w:before="160"/>
              <w:ind w:right="15"/>
              <w:jc w:val="center"/>
              <w:rPr>
                <w:rFonts w:ascii="宋体" w:hAnsi="宋体" w:cs="宋体"/>
                <w:color w:val="auto"/>
                <w:kern w:val="0"/>
                <w:highlight w:val="none"/>
                <w:lang w:val="zh-CN" w:bidi="zh-CN"/>
              </w:rPr>
            </w:pPr>
            <w:r>
              <w:rPr>
                <w:rFonts w:ascii="宋体" w:hAnsi="宋体" w:cs="宋体"/>
                <w:color w:val="auto"/>
                <w:kern w:val="0"/>
                <w:highlight w:val="none"/>
                <w:lang w:val="zh-CN" w:bidi="zh-CN"/>
              </w:rPr>
              <w:t>技术职称</w:t>
            </w:r>
          </w:p>
        </w:tc>
        <w:tc>
          <w:tcPr>
            <w:tcW w:w="1480" w:type="dxa"/>
            <w:gridSpan w:val="2"/>
          </w:tcPr>
          <w:p>
            <w:pPr>
              <w:autoSpaceDE w:val="0"/>
              <w:autoSpaceDN w:val="0"/>
              <w:jc w:val="left"/>
              <w:rPr>
                <w:rFonts w:hAnsi="宋体" w:cs="宋体"/>
                <w:color w:val="auto"/>
                <w:kern w:val="0"/>
                <w:sz w:val="20"/>
                <w:highlight w:val="none"/>
                <w:lang w:val="zh-CN" w:bidi="zh-CN"/>
              </w:rPr>
            </w:pPr>
          </w:p>
        </w:tc>
        <w:tc>
          <w:tcPr>
            <w:tcW w:w="1061" w:type="dxa"/>
          </w:tcPr>
          <w:p>
            <w:pPr>
              <w:autoSpaceDE w:val="0"/>
              <w:autoSpaceDN w:val="0"/>
              <w:jc w:val="left"/>
              <w:rPr>
                <w:rFonts w:ascii="黑体" w:hAnsi="宋体" w:cs="宋体"/>
                <w:color w:val="auto"/>
                <w:kern w:val="0"/>
                <w:sz w:val="20"/>
                <w:highlight w:val="none"/>
                <w:lang w:val="zh-CN" w:bidi="zh-CN"/>
              </w:rPr>
            </w:pPr>
          </w:p>
          <w:p>
            <w:pPr>
              <w:tabs>
                <w:tab w:val="left" w:pos="643"/>
              </w:tabs>
              <w:autoSpaceDE w:val="0"/>
              <w:autoSpaceDN w:val="0"/>
              <w:spacing w:before="160"/>
              <w:ind w:left="12"/>
              <w:jc w:val="center"/>
              <w:rPr>
                <w:rFonts w:ascii="宋体" w:hAnsi="宋体" w:cs="宋体"/>
                <w:color w:val="auto"/>
                <w:kern w:val="0"/>
                <w:highlight w:val="none"/>
                <w:lang w:val="zh-CN" w:bidi="zh-CN"/>
              </w:rPr>
            </w:pPr>
            <w:r>
              <w:rPr>
                <w:rFonts w:ascii="宋体" w:hAnsi="宋体" w:cs="宋体"/>
                <w:color w:val="auto"/>
                <w:kern w:val="0"/>
                <w:highlight w:val="none"/>
                <w:lang w:val="zh-CN" w:bidi="zh-CN"/>
              </w:rPr>
              <w:t>学</w:t>
            </w:r>
            <w:r>
              <w:rPr>
                <w:rFonts w:ascii="宋体" w:hAnsi="宋体" w:cs="宋体"/>
                <w:color w:val="auto"/>
                <w:kern w:val="0"/>
                <w:highlight w:val="none"/>
                <w:lang w:val="zh-CN" w:bidi="zh-CN"/>
              </w:rPr>
              <w:tab/>
            </w:r>
            <w:r>
              <w:rPr>
                <w:rFonts w:ascii="宋体" w:hAnsi="宋体" w:cs="宋体"/>
                <w:color w:val="auto"/>
                <w:kern w:val="0"/>
                <w:highlight w:val="none"/>
                <w:lang w:val="zh-CN" w:bidi="zh-CN"/>
              </w:rPr>
              <w:t>历</w:t>
            </w:r>
          </w:p>
        </w:tc>
        <w:tc>
          <w:tcPr>
            <w:tcW w:w="1381" w:type="dxa"/>
          </w:tcPr>
          <w:p>
            <w:pPr>
              <w:autoSpaceDE w:val="0"/>
              <w:autoSpaceDN w:val="0"/>
              <w:jc w:val="left"/>
              <w:rPr>
                <w:rFonts w:hAnsi="宋体" w:cs="宋体"/>
                <w:color w:val="auto"/>
                <w:kern w:val="0"/>
                <w:sz w:val="20"/>
                <w:highlight w:val="none"/>
                <w:lang w:val="zh-CN" w:bidi="zh-CN"/>
              </w:rPr>
            </w:pPr>
          </w:p>
        </w:tc>
        <w:tc>
          <w:tcPr>
            <w:tcW w:w="1883" w:type="dxa"/>
            <w:gridSpan w:val="2"/>
          </w:tcPr>
          <w:p>
            <w:pPr>
              <w:autoSpaceDE w:val="0"/>
              <w:autoSpaceDN w:val="0"/>
              <w:spacing w:before="31" w:line="458" w:lineRule="exact"/>
              <w:ind w:left="520" w:right="402" w:hanging="106"/>
              <w:jc w:val="left"/>
              <w:rPr>
                <w:rFonts w:ascii="宋体" w:hAnsi="宋体" w:cs="宋体"/>
                <w:color w:val="auto"/>
                <w:kern w:val="0"/>
                <w:highlight w:val="none"/>
                <w:lang w:val="zh-CN" w:bidi="zh-CN"/>
              </w:rPr>
            </w:pPr>
            <w:r>
              <w:rPr>
                <w:rFonts w:ascii="宋体" w:hAnsi="宋体" w:cs="宋体"/>
                <w:color w:val="auto"/>
                <w:kern w:val="0"/>
                <w:highlight w:val="none"/>
                <w:lang w:val="zh-CN" w:bidi="zh-CN"/>
              </w:rPr>
              <w:t>拟在本标段工程任职</w:t>
            </w:r>
          </w:p>
        </w:tc>
        <w:tc>
          <w:tcPr>
            <w:tcW w:w="1671" w:type="dxa"/>
            <w:gridSpan w:val="2"/>
          </w:tcPr>
          <w:p>
            <w:pPr>
              <w:autoSpaceDE w:val="0"/>
              <w:autoSpaceDN w:val="0"/>
              <w:jc w:val="left"/>
              <w:rPr>
                <w:rFonts w:hAnsi="宋体" w:cs="宋体"/>
                <w:color w:val="auto"/>
                <w:kern w:val="0"/>
                <w:sz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autoSpaceDE w:val="0"/>
              <w:autoSpaceDN w:val="0"/>
              <w:spacing w:before="6"/>
              <w:jc w:val="left"/>
              <w:rPr>
                <w:rFonts w:ascii="黑体" w:hAnsi="宋体" w:cs="宋体"/>
                <w:color w:val="auto"/>
                <w:kern w:val="0"/>
                <w:sz w:val="14"/>
                <w:highlight w:val="none"/>
                <w:lang w:val="zh-CN" w:bidi="zh-CN"/>
              </w:rPr>
            </w:pPr>
          </w:p>
          <w:p>
            <w:pPr>
              <w:autoSpaceDE w:val="0"/>
              <w:autoSpaceDN w:val="0"/>
              <w:ind w:right="15"/>
              <w:jc w:val="center"/>
              <w:rPr>
                <w:rFonts w:ascii="宋体" w:hAnsi="宋体" w:cs="宋体"/>
                <w:color w:val="auto"/>
                <w:kern w:val="0"/>
                <w:highlight w:val="none"/>
                <w:lang w:val="zh-CN" w:bidi="zh-CN"/>
              </w:rPr>
            </w:pPr>
            <w:r>
              <w:rPr>
                <w:rFonts w:ascii="宋体" w:hAnsi="宋体" w:cs="宋体"/>
                <w:color w:val="auto"/>
                <w:kern w:val="0"/>
                <w:highlight w:val="none"/>
                <w:lang w:val="zh-CN" w:bidi="zh-CN"/>
              </w:rPr>
              <w:t>工作年限</w:t>
            </w:r>
          </w:p>
        </w:tc>
        <w:tc>
          <w:tcPr>
            <w:tcW w:w="3922" w:type="dxa"/>
            <w:gridSpan w:val="4"/>
          </w:tcPr>
          <w:p>
            <w:pPr>
              <w:autoSpaceDE w:val="0"/>
              <w:autoSpaceDN w:val="0"/>
              <w:jc w:val="left"/>
              <w:rPr>
                <w:rFonts w:hAnsi="宋体" w:cs="宋体"/>
                <w:color w:val="auto"/>
                <w:kern w:val="0"/>
                <w:sz w:val="20"/>
                <w:highlight w:val="none"/>
                <w:lang w:val="zh-CN" w:bidi="zh-CN"/>
              </w:rPr>
            </w:pPr>
          </w:p>
        </w:tc>
        <w:tc>
          <w:tcPr>
            <w:tcW w:w="1883" w:type="dxa"/>
            <w:gridSpan w:val="2"/>
          </w:tcPr>
          <w:p>
            <w:pPr>
              <w:autoSpaceDE w:val="0"/>
              <w:autoSpaceDN w:val="0"/>
              <w:spacing w:before="6"/>
              <w:jc w:val="left"/>
              <w:rPr>
                <w:rFonts w:ascii="黑体" w:hAnsi="宋体" w:cs="宋体"/>
                <w:color w:val="auto"/>
                <w:kern w:val="0"/>
                <w:sz w:val="14"/>
                <w:highlight w:val="none"/>
                <w:lang w:val="zh-CN" w:bidi="zh-CN"/>
              </w:rPr>
            </w:pPr>
          </w:p>
          <w:p>
            <w:pPr>
              <w:autoSpaceDE w:val="0"/>
              <w:autoSpaceDN w:val="0"/>
              <w:ind w:left="100"/>
              <w:jc w:val="left"/>
              <w:rPr>
                <w:rFonts w:ascii="宋体" w:hAnsi="宋体" w:cs="宋体"/>
                <w:color w:val="auto"/>
                <w:kern w:val="0"/>
                <w:highlight w:val="none"/>
                <w:lang w:val="zh-CN" w:bidi="zh-CN"/>
              </w:rPr>
            </w:pPr>
            <w:r>
              <w:rPr>
                <w:rFonts w:ascii="宋体" w:hAnsi="宋体" w:cs="宋体"/>
                <w:color w:val="auto"/>
                <w:kern w:val="0"/>
                <w:highlight w:val="none"/>
                <w:lang w:val="zh-CN" w:bidi="zh-CN"/>
              </w:rPr>
              <w:t>类似施工经验年限</w:t>
            </w:r>
          </w:p>
        </w:tc>
        <w:tc>
          <w:tcPr>
            <w:tcW w:w="1671" w:type="dxa"/>
            <w:gridSpan w:val="2"/>
          </w:tcPr>
          <w:p>
            <w:pPr>
              <w:autoSpaceDE w:val="0"/>
              <w:autoSpaceDN w:val="0"/>
              <w:jc w:val="left"/>
              <w:rPr>
                <w:rFonts w:hAnsi="宋体" w:cs="宋体"/>
                <w:color w:val="auto"/>
                <w:kern w:val="0"/>
                <w:sz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autoSpaceDE w:val="0"/>
              <w:autoSpaceDN w:val="0"/>
              <w:spacing w:before="7"/>
              <w:jc w:val="left"/>
              <w:rPr>
                <w:rFonts w:ascii="黑体" w:hAnsi="宋体" w:cs="宋体"/>
                <w:color w:val="auto"/>
                <w:kern w:val="0"/>
                <w:sz w:val="14"/>
                <w:highlight w:val="none"/>
                <w:lang w:val="zh-CN" w:bidi="zh-CN"/>
              </w:rPr>
            </w:pPr>
          </w:p>
          <w:p>
            <w:pPr>
              <w:autoSpaceDE w:val="0"/>
              <w:autoSpaceDN w:val="0"/>
              <w:ind w:right="13"/>
              <w:jc w:val="center"/>
              <w:rPr>
                <w:rFonts w:ascii="宋体" w:hAnsi="宋体" w:cs="宋体"/>
                <w:color w:val="auto"/>
                <w:kern w:val="0"/>
                <w:highlight w:val="none"/>
                <w:lang w:val="zh-CN" w:bidi="zh-CN"/>
              </w:rPr>
            </w:pPr>
            <w:r>
              <w:rPr>
                <w:rFonts w:ascii="宋体" w:hAnsi="宋体" w:cs="宋体"/>
                <w:color w:val="auto"/>
                <w:kern w:val="0"/>
                <w:highlight w:val="none"/>
                <w:lang w:val="zh-CN" w:bidi="zh-CN"/>
              </w:rPr>
              <w:t>毕业学校</w:t>
            </w:r>
          </w:p>
        </w:tc>
        <w:tc>
          <w:tcPr>
            <w:tcW w:w="7476" w:type="dxa"/>
            <w:gridSpan w:val="8"/>
          </w:tcPr>
          <w:p>
            <w:pPr>
              <w:tabs>
                <w:tab w:val="left" w:pos="531"/>
                <w:tab w:val="left" w:pos="1057"/>
                <w:tab w:val="left" w:pos="3892"/>
                <w:tab w:val="left" w:pos="5466"/>
                <w:tab w:val="left" w:pos="7145"/>
              </w:tabs>
              <w:autoSpaceDE w:val="0"/>
              <w:autoSpaceDN w:val="0"/>
              <w:spacing w:before="186"/>
              <w:ind w:left="5"/>
              <w:jc w:val="left"/>
              <w:rPr>
                <w:rFonts w:ascii="宋体" w:hAnsi="宋体" w:cs="宋体"/>
                <w:color w:val="auto"/>
                <w:kern w:val="0"/>
                <w:highlight w:val="none"/>
                <w:lang w:val="zh-CN" w:bidi="zh-CN"/>
              </w:rPr>
            </w:pPr>
            <w:r>
              <w:rPr>
                <w:rFonts w:hAnsi="宋体" w:eastAsia="Times New Roman" w:cs="宋体"/>
                <w:color w:val="auto"/>
                <w:kern w:val="0"/>
                <w:highlight w:val="none"/>
                <w:u w:val="single"/>
                <w:lang w:val="zh-CN" w:bidi="zh-CN"/>
              </w:rPr>
              <w:t xml:space="preserve"> </w:t>
            </w:r>
            <w:r>
              <w:rPr>
                <w:rFonts w:hAnsi="宋体" w:eastAsia="Times New Roman" w:cs="宋体"/>
                <w:color w:val="auto"/>
                <w:kern w:val="0"/>
                <w:highlight w:val="none"/>
                <w:u w:val="single"/>
                <w:lang w:val="zh-CN" w:bidi="zh-CN"/>
              </w:rPr>
              <w:tab/>
            </w:r>
            <w:r>
              <w:rPr>
                <w:rFonts w:ascii="宋体" w:hAnsi="宋体" w:cs="宋体"/>
                <w:color w:val="auto"/>
                <w:kern w:val="0"/>
                <w:highlight w:val="none"/>
                <w:lang w:val="zh-CN" w:bidi="zh-CN"/>
              </w:rPr>
              <w:t>年</w:t>
            </w:r>
            <w:r>
              <w:rPr>
                <w:rFonts w:ascii="宋体" w:hAnsi="宋体" w:cs="宋体"/>
                <w:color w:val="auto"/>
                <w:kern w:val="0"/>
                <w:highlight w:val="none"/>
                <w:u w:val="single"/>
                <w:lang w:val="zh-CN" w:bidi="zh-CN"/>
              </w:rPr>
              <w:t xml:space="preserve"> </w:t>
            </w:r>
            <w:r>
              <w:rPr>
                <w:rFonts w:ascii="宋体" w:hAnsi="宋体" w:cs="宋体"/>
                <w:color w:val="auto"/>
                <w:kern w:val="0"/>
                <w:highlight w:val="none"/>
                <w:u w:val="single"/>
                <w:lang w:val="zh-CN" w:bidi="zh-CN"/>
              </w:rPr>
              <w:tab/>
            </w:r>
            <w:r>
              <w:rPr>
                <w:rFonts w:ascii="宋体" w:hAnsi="宋体" w:cs="宋体"/>
                <w:color w:val="auto"/>
                <w:spacing w:val="-3"/>
                <w:kern w:val="0"/>
                <w:highlight w:val="none"/>
                <w:lang w:val="zh-CN" w:bidi="zh-CN"/>
              </w:rPr>
              <w:t>月</w:t>
            </w:r>
            <w:r>
              <w:rPr>
                <w:rFonts w:ascii="宋体" w:hAnsi="宋体" w:cs="宋体"/>
                <w:color w:val="auto"/>
                <w:kern w:val="0"/>
                <w:highlight w:val="none"/>
                <w:lang w:val="zh-CN" w:bidi="zh-CN"/>
              </w:rPr>
              <w:t>毕</w:t>
            </w:r>
            <w:r>
              <w:rPr>
                <w:rFonts w:ascii="宋体" w:hAnsi="宋体" w:cs="宋体"/>
                <w:color w:val="auto"/>
                <w:spacing w:val="-3"/>
                <w:kern w:val="0"/>
                <w:highlight w:val="none"/>
                <w:lang w:val="zh-CN" w:bidi="zh-CN"/>
              </w:rPr>
              <w:t>业</w:t>
            </w:r>
            <w:r>
              <w:rPr>
                <w:rFonts w:ascii="宋体" w:hAnsi="宋体" w:cs="宋体"/>
                <w:color w:val="auto"/>
                <w:kern w:val="0"/>
                <w:highlight w:val="none"/>
                <w:lang w:val="zh-CN" w:bidi="zh-CN"/>
              </w:rPr>
              <w:t>于</w:t>
            </w:r>
            <w:r>
              <w:rPr>
                <w:rFonts w:ascii="宋体" w:hAnsi="宋体" w:cs="宋体"/>
                <w:color w:val="auto"/>
                <w:kern w:val="0"/>
                <w:highlight w:val="none"/>
                <w:u w:val="single"/>
                <w:lang w:val="zh-CN" w:bidi="zh-CN"/>
              </w:rPr>
              <w:t xml:space="preserve"> </w:t>
            </w:r>
            <w:r>
              <w:rPr>
                <w:rFonts w:ascii="宋体" w:hAnsi="宋体" w:cs="宋体"/>
                <w:color w:val="auto"/>
                <w:kern w:val="0"/>
                <w:highlight w:val="none"/>
                <w:u w:val="single"/>
                <w:lang w:val="zh-CN" w:bidi="zh-CN"/>
              </w:rPr>
              <w:tab/>
            </w:r>
            <w:r>
              <w:rPr>
                <w:rFonts w:ascii="宋体" w:hAnsi="宋体" w:cs="宋体"/>
                <w:color w:val="auto"/>
                <w:spacing w:val="-3"/>
                <w:kern w:val="0"/>
                <w:highlight w:val="none"/>
                <w:lang w:val="zh-CN" w:bidi="zh-CN"/>
              </w:rPr>
              <w:t>学</w:t>
            </w:r>
            <w:r>
              <w:rPr>
                <w:rFonts w:ascii="宋体" w:hAnsi="宋体" w:cs="宋体"/>
                <w:color w:val="auto"/>
                <w:kern w:val="0"/>
                <w:highlight w:val="none"/>
                <w:lang w:val="zh-CN" w:bidi="zh-CN"/>
              </w:rPr>
              <w:t>校</w:t>
            </w:r>
            <w:r>
              <w:rPr>
                <w:rFonts w:ascii="宋体" w:hAnsi="宋体" w:cs="宋体"/>
                <w:color w:val="auto"/>
                <w:kern w:val="0"/>
                <w:highlight w:val="none"/>
                <w:u w:val="single"/>
                <w:lang w:val="zh-CN" w:bidi="zh-CN"/>
              </w:rPr>
              <w:t xml:space="preserve"> </w:t>
            </w:r>
            <w:r>
              <w:rPr>
                <w:rFonts w:ascii="宋体" w:hAnsi="宋体" w:cs="宋体"/>
                <w:color w:val="auto"/>
                <w:kern w:val="0"/>
                <w:highlight w:val="none"/>
                <w:u w:val="single"/>
                <w:lang w:val="zh-CN" w:bidi="zh-CN"/>
              </w:rPr>
              <w:tab/>
            </w:r>
            <w:r>
              <w:rPr>
                <w:rFonts w:ascii="宋体" w:hAnsi="宋体" w:cs="宋体"/>
                <w:color w:val="auto"/>
                <w:spacing w:val="-3"/>
                <w:kern w:val="0"/>
                <w:highlight w:val="none"/>
                <w:lang w:val="zh-CN" w:bidi="zh-CN"/>
              </w:rPr>
              <w:t>专</w:t>
            </w:r>
            <w:r>
              <w:rPr>
                <w:rFonts w:ascii="宋体" w:hAnsi="宋体" w:cs="宋体"/>
                <w:color w:val="auto"/>
                <w:kern w:val="0"/>
                <w:highlight w:val="none"/>
                <w:lang w:val="zh-CN" w:bidi="zh-CN"/>
              </w:rPr>
              <w:t>业</w:t>
            </w:r>
            <w:r>
              <w:rPr>
                <w:rFonts w:ascii="宋体" w:hAnsi="宋体" w:cs="宋体"/>
                <w:color w:val="auto"/>
                <w:spacing w:val="-3"/>
                <w:kern w:val="0"/>
                <w:highlight w:val="none"/>
                <w:lang w:val="zh-CN" w:bidi="zh-CN"/>
              </w:rPr>
              <w:t>，</w:t>
            </w:r>
            <w:r>
              <w:rPr>
                <w:rFonts w:ascii="宋体" w:hAnsi="宋体" w:cs="宋体"/>
                <w:color w:val="auto"/>
                <w:kern w:val="0"/>
                <w:highlight w:val="none"/>
                <w:lang w:val="zh-CN" w:bidi="zh-CN"/>
              </w:rPr>
              <w:t>学制</w:t>
            </w:r>
            <w:r>
              <w:rPr>
                <w:rFonts w:ascii="宋体" w:hAnsi="宋体" w:cs="宋体"/>
                <w:color w:val="auto"/>
                <w:kern w:val="0"/>
                <w:highlight w:val="none"/>
                <w:u w:val="single"/>
                <w:lang w:val="zh-CN" w:bidi="zh-CN"/>
              </w:rPr>
              <w:t xml:space="preserve"> </w:t>
            </w:r>
            <w:r>
              <w:rPr>
                <w:rFonts w:ascii="宋体" w:hAnsi="宋体" w:cs="宋体"/>
                <w:color w:val="auto"/>
                <w:kern w:val="0"/>
                <w:highlight w:val="none"/>
                <w:u w:val="single"/>
                <w:lang w:val="zh-CN" w:bidi="zh-CN"/>
              </w:rPr>
              <w:tab/>
            </w:r>
            <w:r>
              <w:rPr>
                <w:rFonts w:ascii="宋体" w:hAnsi="宋体" w:cs="宋体"/>
                <w:color w:val="auto"/>
                <w:kern w:val="0"/>
                <w:highlight w:val="none"/>
                <w:lang w:val="zh-CN" w:bidi="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jc w:val="center"/>
        </w:trPr>
        <w:tc>
          <w:tcPr>
            <w:tcW w:w="8737" w:type="dxa"/>
            <w:gridSpan w:val="9"/>
          </w:tcPr>
          <w:p>
            <w:pPr>
              <w:autoSpaceDE w:val="0"/>
              <w:autoSpaceDN w:val="0"/>
              <w:spacing w:before="6"/>
              <w:jc w:val="left"/>
              <w:rPr>
                <w:rFonts w:ascii="黑体" w:hAnsi="宋体" w:cs="宋体"/>
                <w:color w:val="auto"/>
                <w:kern w:val="0"/>
                <w:sz w:val="14"/>
                <w:highlight w:val="none"/>
                <w:lang w:val="zh-CN" w:bidi="zh-CN"/>
              </w:rPr>
            </w:pPr>
          </w:p>
          <w:p>
            <w:pPr>
              <w:tabs>
                <w:tab w:val="left" w:pos="1167"/>
              </w:tabs>
              <w:autoSpaceDE w:val="0"/>
              <w:autoSpaceDN w:val="0"/>
              <w:ind w:left="10"/>
              <w:jc w:val="center"/>
              <w:rPr>
                <w:rFonts w:ascii="宋体" w:hAnsi="宋体" w:cs="宋体"/>
                <w:color w:val="auto"/>
                <w:kern w:val="0"/>
                <w:highlight w:val="none"/>
                <w:lang w:val="zh-CN" w:bidi="zh-CN"/>
              </w:rPr>
            </w:pPr>
            <w:r>
              <w:rPr>
                <w:rFonts w:ascii="宋体" w:hAnsi="宋体" w:cs="宋体"/>
                <w:color w:val="auto"/>
                <w:kern w:val="0"/>
                <w:highlight w:val="none"/>
                <w:lang w:val="zh-CN" w:bidi="zh-CN"/>
              </w:rPr>
              <w:t>经</w:t>
            </w:r>
            <w:r>
              <w:rPr>
                <w:rFonts w:ascii="宋体" w:hAnsi="宋体" w:cs="宋体"/>
                <w:color w:val="auto"/>
                <w:kern w:val="0"/>
                <w:highlight w:val="none"/>
                <w:lang w:val="zh-CN" w:bidi="zh-CN"/>
              </w:rPr>
              <w:tab/>
            </w:r>
            <w:r>
              <w:rPr>
                <w:rFonts w:ascii="宋体" w:hAnsi="宋体" w:cs="宋体"/>
                <w:color w:val="auto"/>
                <w:kern w:val="0"/>
                <w:highlight w:val="none"/>
                <w:lang w:val="zh-CN" w:bidi="zh-CN"/>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1" w:hRule="atLeast"/>
          <w:jc w:val="center"/>
        </w:trPr>
        <w:tc>
          <w:tcPr>
            <w:tcW w:w="1261" w:type="dxa"/>
          </w:tcPr>
          <w:p>
            <w:pPr>
              <w:autoSpaceDE w:val="0"/>
              <w:autoSpaceDN w:val="0"/>
              <w:jc w:val="left"/>
              <w:rPr>
                <w:rFonts w:ascii="黑体" w:hAnsi="宋体" w:cs="宋体"/>
                <w:color w:val="auto"/>
                <w:kern w:val="0"/>
                <w:sz w:val="20"/>
                <w:highlight w:val="none"/>
                <w:lang w:val="zh-CN" w:bidi="zh-CN"/>
              </w:rPr>
            </w:pPr>
          </w:p>
          <w:p>
            <w:pPr>
              <w:tabs>
                <w:tab w:val="left" w:pos="457"/>
              </w:tabs>
              <w:autoSpaceDE w:val="0"/>
              <w:autoSpaceDN w:val="0"/>
              <w:spacing w:before="131"/>
              <w:ind w:left="34"/>
              <w:jc w:val="center"/>
              <w:rPr>
                <w:rFonts w:ascii="宋体" w:hAnsi="宋体" w:cs="宋体"/>
                <w:color w:val="auto"/>
                <w:kern w:val="0"/>
                <w:highlight w:val="none"/>
                <w:lang w:val="zh-CN" w:bidi="zh-CN"/>
              </w:rPr>
            </w:pPr>
            <w:r>
              <w:rPr>
                <w:rFonts w:ascii="宋体" w:hAnsi="宋体" w:cs="宋体"/>
                <w:color w:val="auto"/>
                <w:kern w:val="0"/>
                <w:highlight w:val="none"/>
                <w:lang w:val="zh-CN" w:bidi="zh-CN"/>
              </w:rPr>
              <w:t>时</w:t>
            </w:r>
            <w:r>
              <w:rPr>
                <w:rFonts w:ascii="宋体" w:hAnsi="宋体" w:cs="宋体"/>
                <w:color w:val="auto"/>
                <w:kern w:val="0"/>
                <w:highlight w:val="none"/>
                <w:lang w:val="zh-CN" w:bidi="zh-CN"/>
              </w:rPr>
              <w:tab/>
            </w:r>
            <w:r>
              <w:rPr>
                <w:rFonts w:ascii="宋体" w:hAnsi="宋体" w:cs="宋体"/>
                <w:color w:val="auto"/>
                <w:kern w:val="0"/>
                <w:highlight w:val="none"/>
                <w:lang w:val="zh-CN" w:bidi="zh-CN"/>
              </w:rPr>
              <w:t>间</w:t>
            </w:r>
          </w:p>
        </w:tc>
        <w:tc>
          <w:tcPr>
            <w:tcW w:w="4261" w:type="dxa"/>
            <w:gridSpan w:val="5"/>
          </w:tcPr>
          <w:p>
            <w:pPr>
              <w:autoSpaceDE w:val="0"/>
              <w:autoSpaceDN w:val="0"/>
              <w:jc w:val="left"/>
              <w:rPr>
                <w:rFonts w:ascii="黑体" w:hAnsi="宋体" w:cs="宋体"/>
                <w:color w:val="auto"/>
                <w:kern w:val="0"/>
                <w:sz w:val="20"/>
                <w:highlight w:val="none"/>
                <w:lang w:val="zh-CN" w:bidi="zh-CN"/>
              </w:rPr>
            </w:pPr>
          </w:p>
          <w:p>
            <w:pPr>
              <w:autoSpaceDE w:val="0"/>
              <w:autoSpaceDN w:val="0"/>
              <w:spacing w:before="131"/>
              <w:ind w:left="877"/>
              <w:jc w:val="left"/>
              <w:rPr>
                <w:rFonts w:ascii="宋体" w:hAnsi="宋体" w:cs="宋体"/>
                <w:color w:val="auto"/>
                <w:kern w:val="0"/>
                <w:highlight w:val="none"/>
                <w:lang w:val="zh-CN" w:bidi="zh-CN"/>
              </w:rPr>
            </w:pPr>
            <w:r>
              <w:rPr>
                <w:rFonts w:ascii="宋体" w:hAnsi="宋体" w:cs="宋体"/>
                <w:color w:val="auto"/>
                <w:kern w:val="0"/>
                <w:highlight w:val="none"/>
                <w:lang w:val="zh-CN" w:bidi="zh-CN"/>
              </w:rPr>
              <w:t>参加过的</w:t>
            </w:r>
            <w:r>
              <w:rPr>
                <w:rFonts w:hint="eastAsia" w:ascii="宋体" w:hAnsi="宋体" w:cs="宋体"/>
                <w:color w:val="auto"/>
                <w:kern w:val="0"/>
                <w:highlight w:val="none"/>
                <w:lang w:val="zh-CN" w:bidi="zh-CN"/>
              </w:rPr>
              <w:t>公路工程</w:t>
            </w:r>
            <w:r>
              <w:rPr>
                <w:rFonts w:ascii="宋体" w:hAnsi="宋体" w:cs="宋体"/>
                <w:color w:val="auto"/>
                <w:kern w:val="0"/>
                <w:highlight w:val="none"/>
                <w:lang w:val="zh-CN" w:bidi="zh-CN"/>
              </w:rPr>
              <w:t>项目名称</w:t>
            </w:r>
          </w:p>
        </w:tc>
        <w:tc>
          <w:tcPr>
            <w:tcW w:w="1932" w:type="dxa"/>
            <w:gridSpan w:val="2"/>
          </w:tcPr>
          <w:p>
            <w:pPr>
              <w:autoSpaceDE w:val="0"/>
              <w:autoSpaceDN w:val="0"/>
              <w:jc w:val="left"/>
              <w:rPr>
                <w:rFonts w:ascii="黑体" w:hAnsi="宋体" w:cs="宋体"/>
                <w:color w:val="auto"/>
                <w:kern w:val="0"/>
                <w:sz w:val="20"/>
                <w:highlight w:val="none"/>
                <w:lang w:val="zh-CN" w:bidi="zh-CN"/>
              </w:rPr>
            </w:pPr>
          </w:p>
          <w:p>
            <w:pPr>
              <w:autoSpaceDE w:val="0"/>
              <w:autoSpaceDN w:val="0"/>
              <w:spacing w:before="131"/>
              <w:ind w:left="541"/>
              <w:jc w:val="left"/>
              <w:rPr>
                <w:rFonts w:ascii="宋体" w:hAnsi="宋体" w:cs="宋体"/>
                <w:color w:val="auto"/>
                <w:kern w:val="0"/>
                <w:highlight w:val="none"/>
                <w:lang w:val="zh-CN" w:bidi="zh-CN"/>
              </w:rPr>
            </w:pPr>
            <w:r>
              <w:rPr>
                <w:rFonts w:ascii="宋体" w:hAnsi="宋体" w:cs="宋体"/>
                <w:color w:val="auto"/>
                <w:kern w:val="0"/>
                <w:highlight w:val="none"/>
                <w:lang w:val="zh-CN" w:bidi="zh-CN"/>
              </w:rPr>
              <w:t>担任职务</w:t>
            </w:r>
          </w:p>
        </w:tc>
        <w:tc>
          <w:tcPr>
            <w:tcW w:w="1283" w:type="dxa"/>
          </w:tcPr>
          <w:p>
            <w:pPr>
              <w:autoSpaceDE w:val="0"/>
              <w:autoSpaceDN w:val="0"/>
              <w:spacing w:before="57" w:line="400" w:lineRule="atLeast"/>
              <w:ind w:left="320" w:right="107" w:hanging="212"/>
              <w:jc w:val="left"/>
              <w:rPr>
                <w:rFonts w:ascii="宋体" w:hAnsi="宋体" w:cs="宋体"/>
                <w:color w:val="auto"/>
                <w:kern w:val="0"/>
                <w:highlight w:val="none"/>
                <w:lang w:val="zh-CN" w:bidi="zh-CN"/>
              </w:rPr>
            </w:pPr>
            <w:r>
              <w:rPr>
                <w:rFonts w:ascii="宋体" w:hAnsi="宋体" w:cs="宋体"/>
                <w:color w:val="auto"/>
                <w:kern w:val="0"/>
                <w:highlight w:val="none"/>
                <w:lang w:val="zh-CN" w:bidi="zh-CN"/>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autoSpaceDE w:val="0"/>
              <w:autoSpaceDN w:val="0"/>
              <w:jc w:val="left"/>
              <w:rPr>
                <w:rFonts w:hAnsi="宋体" w:cs="宋体"/>
                <w:color w:val="auto"/>
                <w:kern w:val="0"/>
                <w:sz w:val="20"/>
                <w:highlight w:val="none"/>
                <w:lang w:val="zh-CN" w:bidi="zh-CN"/>
              </w:rPr>
            </w:pPr>
          </w:p>
        </w:tc>
        <w:tc>
          <w:tcPr>
            <w:tcW w:w="4261" w:type="dxa"/>
            <w:gridSpan w:val="5"/>
          </w:tcPr>
          <w:p>
            <w:pPr>
              <w:autoSpaceDE w:val="0"/>
              <w:autoSpaceDN w:val="0"/>
              <w:jc w:val="left"/>
              <w:rPr>
                <w:rFonts w:hAnsi="宋体" w:cs="宋体"/>
                <w:color w:val="auto"/>
                <w:kern w:val="0"/>
                <w:sz w:val="20"/>
                <w:highlight w:val="none"/>
                <w:lang w:val="zh-CN" w:bidi="zh-CN"/>
              </w:rPr>
            </w:pPr>
          </w:p>
        </w:tc>
        <w:tc>
          <w:tcPr>
            <w:tcW w:w="1932" w:type="dxa"/>
            <w:gridSpan w:val="2"/>
          </w:tcPr>
          <w:p>
            <w:pPr>
              <w:autoSpaceDE w:val="0"/>
              <w:autoSpaceDN w:val="0"/>
              <w:jc w:val="left"/>
              <w:rPr>
                <w:rFonts w:hAnsi="宋体" w:cs="宋体"/>
                <w:color w:val="auto"/>
                <w:kern w:val="0"/>
                <w:sz w:val="20"/>
                <w:highlight w:val="none"/>
                <w:lang w:val="zh-CN" w:bidi="zh-CN"/>
              </w:rPr>
            </w:pPr>
          </w:p>
        </w:tc>
        <w:tc>
          <w:tcPr>
            <w:tcW w:w="1283" w:type="dxa"/>
          </w:tcPr>
          <w:p>
            <w:pPr>
              <w:autoSpaceDE w:val="0"/>
              <w:autoSpaceDN w:val="0"/>
              <w:jc w:val="left"/>
              <w:rPr>
                <w:rFonts w:hAnsi="宋体" w:cs="宋体"/>
                <w:color w:val="auto"/>
                <w:kern w:val="0"/>
                <w:sz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autoSpaceDE w:val="0"/>
              <w:autoSpaceDN w:val="0"/>
              <w:jc w:val="left"/>
              <w:rPr>
                <w:rFonts w:hAnsi="宋体" w:cs="宋体"/>
                <w:color w:val="auto"/>
                <w:kern w:val="0"/>
                <w:sz w:val="20"/>
                <w:highlight w:val="none"/>
                <w:lang w:val="zh-CN" w:bidi="zh-CN"/>
              </w:rPr>
            </w:pPr>
          </w:p>
        </w:tc>
        <w:tc>
          <w:tcPr>
            <w:tcW w:w="4261" w:type="dxa"/>
            <w:gridSpan w:val="5"/>
          </w:tcPr>
          <w:p>
            <w:pPr>
              <w:autoSpaceDE w:val="0"/>
              <w:autoSpaceDN w:val="0"/>
              <w:jc w:val="left"/>
              <w:rPr>
                <w:rFonts w:hAnsi="宋体" w:cs="宋体"/>
                <w:color w:val="auto"/>
                <w:kern w:val="0"/>
                <w:sz w:val="20"/>
                <w:highlight w:val="none"/>
                <w:lang w:val="zh-CN" w:bidi="zh-CN"/>
              </w:rPr>
            </w:pPr>
          </w:p>
        </w:tc>
        <w:tc>
          <w:tcPr>
            <w:tcW w:w="1932" w:type="dxa"/>
            <w:gridSpan w:val="2"/>
          </w:tcPr>
          <w:p>
            <w:pPr>
              <w:autoSpaceDE w:val="0"/>
              <w:autoSpaceDN w:val="0"/>
              <w:jc w:val="left"/>
              <w:rPr>
                <w:rFonts w:hAnsi="宋体" w:cs="宋体"/>
                <w:color w:val="auto"/>
                <w:kern w:val="0"/>
                <w:sz w:val="20"/>
                <w:highlight w:val="none"/>
                <w:lang w:val="zh-CN" w:bidi="zh-CN"/>
              </w:rPr>
            </w:pPr>
          </w:p>
        </w:tc>
        <w:tc>
          <w:tcPr>
            <w:tcW w:w="1283" w:type="dxa"/>
          </w:tcPr>
          <w:p>
            <w:pPr>
              <w:autoSpaceDE w:val="0"/>
              <w:autoSpaceDN w:val="0"/>
              <w:jc w:val="left"/>
              <w:rPr>
                <w:rFonts w:hAnsi="宋体" w:cs="宋体"/>
                <w:color w:val="auto"/>
                <w:kern w:val="0"/>
                <w:sz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1261" w:type="dxa"/>
          </w:tcPr>
          <w:p>
            <w:pPr>
              <w:autoSpaceDE w:val="0"/>
              <w:autoSpaceDN w:val="0"/>
              <w:jc w:val="left"/>
              <w:rPr>
                <w:rFonts w:hAnsi="宋体" w:cs="宋体"/>
                <w:color w:val="auto"/>
                <w:kern w:val="0"/>
                <w:sz w:val="20"/>
                <w:highlight w:val="none"/>
                <w:lang w:val="zh-CN" w:bidi="zh-CN"/>
              </w:rPr>
            </w:pPr>
          </w:p>
        </w:tc>
        <w:tc>
          <w:tcPr>
            <w:tcW w:w="4261" w:type="dxa"/>
            <w:gridSpan w:val="5"/>
          </w:tcPr>
          <w:p>
            <w:pPr>
              <w:autoSpaceDE w:val="0"/>
              <w:autoSpaceDN w:val="0"/>
              <w:jc w:val="left"/>
              <w:rPr>
                <w:rFonts w:hAnsi="宋体" w:cs="宋体"/>
                <w:color w:val="auto"/>
                <w:kern w:val="0"/>
                <w:sz w:val="20"/>
                <w:highlight w:val="none"/>
                <w:lang w:val="zh-CN" w:bidi="zh-CN"/>
              </w:rPr>
            </w:pPr>
          </w:p>
        </w:tc>
        <w:tc>
          <w:tcPr>
            <w:tcW w:w="1932" w:type="dxa"/>
            <w:gridSpan w:val="2"/>
          </w:tcPr>
          <w:p>
            <w:pPr>
              <w:autoSpaceDE w:val="0"/>
              <w:autoSpaceDN w:val="0"/>
              <w:jc w:val="left"/>
              <w:rPr>
                <w:rFonts w:hAnsi="宋体" w:cs="宋体"/>
                <w:color w:val="auto"/>
                <w:kern w:val="0"/>
                <w:sz w:val="20"/>
                <w:highlight w:val="none"/>
                <w:lang w:val="zh-CN" w:bidi="zh-CN"/>
              </w:rPr>
            </w:pPr>
          </w:p>
        </w:tc>
        <w:tc>
          <w:tcPr>
            <w:tcW w:w="1283" w:type="dxa"/>
          </w:tcPr>
          <w:p>
            <w:pPr>
              <w:autoSpaceDE w:val="0"/>
              <w:autoSpaceDN w:val="0"/>
              <w:jc w:val="left"/>
              <w:rPr>
                <w:rFonts w:hAnsi="宋体" w:cs="宋体"/>
                <w:color w:val="auto"/>
                <w:kern w:val="0"/>
                <w:sz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autoSpaceDE w:val="0"/>
              <w:autoSpaceDN w:val="0"/>
              <w:jc w:val="left"/>
              <w:rPr>
                <w:rFonts w:hAnsi="宋体" w:cs="宋体"/>
                <w:color w:val="auto"/>
                <w:kern w:val="0"/>
                <w:sz w:val="20"/>
                <w:highlight w:val="none"/>
                <w:lang w:val="zh-CN" w:bidi="zh-CN"/>
              </w:rPr>
            </w:pPr>
          </w:p>
        </w:tc>
        <w:tc>
          <w:tcPr>
            <w:tcW w:w="4261" w:type="dxa"/>
            <w:gridSpan w:val="5"/>
          </w:tcPr>
          <w:p>
            <w:pPr>
              <w:autoSpaceDE w:val="0"/>
              <w:autoSpaceDN w:val="0"/>
              <w:jc w:val="left"/>
              <w:rPr>
                <w:rFonts w:hAnsi="宋体" w:cs="宋体"/>
                <w:color w:val="auto"/>
                <w:kern w:val="0"/>
                <w:sz w:val="20"/>
                <w:highlight w:val="none"/>
                <w:lang w:val="zh-CN" w:bidi="zh-CN"/>
              </w:rPr>
            </w:pPr>
          </w:p>
        </w:tc>
        <w:tc>
          <w:tcPr>
            <w:tcW w:w="1932" w:type="dxa"/>
            <w:gridSpan w:val="2"/>
          </w:tcPr>
          <w:p>
            <w:pPr>
              <w:autoSpaceDE w:val="0"/>
              <w:autoSpaceDN w:val="0"/>
              <w:jc w:val="left"/>
              <w:rPr>
                <w:rFonts w:hAnsi="宋体" w:cs="宋体"/>
                <w:color w:val="auto"/>
                <w:kern w:val="0"/>
                <w:sz w:val="20"/>
                <w:highlight w:val="none"/>
                <w:lang w:val="zh-CN" w:bidi="zh-CN"/>
              </w:rPr>
            </w:pPr>
          </w:p>
        </w:tc>
        <w:tc>
          <w:tcPr>
            <w:tcW w:w="1283" w:type="dxa"/>
          </w:tcPr>
          <w:p>
            <w:pPr>
              <w:autoSpaceDE w:val="0"/>
              <w:autoSpaceDN w:val="0"/>
              <w:jc w:val="left"/>
              <w:rPr>
                <w:rFonts w:hAnsi="宋体" w:cs="宋体"/>
                <w:color w:val="auto"/>
                <w:kern w:val="0"/>
                <w:sz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autoSpaceDE w:val="0"/>
              <w:autoSpaceDN w:val="0"/>
              <w:jc w:val="left"/>
              <w:rPr>
                <w:rFonts w:hAnsi="宋体" w:cs="宋体"/>
                <w:color w:val="auto"/>
                <w:kern w:val="0"/>
                <w:sz w:val="20"/>
                <w:highlight w:val="none"/>
                <w:lang w:val="zh-CN" w:bidi="zh-CN"/>
              </w:rPr>
            </w:pPr>
          </w:p>
        </w:tc>
        <w:tc>
          <w:tcPr>
            <w:tcW w:w="4261" w:type="dxa"/>
            <w:gridSpan w:val="5"/>
          </w:tcPr>
          <w:p>
            <w:pPr>
              <w:autoSpaceDE w:val="0"/>
              <w:autoSpaceDN w:val="0"/>
              <w:jc w:val="left"/>
              <w:rPr>
                <w:rFonts w:hAnsi="宋体" w:cs="宋体"/>
                <w:color w:val="auto"/>
                <w:kern w:val="0"/>
                <w:sz w:val="20"/>
                <w:highlight w:val="none"/>
                <w:lang w:val="zh-CN" w:bidi="zh-CN"/>
              </w:rPr>
            </w:pPr>
          </w:p>
        </w:tc>
        <w:tc>
          <w:tcPr>
            <w:tcW w:w="1932" w:type="dxa"/>
            <w:gridSpan w:val="2"/>
          </w:tcPr>
          <w:p>
            <w:pPr>
              <w:autoSpaceDE w:val="0"/>
              <w:autoSpaceDN w:val="0"/>
              <w:jc w:val="left"/>
              <w:rPr>
                <w:rFonts w:hAnsi="宋体" w:cs="宋体"/>
                <w:color w:val="auto"/>
                <w:kern w:val="0"/>
                <w:sz w:val="20"/>
                <w:highlight w:val="none"/>
                <w:lang w:val="zh-CN" w:bidi="zh-CN"/>
              </w:rPr>
            </w:pPr>
          </w:p>
        </w:tc>
        <w:tc>
          <w:tcPr>
            <w:tcW w:w="1283" w:type="dxa"/>
          </w:tcPr>
          <w:p>
            <w:pPr>
              <w:autoSpaceDE w:val="0"/>
              <w:autoSpaceDN w:val="0"/>
              <w:jc w:val="left"/>
              <w:rPr>
                <w:rFonts w:hAnsi="宋体" w:cs="宋体"/>
                <w:color w:val="auto"/>
                <w:kern w:val="0"/>
                <w:sz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autoSpaceDE w:val="0"/>
              <w:autoSpaceDN w:val="0"/>
              <w:jc w:val="left"/>
              <w:rPr>
                <w:rFonts w:hAnsi="宋体" w:cs="宋体"/>
                <w:color w:val="auto"/>
                <w:kern w:val="0"/>
                <w:sz w:val="20"/>
                <w:highlight w:val="none"/>
                <w:lang w:val="zh-CN" w:bidi="zh-CN"/>
              </w:rPr>
            </w:pPr>
          </w:p>
        </w:tc>
        <w:tc>
          <w:tcPr>
            <w:tcW w:w="4261" w:type="dxa"/>
            <w:gridSpan w:val="5"/>
          </w:tcPr>
          <w:p>
            <w:pPr>
              <w:autoSpaceDE w:val="0"/>
              <w:autoSpaceDN w:val="0"/>
              <w:jc w:val="left"/>
              <w:rPr>
                <w:rFonts w:hAnsi="宋体" w:cs="宋体"/>
                <w:color w:val="auto"/>
                <w:kern w:val="0"/>
                <w:sz w:val="20"/>
                <w:highlight w:val="none"/>
                <w:lang w:val="zh-CN" w:bidi="zh-CN"/>
              </w:rPr>
            </w:pPr>
          </w:p>
        </w:tc>
        <w:tc>
          <w:tcPr>
            <w:tcW w:w="1932" w:type="dxa"/>
            <w:gridSpan w:val="2"/>
          </w:tcPr>
          <w:p>
            <w:pPr>
              <w:autoSpaceDE w:val="0"/>
              <w:autoSpaceDN w:val="0"/>
              <w:jc w:val="left"/>
              <w:rPr>
                <w:rFonts w:hAnsi="宋体" w:cs="宋体"/>
                <w:color w:val="auto"/>
                <w:kern w:val="0"/>
                <w:sz w:val="20"/>
                <w:highlight w:val="none"/>
                <w:lang w:val="zh-CN" w:bidi="zh-CN"/>
              </w:rPr>
            </w:pPr>
          </w:p>
        </w:tc>
        <w:tc>
          <w:tcPr>
            <w:tcW w:w="1283" w:type="dxa"/>
          </w:tcPr>
          <w:p>
            <w:pPr>
              <w:autoSpaceDE w:val="0"/>
              <w:autoSpaceDN w:val="0"/>
              <w:jc w:val="left"/>
              <w:rPr>
                <w:rFonts w:hAnsi="宋体" w:cs="宋体"/>
                <w:color w:val="auto"/>
                <w:kern w:val="0"/>
                <w:sz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autoSpaceDE w:val="0"/>
              <w:autoSpaceDN w:val="0"/>
              <w:jc w:val="left"/>
              <w:rPr>
                <w:rFonts w:hAnsi="宋体" w:cs="宋体"/>
                <w:color w:val="auto"/>
                <w:kern w:val="0"/>
                <w:sz w:val="20"/>
                <w:highlight w:val="none"/>
                <w:lang w:val="zh-CN" w:bidi="zh-CN"/>
              </w:rPr>
            </w:pPr>
          </w:p>
        </w:tc>
        <w:tc>
          <w:tcPr>
            <w:tcW w:w="4261" w:type="dxa"/>
            <w:gridSpan w:val="5"/>
          </w:tcPr>
          <w:p>
            <w:pPr>
              <w:autoSpaceDE w:val="0"/>
              <w:autoSpaceDN w:val="0"/>
              <w:jc w:val="left"/>
              <w:rPr>
                <w:rFonts w:hAnsi="宋体" w:cs="宋体"/>
                <w:color w:val="auto"/>
                <w:kern w:val="0"/>
                <w:sz w:val="20"/>
                <w:highlight w:val="none"/>
                <w:lang w:val="zh-CN" w:bidi="zh-CN"/>
              </w:rPr>
            </w:pPr>
          </w:p>
        </w:tc>
        <w:tc>
          <w:tcPr>
            <w:tcW w:w="1932" w:type="dxa"/>
            <w:gridSpan w:val="2"/>
          </w:tcPr>
          <w:p>
            <w:pPr>
              <w:autoSpaceDE w:val="0"/>
              <w:autoSpaceDN w:val="0"/>
              <w:jc w:val="left"/>
              <w:rPr>
                <w:rFonts w:hAnsi="宋体" w:cs="宋体"/>
                <w:color w:val="auto"/>
                <w:kern w:val="0"/>
                <w:sz w:val="20"/>
                <w:highlight w:val="none"/>
                <w:lang w:val="zh-CN" w:bidi="zh-CN"/>
              </w:rPr>
            </w:pPr>
          </w:p>
        </w:tc>
        <w:tc>
          <w:tcPr>
            <w:tcW w:w="1283" w:type="dxa"/>
          </w:tcPr>
          <w:p>
            <w:pPr>
              <w:autoSpaceDE w:val="0"/>
              <w:autoSpaceDN w:val="0"/>
              <w:jc w:val="left"/>
              <w:rPr>
                <w:rFonts w:hAnsi="宋体" w:cs="宋体"/>
                <w:color w:val="auto"/>
                <w:kern w:val="0"/>
                <w:sz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autoSpaceDE w:val="0"/>
              <w:autoSpaceDN w:val="0"/>
              <w:jc w:val="left"/>
              <w:rPr>
                <w:rFonts w:hAnsi="宋体" w:cs="宋体"/>
                <w:color w:val="auto"/>
                <w:kern w:val="0"/>
                <w:sz w:val="20"/>
                <w:highlight w:val="none"/>
                <w:lang w:val="zh-CN" w:bidi="zh-CN"/>
              </w:rPr>
            </w:pPr>
          </w:p>
        </w:tc>
        <w:tc>
          <w:tcPr>
            <w:tcW w:w="4261" w:type="dxa"/>
            <w:gridSpan w:val="5"/>
          </w:tcPr>
          <w:p>
            <w:pPr>
              <w:autoSpaceDE w:val="0"/>
              <w:autoSpaceDN w:val="0"/>
              <w:jc w:val="left"/>
              <w:rPr>
                <w:rFonts w:hAnsi="宋体" w:cs="宋体"/>
                <w:color w:val="auto"/>
                <w:kern w:val="0"/>
                <w:sz w:val="20"/>
                <w:highlight w:val="none"/>
                <w:lang w:val="zh-CN" w:bidi="zh-CN"/>
              </w:rPr>
            </w:pPr>
          </w:p>
        </w:tc>
        <w:tc>
          <w:tcPr>
            <w:tcW w:w="1932" w:type="dxa"/>
            <w:gridSpan w:val="2"/>
          </w:tcPr>
          <w:p>
            <w:pPr>
              <w:autoSpaceDE w:val="0"/>
              <w:autoSpaceDN w:val="0"/>
              <w:jc w:val="left"/>
              <w:rPr>
                <w:rFonts w:hAnsi="宋体" w:cs="宋体"/>
                <w:color w:val="auto"/>
                <w:kern w:val="0"/>
                <w:sz w:val="20"/>
                <w:highlight w:val="none"/>
                <w:lang w:val="zh-CN" w:bidi="zh-CN"/>
              </w:rPr>
            </w:pPr>
          </w:p>
        </w:tc>
        <w:tc>
          <w:tcPr>
            <w:tcW w:w="1283" w:type="dxa"/>
          </w:tcPr>
          <w:p>
            <w:pPr>
              <w:autoSpaceDE w:val="0"/>
              <w:autoSpaceDN w:val="0"/>
              <w:jc w:val="left"/>
              <w:rPr>
                <w:rFonts w:hAnsi="宋体" w:cs="宋体"/>
                <w:color w:val="auto"/>
                <w:kern w:val="0"/>
                <w:sz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1261" w:type="dxa"/>
          </w:tcPr>
          <w:p>
            <w:pPr>
              <w:autoSpaceDE w:val="0"/>
              <w:autoSpaceDN w:val="0"/>
              <w:jc w:val="left"/>
              <w:rPr>
                <w:rFonts w:hAnsi="宋体" w:cs="宋体"/>
                <w:color w:val="auto"/>
                <w:kern w:val="0"/>
                <w:sz w:val="20"/>
                <w:highlight w:val="none"/>
                <w:lang w:val="zh-CN" w:bidi="zh-CN"/>
              </w:rPr>
            </w:pPr>
          </w:p>
        </w:tc>
        <w:tc>
          <w:tcPr>
            <w:tcW w:w="4261" w:type="dxa"/>
            <w:gridSpan w:val="5"/>
          </w:tcPr>
          <w:p>
            <w:pPr>
              <w:autoSpaceDE w:val="0"/>
              <w:autoSpaceDN w:val="0"/>
              <w:jc w:val="left"/>
              <w:rPr>
                <w:rFonts w:hAnsi="宋体" w:cs="宋体"/>
                <w:color w:val="auto"/>
                <w:kern w:val="0"/>
                <w:sz w:val="20"/>
                <w:highlight w:val="none"/>
                <w:lang w:val="zh-CN" w:bidi="zh-CN"/>
              </w:rPr>
            </w:pPr>
          </w:p>
        </w:tc>
        <w:tc>
          <w:tcPr>
            <w:tcW w:w="1932" w:type="dxa"/>
            <w:gridSpan w:val="2"/>
          </w:tcPr>
          <w:p>
            <w:pPr>
              <w:autoSpaceDE w:val="0"/>
              <w:autoSpaceDN w:val="0"/>
              <w:jc w:val="left"/>
              <w:rPr>
                <w:rFonts w:hAnsi="宋体" w:cs="宋体"/>
                <w:color w:val="auto"/>
                <w:kern w:val="0"/>
                <w:sz w:val="20"/>
                <w:highlight w:val="none"/>
                <w:lang w:val="zh-CN" w:bidi="zh-CN"/>
              </w:rPr>
            </w:pPr>
          </w:p>
        </w:tc>
        <w:tc>
          <w:tcPr>
            <w:tcW w:w="1283" w:type="dxa"/>
          </w:tcPr>
          <w:p>
            <w:pPr>
              <w:autoSpaceDE w:val="0"/>
              <w:autoSpaceDN w:val="0"/>
              <w:jc w:val="left"/>
              <w:rPr>
                <w:rFonts w:hAnsi="宋体" w:cs="宋体"/>
                <w:color w:val="auto"/>
                <w:kern w:val="0"/>
                <w:sz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2638" w:type="dxa"/>
            <w:gridSpan w:val="2"/>
          </w:tcPr>
          <w:p>
            <w:pPr>
              <w:autoSpaceDE w:val="0"/>
              <w:autoSpaceDN w:val="0"/>
              <w:spacing w:before="8"/>
              <w:jc w:val="left"/>
              <w:rPr>
                <w:rFonts w:ascii="黑体" w:hAnsi="宋体" w:cs="宋体"/>
                <w:color w:val="auto"/>
                <w:kern w:val="0"/>
                <w:sz w:val="14"/>
                <w:highlight w:val="none"/>
                <w:lang w:val="zh-CN" w:bidi="zh-CN"/>
              </w:rPr>
            </w:pPr>
          </w:p>
          <w:p>
            <w:pPr>
              <w:autoSpaceDE w:val="0"/>
              <w:autoSpaceDN w:val="0"/>
              <w:spacing w:before="1"/>
              <w:ind w:left="878" w:right="869"/>
              <w:jc w:val="center"/>
              <w:rPr>
                <w:rFonts w:ascii="宋体" w:hAnsi="宋体" w:cs="宋体"/>
                <w:color w:val="auto"/>
                <w:kern w:val="0"/>
                <w:highlight w:val="none"/>
                <w:lang w:val="zh-CN" w:bidi="zh-CN"/>
              </w:rPr>
            </w:pPr>
            <w:r>
              <w:rPr>
                <w:rFonts w:ascii="宋体" w:hAnsi="宋体" w:cs="宋体"/>
                <w:color w:val="auto"/>
                <w:kern w:val="0"/>
                <w:highlight w:val="none"/>
                <w:lang w:val="zh-CN" w:bidi="zh-CN"/>
              </w:rPr>
              <w:t>获奖情况</w:t>
            </w:r>
          </w:p>
        </w:tc>
        <w:tc>
          <w:tcPr>
            <w:tcW w:w="6099" w:type="dxa"/>
            <w:gridSpan w:val="7"/>
          </w:tcPr>
          <w:p>
            <w:pPr>
              <w:autoSpaceDE w:val="0"/>
              <w:autoSpaceDN w:val="0"/>
              <w:jc w:val="left"/>
              <w:rPr>
                <w:rFonts w:hAnsi="宋体" w:cs="宋体"/>
                <w:color w:val="auto"/>
                <w:kern w:val="0"/>
                <w:sz w:val="20"/>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1" w:hRule="atLeast"/>
          <w:jc w:val="center"/>
        </w:trPr>
        <w:tc>
          <w:tcPr>
            <w:tcW w:w="2638" w:type="dxa"/>
            <w:gridSpan w:val="2"/>
          </w:tcPr>
          <w:p>
            <w:pPr>
              <w:autoSpaceDE w:val="0"/>
              <w:autoSpaceDN w:val="0"/>
              <w:jc w:val="left"/>
              <w:rPr>
                <w:rFonts w:ascii="黑体" w:hAnsi="宋体" w:cs="宋体"/>
                <w:color w:val="auto"/>
                <w:kern w:val="0"/>
                <w:sz w:val="20"/>
                <w:highlight w:val="none"/>
                <w:lang w:val="zh-CN" w:bidi="zh-CN"/>
              </w:rPr>
            </w:pPr>
          </w:p>
          <w:p>
            <w:pPr>
              <w:autoSpaceDE w:val="0"/>
              <w:autoSpaceDN w:val="0"/>
              <w:spacing w:before="7"/>
              <w:jc w:val="left"/>
              <w:rPr>
                <w:rFonts w:ascii="黑体" w:hAnsi="宋体" w:cs="宋体"/>
                <w:color w:val="auto"/>
                <w:kern w:val="0"/>
                <w:sz w:val="19"/>
                <w:highlight w:val="none"/>
                <w:lang w:val="zh-CN" w:bidi="zh-CN"/>
              </w:rPr>
            </w:pPr>
          </w:p>
          <w:p>
            <w:pPr>
              <w:autoSpaceDE w:val="0"/>
              <w:autoSpaceDN w:val="0"/>
              <w:ind w:left="688"/>
              <w:jc w:val="left"/>
              <w:rPr>
                <w:rFonts w:ascii="宋体" w:hAnsi="宋体" w:cs="宋体"/>
                <w:color w:val="auto"/>
                <w:kern w:val="0"/>
                <w:highlight w:val="none"/>
                <w:lang w:val="zh-CN" w:bidi="zh-CN"/>
              </w:rPr>
            </w:pPr>
            <w:r>
              <w:rPr>
                <w:rFonts w:ascii="宋体" w:hAnsi="宋体" w:cs="宋体"/>
                <w:color w:val="auto"/>
                <w:kern w:val="0"/>
                <w:highlight w:val="none"/>
                <w:lang w:val="zh-CN" w:bidi="zh-CN"/>
              </w:rPr>
              <w:t>说明在岗情况</w:t>
            </w:r>
          </w:p>
        </w:tc>
        <w:tc>
          <w:tcPr>
            <w:tcW w:w="6099" w:type="dxa"/>
            <w:gridSpan w:val="7"/>
          </w:tcPr>
          <w:p>
            <w:pPr>
              <w:tabs>
                <w:tab w:val="left" w:pos="5780"/>
              </w:tabs>
              <w:autoSpaceDE w:val="0"/>
              <w:autoSpaceDN w:val="0"/>
              <w:spacing w:before="90"/>
              <w:ind w:left="107"/>
              <w:jc w:val="left"/>
              <w:rPr>
                <w:rFonts w:ascii="宋体" w:hAnsi="宋体" w:cs="宋体"/>
                <w:color w:val="auto"/>
                <w:kern w:val="0"/>
                <w:highlight w:val="none"/>
                <w:lang w:val="zh-CN" w:bidi="zh-CN"/>
              </w:rPr>
            </w:pPr>
            <w:r>
              <w:rPr>
                <w:rFonts w:ascii="宋体" w:hAnsi="宋体" w:cs="宋体"/>
                <w:color w:val="auto"/>
                <w:kern w:val="0"/>
                <w:highlight w:val="none"/>
                <w:lang w:val="zh-CN" w:bidi="zh-CN"/>
              </w:rPr>
              <w:t>□目前未在其他项目上任职，现从事工作为：</w:t>
            </w:r>
            <w:r>
              <w:rPr>
                <w:rFonts w:ascii="宋体" w:hAnsi="宋体" w:cs="宋体"/>
                <w:color w:val="auto"/>
                <w:kern w:val="0"/>
                <w:highlight w:val="none"/>
                <w:u w:val="single"/>
                <w:lang w:val="zh-CN" w:bidi="zh-CN"/>
              </w:rPr>
              <w:t xml:space="preserve"> </w:t>
            </w:r>
            <w:r>
              <w:rPr>
                <w:rFonts w:ascii="宋体" w:hAnsi="宋体" w:cs="宋体"/>
                <w:color w:val="auto"/>
                <w:kern w:val="0"/>
                <w:highlight w:val="none"/>
                <w:u w:val="single"/>
                <w:lang w:val="zh-CN" w:bidi="zh-CN"/>
              </w:rPr>
              <w:tab/>
            </w:r>
            <w:r>
              <w:rPr>
                <w:rFonts w:ascii="宋体" w:hAnsi="宋体" w:cs="宋体"/>
                <w:color w:val="auto"/>
                <w:kern w:val="0"/>
                <w:highlight w:val="none"/>
                <w:lang w:val="zh-CN" w:bidi="zh-CN"/>
              </w:rPr>
              <w:t>。</w:t>
            </w:r>
          </w:p>
          <w:p>
            <w:pPr>
              <w:tabs>
                <w:tab w:val="left" w:pos="3626"/>
                <w:tab w:val="left" w:pos="5883"/>
              </w:tabs>
              <w:autoSpaceDE w:val="0"/>
              <w:autoSpaceDN w:val="0"/>
              <w:spacing w:before="16" w:line="400" w:lineRule="exact"/>
              <w:ind w:left="107" w:right="-15"/>
              <w:jc w:val="left"/>
              <w:rPr>
                <w:rFonts w:ascii="宋体" w:hAnsi="宋体" w:cs="宋体"/>
                <w:color w:val="auto"/>
                <w:kern w:val="0"/>
                <w:highlight w:val="none"/>
                <w:lang w:val="zh-CN" w:bidi="zh-CN"/>
              </w:rPr>
            </w:pPr>
            <w:r>
              <w:rPr>
                <w:rFonts w:ascii="宋体" w:hAnsi="宋体" w:cs="宋体"/>
                <w:color w:val="auto"/>
                <w:kern w:val="0"/>
                <w:highlight w:val="none"/>
                <w:lang w:val="zh-CN" w:bidi="zh-CN"/>
              </w:rPr>
              <w:t>□目前虽在其他项目上任职，但本项目中标后能够从该项目撤离，目前任职项目</w:t>
            </w:r>
            <w:r>
              <w:rPr>
                <w:rFonts w:ascii="宋体" w:hAnsi="宋体" w:cs="宋体"/>
                <w:color w:val="auto"/>
                <w:kern w:val="0"/>
                <w:highlight w:val="none"/>
                <w:u w:val="single"/>
                <w:lang w:val="zh-CN" w:bidi="zh-CN"/>
              </w:rPr>
              <w:t>：</w:t>
            </w:r>
            <w:r>
              <w:rPr>
                <w:rFonts w:ascii="宋体" w:hAnsi="宋体" w:cs="宋体"/>
                <w:color w:val="auto"/>
                <w:kern w:val="0"/>
                <w:highlight w:val="none"/>
                <w:u w:val="single"/>
                <w:lang w:val="zh-CN" w:bidi="zh-CN"/>
              </w:rPr>
              <w:tab/>
            </w:r>
            <w:r>
              <w:rPr>
                <w:rFonts w:ascii="宋体" w:hAnsi="宋体" w:cs="宋体"/>
                <w:color w:val="auto"/>
                <w:kern w:val="0"/>
                <w:highlight w:val="none"/>
                <w:lang w:val="zh-CN" w:bidi="zh-CN"/>
              </w:rPr>
              <w:t>，担任职位：</w:t>
            </w:r>
            <w:r>
              <w:rPr>
                <w:rFonts w:ascii="宋体" w:hAnsi="宋体" w:cs="宋体"/>
                <w:color w:val="auto"/>
                <w:kern w:val="0"/>
                <w:highlight w:val="none"/>
                <w:u w:val="single"/>
                <w:lang w:val="zh-CN" w:bidi="zh-CN"/>
              </w:rPr>
              <w:tab/>
            </w:r>
            <w:r>
              <w:rPr>
                <w:rFonts w:ascii="宋体" w:hAnsi="宋体" w:cs="宋体"/>
                <w:color w:val="auto"/>
                <w:kern w:val="0"/>
                <w:highlight w:val="none"/>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1" w:hRule="atLeast"/>
          <w:jc w:val="center"/>
        </w:trPr>
        <w:tc>
          <w:tcPr>
            <w:tcW w:w="2638" w:type="dxa"/>
            <w:gridSpan w:val="2"/>
          </w:tcPr>
          <w:p>
            <w:pPr>
              <w:autoSpaceDE w:val="0"/>
              <w:autoSpaceDN w:val="0"/>
              <w:jc w:val="left"/>
              <w:rPr>
                <w:rFonts w:ascii="黑体" w:hAnsi="宋体" w:cs="宋体"/>
                <w:color w:val="auto"/>
                <w:kern w:val="0"/>
                <w:sz w:val="20"/>
                <w:highlight w:val="none"/>
                <w:lang w:val="zh-CN" w:bidi="zh-CN"/>
              </w:rPr>
            </w:pPr>
          </w:p>
          <w:p>
            <w:pPr>
              <w:autoSpaceDE w:val="0"/>
              <w:autoSpaceDN w:val="0"/>
              <w:spacing w:before="5"/>
              <w:jc w:val="left"/>
              <w:rPr>
                <w:rFonts w:ascii="黑体" w:hAnsi="宋体" w:cs="宋体"/>
                <w:color w:val="auto"/>
                <w:kern w:val="0"/>
                <w:sz w:val="17"/>
                <w:highlight w:val="none"/>
                <w:lang w:val="zh-CN" w:bidi="zh-CN"/>
              </w:rPr>
            </w:pPr>
          </w:p>
          <w:p>
            <w:pPr>
              <w:tabs>
                <w:tab w:val="left" w:pos="1581"/>
              </w:tabs>
              <w:autoSpaceDE w:val="0"/>
              <w:autoSpaceDN w:val="0"/>
              <w:ind w:left="844"/>
              <w:jc w:val="left"/>
              <w:rPr>
                <w:rFonts w:ascii="宋体" w:hAnsi="宋体" w:cs="宋体"/>
                <w:color w:val="auto"/>
                <w:kern w:val="0"/>
                <w:highlight w:val="none"/>
                <w:lang w:val="zh-CN" w:bidi="zh-CN"/>
              </w:rPr>
            </w:pPr>
            <w:r>
              <w:rPr>
                <w:rFonts w:ascii="宋体" w:hAnsi="宋体" w:cs="宋体"/>
                <w:color w:val="auto"/>
                <w:kern w:val="0"/>
                <w:highlight w:val="none"/>
                <w:lang w:val="zh-CN" w:bidi="zh-CN"/>
              </w:rPr>
              <w:t>备</w:t>
            </w:r>
            <w:r>
              <w:rPr>
                <w:rFonts w:ascii="宋体" w:hAnsi="宋体" w:cs="宋体"/>
                <w:color w:val="auto"/>
                <w:kern w:val="0"/>
                <w:highlight w:val="none"/>
                <w:lang w:val="zh-CN" w:bidi="zh-CN"/>
              </w:rPr>
              <w:tab/>
            </w:r>
            <w:r>
              <w:rPr>
                <w:rFonts w:ascii="宋体" w:hAnsi="宋体" w:cs="宋体"/>
                <w:color w:val="auto"/>
                <w:kern w:val="0"/>
                <w:highlight w:val="none"/>
                <w:lang w:val="zh-CN" w:bidi="zh-CN"/>
              </w:rPr>
              <w:t>注</w:t>
            </w:r>
          </w:p>
        </w:tc>
        <w:tc>
          <w:tcPr>
            <w:tcW w:w="6099" w:type="dxa"/>
            <w:gridSpan w:val="7"/>
          </w:tcPr>
          <w:p>
            <w:pPr>
              <w:autoSpaceDE w:val="0"/>
              <w:autoSpaceDN w:val="0"/>
              <w:jc w:val="left"/>
              <w:rPr>
                <w:rFonts w:hAnsi="宋体" w:cs="宋体"/>
                <w:color w:val="auto"/>
                <w:kern w:val="0"/>
                <w:sz w:val="20"/>
                <w:highlight w:val="none"/>
                <w:lang w:val="zh-CN" w:bidi="zh-CN"/>
              </w:rPr>
            </w:pPr>
          </w:p>
        </w:tc>
      </w:tr>
    </w:tbl>
    <w:p>
      <w:pPr>
        <w:autoSpaceDE w:val="0"/>
        <w:autoSpaceDN w:val="0"/>
        <w:spacing w:before="128"/>
        <w:jc w:val="left"/>
        <w:rPr>
          <w:rFonts w:hint="eastAsia" w:ascii="宋体" w:hAnsi="宋体" w:eastAsia="宋体" w:cs="宋体"/>
          <w:color w:val="auto"/>
          <w:kern w:val="0"/>
          <w:highlight w:val="none"/>
          <w:lang w:val="zh-CN" w:bidi="zh-CN"/>
        </w:rPr>
      </w:pPr>
      <w:r>
        <w:rPr>
          <w:rFonts w:hint="eastAsia" w:ascii="宋体" w:hAnsi="宋体" w:eastAsia="宋体" w:cs="宋体"/>
          <w:color w:val="auto"/>
          <w:kern w:val="0"/>
          <w:highlight w:val="none"/>
          <w:lang w:val="zh-CN" w:bidi="zh-CN"/>
        </w:rPr>
        <w:t>注：1.本表应填写项目经理和项目总工相关情况。</w:t>
      </w:r>
    </w:p>
    <w:p>
      <w:pPr>
        <w:autoSpaceDE w:val="0"/>
        <w:autoSpaceDN w:val="0"/>
        <w:spacing w:before="129"/>
        <w:ind w:firstLine="420" w:firstLineChars="200"/>
        <w:jc w:val="left"/>
        <w:rPr>
          <w:rFonts w:ascii="宋体" w:hAnsi="宋体" w:cs="宋体"/>
          <w:color w:val="auto"/>
          <w:kern w:val="0"/>
          <w:highlight w:val="none"/>
          <w:lang w:val="zh-CN" w:bidi="zh-CN"/>
        </w:rPr>
      </w:pPr>
      <w:r>
        <w:rPr>
          <w:rFonts w:hint="eastAsia" w:ascii="宋体" w:hAnsi="宋体" w:eastAsia="宋体" w:cs="宋体"/>
          <w:color w:val="auto"/>
          <w:kern w:val="0"/>
          <w:highlight w:val="none"/>
          <w:lang w:val="en-US" w:bidi="zh-CN"/>
        </w:rPr>
        <w:t>2.</w:t>
      </w:r>
      <w:r>
        <w:rPr>
          <w:rFonts w:hint="eastAsia" w:ascii="宋体" w:hAnsi="宋体" w:eastAsia="宋体" w:cs="宋体"/>
          <w:color w:val="auto"/>
          <w:kern w:val="0"/>
          <w:highlight w:val="none"/>
          <w:lang w:val="zh-CN" w:bidi="zh-CN"/>
        </w:rPr>
        <w:t>投标人应根据招标文件第二章“投标人须知”第 3.5.5 项的要求在本表后</w:t>
      </w:r>
      <w:r>
        <w:rPr>
          <w:rFonts w:ascii="宋体" w:hAnsi="宋体" w:cs="宋体"/>
          <w:color w:val="auto"/>
          <w:kern w:val="0"/>
          <w:highlight w:val="none"/>
          <w:lang w:val="zh-CN" w:bidi="zh-CN"/>
        </w:rPr>
        <w:t>附相关证明材料。</w:t>
      </w:r>
    </w:p>
    <w:p>
      <w:pPr>
        <w:autoSpaceDE w:val="0"/>
        <w:autoSpaceDN w:val="0"/>
        <w:jc w:val="left"/>
        <w:rPr>
          <w:rFonts w:ascii="黑体" w:hAnsi="宋体" w:eastAsia="黑体" w:cs="宋体"/>
          <w:color w:val="auto"/>
          <w:kern w:val="0"/>
          <w:sz w:val="28"/>
          <w:szCs w:val="24"/>
          <w:highlight w:val="none"/>
          <w:lang w:bidi="zh-CN"/>
        </w:rPr>
      </w:pPr>
    </w:p>
    <w:p>
      <w:pPr>
        <w:autoSpaceDE w:val="0"/>
        <w:autoSpaceDN w:val="0"/>
        <w:ind w:firstLine="280" w:firstLineChars="100"/>
        <w:jc w:val="left"/>
        <w:rPr>
          <w:rFonts w:ascii="黑体" w:hAnsi="宋体" w:eastAsia="黑体" w:cs="宋体"/>
          <w:color w:val="auto"/>
          <w:kern w:val="0"/>
          <w:sz w:val="28"/>
          <w:szCs w:val="24"/>
          <w:highlight w:val="none"/>
          <w:lang w:bidi="zh-CN"/>
        </w:rPr>
      </w:pPr>
    </w:p>
    <w:p>
      <w:pPr>
        <w:keepNext/>
        <w:keepLines/>
        <w:autoSpaceDE w:val="0"/>
        <w:autoSpaceDN w:val="0"/>
        <w:spacing w:before="240" w:beforeLines="100" w:after="360" w:afterLines="150" w:line="360" w:lineRule="exact"/>
        <w:jc w:val="center"/>
        <w:outlineLvl w:val="0"/>
        <w:rPr>
          <w:rFonts w:ascii="宋体" w:hAnsi="宋体" w:cs="宋体"/>
          <w:color w:val="auto"/>
          <w:kern w:val="44"/>
          <w:sz w:val="32"/>
          <w:szCs w:val="32"/>
          <w:highlight w:val="none"/>
          <w:lang w:bidi="zh-CN"/>
        </w:rPr>
      </w:pPr>
      <w:bookmarkStart w:id="372" w:name="_Toc2777"/>
      <w:bookmarkStart w:id="373" w:name="_Toc18036"/>
      <w:bookmarkStart w:id="374" w:name="_Toc449530256"/>
      <w:bookmarkStart w:id="375" w:name="_Toc467679744"/>
      <w:r>
        <w:rPr>
          <w:rFonts w:hint="eastAsia" w:ascii="宋体" w:hAnsi="宋体" w:cs="宋体"/>
          <w:color w:val="auto"/>
          <w:kern w:val="44"/>
          <w:sz w:val="32"/>
          <w:szCs w:val="32"/>
          <w:highlight w:val="none"/>
          <w:lang w:bidi="zh-CN"/>
        </w:rPr>
        <w:t>（七）拟委任的其他管理和技术人员汇总表</w:t>
      </w:r>
      <w:bookmarkEnd w:id="372"/>
      <w:bookmarkEnd w:id="373"/>
    </w:p>
    <w:tbl>
      <w:tblPr>
        <w:tblStyle w:val="47"/>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910"/>
        <w:gridCol w:w="2222"/>
        <w:gridCol w:w="1567"/>
        <w:gridCol w:w="1567"/>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566"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color w:val="auto"/>
                <w:kern w:val="44"/>
                <w:szCs w:val="21"/>
                <w:highlight w:val="none"/>
                <w:lang w:bidi="zh-CN"/>
              </w:rPr>
            </w:pPr>
            <w:bookmarkStart w:id="376" w:name="_Toc25715"/>
            <w:bookmarkStart w:id="377" w:name="_Toc31947"/>
            <w:r>
              <w:rPr>
                <w:rFonts w:hint="eastAsia" w:ascii="宋体" w:hAnsi="宋体" w:cs="宋体"/>
                <w:color w:val="auto"/>
                <w:kern w:val="44"/>
                <w:szCs w:val="21"/>
                <w:highlight w:val="none"/>
                <w:lang w:bidi="zh-CN"/>
              </w:rPr>
              <w:t>姓名</w:t>
            </w:r>
            <w:bookmarkEnd w:id="376"/>
            <w:bookmarkEnd w:id="377"/>
          </w:p>
        </w:tc>
        <w:tc>
          <w:tcPr>
            <w:tcW w:w="910"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color w:val="auto"/>
                <w:kern w:val="44"/>
                <w:szCs w:val="21"/>
                <w:highlight w:val="none"/>
                <w:lang w:bidi="zh-CN"/>
              </w:rPr>
            </w:pPr>
            <w:bookmarkStart w:id="378" w:name="_Toc19765"/>
            <w:bookmarkStart w:id="379" w:name="_Toc12419"/>
            <w:r>
              <w:rPr>
                <w:rFonts w:hint="eastAsia" w:ascii="宋体" w:hAnsi="宋体" w:cs="宋体"/>
                <w:color w:val="auto"/>
                <w:kern w:val="44"/>
                <w:szCs w:val="21"/>
                <w:highlight w:val="none"/>
                <w:lang w:bidi="zh-CN"/>
              </w:rPr>
              <w:t>年龄</w:t>
            </w:r>
            <w:bookmarkEnd w:id="378"/>
            <w:bookmarkEnd w:id="379"/>
          </w:p>
        </w:tc>
        <w:tc>
          <w:tcPr>
            <w:tcW w:w="2222"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color w:val="auto"/>
                <w:kern w:val="44"/>
                <w:szCs w:val="21"/>
                <w:highlight w:val="none"/>
                <w:lang w:bidi="zh-CN"/>
              </w:rPr>
            </w:pPr>
            <w:bookmarkStart w:id="380" w:name="_Toc23059"/>
            <w:bookmarkStart w:id="381" w:name="_Toc29289"/>
            <w:r>
              <w:rPr>
                <w:rFonts w:hint="eastAsia" w:ascii="宋体" w:hAnsi="宋体" w:cs="宋体"/>
                <w:color w:val="auto"/>
                <w:kern w:val="44"/>
                <w:szCs w:val="21"/>
                <w:highlight w:val="none"/>
                <w:lang w:bidi="zh-CN"/>
              </w:rPr>
              <w:t>拟在本标段工程任职</w:t>
            </w:r>
            <w:bookmarkEnd w:id="380"/>
            <w:bookmarkEnd w:id="381"/>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color w:val="auto"/>
                <w:kern w:val="44"/>
                <w:szCs w:val="21"/>
                <w:highlight w:val="none"/>
                <w:lang w:bidi="zh-CN"/>
              </w:rPr>
            </w:pPr>
            <w:bookmarkStart w:id="382" w:name="_Toc25556"/>
            <w:bookmarkStart w:id="383" w:name="_Toc29804"/>
            <w:r>
              <w:rPr>
                <w:rFonts w:hint="eastAsia" w:ascii="宋体" w:hAnsi="宋体" w:cs="宋体"/>
                <w:color w:val="auto"/>
                <w:kern w:val="44"/>
                <w:szCs w:val="21"/>
                <w:highlight w:val="none"/>
                <w:lang w:bidi="zh-CN"/>
              </w:rPr>
              <w:t>技术职称</w:t>
            </w:r>
            <w:bookmarkEnd w:id="382"/>
            <w:bookmarkEnd w:id="383"/>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color w:val="auto"/>
                <w:kern w:val="44"/>
                <w:szCs w:val="21"/>
                <w:highlight w:val="none"/>
                <w:lang w:bidi="zh-CN"/>
              </w:rPr>
            </w:pPr>
            <w:bookmarkStart w:id="384" w:name="_Toc11829"/>
            <w:bookmarkStart w:id="385" w:name="_Toc28853"/>
            <w:r>
              <w:rPr>
                <w:rFonts w:hint="eastAsia" w:ascii="宋体" w:hAnsi="宋体" w:cs="宋体"/>
                <w:color w:val="auto"/>
                <w:kern w:val="44"/>
                <w:szCs w:val="21"/>
                <w:highlight w:val="none"/>
                <w:lang w:bidi="zh-CN"/>
              </w:rPr>
              <w:t>资质证书类别</w:t>
            </w:r>
            <w:bookmarkEnd w:id="384"/>
            <w:bookmarkEnd w:id="385"/>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color w:val="auto"/>
                <w:kern w:val="44"/>
                <w:szCs w:val="21"/>
                <w:highlight w:val="none"/>
                <w:lang w:bidi="zh-CN"/>
              </w:rPr>
            </w:pPr>
            <w:bookmarkStart w:id="386" w:name="_Toc28187"/>
            <w:bookmarkStart w:id="387" w:name="_Toc10383"/>
            <w:r>
              <w:rPr>
                <w:rFonts w:hint="eastAsia" w:ascii="宋体" w:hAnsi="宋体" w:cs="宋体"/>
                <w:color w:val="auto"/>
                <w:kern w:val="44"/>
                <w:szCs w:val="21"/>
                <w:highlight w:val="none"/>
                <w:lang w:bidi="zh-CN"/>
              </w:rPr>
              <w:t>工作年限</w:t>
            </w:r>
            <w:bookmarkEnd w:id="386"/>
            <w:bookmarkEnd w:id="3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910"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2222"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910"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2222"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910"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2222"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910"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2222"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910"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2222"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910"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2222"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910"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2222"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910"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2222"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910"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2222"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c>
          <w:tcPr>
            <w:tcW w:w="1567" w:type="dxa"/>
            <w:shd w:val="clear" w:color="auto" w:fill="auto"/>
          </w:tcPr>
          <w:p>
            <w:pPr>
              <w:keepNext/>
              <w:keepLines/>
              <w:autoSpaceDE w:val="0"/>
              <w:autoSpaceDN w:val="0"/>
              <w:spacing w:before="240" w:beforeLines="100" w:after="360" w:afterLines="150" w:line="360" w:lineRule="exact"/>
              <w:jc w:val="center"/>
              <w:outlineLvl w:val="0"/>
              <w:rPr>
                <w:rFonts w:ascii="宋体" w:hAnsi="宋体" w:cs="宋体"/>
                <w:b/>
                <w:bCs/>
                <w:color w:val="auto"/>
                <w:kern w:val="44"/>
                <w:sz w:val="28"/>
                <w:szCs w:val="28"/>
                <w:highlight w:val="none"/>
                <w:lang w:bidi="zh-CN"/>
              </w:rPr>
            </w:pPr>
          </w:p>
        </w:tc>
      </w:tr>
    </w:tbl>
    <w:p>
      <w:pPr>
        <w:autoSpaceDE w:val="0"/>
        <w:autoSpaceDN w:val="0"/>
        <w:spacing w:before="128"/>
        <w:jc w:val="left"/>
        <w:rPr>
          <w:rFonts w:ascii="宋体" w:hAnsi="宋体" w:cs="宋体"/>
          <w:color w:val="auto"/>
          <w:kern w:val="0"/>
          <w:highlight w:val="none"/>
          <w:lang w:val="zh-CN" w:bidi="zh-CN"/>
        </w:rPr>
      </w:pPr>
      <w:r>
        <w:rPr>
          <w:rFonts w:ascii="宋体" w:hAnsi="宋体" w:cs="宋体"/>
          <w:color w:val="auto"/>
          <w:kern w:val="0"/>
          <w:highlight w:val="none"/>
          <w:lang w:val="zh-CN" w:bidi="zh-CN"/>
        </w:rPr>
        <w:t>注：</w:t>
      </w:r>
      <w:r>
        <w:rPr>
          <w:rFonts w:hAnsi="宋体" w:eastAsia="Times New Roman" w:cs="宋体"/>
          <w:color w:val="auto"/>
          <w:kern w:val="0"/>
          <w:highlight w:val="none"/>
          <w:lang w:val="zh-CN" w:bidi="zh-CN"/>
        </w:rPr>
        <w:t>1.</w:t>
      </w:r>
      <w:r>
        <w:rPr>
          <w:rFonts w:ascii="宋体" w:hAnsi="宋体" w:cs="宋体"/>
          <w:color w:val="auto"/>
          <w:kern w:val="0"/>
          <w:highlight w:val="none"/>
          <w:lang w:val="zh-CN" w:bidi="zh-CN"/>
        </w:rPr>
        <w:t>本表应填写</w:t>
      </w:r>
      <w:r>
        <w:rPr>
          <w:rFonts w:hint="eastAsia" w:ascii="宋体" w:hAnsi="宋体" w:cs="宋体"/>
          <w:color w:val="auto"/>
          <w:kern w:val="0"/>
          <w:highlight w:val="none"/>
          <w:lang w:val="zh-CN" w:bidi="zh-CN"/>
        </w:rPr>
        <w:t>拟委任的其他管理和技术人员</w:t>
      </w:r>
      <w:r>
        <w:rPr>
          <w:rFonts w:ascii="宋体" w:hAnsi="宋体" w:cs="宋体"/>
          <w:color w:val="auto"/>
          <w:kern w:val="0"/>
          <w:highlight w:val="none"/>
          <w:lang w:val="zh-CN" w:bidi="zh-CN"/>
        </w:rPr>
        <w:t>相关情况。</w:t>
      </w:r>
    </w:p>
    <w:p>
      <w:pPr>
        <w:autoSpaceDE w:val="0"/>
        <w:autoSpaceDN w:val="0"/>
        <w:spacing w:before="129"/>
        <w:ind w:firstLine="420" w:firstLineChars="200"/>
        <w:jc w:val="left"/>
        <w:rPr>
          <w:rFonts w:ascii="宋体" w:hAnsi="宋体" w:cs="宋体"/>
          <w:color w:val="auto"/>
          <w:kern w:val="0"/>
          <w:highlight w:val="none"/>
          <w:lang w:val="zh-CN" w:bidi="zh-CN"/>
        </w:rPr>
      </w:pPr>
      <w:r>
        <w:rPr>
          <w:rFonts w:eastAsia="Times New Roman" w:cs="宋体"/>
          <w:color w:val="auto"/>
          <w:kern w:val="0"/>
          <w:highlight w:val="none"/>
          <w:lang w:val="zh-CN" w:bidi="zh-CN"/>
        </w:rPr>
        <w:t>2.</w:t>
      </w:r>
      <w:r>
        <w:rPr>
          <w:rFonts w:ascii="宋体" w:hAnsi="宋体" w:cs="宋体"/>
          <w:color w:val="auto"/>
          <w:kern w:val="0"/>
          <w:highlight w:val="none"/>
          <w:lang w:val="zh-CN" w:bidi="zh-CN"/>
        </w:rPr>
        <w:t>投标人应根据招标文件第二章“投标人须知”第</w:t>
      </w:r>
      <w:r>
        <w:rPr>
          <w:rFonts w:eastAsia="Times New Roman" w:cs="宋体"/>
          <w:color w:val="auto"/>
          <w:kern w:val="0"/>
          <w:highlight w:val="none"/>
          <w:lang w:val="zh-CN" w:bidi="zh-CN"/>
        </w:rPr>
        <w:t>3.5</w:t>
      </w:r>
      <w:r>
        <w:rPr>
          <w:rFonts w:hint="eastAsia" w:eastAsia="Times New Roman" w:cs="宋体"/>
          <w:color w:val="auto"/>
          <w:kern w:val="0"/>
          <w:highlight w:val="none"/>
          <w:lang w:val="en-US" w:bidi="zh-CN"/>
        </w:rPr>
        <w:t>.6</w:t>
      </w:r>
      <w:r>
        <w:rPr>
          <w:rFonts w:ascii="宋体" w:hAnsi="宋体" w:cs="宋体"/>
          <w:color w:val="auto"/>
          <w:kern w:val="0"/>
          <w:highlight w:val="none"/>
          <w:lang w:val="zh-CN" w:bidi="zh-CN"/>
        </w:rPr>
        <w:t>项的要求在本表后附相关证明材料。</w:t>
      </w:r>
    </w:p>
    <w:p>
      <w:pPr>
        <w:keepNext/>
        <w:keepLines/>
        <w:autoSpaceDE w:val="0"/>
        <w:autoSpaceDN w:val="0"/>
        <w:spacing w:before="240" w:beforeLines="100" w:after="360" w:afterLines="150" w:line="360" w:lineRule="exact"/>
        <w:jc w:val="center"/>
        <w:outlineLvl w:val="0"/>
        <w:rPr>
          <w:rFonts w:ascii="黑体" w:hAnsi="宋体" w:eastAsia="黑体" w:cs="宋体"/>
          <w:b/>
          <w:bCs/>
          <w:color w:val="auto"/>
          <w:kern w:val="44"/>
          <w:sz w:val="28"/>
          <w:szCs w:val="28"/>
          <w:highlight w:val="none"/>
          <w:lang w:val="zh-CN" w:bidi="zh-CN"/>
        </w:rPr>
      </w:pPr>
    </w:p>
    <w:p>
      <w:pPr>
        <w:keepNext/>
        <w:keepLines/>
        <w:autoSpaceDE w:val="0"/>
        <w:autoSpaceDN w:val="0"/>
        <w:spacing w:before="240" w:beforeLines="100" w:after="360" w:afterLines="150" w:line="360" w:lineRule="exact"/>
        <w:jc w:val="center"/>
        <w:outlineLvl w:val="0"/>
        <w:rPr>
          <w:rFonts w:ascii="黑体" w:hAnsi="宋体" w:eastAsia="黑体" w:cs="宋体"/>
          <w:b/>
          <w:bCs/>
          <w:color w:val="auto"/>
          <w:kern w:val="44"/>
          <w:sz w:val="28"/>
          <w:szCs w:val="28"/>
          <w:highlight w:val="none"/>
          <w:lang w:val="zh-CN" w:bidi="zh-CN"/>
        </w:rPr>
      </w:pPr>
    </w:p>
    <w:p>
      <w:pPr>
        <w:pStyle w:val="2"/>
        <w:ind w:firstLine="210"/>
        <w:rPr>
          <w:color w:val="auto"/>
          <w:highlight w:val="none"/>
          <w:lang w:val="zh-CN" w:bidi="zh-CN"/>
        </w:rPr>
      </w:pPr>
    </w:p>
    <w:p>
      <w:pPr>
        <w:keepNext/>
        <w:keepLines/>
        <w:autoSpaceDE w:val="0"/>
        <w:autoSpaceDN w:val="0"/>
        <w:spacing w:before="240" w:beforeLines="100" w:after="360" w:afterLines="150" w:line="360" w:lineRule="exact"/>
        <w:jc w:val="center"/>
        <w:outlineLvl w:val="0"/>
        <w:rPr>
          <w:rFonts w:ascii="黑体" w:hAnsi="宋体" w:eastAsia="黑体" w:cs="宋体"/>
          <w:b/>
          <w:bCs/>
          <w:color w:val="auto"/>
          <w:kern w:val="44"/>
          <w:sz w:val="28"/>
          <w:szCs w:val="28"/>
          <w:highlight w:val="none"/>
          <w:lang w:val="zh-CN" w:bidi="zh-CN"/>
        </w:rPr>
      </w:pPr>
      <w:bookmarkStart w:id="388" w:name="_Toc8314"/>
      <w:bookmarkStart w:id="389" w:name="_Toc29488_WPSOffice_Level1"/>
      <w:bookmarkStart w:id="390" w:name="_Toc26900_WPSOffice_Level1"/>
      <w:bookmarkStart w:id="391" w:name="_Toc31803_WPSOffice_Level1"/>
      <w:bookmarkStart w:id="392" w:name="_Toc31990_WPSOffice_Level1"/>
      <w:bookmarkStart w:id="393" w:name="_Toc27346_WPSOffice_Level1"/>
      <w:bookmarkStart w:id="394" w:name="_Toc9144_WPSOffice_Level1"/>
      <w:bookmarkStart w:id="395" w:name="_Toc11128_WPSOffice_Level1"/>
      <w:bookmarkStart w:id="396" w:name="_Toc14010"/>
      <w:r>
        <w:rPr>
          <w:rFonts w:hint="eastAsia" w:ascii="黑体" w:hAnsi="宋体" w:eastAsia="黑体" w:cs="宋体"/>
          <w:b/>
          <w:bCs/>
          <w:color w:val="auto"/>
          <w:kern w:val="44"/>
          <w:sz w:val="28"/>
          <w:szCs w:val="28"/>
          <w:highlight w:val="none"/>
          <w:lang w:val="zh-CN" w:bidi="zh-CN"/>
        </w:rPr>
        <w:t>七、承诺函</w:t>
      </w:r>
      <w:bookmarkEnd w:id="374"/>
      <w:bookmarkEnd w:id="375"/>
      <w:bookmarkEnd w:id="388"/>
      <w:bookmarkEnd w:id="389"/>
      <w:bookmarkEnd w:id="390"/>
      <w:bookmarkEnd w:id="391"/>
      <w:bookmarkEnd w:id="392"/>
      <w:bookmarkEnd w:id="393"/>
      <w:bookmarkEnd w:id="394"/>
      <w:bookmarkEnd w:id="395"/>
      <w:bookmarkEnd w:id="396"/>
    </w:p>
    <w:p>
      <w:pPr>
        <w:autoSpaceDE w:val="0"/>
        <w:autoSpaceDN w:val="0"/>
        <w:spacing w:before="240" w:after="240" w:line="500" w:lineRule="exact"/>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lang w:val="zh-CN" w:bidi="zh-CN"/>
        </w:rPr>
        <w:t>（招标人名称）：</w:t>
      </w:r>
    </w:p>
    <w:p>
      <w:pPr>
        <w:autoSpaceDE w:val="0"/>
        <w:autoSpaceDN w:val="0"/>
        <w:spacing w:line="500" w:lineRule="exact"/>
        <w:ind w:firstLine="480" w:firstLineChars="20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我方参加了</w:t>
      </w: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lang w:val="zh-CN" w:bidi="zh-CN"/>
        </w:rPr>
        <w:t>（项目名称）施工投标，若我方中标，我方在此承诺：</w:t>
      </w:r>
    </w:p>
    <w:p>
      <w:pPr>
        <w:autoSpaceDE w:val="0"/>
        <w:autoSpaceDN w:val="0"/>
        <w:spacing w:line="500" w:lineRule="exact"/>
        <w:ind w:firstLine="480" w:firstLineChars="20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我方已按本项目招标文件要求在投标文件中填报派驻本标段的主要管理人员和技术人员及主要机械设备和试验检测设备，我方将严格按照在投标文件中填报的主要管理人员和技术人员及主要机械设备和试验检测设备组织进场施工，且不进行更换。</w:t>
      </w:r>
    </w:p>
    <w:p>
      <w:pPr>
        <w:autoSpaceDE w:val="0"/>
        <w:autoSpaceDN w:val="0"/>
        <w:spacing w:line="500" w:lineRule="exact"/>
        <w:ind w:firstLine="480" w:firstLineChars="200"/>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如我方违背了上述承诺，本项目招标人有权取消我方的中标资格，并由招标人将我方的违约行为上报省级交通主管部门，作为不良记录纳入公路建设市场信息管理系统。</w:t>
      </w:r>
    </w:p>
    <w:p>
      <w:pPr>
        <w:autoSpaceDE w:val="0"/>
        <w:autoSpaceDN w:val="0"/>
        <w:jc w:val="left"/>
        <w:rPr>
          <w:rFonts w:ascii="宋体" w:hAnsi="宋体" w:cs="宋体"/>
          <w:color w:val="auto"/>
          <w:kern w:val="0"/>
          <w:sz w:val="24"/>
          <w:highlight w:val="none"/>
          <w:lang w:val="zh-CN" w:bidi="zh-CN"/>
        </w:rPr>
      </w:pPr>
    </w:p>
    <w:p>
      <w:pPr>
        <w:autoSpaceDE w:val="0"/>
        <w:autoSpaceDN w:val="0"/>
        <w:jc w:val="left"/>
        <w:rPr>
          <w:rFonts w:ascii="宋体" w:hAnsi="宋体" w:cs="宋体"/>
          <w:color w:val="auto"/>
          <w:kern w:val="0"/>
          <w:sz w:val="24"/>
          <w:highlight w:val="none"/>
          <w:lang w:val="zh-CN" w:bidi="zh-CN"/>
        </w:rPr>
      </w:pPr>
    </w:p>
    <w:p>
      <w:pPr>
        <w:autoSpaceDE w:val="0"/>
        <w:autoSpaceDN w:val="0"/>
        <w:jc w:val="left"/>
        <w:rPr>
          <w:rFonts w:ascii="宋体" w:hAnsi="宋体" w:cs="宋体"/>
          <w:color w:val="auto"/>
          <w:kern w:val="0"/>
          <w:sz w:val="24"/>
          <w:highlight w:val="none"/>
          <w:lang w:val="zh-CN" w:bidi="zh-CN"/>
        </w:rPr>
      </w:pPr>
    </w:p>
    <w:p>
      <w:pPr>
        <w:autoSpaceDE w:val="0"/>
        <w:autoSpaceDN w:val="0"/>
        <w:jc w:val="left"/>
        <w:rPr>
          <w:rFonts w:ascii="宋体" w:hAnsi="宋体" w:cs="宋体"/>
          <w:color w:val="auto"/>
          <w:kern w:val="0"/>
          <w:sz w:val="24"/>
          <w:highlight w:val="none"/>
          <w:lang w:val="zh-CN" w:bidi="zh-CN"/>
        </w:rPr>
      </w:pPr>
    </w:p>
    <w:p>
      <w:pPr>
        <w:autoSpaceDE w:val="0"/>
        <w:autoSpaceDN w:val="0"/>
        <w:spacing w:line="500" w:lineRule="exact"/>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 xml:space="preserve">                            投  标  人：</w:t>
      </w: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lang w:val="zh-CN" w:bidi="zh-CN"/>
        </w:rPr>
        <w:t>（盖单位章）</w:t>
      </w:r>
    </w:p>
    <w:p>
      <w:pPr>
        <w:autoSpaceDE w:val="0"/>
        <w:autoSpaceDN w:val="0"/>
        <w:spacing w:line="500" w:lineRule="exact"/>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 xml:space="preserve">                            法定代表人或其委托代理人：</w:t>
      </w: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lang w:val="zh-CN" w:bidi="zh-CN"/>
        </w:rPr>
        <w:t>（签字）</w:t>
      </w:r>
    </w:p>
    <w:p>
      <w:pPr>
        <w:autoSpaceDE w:val="0"/>
        <w:autoSpaceDN w:val="0"/>
        <w:spacing w:line="500" w:lineRule="exact"/>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 xml:space="preserve">                                                                          </w:t>
      </w:r>
    </w:p>
    <w:p>
      <w:pPr>
        <w:autoSpaceDE w:val="0"/>
        <w:autoSpaceDN w:val="0"/>
        <w:spacing w:line="500" w:lineRule="exact"/>
        <w:jc w:val="righ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 xml:space="preserve">  </w:t>
      </w: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lang w:val="zh-CN" w:bidi="zh-CN"/>
        </w:rPr>
        <w:t>年</w:t>
      </w: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lang w:val="zh-CN" w:bidi="zh-CN"/>
        </w:rPr>
        <w:t>月</w:t>
      </w:r>
      <w:r>
        <w:rPr>
          <w:rFonts w:hint="eastAsia" w:ascii="宋体" w:hAnsi="宋体" w:cs="宋体"/>
          <w:color w:val="auto"/>
          <w:kern w:val="0"/>
          <w:sz w:val="24"/>
          <w:highlight w:val="none"/>
          <w:u w:val="single"/>
          <w:lang w:val="zh-CN" w:bidi="zh-CN"/>
        </w:rPr>
        <w:t xml:space="preserve">    </w:t>
      </w:r>
      <w:r>
        <w:rPr>
          <w:rFonts w:hint="eastAsia" w:ascii="宋体" w:hAnsi="宋体" w:cs="宋体"/>
          <w:color w:val="auto"/>
          <w:kern w:val="0"/>
          <w:sz w:val="24"/>
          <w:highlight w:val="none"/>
          <w:lang w:val="zh-CN" w:bidi="zh-CN"/>
        </w:rPr>
        <w:t>日</w:t>
      </w:r>
    </w:p>
    <w:p>
      <w:pPr>
        <w:autoSpaceDE w:val="0"/>
        <w:autoSpaceDN w:val="0"/>
        <w:spacing w:line="500" w:lineRule="exact"/>
        <w:jc w:val="left"/>
        <w:rPr>
          <w:rFonts w:ascii="宋体" w:hAnsi="宋体" w:cs="宋体"/>
          <w:color w:val="auto"/>
          <w:kern w:val="0"/>
          <w:sz w:val="22"/>
          <w:highlight w:val="none"/>
          <w:lang w:val="zh-CN" w:bidi="zh-CN"/>
        </w:rPr>
      </w:pPr>
    </w:p>
    <w:p>
      <w:pPr>
        <w:autoSpaceDE w:val="0"/>
        <w:autoSpaceDN w:val="0"/>
        <w:jc w:val="left"/>
        <w:rPr>
          <w:rFonts w:ascii="宋体" w:hAnsi="宋体" w:cs="宋体"/>
          <w:color w:val="auto"/>
          <w:kern w:val="0"/>
          <w:sz w:val="22"/>
          <w:highlight w:val="none"/>
          <w:lang w:val="zh-CN" w:bidi="zh-CN"/>
        </w:rPr>
      </w:pPr>
    </w:p>
    <w:p>
      <w:pPr>
        <w:autoSpaceDE w:val="0"/>
        <w:autoSpaceDN w:val="0"/>
        <w:jc w:val="left"/>
        <w:rPr>
          <w:rFonts w:ascii="宋体" w:hAnsi="宋体" w:cs="宋体"/>
          <w:color w:val="auto"/>
          <w:kern w:val="0"/>
          <w:sz w:val="22"/>
          <w:highlight w:val="none"/>
          <w:lang w:val="zh-CN" w:bidi="zh-CN"/>
        </w:rPr>
      </w:pPr>
    </w:p>
    <w:p>
      <w:pPr>
        <w:autoSpaceDE w:val="0"/>
        <w:autoSpaceDN w:val="0"/>
        <w:jc w:val="left"/>
        <w:rPr>
          <w:rFonts w:ascii="宋体" w:hAnsi="宋体" w:cs="宋体"/>
          <w:color w:val="auto"/>
          <w:kern w:val="0"/>
          <w:sz w:val="22"/>
          <w:highlight w:val="none"/>
          <w:lang w:val="zh-CN" w:bidi="zh-CN"/>
        </w:rPr>
      </w:pPr>
    </w:p>
    <w:p>
      <w:pPr>
        <w:autoSpaceDE w:val="0"/>
        <w:autoSpaceDN w:val="0"/>
        <w:jc w:val="left"/>
        <w:rPr>
          <w:rFonts w:ascii="宋体" w:hAnsi="宋体" w:cs="宋体"/>
          <w:color w:val="auto"/>
          <w:kern w:val="0"/>
          <w:sz w:val="22"/>
          <w:highlight w:val="none"/>
          <w:lang w:val="zh-CN" w:bidi="zh-CN"/>
        </w:rPr>
      </w:pPr>
    </w:p>
    <w:p>
      <w:pPr>
        <w:autoSpaceDE w:val="0"/>
        <w:autoSpaceDN w:val="0"/>
        <w:jc w:val="left"/>
        <w:rPr>
          <w:rFonts w:ascii="宋体" w:hAnsi="宋体" w:cs="宋体"/>
          <w:color w:val="auto"/>
          <w:kern w:val="0"/>
          <w:sz w:val="22"/>
          <w:highlight w:val="none"/>
          <w:lang w:val="zh-CN" w:bidi="zh-CN"/>
        </w:rPr>
      </w:pPr>
    </w:p>
    <w:p>
      <w:pPr>
        <w:autoSpaceDE w:val="0"/>
        <w:autoSpaceDN w:val="0"/>
        <w:jc w:val="left"/>
        <w:rPr>
          <w:rFonts w:ascii="宋体" w:hAnsi="宋体" w:cs="宋体"/>
          <w:color w:val="auto"/>
          <w:kern w:val="0"/>
          <w:sz w:val="22"/>
          <w:highlight w:val="none"/>
          <w:lang w:val="zh-CN" w:bidi="zh-CN"/>
        </w:rPr>
      </w:pPr>
    </w:p>
    <w:p>
      <w:pPr>
        <w:autoSpaceDE w:val="0"/>
        <w:autoSpaceDN w:val="0"/>
        <w:jc w:val="left"/>
        <w:rPr>
          <w:rFonts w:ascii="宋体" w:hAnsi="宋体" w:cs="宋体"/>
          <w:color w:val="auto"/>
          <w:kern w:val="0"/>
          <w:sz w:val="22"/>
          <w:highlight w:val="none"/>
          <w:lang w:val="zh-CN" w:bidi="zh-CN"/>
        </w:rPr>
      </w:pPr>
    </w:p>
    <w:p>
      <w:pPr>
        <w:autoSpaceDE w:val="0"/>
        <w:autoSpaceDN w:val="0"/>
        <w:jc w:val="left"/>
        <w:rPr>
          <w:rFonts w:ascii="宋体" w:hAnsi="宋体" w:cs="宋体"/>
          <w:color w:val="auto"/>
          <w:kern w:val="0"/>
          <w:sz w:val="22"/>
          <w:highlight w:val="none"/>
          <w:lang w:val="zh-CN" w:bidi="zh-CN"/>
        </w:rPr>
      </w:pPr>
    </w:p>
    <w:p>
      <w:pPr>
        <w:autoSpaceDE w:val="0"/>
        <w:autoSpaceDN w:val="0"/>
        <w:jc w:val="left"/>
        <w:rPr>
          <w:rFonts w:ascii="宋体" w:hAnsi="宋体" w:cs="宋体"/>
          <w:color w:val="auto"/>
          <w:kern w:val="0"/>
          <w:sz w:val="22"/>
          <w:highlight w:val="none"/>
          <w:lang w:val="zh-CN" w:bidi="zh-CN"/>
        </w:rPr>
      </w:pPr>
    </w:p>
    <w:p>
      <w:pPr>
        <w:autoSpaceDE w:val="0"/>
        <w:autoSpaceDN w:val="0"/>
        <w:jc w:val="left"/>
        <w:rPr>
          <w:rFonts w:ascii="宋体" w:hAnsi="宋体" w:cs="宋体"/>
          <w:color w:val="auto"/>
          <w:kern w:val="0"/>
          <w:sz w:val="22"/>
          <w:highlight w:val="none"/>
          <w:lang w:val="zh-CN" w:bidi="zh-CN"/>
        </w:rPr>
      </w:pPr>
    </w:p>
    <w:p>
      <w:pPr>
        <w:autoSpaceDE w:val="0"/>
        <w:autoSpaceDN w:val="0"/>
        <w:jc w:val="left"/>
        <w:rPr>
          <w:rFonts w:ascii="宋体" w:hAnsi="宋体" w:cs="宋体"/>
          <w:color w:val="auto"/>
          <w:kern w:val="0"/>
          <w:sz w:val="22"/>
          <w:highlight w:val="none"/>
          <w:lang w:val="zh-CN" w:bidi="zh-CN"/>
        </w:rPr>
      </w:pPr>
    </w:p>
    <w:p>
      <w:pPr>
        <w:autoSpaceDE w:val="0"/>
        <w:autoSpaceDN w:val="0"/>
        <w:jc w:val="left"/>
        <w:rPr>
          <w:rFonts w:ascii="宋体" w:hAnsi="宋体" w:cs="宋体"/>
          <w:color w:val="auto"/>
          <w:kern w:val="0"/>
          <w:sz w:val="22"/>
          <w:highlight w:val="none"/>
          <w:lang w:val="zh-CN" w:bidi="zh-CN"/>
        </w:rPr>
      </w:pPr>
    </w:p>
    <w:p>
      <w:pPr>
        <w:autoSpaceDE w:val="0"/>
        <w:autoSpaceDN w:val="0"/>
        <w:jc w:val="left"/>
        <w:rPr>
          <w:rFonts w:ascii="宋体" w:hAnsi="宋体" w:cs="宋体"/>
          <w:color w:val="auto"/>
          <w:kern w:val="0"/>
          <w:sz w:val="22"/>
          <w:highlight w:val="none"/>
          <w:lang w:val="zh-CN" w:bidi="zh-CN"/>
        </w:rPr>
      </w:pPr>
    </w:p>
    <w:p>
      <w:pPr>
        <w:autoSpaceDE w:val="0"/>
        <w:autoSpaceDN w:val="0"/>
        <w:jc w:val="left"/>
        <w:rPr>
          <w:rFonts w:ascii="宋体" w:hAnsi="宋体" w:cs="宋体"/>
          <w:color w:val="auto"/>
          <w:kern w:val="0"/>
          <w:sz w:val="22"/>
          <w:highlight w:val="none"/>
          <w:lang w:val="zh-CN" w:bidi="zh-CN"/>
        </w:rPr>
      </w:pPr>
    </w:p>
    <w:p>
      <w:pPr>
        <w:autoSpaceDE w:val="0"/>
        <w:autoSpaceDN w:val="0"/>
        <w:jc w:val="left"/>
        <w:rPr>
          <w:rFonts w:ascii="宋体" w:hAnsi="宋体" w:cs="宋体"/>
          <w:color w:val="auto"/>
          <w:kern w:val="0"/>
          <w:sz w:val="22"/>
          <w:highlight w:val="none"/>
          <w:lang w:val="zh-CN" w:bidi="zh-CN"/>
        </w:rPr>
      </w:pPr>
    </w:p>
    <w:p>
      <w:pPr>
        <w:autoSpaceDE w:val="0"/>
        <w:autoSpaceDN w:val="0"/>
        <w:jc w:val="left"/>
        <w:rPr>
          <w:rFonts w:ascii="宋体" w:hAnsi="宋体" w:cs="宋体"/>
          <w:color w:val="auto"/>
          <w:kern w:val="0"/>
          <w:sz w:val="22"/>
          <w:highlight w:val="none"/>
          <w:lang w:val="zh-CN" w:bidi="zh-CN"/>
        </w:rPr>
      </w:pPr>
    </w:p>
    <w:p>
      <w:pPr>
        <w:autoSpaceDE w:val="0"/>
        <w:autoSpaceDN w:val="0"/>
        <w:jc w:val="left"/>
        <w:rPr>
          <w:rFonts w:ascii="宋体" w:hAnsi="宋体" w:cs="宋体"/>
          <w:color w:val="auto"/>
          <w:kern w:val="0"/>
          <w:sz w:val="22"/>
          <w:highlight w:val="none"/>
          <w:lang w:val="zh-CN" w:bidi="zh-CN"/>
        </w:rPr>
      </w:pPr>
    </w:p>
    <w:p>
      <w:pPr>
        <w:keepNext/>
        <w:keepLines/>
        <w:autoSpaceDE w:val="0"/>
        <w:autoSpaceDN w:val="0"/>
        <w:spacing w:before="240" w:beforeLines="100" w:after="360" w:afterLines="150" w:line="360" w:lineRule="exact"/>
        <w:jc w:val="center"/>
        <w:outlineLvl w:val="0"/>
        <w:rPr>
          <w:rFonts w:ascii="黑体" w:hAnsi="宋体" w:eastAsia="黑体" w:cs="宋体"/>
          <w:b/>
          <w:bCs/>
          <w:color w:val="auto"/>
          <w:kern w:val="44"/>
          <w:sz w:val="28"/>
          <w:szCs w:val="28"/>
          <w:highlight w:val="none"/>
          <w:lang w:val="zh-CN" w:bidi="zh-CN"/>
        </w:rPr>
      </w:pPr>
      <w:bookmarkStart w:id="397" w:name="_Toc449530257"/>
      <w:bookmarkStart w:id="398" w:name="_Toc467679745"/>
      <w:bookmarkStart w:id="399" w:name="_Toc1431"/>
      <w:bookmarkStart w:id="400" w:name="_Toc1236_WPSOffice_Level1"/>
      <w:bookmarkStart w:id="401" w:name="_Toc7681_WPSOffice_Level1"/>
      <w:bookmarkStart w:id="402" w:name="_Toc23634_WPSOffice_Level1"/>
      <w:bookmarkStart w:id="403" w:name="_Toc25468_WPSOffice_Level1"/>
      <w:bookmarkStart w:id="404" w:name="_Toc11743_WPSOffice_Level1"/>
      <w:bookmarkStart w:id="405" w:name="_Toc26045_WPSOffice_Level1"/>
      <w:bookmarkStart w:id="406" w:name="_Toc13054_WPSOffice_Level1"/>
      <w:bookmarkStart w:id="407" w:name="_Toc25175"/>
      <w:r>
        <w:rPr>
          <w:rFonts w:hint="eastAsia" w:ascii="黑体" w:hAnsi="宋体" w:eastAsia="黑体" w:cs="宋体"/>
          <w:b/>
          <w:bCs/>
          <w:color w:val="auto"/>
          <w:kern w:val="44"/>
          <w:sz w:val="28"/>
          <w:szCs w:val="28"/>
          <w:highlight w:val="none"/>
          <w:lang w:val="zh-CN" w:bidi="zh-CN"/>
        </w:rPr>
        <w:t>八、</w:t>
      </w:r>
      <w:r>
        <w:rPr>
          <w:rFonts w:ascii="黑体" w:hAnsi="宋体" w:eastAsia="黑体" w:cs="宋体"/>
          <w:b/>
          <w:bCs/>
          <w:color w:val="auto"/>
          <w:kern w:val="44"/>
          <w:sz w:val="28"/>
          <w:szCs w:val="28"/>
          <w:highlight w:val="none"/>
          <w:lang w:val="zh-CN" w:bidi="zh-CN"/>
        </w:rPr>
        <w:t>目标承诺书</w:t>
      </w:r>
      <w:bookmarkEnd w:id="397"/>
      <w:bookmarkEnd w:id="398"/>
      <w:bookmarkEnd w:id="399"/>
      <w:bookmarkEnd w:id="400"/>
      <w:bookmarkEnd w:id="401"/>
      <w:bookmarkEnd w:id="402"/>
      <w:bookmarkEnd w:id="403"/>
      <w:bookmarkEnd w:id="404"/>
      <w:bookmarkEnd w:id="405"/>
      <w:bookmarkEnd w:id="406"/>
      <w:bookmarkEnd w:id="407"/>
    </w:p>
    <w:tbl>
      <w:tblPr>
        <w:tblStyle w:val="47"/>
        <w:tblW w:w="911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96"/>
        <w:gridCol w:w="56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5" w:hRule="atLeast"/>
          <w:jc w:val="center"/>
        </w:trPr>
        <w:tc>
          <w:tcPr>
            <w:tcW w:w="3496" w:type="dxa"/>
            <w:vAlign w:val="center"/>
          </w:tcPr>
          <w:p>
            <w:pPr>
              <w:autoSpaceDE w:val="0"/>
              <w:autoSpaceDN w:val="0"/>
              <w:spacing w:line="360" w:lineRule="auto"/>
              <w:jc w:val="center"/>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项   目</w:t>
            </w:r>
          </w:p>
        </w:tc>
        <w:tc>
          <w:tcPr>
            <w:tcW w:w="5614" w:type="dxa"/>
            <w:vAlign w:val="center"/>
          </w:tcPr>
          <w:p>
            <w:pPr>
              <w:autoSpaceDE w:val="0"/>
              <w:autoSpaceDN w:val="0"/>
              <w:spacing w:line="360" w:lineRule="auto"/>
              <w:jc w:val="center"/>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计划目标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5" w:hRule="atLeast"/>
          <w:jc w:val="center"/>
        </w:trPr>
        <w:tc>
          <w:tcPr>
            <w:tcW w:w="3496" w:type="dxa"/>
            <w:vAlign w:val="center"/>
          </w:tcPr>
          <w:p>
            <w:pPr>
              <w:autoSpaceDE w:val="0"/>
              <w:autoSpaceDN w:val="0"/>
              <w:spacing w:line="360" w:lineRule="auto"/>
              <w:jc w:val="center"/>
              <w:rPr>
                <w:rFonts w:ascii="宋体" w:hAnsi="宋体" w:cs="宋体"/>
                <w:color w:val="auto"/>
                <w:kern w:val="0"/>
                <w:sz w:val="24"/>
                <w:highlight w:val="none"/>
                <w:lang w:val="zh-CN" w:bidi="zh-CN"/>
              </w:rPr>
            </w:pPr>
            <w:r>
              <w:rPr>
                <w:rFonts w:ascii="宋体" w:hAnsi="宋体" w:cs="宋体"/>
                <w:bCs/>
                <w:color w:val="auto"/>
                <w:kern w:val="0"/>
                <w:sz w:val="24"/>
                <w:highlight w:val="none"/>
                <w:lang w:val="zh-CN" w:bidi="zh-CN"/>
              </w:rPr>
              <w:t>工期目标要求</w:t>
            </w:r>
          </w:p>
        </w:tc>
        <w:tc>
          <w:tcPr>
            <w:tcW w:w="5614" w:type="dxa"/>
            <w:vAlign w:val="center"/>
          </w:tcPr>
          <w:p>
            <w:pPr>
              <w:autoSpaceDE w:val="0"/>
              <w:autoSpaceDN w:val="0"/>
              <w:spacing w:line="360" w:lineRule="auto"/>
              <w:jc w:val="center"/>
              <w:rPr>
                <w:rFonts w:ascii="宋体" w:hAnsi="宋体" w:cs="宋体"/>
                <w:b/>
                <w:bCs/>
                <w:color w:val="auto"/>
                <w:kern w:val="0"/>
                <w:sz w:val="24"/>
                <w:highlight w:val="none"/>
                <w:lang w:val="zh-CN" w:bidi="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5" w:hRule="atLeast"/>
          <w:jc w:val="center"/>
        </w:trPr>
        <w:tc>
          <w:tcPr>
            <w:tcW w:w="3496" w:type="dxa"/>
            <w:vAlign w:val="center"/>
          </w:tcPr>
          <w:p>
            <w:pPr>
              <w:autoSpaceDE w:val="0"/>
              <w:autoSpaceDN w:val="0"/>
              <w:spacing w:line="360" w:lineRule="auto"/>
              <w:jc w:val="center"/>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质量目标要求</w:t>
            </w:r>
          </w:p>
        </w:tc>
        <w:tc>
          <w:tcPr>
            <w:tcW w:w="5614" w:type="dxa"/>
            <w:vAlign w:val="center"/>
          </w:tcPr>
          <w:p>
            <w:pPr>
              <w:tabs>
                <w:tab w:val="right" w:leader="dot" w:pos="8295"/>
              </w:tabs>
              <w:autoSpaceDE w:val="0"/>
              <w:autoSpaceDN w:val="0"/>
              <w:adjustRightInd w:val="0"/>
              <w:snapToGrid w:val="0"/>
              <w:spacing w:line="360" w:lineRule="auto"/>
              <w:jc w:val="center"/>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工程交工验收的质量评定：</w:t>
            </w:r>
            <w:r>
              <w:rPr>
                <w:rFonts w:hint="eastAsia" w:ascii="宋体" w:hAnsi="宋体" w:cs="宋体"/>
                <w:b/>
                <w:color w:val="auto"/>
                <w:kern w:val="0"/>
                <w:sz w:val="24"/>
                <w:highlight w:val="none"/>
                <w:u w:val="single"/>
                <w:lang w:val="zh-CN" w:bidi="zh-CN"/>
              </w:rPr>
              <w:t>合格</w:t>
            </w:r>
          </w:p>
          <w:p>
            <w:pPr>
              <w:tabs>
                <w:tab w:val="right" w:leader="dot" w:pos="8295"/>
              </w:tabs>
              <w:autoSpaceDE w:val="0"/>
              <w:autoSpaceDN w:val="0"/>
              <w:adjustRightInd w:val="0"/>
              <w:snapToGrid w:val="0"/>
              <w:spacing w:line="360" w:lineRule="auto"/>
              <w:jc w:val="center"/>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工程竣工验收的质量评定：</w:t>
            </w:r>
            <w:r>
              <w:rPr>
                <w:rFonts w:ascii="宋体" w:hAnsi="宋体" w:cs="宋体"/>
                <w:b/>
                <w:color w:val="auto"/>
                <w:kern w:val="0"/>
                <w:sz w:val="24"/>
                <w:highlight w:val="none"/>
                <w:u w:val="single"/>
                <w:lang w:val="zh-CN" w:bidi="zh-CN"/>
              </w:rPr>
              <w:t>优良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5" w:hRule="atLeast"/>
          <w:jc w:val="center"/>
        </w:trPr>
        <w:tc>
          <w:tcPr>
            <w:tcW w:w="3496" w:type="dxa"/>
            <w:vAlign w:val="center"/>
          </w:tcPr>
          <w:p>
            <w:pPr>
              <w:autoSpaceDE w:val="0"/>
              <w:autoSpaceDN w:val="0"/>
              <w:spacing w:line="360" w:lineRule="auto"/>
              <w:jc w:val="center"/>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农民工工资目标</w:t>
            </w:r>
          </w:p>
        </w:tc>
        <w:tc>
          <w:tcPr>
            <w:tcW w:w="5614" w:type="dxa"/>
            <w:vAlign w:val="center"/>
          </w:tcPr>
          <w:p>
            <w:pPr>
              <w:tabs>
                <w:tab w:val="right" w:leader="dot" w:pos="8295"/>
              </w:tabs>
              <w:autoSpaceDE w:val="0"/>
              <w:autoSpaceDN w:val="0"/>
              <w:adjustRightInd w:val="0"/>
              <w:snapToGrid w:val="0"/>
              <w:spacing w:line="360" w:lineRule="auto"/>
              <w:jc w:val="center"/>
              <w:rPr>
                <w:rFonts w:ascii="宋体" w:hAnsi="宋体" w:cs="宋体"/>
                <w:bCs/>
                <w:color w:val="auto"/>
                <w:kern w:val="0"/>
                <w:sz w:val="24"/>
                <w:highlight w:val="none"/>
                <w:lang w:val="zh-CN" w:bidi="zh-CN"/>
              </w:rPr>
            </w:pPr>
            <w:r>
              <w:rPr>
                <w:rFonts w:hint="eastAsia" w:ascii="宋体" w:hAnsi="宋体" w:cs="宋体"/>
                <w:bCs/>
                <w:color w:val="auto"/>
                <w:kern w:val="0"/>
                <w:sz w:val="24"/>
                <w:highlight w:val="none"/>
                <w:lang w:val="zh-CN" w:bidi="zh-CN"/>
              </w:rPr>
              <w:t>不拖欠农民工工资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5" w:hRule="atLeast"/>
          <w:jc w:val="center"/>
        </w:trPr>
        <w:tc>
          <w:tcPr>
            <w:tcW w:w="3496" w:type="dxa"/>
            <w:vAlign w:val="center"/>
          </w:tcPr>
          <w:p>
            <w:pPr>
              <w:autoSpaceDE w:val="0"/>
              <w:autoSpaceDN w:val="0"/>
              <w:spacing w:line="360" w:lineRule="auto"/>
              <w:jc w:val="center"/>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安全生产目标要求</w:t>
            </w:r>
          </w:p>
        </w:tc>
        <w:tc>
          <w:tcPr>
            <w:tcW w:w="5614" w:type="dxa"/>
            <w:vAlign w:val="center"/>
          </w:tcPr>
          <w:p>
            <w:pPr>
              <w:autoSpaceDE w:val="0"/>
              <w:autoSpaceDN w:val="0"/>
              <w:spacing w:line="360" w:lineRule="auto"/>
              <w:jc w:val="center"/>
              <w:rPr>
                <w:rFonts w:ascii="宋体" w:hAnsi="宋体" w:cs="宋体"/>
                <w:bCs/>
                <w:color w:val="auto"/>
                <w:kern w:val="0"/>
                <w:sz w:val="24"/>
                <w:highlight w:val="none"/>
                <w:lang w:val="zh-CN" w:bidi="zh-CN"/>
              </w:rPr>
            </w:pPr>
            <w:r>
              <w:rPr>
                <w:rFonts w:ascii="宋体" w:hAnsi="宋体" w:cs="宋体"/>
                <w:bCs/>
                <w:color w:val="auto"/>
                <w:kern w:val="0"/>
                <w:sz w:val="24"/>
                <w:highlight w:val="none"/>
                <w:lang w:val="zh-CN" w:bidi="zh-CN"/>
              </w:rPr>
              <w:t>不发生安全生产责任事故</w:t>
            </w:r>
          </w:p>
        </w:tc>
      </w:tr>
    </w:tbl>
    <w:p>
      <w:pPr>
        <w:keepNext/>
        <w:keepLines/>
        <w:autoSpaceDE w:val="0"/>
        <w:autoSpaceDN w:val="0"/>
        <w:spacing w:before="240" w:beforeLines="100" w:after="360" w:afterLines="150" w:line="360" w:lineRule="exact"/>
        <w:jc w:val="left"/>
        <w:outlineLvl w:val="0"/>
        <w:rPr>
          <w:rFonts w:ascii="黑体" w:hAnsi="宋体" w:eastAsia="黑体" w:cs="宋体"/>
          <w:b/>
          <w:bCs/>
          <w:color w:val="auto"/>
          <w:kern w:val="44"/>
          <w:sz w:val="24"/>
          <w:szCs w:val="24"/>
          <w:highlight w:val="none"/>
          <w:lang w:val="zh-CN" w:bidi="zh-CN"/>
        </w:rPr>
      </w:pPr>
    </w:p>
    <w:p>
      <w:pPr>
        <w:autoSpaceDE w:val="0"/>
        <w:autoSpaceDN w:val="0"/>
        <w:spacing w:line="360" w:lineRule="auto"/>
        <w:ind w:firstLine="480" w:firstLineChars="200"/>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我方在此郑重承诺，如果我单位在</w:t>
      </w:r>
      <w:r>
        <w:rPr>
          <w:rFonts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项目中标，保证按照以上各项目标完成施工任务，否则自愿按照招标人的有关规定接受处罚。</w:t>
      </w:r>
    </w:p>
    <w:p>
      <w:pPr>
        <w:autoSpaceDE w:val="0"/>
        <w:autoSpaceDN w:val="0"/>
        <w:spacing w:line="360" w:lineRule="auto"/>
        <w:ind w:firstLine="480" w:firstLineChars="200"/>
        <w:jc w:val="left"/>
        <w:rPr>
          <w:rFonts w:ascii="宋体" w:hAnsi="宋体" w:cs="宋体"/>
          <w:color w:val="auto"/>
          <w:kern w:val="0"/>
          <w:sz w:val="24"/>
          <w:highlight w:val="none"/>
          <w:lang w:val="zh-CN" w:bidi="zh-CN"/>
        </w:rPr>
      </w:pPr>
    </w:p>
    <w:p>
      <w:pPr>
        <w:autoSpaceDE w:val="0"/>
        <w:autoSpaceDN w:val="0"/>
        <w:spacing w:line="360" w:lineRule="auto"/>
        <w:ind w:firstLine="4140" w:firstLineChars="1725"/>
        <w:jc w:val="left"/>
        <w:rPr>
          <w:rFonts w:ascii="宋体" w:hAnsi="宋体" w:cs="宋体"/>
          <w:color w:val="auto"/>
          <w:kern w:val="0"/>
          <w:sz w:val="24"/>
          <w:highlight w:val="none"/>
          <w:lang w:val="zh-CN" w:bidi="zh-CN"/>
        </w:rPr>
      </w:pPr>
      <w:r>
        <w:rPr>
          <w:rFonts w:hint="eastAsia" w:ascii="宋体" w:hAnsi="宋体" w:cs="宋体"/>
          <w:color w:val="auto"/>
          <w:kern w:val="0"/>
          <w:sz w:val="24"/>
          <w:highlight w:val="none"/>
          <w:lang w:val="zh-CN" w:bidi="zh-CN"/>
        </w:rPr>
        <w:t>投  标</w:t>
      </w:r>
      <w:r>
        <w:rPr>
          <w:rFonts w:ascii="宋体" w:hAnsi="宋体" w:cs="宋体"/>
          <w:color w:val="auto"/>
          <w:kern w:val="0"/>
          <w:sz w:val="24"/>
          <w:highlight w:val="none"/>
          <w:lang w:val="zh-CN" w:bidi="zh-CN"/>
        </w:rPr>
        <w:t xml:space="preserve">  人：</w:t>
      </w:r>
      <w:r>
        <w:rPr>
          <w:rFonts w:ascii="宋体" w:hAnsi="宋体" w:cs="宋体"/>
          <w:color w:val="auto"/>
          <w:kern w:val="0"/>
          <w:sz w:val="24"/>
          <w:highlight w:val="none"/>
          <w:u w:val="single"/>
          <w:lang w:val="zh-CN" w:bidi="zh-CN"/>
        </w:rPr>
        <w:t xml:space="preserve">    （全称并加盖单位公章）  </w:t>
      </w:r>
    </w:p>
    <w:p>
      <w:pPr>
        <w:autoSpaceDE w:val="0"/>
        <w:autoSpaceDN w:val="0"/>
        <w:spacing w:line="360" w:lineRule="auto"/>
        <w:ind w:firstLine="4140" w:firstLineChars="172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 xml:space="preserve">法定代表人： </w:t>
      </w:r>
      <w:r>
        <w:rPr>
          <w:rFonts w:ascii="宋体" w:hAnsi="宋体" w:cs="宋体"/>
          <w:color w:val="auto"/>
          <w:kern w:val="0"/>
          <w:sz w:val="24"/>
          <w:highlight w:val="none"/>
          <w:u w:val="single"/>
          <w:lang w:val="zh-CN" w:bidi="zh-CN"/>
        </w:rPr>
        <w:t xml:space="preserve">        （签署全名）       </w:t>
      </w:r>
    </w:p>
    <w:p>
      <w:pPr>
        <w:autoSpaceDE w:val="0"/>
        <w:autoSpaceDN w:val="0"/>
        <w:spacing w:line="360" w:lineRule="auto"/>
        <w:ind w:firstLine="4140" w:firstLineChars="1725"/>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日      期：</w:t>
      </w:r>
      <w:r>
        <w:rPr>
          <w:rFonts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年</w:t>
      </w:r>
      <w:r>
        <w:rPr>
          <w:rFonts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月</w:t>
      </w:r>
      <w:r>
        <w:rPr>
          <w:rFonts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日</w:t>
      </w:r>
    </w:p>
    <w:p>
      <w:pPr>
        <w:autoSpaceDE w:val="0"/>
        <w:autoSpaceDN w:val="0"/>
        <w:jc w:val="left"/>
        <w:rPr>
          <w:rFonts w:ascii="宋体" w:hAnsi="宋体" w:cs="宋体"/>
          <w:color w:val="auto"/>
          <w:kern w:val="0"/>
          <w:sz w:val="22"/>
          <w:highlight w:val="none"/>
          <w:lang w:val="zh-CN" w:bidi="zh-CN"/>
        </w:rPr>
      </w:pPr>
    </w:p>
    <w:p>
      <w:pPr>
        <w:autoSpaceDE w:val="0"/>
        <w:autoSpaceDN w:val="0"/>
        <w:jc w:val="left"/>
        <w:rPr>
          <w:rFonts w:ascii="宋体" w:hAnsi="宋体" w:cs="宋体"/>
          <w:color w:val="auto"/>
          <w:kern w:val="0"/>
          <w:sz w:val="22"/>
          <w:highlight w:val="none"/>
          <w:lang w:val="zh-CN" w:bidi="zh-CN"/>
        </w:rPr>
      </w:pPr>
    </w:p>
    <w:p>
      <w:pPr>
        <w:autoSpaceDE w:val="0"/>
        <w:autoSpaceDN w:val="0"/>
        <w:jc w:val="left"/>
        <w:rPr>
          <w:rFonts w:ascii="宋体" w:hAnsi="宋体" w:cs="宋体"/>
          <w:color w:val="auto"/>
          <w:kern w:val="0"/>
          <w:sz w:val="22"/>
          <w:highlight w:val="none"/>
          <w:lang w:val="zh-CN" w:bidi="zh-CN"/>
        </w:rPr>
      </w:pPr>
    </w:p>
    <w:p>
      <w:pPr>
        <w:autoSpaceDE w:val="0"/>
        <w:autoSpaceDN w:val="0"/>
        <w:ind w:firstLine="280" w:firstLineChars="100"/>
        <w:jc w:val="left"/>
        <w:rPr>
          <w:rFonts w:ascii="黑体" w:hAnsi="宋体" w:eastAsia="黑体" w:cs="宋体"/>
          <w:color w:val="auto"/>
          <w:kern w:val="0"/>
          <w:sz w:val="28"/>
          <w:szCs w:val="24"/>
          <w:highlight w:val="none"/>
          <w:lang w:bidi="zh-CN"/>
        </w:rPr>
      </w:pPr>
    </w:p>
    <w:p>
      <w:pPr>
        <w:autoSpaceDE w:val="0"/>
        <w:autoSpaceDN w:val="0"/>
        <w:spacing w:before="56"/>
        <w:ind w:right="178"/>
        <w:jc w:val="center"/>
        <w:rPr>
          <w:rFonts w:ascii="黑体" w:hAnsi="宋体" w:eastAsia="黑体" w:cs="宋体"/>
          <w:color w:val="auto"/>
          <w:kern w:val="0"/>
          <w:sz w:val="28"/>
          <w:highlight w:val="none"/>
          <w:lang w:val="zh-CN" w:bidi="zh-CN"/>
        </w:rPr>
      </w:pPr>
    </w:p>
    <w:p>
      <w:pPr>
        <w:autoSpaceDE w:val="0"/>
        <w:autoSpaceDN w:val="0"/>
        <w:spacing w:before="56"/>
        <w:ind w:right="178"/>
        <w:jc w:val="center"/>
        <w:rPr>
          <w:rFonts w:ascii="黑体" w:hAnsi="宋体" w:eastAsia="黑体" w:cs="宋体"/>
          <w:color w:val="auto"/>
          <w:kern w:val="0"/>
          <w:sz w:val="28"/>
          <w:highlight w:val="none"/>
          <w:lang w:val="zh-CN" w:bidi="zh-CN"/>
        </w:rPr>
      </w:pPr>
    </w:p>
    <w:p>
      <w:pPr>
        <w:autoSpaceDE w:val="0"/>
        <w:autoSpaceDN w:val="0"/>
        <w:jc w:val="left"/>
        <w:rPr>
          <w:rFonts w:ascii="黑体" w:hAnsi="宋体" w:cs="宋体"/>
          <w:color w:val="auto"/>
          <w:kern w:val="0"/>
          <w:sz w:val="20"/>
          <w:szCs w:val="24"/>
          <w:highlight w:val="none"/>
          <w:lang w:val="zh-CN" w:bidi="zh-CN"/>
        </w:rPr>
      </w:pPr>
    </w:p>
    <w:p>
      <w:pPr>
        <w:autoSpaceDE w:val="0"/>
        <w:autoSpaceDN w:val="0"/>
        <w:jc w:val="left"/>
        <w:rPr>
          <w:rFonts w:ascii="黑体" w:hAnsi="宋体" w:cs="宋体"/>
          <w:color w:val="auto"/>
          <w:kern w:val="0"/>
          <w:sz w:val="20"/>
          <w:szCs w:val="24"/>
          <w:highlight w:val="none"/>
          <w:lang w:val="zh-CN" w:bidi="zh-CN"/>
        </w:rPr>
      </w:pPr>
    </w:p>
    <w:p>
      <w:pPr>
        <w:autoSpaceDE w:val="0"/>
        <w:autoSpaceDN w:val="0"/>
        <w:jc w:val="left"/>
        <w:rPr>
          <w:rFonts w:ascii="黑体" w:hAnsi="宋体" w:cs="宋体"/>
          <w:color w:val="auto"/>
          <w:kern w:val="0"/>
          <w:sz w:val="20"/>
          <w:szCs w:val="24"/>
          <w:highlight w:val="none"/>
          <w:lang w:val="zh-CN" w:bidi="zh-CN"/>
        </w:rPr>
      </w:pPr>
    </w:p>
    <w:p>
      <w:pPr>
        <w:autoSpaceDE w:val="0"/>
        <w:autoSpaceDN w:val="0"/>
        <w:jc w:val="left"/>
        <w:rPr>
          <w:rFonts w:ascii="黑体" w:hAnsi="宋体" w:cs="宋体"/>
          <w:color w:val="auto"/>
          <w:kern w:val="0"/>
          <w:sz w:val="20"/>
          <w:szCs w:val="24"/>
          <w:highlight w:val="none"/>
          <w:lang w:val="zh-CN" w:bidi="zh-CN"/>
        </w:rPr>
      </w:pPr>
    </w:p>
    <w:p>
      <w:pPr>
        <w:keepNext/>
        <w:keepLines/>
        <w:autoSpaceDE w:val="0"/>
        <w:autoSpaceDN w:val="0"/>
        <w:spacing w:before="240" w:beforeLines="100" w:after="360" w:afterLines="150" w:line="360" w:lineRule="exact"/>
        <w:jc w:val="center"/>
        <w:outlineLvl w:val="0"/>
        <w:rPr>
          <w:rFonts w:ascii="黑体" w:hAnsi="宋体" w:eastAsia="黑体" w:cs="宋体"/>
          <w:b/>
          <w:bCs/>
          <w:color w:val="auto"/>
          <w:kern w:val="44"/>
          <w:sz w:val="28"/>
          <w:szCs w:val="28"/>
          <w:highlight w:val="none"/>
          <w:lang w:val="zh-CN" w:bidi="zh-CN"/>
        </w:rPr>
      </w:pPr>
    </w:p>
    <w:p>
      <w:pPr>
        <w:keepNext/>
        <w:keepLines/>
        <w:autoSpaceDE w:val="0"/>
        <w:autoSpaceDN w:val="0"/>
        <w:spacing w:before="240" w:beforeLines="100" w:after="360" w:afterLines="150" w:line="360" w:lineRule="exact"/>
        <w:jc w:val="center"/>
        <w:outlineLvl w:val="0"/>
        <w:rPr>
          <w:rFonts w:ascii="黑体" w:hAnsi="宋体" w:eastAsia="黑体" w:cs="宋体"/>
          <w:b/>
          <w:bCs/>
          <w:color w:val="auto"/>
          <w:kern w:val="44"/>
          <w:sz w:val="28"/>
          <w:szCs w:val="28"/>
          <w:highlight w:val="none"/>
          <w:lang w:val="zh-CN" w:bidi="zh-CN"/>
        </w:rPr>
      </w:pPr>
      <w:bookmarkStart w:id="408" w:name="_Toc10816"/>
      <w:bookmarkStart w:id="409" w:name="_Toc11956_WPSOffice_Level1"/>
      <w:bookmarkStart w:id="410" w:name="_Toc9836_WPSOffice_Level1"/>
      <w:bookmarkStart w:id="411" w:name="_Toc11907_WPSOffice_Level1"/>
      <w:bookmarkStart w:id="412" w:name="_Toc15159_WPSOffice_Level1"/>
      <w:bookmarkStart w:id="413" w:name="_Toc10043_WPSOffice_Level1"/>
      <w:bookmarkStart w:id="414" w:name="_Toc28849_WPSOffice_Level1"/>
      <w:bookmarkStart w:id="415" w:name="_Toc5372_WPSOffice_Level1"/>
      <w:bookmarkStart w:id="416" w:name="_Toc6981"/>
      <w:r>
        <w:rPr>
          <w:rFonts w:hint="eastAsia" w:ascii="黑体" w:hAnsi="宋体" w:eastAsia="黑体" w:cs="宋体"/>
          <w:b/>
          <w:bCs/>
          <w:color w:val="auto"/>
          <w:kern w:val="44"/>
          <w:sz w:val="28"/>
          <w:szCs w:val="28"/>
          <w:highlight w:val="none"/>
          <w:lang w:val="zh-CN" w:bidi="zh-CN"/>
        </w:rPr>
        <w:t>九、需要补充的其他材料</w:t>
      </w:r>
      <w:bookmarkEnd w:id="408"/>
      <w:bookmarkEnd w:id="409"/>
      <w:bookmarkEnd w:id="410"/>
      <w:bookmarkEnd w:id="411"/>
      <w:bookmarkEnd w:id="412"/>
      <w:bookmarkEnd w:id="413"/>
      <w:bookmarkEnd w:id="414"/>
      <w:bookmarkEnd w:id="415"/>
      <w:bookmarkEnd w:id="416"/>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autoSpaceDE w:val="0"/>
        <w:autoSpaceDN w:val="0"/>
        <w:adjustRightInd w:val="0"/>
        <w:jc w:val="center"/>
        <w:rPr>
          <w:rFonts w:ascii="宋体" w:hAnsi="宋体" w:cs="宋体"/>
          <w:color w:val="auto"/>
          <w:sz w:val="32"/>
          <w:szCs w:val="32"/>
          <w:highlight w:val="none"/>
        </w:rPr>
      </w:pPr>
      <w:r>
        <w:rPr>
          <w:rFonts w:hint="eastAsia" w:ascii="宋体" w:hAnsi="宋体" w:cs="宋体"/>
          <w:b/>
          <w:bCs/>
          <w:color w:val="auto"/>
          <w:kern w:val="0"/>
          <w:sz w:val="36"/>
          <w:szCs w:val="36"/>
          <w:highlight w:val="none"/>
          <w:lang w:val="en-US" w:eastAsia="zh-CN"/>
        </w:rPr>
        <w:t xml:space="preserve">  </w:t>
      </w:r>
      <w:r>
        <w:rPr>
          <w:rFonts w:hint="eastAsia" w:ascii="宋体" w:hAnsi="宋体" w:cs="宋体"/>
          <w:b/>
          <w:bCs/>
          <w:color w:val="auto"/>
          <w:kern w:val="0"/>
          <w:sz w:val="36"/>
          <w:szCs w:val="36"/>
          <w:highlight w:val="none"/>
        </w:rPr>
        <w:t xml:space="preserve">                             </w:t>
      </w:r>
      <w:r>
        <w:rPr>
          <w:rFonts w:ascii="宋体" w:hAnsi="宋体" w:cs="宋体"/>
          <w:b/>
          <w:bCs/>
          <w:color w:val="auto"/>
          <w:kern w:val="0"/>
          <w:sz w:val="36"/>
          <w:szCs w:val="36"/>
          <w:highlight w:val="none"/>
        </w:rPr>
        <w:t xml:space="preserve">  </w:t>
      </w:r>
      <w:bookmarkStart w:id="417" w:name="_Toc22941_WPSOffice_Level1"/>
      <w:bookmarkStart w:id="418" w:name="_Toc19782_WPSOffice_Level1"/>
      <w:bookmarkStart w:id="419" w:name="_Toc27839_WPSOffice_Level1"/>
      <w:bookmarkStart w:id="420" w:name="_Toc9557_WPSOffice_Level1"/>
      <w:bookmarkStart w:id="421" w:name="_Toc10900_WPSOffice_Level1"/>
      <w:bookmarkStart w:id="422" w:name="_Toc12474_WPSOffice_Level1"/>
      <w:bookmarkStart w:id="423" w:name="_Toc13057_WPSOffice_Level1"/>
      <w:r>
        <w:rPr>
          <w:rFonts w:hint="eastAsia" w:ascii="宋体" w:hAnsi="宋体" w:cs="宋体"/>
          <w:b/>
          <w:bCs/>
          <w:color w:val="auto"/>
          <w:kern w:val="0"/>
          <w:sz w:val="36"/>
          <w:szCs w:val="36"/>
          <w:highlight w:val="none"/>
        </w:rPr>
        <w:t>正/副本</w:t>
      </w:r>
      <w:bookmarkEnd w:id="417"/>
      <w:bookmarkEnd w:id="418"/>
      <w:bookmarkEnd w:id="419"/>
      <w:bookmarkEnd w:id="420"/>
      <w:bookmarkEnd w:id="421"/>
      <w:bookmarkEnd w:id="422"/>
      <w:bookmarkEnd w:id="423"/>
    </w:p>
    <w:p>
      <w:pPr>
        <w:pStyle w:val="2"/>
        <w:ind w:firstLine="210"/>
        <w:rPr>
          <w:color w:val="auto"/>
          <w:highlight w:val="none"/>
        </w:rPr>
      </w:pPr>
    </w:p>
    <w:p>
      <w:pPr>
        <w:autoSpaceDE w:val="0"/>
        <w:autoSpaceDN w:val="0"/>
        <w:adjustRightInd w:val="0"/>
        <w:jc w:val="center"/>
        <w:rPr>
          <w:rFonts w:ascii="宋体" w:hAnsi="宋体" w:cs="宋体"/>
          <w:b/>
          <w:color w:val="auto"/>
          <w:spacing w:val="60"/>
          <w:sz w:val="36"/>
          <w:szCs w:val="36"/>
          <w:highlight w:val="none"/>
          <w:u w:val="single"/>
        </w:rPr>
      </w:pPr>
      <w:r>
        <w:rPr>
          <w:rFonts w:hint="eastAsia" w:ascii="宋体" w:hAnsi="宋体" w:cs="宋体"/>
          <w:b/>
          <w:bCs/>
          <w:color w:val="auto"/>
          <w:kern w:val="0"/>
          <w:sz w:val="36"/>
          <w:szCs w:val="36"/>
          <w:highlight w:val="none"/>
          <w:u w:val="single"/>
        </w:rPr>
        <w:t xml:space="preserve">                     </w:t>
      </w:r>
      <w:bookmarkStart w:id="424" w:name="_Toc20596_WPSOffice_Level1"/>
      <w:bookmarkStart w:id="425" w:name="_Toc14167_WPSOffice_Level1"/>
      <w:bookmarkStart w:id="426" w:name="_Toc12043_WPSOffice_Level1"/>
      <w:bookmarkStart w:id="427" w:name="_Toc6526_WPSOffice_Level1"/>
      <w:bookmarkStart w:id="428" w:name="_Toc28017_WPSOffice_Level1"/>
      <w:bookmarkStart w:id="429" w:name="_Toc4645_WPSOffice_Level1"/>
      <w:bookmarkStart w:id="430" w:name="_Toc17376_WPSOffice_Level1"/>
      <w:r>
        <w:rPr>
          <w:rFonts w:hint="eastAsia" w:ascii="宋体" w:hAnsi="宋体" w:cs="宋体"/>
          <w:b/>
          <w:bCs/>
          <w:color w:val="auto"/>
          <w:kern w:val="0"/>
          <w:sz w:val="36"/>
          <w:szCs w:val="36"/>
          <w:highlight w:val="none"/>
        </w:rPr>
        <w:t>（项目名称）</w:t>
      </w:r>
      <w:bookmarkEnd w:id="424"/>
      <w:bookmarkEnd w:id="425"/>
      <w:bookmarkEnd w:id="426"/>
      <w:bookmarkEnd w:id="427"/>
      <w:bookmarkEnd w:id="428"/>
      <w:bookmarkEnd w:id="429"/>
      <w:bookmarkEnd w:id="430"/>
    </w:p>
    <w:p>
      <w:pPr>
        <w:pStyle w:val="3"/>
        <w:rPr>
          <w:rFonts w:ascii="黑体"/>
          <w:color w:val="auto"/>
          <w:sz w:val="26"/>
          <w:highlight w:val="none"/>
        </w:rPr>
      </w:pPr>
    </w:p>
    <w:p>
      <w:pPr>
        <w:pStyle w:val="3"/>
        <w:rPr>
          <w:rFonts w:ascii="黑体"/>
          <w:color w:val="auto"/>
          <w:sz w:val="26"/>
          <w:highlight w:val="none"/>
        </w:rPr>
      </w:pPr>
    </w:p>
    <w:p>
      <w:pPr>
        <w:pStyle w:val="3"/>
        <w:rPr>
          <w:rFonts w:ascii="黑体"/>
          <w:color w:val="auto"/>
          <w:sz w:val="26"/>
          <w:highlight w:val="none"/>
        </w:rPr>
      </w:pPr>
    </w:p>
    <w:p>
      <w:pPr>
        <w:pStyle w:val="3"/>
        <w:rPr>
          <w:rFonts w:ascii="黑体"/>
          <w:color w:val="auto"/>
          <w:sz w:val="26"/>
          <w:highlight w:val="none"/>
        </w:rPr>
      </w:pPr>
    </w:p>
    <w:p>
      <w:pPr>
        <w:pStyle w:val="3"/>
        <w:rPr>
          <w:rFonts w:ascii="黑体"/>
          <w:color w:val="auto"/>
          <w:sz w:val="26"/>
          <w:highlight w:val="none"/>
        </w:rPr>
      </w:pPr>
    </w:p>
    <w:p>
      <w:pPr>
        <w:pStyle w:val="3"/>
        <w:rPr>
          <w:rFonts w:ascii="黑体"/>
          <w:color w:val="auto"/>
          <w:sz w:val="26"/>
          <w:highlight w:val="none"/>
        </w:rPr>
      </w:pPr>
    </w:p>
    <w:p>
      <w:pPr>
        <w:pStyle w:val="3"/>
        <w:spacing w:before="3"/>
        <w:rPr>
          <w:rFonts w:ascii="黑体"/>
          <w:color w:val="auto"/>
          <w:sz w:val="35"/>
          <w:highlight w:val="none"/>
        </w:rPr>
      </w:pPr>
    </w:p>
    <w:p>
      <w:pPr>
        <w:tabs>
          <w:tab w:val="center" w:pos="4739"/>
        </w:tabs>
        <w:ind w:left="180"/>
        <w:jc w:val="center"/>
        <w:rPr>
          <w:rFonts w:ascii="宋体" w:hAnsi="宋体" w:cs="宋体"/>
          <w:b/>
          <w:color w:val="auto"/>
          <w:sz w:val="72"/>
          <w:szCs w:val="72"/>
          <w:highlight w:val="none"/>
        </w:rPr>
      </w:pPr>
      <w:bookmarkStart w:id="431" w:name="_bookmark322"/>
      <w:bookmarkEnd w:id="431"/>
      <w:r>
        <w:rPr>
          <w:rFonts w:hint="eastAsia" w:ascii="宋体" w:hAnsi="宋体" w:cs="宋体"/>
          <w:b/>
          <w:color w:val="auto"/>
          <w:sz w:val="72"/>
          <w:szCs w:val="72"/>
          <w:highlight w:val="none"/>
        </w:rPr>
        <w:t>投 标 文 件</w:t>
      </w:r>
    </w:p>
    <w:p>
      <w:pPr>
        <w:tabs>
          <w:tab w:val="center" w:pos="4739"/>
        </w:tabs>
        <w:spacing w:before="120" w:beforeLines="50" w:line="360" w:lineRule="auto"/>
        <w:ind w:left="181"/>
        <w:rPr>
          <w:rFonts w:ascii="宋体" w:hAnsi="宋体" w:cs="宋体"/>
          <w:b/>
          <w:color w:val="auto"/>
          <w:sz w:val="28"/>
          <w:szCs w:val="28"/>
          <w:highlight w:val="none"/>
        </w:rPr>
      </w:pPr>
      <w:r>
        <w:rPr>
          <w:rFonts w:hint="eastAsia" w:ascii="宋体" w:hAnsi="宋体" w:cs="宋体"/>
          <w:b/>
          <w:color w:val="auto"/>
          <w:sz w:val="32"/>
          <w:szCs w:val="32"/>
          <w:highlight w:val="none"/>
        </w:rPr>
        <w:t xml:space="preserve">    </w:t>
      </w:r>
      <w:r>
        <w:rPr>
          <w:rFonts w:hint="eastAsia" w:ascii="宋体" w:hAnsi="宋体" w:cs="宋体"/>
          <w:b/>
          <w:color w:val="auto"/>
          <w:sz w:val="28"/>
          <w:szCs w:val="28"/>
          <w:highlight w:val="none"/>
        </w:rPr>
        <w:t xml:space="preserve">              项目编号：</w:t>
      </w:r>
    </w:p>
    <w:p>
      <w:pPr>
        <w:pStyle w:val="2"/>
        <w:ind w:firstLine="210"/>
        <w:rPr>
          <w:color w:val="auto"/>
          <w:highlight w:val="none"/>
        </w:rPr>
      </w:pPr>
      <w:r>
        <w:rPr>
          <w:rFonts w:hint="eastAsia"/>
          <w:color w:val="auto"/>
          <w:highlight w:val="none"/>
        </w:rPr>
        <w:t xml:space="preserve"> </w:t>
      </w:r>
      <w:r>
        <w:rPr>
          <w:color w:val="auto"/>
          <w:highlight w:val="none"/>
        </w:rPr>
        <w:t xml:space="preserve">    </w:t>
      </w:r>
    </w:p>
    <w:p>
      <w:pPr>
        <w:spacing w:line="0" w:lineRule="atLeast"/>
        <w:jc w:val="center"/>
        <w:rPr>
          <w:rFonts w:ascii="宋体" w:hAnsi="宋体"/>
          <w:b/>
          <w:bCs/>
          <w:color w:val="auto"/>
          <w:sz w:val="44"/>
          <w:szCs w:val="44"/>
          <w:highlight w:val="none"/>
        </w:rPr>
      </w:pPr>
      <w:r>
        <w:rPr>
          <w:rFonts w:hint="eastAsia" w:ascii="宋体" w:hAnsi="宋体"/>
          <w:b/>
          <w:bCs/>
          <w:color w:val="auto"/>
          <w:sz w:val="44"/>
          <w:szCs w:val="44"/>
          <w:highlight w:val="none"/>
        </w:rPr>
        <w:t>第二信封</w:t>
      </w:r>
      <w:r>
        <w:rPr>
          <w:rFonts w:ascii="宋体" w:hAnsi="宋体"/>
          <w:b/>
          <w:bCs/>
          <w:color w:val="auto"/>
          <w:sz w:val="44"/>
          <w:szCs w:val="44"/>
          <w:highlight w:val="none"/>
        </w:rPr>
        <w:t>（</w:t>
      </w:r>
      <w:r>
        <w:rPr>
          <w:rFonts w:hint="eastAsia" w:ascii="宋体" w:hAnsi="宋体"/>
          <w:b/>
          <w:bCs/>
          <w:color w:val="auto"/>
          <w:sz w:val="44"/>
          <w:szCs w:val="44"/>
          <w:highlight w:val="none"/>
        </w:rPr>
        <w:t>报价文件</w:t>
      </w:r>
      <w:r>
        <w:rPr>
          <w:rFonts w:ascii="宋体" w:hAnsi="宋体"/>
          <w:b/>
          <w:bCs/>
          <w:color w:val="auto"/>
          <w:sz w:val="44"/>
          <w:szCs w:val="44"/>
          <w:highlight w:val="none"/>
        </w:rPr>
        <w:t>）</w:t>
      </w:r>
    </w:p>
    <w:p>
      <w:pPr>
        <w:pStyle w:val="3"/>
        <w:rPr>
          <w:rFonts w:ascii="黑体"/>
          <w:color w:val="auto"/>
          <w:sz w:val="32"/>
          <w:highlight w:val="none"/>
        </w:rPr>
      </w:pPr>
    </w:p>
    <w:p>
      <w:pPr>
        <w:pStyle w:val="3"/>
        <w:rPr>
          <w:rFonts w:ascii="黑体"/>
          <w:color w:val="auto"/>
          <w:sz w:val="32"/>
          <w:highlight w:val="none"/>
        </w:rPr>
      </w:pPr>
    </w:p>
    <w:p>
      <w:pPr>
        <w:pStyle w:val="3"/>
        <w:rPr>
          <w:rFonts w:ascii="黑体"/>
          <w:color w:val="auto"/>
          <w:sz w:val="32"/>
          <w:highlight w:val="none"/>
        </w:rPr>
      </w:pPr>
    </w:p>
    <w:p>
      <w:pPr>
        <w:pStyle w:val="3"/>
        <w:rPr>
          <w:rFonts w:ascii="黑体"/>
          <w:color w:val="auto"/>
          <w:sz w:val="32"/>
          <w:highlight w:val="none"/>
        </w:rPr>
      </w:pPr>
    </w:p>
    <w:p>
      <w:pPr>
        <w:pStyle w:val="3"/>
        <w:rPr>
          <w:rFonts w:ascii="黑体"/>
          <w:color w:val="auto"/>
          <w:sz w:val="32"/>
          <w:highlight w:val="none"/>
        </w:rPr>
      </w:pPr>
    </w:p>
    <w:p>
      <w:pPr>
        <w:pStyle w:val="3"/>
        <w:spacing w:before="5"/>
        <w:rPr>
          <w:rFonts w:ascii="宋体" w:hAnsi="宋体" w:cs="宋体"/>
          <w:color w:val="auto"/>
          <w:sz w:val="45"/>
          <w:highlight w:val="none"/>
        </w:rPr>
      </w:pPr>
    </w:p>
    <w:p>
      <w:pPr>
        <w:tabs>
          <w:tab w:val="left" w:pos="5880"/>
        </w:tabs>
        <w:spacing w:line="360" w:lineRule="auto"/>
        <w:jc w:val="center"/>
        <w:rPr>
          <w:rFonts w:ascii="宋体" w:hAnsi="宋体" w:cs="宋体"/>
          <w:b/>
          <w:bCs/>
          <w:color w:val="auto"/>
          <w:sz w:val="28"/>
          <w:highlight w:val="none"/>
        </w:rPr>
      </w:pPr>
      <w:r>
        <w:rPr>
          <w:rFonts w:hint="eastAsia" w:ascii="宋体" w:hAnsi="宋体" w:cs="宋体"/>
          <w:b/>
          <w:bCs/>
          <w:color w:val="auto"/>
          <w:sz w:val="28"/>
          <w:highlight w:val="none"/>
        </w:rPr>
        <w:t xml:space="preserve"> 投标人：</w:t>
      </w:r>
      <w:r>
        <w:rPr>
          <w:rFonts w:hint="eastAsia" w:ascii="宋体" w:hAnsi="宋体" w:cs="宋体"/>
          <w:b/>
          <w:bCs/>
          <w:color w:val="auto"/>
          <w:sz w:val="28"/>
          <w:highlight w:val="none"/>
          <w:u w:val="single"/>
        </w:rPr>
        <w:t xml:space="preserve">                      </w:t>
      </w:r>
      <w:r>
        <w:rPr>
          <w:rFonts w:hint="eastAsia" w:ascii="宋体" w:hAnsi="宋体" w:cs="宋体"/>
          <w:b/>
          <w:bCs/>
          <w:color w:val="auto"/>
          <w:sz w:val="28"/>
          <w:highlight w:val="none"/>
        </w:rPr>
        <w:t>（盖单</w:t>
      </w:r>
      <w:r>
        <w:rPr>
          <w:rFonts w:hint="eastAsia" w:ascii="宋体" w:hAnsi="宋体" w:cs="宋体"/>
          <w:b/>
          <w:bCs/>
          <w:color w:val="auto"/>
          <w:spacing w:val="-3"/>
          <w:sz w:val="28"/>
          <w:highlight w:val="none"/>
        </w:rPr>
        <w:t>位</w:t>
      </w:r>
      <w:r>
        <w:rPr>
          <w:rFonts w:hint="eastAsia" w:ascii="宋体" w:hAnsi="宋体" w:cs="宋体"/>
          <w:b/>
          <w:bCs/>
          <w:color w:val="auto"/>
          <w:sz w:val="28"/>
          <w:highlight w:val="none"/>
        </w:rPr>
        <w:t>章）</w:t>
      </w:r>
    </w:p>
    <w:p>
      <w:pPr>
        <w:tabs>
          <w:tab w:val="center" w:pos="4739"/>
        </w:tabs>
        <w:spacing w:line="360" w:lineRule="auto"/>
        <w:jc w:val="center"/>
        <w:rPr>
          <w:rFonts w:ascii="宋体" w:hAnsi="宋体" w:cs="宋体"/>
          <w:b/>
          <w:color w:val="auto"/>
          <w:sz w:val="28"/>
          <w:szCs w:val="21"/>
          <w:highlight w:val="none"/>
        </w:rPr>
      </w:pPr>
      <w:r>
        <w:rPr>
          <w:rFonts w:hint="eastAsia" w:ascii="宋体" w:hAnsi="宋体" w:cs="宋体"/>
          <w:b/>
          <w:color w:val="auto"/>
          <w:sz w:val="28"/>
          <w:szCs w:val="21"/>
          <w:highlight w:val="none"/>
        </w:rPr>
        <w:t xml:space="preserve">法定代表人或其委托代理人： </w:t>
      </w:r>
      <w:r>
        <w:rPr>
          <w:rFonts w:hint="eastAsia" w:ascii="宋体" w:hAnsi="宋体" w:cs="宋体"/>
          <w:b/>
          <w:color w:val="auto"/>
          <w:sz w:val="28"/>
          <w:szCs w:val="21"/>
          <w:highlight w:val="none"/>
          <w:u w:val="single"/>
        </w:rPr>
        <w:t xml:space="preserve">          </w:t>
      </w:r>
      <w:r>
        <w:rPr>
          <w:rFonts w:hint="eastAsia" w:ascii="宋体" w:hAnsi="宋体" w:cs="宋体"/>
          <w:b/>
          <w:color w:val="auto"/>
          <w:sz w:val="28"/>
          <w:szCs w:val="21"/>
          <w:highlight w:val="none"/>
        </w:rPr>
        <w:t>（签字）</w:t>
      </w:r>
    </w:p>
    <w:p>
      <w:pPr>
        <w:tabs>
          <w:tab w:val="left" w:pos="3550"/>
          <w:tab w:val="left" w:pos="4952"/>
          <w:tab w:val="left" w:pos="6490"/>
        </w:tabs>
        <w:spacing w:line="360" w:lineRule="auto"/>
        <w:jc w:val="center"/>
        <w:rPr>
          <w:rFonts w:ascii="宋体" w:hAnsi="宋体" w:cs="宋体"/>
          <w:b/>
          <w:bCs/>
          <w:color w:val="auto"/>
          <w:sz w:val="28"/>
          <w:highlight w:val="none"/>
        </w:rPr>
      </w:pPr>
      <w:r>
        <w:rPr>
          <w:rFonts w:hint="eastAsia" w:ascii="宋体" w:hAnsi="宋体" w:cs="宋体"/>
          <w:b/>
          <w:bCs/>
          <w:color w:val="auto"/>
          <w:sz w:val="28"/>
          <w:highlight w:val="none"/>
          <w:u w:val="single"/>
        </w:rPr>
        <w:t xml:space="preserve">      </w:t>
      </w:r>
      <w:r>
        <w:rPr>
          <w:rFonts w:hint="eastAsia" w:ascii="宋体" w:hAnsi="宋体" w:cs="宋体"/>
          <w:b/>
          <w:bCs/>
          <w:color w:val="auto"/>
          <w:sz w:val="28"/>
          <w:highlight w:val="none"/>
        </w:rPr>
        <w:t>年</w:t>
      </w:r>
      <w:r>
        <w:rPr>
          <w:rFonts w:hint="eastAsia" w:ascii="宋体" w:hAnsi="宋体" w:cs="宋体"/>
          <w:b/>
          <w:bCs/>
          <w:color w:val="auto"/>
          <w:sz w:val="28"/>
          <w:highlight w:val="none"/>
          <w:u w:val="single"/>
        </w:rPr>
        <w:t xml:space="preserve">      </w:t>
      </w:r>
      <w:r>
        <w:rPr>
          <w:rFonts w:hint="eastAsia" w:ascii="宋体" w:hAnsi="宋体" w:cs="宋体"/>
          <w:b/>
          <w:bCs/>
          <w:color w:val="auto"/>
          <w:sz w:val="28"/>
          <w:highlight w:val="none"/>
        </w:rPr>
        <w:t>月</w:t>
      </w:r>
      <w:r>
        <w:rPr>
          <w:rFonts w:hint="eastAsia" w:ascii="宋体" w:hAnsi="宋体" w:cs="宋体"/>
          <w:b/>
          <w:bCs/>
          <w:color w:val="auto"/>
          <w:sz w:val="28"/>
          <w:highlight w:val="none"/>
          <w:u w:val="single"/>
        </w:rPr>
        <w:t xml:space="preserve">      </w:t>
      </w:r>
      <w:r>
        <w:rPr>
          <w:rFonts w:hint="eastAsia" w:ascii="宋体" w:hAnsi="宋体" w:cs="宋体"/>
          <w:b/>
          <w:bCs/>
          <w:color w:val="auto"/>
          <w:sz w:val="28"/>
          <w:highlight w:val="none"/>
        </w:rPr>
        <w:t>日</w:t>
      </w:r>
    </w:p>
    <w:p>
      <w:pPr>
        <w:spacing w:line="360" w:lineRule="auto"/>
        <w:rPr>
          <w:rFonts w:ascii="黑体" w:eastAsia="黑体"/>
          <w:color w:val="auto"/>
          <w:sz w:val="28"/>
          <w:highlight w:val="none"/>
        </w:rPr>
        <w:sectPr>
          <w:headerReference r:id="rId29" w:type="default"/>
          <w:footerReference r:id="rId30" w:type="default"/>
          <w:pgSz w:w="11900" w:h="16843"/>
          <w:pgMar w:top="1417" w:right="1417" w:bottom="1417" w:left="1531" w:header="850" w:footer="992" w:gutter="0"/>
          <w:pgNumType w:fmt="decimal"/>
          <w:cols w:space="720" w:num="1"/>
          <w:titlePg/>
        </w:sectPr>
      </w:pPr>
    </w:p>
    <w:p>
      <w:pPr>
        <w:bidi w:val="0"/>
        <w:rPr>
          <w:color w:val="auto"/>
          <w:sz w:val="24"/>
          <w:szCs w:val="24"/>
          <w:highlight w:val="none"/>
        </w:rPr>
      </w:pPr>
    </w:p>
    <w:p>
      <w:pPr>
        <w:bidi w:val="0"/>
        <w:rPr>
          <w:color w:val="auto"/>
          <w:sz w:val="24"/>
          <w:szCs w:val="24"/>
          <w:highlight w:val="none"/>
        </w:rPr>
      </w:pPr>
    </w:p>
    <w:p>
      <w:pPr>
        <w:bidi w:val="0"/>
        <w:jc w:val="center"/>
        <w:rPr>
          <w:color w:val="auto"/>
          <w:sz w:val="32"/>
          <w:szCs w:val="32"/>
          <w:highlight w:val="none"/>
        </w:rPr>
      </w:pPr>
      <w:bookmarkStart w:id="432" w:name="_Toc24281_WPSOffice_Level1"/>
      <w:bookmarkStart w:id="433" w:name="_Toc31938_WPSOffice_Level1"/>
      <w:bookmarkStart w:id="434" w:name="_Toc21032_WPSOffice_Level1"/>
      <w:bookmarkStart w:id="435" w:name="_Toc27565_WPSOffice_Level1"/>
      <w:bookmarkStart w:id="436" w:name="_Toc11406_WPSOffice_Level1"/>
      <w:bookmarkStart w:id="437" w:name="_Toc16504_WPSOffice_Level1"/>
      <w:bookmarkStart w:id="438" w:name="_Toc29102_WPSOffice_Level1"/>
      <w:r>
        <w:rPr>
          <w:rFonts w:hint="eastAsia"/>
          <w:color w:val="auto"/>
          <w:sz w:val="32"/>
          <w:szCs w:val="32"/>
          <w:highlight w:val="none"/>
        </w:rPr>
        <w:t xml:space="preserve">目 </w:t>
      </w:r>
      <w:r>
        <w:rPr>
          <w:color w:val="auto"/>
          <w:sz w:val="32"/>
          <w:szCs w:val="32"/>
          <w:highlight w:val="none"/>
        </w:rPr>
        <w:t xml:space="preserve"> </w:t>
      </w:r>
      <w:r>
        <w:rPr>
          <w:rFonts w:hint="eastAsia"/>
          <w:color w:val="auto"/>
          <w:sz w:val="32"/>
          <w:szCs w:val="32"/>
          <w:highlight w:val="none"/>
        </w:rPr>
        <w:tab/>
      </w:r>
      <w:r>
        <w:rPr>
          <w:rFonts w:hint="eastAsia"/>
          <w:color w:val="auto"/>
          <w:sz w:val="32"/>
          <w:szCs w:val="32"/>
          <w:highlight w:val="none"/>
        </w:rPr>
        <w:t>录</w:t>
      </w:r>
      <w:bookmarkEnd w:id="432"/>
      <w:bookmarkEnd w:id="433"/>
      <w:bookmarkEnd w:id="434"/>
      <w:bookmarkEnd w:id="435"/>
      <w:bookmarkEnd w:id="436"/>
      <w:bookmarkEnd w:id="437"/>
      <w:bookmarkEnd w:id="438"/>
    </w:p>
    <w:p>
      <w:pPr>
        <w:bidi w:val="0"/>
        <w:rPr>
          <w:color w:val="auto"/>
          <w:sz w:val="24"/>
          <w:szCs w:val="24"/>
          <w:highlight w:val="none"/>
        </w:rPr>
      </w:pPr>
    </w:p>
    <w:p>
      <w:pPr>
        <w:bidi w:val="0"/>
        <w:spacing w:line="480" w:lineRule="auto"/>
        <w:rPr>
          <w:color w:val="auto"/>
          <w:sz w:val="24"/>
          <w:szCs w:val="24"/>
          <w:highlight w:val="none"/>
        </w:rPr>
      </w:pPr>
      <w:bookmarkStart w:id="439" w:name="_Toc30577_WPSOffice_Level1"/>
      <w:bookmarkStart w:id="440" w:name="_Toc25996_WPSOffice_Level1"/>
      <w:bookmarkStart w:id="441" w:name="_Toc25164_WPSOffice_Level1"/>
      <w:bookmarkStart w:id="442" w:name="_Toc8873_WPSOffice_Level1"/>
      <w:bookmarkStart w:id="443" w:name="_Toc19657_WPSOffice_Level1"/>
      <w:bookmarkStart w:id="444" w:name="_Toc30210_WPSOffice_Level1"/>
      <w:bookmarkStart w:id="445" w:name="_Toc21370_WPSOffice_Level1"/>
      <w:r>
        <w:rPr>
          <w:rFonts w:hint="eastAsia"/>
          <w:color w:val="auto"/>
          <w:sz w:val="24"/>
          <w:szCs w:val="24"/>
          <w:highlight w:val="none"/>
        </w:rPr>
        <w:t>一、投标函及附表</w:t>
      </w:r>
      <w:bookmarkEnd w:id="439"/>
      <w:bookmarkEnd w:id="440"/>
      <w:bookmarkEnd w:id="441"/>
      <w:bookmarkEnd w:id="442"/>
      <w:bookmarkEnd w:id="443"/>
      <w:bookmarkEnd w:id="444"/>
      <w:bookmarkEnd w:id="445"/>
    </w:p>
    <w:p>
      <w:pPr>
        <w:bidi w:val="0"/>
        <w:spacing w:line="480" w:lineRule="auto"/>
        <w:rPr>
          <w:color w:val="auto"/>
          <w:sz w:val="24"/>
          <w:szCs w:val="24"/>
          <w:highlight w:val="none"/>
        </w:rPr>
      </w:pPr>
      <w:bookmarkStart w:id="446" w:name="_Toc21467_WPSOffice_Level1"/>
      <w:bookmarkStart w:id="447" w:name="_Toc13657_WPSOffice_Level1"/>
      <w:bookmarkStart w:id="448" w:name="_Toc28141_WPSOffice_Level1"/>
      <w:bookmarkStart w:id="449" w:name="_Toc29476_WPSOffice_Level1"/>
      <w:bookmarkStart w:id="450" w:name="_Toc31168_WPSOffice_Level1"/>
      <w:bookmarkStart w:id="451" w:name="_Toc12697_WPSOffice_Level1"/>
      <w:bookmarkStart w:id="452" w:name="_Toc31373_WPSOffice_Level1"/>
      <w:r>
        <w:rPr>
          <w:rFonts w:hint="eastAsia"/>
          <w:color w:val="auto"/>
          <w:sz w:val="24"/>
          <w:szCs w:val="24"/>
          <w:highlight w:val="none"/>
        </w:rPr>
        <w:t>二、已标价工程量清单</w:t>
      </w:r>
      <w:bookmarkEnd w:id="446"/>
      <w:bookmarkEnd w:id="447"/>
      <w:bookmarkEnd w:id="448"/>
      <w:bookmarkEnd w:id="449"/>
      <w:bookmarkEnd w:id="450"/>
      <w:bookmarkEnd w:id="451"/>
      <w:bookmarkEnd w:id="452"/>
    </w:p>
    <w:p>
      <w:pPr>
        <w:bidi w:val="0"/>
        <w:spacing w:line="480" w:lineRule="auto"/>
        <w:rPr>
          <w:color w:val="auto"/>
          <w:sz w:val="24"/>
          <w:szCs w:val="24"/>
          <w:highlight w:val="none"/>
        </w:rPr>
      </w:pPr>
      <w:bookmarkStart w:id="453" w:name="_Toc30832_WPSOffice_Level1"/>
      <w:bookmarkStart w:id="454" w:name="_Toc25990_WPSOffice_Level1"/>
      <w:bookmarkStart w:id="455" w:name="_Toc14870_WPSOffice_Level1"/>
      <w:bookmarkStart w:id="456" w:name="_Toc28250_WPSOffice_Level1"/>
      <w:bookmarkStart w:id="457" w:name="_Toc28903_WPSOffice_Level1"/>
      <w:bookmarkStart w:id="458" w:name="_Toc2112_WPSOffice_Level1"/>
      <w:bookmarkStart w:id="459" w:name="_Toc24986_WPSOffice_Level1"/>
      <w:r>
        <w:rPr>
          <w:rFonts w:hint="eastAsia"/>
          <w:color w:val="auto"/>
          <w:sz w:val="24"/>
          <w:szCs w:val="24"/>
          <w:highlight w:val="none"/>
        </w:rPr>
        <w:t>三、单价分析表</w:t>
      </w:r>
      <w:bookmarkEnd w:id="453"/>
      <w:bookmarkEnd w:id="454"/>
      <w:bookmarkEnd w:id="455"/>
      <w:bookmarkEnd w:id="456"/>
      <w:bookmarkEnd w:id="457"/>
      <w:bookmarkEnd w:id="458"/>
      <w:bookmarkEnd w:id="459"/>
    </w:p>
    <w:p>
      <w:pPr>
        <w:bidi w:val="0"/>
        <w:spacing w:line="480" w:lineRule="auto"/>
        <w:rPr>
          <w:color w:val="auto"/>
          <w:sz w:val="24"/>
          <w:szCs w:val="24"/>
          <w:highlight w:val="none"/>
        </w:rPr>
      </w:pPr>
      <w:bookmarkStart w:id="460" w:name="_Toc25525_WPSOffice_Level1"/>
      <w:bookmarkStart w:id="461" w:name="_Toc15093_WPSOffice_Level1"/>
      <w:bookmarkStart w:id="462" w:name="_Toc30733_WPSOffice_Level1"/>
      <w:bookmarkStart w:id="463" w:name="_Toc27624_WPSOffice_Level1"/>
      <w:bookmarkStart w:id="464" w:name="_Toc25094_WPSOffice_Level1"/>
      <w:bookmarkStart w:id="465" w:name="_Toc31626_WPSOffice_Level1"/>
      <w:bookmarkStart w:id="466" w:name="_Toc24454_WPSOffice_Level1"/>
      <w:r>
        <w:rPr>
          <w:rFonts w:hint="eastAsia"/>
          <w:color w:val="auto"/>
          <w:sz w:val="24"/>
          <w:szCs w:val="24"/>
          <w:highlight w:val="none"/>
        </w:rPr>
        <w:t>四、主材价格表</w:t>
      </w:r>
      <w:bookmarkEnd w:id="460"/>
      <w:bookmarkEnd w:id="461"/>
      <w:bookmarkEnd w:id="462"/>
      <w:bookmarkEnd w:id="463"/>
      <w:bookmarkEnd w:id="464"/>
      <w:bookmarkEnd w:id="465"/>
      <w:bookmarkEnd w:id="466"/>
    </w:p>
    <w:p>
      <w:pPr>
        <w:bidi w:val="0"/>
        <w:spacing w:line="480" w:lineRule="auto"/>
        <w:rPr>
          <w:color w:val="auto"/>
          <w:sz w:val="24"/>
          <w:szCs w:val="24"/>
          <w:highlight w:val="none"/>
        </w:rPr>
      </w:pPr>
      <w:bookmarkStart w:id="467" w:name="_Toc13169_WPSOffice_Level1"/>
      <w:bookmarkStart w:id="468" w:name="_Toc13489_WPSOffice_Level1"/>
      <w:bookmarkStart w:id="469" w:name="_Toc10741_WPSOffice_Level1"/>
      <w:bookmarkStart w:id="470" w:name="_Toc25896_WPSOffice_Level1"/>
      <w:bookmarkStart w:id="471" w:name="_Toc6186_WPSOffice_Level1"/>
      <w:bookmarkStart w:id="472" w:name="_Toc19088_WPSOffice_Level1"/>
      <w:bookmarkStart w:id="473" w:name="_Toc16712_WPSOffice_Level1"/>
      <w:r>
        <w:rPr>
          <w:rFonts w:hint="eastAsia"/>
          <w:color w:val="auto"/>
          <w:sz w:val="24"/>
          <w:szCs w:val="24"/>
          <w:highlight w:val="none"/>
        </w:rPr>
        <w:t>五、合同用款估算表</w:t>
      </w:r>
      <w:bookmarkEnd w:id="467"/>
      <w:bookmarkEnd w:id="468"/>
      <w:bookmarkEnd w:id="469"/>
      <w:bookmarkEnd w:id="470"/>
      <w:bookmarkEnd w:id="471"/>
      <w:bookmarkEnd w:id="472"/>
      <w:bookmarkEnd w:id="473"/>
    </w:p>
    <w:p>
      <w:pPr>
        <w:bidi w:val="0"/>
        <w:spacing w:line="480" w:lineRule="auto"/>
        <w:rPr>
          <w:color w:val="auto"/>
          <w:sz w:val="24"/>
          <w:szCs w:val="24"/>
          <w:highlight w:val="none"/>
        </w:rPr>
      </w:pPr>
      <w:bookmarkStart w:id="474" w:name="_Toc9668_WPSOffice_Level1"/>
      <w:bookmarkStart w:id="475" w:name="_Toc10953_WPSOffice_Level1"/>
      <w:bookmarkStart w:id="476" w:name="_Toc22453_WPSOffice_Level1"/>
      <w:bookmarkStart w:id="477" w:name="_Toc21202_WPSOffice_Level1"/>
      <w:bookmarkStart w:id="478" w:name="_Toc24687_WPSOffice_Level1"/>
      <w:bookmarkStart w:id="479" w:name="_Toc29036_WPSOffice_Level1"/>
      <w:bookmarkStart w:id="480" w:name="_Toc21148_WPSOffice_Level1"/>
      <w:r>
        <w:rPr>
          <w:rFonts w:hint="eastAsia"/>
          <w:color w:val="auto"/>
          <w:sz w:val="24"/>
          <w:szCs w:val="24"/>
          <w:highlight w:val="none"/>
        </w:rPr>
        <w:t>六、需要补充其他内容</w:t>
      </w:r>
      <w:bookmarkEnd w:id="474"/>
      <w:bookmarkEnd w:id="475"/>
      <w:bookmarkEnd w:id="476"/>
      <w:bookmarkEnd w:id="477"/>
      <w:bookmarkEnd w:id="478"/>
      <w:bookmarkEnd w:id="479"/>
      <w:bookmarkEnd w:id="480"/>
      <w:r>
        <w:rPr>
          <w:color w:val="auto"/>
          <w:sz w:val="24"/>
          <w:szCs w:val="24"/>
          <w:highlight w:val="none"/>
        </w:rPr>
        <w:t xml:space="preserve"> </w:t>
      </w:r>
    </w:p>
    <w:p>
      <w:pPr>
        <w:spacing w:line="307" w:lineRule="exact"/>
        <w:rPr>
          <w:color w:val="auto"/>
          <w:highlight w:val="none"/>
        </w:rPr>
        <w:sectPr>
          <w:footerReference r:id="rId31" w:type="default"/>
          <w:footerReference r:id="rId32" w:type="even"/>
          <w:pgSz w:w="11900" w:h="16843"/>
          <w:pgMar w:top="1417" w:right="1417" w:bottom="1417" w:left="1531" w:header="850" w:footer="992" w:gutter="0"/>
          <w:pgNumType w:fmt="decimal"/>
          <w:cols w:space="720" w:num="1"/>
          <w:titlePg/>
        </w:sectPr>
      </w:pPr>
    </w:p>
    <w:p>
      <w:pPr>
        <w:pStyle w:val="14"/>
        <w:spacing w:before="57" w:line="360" w:lineRule="auto"/>
        <w:ind w:right="58"/>
        <w:jc w:val="center"/>
        <w:rPr>
          <w:b/>
          <w:bCs/>
          <w:color w:val="auto"/>
          <w:sz w:val="32"/>
          <w:szCs w:val="32"/>
          <w:highlight w:val="none"/>
        </w:rPr>
      </w:pPr>
      <w:bookmarkStart w:id="481" w:name="_bookmark324"/>
      <w:bookmarkEnd w:id="481"/>
      <w:bookmarkStart w:id="482" w:name="_Toc32092_WPSOffice_Level1"/>
      <w:bookmarkStart w:id="483" w:name="_Toc27571_WPSOffice_Level1"/>
      <w:bookmarkStart w:id="484" w:name="_Toc14379_WPSOffice_Level1"/>
      <w:bookmarkStart w:id="485" w:name="_Toc10786_WPSOffice_Level1"/>
      <w:bookmarkStart w:id="486" w:name="_Toc15112_WPSOffice_Level1"/>
      <w:bookmarkStart w:id="487" w:name="_Toc9529_WPSOffice_Level1"/>
      <w:bookmarkStart w:id="488" w:name="_Toc21103_WPSOffice_Level1"/>
      <w:bookmarkStart w:id="489" w:name="_Toc17491_WPSOffice_Level1"/>
      <w:bookmarkStart w:id="490" w:name="_Toc16098_WPSOffice_Level1"/>
      <w:r>
        <w:rPr>
          <w:b/>
          <w:bCs/>
          <w:color w:val="auto"/>
          <w:sz w:val="32"/>
          <w:szCs w:val="32"/>
          <w:highlight w:val="none"/>
        </w:rPr>
        <w:t>一、投标函</w:t>
      </w:r>
      <w:bookmarkEnd w:id="482"/>
      <w:bookmarkEnd w:id="483"/>
      <w:r>
        <w:rPr>
          <w:rFonts w:hint="eastAsia"/>
          <w:b/>
          <w:bCs/>
          <w:color w:val="auto"/>
          <w:sz w:val="32"/>
          <w:szCs w:val="32"/>
          <w:highlight w:val="none"/>
        </w:rPr>
        <w:t>及附表</w:t>
      </w:r>
      <w:bookmarkEnd w:id="484"/>
      <w:bookmarkEnd w:id="485"/>
      <w:bookmarkEnd w:id="486"/>
      <w:bookmarkEnd w:id="487"/>
      <w:bookmarkEnd w:id="488"/>
      <w:bookmarkEnd w:id="489"/>
      <w:bookmarkEnd w:id="490"/>
    </w:p>
    <w:p>
      <w:pPr>
        <w:pStyle w:val="3"/>
        <w:rPr>
          <w:rFonts w:ascii="Arial" w:hAnsi="Arial"/>
          <w:b/>
          <w:bCs/>
          <w:color w:val="auto"/>
          <w:spacing w:val="-4"/>
          <w:kern w:val="28"/>
          <w:sz w:val="32"/>
          <w:szCs w:val="32"/>
          <w:highlight w:val="none"/>
        </w:rPr>
      </w:pPr>
      <w:r>
        <w:rPr>
          <w:rFonts w:hint="eastAsia" w:ascii="黑体"/>
          <w:color w:val="auto"/>
          <w:highlight w:val="none"/>
        </w:rPr>
        <w:t xml:space="preserve"> </w:t>
      </w:r>
      <w:r>
        <w:rPr>
          <w:rFonts w:ascii="黑体"/>
          <w:color w:val="auto"/>
          <w:highlight w:val="none"/>
        </w:rPr>
        <w:t xml:space="preserve">                                     </w:t>
      </w:r>
      <w:r>
        <w:rPr>
          <w:rFonts w:hint="eastAsia" w:ascii="Arial" w:hAnsi="Arial"/>
          <w:b/>
          <w:bCs/>
          <w:color w:val="auto"/>
          <w:spacing w:val="-4"/>
          <w:kern w:val="28"/>
          <w:sz w:val="32"/>
          <w:szCs w:val="32"/>
          <w:highlight w:val="none"/>
        </w:rPr>
        <w:t>（一）投标函</w:t>
      </w:r>
    </w:p>
    <w:p>
      <w:pPr>
        <w:pStyle w:val="3"/>
        <w:spacing w:before="7"/>
        <w:rPr>
          <w:rFonts w:ascii="黑体"/>
          <w:color w:val="auto"/>
          <w:sz w:val="19"/>
          <w:highlight w:val="none"/>
        </w:rPr>
      </w:pPr>
    </w:p>
    <w:p>
      <w:pPr>
        <w:pStyle w:val="3"/>
        <w:tabs>
          <w:tab w:val="left" w:pos="3264"/>
        </w:tabs>
        <w:spacing w:before="74" w:line="360" w:lineRule="auto"/>
        <w:ind w:left="384"/>
        <w:rPr>
          <w:color w:val="auto"/>
          <w:szCs w:val="21"/>
          <w:highlight w:val="none"/>
        </w:rPr>
      </w:pPr>
      <w:r>
        <w:rPr>
          <w:rFonts w:eastAsia="Times New Roman"/>
          <w:color w:val="auto"/>
          <w:szCs w:val="21"/>
          <w:highlight w:val="none"/>
          <w:u w:val="single"/>
        </w:rPr>
        <w:t xml:space="preserve"> </w:t>
      </w:r>
      <w:r>
        <w:rPr>
          <w:rFonts w:eastAsia="Times New Roman"/>
          <w:color w:val="auto"/>
          <w:szCs w:val="21"/>
          <w:highlight w:val="none"/>
          <w:u w:val="single"/>
        </w:rPr>
        <w:tab/>
      </w:r>
      <w:r>
        <w:rPr>
          <w:color w:val="auto"/>
          <w:szCs w:val="21"/>
          <w:highlight w:val="none"/>
        </w:rPr>
        <w:t>（招标人名称</w:t>
      </w:r>
      <w:r>
        <w:rPr>
          <w:color w:val="auto"/>
          <w:spacing w:val="-120"/>
          <w:szCs w:val="21"/>
          <w:highlight w:val="none"/>
        </w:rPr>
        <w:t>）</w:t>
      </w:r>
      <w:r>
        <w:rPr>
          <w:rFonts w:hint="eastAsia"/>
          <w:color w:val="auto"/>
          <w:szCs w:val="21"/>
          <w:highlight w:val="none"/>
        </w:rPr>
        <w:t>）：</w:t>
      </w:r>
    </w:p>
    <w:p>
      <w:pPr>
        <w:pStyle w:val="3"/>
        <w:tabs>
          <w:tab w:val="left" w:pos="3716"/>
          <w:tab w:val="left" w:pos="4796"/>
          <w:tab w:val="left" w:pos="4964"/>
          <w:tab w:val="left" w:pos="7494"/>
        </w:tabs>
        <w:spacing w:before="214" w:line="360" w:lineRule="auto"/>
        <w:ind w:left="264" w:right="445" w:firstLine="479"/>
        <w:rPr>
          <w:rFonts w:ascii="宋体" w:hAnsi="宋体"/>
          <w:color w:val="auto"/>
          <w:szCs w:val="21"/>
          <w:highlight w:val="none"/>
        </w:rPr>
      </w:pPr>
      <w:r>
        <w:rPr>
          <w:rFonts w:ascii="宋体" w:hAnsi="宋体"/>
          <w:color w:val="auto"/>
          <w:szCs w:val="21"/>
          <w:highlight w:val="none"/>
        </w:rPr>
        <w:t>1．我方已仔细研究</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rPr>
        <w:t>（项目名称）招标文件的全部内</w:t>
      </w:r>
      <w:r>
        <w:rPr>
          <w:rFonts w:ascii="宋体" w:hAnsi="宋体"/>
          <w:color w:val="auto"/>
          <w:spacing w:val="-29"/>
          <w:szCs w:val="21"/>
          <w:highlight w:val="none"/>
        </w:rPr>
        <w:t>容</w:t>
      </w:r>
      <w:r>
        <w:rPr>
          <w:rFonts w:hint="eastAsia" w:ascii="宋体" w:hAnsi="宋体"/>
          <w:color w:val="auto"/>
          <w:szCs w:val="21"/>
          <w:highlight w:val="none"/>
        </w:rPr>
        <w:t>（含补遗书第</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号至第</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号），在考察工程现场后，</w:t>
      </w:r>
      <w:r>
        <w:rPr>
          <w:rFonts w:ascii="宋体" w:hAnsi="宋体"/>
          <w:color w:val="auto"/>
          <w:szCs w:val="21"/>
          <w:highlight w:val="none"/>
        </w:rPr>
        <w:t>愿意以人民币</w:t>
      </w:r>
      <w:r>
        <w:rPr>
          <w:rFonts w:hint="eastAsia" w:ascii="宋体" w:hAnsi="宋体"/>
          <w:color w:val="auto"/>
          <w:szCs w:val="21"/>
          <w:highlight w:val="none"/>
        </w:rPr>
        <w:t>（大写）</w:t>
      </w:r>
      <w:r>
        <w:rPr>
          <w:rFonts w:hint="eastAsia" w:ascii="宋体" w:hAnsi="宋体"/>
          <w:color w:val="auto"/>
          <w:szCs w:val="21"/>
          <w:highlight w:val="none"/>
          <w:u w:val="single"/>
        </w:rPr>
        <w:t xml:space="preserve">     （￥    元）</w:t>
      </w:r>
    </w:p>
    <w:p>
      <w:pPr>
        <w:pStyle w:val="3"/>
        <w:tabs>
          <w:tab w:val="left" w:pos="3716"/>
          <w:tab w:val="left" w:pos="4796"/>
          <w:tab w:val="left" w:pos="4964"/>
          <w:tab w:val="left" w:pos="7494"/>
        </w:tabs>
        <w:spacing w:before="214" w:line="360" w:lineRule="auto"/>
        <w:ind w:left="264" w:right="445"/>
        <w:rPr>
          <w:rFonts w:ascii="宋体" w:hAnsi="宋体"/>
          <w:color w:val="auto"/>
          <w:szCs w:val="21"/>
          <w:highlight w:val="none"/>
        </w:rPr>
      </w:pPr>
      <w:r>
        <w:rPr>
          <w:rFonts w:ascii="宋体" w:hAnsi="宋体"/>
          <w:color w:val="auto"/>
          <w:szCs w:val="21"/>
          <w:highlight w:val="none"/>
        </w:rPr>
        <w:t>的投标总报价（或根据招标文件规定修正核实后确</w:t>
      </w:r>
      <w:r>
        <w:rPr>
          <w:rFonts w:ascii="宋体" w:hAnsi="宋体"/>
          <w:color w:val="auto"/>
          <w:spacing w:val="1"/>
          <w:szCs w:val="21"/>
          <w:highlight w:val="none"/>
        </w:rPr>
        <w:t>定</w:t>
      </w:r>
      <w:r>
        <w:rPr>
          <w:rFonts w:ascii="宋体" w:hAnsi="宋体"/>
          <w:color w:val="auto"/>
          <w:szCs w:val="21"/>
          <w:highlight w:val="none"/>
        </w:rPr>
        <w:t>的</w:t>
      </w:r>
      <w:r>
        <w:rPr>
          <w:rFonts w:ascii="宋体" w:hAnsi="宋体"/>
          <w:color w:val="auto"/>
          <w:spacing w:val="1"/>
          <w:szCs w:val="21"/>
          <w:highlight w:val="none"/>
        </w:rPr>
        <w:t>另</w:t>
      </w:r>
      <w:r>
        <w:rPr>
          <w:rFonts w:ascii="宋体" w:hAnsi="宋体"/>
          <w:color w:val="auto"/>
          <w:szCs w:val="21"/>
          <w:highlight w:val="none"/>
        </w:rPr>
        <w:t>一金</w:t>
      </w:r>
      <w:r>
        <w:rPr>
          <w:rFonts w:ascii="宋体" w:hAnsi="宋体"/>
          <w:color w:val="auto"/>
          <w:spacing w:val="2"/>
          <w:szCs w:val="21"/>
          <w:highlight w:val="none"/>
        </w:rPr>
        <w:t>额</w:t>
      </w:r>
      <w:r>
        <w:rPr>
          <w:rFonts w:hint="eastAsia" w:ascii="宋体" w:hAnsi="宋体"/>
          <w:color w:val="auto"/>
          <w:spacing w:val="2"/>
          <w:szCs w:val="21"/>
          <w:highlight w:val="none"/>
        </w:rPr>
        <w:t>），</w:t>
      </w:r>
      <w:r>
        <w:rPr>
          <w:rFonts w:ascii="宋体" w:hAnsi="宋体"/>
          <w:color w:val="auto"/>
          <w:szCs w:val="21"/>
          <w:highlight w:val="none"/>
        </w:rPr>
        <w:t>按合</w:t>
      </w:r>
      <w:r>
        <w:rPr>
          <w:rFonts w:ascii="宋体" w:hAnsi="宋体"/>
          <w:color w:val="auto"/>
          <w:spacing w:val="1"/>
          <w:szCs w:val="21"/>
          <w:highlight w:val="none"/>
        </w:rPr>
        <w:t>同</w:t>
      </w:r>
      <w:r>
        <w:rPr>
          <w:rFonts w:ascii="宋体" w:hAnsi="宋体"/>
          <w:color w:val="auto"/>
          <w:szCs w:val="21"/>
          <w:highlight w:val="none"/>
        </w:rPr>
        <w:t>约</w:t>
      </w:r>
      <w:r>
        <w:rPr>
          <w:rFonts w:ascii="宋体" w:hAnsi="宋体"/>
          <w:color w:val="auto"/>
          <w:spacing w:val="1"/>
          <w:szCs w:val="21"/>
          <w:highlight w:val="none"/>
        </w:rPr>
        <w:t>定</w:t>
      </w:r>
      <w:r>
        <w:rPr>
          <w:rFonts w:ascii="宋体" w:hAnsi="宋体"/>
          <w:color w:val="auto"/>
          <w:szCs w:val="21"/>
          <w:highlight w:val="none"/>
        </w:rPr>
        <w:t>实施和</w:t>
      </w:r>
      <w:r>
        <w:rPr>
          <w:rFonts w:ascii="宋体" w:hAnsi="宋体"/>
          <w:color w:val="auto"/>
          <w:spacing w:val="1"/>
          <w:szCs w:val="21"/>
          <w:highlight w:val="none"/>
        </w:rPr>
        <w:t>完</w:t>
      </w:r>
      <w:r>
        <w:rPr>
          <w:rFonts w:ascii="宋体" w:hAnsi="宋体"/>
          <w:color w:val="auto"/>
          <w:szCs w:val="21"/>
          <w:highlight w:val="none"/>
        </w:rPr>
        <w:t>成承包工程，修补工程中的任何缺陷。</w:t>
      </w:r>
      <w:r>
        <w:rPr>
          <w:rFonts w:hint="eastAsia" w:ascii="宋体" w:hAnsi="宋体"/>
          <w:color w:val="auto"/>
          <w:szCs w:val="21"/>
          <w:highlight w:val="none"/>
        </w:rPr>
        <w:t xml:space="preserve">  </w:t>
      </w:r>
    </w:p>
    <w:p>
      <w:pPr>
        <w:pStyle w:val="3"/>
        <w:spacing w:before="1" w:line="360" w:lineRule="auto"/>
        <w:ind w:left="264" w:right="446" w:firstLine="479"/>
        <w:rPr>
          <w:rFonts w:ascii="宋体" w:hAnsi="宋体"/>
          <w:color w:val="auto"/>
          <w:szCs w:val="21"/>
          <w:highlight w:val="none"/>
        </w:rPr>
      </w:pPr>
      <w:r>
        <w:rPr>
          <w:rFonts w:ascii="宋体" w:hAnsi="宋体"/>
          <w:color w:val="auto"/>
          <w:spacing w:val="-22"/>
          <w:szCs w:val="21"/>
          <w:highlight w:val="none"/>
        </w:rPr>
        <w:t>2</w:t>
      </w:r>
      <w:r>
        <w:rPr>
          <w:rFonts w:ascii="宋体" w:hAnsi="宋体"/>
          <w:color w:val="auto"/>
          <w:spacing w:val="-8"/>
          <w:szCs w:val="21"/>
          <w:highlight w:val="none"/>
        </w:rPr>
        <w:t>．在合同协议书正式签署生效之前，本投标函连同你方的中标通知书将构成我们双方之间共同遵守的文件，对双方具有约束力。</w:t>
      </w:r>
    </w:p>
    <w:p>
      <w:pPr>
        <w:pStyle w:val="3"/>
        <w:tabs>
          <w:tab w:val="left" w:pos="5785"/>
        </w:tabs>
        <w:spacing w:line="360" w:lineRule="auto"/>
        <w:ind w:left="744"/>
        <w:rPr>
          <w:rFonts w:ascii="宋体" w:hAnsi="宋体"/>
          <w:color w:val="auto"/>
          <w:szCs w:val="21"/>
          <w:highlight w:val="none"/>
        </w:rPr>
      </w:pPr>
      <w:r>
        <w:rPr>
          <w:rFonts w:ascii="宋体" w:hAnsi="宋体"/>
          <w:color w:val="auto"/>
          <w:szCs w:val="21"/>
          <w:highlight w:val="none"/>
        </w:rPr>
        <w:t>3．</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rPr>
        <w:t>（其他补充说明</w:t>
      </w:r>
      <w:r>
        <w:rPr>
          <w:rFonts w:ascii="宋体" w:hAnsi="宋体"/>
          <w:color w:val="auto"/>
          <w:spacing w:val="-120"/>
          <w:szCs w:val="21"/>
          <w:highlight w:val="none"/>
        </w:rPr>
        <w:t>）</w:t>
      </w:r>
      <w:r>
        <w:rPr>
          <w:rFonts w:ascii="宋体" w:hAnsi="宋体"/>
          <w:color w:val="auto"/>
          <w:szCs w:val="21"/>
          <w:highlight w:val="none"/>
        </w:rPr>
        <w:t>。</w:t>
      </w:r>
    </w:p>
    <w:p>
      <w:pPr>
        <w:pStyle w:val="3"/>
        <w:spacing w:before="7" w:line="360" w:lineRule="auto"/>
        <w:rPr>
          <w:color w:val="auto"/>
          <w:szCs w:val="21"/>
          <w:highlight w:val="none"/>
        </w:rPr>
      </w:pPr>
    </w:p>
    <w:p>
      <w:pPr>
        <w:pStyle w:val="3"/>
        <w:spacing w:line="480" w:lineRule="auto"/>
        <w:jc w:val="center"/>
        <w:rPr>
          <w:color w:val="auto"/>
          <w:szCs w:val="21"/>
          <w:highlight w:val="none"/>
        </w:rPr>
      </w:pPr>
      <w:r>
        <w:rPr>
          <w:rFonts w:hint="eastAsia"/>
          <w:color w:val="auto"/>
          <w:szCs w:val="21"/>
          <w:highlight w:val="none"/>
        </w:rPr>
        <w:t>投标人（盖章）：</w:t>
      </w:r>
    </w:p>
    <w:p>
      <w:pPr>
        <w:pStyle w:val="3"/>
        <w:spacing w:line="480" w:lineRule="auto"/>
        <w:jc w:val="center"/>
        <w:rPr>
          <w:color w:val="auto"/>
          <w:szCs w:val="21"/>
          <w:highlight w:val="none"/>
        </w:rPr>
      </w:pPr>
      <w:r>
        <w:rPr>
          <w:rFonts w:hint="eastAsia"/>
          <w:color w:val="auto"/>
          <w:szCs w:val="21"/>
          <w:highlight w:val="none"/>
        </w:rPr>
        <w:t xml:space="preserve">               法定代表人或委托代理人（签字）：</w:t>
      </w:r>
    </w:p>
    <w:p>
      <w:pPr>
        <w:pStyle w:val="3"/>
        <w:spacing w:line="480" w:lineRule="auto"/>
        <w:jc w:val="center"/>
        <w:rPr>
          <w:color w:val="auto"/>
          <w:szCs w:val="21"/>
          <w:highlight w:val="none"/>
        </w:rPr>
      </w:pPr>
      <w:r>
        <w:rPr>
          <w:rFonts w:hint="eastAsia"/>
          <w:color w:val="auto"/>
          <w:szCs w:val="21"/>
          <w:highlight w:val="none"/>
        </w:rPr>
        <w:t xml:space="preserve">                日期： </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pPr>
        <w:pStyle w:val="3"/>
        <w:spacing w:line="480" w:lineRule="auto"/>
        <w:jc w:val="right"/>
        <w:rPr>
          <w:color w:val="auto"/>
          <w:highlight w:val="none"/>
        </w:rPr>
      </w:pPr>
    </w:p>
    <w:p>
      <w:pPr>
        <w:pStyle w:val="3"/>
        <w:spacing w:line="480" w:lineRule="auto"/>
        <w:jc w:val="right"/>
        <w:rPr>
          <w:color w:val="auto"/>
          <w:highlight w:val="none"/>
        </w:rPr>
      </w:pPr>
    </w:p>
    <w:p>
      <w:pPr>
        <w:pStyle w:val="14"/>
        <w:spacing w:before="57" w:line="480" w:lineRule="auto"/>
        <w:ind w:right="58"/>
        <w:jc w:val="center"/>
        <w:rPr>
          <w:b/>
          <w:bCs/>
          <w:color w:val="auto"/>
          <w:sz w:val="32"/>
          <w:szCs w:val="32"/>
          <w:highlight w:val="none"/>
        </w:rPr>
      </w:pPr>
      <w:bookmarkStart w:id="491" w:name="_bookmark325"/>
      <w:bookmarkEnd w:id="491"/>
      <w:bookmarkStart w:id="492" w:name="_Toc28055_WPSOffice_Level1"/>
      <w:bookmarkStart w:id="493" w:name="_Toc19098_WPSOffice_Level1"/>
    </w:p>
    <w:p>
      <w:pPr>
        <w:pStyle w:val="14"/>
        <w:spacing w:before="57" w:line="360" w:lineRule="auto"/>
        <w:ind w:right="58"/>
        <w:jc w:val="center"/>
        <w:rPr>
          <w:b/>
          <w:bCs/>
          <w:color w:val="auto"/>
          <w:sz w:val="32"/>
          <w:szCs w:val="32"/>
          <w:highlight w:val="none"/>
        </w:rPr>
      </w:pPr>
    </w:p>
    <w:p>
      <w:pPr>
        <w:pStyle w:val="14"/>
        <w:spacing w:before="57" w:line="360" w:lineRule="auto"/>
        <w:ind w:right="58"/>
        <w:jc w:val="center"/>
        <w:rPr>
          <w:b/>
          <w:bCs/>
          <w:color w:val="auto"/>
          <w:sz w:val="32"/>
          <w:szCs w:val="32"/>
          <w:highlight w:val="none"/>
        </w:rPr>
      </w:pPr>
    </w:p>
    <w:p>
      <w:pPr>
        <w:rPr>
          <w:b/>
          <w:bCs/>
          <w:color w:val="auto"/>
          <w:sz w:val="32"/>
          <w:szCs w:val="32"/>
          <w:highlight w:val="none"/>
        </w:rPr>
      </w:pPr>
    </w:p>
    <w:p>
      <w:pPr>
        <w:pStyle w:val="2"/>
        <w:ind w:firstLine="321"/>
        <w:rPr>
          <w:b/>
          <w:bCs/>
          <w:color w:val="auto"/>
          <w:sz w:val="32"/>
          <w:szCs w:val="32"/>
          <w:highlight w:val="none"/>
        </w:rPr>
      </w:pPr>
    </w:p>
    <w:p>
      <w:pPr>
        <w:pStyle w:val="2"/>
        <w:ind w:firstLine="321"/>
        <w:rPr>
          <w:b/>
          <w:bCs/>
          <w:color w:val="auto"/>
          <w:sz w:val="32"/>
          <w:szCs w:val="32"/>
          <w:highlight w:val="none"/>
        </w:rPr>
      </w:pPr>
    </w:p>
    <w:p>
      <w:pPr>
        <w:pStyle w:val="2"/>
        <w:ind w:firstLine="321"/>
        <w:rPr>
          <w:b/>
          <w:bCs/>
          <w:color w:val="auto"/>
          <w:sz w:val="32"/>
          <w:szCs w:val="32"/>
          <w:highlight w:val="none"/>
        </w:rPr>
      </w:pPr>
    </w:p>
    <w:p>
      <w:pPr>
        <w:autoSpaceDE w:val="0"/>
        <w:autoSpaceDN w:val="0"/>
        <w:adjustRightInd w:val="0"/>
        <w:jc w:val="center"/>
        <w:rPr>
          <w:rFonts w:ascii="宋体" w:hAnsi="宋体" w:cs="宋体"/>
          <w:color w:val="auto"/>
          <w:kern w:val="0"/>
          <w:sz w:val="32"/>
          <w:szCs w:val="32"/>
          <w:highlight w:val="none"/>
        </w:rPr>
      </w:pPr>
      <w:bookmarkStart w:id="494" w:name="_Toc250616672"/>
      <w:r>
        <w:rPr>
          <w:rFonts w:hint="eastAsia" w:ascii="宋体" w:hAnsi="宋体" w:cs="宋体"/>
          <w:color w:val="auto"/>
          <w:kern w:val="0"/>
          <w:sz w:val="32"/>
          <w:szCs w:val="32"/>
          <w:highlight w:val="none"/>
        </w:rPr>
        <w:t>（二）附</w:t>
      </w:r>
      <w:bookmarkEnd w:id="494"/>
      <w:r>
        <w:rPr>
          <w:rFonts w:hint="eastAsia" w:ascii="宋体" w:hAnsi="宋体" w:cs="宋体"/>
          <w:color w:val="auto"/>
          <w:kern w:val="0"/>
          <w:sz w:val="32"/>
          <w:szCs w:val="32"/>
          <w:highlight w:val="none"/>
        </w:rPr>
        <w:t>表</w:t>
      </w:r>
      <w:r>
        <w:rPr>
          <w:rFonts w:ascii="宋体" w:hAnsi="宋体" w:cs="宋体"/>
          <w:color w:val="auto"/>
          <w:kern w:val="0"/>
          <w:sz w:val="32"/>
          <w:szCs w:val="32"/>
          <w:highlight w:val="none"/>
        </w:rPr>
        <w:t xml:space="preserve"> </w:t>
      </w:r>
    </w:p>
    <w:tbl>
      <w:tblPr>
        <w:tblStyle w:val="47"/>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工程名称</w:t>
            </w:r>
          </w:p>
        </w:tc>
        <w:tc>
          <w:tcPr>
            <w:tcW w:w="6014" w:type="dxa"/>
            <w:gridSpan w:val="5"/>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投标人名称</w:t>
            </w:r>
          </w:p>
        </w:tc>
        <w:tc>
          <w:tcPr>
            <w:tcW w:w="6014" w:type="dxa"/>
            <w:gridSpan w:val="5"/>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项目经理</w:t>
            </w:r>
          </w:p>
        </w:tc>
        <w:tc>
          <w:tcPr>
            <w:tcW w:w="1510" w:type="dxa"/>
            <w:vAlign w:val="center"/>
          </w:tcPr>
          <w:p>
            <w:pPr>
              <w:jc w:val="center"/>
              <w:rPr>
                <w:rFonts w:ascii="宋体" w:hAnsi="宋体" w:cs="宋体"/>
                <w:color w:val="auto"/>
                <w:kern w:val="0"/>
                <w:szCs w:val="21"/>
                <w:highlight w:val="none"/>
              </w:rPr>
            </w:pPr>
          </w:p>
        </w:tc>
        <w:tc>
          <w:tcPr>
            <w:tcW w:w="565"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级别</w:t>
            </w:r>
          </w:p>
        </w:tc>
        <w:tc>
          <w:tcPr>
            <w:tcW w:w="1245" w:type="dxa"/>
            <w:vAlign w:val="center"/>
          </w:tcPr>
          <w:p>
            <w:pPr>
              <w:jc w:val="center"/>
              <w:rPr>
                <w:rFonts w:ascii="宋体" w:hAnsi="宋体" w:cs="宋体"/>
                <w:color w:val="auto"/>
                <w:kern w:val="0"/>
                <w:szCs w:val="21"/>
                <w:highlight w:val="none"/>
              </w:rPr>
            </w:pPr>
          </w:p>
        </w:tc>
        <w:tc>
          <w:tcPr>
            <w:tcW w:w="790"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证书编号</w:t>
            </w:r>
          </w:p>
        </w:tc>
        <w:tc>
          <w:tcPr>
            <w:tcW w:w="1904" w:type="dxa"/>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项目总工程师</w:t>
            </w:r>
          </w:p>
        </w:tc>
        <w:tc>
          <w:tcPr>
            <w:tcW w:w="1510" w:type="dxa"/>
            <w:vAlign w:val="center"/>
          </w:tcPr>
          <w:p>
            <w:pPr>
              <w:jc w:val="center"/>
              <w:rPr>
                <w:rFonts w:ascii="宋体" w:hAnsi="宋体" w:cs="宋体"/>
                <w:color w:val="auto"/>
                <w:kern w:val="0"/>
                <w:szCs w:val="21"/>
                <w:highlight w:val="none"/>
              </w:rPr>
            </w:pPr>
          </w:p>
        </w:tc>
        <w:tc>
          <w:tcPr>
            <w:tcW w:w="565"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级别</w:t>
            </w:r>
          </w:p>
        </w:tc>
        <w:tc>
          <w:tcPr>
            <w:tcW w:w="1245" w:type="dxa"/>
            <w:vAlign w:val="center"/>
          </w:tcPr>
          <w:p>
            <w:pPr>
              <w:jc w:val="center"/>
              <w:rPr>
                <w:rFonts w:ascii="宋体" w:hAnsi="宋体" w:cs="宋体"/>
                <w:color w:val="auto"/>
                <w:kern w:val="0"/>
                <w:szCs w:val="21"/>
                <w:highlight w:val="none"/>
              </w:rPr>
            </w:pPr>
          </w:p>
        </w:tc>
        <w:tc>
          <w:tcPr>
            <w:tcW w:w="790"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证书编号</w:t>
            </w:r>
          </w:p>
        </w:tc>
        <w:tc>
          <w:tcPr>
            <w:tcW w:w="1904" w:type="dxa"/>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投标总报价</w:t>
            </w:r>
          </w:p>
        </w:tc>
        <w:tc>
          <w:tcPr>
            <w:tcW w:w="3320" w:type="dxa"/>
            <w:gridSpan w:val="3"/>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（大写）</w:t>
            </w:r>
          </w:p>
        </w:tc>
        <w:tc>
          <w:tcPr>
            <w:tcW w:w="2694" w:type="dxa"/>
            <w:gridSpan w:val="2"/>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jc w:val="center"/>
        </w:trPr>
        <w:tc>
          <w:tcPr>
            <w:tcW w:w="3242" w:type="dxa"/>
            <w:vMerge w:val="continue"/>
            <w:vAlign w:val="center"/>
          </w:tcPr>
          <w:p>
            <w:pPr>
              <w:jc w:val="center"/>
              <w:rPr>
                <w:rFonts w:ascii="宋体" w:hAnsi="宋体" w:cs="宋体"/>
                <w:color w:val="auto"/>
                <w:kern w:val="0"/>
                <w:szCs w:val="21"/>
                <w:highlight w:val="none"/>
              </w:rPr>
            </w:pPr>
          </w:p>
        </w:tc>
        <w:tc>
          <w:tcPr>
            <w:tcW w:w="6014" w:type="dxa"/>
            <w:gridSpan w:val="5"/>
            <w:vAlign w:val="center"/>
          </w:tcPr>
          <w:p>
            <w:pPr>
              <w:spacing w:line="480" w:lineRule="exact"/>
              <w:rPr>
                <w:rFonts w:ascii="宋体" w:hAnsi="宋体" w:cs="宋体"/>
                <w:color w:val="auto"/>
                <w:kern w:val="0"/>
                <w:szCs w:val="21"/>
                <w:highlight w:val="none"/>
              </w:rPr>
            </w:pPr>
            <w:r>
              <w:rPr>
                <w:rFonts w:hint="eastAsia" w:ascii="宋体" w:hAnsi="宋体" w:cs="宋体"/>
                <w:color w:val="auto"/>
                <w:kern w:val="0"/>
                <w:szCs w:val="21"/>
                <w:highlight w:val="none"/>
              </w:rPr>
              <w:t>其中：暂估价RMB￥：</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line="480" w:lineRule="exact"/>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暂列金额RMB￥：</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3242" w:type="dxa"/>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评标价</w:t>
            </w:r>
          </w:p>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评标价=投标函文字报价-暂估价-暂列金额（不含计日工总额）</w:t>
            </w:r>
          </w:p>
        </w:tc>
        <w:tc>
          <w:tcPr>
            <w:tcW w:w="6014" w:type="dxa"/>
            <w:gridSpan w:val="5"/>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投标质量</w:t>
            </w:r>
          </w:p>
        </w:tc>
        <w:tc>
          <w:tcPr>
            <w:tcW w:w="6014" w:type="dxa"/>
            <w:gridSpan w:val="5"/>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投标工期</w:t>
            </w:r>
          </w:p>
        </w:tc>
        <w:tc>
          <w:tcPr>
            <w:tcW w:w="6014" w:type="dxa"/>
            <w:gridSpan w:val="5"/>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投标有效期</w:t>
            </w:r>
          </w:p>
        </w:tc>
        <w:tc>
          <w:tcPr>
            <w:tcW w:w="6014" w:type="dxa"/>
            <w:gridSpan w:val="5"/>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9256" w:type="dxa"/>
            <w:gridSpan w:val="6"/>
          </w:tcPr>
          <w:p>
            <w:pPr>
              <w:rPr>
                <w:rFonts w:ascii="宋体" w:hAnsi="宋体" w:cs="宋体"/>
                <w:color w:val="auto"/>
                <w:kern w:val="0"/>
                <w:szCs w:val="21"/>
                <w:highlight w:val="none"/>
              </w:rPr>
            </w:pPr>
            <w:r>
              <w:rPr>
                <w:rFonts w:hint="eastAsia" w:ascii="宋体" w:hAnsi="宋体" w:cs="宋体"/>
                <w:color w:val="auto"/>
                <w:kern w:val="0"/>
                <w:szCs w:val="21"/>
                <w:highlight w:val="none"/>
              </w:rPr>
              <w:t xml:space="preserve"> 备注</w:t>
            </w:r>
            <w:r>
              <w:rPr>
                <w:rFonts w:hint="eastAsia" w:ascii="宋体" w:hAnsi="宋体" w:cs="宋体"/>
                <w:b/>
                <w:bCs/>
                <w:color w:val="auto"/>
                <w:kern w:val="0"/>
                <w:szCs w:val="21"/>
                <w:highlight w:val="none"/>
              </w:rPr>
              <w:t xml:space="preserve">： </w:t>
            </w:r>
          </w:p>
          <w:p>
            <w:pPr>
              <w:rPr>
                <w:rFonts w:ascii="宋体" w:hAnsi="宋体" w:cs="宋体"/>
                <w:color w:val="auto"/>
                <w:kern w:val="0"/>
                <w:szCs w:val="21"/>
                <w:highlight w:val="none"/>
              </w:rPr>
            </w:pPr>
          </w:p>
          <w:p>
            <w:pPr>
              <w:rPr>
                <w:rFonts w:ascii="宋体" w:hAnsi="宋体" w:cs="宋体"/>
                <w:color w:val="auto"/>
                <w:kern w:val="0"/>
                <w:szCs w:val="21"/>
                <w:highlight w:val="none"/>
              </w:rPr>
            </w:pPr>
          </w:p>
          <w:p>
            <w:pPr>
              <w:rPr>
                <w:rFonts w:ascii="宋体" w:hAnsi="宋体" w:cs="宋体"/>
                <w:color w:val="auto"/>
                <w:kern w:val="0"/>
                <w:szCs w:val="21"/>
                <w:highlight w:val="none"/>
              </w:rPr>
            </w:pPr>
          </w:p>
          <w:p>
            <w:pPr>
              <w:rPr>
                <w:rFonts w:ascii="宋体" w:hAnsi="宋体" w:cs="宋体"/>
                <w:color w:val="auto"/>
                <w:kern w:val="0"/>
                <w:szCs w:val="21"/>
                <w:highlight w:val="none"/>
              </w:rPr>
            </w:pPr>
          </w:p>
        </w:tc>
      </w:tr>
    </w:tbl>
    <w:p>
      <w:pPr>
        <w:spacing w:line="360" w:lineRule="auto"/>
        <w:ind w:right="475"/>
        <w:rPr>
          <w:rFonts w:ascii="宋体" w:hAnsi="宋体" w:cs="宋体"/>
          <w:color w:val="auto"/>
          <w:kern w:val="0"/>
          <w:szCs w:val="21"/>
          <w:highlight w:val="none"/>
        </w:rPr>
      </w:pPr>
    </w:p>
    <w:p>
      <w:pPr>
        <w:spacing w:line="360" w:lineRule="auto"/>
        <w:ind w:right="475"/>
        <w:jc w:val="center"/>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投标人名称（加盖公章）：</w:t>
      </w:r>
      <w:r>
        <w:rPr>
          <w:rFonts w:hint="eastAsia" w:ascii="宋体" w:hAnsi="宋体" w:cs="宋体"/>
          <w:color w:val="auto"/>
          <w:kern w:val="0"/>
          <w:szCs w:val="21"/>
          <w:highlight w:val="none"/>
          <w:u w:val="single"/>
        </w:rPr>
        <w:t xml:space="preserve">                    </w:t>
      </w:r>
    </w:p>
    <w:p>
      <w:pPr>
        <w:spacing w:line="360" w:lineRule="auto"/>
        <w:ind w:right="475"/>
        <w:jc w:val="center"/>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投标人法定代表人或委托代理人（签字）：</w:t>
      </w:r>
      <w:r>
        <w:rPr>
          <w:rFonts w:hint="eastAsia" w:ascii="宋体" w:hAnsi="宋体" w:cs="宋体"/>
          <w:color w:val="auto"/>
          <w:kern w:val="0"/>
          <w:szCs w:val="21"/>
          <w:highlight w:val="none"/>
          <w:u w:val="single"/>
        </w:rPr>
        <w:t xml:space="preserve">      </w:t>
      </w:r>
    </w:p>
    <w:p>
      <w:pPr>
        <w:spacing w:line="360" w:lineRule="auto"/>
        <w:ind w:right="315"/>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日      期：</w:t>
      </w:r>
    </w:p>
    <w:p>
      <w:pPr>
        <w:rPr>
          <w:rFonts w:ascii="宋体" w:hAnsi="宋体"/>
          <w:color w:val="auto"/>
          <w:szCs w:val="21"/>
          <w:highlight w:val="none"/>
          <w:u w:val="single"/>
        </w:rPr>
      </w:pPr>
    </w:p>
    <w:p>
      <w:pPr>
        <w:pStyle w:val="2"/>
        <w:ind w:firstLine="321"/>
        <w:rPr>
          <w:b/>
          <w:bCs/>
          <w:color w:val="auto"/>
          <w:sz w:val="32"/>
          <w:szCs w:val="32"/>
          <w:highlight w:val="none"/>
        </w:rPr>
      </w:pPr>
    </w:p>
    <w:p>
      <w:pPr>
        <w:pStyle w:val="2"/>
        <w:ind w:firstLine="321"/>
        <w:rPr>
          <w:b/>
          <w:bCs/>
          <w:color w:val="auto"/>
          <w:sz w:val="32"/>
          <w:szCs w:val="32"/>
          <w:highlight w:val="none"/>
        </w:rPr>
      </w:pPr>
    </w:p>
    <w:p>
      <w:pPr>
        <w:pStyle w:val="2"/>
        <w:ind w:firstLine="0" w:firstLineChars="0"/>
        <w:rPr>
          <w:b/>
          <w:bCs/>
          <w:color w:val="auto"/>
          <w:sz w:val="32"/>
          <w:szCs w:val="32"/>
          <w:highlight w:val="none"/>
        </w:rPr>
      </w:pPr>
    </w:p>
    <w:p>
      <w:pPr>
        <w:pStyle w:val="14"/>
        <w:spacing w:before="57" w:line="360" w:lineRule="auto"/>
        <w:ind w:right="58"/>
        <w:jc w:val="center"/>
        <w:rPr>
          <w:b/>
          <w:bCs/>
          <w:color w:val="auto"/>
          <w:sz w:val="32"/>
          <w:szCs w:val="32"/>
          <w:highlight w:val="none"/>
        </w:rPr>
      </w:pPr>
      <w:bookmarkStart w:id="495" w:name="_Toc22446_WPSOffice_Level1"/>
      <w:bookmarkStart w:id="496" w:name="_Toc8266_WPSOffice_Level1"/>
      <w:bookmarkStart w:id="497" w:name="_Toc21527_WPSOffice_Level1"/>
      <w:bookmarkStart w:id="498" w:name="_Toc27959_WPSOffice_Level1"/>
      <w:bookmarkStart w:id="499" w:name="_Toc6106_WPSOffice_Level1"/>
      <w:bookmarkStart w:id="500" w:name="_Toc22806_WPSOffice_Level1"/>
      <w:bookmarkStart w:id="501" w:name="_Toc21639_WPSOffice_Level1"/>
      <w:r>
        <w:rPr>
          <w:rFonts w:hint="eastAsia"/>
          <w:b/>
          <w:bCs/>
          <w:color w:val="auto"/>
          <w:sz w:val="32"/>
          <w:szCs w:val="32"/>
          <w:highlight w:val="none"/>
        </w:rPr>
        <w:t>二、已标价工程量清单</w:t>
      </w:r>
      <w:bookmarkEnd w:id="492"/>
      <w:bookmarkEnd w:id="493"/>
      <w:bookmarkEnd w:id="495"/>
      <w:bookmarkEnd w:id="496"/>
      <w:bookmarkEnd w:id="497"/>
      <w:bookmarkEnd w:id="498"/>
      <w:bookmarkEnd w:id="499"/>
      <w:bookmarkEnd w:id="500"/>
      <w:bookmarkEnd w:id="501"/>
    </w:p>
    <w:p>
      <w:pPr>
        <w:pStyle w:val="3"/>
        <w:rPr>
          <w:rFonts w:ascii="黑体"/>
          <w:color w:val="auto"/>
          <w:sz w:val="28"/>
          <w:highlight w:val="none"/>
        </w:rPr>
      </w:pPr>
    </w:p>
    <w:p>
      <w:pPr>
        <w:pStyle w:val="3"/>
        <w:spacing w:before="2"/>
        <w:rPr>
          <w:rFonts w:ascii="黑体"/>
          <w:color w:val="auto"/>
          <w:sz w:val="34"/>
          <w:highlight w:val="none"/>
        </w:rPr>
      </w:pPr>
    </w:p>
    <w:p>
      <w:pPr>
        <w:spacing w:before="56"/>
        <w:ind w:right="181" w:firstLine="1680" w:firstLineChars="800"/>
        <w:rPr>
          <w:color w:val="auto"/>
          <w:highlight w:val="none"/>
        </w:rPr>
      </w:pPr>
      <w:r>
        <w:rPr>
          <w:color w:val="auto"/>
          <w:highlight w:val="none"/>
        </w:rPr>
        <w:t>投标人应按照第五章</w:t>
      </w:r>
      <w:r>
        <w:rPr>
          <w:rFonts w:eastAsia="Times New Roman"/>
          <w:color w:val="auto"/>
          <w:highlight w:val="none"/>
        </w:rPr>
        <w:t>“</w:t>
      </w:r>
      <w:r>
        <w:rPr>
          <w:color w:val="auto"/>
          <w:highlight w:val="none"/>
        </w:rPr>
        <w:t>工程量清单</w:t>
      </w:r>
      <w:r>
        <w:rPr>
          <w:rFonts w:eastAsia="Times New Roman"/>
          <w:color w:val="auto"/>
          <w:highlight w:val="none"/>
        </w:rPr>
        <w:t>”</w:t>
      </w:r>
      <w:r>
        <w:rPr>
          <w:rFonts w:hint="eastAsia"/>
          <w:color w:val="auto"/>
          <w:highlight w:val="none"/>
        </w:rPr>
        <w:t>和第八章</w:t>
      </w:r>
      <w:r>
        <w:rPr>
          <w:color w:val="auto"/>
          <w:highlight w:val="none"/>
        </w:rPr>
        <w:t>的要求填报工程量清单</w:t>
      </w:r>
      <w:bookmarkStart w:id="502" w:name="_bookmark326"/>
      <w:bookmarkEnd w:id="502"/>
      <w:r>
        <w:rPr>
          <w:rFonts w:hint="eastAsia"/>
          <w:color w:val="auto"/>
          <w:highlight w:val="none"/>
        </w:rPr>
        <w:t>。</w:t>
      </w:r>
    </w:p>
    <w:p>
      <w:pPr>
        <w:spacing w:before="56"/>
        <w:ind w:right="181"/>
        <w:rPr>
          <w:color w:val="auto"/>
          <w:highlight w:val="none"/>
        </w:rPr>
      </w:pPr>
    </w:p>
    <w:p>
      <w:pPr>
        <w:spacing w:line="360" w:lineRule="auto"/>
        <w:rPr>
          <w:rFonts w:ascii="宋体" w:hAnsi="宋体" w:cs="黑体"/>
          <w:b/>
          <w:bCs/>
          <w:color w:val="auto"/>
          <w:highlight w:val="none"/>
        </w:rPr>
      </w:pPr>
    </w:p>
    <w:p>
      <w:pPr>
        <w:spacing w:line="360" w:lineRule="auto"/>
        <w:rPr>
          <w:rFonts w:ascii="宋体" w:hAnsi="宋体" w:cs="黑体"/>
          <w:b/>
          <w:bCs/>
          <w:color w:val="auto"/>
          <w:sz w:val="24"/>
          <w:szCs w:val="24"/>
          <w:highlight w:val="none"/>
        </w:rPr>
      </w:pPr>
      <w:bookmarkStart w:id="503" w:name="_Toc24959_WPSOffice_Level1"/>
      <w:bookmarkStart w:id="504" w:name="_Toc8777_WPSOffice_Level1"/>
      <w:bookmarkStart w:id="505" w:name="_Toc31904_WPSOffice_Level1"/>
      <w:bookmarkStart w:id="506" w:name="_Toc2605_WPSOffice_Level1"/>
      <w:bookmarkStart w:id="507" w:name="_Toc908_WPSOffice_Level1"/>
      <w:bookmarkStart w:id="508" w:name="_Toc4687_WPSOffice_Level1"/>
      <w:bookmarkStart w:id="509" w:name="_Toc22009_WPSOffice_Level1"/>
      <w:r>
        <w:rPr>
          <w:rFonts w:hint="eastAsia" w:ascii="宋体" w:hAnsi="宋体" w:cs="黑体"/>
          <w:b/>
          <w:bCs/>
          <w:color w:val="auto"/>
          <w:sz w:val="24"/>
          <w:szCs w:val="24"/>
          <w:highlight w:val="none"/>
        </w:rPr>
        <w:t>注明：</w:t>
      </w:r>
      <w:bookmarkEnd w:id="503"/>
      <w:bookmarkEnd w:id="504"/>
      <w:bookmarkEnd w:id="505"/>
      <w:bookmarkEnd w:id="506"/>
      <w:bookmarkEnd w:id="507"/>
      <w:bookmarkEnd w:id="508"/>
      <w:bookmarkEnd w:id="509"/>
    </w:p>
    <w:p>
      <w:pPr>
        <w:numPr>
          <w:ilvl w:val="0"/>
          <w:numId w:val="18"/>
        </w:numPr>
        <w:rPr>
          <w:rFonts w:ascii="Calibri" w:hAnsi="Calibri" w:cs="黑体"/>
          <w:color w:val="auto"/>
          <w:szCs w:val="24"/>
          <w:highlight w:val="none"/>
        </w:rPr>
      </w:pPr>
      <w:r>
        <w:rPr>
          <w:rFonts w:hint="eastAsia" w:ascii="宋体" w:hAnsi="宋体" w:cs="黑体"/>
          <w:b/>
          <w:color w:val="auto"/>
          <w:sz w:val="24"/>
          <w:szCs w:val="24"/>
          <w:highlight w:val="none"/>
        </w:rPr>
        <w:t>投标人在制作电子投标文件时，需将填报完毕且签字盖章好的已标价工程量清单（Excel格式或其他格式）转化为文档或图片格式，然后粘贴或插入到投标文件制作系统已标价工程量清单部分，并按招标文件要求加盖电子印章和法人电子印章。</w:t>
      </w:r>
    </w:p>
    <w:p>
      <w:pPr>
        <w:spacing w:after="120"/>
        <w:rPr>
          <w:rFonts w:ascii="宋体" w:hAnsi="宋体" w:cs="黑体"/>
          <w:b/>
          <w:color w:val="auto"/>
          <w:sz w:val="24"/>
          <w:szCs w:val="24"/>
          <w:highlight w:val="none"/>
        </w:rPr>
      </w:pPr>
      <w:r>
        <w:rPr>
          <w:rFonts w:hint="eastAsia" w:ascii="宋体" w:hAnsi="宋体" w:cs="黑体"/>
          <w:b/>
          <w:color w:val="auto"/>
          <w:sz w:val="24"/>
          <w:szCs w:val="24"/>
          <w:highlight w:val="none"/>
        </w:rPr>
        <w:t>2、【全国公共资源交易平台(河南省</w:t>
      </w:r>
      <w:r>
        <w:rPr>
          <w:rFonts w:ascii="Segoe UI Emoji" w:hAnsi="Segoe UI Emoji" w:cs="Segoe UI Emoji"/>
          <w:b/>
          <w:color w:val="auto"/>
          <w:sz w:val="24"/>
          <w:szCs w:val="24"/>
          <w:highlight w:val="none"/>
        </w:rPr>
        <w:t>▪</w:t>
      </w:r>
      <w:r>
        <w:rPr>
          <w:rFonts w:hint="eastAsia" w:ascii="宋体" w:hAnsi="宋体" w:cs="黑体"/>
          <w:b/>
          <w:color w:val="auto"/>
          <w:sz w:val="24"/>
          <w:szCs w:val="24"/>
          <w:highlight w:val="none"/>
        </w:rPr>
        <w:t>许昌市)】公共资源交易系统中的工程量清单制作系统不适用于公路项目</w:t>
      </w:r>
      <w:r>
        <w:rPr>
          <w:rFonts w:hint="eastAsia" w:ascii="宋体" w:hAnsi="宋体" w:cs="黑体"/>
          <w:b/>
          <w:color w:val="auto"/>
          <w:sz w:val="24"/>
          <w:szCs w:val="24"/>
          <w:highlight w:val="none"/>
        </w:rPr>
        <w:t>。</w:t>
      </w:r>
    </w:p>
    <w:p>
      <w:pPr>
        <w:spacing w:before="56"/>
        <w:ind w:right="181"/>
        <w:rPr>
          <w:color w:val="auto"/>
          <w:highlight w:val="none"/>
        </w:rPr>
      </w:pPr>
    </w:p>
    <w:p>
      <w:pPr>
        <w:spacing w:before="56"/>
        <w:ind w:right="181"/>
        <w:rPr>
          <w:color w:val="auto"/>
          <w:highlight w:val="none"/>
        </w:rPr>
      </w:pPr>
    </w:p>
    <w:p>
      <w:pPr>
        <w:spacing w:before="56"/>
        <w:ind w:right="181"/>
        <w:rPr>
          <w:color w:val="auto"/>
          <w:highlight w:val="none"/>
        </w:rPr>
      </w:pPr>
    </w:p>
    <w:p>
      <w:pPr>
        <w:spacing w:before="56"/>
        <w:ind w:right="181"/>
        <w:rPr>
          <w:color w:val="auto"/>
          <w:highlight w:val="none"/>
        </w:rPr>
      </w:pPr>
    </w:p>
    <w:p>
      <w:pPr>
        <w:spacing w:before="56"/>
        <w:ind w:right="181"/>
        <w:rPr>
          <w:color w:val="auto"/>
          <w:highlight w:val="none"/>
        </w:rPr>
      </w:pPr>
    </w:p>
    <w:p>
      <w:pPr>
        <w:spacing w:before="56"/>
        <w:ind w:right="181"/>
        <w:rPr>
          <w:color w:val="auto"/>
          <w:highlight w:val="none"/>
        </w:rPr>
      </w:pPr>
    </w:p>
    <w:p>
      <w:pPr>
        <w:spacing w:before="56"/>
        <w:ind w:right="181"/>
        <w:rPr>
          <w:color w:val="auto"/>
          <w:highlight w:val="none"/>
        </w:rPr>
      </w:pPr>
    </w:p>
    <w:p>
      <w:pPr>
        <w:spacing w:before="56"/>
        <w:ind w:right="181"/>
        <w:rPr>
          <w:color w:val="auto"/>
          <w:highlight w:val="none"/>
        </w:rPr>
      </w:pPr>
    </w:p>
    <w:p>
      <w:pPr>
        <w:spacing w:before="56"/>
        <w:ind w:right="181"/>
        <w:rPr>
          <w:color w:val="auto"/>
          <w:highlight w:val="none"/>
        </w:rPr>
      </w:pPr>
    </w:p>
    <w:p>
      <w:pPr>
        <w:spacing w:before="56"/>
        <w:ind w:right="181"/>
        <w:rPr>
          <w:color w:val="auto"/>
          <w:highlight w:val="none"/>
        </w:rPr>
      </w:pPr>
    </w:p>
    <w:p>
      <w:pPr>
        <w:spacing w:before="56"/>
        <w:ind w:right="181"/>
        <w:rPr>
          <w:color w:val="auto"/>
          <w:highlight w:val="none"/>
        </w:rPr>
      </w:pPr>
    </w:p>
    <w:p>
      <w:pPr>
        <w:spacing w:before="56"/>
        <w:ind w:right="181"/>
        <w:rPr>
          <w:color w:val="auto"/>
          <w:highlight w:val="none"/>
        </w:rPr>
      </w:pPr>
    </w:p>
    <w:p>
      <w:pPr>
        <w:spacing w:before="56"/>
        <w:ind w:right="181"/>
        <w:rPr>
          <w:color w:val="auto"/>
          <w:highlight w:val="none"/>
        </w:rPr>
      </w:pPr>
    </w:p>
    <w:p>
      <w:pPr>
        <w:spacing w:before="56"/>
        <w:ind w:right="181"/>
        <w:rPr>
          <w:color w:val="auto"/>
          <w:highlight w:val="none"/>
        </w:rPr>
      </w:pPr>
    </w:p>
    <w:p>
      <w:pPr>
        <w:spacing w:before="56"/>
        <w:ind w:right="181"/>
        <w:rPr>
          <w:color w:val="auto"/>
          <w:highlight w:val="none"/>
        </w:rPr>
      </w:pPr>
    </w:p>
    <w:p>
      <w:pPr>
        <w:pStyle w:val="2"/>
        <w:ind w:firstLine="210"/>
        <w:rPr>
          <w:color w:val="auto"/>
          <w:highlight w:val="none"/>
        </w:rPr>
        <w:sectPr>
          <w:headerReference r:id="rId34" w:type="first"/>
          <w:footerReference r:id="rId36" w:type="first"/>
          <w:headerReference r:id="rId33" w:type="default"/>
          <w:footerReference r:id="rId35" w:type="default"/>
          <w:pgSz w:w="11900" w:h="16843"/>
          <w:pgMar w:top="1417" w:right="1417" w:bottom="1417" w:left="1531" w:header="850" w:footer="992" w:gutter="0"/>
          <w:pgNumType w:fmt="decimal"/>
          <w:cols w:space="720" w:num="1"/>
          <w:titlePg/>
          <w:docGrid w:linePitch="312" w:charSpace="0"/>
        </w:sectPr>
      </w:pPr>
    </w:p>
    <w:tbl>
      <w:tblPr>
        <w:tblStyle w:val="47"/>
        <w:tblW w:w="14249" w:type="dxa"/>
        <w:tblInd w:w="0" w:type="dxa"/>
        <w:tblLayout w:type="fixed"/>
        <w:tblCellMar>
          <w:top w:w="15" w:type="dxa"/>
          <w:left w:w="15" w:type="dxa"/>
          <w:bottom w:w="15" w:type="dxa"/>
          <w:right w:w="15" w:type="dxa"/>
        </w:tblCellMar>
      </w:tblPr>
      <w:tblGrid>
        <w:gridCol w:w="524"/>
        <w:gridCol w:w="734"/>
        <w:gridCol w:w="854"/>
        <w:gridCol w:w="779"/>
        <w:gridCol w:w="764"/>
        <w:gridCol w:w="780"/>
        <w:gridCol w:w="854"/>
        <w:gridCol w:w="674"/>
        <w:gridCol w:w="749"/>
        <w:gridCol w:w="855"/>
        <w:gridCol w:w="959"/>
        <w:gridCol w:w="959"/>
        <w:gridCol w:w="959"/>
        <w:gridCol w:w="674"/>
        <w:gridCol w:w="809"/>
        <w:gridCol w:w="644"/>
        <w:gridCol w:w="689"/>
        <w:gridCol w:w="989"/>
      </w:tblGrid>
      <w:tr>
        <w:tblPrEx>
          <w:tblLayout w:type="fixed"/>
          <w:tblCellMar>
            <w:top w:w="15" w:type="dxa"/>
            <w:left w:w="15" w:type="dxa"/>
            <w:bottom w:w="15" w:type="dxa"/>
            <w:right w:w="15" w:type="dxa"/>
          </w:tblCellMar>
        </w:tblPrEx>
        <w:trPr>
          <w:trHeight w:val="1065" w:hRule="atLeast"/>
        </w:trPr>
        <w:tc>
          <w:tcPr>
            <w:tcW w:w="14249" w:type="dxa"/>
            <w:gridSpan w:val="18"/>
            <w:vAlign w:val="center"/>
          </w:tcPr>
          <w:p>
            <w:pPr>
              <w:widowControl/>
              <w:autoSpaceDE w:val="0"/>
              <w:autoSpaceDN w:val="0"/>
              <w:jc w:val="center"/>
              <w:textAlignment w:val="center"/>
              <w:rPr>
                <w:rFonts w:ascii="黑体" w:hAnsi="宋体" w:eastAsia="黑体" w:cs="黑体"/>
                <w:color w:val="auto"/>
                <w:kern w:val="0"/>
                <w:sz w:val="28"/>
                <w:szCs w:val="28"/>
                <w:highlight w:val="none"/>
                <w:lang w:val="zh-CN" w:bidi="zh-CN"/>
              </w:rPr>
            </w:pPr>
            <w:bookmarkStart w:id="510" w:name="_Toc449530262"/>
            <w:bookmarkStart w:id="511" w:name="_Toc467679750"/>
            <w:r>
              <w:rPr>
                <w:rFonts w:hint="eastAsia" w:ascii="黑体" w:hAnsi="宋体" w:eastAsia="黑体" w:cs="黑体"/>
                <w:color w:val="auto"/>
                <w:kern w:val="0"/>
                <w:sz w:val="28"/>
                <w:szCs w:val="28"/>
                <w:highlight w:val="none"/>
                <w:lang w:bidi="ar"/>
              </w:rPr>
              <w:t>三、单价分析表</w:t>
            </w:r>
          </w:p>
        </w:tc>
      </w:tr>
      <w:tr>
        <w:tblPrEx>
          <w:tblLayout w:type="fixed"/>
          <w:tblCellMar>
            <w:top w:w="15" w:type="dxa"/>
            <w:left w:w="15" w:type="dxa"/>
            <w:bottom w:w="15" w:type="dxa"/>
            <w:right w:w="15" w:type="dxa"/>
          </w:tblCellMar>
        </w:tblPrEx>
        <w:trPr>
          <w:trHeight w:val="286" w:hRule="atLeast"/>
        </w:trPr>
        <w:tc>
          <w:tcPr>
            <w:tcW w:w="1258" w:type="dxa"/>
            <w:gridSpan w:val="2"/>
            <w:shd w:val="clear" w:color="auto" w:fill="FFFFFF"/>
            <w:vAlign w:val="center"/>
          </w:tcPr>
          <w:p>
            <w:pPr>
              <w:widowControl/>
              <w:autoSpaceDE w:val="0"/>
              <w:autoSpaceDN w:val="0"/>
              <w:jc w:val="left"/>
              <w:textAlignment w:val="center"/>
              <w:rPr>
                <w:rFonts w:ascii="宋体" w:hAnsi="宋体" w:cs="宋体"/>
                <w:color w:val="auto"/>
                <w:kern w:val="0"/>
                <w:sz w:val="20"/>
                <w:szCs w:val="20"/>
                <w:highlight w:val="none"/>
                <w:lang w:val="zh-CN" w:bidi="zh-CN"/>
              </w:rPr>
            </w:pPr>
            <w:r>
              <w:rPr>
                <w:rFonts w:hint="eastAsia" w:ascii="宋体" w:hAnsi="宋体" w:cs="宋体"/>
                <w:color w:val="auto"/>
                <w:kern w:val="0"/>
                <w:sz w:val="20"/>
                <w:szCs w:val="20"/>
                <w:highlight w:val="none"/>
                <w:lang w:bidi="ar"/>
              </w:rPr>
              <w:t>合同段：</w:t>
            </w:r>
          </w:p>
        </w:tc>
        <w:tc>
          <w:tcPr>
            <w:tcW w:w="854"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auto"/>
                <w:kern w:val="0"/>
                <w:sz w:val="20"/>
                <w:szCs w:val="20"/>
                <w:highlight w:val="none"/>
                <w:lang w:val="zh-CN" w:bidi="zh-CN"/>
              </w:rPr>
            </w:pPr>
          </w:p>
        </w:tc>
        <w:tc>
          <w:tcPr>
            <w:tcW w:w="779"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auto"/>
                <w:kern w:val="0"/>
                <w:sz w:val="20"/>
                <w:szCs w:val="20"/>
                <w:highlight w:val="none"/>
                <w:lang w:val="zh-CN" w:bidi="zh-CN"/>
              </w:rPr>
            </w:pPr>
          </w:p>
        </w:tc>
        <w:tc>
          <w:tcPr>
            <w:tcW w:w="764"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auto"/>
                <w:kern w:val="0"/>
                <w:sz w:val="20"/>
                <w:szCs w:val="20"/>
                <w:highlight w:val="none"/>
                <w:lang w:val="zh-CN" w:bidi="zh-CN"/>
              </w:rPr>
            </w:pPr>
          </w:p>
        </w:tc>
        <w:tc>
          <w:tcPr>
            <w:tcW w:w="780"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auto"/>
                <w:kern w:val="0"/>
                <w:sz w:val="20"/>
                <w:szCs w:val="20"/>
                <w:highlight w:val="none"/>
                <w:lang w:val="zh-CN" w:bidi="zh-CN"/>
              </w:rPr>
            </w:pPr>
          </w:p>
        </w:tc>
        <w:tc>
          <w:tcPr>
            <w:tcW w:w="854"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auto"/>
                <w:kern w:val="0"/>
                <w:sz w:val="20"/>
                <w:szCs w:val="20"/>
                <w:highlight w:val="none"/>
                <w:lang w:val="zh-CN" w:bidi="zh-CN"/>
              </w:rPr>
            </w:pPr>
          </w:p>
        </w:tc>
        <w:tc>
          <w:tcPr>
            <w:tcW w:w="674"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auto"/>
                <w:kern w:val="0"/>
                <w:sz w:val="20"/>
                <w:szCs w:val="20"/>
                <w:highlight w:val="none"/>
                <w:lang w:val="zh-CN" w:bidi="zh-CN"/>
              </w:rPr>
            </w:pPr>
          </w:p>
        </w:tc>
        <w:tc>
          <w:tcPr>
            <w:tcW w:w="749"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auto"/>
                <w:kern w:val="0"/>
                <w:sz w:val="20"/>
                <w:szCs w:val="20"/>
                <w:highlight w:val="none"/>
                <w:lang w:val="zh-CN" w:bidi="zh-CN"/>
              </w:rPr>
            </w:pPr>
          </w:p>
        </w:tc>
        <w:tc>
          <w:tcPr>
            <w:tcW w:w="855"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auto"/>
                <w:kern w:val="0"/>
                <w:sz w:val="20"/>
                <w:szCs w:val="20"/>
                <w:highlight w:val="none"/>
                <w:lang w:val="zh-CN" w:bidi="zh-CN"/>
              </w:rPr>
            </w:pPr>
          </w:p>
        </w:tc>
        <w:tc>
          <w:tcPr>
            <w:tcW w:w="959"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auto"/>
                <w:kern w:val="0"/>
                <w:sz w:val="20"/>
                <w:szCs w:val="20"/>
                <w:highlight w:val="none"/>
                <w:lang w:val="zh-CN" w:bidi="zh-CN"/>
              </w:rPr>
            </w:pPr>
          </w:p>
        </w:tc>
        <w:tc>
          <w:tcPr>
            <w:tcW w:w="959"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auto"/>
                <w:kern w:val="0"/>
                <w:sz w:val="20"/>
                <w:szCs w:val="20"/>
                <w:highlight w:val="none"/>
                <w:lang w:val="zh-CN" w:bidi="zh-CN"/>
              </w:rPr>
            </w:pPr>
          </w:p>
        </w:tc>
        <w:tc>
          <w:tcPr>
            <w:tcW w:w="959"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auto"/>
                <w:kern w:val="0"/>
                <w:sz w:val="20"/>
                <w:szCs w:val="20"/>
                <w:highlight w:val="none"/>
                <w:lang w:val="zh-CN" w:bidi="zh-CN"/>
              </w:rPr>
            </w:pPr>
          </w:p>
        </w:tc>
        <w:tc>
          <w:tcPr>
            <w:tcW w:w="674"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auto"/>
                <w:kern w:val="0"/>
                <w:sz w:val="20"/>
                <w:szCs w:val="20"/>
                <w:highlight w:val="none"/>
                <w:lang w:val="zh-CN" w:bidi="zh-CN"/>
              </w:rPr>
            </w:pPr>
          </w:p>
        </w:tc>
        <w:tc>
          <w:tcPr>
            <w:tcW w:w="809" w:type="dxa"/>
            <w:tcBorders>
              <w:bottom w:val="single" w:color="000000" w:sz="4" w:space="0"/>
            </w:tcBorders>
            <w:shd w:val="clear" w:color="auto" w:fill="auto"/>
            <w:vAlign w:val="center"/>
          </w:tcPr>
          <w:p>
            <w:pPr>
              <w:autoSpaceDE w:val="0"/>
              <w:autoSpaceDN w:val="0"/>
              <w:jc w:val="left"/>
              <w:rPr>
                <w:rFonts w:ascii="仿宋_GB2312" w:hAnsi="Arial" w:eastAsia="仿宋_GB2312" w:cs="仿宋_GB2312"/>
                <w:color w:val="auto"/>
                <w:kern w:val="0"/>
                <w:sz w:val="20"/>
                <w:szCs w:val="20"/>
                <w:highlight w:val="none"/>
                <w:lang w:val="zh-CN" w:bidi="zh-CN"/>
              </w:rPr>
            </w:pPr>
          </w:p>
        </w:tc>
        <w:tc>
          <w:tcPr>
            <w:tcW w:w="2322" w:type="dxa"/>
            <w:gridSpan w:val="3"/>
            <w:shd w:val="clear" w:color="auto" w:fill="FFFFFF"/>
            <w:vAlign w:val="center"/>
          </w:tcPr>
          <w:p>
            <w:pPr>
              <w:widowControl/>
              <w:autoSpaceDE w:val="0"/>
              <w:autoSpaceDN w:val="0"/>
              <w:jc w:val="left"/>
              <w:textAlignment w:val="center"/>
              <w:rPr>
                <w:rFonts w:ascii="宋体" w:hAnsi="宋体" w:cs="宋体"/>
                <w:color w:val="auto"/>
                <w:kern w:val="0"/>
                <w:sz w:val="16"/>
                <w:szCs w:val="16"/>
                <w:highlight w:val="none"/>
                <w:lang w:val="zh-CN" w:bidi="zh-CN"/>
              </w:rPr>
            </w:pPr>
            <w:r>
              <w:rPr>
                <w:rFonts w:hint="eastAsia" w:ascii="宋体" w:hAnsi="宋体" w:cs="宋体"/>
                <w:color w:val="auto"/>
                <w:kern w:val="0"/>
                <w:sz w:val="16"/>
                <w:szCs w:val="16"/>
                <w:highlight w:val="none"/>
                <w:lang w:bidi="ar"/>
              </w:rPr>
              <w:t>货币单位：人民币（元）</w:t>
            </w:r>
          </w:p>
        </w:tc>
      </w:tr>
      <w:tr>
        <w:tblPrEx>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auto"/>
                <w:kern w:val="0"/>
                <w:sz w:val="20"/>
                <w:szCs w:val="20"/>
                <w:highlight w:val="none"/>
                <w:lang w:val="zh-CN" w:bidi="zh-CN"/>
              </w:rPr>
            </w:pPr>
            <w:r>
              <w:rPr>
                <w:rFonts w:ascii="仿宋_GB2312" w:hAnsi="Arial" w:eastAsia="仿宋_GB2312" w:cs="仿宋_GB2312"/>
                <w:color w:val="auto"/>
                <w:kern w:val="0"/>
                <w:sz w:val="20"/>
                <w:szCs w:val="20"/>
                <w:highlight w:val="none"/>
                <w:lang w:bidi="ar"/>
              </w:rPr>
              <w:t>序号</w:t>
            </w:r>
          </w:p>
        </w:tc>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auto"/>
                <w:kern w:val="0"/>
                <w:sz w:val="20"/>
                <w:szCs w:val="20"/>
                <w:highlight w:val="none"/>
                <w:lang w:val="zh-CN" w:bidi="zh-CN"/>
              </w:rPr>
            </w:pPr>
            <w:r>
              <w:rPr>
                <w:rFonts w:ascii="仿宋_GB2312" w:hAnsi="Arial" w:eastAsia="仿宋_GB2312" w:cs="仿宋_GB2312"/>
                <w:color w:val="auto"/>
                <w:kern w:val="0"/>
                <w:sz w:val="20"/>
                <w:szCs w:val="20"/>
                <w:highlight w:val="none"/>
                <w:lang w:bidi="ar"/>
              </w:rPr>
              <w:t>编码</w:t>
            </w:r>
          </w:p>
        </w:tc>
        <w:tc>
          <w:tcPr>
            <w:tcW w:w="854"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auto"/>
                <w:kern w:val="0"/>
                <w:sz w:val="20"/>
                <w:szCs w:val="20"/>
                <w:highlight w:val="none"/>
                <w:lang w:val="zh-CN" w:bidi="zh-CN"/>
              </w:rPr>
            </w:pPr>
            <w:r>
              <w:rPr>
                <w:rFonts w:ascii="仿宋_GB2312" w:hAnsi="Arial" w:eastAsia="仿宋_GB2312" w:cs="仿宋_GB2312"/>
                <w:color w:val="auto"/>
                <w:kern w:val="0"/>
                <w:sz w:val="20"/>
                <w:szCs w:val="20"/>
                <w:highlight w:val="none"/>
                <w:lang w:bidi="ar"/>
              </w:rPr>
              <w:t>子目名称</w:t>
            </w:r>
          </w:p>
        </w:tc>
        <w:tc>
          <w:tcPr>
            <w:tcW w:w="2323" w:type="dxa"/>
            <w:gridSpan w:val="3"/>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auto"/>
                <w:kern w:val="0"/>
                <w:sz w:val="20"/>
                <w:szCs w:val="20"/>
                <w:highlight w:val="none"/>
                <w:lang w:val="zh-CN" w:bidi="zh-CN"/>
              </w:rPr>
            </w:pPr>
            <w:r>
              <w:rPr>
                <w:rFonts w:ascii="仿宋_GB2312" w:hAnsi="Arial" w:eastAsia="仿宋_GB2312" w:cs="仿宋_GB2312"/>
                <w:color w:val="auto"/>
                <w:kern w:val="0"/>
                <w:sz w:val="20"/>
                <w:szCs w:val="20"/>
                <w:highlight w:val="none"/>
                <w:lang w:bidi="ar"/>
              </w:rPr>
              <w:t>人工费</w:t>
            </w:r>
          </w:p>
        </w:tc>
        <w:tc>
          <w:tcPr>
            <w:tcW w:w="5050" w:type="dxa"/>
            <w:gridSpan w:val="6"/>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auto"/>
                <w:kern w:val="0"/>
                <w:sz w:val="20"/>
                <w:szCs w:val="20"/>
                <w:highlight w:val="none"/>
                <w:lang w:val="zh-CN" w:bidi="zh-CN"/>
              </w:rPr>
            </w:pPr>
            <w:r>
              <w:rPr>
                <w:rFonts w:ascii="仿宋_GB2312" w:hAnsi="Arial" w:eastAsia="仿宋_GB2312" w:cs="仿宋_GB2312"/>
                <w:color w:val="auto"/>
                <w:kern w:val="0"/>
                <w:sz w:val="20"/>
                <w:szCs w:val="20"/>
                <w:highlight w:val="none"/>
                <w:lang w:bidi="ar"/>
              </w:rPr>
              <w:t>材料费</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auto"/>
                <w:kern w:val="0"/>
                <w:sz w:val="20"/>
                <w:szCs w:val="20"/>
                <w:highlight w:val="none"/>
                <w:lang w:val="zh-CN" w:bidi="zh-CN"/>
              </w:rPr>
            </w:pPr>
            <w:r>
              <w:rPr>
                <w:rFonts w:ascii="仿宋_GB2312" w:hAnsi="Arial" w:eastAsia="仿宋_GB2312" w:cs="仿宋_GB2312"/>
                <w:color w:val="auto"/>
                <w:kern w:val="0"/>
                <w:sz w:val="20"/>
                <w:szCs w:val="20"/>
                <w:highlight w:val="none"/>
                <w:lang w:bidi="ar"/>
              </w:rPr>
              <w:t>机械</w:t>
            </w:r>
            <w:r>
              <w:rPr>
                <w:rFonts w:ascii="仿宋_GB2312" w:hAnsi="Arial" w:eastAsia="仿宋_GB2312" w:cs="仿宋_GB2312"/>
                <w:color w:val="auto"/>
                <w:kern w:val="0"/>
                <w:sz w:val="20"/>
                <w:szCs w:val="20"/>
                <w:highlight w:val="none"/>
                <w:lang w:bidi="ar"/>
              </w:rPr>
              <w:br w:type="textWrapping"/>
            </w:r>
            <w:r>
              <w:rPr>
                <w:rFonts w:ascii="仿宋_GB2312" w:hAnsi="Arial" w:eastAsia="仿宋_GB2312" w:cs="仿宋_GB2312"/>
                <w:color w:val="auto"/>
                <w:kern w:val="0"/>
                <w:sz w:val="20"/>
                <w:szCs w:val="20"/>
                <w:highlight w:val="none"/>
                <w:lang w:bidi="ar"/>
              </w:rPr>
              <w:t>使用费</w:t>
            </w:r>
          </w:p>
        </w:tc>
        <w:tc>
          <w:tcPr>
            <w:tcW w:w="674"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auto"/>
                <w:kern w:val="0"/>
                <w:sz w:val="20"/>
                <w:szCs w:val="20"/>
                <w:highlight w:val="none"/>
                <w:lang w:val="zh-CN" w:bidi="zh-CN"/>
              </w:rPr>
            </w:pPr>
            <w:r>
              <w:rPr>
                <w:rFonts w:ascii="仿宋_GB2312" w:hAnsi="Arial" w:eastAsia="仿宋_GB2312" w:cs="仿宋_GB2312"/>
                <w:color w:val="auto"/>
                <w:kern w:val="0"/>
                <w:sz w:val="20"/>
                <w:szCs w:val="20"/>
                <w:highlight w:val="none"/>
                <w:lang w:bidi="ar"/>
              </w:rPr>
              <w:t>其他</w:t>
            </w:r>
          </w:p>
        </w:tc>
        <w:tc>
          <w:tcPr>
            <w:tcW w:w="809"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auto"/>
                <w:kern w:val="0"/>
                <w:sz w:val="20"/>
                <w:szCs w:val="20"/>
                <w:highlight w:val="none"/>
                <w:lang w:val="zh-CN" w:bidi="zh-CN"/>
              </w:rPr>
            </w:pPr>
            <w:r>
              <w:rPr>
                <w:rFonts w:ascii="仿宋_GB2312" w:hAnsi="Arial" w:eastAsia="仿宋_GB2312" w:cs="仿宋_GB2312"/>
                <w:color w:val="auto"/>
                <w:kern w:val="0"/>
                <w:sz w:val="20"/>
                <w:szCs w:val="20"/>
                <w:highlight w:val="none"/>
                <w:lang w:bidi="ar"/>
              </w:rPr>
              <w:t>管理费</w:t>
            </w:r>
          </w:p>
        </w:tc>
        <w:tc>
          <w:tcPr>
            <w:tcW w:w="644"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auto"/>
                <w:kern w:val="0"/>
                <w:sz w:val="20"/>
                <w:szCs w:val="20"/>
                <w:highlight w:val="none"/>
                <w:lang w:val="zh-CN" w:bidi="zh-CN"/>
              </w:rPr>
            </w:pPr>
            <w:r>
              <w:rPr>
                <w:rFonts w:ascii="仿宋_GB2312" w:hAnsi="Arial" w:eastAsia="仿宋_GB2312" w:cs="仿宋_GB2312"/>
                <w:color w:val="auto"/>
                <w:kern w:val="0"/>
                <w:sz w:val="20"/>
                <w:szCs w:val="20"/>
                <w:highlight w:val="none"/>
                <w:lang w:bidi="ar"/>
              </w:rPr>
              <w:t>税费</w:t>
            </w:r>
          </w:p>
        </w:tc>
        <w:tc>
          <w:tcPr>
            <w:tcW w:w="689"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auto"/>
                <w:kern w:val="0"/>
                <w:sz w:val="20"/>
                <w:szCs w:val="20"/>
                <w:highlight w:val="none"/>
                <w:lang w:val="zh-CN" w:bidi="zh-CN"/>
              </w:rPr>
            </w:pPr>
            <w:r>
              <w:rPr>
                <w:rFonts w:ascii="仿宋_GB2312" w:hAnsi="Arial" w:eastAsia="仿宋_GB2312" w:cs="仿宋_GB2312"/>
                <w:color w:val="auto"/>
                <w:kern w:val="0"/>
                <w:sz w:val="20"/>
                <w:szCs w:val="20"/>
                <w:highlight w:val="none"/>
                <w:lang w:bidi="ar"/>
              </w:rPr>
              <w:t>利润</w:t>
            </w:r>
          </w:p>
        </w:tc>
        <w:tc>
          <w:tcPr>
            <w:tcW w:w="989"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auto"/>
                <w:kern w:val="0"/>
                <w:sz w:val="20"/>
                <w:szCs w:val="20"/>
                <w:highlight w:val="none"/>
                <w:lang w:val="zh-CN" w:bidi="zh-CN"/>
              </w:rPr>
            </w:pPr>
            <w:r>
              <w:rPr>
                <w:rFonts w:ascii="仿宋_GB2312" w:hAnsi="Arial" w:eastAsia="仿宋_GB2312" w:cs="仿宋_GB2312"/>
                <w:color w:val="auto"/>
                <w:kern w:val="0"/>
                <w:sz w:val="20"/>
                <w:szCs w:val="20"/>
                <w:highlight w:val="none"/>
                <w:lang w:bidi="ar"/>
              </w:rPr>
              <w:t>综合单价</w:t>
            </w:r>
          </w:p>
        </w:tc>
      </w:tr>
      <w:tr>
        <w:tblPrEx>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auto"/>
                <w:kern w:val="0"/>
                <w:sz w:val="20"/>
                <w:szCs w:val="20"/>
                <w:highlight w:val="none"/>
                <w:lang w:val="zh-CN" w:bidi="zh-CN"/>
              </w:rPr>
            </w:pPr>
            <w:r>
              <w:rPr>
                <w:rFonts w:ascii="仿宋_GB2312" w:hAnsi="Arial" w:eastAsia="仿宋_GB2312" w:cs="仿宋_GB2312"/>
                <w:color w:val="auto"/>
                <w:kern w:val="0"/>
                <w:sz w:val="20"/>
                <w:szCs w:val="20"/>
                <w:highlight w:val="none"/>
                <w:lang w:bidi="ar"/>
              </w:rPr>
              <w:t>工日</w:t>
            </w:r>
          </w:p>
        </w:tc>
        <w:tc>
          <w:tcPr>
            <w:tcW w:w="764"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auto"/>
                <w:kern w:val="0"/>
                <w:sz w:val="20"/>
                <w:szCs w:val="20"/>
                <w:highlight w:val="none"/>
                <w:lang w:val="zh-CN" w:bidi="zh-CN"/>
              </w:rPr>
            </w:pPr>
            <w:r>
              <w:rPr>
                <w:rFonts w:ascii="仿宋_GB2312" w:hAnsi="Arial" w:eastAsia="仿宋_GB2312" w:cs="仿宋_GB2312"/>
                <w:color w:val="auto"/>
                <w:kern w:val="0"/>
                <w:sz w:val="20"/>
                <w:szCs w:val="20"/>
                <w:highlight w:val="none"/>
                <w:lang w:bidi="ar"/>
              </w:rPr>
              <w:t>单价</w:t>
            </w: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auto"/>
                <w:kern w:val="0"/>
                <w:sz w:val="20"/>
                <w:szCs w:val="20"/>
                <w:highlight w:val="none"/>
                <w:lang w:val="zh-CN" w:bidi="zh-CN"/>
              </w:rPr>
            </w:pPr>
            <w:r>
              <w:rPr>
                <w:rFonts w:ascii="仿宋_GB2312" w:hAnsi="Arial" w:eastAsia="仿宋_GB2312" w:cs="仿宋_GB2312"/>
                <w:color w:val="auto"/>
                <w:kern w:val="0"/>
                <w:sz w:val="20"/>
                <w:szCs w:val="20"/>
                <w:highlight w:val="none"/>
                <w:lang w:bidi="ar"/>
              </w:rPr>
              <w:t>金额</w:t>
            </w:r>
          </w:p>
        </w:tc>
        <w:tc>
          <w:tcPr>
            <w:tcW w:w="3132"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auto"/>
                <w:kern w:val="0"/>
                <w:sz w:val="20"/>
                <w:szCs w:val="20"/>
                <w:highlight w:val="none"/>
                <w:lang w:val="zh-CN" w:bidi="zh-CN"/>
              </w:rPr>
            </w:pPr>
            <w:r>
              <w:rPr>
                <w:rFonts w:ascii="仿宋_GB2312" w:hAnsi="Arial" w:eastAsia="仿宋_GB2312" w:cs="仿宋_GB2312"/>
                <w:color w:val="auto"/>
                <w:kern w:val="0"/>
                <w:sz w:val="20"/>
                <w:szCs w:val="20"/>
                <w:highlight w:val="none"/>
                <w:lang w:bidi="ar"/>
              </w:rPr>
              <w:t>主材</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auto"/>
                <w:kern w:val="0"/>
                <w:sz w:val="20"/>
                <w:szCs w:val="20"/>
                <w:highlight w:val="none"/>
                <w:lang w:val="zh-CN" w:bidi="zh-CN"/>
              </w:rPr>
            </w:pPr>
            <w:r>
              <w:rPr>
                <w:rFonts w:ascii="仿宋_GB2312" w:hAnsi="Arial" w:eastAsia="仿宋_GB2312" w:cs="仿宋_GB2312"/>
                <w:color w:val="auto"/>
                <w:kern w:val="0"/>
                <w:sz w:val="20"/>
                <w:szCs w:val="20"/>
                <w:highlight w:val="none"/>
                <w:lang w:bidi="ar"/>
              </w:rPr>
              <w:t>辅</w:t>
            </w:r>
            <w:r>
              <w:rPr>
                <w:rFonts w:ascii="仿宋_GB2312" w:hAnsi="Arial" w:eastAsia="仿宋_GB2312" w:cs="仿宋_GB2312"/>
                <w:color w:val="auto"/>
                <w:kern w:val="0"/>
                <w:sz w:val="20"/>
                <w:szCs w:val="20"/>
                <w:highlight w:val="none"/>
                <w:lang w:bidi="ar"/>
              </w:rPr>
              <w:br w:type="textWrapping"/>
            </w:r>
            <w:r>
              <w:rPr>
                <w:rFonts w:ascii="仿宋_GB2312" w:hAnsi="Arial" w:eastAsia="仿宋_GB2312" w:cs="仿宋_GB2312"/>
                <w:color w:val="auto"/>
                <w:kern w:val="0"/>
                <w:sz w:val="20"/>
                <w:szCs w:val="20"/>
                <w:highlight w:val="none"/>
                <w:lang w:bidi="ar"/>
              </w:rPr>
              <w:t>材</w:t>
            </w:r>
            <w:r>
              <w:rPr>
                <w:rFonts w:ascii="仿宋_GB2312" w:hAnsi="Arial" w:eastAsia="仿宋_GB2312" w:cs="仿宋_GB2312"/>
                <w:color w:val="auto"/>
                <w:kern w:val="0"/>
                <w:sz w:val="20"/>
                <w:szCs w:val="20"/>
                <w:highlight w:val="none"/>
                <w:lang w:bidi="ar"/>
              </w:rPr>
              <w:br w:type="textWrapping"/>
            </w:r>
            <w:r>
              <w:rPr>
                <w:rFonts w:ascii="仿宋_GB2312" w:hAnsi="Arial" w:eastAsia="仿宋_GB2312" w:cs="仿宋_GB2312"/>
                <w:color w:val="auto"/>
                <w:kern w:val="0"/>
                <w:sz w:val="20"/>
                <w:szCs w:val="20"/>
                <w:highlight w:val="none"/>
                <w:lang w:bidi="ar"/>
              </w:rPr>
              <w:t>费</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auto"/>
                <w:kern w:val="0"/>
                <w:sz w:val="20"/>
                <w:szCs w:val="20"/>
                <w:highlight w:val="none"/>
                <w:lang w:val="zh-CN" w:bidi="zh-CN"/>
              </w:rPr>
            </w:pPr>
            <w:r>
              <w:rPr>
                <w:rFonts w:ascii="仿宋_GB2312" w:hAnsi="Arial" w:eastAsia="仿宋_GB2312" w:cs="仿宋_GB2312"/>
                <w:color w:val="auto"/>
                <w:kern w:val="0"/>
                <w:sz w:val="20"/>
                <w:szCs w:val="20"/>
                <w:highlight w:val="none"/>
                <w:lang w:bidi="ar"/>
              </w:rPr>
              <w:t>金</w:t>
            </w:r>
            <w:r>
              <w:rPr>
                <w:rFonts w:ascii="仿宋_GB2312" w:hAnsi="Arial" w:eastAsia="仿宋_GB2312" w:cs="仿宋_GB2312"/>
                <w:color w:val="auto"/>
                <w:kern w:val="0"/>
                <w:sz w:val="20"/>
                <w:szCs w:val="20"/>
                <w:highlight w:val="none"/>
                <w:lang w:bidi="ar"/>
              </w:rPr>
              <w:br w:type="textWrapping"/>
            </w:r>
            <w:r>
              <w:rPr>
                <w:rFonts w:ascii="仿宋_GB2312" w:hAnsi="Arial" w:eastAsia="仿宋_GB2312" w:cs="仿宋_GB2312"/>
                <w:color w:val="auto"/>
                <w:kern w:val="0"/>
                <w:sz w:val="20"/>
                <w:szCs w:val="20"/>
                <w:highlight w:val="none"/>
                <w:lang w:bidi="ar"/>
              </w:rPr>
              <w:t>额</w:t>
            </w: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8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r>
      <w:tr>
        <w:tblPrEx>
          <w:tblLayout w:type="fixed"/>
          <w:tblCellMar>
            <w:top w:w="15" w:type="dxa"/>
            <w:left w:w="15" w:type="dxa"/>
            <w:bottom w:w="15" w:type="dxa"/>
            <w:right w:w="15" w:type="dxa"/>
          </w:tblCellMar>
        </w:tblPrEx>
        <w:trPr>
          <w:trHeight w:val="480" w:hRule="atLeast"/>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6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auto"/>
                <w:kern w:val="0"/>
                <w:sz w:val="20"/>
                <w:szCs w:val="20"/>
                <w:highlight w:val="none"/>
                <w:lang w:val="zh-CN" w:bidi="zh-CN"/>
              </w:rPr>
            </w:pPr>
            <w:r>
              <w:rPr>
                <w:rFonts w:ascii="仿宋_GB2312" w:hAnsi="Arial" w:eastAsia="仿宋_GB2312" w:cs="仿宋_GB2312"/>
                <w:color w:val="auto"/>
                <w:kern w:val="0"/>
                <w:sz w:val="20"/>
                <w:szCs w:val="20"/>
                <w:highlight w:val="none"/>
                <w:lang w:bidi="ar"/>
              </w:rPr>
              <w:t>主材</w:t>
            </w:r>
            <w:r>
              <w:rPr>
                <w:rFonts w:ascii="仿宋_GB2312" w:hAnsi="Arial" w:eastAsia="仿宋_GB2312" w:cs="仿宋_GB2312"/>
                <w:color w:val="auto"/>
                <w:kern w:val="0"/>
                <w:sz w:val="20"/>
                <w:szCs w:val="20"/>
                <w:highlight w:val="none"/>
                <w:lang w:bidi="ar"/>
              </w:rPr>
              <w:br w:type="textWrapping"/>
            </w:r>
            <w:r>
              <w:rPr>
                <w:rFonts w:ascii="仿宋_GB2312" w:hAnsi="Arial" w:eastAsia="仿宋_GB2312" w:cs="仿宋_GB2312"/>
                <w:color w:val="auto"/>
                <w:kern w:val="0"/>
                <w:sz w:val="20"/>
                <w:szCs w:val="20"/>
                <w:highlight w:val="none"/>
                <w:lang w:bidi="ar"/>
              </w:rPr>
              <w:t>耗量</w:t>
            </w:r>
          </w:p>
        </w:tc>
        <w:tc>
          <w:tcPr>
            <w:tcW w:w="67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auto"/>
                <w:kern w:val="0"/>
                <w:sz w:val="20"/>
                <w:szCs w:val="20"/>
                <w:highlight w:val="none"/>
                <w:lang w:val="zh-CN" w:bidi="zh-CN"/>
              </w:rPr>
            </w:pPr>
            <w:r>
              <w:rPr>
                <w:rFonts w:ascii="仿宋_GB2312" w:hAnsi="Arial" w:eastAsia="仿宋_GB2312" w:cs="仿宋_GB2312"/>
                <w:color w:val="auto"/>
                <w:kern w:val="0"/>
                <w:sz w:val="20"/>
                <w:szCs w:val="20"/>
                <w:highlight w:val="none"/>
                <w:lang w:bidi="ar"/>
              </w:rPr>
              <w:t>单位</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auto"/>
                <w:kern w:val="0"/>
                <w:sz w:val="20"/>
                <w:szCs w:val="20"/>
                <w:highlight w:val="none"/>
                <w:lang w:val="zh-CN" w:bidi="zh-CN"/>
              </w:rPr>
            </w:pPr>
            <w:r>
              <w:rPr>
                <w:rFonts w:ascii="仿宋_GB2312" w:hAnsi="Arial" w:eastAsia="仿宋_GB2312" w:cs="仿宋_GB2312"/>
                <w:color w:val="auto"/>
                <w:kern w:val="0"/>
                <w:sz w:val="20"/>
                <w:szCs w:val="20"/>
                <w:highlight w:val="none"/>
                <w:lang w:bidi="ar"/>
              </w:rPr>
              <w:t>单价</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_GB2312" w:hAnsi="Arial" w:eastAsia="仿宋_GB2312" w:cs="仿宋_GB2312"/>
                <w:color w:val="auto"/>
                <w:kern w:val="0"/>
                <w:sz w:val="20"/>
                <w:szCs w:val="20"/>
                <w:highlight w:val="none"/>
                <w:lang w:val="zh-CN" w:bidi="zh-CN"/>
              </w:rPr>
            </w:pPr>
            <w:r>
              <w:rPr>
                <w:rFonts w:ascii="仿宋_GB2312" w:hAnsi="Arial" w:eastAsia="仿宋_GB2312" w:cs="仿宋_GB2312"/>
                <w:color w:val="auto"/>
                <w:kern w:val="0"/>
                <w:sz w:val="20"/>
                <w:szCs w:val="20"/>
                <w:highlight w:val="none"/>
                <w:lang w:bidi="ar"/>
              </w:rPr>
              <w:t>主材费</w:t>
            </w: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8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r>
      <w:tr>
        <w:tblPrEx>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_GB2312" w:hAnsi="Arial" w:eastAsia="仿宋_GB2312" w:cs="仿宋_GB2312"/>
                <w:color w:val="auto"/>
                <w:kern w:val="0"/>
                <w:sz w:val="20"/>
                <w:szCs w:val="20"/>
                <w:highlight w:val="none"/>
                <w:lang w:val="zh-CN" w:bidi="zh-CN"/>
              </w:rPr>
            </w:pPr>
          </w:p>
        </w:tc>
      </w:tr>
    </w:tbl>
    <w:p>
      <w:pPr>
        <w:keepNext/>
        <w:keepLines/>
        <w:autoSpaceDE w:val="0"/>
        <w:autoSpaceDN w:val="0"/>
        <w:spacing w:before="240" w:beforeLines="100" w:after="360" w:afterLines="150" w:line="360" w:lineRule="exact"/>
        <w:jc w:val="center"/>
        <w:outlineLvl w:val="0"/>
        <w:rPr>
          <w:rFonts w:ascii="黑体" w:hAnsi="宋体" w:eastAsia="黑体" w:cs="宋体"/>
          <w:b/>
          <w:bCs/>
          <w:color w:val="auto"/>
          <w:kern w:val="44"/>
          <w:sz w:val="28"/>
          <w:szCs w:val="28"/>
          <w:highlight w:val="none"/>
          <w:lang w:val="zh-CN" w:bidi="zh-CN"/>
        </w:rPr>
        <w:sectPr>
          <w:pgSz w:w="16838" w:h="11905" w:orient="landscape"/>
          <w:pgMar w:top="1361" w:right="1440" w:bottom="1361" w:left="1440" w:header="720" w:footer="907" w:gutter="0"/>
          <w:pgNumType w:fmt="decimal"/>
          <w:cols w:space="720" w:num="1"/>
          <w:docGrid w:linePitch="1" w:charSpace="0"/>
        </w:sectPr>
      </w:pPr>
    </w:p>
    <w:p>
      <w:pPr>
        <w:autoSpaceDE w:val="0"/>
        <w:autoSpaceDN w:val="0"/>
        <w:jc w:val="left"/>
        <w:rPr>
          <w:rFonts w:ascii="宋体" w:hAnsi="宋体" w:cs="宋体"/>
          <w:color w:val="auto"/>
          <w:kern w:val="0"/>
          <w:sz w:val="22"/>
          <w:highlight w:val="none"/>
          <w:lang w:val="zh-CN" w:bidi="zh-CN"/>
        </w:rPr>
      </w:pPr>
    </w:p>
    <w:p>
      <w:pPr>
        <w:keepNext/>
        <w:keepLines/>
        <w:autoSpaceDE w:val="0"/>
        <w:autoSpaceDN w:val="0"/>
        <w:spacing w:before="240" w:beforeLines="100" w:after="360" w:afterLines="150" w:line="360" w:lineRule="exact"/>
        <w:jc w:val="center"/>
        <w:outlineLvl w:val="0"/>
        <w:rPr>
          <w:rFonts w:ascii="黑体" w:hAnsi="宋体" w:eastAsia="黑体" w:cs="宋体"/>
          <w:b/>
          <w:bCs/>
          <w:color w:val="auto"/>
          <w:kern w:val="44"/>
          <w:sz w:val="28"/>
          <w:szCs w:val="28"/>
          <w:highlight w:val="none"/>
          <w:lang w:val="zh-CN" w:bidi="zh-CN"/>
        </w:rPr>
      </w:pPr>
      <w:bookmarkStart w:id="512" w:name="_Toc9779"/>
      <w:bookmarkStart w:id="513" w:name="_Toc12664_WPSOffice_Level1"/>
      <w:bookmarkStart w:id="514" w:name="_Toc1832_WPSOffice_Level1"/>
      <w:bookmarkStart w:id="515" w:name="_Toc31769_WPSOffice_Level1"/>
      <w:bookmarkStart w:id="516" w:name="_Toc9975_WPSOffice_Level1"/>
      <w:bookmarkStart w:id="517" w:name="_Toc9503_WPSOffice_Level1"/>
      <w:bookmarkStart w:id="518" w:name="_Toc29563_WPSOffice_Level1"/>
      <w:bookmarkStart w:id="519" w:name="_Toc712_WPSOffice_Level1"/>
      <w:bookmarkStart w:id="520" w:name="_Toc3096"/>
      <w:r>
        <w:rPr>
          <w:rFonts w:hint="eastAsia" w:ascii="黑体" w:hAnsi="宋体" w:eastAsia="黑体" w:cs="宋体"/>
          <w:b/>
          <w:bCs/>
          <w:color w:val="auto"/>
          <w:kern w:val="44"/>
          <w:sz w:val="28"/>
          <w:szCs w:val="28"/>
          <w:highlight w:val="none"/>
          <w:lang w:val="zh-CN" w:bidi="zh-CN"/>
        </w:rPr>
        <w:t>四、主材价格表</w:t>
      </w:r>
      <w:bookmarkEnd w:id="510"/>
      <w:bookmarkEnd w:id="511"/>
      <w:bookmarkEnd w:id="512"/>
      <w:bookmarkEnd w:id="513"/>
      <w:bookmarkEnd w:id="514"/>
      <w:bookmarkEnd w:id="515"/>
      <w:bookmarkEnd w:id="516"/>
      <w:bookmarkEnd w:id="517"/>
      <w:bookmarkEnd w:id="518"/>
      <w:bookmarkEnd w:id="519"/>
      <w:bookmarkEnd w:id="520"/>
    </w:p>
    <w:p>
      <w:pPr>
        <w:autoSpaceDE w:val="0"/>
        <w:autoSpaceDN w:val="0"/>
        <w:spacing w:line="360" w:lineRule="exact"/>
        <w:jc w:val="center"/>
        <w:rPr>
          <w:rFonts w:ascii="黑体" w:hAnsi="宋体" w:eastAsia="黑体" w:cs="宋体"/>
          <w:color w:val="auto"/>
          <w:kern w:val="0"/>
          <w:sz w:val="28"/>
          <w:szCs w:val="28"/>
          <w:highlight w:val="none"/>
          <w:lang w:val="zh-CN" w:bidi="zh-CN"/>
        </w:rPr>
      </w:pPr>
    </w:p>
    <w:tbl>
      <w:tblPr>
        <w:tblStyle w:val="47"/>
        <w:tblW w:w="9300" w:type="dxa"/>
        <w:tblInd w:w="0" w:type="dxa"/>
        <w:tblLayout w:type="fixed"/>
        <w:tblCellMar>
          <w:top w:w="0" w:type="dxa"/>
          <w:left w:w="108" w:type="dxa"/>
          <w:bottom w:w="0" w:type="dxa"/>
          <w:right w:w="108" w:type="dxa"/>
        </w:tblCellMar>
      </w:tblPr>
      <w:tblGrid>
        <w:gridCol w:w="655"/>
        <w:gridCol w:w="2748"/>
        <w:gridCol w:w="2708"/>
        <w:gridCol w:w="1217"/>
        <w:gridCol w:w="1972"/>
      </w:tblGrid>
      <w:tr>
        <w:tblPrEx>
          <w:tblLayout w:type="fixed"/>
          <w:tblCellMar>
            <w:top w:w="0" w:type="dxa"/>
            <w:left w:w="108" w:type="dxa"/>
            <w:bottom w:w="0" w:type="dxa"/>
            <w:right w:w="108" w:type="dxa"/>
          </w:tblCellMar>
        </w:tblPrEx>
        <w:trPr>
          <w:trHeight w:val="615" w:hRule="atLeast"/>
        </w:trPr>
        <w:tc>
          <w:tcPr>
            <w:tcW w:w="65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序号</w:t>
            </w:r>
          </w:p>
        </w:tc>
        <w:tc>
          <w:tcPr>
            <w:tcW w:w="2748"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材料名称</w:t>
            </w:r>
          </w:p>
        </w:tc>
        <w:tc>
          <w:tcPr>
            <w:tcW w:w="2708"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规格</w:t>
            </w:r>
          </w:p>
        </w:tc>
        <w:tc>
          <w:tcPr>
            <w:tcW w:w="1217"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单位</w:t>
            </w:r>
          </w:p>
        </w:tc>
        <w:tc>
          <w:tcPr>
            <w:tcW w:w="1972" w:type="dxa"/>
            <w:tcBorders>
              <w:top w:val="single" w:color="auto" w:sz="4" w:space="0"/>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单价</w:t>
            </w:r>
          </w:p>
        </w:tc>
      </w:tr>
      <w:tr>
        <w:tblPrEx>
          <w:tblLayout w:type="fixed"/>
          <w:tblCellMar>
            <w:top w:w="0" w:type="dxa"/>
            <w:left w:w="108" w:type="dxa"/>
            <w:bottom w:w="0" w:type="dxa"/>
            <w:right w:w="108" w:type="dxa"/>
          </w:tblCellMar>
        </w:tblPrEx>
        <w:trPr>
          <w:trHeight w:val="615" w:hRule="atLeast"/>
        </w:trPr>
        <w:tc>
          <w:tcPr>
            <w:tcW w:w="655" w:type="dxa"/>
            <w:tcBorders>
              <w:top w:val="nil"/>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274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270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1217"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1972"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r>
      <w:tr>
        <w:tblPrEx>
          <w:tblLayout w:type="fixed"/>
          <w:tblCellMar>
            <w:top w:w="0" w:type="dxa"/>
            <w:left w:w="108" w:type="dxa"/>
            <w:bottom w:w="0" w:type="dxa"/>
            <w:right w:w="108" w:type="dxa"/>
          </w:tblCellMar>
        </w:tblPrEx>
        <w:trPr>
          <w:trHeight w:val="615" w:hRule="atLeast"/>
        </w:trPr>
        <w:tc>
          <w:tcPr>
            <w:tcW w:w="655" w:type="dxa"/>
            <w:tcBorders>
              <w:top w:val="nil"/>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274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270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1217"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1972"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r>
      <w:tr>
        <w:tblPrEx>
          <w:tblLayout w:type="fixed"/>
          <w:tblCellMar>
            <w:top w:w="0" w:type="dxa"/>
            <w:left w:w="108" w:type="dxa"/>
            <w:bottom w:w="0" w:type="dxa"/>
            <w:right w:w="108" w:type="dxa"/>
          </w:tblCellMar>
        </w:tblPrEx>
        <w:trPr>
          <w:trHeight w:val="615" w:hRule="atLeast"/>
        </w:trPr>
        <w:tc>
          <w:tcPr>
            <w:tcW w:w="655" w:type="dxa"/>
            <w:tcBorders>
              <w:top w:val="nil"/>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274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270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1217"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1972"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r>
      <w:tr>
        <w:tblPrEx>
          <w:tblLayout w:type="fixed"/>
          <w:tblCellMar>
            <w:top w:w="0" w:type="dxa"/>
            <w:left w:w="108" w:type="dxa"/>
            <w:bottom w:w="0" w:type="dxa"/>
            <w:right w:w="108" w:type="dxa"/>
          </w:tblCellMar>
        </w:tblPrEx>
        <w:trPr>
          <w:trHeight w:val="615" w:hRule="atLeast"/>
        </w:trPr>
        <w:tc>
          <w:tcPr>
            <w:tcW w:w="655" w:type="dxa"/>
            <w:tcBorders>
              <w:top w:val="nil"/>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274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270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1217"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1972"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r>
      <w:tr>
        <w:tblPrEx>
          <w:tblLayout w:type="fixed"/>
          <w:tblCellMar>
            <w:top w:w="0" w:type="dxa"/>
            <w:left w:w="108" w:type="dxa"/>
            <w:bottom w:w="0" w:type="dxa"/>
            <w:right w:w="108" w:type="dxa"/>
          </w:tblCellMar>
        </w:tblPrEx>
        <w:trPr>
          <w:trHeight w:val="615" w:hRule="atLeast"/>
        </w:trPr>
        <w:tc>
          <w:tcPr>
            <w:tcW w:w="655" w:type="dxa"/>
            <w:tcBorders>
              <w:top w:val="nil"/>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274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270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1217"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1972"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r>
      <w:tr>
        <w:tblPrEx>
          <w:tblLayout w:type="fixed"/>
          <w:tblCellMar>
            <w:top w:w="0" w:type="dxa"/>
            <w:left w:w="108" w:type="dxa"/>
            <w:bottom w:w="0" w:type="dxa"/>
            <w:right w:w="108" w:type="dxa"/>
          </w:tblCellMar>
        </w:tblPrEx>
        <w:trPr>
          <w:trHeight w:val="615" w:hRule="atLeast"/>
        </w:trPr>
        <w:tc>
          <w:tcPr>
            <w:tcW w:w="655" w:type="dxa"/>
            <w:tcBorders>
              <w:top w:val="nil"/>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274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270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1217"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1972"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r>
      <w:tr>
        <w:tblPrEx>
          <w:tblLayout w:type="fixed"/>
          <w:tblCellMar>
            <w:top w:w="0" w:type="dxa"/>
            <w:left w:w="108" w:type="dxa"/>
            <w:bottom w:w="0" w:type="dxa"/>
            <w:right w:w="108" w:type="dxa"/>
          </w:tblCellMar>
        </w:tblPrEx>
        <w:trPr>
          <w:trHeight w:val="615" w:hRule="atLeast"/>
        </w:trPr>
        <w:tc>
          <w:tcPr>
            <w:tcW w:w="655" w:type="dxa"/>
            <w:tcBorders>
              <w:top w:val="nil"/>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2748"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2708" w:type="dxa"/>
            <w:tcBorders>
              <w:top w:val="nil"/>
              <w:left w:val="nil"/>
              <w:bottom w:val="single" w:color="auto" w:sz="4" w:space="0"/>
              <w:right w:val="single" w:color="auto" w:sz="4" w:space="0"/>
            </w:tcBorders>
            <w:vAlign w:val="center"/>
          </w:tcPr>
          <w:p>
            <w:pPr>
              <w:widowControl/>
              <w:autoSpaceDE w:val="0"/>
              <w:autoSpaceDN w:val="0"/>
              <w:jc w:val="left"/>
              <w:rPr>
                <w:rFonts w:ascii="宋体" w:hAnsi="宋体" w:cs="宋体"/>
                <w:color w:val="auto"/>
                <w:kern w:val="0"/>
                <w:sz w:val="18"/>
                <w:szCs w:val="18"/>
                <w:highlight w:val="none"/>
                <w:lang w:val="zh-CN" w:bidi="zh-CN"/>
              </w:rPr>
            </w:pPr>
          </w:p>
        </w:tc>
        <w:tc>
          <w:tcPr>
            <w:tcW w:w="1217"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1972" w:type="dxa"/>
            <w:tcBorders>
              <w:top w:val="nil"/>
              <w:left w:val="nil"/>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r>
      <w:tr>
        <w:tblPrEx>
          <w:tblLayout w:type="fixed"/>
          <w:tblCellMar>
            <w:top w:w="0" w:type="dxa"/>
            <w:left w:w="108" w:type="dxa"/>
            <w:bottom w:w="0" w:type="dxa"/>
            <w:right w:w="108" w:type="dxa"/>
          </w:tblCellMar>
        </w:tblPrEx>
        <w:trPr>
          <w:trHeight w:val="615" w:hRule="atLeast"/>
        </w:trPr>
        <w:tc>
          <w:tcPr>
            <w:tcW w:w="655" w:type="dxa"/>
            <w:tcBorders>
              <w:top w:val="nil"/>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2748" w:type="dxa"/>
            <w:tcBorders>
              <w:top w:val="nil"/>
              <w:left w:val="nil"/>
              <w:bottom w:val="single" w:color="000000" w:sz="4" w:space="0"/>
              <w:right w:val="single" w:color="000000"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2708" w:type="dxa"/>
            <w:tcBorders>
              <w:top w:val="nil"/>
              <w:left w:val="nil"/>
              <w:bottom w:val="single" w:color="000000" w:sz="4" w:space="0"/>
              <w:right w:val="single" w:color="000000" w:sz="4" w:space="0"/>
            </w:tcBorders>
            <w:vAlign w:val="center"/>
          </w:tcPr>
          <w:p>
            <w:pPr>
              <w:widowControl/>
              <w:autoSpaceDE w:val="0"/>
              <w:autoSpaceDN w:val="0"/>
              <w:jc w:val="left"/>
              <w:rPr>
                <w:rFonts w:ascii="宋体" w:hAnsi="宋体" w:cs="宋体"/>
                <w:color w:val="auto"/>
                <w:kern w:val="0"/>
                <w:sz w:val="18"/>
                <w:szCs w:val="18"/>
                <w:highlight w:val="none"/>
                <w:lang w:val="zh-CN" w:bidi="zh-CN"/>
              </w:rPr>
            </w:pPr>
          </w:p>
        </w:tc>
        <w:tc>
          <w:tcPr>
            <w:tcW w:w="1217" w:type="dxa"/>
            <w:tcBorders>
              <w:top w:val="nil"/>
              <w:left w:val="nil"/>
              <w:bottom w:val="single" w:color="000000" w:sz="4" w:space="0"/>
              <w:right w:val="single" w:color="000000"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1972" w:type="dxa"/>
            <w:tcBorders>
              <w:top w:val="nil"/>
              <w:left w:val="nil"/>
              <w:bottom w:val="single" w:color="000000" w:sz="4" w:space="0"/>
              <w:right w:val="single" w:color="000000"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r>
      <w:tr>
        <w:tblPrEx>
          <w:tblLayout w:type="fixed"/>
          <w:tblCellMar>
            <w:top w:w="0" w:type="dxa"/>
            <w:left w:w="108" w:type="dxa"/>
            <w:bottom w:w="0" w:type="dxa"/>
            <w:right w:w="108" w:type="dxa"/>
          </w:tblCellMar>
        </w:tblPrEx>
        <w:trPr>
          <w:trHeight w:val="615" w:hRule="atLeast"/>
        </w:trPr>
        <w:tc>
          <w:tcPr>
            <w:tcW w:w="655" w:type="dxa"/>
            <w:tcBorders>
              <w:top w:val="nil"/>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2748" w:type="dxa"/>
            <w:tcBorders>
              <w:top w:val="nil"/>
              <w:left w:val="nil"/>
              <w:bottom w:val="single" w:color="000000" w:sz="4" w:space="0"/>
              <w:right w:val="single" w:color="000000"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2708" w:type="dxa"/>
            <w:tcBorders>
              <w:top w:val="nil"/>
              <w:left w:val="nil"/>
              <w:bottom w:val="single" w:color="000000" w:sz="4" w:space="0"/>
              <w:right w:val="single" w:color="000000" w:sz="4" w:space="0"/>
            </w:tcBorders>
            <w:vAlign w:val="center"/>
          </w:tcPr>
          <w:p>
            <w:pPr>
              <w:widowControl/>
              <w:autoSpaceDE w:val="0"/>
              <w:autoSpaceDN w:val="0"/>
              <w:jc w:val="left"/>
              <w:rPr>
                <w:rFonts w:ascii="宋体" w:hAnsi="宋体" w:cs="宋体"/>
                <w:color w:val="auto"/>
                <w:kern w:val="0"/>
                <w:sz w:val="18"/>
                <w:szCs w:val="18"/>
                <w:highlight w:val="none"/>
                <w:lang w:val="zh-CN" w:bidi="zh-CN"/>
              </w:rPr>
            </w:pPr>
          </w:p>
        </w:tc>
        <w:tc>
          <w:tcPr>
            <w:tcW w:w="1217" w:type="dxa"/>
            <w:tcBorders>
              <w:top w:val="nil"/>
              <w:left w:val="nil"/>
              <w:bottom w:val="single" w:color="000000" w:sz="4" w:space="0"/>
              <w:right w:val="single" w:color="000000"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1972" w:type="dxa"/>
            <w:tcBorders>
              <w:top w:val="nil"/>
              <w:left w:val="nil"/>
              <w:bottom w:val="single" w:color="000000" w:sz="4" w:space="0"/>
              <w:right w:val="single" w:color="000000"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r>
      <w:tr>
        <w:tblPrEx>
          <w:tblLayout w:type="fixed"/>
          <w:tblCellMar>
            <w:top w:w="0" w:type="dxa"/>
            <w:left w:w="108" w:type="dxa"/>
            <w:bottom w:w="0" w:type="dxa"/>
            <w:right w:w="108" w:type="dxa"/>
          </w:tblCellMar>
        </w:tblPrEx>
        <w:trPr>
          <w:trHeight w:val="615" w:hRule="atLeast"/>
        </w:trPr>
        <w:tc>
          <w:tcPr>
            <w:tcW w:w="655" w:type="dxa"/>
            <w:tcBorders>
              <w:top w:val="nil"/>
              <w:left w:val="single" w:color="auto" w:sz="4" w:space="0"/>
              <w:bottom w:val="single" w:color="auto" w:sz="4" w:space="0"/>
              <w:right w:val="single" w:color="auto"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2748" w:type="dxa"/>
            <w:tcBorders>
              <w:top w:val="nil"/>
              <w:left w:val="nil"/>
              <w:bottom w:val="single" w:color="000000" w:sz="4" w:space="0"/>
              <w:right w:val="single" w:color="000000"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2708" w:type="dxa"/>
            <w:tcBorders>
              <w:top w:val="nil"/>
              <w:left w:val="nil"/>
              <w:bottom w:val="single" w:color="000000" w:sz="4" w:space="0"/>
              <w:right w:val="single" w:color="000000" w:sz="4" w:space="0"/>
            </w:tcBorders>
            <w:vAlign w:val="center"/>
          </w:tcPr>
          <w:p>
            <w:pPr>
              <w:widowControl/>
              <w:autoSpaceDE w:val="0"/>
              <w:autoSpaceDN w:val="0"/>
              <w:jc w:val="left"/>
              <w:rPr>
                <w:rFonts w:ascii="宋体" w:hAnsi="宋体" w:cs="宋体"/>
                <w:color w:val="auto"/>
                <w:kern w:val="0"/>
                <w:sz w:val="18"/>
                <w:szCs w:val="18"/>
                <w:highlight w:val="none"/>
                <w:lang w:val="zh-CN" w:bidi="zh-CN"/>
              </w:rPr>
            </w:pPr>
          </w:p>
        </w:tc>
        <w:tc>
          <w:tcPr>
            <w:tcW w:w="1217" w:type="dxa"/>
            <w:tcBorders>
              <w:top w:val="nil"/>
              <w:left w:val="nil"/>
              <w:bottom w:val="single" w:color="000000" w:sz="4" w:space="0"/>
              <w:right w:val="single" w:color="000000"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c>
          <w:tcPr>
            <w:tcW w:w="1972" w:type="dxa"/>
            <w:tcBorders>
              <w:top w:val="nil"/>
              <w:left w:val="nil"/>
              <w:bottom w:val="single" w:color="000000" w:sz="4" w:space="0"/>
              <w:right w:val="single" w:color="000000" w:sz="4" w:space="0"/>
            </w:tcBorders>
            <w:vAlign w:val="center"/>
          </w:tcPr>
          <w:p>
            <w:pPr>
              <w:widowControl/>
              <w:autoSpaceDE w:val="0"/>
              <w:autoSpaceDN w:val="0"/>
              <w:jc w:val="center"/>
              <w:rPr>
                <w:rFonts w:ascii="宋体" w:hAnsi="宋体" w:cs="宋体"/>
                <w:color w:val="auto"/>
                <w:kern w:val="0"/>
                <w:sz w:val="18"/>
                <w:szCs w:val="18"/>
                <w:highlight w:val="none"/>
                <w:lang w:val="zh-CN" w:bidi="zh-CN"/>
              </w:rPr>
            </w:pPr>
          </w:p>
        </w:tc>
      </w:tr>
    </w:tbl>
    <w:p>
      <w:pPr>
        <w:autoSpaceDE w:val="0"/>
        <w:autoSpaceDN w:val="0"/>
        <w:spacing w:line="360" w:lineRule="auto"/>
        <w:jc w:val="left"/>
        <w:rPr>
          <w:rFonts w:ascii="宋体" w:hAnsi="宋体" w:cs="宋体"/>
          <w:color w:val="auto"/>
          <w:kern w:val="0"/>
          <w:sz w:val="22"/>
          <w:highlight w:val="none"/>
          <w:lang w:val="zh-CN" w:bidi="zh-CN"/>
        </w:rPr>
      </w:pPr>
    </w:p>
    <w:p>
      <w:pPr>
        <w:autoSpaceDE w:val="0"/>
        <w:autoSpaceDN w:val="0"/>
        <w:spacing w:line="360" w:lineRule="auto"/>
        <w:ind w:firstLine="4560" w:firstLineChars="1900"/>
        <w:jc w:val="left"/>
        <w:rPr>
          <w:rFonts w:ascii="宋体" w:hAnsi="宋体" w:cs="宋体"/>
          <w:color w:val="auto"/>
          <w:kern w:val="0"/>
          <w:sz w:val="24"/>
          <w:szCs w:val="28"/>
          <w:highlight w:val="none"/>
          <w:lang w:val="zh-CN" w:bidi="zh-CN"/>
        </w:rPr>
      </w:pPr>
      <w:r>
        <w:rPr>
          <w:rFonts w:ascii="宋体" w:hAnsi="宋体" w:cs="宋体"/>
          <w:color w:val="auto"/>
          <w:kern w:val="0"/>
          <w:sz w:val="24"/>
          <w:szCs w:val="28"/>
          <w:highlight w:val="none"/>
          <w:lang w:val="zh-CN" w:bidi="zh-CN"/>
        </w:rPr>
        <w:t>投标人:</w:t>
      </w:r>
      <w:r>
        <w:rPr>
          <w:rFonts w:ascii="宋体" w:hAnsi="宋体" w:cs="宋体"/>
          <w:color w:val="auto"/>
          <w:kern w:val="0"/>
          <w:sz w:val="24"/>
          <w:szCs w:val="28"/>
          <w:highlight w:val="none"/>
          <w:u w:val="single"/>
          <w:lang w:val="zh-CN" w:bidi="zh-CN"/>
        </w:rPr>
        <w:t xml:space="preserve">                </w:t>
      </w:r>
      <w:r>
        <w:rPr>
          <w:rFonts w:ascii="宋体" w:hAnsi="宋体" w:cs="宋体"/>
          <w:color w:val="auto"/>
          <w:kern w:val="0"/>
          <w:sz w:val="24"/>
          <w:szCs w:val="28"/>
          <w:highlight w:val="none"/>
          <w:lang w:val="zh-CN" w:bidi="zh-CN"/>
        </w:rPr>
        <w:t>（盖单位章）</w:t>
      </w:r>
    </w:p>
    <w:p>
      <w:pPr>
        <w:autoSpaceDE w:val="0"/>
        <w:autoSpaceDN w:val="0"/>
        <w:spacing w:line="360" w:lineRule="auto"/>
        <w:ind w:firstLine="4560" w:firstLineChars="1900"/>
        <w:jc w:val="left"/>
        <w:rPr>
          <w:rFonts w:ascii="宋体" w:hAnsi="宋体" w:cs="宋体"/>
          <w:color w:val="auto"/>
          <w:kern w:val="0"/>
          <w:sz w:val="24"/>
          <w:szCs w:val="28"/>
          <w:highlight w:val="none"/>
          <w:lang w:val="zh-CN" w:bidi="zh-CN"/>
        </w:rPr>
      </w:pPr>
    </w:p>
    <w:p>
      <w:pPr>
        <w:autoSpaceDE w:val="0"/>
        <w:autoSpaceDN w:val="0"/>
        <w:spacing w:line="360" w:lineRule="auto"/>
        <w:ind w:firstLine="4560" w:firstLineChars="1900"/>
        <w:jc w:val="left"/>
        <w:rPr>
          <w:rFonts w:ascii="宋体" w:hAnsi="宋体" w:cs="宋体"/>
          <w:color w:val="auto"/>
          <w:kern w:val="0"/>
          <w:sz w:val="22"/>
          <w:highlight w:val="none"/>
          <w:lang w:val="zh-CN" w:bidi="zh-CN"/>
        </w:rPr>
      </w:pPr>
      <w:r>
        <w:rPr>
          <w:rFonts w:ascii="宋体" w:hAnsi="宋体" w:cs="宋体"/>
          <w:color w:val="auto"/>
          <w:kern w:val="0"/>
          <w:sz w:val="24"/>
          <w:szCs w:val="28"/>
          <w:highlight w:val="none"/>
          <w:lang w:val="zh-CN" w:bidi="zh-CN"/>
        </w:rPr>
        <w:t>投标文件签署人签名：</w:t>
      </w:r>
      <w:r>
        <w:rPr>
          <w:rFonts w:ascii="宋体" w:hAnsi="宋体" w:cs="宋体"/>
          <w:color w:val="auto"/>
          <w:kern w:val="0"/>
          <w:sz w:val="24"/>
          <w:szCs w:val="28"/>
          <w:highlight w:val="none"/>
          <w:u w:val="single"/>
          <w:lang w:val="zh-CN" w:bidi="zh-CN"/>
        </w:rPr>
        <w:t xml:space="preserve">             </w:t>
      </w:r>
    </w:p>
    <w:p>
      <w:pPr>
        <w:autoSpaceDE w:val="0"/>
        <w:autoSpaceDN w:val="0"/>
        <w:spacing w:line="360" w:lineRule="auto"/>
        <w:jc w:val="left"/>
        <w:rPr>
          <w:rFonts w:ascii="宋体" w:hAnsi="宋体" w:cs="宋体"/>
          <w:color w:val="auto"/>
          <w:kern w:val="0"/>
          <w:sz w:val="22"/>
          <w:highlight w:val="none"/>
          <w:lang w:val="zh-CN" w:bidi="zh-CN"/>
        </w:rPr>
      </w:pPr>
    </w:p>
    <w:p>
      <w:pPr>
        <w:autoSpaceDE w:val="0"/>
        <w:autoSpaceDN w:val="0"/>
        <w:spacing w:line="360" w:lineRule="exact"/>
        <w:jc w:val="center"/>
        <w:rPr>
          <w:rFonts w:ascii="黑体" w:hAnsi="宋体" w:eastAsia="黑体" w:cs="宋体"/>
          <w:color w:val="auto"/>
          <w:kern w:val="0"/>
          <w:sz w:val="28"/>
          <w:szCs w:val="28"/>
          <w:highlight w:val="none"/>
          <w:lang w:val="zh-CN" w:bidi="zh-CN"/>
        </w:rPr>
      </w:pPr>
    </w:p>
    <w:p>
      <w:pPr>
        <w:autoSpaceDE w:val="0"/>
        <w:autoSpaceDN w:val="0"/>
        <w:spacing w:line="360" w:lineRule="exact"/>
        <w:jc w:val="center"/>
        <w:rPr>
          <w:rFonts w:ascii="黑体" w:hAnsi="宋体" w:eastAsia="黑体" w:cs="宋体"/>
          <w:color w:val="auto"/>
          <w:kern w:val="0"/>
          <w:sz w:val="28"/>
          <w:szCs w:val="28"/>
          <w:highlight w:val="none"/>
          <w:lang w:val="zh-CN" w:bidi="zh-CN"/>
        </w:rPr>
      </w:pPr>
    </w:p>
    <w:p>
      <w:pPr>
        <w:autoSpaceDE w:val="0"/>
        <w:autoSpaceDN w:val="0"/>
        <w:spacing w:line="360" w:lineRule="exact"/>
        <w:jc w:val="center"/>
        <w:rPr>
          <w:rFonts w:ascii="黑体" w:hAnsi="宋体" w:eastAsia="黑体" w:cs="宋体"/>
          <w:color w:val="auto"/>
          <w:kern w:val="0"/>
          <w:sz w:val="28"/>
          <w:szCs w:val="28"/>
          <w:highlight w:val="none"/>
          <w:lang w:val="zh-CN" w:bidi="zh-CN"/>
        </w:rPr>
      </w:pPr>
    </w:p>
    <w:p>
      <w:pPr>
        <w:autoSpaceDE w:val="0"/>
        <w:autoSpaceDN w:val="0"/>
        <w:spacing w:line="360" w:lineRule="exact"/>
        <w:jc w:val="center"/>
        <w:rPr>
          <w:rFonts w:ascii="黑体" w:hAnsi="宋体" w:eastAsia="黑体" w:cs="宋体"/>
          <w:color w:val="auto"/>
          <w:kern w:val="0"/>
          <w:sz w:val="28"/>
          <w:szCs w:val="28"/>
          <w:highlight w:val="none"/>
          <w:lang w:val="zh-CN" w:bidi="zh-CN"/>
        </w:rPr>
      </w:pPr>
    </w:p>
    <w:p>
      <w:pPr>
        <w:autoSpaceDE w:val="0"/>
        <w:autoSpaceDN w:val="0"/>
        <w:spacing w:line="360" w:lineRule="exact"/>
        <w:jc w:val="center"/>
        <w:rPr>
          <w:rFonts w:ascii="黑体" w:hAnsi="宋体" w:eastAsia="黑体" w:cs="宋体"/>
          <w:color w:val="auto"/>
          <w:kern w:val="0"/>
          <w:sz w:val="28"/>
          <w:szCs w:val="28"/>
          <w:highlight w:val="none"/>
          <w:lang w:val="zh-CN" w:bidi="zh-CN"/>
        </w:rPr>
      </w:pPr>
    </w:p>
    <w:p>
      <w:pPr>
        <w:autoSpaceDE w:val="0"/>
        <w:autoSpaceDN w:val="0"/>
        <w:spacing w:line="360" w:lineRule="exact"/>
        <w:jc w:val="center"/>
        <w:rPr>
          <w:rFonts w:ascii="黑体" w:hAnsi="宋体" w:eastAsia="黑体" w:cs="宋体"/>
          <w:color w:val="auto"/>
          <w:kern w:val="0"/>
          <w:sz w:val="28"/>
          <w:szCs w:val="28"/>
          <w:highlight w:val="none"/>
          <w:lang w:val="zh-CN" w:bidi="zh-CN"/>
        </w:rPr>
      </w:pPr>
    </w:p>
    <w:p>
      <w:pPr>
        <w:autoSpaceDE w:val="0"/>
        <w:autoSpaceDN w:val="0"/>
        <w:spacing w:line="360" w:lineRule="exact"/>
        <w:jc w:val="center"/>
        <w:rPr>
          <w:rFonts w:ascii="黑体" w:hAnsi="宋体" w:eastAsia="黑体" w:cs="宋体"/>
          <w:color w:val="auto"/>
          <w:kern w:val="0"/>
          <w:sz w:val="28"/>
          <w:szCs w:val="28"/>
          <w:highlight w:val="none"/>
          <w:lang w:val="zh-CN" w:bidi="zh-CN"/>
        </w:rPr>
      </w:pPr>
    </w:p>
    <w:p>
      <w:pPr>
        <w:autoSpaceDE w:val="0"/>
        <w:autoSpaceDN w:val="0"/>
        <w:spacing w:before="56"/>
        <w:ind w:right="181"/>
        <w:rPr>
          <w:rFonts w:ascii="黑体" w:hAnsi="宋体" w:eastAsia="黑体" w:cs="宋体"/>
          <w:color w:val="auto"/>
          <w:kern w:val="0"/>
          <w:sz w:val="28"/>
          <w:highlight w:val="none"/>
          <w:lang w:val="zh-CN" w:bidi="zh-CN"/>
        </w:rPr>
      </w:pPr>
      <w:bookmarkStart w:id="521" w:name="_Toc467679751"/>
      <w:bookmarkStart w:id="522" w:name="_Toc449530263"/>
    </w:p>
    <w:p>
      <w:pPr>
        <w:autoSpaceDE w:val="0"/>
        <w:autoSpaceDN w:val="0"/>
        <w:spacing w:before="56"/>
        <w:ind w:right="181"/>
        <w:jc w:val="center"/>
        <w:rPr>
          <w:rFonts w:ascii="黑体" w:hAnsi="宋体" w:eastAsia="黑体" w:cs="宋体"/>
          <w:color w:val="auto"/>
          <w:kern w:val="0"/>
          <w:sz w:val="28"/>
          <w:highlight w:val="none"/>
          <w:lang w:val="zh-CN" w:bidi="zh-CN"/>
        </w:rPr>
      </w:pPr>
      <w:bookmarkStart w:id="523" w:name="_Toc9674_WPSOffice_Level1"/>
      <w:bookmarkStart w:id="524" w:name="_Toc27863_WPSOffice_Level1"/>
      <w:bookmarkStart w:id="525" w:name="_Toc10175_WPSOffice_Level1"/>
      <w:bookmarkStart w:id="526" w:name="_Toc6635_WPSOffice_Level1"/>
      <w:bookmarkStart w:id="527" w:name="_Toc30994_WPSOffice_Level1"/>
      <w:bookmarkStart w:id="528" w:name="_Toc23045_WPSOffice_Level1"/>
      <w:bookmarkStart w:id="529" w:name="_Toc6666_WPSOffice_Level1"/>
      <w:r>
        <w:rPr>
          <w:rFonts w:hint="eastAsia" w:ascii="黑体" w:hAnsi="宋体" w:eastAsia="黑体" w:cs="宋体"/>
          <w:color w:val="auto"/>
          <w:kern w:val="0"/>
          <w:sz w:val="28"/>
          <w:highlight w:val="none"/>
          <w:lang w:val="zh-CN" w:bidi="zh-CN"/>
        </w:rPr>
        <w:t>五、合同用款估算表</w:t>
      </w:r>
      <w:bookmarkEnd w:id="523"/>
      <w:bookmarkEnd w:id="524"/>
      <w:bookmarkEnd w:id="525"/>
      <w:bookmarkEnd w:id="526"/>
      <w:bookmarkEnd w:id="527"/>
      <w:bookmarkEnd w:id="528"/>
      <w:bookmarkEnd w:id="529"/>
    </w:p>
    <w:p>
      <w:pPr>
        <w:autoSpaceDE w:val="0"/>
        <w:autoSpaceDN w:val="0"/>
        <w:jc w:val="left"/>
        <w:rPr>
          <w:rFonts w:ascii="黑体" w:hAnsi="宋体" w:cs="宋体"/>
          <w:color w:val="auto"/>
          <w:kern w:val="0"/>
          <w:sz w:val="20"/>
          <w:szCs w:val="24"/>
          <w:highlight w:val="none"/>
          <w:lang w:val="zh-CN" w:bidi="zh-CN"/>
        </w:rPr>
      </w:pPr>
    </w:p>
    <w:p>
      <w:pPr>
        <w:autoSpaceDE w:val="0"/>
        <w:autoSpaceDN w:val="0"/>
        <w:spacing w:before="6"/>
        <w:jc w:val="left"/>
        <w:rPr>
          <w:rFonts w:ascii="黑体" w:hAnsi="宋体" w:cs="宋体"/>
          <w:color w:val="auto"/>
          <w:kern w:val="0"/>
          <w:sz w:val="11"/>
          <w:szCs w:val="24"/>
          <w:highlight w:val="none"/>
          <w:lang w:val="zh-CN" w:bidi="zh-CN"/>
        </w:rPr>
      </w:pPr>
    </w:p>
    <w:tbl>
      <w:tblPr>
        <w:tblStyle w:val="47"/>
        <w:tblW w:w="8843" w:type="dxa"/>
        <w:tblInd w:w="2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2026"/>
        <w:gridCol w:w="1545"/>
        <w:gridCol w:w="1548"/>
        <w:gridCol w:w="1548"/>
        <w:gridCol w:w="1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2655" w:type="dxa"/>
            <w:gridSpan w:val="2"/>
            <w:vMerge w:val="restart"/>
            <w:shd w:val="clear" w:color="auto" w:fill="auto"/>
          </w:tcPr>
          <w:p>
            <w:pPr>
              <w:autoSpaceDE w:val="0"/>
              <w:autoSpaceDN w:val="0"/>
              <w:jc w:val="left"/>
              <w:rPr>
                <w:rFonts w:ascii="黑体" w:hAnsi="宋体" w:cs="宋体"/>
                <w:color w:val="auto"/>
                <w:kern w:val="0"/>
                <w:sz w:val="20"/>
                <w:highlight w:val="none"/>
                <w:lang w:val="zh-CN" w:bidi="zh-CN"/>
              </w:rPr>
            </w:pPr>
          </w:p>
          <w:p>
            <w:pPr>
              <w:autoSpaceDE w:val="0"/>
              <w:autoSpaceDN w:val="0"/>
              <w:spacing w:before="6"/>
              <w:jc w:val="left"/>
              <w:rPr>
                <w:rFonts w:ascii="黑体" w:hAnsi="宋体" w:cs="宋体"/>
                <w:color w:val="auto"/>
                <w:kern w:val="0"/>
                <w:sz w:val="18"/>
                <w:highlight w:val="none"/>
                <w:lang w:val="zh-CN" w:bidi="zh-CN"/>
              </w:rPr>
            </w:pPr>
          </w:p>
          <w:p>
            <w:pPr>
              <w:autoSpaceDE w:val="0"/>
              <w:autoSpaceDN w:val="0"/>
              <w:ind w:left="363" w:right="347"/>
              <w:jc w:val="center"/>
              <w:rPr>
                <w:rFonts w:ascii="宋体" w:hAnsi="宋体" w:cs="宋体"/>
                <w:color w:val="auto"/>
                <w:kern w:val="0"/>
                <w:highlight w:val="none"/>
                <w:lang w:val="zh-CN" w:bidi="zh-CN"/>
              </w:rPr>
            </w:pPr>
            <w:r>
              <w:rPr>
                <w:rFonts w:ascii="宋体" w:hAnsi="宋体" w:cs="宋体"/>
                <w:color w:val="auto"/>
                <w:kern w:val="0"/>
                <w:highlight w:val="none"/>
                <w:lang w:val="zh-CN" w:bidi="zh-CN"/>
              </w:rPr>
              <w:t>从开工月算起的时间</w:t>
            </w:r>
          </w:p>
          <w:p>
            <w:pPr>
              <w:autoSpaceDE w:val="0"/>
              <w:autoSpaceDN w:val="0"/>
              <w:spacing w:before="12"/>
              <w:jc w:val="left"/>
              <w:rPr>
                <w:rFonts w:ascii="黑体" w:hAnsi="宋体" w:cs="宋体"/>
                <w:color w:val="auto"/>
                <w:kern w:val="0"/>
                <w:sz w:val="14"/>
                <w:highlight w:val="none"/>
                <w:lang w:val="zh-CN" w:bidi="zh-CN"/>
              </w:rPr>
            </w:pPr>
          </w:p>
          <w:p>
            <w:pPr>
              <w:autoSpaceDE w:val="0"/>
              <w:autoSpaceDN w:val="0"/>
              <w:ind w:left="360" w:right="347"/>
              <w:jc w:val="center"/>
              <w:rPr>
                <w:rFonts w:ascii="宋体" w:hAnsi="宋体" w:cs="宋体"/>
                <w:color w:val="auto"/>
                <w:kern w:val="0"/>
                <w:highlight w:val="none"/>
                <w:lang w:val="zh-CN" w:bidi="zh-CN"/>
              </w:rPr>
            </w:pPr>
            <w:r>
              <w:rPr>
                <w:rFonts w:ascii="宋体" w:hAnsi="宋体" w:cs="宋体"/>
                <w:color w:val="auto"/>
                <w:kern w:val="0"/>
                <w:highlight w:val="none"/>
                <w:lang w:val="zh-CN" w:bidi="zh-CN"/>
              </w:rPr>
              <w:t>（月）</w:t>
            </w:r>
          </w:p>
        </w:tc>
        <w:tc>
          <w:tcPr>
            <w:tcW w:w="6188" w:type="dxa"/>
            <w:gridSpan w:val="4"/>
            <w:shd w:val="clear" w:color="auto" w:fill="auto"/>
          </w:tcPr>
          <w:p>
            <w:pPr>
              <w:autoSpaceDE w:val="0"/>
              <w:autoSpaceDN w:val="0"/>
              <w:spacing w:before="8"/>
              <w:jc w:val="left"/>
              <w:rPr>
                <w:rFonts w:ascii="黑体" w:hAnsi="宋体" w:cs="宋体"/>
                <w:color w:val="auto"/>
                <w:kern w:val="0"/>
                <w:sz w:val="14"/>
                <w:highlight w:val="none"/>
                <w:lang w:val="zh-CN" w:bidi="zh-CN"/>
              </w:rPr>
            </w:pPr>
          </w:p>
          <w:p>
            <w:pPr>
              <w:autoSpaceDE w:val="0"/>
              <w:autoSpaceDN w:val="0"/>
              <w:ind w:left="2443" w:right="2429"/>
              <w:jc w:val="center"/>
              <w:rPr>
                <w:rFonts w:ascii="宋体" w:hAnsi="宋体" w:cs="宋体"/>
                <w:color w:val="auto"/>
                <w:kern w:val="0"/>
                <w:highlight w:val="none"/>
                <w:lang w:val="zh-CN" w:bidi="zh-CN"/>
              </w:rPr>
            </w:pPr>
            <w:r>
              <w:rPr>
                <w:rFonts w:ascii="宋体" w:hAnsi="宋体" w:cs="宋体"/>
                <w:color w:val="auto"/>
                <w:kern w:val="0"/>
                <w:highlight w:val="none"/>
                <w:lang w:val="zh-CN" w:bidi="zh-CN"/>
              </w:rPr>
              <w:t>投标人的估算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7" w:hRule="atLeast"/>
        </w:trPr>
        <w:tc>
          <w:tcPr>
            <w:tcW w:w="2655" w:type="dxa"/>
            <w:gridSpan w:val="2"/>
            <w:vMerge w:val="continue"/>
            <w:tcBorders>
              <w:top w:val="nil"/>
            </w:tcBorders>
            <w:shd w:val="clear" w:color="auto" w:fill="auto"/>
          </w:tcPr>
          <w:p>
            <w:pPr>
              <w:autoSpaceDE w:val="0"/>
              <w:autoSpaceDN w:val="0"/>
              <w:jc w:val="left"/>
              <w:rPr>
                <w:rFonts w:ascii="宋体" w:hAnsi="宋体" w:cs="宋体"/>
                <w:color w:val="auto"/>
                <w:kern w:val="0"/>
                <w:sz w:val="2"/>
                <w:szCs w:val="2"/>
                <w:highlight w:val="none"/>
                <w:lang w:val="zh-CN" w:bidi="zh-CN"/>
              </w:rPr>
            </w:pPr>
          </w:p>
        </w:tc>
        <w:tc>
          <w:tcPr>
            <w:tcW w:w="3093" w:type="dxa"/>
            <w:gridSpan w:val="2"/>
            <w:shd w:val="clear" w:color="auto" w:fill="auto"/>
          </w:tcPr>
          <w:p>
            <w:pPr>
              <w:autoSpaceDE w:val="0"/>
              <w:autoSpaceDN w:val="0"/>
              <w:spacing w:before="8"/>
              <w:jc w:val="left"/>
              <w:rPr>
                <w:rFonts w:ascii="黑体" w:hAnsi="宋体" w:cs="宋体"/>
                <w:color w:val="auto"/>
                <w:kern w:val="0"/>
                <w:sz w:val="14"/>
                <w:highlight w:val="none"/>
                <w:lang w:val="zh-CN" w:bidi="zh-CN"/>
              </w:rPr>
            </w:pPr>
          </w:p>
          <w:p>
            <w:pPr>
              <w:tabs>
                <w:tab w:val="left" w:pos="751"/>
              </w:tabs>
              <w:autoSpaceDE w:val="0"/>
              <w:autoSpaceDN w:val="0"/>
              <w:ind w:left="14"/>
              <w:jc w:val="center"/>
              <w:rPr>
                <w:rFonts w:ascii="宋体" w:hAnsi="宋体" w:cs="宋体"/>
                <w:color w:val="auto"/>
                <w:kern w:val="0"/>
                <w:highlight w:val="none"/>
                <w:lang w:val="zh-CN" w:bidi="zh-CN"/>
              </w:rPr>
            </w:pPr>
            <w:r>
              <w:rPr>
                <w:rFonts w:ascii="宋体" w:hAnsi="宋体" w:cs="宋体"/>
                <w:color w:val="auto"/>
                <w:kern w:val="0"/>
                <w:highlight w:val="none"/>
                <w:lang w:val="zh-CN" w:bidi="zh-CN"/>
              </w:rPr>
              <w:t>分</w:t>
            </w:r>
            <w:r>
              <w:rPr>
                <w:rFonts w:ascii="宋体" w:hAnsi="宋体" w:cs="宋体"/>
                <w:color w:val="auto"/>
                <w:kern w:val="0"/>
                <w:highlight w:val="none"/>
                <w:lang w:val="zh-CN" w:bidi="zh-CN"/>
              </w:rPr>
              <w:tab/>
            </w:r>
            <w:r>
              <w:rPr>
                <w:rFonts w:ascii="宋体" w:hAnsi="宋体" w:cs="宋体"/>
                <w:color w:val="auto"/>
                <w:kern w:val="0"/>
                <w:highlight w:val="none"/>
                <w:lang w:val="zh-CN" w:bidi="zh-CN"/>
              </w:rPr>
              <w:t>期</w:t>
            </w:r>
          </w:p>
        </w:tc>
        <w:tc>
          <w:tcPr>
            <w:tcW w:w="3095" w:type="dxa"/>
            <w:gridSpan w:val="2"/>
            <w:shd w:val="clear" w:color="auto" w:fill="auto"/>
          </w:tcPr>
          <w:p>
            <w:pPr>
              <w:autoSpaceDE w:val="0"/>
              <w:autoSpaceDN w:val="0"/>
              <w:spacing w:before="8"/>
              <w:jc w:val="left"/>
              <w:rPr>
                <w:rFonts w:ascii="黑体" w:hAnsi="宋体" w:cs="宋体"/>
                <w:color w:val="auto"/>
                <w:kern w:val="0"/>
                <w:sz w:val="14"/>
                <w:highlight w:val="none"/>
                <w:lang w:val="zh-CN" w:bidi="zh-CN"/>
              </w:rPr>
            </w:pPr>
          </w:p>
          <w:p>
            <w:pPr>
              <w:tabs>
                <w:tab w:val="left" w:pos="757"/>
              </w:tabs>
              <w:autoSpaceDE w:val="0"/>
              <w:autoSpaceDN w:val="0"/>
              <w:ind w:left="20"/>
              <w:jc w:val="center"/>
              <w:rPr>
                <w:rFonts w:ascii="宋体" w:hAnsi="宋体" w:cs="宋体"/>
                <w:color w:val="auto"/>
                <w:kern w:val="0"/>
                <w:highlight w:val="none"/>
                <w:lang w:val="zh-CN" w:bidi="zh-CN"/>
              </w:rPr>
            </w:pPr>
            <w:r>
              <w:rPr>
                <w:rFonts w:ascii="宋体" w:hAnsi="宋体" w:cs="宋体"/>
                <w:color w:val="auto"/>
                <w:kern w:val="0"/>
                <w:highlight w:val="none"/>
                <w:lang w:val="zh-CN" w:bidi="zh-CN"/>
              </w:rPr>
              <w:t>累</w:t>
            </w:r>
            <w:r>
              <w:rPr>
                <w:rFonts w:ascii="宋体" w:hAnsi="宋体" w:cs="宋体"/>
                <w:color w:val="auto"/>
                <w:kern w:val="0"/>
                <w:highlight w:val="none"/>
                <w:lang w:val="zh-CN" w:bidi="zh-CN"/>
              </w:rPr>
              <w:tab/>
            </w:r>
            <w:r>
              <w:rPr>
                <w:rFonts w:ascii="宋体" w:hAnsi="宋体" w:cs="宋体"/>
                <w:color w:val="auto"/>
                <w:kern w:val="0"/>
                <w:highlight w:val="none"/>
                <w:lang w:val="zh-CN" w:bidi="zh-CN"/>
              </w:rPr>
              <w:t>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2655" w:type="dxa"/>
            <w:gridSpan w:val="2"/>
            <w:vMerge w:val="continue"/>
            <w:tcBorders>
              <w:top w:val="nil"/>
            </w:tcBorders>
            <w:shd w:val="clear" w:color="auto" w:fill="auto"/>
          </w:tcPr>
          <w:p>
            <w:pPr>
              <w:autoSpaceDE w:val="0"/>
              <w:autoSpaceDN w:val="0"/>
              <w:jc w:val="left"/>
              <w:rPr>
                <w:rFonts w:ascii="宋体" w:hAnsi="宋体" w:cs="宋体"/>
                <w:color w:val="auto"/>
                <w:kern w:val="0"/>
                <w:sz w:val="2"/>
                <w:szCs w:val="2"/>
                <w:highlight w:val="none"/>
                <w:lang w:val="zh-CN" w:bidi="zh-CN"/>
              </w:rPr>
            </w:pPr>
          </w:p>
        </w:tc>
        <w:tc>
          <w:tcPr>
            <w:tcW w:w="1545" w:type="dxa"/>
            <w:shd w:val="clear" w:color="auto" w:fill="auto"/>
          </w:tcPr>
          <w:p>
            <w:pPr>
              <w:autoSpaceDE w:val="0"/>
              <w:autoSpaceDN w:val="0"/>
              <w:spacing w:before="11"/>
              <w:jc w:val="left"/>
              <w:rPr>
                <w:rFonts w:ascii="黑体" w:hAnsi="宋体" w:cs="宋体"/>
                <w:color w:val="auto"/>
                <w:kern w:val="0"/>
                <w:sz w:val="14"/>
                <w:highlight w:val="none"/>
                <w:lang w:val="zh-CN" w:bidi="zh-CN"/>
              </w:rPr>
            </w:pPr>
          </w:p>
          <w:p>
            <w:pPr>
              <w:autoSpaceDE w:val="0"/>
              <w:autoSpaceDN w:val="0"/>
              <w:ind w:left="244"/>
              <w:jc w:val="left"/>
              <w:rPr>
                <w:rFonts w:ascii="宋体" w:hAnsi="宋体" w:cs="宋体"/>
                <w:color w:val="auto"/>
                <w:kern w:val="0"/>
                <w:highlight w:val="none"/>
                <w:lang w:val="zh-CN" w:bidi="zh-CN"/>
              </w:rPr>
            </w:pPr>
            <w:r>
              <w:rPr>
                <w:rFonts w:ascii="宋体" w:hAnsi="宋体" w:cs="宋体"/>
                <w:color w:val="auto"/>
                <w:kern w:val="0"/>
                <w:highlight w:val="none"/>
                <w:lang w:val="zh-CN" w:bidi="zh-CN"/>
              </w:rPr>
              <w:t>金额（元）</w:t>
            </w:r>
          </w:p>
        </w:tc>
        <w:tc>
          <w:tcPr>
            <w:tcW w:w="1548" w:type="dxa"/>
            <w:shd w:val="clear" w:color="auto" w:fill="auto"/>
          </w:tcPr>
          <w:p>
            <w:pPr>
              <w:autoSpaceDE w:val="0"/>
              <w:autoSpaceDN w:val="0"/>
              <w:spacing w:before="190"/>
              <w:ind w:left="459" w:right="439"/>
              <w:jc w:val="center"/>
              <w:rPr>
                <w:rFonts w:ascii="宋体" w:hAnsi="宋体" w:cs="宋体"/>
                <w:color w:val="auto"/>
                <w:kern w:val="0"/>
                <w:highlight w:val="none"/>
                <w:lang w:val="zh-CN" w:bidi="zh-CN"/>
              </w:rPr>
            </w:pPr>
            <w:r>
              <w:rPr>
                <w:rFonts w:ascii="宋体" w:hAnsi="宋体" w:cs="宋体"/>
                <w:color w:val="auto"/>
                <w:kern w:val="0"/>
                <w:highlight w:val="none"/>
                <w:lang w:val="zh-CN" w:bidi="zh-CN"/>
              </w:rPr>
              <w:t>（</w:t>
            </w:r>
            <w:r>
              <w:rPr>
                <w:rFonts w:hAnsi="宋体" w:eastAsia="Times New Roman" w:cs="宋体"/>
                <w:color w:val="auto"/>
                <w:kern w:val="0"/>
                <w:highlight w:val="none"/>
                <w:lang w:val="zh-CN" w:bidi="zh-CN"/>
              </w:rPr>
              <w:t>%</w:t>
            </w:r>
            <w:r>
              <w:rPr>
                <w:rFonts w:ascii="宋体" w:hAnsi="宋体" w:cs="宋体"/>
                <w:color w:val="auto"/>
                <w:kern w:val="0"/>
                <w:highlight w:val="none"/>
                <w:lang w:val="zh-CN" w:bidi="zh-CN"/>
              </w:rPr>
              <w:t>）</w:t>
            </w:r>
          </w:p>
        </w:tc>
        <w:tc>
          <w:tcPr>
            <w:tcW w:w="1548" w:type="dxa"/>
            <w:shd w:val="clear" w:color="auto" w:fill="auto"/>
          </w:tcPr>
          <w:p>
            <w:pPr>
              <w:autoSpaceDE w:val="0"/>
              <w:autoSpaceDN w:val="0"/>
              <w:spacing w:before="11"/>
              <w:jc w:val="left"/>
              <w:rPr>
                <w:rFonts w:ascii="黑体" w:hAnsi="宋体" w:cs="宋体"/>
                <w:color w:val="auto"/>
                <w:kern w:val="0"/>
                <w:sz w:val="14"/>
                <w:highlight w:val="none"/>
                <w:lang w:val="zh-CN" w:bidi="zh-CN"/>
              </w:rPr>
            </w:pPr>
          </w:p>
          <w:p>
            <w:pPr>
              <w:autoSpaceDE w:val="0"/>
              <w:autoSpaceDN w:val="0"/>
              <w:ind w:left="250"/>
              <w:jc w:val="left"/>
              <w:rPr>
                <w:rFonts w:ascii="宋体" w:hAnsi="宋体" w:cs="宋体"/>
                <w:color w:val="auto"/>
                <w:kern w:val="0"/>
                <w:highlight w:val="none"/>
                <w:lang w:val="zh-CN" w:bidi="zh-CN"/>
              </w:rPr>
            </w:pPr>
            <w:r>
              <w:rPr>
                <w:rFonts w:ascii="宋体" w:hAnsi="宋体" w:cs="宋体"/>
                <w:color w:val="auto"/>
                <w:kern w:val="0"/>
                <w:highlight w:val="none"/>
                <w:lang w:val="zh-CN" w:bidi="zh-CN"/>
              </w:rPr>
              <w:t>金额（元）</w:t>
            </w:r>
          </w:p>
        </w:tc>
        <w:tc>
          <w:tcPr>
            <w:tcW w:w="1547" w:type="dxa"/>
            <w:shd w:val="clear" w:color="auto" w:fill="auto"/>
          </w:tcPr>
          <w:p>
            <w:pPr>
              <w:autoSpaceDE w:val="0"/>
              <w:autoSpaceDN w:val="0"/>
              <w:spacing w:before="190"/>
              <w:ind w:left="478"/>
              <w:jc w:val="left"/>
              <w:rPr>
                <w:rFonts w:ascii="宋体" w:hAnsi="宋体" w:cs="宋体"/>
                <w:color w:val="auto"/>
                <w:kern w:val="0"/>
                <w:highlight w:val="none"/>
                <w:lang w:val="zh-CN" w:bidi="zh-CN"/>
              </w:rPr>
            </w:pPr>
            <w:r>
              <w:rPr>
                <w:rFonts w:ascii="宋体" w:hAnsi="宋体" w:cs="宋体"/>
                <w:color w:val="auto"/>
                <w:kern w:val="0"/>
                <w:highlight w:val="none"/>
                <w:lang w:val="zh-CN" w:bidi="zh-CN"/>
              </w:rPr>
              <w:t>（</w:t>
            </w:r>
            <w:r>
              <w:rPr>
                <w:rFonts w:hAnsi="宋体" w:eastAsia="Times New Roman" w:cs="宋体"/>
                <w:color w:val="auto"/>
                <w:kern w:val="0"/>
                <w:highlight w:val="none"/>
                <w:lang w:val="zh-CN" w:bidi="zh-CN"/>
              </w:rPr>
              <w:t>%</w:t>
            </w:r>
            <w:r>
              <w:rPr>
                <w:rFonts w:ascii="宋体" w:hAnsi="宋体" w:cs="宋体"/>
                <w:color w:val="auto"/>
                <w:kern w:val="0"/>
                <w:highlight w:val="none"/>
                <w:lang w:val="zh-CN" w:bidi="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2655" w:type="dxa"/>
            <w:gridSpan w:val="2"/>
            <w:shd w:val="clear" w:color="auto" w:fill="auto"/>
          </w:tcPr>
          <w:p>
            <w:pPr>
              <w:autoSpaceDE w:val="0"/>
              <w:autoSpaceDN w:val="0"/>
              <w:spacing w:before="11"/>
              <w:jc w:val="left"/>
              <w:rPr>
                <w:rFonts w:ascii="黑体" w:hAnsi="宋体" w:cs="宋体"/>
                <w:color w:val="auto"/>
                <w:kern w:val="0"/>
                <w:sz w:val="14"/>
                <w:highlight w:val="none"/>
                <w:lang w:val="zh-CN" w:bidi="zh-CN"/>
              </w:rPr>
            </w:pPr>
          </w:p>
          <w:p>
            <w:pPr>
              <w:autoSpaceDE w:val="0"/>
              <w:autoSpaceDN w:val="0"/>
              <w:ind w:left="486"/>
              <w:jc w:val="left"/>
              <w:rPr>
                <w:rFonts w:ascii="宋体" w:hAnsi="宋体" w:cs="宋体"/>
                <w:color w:val="auto"/>
                <w:kern w:val="0"/>
                <w:highlight w:val="none"/>
                <w:lang w:val="zh-CN" w:bidi="zh-CN"/>
              </w:rPr>
            </w:pPr>
            <w:r>
              <w:rPr>
                <w:rFonts w:ascii="宋体" w:hAnsi="宋体" w:cs="宋体"/>
                <w:color w:val="auto"/>
                <w:kern w:val="0"/>
                <w:highlight w:val="none"/>
                <w:lang w:val="zh-CN" w:bidi="zh-CN"/>
              </w:rPr>
              <w:t>第一次开工预付款</w:t>
            </w:r>
          </w:p>
        </w:tc>
        <w:tc>
          <w:tcPr>
            <w:tcW w:w="1545" w:type="dxa"/>
            <w:shd w:val="clear" w:color="auto" w:fill="auto"/>
          </w:tcPr>
          <w:p>
            <w:pPr>
              <w:autoSpaceDE w:val="0"/>
              <w:autoSpaceDN w:val="0"/>
              <w:jc w:val="left"/>
              <w:rPr>
                <w:rFonts w:hAnsi="宋体" w:cs="宋体"/>
                <w:color w:val="auto"/>
                <w:kern w:val="0"/>
                <w:sz w:val="20"/>
                <w:highlight w:val="none"/>
                <w:lang w:val="zh-CN" w:bidi="zh-CN"/>
              </w:rPr>
            </w:pPr>
          </w:p>
        </w:tc>
        <w:tc>
          <w:tcPr>
            <w:tcW w:w="1548" w:type="dxa"/>
            <w:shd w:val="clear" w:color="auto" w:fill="auto"/>
          </w:tcPr>
          <w:p>
            <w:pPr>
              <w:autoSpaceDE w:val="0"/>
              <w:autoSpaceDN w:val="0"/>
              <w:jc w:val="left"/>
              <w:rPr>
                <w:rFonts w:hAnsi="宋体" w:cs="宋体"/>
                <w:color w:val="auto"/>
                <w:kern w:val="0"/>
                <w:sz w:val="20"/>
                <w:highlight w:val="none"/>
                <w:lang w:val="zh-CN" w:bidi="zh-CN"/>
              </w:rPr>
            </w:pPr>
          </w:p>
        </w:tc>
        <w:tc>
          <w:tcPr>
            <w:tcW w:w="1548" w:type="dxa"/>
            <w:shd w:val="clear" w:color="auto" w:fill="auto"/>
          </w:tcPr>
          <w:p>
            <w:pPr>
              <w:autoSpaceDE w:val="0"/>
              <w:autoSpaceDN w:val="0"/>
              <w:jc w:val="left"/>
              <w:rPr>
                <w:rFonts w:hAnsi="宋体" w:cs="宋体"/>
                <w:color w:val="auto"/>
                <w:kern w:val="0"/>
                <w:sz w:val="20"/>
                <w:highlight w:val="none"/>
                <w:lang w:val="zh-CN" w:bidi="zh-CN"/>
              </w:rPr>
            </w:pPr>
          </w:p>
        </w:tc>
        <w:tc>
          <w:tcPr>
            <w:tcW w:w="1547" w:type="dxa"/>
            <w:shd w:val="clear" w:color="auto" w:fill="auto"/>
          </w:tcPr>
          <w:p>
            <w:pPr>
              <w:autoSpaceDE w:val="0"/>
              <w:autoSpaceDN w:val="0"/>
              <w:jc w:val="left"/>
              <w:rPr>
                <w:rFonts w:hAnsi="宋体" w:cs="宋体"/>
                <w:color w:val="auto"/>
                <w:kern w:val="0"/>
                <w:sz w:val="20"/>
                <w:highlight w:val="none"/>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2655" w:type="dxa"/>
            <w:gridSpan w:val="2"/>
            <w:shd w:val="clear" w:color="auto" w:fill="auto"/>
          </w:tcPr>
          <w:p>
            <w:pPr>
              <w:autoSpaceDE w:val="0"/>
              <w:autoSpaceDN w:val="0"/>
              <w:spacing w:before="9"/>
              <w:jc w:val="left"/>
              <w:rPr>
                <w:rFonts w:ascii="黑体" w:hAnsi="宋体" w:cs="宋体"/>
                <w:color w:val="auto"/>
                <w:kern w:val="0"/>
                <w:sz w:val="16"/>
                <w:highlight w:val="none"/>
                <w:lang w:val="zh-CN" w:bidi="zh-CN"/>
              </w:rPr>
            </w:pPr>
          </w:p>
          <w:p>
            <w:pPr>
              <w:autoSpaceDE w:val="0"/>
              <w:autoSpaceDN w:val="0"/>
              <w:ind w:left="360" w:right="347"/>
              <w:jc w:val="center"/>
              <w:rPr>
                <w:rFonts w:hAnsi="宋体" w:cs="宋体"/>
                <w:color w:val="auto"/>
                <w:kern w:val="0"/>
                <w:highlight w:val="none"/>
                <w:lang w:val="zh-CN" w:bidi="zh-CN"/>
              </w:rPr>
            </w:pPr>
            <w:r>
              <w:rPr>
                <w:rFonts w:hAnsi="宋体" w:cs="宋体"/>
                <w:color w:val="auto"/>
                <w:kern w:val="0"/>
                <w:highlight w:val="none"/>
                <w:lang w:val="zh-CN" w:bidi="zh-CN"/>
              </w:rPr>
              <w:t>1 ~ 3</w:t>
            </w:r>
          </w:p>
        </w:tc>
        <w:tc>
          <w:tcPr>
            <w:tcW w:w="1545" w:type="dxa"/>
            <w:shd w:val="clear" w:color="auto" w:fill="auto"/>
          </w:tcPr>
          <w:p>
            <w:pPr>
              <w:autoSpaceDE w:val="0"/>
              <w:autoSpaceDN w:val="0"/>
              <w:jc w:val="left"/>
              <w:rPr>
                <w:rFonts w:hAnsi="宋体" w:cs="宋体"/>
                <w:color w:val="auto"/>
                <w:kern w:val="0"/>
                <w:sz w:val="20"/>
                <w:highlight w:val="none"/>
                <w:lang w:val="zh-CN" w:bidi="zh-CN"/>
              </w:rPr>
            </w:pPr>
          </w:p>
        </w:tc>
        <w:tc>
          <w:tcPr>
            <w:tcW w:w="1548" w:type="dxa"/>
            <w:shd w:val="clear" w:color="auto" w:fill="auto"/>
          </w:tcPr>
          <w:p>
            <w:pPr>
              <w:autoSpaceDE w:val="0"/>
              <w:autoSpaceDN w:val="0"/>
              <w:jc w:val="left"/>
              <w:rPr>
                <w:rFonts w:hAnsi="宋体" w:cs="宋体"/>
                <w:color w:val="auto"/>
                <w:kern w:val="0"/>
                <w:sz w:val="20"/>
                <w:highlight w:val="none"/>
                <w:lang w:val="zh-CN" w:bidi="zh-CN"/>
              </w:rPr>
            </w:pPr>
          </w:p>
        </w:tc>
        <w:tc>
          <w:tcPr>
            <w:tcW w:w="1548" w:type="dxa"/>
            <w:shd w:val="clear" w:color="auto" w:fill="auto"/>
          </w:tcPr>
          <w:p>
            <w:pPr>
              <w:autoSpaceDE w:val="0"/>
              <w:autoSpaceDN w:val="0"/>
              <w:jc w:val="left"/>
              <w:rPr>
                <w:rFonts w:hAnsi="宋体" w:cs="宋体"/>
                <w:color w:val="auto"/>
                <w:kern w:val="0"/>
                <w:sz w:val="20"/>
                <w:highlight w:val="none"/>
                <w:lang w:val="zh-CN" w:bidi="zh-CN"/>
              </w:rPr>
            </w:pPr>
          </w:p>
        </w:tc>
        <w:tc>
          <w:tcPr>
            <w:tcW w:w="1547" w:type="dxa"/>
            <w:shd w:val="clear" w:color="auto" w:fill="auto"/>
          </w:tcPr>
          <w:p>
            <w:pPr>
              <w:autoSpaceDE w:val="0"/>
              <w:autoSpaceDN w:val="0"/>
              <w:jc w:val="left"/>
              <w:rPr>
                <w:rFonts w:hAnsi="宋体" w:cs="宋体"/>
                <w:color w:val="auto"/>
                <w:kern w:val="0"/>
                <w:sz w:val="20"/>
                <w:highlight w:val="none"/>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2655" w:type="dxa"/>
            <w:gridSpan w:val="2"/>
            <w:shd w:val="clear" w:color="auto" w:fill="auto"/>
          </w:tcPr>
          <w:p>
            <w:pPr>
              <w:autoSpaceDE w:val="0"/>
              <w:autoSpaceDN w:val="0"/>
              <w:spacing w:before="6"/>
              <w:jc w:val="left"/>
              <w:rPr>
                <w:rFonts w:ascii="黑体" w:hAnsi="宋体" w:cs="宋体"/>
                <w:color w:val="auto"/>
                <w:kern w:val="0"/>
                <w:sz w:val="16"/>
                <w:highlight w:val="none"/>
                <w:lang w:val="zh-CN" w:bidi="zh-CN"/>
              </w:rPr>
            </w:pPr>
          </w:p>
          <w:p>
            <w:pPr>
              <w:autoSpaceDE w:val="0"/>
              <w:autoSpaceDN w:val="0"/>
              <w:ind w:left="360" w:right="347"/>
              <w:jc w:val="center"/>
              <w:rPr>
                <w:rFonts w:hAnsi="宋体" w:cs="宋体"/>
                <w:color w:val="auto"/>
                <w:kern w:val="0"/>
                <w:highlight w:val="none"/>
                <w:lang w:val="zh-CN" w:bidi="zh-CN"/>
              </w:rPr>
            </w:pPr>
            <w:r>
              <w:rPr>
                <w:rFonts w:hAnsi="宋体" w:cs="宋体"/>
                <w:color w:val="auto"/>
                <w:kern w:val="0"/>
                <w:highlight w:val="none"/>
                <w:lang w:val="zh-CN" w:bidi="zh-CN"/>
              </w:rPr>
              <w:t>4 ~ 6</w:t>
            </w:r>
          </w:p>
        </w:tc>
        <w:tc>
          <w:tcPr>
            <w:tcW w:w="1545" w:type="dxa"/>
            <w:shd w:val="clear" w:color="auto" w:fill="auto"/>
          </w:tcPr>
          <w:p>
            <w:pPr>
              <w:autoSpaceDE w:val="0"/>
              <w:autoSpaceDN w:val="0"/>
              <w:jc w:val="left"/>
              <w:rPr>
                <w:rFonts w:hAnsi="宋体" w:cs="宋体"/>
                <w:color w:val="auto"/>
                <w:kern w:val="0"/>
                <w:sz w:val="20"/>
                <w:highlight w:val="none"/>
                <w:lang w:val="zh-CN" w:bidi="zh-CN"/>
              </w:rPr>
            </w:pPr>
          </w:p>
        </w:tc>
        <w:tc>
          <w:tcPr>
            <w:tcW w:w="1548" w:type="dxa"/>
            <w:shd w:val="clear" w:color="auto" w:fill="auto"/>
          </w:tcPr>
          <w:p>
            <w:pPr>
              <w:autoSpaceDE w:val="0"/>
              <w:autoSpaceDN w:val="0"/>
              <w:jc w:val="left"/>
              <w:rPr>
                <w:rFonts w:hAnsi="宋体" w:cs="宋体"/>
                <w:color w:val="auto"/>
                <w:kern w:val="0"/>
                <w:sz w:val="20"/>
                <w:highlight w:val="none"/>
                <w:lang w:val="zh-CN" w:bidi="zh-CN"/>
              </w:rPr>
            </w:pPr>
          </w:p>
        </w:tc>
        <w:tc>
          <w:tcPr>
            <w:tcW w:w="1548" w:type="dxa"/>
            <w:shd w:val="clear" w:color="auto" w:fill="auto"/>
          </w:tcPr>
          <w:p>
            <w:pPr>
              <w:autoSpaceDE w:val="0"/>
              <w:autoSpaceDN w:val="0"/>
              <w:jc w:val="left"/>
              <w:rPr>
                <w:rFonts w:hAnsi="宋体" w:cs="宋体"/>
                <w:color w:val="auto"/>
                <w:kern w:val="0"/>
                <w:sz w:val="20"/>
                <w:highlight w:val="none"/>
                <w:lang w:val="zh-CN" w:bidi="zh-CN"/>
              </w:rPr>
            </w:pPr>
          </w:p>
        </w:tc>
        <w:tc>
          <w:tcPr>
            <w:tcW w:w="1547" w:type="dxa"/>
            <w:shd w:val="clear" w:color="auto" w:fill="auto"/>
          </w:tcPr>
          <w:p>
            <w:pPr>
              <w:autoSpaceDE w:val="0"/>
              <w:autoSpaceDN w:val="0"/>
              <w:jc w:val="left"/>
              <w:rPr>
                <w:rFonts w:hAnsi="宋体" w:cs="宋体"/>
                <w:color w:val="auto"/>
                <w:kern w:val="0"/>
                <w:sz w:val="20"/>
                <w:highlight w:val="none"/>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2655" w:type="dxa"/>
            <w:gridSpan w:val="2"/>
            <w:shd w:val="clear" w:color="auto" w:fill="auto"/>
          </w:tcPr>
          <w:p>
            <w:pPr>
              <w:autoSpaceDE w:val="0"/>
              <w:autoSpaceDN w:val="0"/>
              <w:spacing w:before="6"/>
              <w:jc w:val="left"/>
              <w:rPr>
                <w:rFonts w:ascii="黑体" w:hAnsi="宋体" w:cs="宋体"/>
                <w:color w:val="auto"/>
                <w:kern w:val="0"/>
                <w:sz w:val="16"/>
                <w:highlight w:val="none"/>
                <w:lang w:val="zh-CN" w:bidi="zh-CN"/>
              </w:rPr>
            </w:pPr>
          </w:p>
          <w:p>
            <w:pPr>
              <w:autoSpaceDE w:val="0"/>
              <w:autoSpaceDN w:val="0"/>
              <w:ind w:left="360" w:right="347"/>
              <w:jc w:val="center"/>
              <w:rPr>
                <w:rFonts w:hAnsi="宋体" w:cs="宋体"/>
                <w:color w:val="auto"/>
                <w:kern w:val="0"/>
                <w:highlight w:val="none"/>
                <w:lang w:val="zh-CN" w:bidi="zh-CN"/>
              </w:rPr>
            </w:pPr>
            <w:r>
              <w:rPr>
                <w:rFonts w:hAnsi="宋体" w:cs="宋体"/>
                <w:color w:val="auto"/>
                <w:kern w:val="0"/>
                <w:highlight w:val="none"/>
                <w:lang w:val="zh-CN" w:bidi="zh-CN"/>
              </w:rPr>
              <w:t>7 ~ 9</w:t>
            </w:r>
          </w:p>
        </w:tc>
        <w:tc>
          <w:tcPr>
            <w:tcW w:w="1545" w:type="dxa"/>
            <w:shd w:val="clear" w:color="auto" w:fill="auto"/>
          </w:tcPr>
          <w:p>
            <w:pPr>
              <w:autoSpaceDE w:val="0"/>
              <w:autoSpaceDN w:val="0"/>
              <w:jc w:val="left"/>
              <w:rPr>
                <w:rFonts w:hAnsi="宋体" w:cs="宋体"/>
                <w:color w:val="auto"/>
                <w:kern w:val="0"/>
                <w:sz w:val="20"/>
                <w:highlight w:val="none"/>
                <w:lang w:val="zh-CN" w:bidi="zh-CN"/>
              </w:rPr>
            </w:pPr>
          </w:p>
        </w:tc>
        <w:tc>
          <w:tcPr>
            <w:tcW w:w="1548" w:type="dxa"/>
            <w:shd w:val="clear" w:color="auto" w:fill="auto"/>
          </w:tcPr>
          <w:p>
            <w:pPr>
              <w:autoSpaceDE w:val="0"/>
              <w:autoSpaceDN w:val="0"/>
              <w:jc w:val="left"/>
              <w:rPr>
                <w:rFonts w:hAnsi="宋体" w:cs="宋体"/>
                <w:color w:val="auto"/>
                <w:kern w:val="0"/>
                <w:sz w:val="20"/>
                <w:highlight w:val="none"/>
                <w:lang w:val="zh-CN" w:bidi="zh-CN"/>
              </w:rPr>
            </w:pPr>
          </w:p>
        </w:tc>
        <w:tc>
          <w:tcPr>
            <w:tcW w:w="1548" w:type="dxa"/>
            <w:shd w:val="clear" w:color="auto" w:fill="auto"/>
          </w:tcPr>
          <w:p>
            <w:pPr>
              <w:autoSpaceDE w:val="0"/>
              <w:autoSpaceDN w:val="0"/>
              <w:jc w:val="left"/>
              <w:rPr>
                <w:rFonts w:hAnsi="宋体" w:cs="宋体"/>
                <w:color w:val="auto"/>
                <w:kern w:val="0"/>
                <w:sz w:val="20"/>
                <w:highlight w:val="none"/>
                <w:lang w:val="zh-CN" w:bidi="zh-CN"/>
              </w:rPr>
            </w:pPr>
          </w:p>
        </w:tc>
        <w:tc>
          <w:tcPr>
            <w:tcW w:w="1547" w:type="dxa"/>
            <w:shd w:val="clear" w:color="auto" w:fill="auto"/>
          </w:tcPr>
          <w:p>
            <w:pPr>
              <w:autoSpaceDE w:val="0"/>
              <w:autoSpaceDN w:val="0"/>
              <w:jc w:val="left"/>
              <w:rPr>
                <w:rFonts w:hAnsi="宋体" w:cs="宋体"/>
                <w:color w:val="auto"/>
                <w:kern w:val="0"/>
                <w:sz w:val="20"/>
                <w:highlight w:val="none"/>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2655" w:type="dxa"/>
            <w:gridSpan w:val="2"/>
            <w:shd w:val="clear" w:color="auto" w:fill="auto"/>
          </w:tcPr>
          <w:p>
            <w:pPr>
              <w:autoSpaceDE w:val="0"/>
              <w:autoSpaceDN w:val="0"/>
              <w:spacing w:before="6"/>
              <w:jc w:val="left"/>
              <w:rPr>
                <w:rFonts w:ascii="黑体" w:hAnsi="宋体" w:cs="宋体"/>
                <w:color w:val="auto"/>
                <w:kern w:val="0"/>
                <w:sz w:val="16"/>
                <w:highlight w:val="none"/>
                <w:lang w:val="zh-CN" w:bidi="zh-CN"/>
              </w:rPr>
            </w:pPr>
          </w:p>
          <w:p>
            <w:pPr>
              <w:autoSpaceDE w:val="0"/>
              <w:autoSpaceDN w:val="0"/>
              <w:ind w:left="362" w:right="347"/>
              <w:jc w:val="center"/>
              <w:rPr>
                <w:rFonts w:hAnsi="宋体" w:cs="宋体"/>
                <w:color w:val="auto"/>
                <w:kern w:val="0"/>
                <w:highlight w:val="none"/>
                <w:lang w:val="zh-CN" w:bidi="zh-CN"/>
              </w:rPr>
            </w:pPr>
            <w:r>
              <w:rPr>
                <w:rFonts w:hAnsi="宋体" w:cs="宋体"/>
                <w:color w:val="auto"/>
                <w:kern w:val="0"/>
                <w:highlight w:val="none"/>
                <w:lang w:val="zh-CN" w:bidi="zh-CN"/>
              </w:rPr>
              <w:t>10 ~ 12</w:t>
            </w:r>
          </w:p>
        </w:tc>
        <w:tc>
          <w:tcPr>
            <w:tcW w:w="1545" w:type="dxa"/>
            <w:shd w:val="clear" w:color="auto" w:fill="auto"/>
          </w:tcPr>
          <w:p>
            <w:pPr>
              <w:autoSpaceDE w:val="0"/>
              <w:autoSpaceDN w:val="0"/>
              <w:jc w:val="left"/>
              <w:rPr>
                <w:rFonts w:hAnsi="宋体" w:cs="宋体"/>
                <w:color w:val="auto"/>
                <w:kern w:val="0"/>
                <w:sz w:val="20"/>
                <w:highlight w:val="none"/>
                <w:lang w:val="zh-CN" w:bidi="zh-CN"/>
              </w:rPr>
            </w:pPr>
          </w:p>
        </w:tc>
        <w:tc>
          <w:tcPr>
            <w:tcW w:w="1548" w:type="dxa"/>
            <w:shd w:val="clear" w:color="auto" w:fill="auto"/>
          </w:tcPr>
          <w:p>
            <w:pPr>
              <w:autoSpaceDE w:val="0"/>
              <w:autoSpaceDN w:val="0"/>
              <w:jc w:val="left"/>
              <w:rPr>
                <w:rFonts w:hAnsi="宋体" w:cs="宋体"/>
                <w:color w:val="auto"/>
                <w:kern w:val="0"/>
                <w:sz w:val="20"/>
                <w:highlight w:val="none"/>
                <w:lang w:val="zh-CN" w:bidi="zh-CN"/>
              </w:rPr>
            </w:pPr>
          </w:p>
        </w:tc>
        <w:tc>
          <w:tcPr>
            <w:tcW w:w="1548" w:type="dxa"/>
            <w:shd w:val="clear" w:color="auto" w:fill="auto"/>
          </w:tcPr>
          <w:p>
            <w:pPr>
              <w:autoSpaceDE w:val="0"/>
              <w:autoSpaceDN w:val="0"/>
              <w:jc w:val="left"/>
              <w:rPr>
                <w:rFonts w:hAnsi="宋体" w:cs="宋体"/>
                <w:color w:val="auto"/>
                <w:kern w:val="0"/>
                <w:sz w:val="20"/>
                <w:highlight w:val="none"/>
                <w:lang w:val="zh-CN" w:bidi="zh-CN"/>
              </w:rPr>
            </w:pPr>
          </w:p>
        </w:tc>
        <w:tc>
          <w:tcPr>
            <w:tcW w:w="1547" w:type="dxa"/>
            <w:shd w:val="clear" w:color="auto" w:fill="auto"/>
          </w:tcPr>
          <w:p>
            <w:pPr>
              <w:autoSpaceDE w:val="0"/>
              <w:autoSpaceDN w:val="0"/>
              <w:jc w:val="left"/>
              <w:rPr>
                <w:rFonts w:hAnsi="宋体" w:cs="宋体"/>
                <w:color w:val="auto"/>
                <w:kern w:val="0"/>
                <w:sz w:val="20"/>
                <w:highlight w:val="none"/>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2655" w:type="dxa"/>
            <w:gridSpan w:val="2"/>
            <w:shd w:val="clear" w:color="auto" w:fill="auto"/>
          </w:tcPr>
          <w:p>
            <w:pPr>
              <w:autoSpaceDE w:val="0"/>
              <w:autoSpaceDN w:val="0"/>
              <w:spacing w:before="6"/>
              <w:jc w:val="left"/>
              <w:rPr>
                <w:rFonts w:ascii="黑体" w:hAnsi="宋体" w:cs="宋体"/>
                <w:color w:val="auto"/>
                <w:kern w:val="0"/>
                <w:sz w:val="16"/>
                <w:highlight w:val="none"/>
                <w:lang w:val="zh-CN" w:bidi="zh-CN"/>
              </w:rPr>
            </w:pPr>
          </w:p>
          <w:p>
            <w:pPr>
              <w:autoSpaceDE w:val="0"/>
              <w:autoSpaceDN w:val="0"/>
              <w:ind w:left="362" w:right="347"/>
              <w:jc w:val="center"/>
              <w:rPr>
                <w:rFonts w:hAnsi="宋体" w:cs="宋体"/>
                <w:color w:val="auto"/>
                <w:kern w:val="0"/>
                <w:highlight w:val="none"/>
                <w:lang w:val="zh-CN" w:bidi="zh-CN"/>
              </w:rPr>
            </w:pPr>
            <w:r>
              <w:rPr>
                <w:rFonts w:hAnsi="宋体" w:cs="宋体"/>
                <w:color w:val="auto"/>
                <w:kern w:val="0"/>
                <w:highlight w:val="none"/>
                <w:lang w:val="zh-CN" w:bidi="zh-CN"/>
              </w:rPr>
              <w:t>13 ~ 15</w:t>
            </w:r>
          </w:p>
        </w:tc>
        <w:tc>
          <w:tcPr>
            <w:tcW w:w="1545" w:type="dxa"/>
            <w:shd w:val="clear" w:color="auto" w:fill="auto"/>
          </w:tcPr>
          <w:p>
            <w:pPr>
              <w:autoSpaceDE w:val="0"/>
              <w:autoSpaceDN w:val="0"/>
              <w:jc w:val="left"/>
              <w:rPr>
                <w:rFonts w:hAnsi="宋体" w:cs="宋体"/>
                <w:color w:val="auto"/>
                <w:kern w:val="0"/>
                <w:sz w:val="20"/>
                <w:highlight w:val="none"/>
                <w:lang w:val="zh-CN" w:bidi="zh-CN"/>
              </w:rPr>
            </w:pPr>
          </w:p>
        </w:tc>
        <w:tc>
          <w:tcPr>
            <w:tcW w:w="1548" w:type="dxa"/>
            <w:shd w:val="clear" w:color="auto" w:fill="auto"/>
          </w:tcPr>
          <w:p>
            <w:pPr>
              <w:autoSpaceDE w:val="0"/>
              <w:autoSpaceDN w:val="0"/>
              <w:jc w:val="left"/>
              <w:rPr>
                <w:rFonts w:hAnsi="宋体" w:cs="宋体"/>
                <w:color w:val="auto"/>
                <w:kern w:val="0"/>
                <w:sz w:val="20"/>
                <w:highlight w:val="none"/>
                <w:lang w:val="zh-CN" w:bidi="zh-CN"/>
              </w:rPr>
            </w:pPr>
          </w:p>
        </w:tc>
        <w:tc>
          <w:tcPr>
            <w:tcW w:w="1548" w:type="dxa"/>
            <w:shd w:val="clear" w:color="auto" w:fill="auto"/>
          </w:tcPr>
          <w:p>
            <w:pPr>
              <w:autoSpaceDE w:val="0"/>
              <w:autoSpaceDN w:val="0"/>
              <w:jc w:val="left"/>
              <w:rPr>
                <w:rFonts w:hAnsi="宋体" w:cs="宋体"/>
                <w:color w:val="auto"/>
                <w:kern w:val="0"/>
                <w:sz w:val="20"/>
                <w:highlight w:val="none"/>
                <w:lang w:val="zh-CN" w:bidi="zh-CN"/>
              </w:rPr>
            </w:pPr>
          </w:p>
        </w:tc>
        <w:tc>
          <w:tcPr>
            <w:tcW w:w="1547" w:type="dxa"/>
            <w:shd w:val="clear" w:color="auto" w:fill="auto"/>
          </w:tcPr>
          <w:p>
            <w:pPr>
              <w:autoSpaceDE w:val="0"/>
              <w:autoSpaceDN w:val="0"/>
              <w:jc w:val="left"/>
              <w:rPr>
                <w:rFonts w:hAnsi="宋体" w:cs="宋体"/>
                <w:color w:val="auto"/>
                <w:kern w:val="0"/>
                <w:sz w:val="20"/>
                <w:highlight w:val="none"/>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2655" w:type="dxa"/>
            <w:gridSpan w:val="2"/>
            <w:shd w:val="clear" w:color="auto" w:fill="auto"/>
          </w:tcPr>
          <w:p>
            <w:pPr>
              <w:autoSpaceDE w:val="0"/>
              <w:autoSpaceDN w:val="0"/>
              <w:spacing w:before="6"/>
              <w:jc w:val="left"/>
              <w:rPr>
                <w:rFonts w:ascii="黑体" w:hAnsi="宋体" w:cs="宋体"/>
                <w:color w:val="auto"/>
                <w:kern w:val="0"/>
                <w:sz w:val="16"/>
                <w:highlight w:val="none"/>
                <w:lang w:val="zh-CN" w:bidi="zh-CN"/>
              </w:rPr>
            </w:pPr>
          </w:p>
          <w:p>
            <w:pPr>
              <w:autoSpaceDE w:val="0"/>
              <w:autoSpaceDN w:val="0"/>
              <w:ind w:left="360" w:right="347"/>
              <w:jc w:val="center"/>
              <w:rPr>
                <w:rFonts w:cs="宋体"/>
                <w:color w:val="auto"/>
                <w:kern w:val="0"/>
                <w:highlight w:val="none"/>
                <w:lang w:val="zh-CN" w:bidi="zh-CN"/>
              </w:rPr>
            </w:pPr>
            <w:r>
              <w:rPr>
                <w:rFonts w:cs="宋体"/>
                <w:color w:val="auto"/>
                <w:kern w:val="0"/>
                <w:highlight w:val="none"/>
                <w:lang w:val="zh-CN" w:bidi="zh-CN"/>
              </w:rPr>
              <w:t>……</w:t>
            </w:r>
          </w:p>
        </w:tc>
        <w:tc>
          <w:tcPr>
            <w:tcW w:w="1545" w:type="dxa"/>
            <w:shd w:val="clear" w:color="auto" w:fill="auto"/>
          </w:tcPr>
          <w:p>
            <w:pPr>
              <w:autoSpaceDE w:val="0"/>
              <w:autoSpaceDN w:val="0"/>
              <w:jc w:val="left"/>
              <w:rPr>
                <w:rFonts w:hAnsi="宋体" w:cs="宋体"/>
                <w:color w:val="auto"/>
                <w:kern w:val="0"/>
                <w:sz w:val="20"/>
                <w:highlight w:val="none"/>
                <w:lang w:val="zh-CN" w:bidi="zh-CN"/>
              </w:rPr>
            </w:pPr>
          </w:p>
        </w:tc>
        <w:tc>
          <w:tcPr>
            <w:tcW w:w="1548" w:type="dxa"/>
            <w:shd w:val="clear" w:color="auto" w:fill="auto"/>
          </w:tcPr>
          <w:p>
            <w:pPr>
              <w:autoSpaceDE w:val="0"/>
              <w:autoSpaceDN w:val="0"/>
              <w:jc w:val="left"/>
              <w:rPr>
                <w:rFonts w:hAnsi="宋体" w:cs="宋体"/>
                <w:color w:val="auto"/>
                <w:kern w:val="0"/>
                <w:sz w:val="20"/>
                <w:highlight w:val="none"/>
                <w:lang w:val="zh-CN" w:bidi="zh-CN"/>
              </w:rPr>
            </w:pPr>
          </w:p>
        </w:tc>
        <w:tc>
          <w:tcPr>
            <w:tcW w:w="1548" w:type="dxa"/>
            <w:shd w:val="clear" w:color="auto" w:fill="auto"/>
          </w:tcPr>
          <w:p>
            <w:pPr>
              <w:autoSpaceDE w:val="0"/>
              <w:autoSpaceDN w:val="0"/>
              <w:jc w:val="left"/>
              <w:rPr>
                <w:rFonts w:hAnsi="宋体" w:cs="宋体"/>
                <w:color w:val="auto"/>
                <w:kern w:val="0"/>
                <w:sz w:val="20"/>
                <w:highlight w:val="none"/>
                <w:lang w:val="zh-CN" w:bidi="zh-CN"/>
              </w:rPr>
            </w:pPr>
          </w:p>
        </w:tc>
        <w:tc>
          <w:tcPr>
            <w:tcW w:w="1547" w:type="dxa"/>
            <w:shd w:val="clear" w:color="auto" w:fill="auto"/>
          </w:tcPr>
          <w:p>
            <w:pPr>
              <w:autoSpaceDE w:val="0"/>
              <w:autoSpaceDN w:val="0"/>
              <w:jc w:val="left"/>
              <w:rPr>
                <w:rFonts w:hAnsi="宋体" w:cs="宋体"/>
                <w:color w:val="auto"/>
                <w:kern w:val="0"/>
                <w:sz w:val="20"/>
                <w:highlight w:val="none"/>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2655" w:type="dxa"/>
            <w:gridSpan w:val="2"/>
            <w:shd w:val="clear" w:color="auto" w:fill="auto"/>
          </w:tcPr>
          <w:p>
            <w:pPr>
              <w:autoSpaceDE w:val="0"/>
              <w:autoSpaceDN w:val="0"/>
              <w:spacing w:before="6"/>
              <w:jc w:val="left"/>
              <w:rPr>
                <w:rFonts w:ascii="黑体" w:hAnsi="宋体" w:cs="宋体"/>
                <w:color w:val="auto"/>
                <w:kern w:val="0"/>
                <w:sz w:val="16"/>
                <w:highlight w:val="none"/>
                <w:lang w:val="zh-CN" w:bidi="zh-CN"/>
              </w:rPr>
            </w:pPr>
          </w:p>
          <w:p>
            <w:pPr>
              <w:autoSpaceDE w:val="0"/>
              <w:autoSpaceDN w:val="0"/>
              <w:spacing w:before="1"/>
              <w:ind w:left="360" w:right="347"/>
              <w:jc w:val="center"/>
              <w:rPr>
                <w:rFonts w:cs="宋体"/>
                <w:color w:val="auto"/>
                <w:kern w:val="0"/>
                <w:highlight w:val="none"/>
                <w:lang w:val="zh-CN" w:bidi="zh-CN"/>
              </w:rPr>
            </w:pPr>
            <w:r>
              <w:rPr>
                <w:rFonts w:cs="宋体"/>
                <w:color w:val="auto"/>
                <w:kern w:val="0"/>
                <w:highlight w:val="none"/>
                <w:lang w:val="zh-CN" w:bidi="zh-CN"/>
              </w:rPr>
              <w:t>……</w:t>
            </w:r>
          </w:p>
        </w:tc>
        <w:tc>
          <w:tcPr>
            <w:tcW w:w="1545" w:type="dxa"/>
            <w:shd w:val="clear" w:color="auto" w:fill="auto"/>
          </w:tcPr>
          <w:p>
            <w:pPr>
              <w:autoSpaceDE w:val="0"/>
              <w:autoSpaceDN w:val="0"/>
              <w:jc w:val="left"/>
              <w:rPr>
                <w:rFonts w:hAnsi="宋体" w:cs="宋体"/>
                <w:color w:val="auto"/>
                <w:kern w:val="0"/>
                <w:sz w:val="20"/>
                <w:highlight w:val="none"/>
                <w:lang w:val="zh-CN" w:bidi="zh-CN"/>
              </w:rPr>
            </w:pPr>
          </w:p>
        </w:tc>
        <w:tc>
          <w:tcPr>
            <w:tcW w:w="1548" w:type="dxa"/>
            <w:shd w:val="clear" w:color="auto" w:fill="auto"/>
          </w:tcPr>
          <w:p>
            <w:pPr>
              <w:autoSpaceDE w:val="0"/>
              <w:autoSpaceDN w:val="0"/>
              <w:jc w:val="left"/>
              <w:rPr>
                <w:rFonts w:hAnsi="宋体" w:cs="宋体"/>
                <w:color w:val="auto"/>
                <w:kern w:val="0"/>
                <w:sz w:val="20"/>
                <w:highlight w:val="none"/>
                <w:lang w:val="zh-CN" w:bidi="zh-CN"/>
              </w:rPr>
            </w:pPr>
          </w:p>
        </w:tc>
        <w:tc>
          <w:tcPr>
            <w:tcW w:w="1548" w:type="dxa"/>
            <w:shd w:val="clear" w:color="auto" w:fill="auto"/>
          </w:tcPr>
          <w:p>
            <w:pPr>
              <w:autoSpaceDE w:val="0"/>
              <w:autoSpaceDN w:val="0"/>
              <w:jc w:val="left"/>
              <w:rPr>
                <w:rFonts w:hAnsi="宋体" w:cs="宋体"/>
                <w:color w:val="auto"/>
                <w:kern w:val="0"/>
                <w:sz w:val="20"/>
                <w:highlight w:val="none"/>
                <w:lang w:val="zh-CN" w:bidi="zh-CN"/>
              </w:rPr>
            </w:pPr>
          </w:p>
        </w:tc>
        <w:tc>
          <w:tcPr>
            <w:tcW w:w="1547" w:type="dxa"/>
            <w:shd w:val="clear" w:color="auto" w:fill="auto"/>
          </w:tcPr>
          <w:p>
            <w:pPr>
              <w:autoSpaceDE w:val="0"/>
              <w:autoSpaceDN w:val="0"/>
              <w:jc w:val="left"/>
              <w:rPr>
                <w:rFonts w:hAnsi="宋体" w:cs="宋体"/>
                <w:color w:val="auto"/>
                <w:kern w:val="0"/>
                <w:sz w:val="20"/>
                <w:highlight w:val="none"/>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2655" w:type="dxa"/>
            <w:gridSpan w:val="2"/>
            <w:shd w:val="clear" w:color="auto" w:fill="auto"/>
          </w:tcPr>
          <w:p>
            <w:pPr>
              <w:autoSpaceDE w:val="0"/>
              <w:autoSpaceDN w:val="0"/>
              <w:jc w:val="left"/>
              <w:rPr>
                <w:rFonts w:hAnsi="宋体" w:cs="宋体"/>
                <w:color w:val="auto"/>
                <w:kern w:val="0"/>
                <w:sz w:val="20"/>
                <w:highlight w:val="none"/>
                <w:lang w:val="zh-CN" w:bidi="zh-CN"/>
              </w:rPr>
            </w:pPr>
          </w:p>
        </w:tc>
        <w:tc>
          <w:tcPr>
            <w:tcW w:w="1545" w:type="dxa"/>
            <w:shd w:val="clear" w:color="auto" w:fill="auto"/>
          </w:tcPr>
          <w:p>
            <w:pPr>
              <w:autoSpaceDE w:val="0"/>
              <w:autoSpaceDN w:val="0"/>
              <w:jc w:val="left"/>
              <w:rPr>
                <w:rFonts w:hAnsi="宋体" w:cs="宋体"/>
                <w:color w:val="auto"/>
                <w:kern w:val="0"/>
                <w:sz w:val="20"/>
                <w:highlight w:val="none"/>
                <w:lang w:val="zh-CN" w:bidi="zh-CN"/>
              </w:rPr>
            </w:pPr>
          </w:p>
        </w:tc>
        <w:tc>
          <w:tcPr>
            <w:tcW w:w="1548" w:type="dxa"/>
            <w:shd w:val="clear" w:color="auto" w:fill="auto"/>
          </w:tcPr>
          <w:p>
            <w:pPr>
              <w:autoSpaceDE w:val="0"/>
              <w:autoSpaceDN w:val="0"/>
              <w:jc w:val="left"/>
              <w:rPr>
                <w:rFonts w:hAnsi="宋体" w:cs="宋体"/>
                <w:color w:val="auto"/>
                <w:kern w:val="0"/>
                <w:sz w:val="20"/>
                <w:highlight w:val="none"/>
                <w:lang w:val="zh-CN" w:bidi="zh-CN"/>
              </w:rPr>
            </w:pPr>
          </w:p>
        </w:tc>
        <w:tc>
          <w:tcPr>
            <w:tcW w:w="1548" w:type="dxa"/>
            <w:shd w:val="clear" w:color="auto" w:fill="auto"/>
          </w:tcPr>
          <w:p>
            <w:pPr>
              <w:autoSpaceDE w:val="0"/>
              <w:autoSpaceDN w:val="0"/>
              <w:jc w:val="left"/>
              <w:rPr>
                <w:rFonts w:hAnsi="宋体" w:cs="宋体"/>
                <w:color w:val="auto"/>
                <w:kern w:val="0"/>
                <w:sz w:val="20"/>
                <w:highlight w:val="none"/>
                <w:lang w:val="zh-CN" w:bidi="zh-CN"/>
              </w:rPr>
            </w:pPr>
          </w:p>
        </w:tc>
        <w:tc>
          <w:tcPr>
            <w:tcW w:w="1547" w:type="dxa"/>
            <w:shd w:val="clear" w:color="auto" w:fill="auto"/>
          </w:tcPr>
          <w:p>
            <w:pPr>
              <w:autoSpaceDE w:val="0"/>
              <w:autoSpaceDN w:val="0"/>
              <w:jc w:val="left"/>
              <w:rPr>
                <w:rFonts w:hAnsi="宋体" w:cs="宋体"/>
                <w:color w:val="auto"/>
                <w:kern w:val="0"/>
                <w:sz w:val="20"/>
                <w:highlight w:val="none"/>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2655" w:type="dxa"/>
            <w:gridSpan w:val="2"/>
            <w:shd w:val="clear" w:color="auto" w:fill="auto"/>
          </w:tcPr>
          <w:p>
            <w:pPr>
              <w:autoSpaceDE w:val="0"/>
              <w:autoSpaceDN w:val="0"/>
              <w:spacing w:before="8"/>
              <w:jc w:val="left"/>
              <w:rPr>
                <w:rFonts w:ascii="黑体" w:hAnsi="宋体" w:cs="宋体"/>
                <w:color w:val="auto"/>
                <w:kern w:val="0"/>
                <w:sz w:val="14"/>
                <w:highlight w:val="none"/>
                <w:lang w:val="zh-CN" w:bidi="zh-CN"/>
              </w:rPr>
            </w:pPr>
          </w:p>
          <w:p>
            <w:pPr>
              <w:autoSpaceDE w:val="0"/>
              <w:autoSpaceDN w:val="0"/>
              <w:ind w:left="801"/>
              <w:jc w:val="left"/>
              <w:rPr>
                <w:rFonts w:ascii="宋体" w:hAnsi="宋体" w:cs="宋体"/>
                <w:color w:val="auto"/>
                <w:kern w:val="0"/>
                <w:highlight w:val="none"/>
                <w:lang w:val="zh-CN" w:bidi="zh-CN"/>
              </w:rPr>
            </w:pPr>
            <w:r>
              <w:rPr>
                <w:rFonts w:ascii="宋体" w:hAnsi="宋体" w:cs="宋体"/>
                <w:color w:val="auto"/>
                <w:kern w:val="0"/>
                <w:highlight w:val="none"/>
                <w:lang w:val="zh-CN" w:bidi="zh-CN"/>
              </w:rPr>
              <w:t>缺陷责任期</w:t>
            </w:r>
          </w:p>
        </w:tc>
        <w:tc>
          <w:tcPr>
            <w:tcW w:w="1545" w:type="dxa"/>
            <w:shd w:val="clear" w:color="auto" w:fill="auto"/>
          </w:tcPr>
          <w:p>
            <w:pPr>
              <w:autoSpaceDE w:val="0"/>
              <w:autoSpaceDN w:val="0"/>
              <w:jc w:val="left"/>
              <w:rPr>
                <w:rFonts w:hAnsi="宋体" w:cs="宋体"/>
                <w:color w:val="auto"/>
                <w:kern w:val="0"/>
                <w:sz w:val="20"/>
                <w:highlight w:val="none"/>
                <w:lang w:val="zh-CN" w:bidi="zh-CN"/>
              </w:rPr>
            </w:pPr>
          </w:p>
        </w:tc>
        <w:tc>
          <w:tcPr>
            <w:tcW w:w="1548" w:type="dxa"/>
            <w:shd w:val="clear" w:color="auto" w:fill="auto"/>
          </w:tcPr>
          <w:p>
            <w:pPr>
              <w:autoSpaceDE w:val="0"/>
              <w:autoSpaceDN w:val="0"/>
              <w:jc w:val="left"/>
              <w:rPr>
                <w:rFonts w:hAnsi="宋体" w:cs="宋体"/>
                <w:color w:val="auto"/>
                <w:kern w:val="0"/>
                <w:sz w:val="20"/>
                <w:highlight w:val="none"/>
                <w:lang w:val="zh-CN" w:bidi="zh-CN"/>
              </w:rPr>
            </w:pPr>
          </w:p>
        </w:tc>
        <w:tc>
          <w:tcPr>
            <w:tcW w:w="1548" w:type="dxa"/>
            <w:shd w:val="clear" w:color="auto" w:fill="auto"/>
          </w:tcPr>
          <w:p>
            <w:pPr>
              <w:autoSpaceDE w:val="0"/>
              <w:autoSpaceDN w:val="0"/>
              <w:jc w:val="left"/>
              <w:rPr>
                <w:rFonts w:hAnsi="宋体" w:cs="宋体"/>
                <w:color w:val="auto"/>
                <w:kern w:val="0"/>
                <w:sz w:val="20"/>
                <w:highlight w:val="none"/>
                <w:lang w:val="zh-CN" w:bidi="zh-CN"/>
              </w:rPr>
            </w:pPr>
          </w:p>
        </w:tc>
        <w:tc>
          <w:tcPr>
            <w:tcW w:w="1547" w:type="dxa"/>
            <w:shd w:val="clear" w:color="auto" w:fill="auto"/>
          </w:tcPr>
          <w:p>
            <w:pPr>
              <w:autoSpaceDE w:val="0"/>
              <w:autoSpaceDN w:val="0"/>
              <w:jc w:val="left"/>
              <w:rPr>
                <w:rFonts w:hAnsi="宋体" w:cs="宋体"/>
                <w:color w:val="auto"/>
                <w:kern w:val="0"/>
                <w:sz w:val="20"/>
                <w:highlight w:val="none"/>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7" w:hRule="atLeast"/>
        </w:trPr>
        <w:tc>
          <w:tcPr>
            <w:tcW w:w="2655" w:type="dxa"/>
            <w:gridSpan w:val="2"/>
            <w:shd w:val="clear" w:color="auto" w:fill="auto"/>
          </w:tcPr>
          <w:p>
            <w:pPr>
              <w:autoSpaceDE w:val="0"/>
              <w:autoSpaceDN w:val="0"/>
              <w:spacing w:before="8"/>
              <w:jc w:val="left"/>
              <w:rPr>
                <w:rFonts w:ascii="黑体" w:hAnsi="宋体" w:cs="宋体"/>
                <w:color w:val="auto"/>
                <w:kern w:val="0"/>
                <w:sz w:val="14"/>
                <w:highlight w:val="none"/>
                <w:lang w:val="zh-CN" w:bidi="zh-CN"/>
              </w:rPr>
            </w:pPr>
          </w:p>
          <w:p>
            <w:pPr>
              <w:tabs>
                <w:tab w:val="left" w:pos="1643"/>
              </w:tabs>
              <w:autoSpaceDE w:val="0"/>
              <w:autoSpaceDN w:val="0"/>
              <w:ind w:left="801"/>
              <w:jc w:val="left"/>
              <w:rPr>
                <w:rFonts w:ascii="宋体" w:hAnsi="宋体" w:cs="宋体"/>
                <w:color w:val="auto"/>
                <w:kern w:val="0"/>
                <w:highlight w:val="none"/>
                <w:lang w:val="zh-CN" w:bidi="zh-CN"/>
              </w:rPr>
            </w:pPr>
            <w:r>
              <w:rPr>
                <w:rFonts w:ascii="宋体" w:hAnsi="宋体" w:cs="宋体"/>
                <w:color w:val="auto"/>
                <w:kern w:val="0"/>
                <w:highlight w:val="none"/>
                <w:lang w:val="zh-CN" w:bidi="zh-CN"/>
              </w:rPr>
              <w:t>小</w:t>
            </w:r>
            <w:r>
              <w:rPr>
                <w:rFonts w:ascii="宋体" w:hAnsi="宋体" w:cs="宋体"/>
                <w:color w:val="auto"/>
                <w:kern w:val="0"/>
                <w:highlight w:val="none"/>
                <w:lang w:val="zh-CN" w:bidi="zh-CN"/>
              </w:rPr>
              <w:tab/>
            </w:r>
            <w:r>
              <w:rPr>
                <w:rFonts w:ascii="宋体" w:hAnsi="宋体" w:cs="宋体"/>
                <w:color w:val="auto"/>
                <w:kern w:val="0"/>
                <w:highlight w:val="none"/>
                <w:lang w:val="zh-CN" w:bidi="zh-CN"/>
              </w:rPr>
              <w:t>计</w:t>
            </w:r>
          </w:p>
        </w:tc>
        <w:tc>
          <w:tcPr>
            <w:tcW w:w="1545" w:type="dxa"/>
            <w:shd w:val="clear" w:color="auto" w:fill="auto"/>
          </w:tcPr>
          <w:p>
            <w:pPr>
              <w:autoSpaceDE w:val="0"/>
              <w:autoSpaceDN w:val="0"/>
              <w:jc w:val="left"/>
              <w:rPr>
                <w:rFonts w:hAnsi="宋体" w:cs="宋体"/>
                <w:color w:val="auto"/>
                <w:kern w:val="0"/>
                <w:sz w:val="20"/>
                <w:highlight w:val="none"/>
                <w:lang w:val="zh-CN" w:bidi="zh-CN"/>
              </w:rPr>
            </w:pPr>
          </w:p>
        </w:tc>
        <w:tc>
          <w:tcPr>
            <w:tcW w:w="1548" w:type="dxa"/>
            <w:shd w:val="clear" w:color="auto" w:fill="auto"/>
          </w:tcPr>
          <w:p>
            <w:pPr>
              <w:autoSpaceDE w:val="0"/>
              <w:autoSpaceDN w:val="0"/>
              <w:spacing w:before="6"/>
              <w:jc w:val="left"/>
              <w:rPr>
                <w:rFonts w:ascii="黑体" w:hAnsi="宋体" w:cs="宋体"/>
                <w:color w:val="auto"/>
                <w:kern w:val="0"/>
                <w:sz w:val="16"/>
                <w:highlight w:val="none"/>
                <w:lang w:val="zh-CN" w:bidi="zh-CN"/>
              </w:rPr>
            </w:pPr>
          </w:p>
          <w:p>
            <w:pPr>
              <w:autoSpaceDE w:val="0"/>
              <w:autoSpaceDN w:val="0"/>
              <w:ind w:left="456" w:right="439"/>
              <w:jc w:val="center"/>
              <w:rPr>
                <w:rFonts w:hAnsi="宋体" w:cs="宋体"/>
                <w:color w:val="auto"/>
                <w:kern w:val="0"/>
                <w:highlight w:val="none"/>
                <w:lang w:val="zh-CN" w:bidi="zh-CN"/>
              </w:rPr>
            </w:pPr>
            <w:r>
              <w:rPr>
                <w:rFonts w:hAnsi="宋体" w:cs="宋体"/>
                <w:color w:val="auto"/>
                <w:kern w:val="0"/>
                <w:highlight w:val="none"/>
                <w:lang w:val="zh-CN" w:bidi="zh-CN"/>
              </w:rPr>
              <w:t>100.00</w:t>
            </w:r>
          </w:p>
        </w:tc>
        <w:tc>
          <w:tcPr>
            <w:tcW w:w="1548" w:type="dxa"/>
            <w:shd w:val="clear" w:color="auto" w:fill="auto"/>
          </w:tcPr>
          <w:p>
            <w:pPr>
              <w:autoSpaceDE w:val="0"/>
              <w:autoSpaceDN w:val="0"/>
              <w:jc w:val="left"/>
              <w:rPr>
                <w:rFonts w:hAnsi="宋体" w:cs="宋体"/>
                <w:color w:val="auto"/>
                <w:kern w:val="0"/>
                <w:sz w:val="20"/>
                <w:highlight w:val="none"/>
                <w:lang w:val="zh-CN" w:bidi="zh-CN"/>
              </w:rPr>
            </w:pPr>
          </w:p>
        </w:tc>
        <w:tc>
          <w:tcPr>
            <w:tcW w:w="1547" w:type="dxa"/>
            <w:shd w:val="clear" w:color="auto" w:fill="auto"/>
          </w:tcPr>
          <w:p>
            <w:pPr>
              <w:autoSpaceDE w:val="0"/>
              <w:autoSpaceDN w:val="0"/>
              <w:jc w:val="left"/>
              <w:rPr>
                <w:rFonts w:hAnsi="宋体" w:cs="宋体"/>
                <w:color w:val="auto"/>
                <w:kern w:val="0"/>
                <w:sz w:val="20"/>
                <w:highlight w:val="none"/>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8843" w:type="dxa"/>
            <w:gridSpan w:val="6"/>
            <w:shd w:val="clear" w:color="auto" w:fill="auto"/>
          </w:tcPr>
          <w:p>
            <w:pPr>
              <w:autoSpaceDE w:val="0"/>
              <w:autoSpaceDN w:val="0"/>
              <w:spacing w:before="11"/>
              <w:jc w:val="left"/>
              <w:rPr>
                <w:rFonts w:ascii="黑体" w:hAnsi="宋体" w:cs="宋体"/>
                <w:color w:val="auto"/>
                <w:kern w:val="0"/>
                <w:sz w:val="14"/>
                <w:highlight w:val="none"/>
                <w:lang w:val="zh-CN" w:bidi="zh-CN"/>
              </w:rPr>
            </w:pPr>
          </w:p>
          <w:p>
            <w:pPr>
              <w:autoSpaceDE w:val="0"/>
              <w:autoSpaceDN w:val="0"/>
              <w:ind w:left="28"/>
              <w:jc w:val="left"/>
              <w:rPr>
                <w:rFonts w:ascii="宋体" w:hAnsi="宋体" w:cs="宋体"/>
                <w:color w:val="auto"/>
                <w:kern w:val="0"/>
                <w:highlight w:val="none"/>
                <w:lang w:val="zh-CN" w:bidi="zh-CN"/>
              </w:rPr>
            </w:pPr>
            <w:r>
              <w:rPr>
                <w:rFonts w:ascii="宋体" w:hAnsi="宋体" w:cs="宋体"/>
                <w:color w:val="auto"/>
                <w:kern w:val="0"/>
                <w:highlight w:val="none"/>
                <w:lang w:val="zh-CN" w:bidi="zh-CN"/>
              </w:rPr>
              <w:t>投标价：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63" w:hRule="atLeast"/>
        </w:trPr>
        <w:tc>
          <w:tcPr>
            <w:tcW w:w="629" w:type="dxa"/>
            <w:shd w:val="clear" w:color="auto" w:fill="auto"/>
          </w:tcPr>
          <w:p>
            <w:pPr>
              <w:autoSpaceDE w:val="0"/>
              <w:autoSpaceDN w:val="0"/>
              <w:jc w:val="left"/>
              <w:rPr>
                <w:rFonts w:ascii="黑体" w:hAnsi="宋体" w:cs="宋体"/>
                <w:color w:val="auto"/>
                <w:kern w:val="0"/>
                <w:sz w:val="20"/>
                <w:highlight w:val="none"/>
                <w:lang w:val="zh-CN" w:bidi="zh-CN"/>
              </w:rPr>
            </w:pPr>
          </w:p>
          <w:p>
            <w:pPr>
              <w:autoSpaceDE w:val="0"/>
              <w:autoSpaceDN w:val="0"/>
              <w:jc w:val="left"/>
              <w:rPr>
                <w:rFonts w:ascii="黑体" w:hAnsi="宋体" w:cs="宋体"/>
                <w:color w:val="auto"/>
                <w:kern w:val="0"/>
                <w:sz w:val="20"/>
                <w:highlight w:val="none"/>
                <w:lang w:val="zh-CN" w:bidi="zh-CN"/>
              </w:rPr>
            </w:pPr>
          </w:p>
          <w:p>
            <w:pPr>
              <w:autoSpaceDE w:val="0"/>
              <w:autoSpaceDN w:val="0"/>
              <w:spacing w:before="7"/>
              <w:jc w:val="left"/>
              <w:rPr>
                <w:rFonts w:ascii="黑体" w:hAnsi="宋体" w:cs="宋体"/>
                <w:color w:val="auto"/>
                <w:kern w:val="0"/>
                <w:sz w:val="15"/>
                <w:highlight w:val="none"/>
                <w:lang w:val="zh-CN" w:bidi="zh-CN"/>
              </w:rPr>
            </w:pPr>
          </w:p>
          <w:p>
            <w:pPr>
              <w:autoSpaceDE w:val="0"/>
              <w:autoSpaceDN w:val="0"/>
              <w:ind w:left="208"/>
              <w:jc w:val="left"/>
              <w:rPr>
                <w:rFonts w:ascii="宋体" w:hAnsi="宋体" w:cs="宋体"/>
                <w:color w:val="auto"/>
                <w:kern w:val="0"/>
                <w:highlight w:val="none"/>
                <w:lang w:val="zh-CN" w:bidi="zh-CN"/>
              </w:rPr>
            </w:pPr>
            <w:r>
              <w:rPr>
                <w:rFonts w:ascii="宋体" w:hAnsi="宋体" w:cs="宋体"/>
                <w:color w:val="auto"/>
                <w:kern w:val="0"/>
                <w:highlight w:val="none"/>
                <w:lang w:val="zh-CN" w:bidi="zh-CN"/>
              </w:rPr>
              <w:t>说</w:t>
            </w:r>
          </w:p>
          <w:p>
            <w:pPr>
              <w:autoSpaceDE w:val="0"/>
              <w:autoSpaceDN w:val="0"/>
              <w:jc w:val="left"/>
              <w:rPr>
                <w:rFonts w:ascii="黑体" w:hAnsi="宋体" w:cs="宋体"/>
                <w:color w:val="auto"/>
                <w:kern w:val="0"/>
                <w:sz w:val="20"/>
                <w:highlight w:val="none"/>
                <w:lang w:val="zh-CN" w:bidi="zh-CN"/>
              </w:rPr>
            </w:pPr>
          </w:p>
          <w:p>
            <w:pPr>
              <w:autoSpaceDE w:val="0"/>
              <w:autoSpaceDN w:val="0"/>
              <w:jc w:val="left"/>
              <w:rPr>
                <w:rFonts w:ascii="黑体" w:hAnsi="宋体" w:cs="宋体"/>
                <w:color w:val="auto"/>
                <w:kern w:val="0"/>
                <w:sz w:val="20"/>
                <w:highlight w:val="none"/>
                <w:lang w:val="zh-CN" w:bidi="zh-CN"/>
              </w:rPr>
            </w:pPr>
          </w:p>
          <w:p>
            <w:pPr>
              <w:autoSpaceDE w:val="0"/>
              <w:autoSpaceDN w:val="0"/>
              <w:jc w:val="left"/>
              <w:rPr>
                <w:rFonts w:ascii="黑体" w:hAnsi="宋体" w:cs="宋体"/>
                <w:color w:val="auto"/>
                <w:kern w:val="0"/>
                <w:sz w:val="20"/>
                <w:highlight w:val="none"/>
                <w:lang w:val="zh-CN" w:bidi="zh-CN"/>
              </w:rPr>
            </w:pPr>
          </w:p>
          <w:p>
            <w:pPr>
              <w:autoSpaceDE w:val="0"/>
              <w:autoSpaceDN w:val="0"/>
              <w:jc w:val="left"/>
              <w:rPr>
                <w:rFonts w:ascii="黑体" w:hAnsi="宋体" w:cs="宋体"/>
                <w:color w:val="auto"/>
                <w:kern w:val="0"/>
                <w:sz w:val="20"/>
                <w:highlight w:val="none"/>
                <w:lang w:val="zh-CN" w:bidi="zh-CN"/>
              </w:rPr>
            </w:pPr>
          </w:p>
          <w:p>
            <w:pPr>
              <w:autoSpaceDE w:val="0"/>
              <w:autoSpaceDN w:val="0"/>
              <w:spacing w:before="9"/>
              <w:jc w:val="left"/>
              <w:rPr>
                <w:rFonts w:ascii="黑体" w:hAnsi="宋体" w:cs="宋体"/>
                <w:color w:val="auto"/>
                <w:kern w:val="0"/>
                <w:sz w:val="23"/>
                <w:highlight w:val="none"/>
                <w:lang w:val="zh-CN" w:bidi="zh-CN"/>
              </w:rPr>
            </w:pPr>
          </w:p>
          <w:p>
            <w:pPr>
              <w:autoSpaceDE w:val="0"/>
              <w:autoSpaceDN w:val="0"/>
              <w:spacing w:before="1"/>
              <w:ind w:left="208"/>
              <w:jc w:val="left"/>
              <w:rPr>
                <w:rFonts w:ascii="宋体" w:hAnsi="宋体" w:cs="宋体"/>
                <w:color w:val="auto"/>
                <w:kern w:val="0"/>
                <w:highlight w:val="none"/>
                <w:lang w:val="zh-CN" w:bidi="zh-CN"/>
              </w:rPr>
            </w:pPr>
            <w:r>
              <w:rPr>
                <w:rFonts w:ascii="宋体" w:hAnsi="宋体" w:cs="宋体"/>
                <w:color w:val="auto"/>
                <w:kern w:val="0"/>
                <w:highlight w:val="none"/>
                <w:lang w:val="zh-CN" w:bidi="zh-CN"/>
              </w:rPr>
              <w:t>明</w:t>
            </w:r>
          </w:p>
        </w:tc>
        <w:tc>
          <w:tcPr>
            <w:tcW w:w="8214" w:type="dxa"/>
            <w:gridSpan w:val="5"/>
            <w:shd w:val="clear" w:color="auto" w:fill="auto"/>
          </w:tcPr>
          <w:p>
            <w:pPr>
              <w:autoSpaceDE w:val="0"/>
              <w:autoSpaceDN w:val="0"/>
              <w:jc w:val="left"/>
              <w:rPr>
                <w:rFonts w:hAnsi="宋体" w:cs="宋体"/>
                <w:color w:val="auto"/>
                <w:kern w:val="0"/>
                <w:sz w:val="20"/>
                <w:highlight w:val="none"/>
                <w:lang w:val="zh-CN" w:bidi="zh-CN"/>
              </w:rPr>
            </w:pPr>
          </w:p>
        </w:tc>
      </w:tr>
    </w:tbl>
    <w:p>
      <w:pPr>
        <w:autoSpaceDE w:val="0"/>
        <w:autoSpaceDN w:val="0"/>
        <w:spacing w:before="68"/>
        <w:ind w:left="475"/>
        <w:jc w:val="left"/>
        <w:rPr>
          <w:rFonts w:ascii="宋体" w:hAnsi="宋体" w:cs="宋体"/>
          <w:color w:val="auto"/>
          <w:kern w:val="0"/>
          <w:highlight w:val="none"/>
          <w:lang w:val="zh-CN" w:bidi="zh-CN"/>
        </w:rPr>
      </w:pPr>
      <w:r>
        <w:rPr>
          <w:rFonts w:ascii="宋体" w:hAnsi="宋体" w:cs="宋体"/>
          <w:color w:val="auto"/>
          <w:kern w:val="0"/>
          <w:highlight w:val="none"/>
          <w:lang w:val="zh-CN" w:bidi="zh-CN"/>
        </w:rPr>
        <w:t>注：</w:t>
      </w:r>
      <w:r>
        <w:rPr>
          <w:rFonts w:hAnsi="宋体" w:eastAsia="Times New Roman" w:cs="宋体"/>
          <w:color w:val="auto"/>
          <w:kern w:val="0"/>
          <w:highlight w:val="none"/>
          <w:lang w:val="zh-CN" w:bidi="zh-CN"/>
        </w:rPr>
        <w:t>1.</w:t>
      </w:r>
      <w:r>
        <w:rPr>
          <w:rFonts w:ascii="宋体" w:hAnsi="宋体" w:cs="宋体"/>
          <w:color w:val="auto"/>
          <w:kern w:val="0"/>
          <w:highlight w:val="none"/>
          <w:lang w:val="zh-CN" w:bidi="zh-CN"/>
        </w:rPr>
        <w:t>投标人可按工程进度估算并填写本表。</w:t>
      </w:r>
    </w:p>
    <w:p>
      <w:pPr>
        <w:autoSpaceDE w:val="0"/>
        <w:autoSpaceDN w:val="0"/>
        <w:spacing w:before="72" w:line="304" w:lineRule="auto"/>
        <w:ind w:left="1130" w:right="108" w:hanging="267"/>
        <w:jc w:val="left"/>
        <w:rPr>
          <w:rFonts w:ascii="宋体" w:hAnsi="宋体" w:cs="宋体"/>
          <w:color w:val="auto"/>
          <w:kern w:val="0"/>
          <w:highlight w:val="none"/>
          <w:lang w:val="zh-CN" w:bidi="zh-CN"/>
        </w:rPr>
      </w:pPr>
      <w:r>
        <w:rPr>
          <w:rFonts w:hAnsi="宋体" w:eastAsia="Times New Roman" w:cs="宋体"/>
          <w:color w:val="auto"/>
          <w:kern w:val="0"/>
          <w:highlight w:val="none"/>
          <w:lang w:val="zh-CN" w:bidi="zh-CN"/>
        </w:rPr>
        <w:t>2.</w:t>
      </w:r>
      <w:r>
        <w:rPr>
          <w:rFonts w:ascii="宋体" w:hAnsi="宋体" w:cs="宋体"/>
          <w:color w:val="auto"/>
          <w:kern w:val="0"/>
          <w:highlight w:val="none"/>
          <w:lang w:val="zh-CN" w:bidi="zh-CN"/>
        </w:rPr>
        <w:t>用款额按所报单价和总额价估算，不包括价格调整和暂列金额、暂估价，但应考虑开工预付款的扣回以及签发付款证书后到实际支付的时间间隔。</w:t>
      </w:r>
    </w:p>
    <w:p>
      <w:pPr>
        <w:autoSpaceDE w:val="0"/>
        <w:autoSpaceDN w:val="0"/>
        <w:spacing w:line="304" w:lineRule="auto"/>
        <w:jc w:val="left"/>
        <w:rPr>
          <w:rFonts w:ascii="宋体" w:hAnsi="宋体" w:cs="宋体"/>
          <w:color w:val="auto"/>
          <w:kern w:val="0"/>
          <w:highlight w:val="none"/>
          <w:lang w:val="zh-CN" w:bidi="zh-CN"/>
        </w:rPr>
        <w:sectPr>
          <w:pgSz w:w="11905" w:h="16838"/>
          <w:pgMar w:top="1440" w:right="1361" w:bottom="1440" w:left="1361" w:header="720" w:footer="907" w:gutter="0"/>
          <w:pgNumType w:fmt="decimal"/>
          <w:cols w:space="720" w:num="1"/>
        </w:sectPr>
      </w:pPr>
    </w:p>
    <w:p>
      <w:pPr>
        <w:keepNext/>
        <w:keepLines/>
        <w:autoSpaceDE w:val="0"/>
        <w:autoSpaceDN w:val="0"/>
        <w:spacing w:before="240" w:beforeLines="100" w:after="360" w:afterLines="150" w:line="360" w:lineRule="exact"/>
        <w:jc w:val="center"/>
        <w:outlineLvl w:val="0"/>
        <w:rPr>
          <w:rFonts w:ascii="黑体" w:hAnsi="宋体" w:eastAsia="黑体" w:cs="宋体"/>
          <w:b/>
          <w:bCs/>
          <w:color w:val="auto"/>
          <w:kern w:val="44"/>
          <w:sz w:val="28"/>
          <w:szCs w:val="28"/>
          <w:highlight w:val="none"/>
          <w:lang w:val="zh-CN" w:bidi="zh-CN"/>
        </w:rPr>
      </w:pPr>
      <w:bookmarkStart w:id="530" w:name="_Toc706"/>
      <w:bookmarkStart w:id="531" w:name="_Toc30133_WPSOffice_Level1"/>
      <w:bookmarkStart w:id="532" w:name="_Toc16447_WPSOffice_Level1"/>
      <w:bookmarkStart w:id="533" w:name="_Toc6823_WPSOffice_Level1"/>
      <w:bookmarkStart w:id="534" w:name="_Toc19517_WPSOffice_Level1"/>
      <w:bookmarkStart w:id="535" w:name="_Toc6311_WPSOffice_Level1"/>
      <w:bookmarkStart w:id="536" w:name="_Toc15225_WPSOffice_Level1"/>
      <w:bookmarkStart w:id="537" w:name="_Toc17007_WPSOffice_Level1"/>
      <w:bookmarkStart w:id="538" w:name="_Toc14845"/>
      <w:r>
        <w:rPr>
          <w:rFonts w:hint="eastAsia" w:ascii="黑体" w:hAnsi="宋体" w:eastAsia="黑体" w:cs="宋体"/>
          <w:b/>
          <w:bCs/>
          <w:color w:val="auto"/>
          <w:kern w:val="44"/>
          <w:sz w:val="28"/>
          <w:szCs w:val="28"/>
          <w:highlight w:val="none"/>
          <w:lang w:val="zh-CN" w:bidi="zh-CN"/>
        </w:rPr>
        <w:t>六、需要补充其他内容</w:t>
      </w:r>
      <w:bookmarkEnd w:id="521"/>
      <w:bookmarkEnd w:id="522"/>
      <w:bookmarkEnd w:id="530"/>
      <w:bookmarkEnd w:id="531"/>
      <w:bookmarkEnd w:id="532"/>
      <w:bookmarkEnd w:id="533"/>
      <w:bookmarkEnd w:id="534"/>
      <w:bookmarkEnd w:id="535"/>
      <w:bookmarkEnd w:id="536"/>
      <w:bookmarkEnd w:id="537"/>
      <w:bookmarkEnd w:id="538"/>
    </w:p>
    <w:p>
      <w:pPr>
        <w:autoSpaceDE w:val="0"/>
        <w:autoSpaceDN w:val="0"/>
        <w:spacing w:line="360" w:lineRule="auto"/>
        <w:ind w:left="480"/>
        <w:jc w:val="left"/>
        <w:rPr>
          <w:rFonts w:ascii="宋体" w:hAnsi="宋体" w:cs="宋体"/>
          <w:b/>
          <w:color w:val="auto"/>
          <w:kern w:val="0"/>
          <w:sz w:val="24"/>
          <w:highlight w:val="none"/>
          <w:lang w:val="zh-CN" w:bidi="zh-CN"/>
        </w:rPr>
      </w:pPr>
      <w:r>
        <w:rPr>
          <w:rFonts w:hint="eastAsia" w:ascii="宋体" w:hAnsi="宋体" w:cs="宋体"/>
          <w:b/>
          <w:color w:val="auto"/>
          <w:kern w:val="0"/>
          <w:sz w:val="24"/>
          <w:highlight w:val="none"/>
          <w:lang w:val="zh-CN" w:bidi="zh-CN"/>
        </w:rPr>
        <w:t>1</w:t>
      </w:r>
      <w:r>
        <w:rPr>
          <w:rFonts w:ascii="宋体" w:hAnsi="宋体" w:cs="宋体"/>
          <w:b/>
          <w:color w:val="auto"/>
          <w:kern w:val="0"/>
          <w:sz w:val="24"/>
          <w:highlight w:val="none"/>
          <w:lang w:val="zh-CN" w:bidi="zh-CN"/>
        </w:rPr>
        <w:t>、投标人认为其它所需要补充的内容。</w:t>
      </w:r>
    </w:p>
    <w:p>
      <w:pPr>
        <w:autoSpaceDE w:val="0"/>
        <w:autoSpaceDN w:val="0"/>
        <w:spacing w:line="360" w:lineRule="auto"/>
        <w:ind w:firstLine="560" w:firstLineChars="200"/>
        <w:jc w:val="left"/>
        <w:rPr>
          <w:rFonts w:ascii="黑体" w:hAnsi="宋体" w:eastAsia="黑体" w:cs="宋体"/>
          <w:color w:val="auto"/>
          <w:kern w:val="0"/>
          <w:sz w:val="28"/>
          <w:szCs w:val="28"/>
          <w:highlight w:val="none"/>
          <w:lang w:val="zh-CN" w:bidi="zh-CN"/>
        </w:rPr>
      </w:pPr>
    </w:p>
    <w:p>
      <w:pPr>
        <w:autoSpaceDE w:val="0"/>
        <w:autoSpaceDN w:val="0"/>
        <w:spacing w:before="56"/>
        <w:ind w:right="181"/>
        <w:rPr>
          <w:rFonts w:ascii="宋体" w:hAnsi="宋体" w:cs="宋体"/>
          <w:color w:val="auto"/>
          <w:kern w:val="0"/>
          <w:sz w:val="22"/>
          <w:highlight w:val="none"/>
          <w:lang w:val="zh-CN" w:bidi="zh-CN"/>
        </w:rPr>
      </w:pPr>
    </w:p>
    <w:p>
      <w:pPr>
        <w:autoSpaceDE w:val="0"/>
        <w:autoSpaceDN w:val="0"/>
        <w:spacing w:before="56"/>
        <w:ind w:right="181"/>
        <w:rPr>
          <w:rFonts w:ascii="宋体" w:hAnsi="宋体" w:cs="宋体"/>
          <w:color w:val="auto"/>
          <w:kern w:val="0"/>
          <w:sz w:val="22"/>
          <w:highlight w:val="none"/>
          <w:lang w:val="zh-CN" w:bidi="zh-CN"/>
        </w:rPr>
      </w:pPr>
    </w:p>
    <w:p>
      <w:pPr>
        <w:autoSpaceDE w:val="0"/>
        <w:autoSpaceDN w:val="0"/>
        <w:spacing w:before="56"/>
        <w:ind w:right="181"/>
        <w:rPr>
          <w:rFonts w:ascii="宋体" w:hAnsi="宋体" w:cs="宋体"/>
          <w:color w:val="auto"/>
          <w:kern w:val="0"/>
          <w:sz w:val="22"/>
          <w:highlight w:val="none"/>
          <w:lang w:val="zh-CN" w:bidi="zh-CN"/>
        </w:rPr>
      </w:pPr>
    </w:p>
    <w:p>
      <w:pPr>
        <w:autoSpaceDE w:val="0"/>
        <w:autoSpaceDN w:val="0"/>
        <w:spacing w:before="56"/>
        <w:ind w:right="181"/>
        <w:rPr>
          <w:rFonts w:ascii="宋体" w:hAnsi="宋体" w:cs="宋体"/>
          <w:color w:val="auto"/>
          <w:kern w:val="0"/>
          <w:sz w:val="22"/>
          <w:highlight w:val="none"/>
          <w:lang w:val="zh-CN" w:bidi="zh-CN"/>
        </w:rPr>
      </w:pPr>
    </w:p>
    <w:p>
      <w:pPr>
        <w:autoSpaceDE w:val="0"/>
        <w:autoSpaceDN w:val="0"/>
        <w:spacing w:before="56"/>
        <w:ind w:right="181"/>
        <w:rPr>
          <w:rFonts w:ascii="宋体" w:hAnsi="宋体" w:cs="宋体"/>
          <w:color w:val="auto"/>
          <w:kern w:val="0"/>
          <w:sz w:val="22"/>
          <w:highlight w:val="none"/>
          <w:lang w:val="zh-CN" w:bidi="zh-CN"/>
        </w:rPr>
      </w:pPr>
    </w:p>
    <w:p>
      <w:pPr>
        <w:autoSpaceDE w:val="0"/>
        <w:autoSpaceDN w:val="0"/>
        <w:spacing w:before="56"/>
        <w:ind w:right="181"/>
        <w:rPr>
          <w:rFonts w:ascii="宋体" w:hAnsi="宋体" w:cs="宋体"/>
          <w:color w:val="auto"/>
          <w:kern w:val="0"/>
          <w:sz w:val="22"/>
          <w:highlight w:val="none"/>
          <w:lang w:val="zh-CN" w:bidi="zh-CN"/>
        </w:rPr>
      </w:pPr>
    </w:p>
    <w:p>
      <w:pPr>
        <w:autoSpaceDE w:val="0"/>
        <w:autoSpaceDN w:val="0"/>
        <w:spacing w:before="56"/>
        <w:ind w:right="181"/>
        <w:rPr>
          <w:rFonts w:ascii="宋体" w:hAnsi="宋体" w:cs="宋体"/>
          <w:color w:val="auto"/>
          <w:kern w:val="0"/>
          <w:sz w:val="22"/>
          <w:highlight w:val="none"/>
          <w:lang w:val="zh-CN" w:bidi="zh-CN"/>
        </w:rPr>
      </w:pPr>
    </w:p>
    <w:p>
      <w:pPr>
        <w:autoSpaceDE w:val="0"/>
        <w:autoSpaceDN w:val="0"/>
        <w:spacing w:before="56"/>
        <w:ind w:right="181"/>
        <w:rPr>
          <w:rFonts w:ascii="宋体" w:hAnsi="宋体" w:cs="宋体"/>
          <w:color w:val="auto"/>
          <w:kern w:val="0"/>
          <w:sz w:val="22"/>
          <w:highlight w:val="none"/>
          <w:lang w:val="zh-CN" w:bidi="zh-CN"/>
        </w:rPr>
      </w:pPr>
    </w:p>
    <w:p>
      <w:pPr>
        <w:autoSpaceDE w:val="0"/>
        <w:autoSpaceDN w:val="0"/>
        <w:spacing w:before="56"/>
        <w:ind w:right="181"/>
        <w:rPr>
          <w:rFonts w:ascii="宋体" w:hAnsi="宋体" w:cs="宋体"/>
          <w:color w:val="auto"/>
          <w:kern w:val="0"/>
          <w:sz w:val="22"/>
          <w:highlight w:val="none"/>
          <w:lang w:val="zh-CN" w:bidi="zh-CN"/>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spacing w:before="56"/>
        <w:ind w:right="181"/>
        <w:rPr>
          <w:color w:val="auto"/>
          <w:highlight w:val="none"/>
        </w:rPr>
      </w:pPr>
    </w:p>
    <w:p>
      <w:pPr>
        <w:rPr>
          <w:color w:val="auto"/>
          <w:highlight w:val="none"/>
        </w:rPr>
      </w:pPr>
    </w:p>
    <w:sectPr>
      <w:pgSz w:w="11900" w:h="16843"/>
      <w:pgMar w:top="1417" w:right="1417" w:bottom="1417" w:left="1531" w:header="850"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CS?o｡ﾀ?">
    <w:altName w:val="MS Mincho"/>
    <w:panose1 w:val="00000000000000000000"/>
    <w:charset w:val="80"/>
    <w:family w:val="modern"/>
    <w:pitch w:val="default"/>
    <w:sig w:usb0="00000000" w:usb1="00000000" w:usb2="00000010" w:usb3="00000000" w:csb0="00020000" w:csb1="00000000"/>
  </w:font>
  <w:font w:name="文鼎CS中黑">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E-F1">
    <w:altName w:val="Malgun Gothic"/>
    <w:panose1 w:val="00000000000000000000"/>
    <w:charset w:val="81"/>
    <w:family w:val="roman"/>
    <w:pitch w:val="default"/>
    <w:sig w:usb0="00000000" w:usb1="00000000" w:usb2="00000033" w:usb3="00000000" w:csb0="00080000" w:csb1="00000000"/>
  </w:font>
  <w:font w:name="Consolas">
    <w:panose1 w:val="020B0609020204030204"/>
    <w:charset w:val="00"/>
    <w:family w:val="modern"/>
    <w:pitch w:val="default"/>
    <w:sig w:usb0="E10002FF" w:usb1="4000FCFF" w:usb2="00000009" w:usb3="00000000" w:csb0="6000019F" w:csb1="DFD70000"/>
  </w:font>
  <w:font w:name="PMingLiU">
    <w:panose1 w:val="02020500000000000000"/>
    <w:charset w:val="88"/>
    <w:family w:val="roman"/>
    <w:pitch w:val="default"/>
    <w:sig w:usb0="A00002FF" w:usb1="28CFFCFA"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隶书">
    <w:panose1 w:val="02010800040101010101"/>
    <w:charset w:val="86"/>
    <w:family w:val="auto"/>
    <w:pitch w:val="default"/>
    <w:sig w:usb0="00000001" w:usb1="080F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Segoe UI Emoji">
    <w:altName w:val="Segoe UI"/>
    <w:panose1 w:val="020B0502040204020203"/>
    <w:charset w:val="00"/>
    <w:family w:val="swiss"/>
    <w:pitch w:val="default"/>
    <w:sig w:usb0="00000000" w:usb1="00000000" w:usb2="00000000" w:usb3="00000000" w:csb0="00000001"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lear" w:pos="4153"/>
      </w:tabs>
      <w:jc w:val="both"/>
      <w:rPr>
        <w:sz w:val="24"/>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0"/>
      </w:pBdr>
      <w:tabs>
        <w:tab w:val="left" w:pos="289"/>
        <w:tab w:val="clear" w:pos="4153"/>
      </w:tabs>
      <w:ind w:firstLine="180" w:firstLineChars="100"/>
      <w:rPr>
        <w:rFonts w:hint="eastAsia"/>
      </w:rPr>
    </w:pPr>
    <w:r>
      <w:rPr>
        <w:sz w:val="18"/>
      </w:rPr>
      <mc:AlternateContent>
        <mc:Choice Requires="wps">
          <w:drawing>
            <wp:anchor distT="0" distB="0" distL="114300" distR="114300" simplePos="0" relativeHeight="252786688" behindDoc="0" locked="0" layoutInCell="1" allowOverlap="1">
              <wp:simplePos x="0" y="0"/>
              <wp:positionH relativeFrom="margin">
                <wp:align>right</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27866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7XWwVAgAAFQQAAA4AAABkcnMvZTJvRG9jLnhtbK1Ty47TMBTdI/EP&#10;lvc0aRFD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37ymRDOFHZ2+fT19/3n68YVAB4Ba62fw21h4hu6t6bDoQe+hjHN3&#10;lVPxxkQEdkB9vMArukB4DJpOptMcJg7b8ED+7DHcOh/eCaNIFArqsL8EKzusfehdB5dYTZtVI2Xa&#10;odSkLejVy1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Y7XWwVAgAAFQQAAA4AAAAAAAAA&#10;AQAgAAAAHwEAAGRycy9lMm9Eb2MueG1sUEsFBgAAAAAGAAYAWQEAAKYFA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v:textbox>
            </v:shape>
          </w:pict>
        </mc:Fallback>
      </mc:AlternateContent>
    </w:r>
    <w:r>
      <w:rPr>
        <w:rFonts w:hint="eastAsia"/>
      </w:rPr>
      <w:drawing>
        <wp:anchor distT="0" distB="0" distL="114300" distR="114300" simplePos="0" relativeHeight="251722752" behindDoc="0" locked="0" layoutInCell="1" allowOverlap="1">
          <wp:simplePos x="0" y="0"/>
          <wp:positionH relativeFrom="column">
            <wp:posOffset>-367030</wp:posOffset>
          </wp:positionH>
          <wp:positionV relativeFrom="paragraph">
            <wp:posOffset>-36830</wp:posOffset>
          </wp:positionV>
          <wp:extent cx="370205" cy="277495"/>
          <wp:effectExtent l="0" t="0" r="10795" b="8255"/>
          <wp:wrapNone/>
          <wp:docPr id="5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0"/>
                  <pic:cNvPicPr>
                    <a:picLocks noChangeAspect="1"/>
                  </pic:cNvPicPr>
                </pic:nvPicPr>
                <pic:blipFill>
                  <a:blip r:embed="rId1"/>
                  <a:stretch>
                    <a:fillRect/>
                  </a:stretch>
                </pic:blipFill>
                <pic:spPr>
                  <a:xfrm>
                    <a:off x="0" y="0"/>
                    <a:ext cx="370205" cy="277495"/>
                  </a:xfrm>
                  <a:prstGeom prst="rect">
                    <a:avLst/>
                  </a:prstGeom>
                  <a:noFill/>
                  <a:ln>
                    <a:noFill/>
                  </a:ln>
                </pic:spPr>
              </pic:pic>
            </a:graphicData>
          </a:graphic>
        </wp:anchor>
      </w:drawing>
    </w:r>
    <w:r>
      <w:rPr>
        <w:rStyle w:val="51"/>
        <w:rFonts w:hint="eastAsia"/>
      </w:rPr>
      <w:t xml:space="preserve">恒信咨询管理有限公司  </w:t>
    </w:r>
  </w:p>
  <w:p>
    <w:pPr>
      <w:pStyle w:val="3"/>
      <w:spacing w:line="14" w:lineRule="auto"/>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2787712" behindDoc="0" locked="0" layoutInCell="1" allowOverlap="1">
              <wp:simplePos x="0" y="0"/>
              <wp:positionH relativeFrom="margin">
                <wp:align>right</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27877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8zUZ4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tNaaawo9OP76efD6df3wh0AKi1fga/jYVn6N6ZDose9B7KOHdX&#10;ORVvTERgB9THC7yiC4THoOlkOs1h4rAND+TPHsOt8+G9MIpEoaAO+0uwssPah951cInVtFk1UqYd&#10;Sk3agl69fpO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8zUZ4VAgAAFQQAAA4AAAAAAAAA&#10;AQAgAAAAHwEAAGRycy9lMm9Eb2MueG1sUEsFBgAAAAAGAAYAWQEAAKYFA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0"/>
      </w:pBdr>
      <w:tabs>
        <w:tab w:val="left" w:pos="289"/>
        <w:tab w:val="clear" w:pos="4153"/>
      </w:tabs>
      <w:ind w:firstLine="180" w:firstLineChars="100"/>
      <w:rPr>
        <w:rFonts w:hint="eastAsia"/>
      </w:rPr>
    </w:pPr>
    <w:r>
      <w:rPr>
        <w:sz w:val="18"/>
      </w:rPr>
      <mc:AlternateContent>
        <mc:Choice Requires="wps">
          <w:drawing>
            <wp:anchor distT="0" distB="0" distL="114300" distR="114300" simplePos="0" relativeHeight="252788736" behindDoc="0" locked="0" layoutInCell="1" allowOverlap="1">
              <wp:simplePos x="0" y="0"/>
              <wp:positionH relativeFrom="margin">
                <wp:align>right</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27887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2bxnEVAgAAFQQAAA4AAAAAAAAA&#10;AQAgAAAAHwEAAGRycy9lMm9Eb2MueG1sUEsFBgAAAAAGAAYAWQEAAKYFA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v:textbox>
            </v:shape>
          </w:pict>
        </mc:Fallback>
      </mc:AlternateContent>
    </w:r>
    <w:r>
      <w:rPr>
        <w:rFonts w:hint="eastAsia"/>
      </w:rPr>
      <w:drawing>
        <wp:anchor distT="0" distB="0" distL="114300" distR="114300" simplePos="0" relativeHeight="251723776" behindDoc="0" locked="0" layoutInCell="1" allowOverlap="1">
          <wp:simplePos x="0" y="0"/>
          <wp:positionH relativeFrom="column">
            <wp:posOffset>-367030</wp:posOffset>
          </wp:positionH>
          <wp:positionV relativeFrom="paragraph">
            <wp:posOffset>-36830</wp:posOffset>
          </wp:positionV>
          <wp:extent cx="370205" cy="277495"/>
          <wp:effectExtent l="0" t="0" r="10795" b="8255"/>
          <wp:wrapNone/>
          <wp:docPr id="5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2"/>
                  <pic:cNvPicPr>
                    <a:picLocks noChangeAspect="1"/>
                  </pic:cNvPicPr>
                </pic:nvPicPr>
                <pic:blipFill>
                  <a:blip r:embed="rId1"/>
                  <a:stretch>
                    <a:fillRect/>
                  </a:stretch>
                </pic:blipFill>
                <pic:spPr>
                  <a:xfrm>
                    <a:off x="0" y="0"/>
                    <a:ext cx="370205" cy="277495"/>
                  </a:xfrm>
                  <a:prstGeom prst="rect">
                    <a:avLst/>
                  </a:prstGeom>
                  <a:noFill/>
                  <a:ln>
                    <a:noFill/>
                  </a:ln>
                </pic:spPr>
              </pic:pic>
            </a:graphicData>
          </a:graphic>
        </wp:anchor>
      </w:drawing>
    </w:r>
    <w:r>
      <w:rPr>
        <w:rStyle w:val="51"/>
        <w:rFonts w:hint="eastAsia"/>
      </w:rPr>
      <w:t xml:space="preserve">恒信咨询管理有限公司  </w:t>
    </w:r>
  </w:p>
  <w:p>
    <w:pPr>
      <w:pStyle w:val="3"/>
      <w:spacing w:line="14" w:lineRule="auto"/>
    </w:pPr>
    <w:r>
      <mc:AlternateContent>
        <mc:Choice Requires="wps">
          <w:drawing>
            <wp:anchor distT="0" distB="0" distL="114300" distR="114300" simplePos="0" relativeHeight="251659264" behindDoc="1" locked="0" layoutInCell="1" allowOverlap="1">
              <wp:simplePos x="0" y="0"/>
              <wp:positionH relativeFrom="page">
                <wp:posOffset>6369685</wp:posOffset>
              </wp:positionH>
              <wp:positionV relativeFrom="page">
                <wp:posOffset>9992360</wp:posOffset>
              </wp:positionV>
              <wp:extent cx="199390" cy="152400"/>
              <wp:effectExtent l="0" t="635" r="3175"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199390" cy="152400"/>
                      </a:xfrm>
                      <a:prstGeom prst="rect">
                        <a:avLst/>
                      </a:prstGeom>
                      <a:noFill/>
                      <a:ln>
                        <a:noFill/>
                      </a:ln>
                    </wps:spPr>
                    <wps:txbx>
                      <w:txbxContent>
                        <w:p>
                          <w:pPr>
                            <w:spacing w:before="12"/>
                            <w:rPr>
                              <w:sz w:val="1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1.55pt;margin-top:786.8pt;height:12pt;width:15.7pt;mso-position-horizontal-relative:page;mso-position-vertical-relative:page;z-index:-251657216;mso-width-relative:page;mso-height-relative:page;" filled="f" stroked="f" coordsize="21600,21600" o:gfxdata="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1002wAAAA8BAAAPAAAAAAAAAAEAIAAAACIAAABkcnMvZG93bnJldi54bWxQSwEC&#10;FAAUAAAACACHTuJALJpg+vEBAAC4AwAADgAAAAAAAAABACAAAAAqAQAAZHJzL2Uyb0RvYy54bWxQ&#10;SwUGAAAAAAYABgBZAQAAjQUAAAAA&#10;">
              <v:fill on="f" focussize="0,0"/>
              <v:stroke on="f"/>
              <v:imagedata o:title=""/>
              <o:lock v:ext="edit" aspectratio="f"/>
              <v:textbox inset="0mm,0mm,0mm,0mm">
                <w:txbxContent>
                  <w:p>
                    <w:pPr>
                      <w:spacing w:before="12"/>
                      <w:rPr>
                        <w:sz w:val="18"/>
                      </w:rPr>
                    </w:pP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0"/>
      </w:pBdr>
      <w:tabs>
        <w:tab w:val="left" w:pos="289"/>
        <w:tab w:val="clear" w:pos="4153"/>
      </w:tabs>
      <w:ind w:firstLine="180" w:firstLineChars="100"/>
      <w:rPr>
        <w:rFonts w:hint="eastAsia"/>
      </w:rPr>
    </w:pPr>
    <w:r>
      <w:rPr>
        <w:sz w:val="18"/>
      </w:rPr>
      <mc:AlternateContent>
        <mc:Choice Requires="wps">
          <w:drawing>
            <wp:anchor distT="0" distB="0" distL="114300" distR="114300" simplePos="0" relativeHeight="252789760" behindDoc="0" locked="0" layoutInCell="1" allowOverlap="1">
              <wp:simplePos x="0" y="0"/>
              <wp:positionH relativeFrom="margin">
                <wp:align>right</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27897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b4U0VAgAAFw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sb4U0VAgAAFwQAAA4AAAAAAAAA&#10;AQAgAAAAHwEAAGRycy9lMm9Eb2MueG1sUEsFBgAAAAAGAAYAWQEAAKYFA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95</w:t>
                    </w:r>
                    <w:r>
                      <w:rPr>
                        <w:rFonts w:hint="eastAsia"/>
                        <w:lang w:eastAsia="zh-CN"/>
                      </w:rPr>
                      <w:fldChar w:fldCharType="end"/>
                    </w:r>
                  </w:p>
                </w:txbxContent>
              </v:textbox>
            </v:shape>
          </w:pict>
        </mc:Fallback>
      </mc:AlternateContent>
    </w:r>
    <w:r>
      <w:rPr>
        <w:rFonts w:hint="eastAsia"/>
      </w:rPr>
      <w:drawing>
        <wp:anchor distT="0" distB="0" distL="114300" distR="114300" simplePos="0" relativeHeight="251724800" behindDoc="0" locked="0" layoutInCell="1" allowOverlap="1">
          <wp:simplePos x="0" y="0"/>
          <wp:positionH relativeFrom="column">
            <wp:posOffset>-367030</wp:posOffset>
          </wp:positionH>
          <wp:positionV relativeFrom="paragraph">
            <wp:posOffset>-36830</wp:posOffset>
          </wp:positionV>
          <wp:extent cx="370205" cy="277495"/>
          <wp:effectExtent l="0" t="0" r="10795" b="8255"/>
          <wp:wrapNone/>
          <wp:docPr id="5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4"/>
                  <pic:cNvPicPr>
                    <a:picLocks noChangeAspect="1"/>
                  </pic:cNvPicPr>
                </pic:nvPicPr>
                <pic:blipFill>
                  <a:blip r:embed="rId1"/>
                  <a:stretch>
                    <a:fillRect/>
                  </a:stretch>
                </pic:blipFill>
                <pic:spPr>
                  <a:xfrm>
                    <a:off x="0" y="0"/>
                    <a:ext cx="370205" cy="277495"/>
                  </a:xfrm>
                  <a:prstGeom prst="rect">
                    <a:avLst/>
                  </a:prstGeom>
                  <a:noFill/>
                  <a:ln>
                    <a:noFill/>
                  </a:ln>
                </pic:spPr>
              </pic:pic>
            </a:graphicData>
          </a:graphic>
        </wp:anchor>
      </w:drawing>
    </w:r>
    <w:r>
      <w:rPr>
        <w:rStyle w:val="51"/>
        <w:rFonts w:hint="eastAsia"/>
      </w:rPr>
      <w:t xml:space="preserve">恒信咨询管理有限公司  </w:t>
    </w:r>
  </w:p>
  <w:p>
    <w:pPr>
      <w:pStyle w:val="3"/>
      <w:spacing w:before="240" w:beforeLines="100" w:line="14" w:lineRule="auto"/>
    </w:pPr>
    <w:r>
      <w:rPr>
        <w:rFonts w:hint="eastAsia"/>
        <w:sz w:val="18"/>
        <w:szCs w:val="18"/>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0"/>
      </w:pBdr>
      <w:tabs>
        <w:tab w:val="left" w:pos="289"/>
        <w:tab w:val="clear" w:pos="4153"/>
      </w:tabs>
      <w:ind w:firstLine="180" w:firstLineChars="100"/>
      <w:rPr>
        <w:rFonts w:hint="eastAsia"/>
      </w:rPr>
    </w:pPr>
    <w:r>
      <w:rPr>
        <w:sz w:val="18"/>
      </w:rPr>
      <mc:AlternateContent>
        <mc:Choice Requires="wps">
          <w:drawing>
            <wp:anchor distT="0" distB="0" distL="114300" distR="114300" simplePos="0" relativeHeight="252790784" behindDoc="0" locked="0" layoutInCell="1" allowOverlap="1">
              <wp:simplePos x="0" y="0"/>
              <wp:positionH relativeFrom="margin">
                <wp:align>right</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27907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f9ET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Ap3/REwIAABcEAAAOAAAAAAAAAAEA&#10;IAAAAB8BAABkcnMvZTJvRG9jLnhtbFBLBQYAAAAABgAGAFkBAACkBQ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104</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2782592" behindDoc="0" locked="0" layoutInCell="1" allowOverlap="1">
              <wp:simplePos x="0" y="0"/>
              <wp:positionH relativeFrom="margin">
                <wp:posOffset>5437505</wp:posOffset>
              </wp:positionH>
              <wp:positionV relativeFrom="paragraph">
                <wp:posOffset>-36830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428.15pt;margin-top:-2.9pt;height:144pt;width:144pt;mso-position-horizontal-relative:margin;mso-wrap-style:none;z-index:252782592;mso-width-relative:page;mso-height-relative:page;" filled="f" stroked="f" coordsize="21600,21600" o:gfxdata="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yTjWD&#10;1wAAAAsBAAAPAAAAAAAAAAEAIAAAACIAAABkcnMvZG93bnJldi54bWxQSwECFAAUAAAACACHTuJA&#10;UZUM47ABAABNAwAADgAAAAAAAAABACAAAAAmAQAAZHJzL2Uyb0RvYy54bWxQSwUGAAAAAAYABgBZ&#10;AQAASAUAAAAA&#10;">
              <v:fill on="f" focussize="0,0"/>
              <v:stroke on="f"/>
              <v:imagedata o:title=""/>
              <o:lock v:ext="edit" aspectratio="f"/>
              <v:textbox inset="0mm,0mm,0mm,0mm" style="mso-fit-shape-to-text:t;">
                <w:txbxContent>
                  <w:p>
                    <w:pPr>
                      <w:pStyle w:val="31"/>
                      <w:rPr>
                        <w:rFonts w:hint="eastAsia"/>
                        <w:lang w:eastAsia="zh-CN"/>
                      </w:rPr>
                    </w:pPr>
                  </w:p>
                </w:txbxContent>
              </v:textbox>
            </v:shape>
          </w:pict>
        </mc:Fallback>
      </mc:AlternateContent>
    </w:r>
    <w:r>
      <w:rPr>
        <w:rFonts w:hint="eastAsia"/>
      </w:rPr>
      <w:drawing>
        <wp:anchor distT="0" distB="0" distL="114300" distR="114300" simplePos="0" relativeHeight="252781568" behindDoc="0" locked="0" layoutInCell="1" allowOverlap="1">
          <wp:simplePos x="0" y="0"/>
          <wp:positionH relativeFrom="column">
            <wp:posOffset>-367030</wp:posOffset>
          </wp:positionH>
          <wp:positionV relativeFrom="paragraph">
            <wp:posOffset>-36830</wp:posOffset>
          </wp:positionV>
          <wp:extent cx="370205" cy="277495"/>
          <wp:effectExtent l="0" t="0" r="10795" b="8255"/>
          <wp:wrapNone/>
          <wp:docPr id="5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
                  <pic:cNvPicPr>
                    <a:picLocks noChangeAspect="1"/>
                  </pic:cNvPicPr>
                </pic:nvPicPr>
                <pic:blipFill>
                  <a:blip r:embed="rId1"/>
                  <a:stretch>
                    <a:fillRect/>
                  </a:stretch>
                </pic:blipFill>
                <pic:spPr>
                  <a:xfrm>
                    <a:off x="0" y="0"/>
                    <a:ext cx="370205" cy="277495"/>
                  </a:xfrm>
                  <a:prstGeom prst="rect">
                    <a:avLst/>
                  </a:prstGeom>
                  <a:noFill/>
                  <a:ln>
                    <a:noFill/>
                  </a:ln>
                </pic:spPr>
              </pic:pic>
            </a:graphicData>
          </a:graphic>
        </wp:anchor>
      </w:drawing>
    </w:r>
    <w:r>
      <w:rPr>
        <w:rStyle w:val="51"/>
        <w:rFonts w:hint="eastAsia"/>
      </w:rPr>
      <w:t xml:space="preserve">恒信咨询管理有限公司  </w:t>
    </w:r>
  </w:p>
  <w:p>
    <w:pPr>
      <w:pStyle w:val="31"/>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0"/>
      </w:pBdr>
      <w:tabs>
        <w:tab w:val="left" w:pos="289"/>
        <w:tab w:val="clear" w:pos="4153"/>
      </w:tabs>
      <w:ind w:firstLine="180" w:firstLineChars="100"/>
      <w:rPr>
        <w:rFonts w:hint="eastAsia"/>
      </w:rPr>
    </w:pPr>
    <w:r>
      <w:rPr>
        <w:sz w:val="18"/>
      </w:rPr>
      <mc:AlternateContent>
        <mc:Choice Requires="wps">
          <w:drawing>
            <wp:anchor distT="0" distB="0" distL="114300" distR="114300" simplePos="0" relativeHeight="252791808" behindDoc="0" locked="0" layoutInCell="1" allowOverlap="1">
              <wp:simplePos x="0" y="0"/>
              <wp:positionH relativeFrom="margin">
                <wp:align>right</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27918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lra8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GWtrxQCAAAXBAAADgAAAAAAAAAB&#10;ACAAAAAfAQAAZHJzL2Uyb0RvYy54bWxQSwUGAAAAAAYABgBZAQAApQU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106</w:t>
                    </w:r>
                    <w:r>
                      <w:rPr>
                        <w:rFonts w:hint="eastAsia"/>
                        <w:lang w:eastAsia="zh-CN"/>
                      </w:rPr>
                      <w:fldChar w:fldCharType="end"/>
                    </w:r>
                  </w:p>
                </w:txbxContent>
              </v:textbox>
            </v:shape>
          </w:pict>
        </mc:Fallback>
      </mc:AlternateContent>
    </w:r>
    <w:r>
      <w:rPr>
        <w:rFonts w:hint="eastAsia"/>
      </w:rPr>
      <w:drawing>
        <wp:anchor distT="0" distB="0" distL="114300" distR="114300" simplePos="0" relativeHeight="251725824" behindDoc="0" locked="0" layoutInCell="1" allowOverlap="1">
          <wp:simplePos x="0" y="0"/>
          <wp:positionH relativeFrom="column">
            <wp:posOffset>-367030</wp:posOffset>
          </wp:positionH>
          <wp:positionV relativeFrom="paragraph">
            <wp:posOffset>-36830</wp:posOffset>
          </wp:positionV>
          <wp:extent cx="370205" cy="277495"/>
          <wp:effectExtent l="0" t="0" r="10795" b="8255"/>
          <wp:wrapNone/>
          <wp:docPr id="5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6"/>
                  <pic:cNvPicPr>
                    <a:picLocks noChangeAspect="1"/>
                  </pic:cNvPicPr>
                </pic:nvPicPr>
                <pic:blipFill>
                  <a:blip r:embed="rId1"/>
                  <a:stretch>
                    <a:fillRect/>
                  </a:stretch>
                </pic:blipFill>
                <pic:spPr>
                  <a:xfrm>
                    <a:off x="0" y="0"/>
                    <a:ext cx="370205" cy="277495"/>
                  </a:xfrm>
                  <a:prstGeom prst="rect">
                    <a:avLst/>
                  </a:prstGeom>
                  <a:noFill/>
                  <a:ln>
                    <a:noFill/>
                  </a:ln>
                </pic:spPr>
              </pic:pic>
            </a:graphicData>
          </a:graphic>
        </wp:anchor>
      </w:drawing>
    </w:r>
    <w:r>
      <w:rPr>
        <w:rStyle w:val="51"/>
        <w:rFonts w:hint="eastAsia"/>
      </w:rPr>
      <w:t xml:space="preserve">恒信咨询管理有限公司  </w:t>
    </w:r>
  </w:p>
  <w:p>
    <w:pPr>
      <w:pStyle w:val="31"/>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0"/>
      </w:pBdr>
      <w:tabs>
        <w:tab w:val="left" w:pos="289"/>
        <w:tab w:val="clear" w:pos="4153"/>
      </w:tabs>
      <w:ind w:firstLine="180" w:firstLineChars="100"/>
      <w:rPr>
        <w:rFonts w:hint="eastAsia"/>
      </w:rPr>
    </w:pPr>
    <w:r>
      <w:rPr>
        <w:sz w:val="18"/>
      </w:rPr>
      <mc:AlternateContent>
        <mc:Choice Requires="wps">
          <w:drawing>
            <wp:anchor distT="0" distB="0" distL="114300" distR="114300" simplePos="0" relativeHeight="252792832" behindDoc="0" locked="0" layoutInCell="1" allowOverlap="1">
              <wp:simplePos x="0" y="0"/>
              <wp:positionH relativeFrom="margin">
                <wp:align>right</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27928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ZMzMV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fZMzMVAgAAFwQAAA4AAAAAAAAA&#10;AQAgAAAAHwEAAGRycy9lMm9Eb2MueG1sUEsFBgAAAAAGAAYAWQEAAKYFA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110</w:t>
                    </w:r>
                    <w:r>
                      <w:rPr>
                        <w:rFonts w:hint="eastAsia"/>
                        <w:lang w:eastAsia="zh-CN"/>
                      </w:rPr>
                      <w:fldChar w:fldCharType="end"/>
                    </w:r>
                  </w:p>
                </w:txbxContent>
              </v:textbox>
            </v:shape>
          </w:pict>
        </mc:Fallback>
      </mc:AlternateContent>
    </w:r>
    <w:r>
      <w:rPr>
        <w:rFonts w:hint="eastAsia"/>
      </w:rPr>
      <w:drawing>
        <wp:anchor distT="0" distB="0" distL="114300" distR="114300" simplePos="0" relativeHeight="251726848" behindDoc="0" locked="0" layoutInCell="1" allowOverlap="1">
          <wp:simplePos x="0" y="0"/>
          <wp:positionH relativeFrom="column">
            <wp:posOffset>-367030</wp:posOffset>
          </wp:positionH>
          <wp:positionV relativeFrom="paragraph">
            <wp:posOffset>-36830</wp:posOffset>
          </wp:positionV>
          <wp:extent cx="370205" cy="277495"/>
          <wp:effectExtent l="0" t="0" r="10795" b="8255"/>
          <wp:wrapNone/>
          <wp:docPr id="5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8"/>
                  <pic:cNvPicPr>
                    <a:picLocks noChangeAspect="1"/>
                  </pic:cNvPicPr>
                </pic:nvPicPr>
                <pic:blipFill>
                  <a:blip r:embed="rId1"/>
                  <a:stretch>
                    <a:fillRect/>
                  </a:stretch>
                </pic:blipFill>
                <pic:spPr>
                  <a:xfrm>
                    <a:off x="0" y="0"/>
                    <a:ext cx="370205" cy="277495"/>
                  </a:xfrm>
                  <a:prstGeom prst="rect">
                    <a:avLst/>
                  </a:prstGeom>
                  <a:noFill/>
                  <a:ln>
                    <a:noFill/>
                  </a:ln>
                </pic:spPr>
              </pic:pic>
            </a:graphicData>
          </a:graphic>
        </wp:anchor>
      </w:drawing>
    </w:r>
    <w:r>
      <w:rPr>
        <w:rStyle w:val="51"/>
        <w:rFonts w:hint="eastAsia"/>
      </w:rPr>
      <w:t xml:space="preserve">恒信咨询管理有限公司  </w:t>
    </w:r>
  </w:p>
  <w:p>
    <w:pPr>
      <w:pStyle w:val="3"/>
      <w:spacing w:line="14" w:lineRule="auto"/>
    </w:pPr>
    <w:r>
      <mc:AlternateContent>
        <mc:Choice Requires="wps">
          <w:drawing>
            <wp:anchor distT="0" distB="0" distL="114300" distR="114300" simplePos="0" relativeHeight="251661312" behindDoc="1" locked="0" layoutInCell="1" allowOverlap="1">
              <wp:simplePos x="0" y="0"/>
              <wp:positionH relativeFrom="page">
                <wp:posOffset>6369685</wp:posOffset>
              </wp:positionH>
              <wp:positionV relativeFrom="page">
                <wp:posOffset>9992360</wp:posOffset>
              </wp:positionV>
              <wp:extent cx="199390" cy="152400"/>
              <wp:effectExtent l="0" t="635" r="3175"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99390" cy="152400"/>
                      </a:xfrm>
                      <a:prstGeom prst="rect">
                        <a:avLst/>
                      </a:prstGeom>
                      <a:noFill/>
                      <a:ln>
                        <a:noFill/>
                      </a:ln>
                    </wps:spPr>
                    <wps:txbx>
                      <w:txbxContent>
                        <w:p>
                          <w:pPr>
                            <w:spacing w:before="12"/>
                            <w:ind w:left="20"/>
                            <w:rPr>
                              <w:sz w:val="1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1.55pt;margin-top:786.8pt;height:12pt;width:15.7pt;mso-position-horizontal-relative:page;mso-position-vertical-relative:page;z-index:-251655168;mso-width-relative:page;mso-height-relative:page;" filled="f" stroked="f" coordsize="21600,21600" o:gfxdata="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1002wAAAA8BAAAPAAAAAAAAAAEAIAAAACIAAABkcnMvZG93bnJldi54bWxQSwEC&#10;FAAUAAAACACHTuJAz851AfEBAAC4AwAADgAAAAAAAAABACAAAAAqAQAAZHJzL2Uyb0RvYy54bWxQ&#10;SwUGAAAAAAYABgBZAQAAjQUAAAAA&#10;">
              <v:fill on="f" focussize="0,0"/>
              <v:stroke on="f"/>
              <v:imagedata o:title=""/>
              <o:lock v:ext="edit" aspectratio="f"/>
              <v:textbox inset="0mm,0mm,0mm,0mm">
                <w:txbxContent>
                  <w:p>
                    <w:pPr>
                      <w:spacing w:before="12"/>
                      <w:ind w:left="20"/>
                      <w:rPr>
                        <w:sz w:val="18"/>
                      </w:rPr>
                    </w:pP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r>
      <w:rPr>
        <w:sz w:val="21"/>
      </w:rPr>
      <mc:AlternateContent>
        <mc:Choice Requires="wps">
          <w:drawing>
            <wp:anchor distT="0" distB="0" distL="114300" distR="114300" simplePos="0" relativeHeight="252793856" behindDoc="0" locked="0" layoutInCell="1" allowOverlap="1">
              <wp:simplePos x="0" y="0"/>
              <wp:positionH relativeFrom="margin">
                <wp:align>right</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27938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gCFIVAgAAFw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TgCFIVAgAAFwQAAA4AAAAAAAAA&#10;AQAgAAAAHwEAAGRycy9lMm9Eb2MueG1sUEsFBgAAAAAGAAYAWQEAAKYFA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6369685</wp:posOffset>
              </wp:positionH>
              <wp:positionV relativeFrom="page">
                <wp:posOffset>9992360</wp:posOffset>
              </wp:positionV>
              <wp:extent cx="199390" cy="152400"/>
              <wp:effectExtent l="0" t="635" r="3175"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99390" cy="152400"/>
                      </a:xfrm>
                      <a:prstGeom prst="rect">
                        <a:avLst/>
                      </a:prstGeom>
                      <a:noFill/>
                      <a:ln>
                        <a:noFill/>
                      </a:ln>
                    </wps:spPr>
                    <wps:txbx>
                      <w:txbxContent>
                        <w:p>
                          <w:pPr>
                            <w:spacing w:before="12"/>
                            <w:ind w:left="20"/>
                            <w:rPr>
                              <w:sz w:val="18"/>
                            </w:rPr>
                          </w:pPr>
                          <w:r>
                            <w:rPr>
                              <w:sz w:val="18"/>
                            </w:rPr>
                            <w:t>241</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1.55pt;margin-top:786.8pt;height:12pt;width:15.7pt;mso-position-horizontal-relative:page;mso-position-vertical-relative:page;z-index:-251653120;mso-width-relative:page;mso-height-relative:page;" filled="f" stroked="f" coordsize="21600,21600" o:gfxdata="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P/XTTbAAAADwEAAA8AAAAAAAAAAQAgAAAAIgAAAGRycy9kb3ducmV2LnhtbFBLAQIU&#10;ABQAAAAIAIdO4kB1WmEe8AEAALYDAAAOAAAAAAAAAAEAIAAAACoBAABkcnMvZTJvRG9jLnhtbFBL&#10;BQYAAAAABgAGAFkBAACMBQAAAAA=&#10;">
              <v:fill on="f" focussize="0,0"/>
              <v:stroke on="f"/>
              <v:imagedata o:title=""/>
              <o:lock v:ext="edit" aspectratio="f"/>
              <v:textbox inset="0mm,0mm,0mm,0mm">
                <w:txbxContent>
                  <w:p>
                    <w:pPr>
                      <w:spacing w:before="12"/>
                      <w:ind w:left="20"/>
                      <w:rPr>
                        <w:sz w:val="18"/>
                      </w:rPr>
                    </w:pPr>
                    <w:r>
                      <w:rPr>
                        <w:sz w:val="18"/>
                      </w:rPr>
                      <w:t>241</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r>
      <mc:AlternateContent>
        <mc:Choice Requires="wps">
          <w:drawing>
            <wp:anchor distT="0" distB="0" distL="114300" distR="114300" simplePos="0" relativeHeight="251662336" behindDoc="1" locked="0" layoutInCell="1" allowOverlap="1">
              <wp:simplePos x="0" y="0"/>
              <wp:positionH relativeFrom="page">
                <wp:posOffset>977900</wp:posOffset>
              </wp:positionH>
              <wp:positionV relativeFrom="page">
                <wp:posOffset>10007600</wp:posOffset>
              </wp:positionV>
              <wp:extent cx="224790" cy="152400"/>
              <wp:effectExtent l="0" t="0" r="0" b="317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wps:spPr>
                    <wps:txbx>
                      <w:txbxContent>
                        <w:p>
                          <w:pPr>
                            <w:spacing w:before="12"/>
                            <w:ind w:left="40"/>
                            <w:rPr>
                              <w:sz w:val="18"/>
                            </w:rPr>
                          </w:pPr>
                          <w:r>
                            <w:rPr>
                              <w:sz w:val="18"/>
                            </w:rPr>
                            <w:t>242</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7pt;margin-top:788pt;height:12pt;width:17.7pt;mso-position-horizontal-relative:page;mso-position-vertical-relative:page;z-index:-251654144;mso-width-relative:page;mso-height-relative:page;" filled="f" stroked="f" coordsize="21600,21600" o:gfxdata="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KWOOj2QAAAA0BAAAPAAAAAAAAAAEAIAAAACIAAABkcnMvZG93bnJldi54bWxQSwECFAAU&#10;AAAACACHTuJAVU26I/ABAAC4AwAADgAAAAAAAAABACAAAAAoAQAAZHJzL2Uyb0RvYy54bWxQSwUG&#10;AAAAAAYABgBZAQAAigUAAAAA&#10;">
              <v:fill on="f" focussize="0,0"/>
              <v:stroke on="f"/>
              <v:imagedata o:title=""/>
              <o:lock v:ext="edit" aspectratio="f"/>
              <v:textbox inset="0mm,0mm,0mm,0mm">
                <w:txbxContent>
                  <w:p>
                    <w:pPr>
                      <w:spacing w:before="12"/>
                      <w:ind w:left="40"/>
                      <w:rPr>
                        <w:sz w:val="18"/>
                      </w:rPr>
                    </w:pPr>
                    <w:r>
                      <w:rPr>
                        <w:sz w:val="18"/>
                      </w:rPr>
                      <w:t>242</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0"/>
      </w:pBdr>
      <w:tabs>
        <w:tab w:val="left" w:pos="289"/>
        <w:tab w:val="clear" w:pos="4153"/>
      </w:tabs>
      <w:ind w:firstLine="180" w:firstLineChars="100"/>
      <w:rPr>
        <w:rFonts w:hint="eastAsia"/>
      </w:rPr>
    </w:pPr>
    <w:r>
      <w:rPr>
        <w:sz w:val="18"/>
      </w:rPr>
      <mc:AlternateContent>
        <mc:Choice Requires="wps">
          <w:drawing>
            <wp:anchor distT="0" distB="0" distL="114300" distR="114300" simplePos="0" relativeHeight="252794880" behindDoc="0" locked="0" layoutInCell="1" allowOverlap="1">
              <wp:simplePos x="0" y="0"/>
              <wp:positionH relativeFrom="margin">
                <wp:align>right</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27948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9cls4VAgAAFw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9cls4VAgAAFwQAAA4AAAAAAAAA&#10;AQAgAAAAHwEAAGRycy9lMm9Eb2MueG1sUEsFBgAAAAAGAAYAWQEAAKYFA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124</w:t>
                    </w:r>
                    <w:r>
                      <w:rPr>
                        <w:rFonts w:hint="eastAsia"/>
                        <w:lang w:eastAsia="zh-CN"/>
                      </w:rPr>
                      <w:fldChar w:fldCharType="end"/>
                    </w:r>
                  </w:p>
                </w:txbxContent>
              </v:textbox>
            </v:shape>
          </w:pict>
        </mc:Fallback>
      </mc:AlternateContent>
    </w:r>
    <w:r>
      <w:rPr>
        <w:rFonts w:hint="eastAsia"/>
      </w:rPr>
      <w:drawing>
        <wp:anchor distT="0" distB="0" distL="114300" distR="114300" simplePos="0" relativeHeight="251728896" behindDoc="0" locked="0" layoutInCell="1" allowOverlap="1">
          <wp:simplePos x="0" y="0"/>
          <wp:positionH relativeFrom="column">
            <wp:posOffset>-367030</wp:posOffset>
          </wp:positionH>
          <wp:positionV relativeFrom="paragraph">
            <wp:posOffset>-36830</wp:posOffset>
          </wp:positionV>
          <wp:extent cx="370205" cy="277495"/>
          <wp:effectExtent l="0" t="0" r="10795" b="8255"/>
          <wp:wrapNone/>
          <wp:docPr id="6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4"/>
                  <pic:cNvPicPr>
                    <a:picLocks noChangeAspect="1"/>
                  </pic:cNvPicPr>
                </pic:nvPicPr>
                <pic:blipFill>
                  <a:blip r:embed="rId1"/>
                  <a:stretch>
                    <a:fillRect/>
                  </a:stretch>
                </pic:blipFill>
                <pic:spPr>
                  <a:xfrm>
                    <a:off x="0" y="0"/>
                    <a:ext cx="370205" cy="277495"/>
                  </a:xfrm>
                  <a:prstGeom prst="rect">
                    <a:avLst/>
                  </a:prstGeom>
                  <a:noFill/>
                  <a:ln>
                    <a:noFill/>
                  </a:ln>
                </pic:spPr>
              </pic:pic>
            </a:graphicData>
          </a:graphic>
        </wp:anchor>
      </w:drawing>
    </w:r>
    <w:r>
      <w:rPr>
        <w:rStyle w:val="51"/>
        <w:rFonts w:hint="eastAsia"/>
      </w:rPr>
      <w:t xml:space="preserve">恒信咨询管理有限公司  </w:t>
    </w:r>
  </w:p>
  <w:p>
    <w:pPr>
      <w:pStyle w:val="31"/>
      <w:wordWrap w:val="0"/>
      <w:ind w:right="360"/>
      <w:jc w:val="right"/>
      <w:rPr>
        <w:szCs w:val="16"/>
      </w:rPr>
    </w:pPr>
    <w:r>
      <w:rPr>
        <w:rFonts w:hint="eastAsia"/>
        <w:sz w:val="20"/>
      </w:rPr>
      <w:t xml:space="preserve">              </w:t>
    </w:r>
    <w:r>
      <w:rPr>
        <w:rFonts w:hint="eastAsia"/>
        <w:szCs w:val="16"/>
      </w:rPr>
      <w:t xml:space="preserve">  </w:t>
    </w:r>
    <w:r>
      <w:rPr>
        <w:sz w:val="16"/>
        <w:szCs w:val="16"/>
      </w:rPr>
      <mc:AlternateContent>
        <mc:Choice Requires="wps">
          <w:drawing>
            <wp:anchor distT="0" distB="0" distL="114300" distR="114300" simplePos="0" relativeHeight="251664384" behindDoc="0" locked="0" layoutInCell="1" allowOverlap="1">
              <wp:simplePos x="0" y="0"/>
              <wp:positionH relativeFrom="column">
                <wp:posOffset>2734310</wp:posOffset>
              </wp:positionH>
              <wp:positionV relativeFrom="paragraph">
                <wp:posOffset>-753576725</wp:posOffset>
              </wp:positionV>
              <wp:extent cx="6000750" cy="635"/>
              <wp:effectExtent l="0" t="0" r="19050" b="3746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00075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15.3pt;margin-top:-59336.75pt;height:0.05pt;width:472.5pt;z-index:251664384;mso-width-relative:page;mso-height-relative:page;" filled="f" stroked="t" coordsize="21600,21600" o:gfxdata="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f2bcg3AAAABQBAAAPAAAAAAAAAAEAIAAAACIA&#10;AABkcnMvZG93bnJldi54bWxQSwECFAAUAAAACACHTuJAudbp5swBAABgAwAADgAAAAAAAAABACAA&#10;AAArAQAAZHJzL2Uyb0RvYy54bWxQSwUGAAAAAAYABgBZAQAAaQU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0"/>
      </w:pBdr>
      <w:tabs>
        <w:tab w:val="left" w:pos="289"/>
        <w:tab w:val="clear" w:pos="4153"/>
      </w:tabs>
      <w:ind w:firstLine="180" w:firstLineChars="100"/>
      <w:rPr>
        <w:rFonts w:hint="eastAsia"/>
      </w:rPr>
    </w:pPr>
    <w:r>
      <w:rPr>
        <w:sz w:val="18"/>
      </w:rPr>
      <mc:AlternateContent>
        <mc:Choice Requires="wps">
          <w:drawing>
            <wp:anchor distT="0" distB="0" distL="114300" distR="114300" simplePos="0" relativeHeight="255059968" behindDoc="0" locked="0" layoutInCell="1" allowOverlap="1">
              <wp:simplePos x="0" y="0"/>
              <wp:positionH relativeFrom="margin">
                <wp:align>right</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5059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9HZcWAgAAFw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HPR2XFgIAABcEAAAOAAAAAAAA&#10;AAEAIAAAAB8BAABkcnMvZTJvRG9jLnhtbFBLBQYAAAAABgAGAFkBAACnBQ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124</w:t>
                    </w:r>
                    <w:r>
                      <w:rPr>
                        <w:rFonts w:hint="eastAsia"/>
                        <w:lang w:eastAsia="zh-CN"/>
                      </w:rPr>
                      <w:fldChar w:fldCharType="end"/>
                    </w:r>
                  </w:p>
                </w:txbxContent>
              </v:textbox>
            </v:shape>
          </w:pict>
        </mc:Fallback>
      </mc:AlternateContent>
    </w:r>
    <w:r>
      <w:rPr>
        <w:rFonts w:hint="eastAsia"/>
      </w:rPr>
      <w:drawing>
        <wp:anchor distT="0" distB="0" distL="114300" distR="114300" simplePos="0" relativeHeight="253993984" behindDoc="0" locked="0" layoutInCell="1" allowOverlap="1">
          <wp:simplePos x="0" y="0"/>
          <wp:positionH relativeFrom="column">
            <wp:posOffset>-367030</wp:posOffset>
          </wp:positionH>
          <wp:positionV relativeFrom="paragraph">
            <wp:posOffset>-36830</wp:posOffset>
          </wp:positionV>
          <wp:extent cx="370205" cy="277495"/>
          <wp:effectExtent l="0" t="0" r="10795" b="8255"/>
          <wp:wrapNone/>
          <wp:docPr id="11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24"/>
                  <pic:cNvPicPr>
                    <a:picLocks noChangeAspect="1"/>
                  </pic:cNvPicPr>
                </pic:nvPicPr>
                <pic:blipFill>
                  <a:blip r:embed="rId1"/>
                  <a:stretch>
                    <a:fillRect/>
                  </a:stretch>
                </pic:blipFill>
                <pic:spPr>
                  <a:xfrm>
                    <a:off x="0" y="0"/>
                    <a:ext cx="370205" cy="277495"/>
                  </a:xfrm>
                  <a:prstGeom prst="rect">
                    <a:avLst/>
                  </a:prstGeom>
                  <a:noFill/>
                  <a:ln>
                    <a:noFill/>
                  </a:ln>
                </pic:spPr>
              </pic:pic>
            </a:graphicData>
          </a:graphic>
        </wp:anchor>
      </w:drawing>
    </w:r>
    <w:r>
      <w:rPr>
        <w:rStyle w:val="51"/>
        <w:rFonts w:hint="eastAsia"/>
      </w:rPr>
      <w:t xml:space="preserve">恒信咨询管理有限公司  </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0"/>
      </w:pBdr>
      <w:tabs>
        <w:tab w:val="left" w:pos="289"/>
        <w:tab w:val="clear" w:pos="4153"/>
      </w:tabs>
      <w:ind w:firstLine="180" w:firstLineChars="100"/>
      <w:rPr>
        <w:rFonts w:hint="eastAsia"/>
      </w:rPr>
    </w:pPr>
    <w:r>
      <mc:AlternateContent>
        <mc:Choice Requires="wps">
          <w:drawing>
            <wp:anchor distT="0" distB="0" distL="114300" distR="114300" simplePos="0" relativeHeight="251719680" behindDoc="0" locked="0" layoutInCell="1" allowOverlap="1">
              <wp:simplePos x="0" y="0"/>
              <wp:positionH relativeFrom="margin">
                <wp:posOffset>5437505</wp:posOffset>
              </wp:positionH>
              <wp:positionV relativeFrom="paragraph">
                <wp:posOffset>-36830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428.15pt;margin-top:-2.9pt;height:144pt;width:144pt;mso-position-horizontal-relative:margin;mso-wrap-style:none;z-index:251719680;mso-width-relative:page;mso-height-relative:page;" filled="f" stroked="f" coordsize="21600,21600" o:gfxdata="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yTjWD&#10;1wAAAAsBAAAPAAAAAAAAAAEAIAAAACIAAABkcnMvZG93bnJldi54bWxQSwECFAAUAAAACACHTuJA&#10;YpriG7ABAABNAwAADgAAAAAAAAABACAAAAAmAQAAZHJzL2Uyb0RvYy54bWxQSwUGAAAAAAYABgBZ&#10;AQAASAUAAAAA&#10;">
              <v:fill on="f" focussize="0,0"/>
              <v:stroke on="f"/>
              <v:imagedata o:title=""/>
              <o:lock v:ext="edit" aspectratio="f"/>
              <v:textbox inset="0mm,0mm,0mm,0mm" style="mso-fit-shape-to-text:t;">
                <w:txbxContent>
                  <w:p>
                    <w:pPr>
                      <w:pStyle w:val="31"/>
                      <w:rPr>
                        <w:rFonts w:hint="eastAsia"/>
                        <w:lang w:eastAsia="zh-CN"/>
                      </w:rPr>
                    </w:pPr>
                  </w:p>
                </w:txbxContent>
              </v:textbox>
            </v:shape>
          </w:pict>
        </mc:Fallback>
      </mc:AlternateContent>
    </w:r>
    <w:r>
      <w:rPr>
        <w:rFonts w:hint="eastAsia"/>
      </w:rPr>
      <w:drawing>
        <wp:anchor distT="0" distB="0" distL="114300" distR="114300" simplePos="0" relativeHeight="251718656" behindDoc="0" locked="0" layoutInCell="1" allowOverlap="1">
          <wp:simplePos x="0" y="0"/>
          <wp:positionH relativeFrom="column">
            <wp:posOffset>-367030</wp:posOffset>
          </wp:positionH>
          <wp:positionV relativeFrom="paragraph">
            <wp:posOffset>-36830</wp:posOffset>
          </wp:positionV>
          <wp:extent cx="370205" cy="277495"/>
          <wp:effectExtent l="0" t="0" r="10795" b="8255"/>
          <wp:wrapNone/>
          <wp:docPr id="4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6"/>
                  <pic:cNvPicPr>
                    <a:picLocks noChangeAspect="1"/>
                  </pic:cNvPicPr>
                </pic:nvPicPr>
                <pic:blipFill>
                  <a:blip r:embed="rId1"/>
                  <a:stretch>
                    <a:fillRect/>
                  </a:stretch>
                </pic:blipFill>
                <pic:spPr>
                  <a:xfrm>
                    <a:off x="0" y="0"/>
                    <a:ext cx="370205" cy="277495"/>
                  </a:xfrm>
                  <a:prstGeom prst="rect">
                    <a:avLst/>
                  </a:prstGeom>
                  <a:noFill/>
                  <a:ln>
                    <a:noFill/>
                  </a:ln>
                </pic:spPr>
              </pic:pic>
            </a:graphicData>
          </a:graphic>
        </wp:anchor>
      </w:drawing>
    </w:r>
    <w:r>
      <w:rPr>
        <w:rStyle w:val="51"/>
        <w:rFonts w:hint="eastAsia"/>
      </w:rPr>
      <w:t xml:space="preserve">恒信咨询管理有限公司  </w:t>
    </w:r>
  </w:p>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0"/>
      </w:pBdr>
      <w:tabs>
        <w:tab w:val="left" w:pos="289"/>
        <w:tab w:val="clear" w:pos="4153"/>
      </w:tabs>
      <w:ind w:firstLine="180" w:firstLineChars="100"/>
      <w:rPr>
        <w:rFonts w:hint="eastAsia"/>
      </w:rPr>
    </w:pPr>
    <w:r>
      <w:rPr>
        <w:sz w:val="18"/>
      </w:rPr>
      <mc:AlternateContent>
        <mc:Choice Requires="wps">
          <w:drawing>
            <wp:anchor distT="0" distB="0" distL="114300" distR="114300" simplePos="0" relativeHeight="253922304" behindDoc="0" locked="0" layoutInCell="1" allowOverlap="1">
              <wp:simplePos x="0" y="0"/>
              <wp:positionH relativeFrom="margin">
                <wp:align>right</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39223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i2iwVAgAAFw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gi2iwVAgAAFwQAAA4AAAAAAAAA&#10;AQAgAAAAHwEAAGRycy9lMm9Eb2MueG1sUEsFBgAAAAAGAAYAWQEAAKYFA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2975104" behindDoc="0" locked="0" layoutInCell="1" allowOverlap="1">
              <wp:simplePos x="0" y="0"/>
              <wp:positionH relativeFrom="margin">
                <wp:posOffset>5437505</wp:posOffset>
              </wp:positionH>
              <wp:positionV relativeFrom="paragraph">
                <wp:posOffset>-36830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428.15pt;margin-top:-2.9pt;height:144pt;width:144pt;mso-position-horizontal-relative:margin;mso-wrap-style:none;z-index:252975104;mso-width-relative:page;mso-height-relative:page;" filled="f" stroked="f" coordsize="21600,21600" o:gfxdata="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k41g9cA&#10;AAALAQAADwAAAAAAAAABACAAAAAiAAAAZHJzL2Rvd25yZXYueG1sUEsBAhQAFAAAAAgAh07iQGYG&#10;I+muAQAATwMAAA4AAAAAAAAAAQAgAAAAJgEAAGRycy9lMm9Eb2MueG1sUEsFBgAAAAAGAAYAWQEA&#10;AEYFAAAAAA==&#10;">
              <v:fill on="f" focussize="0,0"/>
              <v:stroke on="f"/>
              <v:imagedata o:title=""/>
              <o:lock v:ext="edit" aspectratio="f"/>
              <v:textbox inset="0mm,0mm,0mm,0mm" style="mso-fit-shape-to-text:t;">
                <w:txbxContent>
                  <w:p>
                    <w:pPr>
                      <w:pStyle w:val="31"/>
                      <w:rPr>
                        <w:rFonts w:hint="eastAsia"/>
                        <w:lang w:eastAsia="zh-CN"/>
                      </w:rPr>
                    </w:pPr>
                  </w:p>
                </w:txbxContent>
              </v:textbox>
            </v:shape>
          </w:pict>
        </mc:Fallback>
      </mc:AlternateContent>
    </w:r>
    <w:r>
      <w:rPr>
        <w:rFonts w:hint="eastAsia"/>
      </w:rPr>
      <w:drawing>
        <wp:anchor distT="0" distB="0" distL="114300" distR="114300" simplePos="0" relativeHeight="252974080" behindDoc="0" locked="0" layoutInCell="1" allowOverlap="1">
          <wp:simplePos x="0" y="0"/>
          <wp:positionH relativeFrom="column">
            <wp:posOffset>-367030</wp:posOffset>
          </wp:positionH>
          <wp:positionV relativeFrom="paragraph">
            <wp:posOffset>-36830</wp:posOffset>
          </wp:positionV>
          <wp:extent cx="370205" cy="277495"/>
          <wp:effectExtent l="0" t="0" r="10795" b="8255"/>
          <wp:wrapNone/>
          <wp:docPr id="10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6"/>
                  <pic:cNvPicPr>
                    <a:picLocks noChangeAspect="1"/>
                  </pic:cNvPicPr>
                </pic:nvPicPr>
                <pic:blipFill>
                  <a:blip r:embed="rId1"/>
                  <a:stretch>
                    <a:fillRect/>
                  </a:stretch>
                </pic:blipFill>
                <pic:spPr>
                  <a:xfrm>
                    <a:off x="0" y="0"/>
                    <a:ext cx="370205" cy="277495"/>
                  </a:xfrm>
                  <a:prstGeom prst="rect">
                    <a:avLst/>
                  </a:prstGeom>
                  <a:noFill/>
                  <a:ln>
                    <a:noFill/>
                  </a:ln>
                </pic:spPr>
              </pic:pic>
            </a:graphicData>
          </a:graphic>
        </wp:anchor>
      </w:drawing>
    </w:r>
    <w:r>
      <w:rPr>
        <w:rStyle w:val="51"/>
        <w:rFonts w:hint="eastAsia"/>
      </w:rPr>
      <w:t xml:space="preserve">恒信咨询管理有限公司  </w:t>
    </w:r>
  </w:p>
  <w:p>
    <w:pPr>
      <w:pStyle w:val="31"/>
      <w:tabs>
        <w:tab w:val="clear" w:pos="4153"/>
      </w:tabs>
      <w:jc w:val="both"/>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0"/>
      </w:pBdr>
      <w:tabs>
        <w:tab w:val="left" w:pos="289"/>
        <w:tab w:val="clear" w:pos="4153"/>
      </w:tabs>
      <w:ind w:firstLine="180" w:firstLineChars="100"/>
      <w:rPr>
        <w:rFonts w:hint="eastAsia"/>
      </w:rPr>
    </w:pPr>
    <w:r>
      <w:rPr>
        <w:sz w:val="18"/>
      </w:rPr>
      <mc:AlternateContent>
        <mc:Choice Requires="wps">
          <w:drawing>
            <wp:anchor distT="0" distB="0" distL="114300" distR="114300" simplePos="0" relativeHeight="252783616" behindDoc="0" locked="0" layoutInCell="1" allowOverlap="1">
              <wp:simplePos x="0" y="0"/>
              <wp:positionH relativeFrom="margin">
                <wp:align>right</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2783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FlIcVAgAAFQQAAA4AAABkcnMvZTJvRG9jLnhtbK1Ty47TMBTdI/EP&#10;lvc0aYFR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37yiRDOFHZ2+fT19/3n68YVAB4Ba62fw21h4hu6t6bDoQe+hjHN3&#10;lVPxxkQEdkB9vMArukB4DJpOptMcJg7b8ED+7DHcOh/eCaNIFArqsL8EKzusfehdB5dYTZtVI2Xa&#10;odSkLejVy9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FlIcVAgAAFQQAAA4AAAAAAAAA&#10;AQAgAAAAHwEAAGRycy9lMm9Eb2MueG1sUEsFBgAAAAAGAAYAWQEAAKYFA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836416" behindDoc="0" locked="0" layoutInCell="1" allowOverlap="1">
              <wp:simplePos x="0" y="0"/>
              <wp:positionH relativeFrom="margin">
                <wp:posOffset>5437505</wp:posOffset>
              </wp:positionH>
              <wp:positionV relativeFrom="paragraph">
                <wp:posOffset>-36830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428.15pt;margin-top:-2.9pt;height:144pt;width:144pt;mso-position-horizontal-relative:margin;mso-wrap-style:none;z-index:251836416;mso-width-relative:page;mso-height-relative:page;" filled="f" stroked="f" coordsize="21600,21600" o:gfxdata="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JONYPX&#10;AAAACwEAAA8AAAAAAAAAAQAgAAAAIgAAAGRycy9kb3ducmV2LnhtbFBLAQIUABQAAAAIAIdO4kDo&#10;r/aprwEAAE0DAAAOAAAAAAAAAAEAIAAAACYBAABkcnMvZTJvRG9jLnhtbFBLBQYAAAAABgAGAFkB&#10;AABHBQAAAAA=&#10;">
              <v:fill on="f" focussize="0,0"/>
              <v:stroke on="f"/>
              <v:imagedata o:title=""/>
              <o:lock v:ext="edit" aspectratio="f"/>
              <v:textbox inset="0mm,0mm,0mm,0mm" style="mso-fit-shape-to-text:t;">
                <w:txbxContent>
                  <w:p>
                    <w:pPr>
                      <w:pStyle w:val="31"/>
                      <w:rPr>
                        <w:rFonts w:hint="eastAsia"/>
                        <w:lang w:eastAsia="zh-CN"/>
                      </w:rPr>
                    </w:pPr>
                  </w:p>
                </w:txbxContent>
              </v:textbox>
            </v:shape>
          </w:pict>
        </mc:Fallback>
      </mc:AlternateContent>
    </w:r>
    <w:r>
      <w:rPr>
        <w:rFonts w:hint="eastAsia"/>
      </w:rPr>
      <w:drawing>
        <wp:anchor distT="0" distB="0" distL="114300" distR="114300" simplePos="0" relativeHeight="251835392" behindDoc="0" locked="0" layoutInCell="1" allowOverlap="1">
          <wp:simplePos x="0" y="0"/>
          <wp:positionH relativeFrom="column">
            <wp:posOffset>-367030</wp:posOffset>
          </wp:positionH>
          <wp:positionV relativeFrom="paragraph">
            <wp:posOffset>-36830</wp:posOffset>
          </wp:positionV>
          <wp:extent cx="370205" cy="277495"/>
          <wp:effectExtent l="0" t="0" r="10795" b="8255"/>
          <wp:wrapNone/>
          <wp:docPr id="7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6"/>
                  <pic:cNvPicPr>
                    <a:picLocks noChangeAspect="1"/>
                  </pic:cNvPicPr>
                </pic:nvPicPr>
                <pic:blipFill>
                  <a:blip r:embed="rId1"/>
                  <a:stretch>
                    <a:fillRect/>
                  </a:stretch>
                </pic:blipFill>
                <pic:spPr>
                  <a:xfrm>
                    <a:off x="0" y="0"/>
                    <a:ext cx="370205" cy="277495"/>
                  </a:xfrm>
                  <a:prstGeom prst="rect">
                    <a:avLst/>
                  </a:prstGeom>
                  <a:noFill/>
                  <a:ln>
                    <a:noFill/>
                  </a:ln>
                </pic:spPr>
              </pic:pic>
            </a:graphicData>
          </a:graphic>
        </wp:anchor>
      </w:drawing>
    </w:r>
    <w:r>
      <w:rPr>
        <w:rStyle w:val="51"/>
        <w:rFonts w:hint="eastAsia"/>
      </w:rPr>
      <w:t xml:space="preserve">恒信咨询管理有限公司  </w:t>
    </w:r>
  </w:p>
  <w:p>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0"/>
      </w:pBdr>
      <w:tabs>
        <w:tab w:val="left" w:pos="289"/>
        <w:tab w:val="clear" w:pos="4153"/>
      </w:tabs>
      <w:ind w:firstLine="180" w:firstLineChars="100"/>
      <w:rPr>
        <w:rFonts w:hint="eastAsia"/>
      </w:rPr>
    </w:pPr>
    <w:r>
      <w:rPr>
        <w:sz w:val="18"/>
      </w:rPr>
      <mc:AlternateContent>
        <mc:Choice Requires="wps">
          <w:drawing>
            <wp:anchor distT="0" distB="0" distL="114300" distR="114300" simplePos="0" relativeHeight="252784640" behindDoc="0" locked="0" layoutInCell="1" allowOverlap="1">
              <wp:simplePos x="0" y="0"/>
              <wp:positionH relativeFrom="margin">
                <wp:align>right</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27846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A2gVAgAAFQQAAA4AAABkcnMvZTJvRG9jLnhtbK1Ty47TMBTdI/EP&#10;lvc0adG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A2gVAgAAFQQAAA4AAAAAAAAA&#10;AQAgAAAAHwEAAGRycy9lMm9Eb2MueG1sUEsFBgAAAAAGAAYAWQEAAKYFA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rFonts w:hint="eastAsia"/>
      </w:rPr>
      <w:drawing>
        <wp:anchor distT="0" distB="0" distL="114300" distR="114300" simplePos="0" relativeHeight="251968512" behindDoc="0" locked="0" layoutInCell="1" allowOverlap="1">
          <wp:simplePos x="0" y="0"/>
          <wp:positionH relativeFrom="column">
            <wp:posOffset>-367030</wp:posOffset>
          </wp:positionH>
          <wp:positionV relativeFrom="paragraph">
            <wp:posOffset>-36830</wp:posOffset>
          </wp:positionV>
          <wp:extent cx="370205" cy="277495"/>
          <wp:effectExtent l="0" t="0" r="10795" b="8255"/>
          <wp:wrapNone/>
          <wp:docPr id="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pic:cNvPicPr>
                    <a:picLocks noChangeAspect="1"/>
                  </pic:cNvPicPr>
                </pic:nvPicPr>
                <pic:blipFill>
                  <a:blip r:embed="rId1"/>
                  <a:stretch>
                    <a:fillRect/>
                  </a:stretch>
                </pic:blipFill>
                <pic:spPr>
                  <a:xfrm>
                    <a:off x="0" y="0"/>
                    <a:ext cx="370205" cy="277495"/>
                  </a:xfrm>
                  <a:prstGeom prst="rect">
                    <a:avLst/>
                  </a:prstGeom>
                  <a:noFill/>
                  <a:ln>
                    <a:noFill/>
                  </a:ln>
                </pic:spPr>
              </pic:pic>
            </a:graphicData>
          </a:graphic>
        </wp:anchor>
      </w:drawing>
    </w:r>
    <w:r>
      <w:rPr>
        <w:rStyle w:val="51"/>
        <w:rFonts w:hint="eastAsia"/>
      </w:rPr>
      <w:t xml:space="preserve">恒信咨询管理有限公司  </w:t>
    </w:r>
  </w:p>
  <w:p>
    <w:pPr>
      <w:pStyle w:val="31"/>
      <w:tabs>
        <w:tab w:val="clear" w:pos="4153"/>
      </w:tabs>
      <w:jc w:val="both"/>
      <w:rPr>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0"/>
      </w:pBdr>
      <w:tabs>
        <w:tab w:val="left" w:pos="289"/>
        <w:tab w:val="clear" w:pos="4153"/>
      </w:tabs>
      <w:ind w:firstLine="180" w:firstLineChars="100"/>
      <w:rPr>
        <w:rFonts w:hint="eastAsia"/>
      </w:rPr>
    </w:pPr>
    <w:r>
      <w:rPr>
        <w:sz w:val="18"/>
      </w:rPr>
      <mc:AlternateContent>
        <mc:Choice Requires="wps">
          <w:drawing>
            <wp:anchor distT="0" distB="0" distL="114300" distR="114300" simplePos="0" relativeHeight="252217344"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2217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2213248" behindDoc="0" locked="0" layoutInCell="1" allowOverlap="1">
              <wp:simplePos x="0" y="0"/>
              <wp:positionH relativeFrom="margin">
                <wp:posOffset>5437505</wp:posOffset>
              </wp:positionH>
              <wp:positionV relativeFrom="paragraph">
                <wp:posOffset>-36830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428.15pt;margin-top:-2.9pt;height:144pt;width:144pt;mso-position-horizontal-relative:margin;mso-wrap-style:none;z-index:252213248;mso-width-relative:page;mso-height-relative:page;" filled="f" stroked="f" coordsize="21600,21600" o:gfxdata="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JONYPX&#10;AAAACwEAAA8AAAAAAAAAAQAgAAAAIgAAAGRycy9kb3ducmV2LnhtbFBLAQIUABQAAAAIAIdO4kAV&#10;Oa4krwEAAE0DAAAOAAAAAAAAAAEAIAAAACYBAABkcnMvZTJvRG9jLnhtbFBLBQYAAAAABgAGAFkB&#10;AABHBQAAAAA=&#10;">
              <v:fill on="f" focussize="0,0"/>
              <v:stroke on="f"/>
              <v:imagedata o:title=""/>
              <o:lock v:ext="edit" aspectratio="f"/>
              <v:textbox inset="0mm,0mm,0mm,0mm" style="mso-fit-shape-to-text:t;">
                <w:txbxContent>
                  <w:p>
                    <w:pPr>
                      <w:pStyle w:val="31"/>
                      <w:rPr>
                        <w:rFonts w:hint="eastAsia"/>
                        <w:lang w:eastAsia="zh-CN"/>
                      </w:rPr>
                    </w:pPr>
                  </w:p>
                </w:txbxContent>
              </v:textbox>
            </v:shape>
          </w:pict>
        </mc:Fallback>
      </mc:AlternateContent>
    </w:r>
    <w:r>
      <w:rPr>
        <w:rFonts w:hint="eastAsia"/>
      </w:rPr>
      <w:drawing>
        <wp:anchor distT="0" distB="0" distL="114300" distR="114300" simplePos="0" relativeHeight="252212224" behindDoc="0" locked="0" layoutInCell="1" allowOverlap="1">
          <wp:simplePos x="0" y="0"/>
          <wp:positionH relativeFrom="column">
            <wp:posOffset>-367030</wp:posOffset>
          </wp:positionH>
          <wp:positionV relativeFrom="paragraph">
            <wp:posOffset>-36830</wp:posOffset>
          </wp:positionV>
          <wp:extent cx="370205" cy="277495"/>
          <wp:effectExtent l="0" t="0" r="10795" b="8255"/>
          <wp:wrapNone/>
          <wp:docPr id="3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6"/>
                  <pic:cNvPicPr>
                    <a:picLocks noChangeAspect="1"/>
                  </pic:cNvPicPr>
                </pic:nvPicPr>
                <pic:blipFill>
                  <a:blip r:embed="rId1"/>
                  <a:stretch>
                    <a:fillRect/>
                  </a:stretch>
                </pic:blipFill>
                <pic:spPr>
                  <a:xfrm>
                    <a:off x="0" y="0"/>
                    <a:ext cx="370205" cy="277495"/>
                  </a:xfrm>
                  <a:prstGeom prst="rect">
                    <a:avLst/>
                  </a:prstGeom>
                  <a:noFill/>
                  <a:ln>
                    <a:noFill/>
                  </a:ln>
                </pic:spPr>
              </pic:pic>
            </a:graphicData>
          </a:graphic>
        </wp:anchor>
      </w:drawing>
    </w:r>
    <w:r>
      <w:rPr>
        <w:rStyle w:val="51"/>
        <w:rFonts w:hint="eastAsia"/>
      </w:rPr>
      <w:t xml:space="preserve">恒信咨询管理有限公司  </w:t>
    </w:r>
  </w:p>
  <w:p>
    <w:pPr>
      <w:pStyle w:val="3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0"/>
      </w:pBdr>
      <w:tabs>
        <w:tab w:val="left" w:pos="289"/>
        <w:tab w:val="clear" w:pos="4153"/>
      </w:tabs>
      <w:ind w:firstLine="180" w:firstLineChars="100"/>
      <w:rPr>
        <w:rFonts w:hint="eastAsia"/>
      </w:rPr>
    </w:pPr>
    <w:r>
      <w:rPr>
        <w:sz w:val="18"/>
      </w:rPr>
      <mc:AlternateContent>
        <mc:Choice Requires="wps">
          <w:drawing>
            <wp:anchor distT="0" distB="0" distL="114300" distR="114300" simplePos="0" relativeHeight="252785664" behindDoc="0" locked="0" layoutInCell="1" allowOverlap="1">
              <wp:simplePos x="0" y="0"/>
              <wp:positionH relativeFrom="margin">
                <wp:align>right</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2785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yoMUAgAAFQQAAA4AAABkcnMvZTJvRG9jLnhtbK1Ty47TMBTdI/EP&#10;lvc0aRFVqZ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JPKgxQCAAAVBAAADgAAAAAAAAAB&#10;ACAAAAAfAQAAZHJzL2Uyb0RvYy54bWxQSwUGAAAAAAYABgBZAQAApQU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v:textbox>
            </v:shape>
          </w:pict>
        </mc:Fallback>
      </mc:AlternateContent>
    </w:r>
    <w:r>
      <w:rPr>
        <w:rFonts w:hint="eastAsia"/>
      </w:rPr>
      <w:drawing>
        <wp:anchor distT="0" distB="0" distL="114300" distR="114300" simplePos="0" relativeHeight="251720704" behindDoc="0" locked="0" layoutInCell="1" allowOverlap="1">
          <wp:simplePos x="0" y="0"/>
          <wp:positionH relativeFrom="column">
            <wp:posOffset>-367030</wp:posOffset>
          </wp:positionH>
          <wp:positionV relativeFrom="paragraph">
            <wp:posOffset>-36830</wp:posOffset>
          </wp:positionV>
          <wp:extent cx="370205" cy="277495"/>
          <wp:effectExtent l="0" t="0" r="10795" b="8255"/>
          <wp:wrapNone/>
          <wp:docPr id="4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8"/>
                  <pic:cNvPicPr>
                    <a:picLocks noChangeAspect="1"/>
                  </pic:cNvPicPr>
                </pic:nvPicPr>
                <pic:blipFill>
                  <a:blip r:embed="rId1"/>
                  <a:stretch>
                    <a:fillRect/>
                  </a:stretch>
                </pic:blipFill>
                <pic:spPr>
                  <a:xfrm>
                    <a:off x="0" y="0"/>
                    <a:ext cx="370205" cy="277495"/>
                  </a:xfrm>
                  <a:prstGeom prst="rect">
                    <a:avLst/>
                  </a:prstGeom>
                  <a:noFill/>
                  <a:ln>
                    <a:noFill/>
                  </a:ln>
                </pic:spPr>
              </pic:pic>
            </a:graphicData>
          </a:graphic>
        </wp:anchor>
      </w:drawing>
    </w:r>
    <w:r>
      <w:rPr>
        <w:rStyle w:val="51"/>
        <w:rFonts w:hint="eastAsia"/>
      </w:rPr>
      <w:t xml:space="preserve">恒信咨询管理有限公司  </w:t>
    </w:r>
  </w:p>
  <w:p>
    <w:pPr>
      <w:pStyle w:val="31"/>
      <w:ind w:firstLine="6840" w:firstLineChars="38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76" w:lineRule="auto"/>
      <w:jc w:val="right"/>
      <w:rPr>
        <w:rFonts w:hint="eastAsia" w:hAnsi="宋体" w:cs="华文隶书"/>
        <w:iCs/>
        <w:sz w:val="18"/>
        <w:szCs w:val="18"/>
      </w:rPr>
    </w:pPr>
    <w:r>
      <w:rPr>
        <w:rFonts w:hint="eastAsia" w:hAnsi="宋体" w:cs="华文隶书"/>
        <w:iCs/>
        <w:sz w:val="18"/>
        <w:szCs w:val="18"/>
      </w:rPr>
      <w:t>S325线滹沱河桥、龙泉河桥及贾庄桥加固维修工程招标文件</w:t>
    </w:r>
  </w:p>
  <w:p>
    <w:pPr>
      <w:pStyle w:val="32"/>
      <w:pBdr>
        <w:bottom w:val="none" w:color="auto" w:sz="0" w:space="1"/>
      </w:pBdr>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left"/>
    </w:pPr>
    <w:r>
      <w:rPr>
        <w:rFonts w:hint="eastAsia"/>
      </w:rPr>
      <w:tab/>
    </w:r>
    <w:r>
      <w:rPr>
        <w:rFonts w:hint="eastAsia"/>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76" w:lineRule="auto"/>
      <w:jc w:val="right"/>
      <w:rPr>
        <w:rFonts w:hint="eastAsia" w:hAnsi="宋体" w:cs="华文隶书"/>
        <w:iCs/>
        <w:sz w:val="18"/>
        <w:szCs w:val="18"/>
      </w:rPr>
    </w:pPr>
    <w:r>
      <w:rPr>
        <w:rFonts w:hint="eastAsia" w:hAnsi="宋体" w:cs="华文隶书"/>
        <w:iCs/>
        <w:sz w:val="18"/>
        <w:szCs w:val="18"/>
      </w:rPr>
      <w:t>S325线滹沱河桥、龙泉河桥及贾庄桥加固维修工程招标文件</w:t>
    </w:r>
  </w:p>
  <w:p>
    <w:pPr>
      <w:pStyle w:val="3"/>
      <w:spacing w:line="14" w:lineRule="aut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76" w:lineRule="auto"/>
      <w:jc w:val="right"/>
      <w:rPr>
        <w:rFonts w:hint="eastAsia" w:hAnsi="宋体" w:cs="华文隶书"/>
        <w:iCs/>
        <w:sz w:val="18"/>
        <w:szCs w:val="18"/>
      </w:rPr>
    </w:pPr>
    <w:r>
      <w:rPr>
        <w:rFonts w:hint="eastAsia" w:ascii="宋体" w:hAnsi="宋体" w:cs="宋体"/>
      </w:rPr>
      <w:t xml:space="preserve"> </w:t>
    </w:r>
    <w:r>
      <w:rPr>
        <w:rFonts w:hint="eastAsia"/>
      </w:rPr>
      <w:t xml:space="preserve">                  </w:t>
    </w:r>
    <w:r>
      <w:rPr>
        <w:rFonts w:hint="eastAsia" w:hAnsi="宋体" w:cs="华文隶书"/>
        <w:iCs/>
        <w:sz w:val="18"/>
        <w:szCs w:val="18"/>
      </w:rPr>
      <w:t>S325线滹沱河桥、龙泉河桥及贾庄桥加固维修工程招标文件</w:t>
    </w:r>
  </w:p>
  <w:p>
    <w:pPr>
      <w:pStyle w:val="32"/>
      <w:pBdr>
        <w:top w:val="none" w:color="auto" w:sz="0" w:space="0"/>
        <w:left w:val="none" w:color="auto" w:sz="0" w:space="0"/>
        <w:bottom w:val="none" w:color="auto" w:sz="0" w:space="1"/>
        <w:right w:val="none" w:color="auto" w:sz="0" w:space="0"/>
        <w:between w:val="none" w:color="auto" w:sz="0" w:space="0"/>
      </w:pBdr>
      <w:jc w:val="left"/>
      <w:rPr>
        <w:rFonts w:ascii="宋体" w:hAnsi="宋体"/>
        <w:u w:val="singl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76" w:lineRule="auto"/>
      <w:jc w:val="right"/>
      <w:rPr>
        <w:rFonts w:hint="eastAsia" w:hAnsi="宋体" w:cs="华文隶书"/>
        <w:iCs/>
        <w:sz w:val="18"/>
        <w:szCs w:val="18"/>
      </w:rPr>
    </w:pPr>
    <w:r>
      <w:rPr>
        <w:rFonts w:hint="eastAsia" w:hAnsi="宋体" w:cs="华文隶书"/>
        <w:iCs/>
        <w:sz w:val="18"/>
        <w:szCs w:val="18"/>
      </w:rPr>
      <w:t>S325线滹沱河桥、龙泉河桥及贾庄桥加固维修工程招标文件</w:t>
    </w:r>
  </w:p>
  <w:p>
    <w:pPr>
      <w:pStyle w:val="32"/>
      <w:pBdr>
        <w:bottom w:val="none" w:color="auto" w:sz="0" w:space="1"/>
      </w:pBdr>
      <w:jc w:val="left"/>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76" w:lineRule="auto"/>
      <w:jc w:val="right"/>
      <w:rPr>
        <w:rFonts w:hint="eastAsia" w:hAnsi="宋体" w:cs="华文隶书"/>
        <w:iCs/>
        <w:sz w:val="18"/>
        <w:szCs w:val="18"/>
      </w:rPr>
    </w:pPr>
    <w:r>
      <w:rPr>
        <w:rFonts w:hint="eastAsia" w:hAnsi="宋体" w:cs="华文隶书"/>
        <w:iCs/>
        <w:sz w:val="18"/>
        <w:szCs w:val="18"/>
      </w:rPr>
      <w:t>S325线滹沱河桥、龙泉河桥及贾庄桥加固维修工程招标文件</w:t>
    </w:r>
  </w:p>
  <w:p>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76" w:lineRule="auto"/>
      <w:jc w:val="right"/>
      <w:rPr>
        <w:rFonts w:hint="eastAsia" w:hAnsi="宋体" w:cs="华文隶书"/>
        <w:iCs/>
        <w:sz w:val="18"/>
        <w:szCs w:val="18"/>
      </w:rPr>
    </w:pPr>
    <w:r>
      <w:rPr>
        <w:rFonts w:hint="eastAsia" w:hAnsi="宋体" w:cs="华文隶书"/>
        <w:iCs/>
        <w:sz w:val="18"/>
        <w:szCs w:val="18"/>
      </w:rPr>
      <w:t>S325线滹沱河桥、龙泉河桥及贾庄桥加固维修工程招标文件</w:t>
    </w:r>
  </w:p>
  <w:p>
    <w:pPr>
      <w:pStyle w:val="32"/>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76" w:lineRule="auto"/>
      <w:jc w:val="right"/>
      <w:rPr>
        <w:rFonts w:hint="eastAsia" w:hAnsi="宋体" w:cs="华文隶书"/>
        <w:iCs/>
        <w:sz w:val="18"/>
        <w:szCs w:val="18"/>
      </w:rPr>
    </w:pPr>
    <w:r>
      <w:rPr>
        <w:rFonts w:hint="eastAsia" w:hAnsi="宋体" w:cs="华文隶书"/>
        <w:iCs/>
        <w:sz w:val="18"/>
        <w:szCs w:val="18"/>
      </w:rPr>
      <w:t>S325线滹沱河桥、龙泉河桥及贾庄桥加固维修工程招标文件</w:t>
    </w:r>
  </w:p>
  <w:p>
    <w:pPr>
      <w:pStyle w:val="32"/>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76" w:lineRule="auto"/>
      <w:jc w:val="right"/>
    </w:pPr>
    <w:r>
      <w:rPr>
        <w:rFonts w:hint="eastAsia"/>
      </w:rPr>
      <w:tab/>
    </w:r>
    <w:r>
      <w:rPr>
        <w:rFonts w:hint="eastAsia"/>
      </w:rPr>
      <w:tab/>
    </w:r>
    <w:r>
      <w:rPr>
        <w:rFonts w:hint="eastAsia" w:hAnsi="宋体" w:cs="华文隶书"/>
        <w:iCs/>
        <w:sz w:val="18"/>
        <w:szCs w:val="18"/>
      </w:rPr>
      <w:t>S325线滹沱河桥、龙泉河桥及贾庄桥加固维修工程招标文件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76" w:lineRule="auto"/>
      <w:jc w:val="right"/>
      <w:rPr>
        <w:rFonts w:hint="eastAsia" w:hAnsi="宋体" w:cs="华文隶书"/>
        <w:iCs/>
        <w:sz w:val="18"/>
        <w:szCs w:val="18"/>
      </w:rPr>
    </w:pPr>
    <w:r>
      <w:rPr>
        <w:rFonts w:hint="eastAsia" w:hAnsi="宋体" w:cs="华文隶书"/>
        <w:iCs/>
        <w:sz w:val="18"/>
        <w:szCs w:val="18"/>
      </w:rPr>
      <w:t>S325线滹沱河桥、龙泉河桥及贾庄桥加固维修工程招标文件</w:t>
    </w:r>
  </w:p>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77F80"/>
    <w:multiLevelType w:val="singleLevel"/>
    <w:tmpl w:val="8AC77F80"/>
    <w:lvl w:ilvl="0" w:tentative="0">
      <w:start w:val="2"/>
      <w:numFmt w:val="chineseCounting"/>
      <w:suff w:val="nothing"/>
      <w:lvlText w:val="（%1）"/>
      <w:lvlJc w:val="left"/>
      <w:rPr>
        <w:rFonts w:hint="eastAsia"/>
      </w:rPr>
    </w:lvl>
  </w:abstractNum>
  <w:abstractNum w:abstractNumId="1">
    <w:nsid w:val="A9EF17B5"/>
    <w:multiLevelType w:val="singleLevel"/>
    <w:tmpl w:val="A9EF17B5"/>
    <w:lvl w:ilvl="0" w:tentative="0">
      <w:start w:val="1"/>
      <w:numFmt w:val="decimal"/>
      <w:suff w:val="nothing"/>
      <w:lvlText w:val="（%1）"/>
      <w:lvlJc w:val="left"/>
    </w:lvl>
  </w:abstractNum>
  <w:abstractNum w:abstractNumId="2">
    <w:nsid w:val="BD34CADE"/>
    <w:multiLevelType w:val="singleLevel"/>
    <w:tmpl w:val="BD34CADE"/>
    <w:lvl w:ilvl="0" w:tentative="0">
      <w:start w:val="1"/>
      <w:numFmt w:val="decimal"/>
      <w:suff w:val="nothing"/>
      <w:lvlText w:val="（%1）"/>
      <w:lvlJc w:val="left"/>
    </w:lvl>
  </w:abstractNum>
  <w:abstractNum w:abstractNumId="3">
    <w:nsid w:val="00000004"/>
    <w:multiLevelType w:val="multilevel"/>
    <w:tmpl w:val="00000004"/>
    <w:lvl w:ilvl="0" w:tentative="0">
      <w:start w:val="1"/>
      <w:numFmt w:val="japaneseCounting"/>
      <w:pStyle w:val="332"/>
      <w:lvlText w:val="第%1章"/>
      <w:lvlJc w:val="left"/>
      <w:pPr>
        <w:tabs>
          <w:tab w:val="left" w:pos="3510"/>
        </w:tabs>
        <w:ind w:left="3510" w:hanging="1200"/>
      </w:pPr>
      <w:rPr>
        <w:rFonts w:hint="eastAsia"/>
      </w:rPr>
    </w:lvl>
    <w:lvl w:ilvl="1" w:tentative="0">
      <w:start w:val="7"/>
      <w:numFmt w:val="decimal"/>
      <w:lvlText w:val="%2."/>
      <w:lvlJc w:val="left"/>
      <w:pPr>
        <w:tabs>
          <w:tab w:val="left" w:pos="3090"/>
        </w:tabs>
        <w:ind w:left="3090" w:hanging="360"/>
      </w:pPr>
      <w:rPr>
        <w:rFonts w:hint="default"/>
      </w:rPr>
    </w:lvl>
    <w:lvl w:ilvl="2" w:tentative="0">
      <w:start w:val="2"/>
      <w:numFmt w:val="decimal"/>
      <w:lvlText w:val="%3、"/>
      <w:lvlJc w:val="left"/>
      <w:pPr>
        <w:tabs>
          <w:tab w:val="left" w:pos="3600"/>
        </w:tabs>
        <w:ind w:left="3600" w:hanging="450"/>
      </w:pPr>
      <w:rPr>
        <w:rFonts w:hint="default"/>
        <w:sz w:val="30"/>
      </w:rPr>
    </w:lvl>
    <w:lvl w:ilvl="3" w:tentative="0">
      <w:start w:val="1"/>
      <w:numFmt w:val="decimal"/>
      <w:lvlText w:val="%4."/>
      <w:lvlJc w:val="left"/>
      <w:pPr>
        <w:tabs>
          <w:tab w:val="left" w:pos="3990"/>
        </w:tabs>
        <w:ind w:left="3990" w:hanging="420"/>
      </w:pPr>
    </w:lvl>
    <w:lvl w:ilvl="4" w:tentative="0">
      <w:start w:val="1"/>
      <w:numFmt w:val="lowerLetter"/>
      <w:lvlText w:val="%5)"/>
      <w:lvlJc w:val="left"/>
      <w:pPr>
        <w:tabs>
          <w:tab w:val="left" w:pos="4410"/>
        </w:tabs>
        <w:ind w:left="4410" w:hanging="420"/>
      </w:pPr>
    </w:lvl>
    <w:lvl w:ilvl="5" w:tentative="0">
      <w:start w:val="1"/>
      <w:numFmt w:val="lowerRoman"/>
      <w:lvlText w:val="%6."/>
      <w:lvlJc w:val="right"/>
      <w:pPr>
        <w:tabs>
          <w:tab w:val="left" w:pos="4830"/>
        </w:tabs>
        <w:ind w:left="4830" w:hanging="420"/>
      </w:pPr>
    </w:lvl>
    <w:lvl w:ilvl="6" w:tentative="0">
      <w:start w:val="1"/>
      <w:numFmt w:val="decimal"/>
      <w:lvlText w:val="%7."/>
      <w:lvlJc w:val="left"/>
      <w:pPr>
        <w:tabs>
          <w:tab w:val="left" w:pos="5250"/>
        </w:tabs>
        <w:ind w:left="5250" w:hanging="420"/>
      </w:pPr>
    </w:lvl>
    <w:lvl w:ilvl="7" w:tentative="0">
      <w:start w:val="1"/>
      <w:numFmt w:val="lowerLetter"/>
      <w:lvlText w:val="%8)"/>
      <w:lvlJc w:val="left"/>
      <w:pPr>
        <w:tabs>
          <w:tab w:val="left" w:pos="5670"/>
        </w:tabs>
        <w:ind w:left="5670" w:hanging="420"/>
      </w:pPr>
    </w:lvl>
    <w:lvl w:ilvl="8" w:tentative="0">
      <w:start w:val="1"/>
      <w:numFmt w:val="lowerRoman"/>
      <w:lvlText w:val="%9."/>
      <w:lvlJc w:val="right"/>
      <w:pPr>
        <w:tabs>
          <w:tab w:val="left" w:pos="6090"/>
        </w:tabs>
        <w:ind w:left="6090" w:hanging="420"/>
      </w:pPr>
    </w:lvl>
  </w:abstractNum>
  <w:abstractNum w:abstractNumId="4">
    <w:nsid w:val="00000012"/>
    <w:multiLevelType w:val="multilevel"/>
    <w:tmpl w:val="00000012"/>
    <w:lvl w:ilvl="0" w:tentative="0">
      <w:start w:val="1"/>
      <w:numFmt w:val="none"/>
      <w:lvlText w:val="（一）"/>
      <w:lvlJc w:val="left"/>
      <w:pPr>
        <w:tabs>
          <w:tab w:val="left" w:pos="3975"/>
        </w:tabs>
        <w:ind w:left="3975"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297"/>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7"/>
    <w:multiLevelType w:val="multilevel"/>
    <w:tmpl w:val="00000017"/>
    <w:lvl w:ilvl="0" w:tentative="0">
      <w:start w:val="2"/>
      <w:numFmt w:val="decimal"/>
      <w:lvlText w:val="3.2.%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17C1B23F"/>
    <w:multiLevelType w:val="singleLevel"/>
    <w:tmpl w:val="17C1B23F"/>
    <w:lvl w:ilvl="0" w:tentative="0">
      <w:start w:val="1"/>
      <w:numFmt w:val="decimal"/>
      <w:suff w:val="nothing"/>
      <w:lvlText w:val="（%1）"/>
      <w:lvlJc w:val="left"/>
    </w:lvl>
  </w:abstractNum>
  <w:abstractNum w:abstractNumId="7">
    <w:nsid w:val="319F0039"/>
    <w:multiLevelType w:val="singleLevel"/>
    <w:tmpl w:val="319F0039"/>
    <w:lvl w:ilvl="0" w:tentative="0">
      <w:start w:val="1"/>
      <w:numFmt w:val="decimal"/>
      <w:suff w:val="nothing"/>
      <w:lvlText w:val="（%1）"/>
      <w:lvlJc w:val="left"/>
    </w:lvl>
  </w:abstractNum>
  <w:abstractNum w:abstractNumId="8">
    <w:nsid w:val="404A93CE"/>
    <w:multiLevelType w:val="singleLevel"/>
    <w:tmpl w:val="404A93CE"/>
    <w:lvl w:ilvl="0" w:tentative="0">
      <w:start w:val="1"/>
      <w:numFmt w:val="decimal"/>
      <w:lvlText w:val="%1."/>
      <w:lvlJc w:val="left"/>
      <w:pPr>
        <w:tabs>
          <w:tab w:val="left" w:pos="312"/>
        </w:tabs>
      </w:pPr>
    </w:lvl>
  </w:abstractNum>
  <w:abstractNum w:abstractNumId="9">
    <w:nsid w:val="44047DB7"/>
    <w:multiLevelType w:val="multilevel"/>
    <w:tmpl w:val="44047DB7"/>
    <w:lvl w:ilvl="0" w:tentative="0">
      <w:start w:val="1"/>
      <w:numFmt w:val="decimal"/>
      <w:lvlText w:val="%1."/>
      <w:lvlJc w:val="left"/>
      <w:pPr>
        <w:ind w:left="42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326" w:hanging="300"/>
      </w:pPr>
      <w:rPr>
        <w:rFonts w:hint="default"/>
        <w:lang w:val="zh-CN" w:eastAsia="zh-CN" w:bidi="zh-CN"/>
      </w:rPr>
    </w:lvl>
    <w:lvl w:ilvl="2" w:tentative="0">
      <w:start w:val="0"/>
      <w:numFmt w:val="bullet"/>
      <w:lvlText w:val="•"/>
      <w:lvlJc w:val="left"/>
      <w:pPr>
        <w:ind w:left="2233" w:hanging="300"/>
      </w:pPr>
      <w:rPr>
        <w:rFonts w:hint="default"/>
        <w:lang w:val="zh-CN" w:eastAsia="zh-CN" w:bidi="zh-CN"/>
      </w:rPr>
    </w:lvl>
    <w:lvl w:ilvl="3" w:tentative="0">
      <w:start w:val="0"/>
      <w:numFmt w:val="bullet"/>
      <w:lvlText w:val="•"/>
      <w:lvlJc w:val="left"/>
      <w:pPr>
        <w:ind w:left="3139" w:hanging="300"/>
      </w:pPr>
      <w:rPr>
        <w:rFonts w:hint="default"/>
        <w:lang w:val="zh-CN" w:eastAsia="zh-CN" w:bidi="zh-CN"/>
      </w:rPr>
    </w:lvl>
    <w:lvl w:ilvl="4" w:tentative="0">
      <w:start w:val="0"/>
      <w:numFmt w:val="bullet"/>
      <w:lvlText w:val="•"/>
      <w:lvlJc w:val="left"/>
      <w:pPr>
        <w:ind w:left="4046" w:hanging="300"/>
      </w:pPr>
      <w:rPr>
        <w:rFonts w:hint="default"/>
        <w:lang w:val="zh-CN" w:eastAsia="zh-CN" w:bidi="zh-CN"/>
      </w:rPr>
    </w:lvl>
    <w:lvl w:ilvl="5" w:tentative="0">
      <w:start w:val="0"/>
      <w:numFmt w:val="bullet"/>
      <w:lvlText w:val="•"/>
      <w:lvlJc w:val="left"/>
      <w:pPr>
        <w:ind w:left="4953" w:hanging="300"/>
      </w:pPr>
      <w:rPr>
        <w:rFonts w:hint="default"/>
        <w:lang w:val="zh-CN" w:eastAsia="zh-CN" w:bidi="zh-CN"/>
      </w:rPr>
    </w:lvl>
    <w:lvl w:ilvl="6" w:tentative="0">
      <w:start w:val="0"/>
      <w:numFmt w:val="bullet"/>
      <w:lvlText w:val="•"/>
      <w:lvlJc w:val="left"/>
      <w:pPr>
        <w:ind w:left="5859" w:hanging="300"/>
      </w:pPr>
      <w:rPr>
        <w:rFonts w:hint="default"/>
        <w:lang w:val="zh-CN" w:eastAsia="zh-CN" w:bidi="zh-CN"/>
      </w:rPr>
    </w:lvl>
    <w:lvl w:ilvl="7" w:tentative="0">
      <w:start w:val="0"/>
      <w:numFmt w:val="bullet"/>
      <w:lvlText w:val="•"/>
      <w:lvlJc w:val="left"/>
      <w:pPr>
        <w:ind w:left="6766" w:hanging="300"/>
      </w:pPr>
      <w:rPr>
        <w:rFonts w:hint="default"/>
        <w:lang w:val="zh-CN" w:eastAsia="zh-CN" w:bidi="zh-CN"/>
      </w:rPr>
    </w:lvl>
    <w:lvl w:ilvl="8" w:tentative="0">
      <w:start w:val="0"/>
      <w:numFmt w:val="bullet"/>
      <w:lvlText w:val="•"/>
      <w:lvlJc w:val="left"/>
      <w:pPr>
        <w:ind w:left="7673" w:hanging="300"/>
      </w:pPr>
      <w:rPr>
        <w:rFonts w:hint="default"/>
        <w:lang w:val="zh-CN" w:eastAsia="zh-CN" w:bidi="zh-CN"/>
      </w:rPr>
    </w:lvl>
  </w:abstractNum>
  <w:abstractNum w:abstractNumId="10">
    <w:nsid w:val="46421880"/>
    <w:multiLevelType w:val="multilevel"/>
    <w:tmpl w:val="46421880"/>
    <w:lvl w:ilvl="0" w:tentative="0">
      <w:start w:val="7"/>
      <w:numFmt w:val="decimal"/>
      <w:pStyle w:val="229"/>
      <w:lvlText w:val="%1）"/>
      <w:lvlJc w:val="left"/>
      <w:pPr>
        <w:tabs>
          <w:tab w:val="left" w:pos="840"/>
        </w:tabs>
        <w:ind w:left="840" w:hanging="600"/>
      </w:pPr>
      <w:rPr>
        <w:rFonts w:hint="eastAsia"/>
      </w:rPr>
    </w:lvl>
    <w:lvl w:ilvl="1" w:tentative="0">
      <w:start w:val="1"/>
      <w:numFmt w:val="decimal"/>
      <w:lvlText w:val="%2、"/>
      <w:lvlJc w:val="left"/>
      <w:pPr>
        <w:tabs>
          <w:tab w:val="left" w:pos="1020"/>
        </w:tabs>
        <w:ind w:left="1020" w:hanging="360"/>
      </w:pPr>
      <w:rPr>
        <w:rFonts w:hint="eastAsia"/>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11">
    <w:nsid w:val="46F849E1"/>
    <w:multiLevelType w:val="multilevel"/>
    <w:tmpl w:val="46F849E1"/>
    <w:lvl w:ilvl="0" w:tentative="0">
      <w:start w:val="1"/>
      <w:numFmt w:val="decimal"/>
      <w:lvlText w:val="%1、"/>
      <w:lvlJc w:val="left"/>
      <w:pPr>
        <w:ind w:left="360" w:hanging="360"/>
      </w:pPr>
      <w:rPr>
        <w:rFonts w:hint="default" w:ascii="宋体" w:hAnsi="宋体"/>
        <w:b/>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5C37D8"/>
    <w:multiLevelType w:val="multilevel"/>
    <w:tmpl w:val="4C5C37D8"/>
    <w:lvl w:ilvl="0" w:tentative="0">
      <w:start w:val="1"/>
      <w:numFmt w:val="decimal"/>
      <w:pStyle w:val="353"/>
      <w:lvlText w:val="%1."/>
      <w:lvlJc w:val="left"/>
      <w:pPr>
        <w:tabs>
          <w:tab w:val="left" w:pos="425"/>
        </w:tabs>
        <w:ind w:left="425" w:hanging="425"/>
      </w:pPr>
      <w:rPr>
        <w:rFonts w:hint="eastAsia"/>
        <w:b/>
        <w:i w:val="0"/>
      </w:rPr>
    </w:lvl>
    <w:lvl w:ilvl="1" w:tentative="0">
      <w:start w:val="1"/>
      <w:numFmt w:val="decimal"/>
      <w:pStyle w:val="279"/>
      <w:lvlText w:val="%1.%2"/>
      <w:lvlJc w:val="left"/>
      <w:pPr>
        <w:tabs>
          <w:tab w:val="left" w:pos="170"/>
        </w:tabs>
        <w:ind w:left="170" w:hanging="170"/>
      </w:pPr>
      <w:rPr>
        <w:rFonts w:hint="eastAsia"/>
      </w:rPr>
    </w:lvl>
    <w:lvl w:ilvl="2" w:tentative="0">
      <w:start w:val="1"/>
      <w:numFmt w:val="decimal"/>
      <w:pStyle w:val="288"/>
      <w:lvlText w:val="%1.%2.%3"/>
      <w:lvlJc w:val="center"/>
      <w:pPr>
        <w:tabs>
          <w:tab w:val="left" w:pos="181"/>
        </w:tabs>
        <w:ind w:left="0" w:firstLine="794"/>
      </w:pPr>
      <w:rPr>
        <w:rFonts w:hint="eastAsia" w:ascii="宋体" w:hAnsi="宋体" w:eastAsia="宋体"/>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500AFF56"/>
    <w:multiLevelType w:val="singleLevel"/>
    <w:tmpl w:val="500AFF56"/>
    <w:lvl w:ilvl="0" w:tentative="0">
      <w:start w:val="1"/>
      <w:numFmt w:val="decimal"/>
      <w:suff w:val="nothing"/>
      <w:lvlText w:val="%1、"/>
      <w:lvlJc w:val="left"/>
    </w:lvl>
  </w:abstractNum>
  <w:abstractNum w:abstractNumId="14">
    <w:nsid w:val="666277F5"/>
    <w:multiLevelType w:val="multilevel"/>
    <w:tmpl w:val="666277F5"/>
    <w:lvl w:ilvl="0" w:tentative="0">
      <w:start w:val="17"/>
      <w:numFmt w:val="decimal"/>
      <w:lvlText w:val="%1"/>
      <w:lvlJc w:val="left"/>
      <w:pPr>
        <w:ind w:left="1554" w:hanging="660"/>
      </w:pPr>
      <w:rPr>
        <w:rFonts w:hint="default"/>
        <w:lang w:val="zh-CN" w:eastAsia="zh-CN" w:bidi="zh-CN"/>
      </w:rPr>
    </w:lvl>
    <w:lvl w:ilvl="1" w:tentative="0">
      <w:start w:val="2"/>
      <w:numFmt w:val="decimal"/>
      <w:lvlText w:val="%1.%2"/>
      <w:lvlJc w:val="left"/>
      <w:pPr>
        <w:ind w:left="1554" w:hanging="660"/>
      </w:pPr>
      <w:rPr>
        <w:rFonts w:hint="default"/>
        <w:lang w:val="zh-CN" w:eastAsia="zh-CN" w:bidi="zh-CN"/>
      </w:rPr>
    </w:lvl>
    <w:lvl w:ilvl="2" w:tentative="0">
      <w:start w:val="1"/>
      <w:numFmt w:val="decimal"/>
      <w:lvlText w:val="%1.%2.%3"/>
      <w:lvlJc w:val="left"/>
      <w:pPr>
        <w:ind w:left="1554" w:hanging="66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603" w:hanging="660"/>
      </w:pPr>
      <w:rPr>
        <w:rFonts w:hint="default"/>
        <w:lang w:val="zh-CN" w:eastAsia="zh-CN" w:bidi="zh-CN"/>
      </w:rPr>
    </w:lvl>
    <w:lvl w:ilvl="4" w:tentative="0">
      <w:start w:val="0"/>
      <w:numFmt w:val="bullet"/>
      <w:lvlText w:val="•"/>
      <w:lvlJc w:val="left"/>
      <w:pPr>
        <w:ind w:left="3586" w:hanging="660"/>
      </w:pPr>
      <w:rPr>
        <w:rFonts w:hint="default"/>
        <w:lang w:val="zh-CN" w:eastAsia="zh-CN" w:bidi="zh-CN"/>
      </w:rPr>
    </w:lvl>
    <w:lvl w:ilvl="5" w:tentative="0">
      <w:start w:val="0"/>
      <w:numFmt w:val="bullet"/>
      <w:lvlText w:val="•"/>
      <w:lvlJc w:val="left"/>
      <w:pPr>
        <w:ind w:left="4569" w:hanging="660"/>
      </w:pPr>
      <w:rPr>
        <w:rFonts w:hint="default"/>
        <w:lang w:val="zh-CN" w:eastAsia="zh-CN" w:bidi="zh-CN"/>
      </w:rPr>
    </w:lvl>
    <w:lvl w:ilvl="6" w:tentative="0">
      <w:start w:val="0"/>
      <w:numFmt w:val="bullet"/>
      <w:lvlText w:val="•"/>
      <w:lvlJc w:val="left"/>
      <w:pPr>
        <w:ind w:left="5553" w:hanging="660"/>
      </w:pPr>
      <w:rPr>
        <w:rFonts w:hint="default"/>
        <w:lang w:val="zh-CN" w:eastAsia="zh-CN" w:bidi="zh-CN"/>
      </w:rPr>
    </w:lvl>
    <w:lvl w:ilvl="7" w:tentative="0">
      <w:start w:val="0"/>
      <w:numFmt w:val="bullet"/>
      <w:lvlText w:val="•"/>
      <w:lvlJc w:val="left"/>
      <w:pPr>
        <w:ind w:left="6536" w:hanging="660"/>
      </w:pPr>
      <w:rPr>
        <w:rFonts w:hint="default"/>
        <w:lang w:val="zh-CN" w:eastAsia="zh-CN" w:bidi="zh-CN"/>
      </w:rPr>
    </w:lvl>
    <w:lvl w:ilvl="8" w:tentative="0">
      <w:start w:val="0"/>
      <w:numFmt w:val="bullet"/>
      <w:lvlText w:val="•"/>
      <w:lvlJc w:val="left"/>
      <w:pPr>
        <w:ind w:left="7519" w:hanging="660"/>
      </w:pPr>
      <w:rPr>
        <w:rFonts w:hint="default"/>
        <w:lang w:val="zh-CN" w:eastAsia="zh-CN" w:bidi="zh-CN"/>
      </w:rPr>
    </w:lvl>
  </w:abstractNum>
  <w:abstractNum w:abstractNumId="15">
    <w:nsid w:val="68A850D2"/>
    <w:multiLevelType w:val="multilevel"/>
    <w:tmpl w:val="68A850D2"/>
    <w:lvl w:ilvl="0" w:tentative="0">
      <w:start w:val="1"/>
      <w:numFmt w:val="chineseCountingThousand"/>
      <w:pStyle w:val="337"/>
      <w:lvlText w:val="%1、"/>
      <w:lvlJc w:val="left"/>
      <w:pPr>
        <w:ind w:left="420" w:hanging="420"/>
      </w:pPr>
      <w:rPr>
        <w:rFonts w:hint="eastAsia" w:eastAsia="宋体"/>
        <w:b/>
        <w:i w:val="0"/>
        <w:sz w:val="24"/>
      </w:rPr>
    </w:lvl>
    <w:lvl w:ilvl="1" w:tentative="0">
      <w:start w:val="1"/>
      <w:numFmt w:val="decimal"/>
      <w:lvlText w:val="%2."/>
      <w:lvlJc w:val="left"/>
      <w:pPr>
        <w:ind w:left="780" w:hanging="360"/>
      </w:pPr>
      <w:rPr>
        <w:rFonts w:hint="default"/>
        <w:color w:val="auto"/>
      </w:rPr>
    </w:lvl>
    <w:lvl w:ilvl="2" w:tentative="0">
      <w:start w:val="2"/>
      <w:numFmt w:val="decimal"/>
      <w:lvlText w:val="（%3）"/>
      <w:lvlJc w:val="left"/>
      <w:pPr>
        <w:tabs>
          <w:tab w:val="left" w:pos="1560"/>
        </w:tabs>
        <w:ind w:left="1560" w:hanging="720"/>
      </w:pPr>
      <w:rPr>
        <w:rFonts w:hint="default"/>
      </w:rPr>
    </w:lvl>
    <w:lvl w:ilvl="3" w:tentative="0">
      <w:start w:val="2"/>
      <w:numFmt w:val="japaneseCounting"/>
      <w:lvlText w:val="%4、"/>
      <w:lvlJc w:val="left"/>
      <w:pPr>
        <w:tabs>
          <w:tab w:val="left" w:pos="1740"/>
        </w:tabs>
        <w:ind w:left="1740" w:hanging="480"/>
      </w:pPr>
      <w:rPr>
        <w:rFonts w:hint="default"/>
      </w:rPr>
    </w:lvl>
    <w:lvl w:ilvl="4" w:tentative="0">
      <w:start w:val="1"/>
      <w:numFmt w:val="decimal"/>
      <w:lvlText w:val="(%5)"/>
      <w:lvlJc w:val="left"/>
      <w:pPr>
        <w:tabs>
          <w:tab w:val="left" w:pos="2040"/>
        </w:tabs>
        <w:ind w:left="2040" w:hanging="360"/>
      </w:pPr>
      <w:rPr>
        <w:rFonts w:hint="default"/>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CAF534B"/>
    <w:multiLevelType w:val="multilevel"/>
    <w:tmpl w:val="6CAF534B"/>
    <w:lvl w:ilvl="0" w:tentative="0">
      <w:start w:val="1"/>
      <w:numFmt w:val="bullet"/>
      <w:pStyle w:val="208"/>
      <w:lvlText w:val=""/>
      <w:lvlJc w:val="left"/>
      <w:pPr>
        <w:tabs>
          <w:tab w:val="left" w:pos="874"/>
        </w:tabs>
        <w:ind w:left="874"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6F1973B1"/>
    <w:multiLevelType w:val="multilevel"/>
    <w:tmpl w:val="6F1973B1"/>
    <w:lvl w:ilvl="0" w:tentative="0">
      <w:start w:val="22"/>
      <w:numFmt w:val="decimal"/>
      <w:lvlText w:val="%1"/>
      <w:lvlJc w:val="left"/>
      <w:pPr>
        <w:ind w:left="964" w:hanging="540"/>
      </w:pPr>
      <w:rPr>
        <w:rFonts w:hint="default"/>
        <w:lang w:val="zh-CN" w:eastAsia="zh-CN" w:bidi="zh-CN"/>
      </w:rPr>
    </w:lvl>
    <w:lvl w:ilvl="1" w:tentative="0">
      <w:start w:val="1"/>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424" w:hanging="720"/>
      </w:pPr>
      <w:rPr>
        <w:rFonts w:hint="default" w:ascii="Times New Roman" w:hAnsi="Times New Roman" w:eastAsia="Times New Roman" w:cs="Times New Roman"/>
        <w:spacing w:val="-43"/>
        <w:w w:val="100"/>
        <w:sz w:val="24"/>
        <w:szCs w:val="24"/>
        <w:lang w:val="zh-CN" w:eastAsia="zh-CN" w:bidi="zh-CN"/>
      </w:rPr>
    </w:lvl>
    <w:lvl w:ilvl="3" w:tentative="0">
      <w:start w:val="1"/>
      <w:numFmt w:val="decimal"/>
      <w:lvlText w:val="%4."/>
      <w:lvlJc w:val="left"/>
      <w:pPr>
        <w:ind w:left="424" w:hanging="300"/>
      </w:pPr>
      <w:rPr>
        <w:rFonts w:hint="default" w:ascii="Times New Roman" w:hAnsi="Times New Roman" w:eastAsia="Times New Roman" w:cs="Times New Roman"/>
        <w:spacing w:val="-48"/>
        <w:w w:val="99"/>
        <w:sz w:val="24"/>
        <w:szCs w:val="24"/>
        <w:lang w:val="zh-CN" w:eastAsia="zh-CN" w:bidi="zh-CN"/>
      </w:rPr>
    </w:lvl>
    <w:lvl w:ilvl="4" w:tentative="0">
      <w:start w:val="0"/>
      <w:numFmt w:val="bullet"/>
      <w:lvlText w:val="•"/>
      <w:lvlJc w:val="left"/>
      <w:pPr>
        <w:ind w:left="3802" w:hanging="300"/>
      </w:pPr>
      <w:rPr>
        <w:rFonts w:hint="default"/>
        <w:lang w:val="zh-CN" w:eastAsia="zh-CN" w:bidi="zh-CN"/>
      </w:rPr>
    </w:lvl>
    <w:lvl w:ilvl="5" w:tentative="0">
      <w:start w:val="0"/>
      <w:numFmt w:val="bullet"/>
      <w:lvlText w:val="•"/>
      <w:lvlJc w:val="left"/>
      <w:pPr>
        <w:ind w:left="4749" w:hanging="300"/>
      </w:pPr>
      <w:rPr>
        <w:rFonts w:hint="default"/>
        <w:lang w:val="zh-CN" w:eastAsia="zh-CN" w:bidi="zh-CN"/>
      </w:rPr>
    </w:lvl>
    <w:lvl w:ilvl="6" w:tentative="0">
      <w:start w:val="0"/>
      <w:numFmt w:val="bullet"/>
      <w:lvlText w:val="•"/>
      <w:lvlJc w:val="left"/>
      <w:pPr>
        <w:ind w:left="5696" w:hanging="300"/>
      </w:pPr>
      <w:rPr>
        <w:rFonts w:hint="default"/>
        <w:lang w:val="zh-CN" w:eastAsia="zh-CN" w:bidi="zh-CN"/>
      </w:rPr>
    </w:lvl>
    <w:lvl w:ilvl="7" w:tentative="0">
      <w:start w:val="0"/>
      <w:numFmt w:val="bullet"/>
      <w:lvlText w:val="•"/>
      <w:lvlJc w:val="left"/>
      <w:pPr>
        <w:ind w:left="6644" w:hanging="300"/>
      </w:pPr>
      <w:rPr>
        <w:rFonts w:hint="default"/>
        <w:lang w:val="zh-CN" w:eastAsia="zh-CN" w:bidi="zh-CN"/>
      </w:rPr>
    </w:lvl>
    <w:lvl w:ilvl="8" w:tentative="0">
      <w:start w:val="0"/>
      <w:numFmt w:val="bullet"/>
      <w:lvlText w:val="•"/>
      <w:lvlJc w:val="left"/>
      <w:pPr>
        <w:ind w:left="7591" w:hanging="300"/>
      </w:pPr>
      <w:rPr>
        <w:rFonts w:hint="default"/>
        <w:lang w:val="zh-CN" w:eastAsia="zh-CN" w:bidi="zh-CN"/>
      </w:rPr>
    </w:lvl>
  </w:abstractNum>
  <w:num w:numId="1">
    <w:abstractNumId w:val="16"/>
  </w:num>
  <w:num w:numId="2">
    <w:abstractNumId w:val="10"/>
  </w:num>
  <w:num w:numId="3">
    <w:abstractNumId w:val="12"/>
  </w:num>
  <w:num w:numId="4">
    <w:abstractNumId w:val="4"/>
  </w:num>
  <w:num w:numId="5">
    <w:abstractNumId w:val="3"/>
  </w:num>
  <w:num w:numId="6">
    <w:abstractNumId w:val="15"/>
  </w:num>
  <w:num w:numId="7">
    <w:abstractNumId w:val="13"/>
  </w:num>
  <w:num w:numId="8">
    <w:abstractNumId w:val="8"/>
  </w:num>
  <w:num w:numId="9">
    <w:abstractNumId w:val="5"/>
  </w:num>
  <w:num w:numId="10">
    <w:abstractNumId w:val="1"/>
  </w:num>
  <w:num w:numId="11">
    <w:abstractNumId w:val="7"/>
  </w:num>
  <w:num w:numId="12">
    <w:abstractNumId w:val="2"/>
  </w:num>
  <w:num w:numId="13">
    <w:abstractNumId w:val="6"/>
  </w:num>
  <w:num w:numId="14">
    <w:abstractNumId w:val="14"/>
  </w:num>
  <w:num w:numId="15">
    <w:abstractNumId w:val="17"/>
  </w:num>
  <w:num w:numId="16">
    <w:abstractNumId w:val="9"/>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11"/>
    <w:rsid w:val="00086B3A"/>
    <w:rsid w:val="000A0E4A"/>
    <w:rsid w:val="000B1050"/>
    <w:rsid w:val="000F3069"/>
    <w:rsid w:val="001139C9"/>
    <w:rsid w:val="00145163"/>
    <w:rsid w:val="0017003F"/>
    <w:rsid w:val="00175E7C"/>
    <w:rsid w:val="0018354F"/>
    <w:rsid w:val="001872C2"/>
    <w:rsid w:val="00194245"/>
    <w:rsid w:val="001D61EA"/>
    <w:rsid w:val="001F514F"/>
    <w:rsid w:val="002022B0"/>
    <w:rsid w:val="00222087"/>
    <w:rsid w:val="00262A64"/>
    <w:rsid w:val="00275545"/>
    <w:rsid w:val="002F1B6E"/>
    <w:rsid w:val="002F59FC"/>
    <w:rsid w:val="0032280F"/>
    <w:rsid w:val="00334830"/>
    <w:rsid w:val="00342976"/>
    <w:rsid w:val="003707EA"/>
    <w:rsid w:val="0037341F"/>
    <w:rsid w:val="003740D4"/>
    <w:rsid w:val="003979C9"/>
    <w:rsid w:val="003C0111"/>
    <w:rsid w:val="003D3061"/>
    <w:rsid w:val="003E3507"/>
    <w:rsid w:val="00406A5F"/>
    <w:rsid w:val="004A0951"/>
    <w:rsid w:val="004A5E00"/>
    <w:rsid w:val="004D4002"/>
    <w:rsid w:val="0052182C"/>
    <w:rsid w:val="00524DE4"/>
    <w:rsid w:val="00546428"/>
    <w:rsid w:val="0056455C"/>
    <w:rsid w:val="005972B9"/>
    <w:rsid w:val="005E489D"/>
    <w:rsid w:val="00612439"/>
    <w:rsid w:val="006B7E17"/>
    <w:rsid w:val="0070647A"/>
    <w:rsid w:val="007272E4"/>
    <w:rsid w:val="00750841"/>
    <w:rsid w:val="007A4D92"/>
    <w:rsid w:val="007D132F"/>
    <w:rsid w:val="007F1FB5"/>
    <w:rsid w:val="007F74D7"/>
    <w:rsid w:val="00810B9B"/>
    <w:rsid w:val="00856526"/>
    <w:rsid w:val="00857E65"/>
    <w:rsid w:val="00886C06"/>
    <w:rsid w:val="008C0309"/>
    <w:rsid w:val="008D2952"/>
    <w:rsid w:val="008D4E7E"/>
    <w:rsid w:val="008E122A"/>
    <w:rsid w:val="008F0BE3"/>
    <w:rsid w:val="00901034"/>
    <w:rsid w:val="00907862"/>
    <w:rsid w:val="009956CD"/>
    <w:rsid w:val="009B6721"/>
    <w:rsid w:val="00A17997"/>
    <w:rsid w:val="00A42538"/>
    <w:rsid w:val="00A52BAA"/>
    <w:rsid w:val="00A54CC6"/>
    <w:rsid w:val="00A571BF"/>
    <w:rsid w:val="00AC2F95"/>
    <w:rsid w:val="00AE233A"/>
    <w:rsid w:val="00AE50C4"/>
    <w:rsid w:val="00AF6375"/>
    <w:rsid w:val="00B4176E"/>
    <w:rsid w:val="00B4298B"/>
    <w:rsid w:val="00B56534"/>
    <w:rsid w:val="00B676DC"/>
    <w:rsid w:val="00C05AF9"/>
    <w:rsid w:val="00C1107A"/>
    <w:rsid w:val="00C62033"/>
    <w:rsid w:val="00C8041A"/>
    <w:rsid w:val="00C91577"/>
    <w:rsid w:val="00C93F3F"/>
    <w:rsid w:val="00CA4D0F"/>
    <w:rsid w:val="00CD4E50"/>
    <w:rsid w:val="00D57B0F"/>
    <w:rsid w:val="00DB71CD"/>
    <w:rsid w:val="00DD7C3E"/>
    <w:rsid w:val="00DF6BA5"/>
    <w:rsid w:val="00E341E8"/>
    <w:rsid w:val="00E532BC"/>
    <w:rsid w:val="00EA145A"/>
    <w:rsid w:val="00EC1A1D"/>
    <w:rsid w:val="00ED4EE7"/>
    <w:rsid w:val="00EE5BFB"/>
    <w:rsid w:val="00F35314"/>
    <w:rsid w:val="00F35E09"/>
    <w:rsid w:val="024F2865"/>
    <w:rsid w:val="02542C24"/>
    <w:rsid w:val="02815CDC"/>
    <w:rsid w:val="02823E3D"/>
    <w:rsid w:val="02AB4756"/>
    <w:rsid w:val="02B649A6"/>
    <w:rsid w:val="02BC6F1B"/>
    <w:rsid w:val="031D6EA9"/>
    <w:rsid w:val="032558C4"/>
    <w:rsid w:val="038F077D"/>
    <w:rsid w:val="03B65C20"/>
    <w:rsid w:val="03E95CA6"/>
    <w:rsid w:val="04485F97"/>
    <w:rsid w:val="046C3066"/>
    <w:rsid w:val="04D42418"/>
    <w:rsid w:val="04EE6BA5"/>
    <w:rsid w:val="050A051E"/>
    <w:rsid w:val="05277427"/>
    <w:rsid w:val="05AA6CCB"/>
    <w:rsid w:val="05DA5B79"/>
    <w:rsid w:val="06C86D74"/>
    <w:rsid w:val="06F856AB"/>
    <w:rsid w:val="072F0396"/>
    <w:rsid w:val="07A01A7B"/>
    <w:rsid w:val="07F075D2"/>
    <w:rsid w:val="07F70594"/>
    <w:rsid w:val="081605AF"/>
    <w:rsid w:val="0866074C"/>
    <w:rsid w:val="087446DA"/>
    <w:rsid w:val="088742B6"/>
    <w:rsid w:val="08884B5F"/>
    <w:rsid w:val="08BC2A0C"/>
    <w:rsid w:val="08BE724B"/>
    <w:rsid w:val="08D37387"/>
    <w:rsid w:val="09430CC9"/>
    <w:rsid w:val="09A753F2"/>
    <w:rsid w:val="09FB7F07"/>
    <w:rsid w:val="0A1B5F33"/>
    <w:rsid w:val="0A7663FB"/>
    <w:rsid w:val="0A9271F9"/>
    <w:rsid w:val="0B437A54"/>
    <w:rsid w:val="0B5508DC"/>
    <w:rsid w:val="0BE0673B"/>
    <w:rsid w:val="0C441948"/>
    <w:rsid w:val="0C7E4F19"/>
    <w:rsid w:val="0CA550D6"/>
    <w:rsid w:val="0D2D34D7"/>
    <w:rsid w:val="0D9C2EC8"/>
    <w:rsid w:val="0DB13AF8"/>
    <w:rsid w:val="0DCB0732"/>
    <w:rsid w:val="0DD65500"/>
    <w:rsid w:val="0DEA5E14"/>
    <w:rsid w:val="0E333DE2"/>
    <w:rsid w:val="0E681D6B"/>
    <w:rsid w:val="0E7116BC"/>
    <w:rsid w:val="0E996476"/>
    <w:rsid w:val="0F584FE6"/>
    <w:rsid w:val="0FDF7AA8"/>
    <w:rsid w:val="0FF3145C"/>
    <w:rsid w:val="10496981"/>
    <w:rsid w:val="10783319"/>
    <w:rsid w:val="11B97A52"/>
    <w:rsid w:val="11CE7F4B"/>
    <w:rsid w:val="1237379A"/>
    <w:rsid w:val="12425908"/>
    <w:rsid w:val="1280636E"/>
    <w:rsid w:val="129A5A46"/>
    <w:rsid w:val="12AE5509"/>
    <w:rsid w:val="12B3754B"/>
    <w:rsid w:val="134A42EC"/>
    <w:rsid w:val="138E1804"/>
    <w:rsid w:val="13957861"/>
    <w:rsid w:val="13CB484D"/>
    <w:rsid w:val="13E9300E"/>
    <w:rsid w:val="148F1E12"/>
    <w:rsid w:val="15300CB7"/>
    <w:rsid w:val="15535439"/>
    <w:rsid w:val="15584C72"/>
    <w:rsid w:val="15B46AEF"/>
    <w:rsid w:val="15CC532E"/>
    <w:rsid w:val="16845D88"/>
    <w:rsid w:val="169624CB"/>
    <w:rsid w:val="16A80357"/>
    <w:rsid w:val="17353195"/>
    <w:rsid w:val="173F126A"/>
    <w:rsid w:val="17481D12"/>
    <w:rsid w:val="178F40B0"/>
    <w:rsid w:val="17992121"/>
    <w:rsid w:val="17DA0E61"/>
    <w:rsid w:val="17E10967"/>
    <w:rsid w:val="18240D78"/>
    <w:rsid w:val="182C2163"/>
    <w:rsid w:val="18E519F2"/>
    <w:rsid w:val="19637DFA"/>
    <w:rsid w:val="1964243C"/>
    <w:rsid w:val="19660898"/>
    <w:rsid w:val="196B71F1"/>
    <w:rsid w:val="1984512E"/>
    <w:rsid w:val="19946804"/>
    <w:rsid w:val="1A7F20BB"/>
    <w:rsid w:val="1AA72D1A"/>
    <w:rsid w:val="1AC32C64"/>
    <w:rsid w:val="1AF408AB"/>
    <w:rsid w:val="1C5F7D1F"/>
    <w:rsid w:val="1CF479CF"/>
    <w:rsid w:val="1D1B4B41"/>
    <w:rsid w:val="1D5767F5"/>
    <w:rsid w:val="1D9D6C90"/>
    <w:rsid w:val="1DAC5508"/>
    <w:rsid w:val="1DDC3783"/>
    <w:rsid w:val="1DEB5822"/>
    <w:rsid w:val="1DF81112"/>
    <w:rsid w:val="1F0E370A"/>
    <w:rsid w:val="1F430CA4"/>
    <w:rsid w:val="1F5B5884"/>
    <w:rsid w:val="1F5E48B8"/>
    <w:rsid w:val="20B43A96"/>
    <w:rsid w:val="20E52117"/>
    <w:rsid w:val="21294066"/>
    <w:rsid w:val="215C16C2"/>
    <w:rsid w:val="2163712D"/>
    <w:rsid w:val="217A52C2"/>
    <w:rsid w:val="219E0BB0"/>
    <w:rsid w:val="222F3968"/>
    <w:rsid w:val="229A0B29"/>
    <w:rsid w:val="22C55A21"/>
    <w:rsid w:val="22C909FE"/>
    <w:rsid w:val="22F97574"/>
    <w:rsid w:val="237816FF"/>
    <w:rsid w:val="23DD6B40"/>
    <w:rsid w:val="23FD7891"/>
    <w:rsid w:val="24750AD3"/>
    <w:rsid w:val="24DA25D2"/>
    <w:rsid w:val="2515726E"/>
    <w:rsid w:val="252A72FD"/>
    <w:rsid w:val="25382D19"/>
    <w:rsid w:val="25B260AB"/>
    <w:rsid w:val="25F4608A"/>
    <w:rsid w:val="26261D90"/>
    <w:rsid w:val="26753108"/>
    <w:rsid w:val="26FF601F"/>
    <w:rsid w:val="27002D14"/>
    <w:rsid w:val="27295CA2"/>
    <w:rsid w:val="276425AE"/>
    <w:rsid w:val="27667AA6"/>
    <w:rsid w:val="28227438"/>
    <w:rsid w:val="28371240"/>
    <w:rsid w:val="284159E2"/>
    <w:rsid w:val="285C3C2D"/>
    <w:rsid w:val="28BB402A"/>
    <w:rsid w:val="28C950D8"/>
    <w:rsid w:val="29C617DB"/>
    <w:rsid w:val="2B6410BE"/>
    <w:rsid w:val="2B9743E6"/>
    <w:rsid w:val="2BA01CA2"/>
    <w:rsid w:val="2BBB0FA0"/>
    <w:rsid w:val="2BF92015"/>
    <w:rsid w:val="2D2E7D12"/>
    <w:rsid w:val="2D7A3868"/>
    <w:rsid w:val="2DBD1479"/>
    <w:rsid w:val="2DCA18D3"/>
    <w:rsid w:val="2E1A3A01"/>
    <w:rsid w:val="2E6D75C1"/>
    <w:rsid w:val="2E6E3025"/>
    <w:rsid w:val="2F0347A1"/>
    <w:rsid w:val="2F2D0E3F"/>
    <w:rsid w:val="2F3F7900"/>
    <w:rsid w:val="2F867497"/>
    <w:rsid w:val="2F96232E"/>
    <w:rsid w:val="2FE922D0"/>
    <w:rsid w:val="30237637"/>
    <w:rsid w:val="303F3FB1"/>
    <w:rsid w:val="3049667E"/>
    <w:rsid w:val="30740A6F"/>
    <w:rsid w:val="3089091C"/>
    <w:rsid w:val="30A8222D"/>
    <w:rsid w:val="30DC4511"/>
    <w:rsid w:val="310862FA"/>
    <w:rsid w:val="313853B6"/>
    <w:rsid w:val="31A217C1"/>
    <w:rsid w:val="31E557E4"/>
    <w:rsid w:val="324A675D"/>
    <w:rsid w:val="32B51223"/>
    <w:rsid w:val="32D2392D"/>
    <w:rsid w:val="32E66ED3"/>
    <w:rsid w:val="32FE76E7"/>
    <w:rsid w:val="33656585"/>
    <w:rsid w:val="33740CB2"/>
    <w:rsid w:val="34005E42"/>
    <w:rsid w:val="34910108"/>
    <w:rsid w:val="349A6622"/>
    <w:rsid w:val="35237CAC"/>
    <w:rsid w:val="3533340B"/>
    <w:rsid w:val="354063BA"/>
    <w:rsid w:val="35770C97"/>
    <w:rsid w:val="35942F1D"/>
    <w:rsid w:val="35DF6D6E"/>
    <w:rsid w:val="3612282B"/>
    <w:rsid w:val="36262604"/>
    <w:rsid w:val="36367980"/>
    <w:rsid w:val="3643633B"/>
    <w:rsid w:val="365231AF"/>
    <w:rsid w:val="36A25390"/>
    <w:rsid w:val="37DC471A"/>
    <w:rsid w:val="38063060"/>
    <w:rsid w:val="38663714"/>
    <w:rsid w:val="38AE3C3B"/>
    <w:rsid w:val="38F9394B"/>
    <w:rsid w:val="39520695"/>
    <w:rsid w:val="3B0A5BB6"/>
    <w:rsid w:val="3B1735DA"/>
    <w:rsid w:val="3B606DD8"/>
    <w:rsid w:val="3BC70352"/>
    <w:rsid w:val="3C0305B0"/>
    <w:rsid w:val="3C4224B3"/>
    <w:rsid w:val="3CA01E07"/>
    <w:rsid w:val="3CCE5840"/>
    <w:rsid w:val="3CDC58AD"/>
    <w:rsid w:val="3CF929BA"/>
    <w:rsid w:val="3D6E3BD7"/>
    <w:rsid w:val="3DA67952"/>
    <w:rsid w:val="3DB92DD2"/>
    <w:rsid w:val="3DEB652E"/>
    <w:rsid w:val="3E334280"/>
    <w:rsid w:val="3F02509F"/>
    <w:rsid w:val="3F155605"/>
    <w:rsid w:val="3FB44666"/>
    <w:rsid w:val="3FF45539"/>
    <w:rsid w:val="3FFA7FF4"/>
    <w:rsid w:val="40DD7DF3"/>
    <w:rsid w:val="41682F6E"/>
    <w:rsid w:val="41777778"/>
    <w:rsid w:val="41DE06D0"/>
    <w:rsid w:val="41F902FC"/>
    <w:rsid w:val="42C33658"/>
    <w:rsid w:val="42E00CEB"/>
    <w:rsid w:val="4304052A"/>
    <w:rsid w:val="431950AD"/>
    <w:rsid w:val="43614F12"/>
    <w:rsid w:val="43A35A0F"/>
    <w:rsid w:val="43B64259"/>
    <w:rsid w:val="43EB4BF9"/>
    <w:rsid w:val="44020026"/>
    <w:rsid w:val="44D80CF4"/>
    <w:rsid w:val="44E05681"/>
    <w:rsid w:val="44E768EC"/>
    <w:rsid w:val="44EB3F9F"/>
    <w:rsid w:val="45275888"/>
    <w:rsid w:val="454C7E70"/>
    <w:rsid w:val="456A4BCE"/>
    <w:rsid w:val="46545846"/>
    <w:rsid w:val="46697845"/>
    <w:rsid w:val="46B629C8"/>
    <w:rsid w:val="46BF4548"/>
    <w:rsid w:val="47033BCC"/>
    <w:rsid w:val="4724695E"/>
    <w:rsid w:val="472F3ED2"/>
    <w:rsid w:val="475461C2"/>
    <w:rsid w:val="475F6A07"/>
    <w:rsid w:val="4761510E"/>
    <w:rsid w:val="47A32E81"/>
    <w:rsid w:val="4821297F"/>
    <w:rsid w:val="48AA4626"/>
    <w:rsid w:val="48CB5EDB"/>
    <w:rsid w:val="49B0345B"/>
    <w:rsid w:val="49D23110"/>
    <w:rsid w:val="49D417C2"/>
    <w:rsid w:val="4A206289"/>
    <w:rsid w:val="4ABA5B98"/>
    <w:rsid w:val="4AF52C3B"/>
    <w:rsid w:val="4B0E727E"/>
    <w:rsid w:val="4B2F04B7"/>
    <w:rsid w:val="4B507692"/>
    <w:rsid w:val="4B9112C7"/>
    <w:rsid w:val="4B9A1109"/>
    <w:rsid w:val="4BD92D42"/>
    <w:rsid w:val="4BDE5DC0"/>
    <w:rsid w:val="4BFE23AE"/>
    <w:rsid w:val="4C38611D"/>
    <w:rsid w:val="4C5D4761"/>
    <w:rsid w:val="4C6A55E6"/>
    <w:rsid w:val="4C7B453E"/>
    <w:rsid w:val="4CC55A18"/>
    <w:rsid w:val="4D05407A"/>
    <w:rsid w:val="4D240F3A"/>
    <w:rsid w:val="4D3372F5"/>
    <w:rsid w:val="4D5055DA"/>
    <w:rsid w:val="4D7E5EEE"/>
    <w:rsid w:val="4D924955"/>
    <w:rsid w:val="4DBC145E"/>
    <w:rsid w:val="4DC625F0"/>
    <w:rsid w:val="4DDD3B12"/>
    <w:rsid w:val="4E64037D"/>
    <w:rsid w:val="4E747E6F"/>
    <w:rsid w:val="4E8F4AC2"/>
    <w:rsid w:val="4E936362"/>
    <w:rsid w:val="4F5A3F66"/>
    <w:rsid w:val="4F654D04"/>
    <w:rsid w:val="4FA67B40"/>
    <w:rsid w:val="4FDF5686"/>
    <w:rsid w:val="500A2640"/>
    <w:rsid w:val="5027642E"/>
    <w:rsid w:val="504129BE"/>
    <w:rsid w:val="50443E89"/>
    <w:rsid w:val="507F7975"/>
    <w:rsid w:val="50AF6A62"/>
    <w:rsid w:val="51703297"/>
    <w:rsid w:val="518A5D8B"/>
    <w:rsid w:val="51F466BC"/>
    <w:rsid w:val="52062F7D"/>
    <w:rsid w:val="52256330"/>
    <w:rsid w:val="525B1F36"/>
    <w:rsid w:val="52C6740F"/>
    <w:rsid w:val="52CA0A9F"/>
    <w:rsid w:val="53334CE0"/>
    <w:rsid w:val="534332EB"/>
    <w:rsid w:val="535B185A"/>
    <w:rsid w:val="539F7E6F"/>
    <w:rsid w:val="53DC04AF"/>
    <w:rsid w:val="54457ACC"/>
    <w:rsid w:val="548A1D38"/>
    <w:rsid w:val="554A5A68"/>
    <w:rsid w:val="56313518"/>
    <w:rsid w:val="563C5C5E"/>
    <w:rsid w:val="56630B0E"/>
    <w:rsid w:val="56AD4FB2"/>
    <w:rsid w:val="56FD4D24"/>
    <w:rsid w:val="570E6822"/>
    <w:rsid w:val="57153EC3"/>
    <w:rsid w:val="574E0BB0"/>
    <w:rsid w:val="57715DD0"/>
    <w:rsid w:val="57DF5EFB"/>
    <w:rsid w:val="57E743C1"/>
    <w:rsid w:val="584B11F4"/>
    <w:rsid w:val="58E2432F"/>
    <w:rsid w:val="58E7531C"/>
    <w:rsid w:val="592A7436"/>
    <w:rsid w:val="593B390B"/>
    <w:rsid w:val="59A31EB1"/>
    <w:rsid w:val="59BB7C74"/>
    <w:rsid w:val="59F8479E"/>
    <w:rsid w:val="5A767F1A"/>
    <w:rsid w:val="5AD46C0F"/>
    <w:rsid w:val="5AE209F6"/>
    <w:rsid w:val="5B6C31D5"/>
    <w:rsid w:val="5B963771"/>
    <w:rsid w:val="5C040774"/>
    <w:rsid w:val="5C3E5F11"/>
    <w:rsid w:val="5C40665E"/>
    <w:rsid w:val="5C512C5D"/>
    <w:rsid w:val="5C6961D3"/>
    <w:rsid w:val="5C7A4988"/>
    <w:rsid w:val="5C7E4605"/>
    <w:rsid w:val="5C944961"/>
    <w:rsid w:val="5C9A43F9"/>
    <w:rsid w:val="5CB84357"/>
    <w:rsid w:val="5CDB6249"/>
    <w:rsid w:val="5CEA509A"/>
    <w:rsid w:val="5D2B6CBF"/>
    <w:rsid w:val="5E6A35D2"/>
    <w:rsid w:val="5E7A00F8"/>
    <w:rsid w:val="5EDD170C"/>
    <w:rsid w:val="5EDE2D0E"/>
    <w:rsid w:val="5F784F5A"/>
    <w:rsid w:val="5F830525"/>
    <w:rsid w:val="5FAC65AF"/>
    <w:rsid w:val="5FB110E6"/>
    <w:rsid w:val="5FD16B55"/>
    <w:rsid w:val="5FE6716E"/>
    <w:rsid w:val="600E030C"/>
    <w:rsid w:val="61572322"/>
    <w:rsid w:val="61667502"/>
    <w:rsid w:val="61E630DD"/>
    <w:rsid w:val="62C302DD"/>
    <w:rsid w:val="62E85E98"/>
    <w:rsid w:val="63942DD7"/>
    <w:rsid w:val="63F0391D"/>
    <w:rsid w:val="63FF0883"/>
    <w:rsid w:val="64E62A4A"/>
    <w:rsid w:val="655254B7"/>
    <w:rsid w:val="658C1C20"/>
    <w:rsid w:val="659A367C"/>
    <w:rsid w:val="65BC70A9"/>
    <w:rsid w:val="6695356D"/>
    <w:rsid w:val="66B71385"/>
    <w:rsid w:val="66FA26F2"/>
    <w:rsid w:val="66FB00EB"/>
    <w:rsid w:val="67080291"/>
    <w:rsid w:val="67227190"/>
    <w:rsid w:val="672651F0"/>
    <w:rsid w:val="67DE439C"/>
    <w:rsid w:val="6837199A"/>
    <w:rsid w:val="686C1F08"/>
    <w:rsid w:val="689311D4"/>
    <w:rsid w:val="69857F4D"/>
    <w:rsid w:val="698F770C"/>
    <w:rsid w:val="69F05D57"/>
    <w:rsid w:val="6A556B82"/>
    <w:rsid w:val="6A8D21B0"/>
    <w:rsid w:val="6A9E71D1"/>
    <w:rsid w:val="6AC27562"/>
    <w:rsid w:val="6B1B71E1"/>
    <w:rsid w:val="6BCA20B3"/>
    <w:rsid w:val="6BF27A0B"/>
    <w:rsid w:val="6BFD72C6"/>
    <w:rsid w:val="6C0022CD"/>
    <w:rsid w:val="6C0D6907"/>
    <w:rsid w:val="6C8B4CDE"/>
    <w:rsid w:val="6D8455C1"/>
    <w:rsid w:val="6D882EA4"/>
    <w:rsid w:val="6D8A5AE4"/>
    <w:rsid w:val="6DF64D67"/>
    <w:rsid w:val="6DFA6464"/>
    <w:rsid w:val="6E0E6FAF"/>
    <w:rsid w:val="6ED46BBA"/>
    <w:rsid w:val="6EFD617C"/>
    <w:rsid w:val="6F287E3B"/>
    <w:rsid w:val="6F3C2143"/>
    <w:rsid w:val="6FBE5722"/>
    <w:rsid w:val="700B5794"/>
    <w:rsid w:val="705F1E3C"/>
    <w:rsid w:val="709A7174"/>
    <w:rsid w:val="709C31E1"/>
    <w:rsid w:val="70AB0223"/>
    <w:rsid w:val="70E01623"/>
    <w:rsid w:val="714A3379"/>
    <w:rsid w:val="7170337E"/>
    <w:rsid w:val="71A37533"/>
    <w:rsid w:val="71E54991"/>
    <w:rsid w:val="71E635E6"/>
    <w:rsid w:val="724D101B"/>
    <w:rsid w:val="72724F16"/>
    <w:rsid w:val="728409C4"/>
    <w:rsid w:val="730C4D17"/>
    <w:rsid w:val="738C4D1A"/>
    <w:rsid w:val="73A850C1"/>
    <w:rsid w:val="73C23C79"/>
    <w:rsid w:val="746779D1"/>
    <w:rsid w:val="75D6762F"/>
    <w:rsid w:val="764F55AF"/>
    <w:rsid w:val="765E65BD"/>
    <w:rsid w:val="767076B5"/>
    <w:rsid w:val="767F4E4C"/>
    <w:rsid w:val="77674DF6"/>
    <w:rsid w:val="779F498A"/>
    <w:rsid w:val="77A84E1D"/>
    <w:rsid w:val="77AF755A"/>
    <w:rsid w:val="78531D9F"/>
    <w:rsid w:val="786B682D"/>
    <w:rsid w:val="788C0543"/>
    <w:rsid w:val="79643C1F"/>
    <w:rsid w:val="79B00FE8"/>
    <w:rsid w:val="7A7E0FCF"/>
    <w:rsid w:val="7AAA701D"/>
    <w:rsid w:val="7AC970F3"/>
    <w:rsid w:val="7AD028E2"/>
    <w:rsid w:val="7AD25E0F"/>
    <w:rsid w:val="7B3D188D"/>
    <w:rsid w:val="7B760E17"/>
    <w:rsid w:val="7BA16C99"/>
    <w:rsid w:val="7BF91239"/>
    <w:rsid w:val="7C2C60A3"/>
    <w:rsid w:val="7C922076"/>
    <w:rsid w:val="7D9777BC"/>
    <w:rsid w:val="7E535955"/>
    <w:rsid w:val="7E7C4C06"/>
    <w:rsid w:val="7E8E3567"/>
    <w:rsid w:val="7EA77419"/>
    <w:rsid w:val="7EAB407B"/>
    <w:rsid w:val="7ECD041D"/>
    <w:rsid w:val="7F2A0B36"/>
    <w:rsid w:val="7FA5644D"/>
    <w:rsid w:val="7FB56661"/>
    <w:rsid w:val="7FF35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heading 1"/>
    <w:basedOn w:val="1"/>
    <w:next w:val="1"/>
    <w:link w:val="58"/>
    <w:qFormat/>
    <w:uiPriority w:val="0"/>
    <w:pPr>
      <w:keepNext/>
      <w:jc w:val="center"/>
      <w:outlineLvl w:val="0"/>
    </w:pPr>
    <w:rPr>
      <w:b/>
      <w:bCs/>
      <w:color w:val="000000"/>
      <w:kern w:val="0"/>
      <w:sz w:val="32"/>
      <w:szCs w:val="20"/>
    </w:rPr>
  </w:style>
  <w:style w:type="paragraph" w:styleId="7">
    <w:name w:val="heading 2"/>
    <w:basedOn w:val="1"/>
    <w:next w:val="1"/>
    <w:link w:val="59"/>
    <w:qFormat/>
    <w:uiPriority w:val="0"/>
    <w:pPr>
      <w:keepNext/>
      <w:keepLines/>
      <w:spacing w:line="460" w:lineRule="exact"/>
      <w:outlineLvl w:val="1"/>
    </w:pPr>
    <w:rPr>
      <w:rFonts w:ascii="宋体" w:hAnsi="宋体"/>
      <w:b/>
      <w:kern w:val="0"/>
      <w:sz w:val="30"/>
      <w:szCs w:val="30"/>
    </w:rPr>
  </w:style>
  <w:style w:type="paragraph" w:styleId="8">
    <w:name w:val="heading 3"/>
    <w:basedOn w:val="1"/>
    <w:next w:val="1"/>
    <w:link w:val="60"/>
    <w:qFormat/>
    <w:uiPriority w:val="0"/>
    <w:pPr>
      <w:keepNext/>
      <w:keepLines/>
      <w:spacing w:line="460" w:lineRule="exact"/>
      <w:jc w:val="left"/>
      <w:outlineLvl w:val="2"/>
    </w:pPr>
    <w:rPr>
      <w:b/>
      <w:kern w:val="0"/>
      <w:sz w:val="24"/>
      <w:szCs w:val="20"/>
    </w:rPr>
  </w:style>
  <w:style w:type="paragraph" w:styleId="9">
    <w:name w:val="heading 4"/>
    <w:basedOn w:val="1"/>
    <w:next w:val="1"/>
    <w:link w:val="61"/>
    <w:qFormat/>
    <w:uiPriority w:val="0"/>
    <w:pPr>
      <w:keepNext/>
      <w:keepLines/>
      <w:spacing w:line="360" w:lineRule="auto"/>
      <w:outlineLvl w:val="3"/>
    </w:pPr>
    <w:rPr>
      <w:rFonts w:ascii="Arial" w:hAnsi="Arial"/>
      <w:b/>
      <w:bCs/>
      <w:kern w:val="0"/>
      <w:sz w:val="30"/>
      <w:szCs w:val="28"/>
    </w:rPr>
  </w:style>
  <w:style w:type="paragraph" w:styleId="10">
    <w:name w:val="heading 5"/>
    <w:basedOn w:val="1"/>
    <w:next w:val="1"/>
    <w:link w:val="62"/>
    <w:qFormat/>
    <w:uiPriority w:val="0"/>
    <w:pPr>
      <w:keepNext/>
      <w:jc w:val="center"/>
      <w:outlineLvl w:val="4"/>
    </w:pPr>
    <w:rPr>
      <w:rFonts w:ascii="宋体" w:hAnsi="宋体"/>
      <w:b/>
      <w:bCs/>
      <w:kern w:val="0"/>
      <w:sz w:val="20"/>
      <w:szCs w:val="24"/>
    </w:rPr>
  </w:style>
  <w:style w:type="paragraph" w:styleId="11">
    <w:name w:val="heading 6"/>
    <w:basedOn w:val="1"/>
    <w:next w:val="1"/>
    <w:link w:val="63"/>
    <w:qFormat/>
    <w:uiPriority w:val="0"/>
    <w:pPr>
      <w:keepNext/>
      <w:keepLines/>
      <w:widowControl/>
      <w:tabs>
        <w:tab w:val="left" w:pos="1152"/>
      </w:tabs>
      <w:spacing w:before="140" w:after="120" w:line="220" w:lineRule="atLeast"/>
      <w:ind w:left="1152" w:hanging="1152"/>
      <w:jc w:val="left"/>
      <w:outlineLvl w:val="5"/>
    </w:pPr>
    <w:rPr>
      <w:i/>
      <w:spacing w:val="-4"/>
      <w:kern w:val="28"/>
      <w:sz w:val="20"/>
      <w:szCs w:val="24"/>
    </w:rPr>
  </w:style>
  <w:style w:type="paragraph" w:styleId="12">
    <w:name w:val="heading 7"/>
    <w:basedOn w:val="1"/>
    <w:next w:val="1"/>
    <w:link w:val="64"/>
    <w:qFormat/>
    <w:uiPriority w:val="0"/>
    <w:pPr>
      <w:keepNext/>
      <w:keepLines/>
      <w:spacing w:before="240" w:after="64" w:line="317" w:lineRule="auto"/>
      <w:outlineLvl w:val="6"/>
    </w:pPr>
    <w:rPr>
      <w:b/>
      <w:kern w:val="0"/>
      <w:sz w:val="24"/>
      <w:szCs w:val="20"/>
    </w:rPr>
  </w:style>
  <w:style w:type="paragraph" w:styleId="13">
    <w:name w:val="heading 8"/>
    <w:basedOn w:val="1"/>
    <w:next w:val="1"/>
    <w:link w:val="65"/>
    <w:qFormat/>
    <w:uiPriority w:val="0"/>
    <w:pPr>
      <w:keepNext/>
      <w:keepLines/>
      <w:widowControl/>
      <w:tabs>
        <w:tab w:val="left" w:pos="1440"/>
      </w:tabs>
      <w:spacing w:before="140" w:after="120" w:line="220" w:lineRule="atLeast"/>
      <w:ind w:left="1440" w:hanging="1440"/>
      <w:jc w:val="left"/>
      <w:outlineLvl w:val="7"/>
    </w:pPr>
    <w:rPr>
      <w:rFonts w:ascii="Arial" w:hAnsi="Arial"/>
      <w:i/>
      <w:spacing w:val="-4"/>
      <w:kern w:val="28"/>
      <w:sz w:val="18"/>
      <w:szCs w:val="24"/>
    </w:rPr>
  </w:style>
  <w:style w:type="paragraph" w:styleId="14">
    <w:name w:val="heading 9"/>
    <w:basedOn w:val="1"/>
    <w:next w:val="1"/>
    <w:link w:val="66"/>
    <w:qFormat/>
    <w:uiPriority w:val="0"/>
    <w:pPr>
      <w:keepNext/>
      <w:keepLines/>
      <w:widowControl/>
      <w:tabs>
        <w:tab w:val="left" w:pos="1584"/>
      </w:tabs>
      <w:spacing w:before="140" w:after="120" w:line="220" w:lineRule="atLeast"/>
      <w:ind w:left="1584" w:hanging="1584"/>
      <w:jc w:val="left"/>
      <w:outlineLvl w:val="8"/>
    </w:pPr>
    <w:rPr>
      <w:rFonts w:ascii="Arial" w:hAnsi="Arial"/>
      <w:spacing w:val="-4"/>
      <w:kern w:val="28"/>
      <w:sz w:val="18"/>
      <w:szCs w:val="24"/>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170"/>
    <w:qFormat/>
    <w:uiPriority w:val="0"/>
    <w:pPr>
      <w:ind w:firstLine="420" w:firstLineChars="100"/>
    </w:pPr>
    <w:rPr>
      <w:rFonts w:asciiTheme="minorHAnsi" w:hAnsiTheme="minorHAnsi" w:cstheme="minorBidi"/>
    </w:rPr>
  </w:style>
  <w:style w:type="paragraph" w:styleId="3">
    <w:name w:val="Body Text"/>
    <w:basedOn w:val="1"/>
    <w:link w:val="186"/>
    <w:unhideWhenUsed/>
    <w:qFormat/>
    <w:uiPriority w:val="0"/>
    <w:pPr>
      <w:spacing w:after="120"/>
    </w:pPr>
  </w:style>
  <w:style w:type="paragraph" w:styleId="4">
    <w:name w:val="Body Text First Indent 2"/>
    <w:basedOn w:val="5"/>
    <w:link w:val="131"/>
    <w:qFormat/>
    <w:uiPriority w:val="0"/>
    <w:pPr>
      <w:ind w:firstLine="420" w:firstLineChars="200"/>
    </w:pPr>
    <w:rPr>
      <w:rFonts w:asciiTheme="minorHAnsi" w:hAnsiTheme="minorHAnsi" w:cstheme="minorBidi"/>
      <w:sz w:val="30"/>
    </w:rPr>
  </w:style>
  <w:style w:type="paragraph" w:styleId="5">
    <w:name w:val="Body Text Indent"/>
    <w:basedOn w:val="1"/>
    <w:link w:val="182"/>
    <w:unhideWhenUsed/>
    <w:qFormat/>
    <w:uiPriority w:val="0"/>
    <w:pPr>
      <w:spacing w:after="120"/>
      <w:ind w:left="420" w:leftChars="200"/>
    </w:pPr>
  </w:style>
  <w:style w:type="paragraph" w:styleId="15">
    <w:name w:val="toc 7"/>
    <w:basedOn w:val="1"/>
    <w:next w:val="1"/>
    <w:qFormat/>
    <w:uiPriority w:val="0"/>
    <w:pPr>
      <w:ind w:left="2520" w:leftChars="1200"/>
    </w:pPr>
    <w:rPr>
      <w:rFonts w:ascii="Calibri" w:hAnsi="Calibri"/>
    </w:rPr>
  </w:style>
  <w:style w:type="paragraph" w:styleId="16">
    <w:name w:val="Normal Indent"/>
    <w:basedOn w:val="1"/>
    <w:link w:val="123"/>
    <w:qFormat/>
    <w:uiPriority w:val="0"/>
    <w:pPr>
      <w:ind w:firstLine="420"/>
    </w:pPr>
    <w:rPr>
      <w:rFonts w:asciiTheme="minorHAnsi" w:hAnsiTheme="minorHAnsi" w:cstheme="minorBidi"/>
    </w:rPr>
  </w:style>
  <w:style w:type="paragraph" w:styleId="17">
    <w:name w:val="caption"/>
    <w:basedOn w:val="1"/>
    <w:next w:val="1"/>
    <w:qFormat/>
    <w:uiPriority w:val="0"/>
    <w:rPr>
      <w:rFonts w:ascii="Cambria" w:hAnsi="Cambria" w:eastAsia="黑体"/>
      <w:sz w:val="20"/>
      <w:szCs w:val="20"/>
    </w:rPr>
  </w:style>
  <w:style w:type="paragraph" w:styleId="18">
    <w:name w:val="Document Map"/>
    <w:basedOn w:val="1"/>
    <w:link w:val="127"/>
    <w:qFormat/>
    <w:uiPriority w:val="0"/>
    <w:pPr>
      <w:shd w:val="clear" w:color="auto" w:fill="000080"/>
    </w:pPr>
    <w:rPr>
      <w:szCs w:val="20"/>
    </w:rPr>
  </w:style>
  <w:style w:type="paragraph" w:styleId="19">
    <w:name w:val="annotation text"/>
    <w:basedOn w:val="1"/>
    <w:link w:val="191"/>
    <w:unhideWhenUsed/>
    <w:qFormat/>
    <w:uiPriority w:val="0"/>
    <w:pPr>
      <w:jc w:val="left"/>
    </w:pPr>
  </w:style>
  <w:style w:type="paragraph" w:styleId="20">
    <w:name w:val="Salutation"/>
    <w:basedOn w:val="1"/>
    <w:next w:val="1"/>
    <w:link w:val="190"/>
    <w:qFormat/>
    <w:uiPriority w:val="0"/>
    <w:rPr>
      <w:sz w:val="24"/>
      <w:szCs w:val="20"/>
    </w:rPr>
  </w:style>
  <w:style w:type="paragraph" w:styleId="21">
    <w:name w:val="Body Text 3"/>
    <w:basedOn w:val="1"/>
    <w:link w:val="83"/>
    <w:qFormat/>
    <w:uiPriority w:val="0"/>
    <w:rPr>
      <w:rFonts w:ascii="宋体" w:hAnsiTheme="minorHAnsi" w:cstheme="minorBidi"/>
      <w:sz w:val="24"/>
    </w:rPr>
  </w:style>
  <w:style w:type="paragraph" w:styleId="22">
    <w:name w:val="List 2"/>
    <w:basedOn w:val="1"/>
    <w:qFormat/>
    <w:uiPriority w:val="0"/>
    <w:pPr>
      <w:ind w:left="100" w:leftChars="200" w:hanging="200" w:hangingChars="200"/>
    </w:pPr>
    <w:rPr>
      <w:szCs w:val="24"/>
    </w:rPr>
  </w:style>
  <w:style w:type="paragraph" w:styleId="23">
    <w:name w:val="List Continue"/>
    <w:basedOn w:val="1"/>
    <w:qFormat/>
    <w:uiPriority w:val="0"/>
    <w:pPr>
      <w:spacing w:after="120"/>
      <w:ind w:left="420"/>
    </w:pPr>
    <w:rPr>
      <w:rFonts w:eastAsia="楷体_GB2312"/>
      <w:sz w:val="32"/>
      <w:szCs w:val="20"/>
    </w:rPr>
  </w:style>
  <w:style w:type="paragraph" w:styleId="24">
    <w:name w:val="index 4"/>
    <w:basedOn w:val="1"/>
    <w:next w:val="1"/>
    <w:qFormat/>
    <w:uiPriority w:val="0"/>
    <w:pPr>
      <w:ind w:left="600" w:leftChars="600"/>
    </w:pPr>
    <w:rPr>
      <w:szCs w:val="24"/>
    </w:rPr>
  </w:style>
  <w:style w:type="paragraph" w:styleId="25">
    <w:name w:val="toc 3"/>
    <w:basedOn w:val="1"/>
    <w:next w:val="1"/>
    <w:qFormat/>
    <w:uiPriority w:val="39"/>
    <w:pPr>
      <w:ind w:left="840" w:leftChars="400"/>
    </w:pPr>
    <w:rPr>
      <w:sz w:val="30"/>
      <w:szCs w:val="20"/>
    </w:rPr>
  </w:style>
  <w:style w:type="paragraph" w:styleId="26">
    <w:name w:val="Plain Text"/>
    <w:basedOn w:val="1"/>
    <w:link w:val="75"/>
    <w:qFormat/>
    <w:uiPriority w:val="0"/>
    <w:rPr>
      <w:rFonts w:ascii="宋体" w:hAnsi="Courier New" w:cstheme="minorBidi"/>
    </w:rPr>
  </w:style>
  <w:style w:type="paragraph" w:styleId="27">
    <w:name w:val="toc 8"/>
    <w:basedOn w:val="1"/>
    <w:next w:val="1"/>
    <w:qFormat/>
    <w:uiPriority w:val="0"/>
    <w:pPr>
      <w:ind w:left="2940" w:leftChars="1400"/>
    </w:pPr>
    <w:rPr>
      <w:rFonts w:ascii="Calibri" w:hAnsi="Calibri"/>
    </w:rPr>
  </w:style>
  <w:style w:type="paragraph" w:styleId="28">
    <w:name w:val="Date"/>
    <w:basedOn w:val="1"/>
    <w:next w:val="1"/>
    <w:link w:val="81"/>
    <w:qFormat/>
    <w:uiPriority w:val="0"/>
    <w:pPr>
      <w:ind w:left="100" w:leftChars="2500"/>
    </w:pPr>
    <w:rPr>
      <w:rFonts w:asciiTheme="minorHAnsi" w:hAnsiTheme="minorHAnsi" w:cstheme="minorBidi"/>
      <w:sz w:val="30"/>
    </w:rPr>
  </w:style>
  <w:style w:type="paragraph" w:styleId="29">
    <w:name w:val="Body Text Indent 2"/>
    <w:basedOn w:val="1"/>
    <w:link w:val="107"/>
    <w:qFormat/>
    <w:uiPriority w:val="0"/>
    <w:pPr>
      <w:spacing w:line="300" w:lineRule="auto"/>
      <w:ind w:firstLine="840" w:firstLineChars="280"/>
    </w:pPr>
    <w:rPr>
      <w:rFonts w:ascii="宋体" w:hAnsi="宋体"/>
      <w:sz w:val="30"/>
      <w:szCs w:val="20"/>
    </w:rPr>
  </w:style>
  <w:style w:type="paragraph" w:styleId="30">
    <w:name w:val="Balloon Text"/>
    <w:basedOn w:val="1"/>
    <w:link w:val="128"/>
    <w:qFormat/>
    <w:uiPriority w:val="0"/>
    <w:rPr>
      <w:sz w:val="18"/>
      <w:szCs w:val="20"/>
    </w:rPr>
  </w:style>
  <w:style w:type="paragraph" w:styleId="31">
    <w:name w:val="footer"/>
    <w:basedOn w:val="1"/>
    <w:link w:val="57"/>
    <w:unhideWhenUsed/>
    <w:qFormat/>
    <w:uiPriority w:val="99"/>
    <w:pPr>
      <w:tabs>
        <w:tab w:val="center" w:pos="4153"/>
        <w:tab w:val="right" w:pos="8306"/>
      </w:tabs>
      <w:snapToGrid w:val="0"/>
      <w:jc w:val="left"/>
    </w:pPr>
    <w:rPr>
      <w:sz w:val="18"/>
      <w:szCs w:val="18"/>
    </w:rPr>
  </w:style>
  <w:style w:type="paragraph" w:styleId="32">
    <w:name w:val="header"/>
    <w:basedOn w:val="1"/>
    <w:link w:val="56"/>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rPr>
      <w:sz w:val="30"/>
      <w:szCs w:val="20"/>
    </w:rPr>
  </w:style>
  <w:style w:type="paragraph" w:styleId="34">
    <w:name w:val="Subtitle"/>
    <w:basedOn w:val="1"/>
    <w:next w:val="1"/>
    <w:link w:val="150"/>
    <w:qFormat/>
    <w:uiPriority w:val="0"/>
    <w:pPr>
      <w:spacing w:before="240" w:after="60"/>
      <w:jc w:val="center"/>
      <w:outlineLvl w:val="1"/>
    </w:pPr>
    <w:rPr>
      <w:rFonts w:ascii="Cambria" w:hAnsi="Cambria" w:eastAsia="Times New Roman"/>
      <w:b/>
      <w:bCs/>
      <w:kern w:val="28"/>
      <w:sz w:val="32"/>
      <w:szCs w:val="32"/>
    </w:rPr>
  </w:style>
  <w:style w:type="paragraph" w:styleId="35">
    <w:name w:val="List"/>
    <w:basedOn w:val="1"/>
    <w:qFormat/>
    <w:uiPriority w:val="0"/>
    <w:pPr>
      <w:ind w:left="420" w:hanging="420"/>
    </w:pPr>
    <w:rPr>
      <w:rFonts w:eastAsia="楷体_GB2312"/>
      <w:sz w:val="32"/>
      <w:szCs w:val="20"/>
    </w:rPr>
  </w:style>
  <w:style w:type="paragraph" w:styleId="36">
    <w:name w:val="toc 6"/>
    <w:basedOn w:val="1"/>
    <w:next w:val="1"/>
    <w:qFormat/>
    <w:uiPriority w:val="0"/>
    <w:pPr>
      <w:ind w:left="2100" w:leftChars="1000"/>
    </w:pPr>
    <w:rPr>
      <w:rFonts w:ascii="Calibri" w:hAnsi="Calibri"/>
    </w:rPr>
  </w:style>
  <w:style w:type="paragraph" w:styleId="37">
    <w:name w:val="List 5"/>
    <w:basedOn w:val="1"/>
    <w:qFormat/>
    <w:uiPriority w:val="0"/>
    <w:pPr>
      <w:ind w:left="2100" w:hanging="420"/>
    </w:pPr>
    <w:rPr>
      <w:rFonts w:eastAsia="楷体_GB2312"/>
      <w:sz w:val="32"/>
      <w:szCs w:val="20"/>
    </w:rPr>
  </w:style>
  <w:style w:type="paragraph" w:styleId="38">
    <w:name w:val="Body Text Indent 3"/>
    <w:basedOn w:val="1"/>
    <w:link w:val="69"/>
    <w:qFormat/>
    <w:uiPriority w:val="0"/>
    <w:pPr>
      <w:spacing w:after="120"/>
      <w:ind w:left="420" w:leftChars="200"/>
    </w:pPr>
    <w:rPr>
      <w:sz w:val="16"/>
      <w:szCs w:val="20"/>
    </w:rPr>
  </w:style>
  <w:style w:type="paragraph" w:styleId="39">
    <w:name w:val="toc 2"/>
    <w:basedOn w:val="1"/>
    <w:next w:val="1"/>
    <w:qFormat/>
    <w:uiPriority w:val="39"/>
    <w:pPr>
      <w:tabs>
        <w:tab w:val="right" w:leader="dot" w:pos="9232"/>
      </w:tabs>
      <w:spacing w:line="300" w:lineRule="exact"/>
      <w:ind w:left="600" w:leftChars="200"/>
    </w:pPr>
    <w:rPr>
      <w:sz w:val="30"/>
      <w:szCs w:val="20"/>
    </w:rPr>
  </w:style>
  <w:style w:type="paragraph" w:styleId="40">
    <w:name w:val="toc 9"/>
    <w:basedOn w:val="1"/>
    <w:next w:val="1"/>
    <w:qFormat/>
    <w:uiPriority w:val="0"/>
    <w:pPr>
      <w:ind w:left="3360" w:leftChars="1600"/>
    </w:pPr>
    <w:rPr>
      <w:rFonts w:ascii="Calibri" w:hAnsi="Calibri"/>
    </w:rPr>
  </w:style>
  <w:style w:type="paragraph" w:styleId="41">
    <w:name w:val="Body Text 2"/>
    <w:basedOn w:val="1"/>
    <w:link w:val="138"/>
    <w:qFormat/>
    <w:uiPriority w:val="0"/>
    <w:pPr>
      <w:spacing w:after="120" w:line="480" w:lineRule="auto"/>
    </w:pPr>
    <w:rPr>
      <w:szCs w:val="20"/>
    </w:rPr>
  </w:style>
  <w:style w:type="paragraph" w:styleId="42">
    <w:name w:val="List 4"/>
    <w:basedOn w:val="1"/>
    <w:qFormat/>
    <w:uiPriority w:val="0"/>
    <w:pPr>
      <w:ind w:left="1680" w:hanging="420"/>
    </w:pPr>
    <w:rPr>
      <w:rFonts w:eastAsia="楷体_GB2312"/>
      <w:sz w:val="32"/>
      <w:szCs w:val="20"/>
    </w:rPr>
  </w:style>
  <w:style w:type="paragraph" w:styleId="43">
    <w:name w:val="HTML Preformatted"/>
    <w:basedOn w:val="1"/>
    <w:link w:val="15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4">
    <w:name w:val="Normal (Web)"/>
    <w:basedOn w:val="1"/>
    <w:link w:val="104"/>
    <w:qFormat/>
    <w:uiPriority w:val="0"/>
    <w:pPr>
      <w:widowControl/>
      <w:spacing w:before="100" w:beforeAutospacing="1" w:after="100" w:afterAutospacing="1"/>
      <w:jc w:val="left"/>
    </w:pPr>
    <w:rPr>
      <w:rFonts w:ascii="宋体" w:hAnsi="宋体" w:cs="宋体"/>
      <w:sz w:val="24"/>
      <w:szCs w:val="24"/>
    </w:rPr>
  </w:style>
  <w:style w:type="paragraph" w:styleId="45">
    <w:name w:val="Title"/>
    <w:basedOn w:val="1"/>
    <w:next w:val="1"/>
    <w:link w:val="172"/>
    <w:qFormat/>
    <w:uiPriority w:val="0"/>
    <w:pPr>
      <w:spacing w:before="240" w:after="60"/>
      <w:jc w:val="center"/>
      <w:outlineLvl w:val="0"/>
    </w:pPr>
    <w:rPr>
      <w:rFonts w:ascii="Cambria" w:hAnsi="Cambria" w:eastAsiaTheme="minorEastAsia" w:cstheme="minorBidi"/>
      <w:b/>
      <w:bCs/>
      <w:sz w:val="32"/>
      <w:szCs w:val="32"/>
    </w:rPr>
  </w:style>
  <w:style w:type="paragraph" w:styleId="46">
    <w:name w:val="annotation subject"/>
    <w:basedOn w:val="19"/>
    <w:next w:val="19"/>
    <w:link w:val="152"/>
    <w:qFormat/>
    <w:uiPriority w:val="0"/>
    <w:rPr>
      <w:rFonts w:asciiTheme="minorHAnsi" w:hAnsiTheme="minorHAnsi" w:eastAsiaTheme="minorEastAsia" w:cstheme="minorBidi"/>
      <w:b/>
      <w:bCs/>
      <w:sz w:val="30"/>
    </w:rPr>
  </w:style>
  <w:style w:type="table" w:styleId="48">
    <w:name w:val="Table Grid"/>
    <w:basedOn w:val="4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99"/>
    <w:rPr>
      <w:color w:val="000000"/>
      <w:u w:val="none"/>
    </w:rPr>
  </w:style>
  <w:style w:type="character" w:styleId="53">
    <w:name w:val="Emphasis"/>
    <w:qFormat/>
    <w:uiPriority w:val="0"/>
  </w:style>
  <w:style w:type="character" w:styleId="54">
    <w:name w:val="Hyperlink"/>
    <w:basedOn w:val="49"/>
    <w:qFormat/>
    <w:uiPriority w:val="99"/>
    <w:rPr>
      <w:color w:val="000000"/>
      <w:u w:val="none"/>
    </w:rPr>
  </w:style>
  <w:style w:type="character" w:styleId="55">
    <w:name w:val="annotation reference"/>
    <w:qFormat/>
    <w:uiPriority w:val="0"/>
    <w:rPr>
      <w:sz w:val="21"/>
    </w:rPr>
  </w:style>
  <w:style w:type="character" w:customStyle="1" w:styleId="56">
    <w:name w:val="页眉 字符"/>
    <w:basedOn w:val="49"/>
    <w:link w:val="32"/>
    <w:qFormat/>
    <w:uiPriority w:val="0"/>
    <w:rPr>
      <w:sz w:val="18"/>
      <w:szCs w:val="18"/>
    </w:rPr>
  </w:style>
  <w:style w:type="character" w:customStyle="1" w:styleId="57">
    <w:name w:val="页脚 字符"/>
    <w:basedOn w:val="49"/>
    <w:link w:val="31"/>
    <w:qFormat/>
    <w:uiPriority w:val="99"/>
    <w:rPr>
      <w:sz w:val="18"/>
      <w:szCs w:val="18"/>
    </w:rPr>
  </w:style>
  <w:style w:type="character" w:customStyle="1" w:styleId="58">
    <w:name w:val="标题 1 字符"/>
    <w:basedOn w:val="49"/>
    <w:link w:val="6"/>
    <w:qFormat/>
    <w:uiPriority w:val="0"/>
    <w:rPr>
      <w:rFonts w:ascii="Times New Roman" w:hAnsi="Times New Roman" w:eastAsia="宋体" w:cs="Times New Roman"/>
      <w:b/>
      <w:bCs/>
      <w:color w:val="000000"/>
      <w:kern w:val="0"/>
      <w:sz w:val="32"/>
      <w:szCs w:val="20"/>
    </w:rPr>
  </w:style>
  <w:style w:type="character" w:customStyle="1" w:styleId="59">
    <w:name w:val="标题 2 字符"/>
    <w:basedOn w:val="49"/>
    <w:link w:val="7"/>
    <w:qFormat/>
    <w:uiPriority w:val="0"/>
    <w:rPr>
      <w:rFonts w:ascii="宋体" w:hAnsi="宋体" w:eastAsia="宋体" w:cs="Times New Roman"/>
      <w:b/>
      <w:kern w:val="0"/>
      <w:sz w:val="30"/>
      <w:szCs w:val="30"/>
    </w:rPr>
  </w:style>
  <w:style w:type="character" w:customStyle="1" w:styleId="60">
    <w:name w:val="标题 3 字符"/>
    <w:basedOn w:val="49"/>
    <w:link w:val="8"/>
    <w:qFormat/>
    <w:uiPriority w:val="0"/>
    <w:rPr>
      <w:rFonts w:ascii="Times New Roman" w:hAnsi="Times New Roman" w:eastAsia="宋体" w:cs="Times New Roman"/>
      <w:b/>
      <w:kern w:val="0"/>
      <w:sz w:val="24"/>
      <w:szCs w:val="20"/>
    </w:rPr>
  </w:style>
  <w:style w:type="character" w:customStyle="1" w:styleId="61">
    <w:name w:val="标题 4 字符"/>
    <w:basedOn w:val="49"/>
    <w:link w:val="9"/>
    <w:qFormat/>
    <w:uiPriority w:val="0"/>
    <w:rPr>
      <w:rFonts w:ascii="Arial" w:hAnsi="Arial" w:eastAsia="宋体" w:cs="Times New Roman"/>
      <w:b/>
      <w:bCs/>
      <w:kern w:val="0"/>
      <w:sz w:val="30"/>
      <w:szCs w:val="28"/>
    </w:rPr>
  </w:style>
  <w:style w:type="character" w:customStyle="1" w:styleId="62">
    <w:name w:val="标题 5 字符"/>
    <w:basedOn w:val="49"/>
    <w:link w:val="10"/>
    <w:qFormat/>
    <w:uiPriority w:val="0"/>
    <w:rPr>
      <w:rFonts w:ascii="宋体" w:hAnsi="宋体" w:eastAsia="宋体" w:cs="Times New Roman"/>
      <w:b/>
      <w:bCs/>
      <w:kern w:val="0"/>
      <w:sz w:val="20"/>
      <w:szCs w:val="24"/>
    </w:rPr>
  </w:style>
  <w:style w:type="character" w:customStyle="1" w:styleId="63">
    <w:name w:val="标题 6 字符"/>
    <w:basedOn w:val="49"/>
    <w:link w:val="11"/>
    <w:qFormat/>
    <w:uiPriority w:val="0"/>
    <w:rPr>
      <w:rFonts w:ascii="Times New Roman" w:hAnsi="Times New Roman" w:eastAsia="宋体" w:cs="Times New Roman"/>
      <w:i/>
      <w:spacing w:val="-4"/>
      <w:kern w:val="28"/>
      <w:sz w:val="20"/>
      <w:szCs w:val="24"/>
    </w:rPr>
  </w:style>
  <w:style w:type="character" w:customStyle="1" w:styleId="64">
    <w:name w:val="标题 7 字符"/>
    <w:basedOn w:val="49"/>
    <w:link w:val="12"/>
    <w:qFormat/>
    <w:uiPriority w:val="0"/>
    <w:rPr>
      <w:rFonts w:ascii="Times New Roman" w:hAnsi="Times New Roman" w:eastAsia="宋体" w:cs="Times New Roman"/>
      <w:b/>
      <w:kern w:val="0"/>
      <w:sz w:val="24"/>
      <w:szCs w:val="20"/>
    </w:rPr>
  </w:style>
  <w:style w:type="character" w:customStyle="1" w:styleId="65">
    <w:name w:val="标题 8 字符"/>
    <w:basedOn w:val="49"/>
    <w:link w:val="13"/>
    <w:qFormat/>
    <w:uiPriority w:val="0"/>
    <w:rPr>
      <w:rFonts w:ascii="Arial" w:hAnsi="Arial" w:eastAsia="宋体" w:cs="Times New Roman"/>
      <w:i/>
      <w:spacing w:val="-4"/>
      <w:kern w:val="28"/>
      <w:sz w:val="18"/>
      <w:szCs w:val="24"/>
    </w:rPr>
  </w:style>
  <w:style w:type="character" w:customStyle="1" w:styleId="66">
    <w:name w:val="标题 9 字符"/>
    <w:basedOn w:val="49"/>
    <w:link w:val="14"/>
    <w:qFormat/>
    <w:uiPriority w:val="0"/>
    <w:rPr>
      <w:rFonts w:ascii="Arial" w:hAnsi="Arial" w:eastAsia="宋体" w:cs="Times New Roman"/>
      <w:spacing w:val="-4"/>
      <w:kern w:val="28"/>
      <w:sz w:val="18"/>
      <w:szCs w:val="24"/>
    </w:rPr>
  </w:style>
  <w:style w:type="character" w:customStyle="1" w:styleId="67">
    <w:name w:val="明显引用 Char"/>
    <w:qFormat/>
    <w:uiPriority w:val="0"/>
    <w:rPr>
      <w:rFonts w:eastAsia="宋体"/>
      <w:b/>
      <w:bCs/>
      <w:i/>
      <w:iCs/>
      <w:color w:val="4F81BD"/>
      <w:kern w:val="2"/>
      <w:sz w:val="24"/>
      <w:szCs w:val="21"/>
      <w:lang w:val="en-US" w:eastAsia="zh-CN" w:bidi="ar-SA"/>
    </w:rPr>
  </w:style>
  <w:style w:type="character" w:customStyle="1" w:styleId="68">
    <w:name w:val="Char Char16"/>
    <w:qFormat/>
    <w:uiPriority w:val="0"/>
    <w:rPr>
      <w:rFonts w:eastAsia="楷体_GB2312"/>
      <w:b/>
      <w:kern w:val="44"/>
      <w:sz w:val="44"/>
      <w:szCs w:val="24"/>
      <w:lang w:val="en-US" w:eastAsia="zh-CN" w:bidi="ar-SA"/>
    </w:rPr>
  </w:style>
  <w:style w:type="character" w:customStyle="1" w:styleId="69">
    <w:name w:val="正文文本缩进 3 字符"/>
    <w:link w:val="38"/>
    <w:qFormat/>
    <w:uiPriority w:val="0"/>
    <w:rPr>
      <w:rFonts w:ascii="Times New Roman" w:hAnsi="Times New Roman" w:eastAsia="宋体" w:cs="Times New Roman"/>
      <w:sz w:val="16"/>
      <w:szCs w:val="20"/>
    </w:rPr>
  </w:style>
  <w:style w:type="character" w:customStyle="1" w:styleId="70">
    <w:name w:val="green"/>
    <w:qFormat/>
    <w:uiPriority w:val="0"/>
    <w:rPr>
      <w:color w:val="66AE00"/>
      <w:sz w:val="18"/>
      <w:szCs w:val="18"/>
    </w:rPr>
  </w:style>
  <w:style w:type="character" w:customStyle="1" w:styleId="71">
    <w:name w:val="批注文字 字符"/>
    <w:basedOn w:val="49"/>
    <w:semiHidden/>
    <w:qFormat/>
    <w:uiPriority w:val="99"/>
  </w:style>
  <w:style w:type="character" w:customStyle="1" w:styleId="72">
    <w:name w:val="style941"/>
    <w:qFormat/>
    <w:uiPriority w:val="0"/>
    <w:rPr>
      <w:color w:val="003366"/>
    </w:rPr>
  </w:style>
  <w:style w:type="character" w:customStyle="1" w:styleId="73">
    <w:name w:val="4 dash Char"/>
    <w:qFormat/>
    <w:locked/>
    <w:uiPriority w:val="0"/>
    <w:rPr>
      <w:rFonts w:ascii="Arial" w:hAnsi="Arial" w:eastAsia="黑体"/>
      <w:b/>
      <w:bCs/>
      <w:kern w:val="2"/>
      <w:sz w:val="28"/>
      <w:szCs w:val="28"/>
      <w:lang w:val="en-US" w:eastAsia="zh-CN" w:bidi="ar-SA"/>
    </w:rPr>
  </w:style>
  <w:style w:type="character" w:customStyle="1" w:styleId="74">
    <w:name w:val="Char Char20"/>
    <w:qFormat/>
    <w:uiPriority w:val="0"/>
    <w:rPr>
      <w:rFonts w:ascii="Arial" w:hAnsi="Arial" w:eastAsia="黑体"/>
      <w:b/>
      <w:kern w:val="2"/>
      <w:sz w:val="32"/>
      <w:szCs w:val="24"/>
      <w:lang w:val="en-US" w:eastAsia="zh-CN" w:bidi="ar-SA"/>
    </w:rPr>
  </w:style>
  <w:style w:type="character" w:customStyle="1" w:styleId="75">
    <w:name w:val="纯文本 字符"/>
    <w:link w:val="26"/>
    <w:qFormat/>
    <w:uiPriority w:val="0"/>
    <w:rPr>
      <w:rFonts w:ascii="宋体" w:hAnsi="Courier New" w:eastAsia="宋体"/>
    </w:rPr>
  </w:style>
  <w:style w:type="character" w:customStyle="1" w:styleId="76">
    <w:name w:val="文档正文 Char"/>
    <w:link w:val="77"/>
    <w:qFormat/>
    <w:uiPriority w:val="0"/>
    <w:rPr>
      <w:rFonts w:ascii="仿宋_GB2312" w:eastAsia="仿宋_GB2312"/>
      <w:sz w:val="28"/>
    </w:rPr>
  </w:style>
  <w:style w:type="paragraph" w:customStyle="1" w:styleId="77">
    <w:name w:val="文档正文"/>
    <w:basedOn w:val="1"/>
    <w:link w:val="76"/>
    <w:qFormat/>
    <w:uiPriority w:val="0"/>
    <w:pPr>
      <w:adjustRightInd w:val="0"/>
      <w:spacing w:line="480" w:lineRule="atLeast"/>
      <w:ind w:firstLine="567"/>
      <w:textAlignment w:val="baseline"/>
    </w:pPr>
    <w:rPr>
      <w:rFonts w:ascii="仿宋_GB2312" w:eastAsia="仿宋_GB2312" w:hAnsiTheme="minorHAnsi" w:cstheme="minorBidi"/>
      <w:sz w:val="28"/>
    </w:rPr>
  </w:style>
  <w:style w:type="character" w:customStyle="1" w:styleId="78">
    <w:name w:val="引用 Char"/>
    <w:qFormat/>
    <w:uiPriority w:val="0"/>
    <w:rPr>
      <w:rFonts w:eastAsia="宋体"/>
      <w:i/>
      <w:iCs/>
      <w:color w:val="000000"/>
      <w:kern w:val="2"/>
      <w:sz w:val="24"/>
      <w:szCs w:val="21"/>
      <w:lang w:val="en-US" w:eastAsia="zh-CN" w:bidi="ar-SA"/>
    </w:rPr>
  </w:style>
  <w:style w:type="character" w:customStyle="1" w:styleId="79">
    <w:name w:val="D3 Char"/>
    <w:link w:val="80"/>
    <w:qFormat/>
    <w:uiPriority w:val="0"/>
    <w:rPr>
      <w:rFonts w:ascii="EU-F1" w:eastAsia="黑体"/>
      <w:kern w:val="21"/>
      <w:szCs w:val="21"/>
    </w:rPr>
  </w:style>
  <w:style w:type="paragraph" w:customStyle="1" w:styleId="80">
    <w:name w:val="D3"/>
    <w:basedOn w:val="1"/>
    <w:link w:val="79"/>
    <w:qFormat/>
    <w:uiPriority w:val="0"/>
    <w:pPr>
      <w:spacing w:line="312" w:lineRule="exact"/>
    </w:pPr>
    <w:rPr>
      <w:rFonts w:ascii="EU-F1" w:eastAsia="黑体" w:hAnsiTheme="minorHAnsi" w:cstheme="minorBidi"/>
      <w:kern w:val="21"/>
      <w:szCs w:val="21"/>
    </w:rPr>
  </w:style>
  <w:style w:type="character" w:customStyle="1" w:styleId="81">
    <w:name w:val="日期 字符"/>
    <w:link w:val="28"/>
    <w:qFormat/>
    <w:uiPriority w:val="0"/>
    <w:rPr>
      <w:rFonts w:eastAsia="宋体"/>
      <w:sz w:val="30"/>
    </w:rPr>
  </w:style>
  <w:style w:type="character" w:customStyle="1" w:styleId="82">
    <w:name w:val="style1"/>
    <w:basedOn w:val="49"/>
    <w:qFormat/>
    <w:uiPriority w:val="0"/>
  </w:style>
  <w:style w:type="character" w:customStyle="1" w:styleId="83">
    <w:name w:val="正文文本 3 字符"/>
    <w:link w:val="21"/>
    <w:qFormat/>
    <w:uiPriority w:val="0"/>
    <w:rPr>
      <w:rFonts w:ascii="宋体" w:eastAsia="宋体"/>
      <w:sz w:val="24"/>
    </w:rPr>
  </w:style>
  <w:style w:type="character" w:customStyle="1" w:styleId="84">
    <w:name w:val="15"/>
    <w:qFormat/>
    <w:uiPriority w:val="0"/>
    <w:rPr>
      <w:rFonts w:hint="default" w:ascii="Times New Roman" w:hAnsi="Times New Roman" w:cs="Times New Roman"/>
      <w:sz w:val="20"/>
      <w:szCs w:val="20"/>
    </w:rPr>
  </w:style>
  <w:style w:type="character" w:customStyle="1" w:styleId="85">
    <w:name w:val="Char Char11"/>
    <w:qFormat/>
    <w:uiPriority w:val="0"/>
    <w:rPr>
      <w:rFonts w:eastAsia="楷体_GB2312"/>
      <w:b/>
      <w:kern w:val="44"/>
      <w:sz w:val="44"/>
      <w:lang w:val="en-US" w:eastAsia="zh-CN" w:bidi="ar-SA"/>
    </w:rPr>
  </w:style>
  <w:style w:type="character" w:customStyle="1" w:styleId="86">
    <w:name w:val="引用 Char2"/>
    <w:qFormat/>
    <w:uiPriority w:val="29"/>
    <w:rPr>
      <w:i/>
      <w:iCs/>
      <w:color w:val="000000"/>
    </w:rPr>
  </w:style>
  <w:style w:type="character" w:customStyle="1" w:styleId="87">
    <w:name w:val="列表段落 字符"/>
    <w:link w:val="88"/>
    <w:qFormat/>
    <w:uiPriority w:val="0"/>
    <w:rPr>
      <w:rFonts w:eastAsia="宋体"/>
      <w:szCs w:val="24"/>
    </w:rPr>
  </w:style>
  <w:style w:type="paragraph" w:styleId="88">
    <w:name w:val="List Paragraph"/>
    <w:basedOn w:val="1"/>
    <w:link w:val="87"/>
    <w:qFormat/>
    <w:uiPriority w:val="0"/>
    <w:pPr>
      <w:ind w:firstLine="420" w:firstLineChars="200"/>
    </w:pPr>
    <w:rPr>
      <w:rFonts w:asciiTheme="minorHAnsi" w:hAnsiTheme="minorHAnsi" w:cstheme="minorBidi"/>
      <w:szCs w:val="24"/>
    </w:rPr>
  </w:style>
  <w:style w:type="character" w:customStyle="1" w:styleId="89">
    <w:name w:val="正文文本 Char1"/>
    <w:basedOn w:val="49"/>
    <w:semiHidden/>
    <w:qFormat/>
    <w:uiPriority w:val="99"/>
  </w:style>
  <w:style w:type="character" w:customStyle="1" w:styleId="90">
    <w:name w:val="标题 Char2"/>
    <w:qFormat/>
    <w:uiPriority w:val="10"/>
    <w:rPr>
      <w:rFonts w:ascii="Cambria" w:hAnsi="Cambria" w:eastAsia="宋体" w:cs="Times New Roman"/>
      <w:b/>
      <w:bCs/>
      <w:sz w:val="32"/>
      <w:szCs w:val="32"/>
    </w:rPr>
  </w:style>
  <w:style w:type="character" w:customStyle="1" w:styleId="91">
    <w:name w:val="gray6"/>
    <w:basedOn w:val="49"/>
    <w:qFormat/>
    <w:uiPriority w:val="0"/>
  </w:style>
  <w:style w:type="character" w:customStyle="1" w:styleId="92">
    <w:name w:val="textcontents"/>
    <w:basedOn w:val="49"/>
    <w:qFormat/>
    <w:uiPriority w:val="0"/>
  </w:style>
  <w:style w:type="character" w:customStyle="1" w:styleId="93">
    <w:name w:val="style2"/>
    <w:basedOn w:val="49"/>
    <w:qFormat/>
    <w:uiPriority w:val="0"/>
  </w:style>
  <w:style w:type="character" w:customStyle="1" w:styleId="94">
    <w:name w:val="para"/>
    <w:basedOn w:val="49"/>
    <w:qFormat/>
    <w:uiPriority w:val="0"/>
  </w:style>
  <w:style w:type="character" w:customStyle="1" w:styleId="95">
    <w:name w:val="style22"/>
    <w:basedOn w:val="49"/>
    <w:qFormat/>
    <w:uiPriority w:val="0"/>
  </w:style>
  <w:style w:type="character" w:customStyle="1" w:styleId="96">
    <w:name w:val="Char Char15"/>
    <w:qFormat/>
    <w:uiPriority w:val="0"/>
    <w:rPr>
      <w:rFonts w:ascii="Arial" w:hAnsi="Arial" w:eastAsia="黑体"/>
      <w:b/>
      <w:kern w:val="2"/>
      <w:sz w:val="32"/>
      <w:szCs w:val="24"/>
      <w:lang w:val="en-US" w:eastAsia="zh-CN" w:bidi="ar-SA"/>
    </w:rPr>
  </w:style>
  <w:style w:type="character" w:customStyle="1" w:styleId="97">
    <w:name w:val="正文首行缩进 2 Char Char"/>
    <w:qFormat/>
    <w:uiPriority w:val="0"/>
    <w:rPr>
      <w:rFonts w:ascii="宋体" w:hAnsi="宋体" w:eastAsia="宋体" w:cs="宋体"/>
      <w:kern w:val="2"/>
      <w:sz w:val="18"/>
      <w:szCs w:val="18"/>
      <w:lang w:val="en-US" w:eastAsia="zh-CN" w:bidi="ar-SA"/>
    </w:rPr>
  </w:style>
  <w:style w:type="character" w:customStyle="1" w:styleId="98">
    <w:name w:val="px14"/>
    <w:basedOn w:val="49"/>
    <w:qFormat/>
    <w:uiPriority w:val="0"/>
  </w:style>
  <w:style w:type="character" w:customStyle="1" w:styleId="99">
    <w:name w:val="right"/>
    <w:qFormat/>
    <w:uiPriority w:val="0"/>
    <w:rPr>
      <w:color w:val="999999"/>
      <w:sz w:val="18"/>
      <w:szCs w:val="18"/>
    </w:rPr>
  </w:style>
  <w:style w:type="character" w:customStyle="1" w:styleId="100">
    <w:name w:val="Char Char6"/>
    <w:qFormat/>
    <w:uiPriority w:val="0"/>
    <w:rPr>
      <w:rFonts w:ascii="Arial" w:hAnsi="Arial" w:eastAsia="黑体"/>
      <w:b/>
      <w:bCs/>
      <w:kern w:val="2"/>
      <w:sz w:val="32"/>
      <w:szCs w:val="32"/>
      <w:lang w:val="en-US" w:eastAsia="zh-CN" w:bidi="ar-SA"/>
    </w:rPr>
  </w:style>
  <w:style w:type="character" w:customStyle="1" w:styleId="101">
    <w:name w:val="兰色缩进 Char"/>
    <w:qFormat/>
    <w:uiPriority w:val="0"/>
    <w:rPr>
      <w:rFonts w:ascii="Arial" w:hAnsi="Arial" w:eastAsia="宋体"/>
      <w:snapToGrid w:val="0"/>
      <w:color w:val="0000FF"/>
      <w:sz w:val="24"/>
      <w:szCs w:val="21"/>
      <w:lang w:val="en-US" w:eastAsia="zh-CN" w:bidi="ar-SA"/>
    </w:rPr>
  </w:style>
  <w:style w:type="character" w:customStyle="1" w:styleId="102">
    <w:name w:val="gb-jt"/>
    <w:basedOn w:val="49"/>
    <w:qFormat/>
    <w:uiPriority w:val="0"/>
  </w:style>
  <w:style w:type="character" w:customStyle="1" w:styleId="103">
    <w:name w:val="aboutus"/>
    <w:basedOn w:val="49"/>
    <w:qFormat/>
    <w:uiPriority w:val="0"/>
  </w:style>
  <w:style w:type="character" w:customStyle="1" w:styleId="104">
    <w:name w:val="普通(网站) 字符"/>
    <w:link w:val="44"/>
    <w:qFormat/>
    <w:uiPriority w:val="0"/>
    <w:rPr>
      <w:rFonts w:ascii="宋体" w:hAnsi="宋体" w:eastAsia="宋体" w:cs="宋体"/>
      <w:sz w:val="24"/>
      <w:szCs w:val="24"/>
    </w:rPr>
  </w:style>
  <w:style w:type="character" w:customStyle="1" w:styleId="105">
    <w:name w:val="明显引用 Char2"/>
    <w:qFormat/>
    <w:uiPriority w:val="30"/>
    <w:rPr>
      <w:b/>
      <w:bCs/>
      <w:i/>
      <w:iCs/>
      <w:color w:val="4F81BD"/>
    </w:rPr>
  </w:style>
  <w:style w:type="character" w:customStyle="1" w:styleId="106">
    <w:name w:val="List Number Char"/>
    <w:qFormat/>
    <w:uiPriority w:val="0"/>
    <w:rPr>
      <w:rFonts w:eastAsia="宋体"/>
      <w:b/>
      <w:bCs/>
      <w:kern w:val="2"/>
      <w:sz w:val="32"/>
      <w:szCs w:val="32"/>
      <w:lang w:bidi="ar-SA"/>
    </w:rPr>
  </w:style>
  <w:style w:type="character" w:customStyle="1" w:styleId="107">
    <w:name w:val="正文文本缩进 2 字符"/>
    <w:link w:val="29"/>
    <w:qFormat/>
    <w:uiPriority w:val="0"/>
    <w:rPr>
      <w:rFonts w:ascii="宋体" w:hAnsi="宋体" w:eastAsia="宋体" w:cs="Times New Roman"/>
      <w:sz w:val="30"/>
      <w:szCs w:val="20"/>
    </w:rPr>
  </w:style>
  <w:style w:type="character" w:customStyle="1" w:styleId="108">
    <w:name w:val="F1 Char"/>
    <w:link w:val="109"/>
    <w:qFormat/>
    <w:uiPriority w:val="0"/>
    <w:rPr>
      <w:rFonts w:ascii="EU-F1" w:eastAsia="黑体"/>
      <w:szCs w:val="21"/>
    </w:rPr>
  </w:style>
  <w:style w:type="paragraph" w:customStyle="1" w:styleId="109">
    <w:name w:val="F1"/>
    <w:basedOn w:val="1"/>
    <w:link w:val="108"/>
    <w:qFormat/>
    <w:uiPriority w:val="0"/>
    <w:pPr>
      <w:topLinePunct/>
      <w:spacing w:line="312" w:lineRule="exact"/>
    </w:pPr>
    <w:rPr>
      <w:rFonts w:ascii="EU-F1" w:eastAsia="黑体" w:hAnsiTheme="minorHAnsi" w:cstheme="minorBidi"/>
      <w:szCs w:val="21"/>
    </w:rPr>
  </w:style>
  <w:style w:type="character" w:customStyle="1" w:styleId="110">
    <w:name w:val="标题5 Char Char"/>
    <w:link w:val="111"/>
    <w:qFormat/>
    <w:uiPriority w:val="0"/>
    <w:rPr>
      <w:rFonts w:ascii="Arial" w:hAnsi="Arial"/>
      <w:b/>
      <w:bCs/>
      <w:sz w:val="24"/>
      <w:szCs w:val="32"/>
    </w:rPr>
  </w:style>
  <w:style w:type="paragraph" w:customStyle="1" w:styleId="111">
    <w:name w:val="标题5"/>
    <w:basedOn w:val="8"/>
    <w:link w:val="110"/>
    <w:qFormat/>
    <w:uiPriority w:val="0"/>
    <w:pPr>
      <w:spacing w:before="260" w:after="260" w:line="413" w:lineRule="auto"/>
      <w:jc w:val="both"/>
    </w:pPr>
    <w:rPr>
      <w:rFonts w:ascii="Arial" w:hAnsi="Arial" w:eastAsiaTheme="minorEastAsia" w:cstheme="minorBidi"/>
      <w:bCs/>
      <w:kern w:val="2"/>
      <w:szCs w:val="32"/>
    </w:rPr>
  </w:style>
  <w:style w:type="character" w:customStyle="1" w:styleId="112">
    <w:name w:val="纯文本 Char"/>
    <w:qFormat/>
    <w:uiPriority w:val="0"/>
    <w:rPr>
      <w:rFonts w:ascii="宋体" w:hAnsi="Courier New" w:eastAsia="幼圆"/>
      <w:kern w:val="2"/>
      <w:sz w:val="21"/>
      <w:lang w:val="en-US" w:eastAsia="zh-CN" w:bidi="ar-SA"/>
    </w:rPr>
  </w:style>
  <w:style w:type="character" w:customStyle="1" w:styleId="113">
    <w:name w:val="unnamed11"/>
    <w:qFormat/>
    <w:uiPriority w:val="0"/>
    <w:rPr>
      <w:color w:val="000000"/>
      <w:sz w:val="20"/>
      <w:szCs w:val="20"/>
    </w:rPr>
  </w:style>
  <w:style w:type="character" w:customStyle="1" w:styleId="114">
    <w:name w:val="green1"/>
    <w:qFormat/>
    <w:uiPriority w:val="0"/>
    <w:rPr>
      <w:color w:val="66AE00"/>
      <w:sz w:val="18"/>
      <w:szCs w:val="18"/>
    </w:rPr>
  </w:style>
  <w:style w:type="character" w:customStyle="1" w:styleId="115">
    <w:name w:val="标题 3 Char Char"/>
    <w:qFormat/>
    <w:uiPriority w:val="0"/>
    <w:rPr>
      <w:rFonts w:eastAsia="宋体"/>
      <w:b/>
      <w:kern w:val="2"/>
      <w:sz w:val="32"/>
      <w:lang w:val="en-US" w:eastAsia="zh-CN" w:bidi="ar-SA"/>
    </w:rPr>
  </w:style>
  <w:style w:type="character" w:customStyle="1" w:styleId="116">
    <w:name w:val="标题 Char1"/>
    <w:qFormat/>
    <w:uiPriority w:val="0"/>
    <w:rPr>
      <w:rFonts w:ascii="Cambria" w:hAnsi="Cambria" w:cs="Times New Roman"/>
      <w:b/>
      <w:bCs/>
      <w:kern w:val="2"/>
      <w:sz w:val="32"/>
      <w:szCs w:val="32"/>
    </w:rPr>
  </w:style>
  <w:style w:type="character" w:customStyle="1" w:styleId="117">
    <w:name w:val="Default Char Char"/>
    <w:link w:val="118"/>
    <w:qFormat/>
    <w:uiPriority w:val="0"/>
    <w:rPr>
      <w:rFonts w:ascii="宋体"/>
      <w:color w:val="000000"/>
      <w:sz w:val="24"/>
      <w:szCs w:val="24"/>
    </w:rPr>
  </w:style>
  <w:style w:type="paragraph" w:customStyle="1" w:styleId="118">
    <w:name w:val="Default"/>
    <w:link w:val="117"/>
    <w:qFormat/>
    <w:uiPriority w:val="0"/>
    <w:pPr>
      <w:widowControl w:val="0"/>
      <w:autoSpaceDE w:val="0"/>
      <w:autoSpaceDN w:val="0"/>
      <w:adjustRightInd w:val="0"/>
    </w:pPr>
    <w:rPr>
      <w:rFonts w:ascii="宋体" w:hAnsiTheme="minorHAnsi" w:eastAsiaTheme="minorEastAsia" w:cstheme="minorBidi"/>
      <w:color w:val="000000"/>
      <w:kern w:val="2"/>
      <w:sz w:val="24"/>
      <w:szCs w:val="24"/>
      <w:lang w:val="en-US" w:eastAsia="zh-CN" w:bidi="ar-SA"/>
    </w:rPr>
  </w:style>
  <w:style w:type="character" w:customStyle="1" w:styleId="119">
    <w:name w:val="招标正文 Char"/>
    <w:link w:val="120"/>
    <w:qFormat/>
    <w:uiPriority w:val="0"/>
    <w:rPr>
      <w:rFonts w:ascii="宋体" w:hAnsi="宋体" w:eastAsia="宋体"/>
      <w:sz w:val="24"/>
      <w:szCs w:val="24"/>
    </w:rPr>
  </w:style>
  <w:style w:type="paragraph" w:customStyle="1" w:styleId="120">
    <w:name w:val="招标正文"/>
    <w:basedOn w:val="1"/>
    <w:link w:val="119"/>
    <w:qFormat/>
    <w:uiPriority w:val="0"/>
    <w:pPr>
      <w:spacing w:line="360" w:lineRule="auto"/>
      <w:ind w:firstLine="480" w:firstLineChars="200"/>
    </w:pPr>
    <w:rPr>
      <w:rFonts w:ascii="宋体" w:hAnsi="宋体" w:cstheme="minorBidi"/>
      <w:sz w:val="24"/>
      <w:szCs w:val="24"/>
    </w:rPr>
  </w:style>
  <w:style w:type="character" w:customStyle="1" w:styleId="121">
    <w:name w:val="Aufzählung Ebene 1 Zchn"/>
    <w:link w:val="122"/>
    <w:qFormat/>
    <w:uiPriority w:val="0"/>
    <w:rPr>
      <w:rFonts w:ascii="Verdana" w:hAnsi="Verdana" w:eastAsia="Times New Roman"/>
      <w:szCs w:val="24"/>
      <w:lang w:val="de-DE" w:eastAsia="de-DE"/>
    </w:rPr>
  </w:style>
  <w:style w:type="paragraph" w:customStyle="1" w:styleId="122">
    <w:name w:val="Aufzählung Ebene 1"/>
    <w:link w:val="121"/>
    <w:qFormat/>
    <w:uiPriority w:val="0"/>
    <w:pPr>
      <w:tabs>
        <w:tab w:val="left" w:pos="360"/>
      </w:tabs>
      <w:spacing w:after="20"/>
      <w:ind w:left="284" w:hanging="360"/>
    </w:pPr>
    <w:rPr>
      <w:rFonts w:ascii="Verdana" w:hAnsi="Verdana" w:eastAsia="Times New Roman" w:cstheme="minorBidi"/>
      <w:kern w:val="2"/>
      <w:sz w:val="21"/>
      <w:szCs w:val="24"/>
      <w:lang w:val="de-DE" w:eastAsia="de-DE" w:bidi="ar-SA"/>
    </w:rPr>
  </w:style>
  <w:style w:type="character" w:customStyle="1" w:styleId="123">
    <w:name w:val="正文缩进 字符"/>
    <w:link w:val="16"/>
    <w:qFormat/>
    <w:locked/>
    <w:uiPriority w:val="0"/>
    <w:rPr>
      <w:rFonts w:eastAsia="宋体"/>
    </w:rPr>
  </w:style>
  <w:style w:type="character" w:customStyle="1" w:styleId="124">
    <w:name w:val="正文首行缩进 Char1"/>
    <w:basedOn w:val="89"/>
    <w:semiHidden/>
    <w:qFormat/>
    <w:uiPriority w:val="99"/>
  </w:style>
  <w:style w:type="character" w:customStyle="1" w:styleId="125">
    <w:name w:val="p2"/>
    <w:basedOn w:val="49"/>
    <w:qFormat/>
    <w:uiPriority w:val="0"/>
  </w:style>
  <w:style w:type="character" w:customStyle="1" w:styleId="126">
    <w:name w:val="Char Char9"/>
    <w:qFormat/>
    <w:uiPriority w:val="0"/>
    <w:rPr>
      <w:rFonts w:ascii="楷体_GB2312" w:eastAsia="楷体_GB2312"/>
      <w:sz w:val="28"/>
      <w:lang w:val="en-US" w:eastAsia="zh-CN" w:bidi="ar-SA"/>
    </w:rPr>
  </w:style>
  <w:style w:type="character" w:customStyle="1" w:styleId="127">
    <w:name w:val="文档结构图 字符"/>
    <w:link w:val="18"/>
    <w:qFormat/>
    <w:uiPriority w:val="0"/>
    <w:rPr>
      <w:rFonts w:ascii="Times New Roman" w:hAnsi="Times New Roman" w:eastAsia="宋体" w:cs="Times New Roman"/>
      <w:szCs w:val="20"/>
      <w:shd w:val="clear" w:color="auto" w:fill="000080"/>
    </w:rPr>
  </w:style>
  <w:style w:type="character" w:customStyle="1" w:styleId="128">
    <w:name w:val="批注框文本 字符"/>
    <w:link w:val="30"/>
    <w:uiPriority w:val="0"/>
    <w:rPr>
      <w:rFonts w:ascii="Times New Roman" w:hAnsi="Times New Roman" w:eastAsia="宋体" w:cs="Times New Roman"/>
      <w:sz w:val="18"/>
      <w:szCs w:val="20"/>
    </w:rPr>
  </w:style>
  <w:style w:type="character" w:customStyle="1" w:styleId="129">
    <w:name w:val="样式 标书正文 + 下划线 Char"/>
    <w:qFormat/>
    <w:uiPriority w:val="0"/>
    <w:rPr>
      <w:rFonts w:eastAsia="楷体_GB2312"/>
      <w:kern w:val="2"/>
      <w:sz w:val="28"/>
      <w:szCs w:val="28"/>
      <w:u w:val="single"/>
      <w:lang w:val="en-US" w:eastAsia="zh-CN" w:bidi="ar-SA"/>
    </w:rPr>
  </w:style>
  <w:style w:type="character" w:customStyle="1" w:styleId="130">
    <w:name w:val="z101"/>
    <w:qFormat/>
    <w:uiPriority w:val="0"/>
    <w:rPr>
      <w:sz w:val="24"/>
      <w:szCs w:val="24"/>
    </w:rPr>
  </w:style>
  <w:style w:type="character" w:customStyle="1" w:styleId="131">
    <w:name w:val="正文文本首行缩进 2 字符"/>
    <w:link w:val="4"/>
    <w:qFormat/>
    <w:uiPriority w:val="0"/>
    <w:rPr>
      <w:rFonts w:eastAsia="宋体"/>
      <w:sz w:val="30"/>
    </w:rPr>
  </w:style>
  <w:style w:type="character" w:customStyle="1" w:styleId="132">
    <w:name w:val="red3"/>
    <w:qFormat/>
    <w:uiPriority w:val="0"/>
    <w:rPr>
      <w:color w:val="FF0000"/>
    </w:rPr>
  </w:style>
  <w:style w:type="character" w:customStyle="1" w:styleId="133">
    <w:name w:val="日期 Char1"/>
    <w:basedOn w:val="49"/>
    <w:semiHidden/>
    <w:qFormat/>
    <w:uiPriority w:val="99"/>
  </w:style>
  <w:style w:type="character" w:customStyle="1" w:styleId="134">
    <w:name w:val="正文文本缩进 字符"/>
    <w:qFormat/>
    <w:uiPriority w:val="0"/>
    <w:rPr>
      <w:rFonts w:eastAsia="宋体"/>
      <w:sz w:val="30"/>
    </w:rPr>
  </w:style>
  <w:style w:type="character" w:customStyle="1" w:styleId="135">
    <w:name w:val="引用 字符"/>
    <w:link w:val="136"/>
    <w:qFormat/>
    <w:uiPriority w:val="0"/>
    <w:rPr>
      <w:rFonts w:eastAsia="宋体"/>
      <w:i/>
      <w:iCs/>
      <w:color w:val="000000"/>
      <w:sz w:val="24"/>
      <w:szCs w:val="21"/>
    </w:rPr>
  </w:style>
  <w:style w:type="paragraph" w:styleId="136">
    <w:name w:val="Quote"/>
    <w:basedOn w:val="1"/>
    <w:next w:val="1"/>
    <w:link w:val="135"/>
    <w:qFormat/>
    <w:uiPriority w:val="0"/>
    <w:pPr>
      <w:spacing w:before="120" w:after="120"/>
    </w:pPr>
    <w:rPr>
      <w:rFonts w:asciiTheme="minorHAnsi" w:hAnsiTheme="minorHAnsi" w:cstheme="minorBidi"/>
      <w:i/>
      <w:iCs/>
      <w:color w:val="000000"/>
      <w:sz w:val="24"/>
      <w:szCs w:val="21"/>
    </w:rPr>
  </w:style>
  <w:style w:type="character" w:customStyle="1" w:styleId="137">
    <w:name w:val="wz1"/>
    <w:uiPriority w:val="0"/>
    <w:rPr>
      <w:rFonts w:hint="eastAsia" w:ascii="宋体" w:hAnsi="宋体" w:eastAsia="宋体"/>
      <w:color w:val="000000"/>
      <w:sz w:val="18"/>
      <w:szCs w:val="18"/>
      <w:u w:val="none"/>
    </w:rPr>
  </w:style>
  <w:style w:type="character" w:customStyle="1" w:styleId="138">
    <w:name w:val="正文文本 2 字符"/>
    <w:link w:val="41"/>
    <w:qFormat/>
    <w:uiPriority w:val="0"/>
    <w:rPr>
      <w:rFonts w:ascii="Times New Roman" w:hAnsi="Times New Roman" w:eastAsia="宋体" w:cs="Times New Roman"/>
      <w:szCs w:val="20"/>
    </w:rPr>
  </w:style>
  <w:style w:type="character" w:customStyle="1" w:styleId="139">
    <w:name w:val="Char Char21"/>
    <w:qFormat/>
    <w:uiPriority w:val="0"/>
    <w:rPr>
      <w:rFonts w:eastAsia="楷体_GB2312"/>
      <w:b/>
      <w:kern w:val="44"/>
      <w:sz w:val="44"/>
      <w:lang w:val="en-US" w:eastAsia="zh-CN" w:bidi="ar-SA"/>
    </w:rPr>
  </w:style>
  <w:style w:type="character" w:customStyle="1" w:styleId="140">
    <w:name w:val="title_emph1"/>
    <w:qFormat/>
    <w:uiPriority w:val="0"/>
    <w:rPr>
      <w:rFonts w:hint="default" w:ascii="Arial" w:hAnsi="Arial" w:cs="Arial"/>
      <w:b/>
      <w:bCs/>
      <w:sz w:val="18"/>
      <w:szCs w:val="18"/>
    </w:rPr>
  </w:style>
  <w:style w:type="character" w:customStyle="1" w:styleId="141">
    <w:name w:val="c lh15"/>
    <w:basedOn w:val="49"/>
    <w:qFormat/>
    <w:uiPriority w:val="0"/>
  </w:style>
  <w:style w:type="character" w:customStyle="1" w:styleId="142">
    <w:name w:val="纯文本 Char2"/>
    <w:semiHidden/>
    <w:qFormat/>
    <w:uiPriority w:val="99"/>
    <w:rPr>
      <w:rFonts w:ascii="宋体" w:hAnsi="Courier New" w:eastAsia="宋体" w:cs="Courier New"/>
      <w:szCs w:val="21"/>
    </w:rPr>
  </w:style>
  <w:style w:type="character" w:customStyle="1" w:styleId="143">
    <w:name w:val="hover"/>
    <w:basedOn w:val="49"/>
    <w:qFormat/>
    <w:uiPriority w:val="0"/>
  </w:style>
  <w:style w:type="character" w:customStyle="1" w:styleId="144">
    <w:name w:val="文档正文 Char Char"/>
    <w:qFormat/>
    <w:uiPriority w:val="0"/>
    <w:rPr>
      <w:rFonts w:ascii="仿宋_GB2312" w:eastAsia="仿宋_GB2312"/>
      <w:sz w:val="28"/>
      <w:lang w:val="en-US" w:eastAsia="zh-CN" w:bidi="ar-SA"/>
    </w:rPr>
  </w:style>
  <w:style w:type="character" w:customStyle="1" w:styleId="145">
    <w:name w:val="正文文本 3 Char1"/>
    <w:semiHidden/>
    <w:qFormat/>
    <w:uiPriority w:val="99"/>
    <w:rPr>
      <w:sz w:val="16"/>
      <w:szCs w:val="16"/>
    </w:rPr>
  </w:style>
  <w:style w:type="character" w:customStyle="1" w:styleId="146">
    <w:name w:val="style91"/>
    <w:uiPriority w:val="0"/>
    <w:rPr>
      <w:sz w:val="18"/>
    </w:rPr>
  </w:style>
  <w:style w:type="character" w:customStyle="1" w:styleId="147">
    <w:name w:val="font161"/>
    <w:qFormat/>
    <w:uiPriority w:val="0"/>
    <w:rPr>
      <w:b/>
      <w:bCs/>
      <w:sz w:val="32"/>
      <w:szCs w:val="32"/>
    </w:rPr>
  </w:style>
  <w:style w:type="character" w:customStyle="1" w:styleId="148">
    <w:name w:val="red2"/>
    <w:qFormat/>
    <w:uiPriority w:val="0"/>
    <w:rPr>
      <w:color w:val="CC0000"/>
    </w:rPr>
  </w:style>
  <w:style w:type="character" w:customStyle="1" w:styleId="149">
    <w:name w:val="正文文本 字符"/>
    <w:qFormat/>
    <w:uiPriority w:val="0"/>
    <w:rPr>
      <w:rFonts w:eastAsia="宋体"/>
    </w:rPr>
  </w:style>
  <w:style w:type="character" w:customStyle="1" w:styleId="150">
    <w:name w:val="副标题 字符"/>
    <w:link w:val="34"/>
    <w:qFormat/>
    <w:uiPriority w:val="0"/>
    <w:rPr>
      <w:rFonts w:ascii="Cambria" w:hAnsi="Cambria" w:eastAsia="Times New Roman" w:cs="Times New Roman"/>
      <w:b/>
      <w:bCs/>
      <w:kern w:val="28"/>
      <w:sz w:val="32"/>
      <w:szCs w:val="32"/>
    </w:rPr>
  </w:style>
  <w:style w:type="character" w:customStyle="1" w:styleId="151">
    <w:name w:val="blue"/>
    <w:qFormat/>
    <w:uiPriority w:val="0"/>
    <w:rPr>
      <w:color w:val="0371C6"/>
      <w:sz w:val="21"/>
      <w:szCs w:val="21"/>
    </w:rPr>
  </w:style>
  <w:style w:type="character" w:customStyle="1" w:styleId="152">
    <w:name w:val="批注主题 字符"/>
    <w:link w:val="46"/>
    <w:qFormat/>
    <w:uiPriority w:val="0"/>
    <w:rPr>
      <w:b/>
      <w:bCs/>
      <w:sz w:val="30"/>
    </w:rPr>
  </w:style>
  <w:style w:type="character" w:customStyle="1" w:styleId="153">
    <w:name w:val="样式 正文首行缩进 2 + Arial Char Char"/>
    <w:link w:val="154"/>
    <w:qFormat/>
    <w:uiPriority w:val="0"/>
    <w:rPr>
      <w:rFonts w:ascii="Arial" w:hAnsi="Arial" w:eastAsia="宋体"/>
      <w:szCs w:val="24"/>
    </w:rPr>
  </w:style>
  <w:style w:type="paragraph" w:customStyle="1" w:styleId="154">
    <w:name w:val="样式 正文首行缩进 2 + Arial"/>
    <w:basedOn w:val="1"/>
    <w:next w:val="1"/>
    <w:link w:val="153"/>
    <w:qFormat/>
    <w:uiPriority w:val="0"/>
    <w:pPr>
      <w:spacing w:after="120" w:line="320" w:lineRule="atLeast"/>
      <w:ind w:firstLine="200" w:firstLineChars="200"/>
    </w:pPr>
    <w:rPr>
      <w:rFonts w:ascii="Arial" w:hAnsi="Arial" w:cstheme="minorBidi"/>
      <w:szCs w:val="24"/>
    </w:rPr>
  </w:style>
  <w:style w:type="character" w:customStyle="1" w:styleId="155">
    <w:name w:val="HTML 预设格式 字符"/>
    <w:link w:val="43"/>
    <w:uiPriority w:val="0"/>
    <w:rPr>
      <w:rFonts w:ascii="宋体" w:hAnsi="宋体" w:eastAsia="宋体" w:cs="宋体"/>
      <w:kern w:val="0"/>
      <w:sz w:val="24"/>
      <w:szCs w:val="24"/>
    </w:rPr>
  </w:style>
  <w:style w:type="character" w:customStyle="1" w:styleId="156">
    <w:name w:val="批注主题 Char1"/>
    <w:semiHidden/>
    <w:qFormat/>
    <w:uiPriority w:val="99"/>
    <w:rPr>
      <w:b/>
      <w:bCs/>
    </w:rPr>
  </w:style>
  <w:style w:type="character" w:customStyle="1" w:styleId="157">
    <w:name w:val="title1"/>
    <w:qFormat/>
    <w:uiPriority w:val="0"/>
    <w:rPr>
      <w:rFonts w:ascii="Arial" w:hAnsi="Arial" w:cs="Arial"/>
      <w:b/>
      <w:bCs/>
      <w:color w:val="990099"/>
      <w:sz w:val="27"/>
      <w:szCs w:val="27"/>
    </w:rPr>
  </w:style>
  <w:style w:type="character" w:customStyle="1" w:styleId="158">
    <w:name w:val="批注文字 Char"/>
    <w:qFormat/>
    <w:uiPriority w:val="0"/>
    <w:rPr>
      <w:kern w:val="2"/>
      <w:sz w:val="30"/>
    </w:rPr>
  </w:style>
  <w:style w:type="character" w:customStyle="1" w:styleId="159">
    <w:name w:val="正文文本缩进 Char1"/>
    <w:basedOn w:val="49"/>
    <w:semiHidden/>
    <w:qFormat/>
    <w:uiPriority w:val="99"/>
  </w:style>
  <w:style w:type="character" w:customStyle="1" w:styleId="160">
    <w:name w:val="明显引用 字符"/>
    <w:link w:val="161"/>
    <w:qFormat/>
    <w:uiPriority w:val="0"/>
    <w:rPr>
      <w:rFonts w:eastAsia="宋体"/>
      <w:b/>
      <w:bCs/>
      <w:i/>
      <w:iCs/>
      <w:color w:val="4F81BD"/>
      <w:sz w:val="24"/>
      <w:szCs w:val="21"/>
    </w:rPr>
  </w:style>
  <w:style w:type="paragraph" w:styleId="161">
    <w:name w:val="Intense Quote"/>
    <w:basedOn w:val="1"/>
    <w:next w:val="1"/>
    <w:link w:val="160"/>
    <w:qFormat/>
    <w:uiPriority w:val="0"/>
    <w:pPr>
      <w:pBdr>
        <w:bottom w:val="single" w:color="4F81BD" w:sz="4" w:space="4"/>
      </w:pBdr>
      <w:spacing w:before="200" w:after="280"/>
      <w:ind w:left="936" w:right="936"/>
    </w:pPr>
    <w:rPr>
      <w:rFonts w:asciiTheme="minorHAnsi" w:hAnsiTheme="minorHAnsi" w:cstheme="minorBidi"/>
      <w:b/>
      <w:bCs/>
      <w:i/>
      <w:iCs/>
      <w:color w:val="4F81BD"/>
      <w:sz w:val="24"/>
      <w:szCs w:val="21"/>
    </w:rPr>
  </w:style>
  <w:style w:type="character" w:customStyle="1" w:styleId="162">
    <w:name w:val="hover25"/>
    <w:basedOn w:val="49"/>
    <w:qFormat/>
    <w:uiPriority w:val="0"/>
  </w:style>
  <w:style w:type="character" w:customStyle="1" w:styleId="163">
    <w:name w:val="Char Char18"/>
    <w:qFormat/>
    <w:uiPriority w:val="0"/>
    <w:rPr>
      <w:rFonts w:eastAsia="宋体"/>
      <w:kern w:val="2"/>
      <w:sz w:val="32"/>
      <w:lang w:val="en-US" w:eastAsia="zh-CN" w:bidi="ar-SA"/>
    </w:rPr>
  </w:style>
  <w:style w:type="character" w:customStyle="1" w:styleId="164">
    <w:name w:val="article_f14"/>
    <w:basedOn w:val="49"/>
    <w:qFormat/>
    <w:uiPriority w:val="0"/>
  </w:style>
  <w:style w:type="character" w:customStyle="1" w:styleId="165">
    <w:name w:val="themebody1"/>
    <w:qFormat/>
    <w:uiPriority w:val="0"/>
    <w:rPr>
      <w:color w:val="FFFFFF"/>
    </w:rPr>
  </w:style>
  <w:style w:type="character" w:customStyle="1" w:styleId="166">
    <w:name w:val="正文首行缩进 2 Char1"/>
    <w:basedOn w:val="159"/>
    <w:semiHidden/>
    <w:qFormat/>
    <w:uiPriority w:val="99"/>
  </w:style>
  <w:style w:type="character" w:customStyle="1" w:styleId="167">
    <w:name w:val="blue1"/>
    <w:basedOn w:val="49"/>
    <w:qFormat/>
    <w:uiPriority w:val="0"/>
  </w:style>
  <w:style w:type="character" w:customStyle="1" w:styleId="168">
    <w:name w:val="Char Char19"/>
    <w:qFormat/>
    <w:uiPriority w:val="0"/>
    <w:rPr>
      <w:rFonts w:eastAsia="宋体"/>
      <w:b/>
      <w:kern w:val="2"/>
      <w:sz w:val="32"/>
      <w:lang w:val="en-US" w:eastAsia="zh-CN" w:bidi="ar-SA"/>
    </w:rPr>
  </w:style>
  <w:style w:type="character" w:customStyle="1" w:styleId="169">
    <w:name w:val="EHPT Char"/>
    <w:qFormat/>
    <w:uiPriority w:val="0"/>
    <w:rPr>
      <w:rFonts w:eastAsia="宋体"/>
      <w:kern w:val="2"/>
      <w:sz w:val="21"/>
      <w:lang w:val="en-US" w:eastAsia="zh-CN" w:bidi="ar-SA"/>
    </w:rPr>
  </w:style>
  <w:style w:type="character" w:customStyle="1" w:styleId="170">
    <w:name w:val="正文文本首行缩进 字符"/>
    <w:link w:val="2"/>
    <w:qFormat/>
    <w:uiPriority w:val="0"/>
    <w:rPr>
      <w:rFonts w:eastAsia="宋体"/>
    </w:rPr>
  </w:style>
  <w:style w:type="character" w:customStyle="1" w:styleId="171">
    <w:name w:val="red"/>
    <w:qFormat/>
    <w:uiPriority w:val="0"/>
    <w:rPr>
      <w:color w:val="FF0000"/>
      <w:sz w:val="18"/>
      <w:szCs w:val="18"/>
    </w:rPr>
  </w:style>
  <w:style w:type="character" w:customStyle="1" w:styleId="172">
    <w:name w:val="标题 字符"/>
    <w:link w:val="45"/>
    <w:qFormat/>
    <w:uiPriority w:val="0"/>
    <w:rPr>
      <w:rFonts w:ascii="Cambria" w:hAnsi="Cambria"/>
      <w:b/>
      <w:bCs/>
      <w:sz w:val="32"/>
      <w:szCs w:val="32"/>
    </w:rPr>
  </w:style>
  <w:style w:type="character" w:customStyle="1" w:styleId="173">
    <w:name w:val="Char Char25"/>
    <w:qFormat/>
    <w:uiPriority w:val="0"/>
    <w:rPr>
      <w:rFonts w:ascii="Arial" w:hAnsi="Arial" w:eastAsia="黑体"/>
      <w:b/>
      <w:kern w:val="2"/>
      <w:sz w:val="32"/>
      <w:szCs w:val="24"/>
      <w:lang w:val="en-US" w:eastAsia="zh-CN" w:bidi="ar-SA"/>
    </w:rPr>
  </w:style>
  <w:style w:type="character" w:customStyle="1" w:styleId="174">
    <w:name w:val="red1"/>
    <w:qFormat/>
    <w:uiPriority w:val="0"/>
    <w:rPr>
      <w:color w:val="FF0000"/>
      <w:sz w:val="18"/>
      <w:szCs w:val="18"/>
    </w:rPr>
  </w:style>
  <w:style w:type="character" w:customStyle="1" w:styleId="175">
    <w:name w:val="Position en Zchn Zchn"/>
    <w:link w:val="176"/>
    <w:qFormat/>
    <w:uiPriority w:val="0"/>
    <w:rPr>
      <w:rFonts w:ascii="Verdana" w:hAnsi="Verdana" w:eastAsia="Times New Roman"/>
      <w:b/>
      <w:lang w:val="de-DE" w:eastAsia="de-DE"/>
    </w:rPr>
  </w:style>
  <w:style w:type="paragraph" w:customStyle="1" w:styleId="176">
    <w:name w:val="Position en"/>
    <w:link w:val="175"/>
    <w:qFormat/>
    <w:uiPriority w:val="0"/>
    <w:pPr>
      <w:tabs>
        <w:tab w:val="left" w:pos="360"/>
      </w:tabs>
      <w:spacing w:line="240" w:lineRule="atLeast"/>
      <w:ind w:hanging="360"/>
    </w:pPr>
    <w:rPr>
      <w:rFonts w:ascii="Verdana" w:hAnsi="Verdana" w:eastAsia="Times New Roman" w:cstheme="minorBidi"/>
      <w:b/>
      <w:kern w:val="2"/>
      <w:sz w:val="21"/>
      <w:szCs w:val="22"/>
      <w:lang w:val="de-DE" w:eastAsia="de-DE" w:bidi="ar-SA"/>
    </w:rPr>
  </w:style>
  <w:style w:type="character" w:customStyle="1" w:styleId="177">
    <w:name w:val="hover24"/>
    <w:basedOn w:val="49"/>
    <w:qFormat/>
    <w:uiPriority w:val="0"/>
  </w:style>
  <w:style w:type="character" w:customStyle="1" w:styleId="178">
    <w:name w:val="Char Char17"/>
    <w:qFormat/>
    <w:uiPriority w:val="0"/>
    <w:rPr>
      <w:rFonts w:ascii="宋体" w:hAnsi="宋体" w:eastAsia="宋体"/>
      <w:b/>
      <w:bCs/>
      <w:kern w:val="2"/>
      <w:sz w:val="21"/>
      <w:szCs w:val="24"/>
      <w:lang w:val="en-US" w:eastAsia="zh-CN" w:bidi="ar-SA"/>
    </w:rPr>
  </w:style>
  <w:style w:type="character" w:customStyle="1" w:styleId="179">
    <w:name w:val="unnamed1"/>
    <w:basedOn w:val="49"/>
    <w:qFormat/>
    <w:uiPriority w:val="0"/>
  </w:style>
  <w:style w:type="character" w:customStyle="1" w:styleId="180">
    <w:name w:val="普通 (Web) Char Char"/>
    <w:qFormat/>
    <w:uiPriority w:val="0"/>
    <w:rPr>
      <w:rFonts w:ascii="宋体" w:hAnsi="宋体" w:eastAsia="宋体" w:cs="宋体"/>
      <w:sz w:val="24"/>
      <w:szCs w:val="24"/>
      <w:lang w:val="en-US" w:eastAsia="zh-CN" w:bidi="ar-SA"/>
    </w:rPr>
  </w:style>
  <w:style w:type="character" w:customStyle="1" w:styleId="181">
    <w:name w:val="Char Char14"/>
    <w:qFormat/>
    <w:uiPriority w:val="0"/>
    <w:rPr>
      <w:rFonts w:ascii="Verdana" w:hAnsi="Verdana" w:eastAsia="宋体"/>
      <w:b/>
      <w:bCs/>
      <w:color w:val="000000"/>
      <w:kern w:val="2"/>
      <w:sz w:val="27"/>
      <w:szCs w:val="27"/>
      <w:lang w:val="en-US" w:eastAsia="zh-CN" w:bidi="ar-SA"/>
    </w:rPr>
  </w:style>
  <w:style w:type="character" w:customStyle="1" w:styleId="182">
    <w:name w:val="正文文本缩进 字符1"/>
    <w:basedOn w:val="49"/>
    <w:link w:val="5"/>
    <w:semiHidden/>
    <w:qFormat/>
    <w:uiPriority w:val="99"/>
    <w:rPr>
      <w:rFonts w:ascii="Times New Roman" w:hAnsi="Times New Roman" w:eastAsia="宋体" w:cs="Times New Roman"/>
    </w:rPr>
  </w:style>
  <w:style w:type="character" w:customStyle="1" w:styleId="183">
    <w:name w:val="正文文本首行缩进 2 字符1"/>
    <w:basedOn w:val="182"/>
    <w:semiHidden/>
    <w:qFormat/>
    <w:uiPriority w:val="99"/>
    <w:rPr>
      <w:rFonts w:ascii="Times New Roman" w:hAnsi="Times New Roman" w:eastAsia="宋体" w:cs="Times New Roman"/>
    </w:rPr>
  </w:style>
  <w:style w:type="character" w:customStyle="1" w:styleId="184">
    <w:name w:val="HTML 预设格式 字符1"/>
    <w:basedOn w:val="49"/>
    <w:semiHidden/>
    <w:qFormat/>
    <w:uiPriority w:val="99"/>
    <w:rPr>
      <w:rFonts w:ascii="Courier New" w:hAnsi="Courier New" w:eastAsia="宋体" w:cs="Courier New"/>
      <w:sz w:val="20"/>
      <w:szCs w:val="20"/>
    </w:rPr>
  </w:style>
  <w:style w:type="character" w:customStyle="1" w:styleId="185">
    <w:name w:val="批注框文本 字符1"/>
    <w:basedOn w:val="49"/>
    <w:semiHidden/>
    <w:qFormat/>
    <w:uiPriority w:val="99"/>
    <w:rPr>
      <w:rFonts w:ascii="Times New Roman" w:hAnsi="Times New Roman" w:eastAsia="宋体" w:cs="Times New Roman"/>
      <w:sz w:val="18"/>
      <w:szCs w:val="18"/>
    </w:rPr>
  </w:style>
  <w:style w:type="character" w:customStyle="1" w:styleId="186">
    <w:name w:val="正文文本 字符1"/>
    <w:basedOn w:val="49"/>
    <w:link w:val="3"/>
    <w:semiHidden/>
    <w:qFormat/>
    <w:uiPriority w:val="99"/>
    <w:rPr>
      <w:rFonts w:ascii="Times New Roman" w:hAnsi="Times New Roman" w:eastAsia="宋体" w:cs="Times New Roman"/>
    </w:rPr>
  </w:style>
  <w:style w:type="character" w:customStyle="1" w:styleId="187">
    <w:name w:val="正文文本首行缩进 字符1"/>
    <w:basedOn w:val="186"/>
    <w:semiHidden/>
    <w:qFormat/>
    <w:uiPriority w:val="99"/>
    <w:rPr>
      <w:rFonts w:ascii="Times New Roman" w:hAnsi="Times New Roman" w:eastAsia="宋体" w:cs="Times New Roman"/>
    </w:rPr>
  </w:style>
  <w:style w:type="character" w:customStyle="1" w:styleId="188">
    <w:name w:val="标题 字符1"/>
    <w:basedOn w:val="49"/>
    <w:qFormat/>
    <w:uiPriority w:val="10"/>
    <w:rPr>
      <w:rFonts w:asciiTheme="majorHAnsi" w:hAnsiTheme="majorHAnsi" w:eastAsiaTheme="majorEastAsia" w:cstheme="majorBidi"/>
      <w:b/>
      <w:bCs/>
      <w:sz w:val="32"/>
      <w:szCs w:val="32"/>
    </w:rPr>
  </w:style>
  <w:style w:type="character" w:customStyle="1" w:styleId="189">
    <w:name w:val="正文文本缩进 2 字符1"/>
    <w:basedOn w:val="49"/>
    <w:semiHidden/>
    <w:qFormat/>
    <w:uiPriority w:val="99"/>
    <w:rPr>
      <w:rFonts w:ascii="Times New Roman" w:hAnsi="Times New Roman" w:eastAsia="宋体" w:cs="Times New Roman"/>
    </w:rPr>
  </w:style>
  <w:style w:type="character" w:customStyle="1" w:styleId="190">
    <w:name w:val="称呼 字符"/>
    <w:basedOn w:val="49"/>
    <w:link w:val="20"/>
    <w:qFormat/>
    <w:uiPriority w:val="0"/>
    <w:rPr>
      <w:rFonts w:ascii="Times New Roman" w:hAnsi="Times New Roman" w:eastAsia="宋体" w:cs="Times New Roman"/>
      <w:sz w:val="24"/>
      <w:szCs w:val="20"/>
    </w:rPr>
  </w:style>
  <w:style w:type="character" w:customStyle="1" w:styleId="191">
    <w:name w:val="批注文字 字符1"/>
    <w:basedOn w:val="49"/>
    <w:link w:val="19"/>
    <w:semiHidden/>
    <w:qFormat/>
    <w:uiPriority w:val="99"/>
    <w:rPr>
      <w:rFonts w:ascii="Times New Roman" w:hAnsi="Times New Roman" w:eastAsia="宋体" w:cs="Times New Roman"/>
    </w:rPr>
  </w:style>
  <w:style w:type="character" w:customStyle="1" w:styleId="192">
    <w:name w:val="批注主题 字符1"/>
    <w:basedOn w:val="191"/>
    <w:semiHidden/>
    <w:qFormat/>
    <w:uiPriority w:val="99"/>
    <w:rPr>
      <w:rFonts w:ascii="Times New Roman" w:hAnsi="Times New Roman" w:eastAsia="宋体" w:cs="Times New Roman"/>
      <w:b/>
      <w:bCs/>
    </w:rPr>
  </w:style>
  <w:style w:type="character" w:customStyle="1" w:styleId="193">
    <w:name w:val="副标题 字符1"/>
    <w:basedOn w:val="49"/>
    <w:qFormat/>
    <w:uiPriority w:val="11"/>
    <w:rPr>
      <w:b/>
      <w:bCs/>
      <w:kern w:val="28"/>
      <w:sz w:val="32"/>
      <w:szCs w:val="32"/>
    </w:rPr>
  </w:style>
  <w:style w:type="character" w:customStyle="1" w:styleId="194">
    <w:name w:val="正文文本缩进 3 字符1"/>
    <w:basedOn w:val="49"/>
    <w:semiHidden/>
    <w:qFormat/>
    <w:uiPriority w:val="99"/>
    <w:rPr>
      <w:rFonts w:ascii="Times New Roman" w:hAnsi="Times New Roman" w:eastAsia="宋体" w:cs="Times New Roman"/>
      <w:sz w:val="16"/>
      <w:szCs w:val="16"/>
    </w:rPr>
  </w:style>
  <w:style w:type="character" w:customStyle="1" w:styleId="195">
    <w:name w:val="日期 字符1"/>
    <w:basedOn w:val="49"/>
    <w:semiHidden/>
    <w:qFormat/>
    <w:uiPriority w:val="99"/>
    <w:rPr>
      <w:rFonts w:ascii="Times New Roman" w:hAnsi="Times New Roman" w:eastAsia="宋体" w:cs="Times New Roman"/>
    </w:rPr>
  </w:style>
  <w:style w:type="character" w:customStyle="1" w:styleId="196">
    <w:name w:val="文档结构图 字符1"/>
    <w:basedOn w:val="49"/>
    <w:semiHidden/>
    <w:qFormat/>
    <w:uiPriority w:val="99"/>
    <w:rPr>
      <w:rFonts w:ascii="Microsoft YaHei UI" w:hAnsi="Times New Roman" w:eastAsia="Microsoft YaHei UI" w:cs="Times New Roman"/>
      <w:sz w:val="18"/>
      <w:szCs w:val="18"/>
    </w:rPr>
  </w:style>
  <w:style w:type="character" w:customStyle="1" w:styleId="197">
    <w:name w:val="正文文本 2 字符1"/>
    <w:basedOn w:val="49"/>
    <w:semiHidden/>
    <w:qFormat/>
    <w:uiPriority w:val="99"/>
    <w:rPr>
      <w:rFonts w:ascii="Times New Roman" w:hAnsi="Times New Roman" w:eastAsia="宋体" w:cs="Times New Roman"/>
    </w:rPr>
  </w:style>
  <w:style w:type="character" w:customStyle="1" w:styleId="198">
    <w:name w:val="纯文本 字符1"/>
    <w:basedOn w:val="49"/>
    <w:semiHidden/>
    <w:qFormat/>
    <w:uiPriority w:val="99"/>
    <w:rPr>
      <w:rFonts w:hAnsi="Courier New" w:cs="Courier New" w:asciiTheme="minorEastAsia"/>
    </w:rPr>
  </w:style>
  <w:style w:type="character" w:customStyle="1" w:styleId="199">
    <w:name w:val="正文文本 3 字符1"/>
    <w:basedOn w:val="49"/>
    <w:semiHidden/>
    <w:qFormat/>
    <w:uiPriority w:val="99"/>
    <w:rPr>
      <w:rFonts w:ascii="Times New Roman" w:hAnsi="Times New Roman" w:eastAsia="宋体" w:cs="Times New Roman"/>
      <w:sz w:val="16"/>
      <w:szCs w:val="16"/>
    </w:rPr>
  </w:style>
  <w:style w:type="paragraph" w:customStyle="1" w:styleId="200">
    <w:name w:val="样式 标题 2h2 +"/>
    <w:basedOn w:val="7"/>
    <w:qFormat/>
    <w:uiPriority w:val="0"/>
    <w:pPr>
      <w:widowControl/>
      <w:tabs>
        <w:tab w:val="left" w:pos="840"/>
      </w:tabs>
      <w:spacing w:before="480" w:afterLines="100" w:line="360" w:lineRule="auto"/>
      <w:jc w:val="left"/>
    </w:pPr>
    <w:rPr>
      <w:rFonts w:ascii="Times New Roman" w:hAnsi="Times New Roman" w:eastAsia="黑体" w:cs="宋体"/>
      <w:bCs/>
      <w:sz w:val="28"/>
      <w:szCs w:val="28"/>
    </w:rPr>
  </w:style>
  <w:style w:type="paragraph" w:customStyle="1" w:styleId="201">
    <w:name w:val="OmniPage #267"/>
    <w:basedOn w:val="1"/>
    <w:qFormat/>
    <w:uiPriority w:val="0"/>
    <w:pPr>
      <w:widowControl/>
      <w:tabs>
        <w:tab w:val="left" w:pos="1520"/>
        <w:tab w:val="right" w:pos="10107"/>
      </w:tabs>
      <w:ind w:left="1932" w:right="1517" w:hanging="1498"/>
      <w:jc w:val="left"/>
    </w:pPr>
    <w:rPr>
      <w:kern w:val="0"/>
      <w:sz w:val="20"/>
      <w:szCs w:val="20"/>
    </w:rPr>
  </w:style>
  <w:style w:type="paragraph" w:customStyle="1" w:styleId="202">
    <w:name w:val="font12"/>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203">
    <w:name w:val="正文1"/>
    <w:basedOn w:val="1"/>
    <w:qFormat/>
    <w:uiPriority w:val="0"/>
    <w:pPr>
      <w:adjustRightInd w:val="0"/>
      <w:spacing w:line="360" w:lineRule="atLeast"/>
      <w:jc w:val="left"/>
      <w:textAlignment w:val="baseline"/>
    </w:pPr>
    <w:rPr>
      <w:rFonts w:ascii="宋体"/>
      <w:kern w:val="0"/>
      <w:sz w:val="24"/>
      <w:szCs w:val="20"/>
    </w:rPr>
  </w:style>
  <w:style w:type="paragraph" w:customStyle="1" w:styleId="204">
    <w:name w:val="Char Char Char Char Char Char Char Char Char Char Char Char"/>
    <w:basedOn w:val="1"/>
    <w:qFormat/>
    <w:uiPriority w:val="0"/>
    <w:pPr>
      <w:spacing w:line="300" w:lineRule="auto"/>
    </w:pPr>
    <w:rPr>
      <w:rFonts w:ascii="宋体" w:hAnsi="宋体"/>
      <w:b/>
      <w:bCs/>
      <w:color w:val="000000"/>
      <w:spacing w:val="8"/>
      <w:kern w:val="0"/>
      <w:sz w:val="24"/>
      <w:szCs w:val="24"/>
    </w:rPr>
  </w:style>
  <w:style w:type="paragraph" w:customStyle="1" w:styleId="20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b/>
      <w:bCs/>
      <w:kern w:val="0"/>
      <w:sz w:val="18"/>
      <w:szCs w:val="18"/>
    </w:rPr>
  </w:style>
  <w:style w:type="paragraph" w:customStyle="1" w:styleId="20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24"/>
      <w:szCs w:val="24"/>
    </w:rPr>
  </w:style>
  <w:style w:type="paragraph" w:customStyle="1" w:styleId="207">
    <w:name w:val="x正文（首行缩2格）"/>
    <w:basedOn w:val="1"/>
    <w:qFormat/>
    <w:uiPriority w:val="0"/>
    <w:pPr>
      <w:spacing w:beforeLines="30" w:line="400" w:lineRule="exact"/>
      <w:ind w:firstLine="420" w:firstLineChars="200"/>
    </w:pPr>
    <w:rPr>
      <w:szCs w:val="24"/>
    </w:rPr>
  </w:style>
  <w:style w:type="paragraph" w:customStyle="1" w:styleId="208">
    <w:name w:val="样式4"/>
    <w:basedOn w:val="1"/>
    <w:qFormat/>
    <w:uiPriority w:val="0"/>
    <w:pPr>
      <w:numPr>
        <w:ilvl w:val="0"/>
        <w:numId w:val="1"/>
      </w:numPr>
      <w:spacing w:line="360" w:lineRule="auto"/>
    </w:pPr>
    <w:rPr>
      <w:sz w:val="24"/>
      <w:szCs w:val="24"/>
    </w:rPr>
  </w:style>
  <w:style w:type="paragraph" w:customStyle="1" w:styleId="209">
    <w:name w:val="表格"/>
    <w:basedOn w:val="1"/>
    <w:qFormat/>
    <w:uiPriority w:val="0"/>
    <w:pPr>
      <w:jc w:val="center"/>
      <w:textAlignment w:val="center"/>
    </w:pPr>
    <w:rPr>
      <w:rFonts w:ascii="华文细黑" w:hAnsi="华文细黑"/>
      <w:kern w:val="0"/>
      <w:szCs w:val="20"/>
    </w:rPr>
  </w:style>
  <w:style w:type="paragraph" w:customStyle="1" w:styleId="210">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kern w:val="0"/>
      <w:sz w:val="21"/>
      <w:szCs w:val="20"/>
      <w:lang w:val="en-US" w:eastAsia="zh-CN" w:bidi="ar-SA"/>
    </w:rPr>
  </w:style>
  <w:style w:type="paragraph" w:customStyle="1" w:styleId="211">
    <w:name w:val="默认段落字体 Para Char"/>
    <w:basedOn w:val="1"/>
    <w:qFormat/>
    <w:uiPriority w:val="0"/>
    <w:pPr>
      <w:widowControl/>
      <w:jc w:val="left"/>
    </w:pPr>
    <w:rPr>
      <w:rFonts w:ascii="宋体" w:hAnsi="宋体" w:cs="宋体"/>
      <w:kern w:val="0"/>
      <w:sz w:val="24"/>
      <w:szCs w:val="20"/>
    </w:rPr>
  </w:style>
  <w:style w:type="paragraph" w:customStyle="1" w:styleId="212">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13">
    <w:name w:val="Char Char Char1"/>
    <w:basedOn w:val="1"/>
    <w:qFormat/>
    <w:uiPriority w:val="0"/>
    <w:pPr>
      <w:spacing w:line="300" w:lineRule="auto"/>
    </w:pPr>
    <w:rPr>
      <w:rFonts w:ascii="宋体" w:hAnsi="宋体"/>
      <w:b/>
      <w:bCs/>
      <w:color w:val="000000"/>
      <w:spacing w:val="8"/>
      <w:kern w:val="0"/>
      <w:sz w:val="24"/>
      <w:szCs w:val="24"/>
    </w:rPr>
  </w:style>
  <w:style w:type="paragraph" w:customStyle="1" w:styleId="214">
    <w:name w:val="xl7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paragraph" w:customStyle="1" w:styleId="215">
    <w:name w:val="font17"/>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216">
    <w:name w:val="font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7">
    <w:name w:val="列表正文"/>
    <w:basedOn w:val="1"/>
    <w:qFormat/>
    <w:uiPriority w:val="0"/>
    <w:pPr>
      <w:adjustRightInd w:val="0"/>
      <w:snapToGrid w:val="0"/>
      <w:spacing w:line="360" w:lineRule="auto"/>
      <w:ind w:left="200" w:leftChars="200" w:firstLine="150" w:firstLineChars="150"/>
    </w:pPr>
    <w:rPr>
      <w:sz w:val="24"/>
      <w:szCs w:val="24"/>
    </w:rPr>
  </w:style>
  <w:style w:type="paragraph" w:customStyle="1" w:styleId="21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24"/>
      <w:szCs w:val="24"/>
    </w:rPr>
  </w:style>
  <w:style w:type="paragraph" w:customStyle="1" w:styleId="21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b/>
      <w:bCs/>
      <w:kern w:val="0"/>
      <w:sz w:val="18"/>
      <w:szCs w:val="18"/>
    </w:rPr>
  </w:style>
  <w:style w:type="paragraph" w:customStyle="1" w:styleId="220">
    <w:name w:val="xl8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b/>
      <w:bCs/>
      <w:kern w:val="0"/>
      <w:sz w:val="24"/>
      <w:szCs w:val="24"/>
    </w:rPr>
  </w:style>
  <w:style w:type="paragraph" w:customStyle="1" w:styleId="22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22">
    <w:name w:val="表格文字"/>
    <w:basedOn w:val="1"/>
    <w:qFormat/>
    <w:uiPriority w:val="0"/>
    <w:pPr>
      <w:adjustRightInd w:val="0"/>
      <w:spacing w:line="420" w:lineRule="atLeast"/>
      <w:jc w:val="left"/>
      <w:textAlignment w:val="baseline"/>
    </w:pPr>
    <w:rPr>
      <w:kern w:val="0"/>
      <w:szCs w:val="20"/>
    </w:rPr>
  </w:style>
  <w:style w:type="paragraph" w:customStyle="1" w:styleId="223">
    <w:name w:val="小标题 1"/>
    <w:basedOn w:val="1"/>
    <w:qFormat/>
    <w:uiPriority w:val="0"/>
    <w:pPr>
      <w:tabs>
        <w:tab w:val="left" w:pos="454"/>
      </w:tabs>
      <w:autoSpaceDE w:val="0"/>
      <w:autoSpaceDN w:val="0"/>
      <w:adjustRightInd w:val="0"/>
      <w:spacing w:line="360" w:lineRule="atLeast"/>
    </w:pPr>
    <w:rPr>
      <w:rFonts w:ascii="文鼎CS中黑" w:eastAsia="文鼎CS中黑"/>
      <w:kern w:val="0"/>
      <w:sz w:val="22"/>
    </w:rPr>
  </w:style>
  <w:style w:type="paragraph" w:customStyle="1" w:styleId="224">
    <w:name w:val="列出段落1"/>
    <w:basedOn w:val="1"/>
    <w:qFormat/>
    <w:uiPriority w:val="0"/>
    <w:pPr>
      <w:ind w:firstLine="420" w:firstLineChars="200"/>
    </w:pPr>
    <w:rPr>
      <w:rFonts w:ascii="Calibri" w:hAnsi="Calibri"/>
    </w:rPr>
  </w:style>
  <w:style w:type="paragraph" w:customStyle="1" w:styleId="225">
    <w:name w:val="Char Char Char"/>
    <w:basedOn w:val="1"/>
    <w:qFormat/>
    <w:uiPriority w:val="0"/>
    <w:pPr>
      <w:widowControl/>
      <w:spacing w:after="160" w:line="240" w:lineRule="exact"/>
      <w:jc w:val="left"/>
    </w:pPr>
    <w:rPr>
      <w:szCs w:val="20"/>
    </w:rPr>
  </w:style>
  <w:style w:type="paragraph" w:customStyle="1" w:styleId="22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8">
    <w:name w:val="xl7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paragraph" w:customStyle="1" w:styleId="229">
    <w:name w:val="A"/>
    <w:basedOn w:val="1"/>
    <w:qFormat/>
    <w:uiPriority w:val="0"/>
    <w:pPr>
      <w:numPr>
        <w:ilvl w:val="0"/>
        <w:numId w:val="2"/>
      </w:numPr>
      <w:tabs>
        <w:tab w:val="left" w:pos="720"/>
      </w:tabs>
      <w:spacing w:line="336" w:lineRule="auto"/>
    </w:pPr>
    <w:rPr>
      <w:rFonts w:ascii="宋体"/>
      <w:sz w:val="24"/>
      <w:szCs w:val="24"/>
    </w:rPr>
  </w:style>
  <w:style w:type="paragraph" w:customStyle="1" w:styleId="230">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paragraph" w:customStyle="1" w:styleId="231">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32">
    <w:name w:val="Char Char"/>
    <w:basedOn w:val="1"/>
    <w:qFormat/>
    <w:uiPriority w:val="0"/>
    <w:rPr>
      <w:rFonts w:ascii="Tahoma" w:hAnsi="Tahoma"/>
      <w:sz w:val="24"/>
      <w:szCs w:val="20"/>
    </w:rPr>
  </w:style>
  <w:style w:type="paragraph" w:customStyle="1" w:styleId="233">
    <w:name w:val="默认段落字体 Para Char Char Char Char Char Char Char Char Char1 Char Char Char Char Char Char Char"/>
    <w:basedOn w:val="18"/>
    <w:uiPriority w:val="0"/>
    <w:rPr>
      <w:rFonts w:ascii="Tahoma" w:hAnsi="Tahoma"/>
      <w:sz w:val="24"/>
      <w:szCs w:val="24"/>
    </w:rPr>
  </w:style>
  <w:style w:type="paragraph" w:customStyle="1" w:styleId="234">
    <w:name w:val="xl8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b/>
      <w:bCs/>
      <w:kern w:val="0"/>
      <w:sz w:val="22"/>
    </w:rPr>
  </w:style>
  <w:style w:type="paragraph" w:customStyle="1" w:styleId="235">
    <w:name w:val="Char1"/>
    <w:basedOn w:val="1"/>
    <w:qFormat/>
    <w:uiPriority w:val="0"/>
    <w:rPr>
      <w:rFonts w:ascii="Tahoma" w:hAnsi="Tahoma"/>
      <w:sz w:val="24"/>
      <w:szCs w:val="20"/>
    </w:rPr>
  </w:style>
  <w:style w:type="paragraph" w:customStyle="1" w:styleId="236">
    <w:name w:val="Aufzählung Ebene 4"/>
    <w:qFormat/>
    <w:uiPriority w:val="0"/>
    <w:pPr>
      <w:tabs>
        <w:tab w:val="left" w:pos="420"/>
      </w:tabs>
      <w:spacing w:after="20"/>
      <w:ind w:left="1135" w:hanging="284"/>
    </w:pPr>
    <w:rPr>
      <w:rFonts w:ascii="Verdana" w:hAnsi="Verdana" w:eastAsia="宋体" w:cs="Times New Roman"/>
      <w:kern w:val="0"/>
      <w:sz w:val="20"/>
      <w:szCs w:val="24"/>
      <w:lang w:val="de-DE" w:eastAsia="de-DE" w:bidi="ar-SA"/>
    </w:rPr>
  </w:style>
  <w:style w:type="paragraph" w:styleId="237">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8">
    <w:name w:val="xl8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paragraph" w:customStyle="1" w:styleId="23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40">
    <w:name w:val="0"/>
    <w:basedOn w:val="1"/>
    <w:qFormat/>
    <w:uiPriority w:val="0"/>
    <w:pPr>
      <w:widowControl/>
      <w:snapToGrid w:val="0"/>
    </w:pPr>
    <w:rPr>
      <w:kern w:val="0"/>
      <w:szCs w:val="21"/>
    </w:rPr>
  </w:style>
  <w:style w:type="paragraph" w:customStyle="1" w:styleId="241">
    <w:name w:val="列表段落1"/>
    <w:basedOn w:val="1"/>
    <w:qFormat/>
    <w:uiPriority w:val="34"/>
    <w:pPr>
      <w:ind w:firstLine="420" w:firstLineChars="200"/>
    </w:pPr>
  </w:style>
  <w:style w:type="paragraph" w:customStyle="1" w:styleId="242">
    <w:name w:val="样式 标题 2 + Times New Roman 四号 非加粗 段前: 5 磅 段后: 0 磅 行距: 固定值 20..."/>
    <w:basedOn w:val="7"/>
    <w:qFormat/>
    <w:uiPriority w:val="0"/>
    <w:pPr>
      <w:spacing w:before="100" w:line="400" w:lineRule="exact"/>
      <w:ind w:left="425" w:hanging="425"/>
    </w:pPr>
    <w:rPr>
      <w:rFonts w:ascii="Times New Roman" w:hAnsi="Times New Roman" w:eastAsia="黑体" w:cs="宋体"/>
      <w:b w:val="0"/>
      <w:sz w:val="28"/>
      <w:szCs w:val="20"/>
    </w:rPr>
  </w:style>
  <w:style w:type="paragraph" w:customStyle="1" w:styleId="24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4">
    <w:name w:val="Body"/>
    <w:qFormat/>
    <w:uiPriority w:val="0"/>
    <w:pPr>
      <w:spacing w:after="120"/>
      <w:ind w:left="1418"/>
    </w:pPr>
    <w:rPr>
      <w:rFonts w:ascii="Arial" w:hAnsi="Arial" w:eastAsia="宋体" w:cs="Times New Roman"/>
      <w:kern w:val="0"/>
      <w:sz w:val="22"/>
      <w:szCs w:val="20"/>
      <w:lang w:val="en-US" w:eastAsia="en-US" w:bidi="ar-SA"/>
    </w:rPr>
  </w:style>
  <w:style w:type="paragraph" w:customStyle="1" w:styleId="245">
    <w:name w:val="Char Char Char2"/>
    <w:basedOn w:val="1"/>
    <w:qFormat/>
    <w:uiPriority w:val="0"/>
    <w:pPr>
      <w:widowControl/>
      <w:spacing w:after="160" w:line="240" w:lineRule="exact"/>
      <w:jc w:val="left"/>
    </w:pPr>
    <w:rPr>
      <w:szCs w:val="20"/>
    </w:rPr>
  </w:style>
  <w:style w:type="paragraph" w:customStyle="1" w:styleId="246">
    <w:name w:val="font14"/>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247">
    <w:name w:val="三级条标题"/>
    <w:basedOn w:val="248"/>
    <w:next w:val="231"/>
    <w:qFormat/>
    <w:uiPriority w:val="0"/>
    <w:pPr>
      <w:outlineLvl w:val="4"/>
    </w:pPr>
  </w:style>
  <w:style w:type="paragraph" w:customStyle="1" w:styleId="248">
    <w:name w:val="二级条标题"/>
    <w:basedOn w:val="249"/>
    <w:next w:val="231"/>
    <w:qFormat/>
    <w:uiPriority w:val="0"/>
    <w:pPr>
      <w:outlineLvl w:val="3"/>
    </w:pPr>
  </w:style>
  <w:style w:type="paragraph" w:customStyle="1" w:styleId="249">
    <w:name w:val="一级条标题"/>
    <w:basedOn w:val="250"/>
    <w:next w:val="231"/>
    <w:qFormat/>
    <w:uiPriority w:val="0"/>
    <w:pPr>
      <w:outlineLvl w:val="2"/>
    </w:pPr>
  </w:style>
  <w:style w:type="paragraph" w:customStyle="1" w:styleId="250">
    <w:name w:val="章标题"/>
    <w:next w:val="231"/>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251">
    <w:name w:val="xl1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52">
    <w:name w:val="小标题 2"/>
    <w:basedOn w:val="223"/>
    <w:qFormat/>
    <w:uiPriority w:val="0"/>
    <w:pPr>
      <w:tabs>
        <w:tab w:val="left" w:pos="397"/>
        <w:tab w:val="clear" w:pos="454"/>
      </w:tabs>
    </w:pPr>
    <w:rPr>
      <w:sz w:val="18"/>
      <w:szCs w:val="18"/>
    </w:rPr>
  </w:style>
  <w:style w:type="paragraph" w:customStyle="1" w:styleId="253">
    <w:name w:val="p17"/>
    <w:basedOn w:val="1"/>
    <w:qFormat/>
    <w:uiPriority w:val="0"/>
    <w:pPr>
      <w:widowControl/>
      <w:spacing w:before="45" w:after="45"/>
      <w:ind w:firstLine="480"/>
      <w:jc w:val="left"/>
    </w:pPr>
    <w:rPr>
      <w:rFonts w:ascii="宋体" w:hAnsi="宋体" w:cs="宋体"/>
      <w:kern w:val="0"/>
      <w:sz w:val="18"/>
      <w:szCs w:val="18"/>
    </w:rPr>
  </w:style>
  <w:style w:type="paragraph" w:customStyle="1" w:styleId="254">
    <w:name w:val="xl25"/>
    <w:basedOn w:val="1"/>
    <w:qFormat/>
    <w:uiPriority w:val="0"/>
    <w:pPr>
      <w:widowControl/>
      <w:pBdr>
        <w:bottom w:val="single" w:color="auto" w:sz="8" w:space="0"/>
        <w:right w:val="single" w:color="auto" w:sz="8" w:space="0"/>
      </w:pBdr>
      <w:spacing w:before="100" w:beforeAutospacing="1" w:after="100" w:afterAutospacing="1"/>
    </w:pPr>
    <w:rPr>
      <w:kern w:val="0"/>
      <w:szCs w:val="21"/>
    </w:rPr>
  </w:style>
  <w:style w:type="paragraph" w:customStyle="1" w:styleId="2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i/>
      <w:iCs/>
      <w:kern w:val="0"/>
      <w:sz w:val="18"/>
      <w:szCs w:val="18"/>
    </w:rPr>
  </w:style>
  <w:style w:type="paragraph" w:customStyle="1" w:styleId="256">
    <w:name w:val="font10"/>
    <w:basedOn w:val="1"/>
    <w:qFormat/>
    <w:uiPriority w:val="0"/>
    <w:pPr>
      <w:widowControl/>
      <w:spacing w:before="100" w:beforeAutospacing="1" w:after="100" w:afterAutospacing="1"/>
      <w:jc w:val="left"/>
    </w:pPr>
    <w:rPr>
      <w:kern w:val="0"/>
      <w:sz w:val="18"/>
      <w:szCs w:val="18"/>
    </w:rPr>
  </w:style>
  <w:style w:type="paragraph" w:customStyle="1" w:styleId="25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58">
    <w:name w:val="Table Paragraph"/>
    <w:basedOn w:val="1"/>
    <w:qFormat/>
    <w:uiPriority w:val="1"/>
  </w:style>
  <w:style w:type="paragraph" w:customStyle="1" w:styleId="25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paragraph" w:customStyle="1" w:styleId="260">
    <w:name w:val="spec"/>
    <w:basedOn w:val="1"/>
    <w:qFormat/>
    <w:uiPriority w:val="0"/>
    <w:pPr>
      <w:widowControl/>
      <w:ind w:left="288" w:right="144"/>
      <w:jc w:val="left"/>
    </w:pPr>
    <w:rPr>
      <w:rFonts w:ascii="Arial" w:hAnsi="Arial"/>
      <w:kern w:val="0"/>
      <w:sz w:val="20"/>
      <w:szCs w:val="20"/>
      <w:lang w:eastAsia="en-US"/>
    </w:rPr>
  </w:style>
  <w:style w:type="paragraph" w:customStyle="1" w:styleId="261">
    <w:name w:val="xl100"/>
    <w:basedOn w:val="1"/>
    <w:qFormat/>
    <w:uiPriority w:val="0"/>
    <w:pPr>
      <w:widowControl/>
      <w:shd w:val="clear" w:color="000000" w:fill="FFFFFF"/>
      <w:spacing w:before="100" w:beforeAutospacing="1" w:after="100" w:afterAutospacing="1"/>
      <w:jc w:val="left"/>
      <w:textAlignment w:val="center"/>
    </w:pPr>
    <w:rPr>
      <w:kern w:val="0"/>
      <w:sz w:val="18"/>
      <w:szCs w:val="18"/>
    </w:rPr>
  </w:style>
  <w:style w:type="paragraph" w:customStyle="1" w:styleId="262">
    <w:name w:val="xl109"/>
    <w:basedOn w:val="1"/>
    <w:qFormat/>
    <w:uiPriority w:val="0"/>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paragraph" w:customStyle="1" w:styleId="264">
    <w:name w:val="xl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kern w:val="0"/>
      <w:sz w:val="18"/>
      <w:szCs w:val="18"/>
    </w:rPr>
  </w:style>
  <w:style w:type="paragraph" w:customStyle="1" w:styleId="265">
    <w:name w:val="xl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paragraph" w:customStyle="1" w:styleId="266">
    <w:name w:val="font11"/>
    <w:basedOn w:val="1"/>
    <w:qFormat/>
    <w:uiPriority w:val="0"/>
    <w:pPr>
      <w:widowControl/>
      <w:spacing w:before="100" w:beforeAutospacing="1" w:after="100" w:afterAutospacing="1"/>
      <w:jc w:val="left"/>
    </w:pPr>
    <w:rPr>
      <w:b/>
      <w:bCs/>
      <w:kern w:val="0"/>
      <w:sz w:val="18"/>
      <w:szCs w:val="18"/>
    </w:rPr>
  </w:style>
  <w:style w:type="paragraph" w:customStyle="1" w:styleId="267">
    <w:name w:val="xl9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24"/>
      <w:szCs w:val="24"/>
    </w:rPr>
  </w:style>
  <w:style w:type="paragraph" w:customStyle="1" w:styleId="268">
    <w:name w:val="Char"/>
    <w:basedOn w:val="18"/>
    <w:qFormat/>
    <w:uiPriority w:val="0"/>
    <w:pPr>
      <w:tabs>
        <w:tab w:val="left" w:pos="425"/>
      </w:tabs>
      <w:ind w:left="425" w:hanging="425"/>
    </w:pPr>
    <w:rPr>
      <w:rFonts w:ascii="Tahoma" w:hAnsi="Tahoma"/>
      <w:sz w:val="32"/>
      <w:szCs w:val="24"/>
    </w:rPr>
  </w:style>
  <w:style w:type="paragraph" w:customStyle="1" w:styleId="269">
    <w:name w:val="Char1 Char Char Char Char Char Char"/>
    <w:basedOn w:val="1"/>
    <w:qFormat/>
    <w:uiPriority w:val="0"/>
    <w:rPr>
      <w:rFonts w:ascii="Tahoma" w:hAnsi="Tahoma"/>
      <w:sz w:val="24"/>
      <w:szCs w:val="20"/>
    </w:rPr>
  </w:style>
  <w:style w:type="paragraph" w:customStyle="1" w:styleId="270">
    <w:name w:val="表格标题"/>
    <w:basedOn w:val="1"/>
    <w:qFormat/>
    <w:uiPriority w:val="0"/>
    <w:pPr>
      <w:adjustRightInd w:val="0"/>
      <w:snapToGrid w:val="0"/>
      <w:spacing w:line="480" w:lineRule="exact"/>
      <w:ind w:left="508" w:leftChars="1" w:right="113" w:hanging="505"/>
      <w:jc w:val="center"/>
    </w:pPr>
    <w:rPr>
      <w:rFonts w:ascii="宋体" w:eastAsia="黑体"/>
      <w:sz w:val="36"/>
      <w:szCs w:val="28"/>
    </w:rPr>
  </w:style>
  <w:style w:type="paragraph" w:customStyle="1" w:styleId="271">
    <w:name w:val="Briefbody"/>
    <w:qFormat/>
    <w:uiPriority w:val="0"/>
    <w:rPr>
      <w:rFonts w:ascii="Verdana" w:hAnsi="Verdana" w:eastAsia="宋体" w:cs="Verdana"/>
      <w:kern w:val="0"/>
      <w:sz w:val="20"/>
      <w:szCs w:val="20"/>
      <w:lang w:val="de-DE" w:eastAsia="de-DE" w:bidi="ar-SA"/>
    </w:rPr>
  </w:style>
  <w:style w:type="paragraph" w:customStyle="1" w:styleId="272">
    <w:name w:val="Char Char Char Char Char Char1 Char Char Char Char"/>
    <w:basedOn w:val="18"/>
    <w:qFormat/>
    <w:uiPriority w:val="0"/>
    <w:rPr>
      <w:rFonts w:ascii="Tahoma" w:hAnsi="Tahoma"/>
      <w:sz w:val="24"/>
      <w:szCs w:val="24"/>
    </w:rPr>
  </w:style>
  <w:style w:type="paragraph" w:customStyle="1" w:styleId="27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paragraph" w:customStyle="1" w:styleId="274">
    <w:name w:val="1 Char"/>
    <w:basedOn w:val="1"/>
    <w:qFormat/>
    <w:uiPriority w:val="0"/>
    <w:rPr>
      <w:szCs w:val="24"/>
    </w:rPr>
  </w:style>
  <w:style w:type="paragraph" w:customStyle="1" w:styleId="275">
    <w:name w:val="招标样式"/>
    <w:basedOn w:val="1"/>
    <w:qFormat/>
    <w:uiPriority w:val="0"/>
    <w:pPr>
      <w:spacing w:before="120" w:after="120"/>
    </w:pPr>
    <w:rPr>
      <w:rFonts w:ascii="宋体" w:hAnsi="宋体"/>
      <w:sz w:val="24"/>
      <w:szCs w:val="21"/>
    </w:rPr>
  </w:style>
  <w:style w:type="paragraph" w:customStyle="1" w:styleId="276">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77">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78">
    <w:name w:val="font8"/>
    <w:basedOn w:val="1"/>
    <w:qFormat/>
    <w:uiPriority w:val="0"/>
    <w:pPr>
      <w:widowControl/>
      <w:spacing w:before="100" w:beforeAutospacing="1" w:after="100" w:afterAutospacing="1"/>
      <w:jc w:val="left"/>
    </w:pPr>
    <w:rPr>
      <w:kern w:val="0"/>
      <w:sz w:val="18"/>
      <w:szCs w:val="18"/>
    </w:rPr>
  </w:style>
  <w:style w:type="paragraph" w:customStyle="1" w:styleId="279">
    <w:name w:val="x第n章"/>
    <w:basedOn w:val="1"/>
    <w:qFormat/>
    <w:uiPriority w:val="0"/>
    <w:pPr>
      <w:numPr>
        <w:ilvl w:val="1"/>
        <w:numId w:val="3"/>
      </w:numPr>
      <w:tabs>
        <w:tab w:val="left" w:pos="1080"/>
      </w:tabs>
      <w:spacing w:beforeLines="50" w:line="440" w:lineRule="atLeast"/>
      <w:jc w:val="left"/>
      <w:outlineLvl w:val="1"/>
    </w:pPr>
    <w:rPr>
      <w:rFonts w:ascii="黑体" w:hAnsi="Arial" w:eastAsia="黑体" w:cs="Arial"/>
      <w:sz w:val="44"/>
      <w:szCs w:val="32"/>
    </w:rPr>
  </w:style>
  <w:style w:type="paragraph" w:customStyle="1" w:styleId="280">
    <w:name w:val="B"/>
    <w:basedOn w:val="1"/>
    <w:qFormat/>
    <w:uiPriority w:val="0"/>
    <w:pPr>
      <w:tabs>
        <w:tab w:val="center" w:pos="4706"/>
        <w:tab w:val="right" w:pos="9044"/>
      </w:tabs>
      <w:topLinePunct/>
      <w:spacing w:before="160" w:after="60" w:line="312" w:lineRule="exact"/>
      <w:jc w:val="center"/>
    </w:pPr>
    <w:rPr>
      <w:rFonts w:ascii="E-F1" w:eastAsia="黑体"/>
      <w:szCs w:val="21"/>
    </w:rPr>
  </w:style>
  <w:style w:type="paragraph" w:customStyle="1" w:styleId="281">
    <w:name w:val="p0"/>
    <w:basedOn w:val="1"/>
    <w:qFormat/>
    <w:uiPriority w:val="0"/>
    <w:pPr>
      <w:widowControl/>
    </w:pPr>
    <w:rPr>
      <w:kern w:val="0"/>
      <w:szCs w:val="21"/>
    </w:rPr>
  </w:style>
  <w:style w:type="paragraph" w:customStyle="1" w:styleId="282">
    <w:name w:val="xl9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character" w:customStyle="1" w:styleId="283">
    <w:name w:val="明显引用 字符1"/>
    <w:basedOn w:val="49"/>
    <w:qFormat/>
    <w:uiPriority w:val="30"/>
    <w:rPr>
      <w:rFonts w:ascii="Times New Roman" w:hAnsi="Times New Roman" w:eastAsia="宋体" w:cs="Times New Roman"/>
      <w:i/>
      <w:iCs/>
      <w:color w:val="4472C4" w:themeColor="accent1"/>
      <w14:textFill>
        <w14:solidFill>
          <w14:schemeClr w14:val="accent1"/>
        </w14:solidFill>
      </w14:textFill>
    </w:rPr>
  </w:style>
  <w:style w:type="paragraph" w:customStyle="1" w:styleId="284">
    <w:name w:val="xl103"/>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85">
    <w:name w:val="Char Char Char Char Char Char Char Char Char Char"/>
    <w:basedOn w:val="1"/>
    <w:qFormat/>
    <w:uiPriority w:val="0"/>
    <w:rPr>
      <w:kern w:val="0"/>
      <w:sz w:val="20"/>
      <w:szCs w:val="20"/>
    </w:rPr>
  </w:style>
  <w:style w:type="paragraph" w:customStyle="1" w:styleId="286">
    <w:name w:val="Char Char Char Char1"/>
    <w:basedOn w:val="1"/>
    <w:qFormat/>
    <w:uiPriority w:val="0"/>
    <w:rPr>
      <w:rFonts w:ascii="Tahoma" w:hAnsi="Tahoma"/>
      <w:sz w:val="24"/>
      <w:szCs w:val="20"/>
    </w:rPr>
  </w:style>
  <w:style w:type="paragraph" w:customStyle="1" w:styleId="287">
    <w:name w:val="样式 一级项标 + 首行缩进:  2 字符 段前: 0.5 行1"/>
    <w:basedOn w:val="1"/>
    <w:qFormat/>
    <w:uiPriority w:val="0"/>
    <w:pPr>
      <w:spacing w:beforeLines="50" w:line="480" w:lineRule="exact"/>
      <w:ind w:firstLine="455" w:firstLineChars="200"/>
    </w:pPr>
    <w:rPr>
      <w:rFonts w:eastAsia="黑体"/>
      <w:b/>
      <w:bCs/>
      <w:sz w:val="24"/>
      <w:szCs w:val="20"/>
    </w:rPr>
  </w:style>
  <w:style w:type="paragraph" w:customStyle="1" w:styleId="288">
    <w:name w:val="xx"/>
    <w:basedOn w:val="279"/>
    <w:qFormat/>
    <w:uiPriority w:val="0"/>
    <w:pPr>
      <w:numPr>
        <w:ilvl w:val="2"/>
      </w:numPr>
      <w:tabs>
        <w:tab w:val="left" w:pos="181"/>
        <w:tab w:val="left" w:pos="720"/>
        <w:tab w:val="clear" w:pos="1080"/>
      </w:tabs>
      <w:spacing w:beforeLines="100" w:afterLines="50" w:line="440" w:lineRule="exact"/>
      <w:outlineLvl w:val="2"/>
    </w:pPr>
    <w:rPr>
      <w:sz w:val="28"/>
    </w:rPr>
  </w:style>
  <w:style w:type="paragraph" w:customStyle="1" w:styleId="289">
    <w:name w:val="纯文本1"/>
    <w:basedOn w:val="1"/>
    <w:qFormat/>
    <w:uiPriority w:val="0"/>
    <w:pPr>
      <w:widowControl/>
      <w:suppressAutoHyphens/>
      <w:jc w:val="left"/>
    </w:pPr>
    <w:rPr>
      <w:rFonts w:ascii="Consolas" w:hAnsi="Consolas" w:eastAsia="PMingLiU"/>
      <w:kern w:val="1"/>
      <w:szCs w:val="21"/>
      <w:lang w:eastAsia="ar-SA"/>
    </w:rPr>
  </w:style>
  <w:style w:type="paragraph" w:customStyle="1" w:styleId="29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91">
    <w:name w:val="默认段落字体 Para Char Char Char Char"/>
    <w:basedOn w:val="1"/>
    <w:qFormat/>
    <w:uiPriority w:val="0"/>
    <w:pPr>
      <w:snapToGrid w:val="0"/>
      <w:spacing w:line="360" w:lineRule="auto"/>
      <w:ind w:firstLine="200" w:firstLineChars="200"/>
    </w:pPr>
    <w:rPr>
      <w:szCs w:val="24"/>
    </w:rPr>
  </w:style>
  <w:style w:type="paragraph" w:customStyle="1" w:styleId="292">
    <w:name w:val="Char Char Char Char"/>
    <w:basedOn w:val="1"/>
    <w:qFormat/>
    <w:uiPriority w:val="0"/>
    <w:rPr>
      <w:szCs w:val="20"/>
    </w:rPr>
  </w:style>
  <w:style w:type="paragraph" w:customStyle="1" w:styleId="293">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b/>
      <w:bCs/>
      <w:kern w:val="0"/>
      <w:sz w:val="18"/>
      <w:szCs w:val="18"/>
    </w:rPr>
  </w:style>
  <w:style w:type="paragraph" w:customStyle="1" w:styleId="29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样式 正文文本"/>
    <w:basedOn w:val="1"/>
    <w:qFormat/>
    <w:uiPriority w:val="0"/>
    <w:pPr>
      <w:adjustRightInd w:val="0"/>
      <w:snapToGrid w:val="0"/>
      <w:spacing w:line="400" w:lineRule="exact"/>
      <w:ind w:firstLine="200" w:firstLineChars="200"/>
    </w:pPr>
    <w:rPr>
      <w:rFonts w:ascii="Arial" w:hAnsi="Arial"/>
      <w:color w:val="000000"/>
      <w:szCs w:val="20"/>
    </w:rPr>
  </w:style>
  <w:style w:type="paragraph" w:customStyle="1" w:styleId="297">
    <w:name w:val="样式3"/>
    <w:basedOn w:val="1"/>
    <w:qFormat/>
    <w:uiPriority w:val="0"/>
    <w:pPr>
      <w:numPr>
        <w:ilvl w:val="2"/>
        <w:numId w:val="4"/>
      </w:numPr>
      <w:autoSpaceDE w:val="0"/>
      <w:autoSpaceDN w:val="0"/>
      <w:adjustRightInd w:val="0"/>
      <w:spacing w:after="120"/>
      <w:jc w:val="left"/>
      <w:textAlignment w:val="baseline"/>
    </w:pPr>
    <w:rPr>
      <w:rFonts w:ascii="宋体" w:hAnsi="Tms Rmn"/>
      <w:kern w:val="0"/>
      <w:sz w:val="24"/>
      <w:szCs w:val="20"/>
    </w:rPr>
  </w:style>
  <w:style w:type="paragraph" w:customStyle="1" w:styleId="298">
    <w:name w:val="xl54"/>
    <w:basedOn w:val="1"/>
    <w:qFormat/>
    <w:uiPriority w:val="99"/>
    <w:pPr>
      <w:widowControl/>
      <w:spacing w:before="100" w:beforeAutospacing="1" w:after="100" w:afterAutospacing="1"/>
      <w:textAlignment w:val="center"/>
    </w:pPr>
    <w:rPr>
      <w:rFonts w:ascii="仿宋_GB2312" w:hAnsi="Arial Unicode MS" w:eastAsia="仿宋_GB2312"/>
      <w:sz w:val="18"/>
      <w:szCs w:val="18"/>
    </w:rPr>
  </w:style>
  <w:style w:type="paragraph" w:customStyle="1" w:styleId="299">
    <w:name w:val="Produktüberschrift"/>
    <w:qFormat/>
    <w:uiPriority w:val="0"/>
    <w:pPr>
      <w:spacing w:after="80" w:line="240" w:lineRule="atLeast"/>
    </w:pPr>
    <w:rPr>
      <w:rFonts w:ascii="Verdana" w:hAnsi="Verdana" w:eastAsia="宋体" w:cs="Times New Roman"/>
      <w:b/>
      <w:kern w:val="0"/>
      <w:sz w:val="20"/>
      <w:szCs w:val="20"/>
      <w:lang w:val="de-DE" w:eastAsia="de-DE" w:bidi="ar-SA"/>
    </w:rPr>
  </w:style>
  <w:style w:type="paragraph" w:customStyle="1" w:styleId="30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paragraph" w:customStyle="1" w:styleId="301">
    <w:name w:val="xl8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b/>
      <w:bCs/>
      <w:kern w:val="0"/>
      <w:sz w:val="22"/>
    </w:rPr>
  </w:style>
  <w:style w:type="paragraph" w:customStyle="1" w:styleId="302">
    <w:name w:val="Char Char Char1 Char Char Char Char"/>
    <w:basedOn w:val="1"/>
    <w:qFormat/>
    <w:uiPriority w:val="0"/>
    <w:pPr>
      <w:widowControl/>
      <w:snapToGrid w:val="0"/>
      <w:spacing w:after="160" w:line="300" w:lineRule="auto"/>
      <w:jc w:val="left"/>
    </w:pPr>
    <w:rPr>
      <w:rFonts w:ascii="仿宋_GB2312" w:hAnsi="Verdana" w:eastAsia="仿宋_GB2312"/>
      <w:b/>
      <w:kern w:val="0"/>
      <w:sz w:val="28"/>
      <w:szCs w:val="28"/>
      <w:lang w:eastAsia="en-US"/>
    </w:rPr>
  </w:style>
  <w:style w:type="paragraph" w:customStyle="1" w:styleId="303">
    <w:name w:val="Char2"/>
    <w:basedOn w:val="1"/>
    <w:qFormat/>
    <w:uiPriority w:val="0"/>
    <w:rPr>
      <w:szCs w:val="24"/>
    </w:rPr>
  </w:style>
  <w:style w:type="paragraph" w:customStyle="1" w:styleId="304">
    <w:name w:val="表格内字体字号"/>
    <w:basedOn w:val="1"/>
    <w:qFormat/>
    <w:uiPriority w:val="0"/>
    <w:pPr>
      <w:topLinePunct/>
      <w:snapToGrid w:val="0"/>
      <w:spacing w:beforeLines="20" w:afterLines="20"/>
      <w:ind w:left="30" w:leftChars="30" w:right="30" w:rightChars="30"/>
      <w:jc w:val="center"/>
    </w:pPr>
    <w:rPr>
      <w:sz w:val="18"/>
      <w:szCs w:val="18"/>
    </w:rPr>
  </w:style>
  <w:style w:type="paragraph" w:customStyle="1" w:styleId="305">
    <w:name w:val="样式 标题 3 + (中文) 黑体 小四 非加粗 段前: 7.8 磅 段后: 0 磅 行距: 固定值 20 磅"/>
    <w:basedOn w:val="8"/>
    <w:qFormat/>
    <w:uiPriority w:val="0"/>
    <w:pPr>
      <w:spacing w:line="400" w:lineRule="exact"/>
      <w:jc w:val="both"/>
    </w:pPr>
    <w:rPr>
      <w:rFonts w:eastAsia="黑体" w:cs="宋体"/>
      <w:b w:val="0"/>
    </w:rPr>
  </w:style>
  <w:style w:type="paragraph" w:customStyle="1" w:styleId="306">
    <w:name w:val="正文(首行缩进)"/>
    <w:qFormat/>
    <w:uiPriority w:val="0"/>
    <w:pPr>
      <w:spacing w:line="360" w:lineRule="auto"/>
      <w:ind w:firstLine="200" w:firstLineChars="200"/>
      <w:jc w:val="both"/>
    </w:pPr>
    <w:rPr>
      <w:rFonts w:ascii="Times New Roman" w:hAnsi="Times New Roman" w:eastAsia="仿宋_GB2312" w:cs="Times New Roman"/>
      <w:spacing w:val="2"/>
      <w:kern w:val="24"/>
      <w:sz w:val="24"/>
      <w:szCs w:val="20"/>
      <w:lang w:val="en-US" w:eastAsia="zh-CN" w:bidi="ar-SA"/>
    </w:rPr>
  </w:style>
  <w:style w:type="paragraph" w:customStyle="1" w:styleId="30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b/>
      <w:bCs/>
      <w:kern w:val="0"/>
      <w:sz w:val="22"/>
    </w:rPr>
  </w:style>
  <w:style w:type="paragraph" w:customStyle="1" w:styleId="308">
    <w:name w:val="Char Char Char1 Char Char Char Char Char Char1 Char"/>
    <w:basedOn w:val="1"/>
    <w:qFormat/>
    <w:uiPriority w:val="0"/>
    <w:pPr>
      <w:ind w:right="420"/>
      <w:jc w:val="right"/>
    </w:pPr>
    <w:rPr>
      <w:rFonts w:ascii="宋体" w:hAnsi="宋体"/>
      <w:snapToGrid w:val="0"/>
      <w:kern w:val="0"/>
      <w:szCs w:val="21"/>
    </w:rPr>
  </w:style>
  <w:style w:type="paragraph" w:customStyle="1" w:styleId="309">
    <w:name w:val="Char Char1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0">
    <w:name w:val="1"/>
    <w:basedOn w:val="1"/>
    <w:next w:val="1"/>
    <w:qFormat/>
    <w:uiPriority w:val="0"/>
    <w:rPr>
      <w:szCs w:val="24"/>
    </w:rPr>
  </w:style>
  <w:style w:type="paragraph" w:customStyle="1" w:styleId="311">
    <w:name w:val="样式 标题 1 + 黑体 三号 非加粗 居中 段前: 6 磅 段后: 6 磅 行距: 固定值 20 磅"/>
    <w:basedOn w:val="6"/>
    <w:qFormat/>
    <w:uiPriority w:val="0"/>
    <w:pPr>
      <w:keepLines/>
      <w:spacing w:before="120" w:after="120" w:line="400" w:lineRule="exact"/>
    </w:pPr>
    <w:rPr>
      <w:rFonts w:ascii="黑体" w:hAnsi="黑体" w:eastAsia="黑体" w:cs="宋体"/>
      <w:b w:val="0"/>
      <w:bCs w:val="0"/>
      <w:color w:val="auto"/>
      <w:kern w:val="44"/>
    </w:rPr>
  </w:style>
  <w:style w:type="paragraph" w:customStyle="1" w:styleId="312">
    <w:name w:val="Standard fett"/>
    <w:basedOn w:val="1"/>
    <w:qFormat/>
    <w:uiPriority w:val="0"/>
    <w:pPr>
      <w:widowControl/>
      <w:jc w:val="left"/>
    </w:pPr>
    <w:rPr>
      <w:rFonts w:ascii="Arial" w:hAnsi="Arial" w:eastAsia="PMingLiU"/>
      <w:b/>
      <w:bCs/>
      <w:kern w:val="0"/>
      <w:sz w:val="22"/>
      <w:szCs w:val="20"/>
      <w:lang w:val="de-DE" w:eastAsia="de-DE"/>
    </w:rPr>
  </w:style>
  <w:style w:type="paragraph" w:customStyle="1" w:styleId="31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1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b/>
      <w:bCs/>
      <w:kern w:val="0"/>
      <w:sz w:val="18"/>
      <w:szCs w:val="18"/>
    </w:rPr>
  </w:style>
  <w:style w:type="paragraph" w:customStyle="1" w:styleId="315">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kern w:val="0"/>
      <w:sz w:val="24"/>
      <w:szCs w:val="24"/>
    </w:rPr>
  </w:style>
  <w:style w:type="paragraph" w:customStyle="1" w:styleId="316">
    <w:name w:val="xl9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paragraph" w:customStyle="1" w:styleId="317">
    <w:name w:val="xl101"/>
    <w:basedOn w:val="1"/>
    <w:qFormat/>
    <w:uiPriority w:val="0"/>
    <w:pPr>
      <w:widowControl/>
      <w:shd w:val="clear" w:color="000000" w:fill="FFFFFF"/>
      <w:spacing w:before="100" w:beforeAutospacing="1" w:after="100" w:afterAutospacing="1"/>
      <w:jc w:val="left"/>
      <w:textAlignment w:val="center"/>
    </w:pPr>
    <w:rPr>
      <w:kern w:val="0"/>
      <w:sz w:val="24"/>
      <w:szCs w:val="24"/>
    </w:rPr>
  </w:style>
  <w:style w:type="paragraph" w:customStyle="1" w:styleId="318">
    <w:name w:val="黑体内部标题"/>
    <w:basedOn w:val="1"/>
    <w:next w:val="217"/>
    <w:qFormat/>
    <w:uiPriority w:val="0"/>
    <w:pPr>
      <w:tabs>
        <w:tab w:val="left" w:pos="620"/>
        <w:tab w:val="left" w:pos="3510"/>
      </w:tabs>
      <w:adjustRightInd w:val="0"/>
      <w:snapToGrid w:val="0"/>
      <w:spacing w:beforeLines="50" w:afterLines="50"/>
      <w:ind w:left="3510" w:hanging="1200"/>
    </w:pPr>
    <w:rPr>
      <w:rFonts w:eastAsia="黑体"/>
      <w:color w:val="000000"/>
      <w:sz w:val="24"/>
      <w:szCs w:val="24"/>
    </w:rPr>
  </w:style>
  <w:style w:type="paragraph" w:customStyle="1" w:styleId="319">
    <w:name w:val="font16"/>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320">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24"/>
      <w:szCs w:val="24"/>
    </w:rPr>
  </w:style>
  <w:style w:type="paragraph" w:customStyle="1" w:styleId="321">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322">
    <w:name w:val="D2"/>
    <w:basedOn w:val="1"/>
    <w:qFormat/>
    <w:uiPriority w:val="0"/>
    <w:pPr>
      <w:spacing w:line="480" w:lineRule="auto"/>
    </w:pPr>
    <w:rPr>
      <w:rFonts w:ascii="EU-F1" w:eastAsia="黑体"/>
      <w:szCs w:val="21"/>
    </w:rPr>
  </w:style>
  <w:style w:type="paragraph" w:customStyle="1" w:styleId="32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24">
    <w:name w:val="Revision"/>
    <w:qFormat/>
    <w:uiPriority w:val="0"/>
    <w:rPr>
      <w:rFonts w:ascii="Times New Roman" w:hAnsi="Times New Roman" w:eastAsia="宋体" w:cs="Times New Roman"/>
      <w:kern w:val="2"/>
      <w:sz w:val="21"/>
      <w:szCs w:val="24"/>
      <w:lang w:val="en-US" w:eastAsia="zh-CN" w:bidi="ar-SA"/>
    </w:rPr>
  </w:style>
  <w:style w:type="paragraph" w:customStyle="1" w:styleId="325">
    <w:name w:val="p12"/>
    <w:basedOn w:val="1"/>
    <w:qFormat/>
    <w:uiPriority w:val="0"/>
    <w:pPr>
      <w:widowControl/>
      <w:spacing w:before="100" w:beforeAutospacing="1" w:after="100" w:afterAutospacing="1"/>
      <w:jc w:val="left"/>
    </w:pPr>
    <w:rPr>
      <w:color w:val="000000"/>
      <w:kern w:val="0"/>
      <w:sz w:val="24"/>
      <w:szCs w:val="20"/>
    </w:rPr>
  </w:style>
  <w:style w:type="paragraph" w:customStyle="1" w:styleId="326">
    <w:name w:val="Char Char1 Char Char Char Char Char Char Char Char Char Char Char Char Char Char Char"/>
    <w:basedOn w:val="1"/>
    <w:qFormat/>
    <w:uiPriority w:val="0"/>
    <w:pPr>
      <w:widowControl/>
      <w:spacing w:after="160" w:line="240" w:lineRule="exact"/>
      <w:jc w:val="left"/>
    </w:pPr>
    <w:rPr>
      <w:szCs w:val="20"/>
    </w:rPr>
  </w:style>
  <w:style w:type="paragraph" w:customStyle="1" w:styleId="327">
    <w:name w:val="列出段落11"/>
    <w:qFormat/>
    <w:uiPriority w:val="0"/>
    <w:pPr>
      <w:widowControl w:val="0"/>
      <w:suppressAutoHyphens/>
      <w:spacing w:after="200" w:line="276" w:lineRule="auto"/>
      <w:ind w:left="720"/>
    </w:pPr>
    <w:rPr>
      <w:rFonts w:ascii="Times New Roman" w:hAnsi="Times New Roman" w:eastAsia="宋体" w:cs="Times New Roman"/>
      <w:kern w:val="1"/>
      <w:sz w:val="22"/>
      <w:szCs w:val="22"/>
      <w:lang w:val="en-US" w:eastAsia="ar-SA" w:bidi="ar-SA"/>
    </w:rPr>
  </w:style>
  <w:style w:type="paragraph" w:customStyle="1" w:styleId="32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29">
    <w:name w:val="四级条标题"/>
    <w:basedOn w:val="247"/>
    <w:next w:val="231"/>
    <w:qFormat/>
    <w:uiPriority w:val="0"/>
    <w:pPr>
      <w:outlineLvl w:val="5"/>
    </w:pPr>
  </w:style>
  <w:style w:type="paragraph" w:customStyle="1" w:styleId="330">
    <w:name w:val="xl9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b/>
      <w:bCs/>
      <w:kern w:val="0"/>
      <w:sz w:val="32"/>
      <w:szCs w:val="32"/>
    </w:rPr>
  </w:style>
  <w:style w:type="paragraph" w:customStyle="1" w:styleId="331">
    <w:name w:val="style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2">
    <w:name w:val="样式1"/>
    <w:basedOn w:val="12"/>
    <w:qFormat/>
    <w:uiPriority w:val="0"/>
    <w:pPr>
      <w:widowControl/>
      <w:numPr>
        <w:ilvl w:val="0"/>
        <w:numId w:val="5"/>
      </w:numPr>
      <w:jc w:val="left"/>
    </w:pPr>
    <w:rPr>
      <w:rFonts w:ascii="Arial" w:hAnsi="Arial"/>
      <w:spacing w:val="-5"/>
      <w:sz w:val="30"/>
    </w:rPr>
  </w:style>
  <w:style w:type="paragraph" w:customStyle="1" w:styleId="333">
    <w:name w:val="xl102"/>
    <w:basedOn w:val="1"/>
    <w:qFormat/>
    <w:uiPriority w:val="0"/>
    <w:pPr>
      <w:widowControl/>
      <w:shd w:val="clear" w:color="000000" w:fill="FFFFFF"/>
      <w:spacing w:before="100" w:beforeAutospacing="1" w:after="100" w:afterAutospacing="1"/>
      <w:jc w:val="left"/>
      <w:textAlignment w:val="center"/>
    </w:pPr>
    <w:rPr>
      <w:kern w:val="0"/>
      <w:sz w:val="18"/>
      <w:szCs w:val="18"/>
    </w:rPr>
  </w:style>
  <w:style w:type="paragraph" w:customStyle="1" w:styleId="334">
    <w:name w:val="Aufzählung Ebene 2"/>
    <w:qFormat/>
    <w:uiPriority w:val="0"/>
    <w:pPr>
      <w:tabs>
        <w:tab w:val="left" w:pos="360"/>
      </w:tabs>
      <w:spacing w:after="20"/>
      <w:ind w:left="568" w:hanging="284"/>
    </w:pPr>
    <w:rPr>
      <w:rFonts w:ascii="Verdana" w:hAnsi="Verdana" w:eastAsia="宋体" w:cs="Times New Roman"/>
      <w:kern w:val="0"/>
      <w:sz w:val="20"/>
      <w:szCs w:val="24"/>
      <w:lang w:val="de-DE" w:eastAsia="de-DE" w:bidi="ar-SA"/>
    </w:rPr>
  </w:style>
  <w:style w:type="paragraph" w:customStyle="1" w:styleId="335">
    <w:name w:val="Char1 Char Char Char Char Char Char1"/>
    <w:basedOn w:val="1"/>
    <w:qFormat/>
    <w:uiPriority w:val="0"/>
    <w:rPr>
      <w:rFonts w:ascii="Tahoma" w:hAnsi="Tahoma"/>
      <w:sz w:val="24"/>
      <w:szCs w:val="20"/>
    </w:rPr>
  </w:style>
  <w:style w:type="paragraph" w:customStyle="1" w:styleId="3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7">
    <w:name w:val="样式C"/>
    <w:basedOn w:val="1"/>
    <w:qFormat/>
    <w:uiPriority w:val="0"/>
    <w:pPr>
      <w:widowControl/>
      <w:numPr>
        <w:ilvl w:val="0"/>
        <w:numId w:val="6"/>
      </w:numPr>
      <w:tabs>
        <w:tab w:val="left" w:pos="840"/>
      </w:tabs>
      <w:adjustRightInd w:val="0"/>
      <w:snapToGrid w:val="0"/>
      <w:spacing w:beforeLines="50" w:line="360" w:lineRule="auto"/>
      <w:jc w:val="left"/>
    </w:pPr>
    <w:rPr>
      <w:b/>
      <w:kern w:val="0"/>
      <w:sz w:val="24"/>
      <w:szCs w:val="20"/>
      <w:lang w:eastAsia="en-US" w:bidi="en-US"/>
    </w:rPr>
  </w:style>
  <w:style w:type="paragraph" w:customStyle="1" w:styleId="338">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9">
    <w:name w:val="font13"/>
    <w:basedOn w:val="1"/>
    <w:qFormat/>
    <w:uiPriority w:val="0"/>
    <w:pPr>
      <w:widowControl/>
      <w:spacing w:before="100" w:beforeAutospacing="1" w:after="100" w:afterAutospacing="1"/>
      <w:jc w:val="left"/>
    </w:pPr>
    <w:rPr>
      <w:rFonts w:ascii="宋体" w:hAnsi="宋体" w:cs="宋体"/>
      <w:b/>
      <w:bCs/>
      <w:kern w:val="0"/>
      <w:sz w:val="22"/>
    </w:rPr>
  </w:style>
  <w:style w:type="paragraph" w:customStyle="1" w:styleId="340">
    <w:name w:val="Paragraf"/>
    <w:basedOn w:val="1"/>
    <w:qFormat/>
    <w:uiPriority w:val="0"/>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341">
    <w:name w:val="Char Char Char Char Char Char Char"/>
    <w:basedOn w:val="1"/>
    <w:qFormat/>
    <w:uiPriority w:val="0"/>
    <w:pPr>
      <w:tabs>
        <w:tab w:val="left" w:pos="432"/>
      </w:tabs>
      <w:ind w:left="432" w:hanging="432"/>
    </w:pPr>
    <w:rPr>
      <w:rFonts w:ascii="Tahoma" w:hAnsi="Tahoma"/>
      <w:sz w:val="24"/>
      <w:szCs w:val="20"/>
    </w:rPr>
  </w:style>
  <w:style w:type="paragraph" w:customStyle="1" w:styleId="342">
    <w:name w:val="TOC Heading"/>
    <w:basedOn w:val="6"/>
    <w:next w:val="1"/>
    <w:qFormat/>
    <w:uiPriority w:val="0"/>
    <w:pPr>
      <w:keepLines/>
      <w:spacing w:before="340" w:after="330" w:line="576" w:lineRule="auto"/>
      <w:jc w:val="both"/>
      <w:outlineLvl w:val="9"/>
    </w:pPr>
    <w:rPr>
      <w:rFonts w:ascii="Calibri" w:hAnsi="Calibri"/>
      <w:color w:val="auto"/>
      <w:kern w:val="44"/>
      <w:sz w:val="44"/>
      <w:szCs w:val="44"/>
    </w:rPr>
  </w:style>
  <w:style w:type="paragraph" w:customStyle="1" w:styleId="343">
    <w:name w:val="xl7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b/>
      <w:bCs/>
      <w:kern w:val="0"/>
      <w:sz w:val="18"/>
      <w:szCs w:val="18"/>
    </w:rPr>
  </w:style>
  <w:style w:type="character" w:customStyle="1" w:styleId="344">
    <w:name w:val="引用 字符1"/>
    <w:basedOn w:val="49"/>
    <w:qFormat/>
    <w:uiPriority w:val="29"/>
    <w:rPr>
      <w:rFonts w:ascii="Times New Roman" w:hAnsi="Times New Roman" w:eastAsia="宋体" w:cs="Times New Roman"/>
      <w:i/>
      <w:iCs/>
      <w:color w:val="404040" w:themeColor="text1" w:themeTint="BF"/>
      <w14:textFill>
        <w14:solidFill>
          <w14:schemeClr w14:val="tx1">
            <w14:lumMod w14:val="75000"/>
            <w14:lumOff w14:val="25000"/>
          </w14:schemeClr>
        </w14:solidFill>
      </w14:textFill>
    </w:rPr>
  </w:style>
  <w:style w:type="paragraph" w:customStyle="1" w:styleId="34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b/>
      <w:bCs/>
      <w:kern w:val="0"/>
      <w:sz w:val="22"/>
    </w:rPr>
  </w:style>
  <w:style w:type="paragraph" w:customStyle="1" w:styleId="346">
    <w:name w:val="xl9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paragraph" w:customStyle="1" w:styleId="34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8"/>
      <w:szCs w:val="18"/>
    </w:rPr>
  </w:style>
  <w:style w:type="paragraph" w:customStyle="1" w:styleId="348">
    <w:name w:val="Aufzählung Ebene 3"/>
    <w:qFormat/>
    <w:uiPriority w:val="0"/>
    <w:pPr>
      <w:tabs>
        <w:tab w:val="left" w:pos="851"/>
      </w:tabs>
      <w:spacing w:after="20"/>
      <w:ind w:left="851" w:hanging="284"/>
    </w:pPr>
    <w:rPr>
      <w:rFonts w:ascii="Verdana" w:hAnsi="Verdana" w:eastAsia="宋体" w:cs="Times New Roman"/>
      <w:kern w:val="0"/>
      <w:sz w:val="20"/>
      <w:szCs w:val="24"/>
      <w:lang w:val="de-DE" w:eastAsia="de-DE" w:bidi="ar-SA"/>
    </w:rPr>
  </w:style>
  <w:style w:type="paragraph" w:customStyle="1" w:styleId="349">
    <w:name w:val="xl10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350">
    <w:name w:val="样式 正文文本缩进 3 + (西文) Times New Roman (中文) 仿宋_GB2312 四号"/>
    <w:basedOn w:val="38"/>
    <w:qFormat/>
    <w:uiPriority w:val="0"/>
    <w:pPr>
      <w:snapToGrid w:val="0"/>
      <w:spacing w:beforeLines="50" w:after="0" w:line="300" w:lineRule="auto"/>
      <w:ind w:left="0" w:leftChars="0" w:firstLine="561"/>
      <w:textAlignment w:val="baseline"/>
    </w:pPr>
    <w:rPr>
      <w:rFonts w:eastAsia="仿宋_GB2312"/>
      <w:sz w:val="28"/>
      <w:szCs w:val="24"/>
    </w:rPr>
  </w:style>
  <w:style w:type="paragraph" w:customStyle="1" w:styleId="35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52">
    <w:name w:val="xl11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353">
    <w:name w:val="正文-带编号1)"/>
    <w:basedOn w:val="1"/>
    <w:qFormat/>
    <w:uiPriority w:val="0"/>
    <w:pPr>
      <w:numPr>
        <w:ilvl w:val="0"/>
        <w:numId w:val="3"/>
      </w:numPr>
      <w:spacing w:line="400" w:lineRule="exact"/>
    </w:pPr>
    <w:rPr>
      <w:rFonts w:ascii="Arial" w:hAnsi="Arial"/>
      <w:szCs w:val="24"/>
    </w:rPr>
  </w:style>
  <w:style w:type="paragraph" w:customStyle="1" w:styleId="354">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355">
    <w:name w:val="Char3"/>
    <w:basedOn w:val="1"/>
    <w:qFormat/>
    <w:uiPriority w:val="0"/>
    <w:rPr>
      <w:rFonts w:ascii="仿宋_GB2312" w:eastAsia="仿宋_GB2312"/>
      <w:b/>
      <w:sz w:val="32"/>
      <w:szCs w:val="32"/>
    </w:rPr>
  </w:style>
  <w:style w:type="paragraph" w:customStyle="1" w:styleId="356">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theme" Target="theme/theme1.xml"/><Relationship Id="rId36" Type="http://schemas.openxmlformats.org/officeDocument/2006/relationships/footer" Target="footer20.xml"/><Relationship Id="rId35" Type="http://schemas.openxmlformats.org/officeDocument/2006/relationships/footer" Target="footer19.xml"/><Relationship Id="rId34" Type="http://schemas.openxmlformats.org/officeDocument/2006/relationships/header" Target="header14.xml"/><Relationship Id="rId33" Type="http://schemas.openxmlformats.org/officeDocument/2006/relationships/header" Target="header13.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header" Target="header11.xml"/><Relationship Id="rId27" Type="http://schemas.openxmlformats.org/officeDocument/2006/relationships/footer" Target="footer15.xml"/><Relationship Id="rId26" Type="http://schemas.openxmlformats.org/officeDocument/2006/relationships/header" Target="header10.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oter10.xml.rels><?xml version="1.0" encoding="UTF-8" standalone="yes"?>
<Relationships xmlns="http://schemas.openxmlformats.org/package/2006/relationships"><Relationship Id="rId1" Type="http://schemas.openxmlformats.org/officeDocument/2006/relationships/image" Target="media/image1.jpeg"/></Relationships>
</file>

<file path=word/_rels/footer12.xml.rels><?xml version="1.0" encoding="UTF-8" standalone="yes"?>
<Relationships xmlns="http://schemas.openxmlformats.org/package/2006/relationships"><Relationship Id="rId1" Type="http://schemas.openxmlformats.org/officeDocument/2006/relationships/image" Target="media/image1.jpeg"/></Relationships>
</file>

<file path=word/_rels/footer13.xml.rels><?xml version="1.0" encoding="UTF-8" standalone="yes"?>
<Relationships xmlns="http://schemas.openxmlformats.org/package/2006/relationships"><Relationship Id="rId1" Type="http://schemas.openxmlformats.org/officeDocument/2006/relationships/image" Target="media/image1.jpeg"/></Relationships>
</file>

<file path=word/_rels/footer14.xml.rels><?xml version="1.0" encoding="UTF-8" standalone="yes"?>
<Relationships xmlns="http://schemas.openxmlformats.org/package/2006/relationships"><Relationship Id="rId1" Type="http://schemas.openxmlformats.org/officeDocument/2006/relationships/image" Target="media/image1.jpeg"/></Relationships>
</file>

<file path=word/_rels/footer15.xml.rels><?xml version="1.0" encoding="UTF-8" standalone="yes"?>
<Relationships xmlns="http://schemas.openxmlformats.org/package/2006/relationships"><Relationship Id="rId1" Type="http://schemas.openxmlformats.org/officeDocument/2006/relationships/image" Target="media/image1.jpeg"/></Relationships>
</file>

<file path=word/_rels/footer16.xml.rels><?xml version="1.0" encoding="UTF-8" standalone="yes"?>
<Relationships xmlns="http://schemas.openxmlformats.org/package/2006/relationships"><Relationship Id="rId1" Type="http://schemas.openxmlformats.org/officeDocument/2006/relationships/image" Target="media/image1.jpeg"/></Relationships>
</file>

<file path=word/_rels/footer19.xml.rels><?xml version="1.0" encoding="UTF-8" standalone="yes"?>
<Relationships xmlns="http://schemas.openxmlformats.org/package/2006/relationships"><Relationship Id="rId1" Type="http://schemas.openxmlformats.org/officeDocument/2006/relationships/image" Target="media/image1.jpeg"/></Relationships>
</file>

<file path=word/_rels/footer20.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127</Pages>
  <Words>12710</Words>
  <Characters>72453</Characters>
  <Lines>603</Lines>
  <Paragraphs>169</Paragraphs>
  <TotalTime>4</TotalTime>
  <ScaleCrop>false</ScaleCrop>
  <LinksUpToDate>false</LinksUpToDate>
  <CharactersWithSpaces>84994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2019-08-28T01:18:00Z</dcterms:created>
  <dc:creator>河南大河招标有限公司:河南大河招标有限公司</dc:creator>
  <cp:lastModifiedBy>　　</cp:lastModifiedBy>
  <cp:lastPrinted>2019-09-05T09:57:00Z</cp:lastPrinted>
  <dcterms:modified xsi:type="dcterms:W3CDTF">2019-10-10T00:32:15Z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