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utoSpaceDE w:val="0"/>
        <w:autoSpaceDN w:val="0"/>
        <w:adjustRightInd w:val="0"/>
        <w:spacing w:line="360" w:lineRule="auto"/>
        <w:jc w:val="center"/>
        <w:outlineLvl w:val="1"/>
        <w:rPr>
          <w:rFonts w:hint="eastAsia" w:asciiTheme="minorEastAsia" w:hAnsiTheme="minorEastAsia" w:eastAsiaTheme="minorEastAsia" w:cstheme="minorEastAsia"/>
          <w:b/>
          <w:bCs/>
          <w:color w:val="000000"/>
          <w:sz w:val="24"/>
          <w:szCs w:val="24"/>
        </w:rPr>
      </w:pPr>
      <w:r>
        <w:rPr>
          <w:rFonts w:hint="eastAsia" w:asciiTheme="minorEastAsia" w:hAnsiTheme="minorEastAsia" w:eastAsiaTheme="minorEastAsia" w:cstheme="minorEastAsia"/>
          <w:b/>
          <w:bCs/>
          <w:color w:val="000000"/>
          <w:sz w:val="24"/>
          <w:szCs w:val="24"/>
        </w:rPr>
        <w:t>4.5</w:t>
      </w:r>
      <w:r>
        <w:rPr>
          <w:rFonts w:hint="eastAsia" w:asciiTheme="minorEastAsia" w:hAnsiTheme="minorEastAsia" w:cstheme="minorEastAsia"/>
          <w:b/>
          <w:bCs/>
          <w:color w:val="000000"/>
          <w:sz w:val="24"/>
          <w:szCs w:val="24"/>
          <w:lang w:eastAsia="zh-CN"/>
        </w:rPr>
        <w:t>、</w:t>
      </w:r>
      <w:r>
        <w:rPr>
          <w:rFonts w:hint="eastAsia" w:asciiTheme="minorEastAsia" w:hAnsiTheme="minorEastAsia" w:eastAsiaTheme="minorEastAsia" w:cstheme="minorEastAsia"/>
          <w:b/>
          <w:bCs/>
          <w:color w:val="000000"/>
          <w:sz w:val="24"/>
          <w:szCs w:val="24"/>
        </w:rPr>
        <w:t>售后服务方案</w:t>
      </w:r>
    </w:p>
    <w:p>
      <w:pPr>
        <w:spacing w:line="360" w:lineRule="auto"/>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致：</w:t>
      </w:r>
      <w:r>
        <w:rPr>
          <w:rFonts w:hint="eastAsia" w:asciiTheme="minorEastAsia" w:hAnsiTheme="minorEastAsia" w:eastAsiaTheme="minorEastAsia" w:cstheme="minorEastAsia"/>
          <w:snapToGrid w:val="0"/>
          <w:kern w:val="0"/>
          <w:szCs w:val="21"/>
        </w:rPr>
        <w:t>许昌市政府采购中心</w:t>
      </w:r>
    </w:p>
    <w:p>
      <w:pPr>
        <w:spacing w:line="360" w:lineRule="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 xml:space="preserve">    根据贵方招标编号为：</w:t>
      </w:r>
      <w:r>
        <w:rPr>
          <w:rFonts w:hint="eastAsia" w:asciiTheme="minorEastAsia" w:hAnsiTheme="minorEastAsia" w:eastAsiaTheme="minorEastAsia" w:cstheme="minorEastAsia"/>
          <w:sz w:val="21"/>
          <w:szCs w:val="21"/>
          <w:u w:val="single"/>
          <w:lang w:val="en-US" w:eastAsia="zh-CN"/>
        </w:rPr>
        <w:t xml:space="preserve"> </w:t>
      </w:r>
      <w:r>
        <w:rPr>
          <w:rFonts w:hint="eastAsia" w:asciiTheme="minorEastAsia" w:hAnsiTheme="minorEastAsia" w:eastAsiaTheme="minorEastAsia" w:cstheme="minorEastAsia"/>
          <w:color w:val="000000"/>
          <w:sz w:val="21"/>
          <w:szCs w:val="21"/>
          <w:u w:val="single"/>
          <w:shd w:val="clear" w:color="auto" w:fill="FFFFFF"/>
        </w:rPr>
        <w:t xml:space="preserve">ZFCG-G2019132号 </w:t>
      </w:r>
      <w:r>
        <w:rPr>
          <w:rFonts w:hint="eastAsia" w:asciiTheme="minorEastAsia" w:hAnsiTheme="minorEastAsia" w:eastAsiaTheme="minorEastAsia" w:cstheme="minorEastAsia"/>
          <w:sz w:val="21"/>
          <w:szCs w:val="21"/>
          <w:u w:val="single"/>
        </w:rPr>
        <w:t xml:space="preserve"> </w:t>
      </w:r>
      <w:r>
        <w:rPr>
          <w:rFonts w:hint="eastAsia" w:asciiTheme="minorEastAsia" w:hAnsiTheme="minorEastAsia" w:eastAsiaTheme="minorEastAsia" w:cstheme="minorEastAsia"/>
          <w:sz w:val="21"/>
          <w:szCs w:val="21"/>
        </w:rPr>
        <w:t>的</w:t>
      </w:r>
      <w:r>
        <w:rPr>
          <w:rFonts w:hint="eastAsia" w:asciiTheme="minorEastAsia" w:hAnsiTheme="minorEastAsia" w:eastAsiaTheme="minorEastAsia" w:cstheme="minorEastAsia"/>
          <w:sz w:val="21"/>
          <w:szCs w:val="21"/>
          <w:u w:val="single"/>
        </w:rPr>
        <w:t xml:space="preserve"> 电子商务实训设备</w:t>
      </w:r>
      <w:r>
        <w:rPr>
          <w:rFonts w:hint="eastAsia" w:asciiTheme="minorEastAsia" w:hAnsiTheme="minorEastAsia" w:eastAsiaTheme="minorEastAsia" w:cstheme="minorEastAsia"/>
          <w:sz w:val="21"/>
          <w:szCs w:val="21"/>
          <w:u w:val="single"/>
          <w:lang w:val="en-US" w:eastAsia="zh-CN"/>
        </w:rPr>
        <w:t xml:space="preserve"> </w:t>
      </w:r>
      <w:r>
        <w:rPr>
          <w:rFonts w:hint="eastAsia" w:asciiTheme="minorEastAsia" w:hAnsiTheme="minorEastAsia" w:eastAsiaTheme="minorEastAsia" w:cstheme="minorEastAsia"/>
          <w:sz w:val="21"/>
          <w:szCs w:val="21"/>
        </w:rPr>
        <w:t>的投标邀请，我公司承诺本项目积极响应落实节约能源、保护环境等政府采购政策，并对该项目做出如下售后服务及质量保证承诺：</w:t>
      </w:r>
    </w:p>
    <w:p>
      <w:pPr>
        <w:spacing w:line="360" w:lineRule="auto"/>
        <w:ind w:firstLine="420"/>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z w:val="21"/>
          <w:szCs w:val="21"/>
        </w:rPr>
        <w:t>1、保修期：</w:t>
      </w:r>
    </w:p>
    <w:p>
      <w:pPr>
        <w:spacing w:line="360" w:lineRule="auto"/>
        <w:ind w:firstLine="42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我公司郑重承诺针对本次投标活动，所投项目中的使用设备提供</w:t>
      </w:r>
      <w:r>
        <w:rPr>
          <w:rFonts w:hint="eastAsia" w:asciiTheme="minorEastAsia" w:hAnsiTheme="minorEastAsia" w:eastAsiaTheme="minorEastAsia" w:cstheme="minorEastAsia"/>
          <w:b/>
          <w:bCs/>
          <w:sz w:val="21"/>
          <w:szCs w:val="21"/>
          <w:u w:val="single"/>
        </w:rPr>
        <w:t xml:space="preserve"> </w:t>
      </w:r>
      <w:r>
        <w:rPr>
          <w:rFonts w:hint="eastAsia" w:asciiTheme="minorEastAsia" w:hAnsiTheme="minorEastAsia" w:eastAsiaTheme="minorEastAsia" w:cstheme="minorEastAsia"/>
          <w:b/>
          <w:bCs/>
          <w:sz w:val="21"/>
          <w:szCs w:val="21"/>
          <w:u w:val="single"/>
          <w:lang w:val="en-US" w:eastAsia="zh-CN"/>
        </w:rPr>
        <w:t>6</w:t>
      </w:r>
      <w:r>
        <w:rPr>
          <w:rFonts w:hint="eastAsia" w:asciiTheme="minorEastAsia" w:hAnsiTheme="minorEastAsia" w:eastAsiaTheme="minorEastAsia" w:cstheme="minorEastAsia"/>
          <w:b/>
          <w:bCs/>
          <w:sz w:val="21"/>
          <w:szCs w:val="21"/>
          <w:u w:val="single"/>
        </w:rPr>
        <w:t>年</w:t>
      </w:r>
      <w:r>
        <w:rPr>
          <w:rFonts w:hint="eastAsia" w:asciiTheme="minorEastAsia" w:hAnsiTheme="minorEastAsia" w:cstheme="minorEastAsia"/>
          <w:b/>
          <w:bCs/>
          <w:sz w:val="21"/>
          <w:szCs w:val="21"/>
          <w:u w:val="single"/>
          <w:lang w:val="en-US" w:eastAsia="zh-CN"/>
        </w:rPr>
        <w:t xml:space="preserve"> </w:t>
      </w:r>
      <w:r>
        <w:rPr>
          <w:rFonts w:hint="eastAsia" w:asciiTheme="minorEastAsia" w:hAnsiTheme="minorEastAsia" w:eastAsiaTheme="minorEastAsia" w:cstheme="minorEastAsia"/>
          <w:sz w:val="21"/>
          <w:szCs w:val="21"/>
        </w:rPr>
        <w:t>免费质保，终身保修服务。我公司承诺所有设备免费送至采购人指定地点。</w:t>
      </w:r>
    </w:p>
    <w:p>
      <w:pPr>
        <w:pStyle w:val="2"/>
        <w:ind w:firstLine="211" w:firstLineChars="100"/>
        <w:rPr>
          <w:rFonts w:hint="eastAsia" w:asciiTheme="minorEastAsia" w:hAnsiTheme="minorEastAsia" w:eastAsiaTheme="minorEastAsia" w:cstheme="minorEastAsia"/>
          <w:lang w:eastAsia="zh-CN"/>
        </w:rPr>
      </w:pPr>
      <w:r>
        <w:rPr>
          <w:rFonts w:hint="eastAsia" w:asciiTheme="minorEastAsia" w:hAnsiTheme="minorEastAsia" w:eastAsiaTheme="minorEastAsia" w:cstheme="minorEastAsia"/>
          <w:b/>
          <w:bCs/>
          <w:sz w:val="21"/>
          <w:szCs w:val="21"/>
          <w:lang w:eastAsia="zh-CN"/>
        </w:rPr>
        <w:t>我公司郑重承诺</w:t>
      </w:r>
      <w:r>
        <w:rPr>
          <w:rFonts w:hint="eastAsia" w:asciiTheme="minorEastAsia" w:hAnsiTheme="minorEastAsia" w:eastAsiaTheme="minorEastAsia" w:cstheme="minorEastAsia"/>
          <w:b/>
          <w:bCs/>
          <w:sz w:val="21"/>
          <w:szCs w:val="21"/>
        </w:rPr>
        <w:t>软件产品</w:t>
      </w:r>
      <w:r>
        <w:rPr>
          <w:rFonts w:hint="eastAsia" w:asciiTheme="minorEastAsia" w:hAnsiTheme="minorEastAsia" w:eastAsiaTheme="minorEastAsia" w:cstheme="minorEastAsia"/>
          <w:b/>
          <w:bCs/>
          <w:sz w:val="21"/>
          <w:szCs w:val="21"/>
          <w:lang w:eastAsia="zh-CN"/>
        </w:rPr>
        <w:t>提供</w:t>
      </w:r>
      <w:r>
        <w:rPr>
          <w:rFonts w:hint="eastAsia" w:asciiTheme="minorEastAsia" w:hAnsiTheme="minorEastAsia" w:cstheme="minorEastAsia"/>
          <w:b/>
          <w:bCs/>
          <w:sz w:val="21"/>
          <w:szCs w:val="21"/>
          <w:u w:val="single"/>
          <w:lang w:val="en-US" w:eastAsia="zh-CN"/>
        </w:rPr>
        <w:t>3</w:t>
      </w:r>
      <w:r>
        <w:rPr>
          <w:rFonts w:hint="eastAsia" w:asciiTheme="minorEastAsia" w:hAnsiTheme="minorEastAsia" w:eastAsiaTheme="minorEastAsia" w:cstheme="minorEastAsia"/>
          <w:b/>
          <w:bCs/>
          <w:sz w:val="21"/>
          <w:szCs w:val="21"/>
          <w:u w:val="single"/>
        </w:rPr>
        <w:t>年</w:t>
      </w:r>
      <w:r>
        <w:rPr>
          <w:rFonts w:hint="eastAsia" w:asciiTheme="minorEastAsia" w:hAnsiTheme="minorEastAsia" w:eastAsiaTheme="minorEastAsia" w:cstheme="minorEastAsia"/>
          <w:b/>
          <w:bCs/>
          <w:sz w:val="21"/>
          <w:szCs w:val="21"/>
        </w:rPr>
        <w:t>课程师资培训和教学现场跟踪服务，并提供</w:t>
      </w:r>
      <w:r>
        <w:rPr>
          <w:rFonts w:hint="eastAsia" w:asciiTheme="minorEastAsia" w:hAnsiTheme="minorEastAsia" w:eastAsiaTheme="minorEastAsia" w:cstheme="minorEastAsia"/>
          <w:b/>
          <w:bCs/>
          <w:sz w:val="21"/>
          <w:szCs w:val="21"/>
          <w:u w:val="single"/>
          <w:lang w:val="en-US" w:eastAsia="zh-CN"/>
        </w:rPr>
        <w:t>4</w:t>
      </w:r>
      <w:r>
        <w:rPr>
          <w:rFonts w:hint="eastAsia" w:asciiTheme="minorEastAsia" w:hAnsiTheme="minorEastAsia" w:eastAsiaTheme="minorEastAsia" w:cstheme="minorEastAsia"/>
          <w:b/>
          <w:bCs/>
          <w:sz w:val="21"/>
          <w:szCs w:val="21"/>
          <w:u w:val="single"/>
        </w:rPr>
        <w:t>年</w:t>
      </w:r>
      <w:r>
        <w:rPr>
          <w:rFonts w:hint="eastAsia" w:asciiTheme="minorEastAsia" w:hAnsiTheme="minorEastAsia" w:eastAsiaTheme="minorEastAsia" w:cstheme="minorEastAsia"/>
          <w:b/>
          <w:bCs/>
          <w:sz w:val="21"/>
          <w:szCs w:val="21"/>
        </w:rPr>
        <w:t>软件免费升级服务</w:t>
      </w:r>
      <w:r>
        <w:rPr>
          <w:rFonts w:hint="eastAsia" w:asciiTheme="minorEastAsia" w:hAnsiTheme="minorEastAsia" w:eastAsiaTheme="minorEastAsia" w:cstheme="minorEastAsia"/>
          <w:b/>
          <w:bCs/>
          <w:sz w:val="21"/>
          <w:szCs w:val="21"/>
          <w:lang w:eastAsia="zh-CN"/>
        </w:rPr>
        <w:t>。</w:t>
      </w:r>
      <w:r>
        <w:rPr>
          <w:rFonts w:hint="eastAsia" w:asciiTheme="minorEastAsia" w:hAnsiTheme="minorEastAsia" w:eastAsiaTheme="minorEastAsia" w:cstheme="minorEastAsia"/>
          <w:b/>
          <w:bCs/>
          <w:lang w:eastAsia="zh-CN"/>
        </w:rPr>
        <w:t>本次项目的报价未超出预算金额。</w:t>
      </w:r>
    </w:p>
    <w:p>
      <w:pPr>
        <w:spacing w:line="360" w:lineRule="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 xml:space="preserve">   </w:t>
      </w:r>
      <w:r>
        <w:rPr>
          <w:rFonts w:hint="eastAsia" w:asciiTheme="minorEastAsia" w:hAnsiTheme="minorEastAsia" w:eastAsiaTheme="minorEastAsia" w:cstheme="minorEastAsia"/>
          <w:b/>
          <w:bCs/>
          <w:sz w:val="21"/>
          <w:szCs w:val="21"/>
        </w:rPr>
        <w:t xml:space="preserve"> 2、维修响应时间：</w:t>
      </w:r>
    </w:p>
    <w:p>
      <w:pPr>
        <w:spacing w:line="360" w:lineRule="auto"/>
        <w:ind w:firstLine="48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 xml:space="preserve">本次招标供货有效期内所提供的所有产品，非人为损坏出现问题，我单位在接到正式通知后 </w:t>
      </w:r>
      <w:r>
        <w:rPr>
          <w:rFonts w:hint="eastAsia" w:asciiTheme="minorEastAsia" w:hAnsiTheme="minorEastAsia" w:eastAsiaTheme="minorEastAsia" w:cstheme="minorEastAsia"/>
          <w:b/>
          <w:bCs/>
          <w:sz w:val="21"/>
          <w:szCs w:val="21"/>
          <w:u w:val="single"/>
        </w:rPr>
        <w:t xml:space="preserve"> 2 </w:t>
      </w:r>
      <w:r>
        <w:rPr>
          <w:rFonts w:hint="eastAsia" w:asciiTheme="minorEastAsia" w:hAnsiTheme="minorEastAsia" w:eastAsiaTheme="minorEastAsia" w:cstheme="minorEastAsia"/>
          <w:sz w:val="21"/>
          <w:szCs w:val="21"/>
        </w:rPr>
        <w:t>小时内响应，</w:t>
      </w:r>
      <w:r>
        <w:rPr>
          <w:rFonts w:hint="eastAsia" w:asciiTheme="minorEastAsia" w:hAnsiTheme="minorEastAsia" w:eastAsiaTheme="minorEastAsia" w:cstheme="minorEastAsia"/>
          <w:b/>
          <w:bCs/>
          <w:sz w:val="21"/>
          <w:szCs w:val="21"/>
          <w:u w:val="single"/>
        </w:rPr>
        <w:t>8</w:t>
      </w:r>
      <w:r>
        <w:rPr>
          <w:rFonts w:hint="eastAsia" w:asciiTheme="minorEastAsia" w:hAnsiTheme="minorEastAsia" w:eastAsiaTheme="minorEastAsia" w:cstheme="minorEastAsia"/>
          <w:sz w:val="21"/>
          <w:szCs w:val="21"/>
        </w:rPr>
        <w:t>小时内到达现场进行检修，解决问题时间不超过</w:t>
      </w:r>
      <w:r>
        <w:rPr>
          <w:rFonts w:hint="eastAsia" w:asciiTheme="minorEastAsia" w:hAnsiTheme="minorEastAsia" w:eastAsiaTheme="minorEastAsia" w:cstheme="minorEastAsia"/>
          <w:b/>
          <w:bCs/>
          <w:sz w:val="21"/>
          <w:szCs w:val="21"/>
          <w:u w:val="single"/>
        </w:rPr>
        <w:t>12</w:t>
      </w:r>
      <w:r>
        <w:rPr>
          <w:rFonts w:hint="eastAsia" w:asciiTheme="minorEastAsia" w:hAnsiTheme="minorEastAsia" w:eastAsiaTheme="minorEastAsia" w:cstheme="minorEastAsia"/>
          <w:sz w:val="21"/>
          <w:szCs w:val="21"/>
        </w:rPr>
        <w:t>小时（特殊情况另行商议）。若不能在上述承诺的时间内解决问题，则在</w:t>
      </w:r>
      <w:r>
        <w:rPr>
          <w:rFonts w:hint="eastAsia" w:asciiTheme="minorEastAsia" w:hAnsiTheme="minorEastAsia" w:eastAsiaTheme="minorEastAsia" w:cstheme="minorEastAsia"/>
          <w:b/>
          <w:bCs/>
          <w:sz w:val="21"/>
          <w:szCs w:val="21"/>
          <w:u w:val="single"/>
        </w:rPr>
        <w:t>12</w:t>
      </w:r>
      <w:r>
        <w:rPr>
          <w:rFonts w:hint="eastAsia" w:asciiTheme="minorEastAsia" w:hAnsiTheme="minorEastAsia" w:eastAsiaTheme="minorEastAsia" w:cstheme="minorEastAsia"/>
          <w:sz w:val="21"/>
          <w:szCs w:val="21"/>
        </w:rPr>
        <w:t>小时内提供与原问题产品同品牌规格型号的全新产品服务，直到原产品修复，期间产生的所有费用均有我单位承担。原设备修复后的质保期限相应延长至新的保修期截止日，全新产品在使用期间的质保及售后均按上述承诺执行。</w:t>
      </w:r>
    </w:p>
    <w:p>
      <w:pPr>
        <w:spacing w:line="360" w:lineRule="auto"/>
        <w:ind w:firstLine="420"/>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b/>
          <w:bCs/>
          <w:sz w:val="21"/>
          <w:szCs w:val="21"/>
        </w:rPr>
        <w:t>3、售后维修地址：</w:t>
      </w:r>
    </w:p>
    <w:p>
      <w:pPr>
        <w:spacing w:line="360" w:lineRule="auto"/>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维修单位名称：郑州京慧越科技有限公司</w:t>
      </w:r>
    </w:p>
    <w:p>
      <w:pPr>
        <w:spacing w:line="360" w:lineRule="auto"/>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售后服务地点：郑州市金水区玉凤路南浦国际金融中心15楼013房</w:t>
      </w:r>
    </w:p>
    <w:p>
      <w:pPr>
        <w:spacing w:line="360" w:lineRule="auto"/>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联系人：王东东  17739791616</w:t>
      </w:r>
    </w:p>
    <w:p>
      <w:pPr>
        <w:spacing w:line="360" w:lineRule="auto"/>
        <w:ind w:firstLine="420" w:firstLineChars="200"/>
        <w:rPr>
          <w:rFonts w:hint="eastAsia" w:asciiTheme="minorEastAsia" w:hAnsiTheme="minorEastAsia" w:eastAsiaTheme="minorEastAsia" w:cstheme="minorEastAsia"/>
          <w:sz w:val="21"/>
          <w:szCs w:val="21"/>
          <w:u w:val="none"/>
        </w:rPr>
      </w:pPr>
      <w:r>
        <w:rPr>
          <w:rFonts w:hint="eastAsia" w:asciiTheme="minorEastAsia" w:hAnsiTheme="minorEastAsia" w:eastAsiaTheme="minorEastAsia" w:cstheme="minorEastAsia"/>
          <w:sz w:val="21"/>
          <w:szCs w:val="21"/>
          <w:u w:val="none"/>
        </w:rPr>
        <w:t>从事售后服务方面技术服务4年以上</w:t>
      </w:r>
    </w:p>
    <w:p>
      <w:pPr>
        <w:spacing w:line="360" w:lineRule="auto"/>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职称：主任工程师</w:t>
      </w:r>
    </w:p>
    <w:p>
      <w:pPr>
        <w:spacing w:line="360" w:lineRule="auto"/>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技术服务部经理：康晓利</w:t>
      </w:r>
    </w:p>
    <w:p>
      <w:pPr>
        <w:spacing w:line="360" w:lineRule="auto"/>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u w:val="none"/>
        </w:rPr>
        <w:t>从事软件开发工作3年，从事软件培训业务4年。</w:t>
      </w:r>
    </w:p>
    <w:p>
      <w:pPr>
        <w:spacing w:line="360" w:lineRule="auto"/>
        <w:ind w:firstLine="420" w:firstLineChars="20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联系电话：15537425498</w:t>
      </w:r>
    </w:p>
    <w:p>
      <w:pPr>
        <w:spacing w:line="360" w:lineRule="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 xml:space="preserve">   </w:t>
      </w:r>
      <w:r>
        <w:rPr>
          <w:rFonts w:hint="eastAsia" w:asciiTheme="minorEastAsia" w:hAnsiTheme="minorEastAsia" w:eastAsiaTheme="minorEastAsia" w:cstheme="minorEastAsia"/>
          <w:b/>
          <w:bCs/>
          <w:sz w:val="21"/>
          <w:szCs w:val="21"/>
        </w:rPr>
        <w:t xml:space="preserve"> 4、供货安装及技术培训：</w:t>
      </w:r>
    </w:p>
    <w:p>
      <w:pPr>
        <w:spacing w:line="360" w:lineRule="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 xml:space="preserve">    4.1、我公司将组织由系统厂家认证的工程师2人，负责对所售系统的安装、调试；所有费用均包含在本次投标总报价中。</w:t>
      </w:r>
    </w:p>
    <w:p>
      <w:pPr>
        <w:spacing w:line="360" w:lineRule="auto"/>
        <w:ind w:firstLine="42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4.2、在完成安装、调试、后，向用户提供技术手册，提供中文版的技术资料（包括操作手册、使用说明、安装手册、等）。验收的技术标准达到制造（生产）厂商表明的技术指标，个别不能测试的指标另作详细的文字说明。检测的标准依据国家有关规定执行。</w:t>
      </w:r>
    </w:p>
    <w:p>
      <w:pPr>
        <w:spacing w:line="360" w:lineRule="auto"/>
        <w:ind w:firstLine="420"/>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sz w:val="21"/>
          <w:szCs w:val="21"/>
        </w:rPr>
        <w:t>4.3</w:t>
      </w:r>
      <w:r>
        <w:rPr>
          <w:rFonts w:hint="eastAsia" w:asciiTheme="minorEastAsia" w:hAnsiTheme="minorEastAsia" w:cstheme="minorEastAsia"/>
          <w:b w:val="0"/>
          <w:bCs w:val="0"/>
          <w:sz w:val="21"/>
          <w:szCs w:val="21"/>
          <w:lang w:eastAsia="zh-CN"/>
        </w:rPr>
        <w:t>、</w:t>
      </w:r>
      <w:r>
        <w:rPr>
          <w:rFonts w:hint="eastAsia" w:asciiTheme="minorEastAsia" w:hAnsiTheme="minorEastAsia" w:eastAsiaTheme="minorEastAsia" w:cstheme="minorEastAsia"/>
          <w:b w:val="0"/>
          <w:bCs w:val="0"/>
          <w:sz w:val="21"/>
          <w:szCs w:val="21"/>
        </w:rPr>
        <w:t>人员培训计划：</w:t>
      </w:r>
      <w:r>
        <w:rPr>
          <w:rFonts w:hint="eastAsia" w:asciiTheme="minorEastAsia" w:hAnsiTheme="minorEastAsia" w:eastAsiaTheme="minorEastAsia" w:cstheme="minorEastAsia"/>
          <w:b/>
          <w:bCs/>
          <w:sz w:val="21"/>
          <w:szCs w:val="21"/>
        </w:rPr>
        <w:t xml:space="preserve"> </w:t>
      </w:r>
    </w:p>
    <w:p>
      <w:pPr>
        <w:spacing w:line="360" w:lineRule="auto"/>
        <w:ind w:firstLine="42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 xml:space="preserve">按所投标产品厂家的技术要求进行服务，我方提出培训计划和安排。   </w:t>
      </w:r>
    </w:p>
    <w:p>
      <w:pPr>
        <w:spacing w:line="360" w:lineRule="auto"/>
        <w:ind w:firstLine="42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（1）所有项目软件设备正常运行验收后，免费培训使用人员，人数不计，维修人员1人，使培训人员达到熟练掌握、灵活运用的程度，并提供原厂家使用说明书1套。</w:t>
      </w:r>
    </w:p>
    <w:p>
      <w:pPr>
        <w:spacing w:line="360" w:lineRule="auto"/>
        <w:ind w:firstLine="42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（2）在完成安装、调试技术手册，并提供完整版的技术资料。</w:t>
      </w:r>
    </w:p>
    <w:p>
      <w:pPr>
        <w:spacing w:line="360" w:lineRule="auto"/>
        <w:ind w:firstLine="42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（3）我公司会提供培训的详细计划和教师讲解和说明；</w:t>
      </w:r>
    </w:p>
    <w:p>
      <w:pPr>
        <w:spacing w:line="360" w:lineRule="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 xml:space="preserve">     4.4、项目所提供的其它免费物品或服务：</w:t>
      </w:r>
    </w:p>
    <w:p>
      <w:pPr>
        <w:spacing w:line="360" w:lineRule="auto"/>
        <w:ind w:firstLine="422" w:firstLineChars="200"/>
        <w:rPr>
          <w:rFonts w:hint="eastAsia" w:asciiTheme="minorEastAsia" w:hAnsiTheme="minorEastAsia" w:eastAsiaTheme="minorEastAsia" w:cstheme="minorEastAsia"/>
          <w:b/>
          <w:bCs/>
          <w:sz w:val="21"/>
          <w:szCs w:val="21"/>
          <w:u w:val="single"/>
        </w:rPr>
      </w:pPr>
      <w:r>
        <w:rPr>
          <w:rFonts w:hint="eastAsia" w:asciiTheme="minorEastAsia" w:hAnsiTheme="minorEastAsia" w:eastAsiaTheme="minorEastAsia" w:cstheme="minorEastAsia"/>
          <w:b/>
          <w:bCs/>
          <w:sz w:val="21"/>
          <w:szCs w:val="21"/>
          <w:u w:val="single"/>
        </w:rPr>
        <w:t>A）在质保期内对用户老师不计次数，每年不少于2次培训。</w:t>
      </w:r>
    </w:p>
    <w:p>
      <w:pPr>
        <w:spacing w:line="360" w:lineRule="auto"/>
        <w:ind w:firstLine="422" w:firstLineChars="200"/>
        <w:rPr>
          <w:rFonts w:hint="eastAsia" w:asciiTheme="minorEastAsia" w:hAnsiTheme="minorEastAsia" w:eastAsiaTheme="minorEastAsia" w:cstheme="minorEastAsia"/>
          <w:b/>
          <w:bCs/>
          <w:sz w:val="21"/>
          <w:szCs w:val="21"/>
          <w:u w:val="single"/>
        </w:rPr>
      </w:pPr>
      <w:r>
        <w:rPr>
          <w:rFonts w:hint="eastAsia" w:asciiTheme="minorEastAsia" w:hAnsiTheme="minorEastAsia" w:eastAsiaTheme="minorEastAsia" w:cstheme="minorEastAsia"/>
          <w:b/>
          <w:bCs/>
          <w:sz w:val="21"/>
          <w:szCs w:val="21"/>
          <w:u w:val="single"/>
        </w:rPr>
        <w:t>B)免费提供电子商务省赛、国赛集中训练指导。</w:t>
      </w:r>
    </w:p>
    <w:p>
      <w:pPr>
        <w:spacing w:line="360" w:lineRule="auto"/>
        <w:ind w:firstLine="422" w:firstLineChars="200"/>
        <w:rPr>
          <w:rFonts w:hint="eastAsia" w:asciiTheme="minorEastAsia" w:hAnsiTheme="minorEastAsia" w:eastAsiaTheme="minorEastAsia" w:cstheme="minorEastAsia"/>
          <w:b/>
          <w:bCs/>
          <w:sz w:val="21"/>
          <w:szCs w:val="21"/>
          <w:u w:val="single"/>
        </w:rPr>
      </w:pPr>
      <w:r>
        <w:rPr>
          <w:rFonts w:hint="eastAsia" w:asciiTheme="minorEastAsia" w:hAnsiTheme="minorEastAsia" w:eastAsiaTheme="minorEastAsia" w:cstheme="minorEastAsia"/>
          <w:b/>
          <w:bCs/>
          <w:sz w:val="21"/>
          <w:szCs w:val="21"/>
          <w:u w:val="single"/>
        </w:rPr>
        <w:t>C)免费为毕业学生提供岗前实训，推荐就业渠道，以保证就业质量。</w:t>
      </w:r>
    </w:p>
    <w:p>
      <w:pPr>
        <w:spacing w:line="360" w:lineRule="auto"/>
        <w:ind w:firstLine="422" w:firstLineChars="200"/>
        <w:rPr>
          <w:rFonts w:hint="eastAsia" w:asciiTheme="minorEastAsia" w:hAnsiTheme="minorEastAsia" w:eastAsiaTheme="minorEastAsia" w:cstheme="minorEastAsia"/>
          <w:b/>
          <w:bCs/>
          <w:sz w:val="21"/>
          <w:szCs w:val="21"/>
          <w:u w:val="single"/>
        </w:rPr>
      </w:pPr>
      <w:r>
        <w:rPr>
          <w:rFonts w:hint="eastAsia" w:asciiTheme="minorEastAsia" w:hAnsiTheme="minorEastAsia" w:eastAsiaTheme="minorEastAsia" w:cstheme="minorEastAsia"/>
          <w:b/>
          <w:bCs/>
          <w:sz w:val="21"/>
          <w:szCs w:val="21"/>
          <w:u w:val="single"/>
        </w:rPr>
        <w:t>D)免费为院校提供知名电子商务企业入驻校园。</w:t>
      </w:r>
    </w:p>
    <w:p>
      <w:pPr>
        <w:spacing w:line="360" w:lineRule="auto"/>
        <w:ind w:firstLine="422" w:firstLineChars="200"/>
        <w:rPr>
          <w:rFonts w:hint="eastAsia" w:asciiTheme="minorEastAsia" w:hAnsiTheme="minorEastAsia" w:eastAsiaTheme="minorEastAsia" w:cstheme="minorEastAsia"/>
          <w:sz w:val="21"/>
          <w:szCs w:val="21"/>
          <w:u w:val="single"/>
        </w:rPr>
      </w:pPr>
      <w:r>
        <w:rPr>
          <w:rFonts w:hint="eastAsia" w:asciiTheme="minorEastAsia" w:hAnsiTheme="minorEastAsia" w:eastAsiaTheme="minorEastAsia" w:cstheme="minorEastAsia"/>
          <w:b/>
          <w:bCs/>
          <w:sz w:val="21"/>
          <w:szCs w:val="21"/>
          <w:u w:val="single"/>
        </w:rPr>
        <w:t>E)免费提供课程体系改革和学生实训。</w:t>
      </w:r>
    </w:p>
    <w:p>
      <w:pPr>
        <w:spacing w:line="360" w:lineRule="auto"/>
        <w:rPr>
          <w:rFonts w:hint="eastAsia" w:asciiTheme="minorEastAsia" w:hAnsiTheme="minorEastAsia" w:eastAsiaTheme="minorEastAsia" w:cstheme="minorEastAsia"/>
          <w:sz w:val="21"/>
          <w:szCs w:val="21"/>
          <w:u w:val="single"/>
        </w:rPr>
      </w:pPr>
      <w:r>
        <w:rPr>
          <w:rFonts w:hint="eastAsia" w:asciiTheme="minorEastAsia" w:hAnsiTheme="minorEastAsia" w:eastAsiaTheme="minorEastAsia" w:cstheme="minorEastAsia"/>
          <w:sz w:val="21"/>
          <w:szCs w:val="21"/>
        </w:rPr>
        <w:t xml:space="preserve">     4.5、技术人员情况：</w:t>
      </w:r>
      <w:r>
        <w:rPr>
          <w:rFonts w:hint="eastAsia" w:asciiTheme="minorEastAsia" w:hAnsiTheme="minorEastAsia" w:eastAsiaTheme="minorEastAsia" w:cstheme="minorEastAsia"/>
          <w:sz w:val="21"/>
          <w:szCs w:val="21"/>
          <w:u w:val="single"/>
        </w:rPr>
        <w:t xml:space="preserve">具有专业证书，具备多年经验 </w:t>
      </w:r>
      <w:r>
        <w:rPr>
          <w:rFonts w:hint="eastAsia" w:asciiTheme="minorEastAsia" w:hAnsiTheme="minorEastAsia" w:eastAsiaTheme="minorEastAsia" w:cstheme="minorEastAsia"/>
          <w:sz w:val="21"/>
          <w:szCs w:val="21"/>
        </w:rPr>
        <w:t>；</w:t>
      </w:r>
    </w:p>
    <w:p>
      <w:pPr>
        <w:tabs>
          <w:tab w:val="left" w:pos="2957"/>
        </w:tabs>
        <w:spacing w:line="360" w:lineRule="auto"/>
        <w:rPr>
          <w:rFonts w:hint="eastAsia" w:ascii="宋体" w:hAnsi="宋体" w:eastAsia="宋体" w:cs="宋体"/>
          <w:sz w:val="21"/>
          <w:szCs w:val="21"/>
        </w:rPr>
      </w:pPr>
      <w:r>
        <w:rPr>
          <w:rFonts w:hint="eastAsia" w:ascii="宋体" w:hAnsi="宋体" w:eastAsia="宋体" w:cs="宋体"/>
          <w:sz w:val="21"/>
          <w:szCs w:val="21"/>
        </w:rPr>
        <w:t xml:space="preserve">   </w:t>
      </w:r>
      <w:r>
        <w:rPr>
          <w:rFonts w:hint="eastAsia" w:ascii="宋体" w:hAnsi="宋体" w:eastAsia="宋体" w:cs="宋体"/>
          <w:b/>
          <w:bCs/>
          <w:sz w:val="21"/>
          <w:szCs w:val="21"/>
        </w:rPr>
        <w:t xml:space="preserve"> 5、定期巡检：</w:t>
      </w:r>
      <w:r>
        <w:rPr>
          <w:rFonts w:hint="eastAsia" w:ascii="宋体" w:hAnsi="宋体" w:eastAsia="宋体" w:cs="宋体"/>
          <w:b/>
          <w:bCs/>
          <w:sz w:val="21"/>
          <w:szCs w:val="21"/>
        </w:rPr>
        <w:tab/>
      </w:r>
    </w:p>
    <w:p>
      <w:pPr>
        <w:spacing w:line="360" w:lineRule="auto"/>
        <w:ind w:firstLine="420"/>
        <w:rPr>
          <w:rFonts w:hint="eastAsia" w:ascii="宋体" w:hAnsi="宋体" w:eastAsia="宋体" w:cs="宋体"/>
          <w:sz w:val="21"/>
          <w:szCs w:val="21"/>
        </w:rPr>
      </w:pPr>
      <w:r>
        <w:rPr>
          <w:rFonts w:hint="eastAsia" w:ascii="宋体" w:hAnsi="宋体" w:eastAsia="宋体" w:cs="宋体"/>
          <w:sz w:val="21"/>
          <w:szCs w:val="21"/>
        </w:rPr>
        <w:t>我公司技术人员对所售软件产品定期回访，免费进行系统的维护及升级服务，使软件产品使用率达到最大化，每年不少于2次上门免费大保养服务，包括寒暑假。</w:t>
      </w:r>
    </w:p>
    <w:p>
      <w:pPr>
        <w:numPr>
          <w:ilvl w:val="0"/>
          <w:numId w:val="1"/>
        </w:numPr>
        <w:spacing w:line="360" w:lineRule="auto"/>
        <w:ind w:firstLine="420"/>
        <w:rPr>
          <w:rFonts w:hint="eastAsia" w:ascii="宋体" w:hAnsi="宋体" w:eastAsia="宋体" w:cs="宋体"/>
          <w:b/>
          <w:bCs/>
          <w:sz w:val="21"/>
          <w:szCs w:val="21"/>
        </w:rPr>
      </w:pPr>
      <w:r>
        <w:rPr>
          <w:rFonts w:hint="eastAsia" w:ascii="宋体" w:hAnsi="宋体" w:eastAsia="宋体" w:cs="宋体"/>
          <w:b/>
          <w:bCs/>
          <w:sz w:val="21"/>
          <w:szCs w:val="21"/>
        </w:rPr>
        <w:t>我公司承诺对发现的软件故障和存在的缺陷时，我方会及时修正，并在最短的时间内为用户提供免费的系统升级服务。</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22" w:firstLineChars="200"/>
        <w:textAlignment w:val="auto"/>
        <w:rPr>
          <w:rFonts w:hint="eastAsia" w:ascii="宋体" w:hAnsi="宋体" w:eastAsia="宋体" w:cs="宋体"/>
          <w:b/>
          <w:bCs/>
          <w:sz w:val="21"/>
          <w:szCs w:val="21"/>
        </w:rPr>
      </w:pPr>
      <w:r>
        <w:rPr>
          <w:rFonts w:hint="eastAsia" w:ascii="宋体" w:hAnsi="宋体" w:eastAsia="宋体" w:cs="宋体"/>
          <w:b/>
          <w:bCs/>
          <w:sz w:val="21"/>
          <w:szCs w:val="21"/>
          <w:lang w:val="en-US" w:eastAsia="zh-CN"/>
        </w:rPr>
        <w:t>7、</w:t>
      </w:r>
      <w:r>
        <w:rPr>
          <w:rFonts w:hint="eastAsia" w:ascii="宋体" w:hAnsi="宋体" w:eastAsia="宋体" w:cs="宋体"/>
          <w:b/>
          <w:bCs/>
          <w:sz w:val="21"/>
          <w:szCs w:val="21"/>
        </w:rPr>
        <w:t>质保期过后的售后服务计划及收费明细：</w:t>
      </w:r>
    </w:p>
    <w:p>
      <w:pPr>
        <w:spacing w:line="360" w:lineRule="auto"/>
        <w:ind w:firstLine="420"/>
        <w:rPr>
          <w:rFonts w:hint="eastAsia" w:ascii="宋体" w:hAnsi="宋体" w:eastAsia="宋体" w:cs="宋体"/>
          <w:sz w:val="21"/>
          <w:szCs w:val="21"/>
        </w:rPr>
      </w:pPr>
      <w:r>
        <w:rPr>
          <w:rFonts w:hint="eastAsia" w:ascii="宋体" w:hAnsi="宋体" w:eastAsia="宋体" w:cs="宋体"/>
          <w:sz w:val="21"/>
          <w:szCs w:val="21"/>
        </w:rPr>
        <w:t>7.1、每一学期不少于2次主动上门保养服务。</w:t>
      </w:r>
    </w:p>
    <w:p>
      <w:pPr>
        <w:spacing w:line="360" w:lineRule="auto"/>
        <w:ind w:firstLine="420"/>
        <w:rPr>
          <w:rFonts w:hint="eastAsia" w:ascii="宋体" w:hAnsi="宋体" w:eastAsia="宋体" w:cs="宋体"/>
          <w:sz w:val="21"/>
          <w:szCs w:val="21"/>
        </w:rPr>
      </w:pPr>
      <w:r>
        <w:rPr>
          <w:rFonts w:hint="eastAsia" w:ascii="宋体" w:hAnsi="宋体" w:eastAsia="宋体" w:cs="宋体"/>
          <w:sz w:val="21"/>
          <w:szCs w:val="21"/>
        </w:rPr>
        <w:t>7.2、质保期后硬件优惠升级，软件免费升级。质保期过后保证长期提供零备件和维修服务。</w:t>
      </w:r>
    </w:p>
    <w:p>
      <w:pPr>
        <w:spacing w:line="360" w:lineRule="auto"/>
        <w:ind w:firstLine="420"/>
        <w:rPr>
          <w:rFonts w:hint="eastAsia" w:ascii="宋体" w:hAnsi="宋体" w:eastAsia="宋体" w:cs="宋体"/>
          <w:sz w:val="21"/>
          <w:szCs w:val="21"/>
        </w:rPr>
      </w:pPr>
      <w:r>
        <w:rPr>
          <w:rFonts w:hint="eastAsia" w:ascii="宋体" w:hAnsi="宋体" w:eastAsia="宋体" w:cs="宋体"/>
          <w:sz w:val="21"/>
          <w:szCs w:val="21"/>
        </w:rPr>
        <w:t>7.3、保修期外的维护服务收费标准收取损坏部件的成本费，保证用户享受最大优惠的售后服务。</w:t>
      </w:r>
    </w:p>
    <w:p>
      <w:pPr>
        <w:spacing w:line="360" w:lineRule="auto"/>
        <w:ind w:firstLine="420"/>
        <w:rPr>
          <w:rFonts w:hint="eastAsia" w:ascii="宋体" w:hAnsi="宋体" w:eastAsia="宋体" w:cs="宋体"/>
          <w:b/>
          <w:bCs/>
          <w:sz w:val="21"/>
          <w:szCs w:val="21"/>
        </w:rPr>
      </w:pPr>
      <w:r>
        <w:rPr>
          <w:rFonts w:hint="eastAsia" w:ascii="宋体" w:hAnsi="宋体" w:eastAsia="宋体" w:cs="宋体"/>
          <w:b/>
          <w:bCs/>
          <w:sz w:val="21"/>
          <w:szCs w:val="21"/>
        </w:rPr>
        <w:t>8、质量保障体系</w:t>
      </w:r>
    </w:p>
    <w:p>
      <w:pPr>
        <w:spacing w:line="360" w:lineRule="auto"/>
        <w:ind w:firstLine="420"/>
        <w:rPr>
          <w:rFonts w:hint="eastAsia" w:ascii="宋体" w:hAnsi="宋体" w:eastAsia="宋体" w:cs="宋体"/>
          <w:sz w:val="21"/>
          <w:szCs w:val="21"/>
        </w:rPr>
      </w:pPr>
      <w:r>
        <w:rPr>
          <w:rFonts w:hint="eastAsia" w:ascii="宋体" w:hAnsi="宋体" w:eastAsia="宋体" w:cs="宋体"/>
          <w:sz w:val="21"/>
          <w:szCs w:val="21"/>
        </w:rPr>
        <w:t>8.1、质量保证体系</w:t>
      </w:r>
    </w:p>
    <w:p>
      <w:pPr>
        <w:spacing w:line="360" w:lineRule="auto"/>
        <w:ind w:firstLine="420"/>
        <w:rPr>
          <w:rFonts w:hint="eastAsia" w:ascii="宋体" w:hAnsi="宋体" w:eastAsia="宋体" w:cs="宋体"/>
          <w:sz w:val="21"/>
          <w:szCs w:val="21"/>
        </w:rPr>
      </w:pPr>
      <w:r>
        <w:rPr>
          <w:rFonts w:hint="eastAsia" w:ascii="宋体" w:hAnsi="宋体" w:eastAsia="宋体" w:cs="宋体"/>
          <w:sz w:val="21"/>
          <w:szCs w:val="21"/>
        </w:rPr>
        <w:t>我公司按照ISO9001国际质量管理标准建立了产品质量保证体系并不断完善企业的各项质量管理工作。</w:t>
      </w:r>
    </w:p>
    <w:p>
      <w:pPr>
        <w:spacing w:line="360" w:lineRule="auto"/>
        <w:ind w:firstLine="420"/>
        <w:rPr>
          <w:rFonts w:hint="eastAsia" w:ascii="宋体" w:hAnsi="宋体" w:eastAsia="宋体" w:cs="宋体"/>
          <w:sz w:val="21"/>
          <w:szCs w:val="21"/>
        </w:rPr>
      </w:pPr>
      <w:r>
        <w:rPr>
          <w:rFonts w:hint="eastAsia" w:ascii="宋体" w:hAnsi="宋体" w:eastAsia="宋体" w:cs="宋体"/>
          <w:sz w:val="21"/>
          <w:szCs w:val="21"/>
        </w:rPr>
        <w:t>8.2、公司的质量管理机构</w:t>
      </w:r>
    </w:p>
    <w:p>
      <w:pPr>
        <w:spacing w:line="360" w:lineRule="auto"/>
        <w:ind w:firstLine="420"/>
        <w:rPr>
          <w:rFonts w:hint="eastAsia" w:ascii="宋体" w:hAnsi="宋体" w:eastAsia="宋体" w:cs="宋体"/>
          <w:sz w:val="21"/>
          <w:szCs w:val="21"/>
        </w:rPr>
      </w:pPr>
      <w:r>
        <w:rPr>
          <w:rFonts w:hint="eastAsia" w:ascii="宋体" w:hAnsi="宋体" w:eastAsia="宋体" w:cs="宋体"/>
          <w:sz w:val="21"/>
          <w:szCs w:val="21"/>
        </w:rPr>
        <w:t>郑州京慧越科技有限公司最高领导者是总经理，他亲自制定公司的经营方针、质量方针和质量目标，组织对质量体系进行评审，负责组织处理公司内外传递或反馈的重大质量信息。</w:t>
      </w:r>
    </w:p>
    <w:p>
      <w:pPr>
        <w:spacing w:line="360" w:lineRule="auto"/>
        <w:ind w:firstLine="420"/>
        <w:rPr>
          <w:rFonts w:hint="eastAsia" w:ascii="宋体" w:hAnsi="宋体" w:eastAsia="宋体" w:cs="宋体"/>
          <w:sz w:val="21"/>
          <w:szCs w:val="21"/>
        </w:rPr>
      </w:pPr>
      <w:r>
        <w:rPr>
          <w:rFonts w:hint="eastAsia" w:ascii="宋体" w:hAnsi="宋体" w:eastAsia="宋体" w:cs="宋体"/>
          <w:sz w:val="21"/>
          <w:szCs w:val="21"/>
        </w:rPr>
        <w:t>公司设立由总经理直接领导的综合性质量管理机构—质管办和专职检验机构—质检部；此二管理机构按GB/T19001标准的二十个质量要素分配落实质量职能，明确权限和职责，配备必要的资源。公司总经理另指定一名副总经理作为管理者代表，并按GB/T19001标准的规定明确了职责和权限。</w:t>
      </w:r>
    </w:p>
    <w:p>
      <w:pPr>
        <w:spacing w:line="360" w:lineRule="auto"/>
        <w:ind w:firstLine="420"/>
        <w:rPr>
          <w:rFonts w:hint="eastAsia" w:ascii="宋体" w:hAnsi="宋体" w:eastAsia="宋体" w:cs="宋体"/>
          <w:sz w:val="21"/>
          <w:szCs w:val="21"/>
        </w:rPr>
      </w:pPr>
      <w:r>
        <w:rPr>
          <w:rFonts w:hint="eastAsia" w:ascii="宋体" w:hAnsi="宋体" w:eastAsia="宋体" w:cs="宋体"/>
          <w:sz w:val="21"/>
          <w:szCs w:val="21"/>
        </w:rPr>
        <w:t>8.3、公司的质量体系的具体运作程式</w:t>
      </w:r>
    </w:p>
    <w:p>
      <w:pPr>
        <w:spacing w:line="360" w:lineRule="auto"/>
        <w:ind w:firstLine="420"/>
        <w:rPr>
          <w:rFonts w:hint="eastAsia" w:ascii="宋体" w:hAnsi="宋体" w:eastAsia="宋体" w:cs="宋体"/>
          <w:sz w:val="21"/>
          <w:szCs w:val="21"/>
        </w:rPr>
      </w:pPr>
      <w:r>
        <w:rPr>
          <w:rFonts w:hint="eastAsia" w:ascii="宋体" w:hAnsi="宋体" w:eastAsia="宋体" w:cs="宋体"/>
          <w:sz w:val="21"/>
          <w:szCs w:val="21"/>
        </w:rPr>
        <w:t>8.3.1、本公司的质量管理是按统一归口、分级管理的原则，建立以质管办为信息管理中心的质量信息管理系统。对来自企业内部和外部质量信息进行系统收集和处理。各部门能根据信息的准确性、重要性，及时记录，及时处理，及时传递，整改落实。并按反馈信息的要求，制定相应的管理办法。通过上述措施，公司建立健全了信息的收集、整理、分析、处理、反馈、储存的流程，实现了质量信息的闭环管理系统。</w:t>
      </w:r>
    </w:p>
    <w:p>
      <w:pPr>
        <w:spacing w:line="360" w:lineRule="auto"/>
        <w:ind w:firstLine="420"/>
        <w:rPr>
          <w:rFonts w:hint="eastAsia" w:ascii="宋体" w:hAnsi="宋体" w:eastAsia="宋体" w:cs="宋体"/>
          <w:sz w:val="21"/>
          <w:szCs w:val="21"/>
        </w:rPr>
      </w:pPr>
      <w:r>
        <w:rPr>
          <w:rFonts w:hint="eastAsia" w:ascii="宋体" w:hAnsi="宋体" w:eastAsia="宋体" w:cs="宋体"/>
          <w:sz w:val="21"/>
          <w:szCs w:val="21"/>
        </w:rPr>
        <w:t>8.3.2、公司从开发策划到设计确认的整个设计开发全过程，均按程序组织实施和进行控制。公司生产技术部门将产品的可靠性始终摆在设计开发的首要位置。从设计输入、设计评审到设计验证，都充分考虑可靠性的要求。</w:t>
      </w:r>
    </w:p>
    <w:p>
      <w:pPr>
        <w:spacing w:line="360" w:lineRule="auto"/>
        <w:ind w:firstLine="420"/>
        <w:rPr>
          <w:rFonts w:hint="eastAsia" w:ascii="宋体" w:hAnsi="宋体" w:eastAsia="宋体" w:cs="宋体"/>
          <w:sz w:val="21"/>
          <w:szCs w:val="21"/>
        </w:rPr>
      </w:pPr>
      <w:r>
        <w:rPr>
          <w:rFonts w:hint="eastAsia" w:ascii="宋体" w:hAnsi="宋体" w:eastAsia="宋体" w:cs="宋体"/>
          <w:sz w:val="21"/>
          <w:szCs w:val="21"/>
        </w:rPr>
        <w:t>8.3.3、公司建立和实施《采购控制程序》，由供销部提出《外购外协件重要度分级表》，将各类外购外协件的重要程序分为A、B、C三级。供销部按程序规定对不同重要度的物资供应商进行不同方式和内容的评价，其它有关部门协同进行评价工作，选择合格的供应商作为合格分承包方。按程序规定，不得采购非合格分承包方的物资。</w:t>
      </w:r>
    </w:p>
    <w:p>
      <w:pPr>
        <w:spacing w:line="360" w:lineRule="auto"/>
        <w:ind w:firstLine="420"/>
        <w:rPr>
          <w:rFonts w:hint="eastAsia" w:ascii="宋体" w:hAnsi="宋体" w:eastAsia="宋体" w:cs="宋体"/>
          <w:sz w:val="21"/>
          <w:szCs w:val="21"/>
        </w:rPr>
      </w:pPr>
      <w:r>
        <w:rPr>
          <w:rFonts w:hint="eastAsia" w:ascii="宋体" w:hAnsi="宋体" w:eastAsia="宋体" w:cs="宋体"/>
          <w:sz w:val="21"/>
          <w:szCs w:val="21"/>
        </w:rPr>
        <w:t>8.3.4、本公司质检部有专或兼职授权质检员5名，本科以上学历的2名，大专以上学历的3名，检验队伍力量雄厚，人员素质高。</w:t>
      </w:r>
    </w:p>
    <w:p>
      <w:pPr>
        <w:spacing w:line="360" w:lineRule="auto"/>
        <w:ind w:firstLine="420"/>
        <w:jc w:val="left"/>
        <w:rPr>
          <w:rFonts w:hint="eastAsia" w:ascii="宋体" w:hAnsi="宋体" w:eastAsia="宋体" w:cs="宋体"/>
          <w:sz w:val="21"/>
          <w:szCs w:val="21"/>
        </w:rPr>
      </w:pPr>
      <w:r>
        <w:rPr>
          <w:rFonts w:hint="eastAsia" w:ascii="宋体" w:hAnsi="宋体" w:eastAsia="宋体" w:cs="宋体"/>
          <w:sz w:val="21"/>
          <w:szCs w:val="21"/>
        </w:rPr>
        <w:t>8.3.</w:t>
      </w:r>
      <w:r>
        <w:rPr>
          <w:rFonts w:hint="eastAsia" w:ascii="宋体" w:hAnsi="宋体" w:eastAsia="宋体" w:cs="宋体"/>
          <w:sz w:val="21"/>
          <w:szCs w:val="21"/>
          <w:lang w:val="en-US" w:eastAsia="zh-CN"/>
        </w:rPr>
        <w:t>5</w:t>
      </w:r>
      <w:r>
        <w:rPr>
          <w:rFonts w:hint="eastAsia" w:ascii="宋体" w:hAnsi="宋体" w:eastAsia="宋体" w:cs="宋体"/>
          <w:sz w:val="21"/>
          <w:szCs w:val="21"/>
        </w:rPr>
        <w:t>、本公司为做好售后服务工作，成立了“售后服务部”并建立和实施了《服务控制程序》，使售后服务能做到完善实施，做到用户满意。</w:t>
      </w:r>
    </w:p>
    <w:p>
      <w:pPr>
        <w:spacing w:line="360" w:lineRule="auto"/>
        <w:ind w:firstLine="420"/>
        <w:jc w:val="center"/>
        <w:rPr>
          <w:rFonts w:hint="eastAsia" w:ascii="宋体" w:hAnsi="宋体" w:eastAsia="宋体" w:cs="宋体"/>
          <w:sz w:val="21"/>
          <w:szCs w:val="21"/>
        </w:rPr>
      </w:pPr>
      <w:r>
        <w:rPr>
          <w:rFonts w:hint="eastAsia" w:ascii="宋体" w:hAnsi="宋体" w:eastAsia="宋体" w:cs="宋体"/>
          <w:kern w:val="0"/>
          <w:sz w:val="21"/>
          <w:szCs w:val="21"/>
          <w:lang w:bidi="ar"/>
        </w:rPr>
        <w:drawing>
          <wp:inline distT="0" distB="0" distL="114300" distR="114300">
            <wp:extent cx="5399405" cy="2286000"/>
            <wp:effectExtent l="0" t="0" r="10795" b="0"/>
            <wp:docPr id="130" name="图片 7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图片 79" descr="IMG_256"/>
                    <pic:cNvPicPr>
                      <a:picLocks noChangeAspect="1"/>
                    </pic:cNvPicPr>
                  </pic:nvPicPr>
                  <pic:blipFill>
                    <a:blip r:embed="rId4"/>
                    <a:stretch>
                      <a:fillRect/>
                    </a:stretch>
                  </pic:blipFill>
                  <pic:spPr>
                    <a:xfrm>
                      <a:off x="0" y="0"/>
                      <a:ext cx="5399405" cy="2286000"/>
                    </a:xfrm>
                    <a:prstGeom prst="rect">
                      <a:avLst/>
                    </a:prstGeom>
                    <a:noFill/>
                    <a:ln>
                      <a:noFill/>
                    </a:ln>
                  </pic:spPr>
                </pic:pic>
              </a:graphicData>
            </a:graphic>
          </wp:inline>
        </w:drawing>
      </w:r>
    </w:p>
    <w:p>
      <w:pPr>
        <w:spacing w:line="360" w:lineRule="auto"/>
        <w:ind w:firstLine="422" w:firstLineChars="200"/>
        <w:rPr>
          <w:rFonts w:hint="eastAsia" w:ascii="宋体" w:hAnsi="宋体" w:eastAsia="宋体" w:cs="宋体"/>
          <w:sz w:val="21"/>
          <w:szCs w:val="21"/>
        </w:rPr>
      </w:pPr>
      <w:r>
        <w:rPr>
          <w:rFonts w:hint="eastAsia" w:ascii="宋体" w:hAnsi="宋体" w:eastAsia="宋体" w:cs="宋体"/>
          <w:b/>
          <w:bCs/>
          <w:sz w:val="21"/>
          <w:szCs w:val="21"/>
        </w:rPr>
        <w:t>9、我公司承诺所投产品符合国家质量检测标准和本招标文件规定标准的全新正品现货。</w:t>
      </w:r>
    </w:p>
    <w:p>
      <w:pPr>
        <w:spacing w:line="360" w:lineRule="auto"/>
        <w:rPr>
          <w:rFonts w:hint="eastAsia" w:ascii="宋体" w:hAnsi="宋体" w:eastAsia="宋体" w:cs="宋体"/>
          <w:sz w:val="21"/>
          <w:szCs w:val="21"/>
        </w:rPr>
      </w:pPr>
      <w:r>
        <w:rPr>
          <w:rFonts w:hint="eastAsia" w:ascii="宋体" w:hAnsi="宋体" w:eastAsia="宋体" w:cs="宋体"/>
          <w:sz w:val="21"/>
          <w:szCs w:val="21"/>
        </w:rPr>
        <w:t xml:space="preserve">    </w:t>
      </w:r>
      <w:r>
        <w:rPr>
          <w:rFonts w:hint="eastAsia" w:ascii="宋体" w:hAnsi="宋体" w:eastAsia="宋体" w:cs="宋体"/>
          <w:b/>
          <w:bCs/>
          <w:sz w:val="21"/>
          <w:szCs w:val="21"/>
        </w:rPr>
        <w:t>10、响应本次招标项目均为交钥匙项目，所需的一切设备、材料、费用等，全部包含在投标报价之中，采购人无须再追加任何费用。</w:t>
      </w:r>
    </w:p>
    <w:p>
      <w:pPr>
        <w:spacing w:line="360" w:lineRule="auto"/>
        <w:ind w:firstLine="420"/>
        <w:rPr>
          <w:rFonts w:hint="eastAsia" w:ascii="宋体" w:hAnsi="宋体" w:eastAsia="宋体" w:cs="宋体"/>
          <w:b/>
          <w:bCs/>
          <w:sz w:val="21"/>
          <w:szCs w:val="21"/>
        </w:rPr>
      </w:pPr>
      <w:r>
        <w:rPr>
          <w:rFonts w:hint="eastAsia" w:ascii="宋体" w:hAnsi="宋体" w:eastAsia="宋体" w:cs="宋体"/>
          <w:b/>
          <w:bCs/>
          <w:sz w:val="21"/>
          <w:szCs w:val="21"/>
        </w:rPr>
        <w:t>11、我单位对上述内容的真实性承担相应法律责任。</w:t>
      </w:r>
    </w:p>
    <w:p>
      <w:pPr>
        <w:spacing w:line="360" w:lineRule="auto"/>
        <w:ind w:firstLine="420"/>
        <w:rPr>
          <w:rFonts w:hint="eastAsia" w:ascii="宋体" w:hAnsi="宋体" w:eastAsia="宋体" w:cs="宋体"/>
          <w:b/>
          <w:bCs/>
          <w:sz w:val="21"/>
          <w:szCs w:val="21"/>
        </w:rPr>
      </w:pPr>
      <w:r>
        <w:rPr>
          <w:rFonts w:hint="eastAsia" w:ascii="宋体" w:hAnsi="宋体" w:cs="宋体"/>
          <w:b/>
          <w:bCs/>
          <w:sz w:val="21"/>
          <w:szCs w:val="21"/>
          <w:lang w:val="en-US" w:eastAsia="zh-CN"/>
        </w:rPr>
        <w:t>12</w:t>
      </w:r>
      <w:r>
        <w:rPr>
          <w:rFonts w:hint="eastAsia" w:ascii="宋体" w:hAnsi="宋体" w:eastAsia="宋体" w:cs="宋体"/>
          <w:b/>
          <w:bCs/>
          <w:sz w:val="21"/>
          <w:szCs w:val="21"/>
        </w:rPr>
        <w:t>、</w:t>
      </w:r>
      <w:r>
        <w:rPr>
          <w:rFonts w:hint="eastAsia" w:ascii="宋体" w:hAnsi="宋体" w:cs="宋体"/>
          <w:b/>
          <w:bCs/>
          <w:sz w:val="21"/>
          <w:szCs w:val="21"/>
          <w:lang w:eastAsia="zh-CN"/>
        </w:rPr>
        <w:t>我公司承诺明确</w:t>
      </w:r>
      <w:r>
        <w:rPr>
          <w:rFonts w:hint="eastAsia" w:ascii="宋体" w:hAnsi="宋体" w:eastAsia="宋体" w:cs="宋体"/>
          <w:b/>
          <w:bCs/>
          <w:sz w:val="21"/>
          <w:szCs w:val="21"/>
        </w:rPr>
        <w:t>投标产品的厂家、产地、品牌、型号、详细参数（采购清单中序号11、序号12、序号27、序号42、序号43项除外）。</w:t>
      </w:r>
    </w:p>
    <w:p>
      <w:pPr>
        <w:spacing w:line="360" w:lineRule="auto"/>
        <w:ind w:firstLine="420"/>
        <w:rPr>
          <w:rFonts w:hint="eastAsia" w:ascii="宋体" w:hAnsi="宋体" w:eastAsia="宋体" w:cs="宋体"/>
          <w:b/>
          <w:bCs/>
          <w:sz w:val="21"/>
          <w:szCs w:val="21"/>
        </w:rPr>
      </w:pPr>
      <w:r>
        <w:rPr>
          <w:rFonts w:hint="eastAsia" w:ascii="宋体" w:hAnsi="宋体" w:cs="宋体"/>
          <w:b/>
          <w:bCs/>
          <w:sz w:val="21"/>
          <w:szCs w:val="21"/>
          <w:lang w:val="en-US" w:eastAsia="zh-CN"/>
        </w:rPr>
        <w:t>13、</w:t>
      </w:r>
      <w:r>
        <w:rPr>
          <w:rFonts w:hint="eastAsia" w:ascii="宋体" w:hAnsi="宋体" w:eastAsia="宋体" w:cs="宋体"/>
          <w:b/>
          <w:bCs/>
          <w:sz w:val="21"/>
          <w:szCs w:val="21"/>
        </w:rPr>
        <w:t>验收标准</w:t>
      </w:r>
    </w:p>
    <w:p>
      <w:pPr>
        <w:spacing w:line="360" w:lineRule="auto"/>
        <w:ind w:firstLine="42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lang w:val="en-US" w:eastAsia="zh-CN"/>
        </w:rPr>
        <w:t>13.</w:t>
      </w:r>
      <w:r>
        <w:rPr>
          <w:rFonts w:hint="eastAsia" w:asciiTheme="minorEastAsia" w:hAnsiTheme="minorEastAsia" w:eastAsiaTheme="minorEastAsia" w:cstheme="minorEastAsia"/>
          <w:b w:val="0"/>
          <w:bCs w:val="0"/>
          <w:sz w:val="21"/>
          <w:szCs w:val="21"/>
        </w:rPr>
        <w:t>1、由采购人成立验收小组,按照采购合同的约定</w:t>
      </w:r>
      <w:r>
        <w:rPr>
          <w:rFonts w:hint="eastAsia" w:asciiTheme="minorEastAsia" w:hAnsiTheme="minorEastAsia" w:eastAsiaTheme="minorEastAsia" w:cstheme="minorEastAsia"/>
          <w:b w:val="0"/>
          <w:bCs w:val="0"/>
          <w:sz w:val="21"/>
          <w:szCs w:val="21"/>
          <w:lang w:eastAsia="zh-CN"/>
        </w:rPr>
        <w:t>进行</w:t>
      </w:r>
      <w:r>
        <w:rPr>
          <w:rFonts w:hint="eastAsia" w:asciiTheme="minorEastAsia" w:hAnsiTheme="minorEastAsia" w:eastAsiaTheme="minorEastAsia" w:cstheme="minorEastAsia"/>
          <w:b w:val="0"/>
          <w:bCs w:val="0"/>
          <w:sz w:val="21"/>
          <w:szCs w:val="21"/>
        </w:rPr>
        <w:t>履约情况进行验收。验收时,按照采购合同的约定对每一项技术、服务、安全标准的履约情况进行确认。验收结束后,出具验收书,列明各项标准的验收情况及项目总体评价,由验收双方共同签署。</w:t>
      </w:r>
      <w:r>
        <w:rPr>
          <w:rFonts w:hint="eastAsia" w:asciiTheme="minorEastAsia" w:hAnsiTheme="minorEastAsia" w:eastAsiaTheme="minorEastAsia" w:cstheme="minorEastAsia"/>
          <w:b w:val="0"/>
          <w:bCs w:val="0"/>
          <w:sz w:val="21"/>
          <w:szCs w:val="21"/>
          <w:lang w:eastAsia="zh-CN"/>
        </w:rPr>
        <w:t>我公司承诺</w:t>
      </w:r>
      <w:r>
        <w:rPr>
          <w:rFonts w:hint="eastAsia" w:asciiTheme="minorEastAsia" w:hAnsiTheme="minorEastAsia" w:eastAsiaTheme="minorEastAsia" w:cstheme="minorEastAsia"/>
          <w:b w:val="0"/>
          <w:bCs w:val="0"/>
          <w:sz w:val="21"/>
          <w:szCs w:val="21"/>
        </w:rPr>
        <w:t>按照招标文件要求、投标文件响应和承诺验收。</w:t>
      </w:r>
    </w:p>
    <w:p>
      <w:pPr>
        <w:spacing w:line="360" w:lineRule="auto"/>
        <w:ind w:firstLine="420"/>
        <w:rPr>
          <w:rFonts w:hint="eastAsia" w:ascii="宋体" w:hAnsi="宋体" w:eastAsia="宋体" w:cs="宋体"/>
          <w:b/>
          <w:bCs/>
          <w:sz w:val="21"/>
          <w:szCs w:val="21"/>
        </w:rPr>
      </w:pPr>
      <w:r>
        <w:rPr>
          <w:rFonts w:hint="eastAsia" w:ascii="宋体" w:hAnsi="宋体" w:cs="宋体"/>
          <w:b/>
          <w:bCs/>
          <w:sz w:val="21"/>
          <w:szCs w:val="21"/>
          <w:lang w:val="en-US" w:eastAsia="zh-CN"/>
        </w:rPr>
        <w:t>14</w:t>
      </w:r>
      <w:r>
        <w:rPr>
          <w:rFonts w:hint="eastAsia" w:ascii="宋体" w:hAnsi="宋体" w:eastAsia="宋体" w:cs="宋体"/>
          <w:b/>
          <w:bCs/>
          <w:sz w:val="21"/>
          <w:szCs w:val="21"/>
        </w:rPr>
        <w:t>、资金支付</w:t>
      </w:r>
    </w:p>
    <w:p>
      <w:pPr>
        <w:spacing w:line="360" w:lineRule="auto"/>
        <w:ind w:firstLine="420"/>
        <w:rPr>
          <w:rFonts w:hint="eastAsia" w:ascii="宋体" w:hAnsi="宋体" w:cs="宋体"/>
          <w:b/>
          <w:bCs/>
          <w:sz w:val="21"/>
          <w:szCs w:val="21"/>
          <w:lang w:eastAsia="zh-CN"/>
        </w:rPr>
      </w:pPr>
      <w:r>
        <w:rPr>
          <w:rFonts w:hint="eastAsia" w:ascii="宋体" w:hAnsi="宋体" w:cs="宋体"/>
          <w:b/>
          <w:bCs/>
          <w:sz w:val="21"/>
          <w:szCs w:val="21"/>
          <w:lang w:eastAsia="zh-CN"/>
        </w:rPr>
        <w:t>我公司同意本次项目的资金支付条件：</w:t>
      </w:r>
    </w:p>
    <w:p>
      <w:pPr>
        <w:spacing w:line="360" w:lineRule="auto"/>
        <w:ind w:firstLine="420"/>
        <w:rPr>
          <w:rFonts w:hint="eastAsia" w:ascii="宋体" w:hAnsi="宋体" w:eastAsia="宋体" w:cs="宋体"/>
          <w:b/>
          <w:bCs/>
          <w:sz w:val="21"/>
          <w:szCs w:val="21"/>
        </w:rPr>
      </w:pPr>
      <w:r>
        <w:rPr>
          <w:rFonts w:hint="eastAsia" w:ascii="宋体" w:hAnsi="宋体" w:eastAsia="宋体" w:cs="宋体"/>
          <w:b/>
          <w:bCs/>
          <w:sz w:val="21"/>
          <w:szCs w:val="21"/>
        </w:rPr>
        <w:t>1、支付方式：银行转账</w:t>
      </w:r>
    </w:p>
    <w:p>
      <w:pPr>
        <w:spacing w:line="360" w:lineRule="auto"/>
        <w:ind w:firstLine="420"/>
        <w:rPr>
          <w:rFonts w:hint="eastAsia" w:ascii="宋体" w:hAnsi="宋体" w:eastAsia="宋体" w:cs="宋体"/>
          <w:b/>
          <w:bCs/>
          <w:sz w:val="21"/>
          <w:szCs w:val="21"/>
        </w:rPr>
      </w:pPr>
      <w:r>
        <w:rPr>
          <w:rFonts w:hint="eastAsia" w:ascii="宋体" w:hAnsi="宋体" w:eastAsia="宋体" w:cs="宋体"/>
          <w:b/>
          <w:bCs/>
          <w:sz w:val="21"/>
          <w:szCs w:val="21"/>
        </w:rPr>
        <w:t>2、支付时间及条件：设备到货经安装调试，验收合格后付总价的90%，剩余10%满一年无质量问题一次付清。</w:t>
      </w:r>
    </w:p>
    <w:p>
      <w:pPr>
        <w:pStyle w:val="6"/>
        <w:spacing w:line="480" w:lineRule="auto"/>
        <w:jc w:val="right"/>
        <w:rPr>
          <w:rFonts w:hint="eastAsia" w:ascii="宋体" w:hAnsi="宋体" w:eastAsia="宋体" w:cs="宋体"/>
          <w:color w:val="000000"/>
          <w:sz w:val="21"/>
          <w:szCs w:val="21"/>
          <w:u w:val="single"/>
        </w:rPr>
      </w:pPr>
      <w:r>
        <w:rPr>
          <w:rFonts w:hint="eastAsia" w:ascii="宋体" w:hAnsi="宋体" w:eastAsia="宋体" w:cs="宋体"/>
          <w:color w:val="000000"/>
          <w:sz w:val="21"/>
          <w:szCs w:val="21"/>
        </w:rPr>
        <w:t>投标人名称（并加盖公章）：</w:t>
      </w:r>
      <w:r>
        <w:rPr>
          <w:rFonts w:hint="eastAsia" w:ascii="宋体" w:hAnsi="宋体" w:eastAsia="宋体" w:cs="宋体"/>
          <w:color w:val="000000"/>
          <w:sz w:val="21"/>
          <w:szCs w:val="21"/>
          <w:u w:val="single"/>
        </w:rPr>
        <w:t xml:space="preserve"> 郑州京慧越科技有限公司</w:t>
      </w:r>
    </w:p>
    <w:p>
      <w:pPr>
        <w:pStyle w:val="6"/>
        <w:spacing w:line="480" w:lineRule="auto"/>
        <w:jc w:val="center"/>
        <w:rPr>
          <w:rFonts w:hint="eastAsia" w:ascii="宋体" w:hAnsi="宋体" w:eastAsia="宋体" w:cs="宋体"/>
          <w:color w:val="000000"/>
          <w:sz w:val="21"/>
          <w:szCs w:val="21"/>
          <w:u w:val="single"/>
        </w:rPr>
      </w:pPr>
      <w:r>
        <w:rPr>
          <w:rFonts w:hint="eastAsia" w:ascii="宋体" w:hAnsi="宋体" w:eastAsia="宋体" w:cs="宋体"/>
          <w:color w:val="000000"/>
          <w:sz w:val="21"/>
          <w:szCs w:val="21"/>
        </w:rPr>
        <w:t xml:space="preserve">               签署日期：</w:t>
      </w:r>
      <w:r>
        <w:rPr>
          <w:rFonts w:hint="eastAsia" w:ascii="宋体" w:hAnsi="宋体" w:eastAsia="宋体" w:cs="宋体"/>
          <w:color w:val="000000"/>
          <w:sz w:val="21"/>
          <w:szCs w:val="21"/>
          <w:u w:val="single"/>
        </w:rPr>
        <w:t xml:space="preserve"> 2019年</w:t>
      </w:r>
      <w:r>
        <w:rPr>
          <w:rFonts w:hint="eastAsia" w:ascii="宋体" w:hAnsi="宋体" w:cs="宋体"/>
          <w:color w:val="000000"/>
          <w:sz w:val="21"/>
          <w:szCs w:val="21"/>
          <w:u w:val="single"/>
          <w:lang w:val="en-US" w:eastAsia="zh-CN"/>
        </w:rPr>
        <w:t>9</w:t>
      </w:r>
      <w:r>
        <w:rPr>
          <w:rFonts w:hint="eastAsia" w:ascii="宋体" w:hAnsi="宋体" w:eastAsia="宋体" w:cs="宋体"/>
          <w:color w:val="000000"/>
          <w:sz w:val="21"/>
          <w:szCs w:val="21"/>
          <w:u w:val="single"/>
        </w:rPr>
        <w:t>月</w:t>
      </w:r>
      <w:r>
        <w:rPr>
          <w:rFonts w:hint="eastAsia" w:ascii="宋体" w:hAnsi="宋体" w:cs="宋体"/>
          <w:color w:val="000000"/>
          <w:sz w:val="21"/>
          <w:szCs w:val="21"/>
          <w:u w:val="single"/>
          <w:lang w:val="en-US" w:eastAsia="zh-CN"/>
        </w:rPr>
        <w:t>28</w:t>
      </w:r>
      <w:r>
        <w:rPr>
          <w:rFonts w:hint="eastAsia" w:ascii="宋体" w:hAnsi="宋体" w:eastAsia="宋体" w:cs="宋体"/>
          <w:color w:val="000000"/>
          <w:sz w:val="21"/>
          <w:szCs w:val="21"/>
          <w:u w:val="single"/>
        </w:rPr>
        <w:t>日</w:t>
      </w:r>
    </w:p>
    <w:p>
      <w:pPr>
        <w:spacing w:line="360" w:lineRule="auto"/>
        <w:rPr>
          <w:rFonts w:hint="eastAsia" w:ascii="宋体" w:hAnsi="宋体" w:cs="宋体"/>
          <w:b/>
          <w:bCs/>
          <w:sz w:val="24"/>
          <w:szCs w:val="24"/>
        </w:rPr>
      </w:pPr>
    </w:p>
    <w:p>
      <w:pPr>
        <w:spacing w:line="360" w:lineRule="auto"/>
        <w:rPr>
          <w:rFonts w:hint="eastAsia" w:ascii="宋体" w:hAnsi="宋体" w:cs="宋体"/>
          <w:b/>
          <w:bCs/>
          <w:sz w:val="24"/>
          <w:szCs w:val="24"/>
        </w:rPr>
      </w:pPr>
      <w:r>
        <w:rPr>
          <w:rFonts w:hint="eastAsia" w:ascii="宋体" w:hAnsi="宋体" w:cs="宋体"/>
          <w:b/>
          <w:bCs/>
          <w:sz w:val="24"/>
          <w:szCs w:val="24"/>
        </w:rPr>
        <w:t>附1：师资培训方案-----分方向分阶段360度师资培训</w:t>
      </w:r>
    </w:p>
    <w:p>
      <w:pPr>
        <w:spacing w:line="360" w:lineRule="auto"/>
        <w:ind w:firstLine="420"/>
        <w:rPr>
          <w:rFonts w:hint="eastAsia" w:ascii="宋体" w:hAnsi="宋体" w:cs="宋体"/>
          <w:sz w:val="24"/>
          <w:szCs w:val="24"/>
        </w:rPr>
      </w:pPr>
      <w:r>
        <w:rPr>
          <w:rFonts w:hint="eastAsia" w:ascii="宋体" w:hAnsi="宋体" w:cs="宋体"/>
          <w:sz w:val="24"/>
          <w:szCs w:val="24"/>
        </w:rPr>
        <w:t>● 师资培训以模块划分不是以学期为模块划分标准，而是以课程体系为标准</w:t>
      </w:r>
    </w:p>
    <w:p>
      <w:pPr>
        <w:spacing w:line="360" w:lineRule="auto"/>
        <w:ind w:firstLine="420"/>
        <w:rPr>
          <w:rFonts w:hint="eastAsia" w:ascii="宋体" w:hAnsi="宋体" w:cs="宋体"/>
          <w:sz w:val="24"/>
          <w:szCs w:val="24"/>
        </w:rPr>
      </w:pPr>
      <w:r>
        <w:rPr>
          <w:rFonts w:hint="eastAsia" w:ascii="宋体" w:hAnsi="宋体" w:cs="宋体"/>
          <w:sz w:val="24"/>
          <w:szCs w:val="24"/>
        </w:rPr>
        <w:t>● 培训内容有大量的操作和项目，培训之前需要老师有更充分的准备以保证培训效果</w:t>
      </w:r>
    </w:p>
    <w:p>
      <w:pPr>
        <w:spacing w:line="360" w:lineRule="auto"/>
        <w:ind w:firstLine="420"/>
        <w:rPr>
          <w:rFonts w:hint="eastAsia" w:ascii="宋体" w:hAnsi="宋体" w:cs="宋体"/>
          <w:sz w:val="24"/>
          <w:szCs w:val="24"/>
        </w:rPr>
      </w:pPr>
      <w:r>
        <w:rPr>
          <w:rFonts w:hint="eastAsia" w:ascii="宋体" w:hAnsi="宋体" w:cs="宋体"/>
          <w:sz w:val="24"/>
          <w:szCs w:val="24"/>
        </w:rPr>
        <w:t xml:space="preserve">● 每个技术方向的培训需先培训基础模块   </w:t>
      </w:r>
    </w:p>
    <w:p>
      <w:pPr>
        <w:spacing w:line="360" w:lineRule="auto"/>
        <w:ind w:firstLine="420"/>
        <w:rPr>
          <w:rFonts w:hint="eastAsia" w:ascii="宋体" w:hAnsi="宋体" w:cs="宋体"/>
          <w:sz w:val="24"/>
          <w:szCs w:val="24"/>
        </w:rPr>
      </w:pPr>
      <w:r>
        <w:rPr>
          <w:rFonts w:hint="eastAsia" w:ascii="宋体" w:hAnsi="宋体" w:cs="宋体"/>
          <w:sz w:val="24"/>
          <w:szCs w:val="24"/>
        </w:rPr>
        <w:t>● 培训老师来自于京慧越商学院内部老师、合作院校优秀学科带头人、相关电商企业运营主管</w:t>
      </w:r>
    </w:p>
    <w:p>
      <w:pPr>
        <w:spacing w:line="360" w:lineRule="auto"/>
        <w:ind w:firstLine="420"/>
        <w:rPr>
          <w:rFonts w:hint="eastAsia" w:ascii="宋体" w:hAnsi="宋体" w:cs="宋体"/>
          <w:sz w:val="24"/>
          <w:szCs w:val="24"/>
        </w:rPr>
      </w:pPr>
      <w:r>
        <w:rPr>
          <w:rFonts w:hint="eastAsia" w:ascii="宋体" w:hAnsi="宋体" w:cs="宋体"/>
          <w:sz w:val="24"/>
          <w:szCs w:val="24"/>
        </w:rPr>
        <w:t>美工方向：B模块必须有A模块基础</w:t>
      </w:r>
    </w:p>
    <w:p>
      <w:pPr>
        <w:spacing w:line="360" w:lineRule="auto"/>
        <w:ind w:firstLine="420"/>
        <w:rPr>
          <w:rFonts w:hint="eastAsia" w:ascii="宋体" w:hAnsi="宋体" w:cs="宋体"/>
          <w:sz w:val="24"/>
          <w:szCs w:val="24"/>
        </w:rPr>
      </w:pPr>
      <w:r>
        <w:rPr>
          <w:rFonts w:hint="eastAsia" w:ascii="宋体" w:hAnsi="宋体" w:cs="宋体"/>
          <w:sz w:val="24"/>
          <w:szCs w:val="24"/>
        </w:rPr>
        <w:t>运营方向：D模块必须有C模块基础</w:t>
      </w:r>
    </w:p>
    <w:p>
      <w:pPr>
        <w:spacing w:line="360" w:lineRule="auto"/>
        <w:ind w:firstLine="420"/>
        <w:rPr>
          <w:rFonts w:hint="eastAsia" w:ascii="宋体" w:hAnsi="宋体" w:cs="宋体"/>
          <w:sz w:val="24"/>
          <w:szCs w:val="24"/>
        </w:rPr>
      </w:pPr>
      <w:r>
        <w:rPr>
          <w:rFonts w:hint="eastAsia" w:ascii="宋体" w:hAnsi="宋体" w:cs="宋体"/>
          <w:sz w:val="24"/>
          <w:szCs w:val="24"/>
        </w:rPr>
        <w:t>营销方向：F模块必须有E模块基础</w:t>
      </w:r>
    </w:p>
    <w:p>
      <w:pPr>
        <w:spacing w:line="360" w:lineRule="auto"/>
        <w:ind w:firstLine="420"/>
        <w:rPr>
          <w:rFonts w:hint="eastAsia" w:ascii="宋体" w:hAnsi="宋体" w:cs="宋体"/>
          <w:sz w:val="24"/>
          <w:szCs w:val="24"/>
        </w:rPr>
      </w:pPr>
      <w:r>
        <w:rPr>
          <w:rFonts w:hint="eastAsia" w:ascii="宋体" w:hAnsi="宋体" w:cs="宋体"/>
          <w:sz w:val="24"/>
          <w:szCs w:val="24"/>
        </w:rPr>
        <mc:AlternateContent>
          <mc:Choice Requires="wps">
            <w:drawing>
              <wp:anchor distT="0" distB="0" distL="114300" distR="114300" simplePos="0" relativeHeight="251658240" behindDoc="0" locked="0" layoutInCell="1" allowOverlap="1">
                <wp:simplePos x="0" y="0"/>
                <wp:positionH relativeFrom="column">
                  <wp:posOffset>-167640</wp:posOffset>
                </wp:positionH>
                <wp:positionV relativeFrom="paragraph">
                  <wp:posOffset>77470</wp:posOffset>
                </wp:positionV>
                <wp:extent cx="6085840" cy="2127250"/>
                <wp:effectExtent l="0" t="0" r="10160" b="6350"/>
                <wp:wrapNone/>
                <wp:docPr id="298" name="文本框 298"/>
                <wp:cNvGraphicFramePr/>
                <a:graphic xmlns:a="http://schemas.openxmlformats.org/drawingml/2006/main">
                  <a:graphicData uri="http://schemas.microsoft.com/office/word/2010/wordprocessingShape">
                    <wps:wsp>
                      <wps:cNvSpPr txBox="1"/>
                      <wps:spPr>
                        <a:xfrm>
                          <a:off x="0" y="0"/>
                          <a:ext cx="6085840" cy="2127250"/>
                        </a:xfrm>
                        <a:prstGeom prst="rect">
                          <a:avLst/>
                        </a:prstGeom>
                        <a:solidFill>
                          <a:srgbClr val="FFFFFF"/>
                        </a:solidFill>
                        <a:ln w="6350">
                          <a:noFill/>
                        </a:ln>
                        <a:effectLst/>
                      </wps:spPr>
                      <wps:txbx>
                        <w:txbxContent>
                          <w:p>
                            <w:pPr>
                              <w:jc w:val="center"/>
                            </w:pPr>
                            <w:r>
                              <w:rPr>
                                <w:rFonts w:ascii="Times New Roman" w:hAnsi="Times New Roman"/>
                                <w:szCs w:val="24"/>
                                <w:lang w:bidi="ar"/>
                              </w:rPr>
                              <w:drawing>
                                <wp:inline distT="0" distB="0" distL="114300" distR="114300">
                                  <wp:extent cx="2397760" cy="1800225"/>
                                  <wp:effectExtent l="0" t="0" r="2540" b="9525"/>
                                  <wp:docPr id="128" name="图片 80" descr="QQ图片20160109114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80" descr="QQ图片20160109114652"/>
                                          <pic:cNvPicPr>
                                            <a:picLocks noChangeAspect="1"/>
                                          </pic:cNvPicPr>
                                        </pic:nvPicPr>
                                        <pic:blipFill>
                                          <a:blip r:embed="rId5"/>
                                          <a:stretch>
                                            <a:fillRect/>
                                          </a:stretch>
                                        </pic:blipFill>
                                        <pic:spPr>
                                          <a:xfrm>
                                            <a:off x="0" y="0"/>
                                            <a:ext cx="2397760" cy="1800225"/>
                                          </a:xfrm>
                                          <a:prstGeom prst="rect">
                                            <a:avLst/>
                                          </a:prstGeom>
                                          <a:noFill/>
                                          <a:ln>
                                            <a:noFill/>
                                          </a:ln>
                                        </pic:spPr>
                                      </pic:pic>
                                    </a:graphicData>
                                  </a:graphic>
                                </wp:inline>
                              </w:drawing>
                            </w:r>
                            <w:r>
                              <w:rPr>
                                <w:rFonts w:hint="eastAsia" w:ascii="Times New Roman" w:hAnsi="Times New Roman"/>
                                <w:szCs w:val="24"/>
                                <w:lang w:bidi="ar"/>
                              </w:rPr>
                              <w:t xml:space="preserve">    </w:t>
                            </w:r>
                            <w:r>
                              <w:rPr>
                                <w:rFonts w:ascii="Times New Roman" w:hAnsi="Times New Roman"/>
                                <w:szCs w:val="24"/>
                                <w:lang w:bidi="ar"/>
                              </w:rPr>
                              <w:drawing>
                                <wp:inline distT="0" distB="0" distL="114300" distR="114300">
                                  <wp:extent cx="2663825" cy="1730375"/>
                                  <wp:effectExtent l="0" t="0" r="3175" b="3175"/>
                                  <wp:docPr id="13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图片 81"/>
                                          <pic:cNvPicPr>
                                            <a:picLocks noChangeAspect="1"/>
                                          </pic:cNvPicPr>
                                        </pic:nvPicPr>
                                        <pic:blipFill>
                                          <a:blip r:embed="rId6"/>
                                          <a:stretch>
                                            <a:fillRect/>
                                          </a:stretch>
                                        </pic:blipFill>
                                        <pic:spPr>
                                          <a:xfrm>
                                            <a:off x="0" y="0"/>
                                            <a:ext cx="2663825" cy="173037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3.2pt;margin-top:6.1pt;height:167.5pt;width:479.2pt;z-index:251658240;mso-width-relative:page;mso-height-relative:page;" fillcolor="#FFFFFF" filled="t" stroked="f" coordsize="21600,21600" o:gfxdata="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Gll3TXVAAAACgEAAA8AAAAAAAAAAQAgAAAAIgAAAGRycy9kb3du&#10;cmV2LnhtbFBLAQIUABQAAAAIAIdO4kB/HrPHOwIAAFQEAAAOAAAAAAAAAAEAIAAAACQBAABkcnMv&#10;ZTJvRG9jLnhtbFBLBQYAAAAABgAGAFkBAADRBQAAAAA=&#10;">
                <v:fill on="t" focussize="0,0"/>
                <v:stroke on="f" weight="0.5pt"/>
                <v:imagedata o:title=""/>
                <o:lock v:ext="edit" aspectratio="f"/>
                <v:textbox>
                  <w:txbxContent>
                    <w:p>
                      <w:pPr>
                        <w:jc w:val="center"/>
                      </w:pPr>
                      <w:r>
                        <w:rPr>
                          <w:rFonts w:ascii="Times New Roman" w:hAnsi="Times New Roman"/>
                          <w:szCs w:val="24"/>
                          <w:lang w:bidi="ar"/>
                        </w:rPr>
                        <w:drawing>
                          <wp:inline distT="0" distB="0" distL="114300" distR="114300">
                            <wp:extent cx="2397760" cy="1800225"/>
                            <wp:effectExtent l="0" t="0" r="2540" b="9525"/>
                            <wp:docPr id="128" name="图片 80" descr="QQ图片20160109114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80" descr="QQ图片20160109114652"/>
                                    <pic:cNvPicPr>
                                      <a:picLocks noChangeAspect="1"/>
                                    </pic:cNvPicPr>
                                  </pic:nvPicPr>
                                  <pic:blipFill>
                                    <a:blip r:embed="rId5"/>
                                    <a:stretch>
                                      <a:fillRect/>
                                    </a:stretch>
                                  </pic:blipFill>
                                  <pic:spPr>
                                    <a:xfrm>
                                      <a:off x="0" y="0"/>
                                      <a:ext cx="2397760" cy="1800225"/>
                                    </a:xfrm>
                                    <a:prstGeom prst="rect">
                                      <a:avLst/>
                                    </a:prstGeom>
                                    <a:noFill/>
                                    <a:ln>
                                      <a:noFill/>
                                    </a:ln>
                                  </pic:spPr>
                                </pic:pic>
                              </a:graphicData>
                            </a:graphic>
                          </wp:inline>
                        </w:drawing>
                      </w:r>
                      <w:r>
                        <w:rPr>
                          <w:rFonts w:hint="eastAsia" w:ascii="Times New Roman" w:hAnsi="Times New Roman"/>
                          <w:szCs w:val="24"/>
                          <w:lang w:bidi="ar"/>
                        </w:rPr>
                        <w:t xml:space="preserve">    </w:t>
                      </w:r>
                      <w:r>
                        <w:rPr>
                          <w:rFonts w:ascii="Times New Roman" w:hAnsi="Times New Roman"/>
                          <w:szCs w:val="24"/>
                          <w:lang w:bidi="ar"/>
                        </w:rPr>
                        <w:drawing>
                          <wp:inline distT="0" distB="0" distL="114300" distR="114300">
                            <wp:extent cx="2663825" cy="1730375"/>
                            <wp:effectExtent l="0" t="0" r="3175" b="3175"/>
                            <wp:docPr id="13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图片 81"/>
                                    <pic:cNvPicPr>
                                      <a:picLocks noChangeAspect="1"/>
                                    </pic:cNvPicPr>
                                  </pic:nvPicPr>
                                  <pic:blipFill>
                                    <a:blip r:embed="rId6"/>
                                    <a:stretch>
                                      <a:fillRect/>
                                    </a:stretch>
                                  </pic:blipFill>
                                  <pic:spPr>
                                    <a:xfrm>
                                      <a:off x="0" y="0"/>
                                      <a:ext cx="2663825" cy="1730375"/>
                                    </a:xfrm>
                                    <a:prstGeom prst="rect">
                                      <a:avLst/>
                                    </a:prstGeom>
                                    <a:noFill/>
                                    <a:ln>
                                      <a:noFill/>
                                    </a:ln>
                                  </pic:spPr>
                                </pic:pic>
                              </a:graphicData>
                            </a:graphic>
                          </wp:inline>
                        </w:drawing>
                      </w:r>
                    </w:p>
                  </w:txbxContent>
                </v:textbox>
              </v:shape>
            </w:pict>
          </mc:Fallback>
        </mc:AlternateContent>
      </w:r>
    </w:p>
    <w:p>
      <w:pPr>
        <w:spacing w:line="360" w:lineRule="auto"/>
        <w:ind w:firstLine="420"/>
        <w:rPr>
          <w:rFonts w:hint="eastAsia" w:ascii="宋体" w:hAnsi="宋体" w:cs="宋体"/>
          <w:sz w:val="24"/>
          <w:szCs w:val="24"/>
        </w:rPr>
      </w:pPr>
    </w:p>
    <w:p>
      <w:pPr>
        <w:spacing w:line="360" w:lineRule="auto"/>
        <w:ind w:firstLine="420"/>
        <w:rPr>
          <w:rFonts w:hint="eastAsia" w:ascii="宋体" w:hAnsi="宋体" w:cs="宋体"/>
          <w:sz w:val="24"/>
          <w:szCs w:val="24"/>
        </w:rPr>
      </w:pPr>
    </w:p>
    <w:p>
      <w:pPr>
        <w:spacing w:line="360" w:lineRule="auto"/>
        <w:ind w:firstLine="420"/>
        <w:rPr>
          <w:rFonts w:hint="eastAsia" w:ascii="宋体" w:hAnsi="宋体" w:cs="宋体"/>
          <w:sz w:val="24"/>
          <w:szCs w:val="24"/>
        </w:rPr>
      </w:pPr>
    </w:p>
    <w:p>
      <w:pPr>
        <w:pStyle w:val="2"/>
        <w:rPr>
          <w:rFonts w:hint="eastAsia" w:ascii="宋体" w:hAnsi="宋体" w:cs="宋体"/>
          <w:sz w:val="24"/>
          <w:szCs w:val="24"/>
        </w:rPr>
      </w:pPr>
    </w:p>
    <w:p>
      <w:pPr>
        <w:pStyle w:val="3"/>
        <w:rPr>
          <w:rFonts w:hint="eastAsia" w:ascii="宋体" w:hAnsi="宋体" w:cs="宋体"/>
          <w:sz w:val="24"/>
          <w:szCs w:val="24"/>
        </w:rPr>
      </w:pPr>
    </w:p>
    <w:p>
      <w:pPr>
        <w:pStyle w:val="3"/>
        <w:rPr>
          <w:rFonts w:hint="eastAsia" w:ascii="宋体" w:hAnsi="宋体" w:cs="宋体"/>
          <w:sz w:val="24"/>
          <w:szCs w:val="24"/>
        </w:rPr>
      </w:pPr>
    </w:p>
    <w:p>
      <w:pPr>
        <w:spacing w:line="360" w:lineRule="auto"/>
        <w:jc w:val="left"/>
        <w:rPr>
          <w:rFonts w:hint="eastAsia" w:ascii="宋体" w:hAnsi="宋体" w:cs="宋体"/>
          <w:sz w:val="24"/>
          <w:szCs w:val="24"/>
        </w:rPr>
      </w:pPr>
    </w:p>
    <w:tbl>
      <w:tblPr>
        <w:tblStyle w:val="4"/>
        <w:tblW w:w="8881"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20"/>
        <w:gridCol w:w="1661"/>
        <w:gridCol w:w="3453"/>
        <w:gridCol w:w="1573"/>
        <w:gridCol w:w="7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20" w:type="dxa"/>
            <w:noWrap w:val="0"/>
            <w:vAlign w:val="top"/>
          </w:tcPr>
          <w:p>
            <w:pPr>
              <w:keepNext w:val="0"/>
              <w:keepLines w:val="0"/>
              <w:suppressLineNumbers w:val="0"/>
              <w:spacing w:before="0" w:beforeAutospacing="0" w:after="0" w:afterAutospacing="0" w:line="360" w:lineRule="auto"/>
              <w:ind w:left="0" w:right="0"/>
              <w:jc w:val="center"/>
              <w:rPr>
                <w:rFonts w:hint="eastAsia" w:ascii="宋体" w:hAnsi="宋体" w:cs="宋体"/>
                <w:b/>
                <w:bCs/>
                <w:sz w:val="24"/>
                <w:szCs w:val="24"/>
              </w:rPr>
            </w:pPr>
            <w:r>
              <w:rPr>
                <w:rFonts w:hint="eastAsia" w:ascii="宋体" w:hAnsi="宋体" w:cs="宋体"/>
                <w:b/>
                <w:bCs/>
                <w:sz w:val="24"/>
                <w:szCs w:val="24"/>
              </w:rPr>
              <w:t>培训时间</w:t>
            </w:r>
          </w:p>
        </w:tc>
        <w:tc>
          <w:tcPr>
            <w:tcW w:w="1661" w:type="dxa"/>
            <w:noWrap w:val="0"/>
            <w:vAlign w:val="top"/>
          </w:tcPr>
          <w:p>
            <w:pPr>
              <w:keepNext w:val="0"/>
              <w:keepLines w:val="0"/>
              <w:suppressLineNumbers w:val="0"/>
              <w:spacing w:before="0" w:beforeAutospacing="0" w:after="0" w:afterAutospacing="0" w:line="360" w:lineRule="auto"/>
              <w:ind w:left="0" w:right="0"/>
              <w:jc w:val="center"/>
              <w:rPr>
                <w:rFonts w:hint="eastAsia" w:ascii="宋体" w:hAnsi="宋体" w:cs="宋体"/>
                <w:b/>
                <w:bCs/>
                <w:sz w:val="24"/>
                <w:szCs w:val="24"/>
              </w:rPr>
            </w:pPr>
            <w:r>
              <w:rPr>
                <w:rFonts w:hint="eastAsia" w:ascii="宋体" w:hAnsi="宋体" w:cs="宋体"/>
                <w:b/>
                <w:bCs/>
                <w:sz w:val="24"/>
                <w:szCs w:val="24"/>
              </w:rPr>
              <w:t>培训模块</w:t>
            </w:r>
          </w:p>
        </w:tc>
        <w:tc>
          <w:tcPr>
            <w:tcW w:w="3453" w:type="dxa"/>
            <w:noWrap w:val="0"/>
            <w:vAlign w:val="top"/>
          </w:tcPr>
          <w:p>
            <w:pPr>
              <w:keepNext w:val="0"/>
              <w:keepLines w:val="0"/>
              <w:suppressLineNumbers w:val="0"/>
              <w:spacing w:before="0" w:beforeAutospacing="0" w:after="0" w:afterAutospacing="0" w:line="360" w:lineRule="auto"/>
              <w:ind w:left="0" w:right="0"/>
              <w:jc w:val="center"/>
              <w:rPr>
                <w:rFonts w:hint="eastAsia" w:ascii="宋体" w:hAnsi="宋体" w:cs="宋体"/>
                <w:b/>
                <w:bCs/>
                <w:sz w:val="24"/>
                <w:szCs w:val="24"/>
              </w:rPr>
            </w:pPr>
            <w:r>
              <w:rPr>
                <w:rFonts w:hint="eastAsia" w:ascii="宋体" w:hAnsi="宋体" w:cs="宋体"/>
                <w:b/>
                <w:bCs/>
                <w:sz w:val="24"/>
                <w:szCs w:val="24"/>
              </w:rPr>
              <w:t>详细内容</w:t>
            </w:r>
          </w:p>
        </w:tc>
        <w:tc>
          <w:tcPr>
            <w:tcW w:w="1573" w:type="dxa"/>
            <w:noWrap w:val="0"/>
            <w:vAlign w:val="top"/>
          </w:tcPr>
          <w:p>
            <w:pPr>
              <w:keepNext w:val="0"/>
              <w:keepLines w:val="0"/>
              <w:suppressLineNumbers w:val="0"/>
              <w:spacing w:before="0" w:beforeAutospacing="0" w:after="0" w:afterAutospacing="0" w:line="360" w:lineRule="auto"/>
              <w:ind w:left="0" w:right="0"/>
              <w:jc w:val="center"/>
              <w:rPr>
                <w:rFonts w:hint="eastAsia" w:ascii="宋体" w:hAnsi="宋体" w:cs="宋体"/>
                <w:b/>
                <w:bCs/>
                <w:sz w:val="24"/>
                <w:szCs w:val="24"/>
              </w:rPr>
            </w:pPr>
            <w:r>
              <w:rPr>
                <w:rFonts w:hint="eastAsia" w:ascii="宋体" w:hAnsi="宋体" w:cs="宋体"/>
                <w:b/>
                <w:bCs/>
                <w:sz w:val="24"/>
                <w:szCs w:val="24"/>
              </w:rPr>
              <w:t>学时</w:t>
            </w:r>
          </w:p>
        </w:tc>
        <w:tc>
          <w:tcPr>
            <w:tcW w:w="774" w:type="dxa"/>
            <w:noWrap w:val="0"/>
            <w:vAlign w:val="top"/>
          </w:tcPr>
          <w:p>
            <w:pPr>
              <w:keepNext w:val="0"/>
              <w:keepLines w:val="0"/>
              <w:suppressLineNumbers w:val="0"/>
              <w:spacing w:before="0" w:beforeAutospacing="0" w:after="0" w:afterAutospacing="0" w:line="360" w:lineRule="auto"/>
              <w:ind w:left="0" w:right="0"/>
              <w:jc w:val="center"/>
              <w:rPr>
                <w:rFonts w:hint="eastAsia" w:ascii="宋体" w:hAnsi="宋体" w:cs="宋体"/>
                <w:b/>
                <w:bCs/>
                <w:sz w:val="24"/>
                <w:szCs w:val="24"/>
              </w:rPr>
            </w:pPr>
            <w:r>
              <w:rPr>
                <w:rFonts w:hint="eastAsia" w:ascii="宋体" w:hAnsi="宋体" w:cs="宋体"/>
                <w:b/>
                <w:bCs/>
                <w:sz w:val="24"/>
                <w:szCs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20" w:type="dxa"/>
            <w:noWrap w:val="0"/>
            <w:vAlign w:val="center"/>
          </w:tcPr>
          <w:p>
            <w:pPr>
              <w:keepNext w:val="0"/>
              <w:keepLines w:val="0"/>
              <w:suppressLineNumbers w:val="0"/>
              <w:spacing w:before="0" w:beforeAutospacing="0" w:after="0" w:afterAutospacing="0" w:line="360" w:lineRule="auto"/>
              <w:ind w:left="0" w:right="0"/>
              <w:jc w:val="center"/>
              <w:rPr>
                <w:rFonts w:hint="eastAsia" w:ascii="宋体" w:hAnsi="宋体" w:cs="宋体"/>
                <w:sz w:val="24"/>
                <w:szCs w:val="24"/>
              </w:rPr>
            </w:pPr>
            <w:r>
              <w:rPr>
                <w:rFonts w:hint="eastAsia" w:ascii="宋体" w:hAnsi="宋体" w:cs="宋体"/>
                <w:sz w:val="24"/>
                <w:szCs w:val="24"/>
              </w:rPr>
              <w:t>第一学期</w:t>
            </w:r>
          </w:p>
        </w:tc>
        <w:tc>
          <w:tcPr>
            <w:tcW w:w="1661" w:type="dxa"/>
            <w:noWrap w:val="0"/>
            <w:vAlign w:val="center"/>
          </w:tcPr>
          <w:p>
            <w:pPr>
              <w:keepNext w:val="0"/>
              <w:keepLines w:val="0"/>
              <w:suppressLineNumbers w:val="0"/>
              <w:spacing w:before="0" w:beforeAutospacing="0" w:after="0" w:afterAutospacing="0" w:line="360" w:lineRule="auto"/>
              <w:ind w:left="0" w:right="0"/>
              <w:jc w:val="center"/>
              <w:rPr>
                <w:rFonts w:hint="eastAsia" w:ascii="宋体" w:hAnsi="宋体" w:cs="宋体"/>
                <w:sz w:val="24"/>
                <w:szCs w:val="24"/>
              </w:rPr>
            </w:pPr>
            <w:r>
              <w:rPr>
                <w:rFonts w:hint="eastAsia" w:ascii="宋体" w:hAnsi="宋体" w:cs="宋体"/>
                <w:sz w:val="24"/>
                <w:szCs w:val="24"/>
              </w:rPr>
              <w:t>电商基础培训</w:t>
            </w:r>
          </w:p>
        </w:tc>
        <w:tc>
          <w:tcPr>
            <w:tcW w:w="3453" w:type="dxa"/>
            <w:noWrap w:val="0"/>
            <w:vAlign w:val="center"/>
          </w:tcPr>
          <w:p>
            <w:pPr>
              <w:keepNext w:val="0"/>
              <w:keepLines w:val="0"/>
              <w:numPr>
                <w:ilvl w:val="0"/>
                <w:numId w:val="2"/>
              </w:numPr>
              <w:suppressLineNumbers w:val="0"/>
              <w:spacing w:before="0" w:beforeAutospacing="0" w:after="0" w:afterAutospacing="0"/>
              <w:ind w:left="0" w:right="0"/>
              <w:jc w:val="left"/>
              <w:rPr>
                <w:rFonts w:hint="eastAsia" w:ascii="宋体" w:hAnsi="宋体" w:cs="宋体"/>
                <w:sz w:val="24"/>
                <w:szCs w:val="24"/>
              </w:rPr>
            </w:pPr>
            <w:r>
              <w:rPr>
                <w:rFonts w:hint="eastAsia" w:ascii="宋体" w:hAnsi="宋体" w:cs="宋体"/>
                <w:sz w:val="24"/>
                <w:szCs w:val="24"/>
              </w:rPr>
              <w:t>电子商务基础培训。</w:t>
            </w:r>
          </w:p>
          <w:p>
            <w:pPr>
              <w:keepNext w:val="0"/>
              <w:keepLines w:val="0"/>
              <w:numPr>
                <w:ilvl w:val="0"/>
                <w:numId w:val="2"/>
              </w:numPr>
              <w:suppressLineNumbers w:val="0"/>
              <w:spacing w:before="0" w:beforeAutospacing="0" w:after="0" w:afterAutospacing="0"/>
              <w:ind w:left="0" w:right="0"/>
              <w:jc w:val="left"/>
              <w:rPr>
                <w:rFonts w:hint="eastAsia" w:ascii="宋体" w:hAnsi="宋体" w:cs="宋体"/>
                <w:sz w:val="24"/>
                <w:szCs w:val="24"/>
              </w:rPr>
            </w:pPr>
            <w:r>
              <w:rPr>
                <w:rFonts w:hint="eastAsia" w:ascii="宋体" w:hAnsi="宋体" w:cs="宋体"/>
                <w:sz w:val="24"/>
                <w:szCs w:val="24"/>
              </w:rPr>
              <w:t>淘系店铺开始。</w:t>
            </w:r>
          </w:p>
          <w:p>
            <w:pPr>
              <w:keepNext w:val="0"/>
              <w:keepLines w:val="0"/>
              <w:numPr>
                <w:ilvl w:val="0"/>
                <w:numId w:val="2"/>
              </w:numPr>
              <w:suppressLineNumbers w:val="0"/>
              <w:spacing w:before="0" w:beforeAutospacing="0" w:after="0" w:afterAutospacing="0"/>
              <w:ind w:left="0" w:right="0"/>
              <w:jc w:val="left"/>
              <w:rPr>
                <w:rFonts w:hint="eastAsia" w:ascii="宋体" w:hAnsi="宋体" w:cs="宋体"/>
                <w:sz w:val="24"/>
                <w:szCs w:val="24"/>
              </w:rPr>
            </w:pPr>
            <w:r>
              <w:rPr>
                <w:rFonts w:hint="eastAsia" w:ascii="宋体" w:hAnsi="宋体" w:cs="宋体"/>
                <w:sz w:val="24"/>
                <w:szCs w:val="24"/>
              </w:rPr>
              <w:t>营销心理培训。</w:t>
            </w:r>
          </w:p>
          <w:p>
            <w:pPr>
              <w:keepNext w:val="0"/>
              <w:keepLines w:val="0"/>
              <w:numPr>
                <w:ilvl w:val="0"/>
                <w:numId w:val="2"/>
              </w:numPr>
              <w:suppressLineNumbers w:val="0"/>
              <w:spacing w:before="0" w:beforeAutospacing="0" w:after="0" w:afterAutospacing="0"/>
              <w:ind w:left="0" w:right="0"/>
              <w:jc w:val="left"/>
              <w:rPr>
                <w:rFonts w:hint="eastAsia" w:ascii="宋体" w:hAnsi="宋体" w:cs="宋体"/>
                <w:sz w:val="24"/>
                <w:szCs w:val="24"/>
              </w:rPr>
            </w:pPr>
            <w:r>
              <w:rPr>
                <w:rFonts w:hint="eastAsia" w:ascii="宋体" w:hAnsi="宋体" w:cs="宋体"/>
                <w:sz w:val="24"/>
                <w:szCs w:val="24"/>
              </w:rPr>
              <w:t>电商商城开发。</w:t>
            </w:r>
          </w:p>
        </w:tc>
        <w:tc>
          <w:tcPr>
            <w:tcW w:w="1573" w:type="dxa"/>
            <w:noWrap w:val="0"/>
            <w:vAlign w:val="center"/>
          </w:tcPr>
          <w:p>
            <w:pPr>
              <w:keepNext w:val="0"/>
              <w:keepLines w:val="0"/>
              <w:suppressLineNumbers w:val="0"/>
              <w:spacing w:before="0" w:beforeAutospacing="0" w:after="0" w:afterAutospacing="0" w:line="360" w:lineRule="auto"/>
              <w:ind w:left="0" w:right="0"/>
              <w:jc w:val="center"/>
              <w:rPr>
                <w:rFonts w:hint="eastAsia" w:ascii="宋体" w:hAnsi="宋体" w:cs="宋体"/>
                <w:sz w:val="24"/>
                <w:szCs w:val="24"/>
              </w:rPr>
            </w:pPr>
            <w:r>
              <w:rPr>
                <w:rFonts w:hint="eastAsia" w:ascii="宋体" w:hAnsi="宋体" w:cs="宋体"/>
                <w:sz w:val="24"/>
                <w:szCs w:val="24"/>
              </w:rPr>
              <w:t>60</w:t>
            </w:r>
          </w:p>
        </w:tc>
        <w:tc>
          <w:tcPr>
            <w:tcW w:w="774" w:type="dxa"/>
            <w:noWrap w:val="0"/>
            <w:vAlign w:val="center"/>
          </w:tcPr>
          <w:p>
            <w:pPr>
              <w:keepNext w:val="0"/>
              <w:keepLines w:val="0"/>
              <w:suppressLineNumbers w:val="0"/>
              <w:spacing w:before="0" w:beforeAutospacing="0" w:after="0" w:afterAutospacing="0" w:line="360" w:lineRule="auto"/>
              <w:ind w:left="0" w:right="0"/>
              <w:jc w:val="center"/>
              <w:rPr>
                <w:rFonts w:hint="eastAsia" w:ascii="宋体" w:hAnsi="宋体" w:cs="宋体"/>
                <w:sz w:val="24"/>
                <w:szCs w:val="24"/>
              </w:rPr>
            </w:pPr>
            <w:r>
              <w:rPr>
                <w:rFonts w:hint="eastAsia" w:ascii="宋体" w:hAnsi="宋体" w:cs="宋体"/>
                <w:sz w:val="24"/>
                <w:szCs w:val="24"/>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100" w:hRule="atLeast"/>
          <w:jc w:val="center"/>
        </w:trPr>
        <w:tc>
          <w:tcPr>
            <w:tcW w:w="1420" w:type="dxa"/>
            <w:noWrap w:val="0"/>
            <w:vAlign w:val="center"/>
          </w:tcPr>
          <w:p>
            <w:pPr>
              <w:keepNext w:val="0"/>
              <w:keepLines w:val="0"/>
              <w:suppressLineNumbers w:val="0"/>
              <w:spacing w:before="0" w:beforeAutospacing="0" w:after="0" w:afterAutospacing="0" w:line="360" w:lineRule="auto"/>
              <w:ind w:left="0" w:right="0"/>
              <w:jc w:val="center"/>
              <w:rPr>
                <w:rFonts w:hint="eastAsia" w:ascii="宋体" w:hAnsi="宋体" w:cs="宋体"/>
                <w:sz w:val="24"/>
                <w:szCs w:val="24"/>
              </w:rPr>
            </w:pPr>
            <w:r>
              <w:rPr>
                <w:rFonts w:hint="eastAsia" w:ascii="宋体" w:hAnsi="宋体" w:cs="宋体"/>
                <w:sz w:val="24"/>
                <w:szCs w:val="24"/>
              </w:rPr>
              <w:t>第二学期</w:t>
            </w:r>
          </w:p>
        </w:tc>
        <w:tc>
          <w:tcPr>
            <w:tcW w:w="1661" w:type="dxa"/>
            <w:noWrap w:val="0"/>
            <w:vAlign w:val="center"/>
          </w:tcPr>
          <w:p>
            <w:pPr>
              <w:keepNext w:val="0"/>
              <w:keepLines w:val="0"/>
              <w:suppressLineNumbers w:val="0"/>
              <w:spacing w:before="0" w:beforeAutospacing="0" w:after="0" w:afterAutospacing="0" w:line="360" w:lineRule="auto"/>
              <w:ind w:left="0" w:right="0"/>
              <w:jc w:val="center"/>
              <w:rPr>
                <w:rFonts w:hint="eastAsia" w:ascii="宋体" w:hAnsi="宋体" w:cs="宋体"/>
                <w:sz w:val="24"/>
                <w:szCs w:val="24"/>
              </w:rPr>
            </w:pPr>
            <w:r>
              <w:rPr>
                <w:rFonts w:hint="eastAsia" w:ascii="宋体" w:hAnsi="宋体" w:cs="宋体"/>
                <w:sz w:val="24"/>
                <w:szCs w:val="24"/>
              </w:rPr>
              <w:t>电商美工</w:t>
            </w:r>
          </w:p>
        </w:tc>
        <w:tc>
          <w:tcPr>
            <w:tcW w:w="3453" w:type="dxa"/>
            <w:noWrap w:val="0"/>
            <w:vAlign w:val="center"/>
          </w:tcPr>
          <w:p>
            <w:pPr>
              <w:keepNext w:val="0"/>
              <w:keepLines w:val="0"/>
              <w:numPr>
                <w:ilvl w:val="0"/>
                <w:numId w:val="3"/>
              </w:numPr>
              <w:suppressLineNumbers w:val="0"/>
              <w:spacing w:before="0" w:beforeAutospacing="0" w:after="0" w:afterAutospacing="0"/>
              <w:ind w:left="0" w:right="0"/>
              <w:jc w:val="left"/>
              <w:rPr>
                <w:rFonts w:hint="eastAsia" w:ascii="宋体" w:hAnsi="宋体" w:cs="宋体"/>
                <w:sz w:val="24"/>
                <w:szCs w:val="24"/>
              </w:rPr>
            </w:pPr>
            <w:r>
              <w:rPr>
                <w:rFonts w:hint="eastAsia" w:ascii="宋体" w:hAnsi="宋体" w:cs="宋体"/>
                <w:sz w:val="24"/>
                <w:szCs w:val="24"/>
              </w:rPr>
              <w:t>店招设计。</w:t>
            </w:r>
          </w:p>
          <w:p>
            <w:pPr>
              <w:keepNext w:val="0"/>
              <w:keepLines w:val="0"/>
              <w:numPr>
                <w:ilvl w:val="0"/>
                <w:numId w:val="3"/>
              </w:numPr>
              <w:suppressLineNumbers w:val="0"/>
              <w:spacing w:before="0" w:beforeAutospacing="0" w:after="0" w:afterAutospacing="0"/>
              <w:ind w:left="0" w:right="0"/>
              <w:jc w:val="left"/>
              <w:rPr>
                <w:rFonts w:hint="eastAsia" w:ascii="宋体" w:hAnsi="宋体" w:cs="宋体"/>
                <w:sz w:val="24"/>
                <w:szCs w:val="24"/>
              </w:rPr>
            </w:pPr>
            <w:r>
              <w:rPr>
                <w:rFonts w:hint="eastAsia" w:ascii="宋体" w:hAnsi="宋体" w:cs="宋体"/>
                <w:sz w:val="24"/>
                <w:szCs w:val="24"/>
              </w:rPr>
              <w:t>海报设计。</w:t>
            </w:r>
          </w:p>
          <w:p>
            <w:pPr>
              <w:keepNext w:val="0"/>
              <w:keepLines w:val="0"/>
              <w:numPr>
                <w:ilvl w:val="0"/>
                <w:numId w:val="3"/>
              </w:numPr>
              <w:suppressLineNumbers w:val="0"/>
              <w:spacing w:before="0" w:beforeAutospacing="0" w:after="0" w:afterAutospacing="0"/>
              <w:ind w:left="0" w:right="0"/>
              <w:jc w:val="left"/>
              <w:rPr>
                <w:rFonts w:hint="eastAsia" w:ascii="宋体" w:hAnsi="宋体" w:cs="宋体"/>
                <w:sz w:val="24"/>
                <w:szCs w:val="24"/>
              </w:rPr>
            </w:pPr>
            <w:r>
              <w:rPr>
                <w:rFonts w:hint="eastAsia" w:ascii="宋体" w:hAnsi="宋体" w:cs="宋体"/>
                <w:sz w:val="24"/>
                <w:szCs w:val="24"/>
              </w:rPr>
              <w:t>主图设计。</w:t>
            </w:r>
          </w:p>
          <w:p>
            <w:pPr>
              <w:keepNext w:val="0"/>
              <w:keepLines w:val="0"/>
              <w:numPr>
                <w:ilvl w:val="0"/>
                <w:numId w:val="3"/>
              </w:numPr>
              <w:suppressLineNumbers w:val="0"/>
              <w:spacing w:before="0" w:beforeAutospacing="0" w:after="0" w:afterAutospacing="0"/>
              <w:ind w:left="0" w:right="0"/>
              <w:jc w:val="left"/>
              <w:rPr>
                <w:rFonts w:hint="eastAsia" w:ascii="宋体" w:hAnsi="宋体" w:cs="宋体"/>
                <w:sz w:val="24"/>
                <w:szCs w:val="24"/>
              </w:rPr>
            </w:pPr>
            <w:r>
              <w:rPr>
                <w:rFonts w:hint="eastAsia" w:ascii="宋体" w:hAnsi="宋体" w:cs="宋体"/>
                <w:sz w:val="24"/>
                <w:szCs w:val="24"/>
              </w:rPr>
              <w:t>产品详情页设计。</w:t>
            </w:r>
          </w:p>
          <w:p>
            <w:pPr>
              <w:keepNext w:val="0"/>
              <w:keepLines w:val="0"/>
              <w:numPr>
                <w:ilvl w:val="0"/>
                <w:numId w:val="3"/>
              </w:numPr>
              <w:suppressLineNumbers w:val="0"/>
              <w:spacing w:before="0" w:beforeAutospacing="0" w:after="0" w:afterAutospacing="0"/>
              <w:ind w:left="0" w:right="0"/>
              <w:jc w:val="left"/>
              <w:rPr>
                <w:rFonts w:hint="eastAsia" w:ascii="宋体" w:hAnsi="宋体" w:cs="宋体"/>
                <w:sz w:val="24"/>
                <w:szCs w:val="24"/>
              </w:rPr>
            </w:pPr>
            <w:r>
              <w:rPr>
                <w:rFonts w:hint="eastAsia" w:ascii="宋体" w:hAnsi="宋体" w:cs="宋体"/>
                <w:sz w:val="24"/>
                <w:szCs w:val="24"/>
              </w:rPr>
              <w:t>视觉营销设计。</w:t>
            </w:r>
          </w:p>
          <w:p>
            <w:pPr>
              <w:keepNext w:val="0"/>
              <w:keepLines w:val="0"/>
              <w:numPr>
                <w:ilvl w:val="0"/>
                <w:numId w:val="3"/>
              </w:numPr>
              <w:suppressLineNumbers w:val="0"/>
              <w:spacing w:before="0" w:beforeAutospacing="0" w:after="0" w:afterAutospacing="0"/>
              <w:ind w:left="0" w:right="0"/>
              <w:jc w:val="left"/>
              <w:rPr>
                <w:rFonts w:hint="eastAsia" w:ascii="宋体" w:hAnsi="宋体" w:cs="宋体"/>
                <w:sz w:val="24"/>
                <w:szCs w:val="24"/>
              </w:rPr>
            </w:pPr>
            <w:r>
              <w:rPr>
                <w:rFonts w:hint="eastAsia" w:ascii="宋体" w:hAnsi="宋体" w:cs="宋体"/>
                <w:sz w:val="24"/>
                <w:szCs w:val="24"/>
              </w:rPr>
              <w:t>产品拍摄技能。</w:t>
            </w:r>
          </w:p>
        </w:tc>
        <w:tc>
          <w:tcPr>
            <w:tcW w:w="1573" w:type="dxa"/>
            <w:noWrap w:val="0"/>
            <w:vAlign w:val="center"/>
          </w:tcPr>
          <w:p>
            <w:pPr>
              <w:keepNext w:val="0"/>
              <w:keepLines w:val="0"/>
              <w:suppressLineNumbers w:val="0"/>
              <w:spacing w:before="0" w:beforeAutospacing="0" w:after="0" w:afterAutospacing="0" w:line="360" w:lineRule="auto"/>
              <w:ind w:left="0" w:right="0"/>
              <w:jc w:val="center"/>
              <w:rPr>
                <w:rFonts w:hint="eastAsia" w:ascii="宋体" w:hAnsi="宋体" w:cs="宋体"/>
                <w:sz w:val="24"/>
                <w:szCs w:val="24"/>
              </w:rPr>
            </w:pPr>
            <w:r>
              <w:rPr>
                <w:rFonts w:hint="eastAsia" w:ascii="宋体" w:hAnsi="宋体" w:cs="宋体"/>
                <w:sz w:val="24"/>
                <w:szCs w:val="24"/>
              </w:rPr>
              <w:t>50</w:t>
            </w:r>
          </w:p>
        </w:tc>
        <w:tc>
          <w:tcPr>
            <w:tcW w:w="774" w:type="dxa"/>
            <w:noWrap w:val="0"/>
            <w:vAlign w:val="center"/>
          </w:tcPr>
          <w:p>
            <w:pPr>
              <w:keepNext w:val="0"/>
              <w:keepLines w:val="0"/>
              <w:suppressLineNumbers w:val="0"/>
              <w:spacing w:before="0" w:beforeAutospacing="0" w:after="0" w:afterAutospacing="0" w:line="360" w:lineRule="auto"/>
              <w:ind w:left="0" w:right="0"/>
              <w:jc w:val="center"/>
              <w:rPr>
                <w:rFonts w:hint="eastAsia" w:ascii="宋体" w:hAnsi="宋体" w:cs="宋体"/>
                <w:sz w:val="24"/>
                <w:szCs w:val="24"/>
              </w:rPr>
            </w:pPr>
            <w:r>
              <w:rPr>
                <w:rFonts w:hint="eastAsia" w:ascii="宋体" w:hAnsi="宋体" w:cs="宋体"/>
                <w:sz w:val="24"/>
                <w:szCs w:val="24"/>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20" w:type="dxa"/>
            <w:noWrap w:val="0"/>
            <w:vAlign w:val="center"/>
          </w:tcPr>
          <w:p>
            <w:pPr>
              <w:keepNext w:val="0"/>
              <w:keepLines w:val="0"/>
              <w:suppressLineNumbers w:val="0"/>
              <w:spacing w:before="0" w:beforeAutospacing="0" w:after="0" w:afterAutospacing="0" w:line="360" w:lineRule="auto"/>
              <w:ind w:left="0" w:right="0"/>
              <w:jc w:val="center"/>
              <w:rPr>
                <w:rFonts w:hint="eastAsia" w:ascii="宋体" w:hAnsi="宋体" w:cs="宋体"/>
                <w:sz w:val="24"/>
                <w:szCs w:val="24"/>
              </w:rPr>
            </w:pPr>
            <w:r>
              <w:rPr>
                <w:rFonts w:hint="eastAsia" w:ascii="宋体" w:hAnsi="宋体" w:cs="宋体"/>
                <w:sz w:val="24"/>
                <w:szCs w:val="24"/>
              </w:rPr>
              <w:t>第三学期</w:t>
            </w:r>
          </w:p>
        </w:tc>
        <w:tc>
          <w:tcPr>
            <w:tcW w:w="1661" w:type="dxa"/>
            <w:noWrap w:val="0"/>
            <w:vAlign w:val="center"/>
          </w:tcPr>
          <w:p>
            <w:pPr>
              <w:keepNext w:val="0"/>
              <w:keepLines w:val="0"/>
              <w:suppressLineNumbers w:val="0"/>
              <w:spacing w:before="0" w:beforeAutospacing="0" w:after="0" w:afterAutospacing="0" w:line="360" w:lineRule="auto"/>
              <w:ind w:left="0" w:right="0"/>
              <w:jc w:val="center"/>
              <w:rPr>
                <w:rFonts w:hint="eastAsia" w:ascii="宋体" w:hAnsi="宋体" w:cs="宋体"/>
                <w:sz w:val="24"/>
                <w:szCs w:val="24"/>
              </w:rPr>
            </w:pPr>
            <w:r>
              <w:rPr>
                <w:rFonts w:hint="eastAsia" w:ascii="宋体" w:hAnsi="宋体" w:cs="宋体"/>
                <w:sz w:val="24"/>
                <w:szCs w:val="24"/>
              </w:rPr>
              <w:t>电商运营</w:t>
            </w:r>
          </w:p>
        </w:tc>
        <w:tc>
          <w:tcPr>
            <w:tcW w:w="3453" w:type="dxa"/>
            <w:noWrap w:val="0"/>
            <w:vAlign w:val="center"/>
          </w:tcPr>
          <w:p>
            <w:pPr>
              <w:keepNext w:val="0"/>
              <w:keepLines w:val="0"/>
              <w:numPr>
                <w:ilvl w:val="0"/>
                <w:numId w:val="4"/>
              </w:numPr>
              <w:suppressLineNumbers w:val="0"/>
              <w:spacing w:before="0" w:beforeAutospacing="0" w:after="0" w:afterAutospacing="0"/>
              <w:ind w:left="0" w:right="0"/>
              <w:jc w:val="left"/>
              <w:rPr>
                <w:rFonts w:hint="eastAsia" w:ascii="宋体" w:hAnsi="宋体" w:cs="宋体"/>
                <w:sz w:val="24"/>
                <w:szCs w:val="24"/>
              </w:rPr>
            </w:pPr>
            <w:r>
              <w:rPr>
                <w:rFonts w:hint="eastAsia" w:ascii="宋体" w:hAnsi="宋体" w:cs="宋体"/>
                <w:sz w:val="24"/>
                <w:szCs w:val="24"/>
              </w:rPr>
              <w:t>产品上下架。</w:t>
            </w:r>
          </w:p>
          <w:p>
            <w:pPr>
              <w:keepNext w:val="0"/>
              <w:keepLines w:val="0"/>
              <w:numPr>
                <w:ilvl w:val="0"/>
                <w:numId w:val="4"/>
              </w:numPr>
              <w:suppressLineNumbers w:val="0"/>
              <w:spacing w:before="0" w:beforeAutospacing="0" w:after="0" w:afterAutospacing="0"/>
              <w:ind w:left="0" w:right="0"/>
              <w:jc w:val="left"/>
              <w:rPr>
                <w:rFonts w:hint="eastAsia" w:ascii="宋体" w:hAnsi="宋体" w:cs="宋体"/>
                <w:sz w:val="24"/>
                <w:szCs w:val="24"/>
              </w:rPr>
            </w:pPr>
            <w:r>
              <w:rPr>
                <w:rFonts w:hint="eastAsia" w:ascii="宋体" w:hAnsi="宋体" w:cs="宋体"/>
                <w:sz w:val="24"/>
                <w:szCs w:val="24"/>
              </w:rPr>
              <w:t>站内站外营销推广。</w:t>
            </w:r>
          </w:p>
          <w:p>
            <w:pPr>
              <w:keepNext w:val="0"/>
              <w:keepLines w:val="0"/>
              <w:numPr>
                <w:ilvl w:val="0"/>
                <w:numId w:val="4"/>
              </w:numPr>
              <w:suppressLineNumbers w:val="0"/>
              <w:spacing w:before="0" w:beforeAutospacing="0" w:after="0" w:afterAutospacing="0"/>
              <w:ind w:left="0" w:right="0"/>
              <w:jc w:val="left"/>
              <w:rPr>
                <w:rFonts w:hint="eastAsia" w:ascii="宋体" w:hAnsi="宋体" w:cs="宋体"/>
                <w:sz w:val="24"/>
                <w:szCs w:val="24"/>
              </w:rPr>
            </w:pPr>
            <w:r>
              <w:rPr>
                <w:rFonts w:hint="eastAsia" w:ascii="宋体" w:hAnsi="宋体" w:cs="宋体"/>
                <w:sz w:val="24"/>
                <w:szCs w:val="24"/>
              </w:rPr>
              <w:t>各种店铺活动。</w:t>
            </w:r>
          </w:p>
          <w:p>
            <w:pPr>
              <w:keepNext w:val="0"/>
              <w:keepLines w:val="0"/>
              <w:numPr>
                <w:ilvl w:val="0"/>
                <w:numId w:val="4"/>
              </w:numPr>
              <w:suppressLineNumbers w:val="0"/>
              <w:spacing w:before="0" w:beforeAutospacing="0" w:after="0" w:afterAutospacing="0"/>
              <w:ind w:left="0" w:right="0"/>
              <w:jc w:val="left"/>
              <w:rPr>
                <w:rFonts w:hint="eastAsia" w:ascii="宋体" w:hAnsi="宋体" w:cs="宋体"/>
                <w:sz w:val="24"/>
                <w:szCs w:val="24"/>
              </w:rPr>
            </w:pPr>
            <w:r>
              <w:rPr>
                <w:rFonts w:hint="eastAsia" w:ascii="宋体" w:hAnsi="宋体" w:cs="宋体"/>
                <w:sz w:val="24"/>
                <w:szCs w:val="24"/>
              </w:rPr>
              <w:t>各种主流营销工具的应用。</w:t>
            </w:r>
          </w:p>
        </w:tc>
        <w:tc>
          <w:tcPr>
            <w:tcW w:w="1573" w:type="dxa"/>
            <w:noWrap w:val="0"/>
            <w:vAlign w:val="center"/>
          </w:tcPr>
          <w:p>
            <w:pPr>
              <w:keepNext w:val="0"/>
              <w:keepLines w:val="0"/>
              <w:suppressLineNumbers w:val="0"/>
              <w:spacing w:before="0" w:beforeAutospacing="0" w:after="0" w:afterAutospacing="0" w:line="360" w:lineRule="auto"/>
              <w:ind w:left="0" w:right="0"/>
              <w:jc w:val="center"/>
              <w:rPr>
                <w:rFonts w:hint="eastAsia" w:ascii="宋体" w:hAnsi="宋体" w:cs="宋体"/>
                <w:sz w:val="24"/>
                <w:szCs w:val="24"/>
              </w:rPr>
            </w:pPr>
            <w:r>
              <w:rPr>
                <w:rFonts w:hint="eastAsia" w:ascii="宋体" w:hAnsi="宋体" w:cs="宋体"/>
                <w:sz w:val="24"/>
                <w:szCs w:val="24"/>
              </w:rPr>
              <w:t>35</w:t>
            </w:r>
          </w:p>
        </w:tc>
        <w:tc>
          <w:tcPr>
            <w:tcW w:w="774" w:type="dxa"/>
            <w:noWrap w:val="0"/>
            <w:vAlign w:val="center"/>
          </w:tcPr>
          <w:p>
            <w:pPr>
              <w:keepNext w:val="0"/>
              <w:keepLines w:val="0"/>
              <w:suppressLineNumbers w:val="0"/>
              <w:spacing w:before="0" w:beforeAutospacing="0" w:after="0" w:afterAutospacing="0" w:line="360" w:lineRule="auto"/>
              <w:ind w:left="0" w:right="0"/>
              <w:jc w:val="center"/>
              <w:rPr>
                <w:rFonts w:hint="eastAsia" w:ascii="宋体" w:hAnsi="宋体" w:cs="宋体"/>
                <w:sz w:val="24"/>
                <w:szCs w:val="24"/>
              </w:rPr>
            </w:pPr>
            <w:r>
              <w:rPr>
                <w:rFonts w:hint="eastAsia" w:ascii="宋体" w:hAnsi="宋体" w:cs="宋体"/>
                <w:sz w:val="24"/>
                <w:szCs w:val="24"/>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420" w:type="dxa"/>
            <w:noWrap w:val="0"/>
            <w:vAlign w:val="center"/>
          </w:tcPr>
          <w:p>
            <w:pPr>
              <w:keepNext w:val="0"/>
              <w:keepLines w:val="0"/>
              <w:suppressLineNumbers w:val="0"/>
              <w:spacing w:before="0" w:beforeAutospacing="0" w:after="0" w:afterAutospacing="0" w:line="360" w:lineRule="auto"/>
              <w:ind w:left="0" w:right="0"/>
              <w:jc w:val="center"/>
              <w:rPr>
                <w:rFonts w:hint="eastAsia" w:ascii="宋体" w:hAnsi="宋体" w:cs="宋体"/>
                <w:sz w:val="24"/>
                <w:szCs w:val="24"/>
              </w:rPr>
            </w:pPr>
            <w:r>
              <w:rPr>
                <w:rFonts w:hint="eastAsia" w:ascii="宋体" w:hAnsi="宋体" w:cs="宋体"/>
                <w:sz w:val="24"/>
                <w:szCs w:val="24"/>
              </w:rPr>
              <w:t>第四学期</w:t>
            </w:r>
          </w:p>
        </w:tc>
        <w:tc>
          <w:tcPr>
            <w:tcW w:w="1661" w:type="dxa"/>
            <w:noWrap w:val="0"/>
            <w:vAlign w:val="center"/>
          </w:tcPr>
          <w:p>
            <w:pPr>
              <w:keepNext w:val="0"/>
              <w:keepLines w:val="0"/>
              <w:suppressLineNumbers w:val="0"/>
              <w:spacing w:before="0" w:beforeAutospacing="0" w:after="0" w:afterAutospacing="0" w:line="360" w:lineRule="auto"/>
              <w:ind w:left="0" w:right="0"/>
              <w:jc w:val="center"/>
              <w:rPr>
                <w:rFonts w:hint="eastAsia" w:ascii="宋体" w:hAnsi="宋体" w:cs="宋体"/>
                <w:sz w:val="24"/>
                <w:szCs w:val="24"/>
              </w:rPr>
            </w:pPr>
            <w:r>
              <w:rPr>
                <w:rFonts w:hint="eastAsia" w:ascii="宋体" w:hAnsi="宋体" w:cs="宋体"/>
                <w:sz w:val="24"/>
                <w:szCs w:val="24"/>
              </w:rPr>
              <w:t>电商客服、物流、新媒体等</w:t>
            </w:r>
          </w:p>
        </w:tc>
        <w:tc>
          <w:tcPr>
            <w:tcW w:w="3453" w:type="dxa"/>
            <w:noWrap w:val="0"/>
            <w:vAlign w:val="center"/>
          </w:tcPr>
          <w:p>
            <w:pPr>
              <w:keepNext w:val="0"/>
              <w:keepLines w:val="0"/>
              <w:numPr>
                <w:ilvl w:val="0"/>
                <w:numId w:val="5"/>
              </w:numPr>
              <w:suppressLineNumbers w:val="0"/>
              <w:spacing w:before="0" w:beforeAutospacing="0" w:after="0" w:afterAutospacing="0"/>
              <w:ind w:left="0" w:right="0"/>
              <w:jc w:val="left"/>
              <w:rPr>
                <w:rFonts w:hint="eastAsia" w:ascii="宋体" w:hAnsi="宋体" w:cs="宋体"/>
                <w:sz w:val="24"/>
                <w:szCs w:val="24"/>
              </w:rPr>
            </w:pPr>
            <w:r>
              <w:rPr>
                <w:rFonts w:hint="eastAsia" w:ascii="宋体" w:hAnsi="宋体" w:cs="宋体"/>
                <w:sz w:val="24"/>
                <w:szCs w:val="24"/>
              </w:rPr>
              <w:t>客户关系。</w:t>
            </w:r>
          </w:p>
          <w:p>
            <w:pPr>
              <w:keepNext w:val="0"/>
              <w:keepLines w:val="0"/>
              <w:numPr>
                <w:ilvl w:val="0"/>
                <w:numId w:val="5"/>
              </w:numPr>
              <w:suppressLineNumbers w:val="0"/>
              <w:spacing w:before="0" w:beforeAutospacing="0" w:after="0" w:afterAutospacing="0"/>
              <w:ind w:left="0" w:right="0"/>
              <w:jc w:val="left"/>
              <w:rPr>
                <w:rFonts w:hint="eastAsia" w:ascii="宋体" w:hAnsi="宋体" w:cs="宋体"/>
                <w:sz w:val="24"/>
                <w:szCs w:val="24"/>
              </w:rPr>
            </w:pPr>
            <w:r>
              <w:rPr>
                <w:rFonts w:hint="eastAsia" w:ascii="宋体" w:hAnsi="宋体" w:cs="宋体"/>
                <w:sz w:val="24"/>
                <w:szCs w:val="24"/>
              </w:rPr>
              <w:t>社群营销。</w:t>
            </w:r>
          </w:p>
          <w:p>
            <w:pPr>
              <w:keepNext w:val="0"/>
              <w:keepLines w:val="0"/>
              <w:numPr>
                <w:ilvl w:val="0"/>
                <w:numId w:val="5"/>
              </w:numPr>
              <w:suppressLineNumbers w:val="0"/>
              <w:spacing w:before="0" w:beforeAutospacing="0" w:after="0" w:afterAutospacing="0"/>
              <w:ind w:left="0" w:right="0"/>
              <w:jc w:val="left"/>
              <w:rPr>
                <w:rFonts w:hint="eastAsia" w:ascii="宋体" w:hAnsi="宋体" w:cs="宋体"/>
                <w:sz w:val="24"/>
                <w:szCs w:val="24"/>
              </w:rPr>
            </w:pPr>
            <w:r>
              <w:rPr>
                <w:rFonts w:hint="eastAsia" w:ascii="宋体" w:hAnsi="宋体" w:cs="宋体"/>
                <w:sz w:val="24"/>
                <w:szCs w:val="24"/>
              </w:rPr>
              <w:t>网红经济。</w:t>
            </w:r>
          </w:p>
          <w:p>
            <w:pPr>
              <w:keepNext w:val="0"/>
              <w:keepLines w:val="0"/>
              <w:numPr>
                <w:ilvl w:val="0"/>
                <w:numId w:val="5"/>
              </w:numPr>
              <w:suppressLineNumbers w:val="0"/>
              <w:spacing w:before="0" w:beforeAutospacing="0" w:after="0" w:afterAutospacing="0"/>
              <w:ind w:left="0" w:right="0"/>
              <w:jc w:val="left"/>
              <w:rPr>
                <w:rFonts w:hint="eastAsia" w:ascii="宋体" w:hAnsi="宋体" w:cs="宋体"/>
                <w:sz w:val="24"/>
                <w:szCs w:val="24"/>
              </w:rPr>
            </w:pPr>
            <w:r>
              <w:rPr>
                <w:rFonts w:hint="eastAsia" w:ascii="宋体" w:hAnsi="宋体" w:cs="宋体"/>
                <w:sz w:val="24"/>
                <w:szCs w:val="24"/>
              </w:rPr>
              <w:t>物流管理。</w:t>
            </w:r>
          </w:p>
        </w:tc>
        <w:tc>
          <w:tcPr>
            <w:tcW w:w="1573" w:type="dxa"/>
            <w:noWrap w:val="0"/>
            <w:vAlign w:val="center"/>
          </w:tcPr>
          <w:p>
            <w:pPr>
              <w:keepNext w:val="0"/>
              <w:keepLines w:val="0"/>
              <w:suppressLineNumbers w:val="0"/>
              <w:spacing w:before="0" w:beforeAutospacing="0" w:after="0" w:afterAutospacing="0" w:line="360" w:lineRule="auto"/>
              <w:ind w:left="0" w:right="0"/>
              <w:jc w:val="center"/>
              <w:rPr>
                <w:rFonts w:hint="eastAsia" w:ascii="宋体" w:hAnsi="宋体" w:cs="宋体"/>
                <w:sz w:val="24"/>
                <w:szCs w:val="24"/>
              </w:rPr>
            </w:pPr>
            <w:r>
              <w:rPr>
                <w:rFonts w:hint="eastAsia" w:ascii="宋体" w:hAnsi="宋体" w:cs="宋体"/>
                <w:sz w:val="24"/>
                <w:szCs w:val="24"/>
              </w:rPr>
              <w:t>24</w:t>
            </w:r>
          </w:p>
        </w:tc>
        <w:tc>
          <w:tcPr>
            <w:tcW w:w="774" w:type="dxa"/>
            <w:noWrap w:val="0"/>
            <w:vAlign w:val="center"/>
          </w:tcPr>
          <w:p>
            <w:pPr>
              <w:keepNext w:val="0"/>
              <w:keepLines w:val="0"/>
              <w:suppressLineNumbers w:val="0"/>
              <w:spacing w:before="0" w:beforeAutospacing="0" w:after="0" w:afterAutospacing="0" w:line="360" w:lineRule="auto"/>
              <w:ind w:left="0" w:right="0"/>
              <w:jc w:val="center"/>
              <w:rPr>
                <w:rFonts w:hint="eastAsia" w:ascii="宋体" w:hAnsi="宋体" w:cs="宋体"/>
                <w:sz w:val="24"/>
                <w:szCs w:val="24"/>
              </w:rPr>
            </w:pPr>
            <w:r>
              <w:rPr>
                <w:rFonts w:hint="eastAsia" w:ascii="宋体" w:hAnsi="宋体" w:cs="宋体"/>
                <w:sz w:val="24"/>
                <w:szCs w:val="24"/>
              </w:rPr>
              <w:t>无</w:t>
            </w:r>
          </w:p>
        </w:tc>
      </w:tr>
    </w:tbl>
    <w:p>
      <w:pPr>
        <w:spacing w:line="360" w:lineRule="auto"/>
        <w:jc w:val="left"/>
        <w:rPr>
          <w:rFonts w:hint="eastAsia" w:ascii="宋体" w:hAnsi="宋体" w:cs="宋体"/>
          <w:sz w:val="24"/>
          <w:szCs w:val="24"/>
        </w:rPr>
      </w:pPr>
    </w:p>
    <w:p>
      <w:pPr>
        <w:tabs>
          <w:tab w:val="left" w:pos="2414"/>
        </w:tabs>
        <w:jc w:val="left"/>
        <w:rPr>
          <w:rFonts w:hint="eastAsia"/>
          <w:sz w:val="24"/>
          <w:szCs w:val="24"/>
        </w:rPr>
      </w:pPr>
      <w:r>
        <w:rPr>
          <w:rFonts w:hint="eastAsia" w:ascii="宋体" w:hAnsi="宋体" w:cs="宋体"/>
          <w:b/>
          <w:bCs/>
          <w:sz w:val="24"/>
          <w:szCs w:val="24"/>
        </w:rPr>
        <w:t>附2：完善的符合院校人才培养的课程体系设计</w:t>
      </w:r>
    </w:p>
    <w:p>
      <w:pPr>
        <w:jc w:val="center"/>
        <w:rPr>
          <w:rFonts w:hint="eastAsia" w:ascii="宋体" w:hAnsi="宋体" w:cs="宋体"/>
          <w:sz w:val="24"/>
          <w:szCs w:val="24"/>
        </w:rPr>
      </w:pPr>
      <w:r>
        <w:rPr>
          <w:rFonts w:hint="eastAsia" w:ascii="宋体" w:hAnsi="宋体" w:cs="宋体"/>
          <w:sz w:val="24"/>
          <w:szCs w:val="24"/>
        </w:rPr>
        <w:drawing>
          <wp:inline distT="0" distB="0" distL="114300" distR="114300">
            <wp:extent cx="5106670" cy="4249420"/>
            <wp:effectExtent l="0" t="0" r="17780" b="17780"/>
            <wp:docPr id="127" name="图片 82" descr="新电子商务课程体系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82" descr="新电子商务课程体系图"/>
                    <pic:cNvPicPr>
                      <a:picLocks noChangeAspect="1"/>
                    </pic:cNvPicPr>
                  </pic:nvPicPr>
                  <pic:blipFill>
                    <a:blip r:embed="rId7"/>
                    <a:stretch>
                      <a:fillRect/>
                    </a:stretch>
                  </pic:blipFill>
                  <pic:spPr>
                    <a:xfrm>
                      <a:off x="0" y="0"/>
                      <a:ext cx="5106670" cy="4249420"/>
                    </a:xfrm>
                    <a:prstGeom prst="rect">
                      <a:avLst/>
                    </a:prstGeom>
                    <a:noFill/>
                    <a:ln>
                      <a:noFill/>
                    </a:ln>
                  </pic:spPr>
                </pic:pic>
              </a:graphicData>
            </a:graphic>
          </wp:inline>
        </w:drawing>
      </w:r>
    </w:p>
    <w:p>
      <w:pPr>
        <w:jc w:val="center"/>
        <w:rPr>
          <w:rFonts w:hint="eastAsia" w:ascii="宋体" w:hAnsi="宋体" w:cs="宋体"/>
          <w:sz w:val="24"/>
          <w:szCs w:val="24"/>
        </w:rPr>
      </w:pPr>
      <w:r>
        <w:rPr>
          <w:rFonts w:hint="eastAsia" w:ascii="宋体" w:hAnsi="宋体" w:cs="宋体"/>
          <w:sz w:val="24"/>
          <w:szCs w:val="24"/>
        </w:rPr>
        <w:drawing>
          <wp:inline distT="0" distB="0" distL="114300" distR="114300">
            <wp:extent cx="5273040" cy="4018280"/>
            <wp:effectExtent l="0" t="0" r="3810" b="1270"/>
            <wp:docPr id="132"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83"/>
                    <pic:cNvPicPr>
                      <a:picLocks noChangeAspect="1"/>
                    </pic:cNvPicPr>
                  </pic:nvPicPr>
                  <pic:blipFill>
                    <a:blip r:embed="rId8"/>
                    <a:stretch>
                      <a:fillRect/>
                    </a:stretch>
                  </pic:blipFill>
                  <pic:spPr>
                    <a:xfrm>
                      <a:off x="0" y="0"/>
                      <a:ext cx="5273040" cy="4018280"/>
                    </a:xfrm>
                    <a:prstGeom prst="rect">
                      <a:avLst/>
                    </a:prstGeom>
                    <a:noFill/>
                    <a:ln>
                      <a:noFill/>
                    </a:ln>
                  </pic:spPr>
                </pic:pic>
              </a:graphicData>
            </a:graphic>
          </wp:inline>
        </w:drawing>
      </w:r>
    </w:p>
    <w:p>
      <w:pPr>
        <w:rPr>
          <w:rFonts w:hint="eastAsia" w:ascii="宋体" w:hAnsi="宋体" w:cs="宋体"/>
          <w:b/>
          <w:bCs/>
          <w:sz w:val="24"/>
          <w:szCs w:val="24"/>
        </w:rPr>
      </w:pPr>
    </w:p>
    <w:p>
      <w:pPr>
        <w:rPr>
          <w:rFonts w:hint="eastAsia" w:ascii="宋体" w:hAnsi="宋体" w:cs="宋体"/>
          <w:b/>
          <w:bCs/>
          <w:sz w:val="24"/>
          <w:szCs w:val="24"/>
        </w:rPr>
      </w:pPr>
      <w:r>
        <w:rPr>
          <w:rFonts w:hint="eastAsia" w:ascii="宋体" w:hAnsi="宋体" w:cs="宋体"/>
          <w:b/>
          <w:bCs/>
          <w:sz w:val="24"/>
          <w:szCs w:val="24"/>
        </w:rPr>
        <w:t>附3：河南省电子商务职业教育产教联盟发起单位</w:t>
      </w:r>
    </w:p>
    <w:p>
      <w:pPr>
        <w:rPr>
          <w:rFonts w:hint="eastAsia" w:ascii="宋体" w:hAnsi="宋体" w:cs="宋体"/>
          <w:b/>
          <w:bCs/>
          <w:sz w:val="24"/>
          <w:szCs w:val="24"/>
        </w:rPr>
      </w:pPr>
    </w:p>
    <w:p>
      <w:pPr>
        <w:spacing w:line="360" w:lineRule="auto"/>
        <w:ind w:firstLine="421"/>
        <w:jc w:val="left"/>
        <w:rPr>
          <w:rFonts w:hint="eastAsia" w:ascii="宋体" w:hAnsi="宋体" w:cs="宋体"/>
          <w:b/>
          <w:bCs/>
          <w:sz w:val="24"/>
          <w:szCs w:val="24"/>
        </w:rPr>
      </w:pPr>
      <w:r>
        <w:rPr>
          <w:rFonts w:hint="eastAsia" w:ascii="宋体" w:hAnsi="宋体" w:cs="宋体"/>
          <w:sz w:val="24"/>
          <w:szCs w:val="24"/>
        </w:rPr>
        <w:t>河南省电子商务职业教育产教联盟（以下简称“联盟”）是由新乡市职业教育中心、郑州京慧越科技有限公司等联合发起成立的合作机构，总部位于新乡市职业教育中心，日常联络机构（联盟秘书处）设于新乡市文化街61号。</w:t>
      </w:r>
      <w:r>
        <w:rPr>
          <w:rFonts w:hint="eastAsia" w:ascii="宋体" w:hAnsi="宋体" w:cs="宋体"/>
          <w:b/>
          <w:bCs/>
          <w:sz w:val="24"/>
          <w:szCs w:val="24"/>
        </w:rPr>
        <w:t xml:space="preserve"> </w:t>
      </w:r>
    </w:p>
    <w:p>
      <w:pPr>
        <w:spacing w:line="360" w:lineRule="auto"/>
        <w:ind w:firstLine="421"/>
        <w:jc w:val="left"/>
        <w:rPr>
          <w:rFonts w:hint="eastAsia" w:ascii="宋体" w:hAnsi="宋体" w:cs="宋体"/>
          <w:sz w:val="24"/>
          <w:szCs w:val="24"/>
        </w:rPr>
      </w:pPr>
      <w:r>
        <w:rPr>
          <w:rFonts w:hint="eastAsia" w:ascii="宋体" w:hAnsi="宋体" w:cs="宋体"/>
          <w:sz w:val="24"/>
          <w:szCs w:val="24"/>
        </w:rPr>
        <w:t>联盟的宗旨：优势互补、资源共享、互惠互利、共同发展，促进校校之间、校企之间进行深层次合作，共同培养应用型人才，打造电子商务职业教育品牌，从而为推动地方经济发展发挥积极的作用。</w:t>
      </w:r>
    </w:p>
    <w:p>
      <w:pPr>
        <w:spacing w:line="360" w:lineRule="auto"/>
        <w:ind w:firstLine="421"/>
        <w:jc w:val="left"/>
        <w:rPr>
          <w:rFonts w:hint="eastAsia" w:ascii="宋体" w:hAnsi="宋体" w:cs="宋体"/>
          <w:sz w:val="24"/>
          <w:szCs w:val="24"/>
        </w:rPr>
      </w:pPr>
      <w:r>
        <w:rPr>
          <w:rFonts w:hint="eastAsia" w:ascii="宋体" w:hAnsi="宋体" w:cs="宋体"/>
          <w:sz w:val="24"/>
          <w:szCs w:val="24"/>
        </w:rPr>
        <w:t>联盟的目标：突破地域限制，以电子商务专业为纽带，加强各院校之间、校企之间的多元化合作，促进资源的集成和共享，促进院校之间在专业教学、师资队伍建设、教科研水平乃至职教管理理念与模式等方面的共同探索与提高；推进校企之间依托产业办专业、办好专业促产业的模式，实行“工学结合，校企合作”，形成院校与企业之间的良性互动，推动院校和企业共同发展，为地方经济提供优秀的电子商务高技能型人才。</w:t>
      </w:r>
    </w:p>
    <w:p>
      <w:pPr>
        <w:spacing w:line="360" w:lineRule="auto"/>
        <w:ind w:firstLine="421"/>
        <w:jc w:val="left"/>
        <w:rPr>
          <w:rFonts w:hint="eastAsia" w:ascii="宋体" w:hAnsi="宋体" w:cs="宋体"/>
          <w:sz w:val="24"/>
          <w:szCs w:val="24"/>
        </w:rPr>
      </w:pPr>
      <w:r>
        <w:rPr>
          <w:rFonts w:hint="eastAsia" w:ascii="宋体" w:hAnsi="宋体" w:cs="宋体"/>
          <w:sz w:val="24"/>
          <w:szCs w:val="24"/>
        </w:rPr>
        <w:t>专业联盟的合作：将利用各成员单位各自的优质专业资源和条件，如示范专业、精品课程、校本教材、实训平台、优质产品、就业出口等资源，共同组成专业建设共享的战略联盟发展平台。</w:t>
      </w:r>
    </w:p>
    <w:p>
      <w:pPr>
        <w:jc w:val="left"/>
        <w:rPr>
          <w:rFonts w:hint="eastAsia" w:ascii="宋体" w:hAnsi="宋体" w:cs="宋体"/>
          <w:b/>
          <w:bCs/>
          <w:sz w:val="24"/>
          <w:szCs w:val="24"/>
        </w:rPr>
      </w:pPr>
    </w:p>
    <w:p>
      <w:pPr>
        <w:ind w:firstLine="421"/>
        <w:jc w:val="center"/>
        <w:rPr>
          <w:rFonts w:hint="eastAsia" w:ascii="宋体" w:hAnsi="宋体" w:cs="宋体"/>
          <w:b/>
          <w:bCs/>
          <w:sz w:val="24"/>
          <w:szCs w:val="24"/>
        </w:rPr>
      </w:pPr>
      <w:r>
        <w:rPr>
          <w:rFonts w:hint="eastAsia" w:ascii="宋体" w:hAnsi="宋体" w:cs="宋体"/>
          <w:b/>
          <w:bCs/>
          <w:sz w:val="24"/>
          <w:szCs w:val="24"/>
        </w:rPr>
        <w:drawing>
          <wp:inline distT="0" distB="0" distL="114300" distR="114300">
            <wp:extent cx="4520565" cy="3013710"/>
            <wp:effectExtent l="0" t="0" r="13335" b="15240"/>
            <wp:docPr id="302" name="图片 6" descr="IMG_0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 name="图片 6" descr="IMG_0363"/>
                    <pic:cNvPicPr>
                      <a:picLocks noChangeAspect="1"/>
                    </pic:cNvPicPr>
                  </pic:nvPicPr>
                  <pic:blipFill>
                    <a:blip r:embed="rId9"/>
                    <a:stretch>
                      <a:fillRect/>
                    </a:stretch>
                  </pic:blipFill>
                  <pic:spPr>
                    <a:xfrm>
                      <a:off x="0" y="0"/>
                      <a:ext cx="4520565" cy="3013710"/>
                    </a:xfrm>
                    <a:prstGeom prst="rect">
                      <a:avLst/>
                    </a:prstGeom>
                    <a:solidFill>
                      <a:srgbClr val="FFFFFF"/>
                    </a:solidFill>
                    <a:ln w="9525">
                      <a:noFill/>
                    </a:ln>
                    <a:effectLst/>
                  </pic:spPr>
                </pic:pic>
              </a:graphicData>
            </a:graphic>
          </wp:inline>
        </w:drawing>
      </w:r>
    </w:p>
    <w:p>
      <w:pPr>
        <w:widowControl/>
        <w:jc w:val="left"/>
        <w:rPr>
          <w:rFonts w:hint="eastAsia" w:ascii="宋体" w:hAnsi="宋体" w:cs="宋体"/>
          <w:b/>
          <w:bCs/>
          <w:sz w:val="24"/>
          <w:szCs w:val="24"/>
        </w:rPr>
      </w:pPr>
    </w:p>
    <w:p>
      <w:pPr>
        <w:widowControl/>
        <w:jc w:val="left"/>
        <w:rPr>
          <w:rFonts w:hint="eastAsia" w:ascii="宋体" w:hAnsi="宋体" w:cs="宋体"/>
          <w:kern w:val="0"/>
          <w:sz w:val="24"/>
          <w:szCs w:val="24"/>
          <w:lang w:bidi="ar"/>
        </w:rPr>
      </w:pPr>
      <w:r>
        <w:rPr>
          <w:rFonts w:hint="eastAsia" w:ascii="宋体" w:hAnsi="宋体" w:cs="宋体"/>
          <w:b/>
          <w:bCs/>
          <w:sz w:val="24"/>
          <w:szCs w:val="24"/>
        </w:rPr>
        <w:t>附4：完善的服务支持体系</w:t>
      </w:r>
    </w:p>
    <w:p>
      <w:pPr>
        <w:widowControl/>
        <w:spacing w:line="360" w:lineRule="auto"/>
        <w:jc w:val="left"/>
        <w:rPr>
          <w:rFonts w:hint="eastAsia" w:ascii="宋体" w:hAnsi="宋体" w:cs="宋体"/>
          <w:sz w:val="24"/>
          <w:szCs w:val="24"/>
        </w:rPr>
      </w:pPr>
      <w:r>
        <w:rPr>
          <w:rFonts w:hint="eastAsia" w:ascii="宋体" w:hAnsi="宋体" w:cs="宋体"/>
          <w:kern w:val="0"/>
          <w:sz w:val="24"/>
          <w:szCs w:val="24"/>
          <w:lang w:bidi="ar"/>
        </w:rPr>
        <w:t xml:space="preserve">   </w:t>
      </w:r>
      <w:r>
        <w:rPr>
          <w:rFonts w:hint="eastAsia" w:ascii="宋体" w:hAnsi="宋体" w:cs="宋体"/>
          <w:sz w:val="24"/>
          <w:szCs w:val="24"/>
        </w:rPr>
        <w:t>为了保证项目的顺利实施，并且能够在合作院校中得以贯彻和落实，京慧越商学院为合作院校提供十大支持与服务体系；</w:t>
      </w:r>
    </w:p>
    <w:p>
      <w:pPr>
        <w:widowControl/>
        <w:jc w:val="center"/>
        <w:rPr>
          <w:rFonts w:hint="eastAsia" w:ascii="宋体" w:hAnsi="宋体" w:cs="宋体"/>
          <w:b/>
          <w:bCs/>
          <w:sz w:val="24"/>
          <w:szCs w:val="24"/>
        </w:rPr>
      </w:pPr>
      <w:r>
        <w:rPr>
          <w:rFonts w:hint="eastAsia" w:ascii="宋体" w:hAnsi="宋体" w:cs="宋体"/>
          <w:kern w:val="0"/>
          <w:sz w:val="24"/>
          <w:szCs w:val="24"/>
          <w:lang w:bidi="ar"/>
        </w:rPr>
        <w:drawing>
          <wp:inline distT="0" distB="0" distL="114300" distR="114300">
            <wp:extent cx="5803265" cy="2456815"/>
            <wp:effectExtent l="0" t="0" r="6985" b="635"/>
            <wp:docPr id="126" name="图片 8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85" descr="IMG_256"/>
                    <pic:cNvPicPr>
                      <a:picLocks noChangeAspect="1"/>
                    </pic:cNvPicPr>
                  </pic:nvPicPr>
                  <pic:blipFill>
                    <a:blip r:embed="rId4"/>
                    <a:stretch>
                      <a:fillRect/>
                    </a:stretch>
                  </pic:blipFill>
                  <pic:spPr>
                    <a:xfrm>
                      <a:off x="0" y="0"/>
                      <a:ext cx="5803265" cy="2456815"/>
                    </a:xfrm>
                    <a:prstGeom prst="rect">
                      <a:avLst/>
                    </a:prstGeom>
                    <a:noFill/>
                    <a:ln>
                      <a:noFill/>
                    </a:ln>
                  </pic:spPr>
                </pic:pic>
              </a:graphicData>
            </a:graphic>
          </wp:inline>
        </w:drawing>
      </w:r>
    </w:p>
    <w:p>
      <w:pPr>
        <w:rPr>
          <w:rFonts w:hint="eastAsia" w:ascii="宋体" w:hAnsi="宋体" w:cs="宋体"/>
          <w:b/>
          <w:bCs/>
          <w:sz w:val="24"/>
          <w:szCs w:val="24"/>
        </w:rPr>
      </w:pPr>
      <w:r>
        <w:rPr>
          <w:rFonts w:hint="eastAsia" w:ascii="宋体" w:hAnsi="宋体" w:cs="宋体"/>
          <w:b/>
          <w:bCs/>
          <w:sz w:val="24"/>
          <w:szCs w:val="24"/>
        </w:rPr>
        <w:br w:type="page"/>
      </w:r>
    </w:p>
    <w:p>
      <w:pPr>
        <w:rPr>
          <w:rFonts w:hint="eastAsia" w:ascii="宋体" w:hAnsi="宋体" w:cs="宋体"/>
          <w:b/>
          <w:bCs/>
          <w:sz w:val="24"/>
          <w:szCs w:val="24"/>
        </w:rPr>
      </w:pPr>
      <w:r>
        <w:rPr>
          <w:rFonts w:hint="eastAsia" w:ascii="宋体" w:hAnsi="宋体" w:cs="宋体"/>
          <w:b/>
          <w:bCs/>
          <w:sz w:val="24"/>
          <w:szCs w:val="24"/>
        </w:rPr>
        <w:t>附5：现部分合作院校运行情况如下图</w:t>
      </w:r>
    </w:p>
    <w:p>
      <w:pPr>
        <w:widowControl/>
        <w:jc w:val="center"/>
        <w:rPr>
          <w:rFonts w:hint="eastAsia" w:ascii="宋体" w:hAnsi="宋体" w:cs="宋体"/>
          <w:sz w:val="24"/>
          <w:szCs w:val="24"/>
        </w:rPr>
      </w:pPr>
      <w:r>
        <w:rPr>
          <w:rFonts w:hint="eastAsia" w:ascii="宋体" w:hAnsi="宋体" w:cs="宋体"/>
          <w:sz w:val="24"/>
          <w:szCs w:val="24"/>
        </w:rPr>
        <w:drawing>
          <wp:inline distT="0" distB="0" distL="114300" distR="114300">
            <wp:extent cx="4641215" cy="3482975"/>
            <wp:effectExtent l="0" t="0" r="6985" b="3175"/>
            <wp:docPr id="125" name="图片 86" descr="R0M_[}DRS3LBFLIN5ZY0Q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图片 86" descr="R0M_[}DRS3LBFLIN5ZY0QOS"/>
                    <pic:cNvPicPr>
                      <a:picLocks noChangeAspect="1"/>
                    </pic:cNvPicPr>
                  </pic:nvPicPr>
                  <pic:blipFill>
                    <a:blip r:embed="rId10"/>
                    <a:stretch>
                      <a:fillRect/>
                    </a:stretch>
                  </pic:blipFill>
                  <pic:spPr>
                    <a:xfrm>
                      <a:off x="0" y="0"/>
                      <a:ext cx="4641215" cy="3482975"/>
                    </a:xfrm>
                    <a:prstGeom prst="rect">
                      <a:avLst/>
                    </a:prstGeom>
                    <a:noFill/>
                    <a:ln>
                      <a:noFill/>
                    </a:ln>
                  </pic:spPr>
                </pic:pic>
              </a:graphicData>
            </a:graphic>
          </wp:inline>
        </w:drawing>
      </w:r>
    </w:p>
    <w:p>
      <w:pPr>
        <w:widowControl/>
        <w:jc w:val="center"/>
        <w:rPr>
          <w:rFonts w:hint="eastAsia" w:ascii="宋体" w:hAnsi="宋体" w:cs="宋体"/>
          <w:sz w:val="24"/>
          <w:szCs w:val="24"/>
        </w:rPr>
      </w:pPr>
      <w:r>
        <w:rPr>
          <w:rFonts w:hint="eastAsia" w:ascii="宋体" w:hAnsi="宋体" w:cs="宋体"/>
          <w:sz w:val="24"/>
          <w:szCs w:val="24"/>
        </w:rPr>
        <w:t>中牟职业中等专业学校</w:t>
      </w:r>
    </w:p>
    <w:p>
      <w:pPr>
        <w:widowControl/>
        <w:jc w:val="center"/>
        <w:rPr>
          <w:rFonts w:hint="eastAsia" w:ascii="宋体" w:hAnsi="宋体" w:cs="宋体"/>
          <w:kern w:val="0"/>
          <w:sz w:val="24"/>
          <w:szCs w:val="24"/>
          <w:lang w:bidi="ar"/>
        </w:rPr>
      </w:pPr>
      <w:r>
        <w:rPr>
          <w:rFonts w:hint="eastAsia" w:ascii="宋体" w:hAnsi="宋体" w:cs="宋体"/>
          <w:kern w:val="0"/>
          <w:sz w:val="24"/>
          <w:szCs w:val="24"/>
          <w:lang w:bidi="ar"/>
        </w:rPr>
        <w:drawing>
          <wp:inline distT="0" distB="0" distL="114300" distR="114300">
            <wp:extent cx="4552950" cy="3409315"/>
            <wp:effectExtent l="0" t="0" r="0" b="635"/>
            <wp:docPr id="129" name="图片 8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图片 87" descr="IMG_256"/>
                    <pic:cNvPicPr>
                      <a:picLocks noChangeAspect="1"/>
                    </pic:cNvPicPr>
                  </pic:nvPicPr>
                  <pic:blipFill>
                    <a:blip r:embed="rId11"/>
                    <a:stretch>
                      <a:fillRect/>
                    </a:stretch>
                  </pic:blipFill>
                  <pic:spPr>
                    <a:xfrm>
                      <a:off x="0" y="0"/>
                      <a:ext cx="4552950" cy="3409315"/>
                    </a:xfrm>
                    <a:prstGeom prst="rect">
                      <a:avLst/>
                    </a:prstGeom>
                    <a:noFill/>
                    <a:ln>
                      <a:noFill/>
                    </a:ln>
                  </pic:spPr>
                </pic:pic>
              </a:graphicData>
            </a:graphic>
          </wp:inline>
        </w:drawing>
      </w:r>
    </w:p>
    <w:p>
      <w:pPr>
        <w:widowControl/>
        <w:jc w:val="center"/>
        <w:rPr>
          <w:rFonts w:hint="eastAsia" w:ascii="宋体" w:hAnsi="宋体" w:cs="宋体"/>
          <w:kern w:val="0"/>
          <w:sz w:val="24"/>
          <w:szCs w:val="24"/>
          <w:lang w:bidi="ar"/>
        </w:rPr>
      </w:pPr>
      <w:r>
        <w:rPr>
          <w:rFonts w:hint="eastAsia" w:ascii="宋体" w:hAnsi="宋体" w:cs="宋体"/>
          <w:kern w:val="0"/>
          <w:sz w:val="24"/>
          <w:szCs w:val="24"/>
          <w:lang w:bidi="ar"/>
        </w:rPr>
        <w:t>鹤壁市机电信息工程学校</w:t>
      </w:r>
    </w:p>
    <w:p>
      <w:pPr>
        <w:widowControl/>
        <w:jc w:val="center"/>
        <w:rPr>
          <w:rFonts w:hint="eastAsia" w:ascii="宋体" w:hAnsi="宋体" w:cs="宋体"/>
          <w:sz w:val="24"/>
          <w:szCs w:val="24"/>
        </w:rPr>
      </w:pPr>
      <w:r>
        <w:rPr>
          <w:rFonts w:hint="eastAsia" w:ascii="宋体" w:hAnsi="宋体" w:cs="宋体"/>
          <w:kern w:val="0"/>
          <w:sz w:val="24"/>
          <w:szCs w:val="24"/>
          <w:lang w:bidi="ar"/>
        </w:rPr>
        <w:drawing>
          <wp:inline distT="0" distB="0" distL="114300" distR="114300">
            <wp:extent cx="4857115" cy="3642995"/>
            <wp:effectExtent l="0" t="0" r="635" b="14605"/>
            <wp:docPr id="123" name="图片 8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88" descr="IMG_256"/>
                    <pic:cNvPicPr>
                      <a:picLocks noChangeAspect="1"/>
                    </pic:cNvPicPr>
                  </pic:nvPicPr>
                  <pic:blipFill>
                    <a:blip r:embed="rId12"/>
                    <a:stretch>
                      <a:fillRect/>
                    </a:stretch>
                  </pic:blipFill>
                  <pic:spPr>
                    <a:xfrm>
                      <a:off x="0" y="0"/>
                      <a:ext cx="4857115" cy="3642995"/>
                    </a:xfrm>
                    <a:prstGeom prst="rect">
                      <a:avLst/>
                    </a:prstGeom>
                    <a:noFill/>
                    <a:ln>
                      <a:noFill/>
                    </a:ln>
                  </pic:spPr>
                </pic:pic>
              </a:graphicData>
            </a:graphic>
          </wp:inline>
        </w:drawing>
      </w:r>
    </w:p>
    <w:p>
      <w:pPr>
        <w:widowControl/>
        <w:jc w:val="center"/>
        <w:rPr>
          <w:rFonts w:hint="eastAsia" w:ascii="宋体" w:hAnsi="宋体" w:cs="宋体"/>
          <w:sz w:val="24"/>
          <w:szCs w:val="24"/>
          <w:lang w:val="zh-CN"/>
        </w:rPr>
      </w:pPr>
      <w:r>
        <w:rPr>
          <w:rFonts w:hint="eastAsia" w:ascii="宋体" w:hAnsi="宋体" w:cs="宋体"/>
          <w:kern w:val="0"/>
          <w:sz w:val="24"/>
          <w:szCs w:val="24"/>
          <w:lang w:bidi="ar"/>
        </w:rPr>
        <w:t>新乡市职业教育中心</w:t>
      </w:r>
    </w:p>
    <w:p>
      <w:pPr>
        <w:jc w:val="center"/>
        <w:rPr>
          <w:rFonts w:hint="eastAsia" w:eastAsia="宋体"/>
          <w:lang w:eastAsia="zh-CN"/>
        </w:rPr>
      </w:pPr>
      <w:r>
        <w:rPr>
          <w:rFonts w:hint="eastAsia" w:eastAsia="宋体"/>
          <w:lang w:eastAsia="zh-CN"/>
        </w:rPr>
        <w:drawing>
          <wp:inline distT="0" distB="0" distL="114300" distR="114300">
            <wp:extent cx="4625340" cy="3464560"/>
            <wp:effectExtent l="0" t="0" r="3810" b="2540"/>
            <wp:docPr id="124" name="图片 89"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89" descr="图片2"/>
                    <pic:cNvPicPr>
                      <a:picLocks noChangeAspect="1"/>
                    </pic:cNvPicPr>
                  </pic:nvPicPr>
                  <pic:blipFill>
                    <a:blip r:embed="rId13"/>
                    <a:stretch>
                      <a:fillRect/>
                    </a:stretch>
                  </pic:blipFill>
                  <pic:spPr>
                    <a:xfrm>
                      <a:off x="0" y="0"/>
                      <a:ext cx="4625340" cy="3464560"/>
                    </a:xfrm>
                    <a:prstGeom prst="rect">
                      <a:avLst/>
                    </a:prstGeom>
                    <a:noFill/>
                    <a:ln>
                      <a:noFill/>
                    </a:ln>
                  </pic:spPr>
                </pic:pic>
              </a:graphicData>
            </a:graphic>
          </wp:inline>
        </w:drawing>
      </w:r>
    </w:p>
    <w:p>
      <w:pPr>
        <w:jc w:val="center"/>
        <w:rPr>
          <w:rFonts w:hint="eastAsia" w:ascii="宋体" w:hAnsi="宋体" w:cs="宋体"/>
          <w:b/>
          <w:bCs/>
          <w:color w:val="000000"/>
          <w:sz w:val="24"/>
          <w:szCs w:val="24"/>
        </w:rPr>
      </w:pPr>
      <w:r>
        <w:rPr>
          <w:rFonts w:hint="eastAsia" w:ascii="宋体" w:hAnsi="宋体" w:cs="宋体"/>
          <w:b/>
          <w:bCs/>
          <w:color w:val="000000"/>
          <w:sz w:val="24"/>
          <w:szCs w:val="24"/>
        </w:rPr>
        <w:t>自主研发教材实物拍摄</w:t>
      </w:r>
    </w:p>
    <w:p>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微软雅黑">
    <w:panose1 w:val="020B0503020204020204"/>
    <w:charset w:val="86"/>
    <w:family w:val="auto"/>
    <w:pitch w:val="default"/>
    <w:sig w:usb0="80000287" w:usb1="280F3C52"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EDCD911"/>
    <w:multiLevelType w:val="singleLevel"/>
    <w:tmpl w:val="1EDCD911"/>
    <w:lvl w:ilvl="0" w:tentative="0">
      <w:start w:val="6"/>
      <w:numFmt w:val="decimal"/>
      <w:suff w:val="nothing"/>
      <w:lvlText w:val="%1、"/>
      <w:lvlJc w:val="left"/>
    </w:lvl>
  </w:abstractNum>
  <w:abstractNum w:abstractNumId="1">
    <w:nsid w:val="584E8019"/>
    <w:multiLevelType w:val="singleLevel"/>
    <w:tmpl w:val="584E8019"/>
    <w:lvl w:ilvl="0" w:tentative="0">
      <w:start w:val="1"/>
      <w:numFmt w:val="decimal"/>
      <w:suff w:val="nothing"/>
      <w:lvlText w:val="%1."/>
      <w:lvlJc w:val="left"/>
    </w:lvl>
  </w:abstractNum>
  <w:abstractNum w:abstractNumId="2">
    <w:nsid w:val="584E80CF"/>
    <w:multiLevelType w:val="singleLevel"/>
    <w:tmpl w:val="584E80CF"/>
    <w:lvl w:ilvl="0" w:tentative="0">
      <w:start w:val="1"/>
      <w:numFmt w:val="decimal"/>
      <w:suff w:val="nothing"/>
      <w:lvlText w:val="%1."/>
      <w:lvlJc w:val="left"/>
    </w:lvl>
  </w:abstractNum>
  <w:abstractNum w:abstractNumId="3">
    <w:nsid w:val="584E8224"/>
    <w:multiLevelType w:val="singleLevel"/>
    <w:tmpl w:val="584E8224"/>
    <w:lvl w:ilvl="0" w:tentative="0">
      <w:start w:val="1"/>
      <w:numFmt w:val="decimal"/>
      <w:suff w:val="nothing"/>
      <w:lvlText w:val="%1."/>
      <w:lvlJc w:val="left"/>
    </w:lvl>
  </w:abstractNum>
  <w:abstractNum w:abstractNumId="4">
    <w:nsid w:val="584E829E"/>
    <w:multiLevelType w:val="singleLevel"/>
    <w:tmpl w:val="584E829E"/>
    <w:lvl w:ilvl="0" w:tentative="0">
      <w:start w:val="1"/>
      <w:numFmt w:val="decimal"/>
      <w:suff w:val="nothing"/>
      <w:lvlText w:val="%1."/>
      <w:lvlJc w:val="left"/>
    </w:lvl>
  </w:abstractNum>
  <w:num w:numId="1">
    <w:abstractNumId w:val="0"/>
  </w:num>
  <w:num w:numId="2">
    <w:abstractNumId w:val="1"/>
  </w:num>
  <w:num w:numId="3">
    <w:abstractNumId w:val="2"/>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3DE16D58"/>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5">
    <w:name w:val="Default Paragraph Font"/>
    <w:semiHidden/>
    <w:qFormat/>
    <w:uiPriority w:val="0"/>
  </w:style>
  <w:style w:type="table" w:default="1" w:styleId="4">
    <w:name w:val="Normal Table"/>
    <w:semiHidden/>
    <w:uiPriority w:val="0"/>
    <w:tblPr>
      <w:tblLayout w:type="fixed"/>
      <w:tblCellMar>
        <w:top w:w="0" w:type="dxa"/>
        <w:left w:w="108" w:type="dxa"/>
        <w:bottom w:w="0" w:type="dxa"/>
        <w:right w:w="108" w:type="dxa"/>
      </w:tblCellMar>
    </w:tblPr>
  </w:style>
  <w:style w:type="paragraph" w:customStyle="1" w:styleId="2">
    <w:name w:val="表格文字"/>
    <w:basedOn w:val="1"/>
    <w:next w:val="3"/>
    <w:qFormat/>
    <w:uiPriority w:val="0"/>
    <w:pPr>
      <w:adjustRightInd w:val="0"/>
      <w:spacing w:line="420" w:lineRule="atLeast"/>
      <w:jc w:val="left"/>
      <w:textAlignment w:val="baseline"/>
    </w:pPr>
    <w:rPr>
      <w:kern w:val="0"/>
    </w:rPr>
  </w:style>
  <w:style w:type="paragraph" w:styleId="3">
    <w:name w:val="Body Text"/>
    <w:basedOn w:val="1"/>
    <w:qFormat/>
    <w:uiPriority w:val="0"/>
    <w:pPr>
      <w:adjustRightInd w:val="0"/>
      <w:spacing w:after="120" w:line="312" w:lineRule="atLeast"/>
      <w:textAlignment w:val="baseline"/>
    </w:pPr>
    <w:rPr>
      <w:rFonts w:ascii="Calibri" w:hAnsi="Calibri" w:cs="Times New Roman"/>
    </w:rPr>
  </w:style>
  <w:style w:type="paragraph" w:customStyle="1" w:styleId="6">
    <w:name w:val="日期1"/>
    <w:basedOn w:val="1"/>
    <w:next w:val="1"/>
    <w:qFormat/>
    <w:uiPriority w:val="0"/>
    <w:rPr>
      <w:sz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png"/><Relationship Id="rId7" Type="http://schemas.openxmlformats.org/officeDocument/2006/relationships/image" Target="media/image4.jpeg"/><Relationship Id="rId6" Type="http://schemas.openxmlformats.org/officeDocument/2006/relationships/image" Target="media/image3.png"/><Relationship Id="rId5" Type="http://schemas.openxmlformats.org/officeDocument/2006/relationships/image" Target="media/image2.jpe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10.pn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Office_11.1.0.9098_F1E327BC-269C-435d-A152-05C5408002CA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Administrator</dc:creator>
  <cp:lastModifiedBy>Administrator</cp:lastModifiedBy>
  <dcterms:modified xsi:type="dcterms:W3CDTF">2019-10-08T00:45:22Z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2052-11.1.0.9098</vt:lpwstr>
  </property>
</Properties>
</file>