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960" w:firstLineChars="3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建安建工公字〔2019〕171号</w:t>
      </w:r>
    </w:p>
    <w:p>
      <w:pPr>
        <w:ind w:left="2558" w:leftChars="456" w:hanging="1600" w:hangingChars="500"/>
        <w:jc w:val="left"/>
        <w:rPr>
          <w:rFonts w:hint="default"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建安区石梁河、老潩水水系连通工程及监理（二标段）</w:t>
      </w:r>
    </w:p>
    <w:p>
      <w:pPr>
        <w:ind w:firstLine="960" w:firstLineChars="3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许昌市建安区住房和城乡建设局</w:t>
      </w:r>
    </w:p>
    <w:p>
      <w:pPr>
        <w:ind w:firstLine="960" w:firstLineChars="3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pStyle w:val="11"/>
        <w:jc w:val="center"/>
        <w:rPr>
          <w:rFonts w:hint="eastAsia"/>
          <w:b/>
          <w:sz w:val="40"/>
        </w:rPr>
      </w:pPr>
    </w:p>
    <w:p>
      <w:pPr>
        <w:pStyle w:val="11"/>
        <w:jc w:val="center"/>
        <w:rPr>
          <w:b/>
          <w:sz w:val="40"/>
        </w:rPr>
      </w:pPr>
      <w:r>
        <w:rPr>
          <w:rFonts w:hint="eastAsia"/>
          <w:b/>
          <w:sz w:val="40"/>
        </w:rPr>
        <w:t>目  录</w:t>
      </w:r>
    </w:p>
    <w:p>
      <w:pPr>
        <w:pStyle w:val="11"/>
        <w:spacing w:line="360" w:lineRule="auto"/>
      </w:pPr>
    </w:p>
    <w:p>
      <w:pPr>
        <w:pStyle w:val="11"/>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hint="eastAsia" w:ascii="黑体" w:hAnsi="宋体" w:eastAsia="黑体"/>
          <w:b/>
          <w:sz w:val="28"/>
        </w:rPr>
        <w:t xml:space="preserve"> </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第二章  投标须知</w:t>
      </w:r>
    </w:p>
    <w:p>
      <w:pPr>
        <w:tabs>
          <w:tab w:val="left" w:leader="hyphen" w:pos="8060"/>
        </w:tabs>
        <w:snapToGrid w:val="0"/>
        <w:spacing w:line="480" w:lineRule="auto"/>
        <w:ind w:firstLine="645"/>
        <w:rPr>
          <w:rFonts w:hint="eastAsia" w:ascii="黑体" w:hAnsi="宋体" w:eastAsia="黑体"/>
          <w:b/>
          <w:sz w:val="28"/>
        </w:rPr>
      </w:pPr>
      <w:r>
        <w:rPr>
          <w:rFonts w:hint="eastAsia" w:ascii="黑体" w:hAnsi="宋体" w:eastAsia="黑体"/>
          <w:b/>
          <w:sz w:val="28"/>
        </w:rPr>
        <w:t>第三章  评标办法</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8060"/>
        </w:tabs>
        <w:snapToGrid w:val="0"/>
        <w:spacing w:line="480" w:lineRule="auto"/>
        <w:ind w:firstLine="645"/>
        <w:rPr>
          <w:rFonts w:hint="eastAsia" w:ascii="黑体" w:hAnsi="宋体" w:eastAsia="黑体"/>
          <w:b/>
          <w:sz w:val="28"/>
        </w:rPr>
      </w:pPr>
      <w:r>
        <w:rPr>
          <w:rFonts w:hint="eastAsia" w:ascii="黑体" w:hAnsi="宋体" w:eastAsia="黑体"/>
          <w:b/>
          <w:sz w:val="28"/>
        </w:rPr>
        <w:t>第五章  委托人要求</w:t>
      </w:r>
    </w:p>
    <w:p>
      <w:pPr>
        <w:tabs>
          <w:tab w:val="left" w:leader="hyphen" w:pos="8060"/>
        </w:tabs>
        <w:snapToGrid w:val="0"/>
        <w:spacing w:line="480" w:lineRule="auto"/>
        <w:ind w:firstLine="645"/>
        <w:rPr>
          <w:rFonts w:ascii="黑体" w:hAnsi="宋体" w:eastAsia="黑体"/>
          <w:b/>
          <w:sz w:val="28"/>
        </w:rPr>
      </w:pPr>
      <w:r>
        <w:rPr>
          <w:rFonts w:hint="eastAsia" w:ascii="黑体" w:hAnsi="宋体" w:eastAsia="黑体"/>
          <w:b/>
          <w:sz w:val="28"/>
        </w:rPr>
        <w:t>第六章  投标文件格式</w:t>
      </w:r>
    </w:p>
    <w:p>
      <w:pPr>
        <w:pStyle w:val="11"/>
      </w:pPr>
    </w:p>
    <w:p>
      <w:pPr>
        <w:pStyle w:val="11"/>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val="en-US" w:eastAsia="zh-CN"/>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r>
        <w:rPr>
          <w:rFonts w:hint="eastAsia" w:hAnsi="宋体" w:cs="黑体"/>
          <w:b/>
          <w:sz w:val="36"/>
          <w:szCs w:val="36"/>
          <w:lang w:val="en-US" w:eastAsia="zh-CN"/>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int="eastAsia" w:hAnsi="宋体" w:cs="黑体"/>
          <w:b/>
          <w:sz w:val="36"/>
          <w:szCs w:val="36"/>
          <w:lang w:val="en-US" w:eastAsia="zh-CN"/>
        </w:rPr>
      </w:pPr>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  </w:t>
      </w:r>
      <w:r>
        <w:rPr>
          <w:rFonts w:hint="eastAsia" w:hAnsi="宋体" w:cs="黑体"/>
          <w:b/>
          <w:sz w:val="36"/>
          <w:szCs w:val="36"/>
          <w:lang w:eastAsia="zh-CN"/>
        </w:rPr>
        <w:t>第一章</w:t>
      </w: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建安建工公字〔2019〕</w:t>
      </w:r>
      <w:r>
        <w:rPr>
          <w:rFonts w:hint="eastAsia" w:hAnsi="宋体" w:cs="宋体"/>
          <w:sz w:val="24"/>
          <w:szCs w:val="24"/>
          <w:lang w:val="en-US" w:eastAsia="zh-CN"/>
        </w:rPr>
        <w:t>171</w:t>
      </w:r>
      <w:r>
        <w:rPr>
          <w:rFonts w:hint="eastAsia" w:hAnsi="宋体" w:cs="宋体"/>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许昌市建安区住房和城乡建设局</w:t>
      </w:r>
    </w:p>
    <w:p>
      <w:pPr>
        <w:autoSpaceDE w:val="0"/>
        <w:autoSpaceDN w:val="0"/>
        <w:adjustRightInd w:val="0"/>
        <w:spacing w:line="5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建安区石梁河、老潩水水系连通工程及监理</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0"/>
        <w:rPr>
          <w:rFonts w:hAnsi="宋体" w:cs="宋体"/>
          <w:sz w:val="24"/>
          <w:szCs w:val="22"/>
        </w:rPr>
      </w:pPr>
      <w:r>
        <w:rPr>
          <w:rFonts w:hint="eastAsia" w:hAnsi="宋体" w:cs="宋体"/>
          <w:sz w:val="24"/>
          <w:szCs w:val="22"/>
        </w:rPr>
        <w:t>1、项目编号：</w:t>
      </w:r>
      <w:r>
        <w:rPr>
          <w:rFonts w:hint="eastAsia" w:hAnsi="宋体" w:cs="宋体"/>
          <w:sz w:val="24"/>
          <w:szCs w:val="22"/>
          <w:lang w:eastAsia="zh-CN"/>
        </w:rPr>
        <w:t>建安建工公字〔2019〕171号</w:t>
      </w:r>
      <w:r>
        <w:rPr>
          <w:rFonts w:hint="eastAsia" w:hAnsi="宋体" w:cs="宋体"/>
          <w:sz w:val="24"/>
          <w:szCs w:val="22"/>
        </w:rPr>
        <w:t>。</w:t>
      </w:r>
    </w:p>
    <w:p>
      <w:pPr>
        <w:autoSpaceDE w:val="0"/>
        <w:autoSpaceDN w:val="0"/>
        <w:adjustRightInd w:val="0"/>
        <w:spacing w:line="520" w:lineRule="exact"/>
        <w:ind w:firstLine="480" w:firstLineChars="200"/>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建安区石梁河、老潩水水系连通工程及监理</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int="eastAsia" w:hAnsi="宋体" w:cs="宋体"/>
          <w:b w:val="0"/>
          <w:bCs w:val="0"/>
          <w:color w:val="auto"/>
          <w:sz w:val="24"/>
          <w:szCs w:val="22"/>
          <w:lang w:val="en-US" w:eastAsia="zh-CN"/>
        </w:rPr>
      </w:pPr>
      <w:r>
        <w:rPr>
          <w:rFonts w:hint="eastAsia" w:hAnsi="宋体" w:cs="宋体"/>
          <w:sz w:val="24"/>
          <w:szCs w:val="22"/>
        </w:rPr>
        <w:t>4、工程概况：</w:t>
      </w:r>
      <w:r>
        <w:rPr>
          <w:rFonts w:hint="eastAsia" w:hAnsi="宋体" w:cs="宋体"/>
          <w:b w:val="0"/>
          <w:bCs w:val="0"/>
          <w:color w:val="auto"/>
          <w:sz w:val="24"/>
          <w:szCs w:val="22"/>
          <w:lang w:val="en-US" w:eastAsia="zh-CN"/>
        </w:rPr>
        <w:t>本项目主要包含开挖渠道工程、输水管道工程及泵站工程三部分。</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5、招标范围：一标段：招标文件、施工图纸、工程量清单、答疑纪要和补充文件（如有）范围内的所有内容；二标段：对本项目招标范围内的施工及保修阶段全过程监理服务。</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6、标段划分：共划分两个标段；一标段：施工；二标段：监理。</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资金预算：一标段：63036930.07元；二标段：441258.51元。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color w:val="auto"/>
          <w:sz w:val="24"/>
          <w:szCs w:val="24"/>
        </w:rPr>
        <w:t>一标段：</w:t>
      </w:r>
      <w:r>
        <w:rPr>
          <w:rFonts w:hint="eastAsia" w:hAnsi="宋体" w:cs="宋体"/>
          <w:color w:val="auto"/>
          <w:sz w:val="24"/>
          <w:szCs w:val="24"/>
          <w:lang w:val="en-US" w:eastAsia="zh-CN"/>
        </w:rPr>
        <w:t>170</w:t>
      </w:r>
      <w:r>
        <w:rPr>
          <w:rFonts w:hint="eastAsia" w:hAnsi="宋体" w:cs="宋体"/>
          <w:color w:val="auto"/>
          <w:sz w:val="24"/>
          <w:szCs w:val="24"/>
        </w:rPr>
        <w:t>日历天。二标段：同施工工期及保</w:t>
      </w:r>
      <w:r>
        <w:rPr>
          <w:rFonts w:hint="eastAsia" w:hAnsi="宋体" w:cs="宋体"/>
          <w:sz w:val="24"/>
          <w:szCs w:val="24"/>
        </w:rPr>
        <w:t>修期。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int="eastAsia" w:hAnsi="宋体" w:cs="宋体"/>
          <w:sz w:val="24"/>
          <w:szCs w:val="24"/>
        </w:rPr>
      </w:pPr>
      <w:r>
        <w:rPr>
          <w:rFonts w:hint="eastAsia" w:hAnsi="宋体" w:cs="宋体"/>
          <w:sz w:val="24"/>
          <w:szCs w:val="24"/>
        </w:rPr>
        <w:t>9、质量要求：合格（符合国家建设工程质量验收规范和标准）。</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sz w:val="24"/>
          <w:szCs w:val="24"/>
        </w:rPr>
      </w:pPr>
      <w:r>
        <w:rPr>
          <w:rFonts w:hAnsi="宋体" w:cs="宋体"/>
          <w:b/>
          <w:bCs/>
          <w:sz w:val="24"/>
          <w:szCs w:val="24"/>
        </w:rPr>
        <w:t>二、投标人资格要求</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rPr>
      </w:pPr>
      <w:bookmarkStart w:id="0" w:name="_Toc28292"/>
      <w:bookmarkEnd w:id="0"/>
      <w:r>
        <w:rPr>
          <w:rFonts w:hint="eastAsia" w:hAnsi="宋体" w:cs="仿宋_GB2312"/>
          <w:color w:val="000000" w:themeColor="text1"/>
          <w:kern w:val="2"/>
          <w:sz w:val="24"/>
          <w:szCs w:val="24"/>
          <w:shd w:val="clear" w:color="auto" w:fill="FFFFFF"/>
        </w:rPr>
        <w:t>2.1一标段：</w:t>
      </w:r>
    </w:p>
    <w:p>
      <w:pPr>
        <w:numPr>
          <w:ilvl w:val="0"/>
          <w:numId w:val="1"/>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lang w:eastAsia="zh-CN"/>
        </w:rPr>
      </w:pPr>
      <w:r>
        <w:rPr>
          <w:rFonts w:hint="eastAsia" w:hAnsi="宋体" w:cs="仿宋_GB2312"/>
          <w:color w:val="000000" w:themeColor="text1"/>
          <w:kern w:val="2"/>
          <w:sz w:val="24"/>
          <w:szCs w:val="24"/>
          <w:shd w:val="clear" w:color="auto" w:fill="FFFFFF"/>
        </w:rPr>
        <w:t>投标人须具有独立法人资格</w:t>
      </w:r>
      <w:r>
        <w:rPr>
          <w:rFonts w:hint="eastAsia" w:hAnsi="宋体" w:cs="仿宋_GB2312"/>
          <w:color w:val="000000" w:themeColor="text1"/>
          <w:kern w:val="2"/>
          <w:sz w:val="24"/>
          <w:szCs w:val="24"/>
          <w:shd w:val="clear" w:color="auto" w:fill="FFFFFF"/>
          <w:lang w:eastAsia="zh-CN"/>
        </w:rPr>
        <w:t>。</w:t>
      </w:r>
    </w:p>
    <w:p>
      <w:pPr>
        <w:numPr>
          <w:ilvl w:val="0"/>
          <w:numId w:val="1"/>
        </w:numPr>
        <w:autoSpaceDE w:val="0"/>
        <w:autoSpaceDN w:val="0"/>
        <w:adjustRightInd w:val="0"/>
        <w:spacing w:line="420" w:lineRule="exact"/>
        <w:ind w:firstLine="480" w:firstLineChars="200"/>
        <w:jc w:val="left"/>
        <w:outlineLvl w:val="0"/>
        <w:rPr>
          <w:rFonts w:hint="eastAsia" w:hAnsi="宋体" w:cs="仿宋_GB2312"/>
          <w:color w:val="000000" w:themeColor="text1"/>
          <w:kern w:val="2"/>
          <w:sz w:val="24"/>
          <w:szCs w:val="24"/>
          <w:shd w:val="clear" w:color="auto" w:fill="FFFFFF"/>
        </w:rPr>
      </w:pPr>
      <w:r>
        <w:rPr>
          <w:rFonts w:hint="eastAsia" w:hAnsi="宋体" w:cs="仿宋_GB2312"/>
          <w:color w:val="000000" w:themeColor="text1"/>
          <w:kern w:val="2"/>
          <w:sz w:val="24"/>
          <w:szCs w:val="24"/>
          <w:shd w:val="clear" w:color="auto" w:fill="FFFFFF"/>
        </w:rPr>
        <w:t>须具备</w:t>
      </w:r>
      <w:r>
        <w:rPr>
          <w:rFonts w:hint="eastAsia" w:hAnsi="宋体" w:cs="仿宋_GB2312"/>
          <w:color w:val="000000" w:themeColor="text1"/>
          <w:kern w:val="2"/>
          <w:sz w:val="24"/>
          <w:szCs w:val="24"/>
          <w:shd w:val="clear" w:color="auto" w:fill="FFFFFF"/>
          <w:lang w:val="en-US" w:eastAsia="zh-CN"/>
        </w:rPr>
        <w:t>建设行政主管部门颁发的</w:t>
      </w:r>
      <w:r>
        <w:rPr>
          <w:rFonts w:hint="eastAsia" w:hAnsi="宋体" w:cs="仿宋_GB2312"/>
          <w:color w:val="000000" w:themeColor="text1"/>
          <w:kern w:val="2"/>
          <w:sz w:val="24"/>
          <w:szCs w:val="24"/>
          <w:shd w:val="clear" w:color="auto" w:fill="FFFFFF"/>
        </w:rPr>
        <w:t>市政公用工程施工总承包</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级及以上企业资质，且具有有效的安全生产许可证；</w:t>
      </w:r>
    </w:p>
    <w:p>
      <w:pPr>
        <w:numPr>
          <w:ilvl w:val="0"/>
          <w:numId w:val="1"/>
        </w:num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color w:val="000000" w:themeColor="text1"/>
          <w:kern w:val="2"/>
          <w:sz w:val="24"/>
          <w:szCs w:val="24"/>
          <w:shd w:val="clear" w:color="auto" w:fill="FFFFFF"/>
        </w:rPr>
        <w:t>拟派项目负责人必须具备市政公用工程专业</w:t>
      </w:r>
      <w:r>
        <w:rPr>
          <w:rFonts w:hint="eastAsia" w:hAnsi="宋体" w:cs="仿宋_GB2312"/>
          <w:color w:val="000000" w:themeColor="text1"/>
          <w:kern w:val="2"/>
          <w:sz w:val="24"/>
          <w:szCs w:val="24"/>
          <w:shd w:val="clear" w:color="auto" w:fill="FFFFFF"/>
          <w:lang w:eastAsia="zh-CN"/>
        </w:rPr>
        <w:t>壹</w:t>
      </w:r>
      <w:r>
        <w:rPr>
          <w:rFonts w:hint="eastAsia" w:hAnsi="宋体" w:cs="仿宋_GB2312"/>
          <w:color w:val="000000" w:themeColor="text1"/>
          <w:kern w:val="2"/>
          <w:sz w:val="24"/>
          <w:szCs w:val="24"/>
          <w:shd w:val="clear" w:color="auto" w:fill="FFFFFF"/>
        </w:rPr>
        <w:t>级注册建造师资格和安全生产考核合格证，且未担任其他在施建设工程项目的项目负责人</w:t>
      </w:r>
      <w:r>
        <w:rPr>
          <w:rFonts w:hint="eastAsia" w:hAnsi="宋体" w:cs="仿宋_GB2312"/>
          <w:color w:val="000000" w:themeColor="text1"/>
          <w:kern w:val="2"/>
          <w:sz w:val="24"/>
          <w:szCs w:val="24"/>
          <w:shd w:val="clear" w:color="auto" w:fill="FFFFFF"/>
          <w:lang w:eastAsia="zh-CN"/>
        </w:rPr>
        <w:t>；</w:t>
      </w:r>
    </w:p>
    <w:p>
      <w:pPr>
        <w:autoSpaceDE w:val="0"/>
        <w:autoSpaceDN w:val="0"/>
        <w:adjustRightInd w:val="0"/>
        <w:spacing w:line="420" w:lineRule="exact"/>
        <w:ind w:firstLine="480" w:firstLineChars="200"/>
        <w:jc w:val="left"/>
        <w:outlineLvl w:val="0"/>
        <w:rPr>
          <w:rFonts w:hint="default"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4、技术负责人应具有</w:t>
      </w:r>
      <w:r>
        <w:rPr>
          <w:rFonts w:hint="eastAsia" w:hAnsi="宋体" w:cs="仿宋_GB2312"/>
          <w:color w:val="000000" w:themeColor="text1"/>
          <w:kern w:val="2"/>
          <w:sz w:val="24"/>
          <w:szCs w:val="24"/>
          <w:shd w:val="clear" w:color="auto" w:fill="FFFFFF"/>
        </w:rPr>
        <w:t>市政公用</w:t>
      </w:r>
      <w:r>
        <w:rPr>
          <w:rFonts w:hint="eastAsia" w:hAnsi="宋体" w:cs="仿宋_GB2312"/>
          <w:kern w:val="2"/>
          <w:sz w:val="24"/>
          <w:szCs w:val="24"/>
          <w:shd w:val="clear" w:color="auto" w:fill="FFFFFF"/>
          <w:lang w:val="en-US" w:eastAsia="zh-CN"/>
        </w:rPr>
        <w:t>工程相关专业中级及以上技术职称。</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二标段：</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1、投标人须具有独立的法人资格；</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2、须具备建设行政主管部门颁发的工程监理综合资质或市政公用工程监理甲级资质；</w:t>
      </w:r>
    </w:p>
    <w:p>
      <w:pPr>
        <w:autoSpaceDE w:val="0"/>
        <w:autoSpaceDN w:val="0"/>
        <w:adjustRightInd w:val="0"/>
        <w:spacing w:line="420" w:lineRule="exact"/>
        <w:ind w:firstLine="480" w:firstLineChars="200"/>
        <w:jc w:val="left"/>
        <w:outlineLvl w:val="0"/>
        <w:rPr>
          <w:rFonts w:hint="eastAsia" w:hAnsi="宋体" w:cs="仿宋_GB2312"/>
          <w:kern w:val="2"/>
          <w:sz w:val="24"/>
          <w:szCs w:val="24"/>
          <w:shd w:val="clear" w:color="auto" w:fill="FFFFFF"/>
          <w:lang w:val="en-US" w:eastAsia="zh-CN"/>
        </w:rPr>
      </w:pPr>
      <w:r>
        <w:rPr>
          <w:rFonts w:hint="eastAsia" w:hAnsi="宋体" w:cs="仿宋_GB2312"/>
          <w:kern w:val="2"/>
          <w:sz w:val="24"/>
          <w:szCs w:val="24"/>
          <w:shd w:val="clear" w:color="auto" w:fill="FFFFFF"/>
          <w:lang w:val="en-US" w:eastAsia="zh-CN"/>
        </w:rPr>
        <w:t>3、拟派总监理工程师须具备市政公用工程专业注册监理工程师资格；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lang w:val="en-US" w:eastAsia="zh-CN"/>
        </w:rPr>
        <w:t>2.2</w:t>
      </w:r>
      <w:r>
        <w:rPr>
          <w:rFonts w:hint="eastAsia" w:hAnsi="宋体" w:cs="仿宋_GB2312"/>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lang w:val="en-US" w:eastAsia="zh-CN"/>
        </w:rPr>
        <w:t>2.3</w:t>
      </w:r>
      <w:r>
        <w:rPr>
          <w:rFonts w:hint="eastAsia" w:hAnsi="宋体" w:cs="仿宋_GB2312"/>
          <w:kern w:val="2"/>
          <w:sz w:val="24"/>
          <w:szCs w:val="24"/>
          <w:shd w:val="clear" w:color="auto" w:fill="FFFFFF"/>
        </w:rPr>
        <w:t>、不接受联合体投标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2.4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w:t>
      </w:r>
      <w:r>
        <w:rPr>
          <w:rFonts w:hint="eastAsia" w:hAnsi="宋体" w:cs="宋体"/>
          <w:sz w:val="24"/>
          <w:szCs w:val="24"/>
          <w:lang w:val="en-US" w:eastAsia="zh-CN"/>
        </w:rPr>
        <w:t>2</w:t>
      </w:r>
      <w:r>
        <w:rPr>
          <w:rFonts w:hint="eastAsia" w:hAnsi="宋体" w:cs="宋体"/>
          <w:sz w:val="24"/>
          <w:szCs w:val="24"/>
        </w:rPr>
        <w:t>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ascii="宋体" w:hAnsi="宋体" w:cs="宋体"/>
          <w:kern w:val="0"/>
          <w:sz w:val="24"/>
          <w:shd w:val="clear" w:color="auto" w:fill="FFFFFF"/>
        </w:rPr>
        <w:t>电子投标文件</w:t>
      </w:r>
      <w:r>
        <w:rPr>
          <w:rFonts w:hint="eastAsia" w:ascii="宋体" w:hAnsi="宋体" w:cs="宋体"/>
          <w:kern w:val="0"/>
          <w:sz w:val="24"/>
          <w:shd w:val="clear" w:color="auto" w:fill="FFFFFF"/>
          <w:lang w:val="en-US" w:eastAsia="zh-CN"/>
        </w:rPr>
        <w:t>和存储有备份文件的电子介质（U盘）2份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sz w:val="24"/>
          <w:szCs w:val="24"/>
          <w:lang w:eastAsia="zh-CN"/>
        </w:rPr>
        <w:t>2019年</w:t>
      </w:r>
      <w:r>
        <w:rPr>
          <w:rFonts w:hint="eastAsia" w:hAnsi="宋体" w:cs="宋体"/>
          <w:sz w:val="24"/>
          <w:szCs w:val="24"/>
          <w:lang w:val="en-US" w:eastAsia="zh-CN"/>
        </w:rPr>
        <w:t>10</w:t>
      </w:r>
      <w:r>
        <w:rPr>
          <w:rFonts w:hint="eastAsia" w:hAnsi="宋体" w:cs="宋体"/>
          <w:sz w:val="24"/>
          <w:szCs w:val="24"/>
          <w:lang w:eastAsia="zh-CN"/>
        </w:rPr>
        <w:t>月</w:t>
      </w:r>
      <w:r>
        <w:rPr>
          <w:rFonts w:hint="eastAsia" w:hAnsi="宋体" w:cs="宋体"/>
          <w:sz w:val="24"/>
          <w:szCs w:val="24"/>
          <w:lang w:val="en-US" w:eastAsia="zh-CN"/>
        </w:rPr>
        <w:t>29</w:t>
      </w:r>
      <w:r>
        <w:rPr>
          <w:rFonts w:hint="eastAsia" w:hAnsi="宋体" w:cs="宋体"/>
          <w:sz w:val="24"/>
          <w:szCs w:val="24"/>
          <w:lang w:eastAsia="zh-CN"/>
        </w:rPr>
        <w:t>日9时30分</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val="en-US" w:eastAsia="zh-CN"/>
        </w:rPr>
        <w:t>并同时提交</w:t>
      </w:r>
      <w:r>
        <w:rPr>
          <w:rFonts w:hint="eastAsia" w:ascii="宋体" w:hAnsi="宋体" w:cs="宋体"/>
          <w:kern w:val="0"/>
          <w:sz w:val="24"/>
          <w:shd w:val="clear" w:color="auto" w:fill="FFFFFF"/>
          <w:lang w:val="en-US" w:eastAsia="zh-CN"/>
        </w:rPr>
        <w:t>存储有备份文件的电子介质（U盘）2份</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ascii="宋体" w:hAnsi="宋体" w:cs="宋体"/>
          <w:kern w:val="0"/>
          <w:sz w:val="24"/>
          <w:shd w:val="clear" w:color="auto" w:fill="FFFFFF"/>
          <w:lang w:val="en-US" w:eastAsia="zh-CN"/>
        </w:rPr>
        <w:t>存储有备份文件的电子介质（U盘）</w:t>
      </w:r>
      <w:r>
        <w:rPr>
          <w:rFonts w:hint="eastAsia" w:hAnsi="宋体" w:cs="宋体"/>
          <w:sz w:val="24"/>
          <w:szCs w:val="24"/>
        </w:rPr>
        <w:t>提交地点：许昌市建安区新元大道兴业大厦4楼</w:t>
      </w:r>
      <w:r>
        <w:rPr>
          <w:rFonts w:hint="eastAsia" w:hAnsi="宋体" w:cs="宋体"/>
          <w:sz w:val="24"/>
          <w:szCs w:val="24"/>
          <w:lang w:val="en-US" w:eastAsia="zh-CN"/>
        </w:rPr>
        <w:t>4167室（</w:t>
      </w:r>
      <w:r>
        <w:rPr>
          <w:rFonts w:hint="eastAsia" w:hAnsi="宋体" w:cs="宋体"/>
          <w:sz w:val="24"/>
          <w:szCs w:val="24"/>
        </w:rPr>
        <w:t>开标一室</w:t>
      </w:r>
      <w:r>
        <w:rPr>
          <w:rFonts w:hint="eastAsia" w:hAnsi="宋体" w:cs="宋体"/>
          <w:sz w:val="24"/>
          <w:szCs w:val="24"/>
          <w:lang w:eastAsia="zh-CN"/>
        </w:rPr>
        <w:t>）</w:t>
      </w:r>
      <w:r>
        <w:rPr>
          <w:rFonts w:hint="eastAsia" w:hAnsi="宋体" w:cs="宋体"/>
          <w:sz w:val="24"/>
          <w:szCs w:val="24"/>
        </w:rPr>
        <w:t>。</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w:t>
      </w:r>
      <w:r>
        <w:rPr>
          <w:rFonts w:hint="eastAsia" w:ascii="宋体" w:hAnsi="宋体" w:cs="宋体"/>
          <w:kern w:val="0"/>
          <w:sz w:val="24"/>
          <w:shd w:val="clear" w:color="auto" w:fill="FFFFFF"/>
          <w:lang w:val="en-US" w:eastAsia="zh-CN"/>
        </w:rPr>
        <w:t>存储有备份文件的电子介质（U盘）</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7"/>
        <w:spacing w:after="0" w:line="400" w:lineRule="exact"/>
        <w:ind w:firstLine="4560" w:firstLineChars="1900"/>
        <w:rPr>
          <w:rFonts w:hAnsi="宋体" w:cs="宋体"/>
          <w:sz w:val="24"/>
          <w:szCs w:val="24"/>
        </w:rPr>
      </w:pPr>
    </w:p>
    <w:p>
      <w:pPr>
        <w:pStyle w:val="27"/>
        <w:spacing w:after="0" w:line="400" w:lineRule="exact"/>
        <w:ind w:firstLine="4560" w:firstLineChars="1900"/>
        <w:rPr>
          <w:rFonts w:hAnsi="宋体" w:cs="宋体"/>
          <w:sz w:val="24"/>
          <w:szCs w:val="24"/>
        </w:rPr>
      </w:pPr>
    </w:p>
    <w:p>
      <w:pPr>
        <w:pStyle w:val="27"/>
        <w:ind w:firstLine="5280" w:firstLineChars="2200"/>
        <w:rPr>
          <w:rFonts w:hAnsi="宋体" w:cs="宋体"/>
          <w:sz w:val="24"/>
          <w:szCs w:val="24"/>
        </w:rPr>
      </w:pPr>
      <w:r>
        <w:rPr>
          <w:rFonts w:hint="eastAsia" w:hAnsi="宋体" w:cs="宋体"/>
          <w:sz w:val="24"/>
          <w:szCs w:val="24"/>
        </w:rPr>
        <w:t>许昌市建安区住房和城乡建设局</w:t>
      </w:r>
    </w:p>
    <w:p>
      <w:pPr>
        <w:pStyle w:val="27"/>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 xml:space="preserve">日 </w:t>
      </w:r>
    </w:p>
    <w:p>
      <w:pPr>
        <w:widowControl/>
        <w:jc w:val="left"/>
        <w:rPr>
          <w:rFonts w:hAnsi="宋体"/>
          <w:b/>
          <w:sz w:val="28"/>
          <w:szCs w:val="21"/>
        </w:rPr>
      </w:pPr>
      <w:r>
        <w:rPr>
          <w:rFonts w:hint="eastAsia" w:hAnsi="宋体"/>
          <w:b/>
          <w:sz w:val="28"/>
          <w:szCs w:val="21"/>
        </w:rPr>
        <w:t>温馨提示：</w:t>
      </w:r>
    </w:p>
    <w:p>
      <w:pPr>
        <w:widowControl/>
        <w:spacing w:line="420" w:lineRule="exact"/>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420" w:lineRule="exact"/>
        <w:rPr>
          <w:rFonts w:hAnsi="宋体"/>
          <w:b/>
          <w:sz w:val="24"/>
        </w:rPr>
      </w:pPr>
    </w:p>
    <w:p>
      <w:pPr>
        <w:snapToGrid w:val="0"/>
        <w:spacing w:line="420" w:lineRule="exact"/>
        <w:ind w:left="-105" w:leftChars="-50" w:right="-105" w:rightChars="-50" w:firstLine="482" w:firstLineChars="200"/>
        <w:rPr>
          <w:rFonts w:hAnsi="宋体" w:cs="宋体"/>
          <w:b/>
          <w:bCs/>
          <w:sz w:val="24"/>
        </w:rPr>
      </w:pPr>
      <w:r>
        <w:rPr>
          <w:rFonts w:hint="eastAsia" w:hAnsi="宋体" w:cs="宋体"/>
          <w:b/>
          <w:bCs/>
          <w:sz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420" w:lineRule="exact"/>
        <w:ind w:left="-105" w:leftChars="-50" w:right="-105" w:rightChars="-50" w:firstLine="482"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420" w:lineRule="exact"/>
        <w:ind w:left="-105" w:leftChars="-50" w:right="-105" w:rightChars="-50" w:firstLine="482" w:firstLineChars="200"/>
        <w:rPr>
          <w:rFonts w:hAnsi="宋体" w:cs="宋体"/>
          <w:b/>
          <w:bCs/>
          <w:sz w:val="24"/>
        </w:rPr>
      </w:pPr>
      <w:r>
        <w:rPr>
          <w:rFonts w:hint="eastAsia" w:hAnsi="宋体" w:cs="宋体"/>
          <w:b/>
          <w:bCs/>
          <w:sz w:val="24"/>
        </w:rPr>
        <w:t>3.电子投标文件的制作</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其中包含2个文件和1个文件夹。后缀名为“.file”的文件用于电子投标使用，“备份文件夹”使用电子介质存储，供开标现场备用。</w:t>
      </w:r>
    </w:p>
    <w:p>
      <w:pPr>
        <w:snapToGrid w:val="0"/>
        <w:spacing w:line="420" w:lineRule="exact"/>
        <w:ind w:left="-105" w:leftChars="-50" w:right="-105" w:rightChars="-50" w:firstLine="482" w:firstLineChars="200"/>
        <w:rPr>
          <w:rFonts w:hAnsi="宋体" w:cs="宋体"/>
          <w:b/>
          <w:bCs/>
          <w:sz w:val="24"/>
        </w:rPr>
      </w:pPr>
      <w:r>
        <w:rPr>
          <w:rFonts w:hint="eastAsia" w:hAnsi="宋体" w:cs="宋体"/>
          <w:b/>
          <w:bCs/>
          <w:sz w:val="24"/>
        </w:rPr>
        <w:t>4.电子投标文件的提交</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420" w:lineRule="exact"/>
        <w:ind w:left="-105" w:leftChars="-50" w:right="-105" w:rightChars="-50" w:firstLine="482" w:firstLineChars="200"/>
        <w:rPr>
          <w:rFonts w:hAnsi="宋体" w:cs="宋体"/>
          <w:b/>
          <w:bCs/>
          <w:sz w:val="24"/>
        </w:rPr>
      </w:pPr>
      <w:r>
        <w:rPr>
          <w:rFonts w:hint="eastAsia" w:hAnsi="宋体" w:cs="宋体"/>
          <w:b/>
          <w:bCs/>
          <w:sz w:val="24"/>
        </w:rPr>
        <w:t>5.评标依据</w:t>
      </w:r>
    </w:p>
    <w:p>
      <w:pPr>
        <w:snapToGrid w:val="0"/>
        <w:spacing w:line="420" w:lineRule="exact"/>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autoSpaceDE w:val="0"/>
        <w:autoSpaceDN w:val="0"/>
        <w:adjustRightInd w:val="0"/>
        <w:spacing w:line="420" w:lineRule="exact"/>
        <w:ind w:firstLine="480" w:firstLineChars="200"/>
        <w:jc w:val="left"/>
        <w:rPr>
          <w:rFonts w:cs="宋体"/>
        </w:rPr>
      </w:pPr>
      <w:r>
        <w:rPr>
          <w:rFonts w:hint="eastAsia" w:hAnsi="宋体" w:cs="宋体"/>
          <w:sz w:val="24"/>
        </w:rPr>
        <w:t>5.2全流程电子化交易如因系统异常情况无法完成，将以人工方式进行。评标委员会以电子介质存储的投标文件为依据评标。</w:t>
      </w:r>
    </w:p>
    <w:p>
      <w:pPr>
        <w:pStyle w:val="25"/>
        <w:spacing w:beforeAutospacing="0" w:afterAutospacing="0"/>
        <w:ind w:firstLine="482"/>
        <w:jc w:val="both"/>
        <w:rPr>
          <w:rFonts w:cs="宋体"/>
        </w:rPr>
      </w:pPr>
    </w:p>
    <w:p>
      <w:pPr>
        <w:pStyle w:val="3"/>
        <w:rPr>
          <w:rFonts w:hint="eastAsia"/>
        </w:rPr>
      </w:pPr>
      <w:bookmarkStart w:id="1" w:name="_Toc505626481"/>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bookmarkEnd w:id="1"/>
    <w:p>
      <w:pPr>
        <w:spacing w:line="360" w:lineRule="auto"/>
        <w:rPr>
          <w:rFonts w:ascii="新宋体" w:hAnsi="新宋体" w:eastAsia="新宋体"/>
          <w:b/>
          <w:sz w:val="24"/>
        </w:rPr>
      </w:pPr>
    </w:p>
    <w:p>
      <w:pPr>
        <w:pStyle w:val="3"/>
      </w:pPr>
      <w:r>
        <w:rPr>
          <w:rFonts w:hint="eastAsia"/>
        </w:rPr>
        <w:t>第二章 投标人须知</w:t>
      </w:r>
    </w:p>
    <w:p>
      <w:pPr>
        <w:pStyle w:val="4"/>
        <w:jc w:val="center"/>
      </w:pPr>
      <w:bookmarkStart w:id="2" w:name="_Toc505626482"/>
      <w:r>
        <w:rPr>
          <w:rFonts w:hint="eastAsia"/>
        </w:rPr>
        <w:t>投标人须知前附表</w:t>
      </w:r>
      <w:bookmarkEnd w:id="2"/>
    </w:p>
    <w:tbl>
      <w:tblPr>
        <w:tblStyle w:val="29"/>
        <w:tblW w:w="905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2"/>
        <w:gridCol w:w="1938"/>
        <w:gridCol w:w="290"/>
        <w:gridCol w:w="58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  款  名  称</w:t>
            </w:r>
          </w:p>
        </w:tc>
        <w:tc>
          <w:tcPr>
            <w:tcW w:w="6102" w:type="dxa"/>
            <w:gridSpan w:val="2"/>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招标人</w:t>
            </w:r>
          </w:p>
        </w:tc>
        <w:tc>
          <w:tcPr>
            <w:tcW w:w="6102" w:type="dxa"/>
            <w:gridSpan w:val="2"/>
            <w:vAlign w:val="center"/>
          </w:tcPr>
          <w:p>
            <w:pPr>
              <w:spacing w:line="400" w:lineRule="exact"/>
              <w:rPr>
                <w:rFonts w:hint="eastAsia" w:ascii="宋体" w:hAnsi="宋体" w:eastAsia="宋体" w:cs="宋体"/>
                <w:szCs w:val="21"/>
                <w:lang w:eastAsia="zh-CN"/>
              </w:rPr>
            </w:pPr>
            <w:r>
              <w:rPr>
                <w:rFonts w:hint="eastAsia" w:ascii="宋体" w:hAnsi="宋体" w:cs="宋体"/>
                <w:szCs w:val="21"/>
              </w:rPr>
              <w:t>招  标  人：</w:t>
            </w:r>
            <w:r>
              <w:rPr>
                <w:rFonts w:hint="eastAsia" w:ascii="宋体" w:hAnsi="宋体" w:cs="宋体"/>
                <w:szCs w:val="21"/>
                <w:lang w:eastAsia="zh-CN"/>
              </w:rPr>
              <w:t>许昌市建安区住房和城乡建设局</w:t>
            </w:r>
          </w:p>
          <w:p>
            <w:pPr>
              <w:spacing w:line="400" w:lineRule="exact"/>
              <w:rPr>
                <w:rFonts w:hint="eastAsia" w:ascii="宋体" w:hAnsi="宋体" w:eastAsia="宋体" w:cs="宋体"/>
                <w:szCs w:val="21"/>
                <w:lang w:eastAsia="zh-CN"/>
              </w:rPr>
            </w:pPr>
            <w:r>
              <w:rPr>
                <w:rFonts w:hint="eastAsia" w:ascii="宋体" w:hAnsi="宋体" w:cs="宋体"/>
                <w:szCs w:val="21"/>
              </w:rPr>
              <w:t>项目负责人：</w:t>
            </w:r>
            <w:r>
              <w:rPr>
                <w:rFonts w:hint="eastAsia" w:ascii="宋体" w:hAnsi="宋体" w:cs="宋体"/>
                <w:szCs w:val="21"/>
                <w:lang w:eastAsia="zh-CN"/>
              </w:rPr>
              <w:t>杨会芳</w:t>
            </w:r>
          </w:p>
          <w:p>
            <w:pPr>
              <w:spacing w:line="400" w:lineRule="exact"/>
              <w:rPr>
                <w:rFonts w:hint="eastAsia" w:ascii="宋体" w:hAnsi="宋体" w:eastAsia="宋体" w:cs="宋体"/>
                <w:szCs w:val="21"/>
                <w:lang w:eastAsia="zh-CN"/>
              </w:rPr>
            </w:pPr>
            <w:r>
              <w:rPr>
                <w:rFonts w:hint="eastAsia" w:ascii="宋体" w:hAnsi="宋体" w:cs="宋体"/>
                <w:szCs w:val="21"/>
              </w:rPr>
              <w:t>电      话：</w:t>
            </w:r>
            <w:r>
              <w:rPr>
                <w:rFonts w:hint="eastAsia" w:ascii="宋体" w:hAnsi="宋体" w:cs="宋体"/>
                <w:szCs w:val="21"/>
                <w:lang w:eastAsia="zh-CN"/>
              </w:rPr>
              <w:t>13849880890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招标代理机构</w:t>
            </w:r>
          </w:p>
        </w:tc>
        <w:tc>
          <w:tcPr>
            <w:tcW w:w="6102" w:type="dxa"/>
            <w:gridSpan w:val="2"/>
            <w:vAlign w:val="center"/>
          </w:tcPr>
          <w:p>
            <w:pPr>
              <w:spacing w:line="400" w:lineRule="exact"/>
              <w:rPr>
                <w:rFonts w:hint="eastAsia" w:ascii="宋体" w:hAnsi="宋体" w:eastAsia="宋体" w:cs="宋体"/>
                <w:szCs w:val="21"/>
                <w:lang w:eastAsia="zh-CN"/>
              </w:rPr>
            </w:pPr>
            <w:r>
              <w:rPr>
                <w:rFonts w:hint="eastAsia" w:ascii="宋体" w:hAnsi="宋体" w:cs="宋体"/>
                <w:szCs w:val="21"/>
              </w:rPr>
              <w:t>代理  机构：</w:t>
            </w:r>
            <w:r>
              <w:rPr>
                <w:rFonts w:hint="eastAsia" w:ascii="宋体" w:hAnsi="宋体" w:cs="宋体"/>
                <w:szCs w:val="21"/>
                <w:lang w:eastAsia="zh-CN"/>
              </w:rPr>
              <w:t>河南天扬工程项目管理有限公司</w:t>
            </w:r>
          </w:p>
          <w:p>
            <w:pPr>
              <w:spacing w:line="400" w:lineRule="exact"/>
              <w:rPr>
                <w:rFonts w:hint="eastAsia" w:ascii="宋体" w:hAnsi="宋体" w:eastAsia="宋体" w:cs="宋体"/>
                <w:szCs w:val="21"/>
                <w:lang w:eastAsia="zh-CN"/>
              </w:rPr>
            </w:pPr>
            <w:r>
              <w:rPr>
                <w:rFonts w:hint="eastAsia" w:ascii="宋体" w:hAnsi="宋体" w:cs="宋体"/>
                <w:szCs w:val="21"/>
              </w:rPr>
              <w:t>项目负责人：</w:t>
            </w:r>
            <w:r>
              <w:rPr>
                <w:rFonts w:hint="eastAsia" w:ascii="宋体" w:hAnsi="宋体" w:cs="宋体"/>
                <w:szCs w:val="21"/>
                <w:lang w:eastAsia="zh-CN"/>
              </w:rPr>
              <w:t>齐小换</w:t>
            </w:r>
          </w:p>
          <w:p>
            <w:pPr>
              <w:spacing w:line="400" w:lineRule="exact"/>
              <w:rPr>
                <w:rFonts w:hint="eastAsia" w:ascii="宋体" w:hAnsi="宋体" w:eastAsia="宋体" w:cs="宋体"/>
                <w:szCs w:val="21"/>
                <w:lang w:eastAsia="zh-CN"/>
              </w:rPr>
            </w:pPr>
            <w:r>
              <w:rPr>
                <w:rFonts w:hint="eastAsia" w:ascii="宋体" w:hAnsi="宋体" w:cs="宋体"/>
                <w:szCs w:val="21"/>
              </w:rPr>
              <w:t>电      话：</w:t>
            </w:r>
            <w:r>
              <w:rPr>
                <w:rFonts w:hint="eastAsia" w:ascii="宋体" w:hAnsi="宋体" w:cs="宋体"/>
                <w:szCs w:val="21"/>
                <w:lang w:eastAsia="zh-CN"/>
              </w:rPr>
              <w:t>13782288180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工程名称</w:t>
            </w:r>
          </w:p>
        </w:tc>
        <w:tc>
          <w:tcPr>
            <w:tcW w:w="6102" w:type="dxa"/>
            <w:gridSpan w:val="2"/>
            <w:vAlign w:val="center"/>
          </w:tcPr>
          <w:p>
            <w:pPr>
              <w:spacing w:line="400" w:lineRule="exact"/>
              <w:rPr>
                <w:rFonts w:hint="eastAsia" w:cs="宋体" w:asciiTheme="minorEastAsia" w:hAnsiTheme="minorEastAsia" w:eastAsiaTheme="minorEastAsia"/>
                <w:szCs w:val="21"/>
                <w:lang w:eastAsia="zh-CN"/>
              </w:rPr>
            </w:pPr>
            <w:r>
              <w:rPr>
                <w:rFonts w:hint="eastAsia" w:ascii="宋体" w:hAnsi="宋体" w:cs="宋体" w:eastAsiaTheme="minorEastAsia"/>
                <w:szCs w:val="21"/>
                <w:lang w:eastAsia="zh-CN"/>
              </w:rPr>
              <w:t>建安区石梁河、老潩水水系连通工程及监理（二标段）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建设地点</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宋体" w:hAnsi="宋体" w:cs="宋体" w:eastAsiaTheme="minorEastAsia"/>
                <w:szCs w:val="21"/>
                <w:lang w:eastAsia="zh-CN"/>
              </w:rPr>
              <w:t>建安区石梁河、老潩水水系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6</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建设规模</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lang w:val="en-US" w:eastAsia="zh-CN"/>
              </w:rPr>
              <w:t>本项目主要包含开挖渠道工程、输水管道工程及泵站工程三部分。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1.1.7</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工程项目施工建设周期</w:t>
            </w:r>
          </w:p>
        </w:tc>
        <w:tc>
          <w:tcPr>
            <w:tcW w:w="6102" w:type="dxa"/>
            <w:gridSpan w:val="2"/>
            <w:vAlign w:val="center"/>
          </w:tcPr>
          <w:p>
            <w:pPr>
              <w:spacing w:line="400" w:lineRule="exact"/>
              <w:rPr>
                <w:rFonts w:hint="default" w:ascii="宋体" w:hAnsi="宋体" w:cs="宋体"/>
                <w:kern w:val="0"/>
                <w:szCs w:val="21"/>
                <w:lang w:val="en-US"/>
              </w:rPr>
            </w:pPr>
            <w:r>
              <w:rPr>
                <w:rFonts w:hint="eastAsia" w:ascii="宋体" w:hAnsi="宋体" w:cs="宋体"/>
                <w:color w:val="auto"/>
                <w:kern w:val="0"/>
                <w:szCs w:val="21"/>
                <w:lang w:val="en-US" w:eastAsia="zh-CN"/>
              </w:rPr>
              <w:t>170日历天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1.2.1</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资金来源</w:t>
            </w:r>
          </w:p>
        </w:tc>
        <w:tc>
          <w:tcPr>
            <w:tcW w:w="6102" w:type="dxa"/>
            <w:gridSpan w:val="2"/>
            <w:vAlign w:val="center"/>
          </w:tcPr>
          <w:p>
            <w:pPr>
              <w:adjustRightInd w:val="0"/>
              <w:spacing w:line="400" w:lineRule="exact"/>
              <w:textAlignment w:val="baseline"/>
              <w:rPr>
                <w:rFonts w:ascii="宋体" w:hAnsi="宋体" w:cs="宋体"/>
                <w:kern w:val="0"/>
                <w:szCs w:val="21"/>
              </w:rPr>
            </w:pPr>
            <w:r>
              <w:rPr>
                <w:rFonts w:hint="eastAsia" w:ascii="宋体" w:hAnsi="宋体" w:cs="宋体"/>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ascii="宋体" w:hAnsi="宋体" w:cs="宋体"/>
                <w:kern w:val="0"/>
                <w:szCs w:val="21"/>
              </w:rPr>
              <w:t>资金落实情况</w:t>
            </w:r>
          </w:p>
        </w:tc>
        <w:tc>
          <w:tcPr>
            <w:tcW w:w="6102" w:type="dxa"/>
            <w:gridSpan w:val="2"/>
            <w:vAlign w:val="center"/>
          </w:tcPr>
          <w:p>
            <w:pPr>
              <w:adjustRightInd w:val="0"/>
              <w:spacing w:line="400" w:lineRule="exact"/>
              <w:textAlignment w:val="baseline"/>
              <w:rPr>
                <w:rFonts w:hint="eastAsia" w:ascii="宋体" w:hAnsi="宋体" w:eastAsia="宋体" w:cs="宋体"/>
                <w:kern w:val="0"/>
                <w:szCs w:val="21"/>
                <w:lang w:eastAsia="zh-CN"/>
              </w:rPr>
            </w:pPr>
            <w:r>
              <w:rPr>
                <w:rFonts w:hint="eastAsia" w:ascii="宋体" w:hAnsi="宋体" w:cs="宋体"/>
                <w:kern w:val="0"/>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ind w:firstLine="105" w:firstLineChars="50"/>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1</w:t>
            </w:r>
          </w:p>
        </w:tc>
        <w:tc>
          <w:tcPr>
            <w:tcW w:w="1950" w:type="dxa"/>
            <w:gridSpan w:val="2"/>
            <w:vAlign w:val="center"/>
          </w:tcPr>
          <w:p>
            <w:pPr>
              <w:rPr>
                <w:rFonts w:ascii="宋体" w:hAnsi="宋体" w:cs="宋体"/>
                <w:kern w:val="0"/>
                <w:szCs w:val="21"/>
              </w:rPr>
            </w:pPr>
            <w:r>
              <w:rPr>
                <w:rFonts w:hint="eastAsia" w:ascii="宋体" w:hAnsi="宋体" w:cs="宋体"/>
                <w:kern w:val="0"/>
                <w:szCs w:val="21"/>
              </w:rPr>
              <w:t>标段划分及</w:t>
            </w:r>
            <w:r>
              <w:rPr>
                <w:rFonts w:ascii="宋体" w:hAnsi="宋体" w:cs="宋体"/>
                <w:kern w:val="0"/>
                <w:szCs w:val="21"/>
              </w:rPr>
              <w:t>招标范围</w:t>
            </w:r>
          </w:p>
        </w:tc>
        <w:tc>
          <w:tcPr>
            <w:tcW w:w="6102" w:type="dxa"/>
            <w:gridSpan w:val="2"/>
            <w:vAlign w:val="center"/>
          </w:tcPr>
          <w:p>
            <w:pPr>
              <w:rPr>
                <w:rFonts w:ascii="宋体" w:hAnsi="宋体" w:cs="宋体"/>
                <w:kern w:val="0"/>
                <w:szCs w:val="21"/>
              </w:rPr>
            </w:pPr>
            <w:r>
              <w:rPr>
                <w:rFonts w:hint="eastAsia" w:ascii="宋体" w:hAnsi="宋体" w:cs="宋体"/>
                <w:kern w:val="0"/>
                <w:szCs w:val="21"/>
              </w:rPr>
              <w:t>标段划分：本招标文件指第二标段。</w:t>
            </w:r>
          </w:p>
          <w:p>
            <w:pPr>
              <w:rPr>
                <w:rFonts w:ascii="宋体" w:hAnsi="宋体" w:cs="宋体"/>
                <w:kern w:val="0"/>
                <w:szCs w:val="21"/>
              </w:rPr>
            </w:pPr>
            <w:r>
              <w:rPr>
                <w:rFonts w:hint="eastAsia" w:ascii="宋体" w:hAnsi="宋体" w:cs="宋体"/>
                <w:kern w:val="0"/>
                <w:szCs w:val="21"/>
              </w:rPr>
              <w:t>招标范围：对本项目招标范围内的施工及保修阶段全过程监理服务。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宋体" w:hAnsi="宋体" w:cs="宋体"/>
                <w:kern w:val="0"/>
                <w:szCs w:val="21"/>
              </w:rPr>
            </w:pPr>
            <w:r>
              <w:rPr>
                <w:rFonts w:hint="eastAsia" w:ascii="宋体" w:hAnsi="宋体" w:cs="宋体"/>
                <w:kern w:val="0"/>
                <w:szCs w:val="21"/>
              </w:rPr>
              <w:t>监理服务期限</w:t>
            </w:r>
          </w:p>
        </w:tc>
        <w:tc>
          <w:tcPr>
            <w:tcW w:w="6102" w:type="dxa"/>
            <w:gridSpan w:val="2"/>
            <w:vAlign w:val="center"/>
          </w:tcPr>
          <w:p>
            <w:pPr>
              <w:spacing w:line="400" w:lineRule="exact"/>
              <w:rPr>
                <w:rFonts w:ascii="宋体" w:hAnsi="宋体" w:cs="宋体"/>
                <w:kern w:val="0"/>
                <w:szCs w:val="21"/>
              </w:rPr>
            </w:pPr>
            <w:r>
              <w:rPr>
                <w:rFonts w:hint="eastAsia" w:ascii="宋体" w:hAnsi="宋体" w:cs="宋体"/>
                <w:kern w:val="0"/>
                <w:szCs w:val="21"/>
              </w:rPr>
              <w:t>同施工工期及保修期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质量要求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ind w:firstLine="105" w:firstLineChars="50"/>
              <w:rPr>
                <w:rFonts w:asciiTheme="minorEastAsia" w:hAnsiTheme="minorEastAsia" w:eastAsiaTheme="minorEastAsia"/>
                <w:szCs w:val="21"/>
              </w:rPr>
            </w:pPr>
            <w:r>
              <w:rPr>
                <w:rFonts w:asciiTheme="minorEastAsia" w:hAnsiTheme="minorEastAsia" w:eastAsiaTheme="minorEastAsia"/>
                <w:szCs w:val="21"/>
              </w:rPr>
              <w:t>1.4.1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投标人资质条件、能力、信誉</w:t>
            </w:r>
          </w:p>
        </w:tc>
        <w:tc>
          <w:tcPr>
            <w:tcW w:w="6102" w:type="dxa"/>
            <w:gridSpan w:val="2"/>
            <w:vAlign w:val="center"/>
          </w:tcPr>
          <w:p>
            <w:pPr>
              <w:rPr>
                <w:rFonts w:hint="eastAsia" w:ascii="宋体" w:hAnsi="宋体"/>
                <w:kern w:val="0"/>
                <w:szCs w:val="21"/>
                <w:lang w:val="en-US" w:eastAsia="zh-CN"/>
              </w:rPr>
            </w:pPr>
            <w:r>
              <w:rPr>
                <w:rFonts w:hint="eastAsia" w:ascii="宋体" w:hAnsi="宋体"/>
                <w:kern w:val="0"/>
                <w:szCs w:val="21"/>
                <w:lang w:val="en-US" w:eastAsia="zh-CN"/>
              </w:rPr>
              <w:t>1、投标人须具有独立的法人资格；</w:t>
            </w:r>
          </w:p>
          <w:p>
            <w:pPr>
              <w:rPr>
                <w:rFonts w:hint="eastAsia" w:ascii="宋体" w:hAnsi="宋体"/>
                <w:kern w:val="0"/>
                <w:szCs w:val="21"/>
                <w:lang w:val="en-US" w:eastAsia="zh-CN"/>
              </w:rPr>
            </w:pPr>
            <w:r>
              <w:rPr>
                <w:rFonts w:hint="eastAsia" w:ascii="宋体" w:hAnsi="宋体"/>
                <w:kern w:val="0"/>
                <w:szCs w:val="21"/>
                <w:lang w:val="en-US" w:eastAsia="zh-CN"/>
              </w:rPr>
              <w:t>2、须具备建设行政主管部门颁发的工程监理综合资质或市政公用工程监理甲级资质；</w:t>
            </w:r>
          </w:p>
          <w:p>
            <w:pPr>
              <w:rPr>
                <w:rFonts w:hint="eastAsia" w:ascii="宋体" w:hAnsi="宋体"/>
                <w:kern w:val="0"/>
                <w:szCs w:val="21"/>
                <w:lang w:val="en-US" w:eastAsia="zh-CN"/>
              </w:rPr>
            </w:pPr>
            <w:r>
              <w:rPr>
                <w:rFonts w:hint="eastAsia" w:ascii="宋体" w:hAnsi="宋体"/>
                <w:kern w:val="0"/>
                <w:szCs w:val="21"/>
                <w:lang w:val="en-US" w:eastAsia="zh-CN"/>
              </w:rPr>
              <w:t>3、拟派总监理工程师须具备市政公用工程专业注册监理工程师资格；</w:t>
            </w:r>
          </w:p>
          <w:p>
            <w:pPr>
              <w:rPr>
                <w:rFonts w:ascii="宋体" w:hAnsi="宋体"/>
                <w:kern w:val="0"/>
                <w:szCs w:val="21"/>
              </w:rPr>
            </w:pPr>
            <w:r>
              <w:rPr>
                <w:rFonts w:hint="eastAsia" w:ascii="宋体" w:hAnsi="宋体"/>
                <w:kern w:val="0"/>
                <w:szCs w:val="21"/>
                <w:lang w:val="en-US" w:eastAsia="zh-CN"/>
              </w:rPr>
              <w:t>4</w:t>
            </w:r>
            <w:r>
              <w:rPr>
                <w:rFonts w:hint="eastAsia" w:ascii="宋体" w:hAnsi="宋体"/>
                <w:kern w:val="0"/>
                <w:szCs w:val="21"/>
              </w:rPr>
              <w:t>、不接受投标人被“信用中国”和“信用河南”网站信用信息栏列入黑名单，以及被“国家企业信用信息公示系统”列入经营异常名录或严重失信黑名单的投标。</w:t>
            </w:r>
          </w:p>
          <w:p>
            <w:pPr>
              <w:rPr>
                <w:rFonts w:ascii="宋体" w:hAnsi="宋体"/>
                <w:kern w:val="0"/>
                <w:szCs w:val="21"/>
              </w:rPr>
            </w:pPr>
            <w:r>
              <w:rPr>
                <w:rFonts w:hint="eastAsia" w:ascii="宋体" w:hAnsi="宋体"/>
                <w:kern w:val="0"/>
                <w:szCs w:val="21"/>
                <w:lang w:val="en-US" w:eastAsia="zh-CN"/>
              </w:rPr>
              <w:t>5</w:t>
            </w:r>
            <w:r>
              <w:rPr>
                <w:rFonts w:hint="eastAsia" w:ascii="宋体" w:hAnsi="宋体"/>
                <w:kern w:val="0"/>
                <w:szCs w:val="21"/>
              </w:rPr>
              <w:t>、不接受联合体投标。</w:t>
            </w:r>
          </w:p>
          <w:p>
            <w:r>
              <w:rPr>
                <w:rFonts w:hint="eastAsia" w:ascii="宋体" w:hAnsi="宋体"/>
                <w:kern w:val="0"/>
                <w:szCs w:val="21"/>
                <w:lang w:val="en-US" w:eastAsia="zh-CN"/>
              </w:rPr>
              <w:t>6</w:t>
            </w:r>
            <w:r>
              <w:rPr>
                <w:rFonts w:hint="eastAsia" w:ascii="宋体" w:hAnsi="宋体"/>
                <w:kern w:val="0"/>
                <w:szCs w:val="21"/>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1.4.2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是否接受</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联合体投标</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1.9.1</w:t>
            </w:r>
          </w:p>
        </w:tc>
        <w:tc>
          <w:tcPr>
            <w:tcW w:w="1950" w:type="dxa"/>
            <w:gridSpan w:val="2"/>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踏勘现场</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1.10.1</w:t>
            </w:r>
          </w:p>
        </w:tc>
        <w:tc>
          <w:tcPr>
            <w:tcW w:w="1950" w:type="dxa"/>
            <w:gridSpan w:val="2"/>
            <w:vAlign w:val="center"/>
          </w:tcPr>
          <w:p>
            <w:pPr>
              <w:adjustRightInd w:val="0"/>
              <w:spacing w:line="400" w:lineRule="exact"/>
              <w:ind w:firstLine="315" w:firstLineChars="150"/>
              <w:textAlignment w:val="baseline"/>
              <w:rPr>
                <w:rFonts w:asciiTheme="minorEastAsia" w:hAnsiTheme="minorEastAsia" w:eastAsiaTheme="minorEastAsia"/>
                <w:szCs w:val="21"/>
              </w:rPr>
            </w:pPr>
            <w:r>
              <w:rPr>
                <w:rFonts w:asciiTheme="minorEastAsia" w:hAnsiTheme="minorEastAsia" w:eastAsiaTheme="minorEastAsia"/>
                <w:szCs w:val="21"/>
              </w:rPr>
              <w:t>投标预备会</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不召开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1.10.3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2.1</w:t>
            </w:r>
          </w:p>
        </w:tc>
        <w:tc>
          <w:tcPr>
            <w:tcW w:w="1950" w:type="dxa"/>
            <w:gridSpan w:val="2"/>
            <w:vAlign w:val="center"/>
          </w:tcPr>
          <w:p>
            <w:pPr>
              <w:jc w:val="center"/>
              <w:rPr>
                <w:sz w:val="20"/>
                <w:szCs w:val="20"/>
              </w:rPr>
            </w:pPr>
            <w:r>
              <w:rPr>
                <w:rFonts w:ascii="宋体" w:hAnsi="宋体" w:cs="宋体"/>
                <w:szCs w:val="21"/>
              </w:rPr>
              <w:t>实质性要求和条件</w:t>
            </w:r>
          </w:p>
        </w:tc>
        <w:tc>
          <w:tcPr>
            <w:tcW w:w="6102" w:type="dxa"/>
            <w:gridSpan w:val="2"/>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符合国家标准规范和招标文件要求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1.12</w:t>
            </w:r>
            <w:r>
              <w:rPr>
                <w:rFonts w:hint="eastAsia" w:asciiTheme="minorEastAsia" w:hAnsiTheme="minorEastAsia" w:eastAsiaTheme="minorEastAsia"/>
                <w:szCs w:val="21"/>
              </w:rPr>
              <w:t>.2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偏</w:t>
            </w:r>
            <w:r>
              <w:rPr>
                <w:rFonts w:hint="eastAsia" w:asciiTheme="minorEastAsia" w:hAnsiTheme="minorEastAsia" w:eastAsiaTheme="minorEastAsia"/>
                <w:szCs w:val="21"/>
              </w:rPr>
              <w:t>差</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0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构成招标文件的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除招标文件外，招标人在招标期间发出的澄清、修改、补充、补遗和其它有效正式函件等内容均是招标文件的组成部分。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2.2.1</w:t>
            </w:r>
          </w:p>
        </w:tc>
        <w:tc>
          <w:tcPr>
            <w:tcW w:w="1950" w:type="dxa"/>
            <w:gridSpan w:val="2"/>
            <w:vMerge w:val="restart"/>
            <w:vAlign w:val="center"/>
          </w:tcPr>
          <w:p>
            <w:pPr>
              <w:autoSpaceDE w:val="0"/>
              <w:autoSpaceDN w:val="0"/>
              <w:adjustRightInd w:val="0"/>
              <w:spacing w:line="400" w:lineRule="exact"/>
              <w:jc w:val="center"/>
              <w:rPr>
                <w:rFonts w:asciiTheme="minorEastAsia" w:hAnsiTheme="minorEastAsia" w:eastAsiaTheme="minorEastAsia"/>
                <w:szCs w:val="21"/>
              </w:rPr>
            </w:pPr>
            <w:r>
              <w:rPr>
                <w:rFonts w:asciiTheme="minorEastAsia" w:hAnsiTheme="minorEastAsia" w:eastAsiaTheme="minorEastAsia"/>
                <w:szCs w:val="21"/>
              </w:rPr>
              <w:t>投标人要求澄清招标文件</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utoSpaceDE w:val="0"/>
              <w:autoSpaceDN w:val="0"/>
              <w:adjustRightInd w:val="0"/>
              <w:spacing w:line="400" w:lineRule="exact"/>
              <w:jc w:val="center"/>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2.2.2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招标文件澄清发出的形式</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2.2.3</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投标人确认收到招标文件澄清</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004" w:type="dxa"/>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Theme="minorEastAsia" w:hAnsiTheme="minorEastAsia" w:eastAsiaTheme="minorEastAsia"/>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2.3.1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招标文件的修改</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在投标截止时间15天前，招标人可以修改招标文件，并将修改内容上传到《</w:t>
            </w:r>
            <w:r>
              <w:rPr>
                <w:rFonts w:hint="eastAsia" w:cs="宋体" w:asciiTheme="minorEastAsia" w:hAnsiTheme="minorEastAsia" w:eastAsiaTheme="minorEastAsia"/>
                <w:szCs w:val="21"/>
              </w:rPr>
              <w:t>全国公共资源交易平台（河南省·许昌市）（投标人/供应商登录”入口http://221.14.6.70:8088/ggzy/）</w:t>
            </w:r>
            <w:r>
              <w:rPr>
                <w:rFonts w:hint="eastAsia" w:asciiTheme="minorEastAsia" w:hAnsiTheme="minorEastAsia" w:eastAsiaTheme="minorEastAsia"/>
                <w:szCs w:val="21"/>
              </w:rPr>
              <w:t>》，投标人凭企业身份认证锁进行网上下载。该修改内容为招标文件的组成部分。如果修改招标文件的时间距投标截止时间不足15天，相应延长投标截止时间。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2.3.2</w:t>
            </w:r>
          </w:p>
        </w:tc>
        <w:tc>
          <w:tcPr>
            <w:tcW w:w="1950" w:type="dxa"/>
            <w:gridSpan w:val="2"/>
            <w:vMerge w:val="restart"/>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投标人确认收到招标文件修改</w:t>
            </w:r>
          </w:p>
        </w:tc>
        <w:tc>
          <w:tcPr>
            <w:tcW w:w="6102" w:type="dxa"/>
            <w:gridSpan w:val="2"/>
            <w:tcBorders>
              <w:bottom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时间：</w:t>
            </w:r>
            <w:r>
              <w:rPr>
                <w:rFonts w:hint="eastAsia" w:ascii="宋体" w:hAnsi="宋体"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04" w:type="dxa"/>
            <w:vMerge w:val="continue"/>
            <w:vAlign w:val="center"/>
          </w:tcPr>
          <w:p>
            <w:pPr>
              <w:spacing w:line="400" w:lineRule="exact"/>
              <w:jc w:val="center"/>
              <w:rPr>
                <w:rFonts w:asciiTheme="minorEastAsia" w:hAnsiTheme="minorEastAsia" w:eastAsiaTheme="minorEastAsia"/>
                <w:szCs w:val="21"/>
              </w:rPr>
            </w:pPr>
          </w:p>
        </w:tc>
        <w:tc>
          <w:tcPr>
            <w:tcW w:w="1950" w:type="dxa"/>
            <w:gridSpan w:val="2"/>
            <w:vMerge w:val="continue"/>
            <w:vAlign w:val="center"/>
          </w:tcPr>
          <w:p>
            <w:pPr>
              <w:adjustRightInd w:val="0"/>
              <w:spacing w:line="400" w:lineRule="exact"/>
              <w:jc w:val="center"/>
              <w:textAlignment w:val="baseline"/>
              <w:rPr>
                <w:rFonts w:ascii="宋体" w:hAnsi="宋体" w:cs="宋体"/>
                <w:szCs w:val="21"/>
              </w:rPr>
            </w:pPr>
          </w:p>
        </w:tc>
        <w:tc>
          <w:tcPr>
            <w:tcW w:w="6102" w:type="dxa"/>
            <w:gridSpan w:val="2"/>
            <w:tcBorders>
              <w:top w:val="single" w:color="auto" w:sz="4" w:space="0"/>
            </w:tcBorders>
            <w:vAlign w:val="center"/>
          </w:tcPr>
          <w:p>
            <w:pPr>
              <w:autoSpaceDE w:val="0"/>
              <w:autoSpaceDN w:val="0"/>
              <w:adjustRightInd w:val="0"/>
              <w:spacing w:line="400" w:lineRule="exact"/>
              <w:rPr>
                <w:rFonts w:asciiTheme="minorEastAsia" w:hAnsiTheme="minorEastAsia" w:eastAsiaTheme="minorEastAsia"/>
                <w:szCs w:val="21"/>
              </w:rPr>
            </w:pPr>
            <w:r>
              <w:rPr>
                <w:rFonts w:ascii="宋体" w:hAnsi="宋体" w:cs="宋体"/>
                <w:szCs w:val="21"/>
              </w:rPr>
              <w:t>形式：</w:t>
            </w:r>
            <w:r>
              <w:rPr>
                <w:rFonts w:hint="eastAsia" w:ascii="宋体" w:hAnsi="宋体" w:cs="宋体"/>
                <w:szCs w:val="21"/>
              </w:rPr>
              <w:t>在全国公共资源交易平台（河南省·许昌市）上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b/>
                <w:szCs w:val="21"/>
              </w:rPr>
            </w:pPr>
            <w:r>
              <w:rPr>
                <w:rFonts w:asciiTheme="minorEastAsia" w:hAnsiTheme="minorEastAsia" w:eastAsiaTheme="minorEastAsia"/>
                <w:szCs w:val="21"/>
              </w:rPr>
              <w:t>3.1.1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构成投标文件的</w:t>
            </w:r>
          </w:p>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其他材料</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投标人认为需要提交的其他证明材料</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3.2.</w:t>
            </w:r>
            <w:r>
              <w:rPr>
                <w:rFonts w:hint="eastAsia" w:asciiTheme="minorEastAsia" w:hAnsiTheme="minorEastAsia" w:eastAsiaTheme="minorEastAsia"/>
                <w:szCs w:val="21"/>
              </w:rPr>
              <w:t>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报价方式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自主报价,投标报价不超过</w:t>
            </w:r>
            <w:r>
              <w:rPr>
                <w:rFonts w:asciiTheme="minorEastAsia" w:hAnsiTheme="minorEastAsia" w:eastAsiaTheme="minorEastAsia"/>
                <w:szCs w:val="21"/>
              </w:rPr>
              <w:t>最高投标限价</w:t>
            </w:r>
            <w:r>
              <w:rPr>
                <w:rFonts w:hint="eastAsia" w:asciiTheme="minorEastAsia" w:hAnsiTheme="minorEastAsia" w:eastAsiaTheme="minorEastAsia"/>
                <w:szCs w:val="21"/>
              </w:rPr>
              <w:t>，不低于招标控制价的80%。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3.2.4</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最高投标限价</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有，最高投标限价：441258.51元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3.2.5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投标报价的其他要求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3.3.1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投标有效期</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60日历</w:t>
            </w:r>
            <w:r>
              <w:rPr>
                <w:rFonts w:asciiTheme="minorEastAsia" w:hAnsiTheme="minorEastAsia" w:eastAsiaTheme="minorEastAsia"/>
                <w:szCs w:val="21"/>
              </w:rPr>
              <w:t>天（</w:t>
            </w:r>
            <w:r>
              <w:rPr>
                <w:rFonts w:hint="eastAsia" w:asciiTheme="minorEastAsia" w:hAnsiTheme="minorEastAsia" w:eastAsiaTheme="minorEastAsia"/>
                <w:szCs w:val="21"/>
              </w:rPr>
              <w:t>投标截止之日起</w:t>
            </w:r>
            <w:r>
              <w:rPr>
                <w:rFonts w:asciiTheme="minorEastAsia" w:hAnsiTheme="minorEastAsia" w:eastAsiaTheme="minorEastAsia"/>
                <w:szCs w:val="21"/>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3.4.</w:t>
            </w:r>
            <w:r>
              <w:rPr>
                <w:rFonts w:hint="eastAsia" w:asciiTheme="minorEastAsia" w:hAnsiTheme="minorEastAsia" w:eastAsiaTheme="minorEastAsia"/>
                <w:szCs w:val="21"/>
              </w:rPr>
              <w:t>1</w:t>
            </w:r>
          </w:p>
        </w:tc>
        <w:tc>
          <w:tcPr>
            <w:tcW w:w="1950" w:type="dxa"/>
            <w:gridSpan w:val="2"/>
            <w:vAlign w:val="center"/>
          </w:tcPr>
          <w:p>
            <w:pPr>
              <w:spacing w:line="400" w:lineRule="exact"/>
              <w:jc w:val="center"/>
              <w:rPr>
                <w:rFonts w:ascii="宋体" w:hAnsi="宋体" w:cs="宋体"/>
                <w:kern w:val="0"/>
                <w:szCs w:val="21"/>
              </w:rPr>
            </w:pPr>
            <w:r>
              <w:rPr>
                <w:rFonts w:hint="eastAsia" w:ascii="宋体" w:hAnsi="宋体" w:cs="宋体"/>
                <w:szCs w:val="21"/>
              </w:rPr>
              <w:t>投标保证金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详见附表一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3.4.4</w:t>
            </w:r>
          </w:p>
        </w:tc>
        <w:tc>
          <w:tcPr>
            <w:tcW w:w="1950" w:type="dxa"/>
            <w:gridSpan w:val="2"/>
            <w:vAlign w:val="center"/>
          </w:tcPr>
          <w:p>
            <w:pPr>
              <w:spacing w:line="400" w:lineRule="exact"/>
              <w:jc w:val="center"/>
              <w:rPr>
                <w:rFonts w:ascii="宋体" w:hAnsi="宋体" w:cs="宋体"/>
                <w:szCs w:val="21"/>
              </w:rPr>
            </w:pPr>
            <w:r>
              <w:rPr>
                <w:rFonts w:ascii="宋体" w:hAnsi="宋体" w:cs="宋体"/>
                <w:szCs w:val="21"/>
              </w:rPr>
              <w:t>其他可以不予退还投标保证金的情形</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详见投标人须知“3.4 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w:t>
            </w:r>
          </w:p>
        </w:tc>
        <w:tc>
          <w:tcPr>
            <w:tcW w:w="1950" w:type="dxa"/>
            <w:gridSpan w:val="2"/>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资格审查资料的特殊要求</w:t>
            </w:r>
          </w:p>
        </w:tc>
        <w:tc>
          <w:tcPr>
            <w:tcW w:w="6102" w:type="dxa"/>
            <w:gridSpan w:val="2"/>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无要求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近年财务状况的年份要求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近三年</w:t>
            </w:r>
            <w:r>
              <w:rPr>
                <w:rFonts w:hint="eastAsia" w:asciiTheme="minorEastAsia" w:hAnsiTheme="minorEastAsia" w:eastAsiaTheme="minorEastAsia"/>
                <w:szCs w:val="21"/>
              </w:rPr>
              <w:t>度指2016年度、2017年度、2018年度。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3.5.</w:t>
            </w:r>
            <w:r>
              <w:rPr>
                <w:rFonts w:hint="eastAsia" w:asciiTheme="minorEastAsia" w:hAnsiTheme="minorEastAsia" w:eastAsiaTheme="minorEastAsia"/>
                <w:szCs w:val="21"/>
              </w:rPr>
              <w:t>5</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近年发生的诉讼及仲裁情况的年份要求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2"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3.6</w:t>
            </w:r>
            <w:r>
              <w:rPr>
                <w:rFonts w:hint="eastAsia" w:asciiTheme="minorEastAsia" w:hAnsiTheme="minorEastAsia" w:eastAsiaTheme="minorEastAsia"/>
                <w:szCs w:val="21"/>
              </w:rPr>
              <w:t>.1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是否允许递交备选投标方案</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不允许</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w:t>
            </w:r>
            <w:r>
              <w:rPr>
                <w:rFonts w:hint="eastAsia" w:asciiTheme="minorEastAsia" w:hAnsiTheme="minorEastAsia" w:eastAsiaTheme="minorEastAsia"/>
                <w:szCs w:val="21"/>
              </w:rPr>
              <w:t>.</w:t>
            </w:r>
            <w:r>
              <w:rPr>
                <w:rFonts w:asciiTheme="minorEastAsia" w:hAnsiTheme="minorEastAsia" w:eastAsiaTheme="minorEastAsia"/>
                <w:szCs w:val="21"/>
              </w:rPr>
              <w:t>3A（2）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宋体" w:hAnsi="宋体" w:cs="宋体"/>
                <w:szCs w:val="21"/>
              </w:rPr>
              <w:t>投标文件副本份数及其他要求</w:t>
            </w:r>
          </w:p>
        </w:tc>
        <w:tc>
          <w:tcPr>
            <w:tcW w:w="6102" w:type="dxa"/>
            <w:gridSpan w:val="2"/>
            <w:vAlign w:val="center"/>
          </w:tcPr>
          <w:p>
            <w:pPr>
              <w:adjustRightInd w:val="0"/>
              <w:spacing w:line="400" w:lineRule="exact"/>
              <w:textAlignment w:val="baseline"/>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1、电子投标文件</w:t>
            </w:r>
          </w:p>
          <w:p>
            <w:pPr>
              <w:adjustRightInd w:val="0"/>
              <w:spacing w:line="400" w:lineRule="exact"/>
              <w:textAlignment w:val="baseline"/>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（1）成功上传至【全国公共资源交易平台（河南省·许昌市）】公共资源交易系统电子投标文件1份（文件格式为：XX公司XXX项目编号.file）。</w:t>
            </w:r>
          </w:p>
          <w:p>
            <w:pPr>
              <w:adjustRightInd w:val="0"/>
              <w:spacing w:line="400" w:lineRule="exact"/>
              <w:textAlignment w:val="baseline"/>
              <w:rPr>
                <w:rFonts w:hint="eastAsia" w:asciiTheme="minorEastAsia" w:hAnsiTheme="minorEastAsia" w:eastAsiaTheme="minorEastAsia"/>
                <w:szCs w:val="21"/>
              </w:rPr>
            </w:pPr>
            <w:r>
              <w:rPr>
                <w:rFonts w:hint="eastAsia" w:asciiTheme="minorEastAsia" w:hAnsiTheme="minorEastAsia" w:eastAsiaTheme="minorEastAsia"/>
                <w:szCs w:val="21"/>
                <w:lang w:val="zh-CN"/>
              </w:rPr>
              <w:t>（2）</w:t>
            </w:r>
            <w:r>
              <w:rPr>
                <w:rFonts w:hint="eastAsia" w:asciiTheme="minorEastAsia" w:hAnsiTheme="minorEastAsia" w:eastAsiaTheme="minorEastAsia"/>
                <w:szCs w:val="21"/>
                <w:lang w:val="en-US" w:eastAsia="zh-CN"/>
              </w:rPr>
              <w:t>存储有备份文件的电子介质（U盘）2份。</w:t>
            </w:r>
            <w:r>
              <w:rPr>
                <w:rFonts w:hint="eastAsia" w:asciiTheme="minorEastAsia" w:hAnsiTheme="minorEastAsia" w:eastAsiaTheme="minorEastAsia"/>
                <w:szCs w:val="21"/>
                <w:lang w:val="zh-CN"/>
              </w:rPr>
              <w:t>。</w:t>
            </w:r>
          </w:p>
          <w:p>
            <w:pPr>
              <w:adjustRightInd w:val="0"/>
              <w:spacing w:line="400" w:lineRule="exact"/>
              <w:textAlignment w:val="baseline"/>
              <w:rPr>
                <w:rFonts w:asciiTheme="minorEastAsia" w:hAnsiTheme="minorEastAsia" w:eastAsiaTheme="minorEastAsia"/>
                <w:b/>
                <w:szCs w:val="21"/>
              </w:rPr>
            </w:pPr>
            <w:r>
              <w:rPr>
                <w:rFonts w:hint="eastAsia" w:asciiTheme="minorEastAsia" w:hAnsiTheme="minorEastAsia" w:eastAsiaTheme="minorEastAsia"/>
                <w:b/>
                <w:bCs/>
                <w:szCs w:val="21"/>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ascii="宋体" w:hAnsi="宋体" w:cs="宋体"/>
                <w:szCs w:val="21"/>
              </w:rPr>
            </w:pPr>
            <w:r>
              <w:rPr>
                <w:rFonts w:ascii="宋体" w:hAnsi="宋体" w:cs="宋体"/>
                <w:szCs w:val="21"/>
              </w:rPr>
              <w:t>3.7.3A（3）</w:t>
            </w:r>
          </w:p>
        </w:tc>
        <w:tc>
          <w:tcPr>
            <w:tcW w:w="1950" w:type="dxa"/>
            <w:gridSpan w:val="2"/>
            <w:vAlign w:val="center"/>
          </w:tcPr>
          <w:p>
            <w:pPr>
              <w:spacing w:line="240" w:lineRule="exact"/>
              <w:jc w:val="center"/>
              <w:rPr>
                <w:rFonts w:ascii="宋体" w:hAnsi="宋体" w:cs="宋体"/>
                <w:szCs w:val="21"/>
              </w:rPr>
            </w:pPr>
            <w:r>
              <w:rPr>
                <w:rFonts w:ascii="宋体" w:hAnsi="宋体" w:cs="宋体"/>
                <w:szCs w:val="21"/>
              </w:rPr>
              <w:t>投标文件是否需分册装订</w:t>
            </w:r>
          </w:p>
        </w:tc>
        <w:tc>
          <w:tcPr>
            <w:tcW w:w="6102" w:type="dxa"/>
            <w:gridSpan w:val="2"/>
            <w:vAlign w:val="center"/>
          </w:tcPr>
          <w:p>
            <w:pPr>
              <w:spacing w:line="256" w:lineRule="exact"/>
              <w:jc w:val="left"/>
              <w:rPr>
                <w:rFonts w:ascii="宋体" w:hAnsi="宋体" w:cs="宋体"/>
                <w:szCs w:val="21"/>
              </w:rPr>
            </w:pPr>
            <w:r>
              <w:rPr>
                <w:rFonts w:hint="eastAsia" w:ascii="宋体" w:hAnsi="宋体" w:cs="宋体"/>
                <w:szCs w:val="21"/>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spacing w:line="256" w:lineRule="exact"/>
              <w:jc w:val="center"/>
              <w:rPr>
                <w:rFonts w:cs="宋体" w:asciiTheme="minorEastAsia" w:hAnsiTheme="minorEastAsia" w:eastAsiaTheme="minorEastAsia"/>
                <w:szCs w:val="21"/>
              </w:rPr>
            </w:pPr>
            <w:r>
              <w:rPr>
                <w:rFonts w:cs="宋体" w:asciiTheme="minorEastAsia" w:hAnsiTheme="minorEastAsia" w:eastAsiaTheme="minorEastAsia"/>
                <w:szCs w:val="21"/>
              </w:rPr>
              <w:t>3.7.3（B）</w:t>
            </w:r>
          </w:p>
        </w:tc>
        <w:tc>
          <w:tcPr>
            <w:tcW w:w="1950" w:type="dxa"/>
            <w:gridSpan w:val="2"/>
            <w:vAlign w:val="center"/>
          </w:tcPr>
          <w:p>
            <w:pPr>
              <w:spacing w:line="24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投标文件所附证书证件要求</w:t>
            </w:r>
          </w:p>
        </w:tc>
        <w:tc>
          <w:tcPr>
            <w:tcW w:w="6102" w:type="dxa"/>
            <w:gridSpan w:val="2"/>
            <w:vAlign w:val="center"/>
          </w:tcPr>
          <w:p>
            <w:pPr>
              <w:spacing w:line="256"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详见评标办法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3.7.3</w:t>
            </w:r>
            <w:r>
              <w:rPr>
                <w:rFonts w:cs="宋体" w:asciiTheme="minorEastAsia" w:hAnsiTheme="minorEastAsia" w:eastAsiaTheme="minorEastAsia"/>
                <w:szCs w:val="21"/>
              </w:rPr>
              <w:t>（B）</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签字盖章要求</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kern w:val="0"/>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4.1.2</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封套上</w:t>
            </w:r>
          </w:p>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应载明的信息</w:t>
            </w:r>
          </w:p>
        </w:tc>
        <w:tc>
          <w:tcPr>
            <w:tcW w:w="6102" w:type="dxa"/>
            <w:gridSpan w:val="2"/>
            <w:vAlign w:val="center"/>
          </w:tcPr>
          <w:p>
            <w:pPr>
              <w:spacing w:line="400" w:lineRule="exact"/>
              <w:rPr>
                <w:rFonts w:ascii="宋体" w:hAnsi="宋体" w:cs="宋体"/>
                <w:szCs w:val="21"/>
              </w:rPr>
            </w:pPr>
            <w:r>
              <w:rPr>
                <w:rFonts w:asciiTheme="minorEastAsia" w:hAnsiTheme="minorEastAsia" w:eastAsiaTheme="minorEastAsia"/>
                <w:szCs w:val="21"/>
              </w:rPr>
              <w:t>招</w:t>
            </w:r>
            <w:r>
              <w:rPr>
                <w:rFonts w:hint="eastAsia" w:ascii="宋体" w:hAnsi="宋体" w:cs="宋体"/>
                <w:szCs w:val="21"/>
              </w:rPr>
              <w:t>标项目编号：</w:t>
            </w:r>
          </w:p>
          <w:p>
            <w:pPr>
              <w:spacing w:line="400" w:lineRule="exact"/>
              <w:rPr>
                <w:rFonts w:ascii="宋体" w:hAnsi="宋体" w:cs="宋体"/>
                <w:szCs w:val="21"/>
              </w:rPr>
            </w:pPr>
            <w:r>
              <w:rPr>
                <w:rFonts w:hint="eastAsia" w:ascii="宋体" w:hAnsi="宋体" w:cs="宋体"/>
                <w:szCs w:val="21"/>
              </w:rPr>
              <w:t>招标人地址：</w:t>
            </w:r>
          </w:p>
          <w:p>
            <w:pPr>
              <w:spacing w:line="400" w:lineRule="exact"/>
              <w:rPr>
                <w:rFonts w:ascii="宋体" w:hAnsi="宋体" w:cs="宋体"/>
                <w:szCs w:val="21"/>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 xml:space="preserve">                       （项目名称）/（标段）</w:t>
            </w:r>
            <w:r>
              <w:rPr>
                <w:rFonts w:hint="eastAsia" w:ascii="宋体" w:hAnsi="宋体" w:cs="宋体"/>
                <w:szCs w:val="21"/>
              </w:rPr>
              <w:t>投标文件</w:t>
            </w:r>
          </w:p>
          <w:p>
            <w:pPr>
              <w:adjustRightInd w:val="0"/>
              <w:spacing w:line="400" w:lineRule="exact"/>
              <w:textAlignment w:val="baseline"/>
              <w:rPr>
                <w:rFonts w:asciiTheme="minorEastAsia" w:hAnsiTheme="minorEastAsia" w:eastAsiaTheme="minorEastAsia"/>
                <w:szCs w:val="21"/>
              </w:rPr>
            </w:pPr>
            <w:r>
              <w:rPr>
                <w:rFonts w:hint="eastAsia" w:ascii="宋体" w:hAnsi="宋体" w:cs="宋体"/>
                <w:szCs w:val="21"/>
              </w:rPr>
              <w:t>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6"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4.2.1</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color w:val="auto"/>
                <w:szCs w:val="21"/>
                <w:lang w:eastAsia="zh-CN"/>
              </w:rPr>
              <w:t>2019年</w:t>
            </w:r>
            <w:r>
              <w:rPr>
                <w:rFonts w:hint="eastAsia" w:ascii="宋体" w:hAnsi="宋体" w:cs="宋体"/>
                <w:color w:val="auto"/>
                <w:szCs w:val="21"/>
                <w:lang w:val="en-US" w:eastAsia="zh-CN"/>
              </w:rPr>
              <w:t>10</w:t>
            </w:r>
            <w:r>
              <w:rPr>
                <w:rFonts w:hint="eastAsia" w:ascii="宋体" w:hAnsi="宋体" w:cs="宋体"/>
                <w:color w:val="auto"/>
                <w:szCs w:val="21"/>
                <w:lang w:eastAsia="zh-CN"/>
              </w:rPr>
              <w:t>月</w:t>
            </w:r>
            <w:r>
              <w:rPr>
                <w:rFonts w:hint="eastAsia" w:ascii="宋体" w:hAnsi="宋体" w:cs="宋体"/>
                <w:color w:val="auto"/>
                <w:szCs w:val="21"/>
                <w:lang w:val="en-US" w:eastAsia="zh-CN"/>
              </w:rPr>
              <w:t>29</w:t>
            </w:r>
            <w:r>
              <w:rPr>
                <w:rFonts w:hint="eastAsia" w:ascii="宋体" w:hAnsi="宋体" w:cs="宋体"/>
                <w:color w:val="auto"/>
                <w:szCs w:val="21"/>
                <w:lang w:eastAsia="zh-CN"/>
              </w:rPr>
              <w:t>日09时30分</w:t>
            </w:r>
            <w:r>
              <w:rPr>
                <w:rFonts w:hint="eastAsia" w:ascii="宋体" w:hAnsi="宋体" w:cs="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4.2.2</w:t>
            </w:r>
            <w:r>
              <w:rPr>
                <w:rFonts w:hint="eastAsia" w:asciiTheme="minorEastAsia" w:hAnsiTheme="minorEastAsia" w:eastAsiaTheme="minorEastAsia"/>
                <w:szCs w:val="21"/>
              </w:rPr>
              <w:t>（A）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递交投标文件地点</w:t>
            </w:r>
          </w:p>
        </w:tc>
        <w:tc>
          <w:tcPr>
            <w:tcW w:w="6102" w:type="dxa"/>
            <w:gridSpan w:val="2"/>
            <w:vAlign w:val="center"/>
          </w:tcPr>
          <w:p>
            <w:pPr>
              <w:spacing w:line="400" w:lineRule="exact"/>
              <w:rPr>
                <w:rFonts w:hint="eastAsia" w:eastAsia="宋体" w:asciiTheme="minorEastAsia" w:hAnsiTheme="minorEastAsia"/>
                <w:szCs w:val="21"/>
                <w:lang w:eastAsia="zh-CN"/>
              </w:rPr>
            </w:pPr>
            <w:r>
              <w:rPr>
                <w:rFonts w:hint="eastAsia" w:ascii="宋体" w:hAnsi="宋体" w:cs="宋体"/>
                <w:kern w:val="0"/>
                <w:szCs w:val="21"/>
              </w:rPr>
              <w:t>许昌市建安区新元大道兴业大厦4楼</w:t>
            </w:r>
            <w:r>
              <w:rPr>
                <w:rFonts w:hint="eastAsia" w:ascii="宋体" w:hAnsi="宋体" w:cs="宋体"/>
                <w:kern w:val="0"/>
                <w:szCs w:val="21"/>
                <w:lang w:val="en-US" w:eastAsia="zh-CN"/>
              </w:rPr>
              <w:t>4167室（</w:t>
            </w:r>
            <w:r>
              <w:rPr>
                <w:rFonts w:hint="eastAsia" w:ascii="宋体" w:hAnsi="宋体" w:cs="宋体"/>
                <w:kern w:val="0"/>
                <w:szCs w:val="21"/>
              </w:rPr>
              <w:t>开标一室</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4.2.3</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是否退还投标文件</w:t>
            </w:r>
          </w:p>
        </w:tc>
        <w:tc>
          <w:tcPr>
            <w:tcW w:w="6102" w:type="dxa"/>
            <w:gridSpan w:val="2"/>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5.1（A）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开标时间和地点</w:t>
            </w:r>
          </w:p>
        </w:tc>
        <w:tc>
          <w:tcPr>
            <w:tcW w:w="6102" w:type="dxa"/>
            <w:gridSpan w:val="2"/>
            <w:vAlign w:val="center"/>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xml:space="preserve">开标时间：同投标截止时间 </w:t>
            </w:r>
          </w:p>
          <w:p>
            <w:pPr>
              <w:adjustRightInd w:val="0"/>
              <w:spacing w:line="400" w:lineRule="exact"/>
              <w:textAlignment w:val="baseline"/>
              <w:rPr>
                <w:rFonts w:hint="eastAsia" w:eastAsia="宋体" w:asciiTheme="minorEastAsia" w:hAnsiTheme="minorEastAsia"/>
                <w:szCs w:val="21"/>
                <w:lang w:eastAsia="zh-CN"/>
              </w:rPr>
            </w:pPr>
            <w:r>
              <w:rPr>
                <w:rFonts w:hint="eastAsia" w:ascii="宋体" w:hAnsi="宋体" w:cs="宋体"/>
                <w:kern w:val="0"/>
                <w:szCs w:val="21"/>
              </w:rPr>
              <w:t>开标地点：许昌市建安区新元大道兴业大厦4楼</w:t>
            </w:r>
            <w:r>
              <w:rPr>
                <w:rFonts w:hint="eastAsia" w:ascii="宋体" w:hAnsi="宋体" w:cs="宋体"/>
                <w:kern w:val="0"/>
                <w:szCs w:val="21"/>
                <w:lang w:val="en-US" w:eastAsia="zh-CN"/>
              </w:rPr>
              <w:t>4167室（</w:t>
            </w:r>
            <w:r>
              <w:rPr>
                <w:rFonts w:hint="eastAsia" w:ascii="宋体" w:hAnsi="宋体" w:cs="宋体"/>
                <w:kern w:val="0"/>
                <w:szCs w:val="21"/>
              </w:rPr>
              <w:t>开标一室</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1004"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5.2（4）（A）</w:t>
            </w:r>
          </w:p>
        </w:tc>
        <w:tc>
          <w:tcPr>
            <w:tcW w:w="1950" w:type="dxa"/>
            <w:gridSpan w:val="2"/>
            <w:vAlign w:val="center"/>
          </w:tcPr>
          <w:p>
            <w:pPr>
              <w:adjustRightInd w:val="0"/>
              <w:spacing w:line="40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开标程序</w:t>
            </w:r>
          </w:p>
        </w:tc>
        <w:tc>
          <w:tcPr>
            <w:tcW w:w="6102"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详见总则5.2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00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6.1.1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评标委员会的组建</w:t>
            </w:r>
          </w:p>
        </w:tc>
        <w:tc>
          <w:tcPr>
            <w:tcW w:w="6102"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评标委员会构成：</w:t>
            </w:r>
            <w:r>
              <w:rPr>
                <w:rFonts w:hint="eastAsia" w:asciiTheme="minorEastAsia" w:hAnsiTheme="minorEastAsia" w:eastAsiaTheme="minorEastAsia"/>
                <w:szCs w:val="21"/>
                <w:u w:val="single"/>
              </w:rPr>
              <w:t>7</w:t>
            </w:r>
            <w:r>
              <w:rPr>
                <w:rFonts w:asciiTheme="minorEastAsia" w:hAnsiTheme="minorEastAsia" w:eastAsiaTheme="minorEastAsia"/>
                <w:szCs w:val="21"/>
              </w:rPr>
              <w:t>人</w:t>
            </w:r>
            <w:r>
              <w:rPr>
                <w:rFonts w:hint="eastAsia" w:asciiTheme="minorEastAsia" w:hAnsiTheme="minorEastAsia" w:eastAsiaTheme="minorEastAsia"/>
                <w:szCs w:val="21"/>
              </w:rPr>
              <w:t>；其中：</w:t>
            </w:r>
            <w:r>
              <w:rPr>
                <w:rFonts w:asciiTheme="minorEastAsia" w:hAnsiTheme="minorEastAsia" w:eastAsiaTheme="minorEastAsia"/>
                <w:szCs w:val="21"/>
              </w:rPr>
              <w:t>招标人代表</w:t>
            </w:r>
            <w:r>
              <w:rPr>
                <w:rFonts w:hint="eastAsia" w:asciiTheme="minorEastAsia" w:hAnsiTheme="minorEastAsia" w:eastAsiaTheme="minorEastAsia"/>
                <w:szCs w:val="21"/>
                <w:u w:val="single"/>
              </w:rPr>
              <w:t>2</w:t>
            </w:r>
            <w:r>
              <w:rPr>
                <w:rFonts w:asciiTheme="minorEastAsia" w:hAnsiTheme="minorEastAsia" w:eastAsiaTheme="minorEastAsia"/>
                <w:szCs w:val="21"/>
              </w:rPr>
              <w:t>人、技术</w:t>
            </w:r>
            <w:r>
              <w:rPr>
                <w:rFonts w:hint="eastAsia" w:asciiTheme="minorEastAsia" w:hAnsiTheme="minorEastAsia" w:eastAsiaTheme="minorEastAsia"/>
                <w:szCs w:val="21"/>
              </w:rPr>
              <w:t>、</w:t>
            </w:r>
            <w:r>
              <w:rPr>
                <w:rFonts w:asciiTheme="minorEastAsia" w:hAnsiTheme="minorEastAsia" w:eastAsiaTheme="minorEastAsia"/>
                <w:szCs w:val="21"/>
              </w:rPr>
              <w:t>经济专家</w:t>
            </w:r>
            <w:r>
              <w:rPr>
                <w:rFonts w:hint="eastAsia" w:asciiTheme="minorEastAsia" w:hAnsiTheme="minorEastAsia" w:eastAsiaTheme="minorEastAsia"/>
                <w:szCs w:val="21"/>
                <w:u w:val="single"/>
              </w:rPr>
              <w:t>5</w:t>
            </w:r>
            <w:r>
              <w:rPr>
                <w:rFonts w:asciiTheme="minorEastAsia" w:hAnsiTheme="minorEastAsia" w:eastAsiaTheme="minorEastAsia"/>
                <w:szCs w:val="21"/>
              </w:rPr>
              <w:t>人。</w:t>
            </w:r>
          </w:p>
          <w:p>
            <w:pPr>
              <w:rPr>
                <w:b/>
              </w:rPr>
            </w:pPr>
            <w:bookmarkStart w:id="3" w:name="_Toc24283"/>
            <w:bookmarkStart w:id="4" w:name="_Toc25170"/>
            <w:bookmarkStart w:id="5" w:name="_Toc29635"/>
            <w:r>
              <w:rPr>
                <w:b/>
                <w:szCs w:val="21"/>
              </w:rPr>
              <w:t>评标专家确定方式：</w:t>
            </w:r>
            <w:r>
              <w:rPr>
                <w:b/>
                <w:szCs w:val="21"/>
                <w:u w:val="single"/>
              </w:rPr>
              <w:t>从</w:t>
            </w:r>
            <w:r>
              <w:rPr>
                <w:rFonts w:hint="eastAsia"/>
                <w:b/>
                <w:szCs w:val="21"/>
                <w:u w:val="single"/>
              </w:rPr>
              <w:t>河南省综合评标</w:t>
            </w:r>
            <w:r>
              <w:rPr>
                <w:b/>
                <w:szCs w:val="21"/>
                <w:u w:val="single"/>
              </w:rPr>
              <w:t>专家库</w:t>
            </w:r>
            <w:r>
              <w:rPr>
                <w:rFonts w:hint="eastAsia"/>
                <w:b/>
                <w:szCs w:val="21"/>
                <w:u w:val="single"/>
              </w:rPr>
              <w:t>中随机</w:t>
            </w:r>
            <w:r>
              <w:rPr>
                <w:b/>
                <w:szCs w:val="21"/>
                <w:u w:val="single"/>
              </w:rPr>
              <w:t>抽取</w:t>
            </w:r>
            <w:r>
              <w:rPr>
                <w:b/>
                <w:szCs w:val="21"/>
              </w:rPr>
              <w:t>。</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6.3.2</w:t>
            </w:r>
          </w:p>
        </w:tc>
        <w:tc>
          <w:tcPr>
            <w:tcW w:w="1950" w:type="dxa"/>
            <w:gridSpan w:val="2"/>
            <w:vAlign w:val="center"/>
          </w:tcPr>
          <w:p>
            <w:pPr>
              <w:spacing w:line="400" w:lineRule="exact"/>
              <w:jc w:val="center"/>
              <w:rPr>
                <w:rFonts w:asciiTheme="minorEastAsia" w:hAnsiTheme="minorEastAsia" w:eastAsiaTheme="minorEastAsia"/>
                <w:szCs w:val="21"/>
              </w:rPr>
            </w:pPr>
            <w:r>
              <w:rPr>
                <w:rFonts w:ascii="宋体" w:hAnsi="宋体" w:cs="宋体"/>
                <w:szCs w:val="21"/>
              </w:rPr>
              <w:t>评标委员会推荐中标候选人的人数</w:t>
            </w:r>
          </w:p>
        </w:tc>
        <w:tc>
          <w:tcPr>
            <w:tcW w:w="6102" w:type="dxa"/>
            <w:gridSpan w:val="2"/>
            <w:vAlign w:val="center"/>
          </w:tcPr>
          <w:p>
            <w:pPr>
              <w:spacing w:line="400" w:lineRule="exact"/>
              <w:rPr>
                <w:rFonts w:asciiTheme="minorEastAsia" w:hAnsiTheme="minorEastAsia" w:eastAsiaTheme="minorEastAsia"/>
                <w:szCs w:val="21"/>
              </w:rPr>
            </w:pPr>
            <w:r>
              <w:rPr>
                <w:rFonts w:hint="eastAsia" w:ascii="宋体" w:hAnsi="宋体" w:cs="宋体"/>
                <w:szCs w:val="21"/>
              </w:rPr>
              <w:t>推荐的中标候选人数：1-3 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7.1</w:t>
            </w:r>
          </w:p>
        </w:tc>
        <w:tc>
          <w:tcPr>
            <w:tcW w:w="1950" w:type="dxa"/>
            <w:gridSpan w:val="2"/>
            <w:vAlign w:val="center"/>
          </w:tcPr>
          <w:p>
            <w:pPr>
              <w:rPr>
                <w:rFonts w:asciiTheme="minorEastAsia" w:hAnsiTheme="minorEastAsia" w:eastAsiaTheme="minorEastAsia"/>
                <w:szCs w:val="21"/>
              </w:rPr>
            </w:pPr>
            <w:r>
              <w:rPr>
                <w:rFonts w:asciiTheme="minorEastAsia" w:hAnsiTheme="minorEastAsia" w:eastAsiaTheme="minorEastAsia"/>
                <w:szCs w:val="21"/>
              </w:rPr>
              <w:t>中标候选人公示媒介及期限</w:t>
            </w:r>
          </w:p>
        </w:tc>
        <w:tc>
          <w:tcPr>
            <w:tcW w:w="6102" w:type="dxa"/>
            <w:gridSpan w:val="2"/>
            <w:vAlign w:val="center"/>
          </w:tcPr>
          <w:p>
            <w:pPr>
              <w:rPr>
                <w:rFonts w:cs="宋体" w:asciiTheme="minorEastAsia" w:hAnsiTheme="minorEastAsia" w:eastAsiaTheme="minorEastAsia"/>
                <w:szCs w:val="21"/>
              </w:rPr>
            </w:pPr>
            <w:r>
              <w:rPr>
                <w:rFonts w:hint="eastAsia" w:ascii="宋体" w:hAnsi="宋体" w:cs="宋体"/>
                <w:szCs w:val="21"/>
              </w:rPr>
              <w:t>公式媒介：</w:t>
            </w:r>
            <w:r>
              <w:rPr>
                <w:rFonts w:hint="eastAsia" w:cs="宋体" w:asciiTheme="minorEastAsia" w:hAnsiTheme="minorEastAsia" w:eastAsiaTheme="minorEastAsia"/>
                <w:szCs w:val="21"/>
              </w:rPr>
              <w:t>在《河南省电子招标投标公共服务平台》和《全国公共资源交易平台（河南省•许昌市）》上；</w:t>
            </w:r>
          </w:p>
          <w:p>
            <w:r>
              <w:rPr>
                <w:rFonts w:hint="eastAsia" w:ascii="宋体" w:hAnsi="宋体" w:cs="宋体"/>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是否授权评标委员会确定中标人</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7.6.1</w:t>
            </w:r>
          </w:p>
        </w:tc>
        <w:tc>
          <w:tcPr>
            <w:tcW w:w="1950" w:type="dxa"/>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6102" w:type="dxa"/>
            <w:gridSpan w:val="2"/>
            <w:vAlign w:val="center"/>
          </w:tcPr>
          <w:p>
            <w:pPr>
              <w:spacing w:line="400" w:lineRule="exact"/>
              <w:rPr>
                <w:rFonts w:ascii="宋体" w:hAnsi="宋体" w:cs="宋体"/>
                <w:szCs w:val="21"/>
              </w:rPr>
            </w:pPr>
            <w:r>
              <w:rPr>
                <w:rFonts w:hint="eastAsia" w:ascii="宋体" w:hAnsi="宋体" w:cs="宋体"/>
                <w:szCs w:val="21"/>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0" w:hRule="atLeast"/>
        </w:trPr>
        <w:tc>
          <w:tcPr>
            <w:tcW w:w="100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50" w:type="dxa"/>
            <w:gridSpan w:val="2"/>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是否采用电子招标投标</w:t>
            </w:r>
          </w:p>
        </w:tc>
        <w:tc>
          <w:tcPr>
            <w:tcW w:w="6102" w:type="dxa"/>
            <w:gridSpan w:val="2"/>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eq \o\ac(□,√)</w:instrTex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10.1招标控制价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asciiTheme="minorEastAsia" w:hAnsiTheme="minorEastAsia" w:eastAsiaTheme="minorEastAsia"/>
                <w:szCs w:val="21"/>
              </w:rPr>
              <w:t>招标控制价</w:t>
            </w:r>
          </w:p>
        </w:tc>
        <w:tc>
          <w:tcPr>
            <w:tcW w:w="5812" w:type="dxa"/>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招标控制价为：</w:t>
            </w:r>
            <w:r>
              <w:rPr>
                <w:rFonts w:hint="eastAsia" w:cs="宋体" w:asciiTheme="minorEastAsia" w:hAnsiTheme="minorEastAsia" w:eastAsiaTheme="minorEastAsia"/>
                <w:szCs w:val="21"/>
                <w:lang w:eastAsia="zh-CN"/>
              </w:rPr>
              <w:t>肆拾肆万壹仟贰佰伍拾捌元伍角壹分</w:t>
            </w:r>
            <w:r>
              <w:rPr>
                <w:rFonts w:hint="eastAsia" w:cs="宋体" w:asciiTheme="minorEastAsia" w:hAnsiTheme="minorEastAsia" w:eastAsiaTheme="minorEastAsia"/>
                <w:szCs w:val="21"/>
              </w:rPr>
              <w:t>（￥：441258.51元）</w:t>
            </w:r>
          </w:p>
          <w:p>
            <w:pPr>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10.2词语解释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016"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asciiTheme="minorEastAsia" w:hAnsiTheme="minorEastAsia" w:eastAsiaTheme="minorEastAsia"/>
                <w:szCs w:val="21"/>
              </w:rPr>
              <w:t>10.2.1</w:t>
            </w:r>
          </w:p>
        </w:tc>
        <w:tc>
          <w:tcPr>
            <w:tcW w:w="2228" w:type="dxa"/>
            <w:gridSpan w:val="2"/>
            <w:vAlign w:val="center"/>
          </w:tcPr>
          <w:p>
            <w:pPr>
              <w:adjustRightInd w:val="0"/>
              <w:spacing w:line="400" w:lineRule="exact"/>
              <w:textAlignment w:val="baseline"/>
              <w:rPr>
                <w:rFonts w:asciiTheme="minorEastAsia" w:hAnsiTheme="minorEastAsia" w:eastAsiaTheme="minorEastAsia"/>
                <w:szCs w:val="21"/>
              </w:rPr>
            </w:pPr>
            <w:r>
              <w:rPr>
                <w:rFonts w:hint="eastAsia" w:cs="宋体" w:asciiTheme="minorEastAsia" w:hAnsiTheme="minorEastAsia" w:eastAsiaTheme="minorEastAsia"/>
                <w:bCs/>
                <w:szCs w:val="21"/>
              </w:rPr>
              <w:t>类似项目</w:t>
            </w:r>
          </w:p>
        </w:tc>
        <w:tc>
          <w:tcPr>
            <w:tcW w:w="5812" w:type="dxa"/>
            <w:vAlign w:val="center"/>
          </w:tcPr>
          <w:p>
            <w:pPr>
              <w:pStyle w:val="11"/>
              <w:spacing w:after="0" w:line="400" w:lineRule="exact"/>
              <w:ind w:right="63"/>
              <w:rPr>
                <w:rFonts w:cs="宋体" w:asciiTheme="minorEastAsia" w:hAnsiTheme="minorEastAsia" w:eastAsiaTheme="minorEastAsia"/>
                <w:szCs w:val="21"/>
              </w:rPr>
            </w:pPr>
            <w:r>
              <w:rPr>
                <w:rFonts w:hint="eastAsia" w:cs="宋体" w:asciiTheme="minorEastAsia" w:hAnsiTheme="minorEastAsia" w:eastAsiaTheme="minorEastAsia"/>
                <w:szCs w:val="21"/>
              </w:rPr>
              <w:t>本招标项目类似项目指自2016年01月01日至投标截止时间前（以合同签订时间为准），依法招标的市政工程监理项目。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9056" w:type="dxa"/>
            <w:gridSpan w:val="5"/>
            <w:vAlign w:val="center"/>
          </w:tcPr>
          <w:p>
            <w:pPr>
              <w:pStyle w:val="11"/>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（1）投标人的类似项目业绩，需提供合同和中标通知书或</w:t>
            </w:r>
            <w:r>
              <w:rPr>
                <w:rFonts w:asciiTheme="minorEastAsia" w:hAnsiTheme="minorEastAsia" w:eastAsiaTheme="minorEastAsia"/>
                <w:szCs w:val="21"/>
              </w:rPr>
              <w:t>合同</w:t>
            </w:r>
            <w:r>
              <w:rPr>
                <w:rFonts w:hint="eastAsia" w:asciiTheme="minorEastAsia" w:hAnsiTheme="minorEastAsia" w:eastAsiaTheme="minorEastAsia"/>
                <w:szCs w:val="21"/>
              </w:rPr>
              <w:t>和竣工备案表。</w:t>
            </w:r>
          </w:p>
          <w:p>
            <w:pPr>
              <w:pStyle w:val="11"/>
              <w:spacing w:after="0" w:line="400" w:lineRule="exact"/>
              <w:ind w:right="63"/>
              <w:rPr>
                <w:rFonts w:asciiTheme="minorEastAsia" w:hAnsiTheme="minorEastAsia" w:eastAsiaTheme="minorEastAsia"/>
                <w:szCs w:val="21"/>
              </w:rPr>
            </w:pPr>
            <w:r>
              <w:rPr>
                <w:rFonts w:hint="eastAsia" w:asciiTheme="minorEastAsia" w:hAnsiTheme="minorEastAsia" w:eastAsiaTheme="minorEastAsia"/>
                <w:szCs w:val="21"/>
              </w:rPr>
              <w:t>（2）企业业绩与项目总监理工程师业绩可以重复使用。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10.3解释权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8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构成本招标文件的各个组成文件应互为解释，互为说明：</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1、如有不明确或不一致，构成合同文件组成内容，以合同文件约定内容为准，且以专用合同条款约定的合同文件优先顺序解释；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2、除招标文件中有特别规定外，仅适用于招标投标阶段的规定，按招标公告（投标邀请书）、投标人须知、评标办法、投标文件格式的先后顺序解释；</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3、同一组成文件中就同一事项的规定或约定不一致的，以编排顺序在后者为准；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4、同一组成文件不同版本之间有不一致的，以形成时间在后者为准。</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10.4招标人声明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9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1.投标人因参与投标活动而涉及的人身伤害、财产损害、侵犯他人权益、仲裁或诉讼等，应当责任自负、费用自担，并应保证招标人和招标代理机构免于承担上述责任或者其他不良影响。</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2.招标人声明招标文件中附带的参考资料是以诚信的态度提供的，是招标人现有的和客观的信息。招标人不对投标人由此做出的任何理解、推论、判断、结论和决策进行负责。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Style w:val="45"/>
                <w:rFonts w:hint="eastAsia" w:cs="宋体" w:asciiTheme="minorEastAsia" w:hAnsiTheme="minorEastAsia" w:eastAsiaTheme="minorEastAsia"/>
                <w:sz w:val="21"/>
                <w:szCs w:val="21"/>
              </w:rPr>
              <w:t>10.5合同授予的条件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10.6知识产权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0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10.7投标人代表出席开标会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72"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开标时各投标人的法定代表人或授权委托人持身份证及授权委托书原件，到开标现场签到，缺席或逾期不到者视为放弃。各投标单位参加会议人数不得多于二人。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10.8重新招标的其他情形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43"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1、除投标人须知正文第8条规定的情形外，除非已经产生中标候选人，在投标有效期内同意延长投标有效期的投标人少于3个的，招标人应当依法重新招标。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2、招标人编制的招标文件的内容违反法律、行政法规的强制性规定，违反公开、公平、公正和诚实信用原则，影响潜在投标人投标的，招标人应当在修改招标文件后重新招标。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4、依法必须进行招标的项目的招标投标活动违反招标投标法和招标投标法实施条例的规定，对中标结果造成实质性影响，且不能采取补救措施予以纠正的，招标、投标、中标无效，应当依法重新招标或者评标。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10.9提醒各投标人关于“评标委员会审查原件”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10.10投标文件的拒收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1.逾期送达的或者未送达指定地点的投标文件；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2.投标文件未按招标文件要求密封的；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3.未按招标文件要求缴纳投标保证金的；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4.开标时法定代表人未携带本人身份证原件或授权委托人未携带有效的授权委托书原件和身份证原件到开标现场并签到的；</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7"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10.11 相关费用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本项目招标代理费由中标人支付，收费标准参考国家计委印发的计价格（2002）1980号文件规定。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56" w:type="dxa"/>
            <w:gridSpan w:val="5"/>
            <w:tcBorders>
              <w:top w:val="single" w:color="auto" w:sz="4" w:space="0"/>
              <w:bottom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10.12特别提示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6" w:hRule="atLeast"/>
        </w:trPr>
        <w:tc>
          <w:tcPr>
            <w:tcW w:w="9056" w:type="dxa"/>
            <w:gridSpan w:val="5"/>
            <w:tcBorders>
              <w:top w:val="single" w:color="auto" w:sz="4" w:space="0"/>
            </w:tcBorders>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2、潜在投标人如对招标文件有异议，请在规定时间内在《全国公共资源交易平台（河南省•许昌市）》公共资源交易系统中提出，以其他方式递交的异议不予接受。</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3、投标人在投标截止时间前应随时关注《全国公共资源交易平台（河南省•许昌市）》公共资源交易系统发出的有关本项目的答疑、修改等相关内容。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4、本项目试行全流程电子化交易，如因交易系统异常情况无法完成，将以人工方式进行。</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5、投标文件依据最终的招标文件进行编制。如果招标文件发生变更，投标人应以招标人最终发出的电子招标文件为准，编制投标文件，务请投标人随时关注项目变更信息。</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6、投标人电子投标文件成功提交后，应打印“投标文件提交回执单”，供开标现场备查。</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7、商务标投标文件制作注意事项：</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7.1 投标人登录《全国公共资源交易平台（河南省•许昌市）》公共资源交易系统下载“许昌投标文件制作系统SEARUN V1.1” 和操作手册（工程项目），按招标文件要求制作商务标投标文件。</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7.2 商务标投标文件制作技术咨询：0374-2961598。</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b/>
                <w:bCs/>
                <w:szCs w:val="21"/>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pStyle w:val="4"/>
      </w:pPr>
    </w:p>
    <w:p/>
    <w:p>
      <w:pPr>
        <w:pStyle w:val="4"/>
      </w:pPr>
    </w:p>
    <w:p/>
    <w:p>
      <w:pPr>
        <w:widowControl/>
        <w:jc w:val="left"/>
        <w:rPr>
          <w:rFonts w:asciiTheme="minorEastAsia" w:hAnsiTheme="minorEastAsia" w:eastAsiaTheme="minorEastAsia" w:cstheme="majorBidi"/>
          <w:b/>
          <w:bCs/>
          <w:sz w:val="24"/>
        </w:rPr>
      </w:pPr>
      <w:r>
        <w:br w:type="page"/>
      </w:r>
    </w:p>
    <w:p>
      <w:pPr>
        <w:pStyle w:val="4"/>
        <w:spacing w:line="440" w:lineRule="exact"/>
      </w:pPr>
      <w:bookmarkStart w:id="6" w:name="_Toc505626483"/>
      <w:r>
        <w:t>1.总则</w:t>
      </w:r>
      <w:bookmarkEnd w:id="6"/>
    </w:p>
    <w:p>
      <w:pPr>
        <w:pStyle w:val="5"/>
        <w:spacing w:line="440" w:lineRule="exact"/>
      </w:pPr>
      <w:bookmarkStart w:id="7" w:name="_Toc144974498"/>
      <w:bookmarkStart w:id="8" w:name="_Toc3807"/>
      <w:bookmarkStart w:id="9" w:name="_Toc152045530"/>
      <w:bookmarkStart w:id="10" w:name="_Toc281225096"/>
      <w:bookmarkStart w:id="11" w:name="_Toc152042306"/>
      <w:bookmarkStart w:id="12" w:name="_Toc273358856"/>
      <w:bookmarkStart w:id="13" w:name="_Toc505626484"/>
      <w:bookmarkStart w:id="14" w:name="_Toc14982"/>
      <w:bookmarkStart w:id="15" w:name="_Toc498502945"/>
      <w:bookmarkStart w:id="16" w:name="_Toc25173"/>
      <w:bookmarkStart w:id="17" w:name="_Toc270670928"/>
      <w:bookmarkStart w:id="18" w:name="_Toc269324687"/>
      <w:bookmarkStart w:id="19" w:name="_Toc499204853"/>
      <w:bookmarkStart w:id="20" w:name="_Toc7212"/>
      <w:r>
        <w:t>1.1 项目概况</w:t>
      </w:r>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1.1.1 根据《中华人民共和国招标投标法》、《中华人民共和国招标投标法实施条例》等有关法律、法规和规章的规定，本招标项目已具备招标条件，现对监理进行招标。</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1.1.2 招标人：见投标人须知前附表。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1.1.3 招标代理机构：见投标人须知前附表。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1.1.4 招标项目名称：见投标人须知前附表。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1.1.5 项目建设地点：见投标人须知前附表。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1.1.6 项目建设规模：见投标人须知前附表。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1.1.7 工程项目施工预计开工日期和建设周期：见投标人须知前附表。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1.1.8 建筑安装工程费/工程概算：见投标人须知前附表。</w:t>
      </w:r>
    </w:p>
    <w:p>
      <w:pPr>
        <w:pStyle w:val="5"/>
        <w:spacing w:line="440" w:lineRule="exact"/>
      </w:pPr>
      <w:bookmarkStart w:id="21" w:name="_Toc152045531"/>
      <w:bookmarkStart w:id="22" w:name="_Toc505626485"/>
      <w:bookmarkStart w:id="23" w:name="_Toc273358857"/>
      <w:bookmarkStart w:id="24" w:name="_Toc281225097"/>
      <w:bookmarkStart w:id="25" w:name="_Toc15111"/>
      <w:bookmarkStart w:id="26" w:name="_Toc144974499"/>
      <w:bookmarkStart w:id="27" w:name="_Toc498502946"/>
      <w:bookmarkStart w:id="28" w:name="_Toc16670"/>
      <w:bookmarkStart w:id="29" w:name="_Toc20419"/>
      <w:bookmarkStart w:id="30" w:name="_Toc270670929"/>
      <w:bookmarkStart w:id="31" w:name="_Toc269324688"/>
      <w:bookmarkStart w:id="32" w:name="_Toc3947"/>
      <w:bookmarkStart w:id="33" w:name="_Toc152042307"/>
      <w:bookmarkStart w:id="34" w:name="_Toc499204854"/>
      <w:r>
        <w:t>1.2 资金来源、落实情况</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1.2.1 本招标项目的资金来源：见投标人须知前附表。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w:t>
      </w:r>
      <w:r>
        <w:rPr>
          <w:rFonts w:asciiTheme="minorEastAsia" w:hAnsiTheme="minorEastAsia" w:eastAsiaTheme="minorEastAsia"/>
          <w:sz w:val="24"/>
        </w:rPr>
        <w:t xml:space="preserve"> 本招标项目的资金落实情况：见投标人须知前附表。</w:t>
      </w:r>
    </w:p>
    <w:p>
      <w:pPr>
        <w:pStyle w:val="5"/>
        <w:spacing w:line="440" w:lineRule="exact"/>
      </w:pPr>
      <w:bookmarkStart w:id="35" w:name="_Toc32479"/>
      <w:bookmarkStart w:id="36" w:name="_Toc6807"/>
      <w:bookmarkStart w:id="37" w:name="_Toc325550667"/>
      <w:bookmarkStart w:id="38" w:name="_Toc505626486"/>
      <w:bookmarkStart w:id="39" w:name="_Toc499204855"/>
      <w:bookmarkStart w:id="40" w:name="_Toc26948"/>
      <w:bookmarkStart w:id="41" w:name="_Toc498502947"/>
      <w:bookmarkStart w:id="42" w:name="_Toc273358859"/>
      <w:bookmarkStart w:id="43" w:name="_Toc152045534"/>
      <w:bookmarkStart w:id="44" w:name="_Toc8391"/>
      <w:bookmarkStart w:id="45" w:name="_Toc144974502"/>
      <w:bookmarkStart w:id="46" w:name="_Toc269324690"/>
      <w:bookmarkStart w:id="47" w:name="_Toc281225102"/>
      <w:bookmarkStart w:id="48" w:name="_Toc270670931"/>
      <w:bookmarkStart w:id="49" w:name="_Toc152042310"/>
      <w:r>
        <w:t>1.3招标范围、服务周期和质量要求</w:t>
      </w:r>
      <w:bookmarkEnd w:id="35"/>
      <w:bookmarkEnd w:id="36"/>
      <w:bookmarkEnd w:id="37"/>
      <w:bookmarkEnd w:id="38"/>
      <w:bookmarkEnd w:id="39"/>
      <w:bookmarkEnd w:id="40"/>
      <w:bookmarkEnd w:id="41"/>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1</w:t>
      </w:r>
      <w:r>
        <w:rPr>
          <w:rFonts w:asciiTheme="minorEastAsia" w:hAnsiTheme="minorEastAsia" w:eastAsiaTheme="minorEastAsia"/>
          <w:sz w:val="24"/>
        </w:rPr>
        <w:t xml:space="preserve"> 本次</w:t>
      </w:r>
      <w:r>
        <w:rPr>
          <w:rFonts w:hint="eastAsia" w:asciiTheme="minorEastAsia" w:hAnsiTheme="minorEastAsia" w:eastAsiaTheme="minorEastAsia"/>
          <w:sz w:val="24"/>
        </w:rPr>
        <w:t>标段划分及</w:t>
      </w:r>
      <w:r>
        <w:rPr>
          <w:rFonts w:asciiTheme="minorEastAsia" w:hAnsiTheme="minorEastAsia" w:eastAsiaTheme="minorEastAsia"/>
          <w:sz w:val="24"/>
        </w:rPr>
        <w:t>招标范围：见投标人须知前附表。</w:t>
      </w:r>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2</w:t>
      </w:r>
      <w:r>
        <w:rPr>
          <w:rFonts w:asciiTheme="minorEastAsia" w:hAnsiTheme="minorEastAsia" w:eastAsiaTheme="minorEastAsia"/>
          <w:sz w:val="24"/>
        </w:rPr>
        <w:t xml:space="preserve"> 本</w:t>
      </w:r>
      <w:r>
        <w:rPr>
          <w:rFonts w:hint="eastAsia" w:asciiTheme="minorEastAsia" w:hAnsiTheme="minorEastAsia" w:eastAsiaTheme="minorEastAsia"/>
          <w:sz w:val="24"/>
        </w:rPr>
        <w:t>项目</w:t>
      </w:r>
      <w:r>
        <w:rPr>
          <w:rFonts w:asciiTheme="minorEastAsia" w:hAnsiTheme="minorEastAsia" w:eastAsiaTheme="minorEastAsia"/>
          <w:sz w:val="24"/>
        </w:rPr>
        <w:t>的</w:t>
      </w:r>
      <w:r>
        <w:rPr>
          <w:rFonts w:hint="eastAsia" w:asciiTheme="minorEastAsia" w:hAnsiTheme="minorEastAsia" w:eastAsiaTheme="minorEastAsia"/>
          <w:sz w:val="24"/>
        </w:rPr>
        <w:t>监理服务期限</w:t>
      </w:r>
      <w:r>
        <w:rPr>
          <w:rFonts w:asciiTheme="minorEastAsia" w:hAnsiTheme="minorEastAsia" w:eastAsiaTheme="minorEastAsia"/>
          <w:sz w:val="24"/>
        </w:rPr>
        <w:t>：见投标人须知前附表。</w:t>
      </w:r>
    </w:p>
    <w:p>
      <w:pPr>
        <w:spacing w:line="440" w:lineRule="exact"/>
        <w:ind w:firstLine="42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 xml:space="preserve">3 </w:t>
      </w:r>
      <w:r>
        <w:rPr>
          <w:rFonts w:asciiTheme="minorEastAsia" w:hAnsiTheme="minorEastAsia" w:eastAsiaTheme="minorEastAsia"/>
          <w:sz w:val="24"/>
        </w:rPr>
        <w:t>本</w:t>
      </w:r>
      <w:r>
        <w:rPr>
          <w:rFonts w:hint="eastAsia" w:asciiTheme="minorEastAsia" w:hAnsiTheme="minorEastAsia" w:eastAsiaTheme="minorEastAsia"/>
          <w:sz w:val="24"/>
        </w:rPr>
        <w:t>项目</w:t>
      </w:r>
      <w:r>
        <w:rPr>
          <w:rFonts w:asciiTheme="minorEastAsia" w:hAnsiTheme="minorEastAsia" w:eastAsiaTheme="minorEastAsia"/>
          <w:sz w:val="24"/>
        </w:rPr>
        <w:t>的质量要求：见投标人须知前附表。</w:t>
      </w:r>
    </w:p>
    <w:p>
      <w:pPr>
        <w:pStyle w:val="5"/>
        <w:spacing w:line="440" w:lineRule="exact"/>
      </w:pPr>
      <w:bookmarkStart w:id="50" w:name="_Toc505626487"/>
      <w:bookmarkStart w:id="51" w:name="_Toc16688"/>
      <w:bookmarkStart w:id="52" w:name="_Toc24624"/>
      <w:bookmarkStart w:id="53" w:name="_Toc499204856"/>
      <w:bookmarkStart w:id="54" w:name="_Toc22463"/>
      <w:bookmarkStart w:id="55" w:name="_Toc498502948"/>
      <w:r>
        <w:t>1.4 投标人资格要求</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1.4.1 投标人应具备承担本招标项目资质条件、能力和信誉：</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（1）资质要求：见投标人须知前附表；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（2）财务要求：见投标人须知前附表；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（3）业绩要求：见投标人须知前附表；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（4）信誉要求：见投标人须知前附表；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（5）总监理工程师的资格要求：应当具备工程注册监理工程师执业资格（如有），具体要求见投标人须知前附表；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（6）其他主要人员要求：见投标人须知前附表。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（7）试验检测仪器设备要求：见投标人须知前附表。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（8）其他要求：见投标人须知前附表。</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需要提交的相关证明材料见本章第 3.5 款的规定。</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 xml:space="preserve">1.4.2 </w:t>
      </w:r>
      <w:r>
        <w:rPr>
          <w:rFonts w:asciiTheme="minorEastAsia" w:hAnsiTheme="minorEastAsia"/>
          <w:sz w:val="24"/>
        </w:rPr>
        <w:t>投标人须知前附表规定接受联合体投标的，联合体除应符合本章</w:t>
      </w:r>
      <w:r>
        <w:rPr>
          <w:rFonts w:asciiTheme="minorEastAsia" w:hAnsiTheme="minorEastAsia" w:eastAsiaTheme="minorEastAsia"/>
          <w:sz w:val="24"/>
        </w:rPr>
        <w:t>1.4.1 项和投标人须知前附表的要求外，还应遵守以下规定：</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（1）联合体各方应按招标文件提供的格式签订联合体协议书，明确联合体牵头人和各方权利义务，并承诺就中标项目向招标人承担连带责任；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（2）由同一专业的单位组成的联合体，按照资质等级较低的单位确定资质等级；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（3）联合体各方不得再以自己名义单独或参加其他联合体在本招标项目中投标，否则各相关投标均无效。</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1.4.3 投标人不得存在下列情形之一：</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（1）为招标人不具有独立法人资格的附属机构（单位）；</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（2）与招标人存在利害关系且可能影响招标公正性；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（3）与本招标项目的其他投标人为同一个单位负责人；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（4）与本招标项目的其他投标人存在控股、管理关系；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（5）为本招标项目的代建人；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（6）为本招标项目的招标代理机构；</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（7）与本招标项目的代建人或招标代理机构同为一个法定代表人；</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（8）与本招标项目的代建人或招标代理机构存在控股或参股关系；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（9）与本招标项目的施工承包人以及建筑材料、建筑构配件和设备供应商有隶属关系或者其他利害关系；</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（10）被依法暂停或者取消投标资格；</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（11）被责令停产停业、暂扣或者吊销许可证、暂扣或者吊销执照；</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（12）进入清算程序，或被宣告破产，或其他丧失履约能力的情形；</w:t>
      </w:r>
    </w:p>
    <w:p>
      <w:pPr>
        <w:spacing w:line="440" w:lineRule="exact"/>
        <w:ind w:firstLine="240" w:firstLineChars="100"/>
        <w:rPr>
          <w:rFonts w:asciiTheme="minorEastAsia" w:hAnsiTheme="minorEastAsia" w:eastAsiaTheme="minorEastAsia"/>
          <w:b/>
          <w:sz w:val="24"/>
        </w:rPr>
      </w:pPr>
      <w:r>
        <w:rPr>
          <w:rFonts w:asciiTheme="minorEastAsia" w:hAnsiTheme="minorEastAsia" w:eastAsiaTheme="minorEastAsia"/>
          <w:sz w:val="24"/>
        </w:rPr>
        <w:t>（13）被工商行政管理机关在全国企业信用信息公示系统中列入严重违法失信企业名单；</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（14）被最高人民法院在“信用中国”网站（www.creditchina.gov.cn）或各级信用信息共享平台中列入失信被执行人名单；</w:t>
      </w:r>
    </w:p>
    <w:p>
      <w:pPr>
        <w:spacing w:line="440" w:lineRule="exact"/>
        <w:ind w:firstLine="240" w:firstLineChars="100"/>
        <w:rPr>
          <w:rFonts w:asciiTheme="minorEastAsia" w:hAnsi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）法律法规或投标人须知前附表规定的其他情形。</w:t>
      </w:r>
    </w:p>
    <w:p>
      <w:pPr>
        <w:pStyle w:val="5"/>
        <w:spacing w:line="440" w:lineRule="exact"/>
      </w:pPr>
      <w:bookmarkStart w:id="56" w:name="_Toc505626488"/>
      <w:bookmarkStart w:id="57" w:name="_Toc281225104"/>
      <w:bookmarkStart w:id="58" w:name="_Toc1595"/>
      <w:bookmarkStart w:id="59" w:name="_Toc144974503"/>
      <w:bookmarkStart w:id="60" w:name="_Toc152045535"/>
      <w:bookmarkStart w:id="61" w:name="_Toc270670932"/>
      <w:bookmarkStart w:id="62" w:name="_Toc269324691"/>
      <w:bookmarkStart w:id="63" w:name="_Toc273358860"/>
      <w:bookmarkStart w:id="64" w:name="_Toc30041"/>
      <w:bookmarkStart w:id="65" w:name="_Toc152042311"/>
      <w:bookmarkStart w:id="66" w:name="_Toc498502949"/>
      <w:bookmarkStart w:id="67" w:name="_Toc24884"/>
      <w:bookmarkStart w:id="68" w:name="_Toc499204857"/>
      <w:bookmarkStart w:id="69" w:name="_Toc22660"/>
      <w:r>
        <w:t>1.5 费用承担</w:t>
      </w:r>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投标人准备和参加投标活动发生的一切费用自理，无论中标与否，均由投标人自行承担。</w:t>
      </w:r>
    </w:p>
    <w:p>
      <w:pPr>
        <w:pStyle w:val="5"/>
        <w:spacing w:line="440" w:lineRule="exact"/>
      </w:pPr>
      <w:bookmarkStart w:id="70" w:name="_Toc10693"/>
      <w:bookmarkStart w:id="71" w:name="_Toc144974504"/>
      <w:bookmarkStart w:id="72" w:name="_Toc16706"/>
      <w:bookmarkStart w:id="73" w:name="_Toc152045536"/>
      <w:bookmarkStart w:id="74" w:name="_Toc5790"/>
      <w:bookmarkStart w:id="75" w:name="_Toc498502950"/>
      <w:bookmarkStart w:id="76" w:name="_Toc269324692"/>
      <w:bookmarkStart w:id="77" w:name="_Toc9094"/>
      <w:bookmarkStart w:id="78" w:name="_Toc152042312"/>
      <w:bookmarkStart w:id="79" w:name="_Toc499204858"/>
      <w:bookmarkStart w:id="80" w:name="_Toc270670933"/>
      <w:bookmarkStart w:id="81" w:name="_Toc273358861"/>
      <w:bookmarkStart w:id="82" w:name="_Toc281225105"/>
      <w:bookmarkStart w:id="83" w:name="_Toc505626489"/>
      <w:r>
        <w:t>1.6 保密</w:t>
      </w:r>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参与招标投标活动的各方应对招标文件和投标文件中的商业和技术等秘密保密，否则应承担相应的法律责任。</w:t>
      </w:r>
    </w:p>
    <w:p>
      <w:pPr>
        <w:pStyle w:val="5"/>
        <w:spacing w:line="440" w:lineRule="exact"/>
      </w:pPr>
      <w:bookmarkStart w:id="84" w:name="_Toc144974505"/>
      <w:bookmarkStart w:id="85" w:name="_Toc270670934"/>
      <w:bookmarkStart w:id="86" w:name="_Toc31351"/>
      <w:bookmarkStart w:id="87" w:name="_Toc499204859"/>
      <w:bookmarkStart w:id="88" w:name="_Toc498502951"/>
      <w:bookmarkStart w:id="89" w:name="_Toc505626490"/>
      <w:bookmarkStart w:id="90" w:name="_Toc269324693"/>
      <w:bookmarkStart w:id="91" w:name="_Toc8125"/>
      <w:bookmarkStart w:id="92" w:name="_Toc273358862"/>
      <w:bookmarkStart w:id="93" w:name="_Toc17661"/>
      <w:bookmarkStart w:id="94" w:name="_Toc152045537"/>
      <w:bookmarkStart w:id="95" w:name="_Toc281225106"/>
      <w:bookmarkStart w:id="96" w:name="_Toc152042313"/>
      <w:bookmarkStart w:id="97" w:name="_Toc20769"/>
      <w:r>
        <w:t>1.7 语言</w:t>
      </w:r>
      <w:bookmarkEnd w:id="84"/>
      <w:r>
        <w:t>文字</w:t>
      </w:r>
      <w:bookmarkEnd w:id="85"/>
      <w:bookmarkEnd w:id="86"/>
      <w:bookmarkEnd w:id="87"/>
      <w:bookmarkEnd w:id="88"/>
      <w:bookmarkEnd w:id="89"/>
      <w:bookmarkEnd w:id="90"/>
      <w:bookmarkEnd w:id="91"/>
      <w:bookmarkEnd w:id="92"/>
      <w:bookmarkEnd w:id="93"/>
      <w:bookmarkEnd w:id="94"/>
      <w:bookmarkEnd w:id="95"/>
      <w:bookmarkEnd w:id="96"/>
      <w:bookmarkEnd w:id="97"/>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除专用术语外，与招标投标有关的语言均使用中文。必要时专用术语应附有中文注释，</w:t>
      </w:r>
      <w:r>
        <w:rPr>
          <w:rFonts w:asciiTheme="minorEastAsia" w:hAnsiTheme="minorEastAsia" w:eastAsiaTheme="minorEastAsia"/>
          <w:sz w:val="24"/>
          <w:lang w:bidi="en-US"/>
        </w:rPr>
        <w:t>对不同文字文本投标文件的解释发生异议的，以中文文本为准</w:t>
      </w:r>
      <w:r>
        <w:rPr>
          <w:rFonts w:asciiTheme="minorEastAsia" w:hAnsiTheme="minorEastAsia" w:eastAsiaTheme="minorEastAsia"/>
          <w:sz w:val="24"/>
        </w:rPr>
        <w:t>。</w:t>
      </w:r>
    </w:p>
    <w:p>
      <w:pPr>
        <w:pStyle w:val="5"/>
        <w:spacing w:line="440" w:lineRule="exact"/>
      </w:pPr>
      <w:bookmarkStart w:id="98" w:name="_Toc144974506"/>
      <w:bookmarkStart w:id="99" w:name="_Toc498502952"/>
      <w:bookmarkStart w:id="100" w:name="_Toc505626491"/>
      <w:bookmarkStart w:id="101" w:name="_Toc20491"/>
      <w:bookmarkStart w:id="102" w:name="_Toc13737"/>
      <w:bookmarkStart w:id="103" w:name="_Toc15379"/>
      <w:bookmarkStart w:id="104" w:name="_Toc152045538"/>
      <w:bookmarkStart w:id="105" w:name="_Toc270670935"/>
      <w:bookmarkStart w:id="106" w:name="_Toc499204860"/>
      <w:bookmarkStart w:id="107" w:name="_Toc281225107"/>
      <w:bookmarkStart w:id="108" w:name="_Toc152042314"/>
      <w:bookmarkStart w:id="109" w:name="_Toc269324694"/>
      <w:bookmarkStart w:id="110" w:name="_Toc22992"/>
      <w:bookmarkStart w:id="111" w:name="_Toc273358863"/>
      <w:r>
        <w:t>1.8 计量单位</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除技术规范另有规定外，所有计量均采用中华人民共和国法定计量单位。</w:t>
      </w:r>
    </w:p>
    <w:p>
      <w:pPr>
        <w:pStyle w:val="5"/>
        <w:spacing w:line="440" w:lineRule="exact"/>
      </w:pPr>
      <w:bookmarkStart w:id="112" w:name="_Toc30753"/>
      <w:bookmarkStart w:id="113" w:name="_Toc21341"/>
      <w:bookmarkStart w:id="114" w:name="_Toc499204861"/>
      <w:bookmarkStart w:id="115" w:name="_Toc152045539"/>
      <w:bookmarkStart w:id="116" w:name="_Toc273358864"/>
      <w:bookmarkStart w:id="117" w:name="_Toc144974507"/>
      <w:bookmarkStart w:id="118" w:name="_Toc14034"/>
      <w:bookmarkStart w:id="119" w:name="_Toc152042315"/>
      <w:bookmarkStart w:id="120" w:name="_Toc23122"/>
      <w:bookmarkStart w:id="121" w:name="_Toc270670936"/>
      <w:bookmarkStart w:id="122" w:name="_Toc269324695"/>
      <w:bookmarkStart w:id="123" w:name="_Toc505626492"/>
      <w:bookmarkStart w:id="124" w:name="_Toc281225108"/>
      <w:bookmarkStart w:id="125" w:name="_Toc498502953"/>
      <w:r>
        <w:t>1.9 踏勘现场</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1.9.1</w:t>
      </w:r>
      <w:r>
        <w:rPr>
          <w:rFonts w:asciiTheme="minorEastAsia" w:hAnsiTheme="minorEastAsia" w:eastAsiaTheme="minorEastAsia"/>
          <w:sz w:val="24"/>
        </w:rPr>
        <w:t>投标人须知前附表规定组织踏勘现场的，招标人按投标人须知前附表规定的时间、地 点组织投标人踏勘项目现场。部分投标人未按时参加踏勘现场的，不影响踏勘现场的正常进行。</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1.9.2</w:t>
      </w:r>
      <w:r>
        <w:rPr>
          <w:rFonts w:asciiTheme="minorEastAsia" w:hAnsiTheme="minorEastAsia" w:eastAsiaTheme="minorEastAsia"/>
          <w:sz w:val="24"/>
        </w:rPr>
        <w:t>投标人踏勘现场发生的费用自理。</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1.9.3</w:t>
      </w:r>
      <w:r>
        <w:rPr>
          <w:rFonts w:asciiTheme="minorEastAsia" w:hAnsiTheme="minorEastAsia" w:eastAsiaTheme="minorEastAsia"/>
          <w:sz w:val="24"/>
        </w:rPr>
        <w:t>除招标人的原因外，投标人自行负责在踏勘现场中所发生的人员伤亡和财产损失。</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1.9.4</w:t>
      </w:r>
      <w:r>
        <w:rPr>
          <w:rFonts w:asciiTheme="minorEastAsia" w:hAnsiTheme="minorEastAsia" w:eastAsiaTheme="minorEastAsia"/>
          <w:sz w:val="24"/>
        </w:rPr>
        <w:t>招标人在踏勘现场中介绍的工程场地和相关的周边环境情况，供投标人在编制投标文 件时参考，招标人不对投标人据此作出的判断和决策负责。</w:t>
      </w:r>
    </w:p>
    <w:p>
      <w:pPr>
        <w:pStyle w:val="5"/>
        <w:spacing w:line="440" w:lineRule="exact"/>
      </w:pPr>
      <w:bookmarkStart w:id="126" w:name="_Toc28032"/>
      <w:bookmarkStart w:id="127" w:name="_Toc21390"/>
      <w:bookmarkStart w:id="128" w:name="_Toc152045540"/>
      <w:bookmarkStart w:id="129" w:name="_Toc144974508"/>
      <w:bookmarkStart w:id="130" w:name="_Toc269324696"/>
      <w:bookmarkStart w:id="131" w:name="_Toc9610"/>
      <w:bookmarkStart w:id="132" w:name="_Toc12118"/>
      <w:bookmarkStart w:id="133" w:name="_Toc270670937"/>
      <w:bookmarkStart w:id="134" w:name="_Toc281225112"/>
      <w:bookmarkStart w:id="135" w:name="_Toc499204862"/>
      <w:bookmarkStart w:id="136" w:name="_Toc505626493"/>
      <w:bookmarkStart w:id="137" w:name="_Toc152042316"/>
      <w:bookmarkStart w:id="138" w:name="_Toc498502954"/>
      <w:bookmarkStart w:id="139" w:name="_Toc273358865"/>
      <w:r>
        <w:t>1.10 投标预备会</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1.10.1 投标人须知前附表规定召开投标预备会的，招标人按投标人须知前附表规定的时间和地点召开投标预备会，澄清投标人提出的问题。</w:t>
      </w:r>
    </w:p>
    <w:p>
      <w:pPr>
        <w:pStyle w:val="5"/>
        <w:spacing w:line="440" w:lineRule="exact"/>
      </w:pPr>
      <w:bookmarkStart w:id="140" w:name="_Toc505626494"/>
      <w:bookmarkStart w:id="141" w:name="_Toc269324697"/>
      <w:bookmarkStart w:id="142" w:name="_Toc152042317"/>
      <w:bookmarkStart w:id="143" w:name="_Toc281225113"/>
      <w:bookmarkStart w:id="144" w:name="_Toc270670938"/>
      <w:bookmarkStart w:id="145" w:name="_Toc9088"/>
      <w:bookmarkStart w:id="146" w:name="_Toc273358866"/>
      <w:bookmarkStart w:id="147" w:name="_Toc21890"/>
      <w:bookmarkStart w:id="148" w:name="_Toc17522"/>
      <w:bookmarkStart w:id="149" w:name="_Toc499204863"/>
      <w:bookmarkStart w:id="150" w:name="_Toc10333"/>
      <w:bookmarkStart w:id="151" w:name="_Toc498502955"/>
      <w:bookmarkStart w:id="152" w:name="_Toc152045541"/>
      <w:bookmarkStart w:id="153" w:name="_Toc144974509"/>
      <w:r>
        <w:t>1.11 分包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不允许</w:t>
      </w:r>
      <w:r>
        <w:rPr>
          <w:rFonts w:asciiTheme="minorEastAsia" w:hAnsiTheme="minorEastAsia" w:eastAsiaTheme="minorEastAsia"/>
          <w:sz w:val="24"/>
        </w:rPr>
        <w:t>。</w:t>
      </w:r>
    </w:p>
    <w:p>
      <w:pPr>
        <w:pStyle w:val="5"/>
        <w:spacing w:line="440" w:lineRule="exact"/>
      </w:pPr>
      <w:bookmarkStart w:id="154" w:name="_Toc270670939"/>
      <w:bookmarkStart w:id="155" w:name="_Toc17163"/>
      <w:bookmarkStart w:id="156" w:name="_Toc273358867"/>
      <w:bookmarkStart w:id="157" w:name="_Toc269324698"/>
      <w:bookmarkStart w:id="158" w:name="_Toc499204864"/>
      <w:bookmarkStart w:id="159" w:name="_Toc498502956"/>
      <w:bookmarkStart w:id="160" w:name="_Toc14741"/>
      <w:bookmarkStart w:id="161" w:name="_Toc10545"/>
      <w:bookmarkStart w:id="162" w:name="_Toc2558"/>
      <w:bookmarkStart w:id="163" w:name="_Toc281225114"/>
      <w:bookmarkStart w:id="164" w:name="_Toc505626495"/>
      <w:r>
        <w:t xml:space="preserve">1.12 </w:t>
      </w:r>
      <w:bookmarkEnd w:id="154"/>
      <w:bookmarkEnd w:id="155"/>
      <w:bookmarkEnd w:id="156"/>
      <w:bookmarkEnd w:id="157"/>
      <w:bookmarkEnd w:id="158"/>
      <w:bookmarkEnd w:id="159"/>
      <w:bookmarkEnd w:id="160"/>
      <w:bookmarkEnd w:id="161"/>
      <w:bookmarkEnd w:id="162"/>
      <w:bookmarkEnd w:id="163"/>
      <w:r>
        <w:rPr>
          <w:rFonts w:hint="eastAsia"/>
        </w:rPr>
        <w:t>响应和偏差</w:t>
      </w:r>
      <w:bookmarkEnd w:id="164"/>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1.12.1 投标文件应当对招标文件的实质性要求和条件作出满足性或更有利于招标人的响应，否则，投标人的投标将被否决。实质性要求和条件见投标人须知前附表。</w:t>
      </w:r>
    </w:p>
    <w:p>
      <w:pPr>
        <w:spacing w:line="440" w:lineRule="exact"/>
        <w:ind w:firstLine="360" w:firstLineChars="150"/>
        <w:jc w:val="left"/>
        <w:rPr>
          <w:rFonts w:asciiTheme="minorEastAsia" w:hAnsiTheme="minorEastAsia" w:eastAsiaTheme="minorEastAsia"/>
          <w:sz w:val="24"/>
        </w:rPr>
      </w:pPr>
      <w:r>
        <w:rPr>
          <w:rFonts w:asciiTheme="minorEastAsia" w:hAnsiTheme="minorEastAsia" w:eastAsiaTheme="minorEastAsia"/>
          <w:sz w:val="24"/>
        </w:rPr>
        <w:t>1.12.2 投标人应根据招标文件的要求提供投标监理大纲等内容以对招标文件作出响应。</w:t>
      </w:r>
    </w:p>
    <w:p>
      <w:pPr>
        <w:spacing w:line="440" w:lineRule="exact"/>
        <w:ind w:firstLine="360" w:firstLineChars="150"/>
        <w:jc w:val="left"/>
        <w:rPr>
          <w:rFonts w:asciiTheme="minorEastAsia" w:hAnsiTheme="minorEastAsia" w:eastAsiaTheme="minorEastAsia"/>
          <w:sz w:val="24"/>
        </w:rPr>
      </w:pPr>
      <w:r>
        <w:rPr>
          <w:rFonts w:asciiTheme="minorEastAsia" w:hAnsiTheme="minorEastAsia" w:eastAsiaTheme="minorEastAsia"/>
          <w:sz w:val="24"/>
        </w:rPr>
        <w:t>1.12.3 投标人须知前附表允许投标文件偏离招标文件某些要求的，偏差应当符合招标文件规定的偏差范围和幅度。</w:t>
      </w:r>
    </w:p>
    <w:p>
      <w:pPr>
        <w:pStyle w:val="4"/>
        <w:spacing w:line="440" w:lineRule="exact"/>
      </w:pPr>
      <w:bookmarkStart w:id="165" w:name="_Toc273358868"/>
      <w:bookmarkStart w:id="166" w:name="_Toc144974510"/>
      <w:bookmarkStart w:id="167" w:name="_Toc269324699"/>
      <w:bookmarkStart w:id="168" w:name="_Toc152045542"/>
      <w:bookmarkStart w:id="169" w:name="_Toc498502957"/>
      <w:bookmarkStart w:id="170" w:name="_Toc505626496"/>
      <w:bookmarkStart w:id="171" w:name="_Toc152042318"/>
      <w:bookmarkStart w:id="172" w:name="_Toc281225115"/>
      <w:bookmarkStart w:id="173" w:name="_Toc14256"/>
      <w:r>
        <w:t>2.招标文件</w:t>
      </w:r>
      <w:bookmarkEnd w:id="165"/>
      <w:bookmarkEnd w:id="166"/>
      <w:bookmarkEnd w:id="167"/>
      <w:bookmarkEnd w:id="168"/>
      <w:bookmarkEnd w:id="169"/>
      <w:bookmarkEnd w:id="170"/>
      <w:bookmarkEnd w:id="171"/>
      <w:bookmarkEnd w:id="172"/>
      <w:bookmarkEnd w:id="173"/>
    </w:p>
    <w:p>
      <w:pPr>
        <w:pStyle w:val="5"/>
        <w:spacing w:line="440" w:lineRule="exact"/>
      </w:pPr>
      <w:bookmarkStart w:id="174" w:name="_Toc273358869"/>
      <w:bookmarkStart w:id="175" w:name="_Toc7834"/>
      <w:bookmarkStart w:id="176" w:name="_Toc498502958"/>
      <w:bookmarkStart w:id="177" w:name="_Toc21374"/>
      <w:bookmarkStart w:id="178" w:name="_Toc152042319"/>
      <w:bookmarkStart w:id="179" w:name="_Toc12450"/>
      <w:bookmarkStart w:id="180" w:name="_Toc281225116"/>
      <w:bookmarkStart w:id="181" w:name="_Toc25095"/>
      <w:bookmarkStart w:id="182" w:name="_Toc152045543"/>
      <w:bookmarkStart w:id="183" w:name="_Toc269324700"/>
      <w:bookmarkStart w:id="184" w:name="_Toc499204866"/>
      <w:bookmarkStart w:id="185" w:name="_Toc505626497"/>
      <w:bookmarkStart w:id="186" w:name="_Toc144974511"/>
      <w:r>
        <w:t>2.1 招标文件的组成</w:t>
      </w:r>
      <w:bookmarkEnd w:id="174"/>
      <w:bookmarkEnd w:id="175"/>
      <w:bookmarkEnd w:id="176"/>
      <w:bookmarkEnd w:id="177"/>
      <w:bookmarkEnd w:id="178"/>
      <w:bookmarkEnd w:id="179"/>
      <w:bookmarkEnd w:id="180"/>
      <w:bookmarkEnd w:id="181"/>
      <w:bookmarkEnd w:id="182"/>
      <w:bookmarkEnd w:id="183"/>
      <w:bookmarkEnd w:id="184"/>
      <w:bookmarkEnd w:id="185"/>
      <w:bookmarkEnd w:id="186"/>
    </w:p>
    <w:p>
      <w:pPr>
        <w:spacing w:line="440" w:lineRule="exact"/>
        <w:jc w:val="left"/>
        <w:rPr>
          <w:rFonts w:asciiTheme="minorEastAsia" w:hAnsiTheme="minorEastAsia" w:eastAsiaTheme="minorEastAsia"/>
          <w:sz w:val="24"/>
        </w:rPr>
      </w:pPr>
      <w:r>
        <w:rPr>
          <w:rFonts w:asciiTheme="minorEastAsia" w:hAnsiTheme="minorEastAsia" w:eastAsiaTheme="minorEastAsia"/>
          <w:sz w:val="24"/>
        </w:rPr>
        <w:t>　　本招标文件包括：</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（1）招标公告；</w:t>
      </w:r>
    </w:p>
    <w:p>
      <w:pPr>
        <w:spacing w:line="440" w:lineRule="exact"/>
        <w:ind w:firstLine="410" w:firstLineChars="171"/>
        <w:jc w:val="left"/>
        <w:rPr>
          <w:rFonts w:asciiTheme="minorEastAsia" w:hAnsiTheme="minorEastAsia" w:eastAsiaTheme="minorEastAsia"/>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eastAsia="zh-CN"/>
        </w:rPr>
        <w:t>）</w:t>
      </w:r>
      <w:r>
        <w:rPr>
          <w:rFonts w:asciiTheme="minorEastAsia" w:hAnsiTheme="minorEastAsia" w:eastAsiaTheme="minorEastAsia"/>
          <w:sz w:val="24"/>
        </w:rPr>
        <w:t>投标人须知；</w:t>
      </w:r>
    </w:p>
    <w:p>
      <w:pPr>
        <w:spacing w:line="440" w:lineRule="exact"/>
        <w:ind w:firstLine="410" w:firstLineChars="171"/>
        <w:jc w:val="left"/>
        <w:rPr>
          <w:rFonts w:asciiTheme="minorEastAsia" w:hAnsiTheme="minorEastAsia" w:eastAsiaTheme="minorEastAsia"/>
          <w:sz w:val="24"/>
        </w:rPr>
      </w:pPr>
      <w:r>
        <w:rPr>
          <w:rFonts w:hint="eastAsia" w:asciiTheme="minorEastAsia" w:hAnsiTheme="minorEastAsia" w:eastAsiaTheme="minorEastAsia"/>
          <w:sz w:val="24"/>
        </w:rPr>
        <w:t>附表一  投标保证金；</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）评标办法</w:t>
      </w:r>
      <w:r>
        <w:rPr>
          <w:rFonts w:hint="eastAsia" w:asciiTheme="minorEastAsia" w:hAnsiTheme="minorEastAsia" w:eastAsiaTheme="minorEastAsia"/>
          <w:sz w:val="24"/>
        </w:rPr>
        <w:t>（综合评估法）</w:t>
      </w:r>
      <w:r>
        <w:rPr>
          <w:rFonts w:asciiTheme="minorEastAsia" w:hAnsiTheme="minorEastAsia" w:eastAsiaTheme="minorEastAsia"/>
          <w:sz w:val="24"/>
        </w:rPr>
        <w:t>；</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）合同条款及格式；</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）委托人要求；</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）投标文件格式；</w:t>
      </w:r>
    </w:p>
    <w:p>
      <w:pPr>
        <w:spacing w:line="440" w:lineRule="exact"/>
        <w:ind w:firstLine="410" w:firstLineChars="171"/>
        <w:jc w:val="left"/>
        <w:rPr>
          <w:rFonts w:asciiTheme="minorEastAsia" w:hAnsiTheme="minorEastAsia" w:eastAsiaTheme="minorEastAsia"/>
          <w:sz w:val="24"/>
        </w:rPr>
      </w:pPr>
      <w:r>
        <w:rPr>
          <w:rFonts w:asciiTheme="minorEastAsia" w:hAnsiTheme="minorEastAsia" w:eastAsiaTheme="minorEastAsia"/>
          <w:sz w:val="24"/>
        </w:rPr>
        <w:t>根据本章第1.10款、第2.2款和第2.3款对招标文件所作的澄清、修改，构成招标文件的组成部分。</w:t>
      </w:r>
    </w:p>
    <w:p>
      <w:pPr>
        <w:pStyle w:val="5"/>
        <w:spacing w:line="440" w:lineRule="exact"/>
      </w:pPr>
      <w:bookmarkStart w:id="187" w:name="_Toc269324701"/>
      <w:bookmarkStart w:id="188" w:name="_Toc273358870"/>
      <w:bookmarkStart w:id="189" w:name="_Toc499204867"/>
      <w:bookmarkStart w:id="190" w:name="_Toc152042320"/>
      <w:bookmarkStart w:id="191" w:name="_Toc14660"/>
      <w:bookmarkStart w:id="192" w:name="_Toc29952"/>
      <w:bookmarkStart w:id="193" w:name="_Toc25998"/>
      <w:bookmarkStart w:id="194" w:name="_Toc144974512"/>
      <w:bookmarkStart w:id="195" w:name="_Toc505626498"/>
      <w:bookmarkStart w:id="196" w:name="_Toc281225117"/>
      <w:bookmarkStart w:id="197" w:name="_Toc498502959"/>
      <w:bookmarkStart w:id="198" w:name="_Toc27191"/>
      <w:bookmarkStart w:id="199" w:name="_Toc152045544"/>
      <w:r>
        <w:t>2.2 招标文件的澄清</w:t>
      </w:r>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440" w:lineRule="exact"/>
        <w:ind w:firstLine="480" w:firstLineChars="200"/>
        <w:rPr>
          <w:rFonts w:cs="宋体" w:asciiTheme="minorEastAsia" w:hAnsiTheme="minorEastAsia" w:eastAsiaTheme="minorEastAsia"/>
          <w:sz w:val="24"/>
        </w:rPr>
      </w:pPr>
      <w:bookmarkStart w:id="200" w:name="_Toc281225118"/>
      <w:bookmarkStart w:id="201" w:name="_Toc144974513"/>
      <w:bookmarkStart w:id="202" w:name="_Toc152045545"/>
      <w:bookmarkStart w:id="203" w:name="_Toc498502960"/>
      <w:bookmarkStart w:id="204" w:name="_Toc31369"/>
      <w:bookmarkStart w:id="205" w:name="_Toc152042321"/>
      <w:bookmarkStart w:id="206" w:name="_Toc273358871"/>
      <w:bookmarkStart w:id="207" w:name="_Toc269324702"/>
      <w:r>
        <w:rPr>
          <w:rFonts w:hint="eastAsia" w:cs="宋体" w:asciiTheme="minorEastAsia" w:hAnsiTheme="minorEastAsia" w:eastAsiaTheme="minorEastAsia"/>
          <w:sz w:val="24"/>
        </w:rPr>
        <w:t>2.2.1投标人应仔细阅读和检查招标文件的全部内容。如发现缺页或附件不全，通过《全国公共资源交易平台(河南省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)》发出，以便补齐。如有疑问，应在投标人须知前附表规定的时间要求招标人对招标文件予以澄清。如未提出异议，视为全面接受招标文件所有条款。</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2.2.2招标文件的澄清将在投标人须知前附表规定的投标截止时间15天前通过《全国公共资源交易平台(河南省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)》发出，但不指明澄清问题的来源。如果澄清发出的时间距投标截止时间不足15天，相应延长投标截止时间。</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2.2.3所有澄清、答疑全部以《全国公共资源交易平台(河南省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)》发出的为准，不再接受书面形式的递交。</w:t>
      </w:r>
    </w:p>
    <w:p>
      <w:pPr>
        <w:pStyle w:val="5"/>
        <w:spacing w:line="440" w:lineRule="exact"/>
      </w:pPr>
      <w:bookmarkStart w:id="208" w:name="_Toc505626499"/>
      <w:bookmarkStart w:id="209" w:name="_Toc7339"/>
      <w:bookmarkStart w:id="210" w:name="_Toc17993"/>
      <w:bookmarkStart w:id="211" w:name="_Toc499204868"/>
      <w:bookmarkStart w:id="212" w:name="_Toc26512"/>
      <w:r>
        <w:t>2.3 招标文件的修改</w:t>
      </w:r>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2.3.1在投标截止时间15天前，招标人可以通过《全国公共资源交易平台(河南省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 xml:space="preserve">)》修改招标文件，如果修改招标文件的的内容可能影响投标文件编制且发出的时间距投标截止时间不足15天，相应延长投标截止时间。 </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2.3.2当招标文件、补充通知、答疑纪要，内容相互矛盾时，以最后发出的通知（或纪要）为准。</w:t>
      </w:r>
    </w:p>
    <w:p>
      <w:pPr>
        <w:pStyle w:val="4"/>
        <w:spacing w:line="440" w:lineRule="exact"/>
      </w:pPr>
      <w:bookmarkStart w:id="213" w:name="_Toc505626500"/>
      <w:bookmarkStart w:id="214" w:name="_Toc10048"/>
      <w:bookmarkStart w:id="215" w:name="_Toc152042322"/>
      <w:bookmarkStart w:id="216" w:name="_Toc144974514"/>
      <w:bookmarkStart w:id="217" w:name="_Toc498502961"/>
      <w:bookmarkStart w:id="218" w:name="_Toc273358872"/>
      <w:bookmarkStart w:id="219" w:name="_Toc281225119"/>
      <w:bookmarkStart w:id="220" w:name="_Toc152045546"/>
      <w:bookmarkStart w:id="221" w:name="_Toc269324703"/>
      <w:r>
        <w:t>3.投标文件</w:t>
      </w:r>
      <w:bookmarkEnd w:id="213"/>
      <w:bookmarkEnd w:id="214"/>
      <w:bookmarkEnd w:id="215"/>
      <w:bookmarkEnd w:id="216"/>
      <w:bookmarkEnd w:id="217"/>
      <w:bookmarkEnd w:id="218"/>
      <w:bookmarkEnd w:id="219"/>
      <w:bookmarkEnd w:id="220"/>
      <w:bookmarkEnd w:id="221"/>
    </w:p>
    <w:p>
      <w:pPr>
        <w:pStyle w:val="5"/>
        <w:spacing w:line="440" w:lineRule="exact"/>
      </w:pPr>
      <w:bookmarkStart w:id="222" w:name="_Toc9628"/>
      <w:bookmarkStart w:id="223" w:name="_Toc281225120"/>
      <w:bookmarkStart w:id="224" w:name="_Toc152045547"/>
      <w:bookmarkStart w:id="225" w:name="_Toc505626501"/>
      <w:bookmarkStart w:id="226" w:name="_Toc273358873"/>
      <w:bookmarkStart w:id="227" w:name="_Toc152042323"/>
      <w:bookmarkStart w:id="228" w:name="_Toc17633"/>
      <w:bookmarkStart w:id="229" w:name="_Toc8857"/>
      <w:bookmarkStart w:id="230" w:name="_Toc498502962"/>
      <w:bookmarkStart w:id="231" w:name="_Toc269324704"/>
      <w:bookmarkStart w:id="232" w:name="_Toc499204870"/>
      <w:bookmarkStart w:id="233" w:name="_Toc5400"/>
      <w:bookmarkStart w:id="234" w:name="_Toc144974515"/>
      <w:r>
        <w:t>3.1 投标文件的组成</w:t>
      </w:r>
      <w:bookmarkEnd w:id="222"/>
      <w:bookmarkEnd w:id="223"/>
      <w:bookmarkEnd w:id="224"/>
      <w:bookmarkEnd w:id="225"/>
      <w:bookmarkEnd w:id="226"/>
      <w:bookmarkEnd w:id="227"/>
      <w:bookmarkEnd w:id="228"/>
      <w:bookmarkEnd w:id="229"/>
      <w:bookmarkEnd w:id="230"/>
      <w:bookmarkEnd w:id="231"/>
      <w:bookmarkEnd w:id="232"/>
      <w:bookmarkEnd w:id="233"/>
      <w:bookmarkEnd w:id="234"/>
    </w:p>
    <w:p>
      <w:pPr>
        <w:spacing w:line="440" w:lineRule="exact"/>
        <w:ind w:firstLine="420"/>
        <w:rPr>
          <w:rFonts w:asciiTheme="minorEastAsia" w:hAnsiTheme="minorEastAsia" w:eastAsiaTheme="minorEastAsia"/>
          <w:sz w:val="24"/>
        </w:rPr>
      </w:pPr>
      <w:bookmarkStart w:id="235" w:name="_Toc153591698"/>
      <w:bookmarkStart w:id="236" w:name="_Toc153177742"/>
      <w:bookmarkStart w:id="237" w:name="_Toc153524002"/>
      <w:bookmarkStart w:id="238" w:name="_Toc21599374"/>
      <w:bookmarkStart w:id="239" w:name="_Toc529256978"/>
      <w:bookmarkStart w:id="240" w:name="_Toc298501349"/>
      <w:bookmarkStart w:id="241" w:name="_Toc32175"/>
      <w:bookmarkStart w:id="242" w:name="_Toc298231486"/>
      <w:r>
        <w:rPr>
          <w:rFonts w:asciiTheme="minorEastAsia" w:hAnsiTheme="minorEastAsia" w:eastAsiaTheme="minorEastAsia"/>
          <w:sz w:val="24"/>
        </w:rPr>
        <w:t>3.1.1投标人应使用招标文件第六章规定的格式编制投标文件（表格可按同样格式扩展或复制）；未有规定格式的，投标人可自行编制。</w:t>
      </w:r>
    </w:p>
    <w:p>
      <w:pPr>
        <w:spacing w:line="440" w:lineRule="exact"/>
        <w:ind w:firstLine="720" w:firstLineChars="300"/>
        <w:rPr>
          <w:rFonts w:asciiTheme="minorEastAsia" w:hAnsiTheme="minorEastAsia" w:eastAsiaTheme="minorEastAsia"/>
          <w:sz w:val="24"/>
        </w:rPr>
      </w:pPr>
      <w:r>
        <w:rPr>
          <w:rFonts w:asciiTheme="minorEastAsia" w:hAnsiTheme="minorEastAsia" w:eastAsiaTheme="minorEastAsia"/>
          <w:sz w:val="24"/>
        </w:rPr>
        <w:t>3.1.1.1</w:t>
      </w:r>
      <w:r>
        <w:rPr>
          <w:rFonts w:hint="eastAsia" w:asciiTheme="minorEastAsia" w:hAnsiTheme="minorEastAsia" w:eastAsiaTheme="minorEastAsia"/>
          <w:sz w:val="24"/>
        </w:rPr>
        <w:t>投标文件</w:t>
      </w:r>
      <w:r>
        <w:rPr>
          <w:rFonts w:asciiTheme="minorEastAsia" w:hAnsiTheme="minorEastAsia" w:eastAsiaTheme="minorEastAsia"/>
          <w:sz w:val="24"/>
        </w:rPr>
        <w:t>应包括下列内容，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组成及格式见第六章：</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（1）投标函及投标函附录；</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（2）法定代表人身份证明；</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（3）授权委托书；</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（4）投标保证金</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（5）资格审查资料；</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（6）监理大纲；</w:t>
      </w:r>
    </w:p>
    <w:p>
      <w:pPr>
        <w:spacing w:line="440" w:lineRule="exact"/>
        <w:ind w:firstLine="890" w:firstLineChars="371"/>
        <w:rPr>
          <w:rFonts w:asciiTheme="minorEastAsia" w:hAnsiTheme="minorEastAsia" w:eastAsiaTheme="minorEastAsia"/>
          <w:sz w:val="24"/>
        </w:rPr>
      </w:pPr>
      <w:r>
        <w:rPr>
          <w:rFonts w:hint="eastAsia" w:asciiTheme="minorEastAsia" w:hAnsiTheme="minorEastAsia" w:eastAsiaTheme="minorEastAsia"/>
          <w:sz w:val="24"/>
        </w:rPr>
        <w:t>（7）投标人须知前附表规定的其他资料。</w:t>
      </w:r>
    </w:p>
    <w:p>
      <w:pPr>
        <w:pStyle w:val="4"/>
        <w:spacing w:line="440" w:lineRule="exact"/>
        <w:ind w:firstLine="480" w:firstLineChars="200"/>
        <w:rPr>
          <w:b w:val="0"/>
        </w:rPr>
      </w:pPr>
      <w:r>
        <w:rPr>
          <w:rFonts w:hint="eastAsia"/>
          <w:b w:val="0"/>
        </w:rPr>
        <w:t>投标人在评标过程中作出的符合法律法规和招标文件规定的澄清确认，构成投标文件的组成部分。</w:t>
      </w:r>
    </w:p>
    <w:p>
      <w:pPr>
        <w:spacing w:line="440" w:lineRule="exact"/>
        <w:ind w:firstLine="720" w:firstLineChars="300"/>
        <w:rPr>
          <w:rFonts w:asciiTheme="minorEastAsia" w:hAnsiTheme="minorEastAsia" w:eastAsiaTheme="minorEastAsia"/>
          <w:sz w:val="24"/>
        </w:rPr>
      </w:pPr>
      <w:r>
        <w:rPr>
          <w:rFonts w:asciiTheme="minorEastAsia" w:hAnsiTheme="minorEastAsia" w:eastAsiaTheme="minorEastAsia"/>
          <w:sz w:val="24"/>
        </w:rPr>
        <w:t>3.1.1.2监理大纲应包括但不限于以下内容</w:t>
      </w:r>
      <w:r>
        <w:rPr>
          <w:rFonts w:hint="eastAsia" w:asciiTheme="minorEastAsia" w:hAnsiTheme="minorEastAsia" w:eastAsiaTheme="minorEastAsia"/>
          <w:sz w:val="24"/>
        </w:rPr>
        <w:t>，并按照如下顺序编制目录</w:t>
      </w:r>
      <w:r>
        <w:rPr>
          <w:rFonts w:asciiTheme="minorEastAsia" w:hAnsiTheme="minorEastAsia" w:eastAsiaTheme="minorEastAsia"/>
          <w:sz w:val="24"/>
        </w:rPr>
        <w:t>：</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（1）工程概述：本章节主要根据已掌握的资料，结合现场考察情况对拟投工程的总体概况进行简单描述。</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（2）监理工作范围与内容：依据监理合同条款，编制监理工作范围与内容。</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）机构设置与岗位职责：通过框图形式，明确拟投监理标段的组织机构设置和相应的岗位职责。</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）监理工作程序：分别对质量控制、进度控制、费用控制、合同管理、信息管理、</w:t>
      </w:r>
      <w:r>
        <w:rPr>
          <w:rFonts w:hint="eastAsia" w:asciiTheme="minorEastAsia" w:hAnsiTheme="minorEastAsia" w:eastAsiaTheme="minorEastAsia"/>
          <w:sz w:val="24"/>
        </w:rPr>
        <w:t>协调配合、</w:t>
      </w:r>
      <w:r>
        <w:rPr>
          <w:rFonts w:asciiTheme="minorEastAsia" w:hAnsiTheme="minorEastAsia" w:eastAsiaTheme="minorEastAsia"/>
          <w:sz w:val="24"/>
        </w:rPr>
        <w:t>安全监理、</w:t>
      </w:r>
      <w:r>
        <w:rPr>
          <w:rFonts w:hint="eastAsia" w:asciiTheme="minorEastAsia" w:hAnsiTheme="minorEastAsia" w:eastAsiaTheme="minorEastAsia"/>
          <w:sz w:val="24"/>
        </w:rPr>
        <w:t>环境监理（须包含大气污染防治、扬尘治理及建筑垃圾处理监理方案）</w:t>
      </w:r>
      <w:r>
        <w:rPr>
          <w:rFonts w:asciiTheme="minorEastAsia" w:hAnsiTheme="minorEastAsia" w:eastAsiaTheme="minorEastAsia"/>
          <w:sz w:val="24"/>
        </w:rPr>
        <w:t>等方面，结合监理工作的阶段划分，进行监理工作的方法与流程的详尽阐述。</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）本工程监理工作的重点与难点分析：根据招标文件及现场察看，对本工程监理工作需要特别给予重视的问题逐一论述并给出解决难点的对策与方法。</w:t>
      </w:r>
    </w:p>
    <w:p>
      <w:pPr>
        <w:spacing w:line="440" w:lineRule="exact"/>
        <w:ind w:firstLine="480" w:firstLineChars="200"/>
        <w:rPr>
          <w:rFonts w:asciiTheme="minorEastAsia" w:hAnsiTheme="minorEastAsia" w:eastAsiaTheme="minorEastAsia"/>
          <w:sz w:val="24"/>
        </w:rPr>
      </w:pPr>
      <w:bookmarkStart w:id="243" w:name="_Toc310524703"/>
      <w:bookmarkStart w:id="244" w:name="_Toc310517456"/>
      <w:bookmarkStart w:id="245" w:name="_Toc308013093"/>
      <w:r>
        <w:rPr>
          <w:rFonts w:asciiTheme="minorEastAsia" w:hAnsiTheme="minorEastAsia" w:eastAsiaTheme="minorEastAsia"/>
          <w:sz w:val="24"/>
        </w:rPr>
        <w:t>（6）其他建议：为更好地完成本工程的监理工作，投标人可按照自身的实际经验，对本工程监理工作提出良好的建议。</w:t>
      </w:r>
      <w:bookmarkEnd w:id="243"/>
      <w:bookmarkEnd w:id="244"/>
      <w:bookmarkEnd w:id="245"/>
    </w:p>
    <w:p>
      <w:pPr>
        <w:pStyle w:val="5"/>
        <w:spacing w:line="440" w:lineRule="exact"/>
      </w:pPr>
      <w:bookmarkStart w:id="246" w:name="_Toc505626502"/>
      <w:bookmarkStart w:id="247" w:name="_Toc499204871"/>
      <w:bookmarkStart w:id="248" w:name="_Toc8064"/>
      <w:bookmarkStart w:id="249" w:name="_Toc18920"/>
      <w:bookmarkStart w:id="250" w:name="_Toc498502963"/>
      <w:bookmarkStart w:id="251" w:name="_Toc27192"/>
      <w:r>
        <w:t>3.2投标</w:t>
      </w:r>
      <w:bookmarkEnd w:id="235"/>
      <w:bookmarkEnd w:id="236"/>
      <w:bookmarkEnd w:id="237"/>
      <w:bookmarkEnd w:id="238"/>
      <w:bookmarkEnd w:id="239"/>
      <w:r>
        <w:t>报价</w:t>
      </w:r>
      <w:bookmarkEnd w:id="240"/>
      <w:bookmarkEnd w:id="241"/>
      <w:bookmarkEnd w:id="242"/>
      <w:bookmarkEnd w:id="246"/>
      <w:bookmarkEnd w:id="247"/>
      <w:bookmarkEnd w:id="248"/>
      <w:bookmarkEnd w:id="249"/>
      <w:bookmarkEnd w:id="250"/>
      <w:bookmarkEnd w:id="251"/>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3.2.1投标人应按第六章“投标文件格式”的要求在投标函中进行报价。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3.2.2投标人应充分了解该项目的总体情况以及影响投标报价的其他要素。</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3.2.3 本项目的报价方式见投标人须知前附表。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3.2.4招标人设有最高投标限价的，投标人的投标报价不得超过最高投标限价，最高投标限价在投标人须知前附表中载明。</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3.2.5投标报价的其他要求见投标人须知前附表。</w:t>
      </w:r>
    </w:p>
    <w:p>
      <w:pPr>
        <w:pStyle w:val="5"/>
        <w:spacing w:line="440" w:lineRule="exact"/>
      </w:pPr>
      <w:bookmarkStart w:id="252" w:name="_Toc29042"/>
      <w:bookmarkStart w:id="253" w:name="_Toc144974517"/>
      <w:bookmarkStart w:id="254" w:name="_Toc152045549"/>
      <w:bookmarkStart w:id="255" w:name="_Toc13057"/>
      <w:bookmarkStart w:id="256" w:name="_Toc273358875"/>
      <w:bookmarkStart w:id="257" w:name="_Toc505626503"/>
      <w:bookmarkStart w:id="258" w:name="_Toc1329"/>
      <w:bookmarkStart w:id="259" w:name="_Toc498502964"/>
      <w:bookmarkStart w:id="260" w:name="_Toc152042325"/>
      <w:bookmarkStart w:id="261" w:name="_Toc269324706"/>
      <w:bookmarkStart w:id="262" w:name="_Toc281225124"/>
      <w:bookmarkStart w:id="263" w:name="_Toc20059"/>
      <w:bookmarkStart w:id="264" w:name="_Toc499204872"/>
      <w:r>
        <w:t>3.3 投标有效期</w:t>
      </w:r>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440" w:lineRule="exact"/>
        <w:ind w:firstLine="420"/>
        <w:jc w:val="left"/>
        <w:rPr>
          <w:rFonts w:asciiTheme="minorEastAsia" w:hAnsiTheme="minorEastAsia" w:eastAsiaTheme="minorEastAsia"/>
          <w:sz w:val="24"/>
        </w:rPr>
      </w:pPr>
      <w:bookmarkStart w:id="265" w:name="_Toc270670948"/>
      <w:bookmarkStart w:id="266" w:name="_Toc291080516"/>
      <w:bookmarkStart w:id="267" w:name="_Toc281225125"/>
      <w:bookmarkStart w:id="268" w:name="_Toc271529602"/>
      <w:bookmarkStart w:id="269" w:name="_Toc270601497"/>
      <w:bookmarkStart w:id="270" w:name="_Toc280876771"/>
      <w:r>
        <w:rPr>
          <w:rFonts w:asciiTheme="minorEastAsia" w:hAnsiTheme="minorEastAsia" w:eastAsiaTheme="minorEastAsia"/>
          <w:sz w:val="24"/>
        </w:rPr>
        <w:t>3.3.1 在投标人须知前附表规定的投标有效期内，投标人不得要求撤销或修改其投标文件。</w:t>
      </w:r>
      <w:bookmarkEnd w:id="265"/>
      <w:bookmarkEnd w:id="266"/>
      <w:bookmarkEnd w:id="267"/>
      <w:bookmarkEnd w:id="268"/>
      <w:bookmarkEnd w:id="269"/>
      <w:bookmarkEnd w:id="270"/>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rPr>
          <w:rFonts w:asciiTheme="minorEastAsia" w:hAnsiTheme="minorEastAsia" w:eastAsiaTheme="minorEastAsia" w:cstheme="majorBidi"/>
          <w:b/>
          <w:bCs/>
          <w:sz w:val="24"/>
        </w:rPr>
      </w:pPr>
      <w:r>
        <w:rPr>
          <w:rFonts w:hint="eastAsia" w:asciiTheme="minorEastAsia" w:hAnsiTheme="minorEastAsia" w:eastAsiaTheme="minorEastAsia" w:cstheme="majorBidi"/>
          <w:b/>
          <w:bCs/>
          <w:sz w:val="24"/>
        </w:rPr>
        <w:t>3.4 投标保证金（详见附表一）</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投标保证金的相关规定</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投标保证金的退还：</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（1）中标公告发出后，5个工作日内退还非中标候选人投标保证金及银行同期活期存款利息。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（3）项目废标或招标人终止招标的，在此后5个工作日内退还投标保证金及银行同期活期存利息。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（4）投标活动中出现质疑、投诉的，中标候选人、质疑人和被质疑人、投诉人和被投诉人的投标保证金暂停退还。</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（5）相关投标人有违法违规行为的项目，其投标保证金暂不退还，待行政监督部门对相关情况处置后，按照有关规定办理。</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（6）退还投标保证金，除另有规定外，一般以转账方式一次性退还至投标保证金的原提交账户。</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2、投标人有下列情形之一的，不予退还投标保证金：</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（一）在招标文件要求提交投标文件的截止时间后至投标文件有效期满前撤回投标的；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（二）中标通知书发出后，中标人无故放弃中标项目或无正当理由在规定时间内不与招标人签订合同或未按招标文件规定提交履约担保的；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（三）将中标项目转让给他人，或者在投标文件中未说明，且未经招标人同意，将中标项目分包给他人的；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（四）投标人在招投标活动中弄虚作假、围标串标，骗取中标并经招投标行政监督部门调查核实的； </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（五）拒绝履行合同义务的；</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（六）相关法律、法规规定不予退还的其它情形。</w:t>
      </w:r>
    </w:p>
    <w:p>
      <w:pPr>
        <w:spacing w:line="44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440" w:lineRule="exact"/>
      </w:pPr>
      <w:bookmarkStart w:id="271" w:name="_Toc26797"/>
      <w:bookmarkStart w:id="272" w:name="_Toc152042328"/>
      <w:bookmarkStart w:id="273" w:name="_Toc12033"/>
      <w:bookmarkStart w:id="274" w:name="_Toc269324708"/>
      <w:bookmarkStart w:id="275" w:name="_Toc25337"/>
      <w:bookmarkStart w:id="276" w:name="_Toc281225127"/>
      <w:bookmarkStart w:id="277" w:name="_Toc273358877"/>
      <w:bookmarkStart w:id="278" w:name="_Toc8554"/>
      <w:bookmarkStart w:id="279" w:name="_Toc498502966"/>
      <w:bookmarkStart w:id="280" w:name="_Toc152045552"/>
      <w:bookmarkStart w:id="281" w:name="_Toc505626504"/>
      <w:bookmarkStart w:id="282" w:name="_Toc144974520"/>
      <w:bookmarkStart w:id="283" w:name="_Toc499204874"/>
      <w:r>
        <w:t>3.5 资格审查资料</w:t>
      </w:r>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除投标人须知前附表另有规定外，投标人应按下列规定提供资格审查资料，以证明其满足本章第 1.4 款规定的资质、财务、业绩、信誉等要求。</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3.5.1 “投标人基本情况表”应附投标人营业执照和组织机构代码证的复印件（按照“三证合一”或“五证合一”登记制度进行登记的，可仅提供营业执照复印件）、投标人监理资质证书副本等材</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料的复印件。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3.5.3 “近年完成的类似监理项目情况表”应附中标通知书和（或）合同协议书；具体时间要求见投标人须知前附表，每张表格只填写一个项目，并标明序号。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3.5.4 “正在监理和新承接的项目情况表”应附中标通知书和（或）合同协议书复印件。每张表格只填写一个项目，并标明序号。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3.5.5 “近年发生的诉讼及仲裁情况”应说明投标人败诉的监理合同的相关情况，并附法院或仲裁机构作出的判决、裁决等有关法律文书复印件，具体时间要求见投标人须知前附表。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有关资格证书和社保缴费证明复印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3.5.7 “拟投入本项目的主要试验检测仪器设备表”应填报满足本章第 1.4.1 项规定的试验检测仪器设备。</w:t>
      </w:r>
    </w:p>
    <w:p>
      <w:pPr>
        <w:pStyle w:val="5"/>
        <w:spacing w:line="440" w:lineRule="exact"/>
      </w:pPr>
      <w:bookmarkStart w:id="284" w:name="_Toc12749"/>
      <w:bookmarkStart w:id="285" w:name="_Toc152042329"/>
      <w:bookmarkStart w:id="286" w:name="_Toc22535"/>
      <w:bookmarkStart w:id="287" w:name="_Toc499204875"/>
      <w:bookmarkStart w:id="288" w:name="_Toc281225128"/>
      <w:bookmarkStart w:id="289" w:name="_Toc7244"/>
      <w:bookmarkStart w:id="290" w:name="_Toc2216"/>
      <w:bookmarkStart w:id="291" w:name="_Toc152045553"/>
      <w:bookmarkStart w:id="292" w:name="_Toc498502967"/>
      <w:bookmarkStart w:id="293" w:name="_Toc273358878"/>
      <w:bookmarkStart w:id="294" w:name="_Toc144974521"/>
      <w:bookmarkStart w:id="295" w:name="_Toc269324709"/>
      <w:bookmarkStart w:id="296" w:name="_Toc505626505"/>
      <w:r>
        <w:t>3.6 备选投标方案</w:t>
      </w:r>
      <w:bookmarkEnd w:id="284"/>
      <w:bookmarkEnd w:id="285"/>
      <w:bookmarkEnd w:id="286"/>
      <w:bookmarkEnd w:id="287"/>
      <w:bookmarkEnd w:id="288"/>
      <w:bookmarkEnd w:id="289"/>
      <w:bookmarkEnd w:id="290"/>
      <w:bookmarkEnd w:id="291"/>
      <w:bookmarkEnd w:id="292"/>
      <w:bookmarkEnd w:id="293"/>
      <w:bookmarkEnd w:id="294"/>
      <w:bookmarkEnd w:id="295"/>
      <w:bookmarkEnd w:id="296"/>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招标人不允许投标人递交备选投标方案。</w:t>
      </w:r>
    </w:p>
    <w:p>
      <w:pPr>
        <w:pStyle w:val="5"/>
        <w:spacing w:line="440" w:lineRule="exact"/>
      </w:pPr>
      <w:bookmarkStart w:id="297" w:name="_Toc19593"/>
      <w:bookmarkStart w:id="298" w:name="_Toc281225129"/>
      <w:bookmarkStart w:id="299" w:name="_Toc30024"/>
      <w:bookmarkStart w:id="300" w:name="_Toc505626506"/>
      <w:bookmarkStart w:id="301" w:name="_Toc498502968"/>
      <w:bookmarkStart w:id="302" w:name="_Toc605"/>
      <w:bookmarkStart w:id="303" w:name="_Toc269324710"/>
      <w:bookmarkStart w:id="304" w:name="_Toc152045554"/>
      <w:bookmarkStart w:id="305" w:name="_Toc144974522"/>
      <w:bookmarkStart w:id="306" w:name="_Toc273358879"/>
      <w:bookmarkStart w:id="307" w:name="_Toc152042330"/>
      <w:bookmarkStart w:id="308" w:name="_Toc29755"/>
      <w:bookmarkStart w:id="309" w:name="_Toc499204876"/>
      <w:r>
        <w:t>3.7 投标文件的编制</w:t>
      </w:r>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3.7.1 投标文件应按第</w:t>
      </w:r>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3.7.2 投标文件应当对招标文件有关工期、投标有效期、质量要求、招标范围作出响应。</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3.7.3投标人登录许昌公共资源交易系统下载“许昌投标文件制作系统SEARUN V1.1”，按招标文件要求制作电子投标文件。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3.7.4使用电子介质存储的备份文件</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U盘</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份。</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3.7.5同时生成与电子投标文件内容、水印码、电子签章一致的PDF文件,当大小写不一致时，以大写为准。</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3.7.6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spacing w:line="440" w:lineRule="exact"/>
        <w:ind w:firstLine="420"/>
        <w:jc w:val="left"/>
        <w:rPr>
          <w:rFonts w:asciiTheme="minorEastAsia" w:hAnsiTheme="minorEastAsia" w:eastAsiaTheme="minorEastAsia"/>
          <w:b/>
          <w:sz w:val="24"/>
        </w:rPr>
      </w:pPr>
      <w:r>
        <w:rPr>
          <w:rFonts w:hint="eastAsia" w:asciiTheme="minorEastAsia" w:hAnsiTheme="minorEastAsia" w:eastAsiaTheme="minorEastAsia"/>
          <w:b/>
          <w:sz w:val="24"/>
        </w:rPr>
        <w:t>3.7.8  商务标投标文件制作注意事项：</w:t>
      </w:r>
    </w:p>
    <w:p>
      <w:pPr>
        <w:spacing w:line="440" w:lineRule="exact"/>
        <w:ind w:firstLine="420"/>
        <w:jc w:val="left"/>
        <w:rPr>
          <w:rFonts w:asciiTheme="minorEastAsia" w:hAnsiTheme="minorEastAsia" w:eastAsiaTheme="minorEastAsia"/>
          <w:b/>
          <w:sz w:val="24"/>
        </w:rPr>
      </w:pPr>
      <w:r>
        <w:rPr>
          <w:rFonts w:hint="eastAsia" w:asciiTheme="minorEastAsia" w:hAnsiTheme="minorEastAsia" w:eastAsiaTheme="minorEastAsia"/>
          <w:b/>
          <w:sz w:val="24"/>
        </w:rPr>
        <w:t>3.7.8.1 投标人登录《全国公共资源交易平台（河南省•许昌市）》公共资源交易系统下载“许昌投标文件制作系统SEARUN V1.1” 和操作手册（工程项目），按招标文件要求制作商务标投标文件。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b/>
          <w:sz w:val="24"/>
        </w:rPr>
        <w:t>3.7.8.2 商务标投标文件制作技术咨询：0374-2961598。</w:t>
      </w:r>
    </w:p>
    <w:p>
      <w:pPr>
        <w:pStyle w:val="4"/>
        <w:spacing w:line="440" w:lineRule="exact"/>
      </w:pPr>
      <w:bookmarkStart w:id="310" w:name="_Toc505626507"/>
      <w:bookmarkStart w:id="311" w:name="_Toc269324712"/>
      <w:bookmarkStart w:id="312" w:name="_Toc27312"/>
      <w:bookmarkStart w:id="313" w:name="_Toc144974523"/>
      <w:bookmarkStart w:id="314" w:name="_Toc152042331"/>
      <w:bookmarkStart w:id="315" w:name="_Toc498502969"/>
      <w:bookmarkStart w:id="316" w:name="_Toc152045555"/>
      <w:bookmarkStart w:id="317" w:name="_Toc281225145"/>
      <w:bookmarkStart w:id="318" w:name="_Toc273358881"/>
      <w:r>
        <w:t>4.投标</w:t>
      </w:r>
      <w:bookmarkEnd w:id="310"/>
      <w:bookmarkEnd w:id="311"/>
      <w:bookmarkEnd w:id="312"/>
      <w:bookmarkEnd w:id="313"/>
      <w:bookmarkEnd w:id="314"/>
      <w:bookmarkEnd w:id="315"/>
      <w:bookmarkEnd w:id="316"/>
      <w:bookmarkEnd w:id="317"/>
      <w:bookmarkEnd w:id="318"/>
    </w:p>
    <w:p>
      <w:pPr>
        <w:pStyle w:val="5"/>
        <w:spacing w:line="440" w:lineRule="exact"/>
      </w:pPr>
      <w:bookmarkStart w:id="319" w:name="_Toc152045556"/>
      <w:bookmarkStart w:id="320" w:name="_Toc499204878"/>
      <w:bookmarkStart w:id="321" w:name="_Toc505626508"/>
      <w:bookmarkStart w:id="322" w:name="_Toc269324713"/>
      <w:bookmarkStart w:id="323" w:name="_Toc273358882"/>
      <w:bookmarkStart w:id="324" w:name="_Toc152042332"/>
      <w:bookmarkStart w:id="325" w:name="_Toc144974524"/>
      <w:bookmarkStart w:id="326" w:name="_Toc11808"/>
      <w:bookmarkStart w:id="327" w:name="_Toc281225146"/>
      <w:bookmarkStart w:id="328" w:name="_Toc498502970"/>
      <w:bookmarkStart w:id="329" w:name="_Toc4790"/>
      <w:bookmarkStart w:id="330" w:name="_Toc25820"/>
      <w:bookmarkStart w:id="331" w:name="_Toc4891"/>
      <w:r>
        <w:t>4.1 投标文件的密封和标记</w:t>
      </w:r>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4.1.1使用电子介质存储的投标文件应单独密封，电子介质存储的投标文件的封套上应写明的其他内容见投标人须知前附表。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4.1.2未按本章第4.1.1项要求密封和加写标记的投标文件，招标人不予受理。</w:t>
      </w:r>
    </w:p>
    <w:p>
      <w:pPr>
        <w:pStyle w:val="5"/>
        <w:spacing w:line="440" w:lineRule="exact"/>
      </w:pPr>
      <w:bookmarkStart w:id="332" w:name="_Toc152045557"/>
      <w:bookmarkStart w:id="333" w:name="_Toc269324714"/>
      <w:bookmarkStart w:id="334" w:name="_Toc30171"/>
      <w:bookmarkStart w:id="335" w:name="_Toc505626509"/>
      <w:bookmarkStart w:id="336" w:name="_Toc16405"/>
      <w:bookmarkStart w:id="337" w:name="_Toc26473"/>
      <w:bookmarkStart w:id="338" w:name="_Toc144974525"/>
      <w:bookmarkStart w:id="339" w:name="_Toc152042333"/>
      <w:bookmarkStart w:id="340" w:name="_Toc3768"/>
      <w:bookmarkStart w:id="341" w:name="_Toc499204879"/>
      <w:bookmarkStart w:id="342" w:name="_Toc281225147"/>
      <w:bookmarkStart w:id="343" w:name="_Toc498502971"/>
      <w:bookmarkStart w:id="344" w:name="_Toc273358883"/>
      <w:r>
        <w:t>4.2 投标文件的递交</w:t>
      </w:r>
      <w:bookmarkEnd w:id="332"/>
      <w:bookmarkEnd w:id="333"/>
      <w:bookmarkEnd w:id="334"/>
      <w:bookmarkEnd w:id="335"/>
      <w:bookmarkEnd w:id="336"/>
      <w:bookmarkEnd w:id="337"/>
      <w:bookmarkEnd w:id="338"/>
      <w:bookmarkEnd w:id="339"/>
      <w:bookmarkEnd w:id="340"/>
      <w:bookmarkEnd w:id="341"/>
      <w:bookmarkEnd w:id="342"/>
      <w:bookmarkEnd w:id="343"/>
      <w:bookmarkEnd w:id="344"/>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4.2.1 投标人应在投标人须知前附表中规定的投标截止时间前成功上传电子投标文件和现场提交电子介质存储的投标文件。</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4.2.2 投标人提交电子介质存储的投标文件地点：见投标人须知前附表。</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4.2.3 除投标人须知前附表另有规定外，投标人所提交的电子投标文件及电子介质存储的投标文件不予退还。</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4.2.4 逾期送达的或者未送达指定地点的电子介质存储的投标文件，招标人不予受理。</w:t>
      </w:r>
    </w:p>
    <w:p>
      <w:pPr>
        <w:pStyle w:val="5"/>
        <w:spacing w:line="440" w:lineRule="exact"/>
      </w:pPr>
      <w:bookmarkStart w:id="345" w:name="_Toc269324715"/>
      <w:bookmarkStart w:id="346" w:name="_Toc12665"/>
      <w:bookmarkStart w:id="347" w:name="_Toc152045558"/>
      <w:bookmarkStart w:id="348" w:name="_Toc281225148"/>
      <w:bookmarkStart w:id="349" w:name="_Toc505626510"/>
      <w:bookmarkStart w:id="350" w:name="_Toc499204880"/>
      <w:bookmarkStart w:id="351" w:name="_Toc16190"/>
      <w:bookmarkStart w:id="352" w:name="_Toc29949"/>
      <w:bookmarkStart w:id="353" w:name="_Toc144974526"/>
      <w:bookmarkStart w:id="354" w:name="_Toc498502972"/>
      <w:bookmarkStart w:id="355" w:name="_Toc11880"/>
      <w:bookmarkStart w:id="356" w:name="_Toc273358884"/>
      <w:bookmarkStart w:id="357" w:name="_Toc152042334"/>
      <w:r>
        <w:t>4.3 投标文件的修改与撤回</w:t>
      </w:r>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4.3.1 在本章第2.2.2 项规定的投标截止时间前，投标人可以修改或撤回已提交的电子投标文件修改或撤回应以书面形式通知招标人。</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4.3.2 投标人修改或撤回已提交电子投标文件的书面通知应按照投标人须知前附表第3.7.3 项的要求签字或盖章。招标人收到书面通知后，向投标人出具签收凭证。</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4.3.3 修改的内容为投标文件的组成部分。修改的电子投标文件应按照本章第3条、第4条规定进行编制、密封、标记和提交，并标明“修改”字样。</w:t>
      </w:r>
    </w:p>
    <w:p>
      <w:pPr>
        <w:spacing w:line="440" w:lineRule="exact"/>
        <w:ind w:firstLine="420"/>
        <w:jc w:val="left"/>
        <w:rPr>
          <w:rFonts w:asciiTheme="minorEastAsia" w:hAnsiTheme="minorEastAsia" w:eastAsiaTheme="minorEastAsia"/>
          <w:sz w:val="24"/>
        </w:rPr>
      </w:pPr>
      <w:r>
        <w:rPr>
          <w:rFonts w:hint="eastAsia" w:asciiTheme="minorEastAsia" w:hAnsiTheme="minorEastAsia" w:eastAsia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4"/>
        <w:spacing w:line="440" w:lineRule="exact"/>
      </w:pPr>
      <w:bookmarkStart w:id="358" w:name="_Toc273358885"/>
      <w:bookmarkStart w:id="359" w:name="_Toc152045559"/>
      <w:bookmarkStart w:id="360" w:name="_Toc16693"/>
      <w:bookmarkStart w:id="361" w:name="_Toc498502973"/>
      <w:bookmarkStart w:id="362" w:name="_Toc281225149"/>
      <w:bookmarkStart w:id="363" w:name="_Toc144974527"/>
      <w:bookmarkStart w:id="364" w:name="_Toc152042335"/>
      <w:bookmarkStart w:id="365" w:name="_Toc505626511"/>
      <w:bookmarkStart w:id="366" w:name="_Toc269324716"/>
      <w:r>
        <w:t>5.</w:t>
      </w:r>
      <w:bookmarkEnd w:id="358"/>
      <w:bookmarkEnd w:id="359"/>
      <w:bookmarkEnd w:id="360"/>
      <w:bookmarkEnd w:id="361"/>
      <w:bookmarkEnd w:id="362"/>
      <w:bookmarkEnd w:id="363"/>
      <w:bookmarkEnd w:id="364"/>
      <w:bookmarkEnd w:id="365"/>
      <w:bookmarkEnd w:id="366"/>
      <w:r>
        <w:rPr>
          <w:rFonts w:hint="eastAsia"/>
        </w:rPr>
        <w:t xml:space="preserve"> 开标、解密、唱标程序</w:t>
      </w:r>
    </w:p>
    <w:p>
      <w:pPr>
        <w:pStyle w:val="5"/>
        <w:spacing w:line="440" w:lineRule="exact"/>
      </w:pPr>
      <w:bookmarkStart w:id="367" w:name="_Toc18397"/>
      <w:bookmarkStart w:id="368" w:name="_Toc144974528"/>
      <w:bookmarkStart w:id="369" w:name="_Toc25322"/>
      <w:bookmarkStart w:id="370" w:name="_Toc13780"/>
      <w:bookmarkStart w:id="371" w:name="_Toc499204882"/>
      <w:bookmarkStart w:id="372" w:name="_Toc152042336"/>
      <w:bookmarkStart w:id="373" w:name="_Toc505626512"/>
      <w:bookmarkStart w:id="374" w:name="_Toc498502974"/>
      <w:bookmarkStart w:id="375" w:name="_Toc11127"/>
      <w:bookmarkStart w:id="376" w:name="_Toc281225150"/>
      <w:bookmarkStart w:id="377" w:name="_Toc269324717"/>
      <w:bookmarkStart w:id="378" w:name="_Toc152045560"/>
      <w:bookmarkStart w:id="379" w:name="_Toc273358886"/>
      <w:r>
        <w:t>5.1 开标时间和地点</w:t>
      </w:r>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招标人在本章第2.2.2项规定的投标截止时间（开标时间）和投标人须知前附表规定的地点公开开标，并邀请所有投标人的法定代表人或其委托代理人</w:t>
      </w:r>
      <w:r>
        <w:rPr>
          <w:rFonts w:hint="eastAsia" w:asciiTheme="minorEastAsia" w:hAnsiTheme="minorEastAsia" w:eastAsiaTheme="minorEastAsia"/>
          <w:sz w:val="24"/>
        </w:rPr>
        <w:t>及项目总监理工程师</w:t>
      </w:r>
      <w:r>
        <w:rPr>
          <w:rFonts w:asciiTheme="minorEastAsia" w:hAnsiTheme="minorEastAsia" w:eastAsiaTheme="minorEastAsia"/>
          <w:sz w:val="24"/>
        </w:rPr>
        <w:t>准时参加并签到。</w:t>
      </w:r>
    </w:p>
    <w:p>
      <w:pPr>
        <w:pStyle w:val="5"/>
        <w:spacing w:line="440" w:lineRule="exact"/>
      </w:pPr>
      <w:bookmarkStart w:id="380" w:name="_Toc499204883"/>
      <w:bookmarkStart w:id="381" w:name="_Toc152045561"/>
      <w:bookmarkStart w:id="382" w:name="_Toc144974529"/>
      <w:bookmarkStart w:id="383" w:name="_Toc269324718"/>
      <w:bookmarkStart w:id="384" w:name="_Toc21351"/>
      <w:bookmarkStart w:id="385" w:name="_Toc281225151"/>
      <w:bookmarkStart w:id="386" w:name="_Toc273358887"/>
      <w:bookmarkStart w:id="387" w:name="_Toc30613"/>
      <w:bookmarkStart w:id="388" w:name="_Toc505626513"/>
      <w:bookmarkStart w:id="389" w:name="_Toc27184"/>
      <w:bookmarkStart w:id="390" w:name="_Toc32549"/>
      <w:bookmarkStart w:id="391" w:name="_Toc498502975"/>
      <w:bookmarkStart w:id="392" w:name="_Toc152042337"/>
      <w:r>
        <w:t>5.2 开标程序</w:t>
      </w:r>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5.2.1主持人按下列程序进行开标：</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（1）宣布投标截止时间，并公布招标人、代理机构、监督部门名称；</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（2）宣布开标纪律；</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（3）公布在投标截止时间前递交投标文件的投标人名称和投标保证金缴纳情况;</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（4）电子投标文件解密;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（5）宣布唱标顺序，按已定顺序唱标，唱标内容为：投标人名称、投标报价、质量目标、工期及其他内容，并记录；</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（6）现场抽取参与计算评标基准价的α值并宣布，同时公布招标控制价；</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（7）投标人代表、招标人代表、监标人、记录人等有关人员在开标记录上签字确认；</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（8）开标结束。</w:t>
      </w:r>
    </w:p>
    <w:p>
      <w:pPr>
        <w:spacing w:line="440" w:lineRule="exact"/>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5.2.2 电子投标文件的解密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5.2.2.1本项目为全流程电子化交易项目，电子投标文件采用双重加密。在投标截止时间到达后，分标段进行解密。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(1)投标人解密：投标人使用本单位CA数字证书远程或现场进行解密。需现场使用一体机进行解密的，请在代理机构引导下进行。</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(2)代理机构解密：代理机构按电子投标文件到达交易系统的先后顺序，使用本单位CA数字证书进行再次解密。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5.2.2.2电子投标文件解密异常情况处理</w:t>
      </w:r>
    </w:p>
    <w:p>
      <w:pPr>
        <w:spacing w:line="440" w:lineRule="exact"/>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pStyle w:val="4"/>
        <w:spacing w:line="440" w:lineRule="exact"/>
      </w:pPr>
      <w:bookmarkStart w:id="393" w:name="_Toc281225152"/>
      <w:bookmarkStart w:id="394" w:name="_Toc505626514"/>
      <w:bookmarkStart w:id="395" w:name="_Toc144974530"/>
      <w:bookmarkStart w:id="396" w:name="_Toc17078"/>
      <w:bookmarkStart w:id="397" w:name="_Toc498502976"/>
      <w:bookmarkStart w:id="398" w:name="_Toc152045562"/>
      <w:bookmarkStart w:id="399" w:name="_Toc273358888"/>
      <w:bookmarkStart w:id="400" w:name="_Toc269324719"/>
      <w:bookmarkStart w:id="401" w:name="_Toc152042338"/>
      <w:r>
        <w:t>6.评标</w:t>
      </w:r>
      <w:bookmarkEnd w:id="393"/>
      <w:bookmarkEnd w:id="394"/>
      <w:bookmarkEnd w:id="395"/>
      <w:bookmarkEnd w:id="396"/>
      <w:bookmarkEnd w:id="397"/>
      <w:bookmarkEnd w:id="398"/>
      <w:bookmarkEnd w:id="399"/>
      <w:bookmarkEnd w:id="400"/>
      <w:bookmarkEnd w:id="401"/>
    </w:p>
    <w:p>
      <w:pPr>
        <w:pStyle w:val="5"/>
        <w:spacing w:line="440" w:lineRule="exact"/>
      </w:pPr>
      <w:bookmarkStart w:id="402" w:name="_Toc505626515"/>
      <w:bookmarkStart w:id="403" w:name="_Toc152045563"/>
      <w:bookmarkStart w:id="404" w:name="_Toc32099"/>
      <w:bookmarkStart w:id="405" w:name="_Toc18657"/>
      <w:bookmarkStart w:id="406" w:name="_Toc152042339"/>
      <w:bookmarkStart w:id="407" w:name="_Toc269324721"/>
      <w:bookmarkStart w:id="408" w:name="_Toc11702"/>
      <w:bookmarkStart w:id="409" w:name="_Toc498502977"/>
      <w:bookmarkStart w:id="410" w:name="_Toc24214"/>
      <w:bookmarkStart w:id="411" w:name="_Toc273358890"/>
      <w:bookmarkStart w:id="412" w:name="_Toc499204885"/>
      <w:bookmarkStart w:id="413" w:name="_Toc144974531"/>
      <w:bookmarkStart w:id="414" w:name="_Toc281225154"/>
      <w:r>
        <w:t>6.1 评标委员会</w:t>
      </w:r>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6.1.1 评标由招标人依法组建的评标委员会负责。评标委员会由技术、经济等方面的专家组成。评标委员会成员人数以及技术、经济等方面专家的确定方式见投标人须知前附表。</w:t>
      </w:r>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6.1.2 评标委员会成员有下列情形之一的，应当回避：</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（1）招标人或投标人的主要负责人的近亲属；</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（2）项目主管部门或者行政监督部门的人员；</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（3）与投标人有经济利益关系，可能影响对投标公正评审的；</w:t>
      </w:r>
    </w:p>
    <w:p>
      <w:pPr>
        <w:spacing w:line="440" w:lineRule="exact"/>
        <w:ind w:firstLine="820" w:firstLineChars="342"/>
        <w:jc w:val="left"/>
        <w:rPr>
          <w:rFonts w:asciiTheme="minorEastAsia" w:hAnsiTheme="minorEastAsia" w:eastAsiaTheme="minorEastAsia"/>
          <w:sz w:val="24"/>
        </w:rPr>
      </w:pPr>
      <w:r>
        <w:rPr>
          <w:rFonts w:asciiTheme="minorEastAsia" w:hAnsiTheme="minorEastAsia" w:eastAsiaTheme="minorEastAsia"/>
          <w:sz w:val="24"/>
        </w:rPr>
        <w:t>（4）曾因在招标、评标以及其他与招标投标有关活动中从事违法行为而受过行政处罚或刑事处罚的。</w:t>
      </w:r>
    </w:p>
    <w:p>
      <w:pPr>
        <w:pStyle w:val="5"/>
        <w:spacing w:line="440" w:lineRule="exact"/>
      </w:pPr>
      <w:bookmarkStart w:id="415" w:name="_Toc498502978"/>
      <w:bookmarkStart w:id="416" w:name="_Toc17307"/>
      <w:bookmarkStart w:id="417" w:name="_Toc269324722"/>
      <w:bookmarkStart w:id="418" w:name="_Toc505626516"/>
      <w:bookmarkStart w:id="419" w:name="_Toc29002"/>
      <w:bookmarkStart w:id="420" w:name="_Toc13791"/>
      <w:bookmarkStart w:id="421" w:name="_Toc152045564"/>
      <w:bookmarkStart w:id="422" w:name="_Toc152042340"/>
      <w:bookmarkStart w:id="423" w:name="_Toc144974532"/>
      <w:bookmarkStart w:id="424" w:name="_Toc273358891"/>
      <w:bookmarkStart w:id="425" w:name="_Toc20062"/>
      <w:bookmarkStart w:id="426" w:name="_Toc499204886"/>
      <w:bookmarkStart w:id="427" w:name="_Toc281225155"/>
      <w:r>
        <w:t>6.2 评标原则</w:t>
      </w:r>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评标活动遵循公平、公正、科学和择优的原则。</w:t>
      </w:r>
    </w:p>
    <w:p>
      <w:pPr>
        <w:pStyle w:val="5"/>
        <w:spacing w:line="440" w:lineRule="exact"/>
      </w:pPr>
      <w:bookmarkStart w:id="428" w:name="_Toc505626517"/>
      <w:bookmarkStart w:id="429" w:name="_Toc281225156"/>
      <w:bookmarkStart w:id="430" w:name="_Toc269324723"/>
      <w:bookmarkStart w:id="431" w:name="_Toc152045565"/>
      <w:bookmarkStart w:id="432" w:name="_Toc144974533"/>
      <w:bookmarkStart w:id="433" w:name="_Toc152042341"/>
      <w:bookmarkStart w:id="434" w:name="_Toc9747"/>
      <w:bookmarkStart w:id="435" w:name="_Toc499204887"/>
      <w:bookmarkStart w:id="436" w:name="_Toc3931"/>
      <w:bookmarkStart w:id="437" w:name="_Toc8208"/>
      <w:bookmarkStart w:id="438" w:name="_Toc6097"/>
      <w:bookmarkStart w:id="439" w:name="_Toc498502979"/>
      <w:bookmarkStart w:id="440" w:name="_Toc273358892"/>
      <w:r>
        <w:t>6.3 评标</w:t>
      </w:r>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440" w:lineRule="exact"/>
        <w:ind w:firstLine="420"/>
        <w:jc w:val="left"/>
        <w:rPr>
          <w:rFonts w:asciiTheme="minorEastAsia" w:hAnsiTheme="minorEastAsia" w:eastAsiaTheme="minorEastAsia"/>
          <w:sz w:val="24"/>
        </w:rPr>
      </w:pPr>
      <w:r>
        <w:rPr>
          <w:rFonts w:asciiTheme="minorEastAsia" w:hAnsiTheme="minorEastAsia" w:eastAsiaTheme="minorEastAsia"/>
          <w:sz w:val="24"/>
        </w:rPr>
        <w:t>评标委员会按照第三章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规定的方法、评审因素、标准和程序对投标文件进行评审。第三章</w:t>
      </w:r>
      <w:r>
        <w:rPr>
          <w:rFonts w:hint="eastAsia" w:asciiTheme="minorEastAsia" w:hAnsiTheme="minorEastAsia" w:eastAsiaTheme="minorEastAsia"/>
          <w:sz w:val="24"/>
        </w:rPr>
        <w:t>“</w:t>
      </w:r>
      <w:r>
        <w:rPr>
          <w:rFonts w:asciiTheme="minorEastAsia" w:hAnsiTheme="minorEastAsia" w:eastAsiaTheme="minorEastAsia"/>
          <w:sz w:val="24"/>
        </w:rPr>
        <w:t>评标办法</w:t>
      </w:r>
      <w:r>
        <w:rPr>
          <w:rFonts w:hint="eastAsia" w:asciiTheme="minorEastAsia" w:hAnsiTheme="minorEastAsia" w:eastAsiaTheme="minorEastAsia"/>
          <w:sz w:val="24"/>
        </w:rPr>
        <w:t>”</w:t>
      </w:r>
      <w:r>
        <w:rPr>
          <w:rFonts w:asciiTheme="minorEastAsia" w:hAnsiTheme="minorEastAsia" w:eastAsiaTheme="minorEastAsia"/>
          <w:sz w:val="24"/>
        </w:rPr>
        <w:t>没有规定的方法、评审因素和标准，不作为评标依据。</w:t>
      </w:r>
    </w:p>
    <w:p>
      <w:pPr>
        <w:spacing w:line="440" w:lineRule="exact"/>
        <w:ind w:firstLine="420"/>
        <w:rPr>
          <w:rFonts w:asciiTheme="minorEastAsia" w:hAnsiTheme="minorEastAsia" w:cstheme="majorBidi"/>
          <w:b/>
          <w:bCs/>
          <w:sz w:val="24"/>
        </w:rPr>
      </w:pPr>
      <w:r>
        <w:rPr>
          <w:rFonts w:hint="eastAsia" w:asciiTheme="minorEastAsia" w:hAnsiTheme="minorEastAsia" w:cstheme="majorBidi"/>
          <w:b/>
          <w:bCs/>
          <w:sz w:val="24"/>
        </w:rPr>
        <w:t>7.</w:t>
      </w:r>
      <w:r>
        <w:rPr>
          <w:rFonts w:asciiTheme="minorEastAsia" w:hAnsiTheme="minorEastAsia" w:eastAsiaTheme="minorEastAsia" w:cstheme="majorBidi"/>
          <w:b/>
          <w:bCs/>
          <w:sz w:val="24"/>
        </w:rPr>
        <w:t>合同授予</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7.1 中标候选人公示</w:t>
      </w:r>
    </w:p>
    <w:p>
      <w:pPr>
        <w:spacing w:line="440" w:lineRule="exact"/>
        <w:ind w:firstLine="420"/>
        <w:rPr>
          <w:rFonts w:asciiTheme="minorEastAsia" w:hAnsiTheme="minorEastAsia"/>
          <w:sz w:val="24"/>
        </w:rPr>
      </w:pPr>
      <w:r>
        <w:rPr>
          <w:rFonts w:asciiTheme="minorEastAsia" w:hAnsiTheme="minorEastAsia" w:eastAsiaTheme="minorEastAsia"/>
          <w:sz w:val="24"/>
        </w:rPr>
        <w:t>招标人在收到评标报告之日起 3 日内，按照投标人须知前附表规定的公示媒介和期限公示中标候选人，公示期不得少于 3 天。</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7.2 评标结果异议</w:t>
      </w:r>
    </w:p>
    <w:p>
      <w:pPr>
        <w:spacing w:line="440" w:lineRule="exact"/>
        <w:ind w:firstLine="420"/>
        <w:rPr>
          <w:rFonts w:asciiTheme="minorEastAsia" w:hAnsiTheme="minorEastAsia"/>
          <w:sz w:val="24"/>
        </w:rPr>
      </w:pPr>
      <w:r>
        <w:rPr>
          <w:rFonts w:asciiTheme="minorEastAsia" w:hAnsiTheme="minorEastAsia" w:eastAsiaTheme="minorEastAsia"/>
          <w:sz w:val="24"/>
        </w:rPr>
        <w:t>投标人或者其他利害关系人对评标结果有异议的，应当在中标候选人公示期间提出。招标人将在收到异议之日起 3 日内作出答复；作出答复前，将暂停招标投标活动。</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7.3 中标候选人履约能力审查</w:t>
      </w:r>
    </w:p>
    <w:p>
      <w:pPr>
        <w:spacing w:line="440" w:lineRule="exact"/>
        <w:ind w:firstLine="420"/>
        <w:rPr>
          <w:rFonts w:asciiTheme="minorEastAsia" w:hAnsiTheme="minorEastAsia"/>
          <w:sz w:val="24"/>
        </w:rPr>
      </w:pPr>
      <w:r>
        <w:rPr>
          <w:rFonts w:asciiTheme="minorEastAsia" w:hAnsiTheme="minorEastAsia" w:eastAsiaTheme="minorEastAsia"/>
          <w:sz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7.4 定标</w:t>
      </w:r>
    </w:p>
    <w:p>
      <w:pPr>
        <w:spacing w:line="440" w:lineRule="exact"/>
        <w:ind w:firstLine="420"/>
        <w:rPr>
          <w:rFonts w:asciiTheme="minorEastAsia" w:hAnsiTheme="minorEastAsia"/>
          <w:sz w:val="24"/>
        </w:rPr>
      </w:pPr>
      <w:r>
        <w:rPr>
          <w:rFonts w:asciiTheme="minorEastAsia" w:hAnsiTheme="minorEastAsia" w:eastAsiaTheme="minorEastAsia"/>
          <w:sz w:val="24"/>
        </w:rPr>
        <w:t>按照投标人须知前附表的规定，招标人或招标人授权的评标委员会依法确定中标人。</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7.5 中标通知</w:t>
      </w:r>
    </w:p>
    <w:p>
      <w:pPr>
        <w:spacing w:line="440" w:lineRule="exact"/>
        <w:ind w:firstLine="420"/>
        <w:rPr>
          <w:rFonts w:asciiTheme="minorEastAsia" w:hAnsiTheme="minorEastAsia"/>
          <w:sz w:val="24"/>
        </w:rPr>
      </w:pPr>
      <w:r>
        <w:rPr>
          <w:rFonts w:asciiTheme="minorEastAsia" w:hAnsiTheme="minorEastAsia" w:eastAsiaTheme="minorEastAsia"/>
          <w:sz w:val="24"/>
        </w:rPr>
        <w:t>在本章第 3.3 款规定的投标有效期内，招标人以书面形式向中标人发出中标通知书，同时将中标结果通知未中标的投标人。</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7.6 履约保证金</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7.6.1履约保证金提交方式</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1、以网银、银行转账支票、银行电汇方式提交。</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2、现金支票和现金不得作为履约保证金提交方式。</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3、中标人必须通过其公司账户按照规定的方式提交，其名称应与中标单位的名称一致。</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4、中标人在缴纳履约保证金时必须在附言、备注和用途栏注明“项目编号及标段”，否则可能造成延迟退还。</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7.6.2履约保证金提交比例和数额</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履约保证金数额不得超过中标合同金额的10%。</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7.6.3履约保证金的退还</w:t>
      </w:r>
    </w:p>
    <w:p>
      <w:pPr>
        <w:spacing w:line="440" w:lineRule="exact"/>
        <w:ind w:firstLine="420"/>
        <w:rPr>
          <w:rFonts w:asciiTheme="minorEastAsia" w:hAnsiTheme="minorEastAsia" w:eastAsiaTheme="minorEastAsia"/>
          <w:sz w:val="24"/>
        </w:rPr>
      </w:pPr>
      <w:r>
        <w:rPr>
          <w:rFonts w:hint="eastAsia" w:asciiTheme="minorEastAsia" w:hAnsiTheme="minorEastAsia" w:eastAsiaTheme="minorEastAsia"/>
          <w:sz w:val="24"/>
        </w:rPr>
        <w:t>1、项目完工后，由招标人出具《履约保证金退还通知单》，中心财务凭《履约保证金退还通知单》在五个工作日内退还履约保证金及银行同期活期存款利息至中标人账户。</w:t>
      </w:r>
    </w:p>
    <w:p>
      <w:pPr>
        <w:spacing w:line="440" w:lineRule="exact"/>
        <w:ind w:firstLine="420"/>
        <w:rPr>
          <w:rFonts w:asciiTheme="minorEastAsia" w:hAnsiTheme="minorEastAsia"/>
          <w:sz w:val="24"/>
        </w:rPr>
      </w:pPr>
      <w:r>
        <w:rPr>
          <w:rFonts w:hint="eastAsia" w:asciiTheme="minorEastAsia" w:hAnsiTheme="minorEastAsia" w:eastAsiaTheme="minorEastAsia"/>
          <w:sz w:val="24"/>
        </w:rPr>
        <w:t>2、中标人因发生质疑、投诉、举报或有关部门立案调查的，中心依据相关行政监督部门的意见暂停退还或没收其履约保证金，待行政监督部门对相关情况处置后，按照有关规定办理。</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7.7 签订合同</w:t>
      </w:r>
    </w:p>
    <w:p>
      <w:pPr>
        <w:spacing w:line="440" w:lineRule="exact"/>
        <w:ind w:firstLine="420"/>
        <w:rPr>
          <w:rFonts w:asciiTheme="minorEastAsia" w:hAnsiTheme="minorEastAsia"/>
          <w:sz w:val="24"/>
        </w:rPr>
      </w:pPr>
      <w:r>
        <w:rPr>
          <w:rFonts w:asciiTheme="minorEastAsia" w:hAnsiTheme="minorEastAsia" w:eastAsiaTheme="minorEastAsia"/>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40" w:lineRule="exact"/>
        <w:ind w:firstLine="420"/>
        <w:rPr>
          <w:rFonts w:asciiTheme="minorEastAsia" w:hAnsiTheme="minorEastAsia"/>
          <w:sz w:val="24"/>
        </w:rPr>
      </w:pPr>
      <w:r>
        <w:rPr>
          <w:rFonts w:asciiTheme="minorEastAsia" w:hAnsiTheme="minorEastAsia" w:eastAsiaTheme="minorEastAsia"/>
          <w:sz w:val="24"/>
        </w:rPr>
        <w:t>7.7.2 发出中标通知书后，招标人无正当理由拒签合同，或者在签订合同时向中标人提出附加条件的，招标人向中标人退还投标保证金；给中标人造成损失的，还应当赔偿损失。</w:t>
      </w:r>
    </w:p>
    <w:p>
      <w:pPr>
        <w:spacing w:line="440" w:lineRule="exact"/>
        <w:ind w:firstLine="420"/>
        <w:rPr>
          <w:rFonts w:asciiTheme="minorEastAsia" w:hAnsiTheme="minorEastAsia"/>
          <w:sz w:val="24"/>
        </w:rPr>
      </w:pPr>
      <w:r>
        <w:rPr>
          <w:rFonts w:asciiTheme="minorEastAsia" w:hAnsiTheme="minorEastAsia" w:eastAsiaTheme="minorEastAsia"/>
          <w:sz w:val="24"/>
        </w:rPr>
        <w:t xml:space="preserve">7.7.3 联合体中标的，联合体各方应当共同与招标人签订合同，就中标项目向招标人承担连带责任。 </w:t>
      </w:r>
    </w:p>
    <w:p>
      <w:pPr>
        <w:spacing w:line="440" w:lineRule="exact"/>
        <w:ind w:firstLine="420"/>
        <w:rPr>
          <w:rFonts w:asciiTheme="minorEastAsia" w:hAnsiTheme="minorEastAsia" w:cstheme="majorBidi"/>
          <w:b/>
          <w:bCs/>
          <w:sz w:val="24"/>
        </w:rPr>
      </w:pPr>
      <w:r>
        <w:rPr>
          <w:rFonts w:asciiTheme="minorEastAsia" w:hAnsiTheme="minorEastAsia" w:eastAsiaTheme="minorEastAsia" w:cstheme="majorBidi"/>
          <w:b/>
          <w:bCs/>
          <w:sz w:val="24"/>
        </w:rPr>
        <w:t>8.纪律和监督</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8.1 对招标人的纪律要求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招标人不得泄露招标投标活动中应当保密的情况和资料，不得与投标人串通损害国家利益、社会公共利益或者他人合法权益。</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8.2 对投标人的纪律要求</w:t>
      </w:r>
    </w:p>
    <w:p>
      <w:pPr>
        <w:spacing w:line="440" w:lineRule="exact"/>
        <w:ind w:firstLine="480" w:firstLineChars="200"/>
        <w:rPr>
          <w:rFonts w:asciiTheme="minorEastAsia" w:hAnsiTheme="minorEastAsia"/>
          <w:sz w:val="24"/>
        </w:rPr>
      </w:pPr>
      <w:r>
        <w:rPr>
          <w:rFonts w:asciiTheme="minorEastAsia" w:hAnsiTheme="minorEastAsia" w:eastAsia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8.3 对评标委员会成员的纪律要求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8.4 对与评标活动有关的工作人员的纪律要求</w:t>
      </w:r>
    </w:p>
    <w:p>
      <w:pPr>
        <w:spacing w:line="440" w:lineRule="exact"/>
        <w:ind w:firstLine="420"/>
        <w:rPr>
          <w:rFonts w:asciiTheme="minorEastAsia" w:hAnsiTheme="minorEastAsia"/>
          <w:sz w:val="24"/>
        </w:rPr>
      </w:pPr>
      <w:r>
        <w:rPr>
          <w:rFonts w:asciiTheme="minorEastAsia" w:hAnsiTheme="minorEastAsia" w:eastAsiaTheme="minor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440" w:lineRule="exact"/>
        <w:ind w:firstLine="420"/>
        <w:rPr>
          <w:rFonts w:asciiTheme="minorEastAsia" w:hAnsiTheme="minorEastAsia"/>
          <w:sz w:val="24"/>
        </w:rPr>
      </w:pPr>
      <w:r>
        <w:rPr>
          <w:rFonts w:asciiTheme="minorEastAsia" w:hAnsiTheme="minorEastAsia" w:eastAsiaTheme="minorEastAsia" w:cstheme="majorBidi"/>
          <w:b/>
          <w:bCs/>
          <w:sz w:val="24"/>
        </w:rPr>
        <w:t>8.5 投诉</w:t>
      </w:r>
    </w:p>
    <w:p>
      <w:pPr>
        <w:spacing w:line="440" w:lineRule="exact"/>
        <w:ind w:firstLine="420"/>
        <w:rPr>
          <w:rFonts w:asciiTheme="minorEastAsia" w:hAnsiTheme="minorEastAsia"/>
          <w:sz w:val="24"/>
        </w:rPr>
      </w:pPr>
      <w:r>
        <w:rPr>
          <w:rFonts w:asciiTheme="minorEastAsia" w:hAnsiTheme="minorEastAsia" w:eastAsiaTheme="minorEastAsia"/>
          <w:sz w:val="24"/>
        </w:rPr>
        <w:t>8.5.1 投标人或者其他利害关系人认为招标投标活动不符合法律、行政法规规定的，可以自知道或者应当知道之日起 10 日内向有关行政监督部门投诉。投诉应当有明确的请求和必要的证明材料。</w:t>
      </w:r>
    </w:p>
    <w:p>
      <w:pPr>
        <w:spacing w:line="440" w:lineRule="exact"/>
        <w:ind w:firstLine="420"/>
        <w:rPr>
          <w:rFonts w:asciiTheme="minorEastAsia" w:hAnsiTheme="minorEastAsia"/>
          <w:sz w:val="24"/>
        </w:rPr>
      </w:pPr>
      <w:r>
        <w:rPr>
          <w:rFonts w:asciiTheme="minorEastAsia" w:hAnsiTheme="minorEastAsia" w:eastAsiaTheme="minorEastAsia"/>
          <w:sz w:val="24"/>
        </w:rPr>
        <w:t>8.5.2 投标人或者其他利害关系人对招标文件、开标和评标结果提出投诉的，应当按照投标人须知第 2.4 款、第 5.3 款和第 7.2 款的规定先向招标人提出异议。异议答复期间不计算在第 8.5.1项规定的期限内。</w:t>
      </w:r>
    </w:p>
    <w:p>
      <w:pPr>
        <w:spacing w:line="440" w:lineRule="exact"/>
        <w:ind w:firstLine="420"/>
        <w:rPr>
          <w:rFonts w:asciiTheme="minorEastAsia" w:hAnsiTheme="minorEastAsia"/>
          <w:sz w:val="24"/>
        </w:rPr>
      </w:pPr>
      <w:r>
        <w:rPr>
          <w:rFonts w:hint="eastAsia" w:asciiTheme="minorEastAsia" w:hAnsiTheme="minorEastAsia" w:cstheme="majorBidi"/>
          <w:b/>
          <w:bCs/>
          <w:sz w:val="24"/>
        </w:rPr>
        <w:t>9.</w:t>
      </w:r>
      <w:r>
        <w:rPr>
          <w:rFonts w:asciiTheme="minorEastAsia" w:hAnsiTheme="minorEastAsia" w:eastAsiaTheme="minorEastAsia" w:cstheme="majorBidi"/>
          <w:b/>
          <w:bCs/>
          <w:sz w:val="24"/>
        </w:rPr>
        <w:t>是否采用电子招标投标</w:t>
      </w:r>
    </w:p>
    <w:p>
      <w:pPr>
        <w:spacing w:line="440" w:lineRule="exact"/>
        <w:ind w:firstLine="420"/>
        <w:rPr>
          <w:rFonts w:asciiTheme="minorEastAsia" w:hAnsiTheme="minorEastAsia"/>
          <w:sz w:val="24"/>
        </w:rPr>
      </w:pPr>
      <w:r>
        <w:rPr>
          <w:rFonts w:asciiTheme="minorEastAsia" w:hAnsiTheme="minorEastAsia" w:eastAsiaTheme="minorEastAsia"/>
          <w:sz w:val="24"/>
        </w:rPr>
        <w:t>本招标项目是否采用电子招标投标方式，见投标人须知前附表。</w:t>
      </w:r>
    </w:p>
    <w:p>
      <w:pPr>
        <w:spacing w:line="440" w:lineRule="exact"/>
        <w:ind w:firstLine="420"/>
        <w:rPr>
          <w:rFonts w:asciiTheme="minorEastAsia" w:hAnsiTheme="minorEastAsia" w:eastAsiaTheme="minorEastAsia"/>
          <w:sz w:val="24"/>
        </w:rPr>
      </w:pPr>
      <w:r>
        <w:rPr>
          <w:rFonts w:hint="eastAsia" w:asciiTheme="minorEastAsia" w:hAnsiTheme="minorEastAsia" w:cstheme="majorBidi"/>
          <w:b/>
          <w:bCs/>
          <w:sz w:val="24"/>
        </w:rPr>
        <w:t>10.</w:t>
      </w:r>
      <w:r>
        <w:rPr>
          <w:rFonts w:asciiTheme="minorEastAsia" w:hAnsiTheme="minorEastAsia" w:eastAsiaTheme="minorEastAsia" w:cstheme="majorBidi"/>
          <w:b/>
          <w:bCs/>
          <w:sz w:val="24"/>
        </w:rPr>
        <w:t>需要补充的其他内容</w:t>
      </w:r>
    </w:p>
    <w:p>
      <w:pPr>
        <w:spacing w:line="440" w:lineRule="exact"/>
        <w:ind w:firstLine="420"/>
        <w:rPr>
          <w:rFonts w:asciiTheme="minorEastAsia" w:hAnsiTheme="minorEastAsia"/>
          <w:sz w:val="24"/>
        </w:rPr>
      </w:pPr>
      <w:r>
        <w:rPr>
          <w:rFonts w:asciiTheme="minorEastAsia" w:hAnsiTheme="minorEastAsia" w:eastAsiaTheme="minorEastAsia"/>
          <w:sz w:val="24"/>
        </w:rPr>
        <w:t>需要补充的其他内容：见投标人须知前附表。</w:t>
      </w:r>
    </w:p>
    <w:p>
      <w:pPr>
        <w:spacing w:line="360" w:lineRule="auto"/>
        <w:ind w:firstLine="420"/>
        <w:jc w:val="left"/>
        <w:rPr>
          <w:rFonts w:asciiTheme="minorEastAsia" w:hAnsiTheme="minorEastAsia" w:eastAsiaTheme="minorEastAsia"/>
          <w:sz w:val="24"/>
        </w:rPr>
      </w:pPr>
      <w:r>
        <w:rPr>
          <w:rFonts w:asciiTheme="minorEastAsia" w:hAnsiTheme="minorEastAsia" w:eastAsiaTheme="minorEastAsia"/>
          <w:sz w:val="24"/>
        </w:rPr>
        <w:br w:type="page"/>
      </w:r>
    </w:p>
    <w:p>
      <w:pPr>
        <w:ind w:right="-58" w:firstLine="420"/>
        <w:jc w:val="right"/>
        <w:rPr>
          <w:szCs w:val="21"/>
        </w:rPr>
      </w:pPr>
    </w:p>
    <w:p>
      <w:pPr>
        <w:pStyle w:val="4"/>
      </w:pPr>
      <w:bookmarkStart w:id="441" w:name="_Toc498502996"/>
      <w:bookmarkStart w:id="442" w:name="_Toc152045582"/>
      <w:bookmarkStart w:id="443" w:name="_Toc505626519"/>
      <w:bookmarkStart w:id="444" w:name="_Toc290634343"/>
      <w:bookmarkStart w:id="445" w:name="_Toc15334"/>
      <w:bookmarkStart w:id="446" w:name="_Toc25882"/>
      <w:bookmarkStart w:id="447" w:name="_Toc144974549"/>
      <w:bookmarkStart w:id="448" w:name="_Toc152042359"/>
      <w:r>
        <w:rPr>
          <w:rFonts w:hint="eastAsia"/>
        </w:rPr>
        <w:t>附件</w:t>
      </w:r>
      <w:r>
        <w:rPr>
          <w:rFonts w:hint="eastAsia"/>
          <w:lang w:val="en-US" w:eastAsia="zh-CN"/>
        </w:rPr>
        <w:t>一</w:t>
      </w:r>
      <w:r>
        <w:rPr>
          <w:rFonts w:hint="eastAsia"/>
        </w:rPr>
        <w:t>：问题澄清通知</w:t>
      </w:r>
      <w:bookmarkEnd w:id="441"/>
      <w:bookmarkEnd w:id="442"/>
      <w:bookmarkEnd w:id="443"/>
      <w:bookmarkEnd w:id="444"/>
      <w:bookmarkEnd w:id="445"/>
      <w:bookmarkEnd w:id="446"/>
      <w:bookmarkEnd w:id="447"/>
      <w:bookmarkEnd w:id="448"/>
    </w:p>
    <w:p/>
    <w:p>
      <w:pPr>
        <w:ind w:left="3480"/>
        <w:rPr>
          <w:rFonts w:asciiTheme="minorEastAsia" w:hAnsiTheme="minorEastAsia" w:eastAsiaTheme="minorEastAsia"/>
          <w:b/>
          <w:szCs w:val="21"/>
        </w:rPr>
      </w:pPr>
      <w:r>
        <w:rPr>
          <w:rFonts w:cs="宋体" w:asciiTheme="minorEastAsia" w:hAnsiTheme="minorEastAsia" w:eastAsiaTheme="minorEastAsia"/>
          <w:b/>
          <w:szCs w:val="21"/>
        </w:rPr>
        <w:t>问题澄清通知</w:t>
      </w:r>
    </w:p>
    <w:p>
      <w:pPr>
        <w:spacing w:line="192" w:lineRule="exact"/>
        <w:rPr>
          <w:rFonts w:asciiTheme="minorEastAsia" w:hAnsiTheme="minorEastAsia" w:eastAsiaTheme="minorEastAsia"/>
          <w:szCs w:val="21"/>
        </w:rPr>
      </w:pPr>
    </w:p>
    <w:p>
      <w:pPr>
        <w:tabs>
          <w:tab w:val="left" w:pos="5660"/>
        </w:tabs>
        <w:spacing w:line="239" w:lineRule="exact"/>
        <w:ind w:left="274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w:pict>
          <v:line id="Shape 33" o:spid="_x0000_s5122" o:spt="20" style="position:absolute;left:0pt;margin-left:179.3pt;margin-top:0.55pt;height:0pt;width:104.8pt;z-index:251645952;mso-width-relative:page;mso-height-relative:page;" coordsize="21600,21600" o:allowincell="f">
            <v:path arrowok="t"/>
            <v:fill focussize="0,0"/>
            <v:stroke weight="0.72pt"/>
            <v:imagedata o:title=""/>
            <o:lock v:ext="edit"/>
          </v:line>
        </w:pict>
      </w:r>
    </w:p>
    <w:p>
      <w:pPr>
        <w:spacing w:line="200"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p>
    <w:p>
      <w:pPr>
        <w:spacing w:line="239" w:lineRule="exact"/>
        <w:ind w:left="220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投标人名称</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w:pict>
          <v:line id="Shape 34" o:spid="_x0000_s5123" o:spt="20" style="position:absolute;left:0pt;margin-left:0pt;margin-top:0.1pt;height:0pt;width:110.3pt;z-index:251646976;mso-width-relative:page;mso-height-relative:page;" coordsize="21600,21600" o:allowincell="f">
            <v:path arrowok="t"/>
            <v:fill focussize="0,0"/>
            <v:stroke weight="0.503937007874016pt"/>
            <v:imagedata o:title=""/>
            <o:lock v:ext="edit"/>
          </v:line>
        </w:pict>
      </w:r>
    </w:p>
    <w:p>
      <w:pPr>
        <w:spacing w:line="200" w:lineRule="exact"/>
        <w:rPr>
          <w:rFonts w:asciiTheme="minorEastAsia" w:hAnsiTheme="minorEastAsia" w:eastAsiaTheme="minorEastAsia"/>
          <w:szCs w:val="21"/>
        </w:rPr>
      </w:pPr>
    </w:p>
    <w:p>
      <w:pPr>
        <w:spacing w:line="243" w:lineRule="exact"/>
        <w:rPr>
          <w:rFonts w:asciiTheme="minorEastAsia" w:hAnsiTheme="minorEastAsia" w:eastAsiaTheme="minorEastAsia"/>
          <w:szCs w:val="21"/>
        </w:rPr>
      </w:pPr>
    </w:p>
    <w:p>
      <w:pPr>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评标委员会对你方的投标文件进行了仔细的审查</w:t>
      </w:r>
      <w:r>
        <w:rPr>
          <w:rFonts w:cs="MS PGothic" w:asciiTheme="minorEastAsia" w:hAnsiTheme="minorEastAsia" w:eastAsiaTheme="minorEastAsia"/>
          <w:szCs w:val="21"/>
        </w:rPr>
        <w:t>，</w:t>
      </w:r>
      <w:r>
        <w:rPr>
          <w:rFonts w:cs="宋体" w:asciiTheme="minorEastAsia" w:hAnsiTheme="minorEastAsia" w:eastAsiaTheme="minorEastAsia"/>
          <w:szCs w:val="21"/>
        </w:rPr>
        <w:t>现需你方对下列问题以书面形式予以澄</w:t>
      </w:r>
    </w:p>
    <w:p>
      <w:pPr>
        <w:spacing w:line="201"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r>
        <w:rPr>
          <w:rFonts w:cs="宋体" w:asciiTheme="minorEastAsia" w:hAnsiTheme="minorEastAsia" w:eastAsiaTheme="minorEastAsia"/>
          <w:szCs w:val="21"/>
        </w:rPr>
        <w:t>清、说明或补正</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55" w:lineRule="exact"/>
        <w:rPr>
          <w:rFonts w:asciiTheme="minorEastAsia" w:hAnsiTheme="minorEastAsia" w:eastAsiaTheme="minorEastAsia"/>
          <w:szCs w:val="21"/>
        </w:rPr>
      </w:pPr>
    </w:p>
    <w:p>
      <w:pPr>
        <w:spacing w:line="239" w:lineRule="auto"/>
        <w:ind w:left="420"/>
        <w:rPr>
          <w:rFonts w:asciiTheme="minorEastAsia" w:hAnsiTheme="minorEastAsia" w:eastAsiaTheme="minorEastAsia"/>
          <w:szCs w:val="21"/>
        </w:rPr>
      </w:pPr>
      <w:r>
        <w:rPr>
          <w:rFonts w:asciiTheme="minorEastAsia" w:hAnsiTheme="minorEastAsia" w:eastAsiaTheme="minorEastAsia"/>
          <w:szCs w:val="21"/>
        </w:rPr>
        <w:t>1.</w:t>
      </w:r>
    </w:p>
    <w:p>
      <w:pPr>
        <w:spacing w:line="199" w:lineRule="exact"/>
        <w:rPr>
          <w:rFonts w:asciiTheme="minorEastAsia" w:hAnsiTheme="minorEastAsia" w:eastAsiaTheme="minorEastAsia"/>
          <w:szCs w:val="21"/>
        </w:rPr>
      </w:pPr>
    </w:p>
    <w:p>
      <w:pPr>
        <w:spacing w:line="239" w:lineRule="auto"/>
        <w:ind w:left="420"/>
        <w:rPr>
          <w:rFonts w:asciiTheme="minorEastAsia" w:hAnsiTheme="minorEastAsia" w:eastAsiaTheme="minorEastAsia"/>
          <w:szCs w:val="21"/>
        </w:rPr>
      </w:pPr>
      <w:r>
        <w:rPr>
          <w:rFonts w:asciiTheme="minorEastAsia" w:hAnsiTheme="minorEastAsia" w:eastAsiaTheme="minorEastAsia"/>
          <w:szCs w:val="21"/>
        </w:rPr>
        <w:t>2.</w:t>
      </w:r>
    </w:p>
    <w:p>
      <w:pPr>
        <w:spacing w:line="202" w:lineRule="exact"/>
        <w:rPr>
          <w:rFonts w:asciiTheme="minorEastAsia" w:hAnsiTheme="minorEastAsia" w:eastAsiaTheme="minorEastAsia"/>
          <w:szCs w:val="21"/>
        </w:rPr>
      </w:pPr>
    </w:p>
    <w:tbl>
      <w:tblPr>
        <w:tblStyle w:val="29"/>
        <w:tblW w:w="8640" w:type="dxa"/>
        <w:tblInd w:w="0" w:type="dxa"/>
        <w:tblLayout w:type="fixed"/>
        <w:tblCellMar>
          <w:top w:w="0" w:type="dxa"/>
          <w:left w:w="0" w:type="dxa"/>
          <w:bottom w:w="0" w:type="dxa"/>
          <w:right w:w="0" w:type="dxa"/>
        </w:tblCellMar>
      </w:tblPr>
      <w:tblGrid>
        <w:gridCol w:w="740"/>
        <w:gridCol w:w="200"/>
        <w:gridCol w:w="740"/>
        <w:gridCol w:w="1260"/>
        <w:gridCol w:w="420"/>
        <w:gridCol w:w="420"/>
        <w:gridCol w:w="720"/>
        <w:gridCol w:w="220"/>
        <w:gridCol w:w="300"/>
        <w:gridCol w:w="220"/>
        <w:gridCol w:w="200"/>
        <w:gridCol w:w="120"/>
        <w:gridCol w:w="80"/>
        <w:gridCol w:w="20"/>
        <w:gridCol w:w="640"/>
        <w:gridCol w:w="100"/>
        <w:gridCol w:w="200"/>
        <w:gridCol w:w="440"/>
        <w:gridCol w:w="180"/>
        <w:gridCol w:w="20"/>
        <w:gridCol w:w="100"/>
        <w:gridCol w:w="640"/>
        <w:gridCol w:w="660"/>
      </w:tblGrid>
      <w:tr>
        <w:tblPrEx>
          <w:tblLayout w:type="fixed"/>
        </w:tblPrEx>
        <w:trPr>
          <w:trHeight w:val="241" w:hRule="atLeast"/>
        </w:trPr>
        <w:tc>
          <w:tcPr>
            <w:tcW w:w="940" w:type="dxa"/>
            <w:gridSpan w:val="2"/>
            <w:vAlign w:val="bottom"/>
          </w:tcPr>
          <w:p>
            <w:pPr>
              <w:spacing w:line="240" w:lineRule="exact"/>
              <w:jc w:val="right"/>
              <w:rPr>
                <w:rFonts w:asciiTheme="minorEastAsia" w:hAnsiTheme="minorEastAsia" w:eastAsiaTheme="minorEastAsia"/>
                <w:szCs w:val="21"/>
              </w:rPr>
            </w:pPr>
            <w:r>
              <w:rPr>
                <w:rFonts w:asciiTheme="minorEastAsia" w:hAnsiTheme="minorEastAsia" w:eastAsiaTheme="minorEastAsia"/>
                <w:szCs w:val="21"/>
              </w:rPr>
              <w:t>......</w:t>
            </w:r>
          </w:p>
        </w:tc>
        <w:tc>
          <w:tcPr>
            <w:tcW w:w="740" w:type="dxa"/>
            <w:vAlign w:val="bottom"/>
          </w:tcPr>
          <w:p>
            <w:pPr>
              <w:rPr>
                <w:rFonts w:asciiTheme="minorEastAsia" w:hAnsiTheme="minorEastAsia" w:eastAsiaTheme="minorEastAsia"/>
                <w:szCs w:val="21"/>
              </w:rPr>
            </w:pPr>
          </w:p>
        </w:tc>
        <w:tc>
          <w:tcPr>
            <w:tcW w:w="1260" w:type="dxa"/>
            <w:vAlign w:val="bottom"/>
          </w:tcPr>
          <w:p>
            <w:pPr>
              <w:rPr>
                <w:rFonts w:asciiTheme="minorEastAsia" w:hAnsiTheme="minorEastAsia" w:eastAsiaTheme="minorEastAsia"/>
                <w:szCs w:val="21"/>
              </w:rPr>
            </w:pPr>
          </w:p>
        </w:tc>
        <w:tc>
          <w:tcPr>
            <w:tcW w:w="420" w:type="dxa"/>
            <w:vAlign w:val="bottom"/>
          </w:tcPr>
          <w:p>
            <w:pPr>
              <w:rPr>
                <w:rFonts w:asciiTheme="minorEastAsia" w:hAnsiTheme="minorEastAsia" w:eastAsiaTheme="minorEastAsia"/>
                <w:szCs w:val="21"/>
              </w:rPr>
            </w:pPr>
          </w:p>
        </w:tc>
        <w:tc>
          <w:tcPr>
            <w:tcW w:w="420" w:type="dxa"/>
            <w:vAlign w:val="bottom"/>
          </w:tcPr>
          <w:p>
            <w:pPr>
              <w:rPr>
                <w:rFonts w:asciiTheme="minorEastAsia" w:hAnsiTheme="minorEastAsia" w:eastAsiaTheme="minorEastAsia"/>
                <w:szCs w:val="21"/>
              </w:rPr>
            </w:pPr>
          </w:p>
        </w:tc>
        <w:tc>
          <w:tcPr>
            <w:tcW w:w="72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30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120" w:type="dxa"/>
            <w:vAlign w:val="bottom"/>
          </w:tcPr>
          <w:p>
            <w:pPr>
              <w:rPr>
                <w:rFonts w:asciiTheme="minorEastAsia" w:hAnsiTheme="minorEastAsia" w:eastAsiaTheme="minorEastAsia"/>
                <w:szCs w:val="21"/>
              </w:rPr>
            </w:pPr>
          </w:p>
        </w:tc>
        <w:tc>
          <w:tcPr>
            <w:tcW w:w="100" w:type="dxa"/>
            <w:gridSpan w:val="2"/>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660" w:type="dxa"/>
            <w:vAlign w:val="bottom"/>
          </w:tcPr>
          <w:p>
            <w:pPr>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858" w:hRule="atLeast"/>
        </w:trPr>
        <w:tc>
          <w:tcPr>
            <w:tcW w:w="3780" w:type="dxa"/>
            <w:gridSpan w:val="6"/>
            <w:vAlign w:val="bottom"/>
          </w:tcPr>
          <w:p>
            <w:pPr>
              <w:spacing w:line="239" w:lineRule="exact"/>
              <w:ind w:left="420"/>
              <w:rPr>
                <w:rFonts w:cs="宋体" w:asciiTheme="minorEastAsia" w:hAnsiTheme="minorEastAsia" w:eastAsiaTheme="minorEastAsia"/>
                <w:szCs w:val="21"/>
              </w:rPr>
            </w:pPr>
            <w:r>
              <w:rPr>
                <w:rFonts w:cs="宋体" w:asciiTheme="minorEastAsia" w:hAnsiTheme="minorEastAsia" w:eastAsiaTheme="minorEastAsia"/>
                <w:szCs w:val="21"/>
              </w:rPr>
              <w:t>请将上述问题的澄清、说明或补正于</w:t>
            </w:r>
          </w:p>
        </w:tc>
        <w:tc>
          <w:tcPr>
            <w:tcW w:w="720" w:type="dxa"/>
            <w:vAlign w:val="bottom"/>
          </w:tcPr>
          <w:p>
            <w:pPr>
              <w:rPr>
                <w:rFonts w:asciiTheme="minorEastAsia" w:hAnsiTheme="minorEastAsia" w:eastAsiaTheme="minorEastAsia"/>
                <w:szCs w:val="21"/>
              </w:rPr>
            </w:pPr>
          </w:p>
        </w:tc>
        <w:tc>
          <w:tcPr>
            <w:tcW w:w="220" w:type="dxa"/>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年</w:t>
            </w:r>
          </w:p>
        </w:tc>
        <w:tc>
          <w:tcPr>
            <w:tcW w:w="520" w:type="dxa"/>
            <w:gridSpan w:val="2"/>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960" w:type="dxa"/>
            <w:gridSpan w:val="5"/>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月</w:t>
            </w:r>
          </w:p>
        </w:tc>
        <w:tc>
          <w:tcPr>
            <w:tcW w:w="640" w:type="dxa"/>
            <w:gridSpan w:val="2"/>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日</w:t>
            </w: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1300" w:type="dxa"/>
            <w:gridSpan w:val="2"/>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时前递交至</w:t>
            </w:r>
          </w:p>
        </w:tc>
      </w:tr>
      <w:tr>
        <w:tblPrEx>
          <w:tblLayout w:type="fixed"/>
          <w:tblCellMar>
            <w:top w:w="0" w:type="dxa"/>
            <w:left w:w="0" w:type="dxa"/>
            <w:bottom w:w="0" w:type="dxa"/>
            <w:right w:w="0" w:type="dxa"/>
          </w:tblCellMar>
        </w:tblPrEx>
        <w:trPr>
          <w:trHeight w:val="20" w:hRule="atLeast"/>
        </w:trPr>
        <w:tc>
          <w:tcPr>
            <w:tcW w:w="74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vAlign w:val="bottom"/>
          </w:tcPr>
          <w:p>
            <w:pPr>
              <w:spacing w:line="20" w:lineRule="exact"/>
              <w:rPr>
                <w:rFonts w:asciiTheme="minorEastAsia" w:hAnsiTheme="minorEastAsia" w:eastAsiaTheme="minorEastAsia"/>
                <w:szCs w:val="21"/>
              </w:rPr>
            </w:pPr>
          </w:p>
        </w:tc>
        <w:tc>
          <w:tcPr>
            <w:tcW w:w="126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720" w:type="dxa"/>
            <w:shd w:val="clear" w:color="auto" w:fill="000000"/>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30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200" w:type="dxa"/>
            <w:gridSpan w:val="2"/>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640" w:type="dxa"/>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440" w:type="dxa"/>
            <w:shd w:val="clear" w:color="auto" w:fill="000000"/>
            <w:vAlign w:val="bottom"/>
          </w:tcPr>
          <w:p>
            <w:pPr>
              <w:spacing w:line="20" w:lineRule="exact"/>
              <w:rPr>
                <w:rFonts w:asciiTheme="minorEastAsia" w:hAnsiTheme="minorEastAsia" w:eastAsiaTheme="minorEastAsia"/>
                <w:szCs w:val="21"/>
              </w:rPr>
            </w:pPr>
          </w:p>
        </w:tc>
        <w:tc>
          <w:tcPr>
            <w:tcW w:w="180" w:type="dxa"/>
            <w:shd w:val="clear" w:color="auto" w:fill="000000"/>
            <w:vAlign w:val="bottom"/>
          </w:tcPr>
          <w:p>
            <w:pPr>
              <w:spacing w:line="20" w:lineRule="exact"/>
              <w:rPr>
                <w:rFonts w:asciiTheme="minorEastAsia" w:hAnsiTheme="minorEastAsia" w:eastAsiaTheme="minorEastAsia"/>
                <w:szCs w:val="21"/>
              </w:rPr>
            </w:pPr>
          </w:p>
        </w:tc>
        <w:tc>
          <w:tcPr>
            <w:tcW w:w="20" w:type="dxa"/>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422" w:hRule="atLeast"/>
        </w:trPr>
        <w:tc>
          <w:tcPr>
            <w:tcW w:w="74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740" w:type="dxa"/>
            <w:vAlign w:val="bottom"/>
          </w:tcPr>
          <w:p>
            <w:pPr>
              <w:rPr>
                <w:rFonts w:asciiTheme="minorEastAsia" w:hAnsiTheme="minorEastAsia" w:eastAsiaTheme="minorEastAsia"/>
                <w:szCs w:val="21"/>
              </w:rPr>
            </w:pPr>
          </w:p>
        </w:tc>
        <w:tc>
          <w:tcPr>
            <w:tcW w:w="1260" w:type="dxa"/>
            <w:vAlign w:val="bottom"/>
          </w:tcPr>
          <w:p>
            <w:pPr>
              <w:rPr>
                <w:rFonts w:asciiTheme="minorEastAsia" w:hAnsiTheme="minorEastAsia" w:eastAsiaTheme="minorEastAsia"/>
                <w:szCs w:val="21"/>
              </w:rPr>
            </w:pPr>
          </w:p>
        </w:tc>
        <w:tc>
          <w:tcPr>
            <w:tcW w:w="2080" w:type="dxa"/>
            <w:gridSpan w:val="5"/>
            <w:vAlign w:val="bottom"/>
          </w:tcPr>
          <w:p>
            <w:pPr>
              <w:spacing w:line="239" w:lineRule="exact"/>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详细地址</w:t>
            </w:r>
            <w:r>
              <w:rPr>
                <w:rFonts w:cs="MS PGothic" w:asciiTheme="minorEastAsia" w:hAnsiTheme="minorEastAsia" w:eastAsiaTheme="minorEastAsia"/>
                <w:szCs w:val="21"/>
              </w:rPr>
              <w:t>）</w:t>
            </w:r>
            <w:r>
              <w:rPr>
                <w:rFonts w:cs="宋体" w:asciiTheme="minorEastAsia" w:hAnsiTheme="minorEastAsia" w:eastAsiaTheme="minorEastAsia"/>
                <w:szCs w:val="21"/>
              </w:rPr>
              <w:t>或传真至</w:t>
            </w: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200" w:type="dxa"/>
            <w:gridSpan w:val="2"/>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1600" w:type="dxa"/>
            <w:gridSpan w:val="5"/>
            <w:vAlign w:val="bottom"/>
          </w:tcPr>
          <w:p>
            <w:pPr>
              <w:spacing w:line="239" w:lineRule="exact"/>
              <w:ind w:left="16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传真号码</w:t>
            </w:r>
            <w:r>
              <w:rPr>
                <w:rFonts w:cs="MS PGothic" w:asciiTheme="minorEastAsia" w:hAnsiTheme="minorEastAsia" w:eastAsiaTheme="minorEastAsia"/>
                <w:szCs w:val="21"/>
              </w:rPr>
              <w:t>）</w:t>
            </w:r>
            <w:r>
              <w:rPr>
                <w:rFonts w:cs="宋体" w:asciiTheme="minorEastAsia" w:hAnsiTheme="minorEastAsia" w:eastAsiaTheme="minorEastAsia"/>
                <w:szCs w:val="21"/>
              </w:rPr>
              <w:t>或</w:t>
            </w:r>
          </w:p>
        </w:tc>
      </w:tr>
      <w:tr>
        <w:tblPrEx>
          <w:tblLayout w:type="fixed"/>
          <w:tblCellMar>
            <w:top w:w="0" w:type="dxa"/>
            <w:left w:w="0" w:type="dxa"/>
            <w:bottom w:w="0" w:type="dxa"/>
            <w:right w:w="0" w:type="dxa"/>
          </w:tblCellMar>
        </w:tblPrEx>
        <w:trPr>
          <w:trHeight w:val="20" w:hRule="atLeast"/>
        </w:trPr>
        <w:tc>
          <w:tcPr>
            <w:tcW w:w="740" w:type="dxa"/>
            <w:shd w:val="clear" w:color="auto" w:fill="000000"/>
            <w:vAlign w:val="bottom"/>
          </w:tcPr>
          <w:p>
            <w:pPr>
              <w:spacing w:line="20" w:lineRule="exact"/>
              <w:rPr>
                <w:rFonts w:asciiTheme="minorEastAsia" w:hAnsiTheme="minorEastAsia" w:eastAsiaTheme="minorEastAsia"/>
                <w:szCs w:val="21"/>
              </w:rPr>
            </w:pPr>
          </w:p>
        </w:tc>
        <w:tc>
          <w:tcPr>
            <w:tcW w:w="940" w:type="dxa"/>
            <w:gridSpan w:val="2"/>
            <w:shd w:val="clear" w:color="auto" w:fill="000000"/>
            <w:vAlign w:val="bottom"/>
          </w:tcPr>
          <w:p>
            <w:pPr>
              <w:spacing w:line="20" w:lineRule="exact"/>
              <w:rPr>
                <w:rFonts w:asciiTheme="minorEastAsia" w:hAnsiTheme="minorEastAsia" w:eastAsiaTheme="minorEastAsia"/>
                <w:szCs w:val="21"/>
              </w:rPr>
            </w:pPr>
          </w:p>
        </w:tc>
        <w:tc>
          <w:tcPr>
            <w:tcW w:w="1260" w:type="dxa"/>
            <w:shd w:val="clear" w:color="auto" w:fill="000000"/>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1660" w:type="dxa"/>
            <w:gridSpan w:val="4"/>
            <w:vAlign w:val="bottom"/>
          </w:tcPr>
          <w:p>
            <w:pPr>
              <w:spacing w:line="20" w:lineRule="exact"/>
              <w:rPr>
                <w:rFonts w:asciiTheme="minorEastAsia" w:hAnsiTheme="minorEastAsia" w:eastAsiaTheme="minorEastAsia"/>
                <w:szCs w:val="21"/>
              </w:rPr>
            </w:pPr>
          </w:p>
        </w:tc>
        <w:tc>
          <w:tcPr>
            <w:tcW w:w="620" w:type="dxa"/>
            <w:gridSpan w:val="4"/>
            <w:shd w:val="clear" w:color="auto" w:fill="000000"/>
            <w:vAlign w:val="bottom"/>
          </w:tcPr>
          <w:p>
            <w:pPr>
              <w:spacing w:line="20" w:lineRule="exact"/>
              <w:rPr>
                <w:rFonts w:asciiTheme="minorEastAsia" w:hAnsiTheme="minorEastAsia" w:eastAsiaTheme="minorEastAsia"/>
                <w:szCs w:val="21"/>
              </w:rPr>
            </w:pPr>
          </w:p>
        </w:tc>
        <w:tc>
          <w:tcPr>
            <w:tcW w:w="660" w:type="dxa"/>
            <w:gridSpan w:val="2"/>
            <w:shd w:val="clear" w:color="auto" w:fill="000000"/>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440" w:type="dxa"/>
            <w:shd w:val="clear" w:color="auto" w:fill="000000"/>
            <w:vAlign w:val="bottom"/>
          </w:tcPr>
          <w:p>
            <w:pPr>
              <w:spacing w:line="20" w:lineRule="exact"/>
              <w:rPr>
                <w:rFonts w:asciiTheme="minorEastAsia" w:hAnsiTheme="minorEastAsia" w:eastAsiaTheme="minorEastAsia"/>
                <w:szCs w:val="21"/>
              </w:rPr>
            </w:pPr>
          </w:p>
        </w:tc>
        <w:tc>
          <w:tcPr>
            <w:tcW w:w="180" w:type="dxa"/>
            <w:shd w:val="clear" w:color="auto" w:fill="000000"/>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419" w:hRule="atLeast"/>
        </w:trPr>
        <w:tc>
          <w:tcPr>
            <w:tcW w:w="6400" w:type="dxa"/>
            <w:gridSpan w:val="16"/>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通过下载招标文件的电子招标交易平台上传。采用传真方式的</w:t>
            </w:r>
            <w:r>
              <w:rPr>
                <w:rFonts w:cs="MS PGothic" w:asciiTheme="minorEastAsia" w:hAnsiTheme="minorEastAsia" w:eastAsiaTheme="minorEastAsia"/>
                <w:szCs w:val="21"/>
              </w:rPr>
              <w:t>，</w:t>
            </w:r>
            <w:r>
              <w:rPr>
                <w:rFonts w:cs="宋体" w:asciiTheme="minorEastAsia" w:hAnsiTheme="minorEastAsia" w:eastAsiaTheme="minorEastAsia"/>
                <w:szCs w:val="21"/>
              </w:rPr>
              <w:t>应在</w:t>
            </w:r>
          </w:p>
        </w:tc>
        <w:tc>
          <w:tcPr>
            <w:tcW w:w="200" w:type="dxa"/>
            <w:vAlign w:val="bottom"/>
          </w:tcPr>
          <w:p>
            <w:pPr>
              <w:rPr>
                <w:rFonts w:asciiTheme="minorEastAsia" w:hAnsiTheme="minorEastAsia" w:eastAsiaTheme="minorEastAsia"/>
                <w:szCs w:val="21"/>
              </w:rPr>
            </w:pPr>
          </w:p>
        </w:tc>
        <w:tc>
          <w:tcPr>
            <w:tcW w:w="440" w:type="dxa"/>
            <w:vAlign w:val="bottom"/>
          </w:tcPr>
          <w:p>
            <w:pPr>
              <w:rPr>
                <w:rFonts w:asciiTheme="minorEastAsia" w:hAnsiTheme="minorEastAsia" w:eastAsiaTheme="minorEastAsia"/>
                <w:szCs w:val="21"/>
              </w:rPr>
            </w:pPr>
          </w:p>
        </w:tc>
        <w:tc>
          <w:tcPr>
            <w:tcW w:w="300" w:type="dxa"/>
            <w:gridSpan w:val="3"/>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年</w:t>
            </w:r>
          </w:p>
        </w:tc>
        <w:tc>
          <w:tcPr>
            <w:tcW w:w="640" w:type="dxa"/>
            <w:vAlign w:val="bottom"/>
          </w:tcPr>
          <w:p>
            <w:pPr>
              <w:rPr>
                <w:rFonts w:asciiTheme="minorEastAsia" w:hAnsiTheme="minorEastAsia" w:eastAsiaTheme="minorEastAsia"/>
                <w:szCs w:val="21"/>
              </w:rPr>
            </w:pPr>
          </w:p>
        </w:tc>
        <w:tc>
          <w:tcPr>
            <w:tcW w:w="660" w:type="dxa"/>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月</w:t>
            </w:r>
          </w:p>
        </w:tc>
      </w:tr>
      <w:tr>
        <w:tblPrEx>
          <w:tblLayout w:type="fixed"/>
          <w:tblCellMar>
            <w:top w:w="0" w:type="dxa"/>
            <w:left w:w="0" w:type="dxa"/>
            <w:bottom w:w="0" w:type="dxa"/>
            <w:right w:w="0" w:type="dxa"/>
          </w:tblCellMar>
        </w:tblPrEx>
        <w:trPr>
          <w:trHeight w:val="20" w:hRule="atLeast"/>
        </w:trPr>
        <w:tc>
          <w:tcPr>
            <w:tcW w:w="74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vAlign w:val="bottom"/>
          </w:tcPr>
          <w:p>
            <w:pPr>
              <w:spacing w:line="20" w:lineRule="exact"/>
              <w:rPr>
                <w:rFonts w:asciiTheme="minorEastAsia" w:hAnsiTheme="minorEastAsia" w:eastAsiaTheme="minorEastAsia"/>
                <w:szCs w:val="21"/>
              </w:rPr>
            </w:pPr>
          </w:p>
        </w:tc>
        <w:tc>
          <w:tcPr>
            <w:tcW w:w="1680" w:type="dxa"/>
            <w:gridSpan w:val="2"/>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720" w:type="dxa"/>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300" w:type="dxa"/>
            <w:vAlign w:val="bottom"/>
          </w:tcPr>
          <w:p>
            <w:pPr>
              <w:spacing w:line="20" w:lineRule="exact"/>
              <w:rPr>
                <w:rFonts w:asciiTheme="minorEastAsia" w:hAnsiTheme="minorEastAsia" w:eastAsiaTheme="minorEastAsia"/>
                <w:szCs w:val="21"/>
              </w:rPr>
            </w:pPr>
          </w:p>
        </w:tc>
        <w:tc>
          <w:tcPr>
            <w:tcW w:w="22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120" w:type="dxa"/>
            <w:vAlign w:val="bottom"/>
          </w:tcPr>
          <w:p>
            <w:pPr>
              <w:spacing w:line="20" w:lineRule="exact"/>
              <w:rPr>
                <w:rFonts w:asciiTheme="minorEastAsia" w:hAnsiTheme="minorEastAsia" w:eastAsiaTheme="minorEastAsia"/>
                <w:szCs w:val="21"/>
              </w:rPr>
            </w:pPr>
          </w:p>
        </w:tc>
        <w:tc>
          <w:tcPr>
            <w:tcW w:w="740" w:type="dxa"/>
            <w:gridSpan w:val="3"/>
            <w:vAlign w:val="bottom"/>
          </w:tcPr>
          <w:p>
            <w:pPr>
              <w:spacing w:line="20" w:lineRule="exact"/>
              <w:rPr>
                <w:rFonts w:asciiTheme="minorEastAsia" w:hAnsiTheme="minorEastAsia" w:eastAsiaTheme="minorEastAsia"/>
                <w:szCs w:val="21"/>
              </w:rPr>
            </w:pPr>
          </w:p>
        </w:tc>
        <w:tc>
          <w:tcPr>
            <w:tcW w:w="740" w:type="dxa"/>
            <w:gridSpan w:val="3"/>
            <w:shd w:val="clear" w:color="auto" w:fill="000000"/>
            <w:vAlign w:val="bottom"/>
          </w:tcPr>
          <w:p>
            <w:pPr>
              <w:spacing w:line="20" w:lineRule="exact"/>
              <w:rPr>
                <w:rFonts w:asciiTheme="minorEastAsia" w:hAnsiTheme="minorEastAsia" w:eastAsiaTheme="minorEastAsia"/>
                <w:szCs w:val="21"/>
              </w:rPr>
            </w:pPr>
          </w:p>
        </w:tc>
        <w:tc>
          <w:tcPr>
            <w:tcW w:w="180" w:type="dxa"/>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shd w:val="clear" w:color="auto" w:fill="000000"/>
            <w:vAlign w:val="bottom"/>
          </w:tcPr>
          <w:p>
            <w:pPr>
              <w:spacing w:line="20" w:lineRule="exact"/>
              <w:rPr>
                <w:rFonts w:asciiTheme="minorEastAsia" w:hAnsiTheme="minorEastAsia" w:eastAsiaTheme="minorEastAsia"/>
                <w:szCs w:val="21"/>
              </w:rPr>
            </w:pPr>
          </w:p>
        </w:tc>
        <w:tc>
          <w:tcPr>
            <w:tcW w:w="640" w:type="dxa"/>
            <w:shd w:val="clear" w:color="auto" w:fill="000000"/>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r>
        <w:tblPrEx>
          <w:tblLayout w:type="fixed"/>
          <w:tblCellMar>
            <w:top w:w="0" w:type="dxa"/>
            <w:left w:w="0" w:type="dxa"/>
            <w:bottom w:w="0" w:type="dxa"/>
            <w:right w:w="0" w:type="dxa"/>
          </w:tblCellMar>
        </w:tblPrEx>
        <w:trPr>
          <w:trHeight w:val="419" w:hRule="atLeast"/>
        </w:trPr>
        <w:tc>
          <w:tcPr>
            <w:tcW w:w="740" w:type="dxa"/>
            <w:vAlign w:val="bottom"/>
          </w:tcPr>
          <w:p>
            <w:pPr>
              <w:rPr>
                <w:rFonts w:asciiTheme="minorEastAsia" w:hAnsiTheme="minorEastAsia" w:eastAsiaTheme="minorEastAsia"/>
                <w:szCs w:val="21"/>
              </w:rPr>
            </w:pPr>
          </w:p>
        </w:tc>
        <w:tc>
          <w:tcPr>
            <w:tcW w:w="200" w:type="dxa"/>
            <w:vAlign w:val="bottom"/>
          </w:tcPr>
          <w:p>
            <w:pPr>
              <w:spacing w:line="239" w:lineRule="exact"/>
              <w:jc w:val="right"/>
              <w:rPr>
                <w:rFonts w:asciiTheme="minorEastAsia" w:hAnsiTheme="minorEastAsia" w:eastAsiaTheme="minorEastAsia"/>
                <w:szCs w:val="21"/>
              </w:rPr>
            </w:pPr>
            <w:r>
              <w:rPr>
                <w:rFonts w:cs="宋体" w:asciiTheme="minorEastAsia" w:hAnsiTheme="minorEastAsia" w:eastAsiaTheme="minorEastAsia"/>
                <w:w w:val="85"/>
                <w:szCs w:val="21"/>
              </w:rPr>
              <w:t>日</w:t>
            </w:r>
          </w:p>
        </w:tc>
        <w:tc>
          <w:tcPr>
            <w:tcW w:w="740" w:type="dxa"/>
            <w:vAlign w:val="bottom"/>
          </w:tcPr>
          <w:p>
            <w:pPr>
              <w:rPr>
                <w:rFonts w:asciiTheme="minorEastAsia" w:hAnsiTheme="minorEastAsia" w:eastAsiaTheme="minorEastAsia"/>
                <w:szCs w:val="21"/>
              </w:rPr>
            </w:pPr>
          </w:p>
        </w:tc>
        <w:tc>
          <w:tcPr>
            <w:tcW w:w="2100" w:type="dxa"/>
            <w:gridSpan w:val="3"/>
            <w:vAlign w:val="bottom"/>
          </w:tcPr>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时前将原件递交至</w:t>
            </w:r>
          </w:p>
        </w:tc>
        <w:tc>
          <w:tcPr>
            <w:tcW w:w="72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300" w:type="dxa"/>
            <w:vAlign w:val="bottom"/>
          </w:tcPr>
          <w:p>
            <w:pPr>
              <w:rPr>
                <w:rFonts w:asciiTheme="minorEastAsia" w:hAnsiTheme="minorEastAsia" w:eastAsiaTheme="minorEastAsia"/>
                <w:szCs w:val="21"/>
              </w:rPr>
            </w:pPr>
          </w:p>
        </w:tc>
        <w:tc>
          <w:tcPr>
            <w:tcW w:w="220" w:type="dxa"/>
            <w:vAlign w:val="bottom"/>
          </w:tcPr>
          <w:p>
            <w:pPr>
              <w:rPr>
                <w:rFonts w:asciiTheme="minorEastAsia" w:hAnsiTheme="minorEastAsia" w:eastAsiaTheme="minorEastAsia"/>
                <w:szCs w:val="21"/>
              </w:rPr>
            </w:pPr>
          </w:p>
        </w:tc>
        <w:tc>
          <w:tcPr>
            <w:tcW w:w="200" w:type="dxa"/>
            <w:vAlign w:val="bottom"/>
          </w:tcPr>
          <w:p>
            <w:pPr>
              <w:rPr>
                <w:rFonts w:asciiTheme="minorEastAsia" w:hAnsiTheme="minorEastAsia" w:eastAsiaTheme="minorEastAsia"/>
                <w:szCs w:val="21"/>
              </w:rPr>
            </w:pPr>
          </w:p>
        </w:tc>
        <w:tc>
          <w:tcPr>
            <w:tcW w:w="120" w:type="dxa"/>
            <w:vAlign w:val="bottom"/>
          </w:tcPr>
          <w:p>
            <w:pPr>
              <w:rPr>
                <w:rFonts w:asciiTheme="minorEastAsia" w:hAnsiTheme="minorEastAsia" w:eastAsiaTheme="minorEastAsia"/>
                <w:szCs w:val="21"/>
              </w:rPr>
            </w:pPr>
          </w:p>
        </w:tc>
        <w:tc>
          <w:tcPr>
            <w:tcW w:w="1480" w:type="dxa"/>
            <w:gridSpan w:val="6"/>
            <w:vAlign w:val="bottom"/>
          </w:tcPr>
          <w:p>
            <w:pPr>
              <w:spacing w:line="239" w:lineRule="exact"/>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详细地址</w:t>
            </w:r>
            <w:r>
              <w:rPr>
                <w:rFonts w:cs="MS PGothic" w:asciiTheme="minorEastAsia" w:hAnsiTheme="minorEastAsia" w:eastAsiaTheme="minorEastAsia"/>
                <w:szCs w:val="21"/>
              </w:rPr>
              <w:t>）</w:t>
            </w:r>
            <w:r>
              <w:rPr>
                <w:rFonts w:cs="宋体" w:asciiTheme="minorEastAsia" w:hAnsiTheme="minorEastAsia" w:eastAsiaTheme="minorEastAsia"/>
                <w:szCs w:val="21"/>
              </w:rPr>
              <w:t>。</w:t>
            </w:r>
          </w:p>
        </w:tc>
        <w:tc>
          <w:tcPr>
            <w:tcW w:w="180" w:type="dxa"/>
            <w:vAlign w:val="bottom"/>
          </w:tcPr>
          <w:p>
            <w:pPr>
              <w:rPr>
                <w:rFonts w:asciiTheme="minorEastAsia" w:hAnsiTheme="minorEastAsia" w:eastAsiaTheme="minorEastAsia"/>
                <w:szCs w:val="21"/>
              </w:rPr>
            </w:pPr>
          </w:p>
        </w:tc>
        <w:tc>
          <w:tcPr>
            <w:tcW w:w="20" w:type="dxa"/>
            <w:vAlign w:val="bottom"/>
          </w:tcPr>
          <w:p>
            <w:pPr>
              <w:rPr>
                <w:rFonts w:asciiTheme="minorEastAsia" w:hAnsiTheme="minorEastAsia" w:eastAsiaTheme="minorEastAsia"/>
                <w:szCs w:val="21"/>
              </w:rPr>
            </w:pPr>
          </w:p>
        </w:tc>
        <w:tc>
          <w:tcPr>
            <w:tcW w:w="100" w:type="dxa"/>
            <w:vAlign w:val="bottom"/>
          </w:tcPr>
          <w:p>
            <w:pPr>
              <w:rPr>
                <w:rFonts w:asciiTheme="minorEastAsia" w:hAnsiTheme="minorEastAsia" w:eastAsiaTheme="minorEastAsia"/>
                <w:szCs w:val="21"/>
              </w:rPr>
            </w:pPr>
          </w:p>
        </w:tc>
        <w:tc>
          <w:tcPr>
            <w:tcW w:w="640" w:type="dxa"/>
            <w:vAlign w:val="bottom"/>
          </w:tcPr>
          <w:p>
            <w:pPr>
              <w:rPr>
                <w:rFonts w:asciiTheme="minorEastAsia" w:hAnsiTheme="minorEastAsia" w:eastAsiaTheme="minorEastAsia"/>
                <w:szCs w:val="21"/>
              </w:rPr>
            </w:pPr>
          </w:p>
        </w:tc>
        <w:tc>
          <w:tcPr>
            <w:tcW w:w="660" w:type="dxa"/>
            <w:vAlign w:val="bottom"/>
          </w:tcPr>
          <w:p>
            <w:pPr>
              <w:rPr>
                <w:rFonts w:asciiTheme="minorEastAsia" w:hAnsiTheme="minorEastAsia" w:eastAsiaTheme="minorEastAsia"/>
                <w:szCs w:val="21"/>
              </w:rPr>
            </w:pPr>
          </w:p>
        </w:tc>
      </w:tr>
      <w:tr>
        <w:tblPrEx>
          <w:tblLayout w:type="fixed"/>
        </w:tblPrEx>
        <w:trPr>
          <w:trHeight w:val="20" w:hRule="atLeast"/>
        </w:trPr>
        <w:tc>
          <w:tcPr>
            <w:tcW w:w="740" w:type="dxa"/>
            <w:shd w:val="clear" w:color="auto" w:fill="000000"/>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740" w:type="dxa"/>
            <w:shd w:val="clear" w:color="auto" w:fill="000000"/>
            <w:vAlign w:val="bottom"/>
          </w:tcPr>
          <w:p>
            <w:pPr>
              <w:spacing w:line="20" w:lineRule="exact"/>
              <w:rPr>
                <w:rFonts w:asciiTheme="minorEastAsia" w:hAnsiTheme="minorEastAsia" w:eastAsiaTheme="minorEastAsia"/>
                <w:szCs w:val="21"/>
              </w:rPr>
            </w:pPr>
          </w:p>
        </w:tc>
        <w:tc>
          <w:tcPr>
            <w:tcW w:w="1260" w:type="dxa"/>
            <w:vAlign w:val="bottom"/>
          </w:tcPr>
          <w:p>
            <w:pPr>
              <w:spacing w:line="20" w:lineRule="exact"/>
              <w:rPr>
                <w:rFonts w:asciiTheme="minorEastAsia" w:hAnsiTheme="minorEastAsia" w:eastAsiaTheme="minorEastAsia"/>
                <w:szCs w:val="21"/>
              </w:rPr>
            </w:pPr>
          </w:p>
        </w:tc>
        <w:tc>
          <w:tcPr>
            <w:tcW w:w="420" w:type="dxa"/>
            <w:vAlign w:val="bottom"/>
          </w:tcPr>
          <w:p>
            <w:pPr>
              <w:spacing w:line="20" w:lineRule="exact"/>
              <w:rPr>
                <w:rFonts w:asciiTheme="minorEastAsia" w:hAnsiTheme="minorEastAsia" w:eastAsiaTheme="minorEastAsia"/>
                <w:szCs w:val="21"/>
              </w:rPr>
            </w:pPr>
          </w:p>
        </w:tc>
        <w:tc>
          <w:tcPr>
            <w:tcW w:w="420" w:type="dxa"/>
            <w:shd w:val="clear" w:color="auto" w:fill="000000"/>
            <w:vAlign w:val="bottom"/>
          </w:tcPr>
          <w:p>
            <w:pPr>
              <w:spacing w:line="20" w:lineRule="exact"/>
              <w:rPr>
                <w:rFonts w:asciiTheme="minorEastAsia" w:hAnsiTheme="minorEastAsia" w:eastAsiaTheme="minorEastAsia"/>
                <w:szCs w:val="21"/>
              </w:rPr>
            </w:pPr>
          </w:p>
        </w:tc>
        <w:tc>
          <w:tcPr>
            <w:tcW w:w="72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300" w:type="dxa"/>
            <w:shd w:val="clear" w:color="auto" w:fill="000000"/>
            <w:vAlign w:val="bottom"/>
          </w:tcPr>
          <w:p>
            <w:pPr>
              <w:spacing w:line="20" w:lineRule="exact"/>
              <w:rPr>
                <w:rFonts w:asciiTheme="minorEastAsia" w:hAnsiTheme="minorEastAsia" w:eastAsiaTheme="minorEastAsia"/>
                <w:szCs w:val="21"/>
              </w:rPr>
            </w:pPr>
          </w:p>
        </w:tc>
        <w:tc>
          <w:tcPr>
            <w:tcW w:w="220" w:type="dxa"/>
            <w:shd w:val="clear" w:color="auto" w:fill="000000"/>
            <w:vAlign w:val="bottom"/>
          </w:tcPr>
          <w:p>
            <w:pPr>
              <w:spacing w:line="20" w:lineRule="exact"/>
              <w:rPr>
                <w:rFonts w:asciiTheme="minorEastAsia" w:hAnsiTheme="minorEastAsia" w:eastAsiaTheme="minorEastAsia"/>
                <w:szCs w:val="21"/>
              </w:rPr>
            </w:pPr>
          </w:p>
        </w:tc>
        <w:tc>
          <w:tcPr>
            <w:tcW w:w="200" w:type="dxa"/>
            <w:shd w:val="clear" w:color="auto" w:fill="000000"/>
            <w:vAlign w:val="bottom"/>
          </w:tcPr>
          <w:p>
            <w:pPr>
              <w:spacing w:line="20" w:lineRule="exact"/>
              <w:rPr>
                <w:rFonts w:asciiTheme="minorEastAsia" w:hAnsiTheme="minorEastAsia" w:eastAsiaTheme="minorEastAsia"/>
                <w:szCs w:val="21"/>
              </w:rPr>
            </w:pPr>
          </w:p>
        </w:tc>
        <w:tc>
          <w:tcPr>
            <w:tcW w:w="120" w:type="dxa"/>
            <w:shd w:val="clear" w:color="auto" w:fill="000000"/>
            <w:vAlign w:val="bottom"/>
          </w:tcPr>
          <w:p>
            <w:pPr>
              <w:spacing w:line="20" w:lineRule="exact"/>
              <w:rPr>
                <w:rFonts w:asciiTheme="minorEastAsia" w:hAnsiTheme="minorEastAsia" w:eastAsiaTheme="minorEastAsia"/>
                <w:szCs w:val="21"/>
              </w:rPr>
            </w:pPr>
          </w:p>
        </w:tc>
        <w:tc>
          <w:tcPr>
            <w:tcW w:w="100" w:type="dxa"/>
            <w:gridSpan w:val="2"/>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200" w:type="dxa"/>
            <w:vAlign w:val="bottom"/>
          </w:tcPr>
          <w:p>
            <w:pPr>
              <w:spacing w:line="20" w:lineRule="exact"/>
              <w:rPr>
                <w:rFonts w:asciiTheme="minorEastAsia" w:hAnsiTheme="minorEastAsia" w:eastAsiaTheme="minorEastAsia"/>
                <w:szCs w:val="21"/>
              </w:rPr>
            </w:pPr>
          </w:p>
        </w:tc>
        <w:tc>
          <w:tcPr>
            <w:tcW w:w="440" w:type="dxa"/>
            <w:vAlign w:val="bottom"/>
          </w:tcPr>
          <w:p>
            <w:pPr>
              <w:spacing w:line="20" w:lineRule="exact"/>
              <w:rPr>
                <w:rFonts w:asciiTheme="minorEastAsia" w:hAnsiTheme="minorEastAsia" w:eastAsiaTheme="minorEastAsia"/>
                <w:szCs w:val="21"/>
              </w:rPr>
            </w:pPr>
          </w:p>
        </w:tc>
        <w:tc>
          <w:tcPr>
            <w:tcW w:w="180" w:type="dxa"/>
            <w:vAlign w:val="bottom"/>
          </w:tcPr>
          <w:p>
            <w:pPr>
              <w:spacing w:line="20" w:lineRule="exact"/>
              <w:rPr>
                <w:rFonts w:asciiTheme="minorEastAsia" w:hAnsiTheme="minorEastAsia" w:eastAsiaTheme="minorEastAsia"/>
                <w:szCs w:val="21"/>
              </w:rPr>
            </w:pPr>
          </w:p>
        </w:tc>
        <w:tc>
          <w:tcPr>
            <w:tcW w:w="20" w:type="dxa"/>
            <w:vAlign w:val="bottom"/>
          </w:tcPr>
          <w:p>
            <w:pPr>
              <w:spacing w:line="20" w:lineRule="exact"/>
              <w:rPr>
                <w:rFonts w:asciiTheme="minorEastAsia" w:hAnsiTheme="minorEastAsia" w:eastAsiaTheme="minorEastAsia"/>
                <w:szCs w:val="21"/>
              </w:rPr>
            </w:pPr>
          </w:p>
        </w:tc>
        <w:tc>
          <w:tcPr>
            <w:tcW w:w="100" w:type="dxa"/>
            <w:vAlign w:val="bottom"/>
          </w:tcPr>
          <w:p>
            <w:pPr>
              <w:spacing w:line="20" w:lineRule="exact"/>
              <w:rPr>
                <w:rFonts w:asciiTheme="minorEastAsia" w:hAnsiTheme="minorEastAsia" w:eastAsiaTheme="minorEastAsia"/>
                <w:szCs w:val="21"/>
              </w:rPr>
            </w:pPr>
          </w:p>
        </w:tc>
        <w:tc>
          <w:tcPr>
            <w:tcW w:w="640" w:type="dxa"/>
            <w:vAlign w:val="bottom"/>
          </w:tcPr>
          <w:p>
            <w:pPr>
              <w:spacing w:line="20" w:lineRule="exact"/>
              <w:rPr>
                <w:rFonts w:asciiTheme="minorEastAsia" w:hAnsiTheme="minorEastAsia" w:eastAsiaTheme="minorEastAsia"/>
                <w:szCs w:val="21"/>
              </w:rPr>
            </w:pPr>
          </w:p>
        </w:tc>
        <w:tc>
          <w:tcPr>
            <w:tcW w:w="660" w:type="dxa"/>
            <w:vAlign w:val="bottom"/>
          </w:tcPr>
          <w:p>
            <w:pPr>
              <w:spacing w:line="20" w:lineRule="exact"/>
              <w:rPr>
                <w:rFonts w:asciiTheme="minorEastAsia" w:hAnsiTheme="minorEastAsia" w:eastAsiaTheme="minorEastAsia"/>
                <w:szCs w:val="21"/>
              </w:rPr>
            </w:pPr>
          </w:p>
        </w:tc>
      </w:tr>
    </w:tbl>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75" w:lineRule="exact"/>
        <w:rPr>
          <w:rFonts w:asciiTheme="minorEastAsia" w:hAnsiTheme="minorEastAsia" w:eastAsiaTheme="minorEastAsia"/>
          <w:szCs w:val="21"/>
        </w:rPr>
      </w:pPr>
    </w:p>
    <w:p>
      <w:pPr>
        <w:tabs>
          <w:tab w:val="left" w:pos="6920"/>
        </w:tabs>
        <w:spacing w:line="240" w:lineRule="exact"/>
        <w:ind w:left="2100"/>
        <w:rPr>
          <w:rFonts w:asciiTheme="minorEastAsia" w:hAnsiTheme="minorEastAsia" w:eastAsiaTheme="minorEastAsia"/>
          <w:szCs w:val="21"/>
        </w:rPr>
      </w:pPr>
      <w:r>
        <w:rPr>
          <w:rFonts w:cs="宋体" w:asciiTheme="minorEastAsia" w:hAnsiTheme="minorEastAsia" w:eastAsiaTheme="minorEastAsia"/>
          <w:szCs w:val="21"/>
        </w:rPr>
        <w:t>评标委员会授权的招标人或招标代理机构</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签字或盖章</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w:pict>
          <v:line id="Shape 35" o:spid="_x0000_s5124" o:spt="20" style="position:absolute;left:0pt;margin-left:304.75pt;margin-top:0.5pt;height:0pt;width:41.85pt;z-index:251648000;mso-width-relative:page;mso-height-relative:page;" coordsize="21600,21600" o:allowincell="f">
            <v:path arrowok="t"/>
            <v:fill focussize="0,0"/>
            <v:stroke weight="0.71992125984252pt"/>
            <v:imagedata o:title=""/>
            <o:lock v:ext="edit"/>
          </v:line>
        </w:pict>
      </w:r>
    </w:p>
    <w:p>
      <w:pPr>
        <w:spacing w:line="200" w:lineRule="exact"/>
        <w:rPr>
          <w:rFonts w:asciiTheme="minorEastAsia" w:hAnsiTheme="minorEastAsia" w:eastAsiaTheme="minorEastAsia"/>
          <w:szCs w:val="21"/>
        </w:rPr>
      </w:pPr>
    </w:p>
    <w:p>
      <w:pPr>
        <w:spacing w:line="241" w:lineRule="exact"/>
        <w:rPr>
          <w:rFonts w:asciiTheme="minorEastAsia" w:hAnsiTheme="minorEastAsia" w:eastAsiaTheme="minorEastAsia"/>
          <w:szCs w:val="21"/>
        </w:rPr>
      </w:pPr>
    </w:p>
    <w:p>
      <w:pPr>
        <w:tabs>
          <w:tab w:val="left" w:pos="6620"/>
          <w:tab w:val="left" w:pos="7580"/>
        </w:tabs>
        <w:ind w:left="5700"/>
        <w:rPr>
          <w:sz w:val="20"/>
          <w:szCs w:val="20"/>
        </w:rPr>
      </w:pPr>
      <w:r>
        <w:rPr>
          <w:rFonts w:cs="宋体" w:asciiTheme="minorEastAsia" w:hAnsiTheme="minorEastAsia" w:eastAsiaTheme="minorEastAsia"/>
          <w:szCs w:val="21"/>
        </w:rPr>
        <w:t>年</w:t>
      </w:r>
      <w:r>
        <w:rPr>
          <w:rFonts w:asciiTheme="minorEastAsia" w:hAnsiTheme="minorEastAsia" w:eastAsiaTheme="minorEastAsia"/>
          <w:szCs w:val="21"/>
        </w:rPr>
        <w:tab/>
      </w:r>
      <w:r>
        <w:rPr>
          <w:rFonts w:cs="宋体" w:asciiTheme="minorEastAsia" w:hAnsiTheme="minorEastAsia" w:eastAsiaTheme="minorEastAsia"/>
          <w:szCs w:val="21"/>
        </w:rPr>
        <w:t>月</w:t>
      </w:r>
      <w:r>
        <w:rPr>
          <w:rFonts w:asciiTheme="minorEastAsia" w:hAnsiTheme="minorEastAsia" w:eastAsiaTheme="minorEastAsia"/>
          <w:szCs w:val="21"/>
        </w:rPr>
        <w:tab/>
      </w:r>
      <w:r>
        <w:rPr>
          <w:rFonts w:cs="宋体" w:asciiTheme="minorEastAsia" w:hAnsiTheme="minorEastAsia" w:eastAsiaTheme="minorEastAsia"/>
          <w:szCs w:val="21"/>
        </w:rPr>
        <w:t>日</w:t>
      </w:r>
    </w:p>
    <w:p>
      <w:pPr>
        <w:spacing w:line="400" w:lineRule="exact"/>
      </w:pPr>
    </w:p>
    <w:p>
      <w:pPr>
        <w:spacing w:line="400" w:lineRule="exact"/>
        <w:rPr>
          <w:szCs w:val="21"/>
        </w:rPr>
      </w:pPr>
      <w:r>
        <w:rPr>
          <w:szCs w:val="21"/>
        </w:rPr>
        <w:br w:type="page"/>
      </w:r>
    </w:p>
    <w:p>
      <w:pPr>
        <w:pStyle w:val="4"/>
      </w:pPr>
      <w:bookmarkStart w:id="449" w:name="_Toc290634344"/>
      <w:bookmarkStart w:id="450" w:name="_Toc6766"/>
      <w:bookmarkStart w:id="451" w:name="_Toc152045583"/>
      <w:bookmarkStart w:id="452" w:name="_Toc505626520"/>
      <w:bookmarkStart w:id="453" w:name="_Toc498502997"/>
      <w:bookmarkStart w:id="454" w:name="_Toc152042360"/>
      <w:bookmarkStart w:id="455" w:name="_Toc26255"/>
      <w:bookmarkStart w:id="456" w:name="_Toc144974550"/>
      <w:r>
        <w:rPr>
          <w:rFonts w:hint="eastAsia"/>
        </w:rPr>
        <w:t>附件</w:t>
      </w:r>
      <w:r>
        <w:rPr>
          <w:rFonts w:hint="eastAsia"/>
          <w:lang w:val="en-US" w:eastAsia="zh-CN"/>
        </w:rPr>
        <w:t>二</w:t>
      </w:r>
      <w:r>
        <w:rPr>
          <w:rFonts w:hint="eastAsia"/>
        </w:rPr>
        <w:t>：问题的澄清</w:t>
      </w:r>
      <w:bookmarkEnd w:id="449"/>
      <w:bookmarkEnd w:id="450"/>
      <w:bookmarkEnd w:id="451"/>
      <w:bookmarkEnd w:id="452"/>
      <w:bookmarkEnd w:id="453"/>
      <w:bookmarkEnd w:id="454"/>
      <w:bookmarkEnd w:id="455"/>
      <w:bookmarkEnd w:id="456"/>
    </w:p>
    <w:p>
      <w:pPr>
        <w:ind w:left="3620"/>
        <w:rPr>
          <w:rFonts w:asciiTheme="minorEastAsia" w:hAnsiTheme="minorEastAsia" w:eastAsiaTheme="minorEastAsia"/>
          <w:b/>
          <w:szCs w:val="21"/>
        </w:rPr>
      </w:pPr>
      <w:r>
        <w:rPr>
          <w:rFonts w:cs="宋体" w:asciiTheme="minorEastAsia" w:hAnsiTheme="minorEastAsia" w:eastAsiaTheme="minorEastAsia"/>
          <w:b/>
          <w:szCs w:val="21"/>
        </w:rPr>
        <w:t>问题的澄清</w:t>
      </w:r>
    </w:p>
    <w:p>
      <w:pPr>
        <w:spacing w:line="149" w:lineRule="exact"/>
        <w:rPr>
          <w:rFonts w:asciiTheme="minorEastAsia" w:hAnsiTheme="minorEastAsia" w:eastAsiaTheme="minorEastAsia"/>
          <w:szCs w:val="21"/>
        </w:rPr>
      </w:pPr>
    </w:p>
    <w:p>
      <w:pPr>
        <w:tabs>
          <w:tab w:val="left" w:pos="5820"/>
        </w:tabs>
        <w:spacing w:line="239" w:lineRule="exact"/>
        <w:ind w:left="3460"/>
        <w:rPr>
          <w:rFonts w:asciiTheme="minorEastAsia" w:hAnsiTheme="minorEastAsia" w:eastAsiaTheme="minorEastAsia"/>
          <w:szCs w:val="21"/>
        </w:rPr>
      </w:pP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w:pict>
          <v:line id="Shape 39" o:spid="_x0000_s5125" o:spt="20" style="position:absolute;left:0pt;margin-left:215.45pt;margin-top:0.55pt;height:0pt;width:76.9pt;z-index:251649024;mso-width-relative:page;mso-height-relative:page;" coordsize="21600,21600" o:allowincell="f">
            <v:path arrowok="t"/>
            <v:fill focussize="0,0"/>
            <v:stroke weight="0.72pt"/>
            <v:imagedata o:title=""/>
            <o:lock v:ext="edit"/>
          </v:line>
        </w:pict>
      </w:r>
    </w:p>
    <w:p>
      <w:pPr>
        <w:spacing w:line="397" w:lineRule="exact"/>
        <w:rPr>
          <w:rFonts w:asciiTheme="minorEastAsia" w:hAnsiTheme="minorEastAsia" w:eastAsiaTheme="minorEastAsia"/>
          <w:szCs w:val="21"/>
        </w:rPr>
      </w:pPr>
    </w:p>
    <w:p>
      <w:pPr>
        <w:spacing w:line="239" w:lineRule="exact"/>
        <w:rPr>
          <w:rFonts w:asciiTheme="minorEastAsia" w:hAnsiTheme="minorEastAsia" w:eastAsiaTheme="minorEastAsia"/>
          <w:szCs w:val="21"/>
        </w:rPr>
      </w:pPr>
      <w:r>
        <w:rPr>
          <w:rFonts w:cs="宋体" w:asciiTheme="minorEastAsia" w:hAnsiTheme="minorEastAsia" w:eastAsiaTheme="minorEastAsia"/>
          <w:szCs w:val="21"/>
        </w:rPr>
        <w:t>评标委员会</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40" w:lineRule="exact"/>
        <w:rPr>
          <w:rFonts w:asciiTheme="minorEastAsia" w:hAnsiTheme="minorEastAsia" w:eastAsiaTheme="minorEastAsia"/>
          <w:szCs w:val="21"/>
        </w:rPr>
      </w:pPr>
    </w:p>
    <w:p>
      <w:pPr>
        <w:tabs>
          <w:tab w:val="left" w:pos="3340"/>
        </w:tabs>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问题澄清通知</w:t>
      </w:r>
      <w:r>
        <w:rPr>
          <w:rFonts w:cs="MS PGothic" w:asciiTheme="minorEastAsia" w:hAnsiTheme="minorEastAsia" w:eastAsiaTheme="minorEastAsia"/>
          <w:szCs w:val="21"/>
        </w:rPr>
        <w:t>（</w:t>
      </w:r>
      <w:r>
        <w:rPr>
          <w:rFonts w:cs="宋体" w:asciiTheme="minorEastAsia" w:hAnsiTheme="minorEastAsia" w:eastAsiaTheme="minorEastAsia"/>
          <w:szCs w:val="21"/>
        </w:rPr>
        <w:t>编号</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已收悉</w:t>
      </w:r>
      <w:r>
        <w:rPr>
          <w:rFonts w:cs="MS PGothic" w:asciiTheme="minorEastAsia" w:hAnsiTheme="minorEastAsia" w:eastAsiaTheme="minorEastAsia"/>
          <w:szCs w:val="21"/>
        </w:rPr>
        <w:t>，</w:t>
      </w:r>
      <w:r>
        <w:rPr>
          <w:rFonts w:cs="宋体" w:asciiTheme="minorEastAsia" w:hAnsiTheme="minorEastAsia" w:eastAsiaTheme="minorEastAsia"/>
          <w:szCs w:val="21"/>
        </w:rPr>
        <w:t>现澄清、说明或补正如下</w:t>
      </w:r>
      <w:r>
        <w:rPr>
          <w:rFonts w:cs="MS PGothic" w:asciiTheme="minorEastAsia" w:hAnsiTheme="minorEastAsia" w:eastAsiaTheme="minorEastAsia"/>
          <w:szCs w:val="21"/>
        </w:rPr>
        <w:t>：</w:t>
      </w:r>
    </w:p>
    <w:p>
      <w:pPr>
        <w:spacing w:line="217" w:lineRule="exact"/>
        <w:rPr>
          <w:rFonts w:asciiTheme="minorEastAsia" w:hAnsiTheme="minorEastAsia" w:eastAsiaTheme="minorEastAsia"/>
          <w:szCs w:val="21"/>
        </w:rPr>
      </w:pPr>
      <w:r>
        <w:rPr>
          <w:rFonts w:asciiTheme="minorEastAsia" w:hAnsiTheme="minorEastAsia" w:eastAsiaTheme="minorEastAsia"/>
          <w:szCs w:val="21"/>
        </w:rPr>
        <w:pict>
          <v:line id="Shape 40" o:spid="_x0000_s5126" o:spt="20" style="position:absolute;left:0pt;margin-left:126.15pt;margin-top:0.55pt;height:0pt;width:41.85pt;z-index:251650048;mso-width-relative:page;mso-height-relative:page;" coordsize="21600,21600" o:allowincell="f">
            <v:path arrowok="t"/>
            <v:fill focussize="0,0"/>
            <v:stroke weight="0.72pt"/>
            <v:imagedata o:title=""/>
            <o:lock v:ext="edit"/>
          </v:line>
        </w:pict>
      </w:r>
    </w:p>
    <w:p>
      <w:pPr>
        <w:ind w:left="740"/>
        <w:rPr>
          <w:rFonts w:asciiTheme="minorEastAsia" w:hAnsiTheme="minorEastAsia" w:eastAsiaTheme="minorEastAsia"/>
          <w:szCs w:val="21"/>
        </w:rPr>
      </w:pPr>
      <w:r>
        <w:rPr>
          <w:rFonts w:asciiTheme="minorEastAsia" w:hAnsiTheme="minorEastAsia" w:eastAsiaTheme="minorEastAsia"/>
          <w:szCs w:val="21"/>
        </w:rPr>
        <w:t>1.</w:t>
      </w:r>
    </w:p>
    <w:p>
      <w:pPr>
        <w:spacing w:line="198" w:lineRule="exact"/>
        <w:rPr>
          <w:rFonts w:asciiTheme="minorEastAsia" w:hAnsiTheme="minorEastAsia" w:eastAsiaTheme="minorEastAsia"/>
          <w:szCs w:val="21"/>
        </w:rPr>
      </w:pPr>
    </w:p>
    <w:p>
      <w:pPr>
        <w:spacing w:line="239" w:lineRule="auto"/>
        <w:ind w:left="740"/>
        <w:rPr>
          <w:rFonts w:asciiTheme="minorEastAsia" w:hAnsiTheme="minorEastAsia" w:eastAsiaTheme="minorEastAsia"/>
          <w:szCs w:val="21"/>
        </w:rPr>
      </w:pPr>
      <w:r>
        <w:rPr>
          <w:rFonts w:asciiTheme="minorEastAsia" w:hAnsiTheme="minorEastAsia" w:eastAsiaTheme="minorEastAsia"/>
          <w:szCs w:val="21"/>
        </w:rPr>
        <w:t>2.</w:t>
      </w:r>
    </w:p>
    <w:p>
      <w:pPr>
        <w:spacing w:line="199" w:lineRule="exact"/>
        <w:rPr>
          <w:rFonts w:asciiTheme="minorEastAsia" w:hAnsiTheme="minorEastAsia" w:eastAsiaTheme="minorEastAsia"/>
          <w:szCs w:val="21"/>
        </w:rPr>
      </w:pPr>
    </w:p>
    <w:p>
      <w:pPr>
        <w:spacing w:line="239" w:lineRule="auto"/>
        <w:ind w:left="640"/>
        <w:rPr>
          <w:rFonts w:asciiTheme="minorEastAsia" w:hAnsiTheme="minorEastAsia" w:eastAsiaTheme="minorEastAsia"/>
          <w:szCs w:val="21"/>
        </w:rPr>
      </w:pPr>
      <w:r>
        <w:rPr>
          <w:rFonts w:asciiTheme="minorEastAsia" w:hAnsiTheme="minorEastAsia" w:eastAsiaTheme="minorEastAsia"/>
          <w:szCs w:val="21"/>
        </w:rPr>
        <w:t>.....</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307" w:lineRule="exact"/>
        <w:rPr>
          <w:rFonts w:asciiTheme="minorEastAsia" w:hAnsiTheme="minorEastAsia" w:eastAsiaTheme="minorEastAsia"/>
          <w:szCs w:val="21"/>
        </w:rPr>
      </w:pPr>
    </w:p>
    <w:p>
      <w:pPr>
        <w:spacing w:line="239" w:lineRule="exact"/>
        <w:ind w:left="420"/>
        <w:rPr>
          <w:rFonts w:asciiTheme="minorEastAsia" w:hAnsiTheme="minorEastAsia" w:eastAsiaTheme="minorEastAsia"/>
          <w:szCs w:val="21"/>
        </w:rPr>
      </w:pPr>
      <w:r>
        <w:rPr>
          <w:rFonts w:cs="宋体" w:asciiTheme="minorEastAsia" w:hAnsiTheme="minorEastAsia" w:eastAsiaTheme="minorEastAsia"/>
          <w:szCs w:val="21"/>
        </w:rPr>
        <w:t>上述问题澄清、说明或补正</w:t>
      </w:r>
      <w:r>
        <w:rPr>
          <w:rFonts w:cs="MS PGothic" w:asciiTheme="minorEastAsia" w:hAnsiTheme="minorEastAsia" w:eastAsiaTheme="minorEastAsia"/>
          <w:szCs w:val="21"/>
        </w:rPr>
        <w:t>，</w:t>
      </w:r>
      <w:r>
        <w:rPr>
          <w:rFonts w:cs="宋体" w:asciiTheme="minorEastAsia" w:hAnsiTheme="minorEastAsia" w:eastAsiaTheme="minorEastAsia"/>
          <w:szCs w:val="21"/>
        </w:rPr>
        <w:t>不改变我方投标文件的实质性内容</w:t>
      </w:r>
      <w:r>
        <w:rPr>
          <w:rFonts w:cs="MS PGothic" w:asciiTheme="minorEastAsia" w:hAnsiTheme="minorEastAsia" w:eastAsiaTheme="minorEastAsia"/>
          <w:szCs w:val="21"/>
        </w:rPr>
        <w:t>，</w:t>
      </w:r>
      <w:r>
        <w:rPr>
          <w:rFonts w:cs="宋体" w:asciiTheme="minorEastAsia" w:hAnsiTheme="minorEastAsia" w:eastAsiaTheme="minorEastAsia"/>
          <w:szCs w:val="21"/>
        </w:rPr>
        <w:t>构成我方投标文件的组</w:t>
      </w:r>
    </w:p>
    <w:p>
      <w:pPr>
        <w:spacing w:line="201" w:lineRule="exact"/>
        <w:rPr>
          <w:rFonts w:asciiTheme="minorEastAsia" w:hAnsiTheme="minorEastAsia" w:eastAsiaTheme="minorEastAsia"/>
          <w:szCs w:val="21"/>
        </w:rPr>
      </w:pPr>
    </w:p>
    <w:p>
      <w:pPr>
        <w:spacing w:line="239" w:lineRule="auto"/>
        <w:rPr>
          <w:rFonts w:asciiTheme="minorEastAsia" w:hAnsiTheme="minorEastAsia" w:eastAsiaTheme="minorEastAsia"/>
          <w:szCs w:val="21"/>
        </w:rPr>
      </w:pPr>
      <w:r>
        <w:rPr>
          <w:rFonts w:cs="宋体" w:asciiTheme="minorEastAsia" w:hAnsiTheme="minorEastAsia" w:eastAsiaTheme="minorEastAsia"/>
          <w:szCs w:val="21"/>
        </w:rPr>
        <w:t>成部分。</w: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340" w:lineRule="exact"/>
        <w:rPr>
          <w:rFonts w:asciiTheme="minorEastAsia" w:hAnsiTheme="minorEastAsia" w:eastAsiaTheme="minorEastAsia"/>
          <w:szCs w:val="21"/>
        </w:rPr>
      </w:pPr>
    </w:p>
    <w:p>
      <w:pPr>
        <w:tabs>
          <w:tab w:val="left" w:pos="7260"/>
        </w:tabs>
        <w:spacing w:line="239" w:lineRule="exact"/>
        <w:ind w:left="2940"/>
        <w:rPr>
          <w:rFonts w:asciiTheme="minorEastAsia" w:hAnsiTheme="minorEastAsia" w:eastAsiaTheme="minorEastAsia"/>
          <w:szCs w:val="21"/>
        </w:rPr>
      </w:pPr>
      <w:r>
        <w:rPr>
          <w:rFonts w:cs="宋体" w:asciiTheme="minorEastAsia" w:hAnsiTheme="minorEastAsia" w:eastAsiaTheme="minorEastAsia"/>
          <w:szCs w:val="21"/>
        </w:rPr>
        <w:t>投标人</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盖单位章</w:t>
      </w:r>
      <w:r>
        <w:rPr>
          <w:rFonts w:cs="MS PGothic" w:asciiTheme="minorEastAsia" w:hAnsiTheme="minorEastAsia" w:eastAsiaTheme="minorEastAsia"/>
          <w:szCs w:val="21"/>
        </w:rPr>
        <w:t>）</w:t>
      </w:r>
    </w:p>
    <w:p>
      <w:pPr>
        <w:spacing w:line="306" w:lineRule="exact"/>
        <w:rPr>
          <w:rFonts w:asciiTheme="minorEastAsia" w:hAnsiTheme="minorEastAsia" w:eastAsiaTheme="minorEastAsia"/>
          <w:szCs w:val="21"/>
        </w:rPr>
      </w:pPr>
      <w:r>
        <w:rPr>
          <w:rFonts w:asciiTheme="minorEastAsia" w:hAnsiTheme="minorEastAsia" w:eastAsiaTheme="minorEastAsia"/>
          <w:szCs w:val="21"/>
        </w:rPr>
        <w:pict>
          <v:line id="Shape 41" o:spid="_x0000_s5127" o:spt="20" style="position:absolute;left:0pt;margin-left:189.25pt;margin-top:0.55pt;height:0pt;width:174.85pt;z-index:251651072;mso-width-relative:page;mso-height-relative:page;" coordsize="21600,21600" o:allowincell="f">
            <v:path arrowok="t"/>
            <v:fill focussize="0,0"/>
            <v:stroke weight="0.72pt"/>
            <v:imagedata o:title=""/>
            <o:lock v:ext="edit"/>
          </v:line>
        </w:pict>
      </w:r>
    </w:p>
    <w:p>
      <w:pPr>
        <w:tabs>
          <w:tab w:val="left" w:pos="6500"/>
        </w:tabs>
        <w:spacing w:line="239" w:lineRule="exact"/>
        <w:ind w:left="2940"/>
        <w:rPr>
          <w:rFonts w:asciiTheme="minorEastAsia" w:hAnsiTheme="minorEastAsia" w:eastAsiaTheme="minorEastAsia"/>
          <w:szCs w:val="21"/>
        </w:rPr>
      </w:pPr>
      <w:r>
        <w:rPr>
          <w:rFonts w:cs="宋体" w:asciiTheme="minorEastAsia" w:hAnsiTheme="minorEastAsia" w:eastAsiaTheme="minorEastAsia"/>
          <w:szCs w:val="21"/>
        </w:rPr>
        <w:t>法定代表人或其委托代理人</w:t>
      </w:r>
      <w:r>
        <w:rPr>
          <w:rFonts w:cs="MS PGothic" w:asciiTheme="minorEastAsia" w:hAnsiTheme="minorEastAsia" w:eastAsiaTheme="minorEastAsia"/>
          <w:szCs w:val="21"/>
        </w:rPr>
        <w:t>：</w:t>
      </w:r>
      <w:r>
        <w:rPr>
          <w:rFonts w:asciiTheme="minorEastAsia" w:hAnsiTheme="minorEastAsia" w:eastAsiaTheme="minorEastAsia"/>
          <w:szCs w:val="21"/>
        </w:rPr>
        <w:tab/>
      </w:r>
      <w:r>
        <w:rPr>
          <w:rFonts w:cs="MS PGothic" w:asciiTheme="minorEastAsia" w:hAnsiTheme="minorEastAsia" w:eastAsiaTheme="minorEastAsia"/>
          <w:szCs w:val="21"/>
        </w:rPr>
        <w:t>（</w:t>
      </w:r>
      <w:r>
        <w:rPr>
          <w:rFonts w:cs="宋体" w:asciiTheme="minorEastAsia" w:hAnsiTheme="minorEastAsia" w:eastAsiaTheme="minorEastAsia"/>
          <w:szCs w:val="21"/>
        </w:rPr>
        <w:t>签字</w:t>
      </w:r>
      <w:r>
        <w:rPr>
          <w:rFonts w:cs="MS PGothic" w:asciiTheme="minorEastAsia" w:hAnsiTheme="minorEastAsia" w:eastAsiaTheme="minorEastAsia"/>
          <w:szCs w:val="21"/>
        </w:rPr>
        <w:t>）</w:t>
      </w:r>
    </w:p>
    <w:p>
      <w:pPr>
        <w:spacing w:line="200" w:lineRule="exact"/>
        <w:rPr>
          <w:rFonts w:asciiTheme="minorEastAsia" w:hAnsiTheme="minorEastAsia" w:eastAsiaTheme="minorEastAsia"/>
          <w:szCs w:val="21"/>
        </w:rPr>
      </w:pPr>
      <w:r>
        <w:rPr>
          <w:rFonts w:asciiTheme="minorEastAsia" w:hAnsiTheme="minorEastAsia" w:eastAsiaTheme="minorEastAsia"/>
          <w:szCs w:val="21"/>
        </w:rPr>
        <w:pict>
          <v:line id="Shape 42" o:spid="_x0000_s5128" o:spt="20" style="position:absolute;left:0pt;margin-left:283.6pt;margin-top:0.05pt;height:0pt;width:42pt;z-index:251652096;mso-width-relative:page;mso-height-relative:page;" coordsize="21600,21600" o:allowincell="f">
            <v:path arrowok="t"/>
            <v:fill focussize="0,0"/>
            <v:stroke weight="0.47992125984252pt"/>
            <v:imagedata o:title=""/>
            <o:lock v:ext="edit"/>
          </v:line>
        </w:pict>
      </w:r>
    </w:p>
    <w:p>
      <w:pPr>
        <w:spacing w:line="200" w:lineRule="exact"/>
        <w:rPr>
          <w:rFonts w:asciiTheme="minorEastAsia" w:hAnsiTheme="minorEastAsia" w:eastAsiaTheme="minorEastAsia"/>
          <w:szCs w:val="21"/>
        </w:rPr>
      </w:pPr>
    </w:p>
    <w:p>
      <w:pPr>
        <w:spacing w:line="200" w:lineRule="exact"/>
        <w:rPr>
          <w:rFonts w:asciiTheme="minorEastAsia" w:hAnsiTheme="minorEastAsia" w:eastAsiaTheme="minorEastAsia"/>
          <w:szCs w:val="21"/>
        </w:rPr>
      </w:pPr>
    </w:p>
    <w:p>
      <w:pPr>
        <w:spacing w:line="288" w:lineRule="exact"/>
        <w:rPr>
          <w:rFonts w:asciiTheme="minorEastAsia" w:hAnsiTheme="minorEastAsia" w:eastAsiaTheme="minorEastAsia"/>
          <w:szCs w:val="21"/>
        </w:rPr>
      </w:pPr>
    </w:p>
    <w:p>
      <w:pPr>
        <w:tabs>
          <w:tab w:val="left" w:pos="7360"/>
          <w:tab w:val="left" w:pos="8420"/>
        </w:tabs>
        <w:ind w:left="6340"/>
        <w:rPr>
          <w:rFonts w:asciiTheme="minorEastAsia" w:hAnsiTheme="minorEastAsia" w:eastAsiaTheme="minorEastAsia"/>
          <w:szCs w:val="21"/>
        </w:rPr>
      </w:pPr>
      <w:r>
        <w:rPr>
          <w:rFonts w:cs="宋体" w:asciiTheme="minorEastAsia" w:hAnsiTheme="minorEastAsia" w:eastAsiaTheme="minorEastAsia"/>
          <w:szCs w:val="21"/>
        </w:rPr>
        <w:t>年</w:t>
      </w:r>
      <w:r>
        <w:rPr>
          <w:rFonts w:asciiTheme="minorEastAsia" w:hAnsiTheme="minorEastAsia" w:eastAsiaTheme="minorEastAsia"/>
          <w:szCs w:val="21"/>
        </w:rPr>
        <w:tab/>
      </w:r>
      <w:r>
        <w:rPr>
          <w:rFonts w:cs="宋体" w:asciiTheme="minorEastAsia" w:hAnsiTheme="minorEastAsia" w:eastAsiaTheme="minorEastAsia"/>
          <w:szCs w:val="21"/>
        </w:rPr>
        <w:t>月</w:t>
      </w:r>
      <w:r>
        <w:rPr>
          <w:rFonts w:asciiTheme="minorEastAsia" w:hAnsiTheme="minorEastAsia" w:eastAsiaTheme="minorEastAsia"/>
          <w:szCs w:val="21"/>
        </w:rPr>
        <w:tab/>
      </w:r>
      <w:r>
        <w:rPr>
          <w:rFonts w:cs="宋体" w:asciiTheme="minorEastAsia" w:hAnsiTheme="minorEastAsia" w:eastAsiaTheme="minorEastAsia"/>
          <w:szCs w:val="21"/>
        </w:rPr>
        <w:t>日</w:t>
      </w: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pStyle w:val="11"/>
        <w:spacing w:line="360" w:lineRule="auto"/>
        <w:jc w:val="right"/>
        <w:rPr>
          <w:rFonts w:ascii="宋体" w:hAnsi="宋体"/>
          <w:szCs w:val="21"/>
        </w:rPr>
      </w:pPr>
    </w:p>
    <w:p>
      <w:pPr>
        <w:spacing w:line="319" w:lineRule="exact"/>
        <w:ind w:left="140"/>
        <w:rPr>
          <w:rFonts w:hint="eastAsia" w:asciiTheme="minorEastAsia" w:hAnsiTheme="minorEastAsia" w:eastAsiaTheme="minorEastAsia" w:cstheme="majorBidi"/>
          <w:b/>
          <w:bCs/>
          <w:kern w:val="2"/>
          <w:sz w:val="24"/>
          <w:szCs w:val="24"/>
          <w:lang w:val="en-US" w:eastAsia="zh-CN" w:bidi="ar-SA"/>
        </w:rPr>
      </w:pPr>
      <w:r>
        <w:rPr>
          <w:rFonts w:hint="eastAsia" w:asciiTheme="minorEastAsia" w:hAnsiTheme="minorEastAsia" w:eastAsiaTheme="minorEastAsia" w:cstheme="majorBidi"/>
          <w:b/>
          <w:bCs/>
          <w:kern w:val="2"/>
          <w:sz w:val="24"/>
          <w:szCs w:val="24"/>
          <w:lang w:val="en-US" w:eastAsia="zh-CN" w:bidi="ar-SA"/>
        </w:rPr>
        <w:t>附件三：确认通知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1" w:lineRule="exact"/>
        <w:rPr>
          <w:sz w:val="20"/>
          <w:szCs w:val="20"/>
        </w:rPr>
      </w:pPr>
    </w:p>
    <w:p>
      <w:pPr>
        <w:ind w:left="348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确认通知</w:t>
      </w:r>
    </w:p>
    <w:p>
      <w:pPr>
        <w:spacing w:line="200" w:lineRule="exact"/>
        <w:rPr>
          <w:sz w:val="20"/>
          <w:szCs w:val="20"/>
        </w:rPr>
      </w:pPr>
    </w:p>
    <w:p>
      <w:pPr>
        <w:spacing w:line="379" w:lineRule="exact"/>
        <w:rPr>
          <w:sz w:val="20"/>
          <w:szCs w:val="20"/>
        </w:rPr>
      </w:pPr>
    </w:p>
    <w:tbl>
      <w:tblPr>
        <w:tblStyle w:val="29"/>
        <w:tblW w:w="8640" w:type="dxa"/>
        <w:tblInd w:w="0" w:type="dxa"/>
        <w:tblLayout w:type="fixed"/>
        <w:tblCellMar>
          <w:top w:w="0" w:type="dxa"/>
          <w:left w:w="0" w:type="dxa"/>
          <w:bottom w:w="0" w:type="dxa"/>
          <w:right w:w="0" w:type="dxa"/>
        </w:tblCellMar>
      </w:tblPr>
      <w:tblGrid>
        <w:gridCol w:w="1060"/>
        <w:gridCol w:w="740"/>
        <w:gridCol w:w="200"/>
        <w:gridCol w:w="200"/>
        <w:gridCol w:w="540"/>
        <w:gridCol w:w="220"/>
        <w:gridCol w:w="40"/>
        <w:gridCol w:w="700"/>
        <w:gridCol w:w="40"/>
        <w:gridCol w:w="200"/>
        <w:gridCol w:w="600"/>
        <w:gridCol w:w="140"/>
        <w:gridCol w:w="220"/>
        <w:gridCol w:w="580"/>
        <w:gridCol w:w="140"/>
        <w:gridCol w:w="3020"/>
      </w:tblGrid>
      <w:tr>
        <w:tblPrEx>
          <w:tblLayout w:type="fixed"/>
          <w:tblCellMar>
            <w:top w:w="0" w:type="dxa"/>
            <w:left w:w="0" w:type="dxa"/>
            <w:bottom w:w="0" w:type="dxa"/>
            <w:right w:w="0" w:type="dxa"/>
          </w:tblCellMar>
        </w:tblPrEx>
        <w:trPr>
          <w:trHeight w:val="240" w:hRule="atLeast"/>
        </w:trPr>
        <w:tc>
          <w:tcPr>
            <w:tcW w:w="1060" w:type="dxa"/>
            <w:vAlign w:val="bottom"/>
          </w:tcPr>
          <w:p>
            <w:pPr>
              <w:rPr>
                <w:sz w:val="20"/>
                <w:szCs w:val="20"/>
              </w:rPr>
            </w:pPr>
          </w:p>
        </w:tc>
        <w:tc>
          <w:tcPr>
            <w:tcW w:w="740" w:type="dxa"/>
            <w:vAlign w:val="bottom"/>
          </w:tcPr>
          <w:p>
            <w:pPr>
              <w:rPr>
                <w:sz w:val="20"/>
                <w:szCs w:val="20"/>
              </w:rPr>
            </w:pPr>
          </w:p>
        </w:tc>
        <w:tc>
          <w:tcPr>
            <w:tcW w:w="200" w:type="dxa"/>
            <w:vAlign w:val="bottom"/>
          </w:tcPr>
          <w:p>
            <w:pPr>
              <w:rPr>
                <w:sz w:val="20"/>
                <w:szCs w:val="20"/>
              </w:rPr>
            </w:pPr>
          </w:p>
        </w:tc>
        <w:tc>
          <w:tcPr>
            <w:tcW w:w="2540" w:type="dxa"/>
            <w:gridSpan w:val="8"/>
            <w:vAlign w:val="bottom"/>
          </w:tcPr>
          <w:p>
            <w:pPr>
              <w:spacing w:line="239" w:lineRule="exact"/>
              <w:ind w:left="200"/>
              <w:rPr>
                <w:sz w:val="20"/>
                <w:szCs w:val="20"/>
              </w:rPr>
            </w:pPr>
            <w:r>
              <w:rPr>
                <w:rFonts w:ascii="MS PGothic" w:hAnsi="MS PGothic" w:eastAsia="MS PGothic" w:cs="MS PGothic"/>
                <w:szCs w:val="21"/>
              </w:rPr>
              <w:t>（</w:t>
            </w:r>
            <w:r>
              <w:rPr>
                <w:rFonts w:ascii="宋体" w:hAnsi="宋体" w:cs="宋体"/>
                <w:szCs w:val="21"/>
              </w:rPr>
              <w:t>招标人名称</w:t>
            </w:r>
            <w:r>
              <w:rPr>
                <w:rFonts w:ascii="MS PGothic" w:hAnsi="MS PGothic" w:eastAsia="MS PGothic" w:cs="MS PGothic"/>
                <w:szCs w:val="21"/>
              </w:rPr>
              <w:t>）：</w:t>
            </w:r>
          </w:p>
        </w:tc>
        <w:tc>
          <w:tcPr>
            <w:tcW w:w="140" w:type="dxa"/>
            <w:vAlign w:val="bottom"/>
          </w:tcPr>
          <w:p>
            <w:pPr>
              <w:rPr>
                <w:sz w:val="20"/>
                <w:szCs w:val="20"/>
              </w:rPr>
            </w:pPr>
          </w:p>
        </w:tc>
        <w:tc>
          <w:tcPr>
            <w:tcW w:w="220" w:type="dxa"/>
            <w:vAlign w:val="bottom"/>
          </w:tcPr>
          <w:p>
            <w:pPr>
              <w:rPr>
                <w:sz w:val="20"/>
                <w:szCs w:val="20"/>
              </w:rPr>
            </w:pPr>
          </w:p>
        </w:tc>
        <w:tc>
          <w:tcPr>
            <w:tcW w:w="580" w:type="dxa"/>
            <w:vAlign w:val="bottom"/>
          </w:tcPr>
          <w:p>
            <w:pPr>
              <w:rPr>
                <w:sz w:val="20"/>
                <w:szCs w:val="20"/>
              </w:rPr>
            </w:pPr>
          </w:p>
        </w:tc>
        <w:tc>
          <w:tcPr>
            <w:tcW w:w="140" w:type="dxa"/>
            <w:vAlign w:val="bottom"/>
          </w:tcPr>
          <w:p>
            <w:pPr>
              <w:rPr>
                <w:sz w:val="20"/>
                <w:szCs w:val="20"/>
              </w:rPr>
            </w:pPr>
          </w:p>
        </w:tc>
        <w:tc>
          <w:tcPr>
            <w:tcW w:w="3020" w:type="dxa"/>
            <w:vAlign w:val="bottom"/>
          </w:tcPr>
          <w:p>
            <w:pPr>
              <w:rPr>
                <w:sz w:val="20"/>
                <w:szCs w:val="20"/>
              </w:rPr>
            </w:pPr>
          </w:p>
        </w:tc>
      </w:tr>
      <w:tr>
        <w:tblPrEx>
          <w:tblLayout w:type="fixed"/>
          <w:tblCellMar>
            <w:top w:w="0" w:type="dxa"/>
            <w:left w:w="0" w:type="dxa"/>
            <w:bottom w:w="0" w:type="dxa"/>
            <w:right w:w="0" w:type="dxa"/>
          </w:tblCellMar>
        </w:tblPrEx>
        <w:trPr>
          <w:trHeight w:val="861" w:hRule="atLeast"/>
        </w:trPr>
        <w:tc>
          <w:tcPr>
            <w:tcW w:w="1060" w:type="dxa"/>
            <w:tcBorders>
              <w:top w:val="single" w:color="auto" w:sz="8" w:space="0"/>
            </w:tcBorders>
            <w:vAlign w:val="bottom"/>
          </w:tcPr>
          <w:p>
            <w:pPr>
              <w:spacing w:line="239" w:lineRule="exact"/>
              <w:ind w:left="420"/>
              <w:rPr>
                <w:rFonts w:ascii="宋体" w:hAnsi="宋体" w:cs="宋体"/>
                <w:szCs w:val="21"/>
              </w:rPr>
            </w:pPr>
            <w:r>
              <w:rPr>
                <w:rFonts w:ascii="宋体" w:hAnsi="宋体" w:cs="宋体"/>
                <w:szCs w:val="21"/>
              </w:rPr>
              <w:t>你方于</w:t>
            </w:r>
          </w:p>
        </w:tc>
        <w:tc>
          <w:tcPr>
            <w:tcW w:w="740" w:type="dxa"/>
            <w:tcBorders>
              <w:top w:val="single" w:color="auto" w:sz="8" w:space="0"/>
              <w:bottom w:val="single" w:color="auto" w:sz="8" w:space="0"/>
            </w:tcBorders>
            <w:vAlign w:val="bottom"/>
          </w:tcPr>
          <w:p>
            <w:pPr>
              <w:rPr>
                <w:sz w:val="24"/>
              </w:rPr>
            </w:pPr>
          </w:p>
        </w:tc>
        <w:tc>
          <w:tcPr>
            <w:tcW w:w="200" w:type="dxa"/>
            <w:tcBorders>
              <w:top w:val="single" w:color="auto" w:sz="8" w:space="0"/>
            </w:tcBorders>
            <w:vAlign w:val="bottom"/>
          </w:tcPr>
          <w:p>
            <w:pPr>
              <w:spacing w:line="239" w:lineRule="exact"/>
              <w:rPr>
                <w:sz w:val="20"/>
                <w:szCs w:val="20"/>
              </w:rPr>
            </w:pPr>
            <w:r>
              <w:rPr>
                <w:rFonts w:ascii="宋体" w:hAnsi="宋体" w:cs="宋体"/>
                <w:szCs w:val="21"/>
              </w:rPr>
              <w:t>年</w:t>
            </w:r>
          </w:p>
        </w:tc>
        <w:tc>
          <w:tcPr>
            <w:tcW w:w="200" w:type="dxa"/>
            <w:tcBorders>
              <w:top w:val="single" w:color="auto" w:sz="8" w:space="0"/>
              <w:bottom w:val="single" w:color="auto" w:sz="8" w:space="0"/>
            </w:tcBorders>
            <w:vAlign w:val="bottom"/>
          </w:tcPr>
          <w:p>
            <w:pPr>
              <w:rPr>
                <w:sz w:val="24"/>
              </w:rPr>
            </w:pPr>
          </w:p>
        </w:tc>
        <w:tc>
          <w:tcPr>
            <w:tcW w:w="540" w:type="dxa"/>
            <w:tcBorders>
              <w:bottom w:val="single" w:color="auto" w:sz="8" w:space="0"/>
            </w:tcBorders>
            <w:vAlign w:val="bottom"/>
          </w:tcPr>
          <w:p>
            <w:pPr>
              <w:rPr>
                <w:sz w:val="24"/>
              </w:rPr>
            </w:pPr>
          </w:p>
        </w:tc>
        <w:tc>
          <w:tcPr>
            <w:tcW w:w="220" w:type="dxa"/>
            <w:vAlign w:val="bottom"/>
          </w:tcPr>
          <w:p>
            <w:pPr>
              <w:spacing w:line="239" w:lineRule="exact"/>
              <w:rPr>
                <w:sz w:val="20"/>
                <w:szCs w:val="20"/>
              </w:rPr>
            </w:pPr>
            <w:r>
              <w:rPr>
                <w:rFonts w:ascii="宋体" w:hAnsi="宋体" w:cs="宋体"/>
                <w:szCs w:val="21"/>
              </w:rPr>
              <w:t>月</w:t>
            </w:r>
          </w:p>
        </w:tc>
        <w:tc>
          <w:tcPr>
            <w:tcW w:w="740" w:type="dxa"/>
            <w:gridSpan w:val="2"/>
            <w:tcBorders>
              <w:bottom w:val="single" w:color="auto" w:sz="8" w:space="0"/>
            </w:tcBorders>
            <w:vAlign w:val="bottom"/>
          </w:tcPr>
          <w:p>
            <w:pPr>
              <w:rPr>
                <w:sz w:val="24"/>
              </w:rPr>
            </w:pPr>
          </w:p>
        </w:tc>
        <w:tc>
          <w:tcPr>
            <w:tcW w:w="840" w:type="dxa"/>
            <w:gridSpan w:val="3"/>
            <w:vAlign w:val="bottom"/>
          </w:tcPr>
          <w:p>
            <w:pPr>
              <w:spacing w:line="239" w:lineRule="exact"/>
              <w:rPr>
                <w:sz w:val="20"/>
                <w:szCs w:val="20"/>
              </w:rPr>
            </w:pPr>
            <w:r>
              <w:rPr>
                <w:rFonts w:ascii="宋体" w:hAnsi="宋体" w:cs="宋体"/>
                <w:szCs w:val="21"/>
              </w:rPr>
              <w:t>日发出的</w:t>
            </w:r>
          </w:p>
        </w:tc>
        <w:tc>
          <w:tcPr>
            <w:tcW w:w="140" w:type="dxa"/>
            <w:tcBorders>
              <w:bottom w:val="single" w:color="auto" w:sz="8" w:space="0"/>
            </w:tcBorders>
            <w:vAlign w:val="bottom"/>
          </w:tcPr>
          <w:p>
            <w:pPr>
              <w:rPr>
                <w:sz w:val="24"/>
              </w:rPr>
            </w:pPr>
          </w:p>
        </w:tc>
        <w:tc>
          <w:tcPr>
            <w:tcW w:w="220" w:type="dxa"/>
            <w:tcBorders>
              <w:bottom w:val="single" w:color="auto" w:sz="8" w:space="0"/>
            </w:tcBorders>
            <w:vAlign w:val="bottom"/>
          </w:tcPr>
          <w:p>
            <w:pPr>
              <w:rPr>
                <w:sz w:val="24"/>
              </w:rPr>
            </w:pPr>
          </w:p>
        </w:tc>
        <w:tc>
          <w:tcPr>
            <w:tcW w:w="580" w:type="dxa"/>
            <w:tcBorders>
              <w:bottom w:val="single" w:color="auto" w:sz="8" w:space="0"/>
            </w:tcBorders>
            <w:vAlign w:val="bottom"/>
          </w:tcPr>
          <w:p>
            <w:pPr>
              <w:rPr>
                <w:sz w:val="24"/>
              </w:rPr>
            </w:pPr>
          </w:p>
        </w:tc>
        <w:tc>
          <w:tcPr>
            <w:tcW w:w="3160" w:type="dxa"/>
            <w:gridSpan w:val="2"/>
            <w:vAlign w:val="bottom"/>
          </w:tcPr>
          <w:p>
            <w:pPr>
              <w:spacing w:line="239" w:lineRule="exact"/>
              <w:rPr>
                <w:sz w:val="20"/>
                <w:szCs w:val="20"/>
              </w:rPr>
            </w:pPr>
            <w:r>
              <w:rPr>
                <w:rFonts w:ascii="MS PGothic" w:hAnsi="MS PGothic" w:eastAsia="MS PGothic" w:cs="MS PGothic"/>
                <w:szCs w:val="21"/>
              </w:rPr>
              <w:t>（</w:t>
            </w:r>
            <w:r>
              <w:rPr>
                <w:rFonts w:ascii="宋体" w:hAnsi="宋体" w:cs="宋体"/>
                <w:szCs w:val="21"/>
              </w:rPr>
              <w:t>项目名称</w:t>
            </w:r>
            <w:r>
              <w:rPr>
                <w:rFonts w:ascii="MS PGothic" w:hAnsi="MS PGothic" w:eastAsia="MS PGothic" w:cs="MS PGothic"/>
                <w:szCs w:val="21"/>
              </w:rPr>
              <w:t>）</w:t>
            </w:r>
            <w:r>
              <w:rPr>
                <w:rFonts w:ascii="宋体" w:hAnsi="宋体" w:cs="宋体"/>
                <w:szCs w:val="21"/>
              </w:rPr>
              <w:t>监理招标关于</w:t>
            </w:r>
            <w:r>
              <w:rPr>
                <w:rFonts w:ascii="宋体" w:hAnsi="宋体" w:cs="宋体"/>
                <w:szCs w:val="21"/>
                <w:u w:val="single"/>
              </w:rPr>
              <w:t>招标文</w:t>
            </w:r>
          </w:p>
        </w:tc>
      </w:tr>
      <w:tr>
        <w:tblPrEx>
          <w:tblLayout w:type="fixed"/>
          <w:tblCellMar>
            <w:top w:w="0" w:type="dxa"/>
            <w:left w:w="0" w:type="dxa"/>
            <w:bottom w:w="0" w:type="dxa"/>
            <w:right w:w="0" w:type="dxa"/>
          </w:tblCellMar>
        </w:tblPrEx>
        <w:trPr>
          <w:trHeight w:val="419" w:hRule="atLeast"/>
        </w:trPr>
        <w:tc>
          <w:tcPr>
            <w:tcW w:w="3700" w:type="dxa"/>
            <w:gridSpan w:val="8"/>
            <w:vAlign w:val="bottom"/>
          </w:tcPr>
          <w:p>
            <w:pPr>
              <w:spacing w:line="254" w:lineRule="exact"/>
              <w:rPr>
                <w:sz w:val="20"/>
                <w:szCs w:val="20"/>
              </w:rPr>
            </w:pPr>
            <w:r>
              <w:rPr>
                <w:rFonts w:ascii="宋体" w:hAnsi="宋体" w:cs="宋体"/>
                <w:szCs w:val="21"/>
                <w:u w:val="single"/>
              </w:rPr>
              <w:t>件的澄清</w:t>
            </w:r>
            <w:r>
              <w:rPr>
                <w:rFonts w:eastAsia="Times New Roman"/>
                <w:szCs w:val="21"/>
                <w:u w:val="single"/>
              </w:rPr>
              <w:t>/</w:t>
            </w:r>
            <w:r>
              <w:rPr>
                <w:rFonts w:ascii="宋体" w:hAnsi="宋体" w:cs="宋体"/>
                <w:szCs w:val="21"/>
                <w:u w:val="single"/>
              </w:rPr>
              <w:t>修改</w:t>
            </w:r>
            <w:r>
              <w:rPr>
                <w:rFonts w:ascii="宋体" w:hAnsi="宋体" w:cs="宋体"/>
                <w:szCs w:val="21"/>
              </w:rPr>
              <w:t>的通知</w:t>
            </w:r>
            <w:r>
              <w:rPr>
                <w:rFonts w:ascii="MS PGothic" w:hAnsi="MS PGothic" w:eastAsia="MS PGothic" w:cs="MS PGothic"/>
                <w:szCs w:val="21"/>
              </w:rPr>
              <w:t>，</w:t>
            </w:r>
            <w:r>
              <w:rPr>
                <w:rFonts w:ascii="宋体" w:hAnsi="宋体" w:cs="宋体"/>
                <w:szCs w:val="21"/>
              </w:rPr>
              <w:t>我方已于</w:t>
            </w:r>
          </w:p>
        </w:tc>
        <w:tc>
          <w:tcPr>
            <w:tcW w:w="40" w:type="dxa"/>
            <w:vAlign w:val="bottom"/>
          </w:tcPr>
          <w:p>
            <w:pPr>
              <w:rPr>
                <w:sz w:val="24"/>
              </w:rPr>
            </w:pPr>
          </w:p>
        </w:tc>
        <w:tc>
          <w:tcPr>
            <w:tcW w:w="800" w:type="dxa"/>
            <w:gridSpan w:val="2"/>
            <w:vAlign w:val="bottom"/>
          </w:tcPr>
          <w:p>
            <w:pPr>
              <w:spacing w:line="239" w:lineRule="exact"/>
              <w:rPr>
                <w:sz w:val="20"/>
                <w:szCs w:val="20"/>
              </w:rPr>
            </w:pPr>
            <w:r>
              <w:rPr>
                <w:rFonts w:ascii="宋体" w:hAnsi="宋体" w:cs="宋体"/>
                <w:szCs w:val="21"/>
              </w:rPr>
              <w:t>年</w:t>
            </w:r>
          </w:p>
        </w:tc>
        <w:tc>
          <w:tcPr>
            <w:tcW w:w="140" w:type="dxa"/>
            <w:vAlign w:val="bottom"/>
          </w:tcPr>
          <w:p>
            <w:pPr>
              <w:rPr>
                <w:sz w:val="24"/>
              </w:rPr>
            </w:pPr>
          </w:p>
        </w:tc>
        <w:tc>
          <w:tcPr>
            <w:tcW w:w="220" w:type="dxa"/>
            <w:vAlign w:val="bottom"/>
          </w:tcPr>
          <w:p>
            <w:pPr>
              <w:spacing w:line="239" w:lineRule="exact"/>
              <w:rPr>
                <w:sz w:val="20"/>
                <w:szCs w:val="20"/>
              </w:rPr>
            </w:pPr>
            <w:r>
              <w:rPr>
                <w:rFonts w:ascii="宋体" w:hAnsi="宋体" w:cs="宋体"/>
                <w:szCs w:val="21"/>
              </w:rPr>
              <w:t>月</w:t>
            </w:r>
          </w:p>
        </w:tc>
        <w:tc>
          <w:tcPr>
            <w:tcW w:w="580" w:type="dxa"/>
            <w:vAlign w:val="bottom"/>
          </w:tcPr>
          <w:p>
            <w:pPr>
              <w:rPr>
                <w:sz w:val="24"/>
              </w:rPr>
            </w:pPr>
          </w:p>
        </w:tc>
        <w:tc>
          <w:tcPr>
            <w:tcW w:w="3160" w:type="dxa"/>
            <w:gridSpan w:val="2"/>
            <w:vAlign w:val="bottom"/>
          </w:tcPr>
          <w:p>
            <w:pPr>
              <w:spacing w:line="239" w:lineRule="exact"/>
              <w:ind w:left="140"/>
              <w:rPr>
                <w:sz w:val="20"/>
                <w:szCs w:val="20"/>
              </w:rPr>
            </w:pPr>
            <w:r>
              <w:rPr>
                <w:rFonts w:ascii="宋体" w:hAnsi="宋体" w:cs="宋体"/>
                <w:szCs w:val="21"/>
              </w:rPr>
              <w:t>日收到。</w:t>
            </w:r>
          </w:p>
        </w:tc>
      </w:tr>
      <w:tr>
        <w:tblPrEx>
          <w:tblLayout w:type="fixed"/>
          <w:tblCellMar>
            <w:top w:w="0" w:type="dxa"/>
            <w:left w:w="0" w:type="dxa"/>
            <w:bottom w:w="0" w:type="dxa"/>
            <w:right w:w="0" w:type="dxa"/>
          </w:tblCellMar>
        </w:tblPrEx>
        <w:trPr>
          <w:trHeight w:val="423" w:hRule="atLeast"/>
        </w:trPr>
        <w:tc>
          <w:tcPr>
            <w:tcW w:w="1800" w:type="dxa"/>
            <w:gridSpan w:val="2"/>
            <w:vAlign w:val="bottom"/>
          </w:tcPr>
          <w:p>
            <w:pPr>
              <w:ind w:left="420"/>
              <w:rPr>
                <w:sz w:val="20"/>
                <w:szCs w:val="20"/>
              </w:rPr>
            </w:pPr>
            <w:r>
              <w:rPr>
                <w:rFonts w:ascii="宋体" w:hAnsi="宋体" w:cs="宋体"/>
                <w:szCs w:val="21"/>
              </w:rPr>
              <w:t>特此确认。</w:t>
            </w:r>
          </w:p>
        </w:tc>
        <w:tc>
          <w:tcPr>
            <w:tcW w:w="200" w:type="dxa"/>
            <w:vAlign w:val="bottom"/>
          </w:tcPr>
          <w:p>
            <w:pPr>
              <w:rPr>
                <w:sz w:val="24"/>
              </w:rPr>
            </w:pPr>
          </w:p>
        </w:tc>
        <w:tc>
          <w:tcPr>
            <w:tcW w:w="200" w:type="dxa"/>
            <w:vAlign w:val="bottom"/>
          </w:tcPr>
          <w:p>
            <w:pPr>
              <w:rPr>
                <w:sz w:val="24"/>
              </w:rPr>
            </w:pPr>
          </w:p>
        </w:tc>
        <w:tc>
          <w:tcPr>
            <w:tcW w:w="540" w:type="dxa"/>
            <w:vAlign w:val="bottom"/>
          </w:tcPr>
          <w:p>
            <w:pPr>
              <w:rPr>
                <w:sz w:val="24"/>
              </w:rPr>
            </w:pPr>
          </w:p>
        </w:tc>
        <w:tc>
          <w:tcPr>
            <w:tcW w:w="220" w:type="dxa"/>
            <w:vAlign w:val="bottom"/>
          </w:tcPr>
          <w:p>
            <w:pPr>
              <w:rPr>
                <w:sz w:val="24"/>
              </w:rPr>
            </w:pPr>
          </w:p>
        </w:tc>
        <w:tc>
          <w:tcPr>
            <w:tcW w:w="40" w:type="dxa"/>
            <w:vAlign w:val="bottom"/>
          </w:tcPr>
          <w:p>
            <w:pPr>
              <w:rPr>
                <w:sz w:val="24"/>
              </w:rPr>
            </w:pPr>
          </w:p>
        </w:tc>
        <w:tc>
          <w:tcPr>
            <w:tcW w:w="700" w:type="dxa"/>
            <w:tcBorders>
              <w:top w:val="single" w:color="auto" w:sz="8" w:space="0"/>
            </w:tcBorders>
            <w:vAlign w:val="bottom"/>
          </w:tcPr>
          <w:p>
            <w:pPr>
              <w:rPr>
                <w:sz w:val="24"/>
              </w:rPr>
            </w:pPr>
          </w:p>
        </w:tc>
        <w:tc>
          <w:tcPr>
            <w:tcW w:w="40" w:type="dxa"/>
            <w:tcBorders>
              <w:top w:val="single" w:color="auto" w:sz="8" w:space="0"/>
            </w:tcBorders>
            <w:vAlign w:val="bottom"/>
          </w:tcPr>
          <w:p>
            <w:pPr>
              <w:rPr>
                <w:sz w:val="24"/>
              </w:rPr>
            </w:pPr>
          </w:p>
        </w:tc>
        <w:tc>
          <w:tcPr>
            <w:tcW w:w="200" w:type="dxa"/>
            <w:vAlign w:val="bottom"/>
          </w:tcPr>
          <w:p>
            <w:pPr>
              <w:rPr>
                <w:sz w:val="24"/>
              </w:rPr>
            </w:pPr>
          </w:p>
        </w:tc>
        <w:tc>
          <w:tcPr>
            <w:tcW w:w="600" w:type="dxa"/>
            <w:tcBorders>
              <w:top w:val="single" w:color="auto" w:sz="8" w:space="0"/>
            </w:tcBorders>
            <w:vAlign w:val="bottom"/>
          </w:tcPr>
          <w:p>
            <w:pPr>
              <w:rPr>
                <w:sz w:val="24"/>
              </w:rPr>
            </w:pPr>
          </w:p>
        </w:tc>
        <w:tc>
          <w:tcPr>
            <w:tcW w:w="140" w:type="dxa"/>
            <w:tcBorders>
              <w:top w:val="single" w:color="auto" w:sz="8" w:space="0"/>
            </w:tcBorders>
            <w:vAlign w:val="bottom"/>
          </w:tcPr>
          <w:p>
            <w:pPr>
              <w:rPr>
                <w:sz w:val="24"/>
              </w:rPr>
            </w:pPr>
          </w:p>
        </w:tc>
        <w:tc>
          <w:tcPr>
            <w:tcW w:w="220" w:type="dxa"/>
            <w:vAlign w:val="bottom"/>
          </w:tcPr>
          <w:p>
            <w:pPr>
              <w:rPr>
                <w:sz w:val="24"/>
              </w:rPr>
            </w:pPr>
          </w:p>
        </w:tc>
        <w:tc>
          <w:tcPr>
            <w:tcW w:w="580" w:type="dxa"/>
            <w:tcBorders>
              <w:top w:val="single" w:color="auto" w:sz="8" w:space="0"/>
            </w:tcBorders>
            <w:vAlign w:val="bottom"/>
          </w:tcPr>
          <w:p>
            <w:pPr>
              <w:rPr>
                <w:sz w:val="24"/>
              </w:rPr>
            </w:pPr>
          </w:p>
        </w:tc>
        <w:tc>
          <w:tcPr>
            <w:tcW w:w="140" w:type="dxa"/>
            <w:tcBorders>
              <w:top w:val="single" w:color="auto" w:sz="8" w:space="0"/>
            </w:tcBorders>
            <w:vAlign w:val="bottom"/>
          </w:tcPr>
          <w:p>
            <w:pPr>
              <w:rPr>
                <w:sz w:val="24"/>
              </w:rPr>
            </w:pPr>
          </w:p>
        </w:tc>
        <w:tc>
          <w:tcPr>
            <w:tcW w:w="3020" w:type="dxa"/>
            <w:vAlign w:val="bottom"/>
          </w:tcPr>
          <w:p>
            <w:pPr>
              <w:rPr>
                <w:sz w:val="24"/>
              </w:rPr>
            </w:pPr>
          </w:p>
        </w:tc>
      </w:tr>
    </w:tbl>
    <w:p>
      <w:pPr>
        <w:spacing w:line="200" w:lineRule="exact"/>
        <w:rPr>
          <w:sz w:val="20"/>
          <w:szCs w:val="20"/>
        </w:rPr>
      </w:pPr>
    </w:p>
    <w:p>
      <w:pPr>
        <w:spacing w:line="200" w:lineRule="exact"/>
        <w:rPr>
          <w:sz w:val="20"/>
          <w:szCs w:val="20"/>
        </w:rPr>
      </w:pPr>
    </w:p>
    <w:p>
      <w:pPr>
        <w:spacing w:line="200" w:lineRule="exact"/>
        <w:rPr>
          <w:sz w:val="20"/>
          <w:szCs w:val="20"/>
        </w:rPr>
      </w:pPr>
    </w:p>
    <w:p>
      <w:pPr>
        <w:spacing w:line="339" w:lineRule="exact"/>
        <w:rPr>
          <w:sz w:val="20"/>
          <w:szCs w:val="20"/>
        </w:rPr>
      </w:pPr>
    </w:p>
    <w:p>
      <w:pPr>
        <w:tabs>
          <w:tab w:val="left" w:pos="7020"/>
        </w:tabs>
        <w:spacing w:line="239" w:lineRule="exact"/>
        <w:ind w:left="2420"/>
        <w:rPr>
          <w:sz w:val="20"/>
          <w:szCs w:val="20"/>
        </w:rPr>
      </w:pPr>
      <w:r>
        <w:rPr>
          <w:rFonts w:ascii="宋体" w:hAnsi="宋体" w:cs="宋体"/>
          <w:szCs w:val="21"/>
        </w:rPr>
        <w:t>投标人</w:t>
      </w:r>
      <w:r>
        <w:rPr>
          <w:rFonts w:ascii="MS PGothic" w:hAnsi="MS PGothic" w:eastAsia="MS PGothic" w:cs="MS PGothic"/>
          <w:szCs w:val="21"/>
        </w:rPr>
        <w:t>：</w:t>
      </w:r>
      <w:r>
        <w:rPr>
          <w:sz w:val="20"/>
          <w:szCs w:val="20"/>
        </w:rPr>
        <w:tab/>
      </w:r>
      <w:r>
        <w:rPr>
          <w:rFonts w:ascii="MS PGothic" w:hAnsi="MS PGothic" w:eastAsia="MS PGothic" w:cs="MS PGothic"/>
          <w:szCs w:val="21"/>
        </w:rPr>
        <w:t>（</w:t>
      </w:r>
      <w:r>
        <w:rPr>
          <w:rFonts w:ascii="宋体" w:hAnsi="宋体" w:cs="宋体"/>
          <w:szCs w:val="21"/>
        </w:rPr>
        <w:t>盖单位章</w:t>
      </w:r>
      <w:r>
        <w:rPr>
          <w:rFonts w:ascii="MS PGothic" w:hAnsi="MS PGothic" w:eastAsia="MS PGothic" w:cs="MS PGothic"/>
          <w:szCs w:val="21"/>
        </w:rPr>
        <w:t>）</w:t>
      </w:r>
    </w:p>
    <w:p>
      <w:pPr>
        <w:spacing w:line="306" w:lineRule="exact"/>
        <w:rPr>
          <w:sz w:val="20"/>
          <w:szCs w:val="20"/>
        </w:rPr>
      </w:pPr>
      <w:r>
        <w:rPr>
          <w:sz w:val="20"/>
          <w:szCs w:val="20"/>
        </w:rPr>
        <w:pict>
          <v:line id="Shape 50" o:spid="_x0000_s5130" o:spt="20" style="position:absolute;left:0pt;margin-left:162.85pt;margin-top:0.55pt;height:0pt;width:188.8pt;z-index:251654144;mso-width-relative:page;mso-height-relative:page;" coordsize="21600,21600" o:allowincell="f">
            <v:path arrowok="t"/>
            <v:fill focussize="0,0"/>
            <v:stroke weight="0.72pt"/>
            <v:imagedata o:title=""/>
            <o:lock v:ext="edit"/>
          </v:line>
        </w:pict>
      </w:r>
    </w:p>
    <w:p>
      <w:pPr>
        <w:tabs>
          <w:tab w:val="left" w:pos="5760"/>
        </w:tabs>
        <w:spacing w:line="239" w:lineRule="exact"/>
        <w:ind w:left="2420"/>
        <w:rPr>
          <w:sz w:val="20"/>
          <w:szCs w:val="20"/>
        </w:rPr>
      </w:pPr>
      <w:r>
        <w:rPr>
          <w:rFonts w:ascii="宋体" w:hAnsi="宋体" w:cs="宋体"/>
          <w:szCs w:val="21"/>
        </w:rPr>
        <w:t>法定代表人或委托代理人</w:t>
      </w:r>
      <w:r>
        <w:rPr>
          <w:rFonts w:ascii="MS PGothic" w:hAnsi="MS PGothic" w:eastAsia="MS PGothic" w:cs="MS PGothic"/>
          <w:szCs w:val="21"/>
        </w:rPr>
        <w:t>：</w:t>
      </w:r>
      <w:r>
        <w:rPr>
          <w:sz w:val="20"/>
          <w:szCs w:val="20"/>
        </w:rPr>
        <w:tab/>
      </w:r>
      <w:r>
        <w:rPr>
          <w:rFonts w:ascii="MS PGothic" w:hAnsi="MS PGothic" w:eastAsia="MS PGothic" w:cs="MS PGothic"/>
          <w:szCs w:val="21"/>
        </w:rPr>
        <w:t>（</w:t>
      </w:r>
      <w:r>
        <w:rPr>
          <w:rFonts w:ascii="宋体" w:hAnsi="宋体" w:cs="宋体"/>
          <w:szCs w:val="21"/>
        </w:rPr>
        <w:t>签字</w:t>
      </w:r>
      <w:r>
        <w:rPr>
          <w:rFonts w:ascii="MS PGothic" w:hAnsi="MS PGothic" w:eastAsia="MS PGothic" w:cs="MS PGothic"/>
          <w:szCs w:val="21"/>
        </w:rPr>
        <w:t>）</w:t>
      </w:r>
    </w:p>
    <w:p>
      <w:pPr>
        <w:spacing w:line="200" w:lineRule="exact"/>
        <w:rPr>
          <w:sz w:val="20"/>
          <w:szCs w:val="20"/>
        </w:rPr>
      </w:pPr>
      <w:r>
        <w:rPr>
          <w:sz w:val="20"/>
          <w:szCs w:val="20"/>
        </w:rPr>
        <w:pict>
          <v:line id="Shape 51" o:spid="_x0000_s5131" o:spt="20" style="position:absolute;left:0pt;margin-left:246.85pt;margin-top:0.55pt;height:0pt;width:41.9pt;z-index:251655168;mso-width-relative:page;mso-height-relative:page;" coordsize="21600,21600" o:allowincell="f">
            <v:path arrowok="t"/>
            <v:fill focussize="0,0"/>
            <v:stroke weight="0.72pt"/>
            <v:imagedata o:title=""/>
            <o:lock v:ext="edit"/>
          </v:line>
        </w:pict>
      </w:r>
    </w:p>
    <w:p>
      <w:pPr>
        <w:spacing w:line="200" w:lineRule="exact"/>
        <w:rPr>
          <w:sz w:val="20"/>
          <w:szCs w:val="20"/>
        </w:rPr>
      </w:pPr>
    </w:p>
    <w:p>
      <w:pPr>
        <w:spacing w:line="200" w:lineRule="exact"/>
        <w:rPr>
          <w:sz w:val="20"/>
          <w:szCs w:val="20"/>
        </w:rPr>
      </w:pPr>
    </w:p>
    <w:p>
      <w:pPr>
        <w:spacing w:line="290" w:lineRule="exact"/>
        <w:rPr>
          <w:sz w:val="20"/>
          <w:szCs w:val="20"/>
        </w:rPr>
      </w:pPr>
    </w:p>
    <w:p>
      <w:pPr>
        <w:pStyle w:val="11"/>
        <w:spacing w:line="360" w:lineRule="auto"/>
        <w:jc w:val="right"/>
        <w:rPr>
          <w:rFonts w:ascii="宋体" w:hAnsi="宋体" w:cs="宋体"/>
          <w:sz w:val="20"/>
          <w:szCs w:val="20"/>
        </w:rPr>
      </w:pPr>
      <w:r>
        <w:rPr>
          <w:rFonts w:ascii="宋体" w:hAnsi="宋体" w:cs="宋体"/>
          <w:szCs w:val="21"/>
        </w:rPr>
        <w:t>年</w:t>
      </w:r>
      <w:r>
        <w:rPr>
          <w:sz w:val="20"/>
          <w:szCs w:val="20"/>
        </w:rPr>
        <w:tab/>
      </w:r>
      <w:r>
        <w:rPr>
          <w:rFonts w:ascii="宋体" w:hAnsi="宋体" w:cs="宋体"/>
          <w:szCs w:val="21"/>
        </w:rPr>
        <w:t>月</w:t>
      </w:r>
      <w:r>
        <w:rPr>
          <w:sz w:val="20"/>
          <w:szCs w:val="20"/>
        </w:rPr>
        <w:tab/>
      </w:r>
      <w:r>
        <w:rPr>
          <w:rFonts w:ascii="宋体" w:hAnsi="宋体" w:cs="宋体"/>
          <w:sz w:val="20"/>
          <w:szCs w:val="20"/>
        </w:rPr>
        <w:t>日</w:t>
      </w:r>
    </w:p>
    <w:p>
      <w:pPr>
        <w:widowControl/>
        <w:jc w:val="left"/>
        <w:rPr>
          <w:rFonts w:ascii="宋体" w:hAnsi="宋体" w:cs="宋体"/>
          <w:sz w:val="20"/>
          <w:szCs w:val="20"/>
        </w:rPr>
      </w:pPr>
      <w:r>
        <w:rPr>
          <w:rFonts w:ascii="宋体" w:hAnsi="宋体" w:cs="宋体"/>
          <w:sz w:val="20"/>
          <w:szCs w:val="20"/>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171</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建安区石梁河、老潩水水系连通工程及监理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捌仟元整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8</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方正小标宋简体" w:hAnsi="宋体" w:eastAsia="方正小标宋简体" w:cs="宋体"/>
          <w:sz w:val="36"/>
          <w:szCs w:val="36"/>
        </w:rPr>
      </w:pPr>
    </w:p>
    <w:p>
      <w:pPr>
        <w:pStyle w:val="4"/>
      </w:pPr>
      <w: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sz w:val="36"/>
          <w:szCs w:val="36"/>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pStyle w:val="11"/>
        <w:spacing w:line="360" w:lineRule="auto"/>
        <w:jc w:val="right"/>
      </w:pPr>
      <w:r>
        <w:rPr>
          <w:rFonts w:hint="eastAsia" w:ascii="宋体" w:hAnsi="宋体"/>
          <w:szCs w:val="21"/>
        </w:rPr>
        <w:br w:type="page"/>
      </w:r>
    </w:p>
    <w:p>
      <w:pPr>
        <w:pStyle w:val="3"/>
        <w:numPr>
          <w:ilvl w:val="0"/>
          <w:numId w:val="2"/>
        </w:numPr>
      </w:pPr>
      <w:bookmarkStart w:id="457" w:name="_Toc308075820"/>
      <w:bookmarkStart w:id="458" w:name="_Toc505626522"/>
      <w:bookmarkStart w:id="459" w:name="_Toc17923"/>
      <w:bookmarkStart w:id="460" w:name="_Toc498503003"/>
      <w:bookmarkStart w:id="461" w:name="_Toc309138730"/>
      <w:r>
        <w:t>评标办法（综合评估法）</w:t>
      </w:r>
      <w:bookmarkEnd w:id="457"/>
      <w:bookmarkEnd w:id="458"/>
      <w:bookmarkEnd w:id="459"/>
      <w:bookmarkEnd w:id="460"/>
    </w:p>
    <w:p>
      <w:pPr>
        <w:rPr>
          <w:rFonts w:cs="微软雅黑"/>
          <w:sz w:val="22"/>
        </w:rPr>
      </w:pPr>
    </w:p>
    <w:p>
      <w:pPr>
        <w:rPr>
          <w:sz w:val="22"/>
        </w:rPr>
      </w:pPr>
      <w:r>
        <w:rPr>
          <w:rFonts w:hint="eastAsia" w:cs="微软雅黑"/>
          <w:sz w:val="22"/>
        </w:rPr>
        <w:t>评标办法依据：“关于印发《标准设备采购招标文件》等五个标准招标文件的通知（发改法规[2017]1609号）”。</w:t>
      </w:r>
    </w:p>
    <w:p>
      <w:pPr>
        <w:pStyle w:val="4"/>
        <w:jc w:val="center"/>
      </w:pPr>
      <w:bookmarkStart w:id="462" w:name="_Toc505626523"/>
      <w:r>
        <w:rPr>
          <w:rFonts w:hint="eastAsia"/>
        </w:rPr>
        <w:t>评标办法前附表</w:t>
      </w:r>
      <w:bookmarkEnd w:id="462"/>
    </w:p>
    <w:tbl>
      <w:tblPr>
        <w:tblStyle w:val="29"/>
        <w:tblpPr w:leftFromText="180" w:rightFromText="180" w:vertAnchor="text" w:horzAnchor="margin" w:tblpXSpec="center" w:tblpY="682"/>
        <w:tblOverlap w:val="never"/>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120"/>
        <w:gridCol w:w="764"/>
        <w:gridCol w:w="2550"/>
        <w:gridCol w:w="5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9"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条款号</w:t>
            </w:r>
          </w:p>
        </w:tc>
        <w:tc>
          <w:tcPr>
            <w:tcW w:w="255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评审因素</w:t>
            </w:r>
          </w:p>
        </w:tc>
        <w:tc>
          <w:tcPr>
            <w:tcW w:w="52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exact"/>
              <w:jc w:val="center"/>
              <w:textAlignment w:val="baseline"/>
              <w:rPr>
                <w:rFonts w:asciiTheme="minorEastAsia" w:hAnsiTheme="minorEastAsia" w:eastAsiaTheme="minorEastAsia"/>
                <w:b/>
                <w:szCs w:val="21"/>
              </w:rPr>
            </w:pPr>
            <w:r>
              <w:rPr>
                <w:rFonts w:asciiTheme="minorEastAsia" w:hAnsiTheme="minorEastAsia" w:eastAsiaTheme="minorEastAsia"/>
                <w:b/>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645" w:type="dxa"/>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88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评标</w:t>
            </w:r>
          </w:p>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方法</w:t>
            </w:r>
          </w:p>
        </w:tc>
        <w:tc>
          <w:tcPr>
            <w:tcW w:w="2550" w:type="dxa"/>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asciiTheme="minorEastAsia" w:hAnsiTheme="minorEastAsia" w:eastAsiaTheme="minorEastAsia"/>
                <w:szCs w:val="21"/>
              </w:rPr>
            </w:pPr>
            <w:r>
              <w:rPr>
                <w:rFonts w:asciiTheme="minorEastAsia" w:hAnsiTheme="minorEastAsia" w:eastAsiaTheme="minorEastAsia"/>
                <w:szCs w:val="21"/>
              </w:rPr>
              <w:t>中标候选人排序方法</w:t>
            </w:r>
          </w:p>
        </w:tc>
        <w:tc>
          <w:tcPr>
            <w:tcW w:w="5243" w:type="dxa"/>
            <w:tcBorders>
              <w:top w:val="single" w:color="auto" w:sz="6" w:space="0"/>
              <w:left w:val="single" w:color="auto" w:sz="6" w:space="0"/>
              <w:bottom w:val="single" w:color="auto" w:sz="6" w:space="0"/>
              <w:right w:val="single" w:color="auto" w:sz="12"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按综合得分从高到低排序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restart"/>
            <w:tcBorders>
              <w:righ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w:t>
            </w:r>
            <w:r>
              <w:rPr>
                <w:rFonts w:asciiTheme="minorEastAsia" w:hAnsiTheme="minorEastAsia" w:eastAsiaTheme="minorEastAsia"/>
                <w:kern w:val="0"/>
                <w:szCs w:val="21"/>
              </w:rPr>
              <w:t>.1.1</w:t>
            </w:r>
          </w:p>
        </w:tc>
        <w:tc>
          <w:tcPr>
            <w:tcW w:w="884" w:type="dxa"/>
            <w:gridSpan w:val="2"/>
            <w:vMerge w:val="restart"/>
            <w:tcBorders>
              <w:left w:val="single" w:color="auto" w:sz="4" w:space="0"/>
            </w:tcBorders>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zCs w:val="21"/>
              </w:rPr>
              <w:t>形式评审标准</w:t>
            </w: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投标人名称</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投标文件签字盖章</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投标文件格式</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hint="eastAsia" w:asciiTheme="minorEastAsia" w:hAnsiTheme="minorEastAsia" w:eastAsiaTheme="minorEastAsia"/>
                <w:bCs/>
                <w:szCs w:val="21"/>
              </w:rPr>
              <w:t>符合招标文件第六章“投标文件格式”格式的要求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tcBorders>
              <w:right w:val="single" w:color="auto" w:sz="4" w:space="0"/>
            </w:tcBorders>
          </w:tcPr>
          <w:p>
            <w:pPr>
              <w:spacing w:line="360" w:lineRule="exact"/>
              <w:ind w:firstLine="420"/>
              <w:rPr>
                <w:rFonts w:asciiTheme="minorEastAsia" w:hAnsiTheme="minorEastAsia" w:eastAsiaTheme="minorEastAsia"/>
                <w:szCs w:val="21"/>
              </w:rPr>
            </w:pPr>
          </w:p>
        </w:tc>
        <w:tc>
          <w:tcPr>
            <w:tcW w:w="884" w:type="dxa"/>
            <w:gridSpan w:val="2"/>
            <w:vMerge w:val="continue"/>
            <w:tcBorders>
              <w:left w:val="single" w:color="auto" w:sz="4" w:space="0"/>
            </w:tcBorders>
          </w:tcPr>
          <w:p>
            <w:pPr>
              <w:spacing w:line="360" w:lineRule="exact"/>
              <w:ind w:firstLine="420"/>
              <w:rPr>
                <w:rFonts w:asciiTheme="minorEastAsia" w:hAnsiTheme="minorEastAsia" w:eastAsiaTheme="minorEastAsia"/>
                <w:szCs w:val="21"/>
              </w:rPr>
            </w:pPr>
          </w:p>
        </w:tc>
        <w:tc>
          <w:tcPr>
            <w:tcW w:w="2550"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报价唯一</w:t>
            </w:r>
          </w:p>
        </w:tc>
        <w:tc>
          <w:tcPr>
            <w:tcW w:w="5243" w:type="dxa"/>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restart"/>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2.1.2</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资格评审标准</w:t>
            </w: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营业执照</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资质</w:t>
            </w:r>
            <w:r>
              <w:rPr>
                <w:rFonts w:hint="eastAsia" w:asciiTheme="minorEastAsia" w:hAnsiTheme="minorEastAsia" w:eastAsiaTheme="minorEastAsia"/>
                <w:szCs w:val="21"/>
              </w:rPr>
              <w:t>条件</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总监理工程师</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要求</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信誉要求</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ind w:firstLine="420"/>
              <w:rPr>
                <w:rFonts w:asciiTheme="minorEastAsia" w:hAnsiTheme="minorEastAsia" w:eastAsiaTheme="minorEastAsia"/>
                <w:szCs w:val="21"/>
              </w:rPr>
            </w:pPr>
          </w:p>
        </w:tc>
        <w:tc>
          <w:tcPr>
            <w:tcW w:w="884" w:type="dxa"/>
            <w:gridSpan w:val="2"/>
            <w:vMerge w:val="continue"/>
            <w:vAlign w:val="center"/>
          </w:tcPr>
          <w:p>
            <w:pPr>
              <w:spacing w:line="360" w:lineRule="exact"/>
              <w:ind w:firstLine="420"/>
              <w:rPr>
                <w:rFonts w:asciiTheme="minorEastAsia" w:hAnsiTheme="minorEastAsia" w:eastAsiaTheme="minorEastAsia"/>
                <w:szCs w:val="21"/>
              </w:rPr>
            </w:pPr>
          </w:p>
        </w:tc>
        <w:tc>
          <w:tcPr>
            <w:tcW w:w="2550"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财务</w:t>
            </w:r>
            <w:r>
              <w:rPr>
                <w:rFonts w:hint="eastAsia" w:asciiTheme="minorEastAsia" w:hAnsiTheme="minorEastAsia" w:eastAsiaTheme="minorEastAsia"/>
                <w:szCs w:val="21"/>
              </w:rPr>
              <w:t>要求</w:t>
            </w:r>
          </w:p>
        </w:tc>
        <w:tc>
          <w:tcPr>
            <w:tcW w:w="5243" w:type="dxa"/>
            <w:vAlign w:val="center"/>
          </w:tcPr>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符合第二章</w:t>
            </w:r>
            <w:r>
              <w:rPr>
                <w:rFonts w:hint="eastAsia" w:asciiTheme="minorEastAsia" w:hAnsiTheme="minorEastAsia" w:eastAsiaTheme="minorEastAsia"/>
                <w:szCs w:val="21"/>
              </w:rPr>
              <w:t>“</w:t>
            </w:r>
            <w:r>
              <w:rPr>
                <w:rFonts w:asciiTheme="minorEastAsia" w:hAnsiTheme="minorEastAsia" w:eastAsiaTheme="minorEastAsia"/>
                <w:szCs w:val="21"/>
              </w:rPr>
              <w:t>投标人须知前附表</w:t>
            </w:r>
            <w:r>
              <w:rPr>
                <w:rFonts w:hint="eastAsia" w:asciiTheme="minorEastAsia" w:hAnsiTheme="minorEastAsia" w:eastAsiaTheme="minorEastAsia"/>
                <w:szCs w:val="21"/>
              </w:rPr>
              <w:t>”</w:t>
            </w:r>
            <w:r>
              <w:rPr>
                <w:rFonts w:asciiTheme="minorEastAsia" w:hAnsiTheme="minorEastAsia" w:eastAsiaTheme="minorEastAsia"/>
                <w:szCs w:val="21"/>
              </w:rPr>
              <w:t>第1.4.1项</w:t>
            </w:r>
            <w:r>
              <w:rPr>
                <w:rFonts w:hint="eastAsia" w:asciiTheme="minorEastAsia" w:hAnsiTheme="minorEastAsia" w:eastAsiaTheme="minorEastAsia"/>
                <w:szCs w:val="21"/>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restart"/>
            <w:vAlign w:val="center"/>
          </w:tcPr>
          <w:p>
            <w:pPr>
              <w:adjustRightInd w:val="0"/>
              <w:spacing w:line="360" w:lineRule="exact"/>
              <w:jc w:val="center"/>
              <w:textAlignment w:val="baseline"/>
              <w:rPr>
                <w:rFonts w:asciiTheme="minorEastAsia" w:hAnsiTheme="minorEastAsia" w:eastAsiaTheme="minorEastAsia"/>
                <w:szCs w:val="21"/>
              </w:rPr>
            </w:pPr>
            <w:r>
              <w:rPr>
                <w:rFonts w:asciiTheme="minorEastAsia" w:hAnsiTheme="minorEastAsia" w:eastAsiaTheme="minorEastAsia"/>
                <w:spacing w:val="1"/>
                <w:kern w:val="0"/>
                <w:szCs w:val="21"/>
              </w:rPr>
              <w:t>2.1.3</w:t>
            </w:r>
          </w:p>
        </w:tc>
        <w:tc>
          <w:tcPr>
            <w:tcW w:w="884" w:type="dxa"/>
            <w:gridSpan w:val="2"/>
            <w:vMerge w:val="restart"/>
            <w:vAlign w:val="center"/>
          </w:tcPr>
          <w:p>
            <w:pPr>
              <w:adjustRightInd w:val="0"/>
              <w:spacing w:line="360" w:lineRule="exact"/>
              <w:textAlignment w:val="baseline"/>
              <w:rPr>
                <w:rFonts w:asciiTheme="minorEastAsia" w:hAnsiTheme="minorEastAsia" w:eastAsiaTheme="minorEastAsia"/>
                <w:szCs w:val="21"/>
              </w:rPr>
            </w:pPr>
            <w:r>
              <w:rPr>
                <w:rFonts w:asciiTheme="minorEastAsia" w:hAnsiTheme="minorEastAsia" w:eastAsiaTheme="minorEastAsia"/>
                <w:szCs w:val="21"/>
              </w:rPr>
              <w:t>响应性评审标准</w:t>
            </w: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投标报价</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3.2 款规定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投标内容</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监理服务期限</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质量标准</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投标有效期</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3.3.1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投标保证金</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3.4.1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权利义务</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符合第二章“投标人须知”第 1.12.1 项规定和第四章“合同条款及格式”中的实质性要求和条件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645" w:type="dxa"/>
            <w:vMerge w:val="continue"/>
            <w:vAlign w:val="center"/>
          </w:tcPr>
          <w:p>
            <w:pPr>
              <w:spacing w:line="360" w:lineRule="exact"/>
              <w:rPr>
                <w:rFonts w:asciiTheme="minorEastAsia" w:hAnsiTheme="minorEastAsia" w:eastAsiaTheme="minorEastAsia"/>
                <w:szCs w:val="21"/>
              </w:rPr>
            </w:pPr>
          </w:p>
        </w:tc>
        <w:tc>
          <w:tcPr>
            <w:tcW w:w="884" w:type="dxa"/>
            <w:gridSpan w:val="2"/>
            <w:vMerge w:val="continue"/>
            <w:vAlign w:val="center"/>
          </w:tcPr>
          <w:p>
            <w:pPr>
              <w:spacing w:line="360" w:lineRule="exact"/>
              <w:rPr>
                <w:rFonts w:asciiTheme="minorEastAsia" w:hAnsiTheme="minorEastAsia" w:eastAsiaTheme="minorEastAsia"/>
                <w:szCs w:val="21"/>
              </w:rPr>
            </w:pP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监理大纲</w:t>
            </w:r>
          </w:p>
        </w:tc>
        <w:tc>
          <w:tcPr>
            <w:tcW w:w="5243" w:type="dxa"/>
            <w:vAlign w:val="center"/>
          </w:tcPr>
          <w:p>
            <w:pPr>
              <w:spacing w:line="360" w:lineRule="exact"/>
              <w:ind w:left="80"/>
              <w:rPr>
                <w:rFonts w:asciiTheme="minorEastAsia" w:hAnsiTheme="minorEastAsia" w:eastAsiaTheme="minorEastAsia"/>
                <w:szCs w:val="21"/>
              </w:rPr>
            </w:pPr>
            <w:r>
              <w:rPr>
                <w:rFonts w:asciiTheme="minorEastAsia" w:hAnsiTheme="minorEastAsia" w:eastAsiaTheme="minorEastAsia"/>
                <w:szCs w:val="21"/>
              </w:rPr>
              <w:t>符合第五章“委托人要求”中的实质性要求和条件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1529" w:type="dxa"/>
            <w:gridSpan w:val="3"/>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条款号</w:t>
            </w:r>
          </w:p>
        </w:tc>
        <w:tc>
          <w:tcPr>
            <w:tcW w:w="2550" w:type="dxa"/>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条款内容</w:t>
            </w:r>
          </w:p>
        </w:tc>
        <w:tc>
          <w:tcPr>
            <w:tcW w:w="5243" w:type="dxa"/>
            <w:vAlign w:val="center"/>
          </w:tcPr>
          <w:p>
            <w:pPr>
              <w:spacing w:line="360" w:lineRule="exact"/>
              <w:jc w:val="center"/>
              <w:rPr>
                <w:rFonts w:asciiTheme="minorEastAsia" w:hAnsiTheme="minorEastAsia" w:eastAsiaTheme="minorEastAsia"/>
                <w:b/>
                <w:szCs w:val="21"/>
              </w:rPr>
            </w:pPr>
            <w:r>
              <w:rPr>
                <w:rFonts w:asciiTheme="minorEastAsia" w:hAnsiTheme="minorEastAsia" w:eastAsiaTheme="minorEastAsia"/>
                <w:b/>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29"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2.2.1</w:t>
            </w:r>
          </w:p>
        </w:tc>
        <w:tc>
          <w:tcPr>
            <w:tcW w:w="2550" w:type="dxa"/>
            <w:vAlign w:val="center"/>
          </w:tcPr>
          <w:p>
            <w:pPr>
              <w:spacing w:line="360" w:lineRule="exact"/>
              <w:rPr>
                <w:rFonts w:asciiTheme="minorEastAsia" w:hAnsiTheme="minorEastAsia" w:eastAsiaTheme="minorEastAsia"/>
                <w:szCs w:val="21"/>
              </w:rPr>
            </w:pPr>
            <w:r>
              <w:rPr>
                <w:rFonts w:asciiTheme="minorEastAsia" w:hAnsiTheme="minorEastAsia" w:eastAsiaTheme="minorEastAsia"/>
                <w:szCs w:val="21"/>
              </w:rPr>
              <w:t>分值构成（总分100分）</w:t>
            </w:r>
          </w:p>
        </w:tc>
        <w:tc>
          <w:tcPr>
            <w:tcW w:w="5243"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投标报价</w:t>
            </w:r>
            <w:r>
              <w:rPr>
                <w:rFonts w:asciiTheme="minorEastAsia" w:hAnsiTheme="minorEastAsia" w:eastAsiaTheme="minorEastAsia"/>
                <w:szCs w:val="21"/>
              </w:rPr>
              <w:t>：</w:t>
            </w:r>
            <w:r>
              <w:rPr>
                <w:rFonts w:hint="eastAsia" w:asciiTheme="minorEastAsia" w:hAnsiTheme="minorEastAsia" w:eastAsiaTheme="minorEastAsia"/>
                <w:szCs w:val="21"/>
              </w:rPr>
              <w:t>2</w:t>
            </w:r>
            <w:r>
              <w:rPr>
                <w:rFonts w:asciiTheme="minorEastAsia" w:hAnsiTheme="minorEastAsia" w:eastAsiaTheme="minorEastAsia"/>
                <w:szCs w:val="21"/>
              </w:rPr>
              <w:t>0分</w:t>
            </w:r>
          </w:p>
          <w:p>
            <w:pPr>
              <w:spacing w:line="360" w:lineRule="exact"/>
              <w:rPr>
                <w:rFonts w:asciiTheme="minorEastAsia" w:hAnsiTheme="minorEastAsia" w:eastAsiaTheme="minorEastAsia"/>
                <w:szCs w:val="21"/>
              </w:rPr>
            </w:pPr>
            <w:r>
              <w:rPr>
                <w:rFonts w:asciiTheme="minorEastAsia" w:hAnsiTheme="minorEastAsia" w:eastAsiaTheme="minorEastAsia"/>
                <w:szCs w:val="21"/>
              </w:rPr>
              <w:t>商务</w:t>
            </w:r>
            <w:r>
              <w:rPr>
                <w:rFonts w:hint="eastAsia" w:asciiTheme="minorEastAsia" w:hAnsiTheme="minorEastAsia" w:eastAsiaTheme="minorEastAsia"/>
                <w:szCs w:val="21"/>
              </w:rPr>
              <w:t>部分</w:t>
            </w:r>
            <w:r>
              <w:rPr>
                <w:rFonts w:asciiTheme="minorEastAsia" w:hAnsiTheme="minorEastAsia" w:eastAsiaTheme="minorEastAsia"/>
                <w:szCs w:val="21"/>
              </w:rPr>
              <w:t>：</w:t>
            </w:r>
            <w:r>
              <w:rPr>
                <w:rFonts w:hint="eastAsia" w:asciiTheme="minorEastAsia" w:hAnsiTheme="minorEastAsia" w:eastAsiaTheme="minorEastAsia"/>
                <w:szCs w:val="21"/>
              </w:rPr>
              <w:t>55</w:t>
            </w:r>
            <w:r>
              <w:rPr>
                <w:rFonts w:asciiTheme="minorEastAsia" w:hAnsiTheme="minorEastAsia" w:eastAsiaTheme="minorEastAsia"/>
                <w:szCs w:val="21"/>
              </w:rPr>
              <w:t>分</w:t>
            </w:r>
          </w:p>
          <w:p>
            <w:pPr>
              <w:widowControl/>
              <w:spacing w:line="360" w:lineRule="exact"/>
              <w:rPr>
                <w:rFonts w:asciiTheme="minorEastAsia" w:hAnsiTheme="minorEastAsia" w:eastAsiaTheme="minorEastAsia"/>
                <w:szCs w:val="21"/>
              </w:rPr>
            </w:pPr>
            <w:r>
              <w:rPr>
                <w:rFonts w:asciiTheme="minorEastAsia" w:hAnsiTheme="minorEastAsia" w:eastAsiaTheme="minorEastAsia"/>
                <w:szCs w:val="21"/>
              </w:rPr>
              <w:t>监理大纲：</w:t>
            </w:r>
            <w:r>
              <w:rPr>
                <w:rFonts w:hint="eastAsia" w:asciiTheme="minorEastAsia" w:hAnsiTheme="minorEastAsia" w:eastAsiaTheme="minorEastAsia"/>
                <w:szCs w:val="21"/>
              </w:rPr>
              <w:t>20</w:t>
            </w:r>
            <w:r>
              <w:rPr>
                <w:rFonts w:asciiTheme="minorEastAsia" w:hAnsiTheme="minorEastAsia" w:eastAsiaTheme="minorEastAsia"/>
                <w:szCs w:val="21"/>
              </w:rPr>
              <w:t>分</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其他因素部分：5分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529"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2.2.2</w:t>
            </w:r>
          </w:p>
        </w:tc>
        <w:tc>
          <w:tcPr>
            <w:tcW w:w="2550" w:type="dxa"/>
            <w:vAlign w:val="center"/>
          </w:tcPr>
          <w:p>
            <w:pPr>
              <w:spacing w:line="360" w:lineRule="exact"/>
              <w:jc w:val="center"/>
              <w:rPr>
                <w:rFonts w:asciiTheme="minorEastAsia" w:hAnsiTheme="minorEastAsia" w:eastAsiaTheme="minorEastAsia"/>
                <w:szCs w:val="21"/>
              </w:rPr>
            </w:pPr>
            <w:r>
              <w:rPr>
                <w:rFonts w:ascii="宋体" w:hAnsi="宋体" w:cs="宋体"/>
                <w:szCs w:val="21"/>
              </w:rPr>
              <w:t>评标基准价计算方法</w:t>
            </w:r>
          </w:p>
        </w:tc>
        <w:tc>
          <w:tcPr>
            <w:tcW w:w="5243" w:type="dxa"/>
            <w:vAlign w:val="center"/>
          </w:tcPr>
          <w:p>
            <w:pPr>
              <w:spacing w:line="360" w:lineRule="exact"/>
              <w:ind w:firstLine="359" w:firstLineChars="171"/>
              <w:rPr>
                <w:rFonts w:ascii="宋体" w:hAnsi="宋体" w:cs="宋体"/>
                <w:kern w:val="0"/>
                <w:szCs w:val="21"/>
              </w:rPr>
            </w:pPr>
            <w:r>
              <w:rPr>
                <w:rFonts w:hint="eastAsia" w:ascii="宋体" w:hAnsi="宋体" w:cs="宋体"/>
                <w:kern w:val="0"/>
                <w:szCs w:val="21"/>
              </w:rPr>
              <w:t>评标基准价D=a×E+β×F</w:t>
            </w:r>
          </w:p>
          <w:p>
            <w:pPr>
              <w:spacing w:line="360" w:lineRule="exact"/>
              <w:ind w:firstLine="359" w:firstLineChars="171"/>
              <w:rPr>
                <w:rFonts w:ascii="宋体" w:hAnsi="宋体" w:cs="宋体"/>
                <w:kern w:val="0"/>
                <w:szCs w:val="21"/>
              </w:rPr>
            </w:pPr>
            <w:r>
              <w:rPr>
                <w:rFonts w:hint="eastAsia" w:ascii="宋体" w:hAnsi="宋体" w:cs="宋体"/>
                <w:kern w:val="0"/>
                <w:szCs w:val="21"/>
              </w:rPr>
              <w:t>其中：E-招标控制价；</w:t>
            </w:r>
          </w:p>
          <w:p>
            <w:pPr>
              <w:spacing w:line="360" w:lineRule="exact"/>
              <w:ind w:firstLine="359" w:firstLineChars="171"/>
              <w:rPr>
                <w:rFonts w:ascii="宋体" w:hAnsi="宋体" w:cs="宋体"/>
                <w:kern w:val="0"/>
                <w:szCs w:val="21"/>
              </w:rPr>
            </w:pPr>
            <w:r>
              <w:rPr>
                <w:rFonts w:hint="eastAsia" w:ascii="宋体" w:hAnsi="宋体" w:cs="宋体"/>
                <w:kern w:val="0"/>
                <w:szCs w:val="21"/>
              </w:rPr>
              <w:t>F-投标报价算术平均值，其计算方法为：</w:t>
            </w:r>
          </w:p>
          <w:p>
            <w:pPr>
              <w:spacing w:line="360" w:lineRule="exact"/>
              <w:ind w:firstLine="359" w:firstLineChars="171"/>
              <w:rPr>
                <w:rFonts w:ascii="宋体" w:hAnsi="宋体" w:cs="宋体"/>
                <w:kern w:val="0"/>
                <w:szCs w:val="21"/>
              </w:rPr>
            </w:pPr>
            <w:r>
              <w:rPr>
                <w:rFonts w:hint="eastAsia" w:ascii="宋体" w:hAnsi="宋体" w:cs="宋体"/>
                <w:kern w:val="0"/>
                <w:szCs w:val="21"/>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60" w:lineRule="exact"/>
              <w:ind w:firstLine="359" w:firstLineChars="171"/>
              <w:rPr>
                <w:rFonts w:ascii="宋体" w:hAnsi="宋体" w:cs="宋体"/>
                <w:kern w:val="0"/>
                <w:szCs w:val="21"/>
              </w:rPr>
            </w:pPr>
            <w:r>
              <w:rPr>
                <w:rFonts w:hint="eastAsia" w:ascii="宋体" w:hAnsi="宋体" w:cs="宋体"/>
                <w:kern w:val="0"/>
                <w:szCs w:val="21"/>
              </w:rPr>
              <w:t>有效投标人的投标报价为不高于E值，且通过初步评审的投标人报价。</w:t>
            </w:r>
          </w:p>
          <w:p>
            <w:pPr>
              <w:spacing w:line="360" w:lineRule="exact"/>
              <w:ind w:firstLine="359" w:firstLineChars="171"/>
              <w:rPr>
                <w:rFonts w:ascii="宋体" w:hAnsi="宋体" w:cs="宋体"/>
                <w:kern w:val="0"/>
                <w:szCs w:val="21"/>
              </w:rPr>
            </w:pPr>
            <w:r>
              <w:rPr>
                <w:rFonts w:hint="eastAsia" w:ascii="宋体" w:hAnsi="宋体" w:cs="宋体"/>
                <w:kern w:val="0"/>
                <w:szCs w:val="21"/>
              </w:rPr>
              <w:t>a -为E值的权重系数，a取值在0.40、0.45、0.50、0.55、0.60、0.65、0.70之间抽取(开标时由招标人和投标人代表在开标现场随机抽取)。</w:t>
            </w:r>
          </w:p>
          <w:p>
            <w:pPr>
              <w:spacing w:line="360" w:lineRule="exact"/>
              <w:ind w:firstLine="359" w:firstLineChars="171"/>
              <w:rPr>
                <w:rFonts w:ascii="宋体" w:hAnsi="宋体" w:cs="宋体"/>
                <w:kern w:val="0"/>
                <w:szCs w:val="21"/>
              </w:rPr>
            </w:pPr>
            <w:r>
              <w:rPr>
                <w:rFonts w:hint="eastAsia" w:ascii="宋体" w:hAnsi="宋体" w:cs="宋体"/>
                <w:kern w:val="0"/>
                <w:szCs w:val="21"/>
              </w:rPr>
              <w:t>β-为F值的权重系数，β=l- a</w:t>
            </w:r>
          </w:p>
          <w:p>
            <w:pPr>
              <w:spacing w:line="360" w:lineRule="exact"/>
              <w:ind w:firstLine="359" w:firstLineChars="171"/>
              <w:rPr>
                <w:rFonts w:ascii="宋体" w:hAnsi="宋体" w:cs="宋体"/>
                <w:kern w:val="0"/>
                <w:szCs w:val="21"/>
              </w:rPr>
            </w:pPr>
            <w:r>
              <w:rPr>
                <w:rFonts w:hint="eastAsia" w:ascii="宋体" w:hAnsi="宋体" w:cs="宋体"/>
                <w:kern w:val="0"/>
                <w:szCs w:val="21"/>
              </w:rPr>
              <w:t>各有效投标报价在评标基准价±1%以内的得满分20分，每低于评标基准价1%的扣0.5分（不足1%按1%计）；每高于评标基准价1%的扣1分（不足1%按1%计），扣完为止。</w:t>
            </w:r>
          </w:p>
          <w:p>
            <w:pPr>
              <w:spacing w:line="360" w:lineRule="exact"/>
              <w:ind w:firstLine="359" w:firstLineChars="171"/>
            </w:pPr>
            <w:r>
              <w:rPr>
                <w:rFonts w:hint="eastAsia" w:ascii="宋体" w:hAnsi="宋体" w:cs="宋体"/>
                <w:kern w:val="0"/>
                <w:szCs w:val="21"/>
              </w:rPr>
              <w:t>投标报价低于财政评审价80%的，作废标处理。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765" w:type="dxa"/>
            <w:gridSpan w:val="2"/>
            <w:vMerge w:val="restart"/>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2.2.4（1）</w:t>
            </w:r>
          </w:p>
        </w:tc>
        <w:tc>
          <w:tcPr>
            <w:tcW w:w="764" w:type="dxa"/>
            <w:vMerge w:val="restart"/>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资信业绩评分标准（55分）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企业业绩（20分）</w:t>
            </w:r>
          </w:p>
        </w:tc>
        <w:tc>
          <w:tcPr>
            <w:tcW w:w="5243"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2016年1月1日以来，监理企业有类似项目的，每项得5分，本项最高得20分。（以合同和中标通知书或以合同、竣工备案表为准）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企业荣誉（15分）</w:t>
            </w:r>
          </w:p>
        </w:tc>
        <w:tc>
          <w:tcPr>
            <w:tcW w:w="5243" w:type="dxa"/>
            <w:tcBorders>
              <w:top w:val="single" w:color="auto" w:sz="4" w:space="0"/>
              <w:bottom w:val="single" w:color="auto" w:sz="4" w:space="0"/>
            </w:tcBorders>
            <w:vAlign w:val="center"/>
          </w:tcPr>
          <w:p>
            <w:pPr>
              <w:widowControl/>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1、2016年1月1日以来，企业获得省级及以上先进监理企业或诚信建设先进监理企业的得13分，本项最高得13分；（以获奖证书、获奖文件为准，其中日期以获奖证书时间为准）</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投标人提供工商企业信用信息公示报告，包含基础信息、行政许可信息、行政处罚信息、列入经营异常名录信息、列入严重违法失信企业名单（黑名单）信息（国家企业信用信息公示系统http:www.gsxt.gov.cn）得2分，未提供或有不良信息者不得分。（以网页截图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总监业绩（10分）</w:t>
            </w:r>
          </w:p>
        </w:tc>
        <w:tc>
          <w:tcPr>
            <w:tcW w:w="5243" w:type="dxa"/>
            <w:tcBorders>
              <w:top w:val="single" w:color="auto" w:sz="4" w:space="0"/>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2016年1月1日以来，本项目拟派总监担任过类似工程的每项得5分、本项最多得10分。（以合同和中标通知书或以合同、竣工验收表为准）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总监荣誉（5分）</w:t>
            </w:r>
          </w:p>
        </w:tc>
        <w:tc>
          <w:tcPr>
            <w:tcW w:w="5243" w:type="dxa"/>
            <w:tcBorders>
              <w:top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2016年1月1日以来，拟派项目总监获得省级及以上优秀总监理工程师奖项的得5分。（以获奖文件原件和证书为准，其中日期以获奖证书时间为准)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项目监理机构人员配备</w:t>
            </w:r>
          </w:p>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（5分）</w:t>
            </w:r>
          </w:p>
        </w:tc>
        <w:tc>
          <w:tcPr>
            <w:tcW w:w="5243" w:type="dxa"/>
            <w:tcBorders>
              <w:top w:val="single" w:color="auto" w:sz="4" w:space="0"/>
            </w:tcBorders>
            <w:vAlign w:val="center"/>
          </w:tcPr>
          <w:p>
            <w:pPr>
              <w:pStyle w:val="38"/>
              <w:spacing w:line="360" w:lineRule="exact"/>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项目监理机构人员配备齐全，各专业监理工程师、监理员、资料员、安全员、见证员等配备情况，在0-5分范围内打分。（以证书为准）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0" w:hRule="atLeast"/>
        </w:trPr>
        <w:tc>
          <w:tcPr>
            <w:tcW w:w="765" w:type="dxa"/>
            <w:gridSpan w:val="2"/>
            <w:vMerge w:val="restart"/>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2.2.4（2）</w:t>
            </w:r>
          </w:p>
        </w:tc>
        <w:tc>
          <w:tcPr>
            <w:tcW w:w="764" w:type="dxa"/>
            <w:vMerge w:val="restart"/>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监理大纲评分标准（20分）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监理范围、监理内容</w:t>
            </w:r>
          </w:p>
        </w:tc>
        <w:tc>
          <w:tcPr>
            <w:tcW w:w="5243"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监理依据、监理工作目标</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监理机构设置和岗位职责</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监理工作程序、方法和</w:t>
            </w:r>
            <w:r>
              <w:rPr>
                <w:rFonts w:hint="eastAsia" w:asciiTheme="minorEastAsia" w:hAnsiTheme="minorEastAsia" w:eastAsiaTheme="minorEastAsia"/>
                <w:szCs w:val="21"/>
              </w:rPr>
              <w:t>制度</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质量、进度、造价、安全、环保监理措施</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合同、信息管理方案</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监理组织协调内容及措施</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监理工作重点、难点分析</w:t>
            </w:r>
          </w:p>
        </w:tc>
        <w:tc>
          <w:tcPr>
            <w:tcW w:w="5243" w:type="dxa"/>
            <w:tcBorders>
              <w:top w:val="single" w:color="auto" w:sz="4" w:space="0"/>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 w:hRule="atLeast"/>
        </w:trPr>
        <w:tc>
          <w:tcPr>
            <w:tcW w:w="765" w:type="dxa"/>
            <w:gridSpan w:val="2"/>
            <w:vMerge w:val="continue"/>
            <w:tcBorders>
              <w:right w:val="single" w:color="auto" w:sz="4" w:space="0"/>
            </w:tcBorders>
            <w:vAlign w:val="center"/>
          </w:tcPr>
          <w:p>
            <w:pPr>
              <w:spacing w:line="360" w:lineRule="exact"/>
              <w:jc w:val="center"/>
              <w:rPr>
                <w:rFonts w:asciiTheme="minorEastAsia" w:hAnsiTheme="minorEastAsia" w:eastAsiaTheme="minorEastAsia"/>
                <w:szCs w:val="21"/>
              </w:rPr>
            </w:pPr>
          </w:p>
        </w:tc>
        <w:tc>
          <w:tcPr>
            <w:tcW w:w="764" w:type="dxa"/>
            <w:vMerge w:val="continue"/>
            <w:tcBorders>
              <w:left w:val="single" w:color="auto" w:sz="4" w:space="0"/>
            </w:tcBorders>
            <w:vAlign w:val="center"/>
          </w:tcPr>
          <w:p>
            <w:pPr>
              <w:spacing w:line="360" w:lineRule="exact"/>
              <w:jc w:val="center"/>
              <w:rPr>
                <w:rFonts w:asciiTheme="minorEastAsia" w:hAnsiTheme="minorEastAsia" w:eastAsiaTheme="minorEastAsia"/>
                <w:szCs w:val="21"/>
              </w:rPr>
            </w:pPr>
          </w:p>
        </w:tc>
        <w:tc>
          <w:tcPr>
            <w:tcW w:w="2550"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asciiTheme="minorEastAsia" w:hAnsiTheme="minorEastAsia" w:eastAsiaTheme="minorEastAsia"/>
                <w:szCs w:val="21"/>
              </w:rPr>
              <w:t>合理化建议</w:t>
            </w:r>
          </w:p>
        </w:tc>
        <w:tc>
          <w:tcPr>
            <w:tcW w:w="5243" w:type="dxa"/>
            <w:tcBorders>
              <w:top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3" w:hRule="atLeast"/>
        </w:trPr>
        <w:tc>
          <w:tcPr>
            <w:tcW w:w="1529" w:type="dxa"/>
            <w:gridSpan w:val="3"/>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2.2.4（3）</w:t>
            </w:r>
          </w:p>
        </w:tc>
        <w:tc>
          <w:tcPr>
            <w:tcW w:w="2550" w:type="dxa"/>
            <w:tcBorders>
              <w:bottom w:val="single" w:color="auto" w:sz="4" w:space="0"/>
            </w:tcBorders>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投标报价评分标准（20分）</w:t>
            </w:r>
          </w:p>
        </w:tc>
        <w:tc>
          <w:tcPr>
            <w:tcW w:w="5243" w:type="dxa"/>
            <w:tcBorders>
              <w:bottom w:val="single" w:color="auto" w:sz="4" w:space="0"/>
            </w:tcBorders>
            <w:vAlign w:val="center"/>
          </w:tcPr>
          <w:p>
            <w:pPr>
              <w:spacing w:line="360" w:lineRule="exact"/>
              <w:rPr>
                <w:rFonts w:cs="宋体" w:asciiTheme="minorEastAsia" w:hAnsiTheme="minorEastAsia" w:eastAsiaTheme="minorEastAsia"/>
                <w:kern w:val="0"/>
                <w:szCs w:val="21"/>
              </w:rPr>
            </w:pPr>
            <w:r>
              <w:rPr>
                <w:rFonts w:hint="eastAsia" w:ascii="宋体" w:hAnsi="宋体" w:cs="宋体"/>
                <w:kern w:val="0"/>
                <w:szCs w:val="21"/>
              </w:rPr>
              <w:t>各有效投标报价在评标基准价±1%以内的得满分20分，每低于评标基准价1%的扣0.5分（不足1%按1%计）；每高于评标基准价1%的扣1分（不足1%按1%计），扣完为止。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3" w:hRule="atLeast"/>
        </w:trPr>
        <w:tc>
          <w:tcPr>
            <w:tcW w:w="765" w:type="dxa"/>
            <w:gridSpan w:val="2"/>
            <w:tcBorders>
              <w:righ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2.2.4（4）</w:t>
            </w:r>
          </w:p>
        </w:tc>
        <w:tc>
          <w:tcPr>
            <w:tcW w:w="764" w:type="dxa"/>
            <w:tcBorders>
              <w:left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其他因素评分标准（5分）</w:t>
            </w:r>
          </w:p>
        </w:tc>
        <w:tc>
          <w:tcPr>
            <w:tcW w:w="2550"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服务承诺（5分）</w:t>
            </w:r>
          </w:p>
        </w:tc>
        <w:tc>
          <w:tcPr>
            <w:tcW w:w="5243" w:type="dxa"/>
            <w:tcBorders>
              <w:bottom w:val="single" w:color="auto" w:sz="4" w:space="0"/>
            </w:tcBorders>
            <w:vAlign w:val="center"/>
          </w:tcPr>
          <w:p>
            <w:pPr>
              <w:pStyle w:val="38"/>
              <w:spacing w:line="360" w:lineRule="exact"/>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投标人针对招标项目的特点和要求，结合自身条件和潜力为招标人排忧解难有优惠承诺者和服务承诺。由评委根据标书的具体内容在0-5分酌情打分。</w:t>
            </w:r>
          </w:p>
        </w:tc>
      </w:tr>
    </w:tbl>
    <w:p>
      <w:pPr>
        <w:widowControl/>
        <w:jc w:val="left"/>
        <w:rPr>
          <w:rFonts w:asciiTheme="minorEastAsia" w:hAnsiTheme="minorEastAsia" w:eastAsiaTheme="minorEastAsia"/>
          <w:b/>
          <w:szCs w:val="21"/>
        </w:rPr>
      </w:pPr>
      <w:r>
        <w:rPr>
          <w:rFonts w:hint="eastAsia" w:asciiTheme="minorEastAsia" w:hAnsiTheme="minorEastAsia" w:eastAsiaTheme="minorEastAsia"/>
          <w:b/>
          <w:szCs w:val="21"/>
        </w:rPr>
        <w:t>备注：凡评标办法里涉及到的证书、证件及业绩材料等，投标文件须附原件的扫描件，评标时不再携带原件。</w:t>
      </w:r>
    </w:p>
    <w:p/>
    <w:p>
      <w:pPr>
        <w:pStyle w:val="27"/>
      </w:pPr>
    </w:p>
    <w:p>
      <w:pPr>
        <w:pStyle w:val="28"/>
      </w:pPr>
    </w:p>
    <w:p>
      <w:pPr>
        <w:pStyle w:val="28"/>
      </w:pPr>
    </w:p>
    <w:p>
      <w:pPr>
        <w:pStyle w:val="28"/>
      </w:pPr>
    </w:p>
    <w:p>
      <w:bookmarkStart w:id="463" w:name="_Toc3227"/>
      <w:bookmarkStart w:id="464" w:name="_Toc498503004"/>
      <w:bookmarkStart w:id="465" w:name="_Toc296520746"/>
      <w:bookmarkStart w:id="466" w:name="_Toc498502999"/>
    </w:p>
    <w:p/>
    <w:bookmarkEnd w:id="461"/>
    <w:bookmarkEnd w:id="463"/>
    <w:bookmarkEnd w:id="464"/>
    <w:bookmarkEnd w:id="465"/>
    <w:bookmarkEnd w:id="466"/>
    <w:p>
      <w:pPr>
        <w:pStyle w:val="4"/>
        <w:spacing w:line="420" w:lineRule="exact"/>
      </w:pPr>
      <w:bookmarkStart w:id="467" w:name="_Toc498503005"/>
      <w:bookmarkStart w:id="468" w:name="_Toc25210"/>
      <w:bookmarkStart w:id="469" w:name="_Toc505626524"/>
      <w:r>
        <w:t>1.评标方法</w:t>
      </w:r>
      <w:bookmarkEnd w:id="467"/>
      <w:bookmarkEnd w:id="468"/>
      <w:bookmarkEnd w:id="469"/>
    </w:p>
    <w:p>
      <w:pPr>
        <w:autoSpaceDE w:val="0"/>
        <w:autoSpaceDN w:val="0"/>
        <w:adjustRightInd w:val="0"/>
        <w:spacing w:line="420" w:lineRule="exact"/>
        <w:ind w:right="98" w:firstLine="420"/>
        <w:jc w:val="left"/>
        <w:rPr>
          <w:rFonts w:asciiTheme="minorEastAsia" w:hAnsiTheme="minorEastAsia" w:eastAsiaTheme="minorEastAsia"/>
          <w:kern w:val="0"/>
          <w:sz w:val="24"/>
        </w:rPr>
      </w:pPr>
      <w:r>
        <w:rPr>
          <w:rFonts w:asciiTheme="minorEastAsia" w:hAnsiTheme="minorEastAsia" w:eastAsiaTheme="minorEastAsia"/>
          <w:kern w:val="0"/>
          <w:sz w:val="24"/>
        </w:rPr>
        <w:t>评标委员会对满足招标文件实质性要求的投标文件</w:t>
      </w:r>
      <w:r>
        <w:rPr>
          <w:rFonts w:asciiTheme="minorEastAsia" w:hAnsiTheme="minorEastAsia" w:eastAsiaTheme="minorEastAsia"/>
          <w:sz w:val="24"/>
        </w:rPr>
        <w:t>按公平、公正、科学、择优的原则</w:t>
      </w:r>
      <w:r>
        <w:rPr>
          <w:rFonts w:asciiTheme="minorEastAsia" w:hAnsiTheme="minorEastAsia" w:eastAsiaTheme="minorEastAsia"/>
          <w:spacing w:val="-47"/>
          <w:kern w:val="0"/>
          <w:sz w:val="24"/>
        </w:rPr>
        <w:t>，</w:t>
      </w:r>
      <w:r>
        <w:rPr>
          <w:rFonts w:asciiTheme="minorEastAsia" w:hAnsiTheme="minorEastAsia" w:eastAsiaTheme="minorEastAsia"/>
          <w:kern w:val="0"/>
          <w:sz w:val="24"/>
        </w:rPr>
        <w:t xml:space="preserve">按照本章第 </w:t>
      </w:r>
      <w:r>
        <w:rPr>
          <w:rFonts w:asciiTheme="minorEastAsia" w:hAnsiTheme="minorEastAsia" w:eastAsiaTheme="minorEastAsia"/>
          <w:spacing w:val="1"/>
          <w:kern w:val="0"/>
          <w:sz w:val="24"/>
        </w:rPr>
        <w:t>2</w:t>
      </w:r>
      <w:r>
        <w:rPr>
          <w:rFonts w:asciiTheme="minorEastAsia" w:hAnsiTheme="minorEastAsia" w:eastAsiaTheme="minorEastAsia"/>
          <w:spacing w:val="-1"/>
          <w:kern w:val="0"/>
          <w:sz w:val="24"/>
        </w:rPr>
        <w:t>.</w:t>
      </w:r>
      <w:r>
        <w:rPr>
          <w:rFonts w:asciiTheme="minorEastAsia" w:hAnsiTheme="minorEastAsia" w:eastAsiaTheme="minorEastAsia"/>
          <w:kern w:val="0"/>
          <w:sz w:val="24"/>
        </w:rPr>
        <w:t>2款</w:t>
      </w:r>
      <w:r>
        <w:rPr>
          <w:rFonts w:asciiTheme="minorEastAsia" w:hAnsiTheme="minorEastAsia" w:eastAsiaTheme="minorEastAsia"/>
          <w:spacing w:val="-1"/>
          <w:kern w:val="0"/>
          <w:sz w:val="24"/>
        </w:rPr>
        <w:t>规</w:t>
      </w:r>
      <w:r>
        <w:rPr>
          <w:rFonts w:asciiTheme="minorEastAsia" w:hAnsiTheme="minorEastAsia" w:eastAsiaTheme="minorEastAsia"/>
          <w:kern w:val="0"/>
          <w:sz w:val="24"/>
        </w:rPr>
        <w:t>定的评分标准进行打分</w:t>
      </w:r>
      <w:r>
        <w:rPr>
          <w:rFonts w:asciiTheme="minorEastAsia" w:hAnsiTheme="minorEastAsia" w:eastAsiaTheme="minorEastAsia"/>
          <w:spacing w:val="-20"/>
          <w:kern w:val="0"/>
          <w:sz w:val="24"/>
        </w:rPr>
        <w:t>，</w:t>
      </w:r>
      <w:r>
        <w:rPr>
          <w:rFonts w:asciiTheme="minorEastAsia" w:hAnsiTheme="minorEastAsia" w:eastAsiaTheme="minorEastAsia"/>
          <w:kern w:val="0"/>
          <w:sz w:val="24"/>
        </w:rPr>
        <w:t>并按得分由高到低顺序推荐中标候选人</w:t>
      </w:r>
      <w:r>
        <w:rPr>
          <w:rFonts w:asciiTheme="minorEastAsia" w:hAnsiTheme="minorEastAsia" w:eastAsiaTheme="minorEastAsia"/>
          <w:spacing w:val="-31"/>
          <w:kern w:val="0"/>
          <w:sz w:val="24"/>
        </w:rPr>
        <w:t>，</w:t>
      </w:r>
      <w:r>
        <w:rPr>
          <w:rFonts w:asciiTheme="minorEastAsia" w:hAnsiTheme="minorEastAsia" w:eastAsiaTheme="minorEastAsia"/>
          <w:kern w:val="0"/>
          <w:sz w:val="24"/>
        </w:rPr>
        <w:t>但投标报价低于其成本的除外</w:t>
      </w:r>
      <w:r>
        <w:rPr>
          <w:rFonts w:asciiTheme="minorEastAsia" w:hAnsiTheme="minorEastAsia" w:eastAsiaTheme="minorEastAsia"/>
          <w:spacing w:val="-31"/>
          <w:kern w:val="0"/>
          <w:sz w:val="24"/>
        </w:rPr>
        <w:t>。</w:t>
      </w:r>
      <w:r>
        <w:rPr>
          <w:rFonts w:asciiTheme="minorEastAsia" w:hAnsiTheme="minorEastAsia" w:eastAsiaTheme="minorEastAsia"/>
          <w:kern w:val="0"/>
          <w:sz w:val="24"/>
        </w:rPr>
        <w:t>综合评分相等时</w:t>
      </w:r>
      <w:r>
        <w:rPr>
          <w:rFonts w:asciiTheme="minorEastAsia" w:hAnsiTheme="minorEastAsia" w:eastAsiaTheme="minorEastAsia"/>
          <w:spacing w:val="-31"/>
          <w:kern w:val="0"/>
          <w:sz w:val="24"/>
        </w:rPr>
        <w:t>，</w:t>
      </w:r>
      <w:r>
        <w:rPr>
          <w:rFonts w:asciiTheme="minorEastAsia" w:hAnsiTheme="minorEastAsia" w:eastAsiaTheme="minorEastAsia"/>
          <w:kern w:val="0"/>
          <w:sz w:val="24"/>
        </w:rPr>
        <w:t>以投标报价低的优先；投标报价也相等的，</w:t>
      </w:r>
      <w:r>
        <w:rPr>
          <w:rFonts w:asciiTheme="minorEastAsia" w:hAnsiTheme="minorEastAsia" w:eastAsiaTheme="minorEastAsia"/>
          <w:sz w:val="24"/>
        </w:rPr>
        <w:t>由评标委员会根据业绩等因</w:t>
      </w:r>
      <w:r>
        <w:rPr>
          <w:rFonts w:asciiTheme="minorEastAsia" w:hAnsiTheme="minorEastAsia" w:eastAsiaTheme="minorEastAsia"/>
          <w:kern w:val="0"/>
          <w:sz w:val="24"/>
        </w:rPr>
        <w:t>素择优确定中标候选人顺序。</w:t>
      </w:r>
    </w:p>
    <w:p>
      <w:pPr>
        <w:pStyle w:val="4"/>
        <w:spacing w:line="420" w:lineRule="exact"/>
      </w:pPr>
      <w:bookmarkStart w:id="470" w:name="_Toc31063"/>
      <w:bookmarkStart w:id="471" w:name="_Toc498503006"/>
      <w:bookmarkStart w:id="472" w:name="_Toc505626525"/>
      <w:r>
        <w:t>2.评审标准</w:t>
      </w:r>
      <w:bookmarkEnd w:id="470"/>
      <w:bookmarkEnd w:id="471"/>
      <w:bookmarkEnd w:id="472"/>
    </w:p>
    <w:p>
      <w:pPr>
        <w:pStyle w:val="5"/>
        <w:spacing w:line="420" w:lineRule="exact"/>
      </w:pPr>
      <w:bookmarkStart w:id="473" w:name="_Toc30201"/>
      <w:bookmarkStart w:id="474" w:name="_Toc27388"/>
      <w:bookmarkStart w:id="475" w:name="_Toc23413"/>
      <w:bookmarkStart w:id="476" w:name="_Toc499204913"/>
      <w:bookmarkStart w:id="477" w:name="_Toc505626526"/>
      <w:bookmarkStart w:id="478" w:name="_Toc498503007"/>
      <w:bookmarkStart w:id="479" w:name="_Toc4162"/>
      <w:r>
        <w:t>2.1初步评审标准</w:t>
      </w:r>
      <w:bookmarkEnd w:id="473"/>
      <w:bookmarkEnd w:id="474"/>
      <w:bookmarkEnd w:id="475"/>
      <w:bookmarkEnd w:id="476"/>
      <w:bookmarkEnd w:id="477"/>
      <w:bookmarkEnd w:id="478"/>
      <w:bookmarkEnd w:id="479"/>
    </w:p>
    <w:p>
      <w:pPr>
        <w:autoSpaceDE w:val="0"/>
        <w:autoSpaceDN w:val="0"/>
        <w:adjustRightInd w:val="0"/>
        <w:spacing w:line="420" w:lineRule="exact"/>
        <w:ind w:left="-2" w:leftChars="-1" w:right="-20" w:firstLine="486" w:firstLineChars="201"/>
        <w:jc w:val="left"/>
        <w:rPr>
          <w:rFonts w:asciiTheme="minorEastAsia" w:hAnsiTheme="minorEastAsia" w:eastAsiaTheme="minorEastAsia"/>
          <w:kern w:val="0"/>
          <w:sz w:val="24"/>
        </w:rPr>
      </w:pPr>
      <w:r>
        <w:rPr>
          <w:rFonts w:asciiTheme="minorEastAsia" w:hAnsiTheme="minorEastAsia" w:eastAsiaTheme="minorEastAsia"/>
          <w:spacing w:val="1"/>
          <w:kern w:val="0"/>
          <w:sz w:val="24"/>
        </w:rPr>
        <w:t>2</w:t>
      </w:r>
      <w:r>
        <w:rPr>
          <w:rFonts w:asciiTheme="minorEastAsia" w:hAnsiTheme="minorEastAsia" w:eastAsiaTheme="minorEastAsia"/>
          <w:kern w:val="0"/>
          <w:sz w:val="24"/>
        </w:rPr>
        <w:t>.1.1形式</w:t>
      </w:r>
      <w:r>
        <w:rPr>
          <w:rFonts w:asciiTheme="minorEastAsia" w:hAnsiTheme="minorEastAsia" w:eastAsiaTheme="minorEastAsia"/>
          <w:spacing w:val="-1"/>
          <w:kern w:val="0"/>
          <w:sz w:val="24"/>
        </w:rPr>
        <w:t>评</w:t>
      </w:r>
      <w:r>
        <w:rPr>
          <w:rFonts w:asciiTheme="minorEastAsia" w:hAnsiTheme="minorEastAsia" w:eastAsiaTheme="minorEastAsia"/>
          <w:kern w:val="0"/>
          <w:sz w:val="24"/>
        </w:rPr>
        <w:t>审标准：见评标办法前附表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2.1.2资格评审标准：见评标办法前附表</w:t>
      </w:r>
      <w:r>
        <w:rPr>
          <w:rFonts w:hint="eastAsia" w:asciiTheme="minorEastAsia" w:hAnsiTheme="minorEastAsia" w:eastAsiaTheme="minorEastAsia"/>
          <w:spacing w:val="1"/>
          <w:kern w:val="0"/>
          <w:sz w:val="24"/>
        </w:rPr>
        <w:t>；</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 xml:space="preserve">2.1.3 </w:t>
      </w:r>
      <w:r>
        <w:rPr>
          <w:rFonts w:hint="eastAsia" w:asciiTheme="minorEastAsia" w:hAnsiTheme="minorEastAsia" w:eastAsiaTheme="minorEastAsia"/>
          <w:spacing w:val="1"/>
          <w:kern w:val="0"/>
          <w:sz w:val="24"/>
        </w:rPr>
        <w:t>响</w:t>
      </w:r>
      <w:r>
        <w:rPr>
          <w:rFonts w:asciiTheme="minorEastAsia" w:hAnsiTheme="minorEastAsia" w:eastAsiaTheme="minorEastAsia"/>
          <w:spacing w:val="1"/>
          <w:kern w:val="0"/>
          <w:sz w:val="24"/>
        </w:rPr>
        <w:t>应性评审标准：见评标办法前附表。</w:t>
      </w:r>
    </w:p>
    <w:p>
      <w:pPr>
        <w:pStyle w:val="5"/>
        <w:spacing w:line="420" w:lineRule="exact"/>
      </w:pPr>
      <w:bookmarkStart w:id="480" w:name="_Toc499204914"/>
      <w:bookmarkStart w:id="481" w:name="_Toc505626527"/>
      <w:bookmarkStart w:id="482" w:name="_Toc12028"/>
      <w:bookmarkStart w:id="483" w:name="_Toc24970"/>
      <w:bookmarkStart w:id="484" w:name="_Toc498503008"/>
      <w:bookmarkStart w:id="485" w:name="_Toc13388"/>
      <w:bookmarkStart w:id="486" w:name="_Toc22876"/>
      <w:r>
        <w:t>2.2分值构成与评分标准</w:t>
      </w:r>
      <w:bookmarkEnd w:id="480"/>
      <w:bookmarkEnd w:id="481"/>
      <w:bookmarkEnd w:id="482"/>
      <w:bookmarkEnd w:id="483"/>
      <w:bookmarkEnd w:id="484"/>
      <w:bookmarkEnd w:id="485"/>
      <w:bookmarkEnd w:id="486"/>
    </w:p>
    <w:p>
      <w:pPr>
        <w:autoSpaceDE w:val="0"/>
        <w:autoSpaceDN w:val="0"/>
        <w:adjustRightInd w:val="0"/>
        <w:spacing w:line="420" w:lineRule="exact"/>
        <w:ind w:left="-2" w:leftChars="-1" w:right="-20" w:firstLine="482" w:firstLineChars="201"/>
        <w:jc w:val="left"/>
        <w:rPr>
          <w:rFonts w:asciiTheme="minorEastAsia" w:hAnsiTheme="minorEastAsia" w:eastAsiaTheme="minorEastAsia"/>
          <w:kern w:val="0"/>
          <w:sz w:val="24"/>
        </w:rPr>
      </w:pPr>
      <w:r>
        <w:rPr>
          <w:rFonts w:asciiTheme="minorEastAsia" w:hAnsiTheme="minorEastAsia" w:eastAsiaTheme="minorEastAsia"/>
          <w:kern w:val="0"/>
          <w:sz w:val="24"/>
        </w:rPr>
        <w:t>2.2.1分值构成</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（4）其他评分因素：见评标办法前附表。</w:t>
      </w:r>
    </w:p>
    <w:p>
      <w:pPr>
        <w:autoSpaceDE w:val="0"/>
        <w:autoSpaceDN w:val="0"/>
        <w:adjustRightInd w:val="0"/>
        <w:spacing w:line="420" w:lineRule="exact"/>
        <w:ind w:left="-2" w:leftChars="-1" w:right="-20" w:firstLine="486" w:firstLineChars="201"/>
        <w:jc w:val="left"/>
        <w:rPr>
          <w:rFonts w:asciiTheme="minorEastAsia" w:hAnsiTheme="minorEastAsia" w:eastAsiaTheme="minorEastAsia"/>
          <w:spacing w:val="1"/>
          <w:kern w:val="0"/>
          <w:sz w:val="24"/>
        </w:rPr>
      </w:pPr>
      <w:r>
        <w:rPr>
          <w:rFonts w:asciiTheme="minorEastAsia" w:hAnsiTheme="minorEastAsia" w:eastAsiaTheme="minorEastAsia"/>
          <w:spacing w:val="1"/>
          <w:kern w:val="0"/>
          <w:sz w:val="24"/>
        </w:rPr>
        <w:t>2.2.2 评分标准</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（1）监理大纲评分标准：见评标办法前附表；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（2）商务</w:t>
      </w:r>
      <w:r>
        <w:rPr>
          <w:rFonts w:hint="eastAsia" w:asciiTheme="minorEastAsia" w:hAnsiTheme="minorEastAsia" w:eastAsiaTheme="minorEastAsia"/>
          <w:kern w:val="0"/>
          <w:sz w:val="24"/>
        </w:rPr>
        <w:t>部分</w:t>
      </w:r>
      <w:r>
        <w:rPr>
          <w:rFonts w:asciiTheme="minorEastAsia" w:hAnsiTheme="minorEastAsia" w:eastAsiaTheme="minorEastAsia"/>
          <w:kern w:val="0"/>
          <w:sz w:val="24"/>
        </w:rPr>
        <w:t>评分标准：见评标办法前附表；</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（3）投标报价评分标准：见评标办法前附表</w:t>
      </w:r>
      <w:r>
        <w:rPr>
          <w:rFonts w:hint="eastAsia" w:asciiTheme="minorEastAsia" w:hAnsiTheme="minorEastAsia" w:eastAsiaTheme="minorEastAsia"/>
          <w:kern w:val="0"/>
          <w:sz w:val="24"/>
        </w:rPr>
        <w:t>；</w:t>
      </w:r>
    </w:p>
    <w:p>
      <w:pPr>
        <w:autoSpaceDE w:val="0"/>
        <w:autoSpaceDN w:val="0"/>
        <w:adjustRightInd w:val="0"/>
        <w:spacing w:line="420" w:lineRule="exact"/>
        <w:ind w:left="838" w:right="-20" w:firstLine="14" w:firstLineChars="6"/>
        <w:jc w:val="left"/>
        <w:rPr>
          <w:rFonts w:asciiTheme="minorEastAsia" w:hAnsiTheme="minorEastAsia" w:eastAsiaTheme="minorEastAsia"/>
          <w:kern w:val="0"/>
          <w:sz w:val="24"/>
        </w:rPr>
      </w:pPr>
      <w:r>
        <w:rPr>
          <w:rFonts w:asciiTheme="minorEastAsia" w:hAnsiTheme="minorEastAsia" w:eastAsiaTheme="minorEastAsia"/>
          <w:kern w:val="0"/>
          <w:sz w:val="24"/>
        </w:rPr>
        <w:t>（4）其他因素评分标准：见评标办法前附表。</w:t>
      </w:r>
    </w:p>
    <w:p>
      <w:pPr>
        <w:pStyle w:val="4"/>
        <w:spacing w:line="420" w:lineRule="exact"/>
      </w:pPr>
      <w:bookmarkStart w:id="487" w:name="_Toc31443"/>
      <w:bookmarkStart w:id="488" w:name="_Toc498503009"/>
      <w:bookmarkStart w:id="489" w:name="_Toc505626528"/>
      <w:r>
        <w:t>3.评标程序</w:t>
      </w:r>
      <w:bookmarkEnd w:id="487"/>
      <w:bookmarkEnd w:id="488"/>
      <w:bookmarkEnd w:id="489"/>
    </w:p>
    <w:p>
      <w:pPr>
        <w:pStyle w:val="5"/>
        <w:spacing w:line="420" w:lineRule="exact"/>
        <w:rPr>
          <w:spacing w:val="1"/>
        </w:rPr>
      </w:pPr>
      <w:bookmarkStart w:id="490" w:name="_Toc505626529"/>
      <w:bookmarkStart w:id="491" w:name="_Toc24658"/>
      <w:bookmarkStart w:id="492" w:name="_Toc499204916"/>
      <w:bookmarkStart w:id="493" w:name="_Toc498503010"/>
      <w:bookmarkStart w:id="494" w:name="_Toc32372"/>
      <w:bookmarkStart w:id="495" w:name="_Toc7938"/>
      <w:r>
        <w:t>3.1初步评审</w:t>
      </w:r>
      <w:bookmarkEnd w:id="490"/>
      <w:bookmarkEnd w:id="491"/>
      <w:bookmarkEnd w:id="492"/>
      <w:bookmarkEnd w:id="493"/>
      <w:bookmarkEnd w:id="494"/>
      <w:bookmarkEnd w:id="495"/>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3.1.1</w:t>
      </w:r>
      <w:r>
        <w:rPr>
          <w:rFonts w:asciiTheme="minorEastAsia" w:hAnsiTheme="minorEastAsia" w:eastAsiaTheme="minorEastAsia"/>
          <w:spacing w:val="1"/>
          <w:sz w:val="24"/>
        </w:rPr>
        <w:t>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3.1.2 投标人有以下情形之一的，评标委员会应当否决其投标：</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（1）投标文件没有对招标文件的实质性要求和条件作出响应，或者对招标文件的偏差超出招标文件规定的偏差范围或最高项数；</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（2）有串通投标、弄虚作假、行贿等违法行为。</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3.1.3</w:t>
      </w:r>
      <w:r>
        <w:rPr>
          <w:rFonts w:asciiTheme="minorEastAsia" w:hAnsiTheme="minorEastAsia" w:eastAsiaTheme="minorEastAsia"/>
          <w:spacing w:val="1"/>
          <w:sz w:val="24"/>
        </w:rPr>
        <w:t>投标报价有算术错误及其他错误的，评标委员会按以下原则要求投标人对投标报价进 行修正，并要求投标人书面澄清确认。投标人拒不澄清确认的，评标委员会应当否决其投标：</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asciiTheme="minorEastAsia" w:hAnsiTheme="minorEastAsia" w:eastAsiaTheme="minorEastAsia"/>
          <w:spacing w:val="1"/>
          <w:sz w:val="24"/>
        </w:rPr>
        <w:t>（1）投标文件中的大写金额与小写金额不一致的，以大写金额为准； （2）总价金额与单价金额不一致的，以单价金额为准，但单价金额小数点有明显错误的除外。</w:t>
      </w:r>
    </w:p>
    <w:p>
      <w:pPr>
        <w:pStyle w:val="5"/>
        <w:spacing w:line="420" w:lineRule="exact"/>
        <w:rPr>
          <w:spacing w:val="1"/>
        </w:rPr>
      </w:pPr>
      <w:bookmarkStart w:id="496" w:name="_Toc505626530"/>
      <w:r>
        <w:rPr>
          <w:rFonts w:hint="eastAsia"/>
        </w:rPr>
        <w:t>3.2</w:t>
      </w:r>
      <w:r>
        <w:t>详细评审</w:t>
      </w:r>
      <w:bookmarkEnd w:id="496"/>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3.2.1</w:t>
      </w:r>
      <w:r>
        <w:rPr>
          <w:rFonts w:asciiTheme="minorEastAsia" w:hAnsiTheme="minorEastAsia" w:eastAsiaTheme="minorEastAsia"/>
          <w:spacing w:val="1"/>
          <w:sz w:val="24"/>
        </w:rPr>
        <w:t>评标委员会按本章第 2.2 款规定的量化因素和分值进行打分，并计算出综合评估得分。</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（1）按本章第 2.2.4（1）目规定的评审因素和分值对资信业绩部分计算出得分 A；</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（2）按本章第 2.2.4（2）目规定的评审因素和分值对监理大纲部分计算出得分 B；</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（3）按本章第 2.2.4（3）目规定的评审因素和分值对投标报价计算出得分 C；</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asciiTheme="minorEastAsia" w:hAnsiTheme="minorEastAsia" w:eastAsiaTheme="minorEastAsia"/>
          <w:spacing w:val="1"/>
          <w:sz w:val="24"/>
        </w:rPr>
        <w:t>（4）按本章第 2.2.4（4）目规定的评审因素和分值对其他部分计算出得分 D。</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3.2.2</w:t>
      </w:r>
      <w:r>
        <w:rPr>
          <w:rFonts w:asciiTheme="minorEastAsia" w:hAnsiTheme="minorEastAsia" w:eastAsiaTheme="minorEastAsia"/>
          <w:spacing w:val="1"/>
          <w:sz w:val="24"/>
        </w:rPr>
        <w:t>评分分值计算保留小数点后两位，小数点后第三位“四舍五入”。</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3.2.3</w:t>
      </w:r>
      <w:r>
        <w:rPr>
          <w:rFonts w:asciiTheme="minorEastAsia" w:hAnsiTheme="minorEastAsia" w:eastAsiaTheme="minorEastAsia"/>
          <w:spacing w:val="1"/>
          <w:sz w:val="24"/>
        </w:rPr>
        <w:t>投标人得分=A+B+C+D。</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3.2.4</w:t>
      </w:r>
      <w:r>
        <w:rPr>
          <w:rFonts w:asciiTheme="minorEastAsia" w:hAnsiTheme="minorEastAsia" w:eastAsiaTheme="minorEastAsia"/>
          <w:spacing w:val="1"/>
          <w:sz w:val="24"/>
        </w:rPr>
        <w:t>评标委员会发现投标人的报价明显低于其他投标报价，使得其投标报价可能低于其个 别成本的，应当要求该投标人作出书面说明并提供相应的证明材料。投标人不能合理说明或者 不能提供相应证明材料的，评标委员会应当认定该投标人以低于成本报价竞标，并否决其投标。</w:t>
      </w:r>
    </w:p>
    <w:p>
      <w:pPr>
        <w:pStyle w:val="5"/>
        <w:spacing w:line="420" w:lineRule="exact"/>
      </w:pPr>
      <w:bookmarkStart w:id="497" w:name="_Toc505626531"/>
      <w:r>
        <w:rPr>
          <w:rFonts w:hint="eastAsia"/>
        </w:rPr>
        <w:t>3.3</w:t>
      </w:r>
      <w:r>
        <w:t>投标文件的澄清</w:t>
      </w:r>
      <w:bookmarkEnd w:id="497"/>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3.3.1</w:t>
      </w:r>
      <w:r>
        <w:rPr>
          <w:rFonts w:asciiTheme="minorEastAsia" w:hAnsiTheme="minorEastAsia" w:eastAsiaTheme="minorEastAsia"/>
          <w:spacing w:val="1"/>
          <w:sz w:val="24"/>
        </w:rPr>
        <w:t>在评标过程中，评标委员会可以书面形式要求投标人对投标文件中含义不明确、对同</w:t>
      </w:r>
      <w:bookmarkStart w:id="498" w:name="page46"/>
      <w:bookmarkEnd w:id="498"/>
      <w:r>
        <w:rPr>
          <w:rFonts w:asciiTheme="minorEastAsia" w:hAnsiTheme="minorEastAsia" w:eastAsiaTheme="minorEastAsia"/>
          <w:spacing w:val="1"/>
          <w:sz w:val="24"/>
        </w:rPr>
        <w:t>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3.3.2</w:t>
      </w:r>
      <w:r>
        <w:rPr>
          <w:rFonts w:asciiTheme="minorEastAsia" w:hAnsiTheme="minorEastAsia" w:eastAsiaTheme="minorEastAsia"/>
          <w:spacing w:val="1"/>
          <w:sz w:val="24"/>
        </w:rPr>
        <w:t>澄清、说明或补正不得超出投标文件的范围且不得改变投标文件的实质性内容，并构 成投标文件的组成部分。</w:t>
      </w:r>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3.3.3</w:t>
      </w:r>
      <w:r>
        <w:rPr>
          <w:rFonts w:asciiTheme="minorEastAsia" w:hAnsiTheme="minorEastAsia" w:eastAsiaTheme="minorEastAsia"/>
          <w:spacing w:val="1"/>
          <w:sz w:val="24"/>
        </w:rPr>
        <w:t>评标委员会对投标人提交的澄清、说明或补正有疑问的，可以要求投标人进一步澄清、 说明或补正，直至满足评标委员会的要求。</w:t>
      </w:r>
    </w:p>
    <w:p>
      <w:pPr>
        <w:pStyle w:val="5"/>
        <w:spacing w:line="420" w:lineRule="exact"/>
        <w:rPr>
          <w:spacing w:val="1"/>
        </w:rPr>
      </w:pPr>
      <w:bookmarkStart w:id="499" w:name="_Toc505626532"/>
      <w:r>
        <w:rPr>
          <w:rFonts w:hint="eastAsia"/>
        </w:rPr>
        <w:t>3.4</w:t>
      </w:r>
      <w:r>
        <w:t>评标结果</w:t>
      </w:r>
      <w:bookmarkEnd w:id="499"/>
    </w:p>
    <w:p>
      <w:pPr>
        <w:autoSpaceDE w:val="0"/>
        <w:autoSpaceDN w:val="0"/>
        <w:adjustRightInd w:val="0"/>
        <w:spacing w:line="420" w:lineRule="exact"/>
        <w:ind w:left="1" w:right="-20" w:firstLine="423" w:firstLineChars="175"/>
        <w:jc w:val="left"/>
        <w:rPr>
          <w:rFonts w:asciiTheme="minorEastAsia" w:hAnsiTheme="minorEastAsia"/>
          <w:spacing w:val="1"/>
          <w:sz w:val="24"/>
        </w:rPr>
      </w:pPr>
      <w:r>
        <w:rPr>
          <w:rFonts w:hint="eastAsia" w:asciiTheme="minorEastAsia" w:hAnsiTheme="minorEastAsia"/>
          <w:spacing w:val="1"/>
          <w:sz w:val="24"/>
        </w:rPr>
        <w:t>3.4.1</w:t>
      </w:r>
      <w:r>
        <w:rPr>
          <w:rFonts w:asciiTheme="minorEastAsia" w:hAnsiTheme="minorEastAsia" w:eastAsiaTheme="minorEastAsia"/>
          <w:spacing w:val="1"/>
          <w:sz w:val="24"/>
        </w:rPr>
        <w:t>除第二章“投标人须知”前附表授权直接确定中标人外，评标委员会按照得分由高到低的顺序推荐中标候选人，并标明排序。</w:t>
      </w:r>
    </w:p>
    <w:p>
      <w:pPr>
        <w:autoSpaceDE w:val="0"/>
        <w:autoSpaceDN w:val="0"/>
        <w:adjustRightInd w:val="0"/>
        <w:spacing w:line="420" w:lineRule="exact"/>
        <w:ind w:left="1" w:right="-20" w:firstLine="423" w:firstLineChars="175"/>
        <w:rPr>
          <w:rFonts w:asciiTheme="minorEastAsia" w:hAnsiTheme="minorEastAsia"/>
          <w:spacing w:val="1"/>
          <w:sz w:val="24"/>
        </w:rPr>
      </w:pPr>
      <w:r>
        <w:rPr>
          <w:rFonts w:hint="eastAsia" w:asciiTheme="minorEastAsia" w:hAnsiTheme="minorEastAsia"/>
          <w:spacing w:val="1"/>
          <w:sz w:val="24"/>
        </w:rPr>
        <w:t>3.4.2</w:t>
      </w:r>
      <w:r>
        <w:rPr>
          <w:rFonts w:asciiTheme="minorEastAsia" w:hAnsiTheme="minorEastAsia" w:eastAsiaTheme="minorEastAsia"/>
          <w:spacing w:val="1"/>
          <w:sz w:val="24"/>
        </w:rPr>
        <w:t>评标委员会完成评标后，应当向招标人提交书面评标报告和中标候选人名单。</w:t>
      </w:r>
    </w:p>
    <w:p>
      <w:pPr>
        <w:autoSpaceDE w:val="0"/>
        <w:autoSpaceDN w:val="0"/>
        <w:adjustRightInd w:val="0"/>
        <w:spacing w:before="64" w:line="360" w:lineRule="auto"/>
        <w:ind w:left="1" w:right="-20" w:firstLine="423" w:firstLineChars="175"/>
        <w:jc w:val="left"/>
        <w:rPr>
          <w:rFonts w:asciiTheme="minorEastAsia" w:hAnsiTheme="minorEastAsia" w:eastAsiaTheme="minorEastAsia"/>
          <w:spacing w:val="1"/>
          <w:kern w:val="0"/>
          <w:sz w:val="24"/>
        </w:rPr>
      </w:pPr>
    </w:p>
    <w:p/>
    <w:p>
      <w:pPr>
        <w:pStyle w:val="3"/>
      </w:pPr>
      <w:bookmarkStart w:id="500" w:name="_Toc496098711"/>
      <w:bookmarkStart w:id="501" w:name="_Toc505626533"/>
      <w:r>
        <w:rPr>
          <w:rFonts w:hint="eastAsia"/>
        </w:rPr>
        <w:t xml:space="preserve">第四章 </w:t>
      </w:r>
      <w:r>
        <w:t>合同条款及格式</w:t>
      </w:r>
      <w:bookmarkEnd w:id="500"/>
      <w:bookmarkEnd w:id="501"/>
    </w:p>
    <w:p>
      <w:pPr>
        <w:ind w:firstLine="420"/>
        <w:rPr>
          <w:rFonts w:ascii="宋体" w:hAnsi="宋体" w:cs="宋体"/>
          <w:bCs/>
          <w:szCs w:val="21"/>
        </w:rPr>
      </w:pPr>
    </w:p>
    <w:p>
      <w:pPr>
        <w:rPr>
          <w:rFonts w:ascii="宋体" w:hAnsi="宋体" w:cs="宋体"/>
          <w:bCs/>
        </w:rPr>
      </w:pPr>
    </w:p>
    <w:p>
      <w:pPr>
        <w:rPr>
          <w:rFonts w:ascii="宋体" w:hAnsi="宋体" w:cs="宋体"/>
          <w:bCs/>
          <w:szCs w:val="21"/>
        </w:rPr>
      </w:pPr>
    </w:p>
    <w:p>
      <w:pPr>
        <w:spacing w:line="360" w:lineRule="auto"/>
        <w:jc w:val="center"/>
        <w:rPr>
          <w:rFonts w:ascii="宋体" w:hAnsi="宋体" w:cs="宋体"/>
          <w:bCs/>
          <w:sz w:val="24"/>
        </w:rPr>
      </w:pPr>
      <w:r>
        <w:rPr>
          <w:rFonts w:hint="eastAsia" w:ascii="宋体" w:hAnsi="宋体" w:cs="宋体"/>
          <w:b/>
          <w:bCs/>
          <w:sz w:val="24"/>
        </w:rPr>
        <w:t>房屋建筑和市政工程等工程监理项目招标可以使用《建设工程监理合同（示范文本）》（GF-2012-0202）</w:t>
      </w:r>
      <w:r>
        <w:rPr>
          <w:rFonts w:ascii="宋体" w:hAnsi="宋体" w:cs="宋体"/>
          <w:bCs/>
          <w:sz w:val="24"/>
        </w:rPr>
        <w:br w:type="page"/>
      </w:r>
    </w:p>
    <w:p>
      <w:pPr>
        <w:pStyle w:val="3"/>
        <w:rPr>
          <w:b/>
          <w:bCs w:val="0"/>
        </w:rPr>
      </w:pPr>
      <w:bookmarkStart w:id="502" w:name="_Toc505626534"/>
      <w:bookmarkStart w:id="503" w:name="_Toc281225318"/>
      <w:bookmarkStart w:id="504" w:name="_Toc496098807"/>
      <w:bookmarkStart w:id="505" w:name="_Toc273359023"/>
      <w:bookmarkStart w:id="506" w:name="_Toc2092"/>
      <w:bookmarkStart w:id="507" w:name="_Toc271636160"/>
      <w:r>
        <w:rPr>
          <w:rFonts w:hint="eastAsia"/>
          <w:b/>
          <w:bCs w:val="0"/>
        </w:rPr>
        <w:t xml:space="preserve">第五章 </w:t>
      </w:r>
      <w:bookmarkStart w:id="508" w:name="_Toc210819281"/>
      <w:bookmarkStart w:id="509" w:name="_Toc279350879"/>
      <w:r>
        <w:rPr>
          <w:rFonts w:hint="eastAsia"/>
          <w:b/>
          <w:bCs w:val="0"/>
        </w:rPr>
        <w:t>委托人要求</w:t>
      </w:r>
      <w:bookmarkEnd w:id="502"/>
      <w:bookmarkEnd w:id="508"/>
      <w:bookmarkEnd w:id="509"/>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委托人要求通常包括但不限于以下内容：</w:t>
      </w:r>
    </w:p>
    <w:p>
      <w:pPr>
        <w:adjustRightInd w:val="0"/>
        <w:snapToGrid w:val="0"/>
        <w:spacing w:line="400" w:lineRule="exact"/>
        <w:rPr>
          <w:rFonts w:asciiTheme="minorEastAsia" w:hAnsiTheme="minorEastAsia" w:eastAsiaTheme="minorEastAsia"/>
          <w:b/>
          <w:spacing w:val="-4"/>
          <w:sz w:val="24"/>
        </w:rPr>
      </w:pPr>
      <w:r>
        <w:rPr>
          <w:rFonts w:asciiTheme="minorEastAsia" w:hAnsiTheme="minorEastAsia" w:eastAsiaTheme="minorEastAsia"/>
          <w:b/>
          <w:spacing w:val="-4"/>
          <w:sz w:val="24"/>
        </w:rPr>
        <w:t>一、监理要求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招标人应当根据项目情况在本章中明确相应的监理要求，一般应包括以下内容：</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项目概况</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包括项目名称、建设单位、建设规模、项目地理位置、周边环境、树木情况、文物情况、地址地貌、气候及气象条件、道路交通状况、市政情况等。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监理范围及内容</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监理依据</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监理人员和试验检测仪器设备要求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其他要求</w:t>
      </w:r>
    </w:p>
    <w:p>
      <w:pPr>
        <w:adjustRightInd w:val="0"/>
        <w:snapToGrid w:val="0"/>
        <w:spacing w:line="400" w:lineRule="exact"/>
        <w:rPr>
          <w:rFonts w:asciiTheme="minorEastAsia" w:hAnsiTheme="minorEastAsia" w:eastAsiaTheme="minorEastAsia"/>
          <w:b/>
          <w:spacing w:val="-4"/>
          <w:sz w:val="24"/>
        </w:rPr>
      </w:pPr>
      <w:r>
        <w:rPr>
          <w:rFonts w:asciiTheme="minorEastAsia" w:hAnsiTheme="minorEastAsia" w:eastAsiaTheme="minorEastAsia"/>
          <w:b/>
          <w:spacing w:val="-4"/>
          <w:sz w:val="24"/>
        </w:rPr>
        <w:t>二、适用规范标准</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国家、行业、项目所在地规范名录</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国家、行业、项目所在地标准名录</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国家、行业、项目所在地规程名录</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三、成果文件要求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成果文件的组成</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成果文件的深度</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成果文件的格式要求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成果文件的份数要求</w:t>
      </w:r>
    </w:p>
    <w:p>
      <w:pPr>
        <w:adjustRightInd w:val="0"/>
        <w:snapToGrid w:val="0"/>
        <w:spacing w:line="400" w:lineRule="exact"/>
        <w:ind w:firstLine="696" w:firstLineChars="300"/>
        <w:rPr>
          <w:rFonts w:asciiTheme="minorEastAsia" w:hAnsi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成果文件的载体要求</w:t>
      </w:r>
    </w:p>
    <w:p>
      <w:pPr>
        <w:adjustRightInd w:val="0"/>
        <w:snapToGrid w:val="0"/>
        <w:spacing w:line="400" w:lineRule="exact"/>
        <w:ind w:firstLine="696" w:firstLineChars="300"/>
        <w:rPr>
          <w:rFonts w:asciiTheme="minorEastAsia" w:hAnsiTheme="minorEastAsia"/>
          <w:spacing w:val="-4"/>
          <w:sz w:val="24"/>
        </w:rPr>
      </w:pPr>
      <w:r>
        <w:rPr>
          <w:rFonts w:asciiTheme="minorEastAsia" w:hAnsiTheme="minorEastAsia" w:eastAsiaTheme="minorEastAsia"/>
          <w:spacing w:val="-4"/>
          <w:sz w:val="24"/>
        </w:rPr>
        <w:t>（1）纸质版的要求；</w:t>
      </w:r>
    </w:p>
    <w:p>
      <w:pPr>
        <w:adjustRightInd w:val="0"/>
        <w:snapToGrid w:val="0"/>
        <w:spacing w:line="400" w:lineRule="exact"/>
        <w:ind w:firstLine="696" w:firstLineChars="300"/>
        <w:rPr>
          <w:rFonts w:asciiTheme="minorEastAsia" w:hAnsiTheme="minorEastAsia"/>
          <w:spacing w:val="-4"/>
          <w:sz w:val="24"/>
        </w:rPr>
      </w:pPr>
      <w:r>
        <w:rPr>
          <w:rFonts w:asciiTheme="minorEastAsia" w:hAnsiTheme="minorEastAsia" w:eastAsiaTheme="minorEastAsia"/>
          <w:spacing w:val="-4"/>
          <w:sz w:val="24"/>
        </w:rPr>
        <w:t>（2）电子版的要求；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（3）其他要求。</w:t>
      </w:r>
    </w:p>
    <w:p>
      <w:pPr>
        <w:adjustRightInd w:val="0"/>
        <w:snapToGrid w:val="0"/>
        <w:spacing w:line="400" w:lineRule="exact"/>
        <w:ind w:firstLine="696" w:firstLineChars="300"/>
        <w:rPr>
          <w:rFonts w:asciiTheme="minorEastAsia" w:hAnsiTheme="minorEastAsia" w:eastAsiaTheme="minorEastAsia"/>
          <w:spacing w:val="-4"/>
          <w:sz w:val="24"/>
        </w:rPr>
      </w:pPr>
      <w:bookmarkStart w:id="510" w:name="page72"/>
      <w:bookmarkEnd w:id="510"/>
      <w:r>
        <w:rPr>
          <w:rFonts w:hint="eastAsia" w:asciiTheme="minorEastAsia" w:hAnsiTheme="minorEastAsia"/>
          <w:spacing w:val="-4"/>
          <w:sz w:val="24"/>
        </w:rPr>
        <w:t>6.</w:t>
      </w:r>
      <w:r>
        <w:rPr>
          <w:rFonts w:asciiTheme="minorEastAsia" w:hAnsiTheme="minorEastAsia" w:eastAsiaTheme="minorEastAsia"/>
          <w:spacing w:val="-4"/>
          <w:sz w:val="24"/>
        </w:rPr>
        <w:t>成果文件的其他要求</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四、委托人财产清单</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（一）委托人提供的设备、设施</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委托人提供的办公房屋及冷暖设施：如办公室数量及面积、空调等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委托人提供的设备清单：如电脑、投影、打印机、复印机等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委托人提供的设施清单：如办公桌椅、文件柜等</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（二）委托人提供的资料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施工场地及毗邻区域内的供水、排水、供电、供气、供热、通信、广播电视等地下管线资料、气象和水文观测资料，相邻建筑物和构筑物、地下工程的有关资料，以及其他与建设工程有关的原始资料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定位放线的基准点、基准线和基准标高</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委托人取得的有关审批、核准和备案材料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勘察文件、设计文件等资料</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技术标准、规范</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6.</w:t>
      </w:r>
      <w:r>
        <w:rPr>
          <w:rFonts w:asciiTheme="minorEastAsia" w:hAnsiTheme="minorEastAsia" w:eastAsiaTheme="minorEastAsia"/>
          <w:spacing w:val="-4"/>
          <w:sz w:val="24"/>
        </w:rPr>
        <w:t>工程承包合同及其他相关合同</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7.</w:t>
      </w:r>
      <w:r>
        <w:rPr>
          <w:rFonts w:asciiTheme="minorEastAsia" w:hAnsiTheme="minorEastAsia" w:eastAsiaTheme="minorEastAsia"/>
          <w:spacing w:val="-4"/>
          <w:sz w:val="24"/>
        </w:rPr>
        <w:t>其他资料</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（三）委托人财产使用要求及退还要求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委托人财产使用要求</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委托人财产退还要求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五、委托人提供的便利条件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委托人提供的生活条件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委托人提供的交通条件</w:t>
      </w:r>
    </w:p>
    <w:p>
      <w:pPr>
        <w:adjustRightInd w:val="0"/>
        <w:snapToGrid w:val="0"/>
        <w:spacing w:line="400" w:lineRule="exact"/>
        <w:ind w:firstLine="696" w:firstLineChars="300"/>
        <w:rPr>
          <w:rFonts w:asciiTheme="minorEastAsia" w:hAnsiTheme="minorEastAsia" w:eastAsiaTheme="minorEastAsia"/>
          <w:spacing w:val="-4"/>
          <w:sz w:val="24"/>
        </w:rPr>
      </w:pPr>
      <w:bookmarkStart w:id="511" w:name="page73"/>
      <w:bookmarkEnd w:id="511"/>
      <w:r>
        <w:rPr>
          <w:rFonts w:hint="eastAsia" w:asciiTheme="minorEastAsia" w:hAnsiTheme="minorEastAsia"/>
          <w:spacing w:val="-4"/>
          <w:sz w:val="24"/>
        </w:rPr>
        <w:t>3.</w:t>
      </w:r>
      <w:r>
        <w:rPr>
          <w:rFonts w:asciiTheme="minorEastAsia" w:hAnsiTheme="minorEastAsia" w:eastAsiaTheme="minorEastAsia"/>
          <w:spacing w:val="-4"/>
          <w:sz w:val="24"/>
        </w:rPr>
        <w:t>委托人提供的网络、通讯条件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委托人提供的协助人员</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六、监理人需要自备的工作条件</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1.</w:t>
      </w:r>
      <w:r>
        <w:rPr>
          <w:rFonts w:asciiTheme="minorEastAsia" w:hAnsiTheme="minorEastAsia" w:eastAsiaTheme="minorEastAsia"/>
          <w:spacing w:val="-4"/>
          <w:sz w:val="24"/>
        </w:rPr>
        <w:t>监理人自备的工作手册：如本项目必备的规范标准、图集等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2.</w:t>
      </w:r>
      <w:r>
        <w:rPr>
          <w:rFonts w:asciiTheme="minorEastAsia" w:hAnsiTheme="minorEastAsia" w:eastAsiaTheme="minorEastAsia"/>
          <w:spacing w:val="-4"/>
          <w:sz w:val="24"/>
        </w:rPr>
        <w:t>监理人自备的办公设备：如电脑、软件、投影、打印机、复印机、照相机等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3.</w:t>
      </w:r>
      <w:r>
        <w:rPr>
          <w:rFonts w:asciiTheme="minorEastAsia" w:hAnsiTheme="minorEastAsia" w:eastAsiaTheme="minorEastAsia"/>
          <w:spacing w:val="-4"/>
          <w:sz w:val="24"/>
        </w:rPr>
        <w:t>监理人自备的交通工具：如出行车辆等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4.</w:t>
      </w:r>
      <w:r>
        <w:rPr>
          <w:rFonts w:asciiTheme="minorEastAsia" w:hAnsiTheme="minorEastAsia" w:eastAsiaTheme="minorEastAsia"/>
          <w:spacing w:val="-4"/>
          <w:sz w:val="24"/>
        </w:rPr>
        <w:t>监理人自备的现场办公设施：如办公桌椅、文件柜等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5.</w:t>
      </w:r>
      <w:r>
        <w:rPr>
          <w:rFonts w:asciiTheme="minorEastAsia" w:hAnsiTheme="minorEastAsia" w:eastAsiaTheme="minorEastAsia"/>
          <w:spacing w:val="-4"/>
          <w:sz w:val="24"/>
        </w:rPr>
        <w:t>监理人自备的安全设施：如安全帽、安全鞋、手电筒等</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6.</w:t>
      </w:r>
      <w:r>
        <w:rPr>
          <w:rFonts w:asciiTheme="minorEastAsia" w:hAnsiTheme="minorEastAsia" w:eastAsiaTheme="minorEastAsia"/>
          <w:spacing w:val="-4"/>
          <w:sz w:val="24"/>
        </w:rPr>
        <w:t>监理人自备的试验检测仪器、设备、工具</w:t>
      </w:r>
    </w:p>
    <w:p>
      <w:pPr>
        <w:adjustRightInd w:val="0"/>
        <w:snapToGrid w:val="0"/>
        <w:spacing w:line="400" w:lineRule="exact"/>
        <w:ind w:firstLine="696" w:firstLineChars="300"/>
        <w:rPr>
          <w:rFonts w:asciiTheme="minorEastAsia" w:hAnsiTheme="minorEastAsia" w:eastAsiaTheme="minorEastAsia"/>
          <w:spacing w:val="-4"/>
          <w:sz w:val="24"/>
        </w:rPr>
      </w:pPr>
      <w:r>
        <w:rPr>
          <w:rFonts w:hint="eastAsia" w:asciiTheme="minorEastAsia" w:hAnsiTheme="minorEastAsia"/>
          <w:spacing w:val="-4"/>
          <w:sz w:val="24"/>
        </w:rPr>
        <w:t>7.</w:t>
      </w:r>
      <w:r>
        <w:rPr>
          <w:rFonts w:asciiTheme="minorEastAsia" w:hAnsiTheme="minorEastAsia" w:eastAsiaTheme="minorEastAsia"/>
          <w:spacing w:val="-4"/>
          <w:sz w:val="24"/>
        </w:rPr>
        <w:t>监理人自备的试验用房、样品用房</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w:t>
      </w:r>
    </w:p>
    <w:p>
      <w:pPr>
        <w:adjustRightInd w:val="0"/>
        <w:snapToGrid w:val="0"/>
        <w:spacing w:line="400" w:lineRule="exact"/>
        <w:rPr>
          <w:rFonts w:asciiTheme="minorEastAsia" w:hAnsiTheme="minorEastAsia" w:eastAsiaTheme="minorEastAsia"/>
          <w:spacing w:val="-4"/>
          <w:sz w:val="24"/>
        </w:rPr>
      </w:pPr>
      <w:r>
        <w:rPr>
          <w:rFonts w:asciiTheme="minorEastAsia" w:hAnsiTheme="minorEastAsia" w:eastAsiaTheme="minorEastAsia"/>
          <w:b/>
          <w:spacing w:val="-4"/>
          <w:sz w:val="24"/>
        </w:rPr>
        <w:t>七、委托人的其他要求</w:t>
      </w:r>
    </w:p>
    <w:p>
      <w:pPr>
        <w:adjustRightInd w:val="0"/>
        <w:snapToGrid w:val="0"/>
        <w:spacing w:line="400" w:lineRule="exact"/>
        <w:ind w:firstLine="696" w:firstLineChars="300"/>
        <w:rPr>
          <w:rFonts w:asciiTheme="minorEastAsia" w:hAnsiTheme="minorEastAsia" w:eastAsiaTheme="minorEastAsia"/>
          <w:spacing w:val="-4"/>
          <w:sz w:val="24"/>
        </w:rPr>
      </w:pPr>
      <w:r>
        <w:rPr>
          <w:rFonts w:asciiTheme="minorEastAsia" w:hAnsiTheme="minorEastAsia" w:eastAsiaTheme="minorEastAsia"/>
          <w:spacing w:val="-4"/>
          <w:sz w:val="24"/>
        </w:rPr>
        <w:t>委托人的其他要求</w:t>
      </w:r>
    </w:p>
    <w:p>
      <w:pPr>
        <w:adjustRightInd w:val="0"/>
        <w:snapToGrid w:val="0"/>
        <w:spacing w:line="400" w:lineRule="exact"/>
        <w:ind w:firstLine="696" w:firstLineChars="300"/>
        <w:rPr>
          <w:rFonts w:ascii="宋体" w:hAnsi="宋体"/>
        </w:rPr>
      </w:pPr>
      <w:r>
        <w:rPr>
          <w:rFonts w:asciiTheme="minorEastAsia" w:hAnsiTheme="minorEastAsia" w:eastAsiaTheme="minorEastAsia"/>
          <w:spacing w:val="-4"/>
          <w:sz w:val="24"/>
        </w:rPr>
        <w:t>……</w:t>
      </w:r>
      <w:bookmarkEnd w:id="503"/>
      <w:bookmarkEnd w:id="504"/>
      <w:bookmarkEnd w:id="505"/>
      <w:bookmarkEnd w:id="506"/>
      <w:bookmarkEnd w:id="507"/>
    </w:p>
    <w:p>
      <w:pPr>
        <w:pStyle w:val="3"/>
      </w:pPr>
      <w:bookmarkStart w:id="512" w:name="_Toc496098809"/>
      <w:bookmarkStart w:id="513" w:name="_Toc144974855"/>
      <w:bookmarkStart w:id="514" w:name="_Toc14708"/>
      <w:bookmarkStart w:id="515" w:name="_Toc152045786"/>
      <w:bookmarkStart w:id="516" w:name="_Toc152042575"/>
      <w:bookmarkStart w:id="517" w:name="_Toc273359042"/>
      <w:bookmarkStart w:id="518" w:name="_Toc505626535"/>
      <w:bookmarkStart w:id="519" w:name="_Toc281225370"/>
      <w:bookmarkStart w:id="520" w:name="_Toc269324867"/>
      <w:r>
        <w:rPr>
          <w:rFonts w:hint="eastAsia"/>
        </w:rPr>
        <w:t>第六章 投标文件格式</w:t>
      </w:r>
      <w:bookmarkEnd w:id="512"/>
      <w:bookmarkEnd w:id="513"/>
      <w:bookmarkEnd w:id="514"/>
      <w:bookmarkEnd w:id="515"/>
      <w:bookmarkEnd w:id="516"/>
      <w:bookmarkEnd w:id="517"/>
      <w:bookmarkEnd w:id="518"/>
      <w:bookmarkEnd w:id="519"/>
      <w:bookmarkEnd w:id="520"/>
    </w:p>
    <w:p>
      <w:pPr>
        <w:jc w:val="left"/>
        <w:rPr>
          <w:rFonts w:eastAsia="黑体"/>
        </w:rPr>
      </w:pPr>
    </w:p>
    <w:p>
      <w:pPr>
        <w:autoSpaceDE w:val="0"/>
        <w:autoSpaceDN w:val="0"/>
        <w:adjustRightInd w:val="0"/>
        <w:spacing w:line="420" w:lineRule="exact"/>
        <w:jc w:val="center"/>
        <w:rPr>
          <w:rFonts w:ascii="宋体" w:hAnsi="宋体" w:cs="宋体"/>
          <w:kern w:val="0"/>
          <w:sz w:val="28"/>
          <w:szCs w:val="28"/>
        </w:rPr>
      </w:pPr>
      <w:r>
        <w:rPr>
          <w:rFonts w:hint="eastAsia" w:ascii="黑体" w:hAnsi="黑体" w:eastAsia="黑体" w:cs="黑体"/>
          <w:sz w:val="28"/>
          <w:szCs w:val="28"/>
        </w:rPr>
        <w:t>（项目名称）</w:t>
      </w:r>
      <w:r>
        <w:rPr>
          <w:rFonts w:hint="eastAsia" w:ascii="宋体" w:hAnsi="宋体" w:cs="宋体"/>
          <w:b/>
          <w:bCs/>
          <w:sz w:val="28"/>
          <w:szCs w:val="28"/>
          <w:u w:val="single"/>
        </w:rPr>
        <w:t xml:space="preserve">     </w:t>
      </w:r>
      <w:r>
        <w:rPr>
          <w:rFonts w:hint="eastAsia" w:ascii="宋体" w:hAnsi="宋体" w:cs="宋体"/>
          <w:b/>
          <w:bCs/>
          <w:sz w:val="28"/>
          <w:szCs w:val="28"/>
        </w:rPr>
        <w:t>标段</w:t>
      </w: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ind w:firstLine="2520" w:firstLineChars="900"/>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jc w:val="center"/>
        <w:rPr>
          <w:rFonts w:ascii="宋体" w:hAnsi="宋体" w:cs="宋体"/>
          <w:spacing w:val="60"/>
          <w:kern w:val="0"/>
          <w:sz w:val="70"/>
          <w:szCs w:val="50"/>
        </w:rPr>
      </w:pPr>
      <w:r>
        <w:rPr>
          <w:rFonts w:hint="eastAsia" w:ascii="宋体" w:hAnsi="宋体" w:cs="宋体"/>
          <w:spacing w:val="60"/>
          <w:kern w:val="0"/>
          <w:sz w:val="70"/>
          <w:szCs w:val="50"/>
        </w:rPr>
        <w:t>投 标 文 件</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r>
        <w:rPr>
          <w:rFonts w:hint="eastAsia" w:ascii="黑体" w:hAnsi="黑体" w:eastAsia="黑体" w:cs="黑体"/>
          <w:sz w:val="28"/>
          <w:szCs w:val="28"/>
        </w:rPr>
        <w:t>项目编号：建安建工公字〔2019〕</w:t>
      </w:r>
      <w:r>
        <w:rPr>
          <w:rFonts w:hint="eastAsia" w:ascii="黑体" w:hAnsi="黑体" w:eastAsia="黑体" w:cs="黑体"/>
          <w:sz w:val="28"/>
          <w:szCs w:val="28"/>
          <w:lang w:val="en-US" w:eastAsia="zh-CN"/>
        </w:rPr>
        <w:t>171</w:t>
      </w:r>
      <w:r>
        <w:rPr>
          <w:rFonts w:hint="eastAsia" w:ascii="黑体" w:hAnsi="黑体" w:eastAsia="黑体" w:cs="黑体"/>
          <w:sz w:val="28"/>
          <w:szCs w:val="28"/>
        </w:rPr>
        <w:t>号</w:t>
      </w: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autoSpaceDE w:val="0"/>
        <w:autoSpaceDN w:val="0"/>
        <w:adjustRightInd w:val="0"/>
        <w:spacing w:line="420" w:lineRule="exact"/>
        <w:jc w:val="center"/>
        <w:rPr>
          <w:rFonts w:ascii="宋体" w:hAnsi="宋体" w:cs="宋体"/>
          <w:kern w:val="0"/>
          <w:sz w:val="44"/>
          <w:szCs w:val="44"/>
        </w:rPr>
      </w:pPr>
    </w:p>
    <w:p>
      <w:pPr>
        <w:tabs>
          <w:tab w:val="left" w:pos="7065"/>
        </w:tabs>
        <w:spacing w:line="308" w:lineRule="exact"/>
        <w:ind w:left="1480"/>
        <w:rPr>
          <w:sz w:val="20"/>
          <w:szCs w:val="20"/>
        </w:rPr>
      </w:pPr>
      <w:r>
        <w:rPr>
          <w:rFonts w:ascii="黑体" w:hAnsi="黑体" w:eastAsia="黑体" w:cs="黑体"/>
          <w:sz w:val="27"/>
          <w:szCs w:val="27"/>
        </w:rPr>
        <w:t>投标人：</w:t>
      </w:r>
      <w:r>
        <w:rPr>
          <w:sz w:val="20"/>
          <w:szCs w:val="20"/>
        </w:rPr>
        <w:tab/>
      </w:r>
      <w:r>
        <w:rPr>
          <w:rFonts w:ascii="黑体" w:hAnsi="黑体" w:eastAsia="黑体" w:cs="黑体"/>
          <w:sz w:val="27"/>
          <w:szCs w:val="27"/>
        </w:rPr>
        <w:t>（盖单位章）</w:t>
      </w:r>
    </w:p>
    <w:p>
      <w:pPr>
        <w:spacing w:line="20" w:lineRule="exact"/>
        <w:rPr>
          <w:sz w:val="20"/>
          <w:szCs w:val="20"/>
        </w:rPr>
      </w:pPr>
      <w:r>
        <w:rPr>
          <w:sz w:val="20"/>
          <w:szCs w:val="20"/>
        </w:rPr>
        <w:pict>
          <v:line id="Shape 101" o:spid="_x0000_s5158" o:spt="20" style="position:absolute;left:0pt;margin-left:130.2pt;margin-top:-0.45pt;height:0pt;width:230.95pt;z-index:-251648000;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szCs w:val="20"/>
        </w:rPr>
      </w:pPr>
    </w:p>
    <w:p>
      <w:pPr>
        <w:tabs>
          <w:tab w:val="left" w:pos="5840"/>
        </w:tabs>
        <w:spacing w:line="320" w:lineRule="exact"/>
        <w:ind w:left="1480"/>
        <w:rPr>
          <w:sz w:val="20"/>
          <w:szCs w:val="20"/>
        </w:rPr>
      </w:pPr>
      <w:r>
        <w:rPr>
          <w:rFonts w:ascii="黑体" w:hAnsi="黑体" w:eastAsia="黑体" w:cs="黑体"/>
          <w:sz w:val="28"/>
          <w:szCs w:val="28"/>
        </w:rPr>
        <w:t>法定代表人或其委托代理人：</w:t>
      </w:r>
      <w:r>
        <w:rPr>
          <w:sz w:val="20"/>
          <w:szCs w:val="20"/>
        </w:rPr>
        <w:tab/>
      </w:r>
      <w:r>
        <w:rPr>
          <w:rFonts w:ascii="黑体" w:hAnsi="黑体" w:eastAsia="黑体" w:cs="黑体"/>
          <w:sz w:val="28"/>
          <w:szCs w:val="28"/>
        </w:rPr>
        <w:t>（签字）</w:t>
      </w:r>
    </w:p>
    <w:p>
      <w:pPr>
        <w:spacing w:line="20" w:lineRule="exact"/>
        <w:rPr>
          <w:sz w:val="20"/>
          <w:szCs w:val="20"/>
        </w:rPr>
      </w:pPr>
      <w:r>
        <w:rPr>
          <w:sz w:val="20"/>
          <w:szCs w:val="20"/>
        </w:rPr>
        <w:pict>
          <v:line id="Shape 102" o:spid="_x0000_s5159" o:spt="20" style="position:absolute;left:0pt;margin-left:256.1pt;margin-top:-0.45pt;height:0pt;width:36.75pt;z-index:-251646976;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szCs w:val="20"/>
        </w:rPr>
      </w:pPr>
    </w:p>
    <w:p>
      <w:pPr>
        <w:spacing w:line="368" w:lineRule="exact"/>
        <w:rPr>
          <w:sz w:val="20"/>
          <w:szCs w:val="20"/>
        </w:rPr>
      </w:pPr>
    </w:p>
    <w:p>
      <w:pPr>
        <w:pStyle w:val="38"/>
        <w:spacing w:line="440" w:lineRule="exact"/>
        <w:jc w:val="center"/>
        <w:rPr>
          <w:rFonts w:hAnsi="宋体"/>
          <w:color w:val="auto"/>
          <w:sz w:val="23"/>
          <w:szCs w:val="23"/>
        </w:rPr>
      </w:pPr>
      <w:r>
        <w:rPr>
          <w:rFonts w:ascii="黑体" w:hAnsi="黑体" w:eastAsia="黑体" w:cs="黑体"/>
          <w:color w:val="auto"/>
          <w:sz w:val="28"/>
          <w:szCs w:val="28"/>
        </w:rPr>
        <w:t>年</w:t>
      </w:r>
      <w:r>
        <w:rPr>
          <w:color w:val="auto"/>
          <w:sz w:val="20"/>
          <w:szCs w:val="20"/>
        </w:rPr>
        <w:tab/>
      </w:r>
      <w:r>
        <w:rPr>
          <w:rFonts w:ascii="黑体" w:hAnsi="黑体" w:eastAsia="黑体" w:cs="黑体"/>
          <w:color w:val="auto"/>
          <w:sz w:val="28"/>
          <w:szCs w:val="28"/>
        </w:rPr>
        <w:t>月</w:t>
      </w:r>
      <w:r>
        <w:rPr>
          <w:color w:val="auto"/>
          <w:sz w:val="20"/>
          <w:szCs w:val="20"/>
        </w:rPr>
        <w:tab/>
      </w:r>
      <w:r>
        <w:rPr>
          <w:rFonts w:ascii="黑体" w:hAnsi="黑体" w:eastAsia="黑体" w:cs="黑体"/>
          <w:color w:val="auto"/>
          <w:sz w:val="28"/>
          <w:szCs w:val="28"/>
        </w:rPr>
        <w:t>日</w:t>
      </w:r>
    </w:p>
    <w:p>
      <w:pPr>
        <w:pStyle w:val="38"/>
        <w:spacing w:line="440" w:lineRule="exact"/>
        <w:jc w:val="center"/>
        <w:rPr>
          <w:rFonts w:hAnsi="宋体"/>
          <w:color w:val="auto"/>
          <w:sz w:val="23"/>
          <w:szCs w:val="23"/>
          <w:u w:val="single"/>
        </w:rPr>
      </w:pPr>
    </w:p>
    <w:p>
      <w:pPr>
        <w:ind w:firstLine="560"/>
        <w:jc w:val="left"/>
        <w:rPr>
          <w:rFonts w:ascii="宋体" w:hAnsi="宋体"/>
          <w:sz w:val="28"/>
          <w:szCs w:val="28"/>
        </w:rPr>
      </w:pPr>
    </w:p>
    <w:p>
      <w:pPr>
        <w:ind w:firstLine="560"/>
        <w:jc w:val="left"/>
        <w:rPr>
          <w:rFonts w:ascii="宋体" w:hAnsi="宋体"/>
          <w:sz w:val="28"/>
          <w:szCs w:val="28"/>
        </w:rPr>
      </w:pPr>
    </w:p>
    <w:p>
      <w:pPr>
        <w:widowControl/>
        <w:jc w:val="left"/>
        <w:rPr>
          <w:rFonts w:asciiTheme="minorEastAsia" w:hAnsiTheme="minorEastAsia" w:eastAsiaTheme="minorEastAsia" w:cstheme="majorBidi"/>
          <w:b/>
          <w:bCs/>
          <w:sz w:val="24"/>
        </w:rPr>
      </w:pPr>
      <w:bookmarkStart w:id="521" w:name="_Toc273359045"/>
      <w:bookmarkStart w:id="522" w:name="_Toc269324870"/>
      <w:bookmarkStart w:id="523" w:name="_Toc226780939"/>
      <w:bookmarkStart w:id="524" w:name="_Toc281225373"/>
      <w:bookmarkStart w:id="525" w:name="_Toc266393418"/>
      <w:bookmarkStart w:id="526" w:name="_Toc496098810"/>
      <w:bookmarkStart w:id="527" w:name="_Toc30209"/>
      <w:bookmarkStart w:id="528" w:name="_Toc505626536"/>
      <w:r>
        <w:br w:type="page"/>
      </w:r>
    </w:p>
    <w:p>
      <w:pPr>
        <w:spacing w:line="366" w:lineRule="exact"/>
        <w:jc w:val="center"/>
        <w:rPr>
          <w:rFonts w:ascii="黑体" w:hAnsi="黑体" w:eastAsia="黑体" w:cs="黑体"/>
          <w:b/>
          <w:bCs/>
          <w:sz w:val="32"/>
          <w:szCs w:val="32"/>
        </w:rPr>
      </w:pPr>
      <w:r>
        <w:rPr>
          <w:rFonts w:ascii="黑体" w:hAnsi="黑体" w:eastAsia="黑体" w:cs="黑体"/>
          <w:b/>
          <w:bCs/>
          <w:sz w:val="32"/>
          <w:szCs w:val="32"/>
        </w:rPr>
        <w:t>目</w:t>
      </w:r>
      <w:r>
        <w:rPr>
          <w:rFonts w:hint="eastAsia" w:ascii="黑体" w:hAnsi="黑体" w:eastAsia="黑体" w:cs="黑体"/>
          <w:b/>
          <w:bCs/>
          <w:sz w:val="32"/>
          <w:szCs w:val="32"/>
        </w:rPr>
        <w:t xml:space="preserve">   </w:t>
      </w:r>
      <w:r>
        <w:rPr>
          <w:rFonts w:ascii="黑体" w:hAnsi="黑体" w:eastAsia="黑体" w:cs="黑体"/>
          <w:b/>
          <w:bCs/>
          <w:sz w:val="32"/>
          <w:szCs w:val="32"/>
        </w:rPr>
        <w:t>录</w:t>
      </w:r>
    </w:p>
    <w:p>
      <w:pPr>
        <w:pStyle w:val="27"/>
        <w:ind w:firstLine="210"/>
      </w:pPr>
    </w:p>
    <w:p>
      <w:pPr>
        <w:spacing w:line="200" w:lineRule="exact"/>
        <w:rPr>
          <w:sz w:val="20"/>
        </w:rPr>
      </w:pPr>
    </w:p>
    <w:p>
      <w:pPr>
        <w:spacing w:line="500" w:lineRule="exact"/>
        <w:rPr>
          <w:sz w:val="20"/>
        </w:rPr>
      </w:pPr>
    </w:p>
    <w:p>
      <w:pPr>
        <w:spacing w:line="600" w:lineRule="exact"/>
        <w:ind w:left="850" w:leftChars="405"/>
        <w:rPr>
          <w:rFonts w:ascii="宋体" w:hAnsi="宋体" w:cs="宋体"/>
          <w:szCs w:val="21"/>
        </w:rPr>
      </w:pPr>
      <w:r>
        <w:rPr>
          <w:rFonts w:hint="eastAsia" w:ascii="宋体" w:hAnsi="宋体" w:cs="宋体"/>
          <w:szCs w:val="21"/>
        </w:rPr>
        <w:t>一、投标函及投标函附录</w:t>
      </w:r>
    </w:p>
    <w:p>
      <w:pPr>
        <w:spacing w:line="600" w:lineRule="exact"/>
        <w:ind w:left="850" w:leftChars="405"/>
        <w:rPr>
          <w:rFonts w:ascii="宋体" w:hAnsi="宋体" w:cs="宋体"/>
          <w:szCs w:val="21"/>
        </w:rPr>
      </w:pPr>
      <w:r>
        <w:rPr>
          <w:rFonts w:hint="eastAsia" w:ascii="宋体" w:hAnsi="宋体" w:cs="宋体"/>
          <w:szCs w:val="21"/>
        </w:rPr>
        <w:t>二、法定代表人身份证明</w:t>
      </w:r>
    </w:p>
    <w:p>
      <w:pPr>
        <w:spacing w:line="600" w:lineRule="exact"/>
        <w:ind w:left="850" w:leftChars="405"/>
        <w:rPr>
          <w:rFonts w:ascii="宋体" w:hAnsi="宋体" w:cs="宋体"/>
          <w:szCs w:val="21"/>
        </w:rPr>
      </w:pPr>
      <w:r>
        <w:rPr>
          <w:rFonts w:hint="eastAsia" w:ascii="宋体" w:hAnsi="宋体" w:cs="宋体"/>
          <w:szCs w:val="21"/>
        </w:rPr>
        <w:t>三、授权委托书</w:t>
      </w:r>
    </w:p>
    <w:p>
      <w:pPr>
        <w:spacing w:line="600" w:lineRule="exact"/>
        <w:ind w:left="850" w:leftChars="405"/>
        <w:rPr>
          <w:rFonts w:ascii="宋体" w:hAnsi="宋体" w:cs="宋体"/>
          <w:szCs w:val="21"/>
        </w:rPr>
      </w:pPr>
      <w:r>
        <w:rPr>
          <w:rFonts w:hint="eastAsia" w:ascii="宋体" w:hAnsi="宋体" w:cs="宋体"/>
          <w:szCs w:val="21"/>
        </w:rPr>
        <w:t>四、投标保证金</w:t>
      </w:r>
    </w:p>
    <w:p>
      <w:pPr>
        <w:spacing w:line="600" w:lineRule="exact"/>
        <w:ind w:left="850" w:leftChars="405"/>
        <w:rPr>
          <w:rFonts w:ascii="宋体" w:hAnsi="宋体" w:cs="宋体"/>
          <w:szCs w:val="21"/>
        </w:rPr>
      </w:pPr>
      <w:r>
        <w:rPr>
          <w:rFonts w:hint="eastAsia" w:ascii="宋体" w:hAnsi="宋体" w:cs="宋体"/>
          <w:szCs w:val="21"/>
        </w:rPr>
        <w:t>五、资格审查资料</w:t>
      </w:r>
    </w:p>
    <w:p>
      <w:pPr>
        <w:spacing w:line="600" w:lineRule="exact"/>
        <w:ind w:left="850" w:leftChars="405"/>
        <w:rPr>
          <w:rFonts w:ascii="宋体" w:hAnsi="宋体" w:cs="宋体"/>
          <w:szCs w:val="21"/>
        </w:rPr>
      </w:pPr>
      <w:r>
        <w:rPr>
          <w:rFonts w:hint="eastAsia" w:ascii="宋体" w:hAnsi="宋体" w:cs="宋体"/>
          <w:szCs w:val="21"/>
        </w:rPr>
        <w:t>六、监理大纲</w:t>
      </w:r>
    </w:p>
    <w:p>
      <w:pPr>
        <w:spacing w:line="600" w:lineRule="exact"/>
        <w:ind w:left="850" w:leftChars="405"/>
        <w:rPr>
          <w:rFonts w:ascii="宋体" w:hAnsi="宋体" w:cs="宋体"/>
          <w:szCs w:val="21"/>
        </w:rPr>
      </w:pPr>
      <w:r>
        <w:rPr>
          <w:rFonts w:hint="eastAsia" w:ascii="宋体" w:hAnsi="宋体" w:cs="宋体"/>
          <w:szCs w:val="21"/>
        </w:rPr>
        <w:t>七、投标人须知前附表规定的其他资料</w:t>
      </w:r>
    </w:p>
    <w:p>
      <w:pPr>
        <w:spacing w:line="600" w:lineRule="exact"/>
        <w:ind w:left="850" w:leftChars="405"/>
        <w:rPr>
          <w:rFonts w:ascii="宋体" w:hAnsi="宋体" w:cs="宋体"/>
          <w:szCs w:val="21"/>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widowControl/>
        <w:ind w:firstLine="843" w:firstLineChars="350"/>
      </w:pPr>
      <w:r>
        <w:rPr>
          <w:rFonts w:hint="eastAsia" w:hAnsi="宋体" w:cs="宋体"/>
          <w:b/>
          <w:sz w:val="24"/>
        </w:rPr>
        <w:t>如有本章未提供的格式，投标人可自行编制。</w:t>
      </w:r>
      <w:r>
        <w:br w:type="page"/>
      </w:r>
    </w:p>
    <w:p>
      <w:pPr>
        <w:widowControl/>
        <w:jc w:val="center"/>
      </w:pPr>
    </w:p>
    <w:p>
      <w:pPr>
        <w:widowControl/>
        <w:jc w:val="center"/>
      </w:pPr>
    </w:p>
    <w:p>
      <w:pPr>
        <w:widowControl/>
        <w:jc w:val="center"/>
        <w:rPr>
          <w:rFonts w:ascii="宋体" w:hAnsi="宋体" w:cs="仿宋"/>
          <w:b/>
          <w:sz w:val="52"/>
          <w:szCs w:val="52"/>
        </w:rPr>
      </w:pPr>
      <w:r>
        <w:rPr>
          <w:rFonts w:hint="eastAsia" w:ascii="宋体" w:hAnsi="宋体" w:cs="仿宋"/>
          <w:b/>
          <w:sz w:val="52"/>
          <w:szCs w:val="52"/>
        </w:rPr>
        <w:t>一、商务部分</w:t>
      </w:r>
    </w:p>
    <w:p>
      <w:pPr>
        <w:pStyle w:val="4"/>
      </w:pPr>
    </w:p>
    <w:p/>
    <w:p>
      <w:pPr>
        <w:pStyle w:val="4"/>
      </w:pPr>
    </w:p>
    <w:p/>
    <w:p>
      <w:pPr>
        <w:rPr>
          <w:rFonts w:eastAsiaTheme="minorEastAsia"/>
          <w:sz w:val="24"/>
        </w:rPr>
      </w:pPr>
    </w:p>
    <w:p>
      <w:pPr>
        <w:widowControl/>
        <w:jc w:val="left"/>
        <w:rPr>
          <w:rFonts w:ascii="黑体" w:hAnsi="新宋体" w:eastAsia="黑体" w:cs="黑体"/>
          <w:sz w:val="32"/>
          <w:szCs w:val="32"/>
        </w:rPr>
      </w:pPr>
      <w:r>
        <w:rPr>
          <w:rFonts w:ascii="黑体" w:hAnsi="新宋体" w:eastAsia="黑体" w:cs="黑体"/>
          <w:b/>
          <w:bCs/>
          <w:sz w:val="32"/>
          <w:szCs w:val="32"/>
        </w:rPr>
        <w:br w:type="page"/>
      </w:r>
    </w:p>
    <w:p>
      <w:pPr>
        <w:pStyle w:val="4"/>
        <w:jc w:val="center"/>
      </w:pPr>
      <w:r>
        <w:rPr>
          <w:rFonts w:hint="eastAsia" w:ascii="黑体" w:hAnsi="新宋体" w:eastAsia="黑体" w:cs="黑体"/>
          <w:b w:val="0"/>
          <w:bCs w:val="0"/>
          <w:sz w:val="32"/>
          <w:szCs w:val="32"/>
        </w:rPr>
        <w:t>一、投标函</w:t>
      </w:r>
      <w:bookmarkEnd w:id="521"/>
      <w:bookmarkEnd w:id="522"/>
      <w:bookmarkEnd w:id="523"/>
      <w:bookmarkEnd w:id="524"/>
      <w:bookmarkEnd w:id="525"/>
      <w:r>
        <w:rPr>
          <w:rFonts w:hint="eastAsia" w:ascii="黑体" w:hAnsi="新宋体" w:eastAsia="黑体" w:cs="黑体"/>
          <w:b w:val="0"/>
          <w:bCs w:val="0"/>
          <w:sz w:val="32"/>
          <w:szCs w:val="32"/>
        </w:rPr>
        <w:t>及投标函附录</w:t>
      </w:r>
      <w:bookmarkEnd w:id="526"/>
      <w:bookmarkEnd w:id="527"/>
      <w:bookmarkEnd w:id="528"/>
    </w:p>
    <w:p>
      <w:pPr>
        <w:spacing w:beforeLines="100" w:afterLines="100" w:line="400" w:lineRule="exact"/>
        <w:jc w:val="center"/>
        <w:rPr>
          <w:rFonts w:asciiTheme="minorEastAsia" w:hAnsiTheme="minorEastAsia" w:eastAsiaTheme="minorEastAsia"/>
          <w:b/>
          <w:sz w:val="24"/>
        </w:rPr>
      </w:pPr>
      <w:bookmarkStart w:id="529" w:name="_Toc152045789"/>
      <w:bookmarkStart w:id="530" w:name="_Toc25207"/>
      <w:bookmarkStart w:id="531" w:name="_Toc144974858"/>
      <w:bookmarkStart w:id="532" w:name="_Toc295398985"/>
      <w:bookmarkStart w:id="533" w:name="_Toc152042578"/>
      <w:r>
        <w:rPr>
          <w:rFonts w:asciiTheme="minorEastAsia" w:hAnsiTheme="minorEastAsia" w:eastAsiaTheme="minorEastAsia"/>
          <w:b/>
          <w:sz w:val="24"/>
        </w:rPr>
        <w:t>（一）投 标 函</w:t>
      </w:r>
      <w:bookmarkEnd w:id="529"/>
      <w:bookmarkEnd w:id="530"/>
      <w:bookmarkEnd w:id="531"/>
      <w:bookmarkEnd w:id="532"/>
      <w:bookmarkEnd w:id="533"/>
    </w:p>
    <w:p>
      <w:pPr>
        <w:autoSpaceDE w:val="0"/>
        <w:autoSpaceDN w:val="0"/>
        <w:adjustRightInd w:val="0"/>
        <w:spacing w:line="360" w:lineRule="auto"/>
        <w:jc w:val="left"/>
        <w:rPr>
          <w:rFonts w:hAnsi="宋体" w:cs="宋体"/>
          <w:sz w:val="24"/>
          <w:u w:val="single"/>
        </w:rPr>
      </w:pPr>
      <w:r>
        <w:rPr>
          <w:rFonts w:hint="eastAsia" w:hAnsi="宋体" w:cs="宋体"/>
          <w:sz w:val="24"/>
        </w:rPr>
        <w:t>致：</w:t>
      </w:r>
      <w:r>
        <w:rPr>
          <w:rFonts w:hint="eastAsia" w:hAnsi="宋体" w:cs="宋体"/>
          <w:sz w:val="24"/>
          <w:u w:val="single"/>
        </w:rPr>
        <w:t xml:space="preserve">                      </w:t>
      </w:r>
    </w:p>
    <w:p>
      <w:pPr>
        <w:spacing w:line="360" w:lineRule="auto"/>
        <w:ind w:firstLine="720" w:firstLineChars="300"/>
        <w:rPr>
          <w:rFonts w:hAnsi="宋体" w:cs="宋体"/>
          <w:sz w:val="24"/>
        </w:rPr>
      </w:pPr>
      <w:r>
        <w:rPr>
          <w:rFonts w:hint="eastAsia" w:hAnsi="宋体" w:cs="宋体"/>
          <w:sz w:val="24"/>
        </w:rPr>
        <w:t>我们收到了</w:t>
      </w:r>
      <w:r>
        <w:rPr>
          <w:rFonts w:hint="eastAsia" w:hAnsi="宋体" w:cs="宋体"/>
          <w:sz w:val="24"/>
          <w:u w:val="single"/>
        </w:rPr>
        <w:t xml:space="preserve">                </w:t>
      </w:r>
      <w:r>
        <w:rPr>
          <w:rFonts w:hint="eastAsia" w:hAnsi="宋体" w:cs="宋体"/>
          <w:sz w:val="24"/>
        </w:rPr>
        <w:t>项目的招标文件，经详细研究，我们决定参加该项目投标活动并投标，我们郑重声明以下诸点并负法律责任。</w:t>
      </w:r>
    </w:p>
    <w:p>
      <w:pPr>
        <w:spacing w:line="360" w:lineRule="auto"/>
        <w:ind w:firstLine="482" w:firstLineChars="200"/>
        <w:rPr>
          <w:rFonts w:hAnsi="宋体" w:cs="宋体"/>
          <w:sz w:val="24"/>
        </w:rPr>
      </w:pPr>
      <w:r>
        <w:rPr>
          <w:rFonts w:hint="eastAsia" w:hAnsi="宋体" w:cs="宋体"/>
          <w:b/>
          <w:bCs/>
          <w:sz w:val="24"/>
        </w:rPr>
        <w:t>1、</w:t>
      </w:r>
      <w:r>
        <w:rPr>
          <w:rFonts w:hint="eastAsia" w:hAnsi="宋体" w:cs="宋体"/>
          <w:sz w:val="24"/>
        </w:rPr>
        <w:t>我方授权</w:t>
      </w:r>
      <w:r>
        <w:rPr>
          <w:rFonts w:hint="eastAsia" w:hAnsi="宋体" w:cs="宋体"/>
          <w:sz w:val="24"/>
          <w:u w:val="single"/>
        </w:rPr>
        <w:t xml:space="preserve">         </w:t>
      </w:r>
      <w:r>
        <w:rPr>
          <w:rFonts w:hint="eastAsia" w:hAnsi="宋体" w:cs="宋体"/>
          <w:sz w:val="24"/>
        </w:rPr>
        <w:t>（姓名、职务）作为全权代表负责该工程投标及处理有关事宜。</w:t>
      </w:r>
    </w:p>
    <w:p>
      <w:pPr>
        <w:spacing w:line="360" w:lineRule="auto"/>
        <w:ind w:left="210" w:leftChars="100" w:firstLine="241" w:firstLineChars="100"/>
        <w:rPr>
          <w:rFonts w:hAnsi="宋体" w:cs="宋体"/>
          <w:sz w:val="24"/>
        </w:rPr>
      </w:pPr>
      <w:r>
        <w:rPr>
          <w:rFonts w:hint="eastAsia" w:hAnsi="宋体" w:cs="宋体"/>
          <w:b/>
          <w:bCs/>
          <w:sz w:val="24"/>
        </w:rPr>
        <w:t>2、</w:t>
      </w:r>
      <w:r>
        <w:rPr>
          <w:rFonts w:hint="eastAsia" w:hAnsi="宋体" w:cs="宋体"/>
          <w:sz w:val="24"/>
        </w:rPr>
        <w:t>愿按照招标文件中的条款和要求，提供施工阶段的工程监理服务，监理费报价为</w:t>
      </w:r>
      <w:r>
        <w:rPr>
          <w:rFonts w:hint="eastAsia" w:hAnsi="宋体" w:cs="宋体"/>
          <w:sz w:val="24"/>
          <w:u w:val="single"/>
        </w:rPr>
        <w:t xml:space="preserve">            </w:t>
      </w:r>
      <w:r>
        <w:rPr>
          <w:rFonts w:hint="eastAsia" w:hAnsi="宋体" w:cs="宋体"/>
          <w:sz w:val="24"/>
        </w:rPr>
        <w:t>，服务期限为：</w:t>
      </w:r>
      <w:r>
        <w:rPr>
          <w:rFonts w:hint="eastAsia" w:hAnsi="宋体" w:cs="宋体"/>
          <w:sz w:val="24"/>
          <w:u w:val="single"/>
        </w:rPr>
        <w:t xml:space="preserve">         </w:t>
      </w:r>
      <w:r>
        <w:rPr>
          <w:rFonts w:hint="eastAsia" w:hAnsi="宋体" w:cs="宋体"/>
          <w:sz w:val="24"/>
        </w:rPr>
        <w:t>，项目总监为：</w:t>
      </w:r>
      <w:r>
        <w:rPr>
          <w:rFonts w:hint="eastAsia" w:hAnsi="宋体" w:cs="宋体"/>
          <w:sz w:val="24"/>
          <w:u w:val="single"/>
        </w:rPr>
        <w:t xml:space="preserve">         </w:t>
      </w:r>
      <w:r>
        <w:rPr>
          <w:rFonts w:hint="eastAsia" w:hAnsi="宋体" w:cs="宋体"/>
          <w:sz w:val="24"/>
        </w:rPr>
        <w:t>。</w:t>
      </w:r>
    </w:p>
    <w:p>
      <w:pPr>
        <w:spacing w:line="360" w:lineRule="auto"/>
        <w:ind w:firstLine="482" w:firstLineChars="200"/>
        <w:rPr>
          <w:rFonts w:hAnsi="宋体" w:cs="宋体"/>
          <w:sz w:val="24"/>
        </w:rPr>
      </w:pPr>
      <w:r>
        <w:rPr>
          <w:rFonts w:hint="eastAsia" w:hAnsi="宋体" w:cs="宋体"/>
          <w:b/>
          <w:bCs/>
          <w:sz w:val="24"/>
        </w:rPr>
        <w:t>3、</w:t>
      </w:r>
      <w:r>
        <w:rPr>
          <w:rFonts w:hint="eastAsia" w:hAnsi="宋体" w:cs="宋体"/>
          <w:sz w:val="24"/>
        </w:rPr>
        <w:t>如果我们中标，我们保证按照招标文件的要求和招标人签订工程监理合同，按招标文件要求选派总监理工程师及监理工程师进驻施工现场实施监理合同。</w:t>
      </w:r>
    </w:p>
    <w:p>
      <w:pPr>
        <w:spacing w:line="360" w:lineRule="auto"/>
        <w:ind w:firstLine="482" w:firstLineChars="200"/>
        <w:rPr>
          <w:rFonts w:hAnsi="宋体" w:cs="宋体"/>
          <w:sz w:val="24"/>
        </w:rPr>
      </w:pPr>
      <w:r>
        <w:rPr>
          <w:rFonts w:hint="eastAsia" w:hAnsi="宋体" w:cs="宋体"/>
          <w:b/>
          <w:bCs/>
          <w:sz w:val="24"/>
        </w:rPr>
        <w:t>4、</w:t>
      </w:r>
      <w:r>
        <w:rPr>
          <w:rFonts w:hint="eastAsia" w:hAnsi="宋体" w:cs="宋体"/>
          <w:sz w:val="24"/>
        </w:rPr>
        <w:t>我们按照招标文件中的规定，认定本投标文件的有效期为</w:t>
      </w:r>
      <w:r>
        <w:rPr>
          <w:rFonts w:hint="eastAsia" w:hAnsi="宋体" w:cs="宋体"/>
          <w:sz w:val="24"/>
          <w:u w:val="single"/>
        </w:rPr>
        <w:t xml:space="preserve">      </w:t>
      </w:r>
      <w:r>
        <w:rPr>
          <w:rFonts w:hint="eastAsia" w:hAnsi="宋体" w:cs="宋体"/>
          <w:sz w:val="24"/>
        </w:rPr>
        <w:t>天，如果中标，有效期延长至合同终止日止。</w:t>
      </w:r>
    </w:p>
    <w:p>
      <w:pPr>
        <w:spacing w:line="360" w:lineRule="auto"/>
        <w:ind w:firstLine="482" w:firstLineChars="200"/>
        <w:rPr>
          <w:rFonts w:hAnsi="宋体" w:cs="宋体"/>
          <w:sz w:val="24"/>
        </w:rPr>
      </w:pPr>
      <w:r>
        <w:rPr>
          <w:rFonts w:hint="eastAsia" w:hAnsi="宋体" w:cs="宋体"/>
          <w:b/>
          <w:bCs/>
          <w:sz w:val="24"/>
        </w:rPr>
        <w:t>5、</w:t>
      </w:r>
      <w:r>
        <w:rPr>
          <w:rFonts w:hint="eastAsia" w:hAnsi="宋体" w:cs="宋体"/>
          <w:sz w:val="24"/>
        </w:rPr>
        <w:t>我们愿按招标文件规定，提供招标文件中要求的所有文件资料。</w:t>
      </w:r>
    </w:p>
    <w:p>
      <w:pPr>
        <w:spacing w:line="360" w:lineRule="auto"/>
        <w:ind w:firstLine="482" w:firstLineChars="200"/>
        <w:rPr>
          <w:rFonts w:hAnsi="宋体" w:cs="宋体"/>
          <w:sz w:val="24"/>
        </w:rPr>
      </w:pPr>
      <w:r>
        <w:rPr>
          <w:rFonts w:hint="eastAsia" w:hAnsi="宋体" w:cs="宋体"/>
          <w:b/>
          <w:bCs/>
          <w:sz w:val="24"/>
        </w:rPr>
        <w:t>6、</w:t>
      </w:r>
      <w:r>
        <w:rPr>
          <w:rFonts w:hint="eastAsia" w:hAnsi="宋体" w:cs="宋体"/>
          <w:sz w:val="24"/>
        </w:rPr>
        <w:t>我们同意从投标之日起至本工程竣工移交止均遵守本投标文件，在此期限满之前的任何时间，本投标文件一直对我们具有约束力。</w:t>
      </w:r>
    </w:p>
    <w:p>
      <w:pPr>
        <w:spacing w:line="360" w:lineRule="auto"/>
        <w:ind w:firstLine="482" w:firstLineChars="200"/>
        <w:rPr>
          <w:rFonts w:hint="eastAsia" w:hAnsi="宋体" w:cs="宋体"/>
          <w:b w:val="0"/>
          <w:bCs w:val="0"/>
          <w:sz w:val="24"/>
        </w:rPr>
      </w:pPr>
      <w:r>
        <w:rPr>
          <w:rFonts w:hint="eastAsia" w:hAnsi="宋体" w:cs="宋体"/>
          <w:b/>
          <w:bCs/>
          <w:sz w:val="24"/>
        </w:rPr>
        <w:t>7、</w:t>
      </w:r>
      <w:r>
        <w:rPr>
          <w:rFonts w:hint="eastAsia" w:hAnsi="宋体" w:cs="宋体"/>
          <w:b w:val="0"/>
          <w:bCs w:val="0"/>
          <w:sz w:val="24"/>
        </w:rPr>
        <w:t>我们愿按《中华人民共和国合同法》履行自己的全部责任。</w:t>
      </w:r>
    </w:p>
    <w:p>
      <w:pPr>
        <w:spacing w:line="360" w:lineRule="auto"/>
        <w:ind w:firstLine="482" w:firstLineChars="200"/>
        <w:rPr>
          <w:rFonts w:hint="eastAsia" w:hAnsi="宋体" w:cs="宋体"/>
          <w:b w:val="0"/>
          <w:bCs w:val="0"/>
          <w:sz w:val="24"/>
        </w:rPr>
      </w:pPr>
      <w:r>
        <w:rPr>
          <w:rFonts w:hint="eastAsia" w:hAnsi="宋体" w:cs="宋体"/>
          <w:b/>
          <w:bCs/>
          <w:sz w:val="24"/>
        </w:rPr>
        <w:t>8、</w:t>
      </w:r>
      <w:r>
        <w:rPr>
          <w:rFonts w:hint="eastAsia" w:hAnsi="宋体" w:cs="宋体"/>
          <w:b w:val="0"/>
          <w:bCs w:val="0"/>
          <w:sz w:val="24"/>
        </w:rPr>
        <w:t>若我方中标，我方愿意按有关文件规定缴纳招标代理费用。</w:t>
      </w:r>
    </w:p>
    <w:p>
      <w:pPr>
        <w:spacing w:line="360" w:lineRule="auto"/>
        <w:ind w:firstLine="480" w:firstLineChars="200"/>
        <w:rPr>
          <w:rFonts w:hAnsi="宋体" w:cs="宋体"/>
          <w:sz w:val="24"/>
        </w:rPr>
      </w:pPr>
      <w:r>
        <w:rPr>
          <w:rFonts w:hint="eastAsia" w:hAnsi="宋体" w:cs="宋体"/>
          <w:sz w:val="24"/>
        </w:rPr>
        <w:t>投标人名称：（</w:t>
      </w:r>
      <w:r>
        <w:rPr>
          <w:rFonts w:hint="eastAsia"/>
          <w:sz w:val="24"/>
          <w:szCs w:val="21"/>
        </w:rPr>
        <w:t>盖单位公章</w:t>
      </w:r>
      <w:r>
        <w:rPr>
          <w:rFonts w:hint="eastAsia" w:hAnsi="宋体" w:cs="宋体"/>
          <w:sz w:val="24"/>
        </w:rPr>
        <w:t>）</w:t>
      </w:r>
      <w:r>
        <w:rPr>
          <w:rFonts w:hint="eastAsia" w:hAnsi="宋体" w:cs="宋体"/>
          <w:sz w:val="24"/>
        </w:rPr>
        <w:tab/>
      </w:r>
    </w:p>
    <w:p>
      <w:pPr>
        <w:spacing w:line="360" w:lineRule="auto"/>
        <w:ind w:firstLine="480" w:firstLineChars="200"/>
        <w:rPr>
          <w:rFonts w:hAnsi="宋体" w:cs="宋体"/>
          <w:sz w:val="24"/>
        </w:rPr>
      </w:pPr>
      <w:r>
        <w:rPr>
          <w:rFonts w:hint="eastAsia" w:hAnsi="宋体" w:cs="宋体"/>
          <w:sz w:val="24"/>
        </w:rPr>
        <w:t xml:space="preserve">  </w:t>
      </w:r>
    </w:p>
    <w:p>
      <w:pPr>
        <w:spacing w:line="360" w:lineRule="auto"/>
        <w:ind w:firstLine="480" w:firstLineChars="200"/>
        <w:rPr>
          <w:rFonts w:hAnsi="宋体" w:cs="宋体"/>
          <w:sz w:val="24"/>
        </w:rPr>
      </w:pPr>
      <w:r>
        <w:rPr>
          <w:rFonts w:hint="eastAsia"/>
          <w:sz w:val="24"/>
          <w:szCs w:val="21"/>
        </w:rPr>
        <w:t>法定代表人或其委托代理人：（签字）</w:t>
      </w:r>
      <w:r>
        <w:rPr>
          <w:rFonts w:hint="eastAsia" w:hAnsi="宋体" w:cs="宋体"/>
          <w:sz w:val="24"/>
        </w:rPr>
        <w:t xml:space="preserve"> </w:t>
      </w:r>
    </w:p>
    <w:p>
      <w:pPr>
        <w:spacing w:line="360" w:lineRule="auto"/>
        <w:ind w:firstLine="4080" w:firstLineChars="1700"/>
        <w:rPr>
          <w:rFonts w:hAnsi="宋体" w:cs="宋体"/>
          <w:sz w:val="24"/>
        </w:rPr>
      </w:pPr>
      <w:r>
        <w:rPr>
          <w:rFonts w:hint="eastAsia" w:hAnsi="宋体" w:cs="宋体"/>
          <w:sz w:val="24"/>
        </w:rPr>
        <w:t xml:space="preserve"> </w:t>
      </w:r>
    </w:p>
    <w:p>
      <w:pPr>
        <w:spacing w:line="400" w:lineRule="exact"/>
        <w:ind w:firstLine="480" w:firstLineChars="200"/>
        <w:jc w:val="left"/>
        <w:rPr>
          <w:sz w:val="24"/>
          <w:szCs w:val="21"/>
        </w:rPr>
      </w:pPr>
      <w:r>
        <w:rPr>
          <w:rFonts w:hint="eastAsia" w:hAnsi="宋体" w:cs="宋体"/>
          <w:sz w:val="24"/>
        </w:rPr>
        <w:t>日期：    年     月   日</w:t>
      </w:r>
    </w:p>
    <w:p>
      <w:pPr>
        <w:widowControl/>
        <w:jc w:val="left"/>
        <w:rPr>
          <w:rFonts w:hAnsi="宋体"/>
          <w:b/>
          <w:sz w:val="24"/>
        </w:rPr>
      </w:pPr>
      <w:bookmarkStart w:id="534" w:name="_Toc11950"/>
      <w:bookmarkStart w:id="535" w:name="_Toc144974859"/>
      <w:bookmarkStart w:id="536" w:name="_Toc152042579"/>
      <w:bookmarkStart w:id="537" w:name="_Toc295398986"/>
      <w:bookmarkStart w:id="538" w:name="_Toc152045790"/>
      <w:r>
        <w:rPr>
          <w:rFonts w:hAnsi="宋体"/>
          <w:b/>
          <w:sz w:val="24"/>
        </w:rPr>
        <w:br w:type="page"/>
      </w:r>
    </w:p>
    <w:p>
      <w:pPr>
        <w:spacing w:line="276" w:lineRule="auto"/>
        <w:jc w:val="center"/>
        <w:rPr>
          <w:rFonts w:hAnsi="宋体"/>
          <w:b/>
          <w:sz w:val="24"/>
        </w:rPr>
      </w:pPr>
    </w:p>
    <w:p>
      <w:pPr>
        <w:spacing w:line="276" w:lineRule="auto"/>
        <w:jc w:val="center"/>
        <w:rPr>
          <w:rFonts w:hAnsi="宋体"/>
          <w:b/>
          <w:sz w:val="24"/>
        </w:rPr>
      </w:pPr>
      <w:r>
        <w:rPr>
          <w:rFonts w:hint="eastAsia" w:hAnsi="宋体"/>
          <w:b/>
          <w:sz w:val="24"/>
        </w:rPr>
        <w:t>（二）</w:t>
      </w:r>
      <w:r>
        <w:rPr>
          <w:rFonts w:hAnsi="宋体"/>
          <w:b/>
          <w:sz w:val="24"/>
        </w:rPr>
        <w:t>投标函附录</w:t>
      </w:r>
      <w:bookmarkEnd w:id="534"/>
      <w:bookmarkEnd w:id="535"/>
      <w:bookmarkEnd w:id="536"/>
      <w:bookmarkEnd w:id="537"/>
      <w:bookmarkEnd w:id="538"/>
    </w:p>
    <w:tbl>
      <w:tblPr>
        <w:tblStyle w:val="29"/>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项目</w:t>
            </w:r>
            <w:r>
              <w:rPr>
                <w:rFonts w:hint="eastAsia" w:ascii="宋体" w:hAnsi="宋体"/>
                <w:sz w:val="24"/>
                <w:szCs w:val="24"/>
              </w:rPr>
              <w:t>名称</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w:t>
            </w:r>
            <w:r>
              <w:rPr>
                <w:rFonts w:hint="eastAsia" w:ascii="宋体" w:hAnsi="宋体"/>
                <w:sz w:val="24"/>
                <w:szCs w:val="24"/>
              </w:rPr>
              <w:t>报价</w:t>
            </w:r>
          </w:p>
        </w:tc>
        <w:tc>
          <w:tcPr>
            <w:tcW w:w="7281" w:type="dxa"/>
            <w:gridSpan w:val="3"/>
            <w:vAlign w:val="center"/>
          </w:tcPr>
          <w:p>
            <w:pPr>
              <w:ind w:right="-210" w:rightChars="-100"/>
              <w:jc w:val="left"/>
              <w:rPr>
                <w:rFonts w:hint="default" w:ascii="宋体" w:hAnsi="宋体" w:eastAsia="宋体"/>
                <w:sz w:val="24"/>
                <w:szCs w:val="24"/>
                <w:lang w:val="en-US" w:eastAsia="zh-CN"/>
              </w:rPr>
            </w:pPr>
            <w:r>
              <w:rPr>
                <w:rFonts w:hint="eastAsia" w:ascii="宋体" w:hAnsi="宋体"/>
                <w:sz w:val="24"/>
                <w:szCs w:val="24"/>
                <w:lang w:val="en-US" w:eastAsia="zh-CN"/>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1915" w:type="dxa"/>
          </w:tcPr>
          <w:p>
            <w:pPr>
              <w:pStyle w:val="52"/>
              <w:spacing w:line="308" w:lineRule="atLeast"/>
              <w:jc w:val="center"/>
              <w:textAlignment w:val="top"/>
              <w:rPr>
                <w:rFonts w:ascii="宋体" w:hAnsi="宋体"/>
                <w:sz w:val="24"/>
                <w:szCs w:val="24"/>
              </w:rPr>
            </w:pPr>
          </w:p>
          <w:p>
            <w:pPr>
              <w:pStyle w:val="52"/>
              <w:spacing w:line="308" w:lineRule="atLeast"/>
              <w:jc w:val="center"/>
              <w:textAlignment w:val="top"/>
              <w:rPr>
                <w:rFonts w:hint="default" w:ascii="宋体" w:hAnsi="宋体" w:eastAsiaTheme="minorEastAsia"/>
                <w:sz w:val="24"/>
                <w:szCs w:val="24"/>
                <w:lang w:val="en-US" w:eastAsia="zh-CN"/>
              </w:rPr>
            </w:pPr>
            <w:r>
              <w:rPr>
                <w:rFonts w:ascii="宋体" w:hAnsi="宋体"/>
                <w:sz w:val="24"/>
                <w:szCs w:val="24"/>
              </w:rPr>
              <w:t>监理</w:t>
            </w:r>
            <w:r>
              <w:rPr>
                <w:rFonts w:hint="eastAsia" w:ascii="宋体" w:hAnsi="宋体"/>
                <w:sz w:val="24"/>
                <w:szCs w:val="24"/>
                <w:lang w:val="en-US" w:eastAsia="zh-CN"/>
              </w:rPr>
              <w:t>服务期限</w:t>
            </w:r>
          </w:p>
        </w:tc>
        <w:tc>
          <w:tcPr>
            <w:tcW w:w="7281" w:type="dxa"/>
            <w:gridSpan w:val="3"/>
            <w:vAlign w:val="center"/>
          </w:tcPr>
          <w:p>
            <w:pPr>
              <w:pStyle w:val="52"/>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pPr>
              <w:pStyle w:val="52"/>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1915"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拟派</w:t>
            </w:r>
            <w:r>
              <w:rPr>
                <w:rFonts w:hint="eastAsia" w:ascii="宋体" w:hAnsi="宋体"/>
                <w:sz w:val="24"/>
                <w:szCs w:val="24"/>
              </w:rPr>
              <w:t>总</w:t>
            </w:r>
            <w:r>
              <w:rPr>
                <w:rFonts w:ascii="宋体" w:hAnsi="宋体"/>
                <w:sz w:val="24"/>
                <w:szCs w:val="24"/>
              </w:rPr>
              <w:t>监理工程师姓名</w:t>
            </w:r>
          </w:p>
        </w:tc>
        <w:tc>
          <w:tcPr>
            <w:tcW w:w="2901" w:type="dxa"/>
            <w:vAlign w:val="center"/>
          </w:tcPr>
          <w:p>
            <w:pPr>
              <w:pStyle w:val="52"/>
              <w:spacing w:line="308" w:lineRule="atLeast"/>
              <w:jc w:val="center"/>
              <w:textAlignment w:val="center"/>
              <w:rPr>
                <w:rFonts w:ascii="宋体" w:hAnsi="宋体"/>
                <w:sz w:val="24"/>
                <w:szCs w:val="24"/>
              </w:rPr>
            </w:pPr>
          </w:p>
        </w:tc>
        <w:tc>
          <w:tcPr>
            <w:tcW w:w="1474" w:type="dxa"/>
            <w:vAlign w:val="center"/>
          </w:tcPr>
          <w:p>
            <w:pPr>
              <w:pStyle w:val="52"/>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pPr>
              <w:pStyle w:val="52"/>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exact"/>
        </w:trPr>
        <w:tc>
          <w:tcPr>
            <w:tcW w:w="9196" w:type="dxa"/>
            <w:gridSpan w:val="4"/>
          </w:tcPr>
          <w:p>
            <w:pPr>
              <w:pStyle w:val="52"/>
              <w:spacing w:line="308" w:lineRule="atLeast"/>
              <w:textAlignment w:val="top"/>
              <w:rPr>
                <w:rFonts w:ascii="宋体" w:hAnsi="宋体"/>
                <w:sz w:val="24"/>
                <w:szCs w:val="24"/>
              </w:rPr>
            </w:pPr>
            <w:r>
              <w:rPr>
                <w:rFonts w:hint="eastAsia" w:ascii="宋体" w:hAnsi="宋体"/>
                <w:sz w:val="24"/>
                <w:szCs w:val="24"/>
              </w:rPr>
              <w:t>备注：</w:t>
            </w:r>
          </w:p>
        </w:tc>
      </w:tr>
    </w:tbl>
    <w:p>
      <w:pPr>
        <w:spacing w:line="400" w:lineRule="exact"/>
        <w:ind w:firstLine="210" w:firstLineChars="100"/>
        <w:jc w:val="left"/>
        <w:rPr>
          <w:rFonts w:ascii="宋体" w:hAnsi="宋体"/>
          <w:bCs/>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ind w:firstLine="3684" w:firstLineChars="1535"/>
        <w:rPr>
          <w:sz w:val="24"/>
          <w:szCs w:val="21"/>
        </w:rPr>
      </w:pPr>
      <w:r>
        <w:rPr>
          <w:rFonts w:hint="eastAsia"/>
          <w:sz w:val="24"/>
          <w:szCs w:val="21"/>
        </w:rPr>
        <w:t>投标人：（盖单位公章）</w:t>
      </w:r>
    </w:p>
    <w:p/>
    <w:p>
      <w:pPr>
        <w:spacing w:line="400" w:lineRule="exact"/>
        <w:ind w:firstLine="3684" w:firstLineChars="1535"/>
        <w:rPr>
          <w:sz w:val="24"/>
          <w:szCs w:val="21"/>
        </w:rPr>
      </w:pPr>
      <w:r>
        <w:rPr>
          <w:rFonts w:hint="eastAsia"/>
          <w:sz w:val="24"/>
          <w:szCs w:val="21"/>
        </w:rPr>
        <w:t>法定代表人或其委托代理人：（签字）</w:t>
      </w:r>
    </w:p>
    <w:p/>
    <w:p>
      <w:pPr>
        <w:spacing w:line="400" w:lineRule="exact"/>
        <w:ind w:firstLine="3684" w:firstLineChars="1535"/>
        <w:jc w:val="left"/>
        <w:rPr>
          <w:sz w:val="24"/>
          <w:szCs w:val="21"/>
        </w:rPr>
      </w:pPr>
      <w:r>
        <w:rPr>
          <w:rFonts w:hint="eastAsia"/>
          <w:sz w:val="24"/>
          <w:szCs w:val="21"/>
        </w:rPr>
        <w:t>日期：  年   月  日</w:t>
      </w:r>
    </w:p>
    <w:p/>
    <w:p>
      <w:pPr>
        <w:spacing w:line="276" w:lineRule="auto"/>
        <w:ind w:right="420" w:firstLine="420"/>
        <w:jc w:val="center"/>
      </w:pPr>
    </w:p>
    <w:p>
      <w:pPr>
        <w:pStyle w:val="4"/>
        <w:jc w:val="center"/>
        <w:rPr>
          <w:rFonts w:hint="eastAsia" w:ascii="黑体" w:hAnsi="新宋体" w:eastAsia="黑体" w:cs="黑体"/>
          <w:b w:val="0"/>
          <w:bCs w:val="0"/>
          <w:sz w:val="32"/>
          <w:szCs w:val="32"/>
        </w:rPr>
      </w:pPr>
      <w:bookmarkStart w:id="539" w:name="_Toc496098811"/>
      <w:bookmarkStart w:id="540" w:name="_Toc32351"/>
      <w:bookmarkStart w:id="541" w:name="_Toc505626537"/>
      <w:bookmarkStart w:id="542" w:name="_Toc144974860"/>
      <w:bookmarkStart w:id="543" w:name="_Toc295398987"/>
      <w:bookmarkStart w:id="544" w:name="_Toc152045791"/>
      <w:bookmarkStart w:id="545" w:name="_Toc152042580"/>
    </w:p>
    <w:p>
      <w:pPr>
        <w:rPr>
          <w:rFonts w:hint="eastAsia" w:ascii="黑体" w:hAnsi="新宋体" w:eastAsia="黑体" w:cs="黑体"/>
          <w:b w:val="0"/>
          <w:bCs w:val="0"/>
          <w:sz w:val="32"/>
          <w:szCs w:val="32"/>
        </w:rPr>
      </w:pPr>
    </w:p>
    <w:p>
      <w:pPr>
        <w:pStyle w:val="27"/>
        <w:rPr>
          <w:rFonts w:hint="eastAsia"/>
        </w:rPr>
      </w:pPr>
    </w:p>
    <w:p>
      <w:pPr>
        <w:pStyle w:val="4"/>
        <w:jc w:val="center"/>
      </w:pPr>
      <w:r>
        <w:rPr>
          <w:rFonts w:hint="eastAsia" w:ascii="黑体" w:hAnsi="新宋体" w:eastAsia="黑体" w:cs="黑体"/>
          <w:b w:val="0"/>
          <w:bCs w:val="0"/>
          <w:sz w:val="32"/>
          <w:szCs w:val="32"/>
        </w:rPr>
        <w:t>二、法定代表人身份证明</w:t>
      </w:r>
      <w:bookmarkEnd w:id="539"/>
      <w:bookmarkEnd w:id="540"/>
      <w:bookmarkEnd w:id="541"/>
    </w:p>
    <w:p>
      <w:pPr>
        <w:spacing w:beforeLines="100" w:afterLines="100" w:line="360" w:lineRule="auto"/>
        <w:ind w:firstLine="400" w:firstLineChars="200"/>
        <w:jc w:val="center"/>
        <w:rPr>
          <w:sz w:val="20"/>
          <w:szCs w:val="20"/>
        </w:rPr>
      </w:pPr>
      <w:bookmarkStart w:id="546" w:name="_Toc32154"/>
    </w:p>
    <w:p>
      <w:pPr>
        <w:spacing w:line="360" w:lineRule="auto"/>
        <w:ind w:firstLine="420" w:firstLineChars="200"/>
        <w:rPr>
          <w:szCs w:val="21"/>
        </w:rPr>
      </w:pPr>
      <w:r>
        <w:rPr>
          <w:szCs w:val="21"/>
        </w:rPr>
        <w:t>投标人名称：</w:t>
      </w:r>
    </w:p>
    <w:p>
      <w:pPr>
        <w:spacing w:line="360" w:lineRule="auto"/>
        <w:ind w:firstLine="420" w:firstLineChars="200"/>
        <w:rPr>
          <w:szCs w:val="21"/>
          <w:u w:val="single"/>
        </w:rPr>
      </w:pPr>
      <w:r>
        <w:rPr>
          <w:szCs w:val="21"/>
        </w:rPr>
        <w:t>单位性质：</w:t>
      </w:r>
    </w:p>
    <w:p>
      <w:pPr>
        <w:spacing w:line="360" w:lineRule="auto"/>
        <w:ind w:firstLine="420" w:firstLineChars="200"/>
        <w:rPr>
          <w:szCs w:val="21"/>
          <w:u w:val="single"/>
        </w:rPr>
      </w:pPr>
      <w:r>
        <w:rPr>
          <w:szCs w:val="21"/>
        </w:rPr>
        <w:t>地址：</w:t>
      </w:r>
    </w:p>
    <w:p>
      <w:pPr>
        <w:spacing w:line="360" w:lineRule="auto"/>
        <w:ind w:firstLine="420" w:firstLineChars="200"/>
        <w:rPr>
          <w:szCs w:val="21"/>
        </w:rPr>
      </w:pPr>
      <w:r>
        <w:rPr>
          <w:szCs w:val="21"/>
        </w:rPr>
        <w:t>成立时间：年月日</w:t>
      </w:r>
    </w:p>
    <w:p>
      <w:pPr>
        <w:spacing w:line="360" w:lineRule="auto"/>
        <w:ind w:firstLine="420" w:firstLineChars="200"/>
        <w:rPr>
          <w:szCs w:val="21"/>
        </w:rPr>
      </w:pPr>
      <w:r>
        <w:rPr>
          <w:szCs w:val="21"/>
        </w:rPr>
        <w:t>经营期限：</w:t>
      </w:r>
    </w:p>
    <w:p>
      <w:pPr>
        <w:spacing w:line="360" w:lineRule="auto"/>
        <w:ind w:firstLine="420" w:firstLineChars="200"/>
        <w:rPr>
          <w:szCs w:val="21"/>
          <w:u w:val="single"/>
        </w:rPr>
      </w:pPr>
      <w:r>
        <w:rPr>
          <w:szCs w:val="21"/>
        </w:rPr>
        <w:t>姓名：性别：年龄：职务：</w:t>
      </w:r>
    </w:p>
    <w:p>
      <w:pPr>
        <w:spacing w:line="360" w:lineRule="auto"/>
        <w:ind w:firstLine="420" w:firstLineChars="200"/>
        <w:rPr>
          <w:szCs w:val="21"/>
        </w:rPr>
      </w:pPr>
      <w:r>
        <w:rPr>
          <w:szCs w:val="21"/>
        </w:rPr>
        <w:t>系</w:t>
      </w:r>
      <w:r>
        <w:rPr>
          <w:rFonts w:hint="eastAsia"/>
          <w:szCs w:val="21"/>
          <w:u w:val="single"/>
        </w:rPr>
        <w:t xml:space="preserve">     （</w:t>
      </w:r>
      <w:r>
        <w:rPr>
          <w:szCs w:val="21"/>
          <w:u w:val="single"/>
        </w:rPr>
        <w:t>投标人名称</w:t>
      </w:r>
      <w:r>
        <w:rPr>
          <w:rFonts w:hint="eastAsia"/>
          <w:szCs w:val="21"/>
          <w:u w:val="single"/>
        </w:rPr>
        <w:t xml:space="preserve">）      </w:t>
      </w:r>
      <w:r>
        <w:rPr>
          <w:szCs w:val="21"/>
        </w:rPr>
        <w:t>的法定代表人。</w:t>
      </w:r>
    </w:p>
    <w:p>
      <w:pPr>
        <w:spacing w:line="360" w:lineRule="auto"/>
        <w:ind w:firstLine="420" w:firstLineChars="200"/>
        <w:rPr>
          <w:szCs w:val="21"/>
        </w:rPr>
      </w:pPr>
      <w:r>
        <w:rPr>
          <w:szCs w:val="21"/>
        </w:rPr>
        <w:t>特此证明。</w:t>
      </w:r>
    </w:p>
    <w:p>
      <w:pPr>
        <w:spacing w:line="360" w:lineRule="auto"/>
        <w:ind w:firstLine="420" w:firstLineChars="200"/>
        <w:rPr>
          <w:szCs w:val="21"/>
        </w:rPr>
      </w:pPr>
    </w:p>
    <w:p>
      <w:pPr>
        <w:spacing w:line="360" w:lineRule="auto"/>
        <w:ind w:firstLine="420" w:firstLineChars="200"/>
        <w:rPr>
          <w:szCs w:val="21"/>
        </w:rPr>
      </w:pPr>
      <w:r>
        <w:rPr>
          <w:rFonts w:ascii="宋体" w:hAnsi="宋体"/>
          <w:szCs w:val="21"/>
        </w:rPr>
        <w:t>附：</w:t>
      </w:r>
      <w:r>
        <w:rPr>
          <w:rFonts w:hint="eastAsia" w:ascii="宋体" w:hAnsi="宋体"/>
          <w:szCs w:val="21"/>
        </w:rPr>
        <w:t>法定代表人身份证复印件</w:t>
      </w:r>
    </w:p>
    <w:p>
      <w:pPr>
        <w:spacing w:line="360" w:lineRule="auto"/>
        <w:ind w:firstLine="420" w:firstLineChars="200"/>
        <w:jc w:val="right"/>
        <w:rPr>
          <w:szCs w:val="21"/>
        </w:rPr>
      </w:pPr>
    </w:p>
    <w:p>
      <w:pPr>
        <w:spacing w:line="360" w:lineRule="auto"/>
        <w:ind w:firstLine="420" w:firstLineChars="200"/>
        <w:jc w:val="right"/>
        <w:rPr>
          <w:szCs w:val="21"/>
        </w:rPr>
      </w:pPr>
    </w:p>
    <w:p>
      <w:pPr>
        <w:spacing w:line="360" w:lineRule="auto"/>
        <w:ind w:firstLine="420" w:firstLineChars="200"/>
        <w:jc w:val="right"/>
        <w:rPr>
          <w:szCs w:val="21"/>
        </w:rPr>
      </w:pPr>
      <w:r>
        <w:rPr>
          <w:szCs w:val="21"/>
        </w:rPr>
        <w:t>投标人</w:t>
      </w:r>
      <w:r>
        <w:rPr>
          <w:rFonts w:hint="eastAsia"/>
          <w:szCs w:val="21"/>
        </w:rPr>
        <w:t>：</w:t>
      </w:r>
      <w:r>
        <w:rPr>
          <w:szCs w:val="21"/>
        </w:rPr>
        <w:t>（盖单位公章）</w:t>
      </w:r>
    </w:p>
    <w:p>
      <w:pPr>
        <w:spacing w:line="360" w:lineRule="auto"/>
        <w:ind w:firstLine="420" w:firstLineChars="200"/>
        <w:jc w:val="right"/>
        <w:rPr>
          <w:szCs w:val="21"/>
        </w:rPr>
      </w:pPr>
      <w:r>
        <w:rPr>
          <w:rFonts w:hint="eastAsia"/>
          <w:szCs w:val="21"/>
        </w:rPr>
        <w:t xml:space="preserve">日期：  </w:t>
      </w:r>
      <w:r>
        <w:rPr>
          <w:szCs w:val="21"/>
        </w:rPr>
        <w:t>年月日</w:t>
      </w:r>
    </w:p>
    <w:bookmarkEnd w:id="542"/>
    <w:bookmarkEnd w:id="543"/>
    <w:bookmarkEnd w:id="544"/>
    <w:bookmarkEnd w:id="545"/>
    <w:bookmarkEnd w:id="546"/>
    <w:p>
      <w:pPr>
        <w:spacing w:line="276" w:lineRule="auto"/>
        <w:ind w:firstLine="420"/>
        <w:rPr>
          <w:sz w:val="24"/>
          <w:szCs w:val="21"/>
        </w:rPr>
      </w:pPr>
    </w:p>
    <w:p>
      <w:pPr>
        <w:spacing w:line="440" w:lineRule="exact"/>
        <w:rPr>
          <w:szCs w:val="21"/>
        </w:rPr>
      </w:pPr>
    </w:p>
    <w:p>
      <w:pPr>
        <w:spacing w:line="440" w:lineRule="exact"/>
        <w:rPr>
          <w:szCs w:val="21"/>
        </w:rPr>
      </w:pPr>
    </w:p>
    <w:p/>
    <w:p/>
    <w:p/>
    <w:p>
      <w:pPr>
        <w:widowControl/>
        <w:jc w:val="left"/>
        <w:rPr>
          <w:rFonts w:hAnsi="宋体"/>
          <w:b/>
          <w:sz w:val="24"/>
        </w:rPr>
      </w:pPr>
      <w:bookmarkStart w:id="547" w:name="_Toc23768"/>
      <w:bookmarkStart w:id="548" w:name="_Toc144974861"/>
      <w:bookmarkStart w:id="549" w:name="_Toc152042581"/>
      <w:bookmarkStart w:id="550" w:name="_Toc152045792"/>
      <w:bookmarkStart w:id="551" w:name="_Toc295398988"/>
      <w:r>
        <w:rPr>
          <w:rFonts w:hAnsi="宋体"/>
          <w:b/>
          <w:sz w:val="24"/>
        </w:rPr>
        <w:br w:type="page"/>
      </w:r>
    </w:p>
    <w:p>
      <w:pPr>
        <w:spacing w:beforeLines="100" w:afterLines="100" w:line="276" w:lineRule="auto"/>
        <w:jc w:val="center"/>
        <w:rPr>
          <w:rFonts w:hAnsi="宋体"/>
          <w:b/>
          <w:sz w:val="24"/>
        </w:rPr>
      </w:pPr>
      <w:r>
        <w:rPr>
          <w:rFonts w:hint="eastAsia" w:ascii="黑体" w:hAnsi="新宋体" w:eastAsia="黑体" w:cs="黑体"/>
          <w:sz w:val="32"/>
          <w:szCs w:val="32"/>
        </w:rPr>
        <w:t>三、授权委托书</w:t>
      </w:r>
      <w:bookmarkEnd w:id="547"/>
      <w:bookmarkEnd w:id="548"/>
      <w:bookmarkEnd w:id="549"/>
      <w:bookmarkEnd w:id="550"/>
      <w:bookmarkEnd w:id="551"/>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为我方代理人。代理人根据授权，以我方名义签署、澄清、说明、补正、递交、撤回、修改</w:t>
      </w:r>
      <w:r>
        <w:rPr>
          <w:rFonts w:ascii="宋体" w:hAnsi="宋体"/>
          <w:szCs w:val="21"/>
          <w:u w:val="single"/>
        </w:rPr>
        <w:t>（项目名称）</w:t>
      </w:r>
      <w:r>
        <w:rPr>
          <w:rFonts w:hint="eastAsia" w:ascii="宋体" w:hAnsi="宋体"/>
          <w:szCs w:val="21"/>
        </w:rPr>
        <w:t>标段</w:t>
      </w:r>
      <w:r>
        <w:rPr>
          <w:rFonts w:ascii="宋体" w:hAnsi="宋体"/>
          <w:szCs w:val="21"/>
        </w:rPr>
        <w:t>投标文件、签订合同和处理有关事宜，其法律后果由我方承担。</w:t>
      </w:r>
    </w:p>
    <w:p>
      <w:pPr>
        <w:spacing w:line="360" w:lineRule="auto"/>
        <w:ind w:firstLine="420" w:firstLineChars="200"/>
        <w:rPr>
          <w:rFonts w:ascii="宋体" w:hAnsi="宋体"/>
          <w:szCs w:val="21"/>
        </w:rPr>
      </w:pPr>
      <w:r>
        <w:rPr>
          <w:rFonts w:ascii="宋体" w:hAnsi="宋体"/>
          <w:szCs w:val="21"/>
        </w:rPr>
        <w:t>委托期限：。</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ascii="宋体" w:hAnsi="宋体"/>
          <w:szCs w:val="21"/>
        </w:rPr>
        <w:t>附：</w:t>
      </w:r>
      <w:r>
        <w:rPr>
          <w:rFonts w:hint="eastAsia" w:ascii="宋体" w:hAnsi="宋体"/>
          <w:szCs w:val="21"/>
        </w:rPr>
        <w:t>法定代表人身份证复印件及委托代理人身份证复印件</w:t>
      </w:r>
    </w:p>
    <w:p>
      <w:pPr>
        <w:spacing w:line="360" w:lineRule="auto"/>
        <w:ind w:firstLine="420" w:firstLineChars="200"/>
        <w:rPr>
          <w:rFonts w:ascii="宋体" w:hAnsi="宋体"/>
          <w:szCs w:val="21"/>
        </w:rPr>
      </w:pPr>
    </w:p>
    <w:p>
      <w:pPr>
        <w:spacing w:line="360" w:lineRule="auto"/>
        <w:ind w:firstLine="2975" w:firstLineChars="1417"/>
        <w:jc w:val="left"/>
        <w:rPr>
          <w:rFonts w:ascii="宋体" w:hAnsi="宋体"/>
          <w:szCs w:val="21"/>
        </w:rPr>
      </w:pPr>
      <w:r>
        <w:rPr>
          <w:rFonts w:ascii="宋体" w:hAnsi="宋体"/>
          <w:szCs w:val="21"/>
        </w:rPr>
        <w:t>投标人：（盖单位公章）</w:t>
      </w:r>
    </w:p>
    <w:p>
      <w:pPr>
        <w:spacing w:line="360" w:lineRule="auto"/>
        <w:ind w:firstLine="2975" w:firstLineChars="1417"/>
        <w:jc w:val="left"/>
        <w:rPr>
          <w:rFonts w:ascii="宋体" w:hAnsi="宋体"/>
          <w:szCs w:val="21"/>
        </w:rPr>
      </w:pPr>
      <w:r>
        <w:rPr>
          <w:rFonts w:ascii="宋体" w:hAnsi="宋体"/>
          <w:szCs w:val="21"/>
        </w:rPr>
        <w:t>法定代表人：（签字</w:t>
      </w:r>
      <w:r>
        <w:rPr>
          <w:rFonts w:hint="eastAsia" w:ascii="宋体" w:hAnsi="宋体"/>
          <w:szCs w:val="21"/>
        </w:rPr>
        <w:t>或盖章</w:t>
      </w:r>
      <w:r>
        <w:rPr>
          <w:rFonts w:ascii="宋体" w:hAnsi="宋体"/>
          <w:szCs w:val="21"/>
        </w:rPr>
        <w:t>）</w:t>
      </w:r>
    </w:p>
    <w:p>
      <w:pPr>
        <w:spacing w:line="360" w:lineRule="auto"/>
        <w:ind w:firstLine="2975" w:firstLineChars="1417"/>
        <w:jc w:val="left"/>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ascii="宋体" w:hAnsi="宋体"/>
          <w:szCs w:val="21"/>
        </w:rPr>
        <w:t>委托代理人：（签字</w:t>
      </w:r>
      <w:r>
        <w:rPr>
          <w:rFonts w:hint="eastAsia" w:ascii="宋体" w:hAnsi="宋体"/>
          <w:szCs w:val="21"/>
        </w:rPr>
        <w:t>或盖章</w:t>
      </w:r>
      <w:r>
        <w:rPr>
          <w:rFonts w:ascii="宋体" w:hAnsi="宋体"/>
          <w:szCs w:val="21"/>
        </w:rPr>
        <w:t>）</w:t>
      </w:r>
    </w:p>
    <w:p>
      <w:pPr>
        <w:spacing w:line="360" w:lineRule="auto"/>
        <w:ind w:firstLine="2975" w:firstLineChars="1417"/>
        <w:rPr>
          <w:rFonts w:ascii="宋体" w:hAnsi="宋体"/>
          <w:szCs w:val="21"/>
        </w:rPr>
      </w:pPr>
      <w:r>
        <w:rPr>
          <w:rFonts w:ascii="宋体" w:hAnsi="宋体"/>
          <w:szCs w:val="21"/>
        </w:rPr>
        <w:t>身份证号码：</w:t>
      </w:r>
    </w:p>
    <w:p>
      <w:pPr>
        <w:spacing w:line="360" w:lineRule="auto"/>
        <w:ind w:firstLine="2975" w:firstLineChars="1417"/>
        <w:jc w:val="left"/>
        <w:rPr>
          <w:rFonts w:ascii="宋体" w:hAnsi="宋体"/>
          <w:szCs w:val="21"/>
        </w:rPr>
      </w:pPr>
      <w:r>
        <w:rPr>
          <w:rFonts w:hint="eastAsia" w:ascii="宋体" w:hAnsi="宋体"/>
          <w:szCs w:val="21"/>
        </w:rPr>
        <w:t xml:space="preserve">日期：  </w:t>
      </w:r>
      <w:r>
        <w:rPr>
          <w:rFonts w:ascii="宋体" w:hAnsi="宋体"/>
          <w:szCs w:val="21"/>
        </w:rPr>
        <w:t>年月日</w:t>
      </w:r>
    </w:p>
    <w:p>
      <w:pPr>
        <w:ind w:firstLine="420"/>
        <w:rPr>
          <w:rFonts w:ascii="宋体" w:hAnsi="宋体"/>
          <w:szCs w:val="21"/>
        </w:rPr>
      </w:pPr>
    </w:p>
    <w:p/>
    <w:p/>
    <w:p>
      <w:pPr>
        <w:spacing w:line="440" w:lineRule="exact"/>
        <w:rPr>
          <w:szCs w:val="21"/>
        </w:rPr>
      </w:pPr>
    </w:p>
    <w:p/>
    <w:p/>
    <w:p/>
    <w:p/>
    <w:p>
      <w:pPr>
        <w:widowControl/>
        <w:jc w:val="left"/>
        <w:rPr>
          <w:rFonts w:asciiTheme="minorEastAsia" w:hAnsiTheme="minorEastAsia" w:eastAsiaTheme="minorEastAsia" w:cstheme="majorBidi"/>
          <w:b/>
          <w:bCs/>
          <w:sz w:val="24"/>
        </w:rPr>
      </w:pPr>
      <w:bookmarkStart w:id="552" w:name="_Toc496098812"/>
      <w:bookmarkStart w:id="553" w:name="_Toc505626538"/>
      <w:bookmarkStart w:id="554" w:name="_Toc3967"/>
      <w:r>
        <w:br w:type="page"/>
      </w:r>
    </w:p>
    <w:p>
      <w:pPr>
        <w:pStyle w:val="4"/>
        <w:jc w:val="center"/>
      </w:pPr>
      <w:r>
        <w:rPr>
          <w:rFonts w:hint="eastAsia" w:ascii="黑体" w:hAnsi="新宋体" w:eastAsia="黑体" w:cs="黑体"/>
          <w:b w:val="0"/>
          <w:bCs w:val="0"/>
          <w:sz w:val="32"/>
          <w:szCs w:val="32"/>
        </w:rPr>
        <w:t>四、投标保证金</w:t>
      </w:r>
      <w:bookmarkEnd w:id="552"/>
      <w:bookmarkEnd w:id="553"/>
      <w:bookmarkEnd w:id="554"/>
    </w:p>
    <w:p>
      <w:pPr>
        <w:spacing w:line="440" w:lineRule="exact"/>
        <w:ind w:firstLine="420"/>
        <w:jc w:val="center"/>
        <w:rPr>
          <w:rFonts w:ascii="宋体" w:hAnsi="宋体"/>
          <w:szCs w:val="21"/>
        </w:rPr>
      </w:pPr>
      <w:bookmarkStart w:id="555" w:name="_Toc3413"/>
      <w:bookmarkStart w:id="556" w:name="_Toc496098813"/>
      <w:bookmarkStart w:id="557" w:name="_Toc226780950"/>
      <w:bookmarkStart w:id="558" w:name="_Toc269324880"/>
      <w:bookmarkStart w:id="559" w:name="_Toc273359052"/>
      <w:bookmarkStart w:id="560" w:name="_Toc266393424"/>
      <w:bookmarkStart w:id="561" w:name="_Toc281225380"/>
      <w:r>
        <w:rPr>
          <w:rFonts w:hint="eastAsia" w:hAnsi="宋体" w:cs="仿宋_GB2312"/>
          <w:sz w:val="24"/>
        </w:rPr>
        <w:t>附保证金有效银行转账凭证</w:t>
      </w: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
      <w:pPr>
        <w:spacing w:line="440" w:lineRule="exact"/>
        <w:ind w:firstLine="420"/>
        <w:jc w:val="left"/>
        <w:rPr>
          <w:rFonts w:ascii="宋体" w:hAnsi="宋体"/>
          <w:szCs w:val="21"/>
        </w:rPr>
      </w:pPr>
    </w:p>
    <w:p>
      <w:pPr>
        <w:spacing w:line="440" w:lineRule="exact"/>
        <w:ind w:firstLine="420"/>
        <w:jc w:val="left"/>
        <w:rPr>
          <w:rFonts w:ascii="宋体" w:hAnsi="宋体"/>
          <w:szCs w:val="21"/>
        </w:rPr>
      </w:pPr>
    </w:p>
    <w:p>
      <w:pPr>
        <w:widowControl/>
        <w:jc w:val="left"/>
        <w:rPr>
          <w:rFonts w:asciiTheme="minorEastAsia" w:hAnsiTheme="minorEastAsia" w:eastAsiaTheme="minorEastAsia" w:cstheme="majorBidi"/>
          <w:b/>
          <w:bCs/>
          <w:szCs w:val="21"/>
        </w:rPr>
      </w:pPr>
      <w:bookmarkStart w:id="562" w:name="_Toc505626539"/>
      <w:r>
        <w:rPr>
          <w:szCs w:val="21"/>
        </w:rPr>
        <w:br w:type="page"/>
      </w:r>
    </w:p>
    <w:p>
      <w:pPr>
        <w:pStyle w:val="4"/>
        <w:jc w:val="center"/>
      </w:pPr>
      <w:r>
        <w:rPr>
          <w:rFonts w:hint="eastAsia" w:ascii="黑体" w:hAnsi="新宋体" w:eastAsia="黑体" w:cs="黑体"/>
          <w:b w:val="0"/>
          <w:bCs w:val="0"/>
          <w:sz w:val="32"/>
          <w:szCs w:val="32"/>
        </w:rPr>
        <w:t>五、</w:t>
      </w:r>
      <w:bookmarkEnd w:id="555"/>
      <w:bookmarkEnd w:id="556"/>
      <w:bookmarkEnd w:id="562"/>
      <w:r>
        <w:rPr>
          <w:rFonts w:hint="eastAsia" w:ascii="黑体" w:hAnsi="新宋体" w:eastAsia="黑体" w:cs="黑体"/>
          <w:b w:val="0"/>
          <w:bCs w:val="0"/>
          <w:sz w:val="32"/>
          <w:szCs w:val="32"/>
        </w:rPr>
        <w:t>资格审</w:t>
      </w:r>
      <w:bookmarkStart w:id="593" w:name="_GoBack"/>
      <w:bookmarkEnd w:id="593"/>
      <w:r>
        <w:rPr>
          <w:rFonts w:hint="eastAsia" w:ascii="黑体" w:hAnsi="新宋体" w:eastAsia="黑体" w:cs="黑体"/>
          <w:b w:val="0"/>
          <w:bCs w:val="0"/>
          <w:sz w:val="32"/>
          <w:szCs w:val="32"/>
        </w:rPr>
        <w:t>查资料</w:t>
      </w:r>
    </w:p>
    <w:p>
      <w:pPr>
        <w:pStyle w:val="5"/>
        <w:rPr>
          <w:rFonts w:hAnsi="Times New Roman"/>
        </w:rPr>
      </w:pPr>
      <w:r>
        <w:rPr>
          <w:rFonts w:hint="eastAsia" w:hAnsi="Times New Roman"/>
        </w:rPr>
        <w:t>（一）基本情况表</w:t>
      </w:r>
    </w:p>
    <w:p>
      <w:pPr>
        <w:jc w:val="center"/>
        <w:rPr>
          <w:b/>
          <w:sz w:val="24"/>
        </w:rPr>
      </w:pP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95"/>
        <w:gridCol w:w="1095"/>
        <w:gridCol w:w="1095"/>
        <w:gridCol w:w="10"/>
        <w:gridCol w:w="391"/>
        <w:gridCol w:w="694"/>
        <w:gridCol w:w="865"/>
        <w:gridCol w:w="23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3285" w:type="dxa"/>
            <w:gridSpan w:val="3"/>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5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190" w:type="dxa"/>
            <w:gridSpan w:val="2"/>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51" w:type="dxa"/>
            <w:vMerge w:val="continue"/>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190" w:type="dxa"/>
            <w:gridSpan w:val="2"/>
            <w:vAlign w:val="center"/>
          </w:tcPr>
          <w:p>
            <w:pPr>
              <w:jc w:val="center"/>
              <w:rPr>
                <w:rFonts w:hint="eastAsia" w:ascii="宋体" w:hAnsi="宋体" w:eastAsia="宋体" w:cs="宋体"/>
                <w:sz w:val="21"/>
                <w:szCs w:val="21"/>
              </w:rPr>
            </w:pPr>
          </w:p>
        </w:tc>
        <w:tc>
          <w:tcPr>
            <w:tcW w:w="109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网 址</w:t>
            </w:r>
          </w:p>
        </w:tc>
        <w:tc>
          <w:tcPr>
            <w:tcW w:w="2191" w:type="dxa"/>
            <w:gridSpan w:val="3"/>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95" w:type="dxa"/>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095" w:type="dxa"/>
            <w:gridSpan w:val="3"/>
            <w:vAlign w:val="center"/>
          </w:tcPr>
          <w:p>
            <w:pPr>
              <w:jc w:val="center"/>
              <w:rPr>
                <w:rFonts w:hint="eastAsia" w:ascii="宋体" w:hAnsi="宋体" w:eastAsia="宋体" w:cs="宋体"/>
                <w:sz w:val="21"/>
                <w:szCs w:val="21"/>
              </w:rPr>
            </w:pPr>
          </w:p>
        </w:tc>
        <w:tc>
          <w:tcPr>
            <w:tcW w:w="10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电话</w:t>
            </w:r>
          </w:p>
        </w:tc>
        <w:tc>
          <w:tcPr>
            <w:tcW w:w="1096"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95" w:type="dxa"/>
            <w:vAlign w:val="center"/>
          </w:tcPr>
          <w:p>
            <w:pPr>
              <w:jc w:val="center"/>
              <w:rPr>
                <w:rFonts w:hint="eastAsia" w:ascii="宋体" w:hAnsi="宋体" w:eastAsia="宋体" w:cs="宋体"/>
                <w:sz w:val="21"/>
                <w:szCs w:val="21"/>
              </w:rPr>
            </w:pPr>
          </w:p>
        </w:tc>
        <w:tc>
          <w:tcPr>
            <w:tcW w:w="10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095" w:type="dxa"/>
            <w:gridSpan w:val="3"/>
            <w:vAlign w:val="center"/>
          </w:tcPr>
          <w:p>
            <w:pPr>
              <w:jc w:val="center"/>
              <w:rPr>
                <w:rFonts w:hint="eastAsia" w:ascii="宋体" w:hAnsi="宋体" w:eastAsia="宋体" w:cs="宋体"/>
                <w:sz w:val="21"/>
                <w:szCs w:val="21"/>
              </w:rPr>
            </w:pPr>
          </w:p>
        </w:tc>
        <w:tc>
          <w:tcPr>
            <w:tcW w:w="10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电话</w:t>
            </w:r>
          </w:p>
        </w:tc>
        <w:tc>
          <w:tcPr>
            <w:tcW w:w="1096"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企业监理资质证书</w:t>
            </w:r>
          </w:p>
        </w:tc>
        <w:tc>
          <w:tcPr>
            <w:tcW w:w="6571" w:type="dxa"/>
            <w:gridSpan w:val="9"/>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质量管理体系证书（如有）</w:t>
            </w:r>
          </w:p>
        </w:tc>
        <w:tc>
          <w:tcPr>
            <w:tcW w:w="6571" w:type="dxa"/>
            <w:gridSpan w:val="9"/>
            <w:vAlign w:val="center"/>
          </w:tcPr>
          <w:p>
            <w:pPr>
              <w:jc w:val="center"/>
              <w:rPr>
                <w:rFonts w:hint="eastAsia" w:ascii="宋体" w:hAnsi="宋体" w:eastAsia="宋体" w:cs="宋体"/>
                <w:sz w:val="21"/>
                <w:szCs w:val="21"/>
              </w:rPr>
            </w:pPr>
            <w:r>
              <w:rPr>
                <w:rFonts w:hint="eastAsia" w:ascii="宋体" w:hAnsi="宋体" w:eastAsia="宋体" w:cs="宋体"/>
                <w:sz w:val="21"/>
                <w:szCs w:val="21"/>
              </w:rPr>
              <w:t>类型：    类型：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3295" w:type="dxa"/>
            <w:gridSpan w:val="4"/>
            <w:vAlign w:val="center"/>
          </w:tcPr>
          <w:p>
            <w:pPr>
              <w:jc w:val="center"/>
              <w:rPr>
                <w:rFonts w:hint="eastAsia" w:ascii="宋体" w:hAnsi="宋体" w:eastAsia="宋体" w:cs="宋体"/>
                <w:sz w:val="21"/>
                <w:szCs w:val="21"/>
              </w:rPr>
            </w:pPr>
          </w:p>
        </w:tc>
        <w:tc>
          <w:tcPr>
            <w:tcW w:w="3276" w:type="dxa"/>
            <w:gridSpan w:val="5"/>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3295" w:type="dxa"/>
            <w:gridSpan w:val="4"/>
            <w:vAlign w:val="center"/>
          </w:tcPr>
          <w:p>
            <w:pPr>
              <w:jc w:val="center"/>
              <w:rPr>
                <w:rFonts w:hint="eastAsia" w:ascii="宋体" w:hAnsi="宋体" w:eastAsia="宋体" w:cs="宋体"/>
                <w:sz w:val="21"/>
                <w:szCs w:val="21"/>
              </w:rPr>
            </w:pPr>
          </w:p>
        </w:tc>
        <w:tc>
          <w:tcPr>
            <w:tcW w:w="391"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w:t>
            </w: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成立日期</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基本账户开户银行</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技术人员数量</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基本账户银行账号</w:t>
            </w:r>
          </w:p>
        </w:tc>
        <w:tc>
          <w:tcPr>
            <w:tcW w:w="3295" w:type="dxa"/>
            <w:gridSpan w:val="4"/>
            <w:vAlign w:val="center"/>
          </w:tcPr>
          <w:p>
            <w:pPr>
              <w:jc w:val="center"/>
              <w:rPr>
                <w:rFonts w:hint="eastAsia" w:ascii="宋体" w:hAnsi="宋体" w:eastAsia="宋体" w:cs="宋体"/>
                <w:sz w:val="21"/>
                <w:szCs w:val="21"/>
              </w:rPr>
            </w:pPr>
          </w:p>
        </w:tc>
        <w:tc>
          <w:tcPr>
            <w:tcW w:w="391" w:type="dxa"/>
            <w:vMerge w:val="continue"/>
            <w:vAlign w:val="center"/>
          </w:tcPr>
          <w:p>
            <w:pPr>
              <w:jc w:val="center"/>
              <w:rPr>
                <w:rFonts w:hint="eastAsia" w:ascii="宋体" w:hAnsi="宋体" w:eastAsia="宋体" w:cs="宋体"/>
                <w:sz w:val="21"/>
                <w:szCs w:val="21"/>
              </w:rPr>
            </w:pPr>
          </w:p>
        </w:tc>
        <w:tc>
          <w:tcPr>
            <w:tcW w:w="15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各类注册人员</w:t>
            </w:r>
          </w:p>
        </w:tc>
        <w:tc>
          <w:tcPr>
            <w:tcW w:w="1326" w:type="dxa"/>
            <w:gridSpan w:val="2"/>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投标人关联企业情况（包括但不限于与投标人法定代表人为同一人或者存在控股、管理关系的不同单位）</w:t>
            </w:r>
          </w:p>
        </w:tc>
        <w:tc>
          <w:tcPr>
            <w:tcW w:w="6571" w:type="dxa"/>
            <w:gridSpan w:val="9"/>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95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6571" w:type="dxa"/>
            <w:gridSpan w:val="9"/>
            <w:vAlign w:val="center"/>
          </w:tcPr>
          <w:p>
            <w:pPr>
              <w:jc w:val="center"/>
              <w:rPr>
                <w:rFonts w:hint="eastAsia" w:ascii="宋体" w:hAnsi="宋体" w:eastAsia="宋体" w:cs="宋体"/>
                <w:sz w:val="21"/>
                <w:szCs w:val="21"/>
              </w:rPr>
            </w:pPr>
          </w:p>
        </w:tc>
      </w:tr>
    </w:tbl>
    <w:p>
      <w:pPr>
        <w:jc w:val="left"/>
        <w:rPr>
          <w:szCs w:val="21"/>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pPr>
        <w:widowControl/>
        <w:jc w:val="left"/>
        <w:rPr>
          <w:rFonts w:asciiTheme="minorEastAsia" w:hAnsiTheme="minorEastAsia" w:eastAsiaTheme="minorEastAsia" w:cstheme="majorBidi"/>
          <w:b/>
          <w:bCs/>
          <w:sz w:val="24"/>
        </w:rPr>
      </w:pPr>
      <w:bookmarkStart w:id="563" w:name="_Toc297800230"/>
      <w:bookmarkStart w:id="564" w:name="_Toc496098815"/>
      <w:bookmarkStart w:id="565" w:name="_Toc32016"/>
      <w:bookmarkStart w:id="566" w:name="_Toc505626541"/>
      <w:bookmarkStart w:id="567" w:name="_Toc3509"/>
      <w:bookmarkStart w:id="568" w:name="_Toc499205032"/>
      <w:bookmarkStart w:id="569" w:name="_Toc23630"/>
      <w:bookmarkStart w:id="570" w:name="_Toc16636"/>
      <w:r>
        <w:br w:type="page"/>
      </w:r>
    </w:p>
    <w:bookmarkEnd w:id="563"/>
    <w:bookmarkEnd w:id="564"/>
    <w:bookmarkEnd w:id="565"/>
    <w:bookmarkEnd w:id="566"/>
    <w:bookmarkEnd w:id="567"/>
    <w:bookmarkEnd w:id="568"/>
    <w:bookmarkEnd w:id="569"/>
    <w:bookmarkEnd w:id="570"/>
    <w:p>
      <w:pPr>
        <w:spacing w:line="320" w:lineRule="exact"/>
        <w:ind w:left="500"/>
        <w:rPr>
          <w:rFonts w:asciiTheme="minorEastAsia" w:eastAsiaTheme="minorEastAsia" w:cstheme="majorBidi"/>
          <w:b/>
          <w:bCs/>
          <w:sz w:val="24"/>
        </w:rPr>
      </w:pPr>
      <w:r>
        <w:rPr>
          <w:rFonts w:asciiTheme="minorEastAsia" w:eastAsiaTheme="minorEastAsia" w:cstheme="majorBidi"/>
          <w:b/>
          <w:bCs/>
          <w:sz w:val="24"/>
        </w:rPr>
        <w:t>（二）近年财务状况表</w:t>
      </w:r>
    </w:p>
    <w:p>
      <w:pPr>
        <w:spacing w:line="200" w:lineRule="exact"/>
        <w:rPr>
          <w:rFonts w:asciiTheme="minorEastAsia" w:eastAsiaTheme="minorEastAsia" w:cstheme="majorBidi"/>
          <w:b/>
          <w:bCs/>
          <w:sz w:val="24"/>
        </w:rPr>
      </w:pPr>
    </w:p>
    <w:p>
      <w:pPr>
        <w:spacing w:line="200" w:lineRule="exact"/>
        <w:rPr>
          <w:sz w:val="20"/>
        </w:rPr>
      </w:pPr>
    </w:p>
    <w:p>
      <w:pPr>
        <w:spacing w:line="316" w:lineRule="exact"/>
        <w:rPr>
          <w:sz w:val="20"/>
        </w:rPr>
      </w:pPr>
    </w:p>
    <w:p>
      <w:pPr>
        <w:ind w:firstLine="420"/>
        <w:rPr>
          <w:b/>
          <w:szCs w:val="21"/>
        </w:rPr>
      </w:pPr>
      <w:r>
        <w:rPr>
          <w:rFonts w:ascii="宋体" w:hAnsi="宋体" w:cs="宋体"/>
          <w:szCs w:val="21"/>
        </w:rPr>
        <w:t>投标人应根据投标人须知第 3.5.2 项的要求在本表后附相关证明材料。</w:t>
      </w:r>
    </w:p>
    <w:p>
      <w:pPr>
        <w:ind w:firstLine="420"/>
        <w:rPr>
          <w:b/>
          <w:szCs w:val="21"/>
        </w:rPr>
      </w:pPr>
    </w:p>
    <w:p>
      <w:pPr>
        <w:ind w:firstLine="420"/>
        <w:rPr>
          <w:b/>
          <w:szCs w:val="21"/>
        </w:rPr>
      </w:pPr>
    </w:p>
    <w:p>
      <w:pPr>
        <w:ind w:firstLine="420"/>
        <w:rPr>
          <w:b/>
          <w:szCs w:val="21"/>
        </w:rPr>
      </w:pPr>
    </w:p>
    <w:p>
      <w:pPr>
        <w:ind w:firstLine="420"/>
        <w:rPr>
          <w:b/>
          <w:szCs w:val="21"/>
        </w:rPr>
      </w:pPr>
    </w:p>
    <w:p>
      <w:pPr>
        <w:ind w:firstLine="420"/>
        <w:rPr>
          <w:b/>
          <w:szCs w:val="21"/>
        </w:rPr>
      </w:pPr>
    </w:p>
    <w:p/>
    <w:p>
      <w:pPr>
        <w:ind w:firstLine="420"/>
        <w:rPr>
          <w:b/>
          <w:szCs w:val="21"/>
        </w:rPr>
      </w:pPr>
    </w:p>
    <w:p>
      <w:pPr>
        <w:widowControl/>
        <w:jc w:val="left"/>
        <w:rPr>
          <w:b/>
          <w:szCs w:val="21"/>
        </w:rPr>
      </w:pPr>
      <w:r>
        <w:rPr>
          <w:b/>
          <w:szCs w:val="21"/>
        </w:rPr>
        <w:br w:type="page"/>
      </w:r>
    </w:p>
    <w:p>
      <w:pPr>
        <w:spacing w:line="320" w:lineRule="exact"/>
        <w:ind w:left="500"/>
        <w:rPr>
          <w:sz w:val="20"/>
        </w:rPr>
      </w:pPr>
      <w:r>
        <w:rPr>
          <w:rFonts w:ascii="黑体" w:hAnsi="黑体" w:eastAsia="黑体" w:cs="黑体"/>
          <w:sz w:val="28"/>
          <w:szCs w:val="28"/>
        </w:rPr>
        <w:t>（三）近年完成的类似</w:t>
      </w:r>
      <w:r>
        <w:rPr>
          <w:rFonts w:hint="eastAsia" w:ascii="黑体" w:hAnsi="黑体" w:eastAsia="黑体" w:cs="黑体"/>
          <w:sz w:val="28"/>
          <w:szCs w:val="28"/>
          <w:lang w:val="en-US" w:eastAsia="zh-CN"/>
        </w:rPr>
        <w:t>监理</w:t>
      </w:r>
      <w:r>
        <w:rPr>
          <w:rFonts w:ascii="黑体" w:hAnsi="黑体" w:eastAsia="黑体" w:cs="黑体"/>
          <w:sz w:val="28"/>
          <w:szCs w:val="28"/>
        </w:rPr>
        <w:t>项目情况表</w:t>
      </w:r>
    </w:p>
    <w:p>
      <w:pPr>
        <w:spacing w:line="20" w:lineRule="exact"/>
        <w:rPr>
          <w:sz w:val="20"/>
        </w:rPr>
      </w:pPr>
      <w:r>
        <w:rPr>
          <w:sz w:val="20"/>
        </w:rPr>
        <w:pict>
          <v:line id="Shape 172" o:spid="_x0000_s5224" o:spt="20" style="position:absolute;left:0pt;margin-left:20.75pt;margin-top:28.3pt;height:0pt;width:426.55pt;z-index:-251644928;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rPr>
        <w:pict>
          <v:line id="Shape 173" o:spid="_x0000_s5225" o:spt="20" style="position:absolute;left:0pt;margin-left:20.75pt;margin-top:62.25pt;height:0pt;width:426.55pt;z-index:-251643904;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rPr>
        <w:pict>
          <v:line id="Shape 174" o:spid="_x0000_s5226" o:spt="20" style="position:absolute;left:0pt;margin-left:20.75pt;margin-top:96.35pt;height:0pt;width:426.55pt;z-index:-251642880;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rPr>
        <w:pict>
          <v:line id="Shape 176" o:spid="_x0000_s5228" o:spt="20" style="position:absolute;left:0pt;margin-left:20.75pt;margin-top:130.3pt;height:0pt;width:426.55pt;z-index:-251640832;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rPr>
        <w:pict>
          <v:line id="Shape 177" o:spid="_x0000_s5229" o:spt="20" style="position:absolute;left:0pt;margin-left:134.45pt;margin-top:28.05pt;height:495.1pt;width:0pt;z-index:-251639808;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rPr>
        <w:pict>
          <v:line id="Shape 178" o:spid="_x0000_s5230" o:spt="20" style="position:absolute;left:0pt;margin-left:447.1pt;margin-top:28.05pt;height:495.1pt;width:0pt;z-index:-251638784;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r>
        <w:rPr>
          <w:sz w:val="20"/>
        </w:rPr>
        <w:pict>
          <v:line id="Shape 175" o:spid="_x0000_s5227" o:spt="20" style="position:absolute;left:0pt;margin-left:20.75pt;margin-top:7.3pt;height:494.85pt;width:0.25pt;z-index:-251641856;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79" o:spid="_x0000_s5231" o:spt="20" style="position:absolute;left:0pt;margin-left:20.75pt;margin-top:8.9pt;height:0pt;width:426.55pt;z-index:-251637760;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80" o:spid="_x0000_s5232" o:spt="20" style="position:absolute;left:0pt;margin-left:20.75pt;margin-top:9pt;height:0pt;width:426.55pt;z-index:-251636736;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w:pict>
          <v:line id="Shape 181" o:spid="_x0000_s5233" o:spt="20" style="position:absolute;left:0pt;margin-left:20.75pt;margin-top:8.9pt;height:0pt;width:426.55pt;z-index:-251635712;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82" o:spid="_x0000_s5234" o:spt="20" style="position:absolute;left:0pt;margin-left:20.75pt;margin-top:8.9pt;height:0pt;width:426.55pt;z-index:-251634688;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83" o:spid="_x0000_s5235" o:spt="20" style="position:absolute;left:0pt;margin-left:20.75pt;margin-top:9pt;height:0pt;width:426.55pt;z-index:-251633664;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84" o:spid="_x0000_s5236" o:spt="20" style="position:absolute;left:0pt;margin-left:20.75pt;margin-top:8.9pt;height:0pt;width:426.55pt;z-index:-251632640;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185" o:spid="_x0000_s5237" o:spt="20" style="position:absolute;left:0pt;margin-left:20.75pt;margin-top:69.3pt;height:0pt;width:426.55pt;z-index:-251631616;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186" o:spid="_x0000_s5238" o:spt="20" style="position:absolute;left:0pt;margin-left:20.75pt;margin-top:8.9pt;height:0pt;width:426.55pt;z-index:-251630592;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76" w:lineRule="auto"/>
        <w:ind w:right="960" w:firstLine="600" w:firstLineChars="300"/>
        <w:rPr>
          <w:szCs w:val="21"/>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r>
        <w:rPr>
          <w:szCs w:val="21"/>
        </w:rPr>
        <w:br w:type="page"/>
      </w:r>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w:pict>
          <v:line id="Shape 187" o:spid="_x0000_s5239" o:spt="20" style="position:absolute;left:0pt;margin-left:20.75pt;margin-top:28.3pt;height:0pt;width:426.55pt;z-index:-251628544;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rPr>
        <w:pict>
          <v:line id="Shape 188" o:spid="_x0000_s5240" o:spt="20" style="position:absolute;left:0pt;margin-left:20.75pt;margin-top:62.25pt;height:0pt;width:426.55pt;z-index:-251627520;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rPr>
        <w:pict>
          <v:line id="Shape 189" o:spid="_x0000_s5241" o:spt="20" style="position:absolute;left:0pt;margin-left:20.75pt;margin-top:96.35pt;height:0pt;width:426.55pt;z-index:-251626496;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rPr>
        <w:pict>
          <v:line id="Shape 190" o:spid="_x0000_s5242" o:spt="20" style="position:absolute;left:0pt;margin-left:21pt;margin-top:28.05pt;height:495.1pt;width:0pt;z-index:-251625472;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rPr>
        <w:pict>
          <v:line id="Shape 191" o:spid="_x0000_s5243" o:spt="20" style="position:absolute;left:0pt;margin-left:20.75pt;margin-top:130.3pt;height:0pt;width:426.55pt;z-index:-251624448;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rPr>
        <w:pict>
          <v:line id="Shape 192" o:spid="_x0000_s5244" o:spt="20" style="position:absolute;left:0pt;margin-left:134.45pt;margin-top:28.05pt;height:495.1pt;width:0pt;z-index:-251623424;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rPr>
        <w:pict>
          <v:line id="Shape 193" o:spid="_x0000_s5245" o:spt="20" style="position:absolute;left:0pt;margin-left:447.1pt;margin-top:28.05pt;height:495.1pt;width:0pt;z-index:-251622400;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94" o:spid="_x0000_s5246" o:spt="20" style="position:absolute;left:0pt;margin-left:20.75pt;margin-top:8.9pt;height:0pt;width:426.55pt;z-index:-251621376;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95" o:spid="_x0000_s5247" o:spt="20" style="position:absolute;left:0pt;margin-left:20.75pt;margin-top:9pt;height:0pt;width:426.55pt;z-index:-251620352;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w:pict>
          <v:line id="Shape 196" o:spid="_x0000_s5248" o:spt="20" style="position:absolute;left:0pt;margin-left:20.75pt;margin-top:8.9pt;height:0pt;width:426.55pt;z-index:-251619328;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97" o:spid="_x0000_s5249" o:spt="20" style="position:absolute;left:0pt;margin-left:20.75pt;margin-top:8.9pt;height:0pt;width:426.55pt;z-index:-25161830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98" o:spid="_x0000_s5250" o:spt="20" style="position:absolute;left:0pt;margin-left:20.75pt;margin-top:9pt;height:0pt;width:426.55pt;z-index:-251617280;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99" o:spid="_x0000_s5251" o:spt="20" style="position:absolute;left:0pt;margin-left:20.75pt;margin-top:8.9pt;height:0pt;width:426.55pt;z-index:-251616256;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200" o:spid="_x0000_s5252" o:spt="20" style="position:absolute;left:0pt;margin-left:20.75pt;margin-top:69.3pt;height:0pt;width:426.55pt;z-index:-251615232;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201" o:spid="_x0000_s5253" o:spt="20" style="position:absolute;left:0pt;margin-left:20.75pt;margin-top:8.9pt;height:0pt;width:426.55pt;z-index:-251614208;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400" w:lineRule="exact"/>
        <w:ind w:firstLine="400" w:firstLineChars="200"/>
        <w:jc w:val="left"/>
        <w:rPr>
          <w:sz w:val="24"/>
          <w:szCs w:val="21"/>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400" w:lineRule="exact"/>
        <w:jc w:val="left"/>
        <w:rPr>
          <w:rFonts w:ascii="黑体" w:eastAsia="黑体"/>
          <w:sz w:val="28"/>
          <w:szCs w:val="28"/>
        </w:rPr>
      </w:pPr>
      <w:r>
        <w:rPr>
          <w:szCs w:val="21"/>
        </w:rPr>
        <w:br w:type="page"/>
      </w:r>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rPr>
          <w:rFonts w:hAnsi="宋体"/>
          <w:szCs w:val="21"/>
        </w:rPr>
      </w:pPr>
      <w:r>
        <w:rPr>
          <w:rFonts w:ascii="宋体" w:hAnsi="宋体" w:cs="宋体"/>
          <w:szCs w:val="21"/>
        </w:rPr>
        <w:t>注：投标人应根据投标人须知第 3.5.5 项的要求附相关证明材料。</w:t>
      </w:r>
      <w:r>
        <w:rPr>
          <w:rFonts w:hAnsi="宋体"/>
          <w:b/>
          <w:szCs w:val="21"/>
        </w:rPr>
        <w:br w:type="page"/>
      </w:r>
      <w:bookmarkEnd w:id="557"/>
      <w:bookmarkEnd w:id="558"/>
      <w:bookmarkEnd w:id="559"/>
      <w:bookmarkEnd w:id="560"/>
      <w:bookmarkEnd w:id="561"/>
      <w:bookmarkStart w:id="571" w:name="_Toc290475720"/>
      <w:bookmarkStart w:id="572" w:name="_Toc11041"/>
      <w:bookmarkStart w:id="573" w:name="_Toc297800233"/>
      <w:bookmarkStart w:id="574" w:name="_Toc144974877"/>
      <w:bookmarkStart w:id="575" w:name="_Toc152045809"/>
      <w:bookmarkStart w:id="576" w:name="_Toc152042598"/>
      <w:bookmarkStart w:id="577" w:name="_Toc226780951"/>
    </w:p>
    <w:bookmarkEnd w:id="571"/>
    <w:bookmarkEnd w:id="572"/>
    <w:bookmarkEnd w:id="573"/>
    <w:bookmarkEnd w:id="574"/>
    <w:bookmarkEnd w:id="575"/>
    <w:bookmarkEnd w:id="576"/>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w:pict>
          <v:line id="Shape 202" o:spid="_x0000_s5254" o:spt="20" style="position:absolute;left:0pt;margin-left:33.25pt;margin-top:28.3pt;height:0pt;width:401.6pt;z-index:-251612160;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rPr>
        <w:pict>
          <v:line id="Shape 203" o:spid="_x0000_s5255" o:spt="20" style="position:absolute;left:0pt;margin-left:241.95pt;margin-top:50.85pt;height:0pt;width:192.9pt;z-index:-251611136;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rPr>
        <w:pict>
          <v:line id="Shape 204" o:spid="_x0000_s5256" o:spt="20" style="position:absolute;left:0pt;margin-left:33.25pt;margin-top:73.3pt;height:0pt;width:401.6pt;z-index:-251610112;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rPr>
        <w:pict>
          <v:line id="Shape 205" o:spid="_x0000_s5257" o:spt="20" style="position:absolute;left:0pt;margin-left:74.3pt;margin-top:28.05pt;height:518.15pt;width:0pt;z-index:-251609088;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rPr>
        <w:pict>
          <v:line id="Shape 206" o:spid="_x0000_s5258" o:spt="20" style="position:absolute;left:0pt;margin-left:298.85pt;margin-top:50.65pt;height:495.55pt;width:0pt;z-index:-251608064;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rPr>
        <w:pict>
          <v:line id="Shape 207" o:spid="_x0000_s5259" o:spt="20" style="position:absolute;left:0pt;margin-left:33.25pt;margin-top:95.85pt;height:0pt;width:401.6pt;z-index:-251607040;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rPr>
        <w:pict>
          <v:line id="Shape 208" o:spid="_x0000_s5260" o:spt="20" style="position:absolute;left:0pt;margin-left:33.5pt;margin-top:28.05pt;height:518.15pt;width:0pt;z-index:-251606016;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rPr>
        <w:pict>
          <v:line id="Shape 209" o:spid="_x0000_s5261" o:spt="20" style="position:absolute;left:0pt;margin-left:33.25pt;margin-top:118.3pt;height:0pt;width:401.6pt;z-index:-251604992;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rPr>
        <w:pict>
          <v:line id="Shape 210" o:spid="_x0000_s5262" o:spt="20" style="position:absolute;left:0pt;margin-left:138pt;margin-top:28.05pt;height:518.15pt;width:0pt;z-index:-251603968;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rPr>
        <w:pict>
          <v:line id="Shape 211" o:spid="_x0000_s5263" o:spt="20" style="position:absolute;left:0pt;margin-left:187.6pt;margin-top:28.05pt;height:518.15pt;width:0pt;z-index:-251602944;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rPr>
        <w:pict>
          <v:line id="Shape 212" o:spid="_x0000_s5264" o:spt="20" style="position:absolute;left:0pt;margin-left:217.8pt;margin-top:28.05pt;height:518.15pt;width:0pt;z-index:-251601920;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rPr>
        <w:pict>
          <v:line id="Shape 213" o:spid="_x0000_s5265" o:spt="20" style="position:absolute;left:0pt;margin-left:242.2pt;margin-top:28.05pt;height:518.15pt;width:0pt;z-index:-251600896;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rPr>
        <w:pict>
          <v:line id="Shape 214" o:spid="_x0000_s5266" o:spt="20" style="position:absolute;left:0pt;margin-left:377.95pt;margin-top:28.05pt;height:518.15pt;width:0pt;z-index:-251599872;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rPr>
        <w:pict>
          <v:line id="Shape 215" o:spid="_x0000_s5267" o:spt="20" style="position:absolute;left:0pt;margin-left:434.6pt;margin-top:28.05pt;height:518.15pt;width:0pt;z-index:-251598848;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w:pict>
          <v:line id="Shape 216" o:spid="_x0000_s5268" o:spt="20" style="position:absolute;left:0pt;margin-left:334.35pt;margin-top:-8.2pt;height:495.5pt;width:0pt;z-index:-251597824;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29"/>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w:pict>
          <v:line id="Shape 217" o:spid="_x0000_s5269" o:spt="20" style="position:absolute;left:0pt;margin-left:33.25pt;margin-top:70.75pt;height:0pt;width:401.6pt;z-index:-251596800;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rPr>
        <w:pict>
          <v:line id="Shape 218" o:spid="_x0000_s5270" o:spt="20" style="position:absolute;left:0pt;margin-left:33.25pt;margin-top:93.15pt;height:0pt;width:401.6pt;z-index:-251595776;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rPr>
        <w:pict>
          <v:line id="Shape 219" o:spid="_x0000_s5271" o:spt="20" style="position:absolute;left:0pt;margin-left:33.25pt;margin-top:115.75pt;height:0pt;width:401.6pt;z-index:-251594752;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rPr>
        <w:pict>
          <v:line id="Shape 220" o:spid="_x0000_s5272" o:spt="20" style="position:absolute;left:0pt;margin-left:33.25pt;margin-top:138.15pt;height:0pt;width:401.6pt;z-index:-251593728;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rPr>
        <w:pict>
          <v:line id="Shape 221" o:spid="_x0000_s5273" o:spt="20" style="position:absolute;left:0pt;margin-left:33.25pt;margin-top:160.75pt;height:0pt;width:401.6pt;z-index:-251592704;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rPr>
        <w:pict>
          <v:line id="Shape 222" o:spid="_x0000_s5274" o:spt="20" style="position:absolute;left:0pt;margin-left:33.25pt;margin-top:183.15pt;height:0pt;width:401.6pt;z-index:-251591680;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rPr>
        <w:pict>
          <v:line id="Shape 223" o:spid="_x0000_s5275" o:spt="20" style="position:absolute;left:0pt;margin-left:33.25pt;margin-top:205.75pt;height:0pt;width:401.6pt;z-index:-251590656;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rPr>
        <w:pict>
          <v:line id="Shape 224" o:spid="_x0000_s5276" o:spt="20" style="position:absolute;left:0pt;margin-left:33.25pt;margin-top:228.2pt;height:0pt;width:401.6pt;z-index:-251589632;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rPr>
        <w:pict>
          <v:line id="Shape 225" o:spid="_x0000_s5277" o:spt="20" style="position:absolute;left:0pt;margin-left:33.25pt;margin-top:250.75pt;height:0pt;width:401.6pt;z-index:-251588608;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rPr>
        <w:pict>
          <v:line id="Shape 226" o:spid="_x0000_s5278" o:spt="20" style="position:absolute;left:0pt;margin-left:33.25pt;margin-top:273.2pt;height:0pt;width:401.6pt;z-index:-251587584;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rPr>
        <w:pict>
          <v:line id="Shape 227" o:spid="_x0000_s5279" o:spt="20" style="position:absolute;left:0pt;margin-left:33.25pt;margin-top:295.75pt;height:0pt;width:401.6pt;z-index:-251586560;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rPr>
        <w:pict>
          <v:line id="Shape 228" o:spid="_x0000_s5280" o:spt="20" style="position:absolute;left:0pt;margin-left:33.25pt;margin-top:318.2pt;height:0pt;width:401.6pt;z-index:-251585536;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rPr>
        <w:pict>
          <v:line id="Shape 229" o:spid="_x0000_s5281" o:spt="20" style="position:absolute;left:0pt;margin-left:33.25pt;margin-top:340.75pt;height:0pt;width:401.6pt;z-index:-251584512;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rPr>
        <w:pict>
          <v:line id="Shape 230" o:spid="_x0000_s5282" o:spt="20" style="position:absolute;left:0pt;margin-left:33.25pt;margin-top:363.2pt;height:0pt;width:401.6pt;z-index:-251583488;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rPr>
        <w:pict>
          <v:line id="Shape 231" o:spid="_x0000_s5283" o:spt="20" style="position:absolute;left:0pt;margin-left:33.25pt;margin-top:385.8pt;height:0pt;width:401.6pt;z-index:-251582464;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rPr>
        <w:pict>
          <v:line id="Shape 232" o:spid="_x0000_s5284" o:spt="20" style="position:absolute;left:0pt;margin-left:33.25pt;margin-top:408.2pt;height:0pt;width:401.6pt;z-index:-251581440;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rPr>
        <w:pict>
          <v:line id="Shape 233" o:spid="_x0000_s5285" o:spt="20" style="position:absolute;left:0pt;margin-left:33.25pt;margin-top:430.8pt;height:0pt;width:401.6pt;z-index:-251580416;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rPr>
        <w:pict>
          <v:line id="Shape 234" o:spid="_x0000_s5286" o:spt="20" style="position:absolute;left:0pt;margin-left:33.25pt;margin-top:453.2pt;height:0pt;width:401.6pt;z-index:-251579392;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rPr>
        <w:pict>
          <v:line id="Shape 235" o:spid="_x0000_s5287" o:spt="20" style="position:absolute;left:0pt;margin-left:33.25pt;margin-top:475.8pt;height:0pt;width:401.6pt;z-index:-251578368;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
    <w:p/>
    <w:p/>
    <w:p/>
    <w:p/>
    <w:p/>
    <w:p/>
    <w:p>
      <w:pPr>
        <w:spacing w:line="440" w:lineRule="exact"/>
        <w:rPr>
          <w:rFonts w:ascii="黑体" w:hAnsi="黑体" w:eastAsia="黑体" w:cs="黑体"/>
          <w:sz w:val="28"/>
          <w:szCs w:val="28"/>
        </w:rPr>
      </w:pPr>
      <w:r>
        <w:rPr>
          <w:rFonts w:ascii="黑体" w:hAnsi="黑体" w:eastAsia="黑体" w:cs="黑体"/>
          <w:sz w:val="28"/>
          <w:szCs w:val="28"/>
        </w:rPr>
        <w:t>（七）主要人员简历表</w:t>
      </w:r>
    </w:p>
    <w:p>
      <w:pPr>
        <w:pStyle w:val="4"/>
      </w:pPr>
    </w:p>
    <w:tbl>
      <w:tblPr>
        <w:tblStyle w:val="29"/>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rPr>
            </w:pPr>
          </w:p>
        </w:tc>
        <w:tc>
          <w:tcPr>
            <w:tcW w:w="520" w:type="dxa"/>
            <w:tcBorders>
              <w:top w:val="single" w:color="auto" w:sz="8" w:space="0"/>
              <w:right w:val="single" w:color="auto" w:sz="8" w:space="0"/>
            </w:tcBorders>
            <w:vAlign w:val="bottom"/>
          </w:tcPr>
          <w:p>
            <w:pPr>
              <w:rPr>
                <w:sz w:val="24"/>
              </w:rPr>
            </w:pPr>
          </w:p>
        </w:tc>
        <w:tc>
          <w:tcPr>
            <w:tcW w:w="360" w:type="dxa"/>
            <w:tcBorders>
              <w:top w:val="single" w:color="auto" w:sz="8" w:space="0"/>
            </w:tcBorders>
            <w:vAlign w:val="bottom"/>
          </w:tcPr>
          <w:p>
            <w:pPr>
              <w:rPr>
                <w:sz w:val="24"/>
              </w:rPr>
            </w:pPr>
          </w:p>
        </w:tc>
        <w:tc>
          <w:tcPr>
            <w:tcW w:w="700" w:type="dxa"/>
            <w:tcBorders>
              <w:top w:val="single" w:color="auto" w:sz="8" w:space="0"/>
              <w:right w:val="single" w:color="auto" w:sz="8" w:space="0"/>
            </w:tcBorders>
            <w:vAlign w:val="bottom"/>
          </w:tcPr>
          <w:p>
            <w:pPr>
              <w:rPr>
                <w:sz w:val="24"/>
              </w:rPr>
            </w:pPr>
          </w:p>
        </w:tc>
        <w:tc>
          <w:tcPr>
            <w:tcW w:w="940" w:type="dxa"/>
            <w:tcBorders>
              <w:top w:val="single" w:color="auto" w:sz="8" w:space="0"/>
              <w:right w:val="single" w:color="auto" w:sz="8" w:space="0"/>
            </w:tcBorders>
            <w:vAlign w:val="bottom"/>
          </w:tcPr>
          <w:p>
            <w:pPr>
              <w:rPr>
                <w:sz w:val="24"/>
              </w:rPr>
            </w:pPr>
          </w:p>
        </w:tc>
        <w:tc>
          <w:tcPr>
            <w:tcW w:w="1080" w:type="dxa"/>
            <w:tcBorders>
              <w:top w:val="single" w:color="auto" w:sz="8" w:space="0"/>
              <w:right w:val="single" w:color="auto" w:sz="8" w:space="0"/>
            </w:tcBorders>
            <w:vAlign w:val="bottom"/>
          </w:tcPr>
          <w:p>
            <w:pPr>
              <w:rPr>
                <w:sz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rPr>
            </w:pPr>
          </w:p>
        </w:tc>
        <w:tc>
          <w:tcPr>
            <w:tcW w:w="1900" w:type="dxa"/>
            <w:tcBorders>
              <w:top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rPr>
            </w:pPr>
          </w:p>
        </w:tc>
        <w:tc>
          <w:tcPr>
            <w:tcW w:w="700" w:type="dxa"/>
            <w:tcBorders>
              <w:right w:val="single" w:color="auto" w:sz="8" w:space="0"/>
            </w:tcBorders>
            <w:vAlign w:val="bottom"/>
          </w:tcPr>
          <w:p>
            <w:pPr>
              <w:rPr>
                <w:sz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rPr>
            </w:pPr>
          </w:p>
        </w:tc>
        <w:tc>
          <w:tcPr>
            <w:tcW w:w="700" w:type="dxa"/>
            <w:vAlign w:val="bottom"/>
          </w:tcPr>
          <w:p>
            <w:pPr>
              <w:rPr>
                <w:sz w:val="24"/>
              </w:rPr>
            </w:pPr>
          </w:p>
        </w:tc>
        <w:tc>
          <w:tcPr>
            <w:tcW w:w="940" w:type="dxa"/>
            <w:vAlign w:val="bottom"/>
          </w:tcPr>
          <w:p>
            <w:pPr>
              <w:rPr>
                <w:sz w:val="24"/>
              </w:rPr>
            </w:pPr>
          </w:p>
        </w:tc>
        <w:tc>
          <w:tcPr>
            <w:tcW w:w="1080" w:type="dxa"/>
            <w:tcBorders>
              <w:right w:val="single" w:color="auto" w:sz="8" w:space="0"/>
            </w:tcBorders>
            <w:vAlign w:val="bottom"/>
          </w:tcPr>
          <w:p>
            <w:pPr>
              <w:rPr>
                <w:sz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rPr>
            </w:pPr>
          </w:p>
        </w:tc>
        <w:tc>
          <w:tcPr>
            <w:tcW w:w="1900" w:type="dxa"/>
            <w:tcBorders>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rPr>
            </w:pPr>
          </w:p>
        </w:tc>
        <w:tc>
          <w:tcPr>
            <w:tcW w:w="700" w:type="dxa"/>
            <w:vAlign w:val="bottom"/>
          </w:tcPr>
          <w:p>
            <w:pPr>
              <w:rPr>
                <w:sz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rPr>
            </w:pPr>
          </w:p>
        </w:tc>
        <w:tc>
          <w:tcPr>
            <w:tcW w:w="1080" w:type="dxa"/>
            <w:vAlign w:val="bottom"/>
          </w:tcPr>
          <w:p>
            <w:pPr>
              <w:rPr>
                <w:sz w:val="24"/>
              </w:rPr>
            </w:pPr>
          </w:p>
        </w:tc>
        <w:tc>
          <w:tcPr>
            <w:tcW w:w="700" w:type="dxa"/>
            <w:vAlign w:val="bottom"/>
          </w:tcPr>
          <w:p>
            <w:pPr>
              <w:rPr>
                <w:sz w:val="24"/>
              </w:rPr>
            </w:pPr>
          </w:p>
        </w:tc>
        <w:tc>
          <w:tcPr>
            <w:tcW w:w="100" w:type="dxa"/>
            <w:vAlign w:val="bottom"/>
          </w:tcPr>
          <w:p>
            <w:pPr>
              <w:rPr>
                <w:sz w:val="24"/>
              </w:rPr>
            </w:pPr>
          </w:p>
        </w:tc>
        <w:tc>
          <w:tcPr>
            <w:tcW w:w="1160" w:type="dxa"/>
            <w:vAlign w:val="bottom"/>
          </w:tcPr>
          <w:p>
            <w:pPr>
              <w:rPr>
                <w:sz w:val="24"/>
              </w:rPr>
            </w:pPr>
          </w:p>
        </w:tc>
        <w:tc>
          <w:tcPr>
            <w:tcW w:w="280" w:type="dxa"/>
            <w:vAlign w:val="bottom"/>
          </w:tcPr>
          <w:p>
            <w:pPr>
              <w:rPr>
                <w:sz w:val="24"/>
              </w:rPr>
            </w:pPr>
          </w:p>
        </w:tc>
        <w:tc>
          <w:tcPr>
            <w:tcW w:w="120" w:type="dxa"/>
            <w:vAlign w:val="bottom"/>
          </w:tcPr>
          <w:p>
            <w:pPr>
              <w:rPr>
                <w:sz w:val="24"/>
              </w:rPr>
            </w:pPr>
          </w:p>
        </w:tc>
        <w:tc>
          <w:tcPr>
            <w:tcW w:w="1900" w:type="dxa"/>
            <w:tcBorders>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rPr>
            </w:pPr>
          </w:p>
        </w:tc>
        <w:tc>
          <w:tcPr>
            <w:tcW w:w="100" w:type="dxa"/>
            <w:vAlign w:val="bottom"/>
          </w:tcPr>
          <w:p>
            <w:pPr>
              <w:rPr>
                <w:sz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rPr>
            </w:pPr>
          </w:p>
        </w:tc>
        <w:tc>
          <w:tcPr>
            <w:tcW w:w="520" w:type="dxa"/>
            <w:tcBorders>
              <w:bottom w:val="single" w:color="auto" w:sz="8" w:space="0"/>
            </w:tcBorders>
            <w:vAlign w:val="bottom"/>
          </w:tcPr>
          <w:p>
            <w:pPr>
              <w:rPr>
                <w:sz w:val="24"/>
              </w:rPr>
            </w:pPr>
          </w:p>
        </w:tc>
        <w:tc>
          <w:tcPr>
            <w:tcW w:w="360" w:type="dxa"/>
            <w:tcBorders>
              <w:bottom w:val="single" w:color="auto" w:sz="8" w:space="0"/>
              <w:right w:val="single" w:color="auto" w:sz="8" w:space="0"/>
            </w:tcBorders>
            <w:vAlign w:val="bottom"/>
          </w:tcPr>
          <w:p>
            <w:pPr>
              <w:rPr>
                <w:sz w:val="24"/>
              </w:rPr>
            </w:pPr>
          </w:p>
        </w:tc>
        <w:tc>
          <w:tcPr>
            <w:tcW w:w="700" w:type="dxa"/>
            <w:tcBorders>
              <w:bottom w:val="single" w:color="auto" w:sz="8" w:space="0"/>
            </w:tcBorders>
            <w:vAlign w:val="bottom"/>
          </w:tcPr>
          <w:p>
            <w:pPr>
              <w:rPr>
                <w:sz w:val="24"/>
              </w:rPr>
            </w:pPr>
          </w:p>
        </w:tc>
        <w:tc>
          <w:tcPr>
            <w:tcW w:w="940" w:type="dxa"/>
            <w:tcBorders>
              <w:bottom w:val="single" w:color="auto" w:sz="8" w:space="0"/>
            </w:tcBorders>
            <w:vAlign w:val="bottom"/>
          </w:tcPr>
          <w:p>
            <w:pPr>
              <w:rPr>
                <w:sz w:val="24"/>
              </w:rPr>
            </w:pPr>
          </w:p>
        </w:tc>
        <w:tc>
          <w:tcPr>
            <w:tcW w:w="1080" w:type="dxa"/>
            <w:tcBorders>
              <w:bottom w:val="single" w:color="auto" w:sz="8" w:space="0"/>
            </w:tcBorders>
            <w:vAlign w:val="bottom"/>
          </w:tcPr>
          <w:p>
            <w:pPr>
              <w:rPr>
                <w:sz w:val="24"/>
              </w:rPr>
            </w:pPr>
          </w:p>
        </w:tc>
        <w:tc>
          <w:tcPr>
            <w:tcW w:w="700" w:type="dxa"/>
            <w:tcBorders>
              <w:bottom w:val="single" w:color="auto" w:sz="8" w:space="0"/>
              <w:right w:val="single" w:color="auto" w:sz="8" w:space="0"/>
            </w:tcBorders>
            <w:vAlign w:val="bottom"/>
          </w:tcPr>
          <w:p>
            <w:pPr>
              <w:rPr>
                <w:sz w:val="24"/>
              </w:rPr>
            </w:pPr>
          </w:p>
        </w:tc>
        <w:tc>
          <w:tcPr>
            <w:tcW w:w="100" w:type="dxa"/>
            <w:tcBorders>
              <w:bottom w:val="single" w:color="auto" w:sz="8" w:space="0"/>
            </w:tcBorders>
            <w:vAlign w:val="bottom"/>
          </w:tcPr>
          <w:p>
            <w:pPr>
              <w:rPr>
                <w:sz w:val="24"/>
              </w:rPr>
            </w:pPr>
          </w:p>
        </w:tc>
        <w:tc>
          <w:tcPr>
            <w:tcW w:w="1160" w:type="dxa"/>
            <w:tcBorders>
              <w:bottom w:val="single" w:color="auto" w:sz="8" w:space="0"/>
              <w:right w:val="single" w:color="auto" w:sz="8" w:space="0"/>
            </w:tcBorders>
            <w:vAlign w:val="bottom"/>
          </w:tcPr>
          <w:p>
            <w:pPr>
              <w:rPr>
                <w:sz w:val="24"/>
              </w:rPr>
            </w:pPr>
          </w:p>
        </w:tc>
        <w:tc>
          <w:tcPr>
            <w:tcW w:w="280" w:type="dxa"/>
            <w:tcBorders>
              <w:bottom w:val="single" w:color="auto" w:sz="8" w:space="0"/>
            </w:tcBorders>
            <w:vAlign w:val="bottom"/>
          </w:tcPr>
          <w:p>
            <w:pPr>
              <w:rPr>
                <w:sz w:val="24"/>
              </w:rPr>
            </w:pPr>
          </w:p>
        </w:tc>
        <w:tc>
          <w:tcPr>
            <w:tcW w:w="120" w:type="dxa"/>
            <w:tcBorders>
              <w:bottom w:val="single" w:color="auto" w:sz="8" w:space="0"/>
            </w:tcBorders>
            <w:vAlign w:val="bottom"/>
          </w:tcPr>
          <w:p>
            <w:pPr>
              <w:rPr>
                <w:sz w:val="24"/>
              </w:rPr>
            </w:pPr>
          </w:p>
        </w:tc>
        <w:tc>
          <w:tcPr>
            <w:tcW w:w="1900" w:type="dxa"/>
            <w:tcBorders>
              <w:bottom w:val="single" w:color="auto" w:sz="8" w:space="0"/>
              <w:right w:val="single" w:color="auto" w:sz="8" w:space="0"/>
            </w:tcBorders>
            <w:vAlign w:val="bottom"/>
          </w:tcPr>
          <w:p>
            <w:pPr>
              <w:rPr>
                <w:sz w:val="24"/>
              </w:rPr>
            </w:pPr>
          </w:p>
        </w:tc>
      </w:tr>
    </w:tbl>
    <w:p>
      <w:pPr>
        <w:widowControl/>
        <w:jc w:val="left"/>
        <w:rPr>
          <w:rFonts w:asciiTheme="minorEastAsia" w:hAnsiTheme="minorEastAsia" w:eastAsiaTheme="minorEastAsia" w:cstheme="majorBidi"/>
          <w:b/>
          <w:bCs/>
          <w:sz w:val="24"/>
        </w:rPr>
      </w:pPr>
      <w:r>
        <w:br w:type="page"/>
      </w:r>
    </w:p>
    <w:p>
      <w:pPr>
        <w:widowControl/>
        <w:jc w:val="left"/>
        <w:rPr>
          <w:rFonts w:ascii="黑体" w:hAnsi="黑体" w:eastAsia="黑体" w:cs="黑体"/>
          <w:sz w:val="28"/>
          <w:szCs w:val="28"/>
        </w:rPr>
      </w:pPr>
      <w:bookmarkStart w:id="578" w:name="_Toc4898"/>
      <w:bookmarkStart w:id="579" w:name="_Toc30998"/>
      <w:bookmarkStart w:id="580" w:name="_Toc12351"/>
      <w:bookmarkStart w:id="581" w:name="_Toc496098823"/>
      <w:bookmarkStart w:id="582" w:name="_Toc152045812"/>
      <w:bookmarkStart w:id="583" w:name="_Toc152042601"/>
      <w:bookmarkStart w:id="584" w:name="_Toc290475723"/>
      <w:bookmarkStart w:id="585" w:name="_Toc144974880"/>
      <w:bookmarkStart w:id="586" w:name="_Toc297800236"/>
      <w:bookmarkStart w:id="587" w:name="_Toc499205040"/>
      <w:bookmarkStart w:id="588" w:name="_Toc623"/>
      <w:r>
        <w:rPr>
          <w:rFonts w:ascii="黑体" w:hAnsi="黑体" w:eastAsia="黑体" w:cs="黑体"/>
          <w:sz w:val="28"/>
          <w:szCs w:val="28"/>
        </w:rPr>
        <w:t>（八）拟投入本项目的主要试验检测仪器设备表</w:t>
      </w:r>
    </w:p>
    <w:p>
      <w:pPr>
        <w:widowControl/>
        <w:jc w:val="left"/>
      </w:pPr>
    </w:p>
    <w:tbl>
      <w:tblPr>
        <w:tblStyle w:val="29"/>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rPr>
            </w:pPr>
          </w:p>
        </w:tc>
        <w:tc>
          <w:tcPr>
            <w:tcW w:w="1180" w:type="dxa"/>
            <w:tcBorders>
              <w:top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rPr>
            </w:pPr>
          </w:p>
        </w:tc>
        <w:tc>
          <w:tcPr>
            <w:tcW w:w="1280" w:type="dxa"/>
            <w:tcBorders>
              <w:bottom w:val="single" w:color="auto" w:sz="8" w:space="0"/>
              <w:right w:val="single" w:color="auto" w:sz="8" w:space="0"/>
            </w:tcBorders>
            <w:vAlign w:val="bottom"/>
          </w:tcPr>
          <w:p>
            <w:pPr>
              <w:rPr>
                <w:sz w:val="24"/>
              </w:rPr>
            </w:pPr>
          </w:p>
        </w:tc>
        <w:tc>
          <w:tcPr>
            <w:tcW w:w="940" w:type="dxa"/>
            <w:tcBorders>
              <w:bottom w:val="single" w:color="auto" w:sz="8" w:space="0"/>
              <w:right w:val="single" w:color="auto" w:sz="8" w:space="0"/>
            </w:tcBorders>
            <w:vAlign w:val="bottom"/>
          </w:tcPr>
          <w:p>
            <w:pPr>
              <w:rPr>
                <w:sz w:val="24"/>
              </w:rPr>
            </w:pPr>
          </w:p>
        </w:tc>
        <w:tc>
          <w:tcPr>
            <w:tcW w:w="740" w:type="dxa"/>
            <w:tcBorders>
              <w:bottom w:val="single" w:color="auto" w:sz="8" w:space="0"/>
              <w:right w:val="single" w:color="auto" w:sz="8" w:space="0"/>
            </w:tcBorders>
            <w:vAlign w:val="bottom"/>
          </w:tcPr>
          <w:p>
            <w:pPr>
              <w:rPr>
                <w:sz w:val="24"/>
              </w:rPr>
            </w:pPr>
          </w:p>
        </w:tc>
        <w:tc>
          <w:tcPr>
            <w:tcW w:w="860" w:type="dxa"/>
            <w:tcBorders>
              <w:bottom w:val="single" w:color="auto" w:sz="8" w:space="0"/>
              <w:right w:val="single" w:color="auto" w:sz="8" w:space="0"/>
            </w:tcBorders>
            <w:vAlign w:val="bottom"/>
          </w:tcPr>
          <w:p>
            <w:pPr>
              <w:rPr>
                <w:sz w:val="24"/>
              </w:rPr>
            </w:pPr>
          </w:p>
        </w:tc>
        <w:tc>
          <w:tcPr>
            <w:tcW w:w="1000" w:type="dxa"/>
            <w:tcBorders>
              <w:bottom w:val="single" w:color="auto" w:sz="8" w:space="0"/>
              <w:right w:val="single" w:color="auto" w:sz="8" w:space="0"/>
            </w:tcBorders>
            <w:vAlign w:val="bottom"/>
          </w:tcPr>
          <w:p>
            <w:pPr>
              <w:rPr>
                <w:sz w:val="24"/>
              </w:rPr>
            </w:pPr>
          </w:p>
        </w:tc>
        <w:tc>
          <w:tcPr>
            <w:tcW w:w="1400" w:type="dxa"/>
            <w:tcBorders>
              <w:bottom w:val="single" w:color="auto" w:sz="8" w:space="0"/>
              <w:right w:val="single" w:color="auto" w:sz="8" w:space="0"/>
            </w:tcBorders>
            <w:vAlign w:val="bottom"/>
          </w:tcPr>
          <w:p>
            <w:pPr>
              <w:rPr>
                <w:sz w:val="24"/>
              </w:rPr>
            </w:pPr>
          </w:p>
        </w:tc>
        <w:tc>
          <w:tcPr>
            <w:tcW w:w="1180" w:type="dxa"/>
            <w:tcBorders>
              <w:bottom w:val="single" w:color="auto" w:sz="8" w:space="0"/>
              <w:right w:val="single" w:color="auto" w:sz="8" w:space="0"/>
            </w:tcBorders>
            <w:vAlign w:val="bottom"/>
          </w:tcPr>
          <w:p>
            <w:pPr>
              <w:rPr>
                <w:sz w:val="24"/>
              </w:rPr>
            </w:pPr>
          </w:p>
        </w:tc>
      </w:tr>
    </w:tbl>
    <w:p>
      <w:pPr>
        <w:widowControl/>
        <w:jc w:val="left"/>
        <w:rPr>
          <w:rFonts w:asciiTheme="minorEastAsia" w:hAnsiTheme="minorEastAsia" w:eastAsiaTheme="minorEastAsia" w:cstheme="majorBidi"/>
          <w:b/>
          <w:bCs/>
          <w:sz w:val="24"/>
        </w:rPr>
      </w:pPr>
      <w:r>
        <w:br w:type="page"/>
      </w:r>
    </w:p>
    <w:bookmarkEnd w:id="578"/>
    <w:bookmarkEnd w:id="579"/>
    <w:bookmarkEnd w:id="580"/>
    <w:bookmarkEnd w:id="581"/>
    <w:bookmarkEnd w:id="582"/>
    <w:bookmarkEnd w:id="583"/>
    <w:bookmarkEnd w:id="584"/>
    <w:bookmarkEnd w:id="585"/>
    <w:bookmarkEnd w:id="586"/>
    <w:bookmarkEnd w:id="587"/>
    <w:bookmarkEnd w:id="588"/>
    <w:p>
      <w:pPr>
        <w:jc w:val="center"/>
      </w:pPr>
      <w:bookmarkStart w:id="589" w:name="_Toc291080712"/>
      <w:bookmarkStart w:id="590" w:name="_Toc14735"/>
      <w:r>
        <w:rPr>
          <w:rFonts w:hint="eastAsia" w:ascii="黑体" w:hAnsi="新宋体" w:eastAsia="黑体" w:cs="黑体"/>
          <w:sz w:val="32"/>
          <w:szCs w:val="32"/>
        </w:rPr>
        <w:t>六、监理大纲</w:t>
      </w:r>
    </w:p>
    <w:p>
      <w:pPr>
        <w:pStyle w:val="4"/>
      </w:pPr>
    </w:p>
    <w:p/>
    <w:p>
      <w:pPr>
        <w:rPr>
          <w:sz w:val="28"/>
          <w:szCs w:val="28"/>
        </w:rPr>
      </w:pPr>
      <w:r>
        <w:rPr>
          <w:rFonts w:hint="eastAsia"/>
          <w:sz w:val="28"/>
          <w:szCs w:val="28"/>
        </w:rPr>
        <w:t>监理大纲应包括（但不限于）下列内容：</w:t>
      </w:r>
    </w:p>
    <w:p>
      <w:pPr>
        <w:rPr>
          <w:sz w:val="28"/>
          <w:szCs w:val="28"/>
        </w:rPr>
      </w:pPr>
      <w:r>
        <w:rPr>
          <w:rFonts w:hint="eastAsia"/>
          <w:sz w:val="28"/>
          <w:szCs w:val="28"/>
        </w:rPr>
        <w:t>（1）监理范围、监理内容</w:t>
      </w:r>
    </w:p>
    <w:p>
      <w:pPr>
        <w:rPr>
          <w:sz w:val="28"/>
          <w:szCs w:val="28"/>
        </w:rPr>
      </w:pPr>
      <w:r>
        <w:rPr>
          <w:rFonts w:hint="eastAsia"/>
          <w:sz w:val="28"/>
          <w:szCs w:val="28"/>
        </w:rPr>
        <w:t>（2）监理依据、监理工作目标</w:t>
      </w:r>
    </w:p>
    <w:p>
      <w:pPr>
        <w:rPr>
          <w:sz w:val="28"/>
          <w:szCs w:val="28"/>
        </w:rPr>
      </w:pPr>
      <w:r>
        <w:rPr>
          <w:rFonts w:hint="eastAsia"/>
          <w:sz w:val="28"/>
          <w:szCs w:val="28"/>
        </w:rPr>
        <w:t>（3）监理机构设置和岗位职责</w:t>
      </w:r>
    </w:p>
    <w:p>
      <w:pPr>
        <w:rPr>
          <w:sz w:val="28"/>
          <w:szCs w:val="28"/>
        </w:rPr>
      </w:pPr>
      <w:r>
        <w:rPr>
          <w:rFonts w:hint="eastAsia"/>
          <w:sz w:val="28"/>
          <w:szCs w:val="28"/>
        </w:rPr>
        <w:t>（4）监理工作程序、方法和制度</w:t>
      </w:r>
    </w:p>
    <w:p>
      <w:pPr>
        <w:rPr>
          <w:sz w:val="28"/>
          <w:szCs w:val="28"/>
        </w:rPr>
      </w:pPr>
      <w:r>
        <w:rPr>
          <w:rFonts w:hint="eastAsia"/>
          <w:sz w:val="28"/>
          <w:szCs w:val="28"/>
        </w:rPr>
        <w:t>（5）质量、进度、造价、安全、环保监理措施</w:t>
      </w:r>
    </w:p>
    <w:p>
      <w:pPr>
        <w:rPr>
          <w:sz w:val="28"/>
          <w:szCs w:val="28"/>
        </w:rPr>
      </w:pPr>
      <w:r>
        <w:rPr>
          <w:rFonts w:hint="eastAsia"/>
          <w:sz w:val="28"/>
          <w:szCs w:val="28"/>
        </w:rPr>
        <w:t>（6）合同、信息管理方案</w:t>
      </w:r>
    </w:p>
    <w:p>
      <w:pPr>
        <w:rPr>
          <w:sz w:val="28"/>
          <w:szCs w:val="28"/>
        </w:rPr>
      </w:pPr>
      <w:r>
        <w:rPr>
          <w:rFonts w:hint="eastAsia"/>
          <w:sz w:val="28"/>
          <w:szCs w:val="28"/>
        </w:rPr>
        <w:t>（7）监理组织协调内容及措施</w:t>
      </w:r>
    </w:p>
    <w:p>
      <w:pPr>
        <w:rPr>
          <w:sz w:val="28"/>
          <w:szCs w:val="28"/>
        </w:rPr>
      </w:pPr>
      <w:r>
        <w:rPr>
          <w:rFonts w:hint="eastAsia"/>
          <w:sz w:val="28"/>
          <w:szCs w:val="28"/>
        </w:rPr>
        <w:t>（8）监理工作重点、难点分析</w:t>
      </w:r>
    </w:p>
    <w:p>
      <w:pPr>
        <w:pStyle w:val="4"/>
        <w:rPr>
          <w:b w:val="0"/>
        </w:rPr>
      </w:pPr>
      <w:r>
        <w:rPr>
          <w:rFonts w:hint="eastAsia"/>
          <w:b w:val="0"/>
          <w:sz w:val="28"/>
          <w:szCs w:val="28"/>
        </w:rPr>
        <w:t>（9）合理化建议</w:t>
      </w:r>
    </w:p>
    <w:p/>
    <w:p/>
    <w:p/>
    <w:p/>
    <w:p/>
    <w:p/>
    <w:p/>
    <w:p/>
    <w:p/>
    <w:p/>
    <w:p/>
    <w:p/>
    <w:p/>
    <w:p/>
    <w:p/>
    <w:p/>
    <w:p>
      <w:pPr>
        <w:widowControl/>
        <w:jc w:val="left"/>
        <w:rPr>
          <w:rFonts w:asciiTheme="minorEastAsia" w:hAnsiTheme="minorEastAsia" w:eastAsiaTheme="minorEastAsia" w:cstheme="majorBidi"/>
          <w:b/>
          <w:bCs/>
          <w:sz w:val="24"/>
        </w:rPr>
      </w:pPr>
      <w:bookmarkStart w:id="591" w:name="_Toc505626550"/>
      <w:bookmarkStart w:id="592" w:name="_Toc496098829"/>
      <w:r>
        <w:br w:type="page"/>
      </w:r>
    </w:p>
    <w:bookmarkEnd w:id="591"/>
    <w:p>
      <w:pPr>
        <w:pStyle w:val="4"/>
        <w:jc w:val="center"/>
      </w:pPr>
      <w:r>
        <w:rPr>
          <w:rFonts w:hint="eastAsia" w:ascii="黑体" w:hAnsi="新宋体" w:eastAsia="黑体" w:cs="黑体"/>
          <w:b w:val="0"/>
          <w:bCs w:val="0"/>
          <w:sz w:val="32"/>
          <w:szCs w:val="32"/>
        </w:rPr>
        <w:t>七、</w:t>
      </w:r>
      <w:r>
        <w:rPr>
          <w:rFonts w:hint="eastAsia" w:ascii="黑体" w:hAnsi="新宋体" w:eastAsia="黑体" w:cs="黑体"/>
          <w:b w:val="0"/>
          <w:bCs w:val="0"/>
          <w:sz w:val="32"/>
          <w:szCs w:val="32"/>
          <w:lang w:val="en-US" w:eastAsia="zh-CN"/>
        </w:rPr>
        <w:t>投标人须知前附表规定的</w:t>
      </w:r>
      <w:r>
        <w:rPr>
          <w:rFonts w:hint="eastAsia" w:ascii="黑体" w:hAnsi="新宋体" w:eastAsia="黑体" w:cs="黑体"/>
          <w:b w:val="0"/>
          <w:bCs w:val="0"/>
          <w:sz w:val="32"/>
          <w:szCs w:val="32"/>
        </w:rPr>
        <w:t>其他材料</w:t>
      </w:r>
    </w:p>
    <w:p>
      <w:pPr>
        <w:pStyle w:val="4"/>
      </w:pPr>
    </w:p>
    <w:p/>
    <w:p/>
    <w:p/>
    <w:p/>
    <w:p/>
    <w:p/>
    <w:p/>
    <w:p/>
    <w:p/>
    <w:p/>
    <w:p/>
    <w:p/>
    <w:p/>
    <w:p/>
    <w:p/>
    <w:p/>
    <w:p/>
    <w:p/>
    <w:bookmarkEnd w:id="577"/>
    <w:bookmarkEnd w:id="589"/>
    <w:bookmarkEnd w:id="590"/>
    <w:bookmarkEnd w:id="592"/>
    <w:p>
      <w:pPr>
        <w:widowControl/>
        <w:jc w:val="left"/>
        <w:rPr>
          <w:rFonts w:asciiTheme="minorEastAsia" w:hAnsiTheme="minorEastAsia" w:eastAsiaTheme="minorEastAsia" w:cstheme="majorBidi"/>
          <w:b/>
          <w:bCs/>
          <w:sz w:val="24"/>
        </w:rPr>
      </w:pPr>
    </w:p>
    <w:p>
      <w:pPr>
        <w:widowControl/>
        <w:jc w:val="left"/>
        <w:rPr>
          <w:rFonts w:asciiTheme="minorEastAsia" w:hAnsiTheme="minorEastAsia" w:eastAsiaTheme="minorEastAsia" w:cstheme="majorBidi"/>
          <w:bCs/>
          <w:sz w:val="24"/>
        </w:rPr>
      </w:pPr>
    </w:p>
    <w:sectPr>
      <w:headerReference r:id="rId4" w:type="first"/>
      <w:footerReference r:id="rId6" w:type="first"/>
      <w:headerReference r:id="rId3" w:type="default"/>
      <w:footerReference r:id="rId5" w:type="default"/>
      <w:pgSz w:w="11906" w:h="16838"/>
      <w:pgMar w:top="1440" w:right="1558" w:bottom="1440" w:left="156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MS PGothic">
    <w:panose1 w:val="020B0600070205080204"/>
    <w:charset w:val="80"/>
    <w:family w:val="swiss"/>
    <w:pitch w:val="default"/>
    <w:sig w:usb0="E00002FF" w:usb1="6AC7FDFB" w:usb2="08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jc w:val="left"/>
                </w:pPr>
                <w:r>
                  <w:rPr>
                    <w:rFonts w:hint="eastAsia"/>
                  </w:rPr>
                  <w:t xml:space="preserve">      </w:t>
                </w:r>
                <w:r>
                  <w:fldChar w:fldCharType="begin"/>
                </w:r>
                <w:r>
                  <w:instrText xml:space="preserve">PAGE   \* MERGEFORMAT</w:instrText>
                </w:r>
                <w:r>
                  <w:fldChar w:fldCharType="separate"/>
                </w:r>
                <w:r>
                  <w:rPr>
                    <w:lang w:val="zh-CN"/>
                  </w:rPr>
                  <w:t>60</w:t>
                </w:r>
                <w:r>
                  <w:rPr>
                    <w:lang w:val="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8"/>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8AD64F"/>
    <w:multiLevelType w:val="singleLevel"/>
    <w:tmpl w:val="FD8AD64F"/>
    <w:lvl w:ilvl="0" w:tentative="0">
      <w:start w:val="1"/>
      <w:numFmt w:val="decimal"/>
      <w:suff w:val="nothing"/>
      <w:lvlText w:val="%1、"/>
      <w:lvlJc w:val="left"/>
    </w:lvl>
  </w:abstractNum>
  <w:abstractNum w:abstractNumId="1">
    <w:nsid w:val="5A159F8D"/>
    <w:multiLevelType w:val="singleLevel"/>
    <w:tmpl w:val="5A159F8D"/>
    <w:lvl w:ilvl="0" w:tentative="0">
      <w:start w:val="3"/>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58E5"/>
    <w:rsid w:val="00000CA0"/>
    <w:rsid w:val="00011E49"/>
    <w:rsid w:val="00012C5E"/>
    <w:rsid w:val="0003020D"/>
    <w:rsid w:val="00053BAA"/>
    <w:rsid w:val="0006239D"/>
    <w:rsid w:val="0006608B"/>
    <w:rsid w:val="000673FF"/>
    <w:rsid w:val="00074888"/>
    <w:rsid w:val="00087E27"/>
    <w:rsid w:val="000A03B6"/>
    <w:rsid w:val="000B1C97"/>
    <w:rsid w:val="000B29A9"/>
    <w:rsid w:val="000B41F2"/>
    <w:rsid w:val="000F2519"/>
    <w:rsid w:val="000F3D78"/>
    <w:rsid w:val="000F7628"/>
    <w:rsid w:val="00100305"/>
    <w:rsid w:val="00100BE9"/>
    <w:rsid w:val="00131020"/>
    <w:rsid w:val="001340BA"/>
    <w:rsid w:val="00134947"/>
    <w:rsid w:val="001411AA"/>
    <w:rsid w:val="001413BB"/>
    <w:rsid w:val="00150B78"/>
    <w:rsid w:val="00157103"/>
    <w:rsid w:val="001955E6"/>
    <w:rsid w:val="001A7A86"/>
    <w:rsid w:val="001B7DD7"/>
    <w:rsid w:val="001C61E3"/>
    <w:rsid w:val="001E2C24"/>
    <w:rsid w:val="001F23B5"/>
    <w:rsid w:val="001F4568"/>
    <w:rsid w:val="001F7A92"/>
    <w:rsid w:val="00200258"/>
    <w:rsid w:val="00214A7F"/>
    <w:rsid w:val="00235473"/>
    <w:rsid w:val="00242D23"/>
    <w:rsid w:val="00243A3C"/>
    <w:rsid w:val="00245B53"/>
    <w:rsid w:val="00246E73"/>
    <w:rsid w:val="002665E6"/>
    <w:rsid w:val="00266E8A"/>
    <w:rsid w:val="00267C13"/>
    <w:rsid w:val="002761B6"/>
    <w:rsid w:val="002836CE"/>
    <w:rsid w:val="00287D40"/>
    <w:rsid w:val="002906F1"/>
    <w:rsid w:val="00290F04"/>
    <w:rsid w:val="002A4D97"/>
    <w:rsid w:val="002B6147"/>
    <w:rsid w:val="002C3D26"/>
    <w:rsid w:val="002C595E"/>
    <w:rsid w:val="002E02D6"/>
    <w:rsid w:val="002E1E2E"/>
    <w:rsid w:val="002E5B6A"/>
    <w:rsid w:val="002F5EC0"/>
    <w:rsid w:val="002F638E"/>
    <w:rsid w:val="003403EB"/>
    <w:rsid w:val="00341239"/>
    <w:rsid w:val="00353E3D"/>
    <w:rsid w:val="00357C78"/>
    <w:rsid w:val="00365412"/>
    <w:rsid w:val="0039139D"/>
    <w:rsid w:val="003933D4"/>
    <w:rsid w:val="003A5798"/>
    <w:rsid w:val="003C27DC"/>
    <w:rsid w:val="003C3E7D"/>
    <w:rsid w:val="003C5C10"/>
    <w:rsid w:val="003E0364"/>
    <w:rsid w:val="00415093"/>
    <w:rsid w:val="00423CD7"/>
    <w:rsid w:val="0043228F"/>
    <w:rsid w:val="00446A70"/>
    <w:rsid w:val="004509C5"/>
    <w:rsid w:val="00454775"/>
    <w:rsid w:val="0046720D"/>
    <w:rsid w:val="00472126"/>
    <w:rsid w:val="00473761"/>
    <w:rsid w:val="00475C8F"/>
    <w:rsid w:val="004764EC"/>
    <w:rsid w:val="00483E98"/>
    <w:rsid w:val="00492F20"/>
    <w:rsid w:val="004A1BD2"/>
    <w:rsid w:val="004A5DF6"/>
    <w:rsid w:val="004B32C6"/>
    <w:rsid w:val="004C2EBD"/>
    <w:rsid w:val="004C76E2"/>
    <w:rsid w:val="004D3D9E"/>
    <w:rsid w:val="004E1271"/>
    <w:rsid w:val="004E259F"/>
    <w:rsid w:val="004E306A"/>
    <w:rsid w:val="004E625D"/>
    <w:rsid w:val="004F156C"/>
    <w:rsid w:val="004F6352"/>
    <w:rsid w:val="0052630E"/>
    <w:rsid w:val="00527E5F"/>
    <w:rsid w:val="00532803"/>
    <w:rsid w:val="00534726"/>
    <w:rsid w:val="005428D3"/>
    <w:rsid w:val="00555D22"/>
    <w:rsid w:val="00563A9C"/>
    <w:rsid w:val="00570383"/>
    <w:rsid w:val="00595525"/>
    <w:rsid w:val="005A1A13"/>
    <w:rsid w:val="005C6FF6"/>
    <w:rsid w:val="005F06BC"/>
    <w:rsid w:val="006060AF"/>
    <w:rsid w:val="006067B4"/>
    <w:rsid w:val="00614E15"/>
    <w:rsid w:val="006154C1"/>
    <w:rsid w:val="0062596C"/>
    <w:rsid w:val="0067611F"/>
    <w:rsid w:val="00695AD8"/>
    <w:rsid w:val="006A5258"/>
    <w:rsid w:val="006A6846"/>
    <w:rsid w:val="006B12B1"/>
    <w:rsid w:val="006B6C22"/>
    <w:rsid w:val="007009CC"/>
    <w:rsid w:val="0070647B"/>
    <w:rsid w:val="00715D71"/>
    <w:rsid w:val="0073597B"/>
    <w:rsid w:val="007505DE"/>
    <w:rsid w:val="0075547C"/>
    <w:rsid w:val="00756A3C"/>
    <w:rsid w:val="00776AE9"/>
    <w:rsid w:val="007C55F2"/>
    <w:rsid w:val="007D1288"/>
    <w:rsid w:val="007E71C6"/>
    <w:rsid w:val="007E7BE1"/>
    <w:rsid w:val="007F21B4"/>
    <w:rsid w:val="00806634"/>
    <w:rsid w:val="00807A44"/>
    <w:rsid w:val="0081079B"/>
    <w:rsid w:val="00820BA5"/>
    <w:rsid w:val="008210DD"/>
    <w:rsid w:val="008355F8"/>
    <w:rsid w:val="008612F9"/>
    <w:rsid w:val="00874459"/>
    <w:rsid w:val="008840AD"/>
    <w:rsid w:val="008C266D"/>
    <w:rsid w:val="008D0B6B"/>
    <w:rsid w:val="008D2764"/>
    <w:rsid w:val="008F085D"/>
    <w:rsid w:val="008F6BEB"/>
    <w:rsid w:val="00915953"/>
    <w:rsid w:val="009302EE"/>
    <w:rsid w:val="00941F9F"/>
    <w:rsid w:val="00951536"/>
    <w:rsid w:val="009713B6"/>
    <w:rsid w:val="00976499"/>
    <w:rsid w:val="009847CA"/>
    <w:rsid w:val="009B7DE7"/>
    <w:rsid w:val="009C1BE3"/>
    <w:rsid w:val="009C65DA"/>
    <w:rsid w:val="009D49F2"/>
    <w:rsid w:val="009E1123"/>
    <w:rsid w:val="009E6772"/>
    <w:rsid w:val="009F5446"/>
    <w:rsid w:val="00A06339"/>
    <w:rsid w:val="00A34B6E"/>
    <w:rsid w:val="00A34EF3"/>
    <w:rsid w:val="00A41978"/>
    <w:rsid w:val="00A4405F"/>
    <w:rsid w:val="00A47F65"/>
    <w:rsid w:val="00A55DA1"/>
    <w:rsid w:val="00A84658"/>
    <w:rsid w:val="00AB50F7"/>
    <w:rsid w:val="00AC7A95"/>
    <w:rsid w:val="00AD4E65"/>
    <w:rsid w:val="00AE159E"/>
    <w:rsid w:val="00AE5E22"/>
    <w:rsid w:val="00AF00F5"/>
    <w:rsid w:val="00AF7533"/>
    <w:rsid w:val="00B0372A"/>
    <w:rsid w:val="00B04610"/>
    <w:rsid w:val="00B521F5"/>
    <w:rsid w:val="00B63A40"/>
    <w:rsid w:val="00B6504D"/>
    <w:rsid w:val="00B778A4"/>
    <w:rsid w:val="00B87FDC"/>
    <w:rsid w:val="00B97DAE"/>
    <w:rsid w:val="00BA3791"/>
    <w:rsid w:val="00BB3A1E"/>
    <w:rsid w:val="00C05CDD"/>
    <w:rsid w:val="00C069E0"/>
    <w:rsid w:val="00C07133"/>
    <w:rsid w:val="00C1177A"/>
    <w:rsid w:val="00C127C7"/>
    <w:rsid w:val="00C14ED9"/>
    <w:rsid w:val="00C158E5"/>
    <w:rsid w:val="00C25B56"/>
    <w:rsid w:val="00C33E8B"/>
    <w:rsid w:val="00C346A8"/>
    <w:rsid w:val="00C36B68"/>
    <w:rsid w:val="00C5403D"/>
    <w:rsid w:val="00C54C83"/>
    <w:rsid w:val="00C7054B"/>
    <w:rsid w:val="00C90847"/>
    <w:rsid w:val="00C9174A"/>
    <w:rsid w:val="00CA3EA3"/>
    <w:rsid w:val="00CA5A1E"/>
    <w:rsid w:val="00CB1AD1"/>
    <w:rsid w:val="00CB3C4C"/>
    <w:rsid w:val="00CB55ED"/>
    <w:rsid w:val="00CC51FC"/>
    <w:rsid w:val="00CD6472"/>
    <w:rsid w:val="00CE13A7"/>
    <w:rsid w:val="00CF200D"/>
    <w:rsid w:val="00D02BB2"/>
    <w:rsid w:val="00D06540"/>
    <w:rsid w:val="00D334A6"/>
    <w:rsid w:val="00D55577"/>
    <w:rsid w:val="00D56012"/>
    <w:rsid w:val="00D60405"/>
    <w:rsid w:val="00D73B68"/>
    <w:rsid w:val="00D7666C"/>
    <w:rsid w:val="00D82E2F"/>
    <w:rsid w:val="00D833DF"/>
    <w:rsid w:val="00D8554F"/>
    <w:rsid w:val="00DA49A9"/>
    <w:rsid w:val="00DC25C6"/>
    <w:rsid w:val="00DC2E49"/>
    <w:rsid w:val="00DD02D0"/>
    <w:rsid w:val="00DD5ED7"/>
    <w:rsid w:val="00DE6355"/>
    <w:rsid w:val="00DE6C01"/>
    <w:rsid w:val="00DE766D"/>
    <w:rsid w:val="00E05293"/>
    <w:rsid w:val="00E153DF"/>
    <w:rsid w:val="00E202CC"/>
    <w:rsid w:val="00E2299B"/>
    <w:rsid w:val="00E2605E"/>
    <w:rsid w:val="00E31D47"/>
    <w:rsid w:val="00E37532"/>
    <w:rsid w:val="00E42703"/>
    <w:rsid w:val="00E53CB8"/>
    <w:rsid w:val="00E71472"/>
    <w:rsid w:val="00E84D72"/>
    <w:rsid w:val="00EB0C5D"/>
    <w:rsid w:val="00EB1C6A"/>
    <w:rsid w:val="00EB326E"/>
    <w:rsid w:val="00ED6D03"/>
    <w:rsid w:val="00EE5A3E"/>
    <w:rsid w:val="00EE5C88"/>
    <w:rsid w:val="00EE66BC"/>
    <w:rsid w:val="00EE7626"/>
    <w:rsid w:val="00EF32D4"/>
    <w:rsid w:val="00F06279"/>
    <w:rsid w:val="00F67C61"/>
    <w:rsid w:val="00F7340A"/>
    <w:rsid w:val="00F95D30"/>
    <w:rsid w:val="00F9622B"/>
    <w:rsid w:val="00FA31D4"/>
    <w:rsid w:val="00FA7A9E"/>
    <w:rsid w:val="00FB3C56"/>
    <w:rsid w:val="00FC0C39"/>
    <w:rsid w:val="00FC3518"/>
    <w:rsid w:val="00FE5DA7"/>
    <w:rsid w:val="00FF17AB"/>
    <w:rsid w:val="01066B69"/>
    <w:rsid w:val="013E0640"/>
    <w:rsid w:val="01A70420"/>
    <w:rsid w:val="021F673D"/>
    <w:rsid w:val="022E15C9"/>
    <w:rsid w:val="02A059CA"/>
    <w:rsid w:val="0393566A"/>
    <w:rsid w:val="03EF3206"/>
    <w:rsid w:val="047A48D4"/>
    <w:rsid w:val="06106048"/>
    <w:rsid w:val="07975FD2"/>
    <w:rsid w:val="08793426"/>
    <w:rsid w:val="08C23227"/>
    <w:rsid w:val="09F37EF6"/>
    <w:rsid w:val="0BAA2A6D"/>
    <w:rsid w:val="0E853542"/>
    <w:rsid w:val="0F357901"/>
    <w:rsid w:val="0F531EA4"/>
    <w:rsid w:val="113B7BFC"/>
    <w:rsid w:val="115723F9"/>
    <w:rsid w:val="12024BC0"/>
    <w:rsid w:val="12681E6F"/>
    <w:rsid w:val="12D839DE"/>
    <w:rsid w:val="12EC125A"/>
    <w:rsid w:val="140706D9"/>
    <w:rsid w:val="1409765E"/>
    <w:rsid w:val="141670F6"/>
    <w:rsid w:val="15EE7235"/>
    <w:rsid w:val="1619591E"/>
    <w:rsid w:val="16295BC9"/>
    <w:rsid w:val="166312EF"/>
    <w:rsid w:val="168B11F8"/>
    <w:rsid w:val="169054C0"/>
    <w:rsid w:val="16C84A21"/>
    <w:rsid w:val="16F54105"/>
    <w:rsid w:val="182165A1"/>
    <w:rsid w:val="19175F37"/>
    <w:rsid w:val="19742509"/>
    <w:rsid w:val="1A9B7415"/>
    <w:rsid w:val="1B223C84"/>
    <w:rsid w:val="1B332CCF"/>
    <w:rsid w:val="1E6B5370"/>
    <w:rsid w:val="1E9964B4"/>
    <w:rsid w:val="1FBB0EAC"/>
    <w:rsid w:val="20250710"/>
    <w:rsid w:val="20FD37E4"/>
    <w:rsid w:val="218A4130"/>
    <w:rsid w:val="22881070"/>
    <w:rsid w:val="25AF6AF1"/>
    <w:rsid w:val="27807406"/>
    <w:rsid w:val="278B1755"/>
    <w:rsid w:val="2812547A"/>
    <w:rsid w:val="2821516D"/>
    <w:rsid w:val="293E1422"/>
    <w:rsid w:val="29610B9A"/>
    <w:rsid w:val="29E64509"/>
    <w:rsid w:val="2A653E71"/>
    <w:rsid w:val="2AC07DD5"/>
    <w:rsid w:val="2C153F12"/>
    <w:rsid w:val="2C4244B1"/>
    <w:rsid w:val="2C90701C"/>
    <w:rsid w:val="2CF72DEB"/>
    <w:rsid w:val="2DA60563"/>
    <w:rsid w:val="2DD37603"/>
    <w:rsid w:val="2EE21FC7"/>
    <w:rsid w:val="2F2E2FC0"/>
    <w:rsid w:val="2F587698"/>
    <w:rsid w:val="2FCD5E16"/>
    <w:rsid w:val="301D7D8B"/>
    <w:rsid w:val="310441CD"/>
    <w:rsid w:val="32ED2DD2"/>
    <w:rsid w:val="33092789"/>
    <w:rsid w:val="334A293F"/>
    <w:rsid w:val="340218A6"/>
    <w:rsid w:val="34644904"/>
    <w:rsid w:val="351F4EE5"/>
    <w:rsid w:val="35323045"/>
    <w:rsid w:val="3584666E"/>
    <w:rsid w:val="359A2B53"/>
    <w:rsid w:val="36FB611B"/>
    <w:rsid w:val="380702DC"/>
    <w:rsid w:val="39507B80"/>
    <w:rsid w:val="3A837428"/>
    <w:rsid w:val="3A982B29"/>
    <w:rsid w:val="3AC47B46"/>
    <w:rsid w:val="3AE06677"/>
    <w:rsid w:val="3B762CE7"/>
    <w:rsid w:val="3B821D5B"/>
    <w:rsid w:val="3C134760"/>
    <w:rsid w:val="3C5B33DC"/>
    <w:rsid w:val="3E347FB5"/>
    <w:rsid w:val="3E7E1128"/>
    <w:rsid w:val="3EAB5B0C"/>
    <w:rsid w:val="3F6F047F"/>
    <w:rsid w:val="40054A96"/>
    <w:rsid w:val="40EC38D0"/>
    <w:rsid w:val="415E6CDD"/>
    <w:rsid w:val="426E0ABB"/>
    <w:rsid w:val="42801CC2"/>
    <w:rsid w:val="43400FE5"/>
    <w:rsid w:val="44FB10F9"/>
    <w:rsid w:val="452B5081"/>
    <w:rsid w:val="45B6451F"/>
    <w:rsid w:val="45B66813"/>
    <w:rsid w:val="462E725A"/>
    <w:rsid w:val="464E0810"/>
    <w:rsid w:val="467E67CA"/>
    <w:rsid w:val="46E72385"/>
    <w:rsid w:val="46FB710D"/>
    <w:rsid w:val="474352C4"/>
    <w:rsid w:val="475055DB"/>
    <w:rsid w:val="47D14A60"/>
    <w:rsid w:val="488A081F"/>
    <w:rsid w:val="49030031"/>
    <w:rsid w:val="49334AE6"/>
    <w:rsid w:val="495809D8"/>
    <w:rsid w:val="49676B51"/>
    <w:rsid w:val="4A482171"/>
    <w:rsid w:val="4BBE718E"/>
    <w:rsid w:val="4C8103BD"/>
    <w:rsid w:val="4D246298"/>
    <w:rsid w:val="4D4708E2"/>
    <w:rsid w:val="4D623107"/>
    <w:rsid w:val="4DF565FA"/>
    <w:rsid w:val="4E1C1549"/>
    <w:rsid w:val="4E974B9B"/>
    <w:rsid w:val="4FC2114D"/>
    <w:rsid w:val="506E058A"/>
    <w:rsid w:val="50792A84"/>
    <w:rsid w:val="531C37BD"/>
    <w:rsid w:val="53E91A71"/>
    <w:rsid w:val="543A2F12"/>
    <w:rsid w:val="553E17C9"/>
    <w:rsid w:val="55483F92"/>
    <w:rsid w:val="555969BA"/>
    <w:rsid w:val="55937E2B"/>
    <w:rsid w:val="55D3727A"/>
    <w:rsid w:val="566A107D"/>
    <w:rsid w:val="585208B8"/>
    <w:rsid w:val="5A6C0DAC"/>
    <w:rsid w:val="5B721B4E"/>
    <w:rsid w:val="5C1303AD"/>
    <w:rsid w:val="5C553AC2"/>
    <w:rsid w:val="5C582DD0"/>
    <w:rsid w:val="5CE24D5F"/>
    <w:rsid w:val="5DA974C6"/>
    <w:rsid w:val="5E567D8D"/>
    <w:rsid w:val="5EAE4113"/>
    <w:rsid w:val="5FF35EB9"/>
    <w:rsid w:val="601F2749"/>
    <w:rsid w:val="60A00E53"/>
    <w:rsid w:val="60AD1F14"/>
    <w:rsid w:val="61052608"/>
    <w:rsid w:val="616A541D"/>
    <w:rsid w:val="628B7BCF"/>
    <w:rsid w:val="62CD393F"/>
    <w:rsid w:val="63346817"/>
    <w:rsid w:val="63591E4C"/>
    <w:rsid w:val="63635B4E"/>
    <w:rsid w:val="63BB4EA5"/>
    <w:rsid w:val="642F72D8"/>
    <w:rsid w:val="648F2121"/>
    <w:rsid w:val="652D51D2"/>
    <w:rsid w:val="65721C4D"/>
    <w:rsid w:val="65DB488B"/>
    <w:rsid w:val="66A501CE"/>
    <w:rsid w:val="670C20B9"/>
    <w:rsid w:val="69022F07"/>
    <w:rsid w:val="69424F09"/>
    <w:rsid w:val="6A1066BC"/>
    <w:rsid w:val="6B6C00B2"/>
    <w:rsid w:val="6B9003A3"/>
    <w:rsid w:val="6BB3579A"/>
    <w:rsid w:val="6BD54F69"/>
    <w:rsid w:val="6C51518A"/>
    <w:rsid w:val="6C704932"/>
    <w:rsid w:val="6D24089E"/>
    <w:rsid w:val="6D417436"/>
    <w:rsid w:val="6D597F92"/>
    <w:rsid w:val="6DCE685E"/>
    <w:rsid w:val="6DF878FE"/>
    <w:rsid w:val="701D3AD7"/>
    <w:rsid w:val="708843AF"/>
    <w:rsid w:val="72D4586A"/>
    <w:rsid w:val="73C671B7"/>
    <w:rsid w:val="73E30722"/>
    <w:rsid w:val="75F13656"/>
    <w:rsid w:val="767322AC"/>
    <w:rsid w:val="76E27801"/>
    <w:rsid w:val="77484929"/>
    <w:rsid w:val="78852A81"/>
    <w:rsid w:val="7A0C3155"/>
    <w:rsid w:val="7A1B29C5"/>
    <w:rsid w:val="7A2202D7"/>
    <w:rsid w:val="7A357CF8"/>
    <w:rsid w:val="7ADE2476"/>
    <w:rsid w:val="7D6D7D1E"/>
    <w:rsid w:val="7E521EF9"/>
    <w:rsid w:val="7EAA1A8A"/>
    <w:rsid w:val="7F931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line="360" w:lineRule="auto"/>
      <w:jc w:val="center"/>
      <w:outlineLvl w:val="0"/>
    </w:pPr>
    <w:rPr>
      <w:b/>
      <w:bCs/>
      <w:kern w:val="44"/>
      <w:sz w:val="44"/>
      <w:szCs w:val="44"/>
    </w:rPr>
  </w:style>
  <w:style w:type="paragraph" w:styleId="4">
    <w:name w:val="heading 2"/>
    <w:basedOn w:val="1"/>
    <w:next w:val="1"/>
    <w:link w:val="43"/>
    <w:unhideWhenUsed/>
    <w:qFormat/>
    <w:uiPriority w:val="9"/>
    <w:pPr>
      <w:keepNext/>
      <w:keepLines/>
      <w:spacing w:line="360" w:lineRule="auto"/>
      <w:outlineLvl w:val="1"/>
    </w:pPr>
    <w:rPr>
      <w:rFonts w:asciiTheme="minorEastAsia" w:hAnsiTheme="minorEastAsia" w:eastAsiaTheme="minorEastAsia" w:cstheme="majorBidi"/>
      <w:b/>
      <w:bCs/>
      <w:sz w:val="24"/>
    </w:rPr>
  </w:style>
  <w:style w:type="paragraph" w:styleId="5">
    <w:name w:val="heading 3"/>
    <w:basedOn w:val="4"/>
    <w:next w:val="1"/>
    <w:link w:val="53"/>
    <w:unhideWhenUsed/>
    <w:qFormat/>
    <w:uiPriority w:val="9"/>
    <w:pPr>
      <w:outlineLvl w:val="2"/>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caption"/>
    <w:basedOn w:val="1"/>
    <w:next w:val="1"/>
    <w:qFormat/>
    <w:uiPriority w:val="0"/>
    <w:rPr>
      <w:rFonts w:ascii="Cambria" w:hAnsi="Cambria" w:eastAsia="黑体"/>
      <w:sz w:val="20"/>
      <w:szCs w:val="20"/>
    </w:rPr>
  </w:style>
  <w:style w:type="paragraph" w:styleId="8">
    <w:name w:val="Document Map"/>
    <w:basedOn w:val="1"/>
    <w:link w:val="54"/>
    <w:qFormat/>
    <w:uiPriority w:val="0"/>
    <w:pPr>
      <w:shd w:val="clear" w:color="auto" w:fill="000080"/>
    </w:pPr>
    <w:rPr>
      <w:rFonts w:ascii="宋体"/>
      <w:kern w:val="0"/>
      <w:sz w:val="34"/>
      <w:szCs w:val="20"/>
    </w:rPr>
  </w:style>
  <w:style w:type="paragraph" w:styleId="9">
    <w:name w:val="annotation text"/>
    <w:basedOn w:val="1"/>
    <w:link w:val="41"/>
    <w:unhideWhenUsed/>
    <w:qFormat/>
    <w:uiPriority w:val="99"/>
    <w:pPr>
      <w:jc w:val="left"/>
    </w:pPr>
    <w:rPr>
      <w:rFonts w:asciiTheme="minorHAnsi" w:hAnsiTheme="minorHAnsi" w:eastAsiaTheme="minorEastAsia" w:cstheme="minorBidi"/>
    </w:rPr>
  </w:style>
  <w:style w:type="paragraph" w:styleId="10">
    <w:name w:val="Body Text 3"/>
    <w:basedOn w:val="1"/>
    <w:link w:val="44"/>
    <w:unhideWhenUsed/>
    <w:qFormat/>
    <w:uiPriority w:val="99"/>
    <w:pPr>
      <w:spacing w:after="120"/>
    </w:pPr>
    <w:rPr>
      <w:sz w:val="16"/>
      <w:szCs w:val="16"/>
    </w:rPr>
  </w:style>
  <w:style w:type="paragraph" w:styleId="11">
    <w:name w:val="Body Text"/>
    <w:basedOn w:val="1"/>
    <w:link w:val="39"/>
    <w:unhideWhenUsed/>
    <w:qFormat/>
    <w:uiPriority w:val="99"/>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4">
    <w:name w:val="toc 3"/>
    <w:basedOn w:val="1"/>
    <w:next w:val="1"/>
    <w:unhideWhenUsed/>
    <w:qFormat/>
    <w:uiPriority w:val="39"/>
    <w:pPr>
      <w:ind w:left="840" w:leftChars="400"/>
    </w:pPr>
  </w:style>
  <w:style w:type="paragraph" w:styleId="15">
    <w:name w:val="Plain Text"/>
    <w:basedOn w:val="1"/>
    <w:link w:val="50"/>
    <w:unhideWhenUsed/>
    <w:qFormat/>
    <w:uiPriority w:val="0"/>
    <w:rPr>
      <w:rFonts w:ascii="宋体" w:hAnsi="Courier New"/>
      <w:kern w:val="0"/>
      <w:sz w:val="20"/>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7">
    <w:name w:val="Balloon Text"/>
    <w:basedOn w:val="1"/>
    <w:link w:val="47"/>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nhideWhenUsed/>
    <w:qFormat/>
    <w:uiPriority w:val="39"/>
    <w:pPr>
      <w:tabs>
        <w:tab w:val="right" w:leader="middleDot" w:pos="8778"/>
      </w:tabs>
      <w:spacing w:line="276" w:lineRule="auto"/>
      <w:jc w:val="left"/>
    </w:p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annotation subject"/>
    <w:basedOn w:val="9"/>
    <w:next w:val="9"/>
    <w:link w:val="49"/>
    <w:unhideWhenUsed/>
    <w:qFormat/>
    <w:uiPriority w:val="99"/>
    <w:rPr>
      <w:rFonts w:ascii="Times New Roman" w:hAnsi="Times New Roman" w:eastAsia="宋体" w:cs="Times New Roman"/>
      <w:b/>
      <w:bCs/>
    </w:rPr>
  </w:style>
  <w:style w:type="paragraph" w:styleId="27">
    <w:name w:val="Body Text First Indent"/>
    <w:basedOn w:val="11"/>
    <w:next w:val="28"/>
    <w:link w:val="51"/>
    <w:unhideWhenUsed/>
    <w:qFormat/>
    <w:uiPriority w:val="99"/>
    <w:pPr>
      <w:ind w:firstLine="420" w:firstLineChars="100"/>
    </w:pPr>
  </w:style>
  <w:style w:type="paragraph" w:styleId="28">
    <w:name w:val="Body Text First Indent 2"/>
    <w:basedOn w:val="12"/>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0">
    <w:name w:val="Table Grid"/>
    <w:basedOn w:val="2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page number"/>
    <w:basedOn w:val="31"/>
    <w:unhideWhenUsed/>
    <w:qFormat/>
    <w:uiPriority w:val="99"/>
  </w:style>
  <w:style w:type="character" w:styleId="33">
    <w:name w:val="Emphasis"/>
    <w:basedOn w:val="31"/>
    <w:qFormat/>
    <w:uiPriority w:val="20"/>
    <w:rPr>
      <w:i/>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页眉 Char"/>
    <w:basedOn w:val="31"/>
    <w:link w:val="19"/>
    <w:qFormat/>
    <w:uiPriority w:val="99"/>
    <w:rPr>
      <w:sz w:val="18"/>
      <w:szCs w:val="18"/>
    </w:rPr>
  </w:style>
  <w:style w:type="character" w:customStyle="1" w:styleId="37">
    <w:name w:val="页脚 Char"/>
    <w:basedOn w:val="31"/>
    <w:link w:val="18"/>
    <w:qFormat/>
    <w:uiPriority w:val="99"/>
    <w:rPr>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文本 Char"/>
    <w:basedOn w:val="31"/>
    <w:link w:val="11"/>
    <w:semiHidden/>
    <w:qFormat/>
    <w:uiPriority w:val="99"/>
    <w:rPr>
      <w:rFonts w:ascii="Times New Roman" w:hAnsi="Times New Roman" w:eastAsia="宋体" w:cs="Times New Roman"/>
      <w:szCs w:val="24"/>
    </w:rPr>
  </w:style>
  <w:style w:type="character" w:customStyle="1" w:styleId="40">
    <w:name w:val="标题 1 Char"/>
    <w:basedOn w:val="31"/>
    <w:link w:val="3"/>
    <w:qFormat/>
    <w:uiPriority w:val="9"/>
    <w:rPr>
      <w:b/>
      <w:bCs/>
      <w:kern w:val="44"/>
      <w:sz w:val="44"/>
      <w:szCs w:val="44"/>
    </w:rPr>
  </w:style>
  <w:style w:type="character" w:customStyle="1" w:styleId="41">
    <w:name w:val="批注文字 Char"/>
    <w:link w:val="9"/>
    <w:qFormat/>
    <w:uiPriority w:val="99"/>
    <w:rPr>
      <w:szCs w:val="24"/>
    </w:rPr>
  </w:style>
  <w:style w:type="character" w:customStyle="1" w:styleId="42">
    <w:name w:val="批注文字 Char1"/>
    <w:basedOn w:val="31"/>
    <w:semiHidden/>
    <w:qFormat/>
    <w:uiPriority w:val="99"/>
    <w:rPr>
      <w:rFonts w:ascii="Times New Roman" w:hAnsi="Times New Roman" w:eastAsia="宋体" w:cs="Times New Roman"/>
      <w:szCs w:val="24"/>
    </w:rPr>
  </w:style>
  <w:style w:type="character" w:customStyle="1" w:styleId="43">
    <w:name w:val="标题 2 Char"/>
    <w:basedOn w:val="31"/>
    <w:link w:val="4"/>
    <w:qFormat/>
    <w:uiPriority w:val="9"/>
    <w:rPr>
      <w:rFonts w:asciiTheme="minorEastAsia" w:hAnsiTheme="minorEastAsia" w:eastAsiaTheme="minorEastAsia" w:cstheme="majorBidi"/>
      <w:b/>
      <w:bCs/>
      <w:kern w:val="2"/>
      <w:sz w:val="24"/>
      <w:szCs w:val="24"/>
    </w:rPr>
  </w:style>
  <w:style w:type="character" w:customStyle="1" w:styleId="44">
    <w:name w:val="正文文本 3 Char"/>
    <w:basedOn w:val="31"/>
    <w:link w:val="10"/>
    <w:semiHidden/>
    <w:qFormat/>
    <w:uiPriority w:val="99"/>
    <w:rPr>
      <w:rFonts w:ascii="Times New Roman" w:hAnsi="Times New Roman" w:eastAsia="宋体" w:cs="Times New Roman"/>
      <w:sz w:val="16"/>
      <w:szCs w:val="16"/>
    </w:rPr>
  </w:style>
  <w:style w:type="character" w:customStyle="1" w:styleId="45">
    <w:name w:val="dash6b63_6587__char1"/>
    <w:qFormat/>
    <w:uiPriority w:val="0"/>
    <w:rPr>
      <w:rFonts w:ascii="Calibri" w:hAnsi="Calibri" w:cs="Calibri"/>
      <w:sz w:val="20"/>
      <w:szCs w:val="20"/>
    </w:rPr>
  </w:style>
  <w:style w:type="character" w:customStyle="1" w:styleId="46">
    <w:name w:val="style4"/>
    <w:basedOn w:val="31"/>
    <w:qFormat/>
    <w:uiPriority w:val="0"/>
  </w:style>
  <w:style w:type="character" w:customStyle="1" w:styleId="47">
    <w:name w:val="批注框文本 Char"/>
    <w:basedOn w:val="31"/>
    <w:link w:val="17"/>
    <w:semiHidden/>
    <w:qFormat/>
    <w:uiPriority w:val="99"/>
    <w:rPr>
      <w:kern w:val="2"/>
      <w:sz w:val="18"/>
      <w:szCs w:val="18"/>
    </w:rPr>
  </w:style>
  <w:style w:type="paragraph" w:customStyle="1" w:styleId="48">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批注主题 Char"/>
    <w:basedOn w:val="41"/>
    <w:link w:val="26"/>
    <w:semiHidden/>
    <w:qFormat/>
    <w:uiPriority w:val="99"/>
    <w:rPr>
      <w:b/>
      <w:bCs/>
      <w:kern w:val="2"/>
      <w:sz w:val="21"/>
      <w:szCs w:val="24"/>
    </w:rPr>
  </w:style>
  <w:style w:type="character" w:customStyle="1" w:styleId="50">
    <w:name w:val="纯文本 Char"/>
    <w:link w:val="15"/>
    <w:qFormat/>
    <w:uiPriority w:val="0"/>
    <w:rPr>
      <w:rFonts w:ascii="宋体" w:hAnsi="Courier New"/>
    </w:rPr>
  </w:style>
  <w:style w:type="character" w:customStyle="1" w:styleId="51">
    <w:name w:val="正文首行缩进 Char"/>
    <w:basedOn w:val="39"/>
    <w:link w:val="27"/>
    <w:qFormat/>
    <w:uiPriority w:val="99"/>
    <w:rPr>
      <w:kern w:val="2"/>
      <w:sz w:val="21"/>
    </w:rPr>
  </w:style>
  <w:style w:type="paragraph" w:customStyle="1" w:styleId="52">
    <w:name w:val="WPS Plain"/>
    <w:qFormat/>
    <w:uiPriority w:val="0"/>
    <w:rPr>
      <w:rFonts w:ascii="Times New Roman" w:hAnsi="Times New Roman" w:eastAsia="宋体" w:cs="Times New Roman"/>
      <w:lang w:val="en-US" w:eastAsia="zh-CN" w:bidi="ar-SA"/>
    </w:rPr>
  </w:style>
  <w:style w:type="character" w:customStyle="1" w:styleId="53">
    <w:name w:val="标题 3 Char"/>
    <w:basedOn w:val="31"/>
    <w:link w:val="5"/>
    <w:qFormat/>
    <w:uiPriority w:val="9"/>
    <w:rPr>
      <w:rFonts w:asciiTheme="minorEastAsia" w:hAnsiTheme="minorEastAsia" w:eastAsiaTheme="minorEastAsia" w:cstheme="majorBidi"/>
      <w:b/>
      <w:bCs/>
      <w:kern w:val="2"/>
      <w:sz w:val="24"/>
      <w:szCs w:val="24"/>
    </w:rPr>
  </w:style>
  <w:style w:type="character" w:customStyle="1" w:styleId="54">
    <w:name w:val="文档结构图 Char"/>
    <w:basedOn w:val="31"/>
    <w:link w:val="8"/>
    <w:qFormat/>
    <w:uiPriority w:val="0"/>
    <w:rPr>
      <w:rFonts w:ascii="宋体"/>
      <w:sz w:val="3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5122"/>
    <customShpInfo spid="_x0000_s5123"/>
    <customShpInfo spid="_x0000_s5124"/>
    <customShpInfo spid="_x0000_s5125"/>
    <customShpInfo spid="_x0000_s5126"/>
    <customShpInfo spid="_x0000_s5127"/>
    <customShpInfo spid="_x0000_s5128"/>
    <customShpInfo spid="_x0000_s5130"/>
    <customShpInfo spid="_x0000_s5131"/>
    <customShpInfo spid="_x0000_s5158"/>
    <customShpInfo spid="_x0000_s5159"/>
    <customShpInfo spid="_x0000_s5224"/>
    <customShpInfo spid="_x0000_s5225"/>
    <customShpInfo spid="_x0000_s5226"/>
    <customShpInfo spid="_x0000_s5228"/>
    <customShpInfo spid="_x0000_s5229"/>
    <customShpInfo spid="_x0000_s5230"/>
    <customShpInfo spid="_x0000_s5227"/>
    <customShpInfo spid="_x0000_s5231"/>
    <customShpInfo spid="_x0000_s5232"/>
    <customShpInfo spid="_x0000_s5233"/>
    <customShpInfo spid="_x0000_s5234"/>
    <customShpInfo spid="_x0000_s5235"/>
    <customShpInfo spid="_x0000_s5236"/>
    <customShpInfo spid="_x0000_s5237"/>
    <customShpInfo spid="_x0000_s5238"/>
    <customShpInfo spid="_x0000_s5239"/>
    <customShpInfo spid="_x0000_s5240"/>
    <customShpInfo spid="_x0000_s5241"/>
    <customShpInfo spid="_x0000_s5242"/>
    <customShpInfo spid="_x0000_s5243"/>
    <customShpInfo spid="_x0000_s5244"/>
    <customShpInfo spid="_x0000_s5245"/>
    <customShpInfo spid="_x0000_s5246"/>
    <customShpInfo spid="_x0000_s5247"/>
    <customShpInfo spid="_x0000_s5248"/>
    <customShpInfo spid="_x0000_s5249"/>
    <customShpInfo spid="_x0000_s5250"/>
    <customShpInfo spid="_x0000_s5251"/>
    <customShpInfo spid="_x0000_s5252"/>
    <customShpInfo spid="_x0000_s5253"/>
    <customShpInfo spid="_x0000_s5254"/>
    <customShpInfo spid="_x0000_s5255"/>
    <customShpInfo spid="_x0000_s5256"/>
    <customShpInfo spid="_x0000_s5257"/>
    <customShpInfo spid="_x0000_s5258"/>
    <customShpInfo spid="_x0000_s5259"/>
    <customShpInfo spid="_x0000_s5260"/>
    <customShpInfo spid="_x0000_s5261"/>
    <customShpInfo spid="_x0000_s5262"/>
    <customShpInfo spid="_x0000_s5263"/>
    <customShpInfo spid="_x0000_s5264"/>
    <customShpInfo spid="_x0000_s5265"/>
    <customShpInfo spid="_x0000_s5266"/>
    <customShpInfo spid="_x0000_s5267"/>
    <customShpInfo spid="_x0000_s5268"/>
    <customShpInfo spid="_x0000_s5269"/>
    <customShpInfo spid="_x0000_s5270"/>
    <customShpInfo spid="_x0000_s5271"/>
    <customShpInfo spid="_x0000_s5272"/>
    <customShpInfo spid="_x0000_s5273"/>
    <customShpInfo spid="_x0000_s5274"/>
    <customShpInfo spid="_x0000_s5275"/>
    <customShpInfo spid="_x0000_s5276"/>
    <customShpInfo spid="_x0000_s5277"/>
    <customShpInfo spid="_x0000_s5278"/>
    <customShpInfo spid="_x0000_s5279"/>
    <customShpInfo spid="_x0000_s5280"/>
    <customShpInfo spid="_x0000_s5281"/>
    <customShpInfo spid="_x0000_s5282"/>
    <customShpInfo spid="_x0000_s5283"/>
    <customShpInfo spid="_x0000_s5284"/>
    <customShpInfo spid="_x0000_s5285"/>
    <customShpInfo spid="_x0000_s5286"/>
    <customShpInfo spid="_x0000_s52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E0C07-ED44-429B-A587-4C92870FF8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4227</Words>
  <Characters>24096</Characters>
  <Lines>200</Lines>
  <Paragraphs>56</Paragraphs>
  <TotalTime>19</TotalTime>
  <ScaleCrop>false</ScaleCrop>
  <LinksUpToDate>false</LinksUpToDate>
  <CharactersWithSpaces>28267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2017-12-13T00:33:00Z</dcterms:created>
  <dc:creator>liuhai</dc:creator>
  <cp:lastModifiedBy>╲_/戀煋兒╰</cp:lastModifiedBy>
  <cp:lastPrinted>2019-09-25T09:00:00Z</cp:lastPrinted>
  <dcterms:modified xsi:type="dcterms:W3CDTF">2019-09-30T02:47:26Z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