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Spec="center" w:tblpY="793"/>
        <w:tblOverlap w:val="never"/>
        <w:tblW w:w="10288" w:type="dxa"/>
        <w:jc w:val="center"/>
        <w:tblInd w:w="125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78"/>
        <w:gridCol w:w="915"/>
        <w:gridCol w:w="812"/>
        <w:gridCol w:w="6275"/>
        <w:gridCol w:w="79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 w:val="28"/>
                <w:szCs w:val="28"/>
                <w:lang w:bidi="ar"/>
                <w14:textFill>
                  <w14:solidFill>
                    <w14:schemeClr w14:val="tx1"/>
                  </w14:solidFill>
                </w14:textFill>
              </w:rPr>
              <w:t>序号</w:t>
            </w:r>
          </w:p>
        </w:tc>
        <w:tc>
          <w:tcPr>
            <w:tcW w:w="915"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 w:val="28"/>
                <w:szCs w:val="28"/>
                <w:lang w:bidi="ar"/>
                <w14:textFill>
                  <w14:solidFill>
                    <w14:schemeClr w14:val="tx1"/>
                  </w14:solidFill>
                </w14:textFill>
              </w:rPr>
              <w:t>名称</w:t>
            </w:r>
          </w:p>
        </w:tc>
        <w:tc>
          <w:tcPr>
            <w:tcW w:w="7087" w:type="dxa"/>
            <w:gridSpan w:val="2"/>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sz w:val="28"/>
                <w:szCs w:val="28"/>
                <w14:textFill>
                  <w14:solidFill>
                    <w14:schemeClr w14:val="tx1"/>
                  </w14:solidFill>
                </w14:textFill>
              </w:rPr>
            </w:pPr>
            <w:bookmarkStart w:id="0" w:name="_GoBack"/>
            <w:bookmarkEnd w:id="0"/>
            <w:r>
              <w:rPr>
                <w:rFonts w:hint="eastAsia" w:ascii="宋体" w:hAnsi="宋体" w:eastAsia="宋体" w:cs="宋体"/>
                <w:b/>
                <w:bCs/>
                <w:color w:val="000000" w:themeColor="text1"/>
                <w:kern w:val="0"/>
                <w:sz w:val="28"/>
                <w:szCs w:val="28"/>
                <w:lang w:bidi="ar"/>
                <w14:textFill>
                  <w14:solidFill>
                    <w14:schemeClr w14:val="tx1"/>
                  </w14:solidFill>
                </w14:textFill>
              </w:rPr>
              <w:t>规格及技术要求</w:t>
            </w:r>
          </w:p>
        </w:tc>
        <w:tc>
          <w:tcPr>
            <w:tcW w:w="790"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数量</w:t>
            </w:r>
          </w:p>
        </w:tc>
        <w:tc>
          <w:tcPr>
            <w:tcW w:w="71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 w:val="28"/>
                <w:szCs w:val="28"/>
                <w:lang w:bidi="ar"/>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1</w:t>
            </w:r>
          </w:p>
        </w:tc>
        <w:tc>
          <w:tcPr>
            <w:tcW w:w="915" w:type="dxa"/>
            <w:tcBorders>
              <w:tl2br w:val="nil"/>
              <w:tr2bl w:val="nil"/>
            </w:tcBorders>
            <w:vAlign w:val="center"/>
          </w:tcPr>
          <w:p>
            <w:pPr>
              <w:autoSpaceDE w:val="0"/>
              <w:autoSpaceDN w:val="0"/>
              <w:adjustRightInd w:val="0"/>
              <w:jc w:val="center"/>
              <w:rPr>
                <w:rFonts w:ascii="宋体" w:hAnsi="宋体"/>
                <w:b/>
                <w:bCs/>
                <w:sz w:val="18"/>
                <w:szCs w:val="18"/>
              </w:rPr>
            </w:pPr>
            <w:r>
              <w:rPr>
                <w:rFonts w:hint="eastAsia" w:ascii="宋体" w:hAnsi="宋体"/>
                <w:b/>
                <w:bCs/>
                <w:sz w:val="18"/>
                <w:szCs w:val="18"/>
              </w:rPr>
              <w:t>电脑</w:t>
            </w:r>
          </w:p>
        </w:tc>
        <w:tc>
          <w:tcPr>
            <w:tcW w:w="7087" w:type="dxa"/>
            <w:gridSpan w:val="2"/>
            <w:tcBorders>
              <w:tl2br w:val="nil"/>
              <w:tr2bl w:val="nil"/>
            </w:tcBorders>
            <w:vAlign w:val="center"/>
          </w:tcPr>
          <w:p>
            <w:pPr>
              <w:rPr>
                <w:rFonts w:ascii="宋体" w:hAnsi="宋体"/>
                <w:bCs/>
                <w:sz w:val="18"/>
                <w:szCs w:val="18"/>
              </w:rPr>
            </w:pPr>
            <w:r>
              <w:rPr>
                <w:rFonts w:hint="eastAsia" w:ascii="宋体" w:hAnsi="宋体"/>
                <w:bCs/>
                <w:sz w:val="18"/>
                <w:szCs w:val="18"/>
              </w:rPr>
              <w:t>1、CPU：Intel 第八代 I5-</w:t>
            </w:r>
            <w:r>
              <w:rPr>
                <w:rFonts w:hint="eastAsia" w:ascii="宋体" w:hAnsi="宋体"/>
                <w:bCs/>
                <w:sz w:val="18"/>
                <w:szCs w:val="18"/>
                <w:lang w:val="en-US" w:eastAsia="zh-CN"/>
              </w:rPr>
              <w:t>9</w:t>
            </w:r>
            <w:r>
              <w:rPr>
                <w:rFonts w:hint="eastAsia" w:ascii="宋体" w:hAnsi="宋体"/>
                <w:bCs/>
                <w:sz w:val="18"/>
                <w:szCs w:val="18"/>
              </w:rPr>
              <w:t>400，主频≥2.8GHz，缓存≥9M ；</w:t>
            </w:r>
          </w:p>
          <w:p>
            <w:pPr>
              <w:rPr>
                <w:rFonts w:ascii="宋体" w:hAnsi="宋体"/>
                <w:bCs/>
                <w:sz w:val="18"/>
                <w:szCs w:val="18"/>
              </w:rPr>
            </w:pPr>
            <w:r>
              <w:rPr>
                <w:rFonts w:hint="eastAsia" w:ascii="宋体" w:hAnsi="宋体"/>
                <w:bCs/>
                <w:sz w:val="18"/>
                <w:szCs w:val="18"/>
              </w:rPr>
              <w:t>2、主板：Intel B360及以上；</w:t>
            </w:r>
          </w:p>
          <w:p>
            <w:pPr>
              <w:rPr>
                <w:rFonts w:ascii="宋体" w:hAnsi="宋体"/>
                <w:bCs/>
                <w:sz w:val="18"/>
                <w:szCs w:val="18"/>
              </w:rPr>
            </w:pPr>
            <w:r>
              <w:rPr>
                <w:rFonts w:hint="eastAsia" w:ascii="宋体" w:hAnsi="宋体"/>
                <w:bCs/>
                <w:sz w:val="18"/>
                <w:szCs w:val="18"/>
              </w:rPr>
              <w:t>3、内存：配置≥</w:t>
            </w:r>
            <w:r>
              <w:rPr>
                <w:rFonts w:hint="eastAsia" w:ascii="宋体" w:hAnsi="宋体"/>
                <w:bCs/>
                <w:sz w:val="18"/>
                <w:szCs w:val="18"/>
                <w:lang w:val="en-US" w:eastAsia="zh-CN"/>
              </w:rPr>
              <w:t>16</w:t>
            </w:r>
            <w:r>
              <w:rPr>
                <w:rFonts w:hint="eastAsia" w:ascii="宋体" w:hAnsi="宋体"/>
                <w:bCs/>
                <w:sz w:val="18"/>
                <w:szCs w:val="18"/>
              </w:rPr>
              <w:t>GB DDR4-2400MHz，2个或以上内存插槽；</w:t>
            </w:r>
          </w:p>
          <w:p>
            <w:pPr>
              <w:rPr>
                <w:rFonts w:ascii="宋体" w:hAnsi="宋体"/>
                <w:bCs/>
                <w:sz w:val="18"/>
                <w:szCs w:val="18"/>
              </w:rPr>
            </w:pPr>
            <w:r>
              <w:rPr>
                <w:rFonts w:hint="eastAsia" w:ascii="宋体" w:hAnsi="宋体"/>
                <w:bCs/>
                <w:sz w:val="18"/>
                <w:szCs w:val="18"/>
              </w:rPr>
              <w:t>4、声卡：集成5.1声道声卡；</w:t>
            </w:r>
          </w:p>
          <w:p>
            <w:pPr>
              <w:rPr>
                <w:rFonts w:ascii="宋体" w:hAnsi="宋体"/>
                <w:bCs/>
                <w:sz w:val="18"/>
                <w:szCs w:val="18"/>
              </w:rPr>
            </w:pPr>
            <w:r>
              <w:rPr>
                <w:rFonts w:hint="eastAsia" w:ascii="宋体" w:hAnsi="宋体"/>
                <w:bCs/>
                <w:sz w:val="18"/>
                <w:szCs w:val="18"/>
              </w:rPr>
              <w:t>5、硬盘：≥1T SATA ，机箱硬盘采用减震设计出具证书；</w:t>
            </w:r>
          </w:p>
          <w:p>
            <w:pPr>
              <w:rPr>
                <w:rFonts w:ascii="宋体" w:hAnsi="宋体"/>
                <w:bCs/>
                <w:sz w:val="18"/>
                <w:szCs w:val="18"/>
              </w:rPr>
            </w:pPr>
            <w:r>
              <w:rPr>
                <w:rFonts w:hint="eastAsia" w:ascii="宋体" w:hAnsi="宋体"/>
                <w:bCs/>
                <w:sz w:val="18"/>
                <w:szCs w:val="18"/>
              </w:rPr>
              <w:t>6、网卡：集成10/100/1000M以太网卡;</w:t>
            </w:r>
          </w:p>
          <w:p>
            <w:pPr>
              <w:rPr>
                <w:rFonts w:ascii="宋体" w:hAnsi="宋体"/>
                <w:bCs/>
                <w:sz w:val="18"/>
                <w:szCs w:val="18"/>
              </w:rPr>
            </w:pPr>
            <w:r>
              <w:rPr>
                <w:rFonts w:hint="eastAsia" w:ascii="宋体" w:hAnsi="宋体"/>
                <w:bCs/>
                <w:sz w:val="18"/>
                <w:szCs w:val="18"/>
              </w:rPr>
              <w:t>7、显卡：R7-430  4G 128BIT独立显卡；</w:t>
            </w:r>
          </w:p>
          <w:p>
            <w:pPr>
              <w:rPr>
                <w:rFonts w:ascii="宋体" w:hAnsi="宋体"/>
                <w:bCs/>
                <w:sz w:val="18"/>
                <w:szCs w:val="18"/>
              </w:rPr>
            </w:pPr>
            <w:r>
              <w:rPr>
                <w:rFonts w:hint="eastAsia" w:ascii="宋体" w:hAnsi="宋体"/>
                <w:bCs/>
                <w:sz w:val="18"/>
                <w:szCs w:val="18"/>
              </w:rPr>
              <w:t>8、扩展槽：≥1个PCIeX16、2个PCIeX1、1个PCI、1个PS/2接口、1个并口</w:t>
            </w:r>
          </w:p>
          <w:p>
            <w:pPr>
              <w:rPr>
                <w:rFonts w:ascii="宋体" w:hAnsi="宋体"/>
                <w:bCs/>
                <w:sz w:val="18"/>
                <w:szCs w:val="18"/>
              </w:rPr>
            </w:pPr>
            <w:r>
              <w:rPr>
                <w:rFonts w:hint="eastAsia" w:ascii="宋体" w:hAnsi="宋体"/>
                <w:bCs/>
                <w:sz w:val="18"/>
                <w:szCs w:val="18"/>
              </w:rPr>
              <w:t>9、显示器：≥21.5</w:t>
            </w:r>
            <w:r>
              <w:rPr>
                <w:rFonts w:ascii="宋体" w:hAnsi="宋体"/>
                <w:bCs/>
                <w:sz w:val="18"/>
                <w:szCs w:val="18"/>
              </w:rPr>
              <w:t>”</w:t>
            </w:r>
            <w:r>
              <w:rPr>
                <w:rFonts w:hint="eastAsia" w:ascii="宋体" w:hAnsi="宋体"/>
                <w:bCs/>
                <w:sz w:val="18"/>
                <w:szCs w:val="18"/>
              </w:rPr>
              <w:t>宽屏16:9LED背光液晶显示器，VGA接口，分辨率</w:t>
            </w:r>
            <w:r>
              <w:rPr>
                <w:rFonts w:ascii="宋体" w:hAnsi="宋体"/>
                <w:bCs/>
                <w:sz w:val="18"/>
                <w:szCs w:val="18"/>
              </w:rPr>
              <w:t>1920*1080</w:t>
            </w:r>
            <w:r>
              <w:rPr>
                <w:rFonts w:hint="eastAsia" w:ascii="宋体" w:hAnsi="宋体"/>
                <w:bCs/>
                <w:sz w:val="18"/>
                <w:szCs w:val="18"/>
              </w:rPr>
              <w:t>；</w:t>
            </w:r>
          </w:p>
          <w:p>
            <w:pPr>
              <w:rPr>
                <w:rFonts w:ascii="宋体" w:hAnsi="宋体"/>
                <w:bCs/>
                <w:sz w:val="18"/>
                <w:szCs w:val="18"/>
              </w:rPr>
            </w:pPr>
            <w:r>
              <w:rPr>
                <w:rFonts w:hint="eastAsia" w:ascii="宋体" w:hAnsi="宋体"/>
                <w:bCs/>
                <w:sz w:val="18"/>
                <w:szCs w:val="18"/>
              </w:rPr>
              <w:t>10、USB接口键盘、鼠标：抗菌键盘，抗菌鼠标（须提供同品牌产品抗菌检测报告）</w:t>
            </w:r>
          </w:p>
          <w:p>
            <w:pPr>
              <w:rPr>
                <w:rFonts w:ascii="宋体" w:hAnsi="宋体"/>
                <w:bCs/>
                <w:sz w:val="18"/>
                <w:szCs w:val="18"/>
              </w:rPr>
            </w:pPr>
            <w:r>
              <w:rPr>
                <w:rFonts w:hint="eastAsia" w:ascii="宋体" w:hAnsi="宋体"/>
                <w:bCs/>
                <w:sz w:val="18"/>
                <w:szCs w:val="18"/>
              </w:rPr>
              <w:t>11、接口：USB接口≥10个，其中后置至少2个USB2.0、4个USB3.0、1个VGA、1个DVI；</w:t>
            </w:r>
          </w:p>
          <w:p>
            <w:pPr>
              <w:rPr>
                <w:rFonts w:ascii="宋体" w:hAnsi="宋体"/>
                <w:bCs/>
                <w:sz w:val="18"/>
                <w:szCs w:val="18"/>
              </w:rPr>
            </w:pPr>
            <w:r>
              <w:rPr>
                <w:rFonts w:hint="eastAsia" w:ascii="宋体" w:hAnsi="宋体"/>
                <w:bCs/>
                <w:sz w:val="18"/>
                <w:szCs w:val="18"/>
              </w:rPr>
              <w:t>12、电源：≥200W节能环保电源</w:t>
            </w:r>
          </w:p>
          <w:p>
            <w:pPr>
              <w:rPr>
                <w:rFonts w:ascii="宋体" w:hAnsi="宋体"/>
                <w:bCs/>
                <w:sz w:val="18"/>
                <w:szCs w:val="18"/>
              </w:rPr>
            </w:pPr>
            <w:r>
              <w:rPr>
                <w:rFonts w:hint="eastAsia" w:ascii="宋体" w:hAnsi="宋体"/>
                <w:bCs/>
                <w:sz w:val="18"/>
                <w:szCs w:val="18"/>
              </w:rPr>
              <w:t>13、机箱：标准立式机箱，静音设计；体积≤15L</w:t>
            </w:r>
          </w:p>
          <w:p>
            <w:pPr>
              <w:rPr>
                <w:rFonts w:ascii="宋体" w:hAnsi="宋体"/>
                <w:bCs/>
                <w:sz w:val="18"/>
                <w:szCs w:val="18"/>
              </w:rPr>
            </w:pPr>
            <w:r>
              <w:rPr>
                <w:rFonts w:hint="eastAsia" w:ascii="宋体" w:hAnsi="宋体"/>
                <w:bCs/>
                <w:sz w:val="18"/>
                <w:szCs w:val="18"/>
              </w:rPr>
              <w:t>14、操作系统：预装正版Win10正版操作系统和基于安卓的正版国产开源操作系统</w:t>
            </w:r>
          </w:p>
          <w:p>
            <w:pPr>
              <w:rPr>
                <w:rFonts w:ascii="宋体" w:hAnsi="宋体"/>
                <w:bCs/>
                <w:sz w:val="18"/>
                <w:szCs w:val="18"/>
              </w:rPr>
            </w:pPr>
            <w:r>
              <w:rPr>
                <w:rFonts w:hint="eastAsia" w:ascii="宋体" w:hAnsi="宋体"/>
                <w:bCs/>
                <w:sz w:val="18"/>
                <w:szCs w:val="18"/>
              </w:rPr>
              <w:t>15、平均无故障时间：≥50万小时（需提供国家电子计算机质量检验中心出具的MTBF值认证报告；）</w:t>
            </w:r>
          </w:p>
          <w:p>
            <w:pPr>
              <w:rPr>
                <w:rFonts w:ascii="宋体" w:hAnsi="宋体"/>
                <w:bCs/>
                <w:sz w:val="18"/>
                <w:szCs w:val="18"/>
              </w:rPr>
            </w:pPr>
            <w:r>
              <w:rPr>
                <w:rFonts w:hint="eastAsia" w:ascii="宋体" w:hAnsi="宋体"/>
                <w:bCs/>
                <w:sz w:val="18"/>
                <w:szCs w:val="18"/>
              </w:rPr>
              <w:t>质保服务：三年全保（包括键盘鼠标）及上门，原厂400或800售后电话，第二工作日上门服务。</w:t>
            </w:r>
          </w:p>
        </w:tc>
        <w:tc>
          <w:tcPr>
            <w:tcW w:w="790" w:type="dxa"/>
            <w:tcBorders>
              <w:tl2br w:val="nil"/>
              <w:tr2bl w:val="nil"/>
            </w:tcBorders>
            <w:vAlign w:val="center"/>
          </w:tcPr>
          <w:p>
            <w:pPr>
              <w:autoSpaceDE w:val="0"/>
              <w:autoSpaceDN w:val="0"/>
              <w:adjustRightInd w:val="0"/>
              <w:jc w:val="center"/>
              <w:rPr>
                <w:rFonts w:ascii="宋体" w:hAnsi="宋体"/>
                <w:bCs/>
                <w:sz w:val="18"/>
                <w:szCs w:val="18"/>
              </w:rPr>
            </w:pPr>
            <w:r>
              <w:rPr>
                <w:rFonts w:hint="eastAsia" w:ascii="宋体" w:hAnsi="宋体"/>
                <w:bCs/>
                <w:sz w:val="18"/>
                <w:szCs w:val="18"/>
              </w:rPr>
              <w:t>49</w:t>
            </w:r>
          </w:p>
        </w:tc>
        <w:tc>
          <w:tcPr>
            <w:tcW w:w="718" w:type="dxa"/>
            <w:tcBorders>
              <w:tl2br w:val="nil"/>
              <w:tr2bl w:val="nil"/>
            </w:tcBorders>
            <w:vAlign w:val="center"/>
          </w:tcPr>
          <w:p>
            <w:pPr>
              <w:autoSpaceDE w:val="0"/>
              <w:autoSpaceDN w:val="0"/>
              <w:adjustRightInd w:val="0"/>
              <w:jc w:val="center"/>
              <w:rPr>
                <w:rFonts w:ascii="宋体" w:hAnsi="宋体"/>
                <w:bCs/>
                <w:sz w:val="18"/>
                <w:szCs w:val="18"/>
              </w:rPr>
            </w:pPr>
            <w:r>
              <w:rPr>
                <w:rFonts w:hint="eastAsia" w:ascii="宋体" w:hAnsi="宋体"/>
                <w:bCs/>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2</w:t>
            </w:r>
          </w:p>
        </w:tc>
        <w:tc>
          <w:tcPr>
            <w:tcW w:w="915" w:type="dxa"/>
            <w:tcBorders>
              <w:tl2br w:val="nil"/>
              <w:tr2bl w:val="nil"/>
            </w:tcBorders>
            <w:vAlign w:val="center"/>
          </w:tcPr>
          <w:p>
            <w:pPr>
              <w:autoSpaceDE w:val="0"/>
              <w:autoSpaceDN w:val="0"/>
              <w:adjustRightInd w:val="0"/>
              <w:jc w:val="center"/>
              <w:rPr>
                <w:rFonts w:ascii="宋体" w:hAnsi="宋体"/>
                <w:b/>
                <w:bCs/>
                <w:sz w:val="18"/>
                <w:szCs w:val="18"/>
              </w:rPr>
            </w:pPr>
            <w:r>
              <w:rPr>
                <w:rFonts w:hint="eastAsia" w:ascii="宋体" w:hAnsi="宋体"/>
                <w:b/>
                <w:bCs/>
                <w:sz w:val="18"/>
                <w:szCs w:val="18"/>
              </w:rPr>
              <w:t>笔记本电脑</w:t>
            </w:r>
          </w:p>
        </w:tc>
        <w:tc>
          <w:tcPr>
            <w:tcW w:w="7087" w:type="dxa"/>
            <w:gridSpan w:val="2"/>
            <w:tcBorders>
              <w:tl2br w:val="nil"/>
              <w:tr2bl w:val="nil"/>
            </w:tcBorders>
            <w:vAlign w:val="center"/>
          </w:tcPr>
          <w:p>
            <w:pPr>
              <w:rPr>
                <w:rFonts w:ascii="宋体" w:hAnsi="宋体"/>
                <w:bCs/>
                <w:sz w:val="18"/>
                <w:szCs w:val="18"/>
              </w:rPr>
            </w:pPr>
            <w:r>
              <w:rPr>
                <w:rFonts w:hint="eastAsia" w:ascii="宋体" w:hAnsi="宋体"/>
                <w:bCs/>
                <w:sz w:val="18"/>
                <w:szCs w:val="18"/>
              </w:rPr>
              <w:t>1、CPU:Intel酷睿8代I5- 8265U , 主频1.6GHz；</w:t>
            </w:r>
          </w:p>
          <w:p>
            <w:pPr>
              <w:rPr>
                <w:rFonts w:ascii="宋体" w:hAnsi="宋体"/>
                <w:bCs/>
                <w:sz w:val="18"/>
                <w:szCs w:val="18"/>
              </w:rPr>
            </w:pPr>
            <w:r>
              <w:rPr>
                <w:rFonts w:hint="eastAsia" w:ascii="宋体" w:hAnsi="宋体"/>
                <w:bCs/>
                <w:sz w:val="18"/>
                <w:szCs w:val="18"/>
              </w:rPr>
              <w:t>2、内存：</w:t>
            </w:r>
            <w:r>
              <w:rPr>
                <w:rFonts w:ascii="宋体" w:hAnsi="宋体"/>
                <w:bCs/>
                <w:sz w:val="18"/>
                <w:szCs w:val="18"/>
              </w:rPr>
              <w:t>8G DDR4 2400MHz</w:t>
            </w:r>
            <w:r>
              <w:rPr>
                <w:rFonts w:hint="eastAsia" w:ascii="宋体" w:hAnsi="宋体"/>
                <w:bCs/>
                <w:sz w:val="18"/>
                <w:szCs w:val="18"/>
              </w:rPr>
              <w:t>；</w:t>
            </w:r>
          </w:p>
          <w:p>
            <w:pPr>
              <w:rPr>
                <w:rFonts w:ascii="宋体" w:hAnsi="宋体"/>
                <w:bCs/>
                <w:sz w:val="18"/>
                <w:szCs w:val="18"/>
              </w:rPr>
            </w:pPr>
            <w:r>
              <w:rPr>
                <w:rFonts w:hint="eastAsia" w:ascii="宋体" w:hAnsi="宋体"/>
                <w:bCs/>
                <w:sz w:val="18"/>
                <w:szCs w:val="18"/>
              </w:rPr>
              <w:t>3、硬盘：256G M.2 PCI-E SSD固态硬盘,专用Anti-shock硬盘保护技术,配备专用减震缓冲螺钉。</w:t>
            </w:r>
          </w:p>
          <w:p>
            <w:pPr>
              <w:rPr>
                <w:rFonts w:ascii="宋体" w:hAnsi="宋体"/>
                <w:bCs/>
                <w:sz w:val="18"/>
                <w:szCs w:val="18"/>
              </w:rPr>
            </w:pPr>
            <w:r>
              <w:rPr>
                <w:rFonts w:hint="eastAsia" w:ascii="宋体" w:hAnsi="宋体"/>
                <w:bCs/>
                <w:sz w:val="18"/>
                <w:szCs w:val="18"/>
              </w:rPr>
              <w:t>4、摄像头：内置720P摄像头；</w:t>
            </w:r>
          </w:p>
          <w:p>
            <w:pPr>
              <w:rPr>
                <w:rFonts w:ascii="宋体" w:hAnsi="宋体"/>
                <w:bCs/>
                <w:sz w:val="18"/>
                <w:szCs w:val="18"/>
              </w:rPr>
            </w:pPr>
            <w:r>
              <w:rPr>
                <w:rFonts w:hint="eastAsia" w:ascii="宋体" w:hAnsi="宋体"/>
                <w:bCs/>
                <w:sz w:val="18"/>
                <w:szCs w:val="18"/>
              </w:rPr>
              <w:t>5、操作系统：预装正版Windows 10 64位操作系统；</w:t>
            </w:r>
          </w:p>
          <w:p>
            <w:pPr>
              <w:rPr>
                <w:rFonts w:ascii="宋体" w:hAnsi="宋体"/>
                <w:bCs/>
                <w:sz w:val="18"/>
                <w:szCs w:val="18"/>
              </w:rPr>
            </w:pPr>
            <w:r>
              <w:rPr>
                <w:rFonts w:hint="eastAsia" w:ascii="宋体" w:hAnsi="宋体"/>
                <w:bCs/>
                <w:sz w:val="18"/>
                <w:szCs w:val="18"/>
              </w:rPr>
              <w:t>6、尺寸外观：14寸</w:t>
            </w:r>
          </w:p>
        </w:tc>
        <w:tc>
          <w:tcPr>
            <w:tcW w:w="790" w:type="dxa"/>
            <w:tcBorders>
              <w:tl2br w:val="nil"/>
              <w:tr2bl w:val="nil"/>
            </w:tcBorders>
            <w:vAlign w:val="center"/>
          </w:tcPr>
          <w:p>
            <w:pPr>
              <w:autoSpaceDE w:val="0"/>
              <w:autoSpaceDN w:val="0"/>
              <w:adjustRightInd w:val="0"/>
              <w:jc w:val="center"/>
              <w:rPr>
                <w:rFonts w:ascii="宋体" w:hAnsi="宋体"/>
                <w:bCs/>
                <w:sz w:val="18"/>
                <w:szCs w:val="18"/>
              </w:rPr>
            </w:pPr>
            <w:r>
              <w:rPr>
                <w:rFonts w:hint="eastAsia" w:ascii="宋体" w:hAnsi="宋体"/>
                <w:bCs/>
                <w:sz w:val="18"/>
                <w:szCs w:val="18"/>
              </w:rPr>
              <w:t>2</w:t>
            </w:r>
          </w:p>
        </w:tc>
        <w:tc>
          <w:tcPr>
            <w:tcW w:w="718" w:type="dxa"/>
            <w:tcBorders>
              <w:tl2br w:val="nil"/>
              <w:tr2bl w:val="nil"/>
            </w:tcBorders>
            <w:vAlign w:val="center"/>
          </w:tcPr>
          <w:p>
            <w:pPr>
              <w:autoSpaceDE w:val="0"/>
              <w:autoSpaceDN w:val="0"/>
              <w:adjustRightInd w:val="0"/>
              <w:jc w:val="center"/>
              <w:rPr>
                <w:rFonts w:ascii="宋体" w:hAnsi="宋体"/>
                <w:bCs/>
                <w:sz w:val="18"/>
                <w:szCs w:val="18"/>
              </w:rPr>
            </w:pPr>
            <w:r>
              <w:rPr>
                <w:rFonts w:hint="eastAsia" w:ascii="宋体" w:hAnsi="宋体"/>
                <w:bCs/>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3</w:t>
            </w:r>
          </w:p>
        </w:tc>
        <w:tc>
          <w:tcPr>
            <w:tcW w:w="915" w:type="dxa"/>
            <w:tcBorders>
              <w:tl2br w:val="nil"/>
              <w:tr2bl w:val="nil"/>
            </w:tcBorders>
            <w:vAlign w:val="center"/>
          </w:tcPr>
          <w:p>
            <w:pPr>
              <w:autoSpaceDE w:val="0"/>
              <w:autoSpaceDN w:val="0"/>
              <w:adjustRightInd w:val="0"/>
              <w:jc w:val="center"/>
              <w:rPr>
                <w:rFonts w:ascii="宋体" w:hAnsi="宋体"/>
                <w:b/>
                <w:bCs/>
                <w:sz w:val="18"/>
                <w:szCs w:val="18"/>
              </w:rPr>
            </w:pPr>
            <w:r>
              <w:rPr>
                <w:rFonts w:hint="eastAsia" w:ascii="宋体" w:hAnsi="宋体"/>
                <w:b/>
                <w:bCs/>
                <w:sz w:val="18"/>
                <w:szCs w:val="18"/>
              </w:rPr>
              <w:t>交换机</w:t>
            </w:r>
          </w:p>
        </w:tc>
        <w:tc>
          <w:tcPr>
            <w:tcW w:w="7087" w:type="dxa"/>
            <w:gridSpan w:val="2"/>
            <w:tcBorders>
              <w:tl2br w:val="nil"/>
              <w:tr2bl w:val="nil"/>
            </w:tcBorders>
            <w:vAlign w:val="center"/>
          </w:tcPr>
          <w:p>
            <w:pPr>
              <w:rPr>
                <w:rFonts w:ascii="宋体" w:hAnsi="宋体"/>
                <w:bCs/>
                <w:sz w:val="18"/>
                <w:szCs w:val="18"/>
              </w:rPr>
            </w:pPr>
            <w:r>
              <w:rPr>
                <w:rFonts w:hint="eastAsia" w:ascii="宋体" w:hAnsi="宋体"/>
                <w:bCs/>
                <w:sz w:val="18"/>
                <w:szCs w:val="18"/>
              </w:rPr>
              <w:t>24个10/100/1000BASE-T以太网端口，</w:t>
            </w:r>
          </w:p>
        </w:tc>
        <w:tc>
          <w:tcPr>
            <w:tcW w:w="790" w:type="dxa"/>
            <w:tcBorders>
              <w:tl2br w:val="nil"/>
              <w:tr2bl w:val="nil"/>
            </w:tcBorders>
            <w:vAlign w:val="center"/>
          </w:tcPr>
          <w:p>
            <w:pPr>
              <w:autoSpaceDE w:val="0"/>
              <w:autoSpaceDN w:val="0"/>
              <w:adjustRightInd w:val="0"/>
              <w:jc w:val="center"/>
              <w:rPr>
                <w:rFonts w:ascii="宋体" w:hAnsi="宋体"/>
                <w:bCs/>
                <w:sz w:val="18"/>
                <w:szCs w:val="18"/>
              </w:rPr>
            </w:pPr>
            <w:r>
              <w:rPr>
                <w:rFonts w:hint="eastAsia" w:ascii="宋体" w:hAnsi="宋体"/>
                <w:bCs/>
                <w:sz w:val="18"/>
                <w:szCs w:val="18"/>
              </w:rPr>
              <w:t>3</w:t>
            </w:r>
          </w:p>
        </w:tc>
        <w:tc>
          <w:tcPr>
            <w:tcW w:w="718" w:type="dxa"/>
            <w:tcBorders>
              <w:tl2br w:val="nil"/>
              <w:tr2bl w:val="nil"/>
            </w:tcBorders>
            <w:vAlign w:val="center"/>
          </w:tcPr>
          <w:p>
            <w:pPr>
              <w:autoSpaceDE w:val="0"/>
              <w:autoSpaceDN w:val="0"/>
              <w:adjustRightInd w:val="0"/>
              <w:jc w:val="center"/>
              <w:rPr>
                <w:rFonts w:ascii="宋体" w:hAnsi="宋体"/>
                <w:bCs/>
                <w:sz w:val="18"/>
                <w:szCs w:val="18"/>
              </w:rPr>
            </w:pPr>
            <w:r>
              <w:rPr>
                <w:rFonts w:hint="eastAsia" w:ascii="宋体" w:hAnsi="宋体"/>
                <w:bCs/>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4</w:t>
            </w:r>
          </w:p>
        </w:tc>
        <w:tc>
          <w:tcPr>
            <w:tcW w:w="915" w:type="dxa"/>
            <w:tcBorders>
              <w:tl2br w:val="nil"/>
              <w:tr2bl w:val="nil"/>
            </w:tcBorders>
            <w:vAlign w:val="center"/>
          </w:tcPr>
          <w:p>
            <w:pPr>
              <w:autoSpaceDE w:val="0"/>
              <w:autoSpaceDN w:val="0"/>
              <w:adjustRightInd w:val="0"/>
              <w:jc w:val="center"/>
              <w:rPr>
                <w:rFonts w:ascii="宋体" w:hAnsi="宋体"/>
                <w:b/>
                <w:bCs/>
                <w:sz w:val="18"/>
                <w:szCs w:val="18"/>
              </w:rPr>
            </w:pPr>
            <w:r>
              <w:rPr>
                <w:rFonts w:hint="eastAsia" w:ascii="宋体" w:hAnsi="宋体"/>
                <w:b/>
                <w:bCs/>
                <w:color w:val="000000" w:themeColor="text1"/>
                <w:sz w:val="18"/>
                <w:szCs w:val="18"/>
                <w14:textFill>
                  <w14:solidFill>
                    <w14:schemeClr w14:val="tx1"/>
                  </w14:solidFill>
                </w14:textFill>
              </w:rPr>
              <w:t>教师椅</w:t>
            </w:r>
          </w:p>
        </w:tc>
        <w:tc>
          <w:tcPr>
            <w:tcW w:w="7087" w:type="dxa"/>
            <w:gridSpan w:val="2"/>
            <w:tcBorders>
              <w:tl2br w:val="nil"/>
              <w:tr2bl w:val="nil"/>
            </w:tcBorders>
            <w:vAlign w:val="center"/>
          </w:tcPr>
          <w:p>
            <w:pPr>
              <w:rPr>
                <w:rFonts w:ascii="宋体" w:hAnsi="宋体"/>
                <w:bCs/>
                <w:sz w:val="18"/>
                <w:szCs w:val="18"/>
              </w:rPr>
            </w:pPr>
            <w:r>
              <w:rPr>
                <w:rFonts w:hint="eastAsia" w:ascii="宋体" w:hAnsi="宋体"/>
                <w:bCs/>
                <w:sz w:val="18"/>
                <w:szCs w:val="18"/>
              </w:rPr>
              <w:t>椅子座板宽46cm深46cm地面至后靠背高96cm白框+海蓝色</w:t>
            </w:r>
          </w:p>
        </w:tc>
        <w:tc>
          <w:tcPr>
            <w:tcW w:w="790" w:type="dxa"/>
            <w:tcBorders>
              <w:tl2br w:val="nil"/>
              <w:tr2bl w:val="nil"/>
            </w:tcBorders>
            <w:vAlign w:val="center"/>
          </w:tcPr>
          <w:p>
            <w:pPr>
              <w:autoSpaceDE w:val="0"/>
              <w:autoSpaceDN w:val="0"/>
              <w:adjustRightInd w:val="0"/>
              <w:jc w:val="center"/>
              <w:rPr>
                <w:rFonts w:ascii="宋体" w:hAnsi="宋体"/>
                <w:bCs/>
                <w:sz w:val="18"/>
                <w:szCs w:val="18"/>
              </w:rPr>
            </w:pPr>
            <w:r>
              <w:rPr>
                <w:rFonts w:hint="eastAsia" w:ascii="宋体" w:hAnsi="宋体"/>
                <w:bCs/>
                <w:sz w:val="18"/>
                <w:szCs w:val="18"/>
              </w:rPr>
              <w:t>1</w:t>
            </w:r>
          </w:p>
        </w:tc>
        <w:tc>
          <w:tcPr>
            <w:tcW w:w="718" w:type="dxa"/>
            <w:tcBorders>
              <w:tl2br w:val="nil"/>
              <w:tr2bl w:val="nil"/>
            </w:tcBorders>
            <w:vAlign w:val="center"/>
          </w:tcPr>
          <w:p>
            <w:pPr>
              <w:autoSpaceDE w:val="0"/>
              <w:autoSpaceDN w:val="0"/>
              <w:adjustRightInd w:val="0"/>
              <w:jc w:val="center"/>
              <w:rPr>
                <w:rFonts w:ascii="宋体" w:hAnsi="宋体"/>
                <w:bCs/>
                <w:sz w:val="18"/>
                <w:szCs w:val="18"/>
              </w:rPr>
            </w:pPr>
            <w:r>
              <w:rPr>
                <w:rFonts w:hint="eastAsia" w:ascii="宋体" w:hAnsi="宋体"/>
                <w:bCs/>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5</w:t>
            </w:r>
          </w:p>
        </w:tc>
        <w:tc>
          <w:tcPr>
            <w:tcW w:w="915" w:type="dxa"/>
            <w:tcBorders>
              <w:tl2br w:val="nil"/>
              <w:tr2bl w:val="nil"/>
            </w:tcBorders>
            <w:vAlign w:val="center"/>
          </w:tcPr>
          <w:p>
            <w:pPr>
              <w:jc w:val="center"/>
              <w:rPr>
                <w:rFonts w:ascii="宋体" w:hAnsi="宋体"/>
                <w:b/>
                <w:bCs/>
                <w:sz w:val="18"/>
                <w:szCs w:val="18"/>
              </w:rPr>
            </w:pPr>
            <w:r>
              <w:rPr>
                <w:rFonts w:hint="eastAsia" w:ascii="宋体" w:hAnsi="宋体"/>
                <w:b/>
                <w:bCs/>
                <w:sz w:val="18"/>
                <w:szCs w:val="18"/>
              </w:rPr>
              <w:t>教师台</w:t>
            </w:r>
          </w:p>
        </w:tc>
        <w:tc>
          <w:tcPr>
            <w:tcW w:w="7087" w:type="dxa"/>
            <w:gridSpan w:val="2"/>
            <w:tcBorders>
              <w:tl2br w:val="nil"/>
              <w:tr2bl w:val="nil"/>
            </w:tcBorders>
            <w:vAlign w:val="center"/>
          </w:tcPr>
          <w:p>
            <w:pPr>
              <w:rPr>
                <w:rFonts w:ascii="宋体" w:hAnsi="宋体"/>
                <w:bCs/>
                <w:sz w:val="18"/>
                <w:szCs w:val="18"/>
              </w:rPr>
            </w:pPr>
            <w:r>
              <w:rPr>
                <w:rFonts w:ascii="宋体" w:hAnsi="宋体"/>
                <w:bCs/>
                <w:sz w:val="18"/>
                <w:szCs w:val="18"/>
              </w:rPr>
              <w:t>＊</w:t>
            </w:r>
            <w:r>
              <w:rPr>
                <w:rFonts w:hint="eastAsia" w:ascii="宋体" w:hAnsi="宋体"/>
                <w:bCs/>
                <w:sz w:val="18"/>
                <w:szCs w:val="18"/>
              </w:rPr>
              <w:t>一、ABS注塑一次成型讲桌；外形尺寸：1200*660mm*1000mm（长*宽*高）；</w:t>
            </w:r>
          </w:p>
          <w:p>
            <w:pPr>
              <w:rPr>
                <w:rFonts w:ascii="宋体" w:hAnsi="宋体"/>
                <w:bCs/>
                <w:sz w:val="18"/>
                <w:szCs w:val="18"/>
              </w:rPr>
            </w:pPr>
            <w:r>
              <w:rPr>
                <w:rFonts w:ascii="宋体" w:hAnsi="宋体"/>
                <w:bCs/>
                <w:sz w:val="18"/>
                <w:szCs w:val="18"/>
              </w:rPr>
              <w:t>＊</w:t>
            </w:r>
            <w:r>
              <w:rPr>
                <w:rFonts w:hint="eastAsia" w:ascii="宋体" w:hAnsi="宋体"/>
                <w:bCs/>
                <w:sz w:val="18"/>
                <w:szCs w:val="18"/>
              </w:rPr>
              <w:t>二、结构：上下分体式结构（采用倒凸样式，美观、大方。便于运输）；顶部和左右门均可打开。整体桌面、钢制部分边棱全部采用圆弧设计；三面进线、全方位纸箱包装，气泡塑料内包装。</w:t>
            </w:r>
          </w:p>
          <w:p>
            <w:pPr>
              <w:rPr>
                <w:rFonts w:ascii="宋体" w:hAnsi="宋体"/>
                <w:bCs/>
                <w:sz w:val="18"/>
                <w:szCs w:val="18"/>
              </w:rPr>
            </w:pPr>
            <w:r>
              <w:rPr>
                <w:rFonts w:ascii="宋体" w:hAnsi="宋体"/>
                <w:bCs/>
                <w:sz w:val="18"/>
                <w:szCs w:val="18"/>
              </w:rPr>
              <w:t>＊</w:t>
            </w:r>
            <w:r>
              <w:rPr>
                <w:rFonts w:hint="eastAsia" w:ascii="宋体" w:hAnsi="宋体"/>
                <w:bCs/>
                <w:sz w:val="18"/>
                <w:szCs w:val="18"/>
              </w:rPr>
              <w:t>三、材质：上体台面、键盘托、中控盖板和玻璃框选用一次注塑成型（禁至使用吹塑工艺、二次废料制作）壁厚大于4mm的ABS工程塑料材质，颜色：灰色，禁止喷塑或喷漆。采用三包围结构，整个台面（包含显示器、中控）不能出现金属板材（有效防止触电可能）；下体采用钢制。钢制部位材料厚度1.2mm；钢制部分表面静电喷塑处理，塑粉要求采用细沙纹，喷后均匀，颜色选用灰白色；</w:t>
            </w:r>
          </w:p>
          <w:p>
            <w:pPr>
              <w:rPr>
                <w:rFonts w:ascii="宋体" w:hAnsi="宋体"/>
                <w:bCs/>
                <w:sz w:val="18"/>
                <w:szCs w:val="18"/>
              </w:rPr>
            </w:pPr>
            <w:r>
              <w:rPr>
                <w:rFonts w:hint="eastAsia" w:ascii="宋体" w:hAnsi="宋体"/>
                <w:bCs/>
                <w:sz w:val="18"/>
                <w:szCs w:val="18"/>
              </w:rPr>
              <w:t>布局：桌面左侧放置显示器，显示器窗口安装10mm厚钢化玻璃（固定玻璃配件材质为ABS，禁用铁质、玻璃胶等容易脱落的配件），有效显示范围不小于20英寸宽屏(不小于450×300mm)；带有中控盒，可锁闭。</w:t>
            </w:r>
          </w:p>
          <w:p>
            <w:pPr>
              <w:rPr>
                <w:rFonts w:ascii="宋体" w:hAnsi="宋体"/>
                <w:bCs/>
                <w:sz w:val="18"/>
                <w:szCs w:val="18"/>
              </w:rPr>
            </w:pPr>
            <w:r>
              <w:rPr>
                <w:rFonts w:hint="eastAsia" w:ascii="宋体" w:hAnsi="宋体"/>
                <w:bCs/>
                <w:sz w:val="18"/>
                <w:szCs w:val="18"/>
              </w:rPr>
              <w:t>五、实物展台隐藏抽拉式、桌体内可左右互换（在桌子的左侧或右侧拉出，方便操作）。</w:t>
            </w:r>
          </w:p>
        </w:tc>
        <w:tc>
          <w:tcPr>
            <w:tcW w:w="790" w:type="dxa"/>
            <w:tcBorders>
              <w:tl2br w:val="nil"/>
              <w:tr2bl w:val="nil"/>
            </w:tcBorders>
            <w:vAlign w:val="center"/>
          </w:tcPr>
          <w:p>
            <w:pPr>
              <w:autoSpaceDE w:val="0"/>
              <w:autoSpaceDN w:val="0"/>
              <w:adjustRightInd w:val="0"/>
              <w:jc w:val="center"/>
              <w:rPr>
                <w:rFonts w:ascii="宋体" w:hAnsi="宋体"/>
                <w:bCs/>
                <w:sz w:val="18"/>
                <w:szCs w:val="18"/>
              </w:rPr>
            </w:pPr>
            <w:r>
              <w:rPr>
                <w:rFonts w:hint="eastAsia" w:ascii="宋体" w:hAnsi="宋体"/>
                <w:bCs/>
                <w:sz w:val="18"/>
                <w:szCs w:val="18"/>
              </w:rPr>
              <w:t>1</w:t>
            </w:r>
          </w:p>
        </w:tc>
        <w:tc>
          <w:tcPr>
            <w:tcW w:w="718" w:type="dxa"/>
            <w:tcBorders>
              <w:tl2br w:val="nil"/>
              <w:tr2bl w:val="nil"/>
            </w:tcBorders>
            <w:vAlign w:val="center"/>
          </w:tcPr>
          <w:p>
            <w:pPr>
              <w:jc w:val="center"/>
              <w:rPr>
                <w:rFonts w:ascii="宋体" w:hAnsi="宋体"/>
                <w:bCs/>
                <w:sz w:val="18"/>
                <w:szCs w:val="18"/>
              </w:rPr>
            </w:pPr>
            <w:r>
              <w:rPr>
                <w:rFonts w:hint="eastAsia" w:ascii="宋体" w:hAnsi="宋体"/>
                <w:bCs/>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6</w:t>
            </w:r>
          </w:p>
        </w:tc>
        <w:tc>
          <w:tcPr>
            <w:tcW w:w="915" w:type="dxa"/>
            <w:tcBorders>
              <w:tl2br w:val="nil"/>
              <w:tr2bl w:val="nil"/>
            </w:tcBorders>
            <w:vAlign w:val="center"/>
          </w:tcPr>
          <w:p>
            <w:pPr>
              <w:autoSpaceDE w:val="0"/>
              <w:autoSpaceDN w:val="0"/>
              <w:adjustRightInd w:val="0"/>
              <w:jc w:val="center"/>
              <w:rPr>
                <w:rFonts w:ascii="宋体" w:hAnsi="宋体"/>
                <w:b/>
                <w:bCs/>
                <w:sz w:val="18"/>
                <w:szCs w:val="18"/>
              </w:rPr>
            </w:pPr>
            <w:r>
              <w:rPr>
                <w:rFonts w:hint="eastAsia" w:ascii="宋体" w:hAnsi="宋体"/>
                <w:b/>
                <w:bCs/>
                <w:sz w:val="18"/>
                <w:szCs w:val="18"/>
              </w:rPr>
              <w:t>学生电脑桌椅</w:t>
            </w:r>
          </w:p>
        </w:tc>
        <w:tc>
          <w:tcPr>
            <w:tcW w:w="7087" w:type="dxa"/>
            <w:gridSpan w:val="2"/>
            <w:tcBorders>
              <w:tl2br w:val="nil"/>
              <w:tr2bl w:val="nil"/>
            </w:tcBorders>
            <w:vAlign w:val="center"/>
          </w:tcPr>
          <w:p>
            <w:r>
              <w:rPr>
                <w:rFonts w:hint="eastAsia"/>
              </w:rPr>
              <w:t>所有材质符合欧洲E1级甲醛释放标准，隔断主材质选用30款屏风材质，玻璃采用布纹玻璃，台面选用25mm厚的实木颗粒板制作，每一套均配一个活动柜和主板拖键盘架。排列方式按照设计方案，隔断颜色为乳白色+棕海蓝色。桌子规格尺寸：1200mm*1400mm</w:t>
            </w:r>
            <w:r>
              <w:rPr>
                <w:rFonts w:hint="eastAsia" w:ascii="宋体" w:hAnsi="宋体"/>
                <w:bCs/>
                <w:sz w:val="18"/>
                <w:szCs w:val="18"/>
              </w:rPr>
              <w:t xml:space="preserve"> 椅子座板宽46cm深46cm地面至后靠背高96cm白框+海蓝色</w:t>
            </w:r>
          </w:p>
        </w:tc>
        <w:tc>
          <w:tcPr>
            <w:tcW w:w="790" w:type="dxa"/>
            <w:tcBorders>
              <w:tl2br w:val="nil"/>
              <w:tr2bl w:val="nil"/>
            </w:tcBorders>
            <w:vAlign w:val="center"/>
          </w:tcPr>
          <w:p>
            <w:pPr>
              <w:autoSpaceDE w:val="0"/>
              <w:autoSpaceDN w:val="0"/>
              <w:adjustRightInd w:val="0"/>
              <w:jc w:val="center"/>
              <w:rPr>
                <w:rFonts w:ascii="宋体" w:hAnsi="宋体"/>
                <w:bCs/>
                <w:sz w:val="18"/>
                <w:szCs w:val="18"/>
              </w:rPr>
            </w:pPr>
            <w:r>
              <w:rPr>
                <w:rFonts w:hint="eastAsia" w:ascii="宋体" w:hAnsi="宋体"/>
                <w:bCs/>
                <w:sz w:val="18"/>
                <w:szCs w:val="18"/>
              </w:rPr>
              <w:t>40</w:t>
            </w:r>
          </w:p>
        </w:tc>
        <w:tc>
          <w:tcPr>
            <w:tcW w:w="718" w:type="dxa"/>
            <w:tcBorders>
              <w:tl2br w:val="nil"/>
              <w:tr2bl w:val="nil"/>
            </w:tcBorders>
            <w:vAlign w:val="center"/>
          </w:tcPr>
          <w:p>
            <w:pPr>
              <w:autoSpaceDE w:val="0"/>
              <w:autoSpaceDN w:val="0"/>
              <w:adjustRightInd w:val="0"/>
              <w:jc w:val="center"/>
              <w:rPr>
                <w:rFonts w:ascii="宋体" w:hAnsi="宋体"/>
                <w:bCs/>
                <w:sz w:val="18"/>
                <w:szCs w:val="18"/>
              </w:rPr>
            </w:pPr>
            <w:r>
              <w:rPr>
                <w:rFonts w:hint="eastAsia" w:ascii="宋体" w:hAnsi="宋体"/>
                <w:bCs/>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7</w:t>
            </w:r>
          </w:p>
        </w:tc>
        <w:tc>
          <w:tcPr>
            <w:tcW w:w="915" w:type="dxa"/>
            <w:tcBorders>
              <w:tl2br w:val="nil"/>
              <w:tr2bl w:val="nil"/>
            </w:tcBorders>
            <w:vAlign w:val="center"/>
          </w:tcPr>
          <w:p>
            <w:pPr>
              <w:autoSpaceDE w:val="0"/>
              <w:autoSpaceDN w:val="0"/>
              <w:adjustRightInd w:val="0"/>
              <w:jc w:val="center"/>
              <w:rPr>
                <w:rFonts w:ascii="宋体" w:hAnsi="宋体"/>
                <w:b/>
                <w:bCs/>
                <w:sz w:val="18"/>
                <w:szCs w:val="18"/>
              </w:rPr>
            </w:pPr>
            <w:r>
              <w:rPr>
                <w:rFonts w:hint="eastAsia" w:ascii="宋体" w:hAnsi="宋体"/>
                <w:b/>
                <w:bCs/>
                <w:sz w:val="18"/>
                <w:szCs w:val="18"/>
              </w:rPr>
              <w:t>智慧黑板</w:t>
            </w:r>
          </w:p>
        </w:tc>
        <w:tc>
          <w:tcPr>
            <w:tcW w:w="7087" w:type="dxa"/>
            <w:gridSpan w:val="2"/>
            <w:tcBorders>
              <w:tl2br w:val="nil"/>
              <w:tr2bl w:val="nil"/>
            </w:tcBorders>
            <w:vAlign w:val="center"/>
          </w:tcPr>
          <w:p>
            <w:pPr>
              <w:rPr>
                <w:rFonts w:ascii="宋体" w:hAnsi="宋体"/>
                <w:bCs/>
                <w:sz w:val="18"/>
                <w:szCs w:val="18"/>
              </w:rPr>
            </w:pPr>
            <w:r>
              <w:rPr>
                <w:rFonts w:hint="eastAsia" w:ascii="宋体" w:hAnsi="宋体"/>
                <w:bCs/>
                <w:sz w:val="18"/>
                <w:szCs w:val="18"/>
              </w:rPr>
              <w:t>1</w:t>
            </w:r>
            <w:r>
              <w:rPr>
                <w:rFonts w:ascii="宋体" w:hAnsi="宋体"/>
                <w:bCs/>
                <w:sz w:val="18"/>
                <w:szCs w:val="18"/>
              </w:rPr>
              <w:t>、</w:t>
            </w:r>
            <w:r>
              <w:rPr>
                <w:rFonts w:hint="eastAsia" w:ascii="宋体" w:hAnsi="宋体"/>
                <w:bCs/>
                <w:sz w:val="18"/>
                <w:szCs w:val="18"/>
              </w:rPr>
              <w:t>正面显示为一个由三块拼接而成的平面普通黑板，可以在黑板表面用水笔书写及普通粉笔书写，又可以根据需要采用无尘粉笔书写。整机必须具有电容式触控一键多媒体功能：当黑板打开电源时，中间一块显示出液晶的显示画面，可以进行触摸互动多媒体内容；当关掉电源时，显示画面隐形，又显示为一个普通黑板的表象，可以在上面进行书写；科学创新，满足各种需求的使用。</w:t>
            </w:r>
          </w:p>
          <w:p>
            <w:pPr>
              <w:rPr>
                <w:rFonts w:ascii="宋体" w:hAnsi="宋体"/>
                <w:bCs/>
                <w:sz w:val="18"/>
                <w:szCs w:val="18"/>
              </w:rPr>
            </w:pPr>
            <w:r>
              <w:rPr>
                <w:rFonts w:hint="eastAsia" w:ascii="宋体" w:hAnsi="宋体"/>
                <w:bCs/>
                <w:sz w:val="18"/>
                <w:szCs w:val="18"/>
              </w:rPr>
              <w:t>2</w:t>
            </w:r>
            <w:r>
              <w:rPr>
                <w:rFonts w:ascii="宋体" w:hAnsi="宋体"/>
                <w:bCs/>
                <w:sz w:val="18"/>
                <w:szCs w:val="18"/>
              </w:rPr>
              <w:t>、</w:t>
            </w:r>
            <w:r>
              <w:rPr>
                <w:rFonts w:hint="eastAsia" w:ascii="宋体" w:hAnsi="宋体"/>
                <w:bCs/>
                <w:sz w:val="18"/>
                <w:szCs w:val="18"/>
              </w:rPr>
              <w:t>产品整体尺寸：宽≥4200mm ，高≥1400mm ，厚≤70mm，采用模块化设计，壁挂式安装，拆卸方便。</w:t>
            </w:r>
          </w:p>
          <w:p>
            <w:pPr>
              <w:rPr>
                <w:rFonts w:ascii="宋体" w:hAnsi="宋体"/>
                <w:bCs/>
                <w:sz w:val="18"/>
                <w:szCs w:val="18"/>
              </w:rPr>
            </w:pPr>
            <w:r>
              <w:rPr>
                <w:rFonts w:hint="eastAsia" w:ascii="宋体" w:hAnsi="宋体"/>
                <w:bCs/>
                <w:sz w:val="18"/>
                <w:szCs w:val="18"/>
              </w:rPr>
              <w:t>3</w:t>
            </w:r>
            <w:r>
              <w:rPr>
                <w:rFonts w:ascii="宋体" w:hAnsi="宋体"/>
                <w:bCs/>
                <w:sz w:val="18"/>
                <w:szCs w:val="18"/>
              </w:rPr>
              <w:t>、</w:t>
            </w:r>
            <w:r>
              <w:rPr>
                <w:rFonts w:hint="eastAsia" w:ascii="宋体" w:hAnsi="宋体"/>
                <w:bCs/>
                <w:sz w:val="18"/>
                <w:szCs w:val="18"/>
              </w:rPr>
              <w:t>显示尺寸≥86英寸，采用工业级液晶屏,屏体级别为A规屏/</w:t>
            </w:r>
            <w:r>
              <w:rPr>
                <w:rFonts w:ascii="宋体" w:hAnsi="宋体"/>
                <w:bCs/>
                <w:sz w:val="18"/>
                <w:szCs w:val="18"/>
              </w:rPr>
              <w:t xml:space="preserve">A </w:t>
            </w:r>
            <w:r>
              <w:rPr>
                <w:rFonts w:hint="eastAsia" w:ascii="宋体" w:hAnsi="宋体"/>
                <w:bCs/>
                <w:sz w:val="18"/>
                <w:szCs w:val="18"/>
              </w:rPr>
              <w:t>级屏/</w:t>
            </w:r>
            <w:r>
              <w:rPr>
                <w:rFonts w:ascii="宋体" w:hAnsi="宋体"/>
                <w:bCs/>
                <w:sz w:val="18"/>
                <w:szCs w:val="18"/>
              </w:rPr>
              <w:t>A+</w:t>
            </w:r>
            <w:r>
              <w:rPr>
                <w:rFonts w:hint="eastAsia" w:ascii="宋体" w:hAnsi="宋体"/>
                <w:bCs/>
                <w:sz w:val="18"/>
                <w:szCs w:val="18"/>
              </w:rPr>
              <w:t>屏，A级硬屏； 采用L</w:t>
            </w:r>
            <w:r>
              <w:rPr>
                <w:rFonts w:ascii="宋体" w:hAnsi="宋体"/>
                <w:bCs/>
                <w:sz w:val="18"/>
                <w:szCs w:val="18"/>
              </w:rPr>
              <w:t xml:space="preserve">ED </w:t>
            </w:r>
            <w:r>
              <w:rPr>
                <w:rFonts w:hint="eastAsia" w:ascii="宋体" w:hAnsi="宋体"/>
                <w:bCs/>
                <w:sz w:val="18"/>
                <w:szCs w:val="18"/>
              </w:rPr>
              <w:t>背光源液晶显示屏，显示比例16：9</w:t>
            </w:r>
            <w:r>
              <w:rPr>
                <w:rFonts w:ascii="宋体" w:hAnsi="宋体"/>
                <w:bCs/>
                <w:sz w:val="18"/>
                <w:szCs w:val="18"/>
              </w:rPr>
              <w:t>;</w:t>
            </w:r>
            <w:r>
              <w:rPr>
                <w:rFonts w:hint="eastAsia" w:ascii="宋体" w:hAnsi="宋体"/>
                <w:bCs/>
                <w:sz w:val="18"/>
                <w:szCs w:val="18"/>
              </w:rPr>
              <w:t>屏体亮度≧</w:t>
            </w:r>
            <w:r>
              <w:rPr>
                <w:rFonts w:ascii="宋体" w:hAnsi="宋体"/>
                <w:bCs/>
                <w:sz w:val="18"/>
                <w:szCs w:val="18"/>
              </w:rPr>
              <w:t>45</w:t>
            </w:r>
            <w:r>
              <w:rPr>
                <w:rFonts w:hint="eastAsia" w:ascii="宋体" w:hAnsi="宋体"/>
                <w:bCs/>
                <w:sz w:val="18"/>
                <w:szCs w:val="18"/>
              </w:rPr>
              <w:t>0cd/㎡，对比度≧1200:1，工作分辨率≧</w:t>
            </w:r>
            <w:r>
              <w:rPr>
                <w:rFonts w:ascii="宋体" w:hAnsi="宋体"/>
                <w:bCs/>
                <w:sz w:val="18"/>
                <w:szCs w:val="18"/>
              </w:rPr>
              <w:t>3840*2160</w:t>
            </w:r>
            <w:r>
              <w:rPr>
                <w:rFonts w:hint="eastAsia" w:ascii="宋体" w:hAnsi="宋体"/>
                <w:bCs/>
                <w:sz w:val="18"/>
                <w:szCs w:val="18"/>
              </w:rPr>
              <w:t>@60hz；响应速度≤8ms，使用寿命≧100000小时。工作噪声</w:t>
            </w:r>
            <w:r>
              <w:rPr>
                <w:rFonts w:ascii="宋体" w:hAnsi="宋体"/>
                <w:bCs/>
                <w:sz w:val="18"/>
                <w:szCs w:val="18"/>
              </w:rPr>
              <w:object>
                <v:shape id="_x0000_i1025" o:spt="75" type="#_x0000_t75" style="height:11.25pt;width:10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hint="eastAsia" w:ascii="宋体" w:hAnsi="宋体"/>
                <w:bCs/>
                <w:sz w:val="18"/>
                <w:szCs w:val="18"/>
              </w:rPr>
              <w:t>20DB</w:t>
            </w:r>
          </w:p>
          <w:p>
            <w:pPr>
              <w:rPr>
                <w:rFonts w:ascii="宋体" w:hAnsi="宋体"/>
                <w:bCs/>
                <w:sz w:val="18"/>
                <w:szCs w:val="18"/>
              </w:rPr>
            </w:pPr>
            <w:r>
              <w:rPr>
                <w:rFonts w:hint="eastAsia" w:ascii="宋体" w:hAnsi="宋体"/>
                <w:bCs/>
                <w:sz w:val="18"/>
                <w:szCs w:val="18"/>
              </w:rPr>
              <w:t>4</w:t>
            </w:r>
            <w:r>
              <w:rPr>
                <w:rFonts w:ascii="宋体" w:hAnsi="宋体"/>
                <w:bCs/>
                <w:sz w:val="18"/>
                <w:szCs w:val="18"/>
              </w:rPr>
              <w:t>、输入接口满足：输入接口需满足：</w:t>
            </w:r>
            <w:r>
              <w:rPr>
                <w:rFonts w:hint="eastAsia" w:ascii="宋体" w:hAnsi="宋体"/>
                <w:bCs/>
                <w:sz w:val="18"/>
                <w:szCs w:val="18"/>
              </w:rPr>
              <w:t>HDMI≥1；USB≧1（touch）；RS232(RJ45)≧1；VGA≧1</w:t>
            </w:r>
          </w:p>
          <w:p>
            <w:pPr>
              <w:rPr>
                <w:rFonts w:ascii="宋体" w:hAnsi="宋体"/>
                <w:bCs/>
                <w:sz w:val="18"/>
                <w:szCs w:val="18"/>
              </w:rPr>
            </w:pPr>
            <w:r>
              <w:rPr>
                <w:rFonts w:hint="eastAsia" w:ascii="宋体" w:hAnsi="宋体"/>
                <w:bCs/>
                <w:sz w:val="18"/>
                <w:szCs w:val="18"/>
              </w:rPr>
              <w:t>4K</w:t>
            </w:r>
            <w:r>
              <w:rPr>
                <w:rFonts w:ascii="宋体" w:hAnsi="宋体"/>
                <w:bCs/>
                <w:sz w:val="18"/>
                <w:szCs w:val="18"/>
              </w:rPr>
              <w:t>输</w:t>
            </w:r>
            <w:r>
              <w:rPr>
                <w:rFonts w:hint="eastAsia" w:ascii="宋体" w:hAnsi="宋体"/>
                <w:bCs/>
                <w:sz w:val="18"/>
                <w:szCs w:val="18"/>
              </w:rPr>
              <w:t>入</w:t>
            </w:r>
            <w:r>
              <w:rPr>
                <w:rFonts w:ascii="宋体" w:hAnsi="宋体"/>
                <w:bCs/>
                <w:sz w:val="18"/>
                <w:szCs w:val="18"/>
              </w:rPr>
              <w:t>接口需满足：HDMI</w:t>
            </w:r>
            <w:r>
              <w:rPr>
                <w:rFonts w:hint="eastAsia" w:ascii="宋体" w:hAnsi="宋体"/>
                <w:bCs/>
                <w:sz w:val="18"/>
                <w:szCs w:val="18"/>
              </w:rPr>
              <w:t xml:space="preserve"> 2.0(4K@60hz),Displayport(4K@60hz） </w:t>
            </w:r>
          </w:p>
          <w:p>
            <w:pPr>
              <w:rPr>
                <w:rFonts w:ascii="宋体" w:hAnsi="宋体"/>
                <w:bCs/>
                <w:sz w:val="18"/>
                <w:szCs w:val="18"/>
              </w:rPr>
            </w:pPr>
            <w:r>
              <w:rPr>
                <w:rFonts w:hint="eastAsia" w:ascii="宋体" w:hAnsi="宋体"/>
                <w:bCs/>
                <w:sz w:val="18"/>
                <w:szCs w:val="18"/>
              </w:rPr>
              <w:t>5</w:t>
            </w:r>
            <w:r>
              <w:rPr>
                <w:rFonts w:ascii="宋体" w:hAnsi="宋体"/>
                <w:bCs/>
                <w:sz w:val="18"/>
                <w:szCs w:val="18"/>
              </w:rPr>
              <w:t>、</w:t>
            </w:r>
            <w:r>
              <w:rPr>
                <w:rFonts w:hint="eastAsia" w:ascii="宋体" w:hAnsi="宋体"/>
                <w:bCs/>
                <w:sz w:val="18"/>
                <w:szCs w:val="18"/>
              </w:rPr>
              <w:t>产品全电容按键，支持一键黑屏和计算机及外接输入源显示的切换，</w:t>
            </w:r>
          </w:p>
          <w:p>
            <w:pPr>
              <w:rPr>
                <w:rFonts w:ascii="宋体" w:hAnsi="宋体"/>
                <w:bCs/>
                <w:sz w:val="18"/>
                <w:szCs w:val="18"/>
              </w:rPr>
            </w:pPr>
            <w:r>
              <w:rPr>
                <w:rFonts w:hint="eastAsia" w:ascii="宋体" w:hAnsi="宋体"/>
                <w:bCs/>
                <w:sz w:val="18"/>
                <w:szCs w:val="18"/>
              </w:rPr>
              <w:t>6</w:t>
            </w:r>
            <w:r>
              <w:rPr>
                <w:rFonts w:ascii="宋体" w:hAnsi="宋体"/>
                <w:bCs/>
                <w:sz w:val="18"/>
                <w:szCs w:val="18"/>
              </w:rPr>
              <w:t>、</w:t>
            </w:r>
            <w:r>
              <w:rPr>
                <w:rFonts w:hint="eastAsia" w:ascii="宋体" w:hAnsi="宋体"/>
                <w:bCs/>
                <w:sz w:val="18"/>
                <w:szCs w:val="18"/>
              </w:rPr>
              <w:t>产品采用国内最先进的投射式电容触控技术，手指轻触式多点（不小于10点触控）互动体验；多点书写技术：能在 Windows 自带画图软件中实现多点书写；触摸屏满足连接 Windows 操作系统（Win 7、Win8）的电脑外部设备时正常无障碍使用。连续响应速度≤8ms。触摸有效识别≤5 毫米，定位精度：0.</w:t>
            </w:r>
            <w:r>
              <w:rPr>
                <w:rFonts w:ascii="宋体" w:hAnsi="宋体"/>
                <w:bCs/>
                <w:sz w:val="18"/>
                <w:szCs w:val="18"/>
              </w:rPr>
              <w:t>1</w:t>
            </w:r>
            <w:r>
              <w:rPr>
                <w:rFonts w:hint="eastAsia" w:ascii="宋体" w:hAnsi="宋体"/>
                <w:bCs/>
                <w:sz w:val="18"/>
                <w:szCs w:val="18"/>
              </w:rPr>
              <w:t>mm</w:t>
            </w:r>
            <w:r>
              <w:rPr>
                <w:rFonts w:ascii="宋体" w:hAnsi="宋体"/>
                <w:bCs/>
                <w:sz w:val="18"/>
                <w:szCs w:val="18"/>
              </w:rPr>
              <w:t xml:space="preserve">; </w:t>
            </w:r>
          </w:p>
          <w:p>
            <w:pPr>
              <w:rPr>
                <w:rFonts w:ascii="宋体" w:hAnsi="宋体"/>
                <w:bCs/>
                <w:sz w:val="18"/>
                <w:szCs w:val="18"/>
              </w:rPr>
            </w:pPr>
            <w:r>
              <w:rPr>
                <w:rFonts w:hint="eastAsia" w:ascii="宋体" w:hAnsi="宋体"/>
                <w:bCs/>
                <w:sz w:val="18"/>
                <w:szCs w:val="18"/>
              </w:rPr>
              <w:t>7</w:t>
            </w:r>
            <w:r>
              <w:rPr>
                <w:rFonts w:ascii="宋体" w:hAnsi="宋体"/>
                <w:bCs/>
                <w:sz w:val="18"/>
                <w:szCs w:val="18"/>
              </w:rPr>
              <w:t>、</w:t>
            </w:r>
            <w:r>
              <w:rPr>
                <w:rFonts w:hint="eastAsia" w:ascii="宋体" w:hAnsi="宋体"/>
                <w:bCs/>
                <w:sz w:val="18"/>
                <w:szCs w:val="18"/>
              </w:rPr>
              <w:t>为确保黑板平整性，智能黑板必须采用纯平面（黑板玻璃表面物理拼缝≤0.1mm，光学拼缝≤0.2mm，整屏平整度≤0.2mm）、采用纯平面设计，高强度超窄铝合金灰色金属边框，使玻璃和边框巧妙融合，同时对玻璃和使用者双重保护，安全可靠。</w:t>
            </w:r>
          </w:p>
          <w:p>
            <w:pPr>
              <w:rPr>
                <w:rFonts w:ascii="宋体" w:hAnsi="宋体"/>
                <w:bCs/>
                <w:sz w:val="18"/>
                <w:szCs w:val="18"/>
              </w:rPr>
            </w:pPr>
            <w:r>
              <w:rPr>
                <w:rFonts w:hint="eastAsia" w:ascii="宋体" w:hAnsi="宋体"/>
                <w:bCs/>
                <w:sz w:val="18"/>
                <w:szCs w:val="18"/>
              </w:rPr>
              <w:t>8</w:t>
            </w:r>
            <w:r>
              <w:rPr>
                <w:rFonts w:ascii="宋体" w:hAnsi="宋体"/>
                <w:bCs/>
                <w:sz w:val="18"/>
                <w:szCs w:val="18"/>
              </w:rPr>
              <w:t>、</w:t>
            </w:r>
            <w:r>
              <w:rPr>
                <w:rFonts w:hint="eastAsia" w:ascii="宋体" w:hAnsi="宋体"/>
                <w:bCs/>
                <w:sz w:val="18"/>
                <w:szCs w:val="18"/>
              </w:rPr>
              <w:t>产品表面形成表面防眩光技术，无法在表面形成反射影像，不影响可视画面。表面采用耐书写技术，采用白板笔、无尘粉笔书写对黑板表面永久性无损伤。</w:t>
            </w:r>
          </w:p>
          <w:p>
            <w:pPr>
              <w:rPr>
                <w:rFonts w:ascii="宋体" w:hAnsi="宋体"/>
                <w:bCs/>
                <w:sz w:val="18"/>
                <w:szCs w:val="18"/>
              </w:rPr>
            </w:pPr>
            <w:r>
              <w:rPr>
                <w:rFonts w:hint="eastAsia" w:ascii="宋体" w:hAnsi="宋体"/>
                <w:bCs/>
                <w:sz w:val="18"/>
                <w:szCs w:val="18"/>
              </w:rPr>
              <w:t>9</w:t>
            </w:r>
            <w:r>
              <w:rPr>
                <w:rFonts w:ascii="宋体" w:hAnsi="宋体"/>
                <w:bCs/>
                <w:sz w:val="18"/>
                <w:szCs w:val="18"/>
              </w:rPr>
              <w:t>、</w:t>
            </w:r>
            <w:r>
              <w:rPr>
                <w:rFonts w:hint="eastAsia" w:ascii="宋体" w:hAnsi="宋体"/>
                <w:bCs/>
                <w:sz w:val="18"/>
                <w:szCs w:val="18"/>
              </w:rPr>
              <w:t>产品支持一键切换输入源,无需遥控器,隐形按键切换输入源。</w:t>
            </w:r>
          </w:p>
          <w:p>
            <w:pPr>
              <w:rPr>
                <w:rFonts w:ascii="宋体" w:hAnsi="宋体"/>
                <w:bCs/>
                <w:sz w:val="18"/>
                <w:szCs w:val="18"/>
              </w:rPr>
            </w:pPr>
            <w:r>
              <w:rPr>
                <w:rFonts w:hint="eastAsia" w:ascii="宋体" w:hAnsi="宋体"/>
                <w:bCs/>
                <w:sz w:val="18"/>
                <w:szCs w:val="18"/>
              </w:rPr>
              <w:t>10</w:t>
            </w:r>
            <w:r>
              <w:rPr>
                <w:rFonts w:ascii="宋体" w:hAnsi="宋体"/>
                <w:bCs/>
                <w:sz w:val="18"/>
                <w:szCs w:val="18"/>
              </w:rPr>
              <w:t>、</w:t>
            </w:r>
            <w:r>
              <w:rPr>
                <w:rFonts w:hint="eastAsia" w:ascii="宋体" w:hAnsi="宋体"/>
                <w:bCs/>
                <w:sz w:val="18"/>
                <w:szCs w:val="18"/>
              </w:rPr>
              <w:t>产品支持多种模式控制黑板：一键切换输入源,无需遥控器,隐形按键切换输入源。五指息屏，敲击呼出菜单，通过手势增减亮度，调整音量</w:t>
            </w:r>
          </w:p>
          <w:p>
            <w:pPr>
              <w:rPr>
                <w:rFonts w:ascii="宋体" w:hAnsi="宋体"/>
                <w:bCs/>
                <w:sz w:val="18"/>
                <w:szCs w:val="18"/>
              </w:rPr>
            </w:pPr>
            <w:r>
              <w:rPr>
                <w:rFonts w:hint="eastAsia" w:ascii="宋体" w:hAnsi="宋体"/>
                <w:bCs/>
                <w:sz w:val="18"/>
                <w:szCs w:val="18"/>
              </w:rPr>
              <w:t>12</w:t>
            </w:r>
            <w:r>
              <w:rPr>
                <w:rFonts w:ascii="宋体" w:hAnsi="宋体"/>
                <w:bCs/>
                <w:sz w:val="18"/>
                <w:szCs w:val="18"/>
              </w:rPr>
              <w:t>、</w:t>
            </w:r>
            <w:r>
              <w:rPr>
                <w:rFonts w:hint="eastAsia" w:ascii="宋体" w:hAnsi="宋体"/>
                <w:bCs/>
                <w:sz w:val="18"/>
                <w:szCs w:val="18"/>
              </w:rPr>
              <w:t>工作电压：A</w:t>
            </w:r>
            <w:r>
              <w:rPr>
                <w:rFonts w:ascii="宋体" w:hAnsi="宋体"/>
                <w:bCs/>
                <w:sz w:val="18"/>
                <w:szCs w:val="18"/>
              </w:rPr>
              <w:t>C</w:t>
            </w:r>
            <w:r>
              <w:rPr>
                <w:rFonts w:hint="eastAsia" w:ascii="宋体" w:hAnsi="宋体"/>
                <w:bCs/>
                <w:sz w:val="18"/>
                <w:szCs w:val="18"/>
              </w:rPr>
              <w:t>100-240</w:t>
            </w:r>
            <w:r>
              <w:rPr>
                <w:rFonts w:ascii="宋体" w:hAnsi="宋体"/>
                <w:bCs/>
                <w:sz w:val="18"/>
                <w:szCs w:val="18"/>
              </w:rPr>
              <w:t>V</w:t>
            </w:r>
            <w:r>
              <w:rPr>
                <w:rFonts w:hint="eastAsia" w:ascii="宋体" w:hAnsi="宋体"/>
                <w:bCs/>
                <w:sz w:val="18"/>
                <w:szCs w:val="18"/>
              </w:rPr>
              <w:t>，50/60</w:t>
            </w:r>
            <w:r>
              <w:rPr>
                <w:rFonts w:ascii="宋体" w:hAnsi="宋体"/>
                <w:bCs/>
                <w:sz w:val="18"/>
                <w:szCs w:val="18"/>
              </w:rPr>
              <w:t>HZ</w:t>
            </w:r>
            <w:r>
              <w:rPr>
                <w:rFonts w:hint="eastAsia" w:ascii="宋体" w:hAnsi="宋体"/>
                <w:bCs/>
                <w:sz w:val="18"/>
                <w:szCs w:val="18"/>
              </w:rPr>
              <w:t>；屏幕刷新频率：60</w:t>
            </w:r>
            <w:r>
              <w:rPr>
                <w:rFonts w:ascii="宋体" w:hAnsi="宋体"/>
                <w:bCs/>
                <w:sz w:val="18"/>
                <w:szCs w:val="18"/>
              </w:rPr>
              <w:t xml:space="preserve">H; </w:t>
            </w:r>
            <w:r>
              <w:rPr>
                <w:rFonts w:hint="eastAsia" w:ascii="宋体" w:hAnsi="宋体"/>
                <w:bCs/>
                <w:sz w:val="18"/>
                <w:szCs w:val="18"/>
              </w:rPr>
              <w:t>最大可视角度：178度；</w:t>
            </w:r>
          </w:p>
          <w:p>
            <w:pPr>
              <w:rPr>
                <w:rFonts w:ascii="宋体" w:hAnsi="宋体"/>
                <w:bCs/>
                <w:sz w:val="18"/>
                <w:szCs w:val="18"/>
              </w:rPr>
            </w:pPr>
            <w:r>
              <w:rPr>
                <w:rFonts w:hint="eastAsia" w:ascii="宋体" w:hAnsi="宋体"/>
                <w:bCs/>
                <w:sz w:val="18"/>
                <w:szCs w:val="18"/>
              </w:rPr>
              <w:t>13</w:t>
            </w:r>
            <w:r>
              <w:rPr>
                <w:rFonts w:ascii="宋体" w:hAnsi="宋体"/>
                <w:bCs/>
                <w:sz w:val="18"/>
                <w:szCs w:val="18"/>
              </w:rPr>
              <w:t>、</w:t>
            </w:r>
            <w:r>
              <w:rPr>
                <w:rFonts w:hint="eastAsia" w:ascii="宋体" w:hAnsi="宋体"/>
                <w:bCs/>
                <w:sz w:val="18"/>
                <w:szCs w:val="18"/>
              </w:rPr>
              <w:t>安装 方式：支持壁 挂/支架的安装方式。</w:t>
            </w:r>
          </w:p>
          <w:p>
            <w:pPr>
              <w:rPr>
                <w:rFonts w:ascii="宋体" w:hAnsi="宋体"/>
                <w:bCs/>
                <w:sz w:val="18"/>
                <w:szCs w:val="18"/>
              </w:rPr>
            </w:pPr>
            <w:r>
              <w:rPr>
                <w:rFonts w:hint="eastAsia" w:ascii="宋体" w:hAnsi="宋体"/>
                <w:bCs/>
                <w:sz w:val="18"/>
                <w:szCs w:val="18"/>
              </w:rPr>
              <w:t>14</w:t>
            </w:r>
            <w:r>
              <w:rPr>
                <w:rFonts w:ascii="宋体" w:hAnsi="宋体"/>
                <w:bCs/>
                <w:sz w:val="18"/>
                <w:szCs w:val="18"/>
              </w:rPr>
              <w:t>、</w:t>
            </w:r>
            <w:r>
              <w:rPr>
                <w:rFonts w:hint="eastAsia" w:ascii="宋体" w:hAnsi="宋体"/>
                <w:bCs/>
                <w:sz w:val="18"/>
                <w:szCs w:val="18"/>
              </w:rPr>
              <w:t>★自带Turbo OS急速操作系统，自由切换Windows和安卓。</w:t>
            </w:r>
          </w:p>
          <w:p>
            <w:pPr>
              <w:rPr>
                <w:rFonts w:ascii="宋体" w:hAnsi="宋体"/>
                <w:bCs/>
                <w:sz w:val="18"/>
                <w:szCs w:val="18"/>
              </w:rPr>
            </w:pPr>
            <w:r>
              <w:rPr>
                <w:rFonts w:hint="eastAsia" w:ascii="宋体" w:hAnsi="宋体"/>
                <w:bCs/>
                <w:sz w:val="18"/>
                <w:szCs w:val="18"/>
              </w:rPr>
              <w:t>1</w:t>
            </w:r>
            <w:r>
              <w:rPr>
                <w:rFonts w:ascii="宋体" w:hAnsi="宋体"/>
                <w:bCs/>
                <w:sz w:val="18"/>
                <w:szCs w:val="18"/>
              </w:rPr>
              <w:t>5、</w:t>
            </w:r>
            <w:r>
              <w:rPr>
                <w:rFonts w:hint="eastAsia" w:ascii="宋体" w:hAnsi="宋体"/>
                <w:bCs/>
                <w:sz w:val="18"/>
                <w:szCs w:val="18"/>
              </w:rPr>
              <w:t>★安卓核心版本不低于8.1</w:t>
            </w:r>
          </w:p>
          <w:p>
            <w:pPr>
              <w:rPr>
                <w:rFonts w:ascii="宋体" w:hAnsi="宋体"/>
                <w:bCs/>
                <w:sz w:val="18"/>
                <w:szCs w:val="18"/>
              </w:rPr>
            </w:pPr>
            <w:r>
              <w:rPr>
                <w:rFonts w:hint="eastAsia" w:ascii="宋体" w:hAnsi="宋体"/>
                <w:bCs/>
                <w:sz w:val="18"/>
                <w:szCs w:val="18"/>
              </w:rPr>
              <w:t>16</w:t>
            </w:r>
            <w:r>
              <w:rPr>
                <w:rFonts w:ascii="宋体" w:hAnsi="宋体"/>
                <w:bCs/>
                <w:sz w:val="18"/>
                <w:szCs w:val="18"/>
              </w:rPr>
              <w:t>、</w:t>
            </w:r>
            <w:r>
              <w:rPr>
                <w:rFonts w:hint="eastAsia" w:ascii="宋体" w:hAnsi="宋体"/>
                <w:bCs/>
                <w:sz w:val="18"/>
                <w:szCs w:val="18"/>
              </w:rPr>
              <w:t>图片格式支持：J</w:t>
            </w:r>
            <w:r>
              <w:rPr>
                <w:rFonts w:ascii="宋体" w:hAnsi="宋体"/>
                <w:bCs/>
                <w:sz w:val="18"/>
                <w:szCs w:val="18"/>
              </w:rPr>
              <w:t>PEG,BMP,PNG;</w:t>
            </w:r>
            <w:r>
              <w:rPr>
                <w:rFonts w:hint="eastAsia" w:ascii="宋体" w:hAnsi="宋体"/>
                <w:bCs/>
                <w:sz w:val="18"/>
                <w:szCs w:val="18"/>
              </w:rPr>
              <w:t>图像制式/声音制式：P</w:t>
            </w:r>
            <w:r>
              <w:rPr>
                <w:rFonts w:ascii="宋体" w:hAnsi="宋体"/>
                <w:bCs/>
                <w:sz w:val="18"/>
                <w:szCs w:val="18"/>
              </w:rPr>
              <w:t>AL</w:t>
            </w:r>
            <w:r>
              <w:rPr>
                <w:rFonts w:hint="eastAsia" w:ascii="宋体" w:hAnsi="宋体"/>
                <w:bCs/>
                <w:sz w:val="18"/>
                <w:szCs w:val="18"/>
              </w:rPr>
              <w:t>，</w:t>
            </w:r>
            <w:r>
              <w:rPr>
                <w:rFonts w:ascii="宋体" w:hAnsi="宋体"/>
                <w:bCs/>
                <w:sz w:val="18"/>
                <w:szCs w:val="18"/>
              </w:rPr>
              <w:t>NTSC,SECAM/DK,I;</w:t>
            </w:r>
            <w:r>
              <w:rPr>
                <w:rFonts w:hint="eastAsia" w:ascii="宋体" w:hAnsi="宋体"/>
                <w:bCs/>
                <w:sz w:val="18"/>
                <w:szCs w:val="18"/>
              </w:rPr>
              <w:t>视频格式：M</w:t>
            </w:r>
            <w:r>
              <w:rPr>
                <w:rFonts w:ascii="宋体" w:hAnsi="宋体"/>
                <w:bCs/>
                <w:sz w:val="18"/>
                <w:szCs w:val="18"/>
              </w:rPr>
              <w:t>PEG1,MPEG2,MPEG4,</w:t>
            </w:r>
            <w:r>
              <w:rPr>
                <w:rFonts w:hint="eastAsia" w:ascii="宋体" w:hAnsi="宋体"/>
                <w:bCs/>
                <w:sz w:val="18"/>
                <w:szCs w:val="18"/>
              </w:rPr>
              <w:t>H</w:t>
            </w:r>
            <w:r>
              <w:rPr>
                <w:rFonts w:ascii="宋体" w:hAnsi="宋体"/>
                <w:bCs/>
                <w:sz w:val="18"/>
                <w:szCs w:val="18"/>
              </w:rPr>
              <w:t>264,RM</w:t>
            </w:r>
            <w:r>
              <w:rPr>
                <w:rFonts w:hint="eastAsia" w:ascii="宋体" w:hAnsi="宋体"/>
                <w:bCs/>
                <w:sz w:val="18"/>
                <w:szCs w:val="18"/>
              </w:rPr>
              <w:t>，R</w:t>
            </w:r>
            <w:r>
              <w:rPr>
                <w:rFonts w:ascii="宋体" w:hAnsi="宋体"/>
                <w:bCs/>
                <w:sz w:val="18"/>
                <w:szCs w:val="18"/>
              </w:rPr>
              <w:t>MVB</w:t>
            </w:r>
            <w:r>
              <w:rPr>
                <w:rFonts w:hint="eastAsia" w:ascii="宋体" w:hAnsi="宋体"/>
                <w:bCs/>
                <w:sz w:val="18"/>
                <w:szCs w:val="18"/>
              </w:rPr>
              <w:t>，A</w:t>
            </w:r>
            <w:r>
              <w:rPr>
                <w:rFonts w:ascii="宋体" w:hAnsi="宋体"/>
                <w:bCs/>
                <w:sz w:val="18"/>
                <w:szCs w:val="18"/>
              </w:rPr>
              <w:t>VI</w:t>
            </w:r>
            <w:r>
              <w:rPr>
                <w:rFonts w:hint="eastAsia" w:ascii="宋体" w:hAnsi="宋体"/>
                <w:bCs/>
                <w:sz w:val="18"/>
                <w:szCs w:val="18"/>
              </w:rPr>
              <w:t>，M</w:t>
            </w:r>
            <w:r>
              <w:rPr>
                <w:rFonts w:ascii="宋体" w:hAnsi="宋体"/>
                <w:bCs/>
                <w:sz w:val="18"/>
                <w:szCs w:val="18"/>
              </w:rPr>
              <w:t>PEG,FLV(</w:t>
            </w:r>
            <w:r>
              <w:rPr>
                <w:rFonts w:hint="eastAsia" w:ascii="宋体" w:hAnsi="宋体"/>
                <w:bCs/>
                <w:sz w:val="18"/>
                <w:szCs w:val="18"/>
              </w:rPr>
              <w:t>支持1080</w:t>
            </w:r>
            <w:r>
              <w:rPr>
                <w:rFonts w:ascii="宋体" w:hAnsi="宋体"/>
                <w:bCs/>
                <w:sz w:val="18"/>
                <w:szCs w:val="18"/>
              </w:rPr>
              <w:t xml:space="preserve">P </w:t>
            </w:r>
            <w:r>
              <w:rPr>
                <w:rFonts w:hint="eastAsia" w:ascii="宋体" w:hAnsi="宋体"/>
                <w:bCs/>
                <w:sz w:val="18"/>
                <w:szCs w:val="18"/>
              </w:rPr>
              <w:t>高清解码)；音频格式：M</w:t>
            </w:r>
            <w:r>
              <w:rPr>
                <w:rFonts w:ascii="宋体" w:hAnsi="宋体"/>
                <w:bCs/>
                <w:sz w:val="18"/>
                <w:szCs w:val="18"/>
              </w:rPr>
              <w:t>P3,MP2,MP4,WAV;</w:t>
            </w:r>
          </w:p>
          <w:p>
            <w:pPr>
              <w:rPr>
                <w:rFonts w:ascii="宋体" w:hAnsi="宋体"/>
                <w:bCs/>
                <w:sz w:val="18"/>
                <w:szCs w:val="18"/>
              </w:rPr>
            </w:pPr>
            <w:r>
              <w:rPr>
                <w:rFonts w:hint="eastAsia" w:ascii="宋体" w:hAnsi="宋体"/>
                <w:bCs/>
                <w:sz w:val="18"/>
                <w:szCs w:val="18"/>
              </w:rPr>
              <w:t>1</w:t>
            </w:r>
            <w:r>
              <w:rPr>
                <w:rFonts w:ascii="宋体" w:hAnsi="宋体"/>
                <w:bCs/>
                <w:sz w:val="18"/>
                <w:szCs w:val="18"/>
              </w:rPr>
              <w:t>7、</w:t>
            </w:r>
            <w:r>
              <w:rPr>
                <w:rFonts w:hint="eastAsia" w:ascii="宋体" w:hAnsi="宋体"/>
                <w:bCs/>
                <w:sz w:val="18"/>
                <w:szCs w:val="18"/>
              </w:rPr>
              <w:t>整机外壳采用金属材质，外观清洁，色泽均匀、表面无明显凹凸痕、划伤、裂缝、变形、毛刺、霉斑和污染等缺陷。抗撞抗划抗腐蚀；表面无尖锐边缘或凸起，保证师生安全使用；三块板拼接后为一整体黑板，无明显拼缝，拼合为同一平面不影响教学书写应用。物理拼缝≤0.1，光学拼缝≤0.1，整屏平整度≤0.</w:t>
            </w:r>
            <w:r>
              <w:rPr>
                <w:rFonts w:ascii="宋体" w:hAnsi="宋体"/>
                <w:bCs/>
                <w:sz w:val="18"/>
                <w:szCs w:val="18"/>
              </w:rPr>
              <w:t>2</w:t>
            </w:r>
            <w:r>
              <w:rPr>
                <w:rFonts w:hint="eastAsia" w:ascii="宋体" w:hAnsi="宋体"/>
                <w:bCs/>
                <w:sz w:val="18"/>
                <w:szCs w:val="18"/>
              </w:rPr>
              <w:t>；</w:t>
            </w:r>
          </w:p>
          <w:p>
            <w:pPr>
              <w:rPr>
                <w:rFonts w:ascii="宋体" w:hAnsi="宋体"/>
                <w:bCs/>
                <w:sz w:val="18"/>
                <w:szCs w:val="18"/>
              </w:rPr>
            </w:pPr>
            <w:r>
              <w:rPr>
                <w:rFonts w:hint="eastAsia" w:ascii="宋体" w:hAnsi="宋体"/>
                <w:bCs/>
                <w:sz w:val="18"/>
                <w:szCs w:val="18"/>
              </w:rPr>
              <w:t>18</w:t>
            </w:r>
            <w:r>
              <w:rPr>
                <w:rFonts w:ascii="宋体" w:hAnsi="宋体"/>
                <w:bCs/>
                <w:sz w:val="18"/>
                <w:szCs w:val="18"/>
              </w:rPr>
              <w:t>、</w:t>
            </w:r>
            <w:r>
              <w:rPr>
                <w:rFonts w:hint="eastAsia" w:ascii="宋体" w:hAnsi="宋体"/>
                <w:bCs/>
                <w:sz w:val="18"/>
                <w:szCs w:val="18"/>
              </w:rPr>
              <w:t>内嵌</w:t>
            </w:r>
            <w:r>
              <w:rPr>
                <w:rFonts w:ascii="宋体" w:hAnsi="宋体"/>
                <w:bCs/>
                <w:sz w:val="18"/>
                <w:szCs w:val="18"/>
              </w:rPr>
              <w:t>2</w:t>
            </w:r>
            <w:r>
              <w:rPr>
                <w:rFonts w:hint="eastAsia" w:ascii="宋体" w:hAnsi="宋体"/>
                <w:bCs/>
                <w:sz w:val="18"/>
                <w:szCs w:val="18"/>
              </w:rPr>
              <w:t>组高品质喇叭，整体功率</w:t>
            </w:r>
            <w:r>
              <w:rPr>
                <w:rFonts w:ascii="宋体" w:hAnsi="宋体"/>
                <w:bCs/>
                <w:sz w:val="18"/>
                <w:szCs w:val="18"/>
              </w:rPr>
              <w:t>2</w:t>
            </w:r>
            <w:r>
              <w:rPr>
                <w:rFonts w:hint="eastAsia" w:ascii="宋体" w:hAnsi="宋体"/>
                <w:bCs/>
                <w:sz w:val="18"/>
                <w:szCs w:val="18"/>
              </w:rPr>
              <w:t>*15</w:t>
            </w:r>
            <w:r>
              <w:rPr>
                <w:rFonts w:ascii="宋体" w:hAnsi="宋体"/>
                <w:bCs/>
                <w:sz w:val="18"/>
                <w:szCs w:val="18"/>
              </w:rPr>
              <w:t>W</w:t>
            </w:r>
            <w:r>
              <w:rPr>
                <w:rFonts w:hint="eastAsia" w:ascii="宋体" w:hAnsi="宋体"/>
                <w:bCs/>
                <w:sz w:val="18"/>
                <w:szCs w:val="18"/>
              </w:rPr>
              <w:t xml:space="preserve">；  </w:t>
            </w:r>
          </w:p>
          <w:p>
            <w:pPr>
              <w:rPr>
                <w:rFonts w:ascii="宋体" w:hAnsi="宋体"/>
                <w:bCs/>
                <w:sz w:val="18"/>
                <w:szCs w:val="18"/>
              </w:rPr>
            </w:pPr>
            <w:r>
              <w:rPr>
                <w:rFonts w:hint="eastAsia" w:ascii="宋体" w:hAnsi="宋体"/>
                <w:bCs/>
                <w:sz w:val="18"/>
                <w:szCs w:val="18"/>
              </w:rPr>
              <w:t>19、★采用Windows和Android双系统架构并存设计，支持双系统应用。可通过App或者软件快捷方式实现1秒内多系统快速切换，最高可实现三操作系统，双安卓自由选择</w:t>
            </w:r>
          </w:p>
          <w:p>
            <w:pPr>
              <w:rPr>
                <w:rFonts w:ascii="宋体" w:hAnsi="宋体"/>
                <w:bCs/>
                <w:sz w:val="18"/>
                <w:szCs w:val="18"/>
              </w:rPr>
            </w:pPr>
            <w:r>
              <w:rPr>
                <w:rFonts w:hint="eastAsia" w:ascii="宋体" w:hAnsi="宋体"/>
                <w:bCs/>
                <w:sz w:val="18"/>
                <w:szCs w:val="18"/>
              </w:rPr>
              <w:t>20、★安卓系统最高可实现RAM4G，ROM128G。</w:t>
            </w:r>
          </w:p>
          <w:p>
            <w:pPr>
              <w:rPr>
                <w:rFonts w:ascii="宋体" w:hAnsi="宋体"/>
                <w:bCs/>
                <w:sz w:val="18"/>
                <w:szCs w:val="18"/>
              </w:rPr>
            </w:pPr>
            <w:r>
              <w:rPr>
                <w:rFonts w:hint="eastAsia" w:ascii="宋体" w:hAnsi="宋体"/>
                <w:bCs/>
                <w:sz w:val="18"/>
                <w:szCs w:val="18"/>
              </w:rPr>
              <w:t>21</w:t>
            </w:r>
            <w:r>
              <w:rPr>
                <w:rFonts w:ascii="宋体" w:hAnsi="宋体"/>
                <w:bCs/>
                <w:sz w:val="18"/>
                <w:szCs w:val="18"/>
              </w:rPr>
              <w:t>、</w:t>
            </w:r>
            <w:r>
              <w:rPr>
                <w:rFonts w:hint="eastAsia" w:ascii="宋体" w:hAnsi="宋体"/>
                <w:bCs/>
                <w:sz w:val="18"/>
                <w:szCs w:val="18"/>
              </w:rPr>
              <w:t xml:space="preserve">整机亮度均匀性&gt;75%； </w:t>
            </w:r>
          </w:p>
          <w:p>
            <w:pPr>
              <w:rPr>
                <w:rFonts w:ascii="宋体" w:hAnsi="宋体"/>
                <w:bCs/>
                <w:sz w:val="18"/>
                <w:szCs w:val="18"/>
              </w:rPr>
            </w:pPr>
            <w:r>
              <w:rPr>
                <w:rFonts w:hint="eastAsia" w:ascii="宋体" w:hAnsi="宋体"/>
                <w:bCs/>
                <w:sz w:val="18"/>
                <w:szCs w:val="18"/>
              </w:rPr>
              <w:t>22</w:t>
            </w:r>
            <w:r>
              <w:rPr>
                <w:rFonts w:ascii="宋体" w:hAnsi="宋体"/>
                <w:bCs/>
                <w:sz w:val="18"/>
                <w:szCs w:val="18"/>
              </w:rPr>
              <w:t>、</w:t>
            </w:r>
            <w:r>
              <w:rPr>
                <w:rFonts w:hint="eastAsia" w:ascii="宋体" w:hAnsi="宋体"/>
                <w:bCs/>
                <w:sz w:val="18"/>
                <w:szCs w:val="18"/>
              </w:rPr>
              <w:t>黑板钢化玻璃采用5</w:t>
            </w:r>
            <w:r>
              <w:rPr>
                <w:rFonts w:ascii="宋体" w:hAnsi="宋体"/>
                <w:bCs/>
                <w:sz w:val="18"/>
                <w:szCs w:val="18"/>
              </w:rPr>
              <w:t>mm</w:t>
            </w:r>
            <w:r>
              <w:rPr>
                <w:rFonts w:hint="eastAsia" w:ascii="宋体" w:hAnsi="宋体"/>
                <w:bCs/>
                <w:sz w:val="18"/>
                <w:szCs w:val="18"/>
              </w:rPr>
              <w:t>厚度防爆全钢化玻璃屏，硬度不低于7H，可见光透射比≥89%，雾度范围2%-</w:t>
            </w:r>
            <w:r>
              <w:rPr>
                <w:rFonts w:ascii="宋体" w:hAnsi="宋体"/>
                <w:bCs/>
                <w:sz w:val="18"/>
                <w:szCs w:val="18"/>
              </w:rPr>
              <w:t>13</w:t>
            </w:r>
            <w:r>
              <w:rPr>
                <w:rFonts w:hint="eastAsia" w:ascii="宋体" w:hAnsi="宋体"/>
                <w:bCs/>
                <w:sz w:val="18"/>
                <w:szCs w:val="18"/>
              </w:rPr>
              <w:t>%;表面硬度能承受</w:t>
            </w:r>
            <w:r>
              <w:rPr>
                <w:rFonts w:ascii="宋体" w:hAnsi="宋体"/>
                <w:bCs/>
                <w:sz w:val="18"/>
                <w:szCs w:val="18"/>
              </w:rPr>
              <w:t>1500g重的钢球2M高自由落下，阻燃材质等级为 HB级</w:t>
            </w:r>
          </w:p>
          <w:p>
            <w:pPr>
              <w:rPr>
                <w:rFonts w:ascii="宋体" w:hAnsi="宋体"/>
                <w:bCs/>
                <w:sz w:val="18"/>
                <w:szCs w:val="18"/>
              </w:rPr>
            </w:pPr>
            <w:r>
              <w:rPr>
                <w:rFonts w:hint="eastAsia" w:ascii="宋体" w:hAnsi="宋体"/>
                <w:bCs/>
                <w:sz w:val="18"/>
                <w:szCs w:val="18"/>
              </w:rPr>
              <w:t>2</w:t>
            </w:r>
            <w:r>
              <w:rPr>
                <w:rFonts w:ascii="宋体" w:hAnsi="宋体"/>
                <w:bCs/>
                <w:sz w:val="18"/>
                <w:szCs w:val="18"/>
              </w:rPr>
              <w:t>3、</w:t>
            </w:r>
            <w:r>
              <w:rPr>
                <w:rFonts w:hint="eastAsia" w:ascii="宋体" w:hAnsi="宋体"/>
                <w:bCs/>
                <w:sz w:val="18"/>
                <w:szCs w:val="18"/>
              </w:rPr>
              <w:t>防浪涌，防突波，对交流电源端口，应分别</w:t>
            </w:r>
            <w:r>
              <w:rPr>
                <w:rFonts w:ascii="宋体" w:hAnsi="宋体"/>
                <w:bCs/>
                <w:sz w:val="18"/>
                <w:szCs w:val="18"/>
              </w:rPr>
              <w:t>0°</w:t>
            </w:r>
            <w:r>
              <w:rPr>
                <w:rFonts w:hint="eastAsia" w:ascii="宋体" w:hAnsi="宋体"/>
                <w:bCs/>
                <w:sz w:val="18"/>
                <w:szCs w:val="18"/>
              </w:rPr>
              <w:t>90°180°270°相位施加正负极各五次的浪涌脉冲，连续脉冲间的时间间隔不超过60秒。试验过程中和试验完成后，样机各部分能正常工作。</w:t>
            </w:r>
            <w:r>
              <w:rPr>
                <w:rFonts w:ascii="宋体" w:hAnsi="宋体"/>
                <w:bCs/>
                <w:sz w:val="18"/>
                <w:szCs w:val="18"/>
              </w:rPr>
              <w:t>6</w:t>
            </w:r>
            <w:r>
              <w:rPr>
                <w:rFonts w:hint="eastAsia" w:ascii="宋体" w:hAnsi="宋体"/>
                <w:bCs/>
                <w:sz w:val="18"/>
                <w:szCs w:val="18"/>
              </w:rPr>
              <w:t>.6</w:t>
            </w:r>
            <w:r>
              <w:rPr>
                <w:rFonts w:ascii="宋体" w:hAnsi="宋体"/>
                <w:bCs/>
                <w:sz w:val="18"/>
                <w:szCs w:val="18"/>
              </w:rPr>
              <w:t>KV</w:t>
            </w:r>
            <w:r>
              <w:rPr>
                <w:rFonts w:hint="eastAsia" w:ascii="宋体" w:hAnsi="宋体"/>
                <w:bCs/>
                <w:sz w:val="18"/>
                <w:szCs w:val="18"/>
              </w:rPr>
              <w:t>电压冲击后仍能正常工作，防雷击4级标准。</w:t>
            </w:r>
          </w:p>
          <w:p>
            <w:pPr>
              <w:rPr>
                <w:rFonts w:ascii="宋体" w:hAnsi="宋体"/>
                <w:bCs/>
                <w:sz w:val="18"/>
                <w:szCs w:val="18"/>
              </w:rPr>
            </w:pPr>
            <w:r>
              <w:rPr>
                <w:rFonts w:hint="eastAsia" w:ascii="宋体" w:hAnsi="宋体"/>
                <w:bCs/>
                <w:sz w:val="18"/>
                <w:szCs w:val="18"/>
              </w:rPr>
              <w:t>24</w:t>
            </w:r>
            <w:r>
              <w:rPr>
                <w:rFonts w:ascii="宋体" w:hAnsi="宋体"/>
                <w:bCs/>
                <w:sz w:val="18"/>
                <w:szCs w:val="18"/>
              </w:rPr>
              <w:t>、</w:t>
            </w:r>
            <w:r>
              <w:rPr>
                <w:rFonts w:hint="eastAsia" w:ascii="宋体" w:hAnsi="宋体"/>
                <w:bCs/>
                <w:sz w:val="18"/>
                <w:szCs w:val="18"/>
              </w:rPr>
              <w:t>防辐射功能，被测机在80cm高的木桌上，被测样机能在频率范围在80MHz～1000MHz、辐射等级为3V/m的水平和垂直极化方向的电磁场辐射环境下工作， 试验过程中和试验完成后均能正常工作。测试过程中所有线缆采用一般线缆，所有端口均需进行验证。</w:t>
            </w:r>
          </w:p>
          <w:p>
            <w:pPr>
              <w:rPr>
                <w:rFonts w:ascii="宋体" w:hAnsi="宋体"/>
                <w:bCs/>
                <w:sz w:val="18"/>
                <w:szCs w:val="18"/>
              </w:rPr>
            </w:pPr>
            <w:r>
              <w:rPr>
                <w:rFonts w:hint="eastAsia" w:ascii="宋体" w:hAnsi="宋体"/>
                <w:bCs/>
                <w:sz w:val="18"/>
                <w:szCs w:val="18"/>
              </w:rPr>
              <w:t>25</w:t>
            </w:r>
            <w:r>
              <w:rPr>
                <w:rFonts w:ascii="宋体" w:hAnsi="宋体"/>
                <w:bCs/>
                <w:sz w:val="18"/>
                <w:szCs w:val="18"/>
              </w:rPr>
              <w:t>、</w:t>
            </w:r>
            <w:r>
              <w:rPr>
                <w:rFonts w:hint="eastAsia" w:ascii="宋体" w:hAnsi="宋体"/>
                <w:bCs/>
                <w:sz w:val="18"/>
                <w:szCs w:val="18"/>
              </w:rPr>
              <w:t>防静电干扰：被测机放置在80cm高的带金属板的桌面上，在液晶屏表面、液晶屏和面框接触部分，无法进行接触放电的孔和缝等进行空气放电防静电试验，放电强度：±8kV,</w:t>
            </w:r>
            <w:r>
              <w:rPr>
                <w:rFonts w:ascii="宋体" w:hAnsi="宋体"/>
                <w:bCs/>
                <w:sz w:val="18"/>
                <w:szCs w:val="18"/>
              </w:rPr>
              <w:t xml:space="preserve"> </w:t>
            </w:r>
            <w:r>
              <w:rPr>
                <w:rFonts w:hint="eastAsia" w:ascii="宋体" w:hAnsi="宋体"/>
                <w:bCs/>
                <w:sz w:val="18"/>
                <w:szCs w:val="18"/>
              </w:rPr>
              <w:t>试验过程中和试验完成后，样机各部分能正常工作。被测机放置在80cm高的带金属板的桌面上，在导电表面和金属耦合板等部分如AV,VGA端口等地方，进行接触放电防静电试验，放电强度：±4kV,</w:t>
            </w:r>
            <w:r>
              <w:rPr>
                <w:rFonts w:ascii="宋体" w:hAnsi="宋体"/>
                <w:bCs/>
                <w:sz w:val="18"/>
                <w:szCs w:val="18"/>
              </w:rPr>
              <w:t xml:space="preserve"> </w:t>
            </w:r>
            <w:r>
              <w:rPr>
                <w:rFonts w:hint="eastAsia" w:ascii="宋体" w:hAnsi="宋体"/>
                <w:bCs/>
                <w:sz w:val="18"/>
                <w:szCs w:val="18"/>
              </w:rPr>
              <w:t>试验过程中和试验完成后，样机各部分能正常工作。</w:t>
            </w:r>
          </w:p>
          <w:p>
            <w:pPr>
              <w:rPr>
                <w:rFonts w:ascii="宋体" w:hAnsi="宋体"/>
                <w:bCs/>
                <w:sz w:val="18"/>
                <w:szCs w:val="18"/>
              </w:rPr>
            </w:pPr>
            <w:r>
              <w:rPr>
                <w:rFonts w:hint="eastAsia" w:ascii="宋体" w:hAnsi="宋体"/>
                <w:bCs/>
                <w:sz w:val="18"/>
                <w:szCs w:val="18"/>
              </w:rPr>
              <w:t>26</w:t>
            </w:r>
            <w:r>
              <w:rPr>
                <w:rFonts w:ascii="宋体" w:hAnsi="宋体"/>
                <w:bCs/>
                <w:sz w:val="18"/>
                <w:szCs w:val="18"/>
              </w:rPr>
              <w:t>、</w:t>
            </w:r>
            <w:r>
              <w:rPr>
                <w:rFonts w:hint="eastAsia" w:ascii="宋体" w:hAnsi="宋体"/>
                <w:bCs/>
                <w:sz w:val="18"/>
                <w:szCs w:val="18"/>
              </w:rPr>
              <w:t>防盐雾腐蚀：在温度35±2℃的条件下，连续喷雾72h，所喷NaCl溶液的浓度为5%，沉降量1.4ml/h，溶液PH值为6.5。试验完成后，样机各部件功能正常，样机能正常开机启动并工作。</w:t>
            </w:r>
          </w:p>
          <w:p>
            <w:pPr>
              <w:rPr>
                <w:rFonts w:ascii="宋体" w:hAnsi="宋体"/>
                <w:bCs/>
                <w:sz w:val="18"/>
                <w:szCs w:val="18"/>
              </w:rPr>
            </w:pPr>
            <w:r>
              <w:rPr>
                <w:rFonts w:ascii="宋体" w:hAnsi="宋体"/>
                <w:bCs/>
                <w:sz w:val="18"/>
                <w:szCs w:val="18"/>
              </w:rPr>
              <w:t>2</w:t>
            </w:r>
            <w:r>
              <w:rPr>
                <w:rFonts w:hint="eastAsia" w:ascii="宋体" w:hAnsi="宋体"/>
                <w:bCs/>
                <w:sz w:val="18"/>
                <w:szCs w:val="18"/>
              </w:rPr>
              <w:t>7</w:t>
            </w:r>
            <w:r>
              <w:rPr>
                <w:rFonts w:ascii="宋体" w:hAnsi="宋体"/>
                <w:bCs/>
                <w:sz w:val="18"/>
                <w:szCs w:val="18"/>
              </w:rPr>
              <w:t>、</w:t>
            </w:r>
            <w:r>
              <w:rPr>
                <w:rFonts w:hint="eastAsia" w:ascii="宋体" w:hAnsi="宋体"/>
                <w:bCs/>
                <w:sz w:val="18"/>
                <w:szCs w:val="18"/>
              </w:rPr>
              <w:t>防火性试验:电气元器件和机械零件符合GB8898中20.1条的规定;电气元器件符合GB8898中20.1.4条的要求; PCB上电压在50V和400V交流峰值或直流之间;可得到功率&gt;15W, 其基材符合GB/T11020的V-0级或更优要求,采用防火防护外壳除外; PCB上连接点电压超过交流峰值或直流, 功率&gt;15W,其基材符合GB/T11020的V-0级要求; GB8898中20.1.1,20.1.2和20.1.3未包括的元件和部件, 距潜在引燃源的距离不超过表21规定值时, 符合表21的可燃性等级（(除防火防护外壳外)）;被测机外壳应符合GB8898中第20.2条的规定</w:t>
            </w:r>
          </w:p>
          <w:p>
            <w:pPr>
              <w:rPr>
                <w:rFonts w:ascii="宋体" w:hAnsi="宋体"/>
                <w:bCs/>
                <w:sz w:val="18"/>
                <w:szCs w:val="18"/>
              </w:rPr>
            </w:pPr>
            <w:r>
              <w:rPr>
                <w:rFonts w:ascii="宋体" w:hAnsi="宋体"/>
                <w:bCs/>
                <w:sz w:val="18"/>
                <w:szCs w:val="18"/>
              </w:rPr>
              <w:t>2</w:t>
            </w:r>
            <w:r>
              <w:rPr>
                <w:rFonts w:hint="eastAsia" w:ascii="宋体" w:hAnsi="宋体"/>
                <w:bCs/>
                <w:sz w:val="18"/>
                <w:szCs w:val="18"/>
              </w:rPr>
              <w:t>8</w:t>
            </w:r>
            <w:r>
              <w:rPr>
                <w:rFonts w:ascii="宋体" w:hAnsi="宋体"/>
                <w:bCs/>
                <w:sz w:val="18"/>
                <w:szCs w:val="18"/>
              </w:rPr>
              <w:t>、</w:t>
            </w:r>
            <w:r>
              <w:rPr>
                <w:rFonts w:hint="eastAsia" w:ascii="宋体" w:hAnsi="宋体"/>
                <w:bCs/>
                <w:sz w:val="18"/>
                <w:szCs w:val="18"/>
              </w:rPr>
              <w:t>内嵌亮度、色彩数据收集、对比分析功能，自动调整亮度、色彩一致性，降低屏幕间亮度、色彩偏差。长时间使用无需借助其他控制设备调整。</w:t>
            </w:r>
          </w:p>
          <w:p>
            <w:pPr>
              <w:rPr>
                <w:rFonts w:ascii="宋体" w:hAnsi="宋体"/>
                <w:bCs/>
                <w:sz w:val="18"/>
                <w:szCs w:val="18"/>
              </w:rPr>
            </w:pPr>
            <w:r>
              <w:rPr>
                <w:rFonts w:hint="eastAsia" w:ascii="宋体" w:hAnsi="宋体"/>
                <w:bCs/>
                <w:sz w:val="18"/>
                <w:szCs w:val="18"/>
              </w:rPr>
              <w:t>29、产品支持多种模式控制黑板：一键切换输入源,无需遥控器,隐形按键切换输入源。五指息屏，十指唤醒。敲击呼出菜单，通过手势增减亮度，调整音量</w:t>
            </w:r>
          </w:p>
          <w:p>
            <w:pPr>
              <w:rPr>
                <w:rFonts w:ascii="宋体" w:hAnsi="宋体"/>
                <w:bCs/>
                <w:sz w:val="18"/>
                <w:szCs w:val="18"/>
              </w:rPr>
            </w:pPr>
            <w:r>
              <w:rPr>
                <w:rFonts w:hint="eastAsia" w:ascii="宋体" w:hAnsi="宋体"/>
                <w:bCs/>
                <w:sz w:val="18"/>
                <w:szCs w:val="18"/>
              </w:rPr>
              <w:t>30、产品所有接口不能外露，隐藏至互动黑板内部，更有效的做到保证师生安全，及防尘，防止外界因素的破坏</w:t>
            </w:r>
          </w:p>
          <w:p>
            <w:pPr>
              <w:rPr>
                <w:rFonts w:ascii="宋体" w:hAnsi="宋体"/>
                <w:bCs/>
                <w:sz w:val="18"/>
                <w:szCs w:val="18"/>
              </w:rPr>
            </w:pPr>
            <w:r>
              <w:rPr>
                <w:rFonts w:hint="eastAsia" w:ascii="宋体" w:hAnsi="宋体"/>
                <w:bCs/>
                <w:sz w:val="18"/>
                <w:szCs w:val="18"/>
              </w:rPr>
              <w:t>31</w:t>
            </w:r>
            <w:r>
              <w:rPr>
                <w:rFonts w:ascii="宋体" w:hAnsi="宋体"/>
                <w:bCs/>
                <w:sz w:val="18"/>
                <w:szCs w:val="18"/>
              </w:rPr>
              <w:t>、</w:t>
            </w:r>
            <w:r>
              <w:rPr>
                <w:rFonts w:hint="eastAsia" w:ascii="宋体" w:hAnsi="宋体"/>
                <w:bCs/>
                <w:sz w:val="18"/>
                <w:szCs w:val="18"/>
              </w:rPr>
              <w:t>产品表面形成表面防眩光技术，无法在表面形成反射影像，不影响可视画面。表面采用耐书写技术，采用白板笔、无尘粉笔书写对黑板表面永久性无损伤。</w:t>
            </w:r>
          </w:p>
          <w:p>
            <w:pPr>
              <w:rPr>
                <w:rFonts w:ascii="宋体" w:hAnsi="宋体"/>
                <w:bCs/>
                <w:sz w:val="18"/>
                <w:szCs w:val="18"/>
              </w:rPr>
            </w:pPr>
            <w:r>
              <w:rPr>
                <w:rFonts w:hint="eastAsia" w:ascii="宋体" w:hAnsi="宋体"/>
                <w:bCs/>
                <w:sz w:val="18"/>
                <w:szCs w:val="18"/>
              </w:rPr>
              <w:t>32.智慧互动云板可通过U盘加密功能，实现权限管理</w:t>
            </w:r>
          </w:p>
          <w:p>
            <w:pPr>
              <w:rPr>
                <w:rFonts w:ascii="宋体" w:hAnsi="宋体"/>
                <w:bCs/>
                <w:sz w:val="18"/>
                <w:szCs w:val="18"/>
              </w:rPr>
            </w:pPr>
            <w:r>
              <w:rPr>
                <w:rFonts w:hint="eastAsia" w:ascii="宋体" w:hAnsi="宋体"/>
                <w:bCs/>
                <w:sz w:val="18"/>
                <w:szCs w:val="18"/>
              </w:rPr>
              <w:t>33.蓝光会对人眼视网膜造成伤害，支持一键除蓝光，隐形按键，一键清除蓝光进入护眼模式，更有效的保护老师及学生的视力</w:t>
            </w:r>
          </w:p>
          <w:p>
            <w:pPr>
              <w:rPr>
                <w:rFonts w:ascii="宋体" w:hAnsi="宋体"/>
                <w:bCs/>
                <w:sz w:val="18"/>
                <w:szCs w:val="18"/>
              </w:rPr>
            </w:pPr>
            <w:r>
              <w:rPr>
                <w:rFonts w:hint="eastAsia" w:ascii="宋体" w:hAnsi="宋体"/>
                <w:bCs/>
                <w:sz w:val="18"/>
                <w:szCs w:val="18"/>
              </w:rPr>
              <w:t>34.根据环境亮度自动匹配，切换到对应的亮度模式，并可存储亮度模式：明亮模式、正常模式、节能模式</w:t>
            </w:r>
          </w:p>
          <w:p>
            <w:pPr>
              <w:rPr>
                <w:rFonts w:ascii="宋体" w:hAnsi="宋体"/>
                <w:bCs/>
                <w:sz w:val="18"/>
                <w:szCs w:val="18"/>
              </w:rPr>
            </w:pPr>
            <w:r>
              <w:rPr>
                <w:rFonts w:hint="eastAsia" w:ascii="宋体" w:hAnsi="宋体"/>
                <w:bCs/>
                <w:sz w:val="18"/>
                <w:szCs w:val="18"/>
              </w:rPr>
              <w:t>35.产品支持自动感光功能,根据外界光源强弱,无需手动操作，自动调整屏幕亮度，每间教室在不同时段，外界光源强弱不同，通过自动感光自动调整屏幕亮度，保障屏幕的清晰度。</w:t>
            </w:r>
          </w:p>
        </w:tc>
        <w:tc>
          <w:tcPr>
            <w:tcW w:w="790" w:type="dxa"/>
            <w:tcBorders>
              <w:tl2br w:val="nil"/>
              <w:tr2bl w:val="nil"/>
            </w:tcBorders>
            <w:vAlign w:val="center"/>
          </w:tcPr>
          <w:p>
            <w:pPr>
              <w:autoSpaceDE w:val="0"/>
              <w:autoSpaceDN w:val="0"/>
              <w:adjustRightInd w:val="0"/>
              <w:jc w:val="center"/>
              <w:rPr>
                <w:rFonts w:ascii="宋体" w:hAnsi="宋体"/>
                <w:bCs/>
                <w:sz w:val="18"/>
                <w:szCs w:val="18"/>
              </w:rPr>
            </w:pPr>
            <w:r>
              <w:rPr>
                <w:rFonts w:hint="eastAsia" w:ascii="宋体" w:hAnsi="宋体"/>
                <w:bCs/>
                <w:sz w:val="18"/>
                <w:szCs w:val="18"/>
              </w:rPr>
              <w:t>1</w:t>
            </w:r>
          </w:p>
        </w:tc>
        <w:tc>
          <w:tcPr>
            <w:tcW w:w="718" w:type="dxa"/>
            <w:tcBorders>
              <w:tl2br w:val="nil"/>
              <w:tr2bl w:val="nil"/>
            </w:tcBorders>
            <w:vAlign w:val="center"/>
          </w:tcPr>
          <w:p>
            <w:pPr>
              <w:autoSpaceDE w:val="0"/>
              <w:autoSpaceDN w:val="0"/>
              <w:adjustRightInd w:val="0"/>
              <w:jc w:val="center"/>
              <w:rPr>
                <w:rFonts w:ascii="宋体" w:hAnsi="宋体"/>
                <w:bCs/>
                <w:sz w:val="18"/>
                <w:szCs w:val="18"/>
              </w:rPr>
            </w:pPr>
            <w:r>
              <w:rPr>
                <w:rFonts w:hint="eastAsia" w:ascii="宋体" w:hAnsi="宋体"/>
                <w:bCs/>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8</w:t>
            </w:r>
          </w:p>
        </w:tc>
        <w:tc>
          <w:tcPr>
            <w:tcW w:w="915" w:type="dxa"/>
            <w:tcBorders>
              <w:tl2br w:val="nil"/>
              <w:tr2bl w:val="nil"/>
            </w:tcBorders>
            <w:vAlign w:val="center"/>
          </w:tcPr>
          <w:p>
            <w:pPr>
              <w:autoSpaceDE w:val="0"/>
              <w:autoSpaceDN w:val="0"/>
              <w:adjustRightInd w:val="0"/>
              <w:jc w:val="center"/>
              <w:rPr>
                <w:rFonts w:ascii="宋体" w:hAnsi="宋体"/>
                <w:b/>
                <w:bCs/>
                <w:sz w:val="18"/>
                <w:szCs w:val="18"/>
              </w:rPr>
            </w:pPr>
            <w:r>
              <w:rPr>
                <w:rFonts w:hint="eastAsia" w:ascii="宋体" w:hAnsi="宋体"/>
                <w:b/>
                <w:bCs/>
                <w:sz w:val="18"/>
                <w:szCs w:val="18"/>
              </w:rPr>
              <w:t>服务器</w:t>
            </w:r>
          </w:p>
        </w:tc>
        <w:tc>
          <w:tcPr>
            <w:tcW w:w="7087" w:type="dxa"/>
            <w:gridSpan w:val="2"/>
            <w:tcBorders>
              <w:tl2br w:val="nil"/>
              <w:tr2bl w:val="nil"/>
            </w:tcBorders>
            <w:vAlign w:val="center"/>
          </w:tcPr>
          <w:p>
            <w:pPr>
              <w:rPr>
                <w:rFonts w:ascii="宋体" w:hAnsi="宋体"/>
                <w:bCs/>
                <w:sz w:val="18"/>
                <w:szCs w:val="18"/>
              </w:rPr>
            </w:pPr>
            <w:r>
              <w:rPr>
                <w:rFonts w:hint="eastAsia" w:ascii="宋体" w:hAnsi="宋体"/>
                <w:bCs/>
                <w:sz w:val="18"/>
                <w:szCs w:val="18"/>
              </w:rPr>
              <w:t>CPU配置不低于2颗Intel Xeon E5-2620 V4处理器，单颗CPU不低于8核心，主频不低于2.1GHz，20MB缓存；内存插槽数≥20个，配置内存≥96GB DDR4，内存要求支持ECC，速率不低于2133MHz，支持最大内存扩展≥640GB；可插拔硬盘槽位≥8个，同时兼容2.5英寸和3.5英寸尺寸硬盘，本次要求配置SSD容量≥1*240GB，配置机械硬盘≥1TB SATA3.0企业级硬盘</w:t>
            </w:r>
          </w:p>
        </w:tc>
        <w:tc>
          <w:tcPr>
            <w:tcW w:w="790" w:type="dxa"/>
            <w:tcBorders>
              <w:tl2br w:val="nil"/>
              <w:tr2bl w:val="nil"/>
            </w:tcBorders>
            <w:vAlign w:val="center"/>
          </w:tcPr>
          <w:p>
            <w:pPr>
              <w:autoSpaceDE w:val="0"/>
              <w:autoSpaceDN w:val="0"/>
              <w:adjustRightInd w:val="0"/>
              <w:jc w:val="center"/>
              <w:rPr>
                <w:rFonts w:ascii="宋体" w:hAnsi="宋体"/>
                <w:bCs/>
                <w:sz w:val="18"/>
                <w:szCs w:val="18"/>
              </w:rPr>
            </w:pPr>
            <w:r>
              <w:rPr>
                <w:rFonts w:hint="eastAsia" w:ascii="宋体" w:hAnsi="宋体"/>
                <w:bCs/>
                <w:sz w:val="18"/>
                <w:szCs w:val="18"/>
              </w:rPr>
              <w:t>2</w:t>
            </w:r>
          </w:p>
        </w:tc>
        <w:tc>
          <w:tcPr>
            <w:tcW w:w="718" w:type="dxa"/>
            <w:tcBorders>
              <w:tl2br w:val="nil"/>
              <w:tr2bl w:val="nil"/>
            </w:tcBorders>
            <w:vAlign w:val="center"/>
          </w:tcPr>
          <w:p>
            <w:pPr>
              <w:autoSpaceDE w:val="0"/>
              <w:autoSpaceDN w:val="0"/>
              <w:adjustRightInd w:val="0"/>
              <w:jc w:val="center"/>
              <w:rPr>
                <w:rFonts w:ascii="宋体" w:hAnsi="宋体"/>
                <w:bCs/>
                <w:sz w:val="18"/>
                <w:szCs w:val="18"/>
              </w:rPr>
            </w:pPr>
            <w:r>
              <w:rPr>
                <w:rFonts w:hint="eastAsia" w:ascii="宋体" w:hAnsi="宋体"/>
                <w:bCs/>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9</w:t>
            </w:r>
          </w:p>
        </w:tc>
        <w:tc>
          <w:tcPr>
            <w:tcW w:w="915" w:type="dxa"/>
            <w:tcBorders>
              <w:tl2br w:val="nil"/>
              <w:tr2bl w:val="nil"/>
            </w:tcBorders>
            <w:vAlign w:val="center"/>
          </w:tcPr>
          <w:p>
            <w:pPr>
              <w:autoSpaceDE w:val="0"/>
              <w:autoSpaceDN w:val="0"/>
              <w:adjustRightInd w:val="0"/>
              <w:jc w:val="center"/>
              <w:rPr>
                <w:rFonts w:ascii="宋体" w:hAnsi="宋体"/>
                <w:b/>
                <w:bCs/>
                <w:sz w:val="18"/>
                <w:szCs w:val="18"/>
              </w:rPr>
            </w:pPr>
            <w:r>
              <w:rPr>
                <w:rFonts w:hint="eastAsia" w:ascii="宋体" w:hAnsi="宋体"/>
                <w:b/>
                <w:bCs/>
                <w:sz w:val="18"/>
                <w:szCs w:val="18"/>
              </w:rPr>
              <w:t>机柜</w:t>
            </w:r>
          </w:p>
        </w:tc>
        <w:tc>
          <w:tcPr>
            <w:tcW w:w="7087" w:type="dxa"/>
            <w:gridSpan w:val="2"/>
            <w:tcBorders>
              <w:tl2br w:val="nil"/>
              <w:tr2bl w:val="nil"/>
            </w:tcBorders>
            <w:vAlign w:val="center"/>
          </w:tcPr>
          <w:p>
            <w:pPr>
              <w:rPr>
                <w:rFonts w:ascii="宋体" w:hAnsi="宋体"/>
                <w:bCs/>
                <w:sz w:val="18"/>
                <w:szCs w:val="18"/>
              </w:rPr>
            </w:pPr>
            <w:r>
              <w:rPr>
                <w:rFonts w:hint="eastAsia" w:ascii="宋体" w:hAnsi="宋体"/>
                <w:bCs/>
                <w:sz w:val="18"/>
                <w:szCs w:val="18"/>
              </w:rPr>
              <w:t>42U标准机柜</w:t>
            </w:r>
          </w:p>
        </w:tc>
        <w:tc>
          <w:tcPr>
            <w:tcW w:w="790" w:type="dxa"/>
            <w:tcBorders>
              <w:tl2br w:val="nil"/>
              <w:tr2bl w:val="nil"/>
            </w:tcBorders>
            <w:vAlign w:val="center"/>
          </w:tcPr>
          <w:p>
            <w:pPr>
              <w:autoSpaceDE w:val="0"/>
              <w:autoSpaceDN w:val="0"/>
              <w:adjustRightInd w:val="0"/>
              <w:jc w:val="center"/>
              <w:rPr>
                <w:rFonts w:ascii="宋体" w:hAnsi="宋体"/>
                <w:bCs/>
                <w:sz w:val="18"/>
                <w:szCs w:val="18"/>
              </w:rPr>
            </w:pPr>
            <w:r>
              <w:rPr>
                <w:rFonts w:hint="eastAsia" w:ascii="宋体" w:hAnsi="宋体"/>
                <w:bCs/>
                <w:sz w:val="18"/>
                <w:szCs w:val="18"/>
              </w:rPr>
              <w:t>1</w:t>
            </w:r>
          </w:p>
        </w:tc>
        <w:tc>
          <w:tcPr>
            <w:tcW w:w="718" w:type="dxa"/>
            <w:tcBorders>
              <w:tl2br w:val="nil"/>
              <w:tr2bl w:val="nil"/>
            </w:tcBorders>
            <w:vAlign w:val="center"/>
          </w:tcPr>
          <w:p>
            <w:pPr>
              <w:autoSpaceDE w:val="0"/>
              <w:autoSpaceDN w:val="0"/>
              <w:adjustRightInd w:val="0"/>
              <w:jc w:val="center"/>
              <w:rPr>
                <w:rFonts w:ascii="宋体" w:hAnsi="宋体"/>
                <w:bCs/>
                <w:sz w:val="18"/>
                <w:szCs w:val="18"/>
              </w:rPr>
            </w:pPr>
            <w:r>
              <w:rPr>
                <w:rFonts w:hint="eastAsia" w:ascii="宋体" w:hAnsi="宋体"/>
                <w:bCs/>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10</w:t>
            </w:r>
          </w:p>
        </w:tc>
        <w:tc>
          <w:tcPr>
            <w:tcW w:w="915" w:type="dxa"/>
            <w:tcBorders>
              <w:tl2br w:val="nil"/>
              <w:tr2bl w:val="nil"/>
            </w:tcBorders>
            <w:vAlign w:val="center"/>
          </w:tcPr>
          <w:p>
            <w:pPr>
              <w:autoSpaceDE w:val="0"/>
              <w:autoSpaceDN w:val="0"/>
              <w:adjustRightInd w:val="0"/>
              <w:jc w:val="center"/>
              <w:rPr>
                <w:rFonts w:ascii="宋体" w:hAnsi="宋体"/>
                <w:b/>
                <w:bCs/>
                <w:sz w:val="18"/>
                <w:szCs w:val="18"/>
              </w:rPr>
            </w:pPr>
            <w:r>
              <w:rPr>
                <w:rFonts w:hint="eastAsia" w:ascii="宋体" w:hAnsi="宋体"/>
                <w:b/>
                <w:bCs/>
                <w:sz w:val="18"/>
                <w:szCs w:val="18"/>
              </w:rPr>
              <w:t>茶几</w:t>
            </w:r>
          </w:p>
        </w:tc>
        <w:tc>
          <w:tcPr>
            <w:tcW w:w="7087" w:type="dxa"/>
            <w:gridSpan w:val="2"/>
            <w:tcBorders>
              <w:tl2br w:val="nil"/>
              <w:tr2bl w:val="nil"/>
            </w:tcBorders>
            <w:vAlign w:val="center"/>
          </w:tcPr>
          <w:p>
            <w:pPr>
              <w:rPr>
                <w:rFonts w:ascii="宋体" w:hAnsi="宋体"/>
                <w:bCs/>
                <w:sz w:val="18"/>
                <w:szCs w:val="18"/>
              </w:rPr>
            </w:pPr>
            <w:r>
              <w:rPr>
                <w:rFonts w:hint="eastAsia" w:ascii="宋体" w:hAnsi="宋体"/>
                <w:bCs/>
                <w:sz w:val="18"/>
                <w:szCs w:val="18"/>
              </w:rPr>
              <w:t>木材、密度板或玻璃圆形及配套凳子</w:t>
            </w:r>
          </w:p>
        </w:tc>
        <w:tc>
          <w:tcPr>
            <w:tcW w:w="790" w:type="dxa"/>
            <w:tcBorders>
              <w:tl2br w:val="nil"/>
              <w:tr2bl w:val="nil"/>
            </w:tcBorders>
            <w:vAlign w:val="center"/>
          </w:tcPr>
          <w:p>
            <w:pPr>
              <w:autoSpaceDE w:val="0"/>
              <w:autoSpaceDN w:val="0"/>
              <w:adjustRightInd w:val="0"/>
              <w:jc w:val="center"/>
              <w:rPr>
                <w:rFonts w:ascii="宋体" w:hAnsi="宋体"/>
                <w:bCs/>
                <w:sz w:val="18"/>
                <w:szCs w:val="18"/>
              </w:rPr>
            </w:pPr>
            <w:r>
              <w:rPr>
                <w:rFonts w:hint="eastAsia" w:ascii="宋体" w:hAnsi="宋体"/>
                <w:bCs/>
                <w:sz w:val="18"/>
                <w:szCs w:val="18"/>
              </w:rPr>
              <w:t>2</w:t>
            </w:r>
          </w:p>
        </w:tc>
        <w:tc>
          <w:tcPr>
            <w:tcW w:w="718" w:type="dxa"/>
            <w:tcBorders>
              <w:tl2br w:val="nil"/>
              <w:tr2bl w:val="nil"/>
            </w:tcBorders>
            <w:vAlign w:val="center"/>
          </w:tcPr>
          <w:p>
            <w:pPr>
              <w:autoSpaceDE w:val="0"/>
              <w:autoSpaceDN w:val="0"/>
              <w:adjustRightInd w:val="0"/>
              <w:jc w:val="center"/>
              <w:rPr>
                <w:rFonts w:ascii="宋体" w:hAnsi="宋体"/>
                <w:bCs/>
                <w:sz w:val="18"/>
                <w:szCs w:val="18"/>
              </w:rPr>
            </w:pPr>
            <w:r>
              <w:rPr>
                <w:rFonts w:hint="eastAsia" w:ascii="宋体" w:hAnsi="宋体"/>
                <w:bCs/>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11</w:t>
            </w:r>
          </w:p>
        </w:tc>
        <w:tc>
          <w:tcPr>
            <w:tcW w:w="915" w:type="dxa"/>
            <w:tcBorders>
              <w:tl2br w:val="nil"/>
              <w:tr2bl w:val="nil"/>
            </w:tcBorders>
            <w:vAlign w:val="center"/>
          </w:tcPr>
          <w:p>
            <w:pPr>
              <w:autoSpaceDE w:val="0"/>
              <w:autoSpaceDN w:val="0"/>
              <w:adjustRightInd w:val="0"/>
              <w:jc w:val="center"/>
              <w:rPr>
                <w:rFonts w:ascii="宋体" w:hAnsi="宋体"/>
                <w:b/>
                <w:bCs/>
                <w:sz w:val="18"/>
                <w:szCs w:val="18"/>
              </w:rPr>
            </w:pPr>
            <w:r>
              <w:rPr>
                <w:rFonts w:hint="eastAsia" w:ascii="宋体" w:hAnsi="宋体"/>
                <w:b/>
                <w:bCs/>
                <w:sz w:val="18"/>
                <w:szCs w:val="18"/>
              </w:rPr>
              <w:t>音响系统</w:t>
            </w:r>
          </w:p>
        </w:tc>
        <w:tc>
          <w:tcPr>
            <w:tcW w:w="7087" w:type="dxa"/>
            <w:gridSpan w:val="2"/>
            <w:tcBorders>
              <w:tl2br w:val="nil"/>
              <w:tr2bl w:val="nil"/>
            </w:tcBorders>
            <w:vAlign w:val="center"/>
          </w:tcPr>
          <w:p>
            <w:pPr>
              <w:widowControl/>
              <w:spacing w:line="240" w:lineRule="exact"/>
              <w:jc w:val="left"/>
              <w:rPr>
                <w:rFonts w:ascii="ˎ̥" w:hAnsi="ˎ̥" w:cs="宋体"/>
                <w:kern w:val="0"/>
                <w:sz w:val="18"/>
                <w:szCs w:val="18"/>
              </w:rPr>
            </w:pPr>
            <w:r>
              <w:rPr>
                <w:rFonts w:hint="eastAsia" w:ascii="ˎ̥" w:hAnsi="ˎ̥" w:cs="宋体"/>
                <w:kern w:val="0"/>
                <w:sz w:val="18"/>
                <w:szCs w:val="18"/>
              </w:rPr>
              <w:t>1、数字红外技术，不受高频驱动光源干扰，可正常工作于阳光下的环境；</w:t>
            </w:r>
          </w:p>
          <w:p>
            <w:pPr>
              <w:widowControl/>
              <w:spacing w:line="240" w:lineRule="exact"/>
              <w:jc w:val="left"/>
              <w:rPr>
                <w:rFonts w:ascii="ˎ̥" w:hAnsi="ˎ̥" w:cs="宋体"/>
                <w:kern w:val="0"/>
                <w:sz w:val="18"/>
                <w:szCs w:val="18"/>
              </w:rPr>
            </w:pPr>
            <w:r>
              <w:rPr>
                <w:rFonts w:hint="eastAsia" w:ascii="ˎ̥" w:hAnsi="ˎ̥" w:cs="宋体"/>
                <w:kern w:val="0"/>
                <w:sz w:val="18"/>
                <w:szCs w:val="18"/>
              </w:rPr>
              <w:t>★2、数字红外无线扩音系统（具备相关权威机构颁发的证书）；</w:t>
            </w:r>
          </w:p>
          <w:p>
            <w:pPr>
              <w:widowControl/>
              <w:spacing w:line="240" w:lineRule="exact"/>
              <w:jc w:val="left"/>
              <w:rPr>
                <w:rFonts w:ascii="ˎ̥" w:hAnsi="ˎ̥" w:cs="宋体"/>
                <w:kern w:val="0"/>
                <w:sz w:val="18"/>
                <w:szCs w:val="18"/>
              </w:rPr>
            </w:pPr>
            <w:r>
              <w:rPr>
                <w:rFonts w:hint="eastAsia" w:ascii="ˎ̥" w:hAnsi="ˎ̥" w:cs="宋体"/>
                <w:kern w:val="0"/>
                <w:sz w:val="18"/>
                <w:szCs w:val="18"/>
              </w:rPr>
              <w:t>3、无需对频，任意话筒即开即用；</w:t>
            </w:r>
          </w:p>
          <w:p>
            <w:pPr>
              <w:widowControl/>
              <w:spacing w:line="240" w:lineRule="exact"/>
              <w:jc w:val="left"/>
              <w:rPr>
                <w:rFonts w:ascii="ˎ̥" w:hAnsi="ˎ̥" w:cs="宋体"/>
                <w:kern w:val="0"/>
                <w:sz w:val="18"/>
                <w:szCs w:val="18"/>
              </w:rPr>
            </w:pPr>
            <w:r>
              <w:rPr>
                <w:rFonts w:hint="eastAsia" w:ascii="ˎ̥" w:hAnsi="ˎ̥" w:cs="宋体"/>
                <w:kern w:val="0"/>
                <w:sz w:val="18"/>
                <w:szCs w:val="18"/>
              </w:rPr>
              <w:t>4、红外传感器及功放主机集成一体化设计，无需再另外配置主机及功放，直接吊顶安装，防止无关人员触碰；</w:t>
            </w:r>
          </w:p>
          <w:p>
            <w:pPr>
              <w:widowControl/>
              <w:spacing w:line="240" w:lineRule="exact"/>
              <w:jc w:val="left"/>
              <w:rPr>
                <w:rFonts w:ascii="ˎ̥" w:hAnsi="ˎ̥" w:cs="宋体"/>
                <w:kern w:val="0"/>
                <w:sz w:val="18"/>
                <w:szCs w:val="18"/>
              </w:rPr>
            </w:pPr>
            <w:r>
              <w:rPr>
                <w:rFonts w:hint="eastAsia" w:ascii="ˎ̥" w:hAnsi="ˎ̥" w:cs="宋体"/>
                <w:kern w:val="0"/>
                <w:sz w:val="18"/>
                <w:szCs w:val="18"/>
              </w:rPr>
              <w:t>5、频率响应:50 Hz ~ 20 kHz；</w:t>
            </w:r>
          </w:p>
          <w:p>
            <w:pPr>
              <w:widowControl/>
              <w:spacing w:line="240" w:lineRule="exact"/>
              <w:jc w:val="left"/>
              <w:rPr>
                <w:rFonts w:ascii="ˎ̥" w:hAnsi="ˎ̥" w:cs="宋体"/>
                <w:kern w:val="0"/>
                <w:sz w:val="18"/>
                <w:szCs w:val="18"/>
              </w:rPr>
            </w:pPr>
            <w:r>
              <w:rPr>
                <w:rFonts w:hint="eastAsia" w:ascii="ˎ̥" w:hAnsi="ˎ̥" w:cs="宋体"/>
                <w:kern w:val="0"/>
                <w:sz w:val="18"/>
                <w:szCs w:val="18"/>
              </w:rPr>
              <w:t>6、信噪比: ＞85 dBA；</w:t>
            </w:r>
          </w:p>
          <w:p>
            <w:pPr>
              <w:widowControl/>
              <w:spacing w:line="240" w:lineRule="exact"/>
              <w:jc w:val="left"/>
              <w:rPr>
                <w:rFonts w:ascii="ˎ̥" w:hAnsi="ˎ̥" w:cs="宋体"/>
                <w:kern w:val="0"/>
                <w:sz w:val="18"/>
                <w:szCs w:val="18"/>
              </w:rPr>
            </w:pPr>
            <w:r>
              <w:rPr>
                <w:rFonts w:hint="eastAsia" w:ascii="ˎ̥" w:hAnsi="ˎ̥" w:cs="宋体"/>
                <w:kern w:val="0"/>
                <w:sz w:val="18"/>
                <w:szCs w:val="18"/>
              </w:rPr>
              <w:t>7、通道隔离度: ≥75 dB；</w:t>
            </w:r>
          </w:p>
          <w:p>
            <w:pPr>
              <w:widowControl/>
              <w:spacing w:line="240" w:lineRule="exact"/>
              <w:jc w:val="left"/>
              <w:rPr>
                <w:rFonts w:ascii="ˎ̥" w:hAnsi="ˎ̥" w:cs="宋体"/>
                <w:kern w:val="0"/>
                <w:sz w:val="18"/>
                <w:szCs w:val="18"/>
              </w:rPr>
            </w:pPr>
            <w:r>
              <w:rPr>
                <w:rFonts w:hint="eastAsia" w:ascii="ˎ̥" w:hAnsi="ˎ̥" w:cs="宋体"/>
                <w:kern w:val="0"/>
                <w:sz w:val="18"/>
                <w:szCs w:val="18"/>
              </w:rPr>
              <w:t>8、总谐波失真: ＜0.06%；</w:t>
            </w:r>
          </w:p>
          <w:p>
            <w:pPr>
              <w:widowControl/>
              <w:spacing w:line="240" w:lineRule="exact"/>
              <w:jc w:val="left"/>
              <w:rPr>
                <w:rFonts w:ascii="ˎ̥" w:hAnsi="ˎ̥" w:cs="宋体"/>
                <w:kern w:val="0"/>
                <w:sz w:val="18"/>
                <w:szCs w:val="18"/>
              </w:rPr>
            </w:pPr>
            <w:r>
              <w:rPr>
                <w:rFonts w:hint="eastAsia" w:ascii="ˎ̥" w:hAnsi="ˎ̥" w:cs="宋体"/>
                <w:kern w:val="0"/>
                <w:sz w:val="18"/>
                <w:szCs w:val="18"/>
              </w:rPr>
              <w:t>9、最大输出功率≥30W × 2（8Ω）；</w:t>
            </w:r>
          </w:p>
          <w:p>
            <w:pPr>
              <w:widowControl/>
              <w:spacing w:line="240" w:lineRule="exact"/>
              <w:jc w:val="left"/>
              <w:rPr>
                <w:rFonts w:ascii="ˎ̥" w:hAnsi="ˎ̥" w:cs="宋体"/>
                <w:kern w:val="0"/>
                <w:sz w:val="18"/>
                <w:szCs w:val="18"/>
              </w:rPr>
            </w:pPr>
            <w:r>
              <w:rPr>
                <w:rFonts w:hint="eastAsia" w:ascii="ˎ̥" w:hAnsi="ˎ̥" w:cs="宋体"/>
                <w:kern w:val="0"/>
                <w:sz w:val="18"/>
                <w:szCs w:val="18"/>
              </w:rPr>
              <w:t>10、接收范围：可直视距离：25米；接收范围：半径约12米；</w:t>
            </w:r>
          </w:p>
          <w:p>
            <w:pPr>
              <w:widowControl/>
              <w:spacing w:line="240" w:lineRule="exact"/>
              <w:jc w:val="left"/>
              <w:rPr>
                <w:rFonts w:ascii="ˎ̥" w:hAnsi="ˎ̥" w:cs="宋体"/>
                <w:kern w:val="0"/>
                <w:sz w:val="18"/>
                <w:szCs w:val="18"/>
              </w:rPr>
            </w:pPr>
            <w:r>
              <w:rPr>
                <w:rFonts w:hint="eastAsia" w:ascii="ˎ̥" w:hAnsi="ˎ̥" w:cs="宋体"/>
                <w:kern w:val="0"/>
                <w:sz w:val="18"/>
                <w:szCs w:val="18"/>
              </w:rPr>
              <w:t>11、接收角度：垂直：150° (±75°)，水平：360°；</w:t>
            </w:r>
          </w:p>
          <w:p>
            <w:pPr>
              <w:widowControl/>
              <w:spacing w:line="240" w:lineRule="exact"/>
              <w:jc w:val="left"/>
              <w:rPr>
                <w:rFonts w:ascii="ˎ̥" w:hAnsi="ˎ̥" w:cs="宋体"/>
                <w:kern w:val="0"/>
                <w:sz w:val="18"/>
                <w:szCs w:val="18"/>
              </w:rPr>
            </w:pPr>
            <w:r>
              <w:rPr>
                <w:rFonts w:hint="eastAsia" w:ascii="ˎ̥" w:hAnsi="ˎ̥" w:cs="宋体"/>
                <w:kern w:val="0"/>
                <w:sz w:val="18"/>
                <w:szCs w:val="18"/>
              </w:rPr>
              <w:t>12、具备啸叫抑制开关，三种模式可调；</w:t>
            </w:r>
          </w:p>
          <w:p>
            <w:pPr>
              <w:widowControl/>
              <w:spacing w:line="240" w:lineRule="exact"/>
              <w:jc w:val="left"/>
              <w:rPr>
                <w:rFonts w:ascii="ˎ̥" w:hAnsi="ˎ̥" w:cs="宋体"/>
                <w:kern w:val="0"/>
                <w:sz w:val="18"/>
                <w:szCs w:val="18"/>
              </w:rPr>
            </w:pPr>
            <w:r>
              <w:rPr>
                <w:rFonts w:hint="eastAsia" w:ascii="ˎ̥" w:hAnsi="ˎ̥" w:cs="宋体"/>
                <w:kern w:val="0"/>
                <w:sz w:val="18"/>
                <w:szCs w:val="18"/>
              </w:rPr>
              <w:t>13、具备自动衰减开关，三种模式可调；</w:t>
            </w:r>
          </w:p>
          <w:p>
            <w:pPr>
              <w:widowControl/>
              <w:spacing w:line="240" w:lineRule="exact"/>
              <w:jc w:val="left"/>
              <w:rPr>
                <w:rFonts w:ascii="ˎ̥" w:hAnsi="ˎ̥" w:cs="宋体"/>
                <w:kern w:val="0"/>
                <w:sz w:val="18"/>
                <w:szCs w:val="18"/>
              </w:rPr>
            </w:pPr>
            <w:r>
              <w:rPr>
                <w:rFonts w:hint="eastAsia" w:ascii="ˎ̥" w:hAnsi="ˎ̥" w:cs="宋体"/>
                <w:kern w:val="0"/>
                <w:sz w:val="18"/>
                <w:szCs w:val="18"/>
              </w:rPr>
              <w:t>14、具备总音量、低音及高音调节旋钮；</w:t>
            </w:r>
          </w:p>
          <w:p>
            <w:pPr>
              <w:widowControl/>
              <w:spacing w:line="240" w:lineRule="exact"/>
              <w:jc w:val="left"/>
              <w:rPr>
                <w:rFonts w:ascii="ˎ̥" w:hAnsi="ˎ̥" w:cs="宋体"/>
                <w:kern w:val="0"/>
                <w:sz w:val="18"/>
                <w:szCs w:val="18"/>
              </w:rPr>
            </w:pPr>
            <w:r>
              <w:rPr>
                <w:rFonts w:hint="eastAsia" w:ascii="ˎ̥" w:hAnsi="ˎ̥" w:cs="宋体"/>
                <w:kern w:val="0"/>
                <w:sz w:val="18"/>
                <w:szCs w:val="18"/>
              </w:rPr>
              <w:t>15、接口不少于：1路音频输入、1路音频输出、2通道功放输出、1*BNC红外信号扩展接口；</w:t>
            </w:r>
          </w:p>
        </w:tc>
        <w:tc>
          <w:tcPr>
            <w:tcW w:w="790" w:type="dxa"/>
            <w:tcBorders>
              <w:tl2br w:val="nil"/>
              <w:tr2bl w:val="nil"/>
            </w:tcBorders>
            <w:vAlign w:val="center"/>
          </w:tcPr>
          <w:p>
            <w:pPr>
              <w:autoSpaceDE w:val="0"/>
              <w:autoSpaceDN w:val="0"/>
              <w:adjustRightInd w:val="0"/>
              <w:jc w:val="center"/>
              <w:rPr>
                <w:rFonts w:ascii="宋体" w:hAnsi="宋体"/>
                <w:bCs/>
                <w:sz w:val="18"/>
                <w:szCs w:val="18"/>
              </w:rPr>
            </w:pPr>
            <w:r>
              <w:rPr>
                <w:rFonts w:hint="eastAsia" w:ascii="宋体" w:hAnsi="宋体"/>
                <w:bCs/>
                <w:sz w:val="18"/>
                <w:szCs w:val="18"/>
              </w:rPr>
              <w:t>1</w:t>
            </w:r>
          </w:p>
        </w:tc>
        <w:tc>
          <w:tcPr>
            <w:tcW w:w="718" w:type="dxa"/>
            <w:tcBorders>
              <w:tl2br w:val="nil"/>
              <w:tr2bl w:val="nil"/>
            </w:tcBorders>
            <w:vAlign w:val="center"/>
          </w:tcPr>
          <w:p>
            <w:pPr>
              <w:autoSpaceDE w:val="0"/>
              <w:autoSpaceDN w:val="0"/>
              <w:adjustRightInd w:val="0"/>
              <w:jc w:val="center"/>
              <w:rPr>
                <w:rFonts w:ascii="宋体" w:hAnsi="宋体"/>
                <w:bCs/>
                <w:sz w:val="18"/>
                <w:szCs w:val="18"/>
              </w:rPr>
            </w:pPr>
            <w:r>
              <w:rPr>
                <w:rFonts w:hint="eastAsia" w:ascii="宋体" w:hAnsi="宋体"/>
                <w:bCs/>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12</w:t>
            </w:r>
          </w:p>
        </w:tc>
        <w:tc>
          <w:tcPr>
            <w:tcW w:w="915" w:type="dxa"/>
            <w:tcBorders>
              <w:tl2br w:val="nil"/>
              <w:tr2bl w:val="nil"/>
            </w:tcBorders>
            <w:vAlign w:val="center"/>
          </w:tcPr>
          <w:p>
            <w:pPr>
              <w:autoSpaceDE w:val="0"/>
              <w:autoSpaceDN w:val="0"/>
              <w:adjustRightInd w:val="0"/>
              <w:jc w:val="center"/>
              <w:rPr>
                <w:rFonts w:ascii="宋体" w:hAnsi="宋体"/>
                <w:b/>
                <w:bCs/>
                <w:sz w:val="18"/>
                <w:szCs w:val="18"/>
              </w:rPr>
            </w:pPr>
            <w:r>
              <w:rPr>
                <w:rFonts w:hint="eastAsia" w:ascii="宋体" w:hAnsi="宋体"/>
                <w:b/>
                <w:bCs/>
                <w:sz w:val="18"/>
                <w:szCs w:val="18"/>
              </w:rPr>
              <w:t>一体台椅</w:t>
            </w:r>
          </w:p>
        </w:tc>
        <w:tc>
          <w:tcPr>
            <w:tcW w:w="7087" w:type="dxa"/>
            <w:gridSpan w:val="2"/>
            <w:tcBorders>
              <w:tl2br w:val="nil"/>
              <w:tr2bl w:val="nil"/>
            </w:tcBorders>
            <w:vAlign w:val="center"/>
          </w:tcPr>
          <w:p>
            <w:pPr>
              <w:rPr>
                <w:rFonts w:ascii="宋体" w:hAnsi="宋体"/>
                <w:bCs/>
                <w:sz w:val="18"/>
                <w:szCs w:val="18"/>
              </w:rPr>
            </w:pPr>
            <w:r>
              <w:rPr>
                <w:rFonts w:hint="eastAsia" w:ascii="宋体" w:hAnsi="宋体"/>
                <w:bCs/>
                <w:sz w:val="18"/>
                <w:szCs w:val="18"/>
              </w:rPr>
              <w:t>定制；仿真政府行政服务中心环境造型，第一层台面板材：仿大理石桌面，前台面包到底；第二层台面颜色和办公室桌椅匹配，板材：微粒密度板，经过防虫、防磨的化学处理；PVC封边条；自带走线槽，分布4个工位；配套办公椅子带靠背</w:t>
            </w:r>
          </w:p>
        </w:tc>
        <w:tc>
          <w:tcPr>
            <w:tcW w:w="790" w:type="dxa"/>
            <w:tcBorders>
              <w:tl2br w:val="nil"/>
              <w:tr2bl w:val="nil"/>
            </w:tcBorders>
            <w:vAlign w:val="center"/>
          </w:tcPr>
          <w:p>
            <w:pPr>
              <w:autoSpaceDE w:val="0"/>
              <w:autoSpaceDN w:val="0"/>
              <w:adjustRightInd w:val="0"/>
              <w:jc w:val="center"/>
              <w:rPr>
                <w:rFonts w:ascii="宋体" w:hAnsi="宋体"/>
                <w:bCs/>
                <w:sz w:val="18"/>
                <w:szCs w:val="18"/>
              </w:rPr>
            </w:pPr>
            <w:r>
              <w:rPr>
                <w:rFonts w:hint="eastAsia" w:ascii="宋体" w:hAnsi="宋体"/>
                <w:bCs/>
                <w:sz w:val="18"/>
                <w:szCs w:val="18"/>
              </w:rPr>
              <w:t>1</w:t>
            </w:r>
          </w:p>
        </w:tc>
        <w:tc>
          <w:tcPr>
            <w:tcW w:w="718" w:type="dxa"/>
            <w:tcBorders>
              <w:tl2br w:val="nil"/>
              <w:tr2bl w:val="nil"/>
            </w:tcBorders>
            <w:vAlign w:val="center"/>
          </w:tcPr>
          <w:p>
            <w:pPr>
              <w:autoSpaceDE w:val="0"/>
              <w:autoSpaceDN w:val="0"/>
              <w:adjustRightInd w:val="0"/>
              <w:jc w:val="center"/>
              <w:rPr>
                <w:rFonts w:ascii="宋体" w:hAnsi="宋体"/>
                <w:bCs/>
                <w:sz w:val="18"/>
                <w:szCs w:val="18"/>
              </w:rPr>
            </w:pPr>
            <w:r>
              <w:rPr>
                <w:rFonts w:hint="eastAsia" w:ascii="宋体" w:hAnsi="宋体"/>
                <w:bCs/>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13</w:t>
            </w:r>
          </w:p>
        </w:tc>
        <w:tc>
          <w:tcPr>
            <w:tcW w:w="915" w:type="dxa"/>
            <w:tcBorders>
              <w:tl2br w:val="nil"/>
              <w:tr2bl w:val="nil"/>
            </w:tcBorders>
            <w:vAlign w:val="center"/>
          </w:tcPr>
          <w:p>
            <w:pPr>
              <w:autoSpaceDE w:val="0"/>
              <w:autoSpaceDN w:val="0"/>
              <w:adjustRightInd w:val="0"/>
              <w:jc w:val="center"/>
              <w:rPr>
                <w:rFonts w:ascii="宋体" w:hAnsi="宋体"/>
                <w:b/>
                <w:bCs/>
                <w:sz w:val="18"/>
                <w:szCs w:val="18"/>
              </w:rPr>
            </w:pPr>
            <w:r>
              <w:rPr>
                <w:rFonts w:hint="eastAsia" w:ascii="宋体" w:hAnsi="宋体"/>
                <w:b/>
                <w:bCs/>
                <w:sz w:val="18"/>
                <w:szCs w:val="18"/>
              </w:rPr>
              <w:t>空调</w:t>
            </w:r>
          </w:p>
        </w:tc>
        <w:tc>
          <w:tcPr>
            <w:tcW w:w="7087" w:type="dxa"/>
            <w:gridSpan w:val="2"/>
            <w:tcBorders>
              <w:tl2br w:val="nil"/>
              <w:tr2bl w:val="nil"/>
            </w:tcBorders>
            <w:vAlign w:val="center"/>
          </w:tcPr>
          <w:p>
            <w:pPr>
              <w:rPr>
                <w:rFonts w:ascii="宋体" w:hAnsi="宋体"/>
                <w:bCs/>
                <w:sz w:val="18"/>
                <w:szCs w:val="18"/>
              </w:rPr>
            </w:pPr>
            <w:r>
              <w:rPr>
                <w:rFonts w:hint="eastAsia" w:ascii="宋体" w:hAnsi="宋体"/>
                <w:bCs/>
                <w:sz w:val="18"/>
                <w:szCs w:val="18"/>
              </w:rPr>
              <w:t>冷暖柜机，包括不自锈钢支架</w:t>
            </w:r>
          </w:p>
        </w:tc>
        <w:tc>
          <w:tcPr>
            <w:tcW w:w="790" w:type="dxa"/>
            <w:tcBorders>
              <w:tl2br w:val="nil"/>
              <w:tr2bl w:val="nil"/>
            </w:tcBorders>
            <w:vAlign w:val="center"/>
          </w:tcPr>
          <w:p>
            <w:pPr>
              <w:autoSpaceDE w:val="0"/>
              <w:autoSpaceDN w:val="0"/>
              <w:adjustRightInd w:val="0"/>
              <w:jc w:val="center"/>
              <w:rPr>
                <w:rFonts w:ascii="宋体" w:hAnsi="宋体"/>
                <w:bCs/>
                <w:sz w:val="18"/>
                <w:szCs w:val="18"/>
              </w:rPr>
            </w:pPr>
            <w:r>
              <w:rPr>
                <w:rFonts w:hint="eastAsia" w:ascii="宋体" w:hAnsi="宋体"/>
                <w:bCs/>
                <w:sz w:val="18"/>
                <w:szCs w:val="18"/>
              </w:rPr>
              <w:t>3</w:t>
            </w:r>
          </w:p>
        </w:tc>
        <w:tc>
          <w:tcPr>
            <w:tcW w:w="718" w:type="dxa"/>
            <w:tcBorders>
              <w:tl2br w:val="nil"/>
              <w:tr2bl w:val="nil"/>
            </w:tcBorders>
            <w:vAlign w:val="center"/>
          </w:tcPr>
          <w:p>
            <w:pPr>
              <w:autoSpaceDE w:val="0"/>
              <w:autoSpaceDN w:val="0"/>
              <w:adjustRightInd w:val="0"/>
              <w:jc w:val="center"/>
              <w:rPr>
                <w:rFonts w:ascii="宋体" w:hAnsi="宋体"/>
                <w:bCs/>
                <w:sz w:val="18"/>
                <w:szCs w:val="18"/>
              </w:rPr>
            </w:pPr>
            <w:r>
              <w:rPr>
                <w:rFonts w:hint="eastAsia" w:ascii="宋体" w:hAnsi="宋体"/>
                <w:bCs/>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14</w:t>
            </w:r>
          </w:p>
        </w:tc>
        <w:tc>
          <w:tcPr>
            <w:tcW w:w="915" w:type="dxa"/>
            <w:tcBorders>
              <w:tl2br w:val="nil"/>
              <w:tr2bl w:val="nil"/>
            </w:tcBorders>
            <w:vAlign w:val="center"/>
          </w:tcPr>
          <w:p>
            <w:pPr>
              <w:autoSpaceDE w:val="0"/>
              <w:autoSpaceDN w:val="0"/>
              <w:adjustRightInd w:val="0"/>
              <w:jc w:val="center"/>
              <w:rPr>
                <w:rFonts w:ascii="宋体" w:hAnsi="宋体"/>
                <w:b/>
                <w:bCs/>
                <w:sz w:val="18"/>
                <w:szCs w:val="18"/>
              </w:rPr>
            </w:pPr>
            <w:r>
              <w:rPr>
                <w:rFonts w:hint="eastAsia" w:ascii="宋体" w:hAnsi="宋体"/>
                <w:b/>
                <w:bCs/>
                <w:sz w:val="18"/>
                <w:szCs w:val="18"/>
              </w:rPr>
              <w:t>文化装饰、栏目栏</w:t>
            </w:r>
          </w:p>
        </w:tc>
        <w:tc>
          <w:tcPr>
            <w:tcW w:w="7087" w:type="dxa"/>
            <w:gridSpan w:val="2"/>
            <w:tcBorders>
              <w:tl2br w:val="nil"/>
              <w:tr2bl w:val="nil"/>
            </w:tcBorders>
            <w:vAlign w:val="center"/>
          </w:tcPr>
          <w:p>
            <w:pPr>
              <w:rPr>
                <w:rFonts w:ascii="宋体" w:hAnsi="宋体"/>
                <w:bCs/>
                <w:sz w:val="18"/>
                <w:szCs w:val="18"/>
              </w:rPr>
            </w:pPr>
            <w:r>
              <w:rPr>
                <w:rFonts w:hint="eastAsia" w:ascii="宋体" w:hAnsi="宋体"/>
                <w:bCs/>
                <w:sz w:val="18"/>
                <w:szCs w:val="18"/>
              </w:rPr>
              <w:t>实验室门口标示、室内挂图、标语等布局、工位吊牌、具体结构、需求与用户协商</w:t>
            </w:r>
          </w:p>
        </w:tc>
        <w:tc>
          <w:tcPr>
            <w:tcW w:w="790" w:type="dxa"/>
            <w:tcBorders>
              <w:tl2br w:val="nil"/>
              <w:tr2bl w:val="nil"/>
            </w:tcBorders>
            <w:vAlign w:val="center"/>
          </w:tcPr>
          <w:p>
            <w:pPr>
              <w:autoSpaceDE w:val="0"/>
              <w:autoSpaceDN w:val="0"/>
              <w:adjustRightInd w:val="0"/>
              <w:jc w:val="center"/>
              <w:rPr>
                <w:rFonts w:ascii="宋体" w:hAnsi="宋体"/>
                <w:bCs/>
                <w:sz w:val="18"/>
                <w:szCs w:val="18"/>
              </w:rPr>
            </w:pPr>
            <w:r>
              <w:rPr>
                <w:rFonts w:hint="eastAsia" w:ascii="宋体" w:hAnsi="宋体"/>
                <w:bCs/>
                <w:sz w:val="18"/>
                <w:szCs w:val="18"/>
              </w:rPr>
              <w:t>1</w:t>
            </w:r>
          </w:p>
        </w:tc>
        <w:tc>
          <w:tcPr>
            <w:tcW w:w="718" w:type="dxa"/>
            <w:tcBorders>
              <w:tl2br w:val="nil"/>
              <w:tr2bl w:val="nil"/>
            </w:tcBorders>
            <w:vAlign w:val="center"/>
          </w:tcPr>
          <w:p>
            <w:pPr>
              <w:autoSpaceDE w:val="0"/>
              <w:autoSpaceDN w:val="0"/>
              <w:adjustRightInd w:val="0"/>
              <w:jc w:val="center"/>
              <w:rPr>
                <w:rFonts w:ascii="宋体" w:hAnsi="宋体"/>
                <w:bCs/>
                <w:sz w:val="18"/>
                <w:szCs w:val="18"/>
              </w:rPr>
            </w:pPr>
            <w:r>
              <w:rPr>
                <w:rFonts w:hint="eastAsia" w:ascii="宋体" w:hAnsi="宋体"/>
                <w:bCs/>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hint="eastAsia" w:ascii="宋体" w:hAnsi="宋体" w:eastAsia="宋体" w:cs="宋体"/>
                <w:b/>
                <w:bCs/>
                <w:color w:val="000000" w:themeColor="text1"/>
                <w:kern w:val="0"/>
                <w:sz w:val="24"/>
                <w:lang w:val="en-US" w:eastAsia="zh-CN"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1</w:t>
            </w:r>
            <w:r>
              <w:rPr>
                <w:rFonts w:hint="eastAsia" w:ascii="宋体" w:hAnsi="宋体" w:eastAsia="宋体" w:cs="宋体"/>
                <w:b/>
                <w:bCs/>
                <w:color w:val="000000" w:themeColor="text1"/>
                <w:kern w:val="0"/>
                <w:sz w:val="24"/>
                <w:lang w:val="en-US" w:eastAsia="zh-CN" w:bidi="ar"/>
                <w14:textFill>
                  <w14:solidFill>
                    <w14:schemeClr w14:val="tx1"/>
                  </w14:solidFill>
                </w14:textFill>
              </w:rPr>
              <w:t>5</w:t>
            </w:r>
          </w:p>
        </w:tc>
        <w:tc>
          <w:tcPr>
            <w:tcW w:w="915" w:type="dxa"/>
            <w:tcBorders>
              <w:tl2br w:val="nil"/>
              <w:tr2bl w:val="nil"/>
            </w:tcBorders>
            <w:vAlign w:val="center"/>
          </w:tcPr>
          <w:p>
            <w:pPr>
              <w:autoSpaceDE w:val="0"/>
              <w:autoSpaceDN w:val="0"/>
              <w:adjustRightInd w:val="0"/>
              <w:jc w:val="center"/>
              <w:rPr>
                <w:rFonts w:ascii="宋体" w:hAnsi="宋体"/>
                <w:b/>
                <w:bCs/>
                <w:sz w:val="18"/>
                <w:szCs w:val="18"/>
              </w:rPr>
            </w:pPr>
            <w:r>
              <w:rPr>
                <w:rFonts w:hint="eastAsia" w:ascii="宋体" w:hAnsi="宋体"/>
                <w:b/>
                <w:bCs/>
                <w:sz w:val="18"/>
                <w:szCs w:val="18"/>
              </w:rPr>
              <w:t>室内窗帘</w:t>
            </w:r>
          </w:p>
        </w:tc>
        <w:tc>
          <w:tcPr>
            <w:tcW w:w="7087" w:type="dxa"/>
            <w:gridSpan w:val="2"/>
            <w:tcBorders>
              <w:tl2br w:val="nil"/>
              <w:tr2bl w:val="nil"/>
            </w:tcBorders>
            <w:vAlign w:val="center"/>
          </w:tcPr>
          <w:p>
            <w:pPr>
              <w:rPr>
                <w:rFonts w:ascii="宋体" w:hAnsi="宋体"/>
                <w:bCs/>
                <w:sz w:val="18"/>
                <w:szCs w:val="18"/>
              </w:rPr>
            </w:pPr>
            <w:r>
              <w:rPr>
                <w:rFonts w:hint="eastAsia" w:ascii="宋体" w:hAnsi="宋体"/>
                <w:bCs/>
                <w:sz w:val="18"/>
                <w:szCs w:val="18"/>
              </w:rPr>
              <w:t>遮光材质，面料花色供用户挑选。单位：套</w:t>
            </w:r>
          </w:p>
        </w:tc>
        <w:tc>
          <w:tcPr>
            <w:tcW w:w="790" w:type="dxa"/>
            <w:tcBorders>
              <w:tl2br w:val="nil"/>
              <w:tr2bl w:val="nil"/>
            </w:tcBorders>
            <w:vAlign w:val="center"/>
          </w:tcPr>
          <w:p>
            <w:pPr>
              <w:autoSpaceDE w:val="0"/>
              <w:autoSpaceDN w:val="0"/>
              <w:adjustRightInd w:val="0"/>
              <w:jc w:val="center"/>
              <w:rPr>
                <w:rFonts w:ascii="宋体" w:hAnsi="宋体"/>
                <w:bCs/>
                <w:sz w:val="18"/>
                <w:szCs w:val="18"/>
              </w:rPr>
            </w:pPr>
            <w:r>
              <w:rPr>
                <w:rFonts w:hint="eastAsia" w:ascii="宋体" w:hAnsi="宋体"/>
                <w:bCs/>
                <w:sz w:val="18"/>
                <w:szCs w:val="18"/>
              </w:rPr>
              <w:t>2</w:t>
            </w:r>
          </w:p>
        </w:tc>
        <w:tc>
          <w:tcPr>
            <w:tcW w:w="718" w:type="dxa"/>
            <w:tcBorders>
              <w:tl2br w:val="nil"/>
              <w:tr2bl w:val="nil"/>
            </w:tcBorders>
            <w:vAlign w:val="center"/>
          </w:tcPr>
          <w:p>
            <w:pPr>
              <w:autoSpaceDE w:val="0"/>
              <w:autoSpaceDN w:val="0"/>
              <w:adjustRightInd w:val="0"/>
              <w:jc w:val="center"/>
              <w:rPr>
                <w:rFonts w:ascii="宋体" w:hAnsi="宋体"/>
                <w:bCs/>
                <w:sz w:val="18"/>
                <w:szCs w:val="18"/>
              </w:rPr>
            </w:pPr>
            <w:r>
              <w:rPr>
                <w:rFonts w:hint="eastAsia" w:ascii="宋体" w:hAnsi="宋体"/>
                <w:bCs/>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hint="default" w:ascii="宋体" w:hAnsi="宋体" w:eastAsia="宋体" w:cs="宋体"/>
                <w:b/>
                <w:bCs/>
                <w:color w:val="000000" w:themeColor="text1"/>
                <w:kern w:val="0"/>
                <w:sz w:val="24"/>
                <w:lang w:val="en-US" w:eastAsia="zh-CN" w:bidi="ar"/>
                <w14:textFill>
                  <w14:solidFill>
                    <w14:schemeClr w14:val="tx1"/>
                  </w14:solidFill>
                </w14:textFill>
              </w:rPr>
            </w:pPr>
            <w:r>
              <w:rPr>
                <w:rFonts w:hint="eastAsia" w:ascii="宋体" w:hAnsi="宋体" w:eastAsia="宋体" w:cs="宋体"/>
                <w:b/>
                <w:bCs/>
                <w:color w:val="000000" w:themeColor="text1"/>
                <w:kern w:val="0"/>
                <w:sz w:val="24"/>
                <w:lang w:val="en-US" w:eastAsia="zh-CN" w:bidi="ar"/>
                <w14:textFill>
                  <w14:solidFill>
                    <w14:schemeClr w14:val="tx1"/>
                  </w14:solidFill>
                </w14:textFill>
              </w:rPr>
              <w:t>16</w:t>
            </w:r>
          </w:p>
        </w:tc>
        <w:tc>
          <w:tcPr>
            <w:tcW w:w="915" w:type="dxa"/>
            <w:tcBorders>
              <w:tl2br w:val="nil"/>
              <w:tr2bl w:val="nil"/>
            </w:tcBorders>
            <w:vAlign w:val="center"/>
          </w:tcPr>
          <w:p>
            <w:pPr>
              <w:autoSpaceDE w:val="0"/>
              <w:autoSpaceDN w:val="0"/>
              <w:adjustRightInd w:val="0"/>
              <w:jc w:val="center"/>
              <w:rPr>
                <w:rFonts w:ascii="宋体" w:hAnsi="宋体" w:eastAsia="宋体" w:cs="宋体"/>
                <w:b/>
                <w:color w:val="000000" w:themeColor="text1"/>
                <w:kern w:val="0"/>
                <w:sz w:val="24"/>
                <w:lang w:bidi="ar"/>
                <w14:textFill>
                  <w14:solidFill>
                    <w14:schemeClr w14:val="tx1"/>
                  </w14:solidFill>
                </w14:textFill>
              </w:rPr>
            </w:pPr>
            <w:r>
              <w:rPr>
                <w:rFonts w:hint="eastAsia" w:ascii="宋体" w:hAnsi="宋体"/>
                <w:b/>
                <w:bCs/>
                <w:sz w:val="18"/>
                <w:szCs w:val="18"/>
              </w:rPr>
              <w:t>财会职业能力养成平台</w:t>
            </w:r>
          </w:p>
        </w:tc>
        <w:tc>
          <w:tcPr>
            <w:tcW w:w="7087" w:type="dxa"/>
            <w:gridSpan w:val="2"/>
            <w:tcBorders>
              <w:tl2br w:val="nil"/>
              <w:tr2bl w:val="nil"/>
            </w:tcBorders>
            <w:vAlign w:val="bottom"/>
          </w:tcPr>
          <w:p>
            <w:pPr>
              <w:pStyle w:val="4"/>
            </w:pPr>
            <w:r>
              <w:rPr>
                <w:rFonts w:hint="eastAsia"/>
              </w:rPr>
              <w:t>财会职业能力养成平台软件</w:t>
            </w:r>
          </w:p>
          <w:p>
            <w:pPr>
              <w:spacing w:line="360" w:lineRule="auto"/>
              <w:rPr>
                <w:rFonts w:ascii="宋体" w:hAnsi="宋体" w:cs="宋体"/>
                <w:sz w:val="20"/>
                <w:szCs w:val="20"/>
              </w:rPr>
            </w:pPr>
            <w:r>
              <w:rPr>
                <w:rFonts w:hint="eastAsia"/>
                <w:b/>
                <w:bCs/>
              </w:rPr>
              <w:t>（一）技术参数</w:t>
            </w:r>
          </w:p>
          <w:p>
            <w:pPr>
              <w:numPr>
                <w:ilvl w:val="0"/>
                <w:numId w:val="1"/>
              </w:numPr>
              <w:spacing w:line="360" w:lineRule="auto"/>
              <w:jc w:val="left"/>
              <w:rPr>
                <w:rFonts w:ascii="宋体" w:hAnsi="宋体" w:cs="仿宋"/>
                <w:bCs/>
                <w:sz w:val="20"/>
                <w:szCs w:val="20"/>
              </w:rPr>
            </w:pPr>
            <w:r>
              <w:rPr>
                <w:rFonts w:hint="eastAsia" w:ascii="宋体" w:hAnsi="宋体" w:cs="仿宋"/>
                <w:bCs/>
                <w:sz w:val="20"/>
                <w:szCs w:val="20"/>
              </w:rPr>
              <w:t>软件采用云技术，提供以下版本应用（各版本数据可同步互传），以提高软件使用效率，满足教学需求：</w:t>
            </w:r>
          </w:p>
          <w:p>
            <w:pPr>
              <w:spacing w:line="360" w:lineRule="auto"/>
              <w:ind w:left="360"/>
              <w:rPr>
                <w:rFonts w:ascii="宋体" w:hAnsi="宋体" w:cs="仿宋"/>
                <w:bCs/>
                <w:sz w:val="20"/>
                <w:szCs w:val="20"/>
              </w:rPr>
            </w:pPr>
            <w:r>
              <w:rPr>
                <w:rFonts w:hint="eastAsia" w:ascii="宋体" w:hAnsi="宋体" w:cs="仿宋"/>
                <w:bCs/>
                <w:sz w:val="20"/>
                <w:szCs w:val="20"/>
              </w:rPr>
              <w:t>1.1提供网络服务器版：平台为B/S网络版，安装机房服务器，学生电脑直接通过网页访问使用，无用户数量限制，方便所有相关专业学生使用；</w:t>
            </w:r>
          </w:p>
          <w:p>
            <w:pPr>
              <w:spacing w:line="360" w:lineRule="auto"/>
              <w:ind w:left="360"/>
              <w:rPr>
                <w:rFonts w:ascii="宋体" w:hAnsi="宋体" w:cs="仿宋"/>
                <w:bCs/>
                <w:sz w:val="20"/>
                <w:szCs w:val="20"/>
              </w:rPr>
            </w:pPr>
            <w:r>
              <w:rPr>
                <w:rFonts w:hint="eastAsia" w:ascii="宋体" w:hAnsi="宋体" w:cs="仿宋"/>
                <w:bCs/>
                <w:sz w:val="20"/>
                <w:szCs w:val="20"/>
              </w:rPr>
              <w:t>1.2★提供终端载体单机版（单机U盘版，实现口袋式移动资源）。移动终端载体规格：长×宽×高（含包装盒）不超过 10厘米×8厘米×4厘米，实现口袋式资源平台，随身携带，方便教师学生随时随地在有电脑的地方使用软件；</w:t>
            </w:r>
          </w:p>
          <w:p>
            <w:pPr>
              <w:spacing w:line="360" w:lineRule="auto"/>
              <w:ind w:left="360"/>
              <w:rPr>
                <w:rFonts w:ascii="宋体" w:hAnsi="宋体" w:cs="仿宋"/>
                <w:bCs/>
                <w:sz w:val="20"/>
                <w:szCs w:val="20"/>
              </w:rPr>
            </w:pPr>
            <w:r>
              <w:rPr>
                <w:rFonts w:hint="eastAsia" w:ascii="宋体" w:hAnsi="宋体" w:cs="仿宋"/>
                <w:bCs/>
                <w:sz w:val="20"/>
                <w:szCs w:val="20"/>
              </w:rPr>
              <w:t>备注：软件必须支持以上版本使用，交货时未能提供，采购单位有权取消其中标资格；</w:t>
            </w:r>
          </w:p>
          <w:p>
            <w:pPr>
              <w:numPr>
                <w:ilvl w:val="0"/>
                <w:numId w:val="1"/>
              </w:numPr>
              <w:spacing w:line="360" w:lineRule="auto"/>
              <w:jc w:val="left"/>
              <w:rPr>
                <w:rFonts w:ascii="宋体" w:hAnsi="宋体" w:cs="仿宋"/>
                <w:bCs/>
                <w:sz w:val="20"/>
                <w:szCs w:val="20"/>
              </w:rPr>
            </w:pPr>
            <w:r>
              <w:rPr>
                <w:rFonts w:hint="eastAsia" w:ascii="宋体" w:hAnsi="宋体" w:cs="仿宋"/>
                <w:bCs/>
                <w:sz w:val="20"/>
                <w:szCs w:val="20"/>
              </w:rPr>
              <w:t>★包括信息中心系统、业务协同系统、出纳账系统、仓储系统、网上银行系统、会计信息化系统、保险柜系统、增值税防伪税控开票系统、网上税务局系统（网上办税模块、网上认证模块）、自然人税收管理系统、网上认证系统、财务分析系统、计算机审计系统、帮助系统、评价系统十四个系统；</w:t>
            </w:r>
          </w:p>
          <w:p>
            <w:pPr>
              <w:numPr>
                <w:ilvl w:val="0"/>
                <w:numId w:val="1"/>
              </w:numPr>
              <w:spacing w:line="360" w:lineRule="auto"/>
              <w:jc w:val="left"/>
              <w:rPr>
                <w:rFonts w:ascii="宋体" w:hAnsi="宋体" w:cs="仿宋"/>
                <w:bCs/>
                <w:sz w:val="20"/>
                <w:szCs w:val="20"/>
              </w:rPr>
            </w:pPr>
            <w:r>
              <w:rPr>
                <w:rFonts w:hint="eastAsia" w:ascii="宋体" w:hAnsi="宋体" w:cs="仿宋"/>
                <w:bCs/>
                <w:sz w:val="20"/>
                <w:szCs w:val="20"/>
              </w:rPr>
              <w:t>具有分岗功能，实现企业内部控制，业务协同系统、会计信息化系统系统、审计系统、网上银行系统有分岗位操作；</w:t>
            </w:r>
          </w:p>
          <w:p>
            <w:pPr>
              <w:numPr>
                <w:ilvl w:val="0"/>
                <w:numId w:val="1"/>
              </w:numPr>
              <w:spacing w:line="360" w:lineRule="auto"/>
              <w:jc w:val="left"/>
              <w:rPr>
                <w:rFonts w:ascii="宋体" w:hAnsi="宋体" w:cs="仿宋"/>
                <w:bCs/>
                <w:sz w:val="20"/>
                <w:szCs w:val="20"/>
              </w:rPr>
            </w:pPr>
            <w:r>
              <w:rPr>
                <w:rFonts w:hint="eastAsia" w:ascii="宋体" w:hAnsi="宋体" w:cs="仿宋"/>
                <w:bCs/>
                <w:sz w:val="20"/>
                <w:szCs w:val="20"/>
              </w:rPr>
              <w:t>各系统之间数据一贯性，业务协同系统、网上银行系统、防伪税控开票系统、电子申报纳税系统产生的数据均进入会计信息化系统，会计信息化系统数据进入审计系统、财务分析系统；</w:t>
            </w:r>
          </w:p>
          <w:p>
            <w:pPr>
              <w:numPr>
                <w:ilvl w:val="0"/>
                <w:numId w:val="1"/>
              </w:numPr>
              <w:spacing w:line="360" w:lineRule="auto"/>
              <w:jc w:val="left"/>
              <w:rPr>
                <w:rFonts w:ascii="宋体" w:hAnsi="宋体" w:cs="仿宋"/>
                <w:bCs/>
                <w:sz w:val="20"/>
                <w:szCs w:val="20"/>
              </w:rPr>
            </w:pPr>
            <w:r>
              <w:rPr>
                <w:rFonts w:hint="eastAsia" w:ascii="宋体" w:hAnsi="宋体" w:cs="仿宋"/>
                <w:bCs/>
                <w:sz w:val="20"/>
                <w:szCs w:val="20"/>
              </w:rPr>
              <w:t>信息中心系统中存有平台企业基本信息、企业介绍、财务制度、客户和供应商信息、业务合同等内容。各种企业档案信息存放于信息中心系统中，在实际业务办理、款项支付、会计核算等工作中将被应用、调取；</w:t>
            </w:r>
          </w:p>
          <w:p>
            <w:pPr>
              <w:numPr>
                <w:ilvl w:val="0"/>
                <w:numId w:val="1"/>
              </w:numPr>
              <w:spacing w:line="360" w:lineRule="auto"/>
              <w:jc w:val="left"/>
              <w:rPr>
                <w:rFonts w:ascii="宋体" w:hAnsi="宋体" w:cs="仿宋"/>
                <w:bCs/>
                <w:sz w:val="20"/>
                <w:szCs w:val="20"/>
              </w:rPr>
            </w:pPr>
            <w:r>
              <w:rPr>
                <w:rFonts w:hint="eastAsia" w:ascii="宋体" w:hAnsi="宋体" w:cs="仿宋"/>
                <w:bCs/>
                <w:sz w:val="20"/>
                <w:szCs w:val="20"/>
              </w:rPr>
              <w:t>业务协同系统相当于企业业务办理的OA，内置日历功能，完成当天工作事项后，进入下一天的工作；业务设计分岗流程、体现内控；逼真企业实际业务、类型丰富，包括流程审批业务、同步办理业务、外来票据核算业务、内部自制单据核算业务；体现团队协作、岗位职责和业务流程；具有盖章、画线、填制等操作功能；</w:t>
            </w:r>
          </w:p>
          <w:p>
            <w:pPr>
              <w:numPr>
                <w:ilvl w:val="0"/>
                <w:numId w:val="1"/>
              </w:numPr>
              <w:spacing w:line="360" w:lineRule="auto"/>
              <w:jc w:val="left"/>
              <w:rPr>
                <w:rFonts w:ascii="宋体" w:hAnsi="宋体" w:cs="仿宋"/>
                <w:bCs/>
                <w:sz w:val="20"/>
                <w:szCs w:val="20"/>
              </w:rPr>
            </w:pPr>
            <w:r>
              <w:rPr>
                <w:rFonts w:hint="eastAsia" w:ascii="宋体" w:hAnsi="宋体" w:cs="仿宋"/>
                <w:bCs/>
                <w:sz w:val="20"/>
                <w:szCs w:val="20"/>
              </w:rPr>
              <w:t>会计信息化系统仿真企业实际电算化系统，具有创建账套、初始化账套、填制凭证、审核凭证、结转损益、记账、结账等功能；系统具有岗位添加和权限设置功能，体现企业内控流程；系统增设业务单据面板功能，自动关联经济业务办理产生的单据，做到业务办理与财务核算的紧密结合与贯通流转；会计信息化系统具有科目辅助核算功能，可实时查看辅助核算项目明细账，或根据时间区间查看辅助核算项目明细账，如查看某一往来单位明细账； 配合平台其他系统，做到正确判断，准确入账；</w:t>
            </w:r>
          </w:p>
          <w:p>
            <w:pPr>
              <w:numPr>
                <w:ilvl w:val="0"/>
                <w:numId w:val="1"/>
              </w:numPr>
              <w:spacing w:line="360" w:lineRule="auto"/>
              <w:jc w:val="left"/>
              <w:rPr>
                <w:rFonts w:ascii="宋体" w:hAnsi="宋体" w:cs="仿宋"/>
                <w:bCs/>
                <w:sz w:val="20"/>
                <w:szCs w:val="20"/>
              </w:rPr>
            </w:pPr>
            <w:r>
              <w:rPr>
                <w:rFonts w:hint="eastAsia" w:ascii="宋体" w:hAnsi="宋体" w:cs="仿宋"/>
                <w:bCs/>
                <w:sz w:val="20"/>
                <w:szCs w:val="20"/>
              </w:rPr>
              <w:t>网上银行系统仿真现实企业网上银行用户端，具有银行转账付款申请、付款审批、余额查询、明细查询、回单查询等功能，培养学生基础技能操作的同时，也培养了学生每日查询余额，账实核对，为企业经营决策提供信息支持的意识和习惯；系统将付款业务中的制单操作和审批操作权限分配给两个岗位人员，体现了内部控制流程和资金安全管理制度；</w:t>
            </w:r>
          </w:p>
          <w:p>
            <w:pPr>
              <w:numPr>
                <w:ilvl w:val="0"/>
                <w:numId w:val="1"/>
              </w:numPr>
              <w:spacing w:line="360" w:lineRule="auto"/>
              <w:jc w:val="left"/>
              <w:rPr>
                <w:rFonts w:ascii="宋体" w:hAnsi="宋体" w:cs="仿宋"/>
                <w:bCs/>
                <w:sz w:val="20"/>
                <w:szCs w:val="20"/>
              </w:rPr>
            </w:pPr>
            <w:r>
              <w:rPr>
                <w:rFonts w:hint="eastAsia" w:ascii="宋体" w:hAnsi="宋体" w:cs="仿宋"/>
                <w:bCs/>
                <w:sz w:val="20"/>
                <w:szCs w:val="20"/>
              </w:rPr>
              <w:t>保险柜系统仿真现实中的实物保险柜，包括密码开启、余额查询、存入现金、取出现金的基础技能操作训练；平日存、取现金的记录内置在评价系统中，可以帮助学生核查现金日记账登记的及时性与准确性，养成每日盘点现金、账实核对、日清月结的良好习惯，加强现金安全管理意识；</w:t>
            </w:r>
          </w:p>
          <w:p>
            <w:pPr>
              <w:numPr>
                <w:ilvl w:val="0"/>
                <w:numId w:val="1"/>
              </w:numPr>
              <w:spacing w:line="360" w:lineRule="auto"/>
              <w:jc w:val="left"/>
              <w:rPr>
                <w:rFonts w:ascii="宋体" w:hAnsi="宋体" w:cs="仿宋"/>
                <w:bCs/>
                <w:sz w:val="20"/>
                <w:szCs w:val="20"/>
              </w:rPr>
            </w:pPr>
            <w:r>
              <w:rPr>
                <w:rFonts w:hint="eastAsia" w:ascii="宋体" w:hAnsi="宋体" w:cs="仿宋"/>
                <w:bCs/>
                <w:sz w:val="20"/>
                <w:szCs w:val="20"/>
              </w:rPr>
              <w:t>出纳账系统包括现金日记账、银行存款日记账、现金支票领用登记簿、转账支票领用登记簿、应收票据备查簿、应付票据备查簿等内容，可与网上银行系统配合，做到日清月结、每日核对、账实相符、账账相符、互相监督；</w:t>
            </w:r>
          </w:p>
          <w:p>
            <w:pPr>
              <w:numPr>
                <w:ilvl w:val="0"/>
                <w:numId w:val="1"/>
              </w:numPr>
              <w:spacing w:line="360" w:lineRule="auto"/>
              <w:jc w:val="left"/>
              <w:rPr>
                <w:rFonts w:ascii="宋体" w:hAnsi="宋体" w:cs="仿宋"/>
                <w:bCs/>
                <w:sz w:val="20"/>
                <w:szCs w:val="20"/>
              </w:rPr>
            </w:pPr>
            <w:r>
              <w:rPr>
                <w:rFonts w:hint="eastAsia" w:ascii="宋体" w:hAnsi="宋体" w:cs="仿宋"/>
                <w:bCs/>
                <w:sz w:val="20"/>
                <w:szCs w:val="20"/>
              </w:rPr>
              <w:t>仓储系统主要包括单据录入、单据查询、物料编码、物料明细等功能，实现对企业物料数据的动态管理；仓储系统可以帮助学生了解企业物料账目的产生过程，帮助学生理解会计账目与物料账目的关系与核对方法，增加对物料监管的意识和经验，体会如何用会计语言描述企业资产和经营状况；</w:t>
            </w:r>
          </w:p>
          <w:p>
            <w:pPr>
              <w:numPr>
                <w:ilvl w:val="0"/>
                <w:numId w:val="1"/>
              </w:numPr>
              <w:spacing w:line="360" w:lineRule="auto"/>
              <w:jc w:val="left"/>
              <w:rPr>
                <w:rFonts w:ascii="宋体" w:hAnsi="宋体" w:cs="仿宋"/>
                <w:bCs/>
                <w:sz w:val="20"/>
                <w:szCs w:val="20"/>
              </w:rPr>
            </w:pPr>
            <w:r>
              <w:rPr>
                <w:rFonts w:hint="eastAsia" w:ascii="宋体" w:hAnsi="宋体" w:cs="仿宋"/>
                <w:bCs/>
                <w:sz w:val="20"/>
                <w:szCs w:val="20"/>
              </w:rPr>
              <w:t>增值税防伪税控开票系统模拟现实开票系统，包括商品编码和客户编码的系统设置、发票读入和发票填开（增值税专用发票填开、增值税普通发票填开）发票作废、红字发票、库存查询，汇总查询、发票打印等功能，同时可直接将产生的增值税发票记账联传递到会计电算化系统单据面板，可直接附加到记账凭证中，并且支持原始凭证复印功能；</w:t>
            </w:r>
          </w:p>
          <w:p>
            <w:pPr>
              <w:numPr>
                <w:ilvl w:val="0"/>
                <w:numId w:val="1"/>
              </w:numPr>
              <w:spacing w:line="360" w:lineRule="auto"/>
              <w:jc w:val="left"/>
              <w:rPr>
                <w:rFonts w:ascii="宋体" w:hAnsi="宋体" w:cs="仿宋"/>
                <w:bCs/>
                <w:sz w:val="20"/>
                <w:szCs w:val="20"/>
              </w:rPr>
            </w:pPr>
            <w:r>
              <w:rPr>
                <w:rFonts w:hint="eastAsia" w:ascii="宋体" w:hAnsi="宋体" w:cs="仿宋"/>
                <w:bCs/>
                <w:sz w:val="20"/>
                <w:szCs w:val="20"/>
              </w:rPr>
              <w:t>增值税防伪税控开票系统模拟金税盘发售增值税专用发票和普通发票；</w:t>
            </w:r>
          </w:p>
          <w:p>
            <w:pPr>
              <w:numPr>
                <w:ilvl w:val="0"/>
                <w:numId w:val="1"/>
              </w:numPr>
              <w:spacing w:line="360" w:lineRule="auto"/>
              <w:jc w:val="left"/>
              <w:rPr>
                <w:rFonts w:ascii="宋体" w:hAnsi="宋体" w:cs="仿宋"/>
                <w:bCs/>
                <w:sz w:val="20"/>
                <w:szCs w:val="20"/>
              </w:rPr>
            </w:pPr>
            <w:r>
              <w:rPr>
                <w:rFonts w:hint="eastAsia" w:ascii="宋体" w:hAnsi="宋体" w:cs="仿宋"/>
                <w:bCs/>
                <w:sz w:val="20"/>
                <w:szCs w:val="20"/>
              </w:rPr>
              <w:t>网上税务局系统分为网上办税、网上认证两个模块。网上办税模块仿真真实网上办税客户端及界面，能够进行增值税、企业所得税、附加税、印花税、房产税、土地使用税等税种的申报；网上认证模块能够模拟实现外来增值税专用发票抵扣联网上认证操作的功能（具有手工认证、扫描认证、勾选认证三种方式）。网上办税系统与平台其他业务系统、账务系统、税务系统的数据关联勾稽，支持系统间数据核算与核对，形成了完整的网上认证、计税、报税、税款缴纳、账务处理工作链。</w:t>
            </w:r>
          </w:p>
          <w:p>
            <w:pPr>
              <w:numPr>
                <w:ilvl w:val="0"/>
                <w:numId w:val="1"/>
              </w:numPr>
              <w:spacing w:line="360" w:lineRule="auto"/>
              <w:jc w:val="left"/>
              <w:rPr>
                <w:rFonts w:ascii="宋体" w:hAnsi="宋体" w:cs="仿宋"/>
                <w:bCs/>
                <w:sz w:val="20"/>
                <w:szCs w:val="20"/>
              </w:rPr>
            </w:pPr>
            <w:r>
              <w:rPr>
                <w:rFonts w:hint="eastAsia" w:ascii="宋体" w:hAnsi="宋体" w:cs="仿宋"/>
                <w:bCs/>
                <w:sz w:val="20"/>
                <w:szCs w:val="20"/>
              </w:rPr>
              <w:t>网上办税系统完成纳税申报后，产生的纳税回单，传递到会计信息化系统单据面板，可直接附加到记账凭证中，并且支持原始凭证复印功能；</w:t>
            </w:r>
          </w:p>
          <w:p>
            <w:pPr>
              <w:numPr>
                <w:ilvl w:val="0"/>
                <w:numId w:val="1"/>
              </w:numPr>
              <w:spacing w:line="360" w:lineRule="auto"/>
              <w:jc w:val="left"/>
              <w:rPr>
                <w:rFonts w:ascii="宋体" w:hAnsi="宋体" w:cs="仿宋"/>
                <w:bCs/>
                <w:sz w:val="20"/>
                <w:szCs w:val="20"/>
              </w:rPr>
            </w:pPr>
            <w:r>
              <w:rPr>
                <w:rFonts w:hint="eastAsia" w:ascii="宋体" w:hAnsi="宋体" w:cs="仿宋"/>
                <w:bCs/>
                <w:sz w:val="20"/>
                <w:szCs w:val="20"/>
              </w:rPr>
              <w:t>自然人税收管理系统仿真模拟最新版金税三期税收管理系统，可进行个人所得税网上申报，包括人员登记、报表填写、申报表报送、申报更正、网上缴费、查询统计等功能，并且完成纳税申报后，产生的纳税回单，传递到会计电算化系统单据面板，可直接附加到记账凭证中，并且支持原始凭证复印功能；</w:t>
            </w:r>
          </w:p>
          <w:p>
            <w:pPr>
              <w:numPr>
                <w:ilvl w:val="0"/>
                <w:numId w:val="1"/>
              </w:numPr>
              <w:spacing w:line="360" w:lineRule="auto"/>
              <w:jc w:val="left"/>
              <w:rPr>
                <w:rFonts w:ascii="宋体" w:hAnsi="宋体" w:cs="仿宋"/>
                <w:bCs/>
                <w:sz w:val="20"/>
                <w:szCs w:val="20"/>
              </w:rPr>
            </w:pPr>
            <w:r>
              <w:rPr>
                <w:rFonts w:hint="eastAsia" w:ascii="宋体" w:hAnsi="宋体" w:cs="仿宋"/>
                <w:bCs/>
                <w:sz w:val="20"/>
                <w:szCs w:val="20"/>
              </w:rPr>
              <w:t>财务分析系统直接读取会计信息化系统中生成的数据，产生如营业收入结构分析、主营业务收入趋势分析、销售毛利率分析、全部成本费用分析、期间费用结构分析、税前利润分析、净利润贡献分析、营运能力分析、偿债能力分析、盈利能力析、杜邦分析图，显示为柱状图、饼图，具有报表自定义功能，自定义设计分析报表；</w:t>
            </w:r>
          </w:p>
          <w:p>
            <w:pPr>
              <w:numPr>
                <w:ilvl w:val="0"/>
                <w:numId w:val="1"/>
              </w:numPr>
              <w:spacing w:line="360" w:lineRule="auto"/>
              <w:jc w:val="left"/>
              <w:rPr>
                <w:rFonts w:ascii="宋体" w:hAnsi="宋体" w:cs="仿宋"/>
                <w:bCs/>
                <w:sz w:val="20"/>
                <w:szCs w:val="20"/>
              </w:rPr>
            </w:pPr>
            <w:r>
              <w:rPr>
                <w:rFonts w:hint="eastAsia" w:ascii="宋体" w:hAnsi="宋体" w:cs="仿宋"/>
                <w:bCs/>
                <w:sz w:val="20"/>
                <w:szCs w:val="20"/>
              </w:rPr>
              <w:t>计算机审计系统中包含取数功能，从会计信息化系统中取数；包括审计取数、账套信息查询、风险评估、内控测试、凭证借贷平衡检查、凭证异常对应检查、凭证典型对应检查、对应科目检查、凭证大额分析检查、凭证抽样检查、凭证条件检查、冲销凭证检查、实质测试、调整分录、调整分录汇总、试算平衡、审计报告等功能；</w:t>
            </w:r>
          </w:p>
          <w:p>
            <w:pPr>
              <w:numPr>
                <w:ilvl w:val="0"/>
                <w:numId w:val="1"/>
              </w:numPr>
              <w:spacing w:line="360" w:lineRule="auto"/>
              <w:jc w:val="left"/>
              <w:rPr>
                <w:rFonts w:ascii="宋体" w:hAnsi="宋体" w:cs="仿宋"/>
                <w:bCs/>
                <w:sz w:val="20"/>
                <w:szCs w:val="20"/>
              </w:rPr>
            </w:pPr>
            <w:r>
              <w:rPr>
                <w:rFonts w:hint="eastAsia" w:ascii="宋体" w:hAnsi="宋体" w:cs="仿宋"/>
                <w:bCs/>
                <w:sz w:val="20"/>
                <w:szCs w:val="20"/>
              </w:rPr>
              <w:t>帮助系统包括快速入门和使用说明，可以帮助学生自主学习平台各系统功能如何操作，帮助学生快速了解平台实训模式、岗位分工、系统权限设置、业务办理等内容，方便学生训练时自主完成训练任务，培养了学生的自主学习能力；</w:t>
            </w:r>
          </w:p>
          <w:p>
            <w:pPr>
              <w:numPr>
                <w:ilvl w:val="0"/>
                <w:numId w:val="1"/>
              </w:numPr>
              <w:spacing w:line="360" w:lineRule="auto"/>
              <w:jc w:val="left"/>
              <w:rPr>
                <w:rFonts w:ascii="宋体" w:hAnsi="宋体" w:cs="仿宋"/>
                <w:bCs/>
                <w:sz w:val="20"/>
                <w:szCs w:val="20"/>
              </w:rPr>
            </w:pPr>
            <w:r>
              <w:rPr>
                <w:rFonts w:hint="eastAsia" w:ascii="宋体" w:hAnsi="宋体" w:cs="仿宋"/>
                <w:bCs/>
                <w:sz w:val="20"/>
                <w:szCs w:val="20"/>
              </w:rPr>
              <w:t>评价系统通过过程评价、逻辑评价、结果评价三种方式进行综合评价，更客观地评价出学生的训练情况；</w:t>
            </w:r>
          </w:p>
          <w:p>
            <w:pPr>
              <w:numPr>
                <w:ilvl w:val="0"/>
                <w:numId w:val="1"/>
              </w:numPr>
              <w:spacing w:line="360" w:lineRule="auto"/>
              <w:jc w:val="left"/>
              <w:rPr>
                <w:rFonts w:ascii="宋体" w:hAnsi="宋体" w:cs="仿宋"/>
                <w:bCs/>
                <w:sz w:val="20"/>
                <w:szCs w:val="20"/>
              </w:rPr>
            </w:pPr>
            <w:r>
              <w:rPr>
                <w:rFonts w:hint="eastAsia" w:ascii="宋体" w:hAnsi="宋体" w:cs="仿宋"/>
                <w:bCs/>
                <w:sz w:val="20"/>
                <w:szCs w:val="20"/>
              </w:rPr>
              <w:t>★终端载体单机版内置微课制作功能：（本条参数为核心参数，现场需演示，现场未能演示或演示不满足本条要求，视为投标无效。）</w:t>
            </w:r>
          </w:p>
          <w:p>
            <w:pPr>
              <w:spacing w:line="360" w:lineRule="auto"/>
              <w:ind w:left="360"/>
              <w:rPr>
                <w:rFonts w:ascii="宋体" w:hAnsi="宋体" w:cs="仿宋"/>
                <w:bCs/>
                <w:sz w:val="20"/>
                <w:szCs w:val="20"/>
              </w:rPr>
            </w:pPr>
            <w:r>
              <w:rPr>
                <w:rFonts w:hint="eastAsia" w:ascii="宋体" w:hAnsi="宋体" w:cs="仿宋"/>
                <w:bCs/>
                <w:sz w:val="20"/>
                <w:szCs w:val="20"/>
              </w:rPr>
              <w:t>21.1可直接导入PPT并保留PPT所有动画效果，生成视频微课；</w:t>
            </w:r>
          </w:p>
          <w:p>
            <w:pPr>
              <w:spacing w:line="360" w:lineRule="auto"/>
              <w:ind w:left="360"/>
              <w:rPr>
                <w:rFonts w:ascii="宋体" w:hAnsi="宋体" w:cs="仿宋"/>
                <w:bCs/>
                <w:sz w:val="20"/>
                <w:szCs w:val="20"/>
              </w:rPr>
            </w:pPr>
            <w:r>
              <w:rPr>
                <w:rFonts w:hint="eastAsia" w:ascii="宋体" w:hAnsi="宋体" w:cs="仿宋"/>
                <w:bCs/>
                <w:sz w:val="20"/>
                <w:szCs w:val="20"/>
              </w:rPr>
              <w:t>21.2制作过程可自动录音，可合成至生成的视频微课中；</w:t>
            </w:r>
          </w:p>
          <w:p>
            <w:pPr>
              <w:spacing w:line="360" w:lineRule="auto"/>
              <w:ind w:left="360"/>
              <w:rPr>
                <w:rFonts w:ascii="宋体" w:hAnsi="宋体" w:cs="仿宋"/>
                <w:bCs/>
                <w:sz w:val="20"/>
                <w:szCs w:val="20"/>
              </w:rPr>
            </w:pPr>
            <w:r>
              <w:rPr>
                <w:rFonts w:hint="eastAsia" w:ascii="宋体" w:hAnsi="宋体" w:cs="仿宋"/>
                <w:bCs/>
                <w:sz w:val="20"/>
                <w:szCs w:val="20"/>
              </w:rPr>
              <w:t>21.3微课制作时支持支持两个摄像头切换录制，第一摄像头和第二摄像头可随时切换录制现场人像或现场展示资料，录制内容可合成至生成的视频微课中；</w:t>
            </w:r>
          </w:p>
          <w:p>
            <w:pPr>
              <w:spacing w:line="360" w:lineRule="auto"/>
              <w:ind w:left="360"/>
              <w:rPr>
                <w:rFonts w:ascii="宋体" w:hAnsi="宋体" w:cs="仿宋"/>
                <w:bCs/>
                <w:sz w:val="20"/>
                <w:szCs w:val="20"/>
              </w:rPr>
            </w:pPr>
            <w:r>
              <w:rPr>
                <w:rFonts w:hint="eastAsia" w:ascii="宋体" w:hAnsi="宋体" w:cs="仿宋"/>
                <w:bCs/>
                <w:sz w:val="20"/>
                <w:szCs w:val="20"/>
              </w:rPr>
              <w:t>21.4微课制作过程中可随时板书，录制板书操作，并合成到生成的视频微课；</w:t>
            </w:r>
          </w:p>
          <w:p>
            <w:pPr>
              <w:spacing w:line="360" w:lineRule="auto"/>
              <w:ind w:left="360"/>
              <w:rPr>
                <w:rFonts w:ascii="宋体" w:hAnsi="宋体" w:cs="仿宋"/>
                <w:bCs/>
                <w:sz w:val="20"/>
                <w:szCs w:val="20"/>
              </w:rPr>
            </w:pPr>
            <w:r>
              <w:rPr>
                <w:rFonts w:hint="eastAsia" w:ascii="宋体" w:hAnsi="宋体" w:cs="仿宋"/>
                <w:bCs/>
                <w:sz w:val="20"/>
                <w:szCs w:val="20"/>
              </w:rPr>
              <w:t>21.5微课保存为视频时，可选择添加背景音乐，使制作的微课全程具有背景音乐效果，背景音乐提供多种选择；</w:t>
            </w:r>
          </w:p>
          <w:p>
            <w:pPr>
              <w:numPr>
                <w:ilvl w:val="0"/>
                <w:numId w:val="1"/>
              </w:numPr>
              <w:spacing w:line="360" w:lineRule="auto"/>
              <w:jc w:val="left"/>
              <w:rPr>
                <w:rFonts w:ascii="宋体" w:hAnsi="宋体" w:cs="仿宋"/>
                <w:bCs/>
                <w:sz w:val="20"/>
                <w:szCs w:val="20"/>
              </w:rPr>
            </w:pPr>
            <w:r>
              <w:rPr>
                <w:rFonts w:hint="eastAsia" w:ascii="宋体" w:hAnsi="宋体" w:cs="仿宋"/>
                <w:bCs/>
                <w:sz w:val="20"/>
                <w:szCs w:val="20"/>
              </w:rPr>
              <w:t>平台包括多种类型主体企业，提供持续经营的十二个月的一般纳税人新会计准则工业企业，初设立的一般纳税人新会计准则商业企业以及一般纳税人小企业准则工业企业及小规模纳税人小企业准则商业企业等；</w:t>
            </w:r>
          </w:p>
          <w:p>
            <w:pPr>
              <w:numPr>
                <w:ilvl w:val="0"/>
                <w:numId w:val="1"/>
              </w:numPr>
              <w:spacing w:line="360" w:lineRule="auto"/>
              <w:jc w:val="left"/>
              <w:rPr>
                <w:rFonts w:ascii="宋体" w:hAnsi="宋体" w:cs="仿宋"/>
                <w:bCs/>
                <w:sz w:val="20"/>
                <w:szCs w:val="20"/>
              </w:rPr>
            </w:pPr>
            <w:r>
              <w:rPr>
                <w:rFonts w:hint="eastAsia" w:ascii="宋体" w:hAnsi="宋体" w:cs="仿宋"/>
                <w:bCs/>
                <w:sz w:val="20"/>
                <w:szCs w:val="20"/>
              </w:rPr>
              <w:t>具有统计分析功能，图表方式统计某一次比赛每一道题目的得分率，并可进入详细查看这一题全部学员的答题情况及得分情况；</w:t>
            </w:r>
          </w:p>
          <w:p>
            <w:pPr>
              <w:numPr>
                <w:ilvl w:val="0"/>
                <w:numId w:val="1"/>
              </w:numPr>
              <w:spacing w:line="360" w:lineRule="auto"/>
              <w:jc w:val="left"/>
              <w:rPr>
                <w:rFonts w:ascii="宋体" w:hAnsi="宋体" w:cs="仿宋"/>
                <w:bCs/>
                <w:sz w:val="20"/>
                <w:szCs w:val="20"/>
              </w:rPr>
            </w:pPr>
            <w:r>
              <w:rPr>
                <w:rFonts w:hint="eastAsia" w:ascii="宋体" w:hAnsi="宋体" w:cs="仿宋"/>
                <w:bCs/>
                <w:sz w:val="20"/>
                <w:szCs w:val="20"/>
              </w:rPr>
              <w:t xml:space="preserve">★平台配套手机APP版，实现云课堂功能，可以为老师学生在互联环境下达到沟通、资源共享、课堂考核的作用，体验互动教学与作业跟踪等新的教学模式。投标现场需手机APP演示以下功能：（本条参数为核心参数，现场需演示，现场未能演示或演示不满足本条要求，视为投标无效。） </w:t>
            </w:r>
          </w:p>
          <w:p>
            <w:pPr>
              <w:spacing w:line="360" w:lineRule="auto"/>
              <w:ind w:left="360"/>
              <w:rPr>
                <w:rFonts w:ascii="宋体" w:hAnsi="宋体" w:cs="仿宋"/>
                <w:bCs/>
                <w:sz w:val="20"/>
                <w:szCs w:val="20"/>
              </w:rPr>
            </w:pPr>
            <w:r>
              <w:rPr>
                <w:rFonts w:hint="eastAsia" w:ascii="宋体" w:hAnsi="宋体" w:cs="仿宋"/>
                <w:bCs/>
                <w:sz w:val="20"/>
                <w:szCs w:val="20"/>
              </w:rPr>
              <w:t>24.1自定义签到：教师端可自定义课堂签到手势，学生端即可以规定手势进行签到。</w:t>
            </w:r>
          </w:p>
          <w:p>
            <w:pPr>
              <w:spacing w:line="360" w:lineRule="auto"/>
              <w:ind w:left="360"/>
              <w:rPr>
                <w:rFonts w:ascii="宋体" w:hAnsi="宋体" w:cs="仿宋"/>
                <w:bCs/>
                <w:sz w:val="20"/>
                <w:szCs w:val="20"/>
              </w:rPr>
            </w:pPr>
            <w:r>
              <w:rPr>
                <w:rFonts w:hint="eastAsia" w:ascii="宋体" w:hAnsi="宋体" w:cs="仿宋"/>
                <w:bCs/>
                <w:sz w:val="20"/>
                <w:szCs w:val="20"/>
              </w:rPr>
              <w:t>24.2投票管理：教师端可自主编辑投票的标题、投票的内容、投票后是否立即显示结果、投票。学生端即可参与老师编辑好的投票；</w:t>
            </w:r>
          </w:p>
          <w:p>
            <w:pPr>
              <w:spacing w:line="360" w:lineRule="auto"/>
              <w:ind w:left="360"/>
              <w:rPr>
                <w:rFonts w:ascii="宋体" w:hAnsi="宋体" w:cs="仿宋"/>
                <w:bCs/>
                <w:sz w:val="20"/>
                <w:szCs w:val="20"/>
              </w:rPr>
            </w:pPr>
            <w:r>
              <w:rPr>
                <w:rFonts w:hint="eastAsia" w:ascii="宋体" w:hAnsi="宋体" w:cs="仿宋"/>
                <w:bCs/>
                <w:sz w:val="20"/>
                <w:szCs w:val="20"/>
              </w:rPr>
              <w:t>24.3讨论功能：学生和老师可以在APP的班级群里进行问题讨论，数据实时互动；</w:t>
            </w:r>
          </w:p>
          <w:p>
            <w:pPr>
              <w:spacing w:line="360" w:lineRule="auto"/>
              <w:ind w:left="360"/>
              <w:rPr>
                <w:rFonts w:ascii="宋体" w:hAnsi="宋体" w:cs="仿宋"/>
                <w:bCs/>
                <w:sz w:val="20"/>
                <w:szCs w:val="20"/>
              </w:rPr>
            </w:pPr>
            <w:r>
              <w:rPr>
                <w:rFonts w:hint="eastAsia" w:ascii="宋体" w:hAnsi="宋体" w:cs="仿宋"/>
                <w:bCs/>
                <w:sz w:val="20"/>
                <w:szCs w:val="20"/>
              </w:rPr>
              <w:t>24.4签章划线功能：APP版支持实务题签章划线。记账凭证支持盖章，盖章位置直接通过手势滑动确定位置，记账凭证支持画线，画线起点终点位置直接通过手势滑动确定，实训题支持业务流程，具有提交下一步、退回上一步操作功能，能够进行智能答案判断，错误之处使用深色背景标识；</w:t>
            </w:r>
          </w:p>
          <w:p>
            <w:pPr>
              <w:numPr>
                <w:ilvl w:val="0"/>
                <w:numId w:val="1"/>
              </w:numPr>
              <w:spacing w:line="360" w:lineRule="auto"/>
              <w:jc w:val="left"/>
              <w:rPr>
                <w:rFonts w:ascii="宋体" w:hAnsi="宋体" w:cs="仿宋"/>
                <w:bCs/>
                <w:sz w:val="20"/>
                <w:szCs w:val="20"/>
              </w:rPr>
            </w:pPr>
            <w:r>
              <w:rPr>
                <w:rFonts w:hint="eastAsia" w:ascii="宋体" w:hAnsi="宋体" w:cs="仿宋"/>
                <w:bCs/>
                <w:sz w:val="20"/>
                <w:szCs w:val="20"/>
              </w:rPr>
              <w:t>★平台配套会计信息化账务处理手机APP，供学生移动学习体验会计信息化常见功能模块：（本条参数为核心参数，现场需演示，现场未能演示或演示不满足本条要求，视为投标无效。）</w:t>
            </w:r>
          </w:p>
          <w:p>
            <w:pPr>
              <w:spacing w:line="360" w:lineRule="auto"/>
              <w:ind w:left="360"/>
              <w:rPr>
                <w:rFonts w:ascii="宋体" w:hAnsi="宋体" w:cs="仿宋"/>
                <w:bCs/>
                <w:sz w:val="20"/>
                <w:szCs w:val="20"/>
              </w:rPr>
            </w:pPr>
            <w:r>
              <w:rPr>
                <w:rFonts w:hint="eastAsia" w:ascii="宋体" w:hAnsi="宋体" w:cs="仿宋"/>
                <w:bCs/>
                <w:sz w:val="20"/>
                <w:szCs w:val="20"/>
              </w:rPr>
              <w:t>25.1初始设置：登录后可自定义创建账套，若已有账套，则直接进入角色登录界面；</w:t>
            </w:r>
          </w:p>
          <w:p>
            <w:pPr>
              <w:spacing w:line="360" w:lineRule="auto"/>
              <w:ind w:left="360"/>
              <w:rPr>
                <w:rFonts w:ascii="宋体" w:hAnsi="宋体" w:cs="仿宋"/>
                <w:bCs/>
                <w:sz w:val="20"/>
                <w:szCs w:val="20"/>
              </w:rPr>
            </w:pPr>
            <w:r>
              <w:rPr>
                <w:rFonts w:hint="eastAsia" w:ascii="宋体" w:hAnsi="宋体" w:cs="仿宋"/>
                <w:bCs/>
                <w:sz w:val="20"/>
                <w:szCs w:val="20"/>
              </w:rPr>
              <w:t>25.2角色登录：提供四个岗位角色登录，支持网络版管理员针对实际情况分配角色登录权限；</w:t>
            </w:r>
          </w:p>
          <w:p>
            <w:pPr>
              <w:spacing w:line="360" w:lineRule="auto"/>
              <w:ind w:left="360"/>
              <w:rPr>
                <w:rFonts w:ascii="宋体" w:hAnsi="宋体" w:cs="仿宋"/>
                <w:bCs/>
                <w:sz w:val="20"/>
                <w:szCs w:val="20"/>
              </w:rPr>
            </w:pPr>
            <w:r>
              <w:rPr>
                <w:rFonts w:hint="eastAsia" w:ascii="宋体" w:hAnsi="宋体" w:cs="仿宋"/>
                <w:bCs/>
                <w:sz w:val="20"/>
                <w:szCs w:val="20"/>
              </w:rPr>
              <w:t>25.3登录首页：包含凭证列表、审核凭证、记账、期末结账、结转损益、财务报表、查询/修改、明细账、总账、科目余额表等十个子功能模块。</w:t>
            </w:r>
          </w:p>
          <w:p>
            <w:pPr>
              <w:numPr>
                <w:ilvl w:val="0"/>
                <w:numId w:val="1"/>
              </w:numPr>
              <w:spacing w:line="360" w:lineRule="auto"/>
              <w:jc w:val="left"/>
              <w:rPr>
                <w:rFonts w:ascii="宋体" w:hAnsi="宋体" w:cs="仿宋"/>
                <w:bCs/>
                <w:sz w:val="20"/>
                <w:szCs w:val="20"/>
              </w:rPr>
            </w:pPr>
            <w:r>
              <w:rPr>
                <w:rFonts w:hint="eastAsia" w:ascii="宋体" w:hAnsi="宋体" w:cs="仿宋"/>
                <w:bCs/>
                <w:sz w:val="20"/>
                <w:szCs w:val="20"/>
              </w:rPr>
              <w:t>平台免费配套纸质单据套装，其中每一套内含空白支票（2张），银行回单、税单（1本45张），付款申请单据、报销单、借款单（1本31张），外来增值税发票（1本28张），空白票据（一式三联带复写，流水号码15张），入库单、领料单、销售单、出库单（1本123张），单据簿（1本96张）；</w:t>
            </w:r>
          </w:p>
          <w:p>
            <w:pPr>
              <w:numPr>
                <w:ilvl w:val="0"/>
                <w:numId w:val="1"/>
              </w:numPr>
              <w:spacing w:line="360" w:lineRule="auto"/>
              <w:jc w:val="left"/>
              <w:rPr>
                <w:rFonts w:ascii="宋体" w:hAnsi="宋体" w:cs="仿宋"/>
                <w:bCs/>
                <w:sz w:val="20"/>
                <w:szCs w:val="20"/>
              </w:rPr>
            </w:pPr>
            <w:r>
              <w:rPr>
                <w:rFonts w:hint="eastAsia" w:ascii="宋体" w:hAnsi="宋体" w:cs="仿宋"/>
                <w:bCs/>
                <w:sz w:val="20"/>
                <w:szCs w:val="20"/>
              </w:rPr>
              <w:t>★互动小游戏主要功能：（本条参数为核心参数，现场需演示，现场未能演示或演示不满足本条要求，视为投标无效。）</w:t>
            </w:r>
          </w:p>
          <w:p>
            <w:pPr>
              <w:spacing w:line="360" w:lineRule="auto"/>
              <w:ind w:left="360"/>
              <w:rPr>
                <w:rFonts w:ascii="宋体" w:hAnsi="宋体" w:cs="仿宋"/>
                <w:bCs/>
                <w:sz w:val="20"/>
                <w:szCs w:val="20"/>
              </w:rPr>
            </w:pPr>
            <w:r>
              <w:rPr>
                <w:rFonts w:hint="eastAsia" w:ascii="宋体" w:hAnsi="宋体" w:cs="仿宋"/>
                <w:bCs/>
                <w:sz w:val="20"/>
                <w:szCs w:val="20"/>
              </w:rPr>
              <w:t>27.1提供多个终端使用功能：游戏支持电脑、手机等终端使用；</w:t>
            </w:r>
          </w:p>
          <w:p>
            <w:pPr>
              <w:spacing w:line="360" w:lineRule="auto"/>
              <w:ind w:left="360"/>
              <w:rPr>
                <w:rFonts w:ascii="宋体" w:hAnsi="宋体" w:cs="仿宋"/>
                <w:bCs/>
                <w:sz w:val="20"/>
                <w:szCs w:val="20"/>
              </w:rPr>
            </w:pPr>
            <w:r>
              <w:rPr>
                <w:rFonts w:hint="eastAsia" w:ascii="宋体" w:hAnsi="宋体" w:cs="仿宋"/>
                <w:bCs/>
                <w:sz w:val="20"/>
                <w:szCs w:val="20"/>
              </w:rPr>
              <w:t>27.2在线游戏互动功能：学生可通过手机扫描系统的中会计游戏二维码，实现在手机上进行随堂游戏的互动体验；</w:t>
            </w:r>
          </w:p>
          <w:p>
            <w:pPr>
              <w:spacing w:line="360" w:lineRule="auto"/>
              <w:ind w:left="360"/>
              <w:rPr>
                <w:rFonts w:ascii="宋体" w:hAnsi="宋体" w:cs="仿宋"/>
                <w:bCs/>
                <w:sz w:val="20"/>
                <w:szCs w:val="20"/>
              </w:rPr>
            </w:pPr>
            <w:r>
              <w:rPr>
                <w:rFonts w:hint="eastAsia" w:ascii="宋体" w:hAnsi="宋体" w:cs="仿宋"/>
                <w:bCs/>
                <w:sz w:val="20"/>
                <w:szCs w:val="20"/>
              </w:rPr>
              <w:t>27.3竞赛排行功能：支持竞赛比拼并提供班级排行，增加课堂趣味性；可重复进行游戏，排行分数选取前三次的最高分。</w:t>
            </w:r>
          </w:p>
          <w:p>
            <w:pPr>
              <w:spacing w:line="360" w:lineRule="auto"/>
              <w:rPr>
                <w:b/>
                <w:bCs/>
              </w:rPr>
            </w:pPr>
            <w:r>
              <w:rPr>
                <w:rFonts w:hint="eastAsia"/>
                <w:b/>
                <w:bCs/>
              </w:rPr>
              <w:t>（二）业务参数</w:t>
            </w:r>
          </w:p>
          <w:p>
            <w:pPr>
              <w:numPr>
                <w:ilvl w:val="0"/>
                <w:numId w:val="2"/>
              </w:numPr>
              <w:spacing w:line="360" w:lineRule="auto"/>
              <w:jc w:val="left"/>
              <w:rPr>
                <w:rFonts w:ascii="宋体" w:hAnsi="宋体" w:cs="仿宋"/>
                <w:bCs/>
                <w:sz w:val="20"/>
                <w:szCs w:val="20"/>
              </w:rPr>
            </w:pPr>
            <w:r>
              <w:rPr>
                <w:rFonts w:hint="eastAsia" w:ascii="宋体" w:hAnsi="宋体" w:cs="仿宋"/>
                <w:bCs/>
                <w:sz w:val="20"/>
                <w:szCs w:val="20"/>
              </w:rPr>
              <w:t>行业账套内容：</w:t>
            </w:r>
          </w:p>
          <w:p>
            <w:pPr>
              <w:spacing w:line="360" w:lineRule="auto"/>
              <w:ind w:left="420"/>
              <w:rPr>
                <w:rFonts w:ascii="宋体" w:hAnsi="宋体" w:cs="宋体"/>
                <w:sz w:val="20"/>
                <w:szCs w:val="20"/>
              </w:rPr>
            </w:pPr>
            <w:r>
              <w:rPr>
                <w:rFonts w:hint="eastAsia" w:ascii="宋体" w:hAnsi="宋体" w:cs="宋体"/>
                <w:sz w:val="20"/>
                <w:szCs w:val="20"/>
              </w:rPr>
              <w:t>1.1工业企业：</w:t>
            </w:r>
          </w:p>
          <w:p>
            <w:pPr>
              <w:spacing w:line="360" w:lineRule="auto"/>
              <w:ind w:left="420"/>
              <w:rPr>
                <w:rFonts w:ascii="宋体" w:hAnsi="宋体" w:cs="宋体"/>
                <w:sz w:val="20"/>
                <w:szCs w:val="20"/>
              </w:rPr>
            </w:pPr>
            <w:r>
              <w:rPr>
                <w:rFonts w:hint="eastAsia" w:ascii="宋体" w:hAnsi="宋体" w:cs="宋体"/>
                <w:sz w:val="20"/>
                <w:szCs w:val="20"/>
              </w:rPr>
              <w:t>本业务内容为连续经营企业，财会职业能力养成平台核心业务，为制造业一般纳税人，采用新《企业会计准则》核算。业务内容包括连续12个月连贯业务，每个月不少于100笔典型经济业务，涉及到筹融资业务、投资业务、日常业务、经营业务、特殊业务等；</w:t>
            </w:r>
          </w:p>
          <w:p>
            <w:pPr>
              <w:spacing w:line="360" w:lineRule="auto"/>
              <w:ind w:left="420"/>
              <w:rPr>
                <w:rFonts w:ascii="宋体" w:hAnsi="宋体" w:cs="宋体"/>
                <w:sz w:val="20"/>
                <w:szCs w:val="20"/>
              </w:rPr>
            </w:pPr>
            <w:r>
              <w:rPr>
                <w:rFonts w:hint="eastAsia" w:ascii="宋体" w:hAnsi="宋体" w:cs="宋体"/>
                <w:sz w:val="20"/>
                <w:szCs w:val="20"/>
              </w:rPr>
              <w:t>1.2贸易企业</w:t>
            </w:r>
          </w:p>
          <w:p>
            <w:pPr>
              <w:spacing w:line="360" w:lineRule="auto"/>
              <w:ind w:left="420"/>
              <w:rPr>
                <w:rFonts w:ascii="宋体" w:hAnsi="宋体" w:cs="宋体"/>
                <w:sz w:val="20"/>
                <w:szCs w:val="20"/>
              </w:rPr>
            </w:pPr>
            <w:r>
              <w:rPr>
                <w:rFonts w:hint="eastAsia" w:ascii="宋体" w:hAnsi="宋体" w:cs="宋体"/>
                <w:sz w:val="20"/>
                <w:szCs w:val="20"/>
              </w:rPr>
              <w:t>本业务内容为新设企业，财会职业能力养成平台核心业务，为商业一般纳税人，采用新《企业会计准则》核算。业务内容包括新设2个月业务，将涉及到企业设立开办业务、筹资业务、投资业务、日常业务、采购业务、委托加工业务、销售业务等；</w:t>
            </w:r>
          </w:p>
          <w:p>
            <w:pPr>
              <w:spacing w:line="360" w:lineRule="auto"/>
              <w:ind w:left="420"/>
              <w:rPr>
                <w:rFonts w:ascii="宋体" w:hAnsi="宋体" w:cs="宋体"/>
                <w:sz w:val="20"/>
                <w:szCs w:val="20"/>
              </w:rPr>
            </w:pPr>
            <w:r>
              <w:rPr>
                <w:rFonts w:hint="eastAsia" w:ascii="宋体" w:hAnsi="宋体" w:cs="宋体"/>
                <w:sz w:val="20"/>
                <w:szCs w:val="20"/>
              </w:rPr>
              <w:t>1.3小规模纳税人企业</w:t>
            </w:r>
          </w:p>
          <w:p>
            <w:pPr>
              <w:spacing w:line="360" w:lineRule="auto"/>
              <w:ind w:left="420"/>
              <w:rPr>
                <w:rFonts w:ascii="宋体" w:hAnsi="宋体" w:cs="宋体"/>
                <w:sz w:val="20"/>
                <w:szCs w:val="20"/>
              </w:rPr>
            </w:pPr>
            <w:r>
              <w:rPr>
                <w:rFonts w:hint="eastAsia" w:ascii="宋体" w:hAnsi="宋体" w:cs="宋体"/>
                <w:sz w:val="20"/>
                <w:szCs w:val="20"/>
              </w:rPr>
              <w:t>本业务内容为连续经营企业，财会职业能力养成平台核心业务，为制造业小规模纳税人，采用新《企业会计准则》核算。业务内容包括连续2个月业务，将涉及到筹资业务、投资业务、日常业务、采购业务、委托加工业务、销售业务等；</w:t>
            </w:r>
          </w:p>
          <w:p>
            <w:pPr>
              <w:spacing w:line="360" w:lineRule="auto"/>
              <w:ind w:left="420"/>
              <w:rPr>
                <w:rFonts w:ascii="宋体" w:hAnsi="宋体" w:cs="宋体"/>
                <w:sz w:val="20"/>
                <w:szCs w:val="20"/>
              </w:rPr>
            </w:pPr>
            <w:r>
              <w:rPr>
                <w:rFonts w:hint="eastAsia" w:ascii="宋体" w:hAnsi="宋体" w:cs="宋体"/>
                <w:sz w:val="20"/>
                <w:szCs w:val="20"/>
              </w:rPr>
              <w:t>1.4小企业准则企业</w:t>
            </w:r>
          </w:p>
          <w:p>
            <w:pPr>
              <w:spacing w:line="360" w:lineRule="auto"/>
              <w:ind w:left="420"/>
              <w:rPr>
                <w:rFonts w:ascii="宋体" w:hAnsi="宋体" w:cs="宋体"/>
                <w:sz w:val="20"/>
                <w:szCs w:val="20"/>
              </w:rPr>
            </w:pPr>
            <w:r>
              <w:rPr>
                <w:rFonts w:hint="eastAsia" w:ascii="宋体" w:hAnsi="宋体" w:cs="宋体"/>
                <w:sz w:val="20"/>
                <w:szCs w:val="20"/>
              </w:rPr>
              <w:t>本业务内容为连续经营企业，财会职业能力养成平台核心业务，为制造业一般纳税人，采用《小企业会计准则》核算。业务内容包括连续3个月业务，将涉及到筹资业务、投资业务、日常业务、采购业务、委托加工业务、生产业务、销售业务等；</w:t>
            </w:r>
          </w:p>
          <w:p>
            <w:pPr>
              <w:spacing w:line="360" w:lineRule="auto"/>
              <w:ind w:left="360"/>
              <w:rPr>
                <w:rFonts w:ascii="宋体" w:hAnsi="宋体" w:cs="仿宋"/>
                <w:bCs/>
                <w:sz w:val="20"/>
                <w:szCs w:val="20"/>
              </w:rPr>
            </w:pPr>
            <w:r>
              <w:rPr>
                <w:rFonts w:hint="eastAsia" w:ascii="宋体" w:hAnsi="宋体" w:cs="仿宋"/>
                <w:bCs/>
                <w:sz w:val="20"/>
                <w:szCs w:val="20"/>
              </w:rPr>
              <w:t>1.5电子商务企业：</w:t>
            </w:r>
          </w:p>
          <w:p>
            <w:pPr>
              <w:spacing w:line="360" w:lineRule="auto"/>
              <w:ind w:left="360"/>
              <w:rPr>
                <w:rFonts w:ascii="宋体" w:hAnsi="宋体" w:cs="仿宋"/>
                <w:bCs/>
                <w:sz w:val="20"/>
                <w:szCs w:val="20"/>
              </w:rPr>
            </w:pPr>
            <w:r>
              <w:rPr>
                <w:rFonts w:hint="eastAsia" w:ascii="宋体" w:hAnsi="宋体" w:cs="仿宋"/>
                <w:bCs/>
                <w:sz w:val="20"/>
                <w:szCs w:val="20"/>
              </w:rPr>
              <w:t>本业务内容为连续经营企业，为电子商务零售业一般纳税人，采用新《企业会计准则》核算。业务内容包括连续2个月业务，将涉及筹资业务、投资业务、日常业务、采购业务、自营销售业务、平台服务业务等；</w:t>
            </w:r>
          </w:p>
          <w:p>
            <w:pPr>
              <w:spacing w:line="360" w:lineRule="auto"/>
              <w:ind w:left="360"/>
              <w:rPr>
                <w:rFonts w:ascii="宋体" w:hAnsi="宋体" w:cs="仿宋"/>
                <w:bCs/>
                <w:sz w:val="20"/>
                <w:szCs w:val="20"/>
              </w:rPr>
            </w:pPr>
            <w:r>
              <w:rPr>
                <w:rFonts w:hint="eastAsia" w:ascii="宋体" w:hAnsi="宋体" w:cs="仿宋"/>
                <w:bCs/>
                <w:sz w:val="20"/>
                <w:szCs w:val="20"/>
              </w:rPr>
              <w:t>1.6酒店行业企业：</w:t>
            </w:r>
          </w:p>
          <w:p>
            <w:pPr>
              <w:spacing w:line="360" w:lineRule="auto"/>
              <w:ind w:left="360"/>
              <w:rPr>
                <w:rFonts w:ascii="宋体" w:hAnsi="宋体" w:cs="仿宋"/>
                <w:bCs/>
                <w:sz w:val="20"/>
                <w:szCs w:val="20"/>
              </w:rPr>
            </w:pPr>
            <w:r>
              <w:rPr>
                <w:rFonts w:hint="eastAsia" w:ascii="宋体" w:hAnsi="宋体" w:cs="仿宋"/>
                <w:bCs/>
                <w:sz w:val="20"/>
                <w:szCs w:val="20"/>
              </w:rPr>
              <w:t>本业务内容为连续经营企业，为服务业一般纳税人，采用新《企业会计准则》核算。业务内容包括连续2个月业务，将涉及到筹资业务、投资业务、日常业务、采购业务、餐饮经营业务、客房经营业务、会务服务业务等；</w:t>
            </w:r>
          </w:p>
          <w:p>
            <w:pPr>
              <w:numPr>
                <w:ilvl w:val="0"/>
                <w:numId w:val="2"/>
              </w:numPr>
              <w:spacing w:line="360" w:lineRule="auto"/>
              <w:jc w:val="left"/>
              <w:rPr>
                <w:rFonts w:ascii="宋体" w:hAnsi="宋体" w:cs="仿宋"/>
                <w:bCs/>
                <w:sz w:val="20"/>
                <w:szCs w:val="20"/>
              </w:rPr>
            </w:pPr>
            <w:r>
              <w:rPr>
                <w:rFonts w:hint="eastAsia" w:ascii="宋体" w:hAnsi="宋体" w:cs="仿宋"/>
                <w:bCs/>
                <w:sz w:val="20"/>
                <w:szCs w:val="20"/>
              </w:rPr>
              <w:t>主要涉及业务：</w:t>
            </w:r>
          </w:p>
          <w:p>
            <w:pPr>
              <w:spacing w:line="360" w:lineRule="auto"/>
              <w:ind w:left="420"/>
              <w:rPr>
                <w:rFonts w:ascii="宋体" w:hAnsi="宋体" w:cs="宋体"/>
                <w:sz w:val="20"/>
                <w:szCs w:val="20"/>
              </w:rPr>
            </w:pPr>
            <w:r>
              <w:rPr>
                <w:rFonts w:hint="eastAsia" w:ascii="宋体" w:hAnsi="宋体" w:cs="宋体"/>
                <w:sz w:val="20"/>
                <w:szCs w:val="20"/>
              </w:rPr>
              <w:t>2.1筹融资业务：银行借款业务、发行债券业务、股权增资业务、分期付款融资业务等；</w:t>
            </w:r>
          </w:p>
          <w:p>
            <w:pPr>
              <w:spacing w:line="360" w:lineRule="auto"/>
              <w:ind w:left="420"/>
              <w:rPr>
                <w:rFonts w:ascii="宋体" w:hAnsi="宋体" w:cs="宋体"/>
                <w:sz w:val="20"/>
                <w:szCs w:val="20"/>
              </w:rPr>
            </w:pPr>
            <w:r>
              <w:rPr>
                <w:rFonts w:hint="eastAsia" w:ascii="宋体" w:hAnsi="宋体" w:cs="宋体"/>
                <w:sz w:val="20"/>
                <w:szCs w:val="20"/>
              </w:rPr>
              <w:t>2.2投资业务：金融资产的投资业务、对合营企业的投资业务、多次交易形成控股合并业务、不动产建造业务、生产线建造业务、机械设备改良业务、其他固定资产购建等；</w:t>
            </w:r>
          </w:p>
          <w:p>
            <w:pPr>
              <w:spacing w:line="360" w:lineRule="auto"/>
              <w:ind w:left="420"/>
              <w:rPr>
                <w:rFonts w:ascii="宋体" w:hAnsi="宋体" w:cs="宋体"/>
                <w:sz w:val="20"/>
                <w:szCs w:val="20"/>
              </w:rPr>
            </w:pPr>
            <w:r>
              <w:rPr>
                <w:rFonts w:hint="eastAsia" w:ascii="宋体" w:hAnsi="宋体" w:cs="宋体"/>
                <w:sz w:val="20"/>
                <w:szCs w:val="20"/>
              </w:rPr>
              <w:t>2.3日常业务：日常报销业务（提取备用金业务、报销办公费业务、因公借款业务、报销差旅费业务、报销招待费业务、发放福利费业务、发放工资业务、支付电话费业务、支付房租费业务等）、日常结算业务（现金结算业务、网银转账结算业务、转账支票结算业务、银行承兑汇票结算业务、商业承兑汇票结算业务、票据背书结算业务、电汇凭证结算业务、委托扣款结算业务等）、税费纳税业务（申报缴纳增值税业务、申报缴纳企业所得税业务、缴纳附加税业务、缴纳印花税业务、缴纳工会经费、缴纳房产税业务、缴纳土地使用税业务、代扣代缴个人所得税业务、缴纳社保费业务、缴纳住房公积金业务等）；</w:t>
            </w:r>
          </w:p>
          <w:p>
            <w:pPr>
              <w:spacing w:line="360" w:lineRule="auto"/>
              <w:ind w:left="420"/>
              <w:rPr>
                <w:rFonts w:ascii="宋体" w:hAnsi="宋体" w:cs="宋体"/>
                <w:sz w:val="20"/>
                <w:szCs w:val="20"/>
              </w:rPr>
            </w:pPr>
            <w:r>
              <w:rPr>
                <w:rFonts w:hint="eastAsia" w:ascii="宋体" w:hAnsi="宋体" w:cs="宋体"/>
                <w:sz w:val="20"/>
                <w:szCs w:val="20"/>
              </w:rPr>
              <w:t>2.4经营业务：采购环节业务（采购材料业务、委托加工材料业务、采购入库业务、采购承担运输费业务、采购存货损毁业务、采购商业折扣业务、采购折让业务、采购现金折扣业务等）、生产环节业务（直接材料核算业务、直接人工核算业务、辅助生产成本核算业务、制造费用核算业务、废品损失处理业务、完工产品入库业务等）、销售环节业务（现金销售业务、信用赊销业务、预收货款销售业务、商业折扣销售业务、销售确认运输费业务、折让销售业务、销售退货业务等）；</w:t>
            </w:r>
          </w:p>
          <w:p>
            <w:pPr>
              <w:spacing w:line="360" w:lineRule="auto"/>
              <w:ind w:left="420"/>
              <w:rPr>
                <w:rFonts w:ascii="宋体" w:hAnsi="宋体" w:cs="宋体"/>
                <w:sz w:val="20"/>
                <w:szCs w:val="20"/>
              </w:rPr>
            </w:pPr>
            <w:r>
              <w:rPr>
                <w:rFonts w:hint="eastAsia" w:ascii="宋体" w:hAnsi="宋体" w:cs="宋体"/>
                <w:sz w:val="20"/>
                <w:szCs w:val="20"/>
              </w:rPr>
              <w:t>2.5特殊业务：固定资产转投资性房地产业务、投资性房地产成本模式转公允价值模式业务、持有至到期投资转可供出售金融资产业务、债务重组业务、非货币性资产交换业务等；</w:t>
            </w:r>
          </w:p>
          <w:p>
            <w:pPr>
              <w:numPr>
                <w:ilvl w:val="0"/>
                <w:numId w:val="2"/>
              </w:numPr>
              <w:spacing w:line="360" w:lineRule="auto"/>
              <w:jc w:val="left"/>
              <w:rPr>
                <w:rFonts w:ascii="宋体" w:hAnsi="宋体" w:cs="仿宋"/>
                <w:bCs/>
                <w:sz w:val="20"/>
                <w:szCs w:val="20"/>
              </w:rPr>
            </w:pPr>
            <w:r>
              <w:rPr>
                <w:rFonts w:hint="eastAsia" w:ascii="宋体" w:hAnsi="宋体" w:cs="仿宋"/>
                <w:bCs/>
                <w:sz w:val="20"/>
                <w:szCs w:val="20"/>
              </w:rPr>
              <w:t>工业企业12个月业务内容：</w:t>
            </w:r>
          </w:p>
          <w:p>
            <w:pPr>
              <w:spacing w:line="360" w:lineRule="auto"/>
              <w:ind w:left="420"/>
              <w:rPr>
                <w:rFonts w:ascii="宋体" w:hAnsi="宋体" w:cs="宋体"/>
                <w:sz w:val="20"/>
                <w:szCs w:val="20"/>
              </w:rPr>
            </w:pPr>
            <w:r>
              <w:rPr>
                <w:rFonts w:hint="eastAsia" w:ascii="宋体" w:hAnsi="宋体" w:cs="宋体"/>
                <w:sz w:val="20"/>
                <w:szCs w:val="20"/>
              </w:rPr>
              <w:t>1月2-5日重点工作事项：提取备用金、销售开票、购入土地、支付办理；</w:t>
            </w:r>
          </w:p>
          <w:p>
            <w:pPr>
              <w:spacing w:line="360" w:lineRule="auto"/>
              <w:ind w:left="420"/>
              <w:rPr>
                <w:rFonts w:ascii="宋体" w:hAnsi="宋体" w:cs="宋体"/>
                <w:sz w:val="20"/>
                <w:szCs w:val="20"/>
              </w:rPr>
            </w:pPr>
            <w:r>
              <w:rPr>
                <w:rFonts w:hint="eastAsia" w:ascii="宋体" w:hAnsi="宋体" w:cs="宋体"/>
                <w:sz w:val="20"/>
                <w:szCs w:val="20"/>
              </w:rPr>
              <w:t>1月6-10日重点工作事项：其他货币资金；材料采购、入库，材料领用汇总；</w:t>
            </w:r>
          </w:p>
          <w:p>
            <w:pPr>
              <w:spacing w:line="360" w:lineRule="auto"/>
              <w:ind w:left="420"/>
              <w:rPr>
                <w:rFonts w:ascii="宋体" w:hAnsi="宋体" w:cs="宋体"/>
                <w:sz w:val="20"/>
                <w:szCs w:val="20"/>
              </w:rPr>
            </w:pPr>
            <w:r>
              <w:rPr>
                <w:rFonts w:hint="eastAsia" w:ascii="宋体" w:hAnsi="宋体" w:cs="宋体"/>
                <w:sz w:val="20"/>
                <w:szCs w:val="20"/>
              </w:rPr>
              <w:t>1月11日-13日重点工作事项：增值税、个人所得税申报填写、附加税、印花税、房产税、土地使用税申报填写；工会经费；企业所得税缴纳</w:t>
            </w:r>
          </w:p>
          <w:p>
            <w:pPr>
              <w:spacing w:line="360" w:lineRule="auto"/>
              <w:ind w:left="420"/>
              <w:rPr>
                <w:rFonts w:ascii="宋体" w:hAnsi="宋体" w:cs="宋体"/>
                <w:sz w:val="20"/>
                <w:szCs w:val="20"/>
              </w:rPr>
            </w:pPr>
            <w:r>
              <w:rPr>
                <w:rFonts w:hint="eastAsia" w:ascii="宋体" w:hAnsi="宋体" w:cs="宋体"/>
                <w:sz w:val="20"/>
                <w:szCs w:val="20"/>
              </w:rPr>
              <w:t>1月14-17日重点工作事项：材料领用成本汇总；销售开票；现金管理；转入工会经费；款项支付；</w:t>
            </w:r>
          </w:p>
          <w:p>
            <w:pPr>
              <w:spacing w:line="360" w:lineRule="auto"/>
              <w:ind w:left="420"/>
              <w:rPr>
                <w:rFonts w:ascii="宋体" w:hAnsi="宋体" w:cs="宋体"/>
                <w:sz w:val="20"/>
                <w:szCs w:val="20"/>
              </w:rPr>
            </w:pPr>
            <w:r>
              <w:rPr>
                <w:rFonts w:hint="eastAsia" w:ascii="宋体" w:hAnsi="宋体" w:cs="宋体"/>
                <w:sz w:val="20"/>
                <w:szCs w:val="20"/>
              </w:rPr>
              <w:t>1月18-22日重点工作事项：发放工资的账务处理；材料领用成本汇总；职工教育经费账务处理；</w:t>
            </w:r>
          </w:p>
          <w:p>
            <w:pPr>
              <w:spacing w:line="360" w:lineRule="auto"/>
              <w:ind w:left="420"/>
              <w:rPr>
                <w:rFonts w:ascii="宋体" w:hAnsi="宋体" w:cs="宋体"/>
                <w:sz w:val="20"/>
                <w:szCs w:val="20"/>
              </w:rPr>
            </w:pPr>
            <w:r>
              <w:rPr>
                <w:rFonts w:hint="eastAsia" w:ascii="宋体" w:hAnsi="宋体" w:cs="宋体"/>
                <w:sz w:val="20"/>
                <w:szCs w:val="20"/>
              </w:rPr>
              <w:t>1月23-27日重点工作事项：红字发票开具；租赁费分配；销售退货；费用支付办理；</w:t>
            </w:r>
          </w:p>
          <w:p>
            <w:pPr>
              <w:spacing w:line="360" w:lineRule="auto"/>
              <w:ind w:left="420"/>
              <w:rPr>
                <w:rFonts w:ascii="宋体" w:hAnsi="宋体" w:cs="宋体"/>
                <w:sz w:val="20"/>
                <w:szCs w:val="20"/>
              </w:rPr>
            </w:pPr>
            <w:r>
              <w:rPr>
                <w:rFonts w:hint="eastAsia" w:ascii="宋体" w:hAnsi="宋体" w:cs="宋体"/>
                <w:sz w:val="20"/>
                <w:szCs w:val="20"/>
              </w:rPr>
              <w:t>1月28-30日重点工作事项：材料领用成本汇总；捐赠业务；工伤事件；材料领用成本汇总；职工教育经费账务处理；工会经费账务处理；</w:t>
            </w:r>
          </w:p>
          <w:p>
            <w:pPr>
              <w:spacing w:line="360" w:lineRule="auto"/>
              <w:ind w:left="420"/>
              <w:rPr>
                <w:rFonts w:ascii="宋体" w:hAnsi="宋体" w:cs="宋体"/>
                <w:sz w:val="20"/>
                <w:szCs w:val="20"/>
              </w:rPr>
            </w:pPr>
            <w:r>
              <w:rPr>
                <w:rFonts w:hint="eastAsia" w:ascii="宋体" w:hAnsi="宋体" w:cs="宋体"/>
                <w:sz w:val="20"/>
                <w:szCs w:val="20"/>
              </w:rPr>
              <w:t>1月31日重点工作事项：房产税、土地使用税工资、社保及公积金的计提及账务处理；成本差异率计算；成本差异结转；交互分配法的运用；约当产量法的运用；完工产品成本计算；制造费用结转；资产盘点及账务处理；月末一次加权平均法的运用；销售成本结转；资产盘点及账务处理；坏账准备计算与账务处理；应交增值税的计算；附加税、企业所得税计提；月末结账；</w:t>
            </w:r>
          </w:p>
          <w:p>
            <w:pPr>
              <w:spacing w:line="360" w:lineRule="auto"/>
              <w:ind w:left="420"/>
              <w:rPr>
                <w:rFonts w:ascii="宋体" w:hAnsi="宋体" w:cs="宋体"/>
                <w:sz w:val="20"/>
                <w:szCs w:val="20"/>
              </w:rPr>
            </w:pPr>
            <w:r>
              <w:rPr>
                <w:rFonts w:hint="eastAsia" w:ascii="宋体" w:hAnsi="宋体" w:cs="宋体"/>
                <w:sz w:val="20"/>
                <w:szCs w:val="20"/>
              </w:rPr>
              <w:t>2月1-4日重点工作事项：签发商业汇票；提取备用金；</w:t>
            </w:r>
          </w:p>
          <w:p>
            <w:pPr>
              <w:spacing w:line="360" w:lineRule="auto"/>
              <w:ind w:left="420"/>
              <w:rPr>
                <w:rFonts w:ascii="宋体" w:hAnsi="宋体" w:cs="宋体"/>
                <w:sz w:val="20"/>
                <w:szCs w:val="20"/>
              </w:rPr>
            </w:pPr>
            <w:r>
              <w:rPr>
                <w:rFonts w:hint="eastAsia" w:ascii="宋体" w:hAnsi="宋体" w:cs="宋体"/>
                <w:sz w:val="20"/>
                <w:szCs w:val="20"/>
              </w:rPr>
              <w:t>2月5-9日重点工作事项：工伤事件处理；现金存入银行；材料入库；</w:t>
            </w:r>
          </w:p>
          <w:p>
            <w:pPr>
              <w:spacing w:line="360" w:lineRule="auto"/>
              <w:ind w:left="420"/>
              <w:rPr>
                <w:rFonts w:ascii="宋体" w:hAnsi="宋体" w:cs="宋体"/>
                <w:sz w:val="20"/>
                <w:szCs w:val="20"/>
              </w:rPr>
            </w:pPr>
            <w:r>
              <w:rPr>
                <w:rFonts w:hint="eastAsia" w:ascii="宋体" w:hAnsi="宋体" w:cs="宋体"/>
                <w:sz w:val="20"/>
                <w:szCs w:val="20"/>
              </w:rPr>
              <w:t>2月10-14日重点工作事项：材料领用成本汇总；增值税申报填写；票据贴现；增值税、印花税、附加税、个人所得税申报填写；工会经费账务处理；</w:t>
            </w:r>
          </w:p>
          <w:p>
            <w:pPr>
              <w:spacing w:line="360" w:lineRule="auto"/>
              <w:ind w:left="420"/>
              <w:rPr>
                <w:rFonts w:ascii="宋体" w:hAnsi="宋体" w:cs="宋体"/>
                <w:sz w:val="20"/>
                <w:szCs w:val="20"/>
              </w:rPr>
            </w:pPr>
            <w:r>
              <w:rPr>
                <w:rFonts w:hint="eastAsia" w:ascii="宋体" w:hAnsi="宋体" w:cs="宋体"/>
                <w:sz w:val="20"/>
                <w:szCs w:val="20"/>
              </w:rPr>
              <w:t>2月15-17日重点工作事项：材料领用成本汇总；工会经费账务处理；提取备用金；销售商品；</w:t>
            </w:r>
          </w:p>
          <w:p>
            <w:pPr>
              <w:spacing w:line="360" w:lineRule="auto"/>
              <w:ind w:left="420"/>
              <w:rPr>
                <w:rFonts w:ascii="宋体" w:hAnsi="宋体" w:cs="宋体"/>
                <w:sz w:val="20"/>
                <w:szCs w:val="20"/>
              </w:rPr>
            </w:pPr>
            <w:r>
              <w:rPr>
                <w:rFonts w:hint="eastAsia" w:ascii="宋体" w:hAnsi="宋体" w:cs="宋体"/>
                <w:sz w:val="20"/>
                <w:szCs w:val="20"/>
              </w:rPr>
              <w:t>2月18-21日重点工作事项：发放工资的账务处理；工伤事件处理；材料领用成本汇总；发放年终奖账务处理；金融资产；</w:t>
            </w:r>
          </w:p>
          <w:p>
            <w:pPr>
              <w:spacing w:line="360" w:lineRule="auto"/>
              <w:ind w:left="420"/>
              <w:rPr>
                <w:rFonts w:ascii="宋体" w:hAnsi="宋体" w:cs="宋体"/>
                <w:sz w:val="20"/>
                <w:szCs w:val="20"/>
              </w:rPr>
            </w:pPr>
            <w:r>
              <w:rPr>
                <w:rFonts w:hint="eastAsia" w:ascii="宋体" w:hAnsi="宋体" w:cs="宋体"/>
                <w:sz w:val="20"/>
                <w:szCs w:val="20"/>
              </w:rPr>
              <w:t>2月22-25日重点工作事项：支付业务；废品损失账务处理；</w:t>
            </w:r>
          </w:p>
          <w:p>
            <w:pPr>
              <w:spacing w:line="360" w:lineRule="auto"/>
              <w:ind w:left="420"/>
              <w:rPr>
                <w:rFonts w:ascii="宋体" w:hAnsi="宋体" w:cs="宋体"/>
                <w:sz w:val="20"/>
                <w:szCs w:val="20"/>
              </w:rPr>
            </w:pPr>
            <w:r>
              <w:rPr>
                <w:rFonts w:hint="eastAsia" w:ascii="宋体" w:hAnsi="宋体" w:cs="宋体"/>
                <w:sz w:val="20"/>
                <w:szCs w:val="20"/>
              </w:rPr>
              <w:t>2月26-27日重点工作事项：工会经费账务处理；职工教育经费账务处理；投资性房地产；材料领用成本汇总；工伤事件；销售退货；</w:t>
            </w:r>
          </w:p>
          <w:p>
            <w:pPr>
              <w:spacing w:line="360" w:lineRule="auto"/>
              <w:ind w:left="420"/>
              <w:rPr>
                <w:rFonts w:ascii="宋体" w:hAnsi="宋体" w:cs="宋体"/>
                <w:sz w:val="20"/>
                <w:szCs w:val="20"/>
              </w:rPr>
            </w:pPr>
            <w:r>
              <w:rPr>
                <w:rFonts w:hint="eastAsia" w:ascii="宋体" w:hAnsi="宋体" w:cs="宋体"/>
                <w:sz w:val="20"/>
                <w:szCs w:val="20"/>
              </w:rPr>
              <w:t>2月29日重点工作事项：房产税、土地使用税、工资、社保及公积金的计提及账务处理；公允价值变动；成本差异率计算；成本差异结转；交互分配法的运用；制造费用结转；资产盘点的；账务处理；约当产量法的运用；完工产品成本计算；月末一次加权平均法的运用；销售成本结转；资产盘点及账务处理；坏账准备计算与账务处理；应交增值税的计算；附加税、企业所得税计提；月末结账；</w:t>
            </w:r>
          </w:p>
          <w:p>
            <w:pPr>
              <w:spacing w:line="360" w:lineRule="auto"/>
              <w:ind w:left="420"/>
              <w:rPr>
                <w:rFonts w:ascii="宋体" w:hAnsi="宋体" w:cs="宋体"/>
                <w:sz w:val="20"/>
                <w:szCs w:val="20"/>
              </w:rPr>
            </w:pPr>
            <w:r>
              <w:rPr>
                <w:rFonts w:hint="eastAsia" w:ascii="宋体" w:hAnsi="宋体" w:cs="宋体"/>
                <w:sz w:val="20"/>
                <w:szCs w:val="20"/>
              </w:rPr>
              <w:t>3月1-5日重点工作事项：支付业务；采购材料；</w:t>
            </w:r>
          </w:p>
          <w:p>
            <w:pPr>
              <w:spacing w:line="360" w:lineRule="auto"/>
              <w:ind w:left="420"/>
              <w:rPr>
                <w:rFonts w:ascii="宋体" w:hAnsi="宋体" w:cs="宋体"/>
                <w:sz w:val="20"/>
                <w:szCs w:val="20"/>
              </w:rPr>
            </w:pPr>
            <w:r>
              <w:rPr>
                <w:rFonts w:hint="eastAsia" w:ascii="宋体" w:hAnsi="宋体" w:cs="宋体"/>
                <w:sz w:val="20"/>
                <w:szCs w:val="20"/>
              </w:rPr>
              <w:t>3月6-11日重点工作事项：材料领用成本汇总；采购材料；材料入库；</w:t>
            </w:r>
          </w:p>
          <w:p>
            <w:pPr>
              <w:spacing w:line="360" w:lineRule="auto"/>
              <w:ind w:left="420"/>
              <w:rPr>
                <w:rFonts w:ascii="宋体" w:hAnsi="宋体" w:cs="宋体"/>
                <w:sz w:val="20"/>
                <w:szCs w:val="20"/>
              </w:rPr>
            </w:pPr>
            <w:r>
              <w:rPr>
                <w:rFonts w:hint="eastAsia" w:ascii="宋体" w:hAnsi="宋体" w:cs="宋体"/>
                <w:sz w:val="20"/>
                <w:szCs w:val="20"/>
              </w:rPr>
              <w:t>3月12日重点工作事项：增值税、附加税、个人所得税、印花税申报填写；</w:t>
            </w:r>
          </w:p>
          <w:p>
            <w:pPr>
              <w:spacing w:line="360" w:lineRule="auto"/>
              <w:ind w:left="420"/>
              <w:rPr>
                <w:rFonts w:ascii="宋体" w:hAnsi="宋体" w:cs="宋体"/>
                <w:sz w:val="20"/>
                <w:szCs w:val="20"/>
              </w:rPr>
            </w:pPr>
            <w:r>
              <w:rPr>
                <w:rFonts w:hint="eastAsia" w:ascii="宋体" w:hAnsi="宋体" w:cs="宋体"/>
                <w:sz w:val="20"/>
                <w:szCs w:val="20"/>
              </w:rPr>
              <w:t>3月13-18日重点工作事项：工会经费账务处理；委托加工；材料领用成本汇总；职工教育经费、工资发放的账务处理；工伤事件的账务处理；</w:t>
            </w:r>
          </w:p>
          <w:p>
            <w:pPr>
              <w:spacing w:line="360" w:lineRule="auto"/>
              <w:ind w:left="420"/>
              <w:rPr>
                <w:rFonts w:ascii="宋体" w:hAnsi="宋体" w:cs="宋体"/>
                <w:sz w:val="20"/>
                <w:szCs w:val="20"/>
              </w:rPr>
            </w:pPr>
            <w:r>
              <w:rPr>
                <w:rFonts w:hint="eastAsia" w:ascii="宋体" w:hAnsi="宋体" w:cs="宋体"/>
                <w:sz w:val="20"/>
                <w:szCs w:val="20"/>
              </w:rPr>
              <w:t>3月19-22日重点工作事项：发放股利；材料领用成本汇总；销售商品；</w:t>
            </w:r>
          </w:p>
          <w:p>
            <w:pPr>
              <w:spacing w:line="360" w:lineRule="auto"/>
              <w:ind w:left="420"/>
              <w:rPr>
                <w:rFonts w:ascii="宋体" w:hAnsi="宋体" w:cs="宋体"/>
                <w:sz w:val="20"/>
                <w:szCs w:val="20"/>
              </w:rPr>
            </w:pPr>
            <w:r>
              <w:rPr>
                <w:rFonts w:hint="eastAsia" w:ascii="宋体" w:hAnsi="宋体" w:cs="宋体"/>
                <w:sz w:val="20"/>
                <w:szCs w:val="20"/>
              </w:rPr>
              <w:t>3月23-26日重点工作事项：固定资产清理；工会经费账务处理；销售折让；</w:t>
            </w:r>
          </w:p>
          <w:p>
            <w:pPr>
              <w:spacing w:line="360" w:lineRule="auto"/>
              <w:ind w:left="420"/>
              <w:rPr>
                <w:rFonts w:ascii="宋体" w:hAnsi="宋体" w:cs="宋体"/>
                <w:sz w:val="20"/>
                <w:szCs w:val="20"/>
              </w:rPr>
            </w:pPr>
            <w:r>
              <w:rPr>
                <w:rFonts w:hint="eastAsia" w:ascii="宋体" w:hAnsi="宋体" w:cs="宋体"/>
                <w:sz w:val="20"/>
                <w:szCs w:val="20"/>
              </w:rPr>
              <w:t>3月27-30日重点工作事项：销售折让；材料领用成本汇总；工会经费账务处理；捐赠业务；公允价值变动；</w:t>
            </w:r>
          </w:p>
          <w:p>
            <w:pPr>
              <w:spacing w:line="360" w:lineRule="auto"/>
              <w:ind w:left="420"/>
              <w:rPr>
                <w:rFonts w:ascii="宋体" w:hAnsi="宋体" w:cs="宋体"/>
                <w:sz w:val="20"/>
                <w:szCs w:val="20"/>
              </w:rPr>
            </w:pPr>
            <w:r>
              <w:rPr>
                <w:rFonts w:hint="eastAsia" w:ascii="宋体" w:hAnsi="宋体" w:cs="宋体"/>
                <w:sz w:val="20"/>
                <w:szCs w:val="20"/>
              </w:rPr>
              <w:t>3月31日重点工作事项：职工教育经费；房产税、土地使用税、工资、社保的计提；投资性房地产；成本差异率计算；成本差异结转；交互成本法的运用；制造费用结转；资产盘点及账务处理；月末一次加权平均法的运用；销售成本结转；资产盘点及账务处理；坏账准备计算与账务处理；应交增值税的计算；附加税、企业所得税计提；月末结账；</w:t>
            </w:r>
          </w:p>
          <w:p>
            <w:pPr>
              <w:spacing w:line="360" w:lineRule="auto"/>
              <w:ind w:left="420"/>
              <w:rPr>
                <w:rFonts w:ascii="宋体" w:hAnsi="宋体" w:cs="宋体"/>
                <w:sz w:val="20"/>
                <w:szCs w:val="20"/>
              </w:rPr>
            </w:pPr>
            <w:r>
              <w:rPr>
                <w:rFonts w:hint="eastAsia" w:ascii="宋体" w:hAnsi="宋体" w:cs="宋体"/>
                <w:sz w:val="20"/>
                <w:szCs w:val="20"/>
              </w:rPr>
              <w:t>4月1-6日重点工作事项：收到股利；在建工程；销售商品；提取备用金；</w:t>
            </w:r>
          </w:p>
          <w:p>
            <w:pPr>
              <w:spacing w:line="360" w:lineRule="auto"/>
              <w:ind w:left="420"/>
              <w:rPr>
                <w:rFonts w:ascii="宋体" w:hAnsi="宋体" w:cs="宋体"/>
                <w:sz w:val="20"/>
                <w:szCs w:val="20"/>
              </w:rPr>
            </w:pPr>
            <w:r>
              <w:rPr>
                <w:rFonts w:hint="eastAsia" w:ascii="宋体" w:hAnsi="宋体" w:cs="宋体"/>
                <w:sz w:val="20"/>
                <w:szCs w:val="20"/>
              </w:rPr>
              <w:t>完成4月7-15日重点工作事项：材料领用成本汇总；增值税申报；附加税、印花税、个人所得税、房产税申报填写；工会经费账务处理；企业所得税季度申报；材料领用成本汇总；</w:t>
            </w:r>
          </w:p>
          <w:p>
            <w:pPr>
              <w:spacing w:line="360" w:lineRule="auto"/>
              <w:ind w:left="420"/>
              <w:rPr>
                <w:rFonts w:ascii="宋体" w:hAnsi="宋体" w:cs="宋体"/>
                <w:sz w:val="20"/>
                <w:szCs w:val="20"/>
              </w:rPr>
            </w:pPr>
            <w:r>
              <w:rPr>
                <w:rFonts w:hint="eastAsia" w:ascii="宋体" w:hAnsi="宋体" w:cs="宋体"/>
                <w:sz w:val="20"/>
                <w:szCs w:val="20"/>
              </w:rPr>
              <w:t>4月16-20日重点工作事项：职工教育经费、金融资产、发放工资的账务处理；工会经费账务处理；领用材料成本汇总；</w:t>
            </w:r>
          </w:p>
          <w:p>
            <w:pPr>
              <w:spacing w:line="360" w:lineRule="auto"/>
              <w:ind w:left="420"/>
              <w:rPr>
                <w:rFonts w:ascii="宋体" w:hAnsi="宋体" w:cs="宋体"/>
                <w:sz w:val="20"/>
                <w:szCs w:val="20"/>
              </w:rPr>
            </w:pPr>
            <w:r>
              <w:rPr>
                <w:rFonts w:hint="eastAsia" w:ascii="宋体" w:hAnsi="宋体" w:cs="宋体"/>
                <w:sz w:val="20"/>
                <w:szCs w:val="20"/>
              </w:rPr>
              <w:t>4月21-24日重点工作事项：销售商品；支付各项费用；</w:t>
            </w:r>
          </w:p>
          <w:p>
            <w:pPr>
              <w:spacing w:line="360" w:lineRule="auto"/>
              <w:ind w:left="420"/>
              <w:rPr>
                <w:rFonts w:ascii="宋体" w:hAnsi="宋体" w:cs="宋体"/>
                <w:sz w:val="20"/>
                <w:szCs w:val="20"/>
              </w:rPr>
            </w:pPr>
            <w:r>
              <w:rPr>
                <w:rFonts w:hint="eastAsia" w:ascii="宋体" w:hAnsi="宋体" w:cs="宋体"/>
                <w:sz w:val="20"/>
                <w:szCs w:val="20"/>
              </w:rPr>
              <w:t>4月25-28日重点工作事项：委托加工；销售退货；</w:t>
            </w:r>
          </w:p>
          <w:p>
            <w:pPr>
              <w:spacing w:line="360" w:lineRule="auto"/>
              <w:ind w:left="420"/>
              <w:rPr>
                <w:rFonts w:ascii="宋体" w:hAnsi="宋体" w:cs="宋体"/>
                <w:sz w:val="20"/>
                <w:szCs w:val="20"/>
              </w:rPr>
            </w:pPr>
            <w:r>
              <w:rPr>
                <w:rFonts w:hint="eastAsia" w:ascii="宋体" w:hAnsi="宋体" w:cs="宋体"/>
                <w:sz w:val="20"/>
                <w:szCs w:val="20"/>
              </w:rPr>
              <w:t>4月29-30日重点工作事项；材料领用成本汇总；职工教育经费、工会经费账务处理；投资性房地产；工资、社保及公积金计提的账务处理；房产税、土地使用税计提；公允价值变动；成本差异率计算；交互分配法的运用；成本差异结转；制造费用结转；资产盘点及账务处理；约当产量法；完工产品成本计算；资产盘点及账务处理；月末一次加权平均法的运用；销售成本结转；坏账准备计算与账务处理；应交增值税的计算；附加税的计提；企业所得税计提；月末结账；</w:t>
            </w:r>
          </w:p>
          <w:p>
            <w:pPr>
              <w:spacing w:line="360" w:lineRule="auto"/>
              <w:ind w:left="420"/>
              <w:rPr>
                <w:rFonts w:ascii="宋体" w:hAnsi="宋体" w:cs="宋体"/>
                <w:sz w:val="20"/>
                <w:szCs w:val="20"/>
              </w:rPr>
            </w:pPr>
            <w:r>
              <w:rPr>
                <w:rFonts w:hint="eastAsia" w:ascii="宋体" w:hAnsi="宋体" w:cs="宋体"/>
                <w:sz w:val="20"/>
                <w:szCs w:val="20"/>
              </w:rPr>
              <w:t>5月2-8日重点工作事项：材料入库；采购材料；销售商品；</w:t>
            </w:r>
          </w:p>
          <w:p>
            <w:pPr>
              <w:spacing w:line="360" w:lineRule="auto"/>
              <w:ind w:left="420"/>
              <w:rPr>
                <w:rFonts w:ascii="宋体" w:hAnsi="宋体" w:cs="宋体"/>
                <w:sz w:val="20"/>
                <w:szCs w:val="20"/>
              </w:rPr>
            </w:pPr>
            <w:r>
              <w:rPr>
                <w:rFonts w:hint="eastAsia" w:ascii="宋体" w:hAnsi="宋体" w:cs="宋体"/>
                <w:sz w:val="20"/>
                <w:szCs w:val="20"/>
              </w:rPr>
              <w:t>5月9-15日重点工作事项；材料领用成本汇总；增值税、附加税、印花税申报；个人所得税、房产税申报填写；工会经费账务处理；材料领用成本汇总；非货币性投资；</w:t>
            </w:r>
          </w:p>
          <w:p>
            <w:pPr>
              <w:spacing w:line="360" w:lineRule="auto"/>
              <w:ind w:left="420"/>
              <w:rPr>
                <w:rFonts w:ascii="宋体" w:hAnsi="宋体" w:cs="宋体"/>
                <w:sz w:val="20"/>
                <w:szCs w:val="20"/>
              </w:rPr>
            </w:pPr>
            <w:r>
              <w:rPr>
                <w:rFonts w:hint="eastAsia" w:ascii="宋体" w:hAnsi="宋体" w:cs="宋体"/>
                <w:sz w:val="20"/>
                <w:szCs w:val="20"/>
              </w:rPr>
              <w:t>5月16-21日重点工作事项：在建工程、工会经费、发放工资的账务处理；材料领用成本汇总；</w:t>
            </w:r>
          </w:p>
          <w:p>
            <w:pPr>
              <w:spacing w:line="360" w:lineRule="auto"/>
              <w:ind w:left="420"/>
              <w:rPr>
                <w:rFonts w:ascii="宋体" w:hAnsi="宋体" w:cs="宋体"/>
                <w:sz w:val="20"/>
                <w:szCs w:val="20"/>
              </w:rPr>
            </w:pPr>
            <w:r>
              <w:rPr>
                <w:rFonts w:hint="eastAsia" w:ascii="宋体" w:hAnsi="宋体" w:cs="宋体"/>
                <w:sz w:val="20"/>
                <w:szCs w:val="20"/>
              </w:rPr>
              <w:t>5月22-25日重点工作事项：职工教育经费账务处理；在建工程；金融资产；</w:t>
            </w:r>
          </w:p>
          <w:p>
            <w:pPr>
              <w:spacing w:line="360" w:lineRule="auto"/>
              <w:ind w:left="420"/>
              <w:rPr>
                <w:rFonts w:ascii="宋体" w:hAnsi="宋体" w:cs="宋体"/>
                <w:sz w:val="20"/>
                <w:szCs w:val="20"/>
              </w:rPr>
            </w:pPr>
            <w:r>
              <w:rPr>
                <w:rFonts w:hint="eastAsia" w:ascii="宋体" w:hAnsi="宋体" w:cs="宋体"/>
                <w:sz w:val="20"/>
                <w:szCs w:val="20"/>
              </w:rPr>
              <w:t>5月26-29日重点工作事项：销售退货；职工教育经费账务处理；材料领用成本汇总</w:t>
            </w:r>
          </w:p>
          <w:p>
            <w:pPr>
              <w:spacing w:line="360" w:lineRule="auto"/>
              <w:ind w:left="420"/>
              <w:rPr>
                <w:rFonts w:ascii="宋体" w:hAnsi="宋体" w:cs="宋体"/>
                <w:sz w:val="20"/>
                <w:szCs w:val="20"/>
              </w:rPr>
            </w:pPr>
            <w:r>
              <w:rPr>
                <w:rFonts w:hint="eastAsia" w:ascii="宋体" w:hAnsi="宋体" w:cs="宋体"/>
                <w:sz w:val="20"/>
                <w:szCs w:val="20"/>
              </w:rPr>
              <w:t>5月30-31日重点工作事项：工会经费账务处理；捐赠业务；职工教育经费账务处理；投资性房地产；工资、社保及公积金、房产税、土地使用税计提；成本差异率计算；成本差异结转；交互分配法的运用；制造费用结转；资产盘点及账务处理；约当产量法的运用；完工产品成本计算；资产盘点及账务处理；月末一次加权平均法的运用；销售成本结转；坏账准备计算与账务处理；应交增值税的计算；附加税的计提；企业所得税计提；月末结账；</w:t>
            </w:r>
          </w:p>
          <w:p>
            <w:pPr>
              <w:spacing w:line="360" w:lineRule="auto"/>
              <w:ind w:left="420"/>
              <w:rPr>
                <w:rFonts w:ascii="宋体" w:hAnsi="宋体" w:cs="宋体"/>
                <w:sz w:val="20"/>
                <w:szCs w:val="20"/>
              </w:rPr>
            </w:pPr>
            <w:r>
              <w:rPr>
                <w:rFonts w:hint="eastAsia" w:ascii="宋体" w:hAnsi="宋体" w:cs="宋体"/>
                <w:sz w:val="20"/>
                <w:szCs w:val="20"/>
              </w:rPr>
              <w:t>6月1-8日重点工作事项：销售商品；材料入库；废品损失；提取备用金；</w:t>
            </w:r>
          </w:p>
          <w:p>
            <w:pPr>
              <w:spacing w:line="360" w:lineRule="auto"/>
              <w:ind w:left="420"/>
              <w:rPr>
                <w:rFonts w:ascii="宋体" w:hAnsi="宋体" w:cs="宋体"/>
                <w:sz w:val="20"/>
                <w:szCs w:val="20"/>
              </w:rPr>
            </w:pPr>
            <w:r>
              <w:rPr>
                <w:rFonts w:hint="eastAsia" w:ascii="宋体" w:hAnsi="宋体" w:cs="宋体"/>
                <w:sz w:val="20"/>
                <w:szCs w:val="20"/>
              </w:rPr>
              <w:t>6月9-12日重点工作事项：票据贴现；材料领用成本汇总；印花税、个税、房产税、增值税、附加税申报填写；工会经费账务处理；</w:t>
            </w:r>
          </w:p>
          <w:p>
            <w:pPr>
              <w:spacing w:line="360" w:lineRule="auto"/>
              <w:ind w:left="420"/>
              <w:rPr>
                <w:rFonts w:ascii="宋体" w:hAnsi="宋体" w:cs="宋体"/>
                <w:sz w:val="20"/>
                <w:szCs w:val="20"/>
              </w:rPr>
            </w:pPr>
            <w:r>
              <w:rPr>
                <w:rFonts w:hint="eastAsia" w:ascii="宋体" w:hAnsi="宋体" w:cs="宋体"/>
                <w:sz w:val="20"/>
                <w:szCs w:val="20"/>
              </w:rPr>
              <w:t>6月13-17日重点工作事项：销售退货；在建工程；材料领用成本汇总</w:t>
            </w:r>
          </w:p>
          <w:p>
            <w:pPr>
              <w:spacing w:line="360" w:lineRule="auto"/>
              <w:ind w:left="420"/>
              <w:rPr>
                <w:rFonts w:ascii="宋体" w:hAnsi="宋体" w:cs="宋体"/>
                <w:sz w:val="20"/>
                <w:szCs w:val="20"/>
              </w:rPr>
            </w:pPr>
            <w:r>
              <w:rPr>
                <w:rFonts w:hint="eastAsia" w:ascii="宋体" w:hAnsi="宋体" w:cs="宋体"/>
                <w:sz w:val="20"/>
                <w:szCs w:val="20"/>
              </w:rPr>
              <w:t>6月18-21日重点工作事项：金融资产、发放工资的账务处理；材料领用成本汇总</w:t>
            </w:r>
          </w:p>
          <w:p>
            <w:pPr>
              <w:spacing w:line="360" w:lineRule="auto"/>
              <w:ind w:left="420"/>
              <w:rPr>
                <w:rFonts w:ascii="宋体" w:hAnsi="宋体" w:cs="宋体"/>
                <w:sz w:val="20"/>
                <w:szCs w:val="20"/>
              </w:rPr>
            </w:pPr>
            <w:r>
              <w:rPr>
                <w:rFonts w:hint="eastAsia" w:ascii="宋体" w:hAnsi="宋体" w:cs="宋体"/>
                <w:sz w:val="20"/>
                <w:szCs w:val="20"/>
              </w:rPr>
              <w:t>6月22-25日重点工作事项：在建工程；职工教育经费账务处理；工会经费账务处理；票据到期；投资性房地产；</w:t>
            </w:r>
          </w:p>
          <w:p>
            <w:pPr>
              <w:spacing w:line="360" w:lineRule="auto"/>
              <w:ind w:left="420"/>
              <w:rPr>
                <w:rFonts w:ascii="宋体" w:hAnsi="宋体" w:cs="宋体"/>
                <w:sz w:val="20"/>
                <w:szCs w:val="20"/>
              </w:rPr>
            </w:pPr>
            <w:r>
              <w:rPr>
                <w:rFonts w:hint="eastAsia" w:ascii="宋体" w:hAnsi="宋体" w:cs="宋体"/>
                <w:sz w:val="20"/>
                <w:szCs w:val="20"/>
              </w:rPr>
              <w:t>6月26-30日重点工作事项；销售折让；材料领用汇总；销售折让；发行债券；职工教育经费；工会经费账务处理；房产税、土地使用税计提；捐赠业务；公允价值变动；工资、社保及公积金计提的账务处理；成本差异率计算；成本差异结转；交互分配法的运用；制造费用结转；资产盘点及账务处理；约当产量法的运用；完工产品成本计算；资产盘点及账务处理；月末一次加权平均法的运用；销售成本结转；资产盘点及账务处理；应交增值税的计算；附加税的计算；企业所得税计算；月末结账；</w:t>
            </w:r>
          </w:p>
          <w:p>
            <w:pPr>
              <w:spacing w:line="360" w:lineRule="auto"/>
              <w:ind w:left="420"/>
              <w:rPr>
                <w:rFonts w:ascii="宋体" w:hAnsi="宋体" w:cs="宋体"/>
                <w:sz w:val="20"/>
                <w:szCs w:val="20"/>
              </w:rPr>
            </w:pPr>
            <w:r>
              <w:rPr>
                <w:rFonts w:hint="eastAsia" w:ascii="宋体" w:hAnsi="宋体" w:cs="宋体"/>
                <w:sz w:val="20"/>
                <w:szCs w:val="20"/>
              </w:rPr>
              <w:t>7月1-6日重点工作事项：票据到期付款；债券；金融资产；在建工程</w:t>
            </w:r>
          </w:p>
          <w:p>
            <w:pPr>
              <w:spacing w:line="360" w:lineRule="auto"/>
              <w:ind w:left="420"/>
              <w:rPr>
                <w:rFonts w:ascii="宋体" w:hAnsi="宋体" w:cs="宋体"/>
                <w:sz w:val="20"/>
                <w:szCs w:val="20"/>
              </w:rPr>
            </w:pPr>
            <w:r>
              <w:rPr>
                <w:rFonts w:hint="eastAsia" w:ascii="宋体" w:hAnsi="宋体" w:cs="宋体"/>
                <w:sz w:val="20"/>
                <w:szCs w:val="20"/>
              </w:rPr>
              <w:t>7月7-12日重点工作事项：材料领用成本汇总；材料入库：增值税、附加税、印花税、个税、房产税、土地使用税申报填写；工会经费账务处理；企业所得税季度申报；</w:t>
            </w:r>
          </w:p>
          <w:p>
            <w:pPr>
              <w:spacing w:line="360" w:lineRule="auto"/>
              <w:ind w:left="420"/>
              <w:rPr>
                <w:rFonts w:ascii="宋体" w:hAnsi="宋体" w:cs="宋体"/>
                <w:sz w:val="20"/>
                <w:szCs w:val="20"/>
              </w:rPr>
            </w:pPr>
            <w:r>
              <w:rPr>
                <w:rFonts w:hint="eastAsia" w:ascii="宋体" w:hAnsi="宋体" w:cs="宋体"/>
                <w:sz w:val="20"/>
                <w:szCs w:val="20"/>
              </w:rPr>
              <w:t>7月13-17日重点工作事项：材料领用成本汇总；职工教育经费账务处理；政府补助；</w:t>
            </w:r>
          </w:p>
          <w:p>
            <w:pPr>
              <w:spacing w:line="360" w:lineRule="auto"/>
              <w:ind w:left="420"/>
              <w:rPr>
                <w:rFonts w:ascii="宋体" w:hAnsi="宋体" w:cs="宋体"/>
                <w:sz w:val="20"/>
                <w:szCs w:val="20"/>
              </w:rPr>
            </w:pPr>
            <w:r>
              <w:rPr>
                <w:rFonts w:hint="eastAsia" w:ascii="宋体" w:hAnsi="宋体" w:cs="宋体"/>
                <w:sz w:val="20"/>
                <w:szCs w:val="20"/>
              </w:rPr>
              <w:t>7月18-23日重点工作事项：发放工资的账务处理；材料领用成本汇总；债务重组；工会经费账务处理；</w:t>
            </w:r>
          </w:p>
          <w:p>
            <w:pPr>
              <w:spacing w:line="360" w:lineRule="auto"/>
              <w:ind w:left="420"/>
              <w:rPr>
                <w:rFonts w:ascii="宋体" w:hAnsi="宋体" w:cs="宋体"/>
                <w:sz w:val="20"/>
                <w:szCs w:val="20"/>
              </w:rPr>
            </w:pPr>
            <w:r>
              <w:rPr>
                <w:rFonts w:hint="eastAsia" w:ascii="宋体" w:hAnsi="宋体" w:cs="宋体"/>
                <w:sz w:val="20"/>
                <w:szCs w:val="20"/>
              </w:rPr>
              <w:t>7月24-29日重点工作事项：销售退货；材料领用成本汇总；</w:t>
            </w:r>
          </w:p>
          <w:p>
            <w:pPr>
              <w:spacing w:line="360" w:lineRule="auto"/>
              <w:ind w:left="420"/>
              <w:rPr>
                <w:rFonts w:ascii="宋体" w:hAnsi="宋体" w:cs="宋体"/>
                <w:sz w:val="20"/>
                <w:szCs w:val="20"/>
              </w:rPr>
            </w:pPr>
            <w:r>
              <w:rPr>
                <w:rFonts w:hint="eastAsia" w:ascii="宋体" w:hAnsi="宋体" w:cs="宋体"/>
                <w:sz w:val="20"/>
                <w:szCs w:val="20"/>
              </w:rPr>
              <w:t>7月30-31日重点工作事项：工会经费账务处理；材料领用成本汇总；职工教育经费账务处理；房产税计提；土地使用税计提；公允价值变动；资产盘点及账务处理；工资、社保及公积金计提的账务处理；成本差异率计算；成本差异结转；交互分配法的运用；制造费用结转；约当产量法的运用；完工产品成本计算；月末一次加权平均法的运用；销售成本结转；资产盘点及账务处理；坏账准备计算与账务处理；应交增值税的计算；附加税的计提；所得税计提；月末结账；</w:t>
            </w:r>
          </w:p>
          <w:p>
            <w:pPr>
              <w:spacing w:line="360" w:lineRule="auto"/>
              <w:ind w:left="420"/>
              <w:rPr>
                <w:rFonts w:ascii="宋体" w:hAnsi="宋体" w:cs="宋体"/>
                <w:sz w:val="20"/>
                <w:szCs w:val="20"/>
              </w:rPr>
            </w:pPr>
            <w:r>
              <w:rPr>
                <w:rFonts w:hint="eastAsia" w:ascii="宋体" w:hAnsi="宋体" w:cs="宋体"/>
                <w:sz w:val="20"/>
                <w:szCs w:val="20"/>
              </w:rPr>
              <w:t>8月1-8日重点工作事项：材料入库；采购材料；销售商品；</w:t>
            </w:r>
          </w:p>
          <w:p>
            <w:pPr>
              <w:spacing w:line="360" w:lineRule="auto"/>
              <w:ind w:left="420"/>
              <w:rPr>
                <w:rFonts w:ascii="宋体" w:hAnsi="宋体" w:cs="宋体"/>
                <w:sz w:val="20"/>
                <w:szCs w:val="20"/>
              </w:rPr>
            </w:pPr>
            <w:r>
              <w:rPr>
                <w:rFonts w:hint="eastAsia" w:ascii="宋体" w:hAnsi="宋体" w:cs="宋体"/>
                <w:sz w:val="20"/>
                <w:szCs w:val="20"/>
              </w:rPr>
              <w:t>8月9-15日重点工作事项：材料领用成本汇总；长期股权投资；增值税、附加税、印花税申报填写；个人所得税、房产税申报填写；工会经费账务处理；材料领用成本汇总；</w:t>
            </w:r>
          </w:p>
          <w:p>
            <w:pPr>
              <w:spacing w:line="360" w:lineRule="auto"/>
              <w:ind w:left="420"/>
              <w:rPr>
                <w:rFonts w:ascii="宋体" w:hAnsi="宋体" w:cs="宋体"/>
                <w:sz w:val="20"/>
                <w:szCs w:val="20"/>
              </w:rPr>
            </w:pPr>
            <w:r>
              <w:rPr>
                <w:rFonts w:hint="eastAsia" w:ascii="宋体" w:hAnsi="宋体" w:cs="宋体"/>
                <w:sz w:val="20"/>
                <w:szCs w:val="20"/>
              </w:rPr>
              <w:t>8月16-24日重点工作事项：票据到期收款；发放工资的账务处理；材料领用成本汇总；工会经费、职工教育经费、票据贴现的账务处理；</w:t>
            </w:r>
          </w:p>
          <w:p>
            <w:pPr>
              <w:spacing w:line="360" w:lineRule="auto"/>
              <w:ind w:left="420"/>
              <w:rPr>
                <w:rFonts w:ascii="宋体" w:hAnsi="宋体" w:cs="宋体"/>
                <w:sz w:val="20"/>
                <w:szCs w:val="20"/>
              </w:rPr>
            </w:pPr>
            <w:r>
              <w:rPr>
                <w:rFonts w:hint="eastAsia" w:ascii="宋体" w:hAnsi="宋体" w:cs="宋体"/>
                <w:sz w:val="20"/>
                <w:szCs w:val="20"/>
              </w:rPr>
              <w:t>8月25-28日重点工作事项：销售退货；材料领用成本汇总；</w:t>
            </w:r>
          </w:p>
          <w:p>
            <w:pPr>
              <w:spacing w:line="360" w:lineRule="auto"/>
              <w:ind w:left="420"/>
              <w:rPr>
                <w:rFonts w:ascii="宋体" w:hAnsi="宋体" w:cs="宋体"/>
                <w:sz w:val="20"/>
                <w:szCs w:val="20"/>
              </w:rPr>
            </w:pPr>
            <w:r>
              <w:rPr>
                <w:rFonts w:hint="eastAsia" w:ascii="宋体" w:hAnsi="宋体" w:cs="宋体"/>
                <w:sz w:val="20"/>
                <w:szCs w:val="20"/>
              </w:rPr>
              <w:t>8月29-31日工作事项：工会经费账务处理；捐赠业务、材料领用成本汇总；公允价值变动；房产税计提；土地使用税计提；职工教育经费账务处理；政府补助；工资、社保及公积金计提的账务处理；公允价值变动；成本差异率计算；成本差异结转；交互分配法的运用；制造费用结转；约当产量法的运用、完工产品成本计算；资产盘点及账务处理；月末一次加权平均法的运用；销售成本结转；资产盘点及账务处理；应交增值税的计算；附加税、企业所得税计算；月末结账；</w:t>
            </w:r>
          </w:p>
          <w:p>
            <w:pPr>
              <w:spacing w:line="360" w:lineRule="auto"/>
              <w:ind w:left="420"/>
              <w:rPr>
                <w:rFonts w:ascii="宋体" w:hAnsi="宋体" w:cs="宋体"/>
                <w:sz w:val="20"/>
                <w:szCs w:val="20"/>
              </w:rPr>
            </w:pPr>
            <w:r>
              <w:rPr>
                <w:rFonts w:hint="eastAsia" w:ascii="宋体" w:hAnsi="宋体" w:cs="宋体"/>
                <w:sz w:val="20"/>
                <w:szCs w:val="20"/>
              </w:rPr>
              <w:t>9月1-7日重点工作事项：材料入库；采购材料；销售商品；</w:t>
            </w:r>
          </w:p>
          <w:p>
            <w:pPr>
              <w:spacing w:line="360" w:lineRule="auto"/>
              <w:ind w:left="420"/>
              <w:rPr>
                <w:rFonts w:ascii="宋体" w:hAnsi="宋体" w:cs="宋体"/>
                <w:sz w:val="20"/>
                <w:szCs w:val="20"/>
              </w:rPr>
            </w:pPr>
            <w:r>
              <w:rPr>
                <w:rFonts w:hint="eastAsia" w:ascii="宋体" w:hAnsi="宋体" w:cs="宋体"/>
                <w:sz w:val="20"/>
                <w:szCs w:val="20"/>
              </w:rPr>
              <w:t>9月8-18日重点工作事项：增值税申报填写；签发票据；材料领用成本汇总；附加税、印花税、个税、房产税申报填写；工会经费账务处理；非货币性福利；材料领用成本汇总；职工教育经费账务处理；金融资产；发放工资的账务处理；</w:t>
            </w:r>
          </w:p>
          <w:p>
            <w:pPr>
              <w:spacing w:line="360" w:lineRule="auto"/>
              <w:ind w:left="420"/>
              <w:rPr>
                <w:rFonts w:ascii="宋体" w:hAnsi="宋体" w:cs="宋体"/>
                <w:sz w:val="20"/>
                <w:szCs w:val="20"/>
              </w:rPr>
            </w:pPr>
            <w:r>
              <w:rPr>
                <w:rFonts w:hint="eastAsia" w:ascii="宋体" w:hAnsi="宋体" w:cs="宋体"/>
                <w:sz w:val="20"/>
                <w:szCs w:val="20"/>
              </w:rPr>
              <w:t>9月19-23日重点工作事项：材料领用成本汇总；工会经费账务处理；</w:t>
            </w:r>
          </w:p>
          <w:p>
            <w:pPr>
              <w:spacing w:line="360" w:lineRule="auto"/>
              <w:ind w:left="420"/>
              <w:rPr>
                <w:rFonts w:ascii="宋体" w:hAnsi="宋体" w:cs="宋体"/>
                <w:sz w:val="20"/>
                <w:szCs w:val="20"/>
              </w:rPr>
            </w:pPr>
            <w:r>
              <w:rPr>
                <w:rFonts w:hint="eastAsia" w:ascii="宋体" w:hAnsi="宋体" w:cs="宋体"/>
                <w:sz w:val="20"/>
                <w:szCs w:val="20"/>
              </w:rPr>
              <w:t>9月24-28日重点工作事项：销售退货；股权变动；材料领用成本汇总；</w:t>
            </w:r>
          </w:p>
          <w:p>
            <w:pPr>
              <w:spacing w:line="360" w:lineRule="auto"/>
              <w:ind w:left="420"/>
              <w:rPr>
                <w:rFonts w:ascii="宋体" w:hAnsi="宋体" w:cs="宋体"/>
                <w:sz w:val="20"/>
                <w:szCs w:val="20"/>
              </w:rPr>
            </w:pPr>
            <w:r>
              <w:rPr>
                <w:rFonts w:hint="eastAsia" w:ascii="宋体" w:hAnsi="宋体" w:cs="宋体"/>
                <w:sz w:val="20"/>
                <w:szCs w:val="20"/>
              </w:rPr>
              <w:t>9月29-30日工作事项：材料领用成本汇总；职工教育经费、工会经费的账务处理；投资性房；地产工资、社保及公积金计提的账务处理；公允价值变动；政府补助；房产税计提；土地税用税计提；公允价值变动；非货币性福利；成本差异率计算；成本差异结转；交互分配法的运用；制造费用结转；资产盘点及账务处理；月末一次加权平均法的运用；销售成本结转；资产盘点及账务处理；应交增值税的计算；附加税的计算；企业所得税计算；月末结账；</w:t>
            </w:r>
          </w:p>
          <w:p>
            <w:pPr>
              <w:spacing w:line="360" w:lineRule="auto"/>
              <w:ind w:left="420"/>
              <w:rPr>
                <w:rFonts w:ascii="宋体" w:hAnsi="宋体" w:cs="宋体"/>
                <w:sz w:val="20"/>
                <w:szCs w:val="20"/>
              </w:rPr>
            </w:pPr>
            <w:r>
              <w:rPr>
                <w:rFonts w:hint="eastAsia" w:ascii="宋体" w:hAnsi="宋体" w:cs="宋体"/>
                <w:sz w:val="20"/>
                <w:szCs w:val="20"/>
              </w:rPr>
              <w:t>10月3-7日重点工作事项：收欠款、支付欠款；采购材料；销售商品；材料入库；</w:t>
            </w:r>
          </w:p>
          <w:p>
            <w:pPr>
              <w:spacing w:line="360" w:lineRule="auto"/>
              <w:ind w:left="420"/>
              <w:rPr>
                <w:rFonts w:ascii="宋体" w:hAnsi="宋体" w:cs="宋体"/>
                <w:sz w:val="20"/>
                <w:szCs w:val="20"/>
              </w:rPr>
            </w:pPr>
            <w:r>
              <w:rPr>
                <w:rFonts w:hint="eastAsia" w:ascii="宋体" w:hAnsi="宋体" w:cs="宋体"/>
                <w:sz w:val="20"/>
                <w:szCs w:val="20"/>
              </w:rPr>
              <w:t>10月8-19日重点工作事项：材料领用成本汇总；增值税申报填写；附加税、印花税、个税、房产税申报填写；工会经费账务处理；企业所得税季度申报；材料领用成本汇总；发放工资的账务处理；</w:t>
            </w:r>
          </w:p>
          <w:p>
            <w:pPr>
              <w:spacing w:line="360" w:lineRule="auto"/>
              <w:ind w:left="420"/>
              <w:rPr>
                <w:rFonts w:ascii="宋体" w:hAnsi="宋体" w:cs="宋体"/>
                <w:sz w:val="20"/>
                <w:szCs w:val="20"/>
              </w:rPr>
            </w:pPr>
            <w:r>
              <w:rPr>
                <w:rFonts w:hint="eastAsia" w:ascii="宋体" w:hAnsi="宋体" w:cs="宋体"/>
                <w:sz w:val="20"/>
                <w:szCs w:val="20"/>
              </w:rPr>
              <w:t>10月20-25日重点工作事项：材料领用成本汇总；工会经费账务处理；票据背书；职工教育经费账务处理；</w:t>
            </w:r>
          </w:p>
          <w:p>
            <w:pPr>
              <w:spacing w:line="360" w:lineRule="auto"/>
              <w:ind w:left="420"/>
              <w:rPr>
                <w:rFonts w:ascii="宋体" w:hAnsi="宋体" w:cs="宋体"/>
                <w:sz w:val="20"/>
                <w:szCs w:val="20"/>
              </w:rPr>
            </w:pPr>
            <w:r>
              <w:rPr>
                <w:rFonts w:hint="eastAsia" w:ascii="宋体" w:hAnsi="宋体" w:cs="宋体"/>
                <w:sz w:val="20"/>
                <w:szCs w:val="20"/>
              </w:rPr>
              <w:t>10月26-30日重点工作事项：其他货币资金；销售折让；材料领用成本汇总；职工教育经费账务处理；工会经费账务处理；公允价值变动；材料领用成本汇总；政府补助、工资、社保、公积金的计提及账务处理；房产税计提、土地使用税计提；成本差异率计算；成本差异结转；交互分配法的运用；制造费用结转；资产盘点及账务处理；约当产量法的运用；完工产品成本计算；资产盘点及账务处理；月末一次加权平均法的运用；销售成本结转；资产盘点及账务处理；应交增值税的计算；附加税的计算；企业所得税计算；月末结账；</w:t>
            </w:r>
          </w:p>
          <w:p>
            <w:pPr>
              <w:spacing w:line="360" w:lineRule="auto"/>
              <w:ind w:left="420"/>
              <w:rPr>
                <w:rFonts w:ascii="宋体" w:hAnsi="宋体" w:cs="宋体"/>
                <w:sz w:val="20"/>
                <w:szCs w:val="20"/>
              </w:rPr>
            </w:pPr>
            <w:r>
              <w:rPr>
                <w:rFonts w:hint="eastAsia" w:ascii="宋体" w:hAnsi="宋体" w:cs="宋体"/>
                <w:sz w:val="20"/>
                <w:szCs w:val="20"/>
              </w:rPr>
              <w:t>11月1-5日重点工作事项：债券；坏账准备计算与账务处理；完成11月5日4-5笔工作事项；材料领用成本汇总；材料入库；采购材料；</w:t>
            </w:r>
          </w:p>
          <w:p>
            <w:pPr>
              <w:spacing w:line="360" w:lineRule="auto"/>
              <w:ind w:left="420"/>
              <w:rPr>
                <w:rFonts w:ascii="宋体" w:hAnsi="宋体" w:cs="宋体"/>
                <w:sz w:val="20"/>
                <w:szCs w:val="20"/>
              </w:rPr>
            </w:pPr>
            <w:r>
              <w:rPr>
                <w:rFonts w:hint="eastAsia" w:ascii="宋体" w:hAnsi="宋体" w:cs="宋体"/>
                <w:sz w:val="20"/>
                <w:szCs w:val="20"/>
              </w:rPr>
              <w:t>11月12-13日重点工作事项：增值税、印花税、附加税、个税、房产税申报填写；工会经费账务处理；</w:t>
            </w:r>
          </w:p>
          <w:p>
            <w:pPr>
              <w:spacing w:line="360" w:lineRule="auto"/>
              <w:ind w:left="420"/>
              <w:rPr>
                <w:rFonts w:ascii="宋体" w:hAnsi="宋体" w:cs="宋体"/>
                <w:sz w:val="20"/>
                <w:szCs w:val="20"/>
              </w:rPr>
            </w:pPr>
            <w:r>
              <w:rPr>
                <w:rFonts w:hint="eastAsia" w:ascii="宋体" w:hAnsi="宋体" w:cs="宋体"/>
                <w:sz w:val="20"/>
                <w:szCs w:val="20"/>
              </w:rPr>
              <w:t>11月14-18日重点工作事项：材料领用成本汇总；投资性房地产；职工教育经费账务处理；发放工资的账务处理；</w:t>
            </w:r>
          </w:p>
          <w:p>
            <w:pPr>
              <w:spacing w:line="360" w:lineRule="auto"/>
              <w:ind w:left="420"/>
              <w:rPr>
                <w:rFonts w:ascii="宋体" w:hAnsi="宋体" w:cs="宋体"/>
                <w:sz w:val="20"/>
                <w:szCs w:val="20"/>
              </w:rPr>
            </w:pPr>
            <w:r>
              <w:rPr>
                <w:rFonts w:hint="eastAsia" w:ascii="宋体" w:hAnsi="宋体" w:cs="宋体"/>
                <w:sz w:val="20"/>
                <w:szCs w:val="20"/>
              </w:rPr>
              <w:t>11月19-25日重点工作事项：材料领用成本汇总；票据贴现；票据到期付款；</w:t>
            </w:r>
          </w:p>
          <w:p>
            <w:pPr>
              <w:spacing w:line="360" w:lineRule="auto"/>
              <w:ind w:left="420"/>
              <w:rPr>
                <w:rFonts w:ascii="宋体" w:hAnsi="宋体" w:cs="宋体"/>
                <w:sz w:val="20"/>
                <w:szCs w:val="20"/>
              </w:rPr>
            </w:pPr>
            <w:r>
              <w:rPr>
                <w:rFonts w:hint="eastAsia" w:ascii="宋体" w:hAnsi="宋体" w:cs="宋体"/>
                <w:sz w:val="20"/>
                <w:szCs w:val="20"/>
              </w:rPr>
              <w:t>11月26-29日重点工作事项：销售退货；材料领用成本汇总；职工教育经费账务处理；捐赠业务；</w:t>
            </w:r>
          </w:p>
          <w:p>
            <w:pPr>
              <w:spacing w:line="360" w:lineRule="auto"/>
              <w:ind w:left="420"/>
              <w:rPr>
                <w:rFonts w:ascii="宋体" w:hAnsi="宋体" w:cs="宋体"/>
                <w:sz w:val="20"/>
                <w:szCs w:val="20"/>
              </w:rPr>
            </w:pPr>
            <w:r>
              <w:rPr>
                <w:rFonts w:hint="eastAsia" w:ascii="宋体" w:hAnsi="宋体" w:cs="宋体"/>
                <w:sz w:val="20"/>
                <w:szCs w:val="20"/>
              </w:rPr>
              <w:t>1月30日重点工作事项：工会经费账务处理；债券减值准备；工资、社保及公积金计提的账务处理；政府补助；房产税、土地使用税计提；公允价值变动；成本差异率计算；成本差异结转；交互分配法的运用；制造费用结转；约当产量法的运用；完工产品成本计算；月末一次加权平均法的运用；销售成本结转；资产盘点及账务处理；坏账准备计算与账务处理；应交增值税的计算；附加税、企业所得税计提；月末结账；</w:t>
            </w:r>
          </w:p>
          <w:p>
            <w:pPr>
              <w:spacing w:line="360" w:lineRule="auto"/>
              <w:ind w:left="420"/>
              <w:rPr>
                <w:rFonts w:ascii="宋体" w:hAnsi="宋体" w:cs="宋体"/>
                <w:sz w:val="20"/>
                <w:szCs w:val="20"/>
              </w:rPr>
            </w:pPr>
            <w:r>
              <w:rPr>
                <w:rFonts w:hint="eastAsia" w:ascii="宋体" w:hAnsi="宋体" w:cs="宋体"/>
                <w:sz w:val="20"/>
                <w:szCs w:val="20"/>
              </w:rPr>
              <w:t>12月3-10日重点工作事项：材料领用成本汇总；材料入库；采购材料；</w:t>
            </w:r>
          </w:p>
          <w:p>
            <w:pPr>
              <w:spacing w:line="360" w:lineRule="auto"/>
              <w:ind w:left="420"/>
              <w:rPr>
                <w:rFonts w:ascii="宋体" w:hAnsi="宋体" w:cs="宋体"/>
                <w:sz w:val="20"/>
                <w:szCs w:val="20"/>
              </w:rPr>
            </w:pPr>
            <w:r>
              <w:rPr>
                <w:rFonts w:hint="eastAsia" w:ascii="宋体" w:hAnsi="宋体" w:cs="宋体"/>
                <w:sz w:val="20"/>
                <w:szCs w:val="20"/>
              </w:rPr>
              <w:t>12月11-12日重点工作事项：增值税、附加税、印花税、个税、房产税申报；</w:t>
            </w:r>
          </w:p>
          <w:p>
            <w:pPr>
              <w:spacing w:line="360" w:lineRule="auto"/>
              <w:ind w:left="420"/>
              <w:rPr>
                <w:rFonts w:ascii="宋体" w:hAnsi="宋体" w:cs="宋体"/>
                <w:sz w:val="20"/>
                <w:szCs w:val="20"/>
              </w:rPr>
            </w:pPr>
            <w:r>
              <w:rPr>
                <w:rFonts w:hint="eastAsia" w:ascii="宋体" w:hAnsi="宋体" w:cs="宋体"/>
                <w:sz w:val="20"/>
                <w:szCs w:val="20"/>
              </w:rPr>
              <w:t>12月13-16日重点工作事项：工会经费账务处理；材料领用成本汇总；职工教育经费账务处理；</w:t>
            </w:r>
          </w:p>
          <w:p>
            <w:pPr>
              <w:spacing w:line="360" w:lineRule="auto"/>
              <w:ind w:left="420"/>
              <w:rPr>
                <w:rFonts w:ascii="宋体" w:hAnsi="宋体" w:cs="宋体"/>
                <w:sz w:val="20"/>
                <w:szCs w:val="20"/>
              </w:rPr>
            </w:pPr>
            <w:r>
              <w:rPr>
                <w:rFonts w:hint="eastAsia" w:ascii="宋体" w:hAnsi="宋体" w:cs="宋体"/>
                <w:sz w:val="20"/>
                <w:szCs w:val="20"/>
              </w:rPr>
              <w:t>12月17-22日重点工作事项：发放工资的账务处理；材料领用成本汇总；</w:t>
            </w:r>
          </w:p>
          <w:p>
            <w:pPr>
              <w:spacing w:line="360" w:lineRule="auto"/>
              <w:ind w:left="420"/>
              <w:rPr>
                <w:rFonts w:ascii="宋体" w:hAnsi="宋体" w:cs="宋体"/>
                <w:sz w:val="20"/>
                <w:szCs w:val="20"/>
              </w:rPr>
            </w:pPr>
            <w:r>
              <w:rPr>
                <w:rFonts w:hint="eastAsia" w:ascii="宋体" w:hAnsi="宋体" w:cs="宋体"/>
                <w:sz w:val="20"/>
                <w:szCs w:val="20"/>
              </w:rPr>
              <w:t>12月23-26日重点工作事项：销售退货；非货币性福利；固定资产清理</w:t>
            </w:r>
          </w:p>
          <w:p>
            <w:pPr>
              <w:spacing w:line="360" w:lineRule="auto"/>
              <w:ind w:left="420"/>
              <w:rPr>
                <w:rFonts w:ascii="宋体" w:hAnsi="宋体" w:cs="宋体"/>
                <w:sz w:val="20"/>
                <w:szCs w:val="20"/>
              </w:rPr>
            </w:pPr>
            <w:r>
              <w:rPr>
                <w:rFonts w:hint="eastAsia" w:ascii="宋体" w:hAnsi="宋体" w:cs="宋体"/>
                <w:sz w:val="20"/>
                <w:szCs w:val="20"/>
              </w:rPr>
              <w:t>12月27-31日工作事项：职工教育经费账务处理；销售退货；材料领用成本汇总；票据背书；固定资产清理；工会经费账务处理；捐赠业务；材料领用成本汇总；职工教育经费账务处理；债券减值准备；房产税、土地使用税计提；工资、社保及公积金计提的账务处理；</w:t>
            </w:r>
          </w:p>
          <w:p>
            <w:pPr>
              <w:spacing w:line="360" w:lineRule="auto"/>
              <w:ind w:left="420"/>
            </w:pPr>
            <w:r>
              <w:rPr>
                <w:rFonts w:hint="eastAsia" w:ascii="宋体" w:hAnsi="宋体" w:cs="宋体"/>
                <w:sz w:val="20"/>
                <w:szCs w:val="20"/>
              </w:rPr>
              <w:t>年终奖核算及账务处理；政府补助；公允价值变动；成本差异率计算；成本差异结转；交互分配法的运用；制造费用结转；资产盘点及账务处理；约当产量法的运用；完工产品成本计算；资产盘点及账务处理；月末一次加权平均法的运用；销售成本结转；坏账准备计算与账务处理；应交增值税的计算；附加税的计提；金融商品转让收益；企业所得税计提；增值税科目年终结转；结转本年利润；利润分配。</w:t>
            </w:r>
          </w:p>
          <w:p>
            <w:pPr>
              <w:spacing w:line="360" w:lineRule="auto"/>
              <w:rPr>
                <w:b/>
                <w:bCs/>
              </w:rPr>
            </w:pPr>
            <w:r>
              <w:rPr>
                <w:rFonts w:hint="eastAsia"/>
                <w:b/>
                <w:bCs/>
              </w:rPr>
              <w:t>（三）在线实习参数</w:t>
            </w:r>
            <w:r>
              <w:rPr>
                <w:rFonts w:hint="eastAsia" w:ascii="宋体" w:hAnsi="宋体" w:cs="仿宋"/>
                <w:bCs/>
                <w:sz w:val="20"/>
                <w:szCs w:val="20"/>
              </w:rPr>
              <w:t>（</w:t>
            </w:r>
            <w:r>
              <w:rPr>
                <w:rFonts w:ascii="宋体" w:hAnsi="宋体" w:cs="仿宋"/>
                <w:bCs/>
                <w:sz w:val="20"/>
                <w:szCs w:val="20"/>
              </w:rPr>
              <w:t>配套</w:t>
            </w:r>
            <w:r>
              <w:rPr>
                <w:rFonts w:hint="eastAsia" w:ascii="宋体" w:hAnsi="宋体" w:cs="仿宋"/>
                <w:bCs/>
                <w:sz w:val="20"/>
                <w:szCs w:val="20"/>
              </w:rPr>
              <w:t>60个为期6个月</w:t>
            </w:r>
            <w:r>
              <w:rPr>
                <w:rFonts w:ascii="宋体" w:hAnsi="宋体" w:cs="仿宋"/>
                <w:bCs/>
                <w:sz w:val="20"/>
                <w:szCs w:val="20"/>
              </w:rPr>
              <w:t>在线实习</w:t>
            </w:r>
            <w:r>
              <w:rPr>
                <w:rFonts w:hint="eastAsia" w:ascii="宋体" w:hAnsi="宋体" w:cs="仿宋"/>
                <w:bCs/>
                <w:sz w:val="20"/>
                <w:szCs w:val="20"/>
              </w:rPr>
              <w:t>账号）</w:t>
            </w:r>
          </w:p>
          <w:p>
            <w:pPr>
              <w:numPr>
                <w:ilvl w:val="0"/>
                <w:numId w:val="3"/>
              </w:numPr>
              <w:spacing w:line="360" w:lineRule="auto"/>
              <w:jc w:val="left"/>
              <w:rPr>
                <w:rFonts w:ascii="宋体" w:hAnsi="宋体" w:cs="仿宋"/>
                <w:b/>
                <w:sz w:val="20"/>
                <w:szCs w:val="20"/>
              </w:rPr>
            </w:pPr>
            <w:r>
              <w:rPr>
                <w:rFonts w:hint="eastAsia" w:ascii="宋体" w:hAnsi="宋体" w:cs="仿宋"/>
                <w:b/>
                <w:sz w:val="20"/>
                <w:szCs w:val="20"/>
              </w:rPr>
              <w:t>在线云学堂：</w:t>
            </w:r>
          </w:p>
          <w:p>
            <w:pPr>
              <w:spacing w:line="360" w:lineRule="auto"/>
              <w:ind w:left="360"/>
              <w:rPr>
                <w:rFonts w:ascii="宋体" w:hAnsi="宋体" w:cs="仿宋"/>
                <w:bCs/>
                <w:sz w:val="20"/>
                <w:szCs w:val="20"/>
              </w:rPr>
            </w:pPr>
            <w:r>
              <w:rPr>
                <w:rFonts w:hint="eastAsia" w:ascii="宋体" w:hAnsi="宋体" w:cs="仿宋"/>
                <w:bCs/>
                <w:sz w:val="20"/>
                <w:szCs w:val="20"/>
              </w:rPr>
              <w:t>提供工业企业会计（1个月业务）模拟实操系统，包括信息中心系统、业务协同系统、出纳账系统、仓储系统、网上银行系统、会计信息化系统、保险柜系统、增值税防伪税控开票系统、网上税务局系统（网上办税模块、网上认证模块）、自然人税收管理系统、网上认证系统、财务分析系统、计算机审计系统、帮助系统、评价系统十四个模块。系统配套30个课时真人讲师出境讲解实操课程，每课时要求30分钟以上。学生可通过手机号在相关微信公众号平台上以手机验证码形式自行注册，实习结束后由在线实习平台和代理记账机构开具实习证明。</w:t>
            </w:r>
          </w:p>
          <w:p>
            <w:pPr>
              <w:numPr>
                <w:ilvl w:val="0"/>
                <w:numId w:val="3"/>
              </w:numPr>
              <w:spacing w:line="360" w:lineRule="auto"/>
              <w:jc w:val="left"/>
              <w:rPr>
                <w:rFonts w:ascii="宋体" w:hAnsi="宋体" w:cs="仿宋"/>
                <w:b/>
                <w:sz w:val="20"/>
                <w:szCs w:val="20"/>
              </w:rPr>
            </w:pPr>
            <w:r>
              <w:rPr>
                <w:rFonts w:hint="eastAsia" w:ascii="宋体" w:hAnsi="宋体" w:cs="仿宋"/>
                <w:b/>
                <w:sz w:val="20"/>
                <w:szCs w:val="20"/>
              </w:rPr>
              <w:t>在线流水记账平台：</w:t>
            </w:r>
          </w:p>
          <w:p>
            <w:pPr>
              <w:spacing w:line="360" w:lineRule="auto"/>
              <w:ind w:left="360"/>
              <w:rPr>
                <w:rFonts w:ascii="宋体" w:hAnsi="宋体" w:cs="仿宋"/>
                <w:bCs/>
                <w:sz w:val="20"/>
                <w:szCs w:val="20"/>
              </w:rPr>
            </w:pPr>
            <w:r>
              <w:rPr>
                <w:rFonts w:hint="eastAsia" w:ascii="宋体" w:hAnsi="宋体" w:cs="仿宋"/>
                <w:bCs/>
                <w:sz w:val="20"/>
                <w:szCs w:val="20"/>
              </w:rPr>
              <w:t>2.1平台能够支持电脑、手机使用，支持电脑上使用扫码登录；日记账可按任意时间区间查询，可查询任意项目收入；平台可共享给其他学生使用，具有简单易用的客户管理模块。</w:t>
            </w:r>
          </w:p>
          <w:p>
            <w:pPr>
              <w:spacing w:line="360" w:lineRule="auto"/>
              <w:ind w:left="360"/>
              <w:rPr>
                <w:rFonts w:ascii="宋体" w:hAnsi="宋体" w:cs="仿宋"/>
                <w:bCs/>
                <w:sz w:val="20"/>
                <w:szCs w:val="20"/>
              </w:rPr>
            </w:pPr>
            <w:r>
              <w:rPr>
                <w:rFonts w:hint="eastAsia" w:ascii="宋体" w:hAnsi="宋体" w:cs="仿宋"/>
                <w:bCs/>
                <w:sz w:val="20"/>
                <w:szCs w:val="20"/>
              </w:rPr>
              <w:t>2.2功能如下：</w:t>
            </w:r>
          </w:p>
          <w:p>
            <w:pPr>
              <w:spacing w:line="360" w:lineRule="auto"/>
              <w:ind w:left="675"/>
              <w:rPr>
                <w:rFonts w:ascii="宋体" w:hAnsi="宋体" w:cs="仿宋"/>
                <w:bCs/>
                <w:sz w:val="20"/>
                <w:szCs w:val="20"/>
              </w:rPr>
            </w:pPr>
            <w:r>
              <w:rPr>
                <w:rFonts w:hint="eastAsia" w:ascii="宋体" w:hAnsi="宋体" w:cs="仿宋"/>
                <w:bCs/>
                <w:sz w:val="20"/>
                <w:szCs w:val="20"/>
              </w:rPr>
              <w:t>2.2.1日记账：提供日常现金流水账管理；</w:t>
            </w:r>
          </w:p>
          <w:p>
            <w:pPr>
              <w:spacing w:line="360" w:lineRule="auto"/>
              <w:ind w:left="675"/>
              <w:rPr>
                <w:rFonts w:ascii="宋体" w:hAnsi="宋体" w:cs="仿宋"/>
                <w:bCs/>
                <w:sz w:val="20"/>
                <w:szCs w:val="20"/>
              </w:rPr>
            </w:pPr>
            <w:r>
              <w:rPr>
                <w:rFonts w:hint="eastAsia" w:ascii="宋体" w:hAnsi="宋体" w:cs="仿宋"/>
                <w:bCs/>
                <w:sz w:val="20"/>
                <w:szCs w:val="20"/>
              </w:rPr>
              <w:t>2.2.2应收应付：提供记录应收账款或应付账款功能，具有记应收，修改，删除，收款功能，具备记应付，修改，删除，付款功能；</w:t>
            </w:r>
          </w:p>
          <w:p>
            <w:pPr>
              <w:spacing w:line="360" w:lineRule="auto"/>
              <w:ind w:left="675"/>
              <w:rPr>
                <w:rFonts w:ascii="宋体" w:hAnsi="宋体" w:cs="仿宋"/>
                <w:bCs/>
                <w:sz w:val="20"/>
                <w:szCs w:val="20"/>
              </w:rPr>
            </w:pPr>
            <w:r>
              <w:rPr>
                <w:rFonts w:hint="eastAsia" w:ascii="宋体" w:hAnsi="宋体" w:cs="仿宋"/>
                <w:bCs/>
                <w:sz w:val="20"/>
                <w:szCs w:val="20"/>
              </w:rPr>
              <w:t>2.2.3报表：提供报表统计分析功能，按月统计收入、支出、收到/归还贷款额，纯利润，月末账面余额信息，同时提供柱状图表显示收入、支出、利润、月末账面余额；</w:t>
            </w:r>
          </w:p>
          <w:p>
            <w:pPr>
              <w:spacing w:line="360" w:lineRule="auto"/>
              <w:ind w:left="675"/>
              <w:rPr>
                <w:rFonts w:ascii="宋体" w:hAnsi="宋体" w:cs="仿宋"/>
                <w:bCs/>
                <w:sz w:val="20"/>
                <w:szCs w:val="20"/>
              </w:rPr>
            </w:pPr>
            <w:r>
              <w:rPr>
                <w:rFonts w:hint="eastAsia" w:ascii="宋体" w:hAnsi="宋体" w:cs="仿宋"/>
                <w:bCs/>
                <w:sz w:val="20"/>
                <w:szCs w:val="20"/>
              </w:rPr>
              <w:t>2.2.4物品管理：实现库存物品的管理，具有入库、领用、查询、统计功能。</w:t>
            </w:r>
          </w:p>
          <w:p>
            <w:pPr>
              <w:spacing w:line="360" w:lineRule="auto"/>
              <w:ind w:left="675"/>
              <w:rPr>
                <w:rFonts w:ascii="宋体" w:hAnsi="宋体" w:cs="仿宋"/>
                <w:bCs/>
                <w:sz w:val="20"/>
                <w:szCs w:val="20"/>
              </w:rPr>
            </w:pPr>
            <w:r>
              <w:rPr>
                <w:rFonts w:hint="eastAsia" w:ascii="宋体" w:hAnsi="宋体" w:cs="仿宋"/>
                <w:bCs/>
                <w:sz w:val="20"/>
                <w:szCs w:val="20"/>
              </w:rPr>
              <w:t>2.2.5固定资产：具有登记，领用、归还功能；</w:t>
            </w:r>
          </w:p>
          <w:p>
            <w:pPr>
              <w:spacing w:line="360" w:lineRule="auto"/>
              <w:ind w:left="675"/>
              <w:rPr>
                <w:rFonts w:ascii="宋体" w:hAnsi="宋体" w:cs="仿宋"/>
                <w:bCs/>
                <w:sz w:val="20"/>
                <w:szCs w:val="20"/>
              </w:rPr>
            </w:pPr>
            <w:r>
              <w:rPr>
                <w:rFonts w:hint="eastAsia" w:ascii="宋体" w:hAnsi="宋体" w:cs="仿宋"/>
                <w:bCs/>
                <w:sz w:val="20"/>
                <w:szCs w:val="20"/>
              </w:rPr>
              <w:t>2.2.6客户管理：提供客户管理功能；</w:t>
            </w:r>
          </w:p>
          <w:p>
            <w:pPr>
              <w:spacing w:line="360" w:lineRule="auto"/>
              <w:ind w:left="675"/>
              <w:rPr>
                <w:rFonts w:ascii="宋体" w:hAnsi="宋体" w:cs="仿宋"/>
                <w:bCs/>
                <w:sz w:val="20"/>
                <w:szCs w:val="20"/>
              </w:rPr>
            </w:pPr>
            <w:r>
              <w:rPr>
                <w:rFonts w:hint="eastAsia" w:ascii="宋体" w:hAnsi="宋体" w:cs="仿宋"/>
                <w:bCs/>
                <w:sz w:val="20"/>
                <w:szCs w:val="20"/>
              </w:rPr>
              <w:t>2.2.7项目管理：包括项目开始结束日期，项目类别、项目金额、应付金额、应收金额，自动关联日记账数据，自动计算出已付金额、应付余额或已收金额、应收余额；</w:t>
            </w:r>
          </w:p>
          <w:p>
            <w:pPr>
              <w:spacing w:line="360" w:lineRule="auto"/>
              <w:ind w:left="675"/>
              <w:rPr>
                <w:rFonts w:ascii="宋体" w:hAnsi="宋体" w:cs="仿宋"/>
                <w:bCs/>
                <w:sz w:val="20"/>
                <w:szCs w:val="20"/>
              </w:rPr>
            </w:pPr>
            <w:r>
              <w:rPr>
                <w:rFonts w:hint="eastAsia" w:ascii="宋体" w:hAnsi="宋体" w:cs="仿宋"/>
                <w:bCs/>
                <w:sz w:val="20"/>
                <w:szCs w:val="20"/>
              </w:rPr>
              <w:t>2.2.8外部报表：供上传税务账报表功能，可接受多种格式excel税务账报表，包括资产负债表，利润表、科目余额表等，上传的表格可设置分栏显示，包括分栏列头，方便在移动设备上查看报表；</w:t>
            </w:r>
          </w:p>
          <w:p>
            <w:pPr>
              <w:spacing w:line="360" w:lineRule="auto"/>
              <w:ind w:left="675"/>
              <w:rPr>
                <w:rFonts w:ascii="宋体" w:hAnsi="宋体" w:cs="仿宋"/>
                <w:bCs/>
                <w:sz w:val="20"/>
                <w:szCs w:val="20"/>
              </w:rPr>
            </w:pPr>
            <w:r>
              <w:rPr>
                <w:rFonts w:hint="eastAsia" w:ascii="宋体" w:hAnsi="宋体" w:cs="仿宋"/>
                <w:bCs/>
                <w:sz w:val="20"/>
                <w:szCs w:val="20"/>
              </w:rPr>
              <w:t>2.2.9发票查重：提供发票查重支持两种方式，可通过手机扫一扫扫描电子发票的二维码实现查重，也可通过手工输入发票号码实现查重；</w:t>
            </w:r>
          </w:p>
          <w:p>
            <w:pPr>
              <w:spacing w:line="360" w:lineRule="auto"/>
              <w:ind w:left="675"/>
              <w:rPr>
                <w:rFonts w:ascii="宋体" w:hAnsi="宋体" w:cs="仿宋"/>
                <w:bCs/>
                <w:sz w:val="20"/>
                <w:szCs w:val="20"/>
              </w:rPr>
            </w:pPr>
            <w:r>
              <w:rPr>
                <w:rFonts w:hint="eastAsia" w:ascii="宋体" w:hAnsi="宋体" w:cs="仿宋"/>
                <w:bCs/>
                <w:sz w:val="20"/>
                <w:szCs w:val="20"/>
              </w:rPr>
              <w:t>2.2.10账号角色和科目设置：提供账号管理功能和自定义会计科目功能。</w:t>
            </w:r>
          </w:p>
          <w:p>
            <w:pPr>
              <w:tabs>
                <w:tab w:val="left" w:pos="425"/>
              </w:tabs>
              <w:spacing w:line="360" w:lineRule="auto"/>
              <w:ind w:firstLine="400" w:firstLineChars="200"/>
              <w:rPr>
                <w:rFonts w:ascii="宋体" w:hAnsi="宋体" w:cs="宋体"/>
                <w:sz w:val="20"/>
                <w:szCs w:val="20"/>
              </w:rPr>
            </w:pPr>
            <w:r>
              <w:rPr>
                <w:rFonts w:hint="eastAsia" w:ascii="宋体" w:hAnsi="宋体" w:cs="宋体"/>
                <w:sz w:val="20"/>
                <w:szCs w:val="20"/>
              </w:rPr>
              <w:t>★号部分为产品核心功能，需现场演示验证是否满足要求，未演示或演示不完全满足要求，技术部分不得分。</w:t>
            </w:r>
          </w:p>
          <w:p>
            <w:pPr>
              <w:tabs>
                <w:tab w:val="left" w:pos="425"/>
              </w:tabs>
              <w:spacing w:line="360" w:lineRule="auto"/>
              <w:ind w:firstLine="400" w:firstLineChars="200"/>
              <w:rPr>
                <w:rFonts w:ascii="宋体" w:hAnsi="宋体" w:cs="宋体"/>
                <w:sz w:val="20"/>
                <w:szCs w:val="20"/>
              </w:rPr>
            </w:pPr>
            <w:r>
              <w:rPr>
                <w:rFonts w:hint="eastAsia" w:ascii="宋体" w:hAnsi="宋体" w:cs="宋体"/>
                <w:sz w:val="20"/>
                <w:szCs w:val="20"/>
              </w:rPr>
              <w:t>投标厂商提供财会职业能力养成中心设计场景图，提供3D打印沙盘模型优先采购，沙盘现场展示。</w:t>
            </w:r>
          </w:p>
          <w:p>
            <w:pPr>
              <w:tabs>
                <w:tab w:val="left" w:pos="425"/>
              </w:tabs>
              <w:spacing w:line="360" w:lineRule="auto"/>
              <w:ind w:firstLine="400" w:firstLineChars="200"/>
              <w:rPr>
                <w:rFonts w:ascii="宋体" w:hAnsi="宋体" w:cs="仿宋"/>
                <w:bCs/>
                <w:sz w:val="20"/>
                <w:szCs w:val="20"/>
              </w:rPr>
            </w:pPr>
            <w:r>
              <w:rPr>
                <w:rFonts w:hint="eastAsia" w:ascii="宋体" w:hAnsi="宋体" w:cs="仿宋"/>
                <w:bCs/>
                <w:sz w:val="20"/>
                <w:szCs w:val="20"/>
              </w:rPr>
              <w:t>配套硬件：本次采购产品要求支持终端载体单机版的模块需统一集成安装在终端载体单机版上，提供终端载体单机版教师终端5台。</w:t>
            </w:r>
          </w:p>
          <w:p>
            <w:pPr>
              <w:tabs>
                <w:tab w:val="left" w:pos="425"/>
              </w:tabs>
              <w:spacing w:line="360" w:lineRule="auto"/>
              <w:ind w:firstLine="400" w:firstLineChars="200"/>
              <w:rPr>
                <w:rFonts w:ascii="宋体" w:hAnsi="宋体" w:cs="仿宋"/>
                <w:bCs/>
                <w:sz w:val="20"/>
                <w:szCs w:val="20"/>
              </w:rPr>
            </w:pPr>
            <w:r>
              <w:rPr>
                <w:rFonts w:hint="eastAsia" w:ascii="宋体" w:hAnsi="宋体" w:cs="仿宋"/>
                <w:bCs/>
                <w:sz w:val="20"/>
                <w:szCs w:val="20"/>
              </w:rPr>
              <w:t>★中标单位应在中标后两个工作日内需到采购单位现场演示以上所有功能模块，如不能演示或演示不完全满足参数，取消其中标资格，同时按照虚假应标处理，报备政府采购中心列入黑名单。</w:t>
            </w:r>
          </w:p>
          <w:p/>
          <w:p>
            <w:pPr>
              <w:tabs>
                <w:tab w:val="left" w:pos="425"/>
              </w:tabs>
              <w:spacing w:line="360" w:lineRule="auto"/>
              <w:ind w:firstLine="480" w:firstLineChars="200"/>
              <w:rPr>
                <w:rFonts w:ascii="宋体" w:hAnsi="宋体" w:eastAsia="宋体" w:cs="宋体"/>
                <w:color w:val="000000" w:themeColor="text1"/>
                <w:sz w:val="24"/>
                <w14:textFill>
                  <w14:solidFill>
                    <w14:schemeClr w14:val="tx1"/>
                  </w14:solidFill>
                </w14:textFill>
              </w:rPr>
            </w:pPr>
          </w:p>
        </w:tc>
        <w:tc>
          <w:tcPr>
            <w:tcW w:w="790"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bCs/>
                <w:sz w:val="18"/>
                <w:szCs w:val="18"/>
              </w:rPr>
            </w:pPr>
            <w:r>
              <w:rPr>
                <w:rFonts w:hint="eastAsia" w:ascii="宋体" w:hAnsi="宋体"/>
                <w:bCs/>
                <w:sz w:val="18"/>
                <w:szCs w:val="18"/>
              </w:rPr>
              <w:t>1</w:t>
            </w:r>
          </w:p>
        </w:tc>
        <w:tc>
          <w:tcPr>
            <w:tcW w:w="71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bCs/>
                <w:sz w:val="18"/>
                <w:szCs w:val="18"/>
              </w:rPr>
            </w:pPr>
            <w:r>
              <w:rPr>
                <w:rFonts w:hint="eastAsia" w:ascii="宋体" w:hAnsi="宋体"/>
                <w:bCs/>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4" w:hRule="atLeast"/>
          <w:jc w:val="center"/>
        </w:trPr>
        <w:tc>
          <w:tcPr>
            <w:tcW w:w="10288" w:type="dxa"/>
            <w:gridSpan w:val="6"/>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bCs/>
                <w:sz w:val="18"/>
                <w:szCs w:val="18"/>
              </w:rPr>
            </w:pPr>
            <w:r>
              <w:rPr>
                <w:rFonts w:hint="eastAsia" w:ascii="宋体" w:hAnsi="宋体"/>
                <w:b/>
                <w:bCs/>
                <w:sz w:val="18"/>
                <w:szCs w:val="18"/>
              </w:rPr>
              <w:t>24.会计模拟分岗位竞赛软件更新</w:t>
            </w:r>
          </w:p>
          <w:p>
            <w:pPr>
              <w:widowControl/>
              <w:adjustRightInd w:val="0"/>
              <w:snapToGrid w:val="0"/>
              <w:spacing w:before="156" w:beforeLines="50" w:after="156" w:afterLines="50"/>
              <w:jc w:val="center"/>
              <w:textAlignment w:val="bottom"/>
              <w:rPr>
                <w:rFonts w:ascii="宋体" w:hAnsi="宋体"/>
                <w:bCs/>
                <w:sz w:val="18"/>
                <w:szCs w:val="18"/>
              </w:rPr>
            </w:pPr>
            <w:r>
              <w:rPr>
                <w:rFonts w:hint="eastAsia" w:ascii="宋体" w:hAnsi="宋体"/>
                <w:bCs/>
                <w:sz w:val="18"/>
                <w:szCs w:val="18"/>
              </w:rPr>
              <w:t>软件模拟现实会计业务处理流程，具备业务实时传递功能；满足一人一岗及一人多岗实训。支持个人赛和小组赛。软件所有功能全部采用B/S架构实现，不需安装客户端，方便维护和升级。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4" w:hRule="atLeast"/>
          <w:jc w:val="center"/>
        </w:trPr>
        <w:tc>
          <w:tcPr>
            <w:tcW w:w="778" w:type="dxa"/>
            <w:vMerge w:val="restart"/>
            <w:tcBorders>
              <w:tl2br w:val="nil"/>
              <w:tr2bl w:val="nil"/>
            </w:tcBorders>
            <w:vAlign w:val="center"/>
          </w:tcPr>
          <w:p>
            <w:pPr>
              <w:widowControl/>
              <w:adjustRightInd w:val="0"/>
              <w:snapToGrid w:val="0"/>
              <w:spacing w:before="156" w:beforeLines="50" w:after="156" w:afterLines="50"/>
              <w:jc w:val="center"/>
              <w:textAlignment w:val="bottom"/>
              <w:rPr>
                <w:rFonts w:hint="default" w:ascii="宋体" w:hAnsi="宋体" w:eastAsia="宋体" w:cs="宋体"/>
                <w:b/>
                <w:bCs/>
                <w:color w:val="000000" w:themeColor="text1"/>
                <w:kern w:val="0"/>
                <w:sz w:val="24"/>
                <w:lang w:val="en-US" w:eastAsia="zh-CN" w:bidi="ar"/>
                <w14:textFill>
                  <w14:solidFill>
                    <w14:schemeClr w14:val="tx1"/>
                  </w14:solidFill>
                </w14:textFill>
              </w:rPr>
            </w:pPr>
            <w:r>
              <w:rPr>
                <w:rFonts w:hint="eastAsia" w:ascii="宋体" w:hAnsi="宋体" w:eastAsia="宋体" w:cs="宋体"/>
                <w:b/>
                <w:bCs/>
                <w:color w:val="000000" w:themeColor="text1"/>
                <w:kern w:val="0"/>
                <w:sz w:val="24"/>
                <w:lang w:val="en-US" w:eastAsia="zh-CN" w:bidi="ar"/>
                <w14:textFill>
                  <w14:solidFill>
                    <w14:schemeClr w14:val="tx1"/>
                  </w14:solidFill>
                </w14:textFill>
              </w:rPr>
              <w:t>17</w:t>
            </w:r>
          </w:p>
        </w:tc>
        <w:tc>
          <w:tcPr>
            <w:tcW w:w="915" w:type="dxa"/>
            <w:vMerge w:val="restart"/>
            <w:tcBorders>
              <w:tl2br w:val="nil"/>
              <w:tr2bl w:val="nil"/>
            </w:tcBorders>
            <w:vAlign w:val="center"/>
          </w:tcPr>
          <w:p>
            <w:pPr>
              <w:autoSpaceDE w:val="0"/>
              <w:autoSpaceDN w:val="0"/>
              <w:adjustRightInd w:val="0"/>
              <w:jc w:val="center"/>
              <w:rPr>
                <w:rFonts w:ascii="宋体" w:hAnsi="宋体" w:cs="宋体"/>
                <w:b/>
                <w:bCs/>
                <w:color w:val="000000" w:themeColor="text1"/>
                <w:kern w:val="0"/>
                <w:sz w:val="24"/>
                <w:lang w:bidi="ar"/>
                <w14:textFill>
                  <w14:solidFill>
                    <w14:schemeClr w14:val="tx1"/>
                  </w14:solidFill>
                </w14:textFill>
              </w:rPr>
            </w:pPr>
            <w:r>
              <w:rPr>
                <w:rFonts w:hint="eastAsia" w:ascii="宋体" w:hAnsi="宋体"/>
                <w:b/>
                <w:bCs/>
                <w:sz w:val="18"/>
                <w:szCs w:val="18"/>
              </w:rPr>
              <w:t>会计模拟分岗位竞赛软件更新</w:t>
            </w:r>
          </w:p>
        </w:tc>
        <w:tc>
          <w:tcPr>
            <w:tcW w:w="812" w:type="dxa"/>
            <w:tcBorders>
              <w:tl2br w:val="nil"/>
              <w:tr2bl w:val="nil"/>
            </w:tcBorders>
            <w:vAlign w:val="center"/>
          </w:tcPr>
          <w:p>
            <w:pPr>
              <w:widowControl/>
              <w:rPr>
                <w:rFonts w:ascii="宋体" w:hAnsi="宋体"/>
                <w:bCs/>
                <w:sz w:val="18"/>
                <w:szCs w:val="18"/>
              </w:rPr>
            </w:pPr>
            <w:r>
              <w:rPr>
                <w:rFonts w:hint="eastAsia" w:ascii="宋体" w:hAnsi="宋体"/>
                <w:bCs/>
                <w:sz w:val="18"/>
                <w:szCs w:val="18"/>
              </w:rPr>
              <w:t>1.用户/权限设置</w:t>
            </w:r>
          </w:p>
        </w:tc>
        <w:tc>
          <w:tcPr>
            <w:tcW w:w="6275" w:type="dxa"/>
            <w:tcBorders>
              <w:tl2br w:val="nil"/>
              <w:tr2bl w:val="nil"/>
            </w:tcBorders>
            <w:vAlign w:val="center"/>
          </w:tcPr>
          <w:p>
            <w:pPr>
              <w:numPr>
                <w:ilvl w:val="0"/>
                <w:numId w:val="4"/>
              </w:numPr>
              <w:spacing w:line="300" w:lineRule="auto"/>
              <w:rPr>
                <w:rFonts w:ascii="宋体" w:hAnsi="宋体"/>
                <w:bCs/>
                <w:sz w:val="18"/>
                <w:szCs w:val="18"/>
              </w:rPr>
            </w:pPr>
            <w:r>
              <w:rPr>
                <w:rFonts w:hint="eastAsia" w:ascii="宋体" w:hAnsi="宋体"/>
                <w:bCs/>
                <w:sz w:val="18"/>
                <w:szCs w:val="18"/>
              </w:rPr>
              <w:t>教师管理，具备管理教师账号，设置教师权限，设置教师任教课程。</w:t>
            </w:r>
          </w:p>
          <w:p>
            <w:pPr>
              <w:numPr>
                <w:ilvl w:val="0"/>
                <w:numId w:val="4"/>
              </w:numPr>
              <w:spacing w:line="300" w:lineRule="auto"/>
              <w:rPr>
                <w:rFonts w:ascii="宋体" w:hAnsi="宋体"/>
                <w:bCs/>
                <w:sz w:val="18"/>
                <w:szCs w:val="18"/>
              </w:rPr>
            </w:pPr>
            <w:r>
              <w:rPr>
                <w:rFonts w:hint="eastAsia" w:ascii="宋体" w:hAnsi="宋体"/>
                <w:bCs/>
                <w:sz w:val="18"/>
                <w:szCs w:val="18"/>
              </w:rPr>
              <w:t>学员管理，具备管理学员账号、导入学员信息、导出学员信息。</w:t>
            </w:r>
          </w:p>
          <w:p>
            <w:pPr>
              <w:numPr>
                <w:ilvl w:val="0"/>
                <w:numId w:val="4"/>
              </w:numPr>
              <w:spacing w:line="300" w:lineRule="auto"/>
              <w:rPr>
                <w:rFonts w:ascii="宋体" w:hAnsi="宋体"/>
                <w:bCs/>
                <w:sz w:val="18"/>
                <w:szCs w:val="18"/>
              </w:rPr>
            </w:pPr>
            <w:r>
              <w:rPr>
                <w:rFonts w:hint="eastAsia" w:ascii="宋体" w:hAnsi="宋体"/>
                <w:bCs/>
                <w:sz w:val="18"/>
                <w:szCs w:val="18"/>
              </w:rPr>
              <w:t>操作日志，具备账号操作记录查询功能。</w:t>
            </w:r>
          </w:p>
          <w:p>
            <w:pPr>
              <w:numPr>
                <w:ilvl w:val="0"/>
                <w:numId w:val="4"/>
              </w:numPr>
              <w:spacing w:line="300" w:lineRule="auto"/>
              <w:rPr>
                <w:rFonts w:ascii="宋体" w:hAnsi="宋体"/>
                <w:bCs/>
                <w:sz w:val="18"/>
                <w:szCs w:val="18"/>
              </w:rPr>
            </w:pPr>
            <w:r>
              <w:rPr>
                <w:rFonts w:hint="eastAsia" w:ascii="宋体" w:hAnsi="宋体"/>
                <w:bCs/>
                <w:sz w:val="18"/>
                <w:szCs w:val="18"/>
              </w:rPr>
              <w:t>登录用户管理，可查询当前在线的学员信息。</w:t>
            </w:r>
          </w:p>
        </w:tc>
        <w:tc>
          <w:tcPr>
            <w:tcW w:w="790" w:type="dxa"/>
            <w:vMerge w:val="restart"/>
            <w:tcBorders>
              <w:tl2br w:val="nil"/>
              <w:tr2bl w:val="nil"/>
            </w:tcBorders>
            <w:vAlign w:val="center"/>
          </w:tcPr>
          <w:p>
            <w:pPr>
              <w:spacing w:line="300" w:lineRule="auto"/>
              <w:ind w:left="360"/>
              <w:rPr>
                <w:rFonts w:ascii="宋体" w:hAnsi="宋体"/>
                <w:bCs/>
                <w:sz w:val="18"/>
                <w:szCs w:val="18"/>
              </w:rPr>
            </w:pPr>
            <w:r>
              <w:rPr>
                <w:rFonts w:hint="eastAsia" w:ascii="宋体" w:hAnsi="宋体"/>
                <w:bCs/>
                <w:sz w:val="18"/>
                <w:szCs w:val="18"/>
              </w:rPr>
              <w:t>1</w:t>
            </w:r>
          </w:p>
        </w:tc>
        <w:tc>
          <w:tcPr>
            <w:tcW w:w="718" w:type="dxa"/>
            <w:vMerge w:val="restart"/>
            <w:tcBorders>
              <w:tl2br w:val="nil"/>
              <w:tr2bl w:val="nil"/>
            </w:tcBorders>
            <w:vAlign w:val="center"/>
          </w:tcPr>
          <w:p>
            <w:pPr>
              <w:spacing w:line="300" w:lineRule="auto"/>
              <w:ind w:left="360"/>
              <w:rPr>
                <w:rFonts w:ascii="宋体" w:hAnsi="宋体"/>
                <w:bCs/>
                <w:sz w:val="18"/>
                <w:szCs w:val="18"/>
              </w:rPr>
            </w:pPr>
            <w:r>
              <w:rPr>
                <w:rFonts w:hint="eastAsia" w:ascii="宋体" w:hAnsi="宋体"/>
                <w:bCs/>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tc>
        <w:tc>
          <w:tcPr>
            <w:tcW w:w="915" w:type="dxa"/>
            <w:vMerge w:val="continue"/>
            <w:tcBorders>
              <w:tl2br w:val="nil"/>
              <w:tr2bl w:val="nil"/>
            </w:tcBorders>
            <w:vAlign w:val="center"/>
          </w:tcPr>
          <w:p/>
        </w:tc>
        <w:tc>
          <w:tcPr>
            <w:tcW w:w="812" w:type="dxa"/>
            <w:tcBorders>
              <w:tl2br w:val="nil"/>
              <w:tr2bl w:val="nil"/>
            </w:tcBorders>
            <w:vAlign w:val="center"/>
          </w:tcPr>
          <w:p>
            <w:pPr>
              <w:widowControl/>
              <w:rPr>
                <w:rFonts w:ascii="宋体" w:hAnsi="宋体"/>
                <w:bCs/>
                <w:sz w:val="18"/>
                <w:szCs w:val="18"/>
              </w:rPr>
            </w:pPr>
            <w:r>
              <w:rPr>
                <w:rFonts w:hint="eastAsia" w:ascii="宋体" w:hAnsi="宋体"/>
                <w:bCs/>
                <w:sz w:val="18"/>
                <w:szCs w:val="18"/>
              </w:rPr>
              <w:t>2.理论题项目管理</w:t>
            </w:r>
          </w:p>
        </w:tc>
        <w:tc>
          <w:tcPr>
            <w:tcW w:w="6275" w:type="dxa"/>
            <w:tcBorders>
              <w:tl2br w:val="nil"/>
              <w:tr2bl w:val="nil"/>
            </w:tcBorders>
            <w:vAlign w:val="center"/>
          </w:tcPr>
          <w:p>
            <w:pPr>
              <w:numPr>
                <w:ilvl w:val="0"/>
                <w:numId w:val="4"/>
              </w:numPr>
              <w:spacing w:line="300" w:lineRule="auto"/>
              <w:rPr>
                <w:rFonts w:ascii="宋体" w:hAnsi="宋体"/>
                <w:bCs/>
                <w:sz w:val="18"/>
                <w:szCs w:val="18"/>
              </w:rPr>
            </w:pPr>
            <w:r>
              <w:rPr>
                <w:rFonts w:hint="eastAsia" w:ascii="宋体" w:hAnsi="宋体"/>
                <w:bCs/>
                <w:sz w:val="18"/>
                <w:szCs w:val="18"/>
              </w:rPr>
              <w:t>具备理论题所属章节名称管理。</w:t>
            </w:r>
          </w:p>
        </w:tc>
        <w:tc>
          <w:tcPr>
            <w:tcW w:w="790" w:type="dxa"/>
            <w:vMerge w:val="continue"/>
            <w:tcBorders>
              <w:tl2br w:val="nil"/>
              <w:tr2bl w:val="nil"/>
            </w:tcBorders>
            <w:vAlign w:val="center"/>
          </w:tcPr>
          <w:p>
            <w:pPr>
              <w:numPr>
                <w:ilvl w:val="0"/>
                <w:numId w:val="4"/>
              </w:numPr>
              <w:spacing w:line="300" w:lineRule="auto"/>
              <w:rPr>
                <w:rFonts w:ascii="宋体" w:hAnsi="宋体"/>
                <w:bCs/>
                <w:sz w:val="18"/>
                <w:szCs w:val="18"/>
              </w:rPr>
            </w:pPr>
          </w:p>
        </w:tc>
        <w:tc>
          <w:tcPr>
            <w:tcW w:w="718" w:type="dxa"/>
            <w:vMerge w:val="continue"/>
            <w:tcBorders>
              <w:tl2br w:val="nil"/>
              <w:tr2bl w:val="nil"/>
            </w:tcBorders>
            <w:vAlign w:val="center"/>
          </w:tcPr>
          <w:p>
            <w:pPr>
              <w:numPr>
                <w:ilvl w:val="0"/>
                <w:numId w:val="4"/>
              </w:numPr>
              <w:spacing w:line="300" w:lineRule="auto"/>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18"/>
                <w:szCs w:val="18"/>
              </w:rPr>
            </w:pPr>
            <w:r>
              <w:rPr>
                <w:rFonts w:hint="eastAsia" w:ascii="宋体" w:hAnsi="宋体"/>
                <w:bCs/>
                <w:sz w:val="18"/>
                <w:szCs w:val="18"/>
              </w:rPr>
              <w:t>3.理论题题库管理</w:t>
            </w:r>
          </w:p>
        </w:tc>
        <w:tc>
          <w:tcPr>
            <w:tcW w:w="6275" w:type="dxa"/>
            <w:tcBorders>
              <w:tl2br w:val="nil"/>
              <w:tr2bl w:val="nil"/>
            </w:tcBorders>
            <w:vAlign w:val="center"/>
          </w:tcPr>
          <w:p>
            <w:pPr>
              <w:numPr>
                <w:ilvl w:val="0"/>
                <w:numId w:val="4"/>
              </w:numPr>
              <w:spacing w:line="300" w:lineRule="auto"/>
              <w:rPr>
                <w:rFonts w:ascii="宋体" w:hAnsi="宋体"/>
                <w:bCs/>
                <w:sz w:val="18"/>
                <w:szCs w:val="18"/>
              </w:rPr>
            </w:pPr>
            <w:r>
              <w:rPr>
                <w:rFonts w:hint="eastAsia" w:ascii="宋体" w:hAnsi="宋体"/>
                <w:bCs/>
                <w:sz w:val="18"/>
                <w:szCs w:val="18"/>
              </w:rPr>
              <w:t>★题库中的试题题型有判断题，填空题，单选题，多选题，不定项题，简答题。</w:t>
            </w:r>
          </w:p>
          <w:p>
            <w:pPr>
              <w:numPr>
                <w:ilvl w:val="0"/>
                <w:numId w:val="4"/>
              </w:numPr>
              <w:spacing w:line="300" w:lineRule="auto"/>
              <w:rPr>
                <w:rFonts w:ascii="宋体" w:hAnsi="宋体"/>
                <w:bCs/>
                <w:sz w:val="18"/>
                <w:szCs w:val="18"/>
              </w:rPr>
            </w:pPr>
            <w:r>
              <w:rPr>
                <w:rFonts w:hint="eastAsia" w:ascii="宋体" w:hAnsi="宋体"/>
                <w:bCs/>
                <w:sz w:val="18"/>
                <w:szCs w:val="18"/>
              </w:rPr>
              <w:t>★题库具备智能Excel、Word试题导入导出功能，无需下载模版即可导入Excel、Word的试题内容到题库中形成试题。</w:t>
            </w:r>
          </w:p>
          <w:p>
            <w:pPr>
              <w:numPr>
                <w:ilvl w:val="0"/>
                <w:numId w:val="4"/>
              </w:numPr>
              <w:spacing w:line="300" w:lineRule="auto"/>
              <w:rPr>
                <w:rFonts w:ascii="宋体" w:hAnsi="宋体"/>
                <w:bCs/>
                <w:sz w:val="18"/>
                <w:szCs w:val="18"/>
              </w:rPr>
            </w:pPr>
            <w:r>
              <w:rPr>
                <w:rFonts w:hint="eastAsia" w:ascii="宋体" w:hAnsi="宋体"/>
                <w:bCs/>
                <w:sz w:val="18"/>
                <w:szCs w:val="18"/>
              </w:rPr>
              <w:t>软件可以实现对题库、知识点、难度等多层级管理。</w:t>
            </w:r>
          </w:p>
        </w:tc>
        <w:tc>
          <w:tcPr>
            <w:tcW w:w="790" w:type="dxa"/>
            <w:vMerge w:val="continue"/>
            <w:tcBorders>
              <w:tl2br w:val="nil"/>
              <w:tr2bl w:val="nil"/>
            </w:tcBorders>
            <w:vAlign w:val="center"/>
          </w:tcPr>
          <w:p>
            <w:pPr>
              <w:numPr>
                <w:ilvl w:val="0"/>
                <w:numId w:val="4"/>
              </w:numPr>
              <w:spacing w:line="300" w:lineRule="auto"/>
              <w:rPr>
                <w:rFonts w:ascii="宋体" w:hAnsi="宋体"/>
                <w:bCs/>
                <w:sz w:val="18"/>
                <w:szCs w:val="18"/>
              </w:rPr>
            </w:pPr>
          </w:p>
        </w:tc>
        <w:tc>
          <w:tcPr>
            <w:tcW w:w="718" w:type="dxa"/>
            <w:vMerge w:val="continue"/>
            <w:tcBorders>
              <w:tl2br w:val="nil"/>
              <w:tr2bl w:val="nil"/>
            </w:tcBorders>
            <w:vAlign w:val="center"/>
          </w:tcPr>
          <w:p>
            <w:pPr>
              <w:numPr>
                <w:ilvl w:val="0"/>
                <w:numId w:val="4"/>
              </w:numPr>
              <w:spacing w:line="300" w:lineRule="auto"/>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18"/>
                <w:szCs w:val="18"/>
              </w:rPr>
            </w:pPr>
            <w:r>
              <w:rPr>
                <w:rFonts w:hint="eastAsia" w:ascii="宋体" w:hAnsi="宋体"/>
                <w:bCs/>
                <w:sz w:val="18"/>
                <w:szCs w:val="18"/>
              </w:rPr>
              <w:t>4.理论题试卷管理</w:t>
            </w:r>
          </w:p>
        </w:tc>
        <w:tc>
          <w:tcPr>
            <w:tcW w:w="6275" w:type="dxa"/>
            <w:tcBorders>
              <w:tl2br w:val="nil"/>
              <w:tr2bl w:val="nil"/>
            </w:tcBorders>
            <w:vAlign w:val="center"/>
          </w:tcPr>
          <w:p>
            <w:pPr>
              <w:numPr>
                <w:ilvl w:val="0"/>
                <w:numId w:val="4"/>
              </w:numPr>
              <w:spacing w:line="300" w:lineRule="auto"/>
              <w:rPr>
                <w:rFonts w:ascii="宋体" w:hAnsi="宋体"/>
                <w:bCs/>
                <w:sz w:val="18"/>
                <w:szCs w:val="18"/>
              </w:rPr>
            </w:pPr>
            <w:r>
              <w:rPr>
                <w:rFonts w:hint="eastAsia" w:ascii="宋体" w:hAnsi="宋体"/>
                <w:bCs/>
                <w:sz w:val="18"/>
                <w:szCs w:val="18"/>
              </w:rPr>
              <w:t>可在题库中任意抽取试题组成试卷，具备随机抽题自动组卷，手工选题组卷等多种组卷模式。</w:t>
            </w:r>
          </w:p>
        </w:tc>
        <w:tc>
          <w:tcPr>
            <w:tcW w:w="790"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18"/>
                <w:szCs w:val="18"/>
              </w:rPr>
            </w:pPr>
            <w:r>
              <w:rPr>
                <w:rFonts w:hint="eastAsia" w:ascii="宋体" w:hAnsi="宋体"/>
                <w:bCs/>
                <w:sz w:val="18"/>
                <w:szCs w:val="18"/>
              </w:rPr>
              <w:t>5.理论题考试管理</w:t>
            </w:r>
          </w:p>
        </w:tc>
        <w:tc>
          <w:tcPr>
            <w:tcW w:w="6275" w:type="dxa"/>
            <w:tcBorders>
              <w:tl2br w:val="nil"/>
              <w:tr2bl w:val="nil"/>
            </w:tcBorders>
            <w:vAlign w:val="center"/>
          </w:tcPr>
          <w:p>
            <w:pPr>
              <w:numPr>
                <w:ilvl w:val="0"/>
                <w:numId w:val="4"/>
              </w:numPr>
              <w:spacing w:line="300" w:lineRule="auto"/>
              <w:rPr>
                <w:rFonts w:ascii="宋体" w:hAnsi="宋体"/>
                <w:bCs/>
                <w:sz w:val="18"/>
                <w:szCs w:val="18"/>
              </w:rPr>
            </w:pPr>
            <w:r>
              <w:rPr>
                <w:rFonts w:hint="eastAsia" w:ascii="宋体" w:hAnsi="宋体"/>
                <w:bCs/>
                <w:sz w:val="18"/>
                <w:szCs w:val="18"/>
              </w:rPr>
              <w:t>★可以设定AB卷考试，指定考试时间和各题型权值。</w:t>
            </w:r>
          </w:p>
          <w:p>
            <w:pPr>
              <w:numPr>
                <w:ilvl w:val="0"/>
                <w:numId w:val="4"/>
              </w:numPr>
              <w:spacing w:line="300" w:lineRule="auto"/>
              <w:rPr>
                <w:rFonts w:ascii="宋体" w:hAnsi="宋体"/>
                <w:bCs/>
                <w:sz w:val="18"/>
                <w:szCs w:val="18"/>
              </w:rPr>
            </w:pPr>
            <w:r>
              <w:rPr>
                <w:rFonts w:hint="eastAsia" w:ascii="宋体" w:hAnsi="宋体"/>
                <w:bCs/>
                <w:sz w:val="18"/>
                <w:szCs w:val="18"/>
              </w:rPr>
              <w:t>具备考试题目、分值调整和修改功能，可生成word试卷。</w:t>
            </w:r>
          </w:p>
          <w:p>
            <w:pPr>
              <w:numPr>
                <w:ilvl w:val="0"/>
                <w:numId w:val="4"/>
              </w:numPr>
              <w:spacing w:line="300" w:lineRule="auto"/>
              <w:rPr>
                <w:rFonts w:ascii="宋体" w:hAnsi="宋体"/>
                <w:bCs/>
                <w:sz w:val="18"/>
                <w:szCs w:val="18"/>
              </w:rPr>
            </w:pPr>
            <w:r>
              <w:rPr>
                <w:rFonts w:hint="eastAsia" w:ascii="宋体" w:hAnsi="宋体"/>
                <w:bCs/>
                <w:sz w:val="18"/>
                <w:szCs w:val="18"/>
              </w:rPr>
              <w:t>具备考试试卷自动阅卷和手工阅卷功能。重新安排学员考试功能。</w:t>
            </w:r>
          </w:p>
        </w:tc>
        <w:tc>
          <w:tcPr>
            <w:tcW w:w="790"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18"/>
                <w:szCs w:val="18"/>
              </w:rPr>
            </w:pPr>
            <w:r>
              <w:rPr>
                <w:rFonts w:hint="eastAsia" w:ascii="宋体" w:hAnsi="宋体"/>
                <w:bCs/>
                <w:sz w:val="18"/>
                <w:szCs w:val="18"/>
              </w:rPr>
              <w:t>6.理论题成绩管理</w:t>
            </w:r>
          </w:p>
        </w:tc>
        <w:tc>
          <w:tcPr>
            <w:tcW w:w="6275" w:type="dxa"/>
            <w:tcBorders>
              <w:tl2br w:val="nil"/>
              <w:tr2bl w:val="nil"/>
            </w:tcBorders>
            <w:vAlign w:val="center"/>
          </w:tcPr>
          <w:p>
            <w:pPr>
              <w:numPr>
                <w:ilvl w:val="0"/>
                <w:numId w:val="4"/>
              </w:numPr>
              <w:spacing w:line="300" w:lineRule="auto"/>
              <w:rPr>
                <w:rFonts w:ascii="宋体" w:hAnsi="宋体"/>
                <w:bCs/>
                <w:sz w:val="18"/>
                <w:szCs w:val="18"/>
              </w:rPr>
            </w:pPr>
            <w:r>
              <w:rPr>
                <w:rFonts w:hint="eastAsia" w:ascii="宋体" w:hAnsi="宋体"/>
                <w:bCs/>
                <w:sz w:val="18"/>
                <w:szCs w:val="18"/>
              </w:rPr>
              <w:t>具备考试全程监管功能，对考试流程进行管理，考生状态查询、删除考试记录的功能。</w:t>
            </w:r>
          </w:p>
        </w:tc>
        <w:tc>
          <w:tcPr>
            <w:tcW w:w="790"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18"/>
                <w:szCs w:val="18"/>
              </w:rPr>
            </w:pPr>
            <w:r>
              <w:rPr>
                <w:rFonts w:hint="eastAsia" w:ascii="宋体" w:hAnsi="宋体"/>
                <w:bCs/>
                <w:sz w:val="18"/>
                <w:szCs w:val="18"/>
              </w:rPr>
              <w:t>7.单据模板设定</w:t>
            </w:r>
          </w:p>
        </w:tc>
        <w:tc>
          <w:tcPr>
            <w:tcW w:w="6275" w:type="dxa"/>
            <w:tcBorders>
              <w:tl2br w:val="nil"/>
              <w:tr2bl w:val="nil"/>
            </w:tcBorders>
            <w:vAlign w:val="center"/>
          </w:tcPr>
          <w:p>
            <w:pPr>
              <w:numPr>
                <w:ilvl w:val="0"/>
                <w:numId w:val="4"/>
              </w:numPr>
              <w:spacing w:line="300" w:lineRule="auto"/>
              <w:rPr>
                <w:rFonts w:ascii="宋体" w:hAnsi="宋体"/>
                <w:bCs/>
                <w:sz w:val="18"/>
                <w:szCs w:val="18"/>
              </w:rPr>
            </w:pPr>
            <w:r>
              <w:rPr>
                <w:rFonts w:hint="eastAsia" w:ascii="宋体" w:hAnsi="宋体"/>
                <w:bCs/>
                <w:sz w:val="18"/>
                <w:szCs w:val="18"/>
              </w:rPr>
              <w:t>软件具备智能自定义单据模块功能，教师通过此模块可自定义任何单据。</w:t>
            </w:r>
          </w:p>
          <w:p>
            <w:pPr>
              <w:numPr>
                <w:ilvl w:val="0"/>
                <w:numId w:val="4"/>
              </w:numPr>
              <w:spacing w:line="300" w:lineRule="auto"/>
              <w:rPr>
                <w:rFonts w:ascii="宋体" w:hAnsi="宋体"/>
                <w:bCs/>
                <w:sz w:val="18"/>
                <w:szCs w:val="18"/>
              </w:rPr>
            </w:pPr>
            <w:r>
              <w:rPr>
                <w:rFonts w:hint="eastAsia" w:ascii="宋体" w:hAnsi="宋体"/>
                <w:bCs/>
                <w:sz w:val="18"/>
                <w:szCs w:val="18"/>
              </w:rPr>
              <w:t>★智能自定义单据应能自定义表单的行数和列数、能根据需要合并、拆分单元格。</w:t>
            </w:r>
          </w:p>
          <w:p>
            <w:pPr>
              <w:numPr>
                <w:ilvl w:val="0"/>
                <w:numId w:val="4"/>
              </w:numPr>
              <w:spacing w:line="300" w:lineRule="auto"/>
              <w:rPr>
                <w:rFonts w:ascii="宋体" w:hAnsi="宋体"/>
                <w:bCs/>
                <w:sz w:val="18"/>
                <w:szCs w:val="18"/>
              </w:rPr>
            </w:pPr>
            <w:r>
              <w:rPr>
                <w:rFonts w:hint="eastAsia" w:ascii="宋体" w:hAnsi="宋体"/>
                <w:bCs/>
                <w:sz w:val="18"/>
                <w:szCs w:val="18"/>
              </w:rPr>
              <w:t>★智能自定义单据应可以进行所见即所得的可视化方式设计单据，单据中的控件可任意摆放位置。</w:t>
            </w:r>
          </w:p>
          <w:p>
            <w:pPr>
              <w:numPr>
                <w:ilvl w:val="0"/>
                <w:numId w:val="4"/>
              </w:numPr>
              <w:spacing w:line="300" w:lineRule="auto"/>
              <w:rPr>
                <w:rFonts w:ascii="宋体" w:hAnsi="宋体"/>
                <w:bCs/>
                <w:sz w:val="18"/>
                <w:szCs w:val="18"/>
              </w:rPr>
            </w:pPr>
            <w:r>
              <w:rPr>
                <w:rFonts w:hint="eastAsia" w:ascii="宋体" w:hAnsi="宋体"/>
                <w:bCs/>
                <w:sz w:val="18"/>
                <w:szCs w:val="18"/>
              </w:rPr>
              <w:t>★智能自定义单据应有盖章、划线、划叉、划人民币符号等功能。</w:t>
            </w:r>
          </w:p>
          <w:p>
            <w:pPr>
              <w:numPr>
                <w:ilvl w:val="0"/>
                <w:numId w:val="4"/>
              </w:numPr>
              <w:spacing w:line="300" w:lineRule="auto"/>
              <w:rPr>
                <w:rFonts w:ascii="宋体" w:hAnsi="宋体"/>
                <w:bCs/>
                <w:sz w:val="18"/>
                <w:szCs w:val="18"/>
              </w:rPr>
            </w:pPr>
            <w:r>
              <w:rPr>
                <w:rFonts w:hint="eastAsia" w:ascii="宋体" w:hAnsi="宋体"/>
                <w:bCs/>
                <w:sz w:val="18"/>
                <w:szCs w:val="18"/>
              </w:rPr>
              <w:t>★智能自定义单据可以设置多联次单据。</w:t>
            </w:r>
          </w:p>
          <w:p>
            <w:pPr>
              <w:numPr>
                <w:ilvl w:val="0"/>
                <w:numId w:val="4"/>
              </w:numPr>
              <w:spacing w:line="300" w:lineRule="auto"/>
              <w:rPr>
                <w:rFonts w:ascii="宋体" w:hAnsi="宋体"/>
                <w:bCs/>
                <w:sz w:val="18"/>
                <w:szCs w:val="18"/>
              </w:rPr>
            </w:pPr>
            <w:r>
              <w:rPr>
                <w:rFonts w:hint="eastAsia" w:ascii="宋体" w:hAnsi="宋体"/>
                <w:bCs/>
                <w:sz w:val="18"/>
                <w:szCs w:val="18"/>
              </w:rPr>
              <w:t>智能自定义单据可以设置单据可填项的权值。</w:t>
            </w:r>
          </w:p>
          <w:p>
            <w:pPr>
              <w:numPr>
                <w:ilvl w:val="0"/>
                <w:numId w:val="4"/>
              </w:numPr>
              <w:spacing w:line="300" w:lineRule="auto"/>
              <w:rPr>
                <w:rFonts w:ascii="宋体" w:hAnsi="宋体"/>
                <w:bCs/>
                <w:sz w:val="18"/>
                <w:szCs w:val="18"/>
              </w:rPr>
            </w:pPr>
            <w:r>
              <w:rPr>
                <w:rFonts w:hint="eastAsia" w:ascii="宋体" w:hAnsi="宋体"/>
                <w:bCs/>
                <w:sz w:val="18"/>
                <w:szCs w:val="18"/>
              </w:rPr>
              <w:t>★提供常用250张以上的自定义单据模版。软件业务中的单据使用此处定义的单据模板。</w:t>
            </w:r>
          </w:p>
        </w:tc>
        <w:tc>
          <w:tcPr>
            <w:tcW w:w="790"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18"/>
                <w:szCs w:val="18"/>
              </w:rPr>
            </w:pPr>
            <w:r>
              <w:rPr>
                <w:rFonts w:hint="eastAsia" w:ascii="宋体" w:hAnsi="宋体"/>
                <w:bCs/>
                <w:sz w:val="18"/>
                <w:szCs w:val="18"/>
              </w:rPr>
              <w:t>8.单据模板管理</w:t>
            </w:r>
          </w:p>
        </w:tc>
        <w:tc>
          <w:tcPr>
            <w:tcW w:w="6275" w:type="dxa"/>
            <w:tcBorders>
              <w:tl2br w:val="nil"/>
              <w:tr2bl w:val="nil"/>
            </w:tcBorders>
            <w:vAlign w:val="center"/>
          </w:tcPr>
          <w:p>
            <w:pPr>
              <w:numPr>
                <w:ilvl w:val="0"/>
                <w:numId w:val="4"/>
              </w:numPr>
              <w:spacing w:line="300" w:lineRule="auto"/>
              <w:rPr>
                <w:rFonts w:ascii="宋体" w:hAnsi="宋体"/>
                <w:bCs/>
                <w:sz w:val="18"/>
                <w:szCs w:val="18"/>
              </w:rPr>
            </w:pPr>
            <w:r>
              <w:rPr>
                <w:rFonts w:hint="eastAsia" w:ascii="宋体" w:hAnsi="宋体"/>
                <w:bCs/>
                <w:sz w:val="18"/>
                <w:szCs w:val="18"/>
              </w:rPr>
              <w:t>可对引入系统的单据模板进行管理，设定每个单据中每个需要填写项目的分值。设定单据在业务中是否具有画线、画人民币符号、盖章、画叉、审核功能。</w:t>
            </w:r>
          </w:p>
        </w:tc>
        <w:tc>
          <w:tcPr>
            <w:tcW w:w="790"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18"/>
                <w:szCs w:val="18"/>
              </w:rPr>
            </w:pPr>
            <w:r>
              <w:rPr>
                <w:rFonts w:hint="eastAsia" w:ascii="宋体" w:hAnsi="宋体"/>
                <w:bCs/>
                <w:sz w:val="18"/>
                <w:szCs w:val="18"/>
              </w:rPr>
              <w:t>9.分岗协作题库</w:t>
            </w:r>
          </w:p>
        </w:tc>
        <w:tc>
          <w:tcPr>
            <w:tcW w:w="6275" w:type="dxa"/>
            <w:tcBorders>
              <w:tl2br w:val="nil"/>
              <w:tr2bl w:val="nil"/>
            </w:tcBorders>
            <w:vAlign w:val="center"/>
          </w:tcPr>
          <w:p>
            <w:pPr>
              <w:numPr>
                <w:ilvl w:val="0"/>
                <w:numId w:val="4"/>
              </w:numPr>
              <w:spacing w:line="300" w:lineRule="auto"/>
              <w:rPr>
                <w:rFonts w:ascii="宋体" w:hAnsi="宋体"/>
                <w:bCs/>
                <w:sz w:val="18"/>
                <w:szCs w:val="18"/>
              </w:rPr>
            </w:pPr>
            <w:r>
              <w:rPr>
                <w:rFonts w:hint="eastAsia" w:ascii="宋体" w:hAnsi="宋体"/>
                <w:bCs/>
                <w:sz w:val="18"/>
                <w:szCs w:val="18"/>
              </w:rPr>
              <w:t>★可以增加、修改和删除案例，用户可以添加、删除、修改明细科目，设置会计岗位，添加期初数据，包括科目余额表、资产负债表年初数录入、利润表上期数录入，业务添加、修改和删除，对每个业务的资料、答案和帮助进行管理，定义多栏账、资产负债表、利润表。</w:t>
            </w:r>
          </w:p>
          <w:p>
            <w:pPr>
              <w:numPr>
                <w:ilvl w:val="0"/>
                <w:numId w:val="4"/>
              </w:numPr>
              <w:spacing w:line="300" w:lineRule="auto"/>
              <w:rPr>
                <w:rFonts w:ascii="宋体" w:hAnsi="宋体"/>
                <w:bCs/>
                <w:sz w:val="18"/>
                <w:szCs w:val="18"/>
              </w:rPr>
            </w:pPr>
            <w:r>
              <w:rPr>
                <w:rFonts w:hint="eastAsia" w:ascii="宋体" w:hAnsi="宋体"/>
                <w:bCs/>
                <w:sz w:val="18"/>
                <w:szCs w:val="18"/>
              </w:rPr>
              <w:t xml:space="preserve">案例具备多个连续月份的数据设置。 </w:t>
            </w:r>
          </w:p>
          <w:p>
            <w:pPr>
              <w:numPr>
                <w:ilvl w:val="0"/>
                <w:numId w:val="4"/>
              </w:numPr>
              <w:spacing w:line="300" w:lineRule="auto"/>
              <w:rPr>
                <w:rFonts w:ascii="宋体" w:hAnsi="宋体"/>
                <w:bCs/>
                <w:sz w:val="18"/>
                <w:szCs w:val="18"/>
              </w:rPr>
            </w:pPr>
            <w:r>
              <w:rPr>
                <w:rFonts w:hint="eastAsia" w:ascii="宋体" w:hAnsi="宋体"/>
                <w:bCs/>
                <w:sz w:val="18"/>
                <w:szCs w:val="18"/>
              </w:rPr>
              <w:t>★软件案例数据前后保持关联，后期业务可调用前期业务资料。</w:t>
            </w:r>
          </w:p>
          <w:p>
            <w:pPr>
              <w:numPr>
                <w:ilvl w:val="0"/>
                <w:numId w:val="4"/>
              </w:numPr>
              <w:spacing w:line="300" w:lineRule="auto"/>
              <w:rPr>
                <w:rFonts w:ascii="宋体" w:hAnsi="宋体"/>
                <w:bCs/>
                <w:sz w:val="18"/>
                <w:szCs w:val="18"/>
              </w:rPr>
            </w:pPr>
            <w:r>
              <w:rPr>
                <w:rFonts w:hint="eastAsia" w:ascii="宋体" w:hAnsi="宋体"/>
                <w:bCs/>
                <w:sz w:val="18"/>
                <w:szCs w:val="18"/>
              </w:rPr>
              <w:t>★具备账薄内容自定义功能，并且可选择科目汇总表或记账凭证方式登记总账。</w:t>
            </w:r>
          </w:p>
          <w:p>
            <w:pPr>
              <w:numPr>
                <w:ilvl w:val="0"/>
                <w:numId w:val="4"/>
              </w:numPr>
              <w:spacing w:line="300" w:lineRule="auto"/>
              <w:rPr>
                <w:rFonts w:ascii="宋体" w:hAnsi="宋体"/>
                <w:bCs/>
                <w:sz w:val="18"/>
                <w:szCs w:val="18"/>
              </w:rPr>
            </w:pPr>
            <w:r>
              <w:rPr>
                <w:rFonts w:hint="eastAsia" w:ascii="宋体" w:hAnsi="宋体"/>
                <w:bCs/>
                <w:sz w:val="18"/>
                <w:szCs w:val="18"/>
              </w:rPr>
              <w:t>软件具备教师端所有凭证的数据能够任意复制、粘帖的功能。</w:t>
            </w:r>
          </w:p>
          <w:p>
            <w:pPr>
              <w:numPr>
                <w:ilvl w:val="0"/>
                <w:numId w:val="4"/>
              </w:numPr>
              <w:spacing w:line="300" w:lineRule="auto"/>
              <w:rPr>
                <w:rFonts w:ascii="宋体" w:hAnsi="宋体"/>
                <w:bCs/>
                <w:sz w:val="18"/>
                <w:szCs w:val="18"/>
              </w:rPr>
            </w:pPr>
            <w:r>
              <w:rPr>
                <w:rFonts w:hint="eastAsia" w:ascii="宋体" w:hAnsi="宋体"/>
                <w:bCs/>
                <w:sz w:val="18"/>
                <w:szCs w:val="18"/>
              </w:rPr>
              <w:t>★可以对案例进行导入导出。可以导出.xml文件对案例数据进行保存。</w:t>
            </w:r>
          </w:p>
        </w:tc>
        <w:tc>
          <w:tcPr>
            <w:tcW w:w="790"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18"/>
                <w:szCs w:val="18"/>
              </w:rPr>
            </w:pPr>
            <w:r>
              <w:rPr>
                <w:rFonts w:hint="eastAsia" w:ascii="宋体" w:hAnsi="宋体"/>
                <w:bCs/>
                <w:sz w:val="18"/>
                <w:szCs w:val="18"/>
              </w:rPr>
              <w:t>10.单项题库</w:t>
            </w:r>
          </w:p>
        </w:tc>
        <w:tc>
          <w:tcPr>
            <w:tcW w:w="6275" w:type="dxa"/>
            <w:tcBorders>
              <w:tl2br w:val="nil"/>
              <w:tr2bl w:val="nil"/>
            </w:tcBorders>
            <w:vAlign w:val="center"/>
          </w:tcPr>
          <w:p>
            <w:pPr>
              <w:numPr>
                <w:ilvl w:val="0"/>
                <w:numId w:val="4"/>
              </w:numPr>
              <w:spacing w:line="300" w:lineRule="auto"/>
              <w:rPr>
                <w:rFonts w:ascii="宋体" w:hAnsi="宋体"/>
                <w:bCs/>
                <w:sz w:val="18"/>
                <w:szCs w:val="18"/>
              </w:rPr>
            </w:pPr>
            <w:r>
              <w:rPr>
                <w:rFonts w:hint="eastAsia" w:ascii="宋体" w:hAnsi="宋体"/>
                <w:bCs/>
                <w:sz w:val="18"/>
                <w:szCs w:val="18"/>
              </w:rPr>
              <w:t>可以设定业务之间没有关系的案例。支持针对各类凭证进行实训。</w:t>
            </w:r>
          </w:p>
        </w:tc>
        <w:tc>
          <w:tcPr>
            <w:tcW w:w="790"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18"/>
                <w:szCs w:val="18"/>
              </w:rPr>
            </w:pPr>
            <w:r>
              <w:rPr>
                <w:rFonts w:hint="eastAsia" w:ascii="宋体" w:hAnsi="宋体"/>
                <w:bCs/>
                <w:sz w:val="18"/>
                <w:szCs w:val="18"/>
              </w:rPr>
              <w:t>11.业务试卷管理</w:t>
            </w:r>
          </w:p>
        </w:tc>
        <w:tc>
          <w:tcPr>
            <w:tcW w:w="6275" w:type="dxa"/>
            <w:tcBorders>
              <w:tl2br w:val="nil"/>
              <w:tr2bl w:val="nil"/>
            </w:tcBorders>
            <w:vAlign w:val="center"/>
          </w:tcPr>
          <w:p>
            <w:pPr>
              <w:numPr>
                <w:ilvl w:val="0"/>
                <w:numId w:val="4"/>
              </w:numPr>
              <w:spacing w:line="300" w:lineRule="auto"/>
              <w:rPr>
                <w:rFonts w:ascii="宋体" w:hAnsi="宋体"/>
                <w:bCs/>
                <w:sz w:val="18"/>
                <w:szCs w:val="18"/>
              </w:rPr>
            </w:pPr>
            <w:r>
              <w:rPr>
                <w:rFonts w:hint="eastAsia" w:ascii="宋体" w:hAnsi="宋体"/>
                <w:bCs/>
                <w:sz w:val="18"/>
                <w:szCs w:val="18"/>
              </w:rPr>
              <w:t>★软件具备随意抽取案例业务，根据抽取的业务自动生成账薄、报表数据。生成一个完整的电算化账套。</w:t>
            </w:r>
          </w:p>
          <w:p>
            <w:pPr>
              <w:numPr>
                <w:ilvl w:val="0"/>
                <w:numId w:val="4"/>
              </w:numPr>
              <w:spacing w:line="300" w:lineRule="auto"/>
              <w:rPr>
                <w:rFonts w:ascii="宋体" w:hAnsi="宋体"/>
                <w:bCs/>
                <w:sz w:val="18"/>
                <w:szCs w:val="18"/>
              </w:rPr>
            </w:pPr>
            <w:r>
              <w:rPr>
                <w:rFonts w:hint="eastAsia" w:ascii="宋体" w:hAnsi="宋体"/>
                <w:bCs/>
                <w:sz w:val="18"/>
                <w:szCs w:val="18"/>
              </w:rPr>
              <w:t>可以指定一个月份或多个连续月份的业务数据进行实训。可以对企业的银行预留章进行设定。</w:t>
            </w:r>
          </w:p>
        </w:tc>
        <w:tc>
          <w:tcPr>
            <w:tcW w:w="790"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18"/>
                <w:szCs w:val="18"/>
              </w:rPr>
            </w:pPr>
            <w:r>
              <w:rPr>
                <w:rFonts w:hint="eastAsia" w:ascii="宋体" w:hAnsi="宋体"/>
                <w:bCs/>
                <w:sz w:val="18"/>
                <w:szCs w:val="18"/>
              </w:rPr>
              <w:t>12.练习设置管理</w:t>
            </w:r>
          </w:p>
        </w:tc>
        <w:tc>
          <w:tcPr>
            <w:tcW w:w="6275" w:type="dxa"/>
            <w:tcBorders>
              <w:tl2br w:val="nil"/>
              <w:tr2bl w:val="nil"/>
            </w:tcBorders>
            <w:vAlign w:val="center"/>
          </w:tcPr>
          <w:p>
            <w:pPr>
              <w:numPr>
                <w:ilvl w:val="0"/>
                <w:numId w:val="4"/>
              </w:numPr>
              <w:spacing w:line="300" w:lineRule="auto"/>
              <w:rPr>
                <w:rFonts w:ascii="宋体" w:hAnsi="宋体"/>
                <w:bCs/>
                <w:sz w:val="18"/>
                <w:szCs w:val="18"/>
              </w:rPr>
            </w:pPr>
            <w:r>
              <w:rPr>
                <w:rFonts w:hint="eastAsia" w:ascii="宋体" w:hAnsi="宋体"/>
                <w:bCs/>
                <w:sz w:val="18"/>
                <w:szCs w:val="18"/>
              </w:rPr>
              <w:t>对练习模式的实训学员进行设置，练习模式提供参考答案和错误率提示。</w:t>
            </w:r>
          </w:p>
          <w:p>
            <w:pPr>
              <w:numPr>
                <w:ilvl w:val="0"/>
                <w:numId w:val="4"/>
              </w:numPr>
              <w:spacing w:line="300" w:lineRule="auto"/>
              <w:rPr>
                <w:rFonts w:ascii="宋体" w:hAnsi="宋体"/>
                <w:bCs/>
                <w:sz w:val="18"/>
                <w:szCs w:val="18"/>
              </w:rPr>
            </w:pPr>
            <w:r>
              <w:rPr>
                <w:rFonts w:hint="eastAsia" w:ascii="宋体" w:hAnsi="宋体"/>
                <w:bCs/>
                <w:sz w:val="18"/>
                <w:szCs w:val="18"/>
              </w:rPr>
              <w:t>★分组：</w:t>
            </w:r>
          </w:p>
          <w:p>
            <w:pPr>
              <w:spacing w:line="300" w:lineRule="auto"/>
              <w:ind w:left="360"/>
              <w:rPr>
                <w:rFonts w:ascii="宋体" w:hAnsi="宋体"/>
                <w:bCs/>
                <w:sz w:val="18"/>
                <w:szCs w:val="18"/>
              </w:rPr>
            </w:pPr>
            <w:r>
              <w:rPr>
                <w:rFonts w:hint="eastAsia" w:ascii="宋体" w:hAnsi="宋体"/>
                <w:bCs/>
                <w:sz w:val="18"/>
                <w:szCs w:val="18"/>
              </w:rPr>
              <w:t>1)可以对学员进行分组，设定是一人一岗还是一人多岗实训，设定学员是一个人完成所有业务，还是由一个小组内不同成员担任不同职位共同完成业务。</w:t>
            </w:r>
          </w:p>
          <w:p>
            <w:pPr>
              <w:spacing w:line="300" w:lineRule="auto"/>
              <w:ind w:left="360"/>
              <w:rPr>
                <w:rFonts w:ascii="宋体" w:hAnsi="宋体"/>
                <w:bCs/>
                <w:sz w:val="18"/>
                <w:szCs w:val="18"/>
              </w:rPr>
            </w:pPr>
            <w:r>
              <w:rPr>
                <w:rFonts w:hint="eastAsia" w:ascii="宋体" w:hAnsi="宋体"/>
                <w:bCs/>
                <w:sz w:val="18"/>
                <w:szCs w:val="18"/>
              </w:rPr>
              <w:t>2) 职位数可以由用户指定。根据用户指定的职位，自动均衡的将业务分配到各个岗位。同时支持用户自定义调整职位要做的业务内容。</w:t>
            </w:r>
          </w:p>
          <w:p>
            <w:pPr>
              <w:numPr>
                <w:ilvl w:val="0"/>
                <w:numId w:val="4"/>
              </w:numPr>
              <w:spacing w:line="300" w:lineRule="auto"/>
              <w:rPr>
                <w:rFonts w:ascii="宋体" w:hAnsi="宋体"/>
                <w:bCs/>
                <w:sz w:val="18"/>
                <w:szCs w:val="18"/>
              </w:rPr>
            </w:pPr>
            <w:r>
              <w:rPr>
                <w:rFonts w:hint="eastAsia" w:ascii="宋体" w:hAnsi="宋体"/>
                <w:bCs/>
                <w:sz w:val="18"/>
                <w:szCs w:val="18"/>
              </w:rPr>
              <w:t>★软件可任意设定每场考试的总分，时长。设定评分规则。设置凭证分录计分规则是按照总账科目+明细科目+借贷方向+金额还是按照总账科目+借贷方向+金额。</w:t>
            </w:r>
          </w:p>
        </w:tc>
        <w:tc>
          <w:tcPr>
            <w:tcW w:w="790"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18"/>
                <w:szCs w:val="18"/>
              </w:rPr>
            </w:pPr>
            <w:r>
              <w:rPr>
                <w:rFonts w:hint="eastAsia" w:ascii="宋体" w:hAnsi="宋体"/>
                <w:bCs/>
                <w:sz w:val="18"/>
                <w:szCs w:val="18"/>
              </w:rPr>
              <w:t>13.竞赛设置管理</w:t>
            </w:r>
          </w:p>
        </w:tc>
        <w:tc>
          <w:tcPr>
            <w:tcW w:w="6275" w:type="dxa"/>
            <w:tcBorders>
              <w:tl2br w:val="nil"/>
              <w:tr2bl w:val="nil"/>
            </w:tcBorders>
            <w:vAlign w:val="center"/>
          </w:tcPr>
          <w:p>
            <w:pPr>
              <w:numPr>
                <w:ilvl w:val="0"/>
                <w:numId w:val="4"/>
              </w:numPr>
              <w:spacing w:line="300" w:lineRule="auto"/>
              <w:rPr>
                <w:rFonts w:ascii="宋体" w:hAnsi="宋体"/>
                <w:bCs/>
                <w:sz w:val="18"/>
                <w:szCs w:val="18"/>
              </w:rPr>
            </w:pPr>
            <w:r>
              <w:rPr>
                <w:rFonts w:hint="eastAsia" w:ascii="宋体" w:hAnsi="宋体"/>
                <w:bCs/>
                <w:sz w:val="18"/>
                <w:szCs w:val="18"/>
              </w:rPr>
              <w:t>对竞赛模式的实训学员进行设置，支持凭证，科汇表、日记账、总账、明细账、报表的权值设置，竞赛模式提供业务仿真的工作环境。</w:t>
            </w:r>
          </w:p>
          <w:p>
            <w:pPr>
              <w:numPr>
                <w:ilvl w:val="0"/>
                <w:numId w:val="4"/>
              </w:numPr>
              <w:spacing w:line="300" w:lineRule="auto"/>
              <w:rPr>
                <w:rFonts w:ascii="宋体" w:hAnsi="宋体"/>
                <w:bCs/>
                <w:sz w:val="18"/>
                <w:szCs w:val="18"/>
              </w:rPr>
            </w:pPr>
            <w:r>
              <w:rPr>
                <w:rFonts w:hint="eastAsia" w:ascii="宋体" w:hAnsi="宋体"/>
                <w:bCs/>
                <w:sz w:val="18"/>
                <w:szCs w:val="18"/>
              </w:rPr>
              <w:t>分组：</w:t>
            </w:r>
          </w:p>
          <w:p>
            <w:pPr>
              <w:spacing w:line="300" w:lineRule="auto"/>
              <w:ind w:left="360"/>
              <w:rPr>
                <w:rFonts w:ascii="宋体" w:hAnsi="宋体"/>
                <w:bCs/>
                <w:sz w:val="18"/>
                <w:szCs w:val="18"/>
              </w:rPr>
            </w:pPr>
            <w:r>
              <w:rPr>
                <w:rFonts w:hint="eastAsia" w:ascii="宋体" w:hAnsi="宋体"/>
                <w:bCs/>
                <w:sz w:val="18"/>
                <w:szCs w:val="18"/>
              </w:rPr>
              <w:t>1)可以对学员进行分组，设定是一人一岗还是一人多岗实训，设定学员是一个人完成所有业务，还是由一个小组内不同成员担任不同职位共同完成业务。</w:t>
            </w:r>
          </w:p>
          <w:p>
            <w:pPr>
              <w:spacing w:line="300" w:lineRule="auto"/>
              <w:ind w:left="360"/>
              <w:rPr>
                <w:rFonts w:ascii="宋体" w:hAnsi="宋体"/>
                <w:bCs/>
                <w:sz w:val="18"/>
                <w:szCs w:val="18"/>
              </w:rPr>
            </w:pPr>
            <w:r>
              <w:rPr>
                <w:rFonts w:hint="eastAsia" w:ascii="宋体" w:hAnsi="宋体"/>
                <w:bCs/>
                <w:sz w:val="18"/>
                <w:szCs w:val="18"/>
              </w:rPr>
              <w:t>2) 职位数可以由用户指定。根据用户指定的职位，自动均衡的将业务分配到各个岗位。同时支持用户自定义调整职位要做的业务内容。</w:t>
            </w:r>
          </w:p>
          <w:p>
            <w:pPr>
              <w:widowControl/>
              <w:ind w:left="360" w:hanging="360"/>
              <w:rPr>
                <w:rFonts w:ascii="宋体" w:hAnsi="宋体"/>
                <w:bCs/>
                <w:sz w:val="18"/>
                <w:szCs w:val="18"/>
              </w:rPr>
            </w:pPr>
            <w:r>
              <w:rPr>
                <w:rFonts w:hint="eastAsia" w:ascii="宋体" w:hAnsi="宋体"/>
                <w:bCs/>
                <w:sz w:val="18"/>
                <w:szCs w:val="18"/>
              </w:rPr>
              <w:t>软件可任意设定每场考试的总分，时长。设定评分规则。设置分录计分规则是按照总账科目+明细科目+借贷方向+金额还是按照总账科目+借贷方向+金额。</w:t>
            </w:r>
          </w:p>
          <w:p>
            <w:pPr>
              <w:widowControl/>
              <w:ind w:left="360" w:hanging="360"/>
              <w:rPr>
                <w:rFonts w:ascii="宋体" w:hAnsi="宋体"/>
                <w:bCs/>
                <w:sz w:val="18"/>
                <w:szCs w:val="18"/>
              </w:rPr>
            </w:pPr>
            <w:r>
              <w:rPr>
                <w:rFonts w:hint="eastAsia" w:ascii="宋体" w:hAnsi="宋体"/>
                <w:bCs/>
                <w:sz w:val="18"/>
                <w:szCs w:val="18"/>
              </w:rPr>
              <w:t xml:space="preserve">    3）支持分组信息导入导出。</w:t>
            </w:r>
          </w:p>
        </w:tc>
        <w:tc>
          <w:tcPr>
            <w:tcW w:w="790"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18"/>
                <w:szCs w:val="18"/>
              </w:rPr>
            </w:pPr>
            <w:r>
              <w:rPr>
                <w:rFonts w:hint="eastAsia" w:ascii="宋体" w:hAnsi="宋体"/>
                <w:bCs/>
                <w:sz w:val="18"/>
                <w:szCs w:val="18"/>
              </w:rPr>
              <w:t xml:space="preserve">14.练习数据管理 </w:t>
            </w:r>
          </w:p>
        </w:tc>
        <w:tc>
          <w:tcPr>
            <w:tcW w:w="6275" w:type="dxa"/>
            <w:tcBorders>
              <w:tl2br w:val="nil"/>
              <w:tr2bl w:val="nil"/>
            </w:tcBorders>
            <w:vAlign w:val="center"/>
          </w:tcPr>
          <w:p>
            <w:pPr>
              <w:numPr>
                <w:ilvl w:val="0"/>
                <w:numId w:val="4"/>
              </w:numPr>
              <w:spacing w:line="300" w:lineRule="auto"/>
              <w:rPr>
                <w:rFonts w:ascii="宋体" w:hAnsi="宋体"/>
                <w:bCs/>
                <w:sz w:val="18"/>
                <w:szCs w:val="18"/>
              </w:rPr>
            </w:pPr>
            <w:r>
              <w:rPr>
                <w:rFonts w:hint="eastAsia" w:ascii="宋体" w:hAnsi="宋体"/>
                <w:bCs/>
                <w:sz w:val="18"/>
                <w:szCs w:val="18"/>
              </w:rPr>
              <w:t>提供对练习模式学员成绩查看，支持成绩中各项明细内容查看，支持成绩导出。</w:t>
            </w:r>
          </w:p>
        </w:tc>
        <w:tc>
          <w:tcPr>
            <w:tcW w:w="790"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1"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18"/>
                <w:szCs w:val="18"/>
              </w:rPr>
            </w:pPr>
            <w:r>
              <w:rPr>
                <w:rFonts w:hint="eastAsia" w:ascii="宋体" w:hAnsi="宋体"/>
                <w:bCs/>
                <w:sz w:val="18"/>
                <w:szCs w:val="18"/>
              </w:rPr>
              <w:t>15.竞赛数据管理</w:t>
            </w:r>
          </w:p>
        </w:tc>
        <w:tc>
          <w:tcPr>
            <w:tcW w:w="6275" w:type="dxa"/>
            <w:tcBorders>
              <w:tl2br w:val="nil"/>
              <w:tr2bl w:val="nil"/>
            </w:tcBorders>
            <w:vAlign w:val="center"/>
          </w:tcPr>
          <w:p>
            <w:pPr>
              <w:numPr>
                <w:ilvl w:val="0"/>
                <w:numId w:val="4"/>
              </w:numPr>
              <w:spacing w:line="300" w:lineRule="auto"/>
              <w:rPr>
                <w:rFonts w:ascii="宋体" w:hAnsi="宋体"/>
                <w:bCs/>
                <w:sz w:val="18"/>
                <w:szCs w:val="18"/>
              </w:rPr>
            </w:pPr>
            <w:r>
              <w:rPr>
                <w:rFonts w:hint="eastAsia" w:ascii="宋体" w:hAnsi="宋体"/>
                <w:bCs/>
                <w:sz w:val="18"/>
                <w:szCs w:val="18"/>
              </w:rPr>
              <w:t>★提供对竞赛模式学员成绩查看，支持成绩中各项明细内容查看，支持成绩导出。可按小组进行成绩排名，支持学员排名和按职位排名。</w:t>
            </w:r>
          </w:p>
        </w:tc>
        <w:tc>
          <w:tcPr>
            <w:tcW w:w="790"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1" w:hRule="atLeast"/>
          <w:jc w:val="center"/>
        </w:trPr>
        <w:tc>
          <w:tcPr>
            <w:tcW w:w="778" w:type="dxa"/>
            <w:vMerge w:val="continue"/>
            <w:tcBorders>
              <w:tl2br w:val="nil"/>
              <w:tr2bl w:val="nil"/>
            </w:tcBorders>
            <w:vAlign w:val="center"/>
          </w:tcPr>
          <w:p/>
        </w:tc>
        <w:tc>
          <w:tcPr>
            <w:tcW w:w="915" w:type="dxa"/>
            <w:vMerge w:val="continue"/>
            <w:tcBorders>
              <w:tl2br w:val="nil"/>
              <w:tr2bl w:val="nil"/>
            </w:tcBorders>
            <w:vAlign w:val="center"/>
          </w:tcPr>
          <w:p/>
        </w:tc>
        <w:tc>
          <w:tcPr>
            <w:tcW w:w="812" w:type="dxa"/>
            <w:tcBorders>
              <w:tl2br w:val="nil"/>
              <w:tr2bl w:val="nil"/>
            </w:tcBorders>
            <w:vAlign w:val="center"/>
          </w:tcPr>
          <w:p>
            <w:pPr>
              <w:widowControl/>
              <w:rPr>
                <w:rFonts w:ascii="宋体" w:hAnsi="宋体"/>
                <w:bCs/>
                <w:sz w:val="18"/>
                <w:szCs w:val="18"/>
              </w:rPr>
            </w:pPr>
            <w:r>
              <w:rPr>
                <w:rFonts w:hint="eastAsia" w:ascii="宋体" w:hAnsi="宋体"/>
                <w:bCs/>
                <w:sz w:val="18"/>
                <w:szCs w:val="18"/>
              </w:rPr>
              <w:t>16.学生端-理论题</w:t>
            </w:r>
          </w:p>
        </w:tc>
        <w:tc>
          <w:tcPr>
            <w:tcW w:w="6275" w:type="dxa"/>
            <w:tcBorders>
              <w:tl2br w:val="nil"/>
              <w:tr2bl w:val="nil"/>
            </w:tcBorders>
            <w:vAlign w:val="center"/>
          </w:tcPr>
          <w:p>
            <w:pPr>
              <w:numPr>
                <w:ilvl w:val="0"/>
                <w:numId w:val="4"/>
              </w:numPr>
              <w:spacing w:line="300" w:lineRule="auto"/>
              <w:rPr>
                <w:rFonts w:ascii="宋体" w:hAnsi="宋体"/>
                <w:bCs/>
                <w:sz w:val="18"/>
                <w:szCs w:val="18"/>
              </w:rPr>
            </w:pPr>
            <w:r>
              <w:rPr>
                <w:rFonts w:hint="eastAsia" w:ascii="宋体" w:hAnsi="宋体"/>
                <w:bCs/>
                <w:sz w:val="18"/>
                <w:szCs w:val="18"/>
              </w:rPr>
              <w:t>软件具备答卷自动保存、页面缓存、XML容错交卷功能。</w:t>
            </w:r>
          </w:p>
          <w:p>
            <w:pPr>
              <w:numPr>
                <w:ilvl w:val="0"/>
                <w:numId w:val="4"/>
              </w:numPr>
              <w:spacing w:line="300" w:lineRule="auto"/>
              <w:rPr>
                <w:rFonts w:ascii="宋体" w:hAnsi="宋体"/>
                <w:bCs/>
                <w:sz w:val="18"/>
                <w:szCs w:val="18"/>
              </w:rPr>
            </w:pPr>
            <w:r>
              <w:rPr>
                <w:rFonts w:hint="eastAsia" w:ascii="宋体" w:hAnsi="宋体"/>
                <w:bCs/>
                <w:sz w:val="18"/>
                <w:szCs w:val="18"/>
              </w:rPr>
              <w:t>软件具备打乱题目顺序和设定考试顺序的防舞弊功能。</w:t>
            </w:r>
          </w:p>
          <w:p>
            <w:pPr>
              <w:numPr>
                <w:ilvl w:val="0"/>
                <w:numId w:val="4"/>
              </w:numPr>
              <w:spacing w:line="300" w:lineRule="auto"/>
              <w:rPr>
                <w:rFonts w:ascii="宋体" w:hAnsi="宋体"/>
                <w:bCs/>
                <w:sz w:val="18"/>
                <w:szCs w:val="18"/>
              </w:rPr>
            </w:pPr>
            <w:r>
              <w:rPr>
                <w:rFonts w:hint="eastAsia" w:ascii="宋体" w:hAnsi="宋体"/>
                <w:bCs/>
                <w:sz w:val="18"/>
                <w:szCs w:val="18"/>
              </w:rPr>
              <w:t>支持对已做题进行标记。</w:t>
            </w:r>
          </w:p>
          <w:p>
            <w:pPr>
              <w:numPr>
                <w:ilvl w:val="0"/>
                <w:numId w:val="4"/>
              </w:numPr>
              <w:spacing w:line="300" w:lineRule="auto"/>
              <w:rPr>
                <w:rFonts w:ascii="宋体" w:hAnsi="宋体"/>
                <w:bCs/>
                <w:sz w:val="18"/>
                <w:szCs w:val="18"/>
              </w:rPr>
            </w:pPr>
            <w:r>
              <w:rPr>
                <w:rFonts w:hint="eastAsia" w:ascii="宋体" w:hAnsi="宋体"/>
                <w:bCs/>
                <w:sz w:val="18"/>
                <w:szCs w:val="18"/>
              </w:rPr>
              <w:t>支持自动计时、倒计时提醒、到时交卷并强制退出功能。</w:t>
            </w:r>
          </w:p>
        </w:tc>
        <w:tc>
          <w:tcPr>
            <w:tcW w:w="790"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1"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18"/>
                <w:szCs w:val="18"/>
              </w:rPr>
            </w:pPr>
            <w:r>
              <w:rPr>
                <w:rFonts w:hint="eastAsia" w:ascii="宋体" w:hAnsi="宋体"/>
                <w:bCs/>
                <w:sz w:val="18"/>
                <w:szCs w:val="18"/>
              </w:rPr>
              <w:t>17.学生端-实操题</w:t>
            </w:r>
          </w:p>
        </w:tc>
        <w:tc>
          <w:tcPr>
            <w:tcW w:w="6275" w:type="dxa"/>
            <w:tcBorders>
              <w:tl2br w:val="nil"/>
              <w:tr2bl w:val="nil"/>
            </w:tcBorders>
            <w:vAlign w:val="center"/>
          </w:tcPr>
          <w:p>
            <w:pPr>
              <w:numPr>
                <w:ilvl w:val="0"/>
                <w:numId w:val="4"/>
              </w:numPr>
              <w:spacing w:line="300" w:lineRule="auto"/>
              <w:rPr>
                <w:rFonts w:ascii="宋体" w:hAnsi="宋体"/>
                <w:bCs/>
                <w:sz w:val="18"/>
                <w:szCs w:val="18"/>
              </w:rPr>
            </w:pPr>
            <w:r>
              <w:rPr>
                <w:rFonts w:hint="eastAsia" w:ascii="宋体" w:hAnsi="宋体"/>
                <w:bCs/>
                <w:sz w:val="18"/>
                <w:szCs w:val="18"/>
              </w:rPr>
              <w:t>★提供模拟企业资料，职务说明，操作流程图，会计人员基本的素质说明。</w:t>
            </w:r>
          </w:p>
          <w:p>
            <w:pPr>
              <w:numPr>
                <w:ilvl w:val="0"/>
                <w:numId w:val="4"/>
              </w:numPr>
              <w:spacing w:line="300" w:lineRule="auto"/>
              <w:rPr>
                <w:rFonts w:ascii="宋体" w:hAnsi="宋体"/>
                <w:bCs/>
                <w:sz w:val="18"/>
                <w:szCs w:val="18"/>
              </w:rPr>
            </w:pPr>
            <w:r>
              <w:rPr>
                <w:rFonts w:hint="eastAsia" w:ascii="宋体" w:hAnsi="宋体"/>
                <w:bCs/>
                <w:sz w:val="18"/>
                <w:szCs w:val="18"/>
              </w:rPr>
              <w:t>★支持职位选择，支持一个人担任所有职位角色，分别以不同角色实训。</w:t>
            </w:r>
          </w:p>
          <w:p>
            <w:pPr>
              <w:numPr>
                <w:ilvl w:val="0"/>
                <w:numId w:val="4"/>
              </w:numPr>
              <w:spacing w:line="300" w:lineRule="auto"/>
              <w:rPr>
                <w:rFonts w:ascii="宋体" w:hAnsi="宋体"/>
                <w:bCs/>
                <w:sz w:val="18"/>
                <w:szCs w:val="18"/>
              </w:rPr>
            </w:pPr>
            <w:r>
              <w:rPr>
                <w:rFonts w:hint="eastAsia" w:ascii="宋体" w:hAnsi="宋体"/>
                <w:bCs/>
                <w:sz w:val="18"/>
                <w:szCs w:val="18"/>
              </w:rPr>
              <w:t>软件具备自动计时、倒计时提醒、到时交卷并强制退出功能。</w:t>
            </w:r>
          </w:p>
          <w:p>
            <w:pPr>
              <w:numPr>
                <w:ilvl w:val="0"/>
                <w:numId w:val="4"/>
              </w:numPr>
              <w:spacing w:line="300" w:lineRule="auto"/>
              <w:rPr>
                <w:rFonts w:ascii="宋体" w:hAnsi="宋体"/>
                <w:bCs/>
                <w:sz w:val="18"/>
                <w:szCs w:val="18"/>
              </w:rPr>
            </w:pPr>
            <w:r>
              <w:rPr>
                <w:rFonts w:hint="eastAsia" w:ascii="宋体" w:hAnsi="宋体"/>
                <w:bCs/>
                <w:sz w:val="18"/>
                <w:szCs w:val="18"/>
              </w:rPr>
              <w:t>★盖章：软件具备仿真印章制作工具，盖章位置智能识别，印章可在页面自动拖动。</w:t>
            </w:r>
          </w:p>
          <w:p>
            <w:pPr>
              <w:numPr>
                <w:ilvl w:val="0"/>
                <w:numId w:val="4"/>
              </w:numPr>
              <w:spacing w:line="300" w:lineRule="auto"/>
              <w:rPr>
                <w:rFonts w:ascii="宋体" w:hAnsi="宋体"/>
                <w:bCs/>
                <w:sz w:val="18"/>
                <w:szCs w:val="18"/>
              </w:rPr>
            </w:pPr>
            <w:r>
              <w:rPr>
                <w:rFonts w:hint="eastAsia" w:ascii="宋体" w:hAnsi="宋体"/>
                <w:bCs/>
                <w:sz w:val="18"/>
                <w:szCs w:val="18"/>
              </w:rPr>
              <w:t>★划线：支持在原始凭证中划线，可以划在原始凭证中的任意位置。</w:t>
            </w:r>
          </w:p>
          <w:p>
            <w:pPr>
              <w:numPr>
                <w:ilvl w:val="0"/>
                <w:numId w:val="4"/>
              </w:numPr>
              <w:spacing w:line="300" w:lineRule="auto"/>
              <w:rPr>
                <w:rFonts w:ascii="宋体" w:hAnsi="宋体"/>
                <w:bCs/>
                <w:sz w:val="18"/>
                <w:szCs w:val="18"/>
              </w:rPr>
            </w:pPr>
            <w:r>
              <w:rPr>
                <w:rFonts w:hint="eastAsia" w:ascii="宋体" w:hAnsi="宋体"/>
                <w:bCs/>
                <w:sz w:val="18"/>
                <w:szCs w:val="18"/>
              </w:rPr>
              <w:t>软件具备学生端所有原始凭证的数据能够任意复制、粘帖的功能。</w:t>
            </w:r>
          </w:p>
          <w:p>
            <w:pPr>
              <w:numPr>
                <w:ilvl w:val="0"/>
                <w:numId w:val="4"/>
              </w:numPr>
              <w:spacing w:line="300" w:lineRule="auto"/>
              <w:rPr>
                <w:rFonts w:ascii="宋体" w:hAnsi="宋体"/>
                <w:bCs/>
                <w:sz w:val="18"/>
                <w:szCs w:val="18"/>
              </w:rPr>
            </w:pPr>
            <w:r>
              <w:rPr>
                <w:rFonts w:hint="eastAsia" w:ascii="宋体" w:hAnsi="宋体"/>
                <w:bCs/>
                <w:sz w:val="18"/>
                <w:szCs w:val="18"/>
              </w:rPr>
              <w:t>★具备当前岗位只能看到本岗位需要处理的业务，与实际工作的业务完全一致。</w:t>
            </w:r>
          </w:p>
          <w:p>
            <w:pPr>
              <w:numPr>
                <w:ilvl w:val="0"/>
                <w:numId w:val="4"/>
              </w:numPr>
              <w:spacing w:line="300" w:lineRule="auto"/>
              <w:rPr>
                <w:rFonts w:ascii="宋体" w:hAnsi="宋体"/>
                <w:bCs/>
                <w:sz w:val="18"/>
                <w:szCs w:val="18"/>
              </w:rPr>
            </w:pPr>
            <w:r>
              <w:rPr>
                <w:rFonts w:hint="eastAsia" w:ascii="宋体" w:hAnsi="宋体"/>
                <w:bCs/>
                <w:sz w:val="18"/>
                <w:szCs w:val="18"/>
              </w:rPr>
              <w:t>★软件具备学生端每笔业务的分值在试题列表中显示的功能。</w:t>
            </w:r>
          </w:p>
          <w:p>
            <w:pPr>
              <w:numPr>
                <w:ilvl w:val="0"/>
                <w:numId w:val="4"/>
              </w:numPr>
              <w:spacing w:line="300" w:lineRule="auto"/>
              <w:rPr>
                <w:rFonts w:ascii="宋体" w:hAnsi="宋体"/>
                <w:bCs/>
                <w:sz w:val="18"/>
                <w:szCs w:val="18"/>
              </w:rPr>
            </w:pPr>
            <w:r>
              <w:rPr>
                <w:rFonts w:hint="eastAsia" w:ascii="宋体" w:hAnsi="宋体"/>
                <w:bCs/>
                <w:sz w:val="18"/>
                <w:szCs w:val="18"/>
              </w:rPr>
              <w:t>★软件具备根据学生所填写的凭证数据，能自动生成相对应的账薄、报表数据，作为下期的期初数据。生成的数据能在资料查看中进行显示。在竞赛时，账薄和报表的标准答案将以生成的数据作为新的评分依据。</w:t>
            </w:r>
          </w:p>
          <w:p>
            <w:pPr>
              <w:numPr>
                <w:ilvl w:val="0"/>
                <w:numId w:val="4"/>
              </w:numPr>
              <w:spacing w:line="300" w:lineRule="auto"/>
              <w:rPr>
                <w:rFonts w:ascii="宋体" w:hAnsi="宋体"/>
                <w:bCs/>
                <w:sz w:val="18"/>
                <w:szCs w:val="18"/>
              </w:rPr>
            </w:pPr>
            <w:r>
              <w:rPr>
                <w:rFonts w:hint="eastAsia" w:ascii="宋体" w:hAnsi="宋体"/>
                <w:bCs/>
                <w:sz w:val="18"/>
                <w:szCs w:val="18"/>
              </w:rPr>
              <w:t>★软件具备业务单据批量选择、传递，并有详细的信息提示功能。</w:t>
            </w:r>
          </w:p>
          <w:p>
            <w:pPr>
              <w:numPr>
                <w:ilvl w:val="0"/>
                <w:numId w:val="4"/>
              </w:numPr>
              <w:spacing w:line="300" w:lineRule="auto"/>
              <w:rPr>
                <w:rFonts w:ascii="宋体" w:hAnsi="宋体"/>
                <w:bCs/>
                <w:sz w:val="18"/>
                <w:szCs w:val="18"/>
              </w:rPr>
            </w:pPr>
            <w:r>
              <w:rPr>
                <w:rFonts w:hint="eastAsia" w:ascii="宋体" w:hAnsi="宋体"/>
                <w:bCs/>
                <w:sz w:val="18"/>
                <w:szCs w:val="18"/>
              </w:rPr>
              <w:t>软件具备单据的审核、反审核、审核盖章和退回功能。</w:t>
            </w:r>
          </w:p>
          <w:p>
            <w:pPr>
              <w:numPr>
                <w:ilvl w:val="0"/>
                <w:numId w:val="4"/>
              </w:numPr>
              <w:spacing w:line="300" w:lineRule="auto"/>
              <w:rPr>
                <w:rFonts w:ascii="宋体" w:hAnsi="宋体"/>
                <w:bCs/>
                <w:sz w:val="18"/>
                <w:szCs w:val="18"/>
              </w:rPr>
            </w:pPr>
            <w:r>
              <w:rPr>
                <w:rFonts w:hint="eastAsia" w:ascii="宋体" w:hAnsi="宋体"/>
                <w:bCs/>
                <w:sz w:val="18"/>
                <w:szCs w:val="18"/>
              </w:rPr>
              <w:t>软件具备良好的数据安全性，页面参数与关键信息经加密处理。</w:t>
            </w:r>
          </w:p>
          <w:p>
            <w:pPr>
              <w:numPr>
                <w:ilvl w:val="0"/>
                <w:numId w:val="4"/>
              </w:numPr>
              <w:spacing w:line="300" w:lineRule="auto"/>
              <w:rPr>
                <w:rFonts w:ascii="宋体" w:hAnsi="宋体"/>
                <w:bCs/>
                <w:sz w:val="18"/>
                <w:szCs w:val="18"/>
              </w:rPr>
            </w:pPr>
            <w:r>
              <w:rPr>
                <w:rFonts w:hint="eastAsia" w:ascii="宋体" w:hAnsi="宋体"/>
                <w:bCs/>
                <w:sz w:val="18"/>
                <w:szCs w:val="18"/>
              </w:rPr>
              <w:t>软件具备用户单点登录功能，首次登录后，无需再登录就可以使用各系统。</w:t>
            </w:r>
          </w:p>
          <w:p>
            <w:pPr>
              <w:numPr>
                <w:ilvl w:val="0"/>
                <w:numId w:val="4"/>
              </w:numPr>
              <w:spacing w:line="300" w:lineRule="auto"/>
              <w:rPr>
                <w:rFonts w:ascii="宋体" w:hAnsi="宋体"/>
                <w:bCs/>
                <w:sz w:val="18"/>
                <w:szCs w:val="18"/>
              </w:rPr>
            </w:pPr>
            <w:r>
              <w:rPr>
                <w:rFonts w:hint="eastAsia" w:ascii="宋体" w:hAnsi="宋体"/>
                <w:bCs/>
                <w:sz w:val="18"/>
                <w:szCs w:val="18"/>
              </w:rPr>
              <w:t>★软件模拟现实会计业务处理流程，具备业务实时传递功能； 出纳岗位提交一笔业务，该笔业务下一个步骤是会计，则在会计岗位中能够实时显示出来。</w:t>
            </w:r>
          </w:p>
          <w:p>
            <w:pPr>
              <w:numPr>
                <w:ilvl w:val="0"/>
                <w:numId w:val="4"/>
              </w:numPr>
              <w:spacing w:line="300" w:lineRule="auto"/>
              <w:rPr>
                <w:rFonts w:ascii="宋体" w:hAnsi="宋体"/>
                <w:bCs/>
                <w:sz w:val="18"/>
                <w:szCs w:val="18"/>
              </w:rPr>
            </w:pPr>
            <w:r>
              <w:rPr>
                <w:rFonts w:hint="eastAsia" w:ascii="宋体" w:hAnsi="宋体"/>
                <w:bCs/>
                <w:sz w:val="18"/>
                <w:szCs w:val="18"/>
              </w:rPr>
              <w:t>★做题情况：能显示每笔业务的做题情况，方便学员。做题情况的状态有：未做，未做完，已做。</w:t>
            </w:r>
          </w:p>
          <w:p>
            <w:pPr>
              <w:widowControl/>
              <w:ind w:left="360" w:hanging="360"/>
              <w:rPr>
                <w:rFonts w:ascii="宋体" w:hAnsi="宋体"/>
                <w:bCs/>
                <w:sz w:val="18"/>
                <w:szCs w:val="18"/>
              </w:rPr>
            </w:pPr>
          </w:p>
        </w:tc>
        <w:tc>
          <w:tcPr>
            <w:tcW w:w="790"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1"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18"/>
                <w:szCs w:val="18"/>
              </w:rPr>
            </w:pPr>
            <w:r>
              <w:rPr>
                <w:rFonts w:hint="eastAsia" w:ascii="宋体" w:hAnsi="宋体"/>
                <w:bCs/>
                <w:sz w:val="18"/>
                <w:szCs w:val="18"/>
              </w:rPr>
              <w:t>18.</w:t>
            </w:r>
          </w:p>
        </w:tc>
        <w:tc>
          <w:tcPr>
            <w:tcW w:w="6275" w:type="dxa"/>
            <w:tcBorders>
              <w:tl2br w:val="nil"/>
              <w:tr2bl w:val="nil"/>
            </w:tcBorders>
            <w:vAlign w:val="center"/>
          </w:tcPr>
          <w:p>
            <w:pPr>
              <w:numPr>
                <w:ilvl w:val="0"/>
                <w:numId w:val="4"/>
              </w:numPr>
              <w:spacing w:line="300" w:lineRule="auto"/>
              <w:rPr>
                <w:rFonts w:ascii="宋体" w:hAnsi="宋体"/>
                <w:bCs/>
                <w:sz w:val="18"/>
                <w:szCs w:val="18"/>
              </w:rPr>
            </w:pPr>
            <w:r>
              <w:rPr>
                <w:rFonts w:hint="eastAsia" w:ascii="宋体" w:hAnsi="宋体"/>
                <w:bCs/>
                <w:sz w:val="18"/>
                <w:szCs w:val="18"/>
              </w:rPr>
              <w:t>★软件满足2019年河南省中等职业教育技能大赛财经商贸类会计技能支持平台。</w:t>
            </w:r>
          </w:p>
        </w:tc>
        <w:tc>
          <w:tcPr>
            <w:tcW w:w="790"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4"/>
                <w:lang w:bidi="ar"/>
                <w14:textFill>
                  <w14:solidFill>
                    <w14:schemeClr w14:val="tx1"/>
                  </w14:solidFill>
                </w14:textFill>
              </w:rPr>
            </w:pPr>
          </w:p>
        </w:tc>
      </w:tr>
    </w:tbl>
    <w:p>
      <w:pPr>
        <w:pStyle w:val="4"/>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57F5DF"/>
    <w:multiLevelType w:val="multilevel"/>
    <w:tmpl w:val="8A57F5DF"/>
    <w:lvl w:ilvl="0" w:tentative="0">
      <w:start w:val="1"/>
      <w:numFmt w:val="decimal"/>
      <w:lvlText w:val="%1."/>
      <w:lvlJc w:val="left"/>
      <w:pPr>
        <w:tabs>
          <w:tab w:val="left" w:pos="360"/>
        </w:tabs>
        <w:ind w:left="360" w:hanging="360"/>
      </w:pPr>
      <w:rPr>
        <w:rFonts w:hint="default" w:hAnsi="宋体"/>
      </w:rPr>
    </w:lvl>
    <w:lvl w:ilvl="1" w:tentative="0">
      <w:start w:val="4"/>
      <w:numFmt w:val="decimal"/>
      <w:isLgl/>
      <w:lvlText w:val="%1.%2"/>
      <w:lvlJc w:val="left"/>
      <w:pPr>
        <w:ind w:left="720" w:hanging="360"/>
      </w:pPr>
      <w:rPr>
        <w:rFonts w:hint="default" w:hAnsi="宋体"/>
      </w:rPr>
    </w:lvl>
    <w:lvl w:ilvl="2" w:tentative="0">
      <w:start w:val="1"/>
      <w:numFmt w:val="decimal"/>
      <w:isLgl/>
      <w:lvlText w:val="%1.%2.%3"/>
      <w:lvlJc w:val="left"/>
      <w:pPr>
        <w:ind w:left="1440" w:hanging="720"/>
      </w:pPr>
      <w:rPr>
        <w:rFonts w:hint="default" w:hAnsi="宋体"/>
      </w:rPr>
    </w:lvl>
    <w:lvl w:ilvl="3" w:tentative="0">
      <w:start w:val="1"/>
      <w:numFmt w:val="decimal"/>
      <w:isLgl/>
      <w:lvlText w:val="%1.%2.%3.%4"/>
      <w:lvlJc w:val="left"/>
      <w:pPr>
        <w:ind w:left="1800" w:hanging="720"/>
      </w:pPr>
      <w:rPr>
        <w:rFonts w:hint="default" w:hAnsi="宋体"/>
      </w:rPr>
    </w:lvl>
    <w:lvl w:ilvl="4" w:tentative="0">
      <w:start w:val="1"/>
      <w:numFmt w:val="decimal"/>
      <w:isLgl/>
      <w:lvlText w:val="%1.%2.%3.%4.%5"/>
      <w:lvlJc w:val="left"/>
      <w:pPr>
        <w:ind w:left="2520" w:hanging="1080"/>
      </w:pPr>
      <w:rPr>
        <w:rFonts w:hint="default" w:hAnsi="宋体"/>
      </w:rPr>
    </w:lvl>
    <w:lvl w:ilvl="5" w:tentative="0">
      <w:start w:val="1"/>
      <w:numFmt w:val="decimal"/>
      <w:isLgl/>
      <w:lvlText w:val="%1.%2.%3.%4.%5.%6"/>
      <w:lvlJc w:val="left"/>
      <w:pPr>
        <w:ind w:left="3240" w:hanging="1440"/>
      </w:pPr>
      <w:rPr>
        <w:rFonts w:hint="default" w:hAnsi="宋体"/>
      </w:rPr>
    </w:lvl>
    <w:lvl w:ilvl="6" w:tentative="0">
      <w:start w:val="1"/>
      <w:numFmt w:val="decimal"/>
      <w:isLgl/>
      <w:lvlText w:val="%1.%2.%3.%4.%5.%6.%7"/>
      <w:lvlJc w:val="left"/>
      <w:pPr>
        <w:ind w:left="3600" w:hanging="1440"/>
      </w:pPr>
      <w:rPr>
        <w:rFonts w:hint="default" w:hAnsi="宋体"/>
      </w:rPr>
    </w:lvl>
    <w:lvl w:ilvl="7" w:tentative="0">
      <w:start w:val="1"/>
      <w:numFmt w:val="decimal"/>
      <w:isLgl/>
      <w:lvlText w:val="%1.%2.%3.%4.%5.%6.%7.%8"/>
      <w:lvlJc w:val="left"/>
      <w:pPr>
        <w:ind w:left="4320" w:hanging="1800"/>
      </w:pPr>
      <w:rPr>
        <w:rFonts w:hint="default" w:hAnsi="宋体"/>
      </w:rPr>
    </w:lvl>
    <w:lvl w:ilvl="8" w:tentative="0">
      <w:start w:val="1"/>
      <w:numFmt w:val="decimal"/>
      <w:isLgl/>
      <w:lvlText w:val="%1.%2.%3.%4.%5.%6.%7.%8.%9"/>
      <w:lvlJc w:val="left"/>
      <w:pPr>
        <w:ind w:left="4680" w:hanging="1800"/>
      </w:pPr>
      <w:rPr>
        <w:rFonts w:hint="default" w:hAnsi="宋体"/>
      </w:rPr>
    </w:lvl>
  </w:abstractNum>
  <w:abstractNum w:abstractNumId="1">
    <w:nsid w:val="CF2AAA12"/>
    <w:multiLevelType w:val="multilevel"/>
    <w:tmpl w:val="CF2AAA12"/>
    <w:lvl w:ilvl="0" w:tentative="0">
      <w:start w:val="1"/>
      <w:numFmt w:val="decimal"/>
      <w:lvlText w:val="%1."/>
      <w:lvlJc w:val="left"/>
      <w:pPr>
        <w:tabs>
          <w:tab w:val="left" w:pos="360"/>
        </w:tabs>
        <w:ind w:left="360" w:hanging="360"/>
      </w:pPr>
      <w:rPr>
        <w:rFonts w:hint="default" w:hAnsi="宋体"/>
      </w:rPr>
    </w:lvl>
    <w:lvl w:ilvl="1" w:tentative="0">
      <w:start w:val="4"/>
      <w:numFmt w:val="decimal"/>
      <w:isLgl/>
      <w:lvlText w:val="%1.%2"/>
      <w:lvlJc w:val="left"/>
      <w:pPr>
        <w:ind w:left="720" w:hanging="360"/>
      </w:pPr>
      <w:rPr>
        <w:rFonts w:hint="default" w:hAnsi="宋体"/>
      </w:rPr>
    </w:lvl>
    <w:lvl w:ilvl="2" w:tentative="0">
      <w:start w:val="1"/>
      <w:numFmt w:val="decimal"/>
      <w:isLgl/>
      <w:lvlText w:val="%1.%2.%3"/>
      <w:lvlJc w:val="left"/>
      <w:pPr>
        <w:ind w:left="1440" w:hanging="720"/>
      </w:pPr>
      <w:rPr>
        <w:rFonts w:hint="default" w:hAnsi="宋体"/>
      </w:rPr>
    </w:lvl>
    <w:lvl w:ilvl="3" w:tentative="0">
      <w:start w:val="1"/>
      <w:numFmt w:val="decimal"/>
      <w:isLgl/>
      <w:lvlText w:val="%1.%2.%3.%4"/>
      <w:lvlJc w:val="left"/>
      <w:pPr>
        <w:ind w:left="1800" w:hanging="720"/>
      </w:pPr>
      <w:rPr>
        <w:rFonts w:hint="default" w:hAnsi="宋体"/>
      </w:rPr>
    </w:lvl>
    <w:lvl w:ilvl="4" w:tentative="0">
      <w:start w:val="1"/>
      <w:numFmt w:val="decimal"/>
      <w:isLgl/>
      <w:lvlText w:val="%1.%2.%3.%4.%5"/>
      <w:lvlJc w:val="left"/>
      <w:pPr>
        <w:ind w:left="2520" w:hanging="1080"/>
      </w:pPr>
      <w:rPr>
        <w:rFonts w:hint="default" w:hAnsi="宋体"/>
      </w:rPr>
    </w:lvl>
    <w:lvl w:ilvl="5" w:tentative="0">
      <w:start w:val="1"/>
      <w:numFmt w:val="decimal"/>
      <w:isLgl/>
      <w:lvlText w:val="%1.%2.%3.%4.%5.%6"/>
      <w:lvlJc w:val="left"/>
      <w:pPr>
        <w:ind w:left="3240" w:hanging="1440"/>
      </w:pPr>
      <w:rPr>
        <w:rFonts w:hint="default" w:hAnsi="宋体"/>
      </w:rPr>
    </w:lvl>
    <w:lvl w:ilvl="6" w:tentative="0">
      <w:start w:val="1"/>
      <w:numFmt w:val="decimal"/>
      <w:isLgl/>
      <w:lvlText w:val="%1.%2.%3.%4.%5.%6.%7"/>
      <w:lvlJc w:val="left"/>
      <w:pPr>
        <w:ind w:left="3600" w:hanging="1440"/>
      </w:pPr>
      <w:rPr>
        <w:rFonts w:hint="default" w:hAnsi="宋体"/>
      </w:rPr>
    </w:lvl>
    <w:lvl w:ilvl="7" w:tentative="0">
      <w:start w:val="1"/>
      <w:numFmt w:val="decimal"/>
      <w:isLgl/>
      <w:lvlText w:val="%1.%2.%3.%4.%5.%6.%7.%8"/>
      <w:lvlJc w:val="left"/>
      <w:pPr>
        <w:ind w:left="4320" w:hanging="1800"/>
      </w:pPr>
      <w:rPr>
        <w:rFonts w:hint="default" w:hAnsi="宋体"/>
      </w:rPr>
    </w:lvl>
    <w:lvl w:ilvl="8" w:tentative="0">
      <w:start w:val="1"/>
      <w:numFmt w:val="decimal"/>
      <w:isLgl/>
      <w:lvlText w:val="%1.%2.%3.%4.%5.%6.%7.%8.%9"/>
      <w:lvlJc w:val="left"/>
      <w:pPr>
        <w:ind w:left="4680" w:hanging="1800"/>
      </w:pPr>
      <w:rPr>
        <w:rFonts w:hint="default" w:hAnsi="宋体"/>
      </w:rPr>
    </w:lvl>
  </w:abstractNum>
  <w:abstractNum w:abstractNumId="2">
    <w:nsid w:val="00000001"/>
    <w:multiLevelType w:val="multilevel"/>
    <w:tmpl w:val="000000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0C0F17"/>
    <w:multiLevelType w:val="multilevel"/>
    <w:tmpl w:val="1E0C0F17"/>
    <w:lvl w:ilvl="0" w:tentative="0">
      <w:start w:val="1"/>
      <w:numFmt w:val="decimal"/>
      <w:lvlText w:val="%1."/>
      <w:lvlJc w:val="left"/>
      <w:pPr>
        <w:tabs>
          <w:tab w:val="left" w:pos="360"/>
        </w:tabs>
        <w:ind w:left="360" w:hanging="360"/>
      </w:pPr>
      <w:rPr>
        <w:rFonts w:hint="default" w:hAnsi="宋体"/>
      </w:rPr>
    </w:lvl>
    <w:lvl w:ilvl="1" w:tentative="0">
      <w:start w:val="4"/>
      <w:numFmt w:val="decimal"/>
      <w:isLgl/>
      <w:lvlText w:val="%1.%2"/>
      <w:lvlJc w:val="left"/>
      <w:pPr>
        <w:ind w:left="720" w:hanging="360"/>
      </w:pPr>
      <w:rPr>
        <w:rFonts w:hint="default" w:hAnsi="宋体"/>
      </w:rPr>
    </w:lvl>
    <w:lvl w:ilvl="2" w:tentative="0">
      <w:start w:val="1"/>
      <w:numFmt w:val="decimal"/>
      <w:isLgl/>
      <w:lvlText w:val="%1.%2.%3"/>
      <w:lvlJc w:val="left"/>
      <w:pPr>
        <w:ind w:left="1440" w:hanging="720"/>
      </w:pPr>
      <w:rPr>
        <w:rFonts w:hint="default" w:hAnsi="宋体"/>
      </w:rPr>
    </w:lvl>
    <w:lvl w:ilvl="3" w:tentative="0">
      <w:start w:val="1"/>
      <w:numFmt w:val="decimal"/>
      <w:isLgl/>
      <w:lvlText w:val="%1.%2.%3.%4"/>
      <w:lvlJc w:val="left"/>
      <w:pPr>
        <w:ind w:left="1800" w:hanging="720"/>
      </w:pPr>
      <w:rPr>
        <w:rFonts w:hint="default" w:hAnsi="宋体"/>
      </w:rPr>
    </w:lvl>
    <w:lvl w:ilvl="4" w:tentative="0">
      <w:start w:val="1"/>
      <w:numFmt w:val="decimal"/>
      <w:isLgl/>
      <w:lvlText w:val="%1.%2.%3.%4.%5"/>
      <w:lvlJc w:val="left"/>
      <w:pPr>
        <w:ind w:left="2520" w:hanging="1080"/>
      </w:pPr>
      <w:rPr>
        <w:rFonts w:hint="default" w:hAnsi="宋体"/>
      </w:rPr>
    </w:lvl>
    <w:lvl w:ilvl="5" w:tentative="0">
      <w:start w:val="1"/>
      <w:numFmt w:val="decimal"/>
      <w:isLgl/>
      <w:lvlText w:val="%1.%2.%3.%4.%5.%6"/>
      <w:lvlJc w:val="left"/>
      <w:pPr>
        <w:ind w:left="3240" w:hanging="1440"/>
      </w:pPr>
      <w:rPr>
        <w:rFonts w:hint="default" w:hAnsi="宋体"/>
      </w:rPr>
    </w:lvl>
    <w:lvl w:ilvl="6" w:tentative="0">
      <w:start w:val="1"/>
      <w:numFmt w:val="decimal"/>
      <w:isLgl/>
      <w:lvlText w:val="%1.%2.%3.%4.%5.%6.%7"/>
      <w:lvlJc w:val="left"/>
      <w:pPr>
        <w:ind w:left="3600" w:hanging="1440"/>
      </w:pPr>
      <w:rPr>
        <w:rFonts w:hint="default" w:hAnsi="宋体"/>
      </w:rPr>
    </w:lvl>
    <w:lvl w:ilvl="7" w:tentative="0">
      <w:start w:val="1"/>
      <w:numFmt w:val="decimal"/>
      <w:isLgl/>
      <w:lvlText w:val="%1.%2.%3.%4.%5.%6.%7.%8"/>
      <w:lvlJc w:val="left"/>
      <w:pPr>
        <w:ind w:left="4320" w:hanging="1800"/>
      </w:pPr>
      <w:rPr>
        <w:rFonts w:hint="default" w:hAnsi="宋体"/>
      </w:rPr>
    </w:lvl>
    <w:lvl w:ilvl="8" w:tentative="0">
      <w:start w:val="1"/>
      <w:numFmt w:val="decimal"/>
      <w:isLgl/>
      <w:lvlText w:val="%1.%2.%3.%4.%5.%6.%7.%8.%9"/>
      <w:lvlJc w:val="left"/>
      <w:pPr>
        <w:ind w:left="4680" w:hanging="1800"/>
      </w:pPr>
      <w:rPr>
        <w:rFonts w:hint="default" w:hAnsi="宋体"/>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846E16"/>
    <w:rsid w:val="0C846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2019-09-26T00:34:00Z</dcterms:created>
  <dc:creator>高山仰止</dc:creator>
  <cp:lastModifiedBy>高山仰止</cp:lastModifiedBy>
  <dcterms:modified xsi:type="dcterms:W3CDTF">2019-09-26T00:58:05Z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