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sz w:val="48"/>
          <w:szCs w:val="48"/>
        </w:rPr>
      </w:pPr>
      <w:r>
        <w:rPr>
          <w:rFonts w:hint="eastAsia"/>
          <w:sz w:val="48"/>
          <w:szCs w:val="48"/>
        </w:rPr>
        <w:t>长葛市公安局辅警通套餐服务采购项目（二次）</w:t>
      </w:r>
    </w:p>
    <w:p>
      <w:pPr>
        <w:rPr>
          <w:sz w:val="48"/>
          <w:szCs w:val="24"/>
        </w:rPr>
      </w:pPr>
    </w:p>
    <w:p>
      <w:pPr>
        <w:pStyle w:val="2"/>
      </w:pPr>
    </w:p>
    <w:p/>
    <w:p>
      <w:pPr>
        <w:adjustRightInd w:val="0"/>
        <w:snapToGrid w:val="0"/>
        <w:jc w:val="center"/>
        <w:rPr>
          <w:rFonts w:hAnsi="宋体" w:cs="宋体"/>
          <w:b/>
          <w:bCs/>
          <w:sz w:val="72"/>
          <w:szCs w:val="96"/>
        </w:rPr>
      </w:pPr>
      <w:r>
        <w:rPr>
          <w:rFonts w:hint="eastAsia" w:hAnsi="宋体" w:cs="宋体"/>
          <w:b/>
          <w:sz w:val="72"/>
          <w:szCs w:val="96"/>
        </w:rPr>
        <w:t>单一来源采购</w:t>
      </w:r>
      <w:r>
        <w:rPr>
          <w:rFonts w:hint="eastAsia" w:hAnsi="宋体" w:cs="宋体"/>
          <w:b/>
          <w:bCs/>
          <w:sz w:val="72"/>
          <w:szCs w:val="96"/>
        </w:rPr>
        <w:t>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采购编号：长招采单字[2019]008号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pStyle w:val="2"/>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sz w:val="32"/>
          <w:szCs w:val="32"/>
        </w:rPr>
        <w:t>长葛市公安局</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rPr>
        <w:t>陕西瑞珂工程咨询有限责任公司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期：二○一九年九月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 邀请函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1.在确定中标人之前就投标价格、投标方案等实质性内容与招标人（采购人）进行合同协商的；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协商，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Ansi="宋体" w:cs="宋体"/>
          <w:b/>
          <w:bCs/>
          <w:sz w:val="32"/>
          <w:szCs w:val="32"/>
        </w:rPr>
      </w:pPr>
      <w:r>
        <w:rPr>
          <w:rFonts w:hint="eastAsia" w:hAnsi="宋体" w:cs="宋体"/>
          <w:b/>
          <w:bCs/>
          <w:sz w:val="32"/>
          <w:szCs w:val="32"/>
        </w:rPr>
        <w:t>长葛市公安局辅警通套餐服务采购项目（二次）</w:t>
      </w:r>
    </w:p>
    <w:p>
      <w:pPr>
        <w:spacing w:line="360" w:lineRule="auto"/>
        <w:ind w:right="-507" w:rightChars="-149"/>
        <w:jc w:val="center"/>
        <w:rPr>
          <w:rFonts w:ascii="仿宋" w:hAnsi="仿宋" w:eastAsia="仿宋" w:cs="仿宋"/>
          <w:sz w:val="32"/>
          <w:szCs w:val="32"/>
        </w:rPr>
      </w:pPr>
      <w:r>
        <w:rPr>
          <w:rFonts w:hint="eastAsia" w:hAnsi="宋体"/>
          <w:b/>
          <w:bCs/>
          <w:sz w:val="32"/>
          <w:szCs w:val="32"/>
        </w:rPr>
        <w:t>单一来源邀请函</w:t>
      </w:r>
    </w:p>
    <w:p>
      <w:pPr>
        <w:spacing w:line="360" w:lineRule="auto"/>
        <w:ind w:right="-507" w:rightChars="-149"/>
        <w:rPr>
          <w:rFonts w:ascii="仿宋" w:hAnsi="仿宋" w:eastAsia="仿宋" w:cs="仿宋"/>
          <w:sz w:val="32"/>
          <w:szCs w:val="32"/>
        </w:rPr>
      </w:pPr>
      <w:r>
        <w:rPr>
          <w:rFonts w:hint="eastAsia" w:hAnsi="宋体" w:cs="宋体"/>
          <w:color w:val="000000"/>
          <w:sz w:val="24"/>
          <w:szCs w:val="22"/>
          <w:u w:val="single"/>
          <w:shd w:val="clear" w:color="auto" w:fill="FFFFFF"/>
        </w:rPr>
        <w:t>中国联合网络通信有限公司长葛分公司</w:t>
      </w:r>
      <w:r>
        <w:rPr>
          <w:rFonts w:hint="eastAsia" w:hAnsi="宋体" w:cs="宋体"/>
          <w:color w:val="000000"/>
          <w:sz w:val="24"/>
          <w:szCs w:val="22"/>
          <w:shd w:val="clear" w:color="auto" w:fill="FFFFFF"/>
        </w:rPr>
        <w:t>：</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陕西瑞珂工程咨询有限责任公司受长葛市公安局的委托，就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rPr>
        <w:t>长葛市公安局辅警通套餐服务采购项目</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进行单一来源二次采购，</w:t>
      </w:r>
      <w:r>
        <w:rPr>
          <w:rFonts w:hint="eastAsia" w:hAnsi="宋体"/>
          <w:sz w:val="24"/>
          <w:szCs w:val="24"/>
        </w:rPr>
        <w:t>现邀请贵单位参与该项目的单一来源采购活动</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kern w:val="2"/>
          <w:sz w:val="24"/>
          <w:szCs w:val="22"/>
        </w:rPr>
      </w:pPr>
      <w:r>
        <w:rPr>
          <w:rFonts w:hint="eastAsia" w:hAnsi="宋体" w:cs="宋体"/>
          <w:color w:val="000000"/>
          <w:kern w:val="2"/>
          <w:sz w:val="24"/>
          <w:szCs w:val="22"/>
        </w:rPr>
        <w:t>1.1、项目名称：长葛市公安局辅警通套餐服务采购项目（二次）；</w:t>
      </w:r>
    </w:p>
    <w:p>
      <w:pPr>
        <w:spacing w:line="360" w:lineRule="auto"/>
        <w:ind w:firstLine="480" w:firstLineChars="200"/>
      </w:pPr>
      <w:r>
        <w:rPr>
          <w:rFonts w:hint="eastAsia" w:hAnsi="宋体" w:cs="宋体"/>
          <w:color w:val="000000"/>
          <w:kern w:val="2"/>
          <w:sz w:val="24"/>
          <w:szCs w:val="22"/>
        </w:rPr>
        <w:t>1.2、采购编号：长招采单字[2019]008号</w:t>
      </w:r>
    </w:p>
    <w:p>
      <w:pPr>
        <w:widowControl/>
        <w:shd w:val="clear" w:color="auto" w:fill="FFFFFF"/>
        <w:spacing w:line="360" w:lineRule="auto"/>
        <w:ind w:firstLine="480" w:firstLineChars="200"/>
        <w:jc w:val="left"/>
        <w:rPr>
          <w:rFonts w:hAnsi="宋体" w:cs="宋体"/>
          <w:sz w:val="24"/>
        </w:rPr>
      </w:pPr>
      <w:r>
        <w:rPr>
          <w:rFonts w:hint="eastAsia" w:hAnsi="宋体" w:cs="宋体"/>
          <w:color w:val="000000"/>
          <w:sz w:val="24"/>
          <w:shd w:val="clear" w:color="auto" w:fill="FFFFFF"/>
        </w:rPr>
        <w:t>1.3、采购预算：772800.00元；最高限价：772800.00元；</w:t>
      </w:r>
    </w:p>
    <w:p>
      <w:pPr>
        <w:widowControl/>
        <w:shd w:val="clear" w:color="auto" w:fill="FFFFFF"/>
        <w:spacing w:line="360" w:lineRule="auto"/>
        <w:ind w:firstLine="480" w:firstLineChars="200"/>
        <w:jc w:val="left"/>
        <w:rPr>
          <w:rFonts w:hAnsi="宋体" w:cs="宋体"/>
          <w:bCs/>
          <w:sz w:val="24"/>
        </w:rPr>
      </w:pPr>
      <w:r>
        <w:rPr>
          <w:rFonts w:hint="eastAsia" w:hAnsi="宋体" w:cs="宋体"/>
          <w:sz w:val="24"/>
        </w:rPr>
        <w:t>1.4、</w:t>
      </w:r>
      <w:r>
        <w:rPr>
          <w:rFonts w:hint="eastAsia" w:hAnsi="宋体" w:cs="宋体"/>
          <w:bCs/>
          <w:sz w:val="24"/>
        </w:rPr>
        <w:t>质量要求：符合现行的规范和标准；</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1.5、服务期限（供货期限）：合同签订后15日历天完成手机发放；套餐合约期30个月；</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1.6、服务地点：长葛市公安局；</w:t>
      </w:r>
    </w:p>
    <w:p>
      <w:pPr>
        <w:pStyle w:val="17"/>
        <w:shd w:val="clear" w:color="auto" w:fill="FFFFFF"/>
        <w:spacing w:beforeAutospacing="0" w:afterAutospacing="0" w:line="360" w:lineRule="auto"/>
        <w:ind w:firstLine="480" w:firstLineChars="200"/>
        <w:rPr>
          <w:color w:val="000000"/>
          <w:shd w:val="clear" w:color="auto" w:fill="FFFFFF"/>
        </w:rPr>
      </w:pPr>
      <w:r>
        <w:rPr>
          <w:rFonts w:hint="eastAsia"/>
          <w:color w:val="000000"/>
          <w:shd w:val="clear" w:color="auto" w:fill="FFFFFF"/>
        </w:rPr>
        <w:t>1.7、标包划分：本项目共划分一个标包；</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1.8、服务内容：368套辅警通套餐服务，其中基础套餐：语音通话500分钟，套餐内流量10G（超出部分，限速不限量），短号互拨500分钟免费；合约期30个月，套餐资费不高于70元/每月。</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手机配置为：内存大于或等于（4G+64G），安全加固单移动警务系统，支持NFC。</w:t>
      </w:r>
    </w:p>
    <w:p>
      <w:pPr>
        <w:pStyle w:val="17"/>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bCs/>
          <w:sz w:val="24"/>
          <w:szCs w:val="22"/>
        </w:rPr>
      </w:pPr>
      <w:r>
        <w:rPr>
          <w:rFonts w:hint="eastAsia" w:hAnsi="宋体" w:cs="宋体"/>
          <w:bCs/>
          <w:sz w:val="24"/>
          <w:szCs w:val="22"/>
        </w:rPr>
        <w:t>1、符合《中华人民共和国政府采购法》第二十二条之规定。</w:t>
      </w:r>
    </w:p>
    <w:p>
      <w:pPr>
        <w:spacing w:line="360" w:lineRule="auto"/>
        <w:ind w:firstLine="480" w:firstLineChars="200"/>
        <w:rPr>
          <w:rFonts w:hAnsi="宋体" w:cs="宋体"/>
          <w:bCs/>
          <w:sz w:val="24"/>
          <w:szCs w:val="22"/>
        </w:rPr>
      </w:pPr>
      <w:r>
        <w:rPr>
          <w:rFonts w:hint="eastAsia" w:hAnsi="宋体" w:cs="宋体"/>
          <w:bCs/>
          <w:sz w:val="24"/>
          <w:szCs w:val="22"/>
        </w:rPr>
        <w:t>2、</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(www.ccgp.gov.cn)网站的政府采购严重违法失信行为记录名单的供应商；“中国社会组织公共服务平台”网站（</w:t>
      </w:r>
      <w:r>
        <w:rPr>
          <w:rFonts w:hAnsi="宋体" w:cs="宋体"/>
          <w:color w:val="000000"/>
          <w:sz w:val="24"/>
          <w:szCs w:val="24"/>
          <w:shd w:val="clear" w:color="auto" w:fill="FFFFFF"/>
        </w:rPr>
        <w:t>www.chinanpo.gov.cn</w:t>
      </w:r>
      <w:r>
        <w:rPr>
          <w:rFonts w:hint="eastAsia" w:hAnsi="宋体" w:cs="宋体"/>
          <w:color w:val="000000"/>
          <w:sz w:val="24"/>
          <w:szCs w:val="24"/>
          <w:shd w:val="clear" w:color="auto" w:fill="FFFFFF"/>
        </w:rPr>
        <w:t>）严重违法失信名单的社会组织。</w:t>
      </w:r>
    </w:p>
    <w:p>
      <w:pPr>
        <w:spacing w:line="360" w:lineRule="auto"/>
        <w:ind w:firstLine="480" w:firstLineChars="200"/>
        <w:rPr>
          <w:rFonts w:hAnsi="宋体" w:cs="宋体"/>
          <w:bCs/>
          <w:sz w:val="24"/>
          <w:szCs w:val="22"/>
        </w:rPr>
      </w:pPr>
      <w:r>
        <w:rPr>
          <w:rFonts w:hint="eastAsia" w:hAnsi="宋体" w:cs="宋体"/>
          <w:bCs/>
          <w:sz w:val="24"/>
          <w:szCs w:val="22"/>
        </w:rPr>
        <w:t>3、</w:t>
      </w:r>
      <w:r>
        <w:rPr>
          <w:rFonts w:hint="eastAsia" w:hAnsi="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szCs w:val="22"/>
        </w:rPr>
      </w:pPr>
      <w:r>
        <w:rPr>
          <w:rFonts w:hint="eastAsia" w:hAnsi="宋体" w:cs="宋体"/>
          <w:bCs/>
          <w:sz w:val="24"/>
          <w:szCs w:val="22"/>
        </w:rPr>
        <w:t>4、本项目不接受联合体投标。</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四、采购文件的获取</w:t>
      </w:r>
    </w:p>
    <w:p>
      <w:pPr>
        <w:pStyle w:val="17"/>
        <w:shd w:val="clear" w:color="auto" w:fill="FFFFFF"/>
        <w:spacing w:line="360" w:lineRule="auto"/>
        <w:ind w:firstLine="420"/>
        <w:contextualSpacing/>
        <w:rPr>
          <w:rFonts w:cs="仿宋_GB2312"/>
        </w:rPr>
      </w:pPr>
      <w:r>
        <w:rPr>
          <w:rFonts w:hint="eastAsia" w:cs="仿宋_GB2312"/>
        </w:rPr>
        <w:t>（一）持CA数字认证证书，登录《全国公共资源交易平台（河南省•许昌市）》“系统用户注册”入口http://221.14.6.70:8088/ggzy/eps/public/RegistAllJcxx.html）进行免费注册登记（详见“常见问题解答-诚信库网上注册相关资料下载”）；</w:t>
      </w:r>
    </w:p>
    <w:p>
      <w:pPr>
        <w:pStyle w:val="17"/>
        <w:shd w:val="clear" w:color="auto" w:fill="FFFFFF"/>
        <w:spacing w:line="360" w:lineRule="auto"/>
        <w:ind w:firstLine="420"/>
        <w:contextualSpacing/>
        <w:rPr>
          <w:shd w:val="clear" w:color="auto" w:fill="FFFFFF"/>
        </w:rPr>
      </w:pPr>
      <w:r>
        <w:rPr>
          <w:rFonts w:hint="eastAsia" w:cs="仿宋_GB2312"/>
        </w:rPr>
        <w:t xml:space="preserve">（二）在协商响应截止时间前均可登录《全国公共资源交易平台（河南省•许昌市）》“供应商/供应商登录”入口（http://221.14.6.70:8088/ggzy/）自行免费下载采购文件（详见“常见问题解答-交易系统操作手册”）。 </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7"/>
        <w:shd w:val="clear" w:color="auto" w:fill="FFFFFF"/>
        <w:spacing w:line="360" w:lineRule="auto"/>
        <w:ind w:firstLine="420"/>
        <w:contextualSpacing/>
        <w:rPr>
          <w:rFonts w:cs="仿宋_GB2312"/>
        </w:rPr>
      </w:pPr>
      <w:r>
        <w:rPr>
          <w:rFonts w:hint="eastAsia" w:cs="仿宋_GB2312"/>
        </w:rPr>
        <w:t>（一）投标截止及开标时间：2019年 9 月27日上午9时30分（北京时间），逾期提交或不符合规定的投标文件不予接受。</w:t>
      </w:r>
    </w:p>
    <w:p>
      <w:pPr>
        <w:pStyle w:val="17"/>
        <w:shd w:val="clear" w:color="auto" w:fill="FFFFFF"/>
        <w:spacing w:line="360" w:lineRule="auto"/>
        <w:ind w:firstLine="420"/>
        <w:contextualSpacing/>
        <w:rPr>
          <w:rFonts w:cs="仿宋_GB2312"/>
        </w:rPr>
      </w:pPr>
      <w:r>
        <w:rPr>
          <w:rFonts w:hint="eastAsia" w:cs="仿宋_GB2312"/>
        </w:rPr>
        <w:t>（二）开标地点：长葛市公共资源交易中心开标一 室（长葛市葛天大道东段商务区6#楼 5楼506室）</w:t>
      </w:r>
    </w:p>
    <w:p>
      <w:pPr>
        <w:pStyle w:val="17"/>
        <w:shd w:val="clear" w:color="auto" w:fill="FFFFFF"/>
        <w:spacing w:line="360" w:lineRule="auto"/>
        <w:ind w:firstLine="420"/>
        <w:contextualSpacing/>
        <w:rPr>
          <w:rFonts w:cs="仿宋_GB2312"/>
        </w:rPr>
      </w:pPr>
      <w:r>
        <w:rPr>
          <w:rFonts w:hint="eastAsia" w:cs="仿宋_GB2312"/>
        </w:rPr>
        <w:t>（三）响应文件开启及协商地点：长葛市公共资源交易中心评标四室。</w:t>
      </w:r>
    </w:p>
    <w:p>
      <w:pPr>
        <w:pStyle w:val="17"/>
        <w:shd w:val="clear" w:color="auto" w:fill="FFFFFF"/>
        <w:spacing w:line="360" w:lineRule="auto"/>
        <w:ind w:firstLine="420"/>
        <w:contextualSpacing/>
        <w:rPr>
          <w:rFonts w:cs="仿宋_GB2312"/>
        </w:rPr>
      </w:pPr>
      <w:r>
        <w:rPr>
          <w:rFonts w:hint="eastAsia" w:cs="仿宋_GB2312"/>
        </w:rPr>
        <w:t>（四） 本项目为全流程电子化交易项目，供应商须提交电子投标文件和纸质投标文件。</w:t>
      </w:r>
    </w:p>
    <w:p>
      <w:pPr>
        <w:pStyle w:val="17"/>
        <w:shd w:val="clear" w:color="auto" w:fill="FFFFFF"/>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7"/>
        <w:shd w:val="clear" w:color="auto" w:fill="FFFFFF"/>
        <w:ind w:firstLine="420"/>
        <w:contextualSpacing/>
        <w:rPr>
          <w:rFonts w:cs="仿宋_GB2312"/>
        </w:rPr>
      </w:pPr>
      <w:r>
        <w:rPr>
          <w:rFonts w:hint="eastAsia" w:cs="仿宋_GB2312"/>
        </w:rPr>
        <w:t>2、纸质投标文件（正本1份、副本1份）和备份文件1份（使用电子介质存储）在投标截止时间（开标时间）前递交至本项目开标地点。</w:t>
      </w:r>
    </w:p>
    <w:p>
      <w:pPr>
        <w:pStyle w:val="4"/>
        <w:shd w:val="clear" w:color="auto" w:fill="FFFFFF"/>
        <w:spacing w:after="156" w:line="240" w:lineRule="auto"/>
        <w:jc w:val="both"/>
        <w:rPr>
          <w:rFonts w:cs="黑体"/>
          <w:bCs/>
          <w:color w:val="auto"/>
          <w:shd w:val="clear" w:color="auto" w:fill="FFFFFF"/>
        </w:rPr>
      </w:pPr>
      <w:r>
        <w:rPr>
          <w:rFonts w:hint="eastAsia" w:cs="黑体"/>
          <w:bCs/>
          <w:color w:val="auto"/>
          <w:shd w:val="clear" w:color="auto" w:fill="FFFFFF"/>
        </w:rPr>
        <w:t>六、发布公告的媒介</w:t>
      </w:r>
    </w:p>
    <w:p>
      <w:pPr>
        <w:pStyle w:val="4"/>
        <w:shd w:val="clear" w:color="auto" w:fill="FFFFFF"/>
        <w:spacing w:after="156"/>
        <w:ind w:firstLine="480" w:firstLineChars="200"/>
        <w:jc w:val="both"/>
        <w:rPr>
          <w:rFonts w:cs="仿宋_GB2312"/>
          <w:b w:val="0"/>
          <w:color w:val="auto"/>
          <w:szCs w:val="24"/>
        </w:rPr>
      </w:pPr>
      <w:r>
        <w:rPr>
          <w:rFonts w:hint="eastAsia" w:cs="仿宋_GB2312"/>
          <w:b w:val="0"/>
          <w:color w:val="auto"/>
          <w:szCs w:val="24"/>
        </w:rPr>
        <w:t>本次采购公告同时在《河南省政府采购网》、《许昌市政府采购网》、《全国公共资源交易平台（河南省·许昌市）》、《长葛市人民政府门户网站》发布。</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7"/>
        <w:shd w:val="clear" w:color="auto" w:fill="FFFFFF"/>
        <w:spacing w:line="360" w:lineRule="auto"/>
        <w:ind w:firstLine="420"/>
        <w:contextualSpacing/>
        <w:rPr>
          <w:rFonts w:cs="仿宋_GB2312"/>
        </w:rPr>
      </w:pPr>
      <w:r>
        <w:rPr>
          <w:rFonts w:hint="eastAsia" w:cs="仿宋_GB2312"/>
        </w:rPr>
        <w:t>自本公告发布之日起3个工作日。</w:t>
      </w:r>
    </w:p>
    <w:p>
      <w:pPr>
        <w:pStyle w:val="17"/>
        <w:shd w:val="clear" w:color="auto" w:fill="FFFFFF"/>
        <w:spacing w:line="360" w:lineRule="auto"/>
        <w:contextualSpacing/>
        <w:rPr>
          <w:rFonts w:cs="黑体"/>
          <w:b/>
          <w:bCs/>
        </w:rPr>
      </w:pPr>
      <w:r>
        <w:rPr>
          <w:rFonts w:hint="eastAsia" w:cs="黑体"/>
          <w:b/>
          <w:bCs/>
        </w:rPr>
        <w:t>八、联系方式</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采购单位：长葛市公安局</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 xml:space="preserve">联系人：杨先生  联系电话：13569956399 </w:t>
      </w:r>
    </w:p>
    <w:p>
      <w:pPr>
        <w:spacing w:line="360" w:lineRule="auto"/>
        <w:ind w:firstLine="480" w:firstLineChars="200"/>
        <w:rPr>
          <w:rFonts w:hAnsi="宋体" w:cs="宋体"/>
          <w:bCs/>
          <w:sz w:val="24"/>
          <w:szCs w:val="24"/>
          <w:shd w:val="clear" w:color="auto" w:fill="FFFFFF"/>
        </w:rPr>
      </w:pPr>
      <w:r>
        <w:rPr>
          <w:rFonts w:hint="eastAsia" w:hAnsi="宋体" w:cs="宋体"/>
          <w:bCs/>
          <w:sz w:val="24"/>
          <w:szCs w:val="24"/>
          <w:shd w:val="clear" w:color="auto" w:fill="FFFFFF"/>
        </w:rPr>
        <w:t>地 址：长葛市葛天大道东段</w:t>
      </w:r>
    </w:p>
    <w:p>
      <w:pPr>
        <w:spacing w:line="460" w:lineRule="exact"/>
        <w:ind w:firstLine="480" w:firstLineChars="200"/>
        <w:rPr>
          <w:rFonts w:hAnsi="宋体"/>
          <w:sz w:val="24"/>
          <w:szCs w:val="24"/>
        </w:rPr>
      </w:pPr>
      <w:r>
        <w:rPr>
          <w:rFonts w:hint="eastAsia" w:hAnsi="宋体"/>
          <w:sz w:val="24"/>
          <w:szCs w:val="24"/>
        </w:rPr>
        <w:t>代理机构：陕西瑞珂工程咨询有限责任公司</w:t>
      </w:r>
    </w:p>
    <w:p>
      <w:pPr>
        <w:spacing w:line="460" w:lineRule="exact"/>
        <w:ind w:firstLine="480" w:firstLineChars="200"/>
        <w:rPr>
          <w:rFonts w:hAnsi="宋体"/>
          <w:sz w:val="24"/>
          <w:szCs w:val="24"/>
        </w:rPr>
      </w:pPr>
      <w:r>
        <w:rPr>
          <w:rFonts w:hint="eastAsia" w:hAnsi="宋体"/>
          <w:sz w:val="24"/>
          <w:szCs w:val="24"/>
        </w:rPr>
        <w:t>联系人：时先生      联系电话：15290990727</w:t>
      </w:r>
    </w:p>
    <w:p>
      <w:pPr>
        <w:rPr>
          <w:rFonts w:hint="eastAsia" w:hAnsi="宋体"/>
          <w:sz w:val="24"/>
          <w:szCs w:val="24"/>
        </w:rPr>
      </w:pPr>
      <w:r>
        <w:rPr>
          <w:rFonts w:hint="eastAsia" w:hAnsi="宋体"/>
          <w:sz w:val="24"/>
          <w:szCs w:val="24"/>
        </w:rPr>
        <w:t>地    址：西安市太白南路216号1幢1单元嘉天国际19层</w:t>
      </w:r>
    </w:p>
    <w:p>
      <w:pPr>
        <w:pStyle w:val="17"/>
        <w:shd w:val="clear" w:color="auto" w:fill="FFFFFF"/>
        <w:spacing w:line="360" w:lineRule="auto"/>
        <w:contextualSpacing/>
        <w:rPr>
          <w:rFonts w:hint="eastAsia" w:cs="黑体"/>
          <w:b/>
          <w:bCs/>
        </w:rPr>
      </w:pPr>
      <w:r>
        <w:rPr>
          <w:rFonts w:hint="eastAsia" w:cs="黑体"/>
          <w:b/>
          <w:bCs/>
        </w:rPr>
        <w:t>九、特别提示：</w:t>
      </w:r>
    </w:p>
    <w:p>
      <w:pPr>
        <w:pStyle w:val="17"/>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textAlignment w:val="auto"/>
        <w:outlineLvl w:val="9"/>
        <w:rPr>
          <w:rFonts w:hint="eastAsia" w:cs="黑体"/>
          <w:b/>
          <w:bCs/>
        </w:rPr>
      </w:pPr>
      <w:r>
        <w:rPr>
          <w:rFonts w:hint="eastAsia" w:cs="黑体"/>
          <w:b/>
          <w:bCs/>
        </w:rPr>
        <w:t>1、所有投标单位请时刻关注全国公共资源交易平台（河南省.许昌市），澄清、答疑、变更均在全国公共资源交易平台（河南省.许昌市）发布，不再另行通知。如未及时查看影响其投标，后果自负。</w:t>
      </w:r>
    </w:p>
    <w:p>
      <w:pPr>
        <w:pStyle w:val="17"/>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textAlignment w:val="auto"/>
        <w:outlineLvl w:val="9"/>
        <w:rPr>
          <w:rFonts w:hAnsi="宋体" w:cs="仿宋_GB2312"/>
          <w:b/>
          <w:sz w:val="24"/>
          <w:szCs w:val="24"/>
        </w:rPr>
      </w:pPr>
      <w:r>
        <w:rPr>
          <w:rFonts w:hint="eastAsia" w:cs="黑体"/>
          <w:b/>
          <w:bCs/>
        </w:rPr>
        <w:t>2、各投标人对代理公司提供的服务不满意，或认为代理公司在服务过程中有不当行为的，可致电长葛市公共资源交易管理委员会办公室监管股（0374-6189576），经查实后将视情况作出处理。</w:t>
      </w:r>
      <w:bookmarkStart w:id="3" w:name="_GoBack"/>
      <w:bookmarkEnd w:id="3"/>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本项目为全流程电子化交易项目，请认真阅读采购文件，并注意以下事项。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1.供应商应按采购文件规定编制、提交电子响应文件和纸质响应文件。响应文件递交地点、协商现场不接受供应商递交的备份电子响应文件和纸质响应文件以外的其他资料。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2"/>
          <w:rFonts w:hAnsi="宋体"/>
          <w:sz w:val="24"/>
          <w:szCs w:val="21"/>
        </w:rPr>
        <w:t>http://221.14.6.70:8088/ggzy/</w:t>
      </w:r>
      <w:r>
        <w:rPr>
          <w:rStyle w:val="22"/>
          <w:rFonts w:hAnsi="宋体"/>
          <w:sz w:val="24"/>
          <w:szCs w:val="21"/>
        </w:rPr>
        <w:fldChar w:fldCharType="end"/>
      </w:r>
      <w:r>
        <w:rPr>
          <w:rFonts w:hint="eastAsia" w:hAnsi="宋体"/>
          <w:color w:val="000000"/>
          <w:sz w:val="24"/>
          <w:szCs w:val="21"/>
        </w:rPr>
        <w:t>）下载“许昌投标文件制作系统SEARUN 最新版本”，按采购文件要求制作电子响应文件。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供应商对同一项目多个标段进行报价的，应分别下载所响应标段的采购文件，按标段制作电子响应文件，并</w:t>
      </w:r>
      <w:r>
        <w:rPr>
          <w:rFonts w:hAnsi="宋体"/>
          <w:color w:val="000000"/>
          <w:sz w:val="24"/>
          <w:szCs w:val="21"/>
        </w:rPr>
        <w:t>按</w:t>
      </w:r>
      <w:r>
        <w:rPr>
          <w:rFonts w:hint="eastAsia" w:hAnsi="宋体"/>
          <w:color w:val="000000"/>
          <w:sz w:val="24"/>
          <w:szCs w:val="21"/>
        </w:rPr>
        <w:t>采购文件</w:t>
      </w:r>
      <w:r>
        <w:rPr>
          <w:rFonts w:hAnsi="宋体"/>
          <w:color w:val="000000"/>
          <w:sz w:val="24"/>
          <w:szCs w:val="21"/>
        </w:rPr>
        <w:t>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电子响应文件应在采购文件规定的协商响应截止时间（协商时间）之前成功提交至《全国公共资源交易平台(河南省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2"/>
          <w:rFonts w:hAnsi="宋体"/>
          <w:sz w:val="24"/>
          <w:szCs w:val="21"/>
        </w:rPr>
        <w:t>http://221.14.6.70:8088/ggzy/</w:t>
      </w:r>
      <w:r>
        <w:rPr>
          <w:rStyle w:val="22"/>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采用全流程电子化交易评审时，协商小组以电子响应文件为依据评审。</w:t>
      </w:r>
    </w:p>
    <w:p>
      <w:pPr>
        <w:pStyle w:val="17"/>
        <w:shd w:val="clear" w:color="auto" w:fill="FFFFFF"/>
        <w:spacing w:before="0" w:beforeAutospacing="0" w:after="0" w:afterAutospacing="0" w:line="360" w:lineRule="atLeast"/>
        <w:ind w:firstLine="640"/>
        <w:rPr>
          <w:szCs w:val="30"/>
          <w:shd w:val="clear" w:color="auto" w:fill="FFFFFF"/>
        </w:rPr>
      </w:pPr>
    </w:p>
    <w:p>
      <w:pPr>
        <w:pStyle w:val="17"/>
        <w:shd w:val="clear" w:color="auto" w:fill="FFFFFF"/>
        <w:spacing w:before="0" w:beforeAutospacing="0" w:after="0" w:afterAutospacing="0" w:line="360" w:lineRule="atLeast"/>
        <w:ind w:firstLine="640"/>
        <w:rPr>
          <w:szCs w:val="30"/>
          <w:shd w:val="clear" w:color="auto" w:fill="FFFFFF"/>
        </w:rPr>
      </w:pPr>
    </w:p>
    <w:p>
      <w:pPr>
        <w:pStyle w:val="17"/>
        <w:shd w:val="clear" w:color="auto" w:fill="FFFFFF"/>
        <w:spacing w:before="0" w:beforeAutospacing="0" w:after="0" w:afterAutospacing="0" w:line="360" w:lineRule="atLeast"/>
        <w:ind w:left="-282" w:leftChars="-83" w:right="-340" w:rightChars="-100"/>
        <w:rPr>
          <w:szCs w:val="30"/>
          <w:shd w:val="clear" w:color="auto" w:fill="FFFFFF"/>
        </w:rPr>
      </w:pPr>
    </w:p>
    <w:p>
      <w:pPr>
        <w:widowControl/>
        <w:jc w:val="left"/>
        <w:rPr>
          <w:rFonts w:hAnsi="宋体" w:cs="宋体"/>
          <w:sz w:val="32"/>
          <w:szCs w:val="32"/>
        </w:rPr>
      </w:pPr>
      <w:r>
        <w:rPr>
          <w:sz w:val="32"/>
          <w:szCs w:val="32"/>
        </w:rPr>
        <w:br w:type="page"/>
      </w: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spacing w:line="360" w:lineRule="auto"/>
        <w:rPr>
          <w:rFonts w:hAnsi="宋体" w:cs="黑体"/>
          <w:b/>
          <w:bCs/>
          <w:sz w:val="24"/>
          <w:szCs w:val="24"/>
        </w:rPr>
      </w:pPr>
      <w:r>
        <w:rPr>
          <w:rFonts w:hint="eastAsia" w:hAnsi="宋体" w:cs="黑体"/>
          <w:b/>
          <w:bCs/>
          <w:sz w:val="24"/>
          <w:szCs w:val="24"/>
        </w:rPr>
        <w:t>一、项目概况</w:t>
      </w:r>
    </w:p>
    <w:p>
      <w:pPr>
        <w:widowControl/>
        <w:shd w:val="clear" w:color="auto" w:fill="FFFFFF"/>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该项目采购368套辅警通套餐服务，其中基础套餐：语音通话500分钟，套餐内流量10G（超出部分，限速不限量），短号互拨500分钟免费；合约期30个月，套餐资费不高于70元/每月。</w:t>
      </w:r>
    </w:p>
    <w:p>
      <w:pPr>
        <w:widowControl/>
        <w:shd w:val="clear" w:color="auto" w:fill="FFFFFF"/>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手机配置为：内存大于或等于（4G+64G），安全加固单移动警务系统，支持NFC。</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二、供应商资格要求</w:t>
      </w:r>
    </w:p>
    <w:p>
      <w:pPr>
        <w:spacing w:line="360" w:lineRule="auto"/>
        <w:ind w:firstLine="480" w:firstLineChars="200"/>
        <w:rPr>
          <w:rFonts w:hAnsi="宋体" w:cs="宋体"/>
          <w:bCs/>
          <w:sz w:val="24"/>
          <w:szCs w:val="22"/>
        </w:rPr>
      </w:pPr>
      <w:r>
        <w:rPr>
          <w:rFonts w:hint="eastAsia" w:hAnsi="宋体" w:cs="宋体"/>
          <w:bCs/>
          <w:sz w:val="24"/>
          <w:szCs w:val="22"/>
        </w:rPr>
        <w:t>1、符合《中华人民共和国政府采购法》第二十二条之规定。</w:t>
      </w:r>
    </w:p>
    <w:p>
      <w:pPr>
        <w:spacing w:line="360" w:lineRule="auto"/>
        <w:ind w:firstLine="480" w:firstLineChars="200"/>
        <w:rPr>
          <w:rFonts w:hAnsi="宋体" w:cs="宋体"/>
          <w:bCs/>
          <w:sz w:val="24"/>
          <w:szCs w:val="22"/>
        </w:rPr>
      </w:pPr>
      <w:r>
        <w:rPr>
          <w:rFonts w:hint="eastAsia" w:hAnsi="宋体" w:cs="宋体"/>
          <w:bCs/>
          <w:sz w:val="24"/>
          <w:szCs w:val="22"/>
        </w:rPr>
        <w:t>2、</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r>
        <w:rPr>
          <w:rFonts w:hint="eastAsia" w:hAnsi="宋体" w:cs="宋体"/>
          <w:bCs/>
          <w:sz w:val="24"/>
          <w:szCs w:val="22"/>
        </w:rPr>
        <w:t>；</w:t>
      </w:r>
      <w:r>
        <w:rPr>
          <w:rFonts w:hint="eastAsia" w:hAnsi="宋体" w:cs="宋体"/>
          <w:color w:val="000000"/>
          <w:sz w:val="24"/>
          <w:szCs w:val="24"/>
          <w:shd w:val="clear" w:color="auto" w:fill="FFFFFF"/>
        </w:rPr>
        <w:t>“中国社会组织公共服务平台”网站（</w:t>
      </w:r>
      <w:r>
        <w:rPr>
          <w:rFonts w:hAnsi="宋体" w:cs="宋体"/>
          <w:color w:val="000000"/>
          <w:sz w:val="24"/>
          <w:szCs w:val="24"/>
          <w:shd w:val="clear" w:color="auto" w:fill="FFFFFF"/>
        </w:rPr>
        <w:t>www.chinanpo.gov.cn</w:t>
      </w:r>
      <w:r>
        <w:rPr>
          <w:rFonts w:hint="eastAsia" w:hAnsi="宋体" w:cs="宋体"/>
          <w:color w:val="000000"/>
          <w:sz w:val="24"/>
          <w:szCs w:val="24"/>
          <w:shd w:val="clear" w:color="auto" w:fill="FFFFFF"/>
        </w:rPr>
        <w:t>）严重违法失信名单的社会组织。</w:t>
      </w:r>
    </w:p>
    <w:p>
      <w:pPr>
        <w:spacing w:line="360" w:lineRule="auto"/>
        <w:ind w:firstLine="480" w:firstLineChars="200"/>
        <w:rPr>
          <w:rFonts w:hAnsi="宋体" w:cs="宋体"/>
          <w:bCs/>
          <w:sz w:val="24"/>
          <w:szCs w:val="22"/>
        </w:rPr>
      </w:pPr>
      <w:r>
        <w:rPr>
          <w:rFonts w:hint="eastAsia" w:hAnsi="宋体" w:cs="宋体"/>
          <w:bCs/>
          <w:sz w:val="24"/>
          <w:szCs w:val="22"/>
        </w:rPr>
        <w:t>3、本项目不接受联合体投标。</w:t>
      </w:r>
    </w:p>
    <w:p>
      <w:pPr>
        <w:widowControl/>
        <w:shd w:val="clear" w:color="auto" w:fill="FFFFFF"/>
        <w:spacing w:line="360" w:lineRule="auto"/>
        <w:jc w:val="left"/>
        <w:rPr>
          <w:rFonts w:hAnsi="宋体" w:cs="宋体"/>
          <w:bCs/>
          <w:sz w:val="24"/>
        </w:rPr>
      </w:pPr>
      <w:r>
        <w:rPr>
          <w:rFonts w:hint="eastAsia" w:hAnsi="宋体" w:cs="黑体"/>
          <w:b/>
          <w:bCs/>
          <w:sz w:val="24"/>
          <w:szCs w:val="24"/>
        </w:rPr>
        <w:t>三、预算金额(最高限价)：</w:t>
      </w:r>
      <w:r>
        <w:rPr>
          <w:rFonts w:hint="eastAsia" w:hAnsi="宋体" w:cs="宋体"/>
          <w:color w:val="000000"/>
          <w:sz w:val="24"/>
          <w:shd w:val="clear" w:color="auto" w:fill="FFFFFF"/>
        </w:rPr>
        <w:t>772800.00元；</w:t>
      </w:r>
    </w:p>
    <w:p>
      <w:pPr>
        <w:spacing w:line="360" w:lineRule="auto"/>
        <w:contextualSpacing/>
        <w:rPr>
          <w:rFonts w:hAnsi="宋体" w:cs="宋体"/>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宋体"/>
          <w:sz w:val="24"/>
          <w:szCs w:val="24"/>
        </w:rPr>
        <w:t>合同签订后15日历天完成手机发放；套餐合约期30个月；</w:t>
      </w:r>
    </w:p>
    <w:p>
      <w:pPr>
        <w:spacing w:line="360" w:lineRule="auto"/>
        <w:contextualSpacing/>
        <w:rPr>
          <w:rFonts w:hAnsi="宋体" w:cs="黑体"/>
          <w:b/>
          <w:bCs/>
          <w:sz w:val="24"/>
          <w:szCs w:val="24"/>
        </w:rPr>
      </w:pPr>
      <w:r>
        <w:rPr>
          <w:rFonts w:hint="eastAsia" w:hAnsi="宋体" w:cs="黑体"/>
          <w:b/>
          <w:bCs/>
          <w:sz w:val="24"/>
          <w:szCs w:val="24"/>
        </w:rPr>
        <w:t>五、验收标准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1、按照国家相关标准、行业标准、地方标准或者其他标准、规范验收；</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2、按照招标文件要求、投标文件响应和承诺验收。</w:t>
      </w:r>
    </w:p>
    <w:p>
      <w:pPr>
        <w:spacing w:line="360" w:lineRule="auto"/>
        <w:contextualSpacing/>
        <w:rPr>
          <w:rFonts w:hAnsi="宋体" w:cs="黑体"/>
          <w:b/>
          <w:bCs/>
          <w:sz w:val="24"/>
          <w:szCs w:val="24"/>
        </w:rPr>
      </w:pPr>
      <w:r>
        <w:rPr>
          <w:rFonts w:hint="eastAsia" w:hAnsi="宋体" w:cs="黑体"/>
          <w:b/>
          <w:bCs/>
          <w:sz w:val="24"/>
          <w:szCs w:val="24"/>
        </w:rPr>
        <w:t>六、资金支付</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1支付方式：银行转账</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2支付时间及条件：以合同为准</w:t>
      </w:r>
    </w:p>
    <w:p>
      <w:pPr>
        <w:spacing w:line="360" w:lineRule="auto"/>
        <w:contextualSpacing/>
        <w:rPr>
          <w:rFonts w:hAnsi="宋体" w:cs="黑体"/>
          <w:b/>
          <w:bCs/>
          <w:sz w:val="24"/>
          <w:szCs w:val="24"/>
        </w:rPr>
      </w:pPr>
      <w:r>
        <w:rPr>
          <w:rFonts w:hint="eastAsia" w:hAnsi="宋体" w:cs="黑体"/>
          <w:b/>
          <w:bCs/>
          <w:sz w:val="24"/>
          <w:szCs w:val="24"/>
        </w:rPr>
        <w:t>七、其他要求</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1、供应商应就该项目完整投标，否则为无效投标。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2、投标文件中须有详细的服务方案，否则为无效投标。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3、本项目为交钥匙工程。 </w:t>
      </w:r>
    </w:p>
    <w:p>
      <w:pPr>
        <w:widowControl/>
        <w:jc w:val="center"/>
        <w:rPr>
          <w:rFonts w:asciiTheme="majorEastAsia" w:hAnsiTheme="majorEastAsia" w:eastAsiaTheme="majorEastAsia"/>
          <w:b/>
          <w:sz w:val="32"/>
          <w:szCs w:val="32"/>
        </w:rPr>
      </w:pPr>
      <w:r>
        <w:rPr>
          <w:rFonts w:asciiTheme="majorEastAsia" w:hAnsiTheme="majorEastAsia" w:eastAsiaTheme="majorEastAsia"/>
          <w:b/>
          <w:sz w:val="32"/>
          <w:szCs w:val="32"/>
        </w:rPr>
        <w:br w:type="page"/>
      </w:r>
      <w:r>
        <w:rPr>
          <w:rFonts w:hint="eastAsia" w:asciiTheme="majorEastAsia" w:hAnsiTheme="majorEastAsia" w:eastAsiaTheme="majorEastAsia"/>
          <w:b/>
          <w:sz w:val="32"/>
          <w:szCs w:val="32"/>
        </w:rPr>
        <w:t>第三章 供应商须知前附表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项目名称：长葛市公安局辅警通套餐服务采购项目（二次）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项目编号：长招采单字【2019】008号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采购单位：长葛市公安局</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联系人：杨先生  联系电话：13569956399</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 址：长葛市葛天大道东段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42" w:type="dxa"/>
            <w:vAlign w:val="center"/>
          </w:tcPr>
          <w:p>
            <w:pPr>
              <w:spacing w:line="460" w:lineRule="exact"/>
              <w:rPr>
                <w:rFonts w:hAnsi="宋体"/>
                <w:sz w:val="24"/>
                <w:szCs w:val="24"/>
              </w:rPr>
            </w:pPr>
            <w:r>
              <w:rPr>
                <w:rFonts w:hint="eastAsia" w:hAnsi="宋体"/>
                <w:sz w:val="24"/>
                <w:szCs w:val="24"/>
              </w:rPr>
              <w:t>代理机构：陕西瑞珂工程咨询有限责任公司</w:t>
            </w:r>
          </w:p>
          <w:p>
            <w:pPr>
              <w:spacing w:line="460" w:lineRule="exact"/>
              <w:rPr>
                <w:rFonts w:hAnsi="宋体"/>
                <w:sz w:val="24"/>
                <w:szCs w:val="24"/>
              </w:rPr>
            </w:pPr>
            <w:r>
              <w:rPr>
                <w:rFonts w:hint="eastAsia" w:hAnsi="宋体"/>
                <w:sz w:val="24"/>
                <w:szCs w:val="24"/>
              </w:rPr>
              <w:t>联系人：时先生      联系电话：15290990727</w:t>
            </w:r>
          </w:p>
          <w:p>
            <w:pPr>
              <w:spacing w:line="460" w:lineRule="exact"/>
              <w:rPr>
                <w:rFonts w:hAnsi="宋体"/>
                <w:sz w:val="24"/>
                <w:szCs w:val="24"/>
              </w:rPr>
            </w:pPr>
            <w:r>
              <w:rPr>
                <w:rFonts w:hint="eastAsia" w:hAnsi="宋体"/>
                <w:sz w:val="24"/>
                <w:szCs w:val="24"/>
              </w:rPr>
              <w:t xml:space="preserve">地    址：西安市太白南路216号1幢1单元嘉天国际19层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autoSpaceDE w:val="0"/>
              <w:autoSpaceDN w:val="0"/>
              <w:adjustRightInd w:val="0"/>
              <w:spacing w:line="276"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276" w:lineRule="auto"/>
              <w:ind w:right="-11"/>
              <w:rPr>
                <w:rFonts w:cs="宋体" w:asciiTheme="minorEastAsia" w:hAnsiTheme="minorEastAsia"/>
                <w:b/>
                <w:sz w:val="24"/>
                <w:szCs w:val="24"/>
                <w:lang w:val="zh-CN"/>
              </w:rPr>
            </w:pPr>
            <w:r>
              <w:rPr>
                <w:rFonts w:hint="eastAsia" w:cs="宋体" w:asciiTheme="minorEastAsia" w:hAnsiTheme="minorEastAsia"/>
                <w:b/>
                <w:sz w:val="24"/>
                <w:szCs w:val="24"/>
              </w:rPr>
              <w:t>六、</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276"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cs="宋体" w:asciiTheme="minorEastAsia" w:hAnsiTheme="minorEastAsia"/>
                <w:bCs/>
                <w:sz w:val="24"/>
                <w:szCs w:val="24"/>
              </w:rPr>
            </w:pPr>
            <w:r>
              <w:rPr>
                <w:rFonts w:hint="eastAsia" w:cs="宋体" w:asciiTheme="minorEastAsia" w:hAnsiTheme="minorEastAsia"/>
                <w:b/>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供应商；“中国社会组织公共服务平台”网站（</w:t>
            </w:r>
            <w:r>
              <w:rPr>
                <w:rFonts w:cs="仿宋_GB2312" w:asciiTheme="minorEastAsia" w:hAnsiTheme="minorEastAsia"/>
                <w:b/>
                <w:color w:val="000000"/>
                <w:sz w:val="24"/>
                <w:szCs w:val="24"/>
                <w:shd w:val="clear" w:color="auto" w:fill="FFFFFF"/>
              </w:rPr>
              <w:t>www.chinanpo.gov.cn</w:t>
            </w:r>
            <w:r>
              <w:rPr>
                <w:rFonts w:hint="eastAsia" w:cs="仿宋_GB2312" w:asciiTheme="minorEastAsia" w:hAnsiTheme="minorEastAsia"/>
                <w:b/>
                <w:color w:val="000000"/>
                <w:sz w:val="24"/>
                <w:szCs w:val="24"/>
                <w:shd w:val="clear" w:color="auto" w:fill="FFFFFF"/>
              </w:rPr>
              <w:t>）严重违法失信名单的社会组织。（</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t>
            </w:r>
            <w:r>
              <w:fldChar w:fldCharType="begin"/>
            </w:r>
            <w:r>
              <w:instrText xml:space="preserve"> HYPERLINK "http://www.ccgp.gov.cn" </w:instrText>
            </w:r>
            <w:r>
              <w:fldChar w:fldCharType="separate"/>
            </w:r>
            <w:r>
              <w:rPr>
                <w:rStyle w:val="22"/>
                <w:rFonts w:hint="eastAsia" w:cs="宋体" w:asciiTheme="minorEastAsia" w:hAnsiTheme="minorEastAsia"/>
                <w:bCs/>
                <w:sz w:val="24"/>
                <w:szCs w:val="24"/>
              </w:rPr>
              <w:t>www.ccgp.gov.cn</w:t>
            </w:r>
            <w:r>
              <w:rPr>
                <w:rStyle w:val="22"/>
                <w:rFonts w:hint="eastAsia" w:cs="宋体" w:asciiTheme="minorEastAsia" w:hAnsiTheme="minorEastAsia"/>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③“中国社会组织公共服务平台”网站（</w:t>
            </w:r>
            <w:r>
              <w:rPr>
                <w:rFonts w:cs="宋体" w:asciiTheme="minorEastAsia" w:hAnsiTheme="minorEastAsia"/>
                <w:bCs/>
                <w:sz w:val="24"/>
                <w:szCs w:val="24"/>
              </w:rPr>
              <w:t>www.chinanpo.gov.cn</w:t>
            </w:r>
            <w:r>
              <w:rPr>
                <w:rFonts w:hint="eastAsia" w:cs="宋体" w:asciiTheme="minorEastAsia" w:hAnsiTheme="minorEastAsia"/>
                <w:bCs/>
                <w:sz w:val="24"/>
                <w:szCs w:val="24"/>
              </w:rPr>
              <w:t>）（仅查询社会组织）；</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2、截止时间：同协商响应截止时间；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3、信用信息查询记录和证据留存具体方式：经协商小组确认的查询结果网页截图作为查询记录和证据，与其他采购文件一并保存；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4、信用信息的使用原则：经协商小组认定的被列入失信被执行人、重大税收违法案件当事人名单、政府采购严重违法失信行为记录名单的供应商的供应商，将拒绝其参与本次政府采购活动。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5、供应商不良信用记录以协商小组查询结果为准，协商小组查询之后，网站信息发生的任何变更不再作为评审依据，供应商自行提供的与网站信息不一致的其他证明材料亦不作为评审依据。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大写：柒拾柒万贰仟捌佰元整；小写：</w:t>
            </w:r>
            <w:r>
              <w:rPr>
                <w:rFonts w:hint="eastAsia" w:hAnsi="宋体" w:cs="宋体"/>
                <w:b/>
                <w:sz w:val="24"/>
                <w:szCs w:val="24"/>
              </w:rPr>
              <w:t>772800</w:t>
            </w:r>
            <w:r>
              <w:rPr>
                <w:rFonts w:hint="eastAsia" w:cs="宋体" w:asciiTheme="minorEastAsia" w:hAnsiTheme="minorEastAsia"/>
                <w:b/>
                <w:sz w:val="24"/>
                <w:szCs w:val="24"/>
              </w:rPr>
              <w:t>.00元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协商</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协商有效期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成交供应商协商</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协商响应截止及协商时间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2019年9 月27日上午9时30分（北京时间）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递交响应文件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及开启地点、协商地点</w:t>
            </w:r>
          </w:p>
        </w:tc>
        <w:tc>
          <w:tcPr>
            <w:tcW w:w="7042" w:type="dxa"/>
            <w:vAlign w:val="center"/>
          </w:tcPr>
          <w:p>
            <w:pPr>
              <w:autoSpaceDE w:val="0"/>
              <w:autoSpaceDN w:val="0"/>
              <w:adjustRightInd w:val="0"/>
              <w:spacing w:line="360" w:lineRule="auto"/>
              <w:rPr>
                <w:rFonts w:cs="仿宋_GB2312" w:asciiTheme="minorEastAsia" w:hAnsiTheme="minorEastAsia"/>
                <w:color w:val="000000"/>
                <w:sz w:val="24"/>
                <w:szCs w:val="24"/>
              </w:rPr>
            </w:pPr>
            <w:r>
              <w:rPr>
                <w:rFonts w:hint="eastAsia" w:cs="宋体" w:asciiTheme="minorEastAsia" w:hAnsiTheme="minorEastAsia"/>
                <w:bCs/>
                <w:sz w:val="24"/>
                <w:szCs w:val="24"/>
                <w:lang w:val="zh-CN"/>
              </w:rPr>
              <w:t>1、</w:t>
            </w:r>
            <w:r>
              <w:rPr>
                <w:rFonts w:hint="eastAsia" w:cs="仿宋_GB2312" w:asciiTheme="minorEastAsia" w:hAnsiTheme="minorEastAsia"/>
                <w:color w:val="000000"/>
                <w:sz w:val="24"/>
                <w:szCs w:val="24"/>
              </w:rPr>
              <w:t>响应文件递交地点：长葛市公共资源交易中心开标一室（长葛市葛天大道东段商务区6#楼 5 楼506室）</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color w:val="000000"/>
                <w:sz w:val="24"/>
                <w:szCs w:val="24"/>
              </w:rPr>
              <w:t>2、开启及协商地点：长葛市公共资源交易中心评标四室（长葛市葛天大道东段商务区6#楼5 楼 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协商保证金</w:t>
            </w:r>
          </w:p>
        </w:tc>
        <w:tc>
          <w:tcPr>
            <w:tcW w:w="7042" w:type="dxa"/>
            <w:vAlign w:val="center"/>
          </w:tcPr>
          <w:p>
            <w:pPr>
              <w:spacing w:line="360" w:lineRule="auto"/>
              <w:rPr>
                <w:rFonts w:cs="仿宋_GB2312" w:asciiTheme="minorEastAsia" w:hAnsiTheme="minorEastAsia"/>
                <w:sz w:val="24"/>
                <w:szCs w:val="24"/>
                <w:lang w:val="zh-CN"/>
              </w:rPr>
            </w:pPr>
            <w:r>
              <w:rPr>
                <w:rFonts w:hint="eastAsia" w:cs="宋体" w:asciiTheme="minorEastAsia" w:hAnsiTheme="minorEastAsia"/>
                <w:color w:val="000000"/>
                <w:sz w:val="24"/>
                <w:szCs w:val="24"/>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邀请函、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响应截止时间3个工作日前（</w:t>
            </w:r>
            <w:r>
              <w:rPr>
                <w:rFonts w:hint="eastAsia" w:cs="仿宋_GB2312" w:asciiTheme="minorEastAsia" w:hAnsiTheme="minorEastAsia"/>
                <w:sz w:val="24"/>
                <w:szCs w:val="24"/>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协商公告期满之日起七个工作日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电子响应文件：按采购文件要求加盖供应商电子印章和法人电子印章。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协商小组组建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组成，其中评审专家的人数不少于协商小组成员总数的三分之二。评审专家从政府采购评审专家库中随机抽取。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质量和服务均能满足采购文件实质性响应要求且最后报价最低的原则确定成交供应商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b/>
                <w:sz w:val="24"/>
                <w:u w:val="single"/>
              </w:rPr>
              <w:t>长招采单字[2019]008号</w:t>
            </w: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成交供应商在接到成交通知时，须向陕西瑞珂工程咨询有限责任公司发送响应报价及分项报价一览表电子文档，并同时电话告知代理公司。联系电话：</w:t>
            </w:r>
            <w:r>
              <w:rPr>
                <w:rFonts w:hint="eastAsia" w:cs="宋体" w:asciiTheme="minorEastAsia" w:hAnsiTheme="minorEastAsia"/>
                <w:bCs/>
                <w:sz w:val="24"/>
                <w:szCs w:val="24"/>
              </w:rPr>
              <w:t>15290990727</w:t>
            </w:r>
            <w:r>
              <w:rPr>
                <w:rFonts w:hint="eastAsia" w:cs="宋体" w:asciiTheme="minorEastAsia" w:hAnsiTheme="minorEastAsia"/>
                <w:bCs/>
                <w:sz w:val="24"/>
                <w:szCs w:val="24"/>
                <w:lang w:val="zh-CN"/>
              </w:rPr>
              <w:t>；</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响应文件递交现场不再提供（本采购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协商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5"/>
        <w:numPr>
          <w:ilvl w:val="0"/>
          <w:numId w:val="0"/>
        </w:numPr>
        <w:tabs>
          <w:tab w:val="left" w:pos="0"/>
        </w:tabs>
        <w:adjustRightInd/>
        <w:spacing w:line="276"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276"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pStyle w:val="43"/>
        <w:autoSpaceDE w:val="0"/>
        <w:autoSpaceDN w:val="0"/>
        <w:spacing w:line="360" w:lineRule="auto"/>
        <w:ind w:firstLine="0" w:firstLineChars="0"/>
        <w:contextualSpacing/>
        <w:jc w:val="left"/>
        <w:rPr>
          <w:rFonts w:hAnsi="宋体" w:cs="宋体"/>
          <w:sz w:val="24"/>
          <w:szCs w:val="24"/>
        </w:rPr>
      </w:pPr>
      <w:r>
        <w:rPr>
          <w:rFonts w:hint="eastAsia" w:hAnsi="宋体" w:cs="宋体"/>
          <w:sz w:val="24"/>
          <w:szCs w:val="24"/>
        </w:rPr>
        <w:t>（1）查询渠道：“信用中国”网站（www.creditchina.gov.cn）和“中国政府采购网”（</w:t>
      </w:r>
      <w:r>
        <w:fldChar w:fldCharType="begin"/>
      </w:r>
      <w:r>
        <w:instrText xml:space="preserve"> HYPERLINK "http://www.ccgp.gov.cn" </w:instrText>
      </w:r>
      <w:r>
        <w:fldChar w:fldCharType="separate"/>
      </w:r>
      <w:r>
        <w:rPr>
          <w:rStyle w:val="22"/>
          <w:rFonts w:hint="eastAsia" w:hAnsi="宋体" w:cs="宋体"/>
          <w:sz w:val="24"/>
          <w:szCs w:val="24"/>
        </w:rPr>
        <w:t>www.ccgp.gov.cn</w:t>
      </w:r>
      <w:r>
        <w:rPr>
          <w:rStyle w:val="22"/>
          <w:rFonts w:hint="eastAsia" w:hAnsi="宋体" w:cs="宋体"/>
          <w:sz w:val="24"/>
          <w:szCs w:val="24"/>
        </w:rPr>
        <w:fldChar w:fldCharType="end"/>
      </w:r>
      <w:r>
        <w:rPr>
          <w:rFonts w:hint="eastAsia" w:hAnsi="宋体" w:cs="宋体"/>
          <w:sz w:val="24"/>
          <w:szCs w:val="24"/>
        </w:rPr>
        <w:t>；“中国社会组织公共服务平台”网站（</w:t>
      </w:r>
      <w:r>
        <w:rPr>
          <w:rFonts w:hAnsi="宋体" w:cs="宋体"/>
          <w:sz w:val="24"/>
          <w:szCs w:val="24"/>
        </w:rPr>
        <w:t>www.chinanpo.gov.cn</w:t>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autoSpaceDE w:val="0"/>
        <w:autoSpaceDN w:val="0"/>
        <w:spacing w:line="360" w:lineRule="auto"/>
        <w:contextualSpacing/>
        <w:rPr>
          <w:rFonts w:hAnsi="宋体" w:cs="宋体"/>
          <w:sz w:val="24"/>
          <w:szCs w:val="24"/>
        </w:rPr>
      </w:pPr>
      <w:r>
        <w:rPr>
          <w:rFonts w:hint="eastAsia" w:hAnsi="宋体" w:cs="宋体"/>
          <w:sz w:val="24"/>
          <w:szCs w:val="24"/>
        </w:rPr>
        <w:t>不收取任何费用。</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 邀请函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电子投标文件制作技术咨询：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供应商应提交投标文件份数见“供应商须知前附表”。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纸质投标文件</w:t>
      </w:r>
      <w:r>
        <w:rPr>
          <w:rFonts w:hint="eastAsia" w:hAnsi="宋体" w:cs="宋体"/>
          <w:sz w:val="24"/>
          <w:szCs w:val="24"/>
        </w:rPr>
        <w:t>是指供应商电子投标文件制作完成后生成的后缀名为“.PDF”的文件打印的投标文件。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招标人将按采购文件规定的时间和地点组织公开开标。开标由代理机构主持，邀请供应商参加。协商小组成员不得参加开标活动。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.协商小组的组成</w:t>
      </w:r>
    </w:p>
    <w:p>
      <w:pPr>
        <w:tabs>
          <w:tab w:val="left" w:pos="1260"/>
        </w:tabs>
        <w:autoSpaceDE w:val="0"/>
        <w:autoSpaceDN w:val="0"/>
        <w:spacing w:line="360" w:lineRule="auto"/>
        <w:contextualSpacing/>
        <w:rPr>
          <w:rFonts w:hAnsi="宋体" w:cs="宋体"/>
          <w:color w:val="FF0000"/>
          <w:sz w:val="24"/>
          <w:szCs w:val="24"/>
          <w:lang w:val="zh-CN"/>
        </w:rPr>
      </w:pPr>
      <w:r>
        <w:rPr>
          <w:rFonts w:hint="eastAsia" w:hAnsi="宋体" w:cs="宋体"/>
          <w:color w:val="FF0000"/>
          <w:sz w:val="24"/>
          <w:szCs w:val="24"/>
          <w:lang w:val="zh-CN"/>
        </w:rPr>
        <w:t>2</w:t>
      </w:r>
      <w:r>
        <w:rPr>
          <w:rFonts w:hint="eastAsia" w:hAnsi="宋体" w:cs="宋体"/>
          <w:color w:val="FF0000"/>
          <w:sz w:val="24"/>
          <w:szCs w:val="24"/>
        </w:rPr>
        <w:t>5</w:t>
      </w:r>
      <w:r>
        <w:rPr>
          <w:rFonts w:hint="eastAsia" w:hAnsi="宋体" w:cs="宋体"/>
          <w:color w:val="FF0000"/>
          <w:sz w:val="24"/>
          <w:szCs w:val="24"/>
          <w:lang w:val="zh-CN"/>
        </w:rPr>
        <w:t>．1 招标人将依法组建协商小组，协商小组由采购人代表</w:t>
      </w:r>
      <w:r>
        <w:rPr>
          <w:rFonts w:hint="eastAsia" w:hAnsi="宋体" w:cs="宋体"/>
          <w:color w:val="FF0000"/>
          <w:sz w:val="24"/>
          <w:szCs w:val="24"/>
        </w:rPr>
        <w:t>1人</w:t>
      </w:r>
      <w:r>
        <w:rPr>
          <w:rFonts w:hint="eastAsia" w:hAnsi="宋体" w:cs="宋体"/>
          <w:color w:val="FF0000"/>
          <w:sz w:val="24"/>
          <w:szCs w:val="24"/>
          <w:lang w:val="zh-CN"/>
        </w:rPr>
        <w:t>和评审专家</w:t>
      </w:r>
      <w:r>
        <w:rPr>
          <w:rFonts w:hint="eastAsia" w:hAnsi="宋体" w:cs="宋体"/>
          <w:color w:val="FF0000"/>
          <w:sz w:val="24"/>
          <w:szCs w:val="24"/>
        </w:rPr>
        <w:t>2人</w:t>
      </w:r>
      <w:r>
        <w:rPr>
          <w:rFonts w:hint="eastAsia" w:hAnsi="宋体" w:cs="宋体"/>
          <w:color w:val="FF0000"/>
          <w:sz w:val="24"/>
          <w:szCs w:val="24"/>
          <w:lang w:val="zh-CN"/>
        </w:rPr>
        <w:t>组成，成员人数应当为3人以上单数，其中评审专家的人数不少于协商小组成员总数的三分之二。评审专家依法从政府采购评审专家库中随机抽取。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协商小组须对采购文件进行确认。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协商小组成员名单在评标结果公告前应当保密。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开标结束后，协商小组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协商小组依据有关法律法规和采购文件的规定，对符合资格的供应商的投标文件进行符合性审查，以确定其是否满足采购文件的实质性要求。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28.协商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28.1协商轮数：由协商小组根据协商现场的实际情况确定。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28.2协商方式：采取网络协商方式，供应商携带公司CA证书，到中心政府采购二部指定地点，使用CA登录系统进行网上协商。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28.3协商小组所有成员应当集中与单一供应商进行协商。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28.4在协商过程中，协商小组可以根据采购文件和协商情况实质性变动采购需求中的技术、服务要求以及合同草案条款，但不得变动采购文件中的其他内容。实质性变动的内容，须经采购人代表确认。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对采购文件作出的实质性变动是采购文件的有效组成部分，协商小组应当及时以书面形式同时通知所有参加协商的供应商。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采购文件的变动情况和协商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28.5.1协商结束后，协商小组应当要求供应商在规定时间内进行最后报价。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[最后总报价及最后分项（如果项目需求中有分项的话）报价word版本电子版]，最后以协商组专家发起协商限时10分钟，如未按时报价者以第一轮报价为准；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对于投标文件中含义不明确、同类问题表述不一致或者有明显文字和计算错误的内容，协商小组应当以书面形式要求供应商作出必要的澄清、说明或者补正。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不同供应商的投标文件相互混装；</w:t>
      </w:r>
    </w:p>
    <w:p>
      <w:pPr>
        <w:pStyle w:val="12"/>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hAnsi="宋体" w:cs="宋体"/>
          <w:sz w:val="24"/>
          <w:szCs w:val="24"/>
        </w:rPr>
      </w:pPr>
      <w:r>
        <w:rPr>
          <w:rFonts w:hint="eastAsia" w:hAnsi="宋体" w:cs="宋体"/>
          <w:sz w:val="24"/>
          <w:szCs w:val="24"/>
        </w:rPr>
        <w:t>（一）提供虚假材料谋取中标、成交的；</w:t>
      </w:r>
    </w:p>
    <w:p>
      <w:pPr>
        <w:pStyle w:val="12"/>
        <w:spacing w:line="360" w:lineRule="auto"/>
        <w:rPr>
          <w:rFonts w:hAnsi="宋体" w:cs="宋体"/>
          <w:sz w:val="24"/>
          <w:szCs w:val="24"/>
        </w:rPr>
      </w:pPr>
      <w:r>
        <w:rPr>
          <w:rFonts w:hint="eastAsia" w:hAnsi="宋体" w:cs="宋体"/>
          <w:sz w:val="24"/>
          <w:szCs w:val="24"/>
        </w:rPr>
        <w:t>（二）采取不正当手段诋毁、排挤其他供应商的；</w:t>
      </w:r>
    </w:p>
    <w:p>
      <w:pPr>
        <w:pStyle w:val="12"/>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2"/>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2"/>
        <w:spacing w:line="360" w:lineRule="auto"/>
        <w:rPr>
          <w:rFonts w:hAnsi="宋体" w:cs="宋体"/>
          <w:sz w:val="24"/>
          <w:szCs w:val="24"/>
        </w:rPr>
      </w:pPr>
      <w:r>
        <w:rPr>
          <w:rFonts w:hint="eastAsia" w:hAnsi="宋体" w:cs="宋体"/>
          <w:sz w:val="24"/>
          <w:szCs w:val="24"/>
        </w:rPr>
        <w:t>（五）在招标采购过程中与采购人进行协商协商的；</w:t>
      </w:r>
    </w:p>
    <w:p>
      <w:pPr>
        <w:pStyle w:val="12"/>
        <w:spacing w:line="360" w:lineRule="auto"/>
        <w:rPr>
          <w:rFonts w:hAnsi="宋体" w:cs="宋体"/>
          <w:sz w:val="24"/>
          <w:szCs w:val="24"/>
        </w:rPr>
      </w:pPr>
      <w:r>
        <w:rPr>
          <w:rFonts w:hint="eastAsia" w:hAnsi="宋体" w:cs="宋体"/>
          <w:sz w:val="24"/>
          <w:szCs w:val="24"/>
        </w:rPr>
        <w:t>（六）拒绝有关部门监督检查或者提供虚假情况的。</w:t>
      </w:r>
    </w:p>
    <w:p>
      <w:pPr>
        <w:pStyle w:val="12"/>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协商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协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协商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int="eastAsia" w:hAnsi="宋体"/>
          <w:sz w:val="24"/>
          <w:szCs w:val="24"/>
        </w:rPr>
        <w:t>质量和服务均能满足单一来源采购文件实质性响应要求且报价合理的原则确定中标供应商，并编写评审报告。</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协商小组及其成员有下列行为之一的，其评审意见无效：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接受供应商提出的与投标文件不一致的澄清或者说明，《供应商须知》2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pStyle w:val="43"/>
        <w:autoSpaceDE w:val="0"/>
        <w:autoSpaceDN w:val="0"/>
        <w:spacing w:line="360" w:lineRule="auto"/>
        <w:ind w:firstLine="0" w:firstLineChars="0"/>
        <w:contextualSpacing/>
        <w:rPr>
          <w:rFonts w:ascii="宋体" w:hAnsi="宋体"/>
          <w:sz w:val="24"/>
          <w:szCs w:val="24"/>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w:t>
      </w:r>
      <w:r>
        <w:rPr>
          <w:rFonts w:hint="eastAsia" w:ascii="宋体" w:hAnsi="宋体"/>
          <w:sz w:val="24"/>
          <w:szCs w:val="24"/>
        </w:rPr>
        <w:t>采购人应当在收到评审报告后5个工作日内，根据评审报告提出的成交候选人确定成交供应商。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7"/>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w:t>
      </w:r>
      <w:r>
        <w:rPr>
          <w:rFonts w:hAnsi="宋体" w:cs="宋体"/>
          <w:sz w:val="24"/>
          <w:szCs w:val="24"/>
          <w:lang w:val="zh-CN"/>
        </w:rPr>
        <w:t>[2014]68</w:t>
      </w:r>
      <w:r>
        <w:rPr>
          <w:rFonts w:hint="eastAsia" w:hAnsi="宋体" w:cs="宋体"/>
          <w:sz w:val="24"/>
          <w:szCs w:val="24"/>
          <w:lang w:val="zh-CN"/>
        </w:rPr>
        <w:t>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ind w:firstLine="480" w:firstLineChars="200"/>
        <w:jc w:val="left"/>
        <w:rPr>
          <w:rFonts w:hAnsi="宋体" w:cs="宋体"/>
          <w:sz w:val="24"/>
          <w:szCs w:val="24"/>
          <w:lang w:val="zh-CN"/>
        </w:rPr>
      </w:pPr>
    </w:p>
    <w:p>
      <w:pPr>
        <w:ind w:firstLine="420" w:firstLineChars="200"/>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（一）协商小组依法对供应商资格进行审查</w:t>
      </w:r>
      <w:r>
        <w:rPr>
          <w:rFonts w:ascii="ˎ̥" w:hAnsi="ˎ̥" w:eastAsiaTheme="minorEastAsia" w:cstheme="minorBidi"/>
          <w:kern w:val="2"/>
          <w:sz w:val="24"/>
          <w:szCs w:val="22"/>
        </w:rPr>
        <w:t>。</w:t>
      </w:r>
      <w:r>
        <w:rPr>
          <w:rFonts w:hint="eastAsia" w:hAnsi="宋体" w:cs="宋体"/>
          <w:kern w:val="2"/>
          <w:sz w:val="24"/>
          <w:szCs w:val="22"/>
        </w:rPr>
        <w:t>将对响应</w:t>
      </w:r>
      <w:r>
        <w:rPr>
          <w:rFonts w:ascii="ˎ̥" w:hAnsi="ˎ̥" w:eastAsiaTheme="minorEastAsia" w:cstheme="minorBidi"/>
          <w:kern w:val="2"/>
          <w:sz w:val="24"/>
          <w:szCs w:val="22"/>
        </w:rPr>
        <w:t>文件的有效性、完整性和响应程度进行审查</w:t>
      </w:r>
      <w:r>
        <w:rPr>
          <w:rFonts w:hint="eastAsia" w:ascii="ˎ̥" w:hAnsi="ˎ̥" w:eastAsiaTheme="minorEastAsia" w:cstheme="minorBidi"/>
          <w:kern w:val="2"/>
          <w:sz w:val="24"/>
          <w:szCs w:val="22"/>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Cs w:val="21"/>
          <w:lang w:val="zh-CN"/>
        </w:rPr>
      </w:pPr>
      <w:r>
        <w:rPr>
          <w:rFonts w:hint="eastAsia" w:ascii="ˎ̥" w:hAnsi="ˎ̥" w:eastAsiaTheme="minorEastAsia" w:cstheme="minorBidi"/>
          <w:kern w:val="2"/>
          <w:sz w:val="24"/>
          <w:szCs w:val="22"/>
        </w:rPr>
        <w:t>（三）资格审查中所涉及到的证书及材料，均须在电子投标文件中提供原件扫描件（或图片）</w:t>
      </w:r>
      <w:r>
        <w:rPr>
          <w:rFonts w:hint="eastAsia" w:ascii="ˎ̥" w:hAnsi="ˎ̥" w:eastAsiaTheme="minorEastAsia" w:cstheme="minorBidi"/>
          <w:kern w:val="2"/>
          <w:sz w:val="21"/>
          <w:szCs w:val="22"/>
        </w:rPr>
        <w:t>。</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3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333" w:type="dxa"/>
            <w:vAlign w:val="center"/>
          </w:tcPr>
          <w:p>
            <w:pPr>
              <w:spacing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5954" w:type="dxa"/>
            <w:vAlign w:val="center"/>
          </w:tcPr>
          <w:p>
            <w:pPr>
              <w:spacing w:line="276"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5954" w:type="dxa"/>
            <w:vAlign w:val="center"/>
          </w:tcPr>
          <w:p>
            <w:pPr>
              <w:spacing w:line="276"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5954" w:type="dxa"/>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5954" w:type="dxa"/>
          </w:tcPr>
          <w:p>
            <w:pPr>
              <w:spacing w:line="276" w:lineRule="auto"/>
              <w:rPr>
                <w:rFonts w:hAnsi="宋体"/>
                <w:bCs/>
                <w:sz w:val="24"/>
                <w:szCs w:val="24"/>
              </w:rPr>
            </w:pPr>
            <w:r>
              <w:rPr>
                <w:rFonts w:hint="eastAsia" w:hAnsi="宋体"/>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276" w:lineRule="auto"/>
              <w:ind w:right="-11"/>
              <w:rPr>
                <w:rFonts w:asciiTheme="minorEastAsia" w:hAnsiTheme="minorEastAsia" w:eastAsia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5954" w:type="dxa"/>
          </w:tcPr>
          <w:p>
            <w:pPr>
              <w:autoSpaceDE w:val="0"/>
              <w:autoSpaceDN w:val="0"/>
              <w:adjustRightInd w:val="0"/>
              <w:spacing w:line="276"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5954" w:type="dxa"/>
          </w:tcPr>
          <w:p>
            <w:pPr>
              <w:autoSpaceDE w:val="0"/>
              <w:autoSpaceDN w:val="0"/>
              <w:adjustRightInd w:val="0"/>
              <w:spacing w:line="276"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5954" w:type="dxa"/>
          </w:tcPr>
          <w:p>
            <w:pPr>
              <w:autoSpaceDE w:val="0"/>
              <w:autoSpaceDN w:val="0"/>
              <w:adjustRightInd w:val="0"/>
              <w:spacing w:line="276" w:lineRule="auto"/>
              <w:jc w:val="left"/>
              <w:rPr>
                <w:rFonts w:asciiTheme="minorEastAsia" w:hAnsiTheme="minorEastAsia" w:eastAsia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5954" w:type="dxa"/>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5954" w:type="dxa"/>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2"/>
                <w:rFonts w:hint="eastAsia" w:asciiTheme="minorEastAsia" w:hAnsiTheme="minorEastAsia" w:eastAsiaTheme="minorEastAsia"/>
                <w:bCs/>
                <w:sz w:val="24"/>
                <w:szCs w:val="24"/>
              </w:rPr>
              <w:t>www.creditchina.gov.cn</w:t>
            </w:r>
            <w:r>
              <w:rPr>
                <w:rStyle w:val="22"/>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t>
            </w:r>
            <w:r>
              <w:fldChar w:fldCharType="begin"/>
            </w:r>
            <w:r>
              <w:instrText xml:space="preserve"> HYPERLINK "http://www.ccgp.gov.cn" </w:instrText>
            </w:r>
            <w:r>
              <w:fldChar w:fldCharType="separate"/>
            </w:r>
            <w:r>
              <w:rPr>
                <w:rStyle w:val="22"/>
                <w:rFonts w:hint="eastAsia" w:asciiTheme="minorEastAsia" w:hAnsiTheme="minorEastAsia" w:eastAsiaTheme="minorEastAsia"/>
                <w:bCs/>
                <w:sz w:val="24"/>
                <w:szCs w:val="24"/>
              </w:rPr>
              <w:t>www.ccgp.gov.cn</w:t>
            </w:r>
            <w:r>
              <w:rPr>
                <w:rStyle w:val="22"/>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③“中国社会组织公共服务平台”网站（</w:t>
            </w:r>
            <w:r>
              <w:rPr>
                <w:rFonts w:asciiTheme="minorEastAsia" w:hAnsiTheme="minorEastAsia" w:eastAsiaTheme="minorEastAsia"/>
                <w:bCs/>
                <w:sz w:val="24"/>
                <w:szCs w:val="24"/>
              </w:rPr>
              <w:t>www.chinanpo.gov.cn</w:t>
            </w:r>
            <w:r>
              <w:rPr>
                <w:rFonts w:hint="eastAsia" w:asciiTheme="minorEastAsia" w:hAnsiTheme="minorEastAsia" w:eastAsiaTheme="minorEastAsia"/>
                <w:bCs/>
                <w:sz w:val="24"/>
                <w:szCs w:val="24"/>
              </w:rPr>
              <w:t>）（仅查询社会组织）；</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协商小组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协商小组</w:t>
            </w:r>
            <w:r>
              <w:rPr>
                <w:rFonts w:hint="eastAsia" w:asciiTheme="minorEastAsia" w:hAnsiTheme="minorEastAsia" w:eastAsiaTheme="minorEastAsia"/>
                <w:bCs/>
                <w:sz w:val="24"/>
                <w:szCs w:val="24"/>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协商</w:t>
            </w:r>
            <w:r>
              <w:rPr>
                <w:rFonts w:hint="eastAsia" w:cs="仿宋_GB2312" w:asciiTheme="minorEastAsia" w:hAnsiTheme="minorEastAsia" w:eastAsiaTheme="minorEastAsia"/>
                <w:bCs/>
                <w:sz w:val="24"/>
                <w:szCs w:val="24"/>
                <w:lang w:val="zh-CN"/>
              </w:rPr>
              <w:t>报价</w:t>
            </w:r>
          </w:p>
        </w:tc>
        <w:tc>
          <w:tcPr>
            <w:tcW w:w="5954" w:type="dxa"/>
          </w:tcPr>
          <w:p>
            <w:pPr>
              <w:spacing w:line="276" w:lineRule="auto"/>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投标报价是否超出采购文件中规定的最高投标限价，超出最高投标限价金额的报价无效。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hAnsi="宋体" w:cs="宋体"/>
                <w:bCs/>
                <w:sz w:val="24"/>
                <w:szCs w:val="24"/>
              </w:rPr>
              <w:t>服务期限</w:t>
            </w:r>
          </w:p>
        </w:tc>
        <w:tc>
          <w:tcPr>
            <w:tcW w:w="5954" w:type="dxa"/>
            <w:vAlign w:val="center"/>
          </w:tcPr>
          <w:p>
            <w:pPr>
              <w:spacing w:line="276" w:lineRule="auto"/>
              <w:rPr>
                <w:rFonts w:hAnsi="宋体" w:cs="宋体"/>
                <w:bCs/>
                <w:sz w:val="24"/>
                <w:szCs w:val="24"/>
              </w:rPr>
            </w:pPr>
            <w:r>
              <w:rPr>
                <w:rFonts w:hint="eastAsia" w:hAnsi="宋体" w:cs="宋体"/>
                <w:bCs/>
                <w:sz w:val="24"/>
                <w:szCs w:val="24"/>
              </w:rPr>
              <w:t>合同签订后15日历天完成手机发放；套餐合约期30个月；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投标承诺函</w:t>
            </w:r>
          </w:p>
        </w:tc>
        <w:tc>
          <w:tcPr>
            <w:tcW w:w="5954" w:type="dxa"/>
            <w:vAlign w:val="center"/>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5954" w:type="dxa"/>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13</w:t>
            </w:r>
          </w:p>
        </w:tc>
        <w:tc>
          <w:tcPr>
            <w:tcW w:w="2333"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法定代表身份证明或授权委托人身份证明</w:t>
            </w:r>
          </w:p>
        </w:tc>
        <w:tc>
          <w:tcPr>
            <w:tcW w:w="5954" w:type="dxa"/>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14</w:t>
            </w:r>
          </w:p>
        </w:tc>
        <w:tc>
          <w:tcPr>
            <w:tcW w:w="2333" w:type="dxa"/>
            <w:vAlign w:val="center"/>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单位负责人为同一人或者存在直接控股、管理关系的不同供应商，不得参加同一合同项下的政府采购活动</w:t>
            </w:r>
          </w:p>
        </w:tc>
        <w:tc>
          <w:tcPr>
            <w:tcW w:w="5954" w:type="dxa"/>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2333" w:type="dxa"/>
            <w:vAlign w:val="center"/>
          </w:tcPr>
          <w:p>
            <w:pPr>
              <w:spacing w:line="276"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为本项目提供整体设计、规范编制或者项目管理、监理、检测等服务的供应商不得参加本项目投标</w:t>
            </w:r>
          </w:p>
        </w:tc>
        <w:tc>
          <w:tcPr>
            <w:tcW w:w="5954" w:type="dxa"/>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w:t>
            </w:r>
            <w:bookmarkStart w:id="1" w:name="baidusnap2"/>
            <w:bookmarkEnd w:id="1"/>
            <w:r>
              <w:rPr>
                <w:rFonts w:hint="eastAsia" w:asciiTheme="minorEastAsia" w:hAnsiTheme="minorEastAsia" w:eastAsiaTheme="minorEastAsia"/>
                <w:bCs/>
                <w:sz w:val="24"/>
                <w:szCs w:val="24"/>
              </w:rPr>
              <w:t>提供未为本项目提供整体设计、</w:t>
            </w:r>
            <w:bookmarkStart w:id="2" w:name="baidusnap9"/>
            <w:bookmarkEnd w:id="2"/>
            <w:r>
              <w:rPr>
                <w:rFonts w:hint="eastAsia" w:asciiTheme="minorEastAsia" w:hAnsiTheme="minorEastAsia" w:eastAsiaTheme="minorEastAsia"/>
                <w:bCs/>
                <w:sz w:val="24"/>
                <w:szCs w:val="24"/>
              </w:rPr>
              <w:t>规范编制或者项目管理、监理、检测等服务承诺函（承诺函格式自拟）。</w:t>
            </w:r>
          </w:p>
        </w:tc>
      </w:tr>
    </w:tbl>
    <w:p>
      <w:pPr>
        <w:pStyle w:val="12"/>
        <w:spacing w:line="360" w:lineRule="auto"/>
        <w:contextualSpacing/>
        <w:rPr>
          <w:rFonts w:cs="仿宋_GB2312" w:asciiTheme="minorEastAsia" w:hAnsiTheme="minorEastAsia" w:eastAsiaTheme="minorEastAsia"/>
          <w:b/>
          <w:sz w:val="24"/>
          <w:lang w:val="zh-CN"/>
        </w:rPr>
      </w:pPr>
    </w:p>
    <w:p>
      <w:pPr>
        <w:pStyle w:val="12"/>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int="eastAsia" w:hAnsi="宋体"/>
          <w:sz w:val="24"/>
          <w:szCs w:val="24"/>
        </w:rPr>
        <w:t>按照质量和服务均能满足单一来源采购文件实质性响应要求且报价合理的原则确定中标供应商。</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（二）协商小组负责具体评标事务，并独立履行下列职责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协商小组对符合资格的供应商的投标文件进行符合性审查，以确定其是否满足采购文件的商务、技术等实质性要求。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对于投标文件中含义不明确、同类问题表述不一致或者有明显文字和计算错误的内容，协商小组应当以书面形式要求供应商作出必要的澄清、说明或者补正。</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则投标文件中应根据本项目招标文件“第二章 项目需求”提供：</w:t>
      </w:r>
    </w:p>
    <w:p>
      <w:pPr>
        <w:pStyle w:val="12"/>
        <w:spacing w:line="360" w:lineRule="auto"/>
        <w:ind w:firstLine="465"/>
        <w:contextualSpacing/>
        <w:rPr>
          <w:rFonts w:hint="eastAsia"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0" w:firstLineChars="200"/>
        <w:contextualSpacing/>
        <w:rPr>
          <w:rFonts w:hAnsi="宋体" w:cs="宋体"/>
          <w:sz w:val="24"/>
          <w:szCs w:val="24"/>
          <w:lang w:val="zh-CN"/>
        </w:rPr>
      </w:pP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1）供应商应当遵循公平竞争的原则，不得恶意串通，不得妨碍其他供应商的竞争行为，不得损害采购人或者其他供应商的合法权益。在评标过程中发现供应商有上述情形的，协商小组应当认定其投标无效。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协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协商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协商小组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协商小组成员对需要共同认定的事项存在争议的，应当按照少数服从多数的原则作出结论。持不同意见的协商小组成员应当在评标报告上签署不同意见及理由，否则视为同意评标报告。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napToGrid w:val="0"/>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napToGrid w:val="0"/>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napToGrid w:val="0"/>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序号</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项  目</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w:t>
            </w:r>
          </w:p>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（有/没有）</w:t>
            </w: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投标文件中所在页码</w:t>
            </w: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投标人应答索引表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开标一览表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谈判响应函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4</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法定代表人（单位负责人）</w:t>
            </w:r>
            <w:r>
              <w:rPr>
                <w:rFonts w:cs="黑体" w:asciiTheme="minorEastAsia" w:hAnsiTheme="minorEastAsia" w:eastAsiaTheme="minorEastAsia"/>
                <w:bCs/>
                <w:kern w:val="2"/>
                <w:sz w:val="21"/>
                <w:szCs w:val="21"/>
                <w:lang w:val="zh-CN"/>
              </w:rPr>
              <w:t>资</w:t>
            </w:r>
            <w:r>
              <w:rPr>
                <w:rFonts w:hint="eastAsia" w:cs="黑体" w:asciiTheme="minorEastAsia" w:hAnsiTheme="minorEastAsia" w:eastAsiaTheme="minorEastAsia"/>
                <w:bCs/>
                <w:kern w:val="2"/>
                <w:sz w:val="21"/>
                <w:szCs w:val="21"/>
                <w:lang w:val="zh-CN"/>
              </w:rPr>
              <w:t>格</w:t>
            </w:r>
            <w:r>
              <w:rPr>
                <w:rFonts w:cs="黑体" w:asciiTheme="minorEastAsia" w:hAnsiTheme="minorEastAsia" w:eastAsiaTheme="minorEastAsia"/>
                <w:bCs/>
                <w:kern w:val="2"/>
                <w:sz w:val="21"/>
                <w:szCs w:val="21"/>
                <w:lang w:val="zh-CN"/>
              </w:rPr>
              <w:t>证</w:t>
            </w:r>
            <w:r>
              <w:rPr>
                <w:rFonts w:hint="eastAsia" w:cs="黑体" w:asciiTheme="minorEastAsia" w:hAnsiTheme="minorEastAsia" w:eastAsiaTheme="minorEastAsia"/>
                <w:bCs/>
                <w:kern w:val="2"/>
                <w:sz w:val="21"/>
                <w:szCs w:val="21"/>
                <w:lang w:val="zh-CN"/>
              </w:rPr>
              <w:t>明</w:t>
            </w:r>
            <w:r>
              <w:rPr>
                <w:rFonts w:cs="黑体" w:asciiTheme="minorEastAsia" w:hAnsiTheme="minorEastAsia" w:eastAsiaTheme="minorEastAsia"/>
                <w:bCs/>
                <w:kern w:val="2"/>
                <w:sz w:val="21"/>
                <w:szCs w:val="21"/>
                <w:lang w:val="zh-CN"/>
              </w:rPr>
              <w:t>书</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5</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法定代表人（单位负责人）授权书</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6</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营业执照等证明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7</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依法纳税凭据</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8</w:t>
            </w:r>
          </w:p>
        </w:tc>
        <w:tc>
          <w:tcPr>
            <w:tcW w:w="569" w:type="dxa"/>
            <w:vMerge w:val="restart"/>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经审计财务报告</w:t>
            </w: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资产负债表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利润表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现金流量表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所有者权益变动表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附注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基本开户银行资信证明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银行资信证明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政府采购投标担保函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9</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依法缴纳社会保险凭据</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10</w:t>
            </w:r>
          </w:p>
        </w:tc>
        <w:tc>
          <w:tcPr>
            <w:tcW w:w="569" w:type="dxa"/>
            <w:vMerge w:val="restart"/>
            <w:tcBorders>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证明材料</w:t>
            </w: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设备购置发票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技术人员职称证书</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用工合同</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3"/>
              </w:numPr>
              <w:tabs>
                <w:tab w:val="left" w:pos="1260"/>
                <w:tab w:val="clear" w:pos="42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6"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投标人相关承诺函或声明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11</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没有重大违法记录的声明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12</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投标人须具备的特殊资质证书</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13</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投标承诺函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14</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联合体协议</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15</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投标人与参加本项目投标的其他供应商之间，单位负责人不为同一人并且不存在直接控股、管理关系承诺函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16</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投标人未为本项目提供整体设计、规范编制或者项目管理、监理、检测等服务承诺函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17</w:t>
            </w:r>
          </w:p>
        </w:tc>
        <w:tc>
          <w:tcPr>
            <w:tcW w:w="3554" w:type="dxa"/>
            <w:gridSpan w:val="4"/>
            <w:tcBorders>
              <w:top w:val="doub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投标分项报价表</w:t>
            </w:r>
          </w:p>
        </w:tc>
        <w:tc>
          <w:tcPr>
            <w:tcW w:w="1563" w:type="dxa"/>
            <w:tcBorders>
              <w:top w:val="doub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tcBorders>
              <w:top w:val="doub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tcBorders>
              <w:top w:val="doub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18</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技术规格偏离表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19</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技术方案（实施方案）</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tcBorders>
              <w:top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tcBorders>
              <w:top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20</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售后服务方案</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21</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业绩情况表</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22</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政府强制采购节能产品品目清单情况</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23</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优先采购节能产品政府采购品目清单情况</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24</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优先采购环境标志产品政府采购品目清单情况</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25</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中小企业声明函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26</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残疾人福利性单位声明函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27</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监狱企业证明文件</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28</w:t>
            </w:r>
          </w:p>
        </w:tc>
        <w:tc>
          <w:tcPr>
            <w:tcW w:w="996" w:type="dxa"/>
            <w:gridSpan w:val="2"/>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CCC强制性产品认证</w:t>
            </w:r>
          </w:p>
        </w:tc>
        <w:tc>
          <w:tcPr>
            <w:tcW w:w="2558" w:type="dxa"/>
            <w:gridSpan w:val="2"/>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所投产品符合国家强制性要求承诺函</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cs="黑体" w:asciiTheme="minorEastAsia" w:hAnsiTheme="minorEastAsia" w:eastAsiaTheme="minorEastAsia"/>
                <w:bCs/>
                <w:kern w:val="2"/>
                <w:sz w:val="21"/>
                <w:szCs w:val="21"/>
              </w:rPr>
              <w:t>信息安全产品强制性认证</w:t>
            </w:r>
          </w:p>
        </w:tc>
        <w:tc>
          <w:tcPr>
            <w:tcW w:w="2558" w:type="dxa"/>
            <w:gridSpan w:val="2"/>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认证机构颁发的认证证书</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p>
        </w:tc>
        <w:tc>
          <w:tcPr>
            <w:tcW w:w="2558" w:type="dxa"/>
            <w:gridSpan w:val="2"/>
            <w:tcBorders>
              <w:left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中国信息安全认证中心官网产品查询结果截图</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30</w:t>
            </w:r>
          </w:p>
        </w:tc>
        <w:tc>
          <w:tcPr>
            <w:tcW w:w="3554" w:type="dxa"/>
            <w:gridSpan w:val="4"/>
            <w:tcBorders>
              <w:bottom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国家级贫困县域注册地证明材料</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31</w:t>
            </w:r>
          </w:p>
        </w:tc>
        <w:tc>
          <w:tcPr>
            <w:tcW w:w="3554" w:type="dxa"/>
            <w:gridSpan w:val="4"/>
            <w:tcBorders>
              <w:top w:val="single" w:color="auto" w:sz="4" w:space="0"/>
              <w:bottom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扶贫部门出具的聘用建档立卡贫困人员身份证明</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32</w:t>
            </w:r>
          </w:p>
        </w:tc>
        <w:tc>
          <w:tcPr>
            <w:tcW w:w="3554" w:type="dxa"/>
            <w:gridSpan w:val="4"/>
            <w:tcBorders>
              <w:top w:val="single" w:color="auto" w:sz="4" w:space="0"/>
            </w:tcBorders>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建档立卡贫困人员社保材料</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33</w:t>
            </w:r>
          </w:p>
        </w:tc>
        <w:tc>
          <w:tcPr>
            <w:tcW w:w="3554" w:type="dxa"/>
            <w:gridSpan w:val="4"/>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其它资料</w:t>
            </w:r>
          </w:p>
        </w:tc>
        <w:tc>
          <w:tcPr>
            <w:tcW w:w="156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spacing w:line="276" w:lineRule="auto"/>
              <w:contextualSpacing/>
              <w:jc w:val="center"/>
              <w:rPr>
                <w:rFonts w:cs="黑体" w:asciiTheme="minorEastAsia" w:hAnsiTheme="minorEastAsia" w:eastAsiaTheme="minorEastAsia"/>
                <w:bCs/>
                <w:kern w:val="2"/>
                <w:sz w:val="21"/>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二、协商响应函</w:t>
      </w: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协商响应函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采购的采购公告及协商邀请，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widowControl/>
        <w:jc w:val="left"/>
        <w:rPr>
          <w:rFonts w:cs="宋体" w:asciiTheme="minorEastAsia" w:hAnsiTheme="minorEastAsia"/>
          <w:sz w:val="24"/>
          <w:szCs w:val="24"/>
          <w:u w:val="single"/>
          <w:lang w:val="zh-CN"/>
        </w:rPr>
      </w:pPr>
      <w:r>
        <w:rPr>
          <w:rFonts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both"/>
        <w:rPr>
          <w:rFonts w:asciiTheme="majorEastAsia" w:hAnsiTheme="majorEastAsia" w:eastAsiaTheme="majorEastAsia"/>
          <w:b/>
          <w:snapToGrid w:val="0"/>
          <w:szCs w:val="24"/>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pStyle w:val="12"/>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加本协商</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以我方的名义参加贵方______________________项目的协商响应活动，并代表我方全权办理针对上述项目的协商、响应文件澄清、签约等一切具体事务和签署相关文件。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7"/>
        <w:shd w:val="clear" w:color="auto" w:fill="FFFFFF"/>
        <w:spacing w:before="0" w:beforeAutospacing="0" w:after="0" w:afterAutospacing="0" w:line="360" w:lineRule="auto"/>
        <w:jc w:val="center"/>
        <w:rPr>
          <w:rFonts w:ascii="微软雅黑" w:hAnsi="微软雅黑" w:eastAsia="微软雅黑" w:cs="微软雅黑"/>
          <w:color w:val="333333"/>
          <w:spacing w:val="8"/>
          <w:sz w:val="28"/>
          <w:szCs w:val="28"/>
        </w:rPr>
      </w:pPr>
      <w:r>
        <w:rPr>
          <w:rStyle w:val="19"/>
          <w:rFonts w:hint="eastAsia"/>
          <w:color w:val="333333"/>
          <w:spacing w:val="8"/>
          <w:sz w:val="28"/>
          <w:szCs w:val="28"/>
          <w:shd w:val="clear" w:color="auto" w:fill="FFFFFF"/>
        </w:rPr>
        <w:t>3.5投标承诺函</w:t>
      </w:r>
    </w:p>
    <w:p>
      <w:pPr>
        <w:pStyle w:val="17"/>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评标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中标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开标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招标文件</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7"/>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7"/>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spacing w:afterLines="50" w:line="320" w:lineRule="exact"/>
        <w:rPr>
          <w:rFonts w:hAnsi="宋体" w:cs="Arial"/>
          <w:color w:val="000000"/>
          <w:sz w:val="24"/>
        </w:rPr>
      </w:pPr>
    </w:p>
    <w:p>
      <w:pPr>
        <w:pStyle w:val="2"/>
      </w:pPr>
    </w:p>
    <w:p/>
    <w:p>
      <w:pPr>
        <w:pStyle w:val="2"/>
      </w:pPr>
    </w:p>
    <w:p>
      <w:pPr>
        <w:spacing w:afterLines="50" w:line="320" w:lineRule="exact"/>
        <w:rPr>
          <w:rFonts w:hAnsi="宋体" w:cs="Arial"/>
          <w:color w:val="000000"/>
          <w:sz w:val="24"/>
        </w:rPr>
      </w:pPr>
    </w:p>
    <w:p>
      <w:pPr>
        <w:spacing w:afterLines="50" w:line="320" w:lineRule="exact"/>
        <w:ind w:firstLine="2160" w:firstLineChars="900"/>
        <w:rPr>
          <w:rFonts w:cs="宋体" w:asciiTheme="minorEastAsia" w:hAnsiTheme="minorEastAsia"/>
          <w:szCs w:val="21"/>
        </w:rPr>
      </w:pPr>
      <w:r>
        <w:rPr>
          <w:rFonts w:hint="eastAsia" w:hAnsi="宋体" w:cs="Arial"/>
          <w:color w:val="000000"/>
          <w:sz w:val="24"/>
        </w:rPr>
        <w:t>供应商名称（并加盖公章）：</w:t>
      </w:r>
    </w:p>
    <w:p>
      <w:pPr>
        <w:pStyle w:val="7"/>
        <w:spacing w:before="60" w:afterLines="50" w:line="320" w:lineRule="exact"/>
        <w:ind w:firstLine="2160" w:firstLineChars="90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7"/>
        <w:spacing w:before="60" w:afterLines="50" w:line="320" w:lineRule="exact"/>
        <w:ind w:firstLine="2160" w:firstLineChars="90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4.2服务方案（实施方案）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（供应商根据采购文件要求自行编制）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4.3业绩情况表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4.5残疾人福利性单位声明函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采购文件</w:t>
      </w:r>
      <w:r>
        <w:rPr>
          <w:rFonts w:hAnsi="宋体"/>
          <w:b/>
          <w:bCs/>
          <w:color w:val="000000"/>
          <w:sz w:val="28"/>
          <w:szCs w:val="28"/>
        </w:rPr>
        <w:t>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54FB3"/>
    <w:rsid w:val="00064C4B"/>
    <w:rsid w:val="00065186"/>
    <w:rsid w:val="00074844"/>
    <w:rsid w:val="00074F30"/>
    <w:rsid w:val="000876DA"/>
    <w:rsid w:val="000C5597"/>
    <w:rsid w:val="000F298C"/>
    <w:rsid w:val="00110E1A"/>
    <w:rsid w:val="00136F64"/>
    <w:rsid w:val="00167F73"/>
    <w:rsid w:val="00173281"/>
    <w:rsid w:val="00175798"/>
    <w:rsid w:val="001B4C70"/>
    <w:rsid w:val="001C1DBB"/>
    <w:rsid w:val="001E1AEA"/>
    <w:rsid w:val="001E3386"/>
    <w:rsid w:val="001E3D5A"/>
    <w:rsid w:val="001F0AE8"/>
    <w:rsid w:val="00206BCC"/>
    <w:rsid w:val="0023161D"/>
    <w:rsid w:val="00250ADC"/>
    <w:rsid w:val="00254B40"/>
    <w:rsid w:val="002877B1"/>
    <w:rsid w:val="002A32CF"/>
    <w:rsid w:val="002A5B4E"/>
    <w:rsid w:val="002B2874"/>
    <w:rsid w:val="002B2EDD"/>
    <w:rsid w:val="002D0B7E"/>
    <w:rsid w:val="002D4290"/>
    <w:rsid w:val="002E7AE1"/>
    <w:rsid w:val="002F1083"/>
    <w:rsid w:val="00345458"/>
    <w:rsid w:val="00357796"/>
    <w:rsid w:val="00377552"/>
    <w:rsid w:val="003936F9"/>
    <w:rsid w:val="003A7AF6"/>
    <w:rsid w:val="003C40EB"/>
    <w:rsid w:val="003D4C01"/>
    <w:rsid w:val="004116D0"/>
    <w:rsid w:val="004213B4"/>
    <w:rsid w:val="00427A27"/>
    <w:rsid w:val="004316B8"/>
    <w:rsid w:val="00434D96"/>
    <w:rsid w:val="00434F96"/>
    <w:rsid w:val="00443960"/>
    <w:rsid w:val="00456158"/>
    <w:rsid w:val="00457066"/>
    <w:rsid w:val="004608CE"/>
    <w:rsid w:val="00473124"/>
    <w:rsid w:val="004B3890"/>
    <w:rsid w:val="004B452B"/>
    <w:rsid w:val="004B7C5D"/>
    <w:rsid w:val="004D1DB9"/>
    <w:rsid w:val="004D200C"/>
    <w:rsid w:val="004D33CF"/>
    <w:rsid w:val="004E0915"/>
    <w:rsid w:val="004F6468"/>
    <w:rsid w:val="00531498"/>
    <w:rsid w:val="00565514"/>
    <w:rsid w:val="00571BAE"/>
    <w:rsid w:val="005F62AF"/>
    <w:rsid w:val="006111F9"/>
    <w:rsid w:val="00625A8D"/>
    <w:rsid w:val="0065213F"/>
    <w:rsid w:val="006522DD"/>
    <w:rsid w:val="0066068E"/>
    <w:rsid w:val="00673F1C"/>
    <w:rsid w:val="0067420E"/>
    <w:rsid w:val="006775FF"/>
    <w:rsid w:val="00681519"/>
    <w:rsid w:val="0068675B"/>
    <w:rsid w:val="00687A3E"/>
    <w:rsid w:val="0069430D"/>
    <w:rsid w:val="006A3616"/>
    <w:rsid w:val="006F7006"/>
    <w:rsid w:val="006F711F"/>
    <w:rsid w:val="007515D3"/>
    <w:rsid w:val="00765139"/>
    <w:rsid w:val="00790749"/>
    <w:rsid w:val="007B5322"/>
    <w:rsid w:val="007C0584"/>
    <w:rsid w:val="007D346A"/>
    <w:rsid w:val="007D401B"/>
    <w:rsid w:val="007E3B24"/>
    <w:rsid w:val="00803E51"/>
    <w:rsid w:val="008065F1"/>
    <w:rsid w:val="008068C2"/>
    <w:rsid w:val="00823572"/>
    <w:rsid w:val="008518BF"/>
    <w:rsid w:val="00872646"/>
    <w:rsid w:val="008A0DEE"/>
    <w:rsid w:val="008A31F8"/>
    <w:rsid w:val="008A6D33"/>
    <w:rsid w:val="008B6859"/>
    <w:rsid w:val="008C3260"/>
    <w:rsid w:val="008C33B5"/>
    <w:rsid w:val="008C33E3"/>
    <w:rsid w:val="008D1B99"/>
    <w:rsid w:val="008D1F30"/>
    <w:rsid w:val="008E1320"/>
    <w:rsid w:val="008E7582"/>
    <w:rsid w:val="00900765"/>
    <w:rsid w:val="00902DF5"/>
    <w:rsid w:val="009147C7"/>
    <w:rsid w:val="00933923"/>
    <w:rsid w:val="00965FC7"/>
    <w:rsid w:val="009762AD"/>
    <w:rsid w:val="00990700"/>
    <w:rsid w:val="00991F33"/>
    <w:rsid w:val="009929A8"/>
    <w:rsid w:val="009F6ACA"/>
    <w:rsid w:val="00A04825"/>
    <w:rsid w:val="00A07AE0"/>
    <w:rsid w:val="00A07C08"/>
    <w:rsid w:val="00A17079"/>
    <w:rsid w:val="00A84EF9"/>
    <w:rsid w:val="00A87A9A"/>
    <w:rsid w:val="00AB1AA9"/>
    <w:rsid w:val="00AB491C"/>
    <w:rsid w:val="00AC1835"/>
    <w:rsid w:val="00AC4912"/>
    <w:rsid w:val="00AE32AA"/>
    <w:rsid w:val="00AF7309"/>
    <w:rsid w:val="00B11A7B"/>
    <w:rsid w:val="00B13B82"/>
    <w:rsid w:val="00B24055"/>
    <w:rsid w:val="00B26688"/>
    <w:rsid w:val="00B36743"/>
    <w:rsid w:val="00B60344"/>
    <w:rsid w:val="00B70127"/>
    <w:rsid w:val="00B70E3A"/>
    <w:rsid w:val="00B711BD"/>
    <w:rsid w:val="00B81F69"/>
    <w:rsid w:val="00B85CDE"/>
    <w:rsid w:val="00B963C5"/>
    <w:rsid w:val="00BD57ED"/>
    <w:rsid w:val="00BF4888"/>
    <w:rsid w:val="00C14B30"/>
    <w:rsid w:val="00C20DB7"/>
    <w:rsid w:val="00C35BF1"/>
    <w:rsid w:val="00C672C2"/>
    <w:rsid w:val="00C83ABB"/>
    <w:rsid w:val="00C8775B"/>
    <w:rsid w:val="00C9151D"/>
    <w:rsid w:val="00CB5EE3"/>
    <w:rsid w:val="00CD4F30"/>
    <w:rsid w:val="00CE2A9E"/>
    <w:rsid w:val="00CF1156"/>
    <w:rsid w:val="00D02E05"/>
    <w:rsid w:val="00D04EFE"/>
    <w:rsid w:val="00D469FC"/>
    <w:rsid w:val="00D54319"/>
    <w:rsid w:val="00D6385B"/>
    <w:rsid w:val="00DA33BD"/>
    <w:rsid w:val="00DA7E51"/>
    <w:rsid w:val="00DC6421"/>
    <w:rsid w:val="00DC7B76"/>
    <w:rsid w:val="00DC7D63"/>
    <w:rsid w:val="00DD00ED"/>
    <w:rsid w:val="00E14612"/>
    <w:rsid w:val="00E3412F"/>
    <w:rsid w:val="00E4256F"/>
    <w:rsid w:val="00E54A03"/>
    <w:rsid w:val="00E554F4"/>
    <w:rsid w:val="00E65DA8"/>
    <w:rsid w:val="00E75B1E"/>
    <w:rsid w:val="00E80973"/>
    <w:rsid w:val="00E849EC"/>
    <w:rsid w:val="00E96128"/>
    <w:rsid w:val="00EB1426"/>
    <w:rsid w:val="00EB25BD"/>
    <w:rsid w:val="00EC52D6"/>
    <w:rsid w:val="00ED089C"/>
    <w:rsid w:val="00EE30CD"/>
    <w:rsid w:val="00EE38BD"/>
    <w:rsid w:val="00EF1EB0"/>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847D33"/>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0"/>
    <w:qFormat/>
    <w:uiPriority w:val="0"/>
    <w:pPr>
      <w:ind w:firstLine="420" w:firstLineChars="100"/>
    </w:pPr>
  </w:style>
  <w:style w:type="paragraph" w:styleId="6">
    <w:name w:val="Body Text"/>
    <w:basedOn w:val="1"/>
    <w:link w:val="29"/>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3"/>
    <w:semiHidden/>
    <w:unhideWhenUsed/>
    <w:qFormat/>
    <w:uiPriority w:val="99"/>
    <w:pPr>
      <w:spacing w:after="120"/>
    </w:pPr>
    <w:rPr>
      <w:sz w:val="16"/>
      <w:szCs w:val="16"/>
    </w:rPr>
  </w:style>
  <w:style w:type="paragraph" w:styleId="11">
    <w:name w:val="Body Text Indent"/>
    <w:basedOn w:val="1"/>
    <w:link w:val="27"/>
    <w:qFormat/>
    <w:uiPriority w:val="0"/>
    <w:pPr>
      <w:spacing w:after="120"/>
      <w:ind w:left="420" w:leftChars="200"/>
    </w:pPr>
  </w:style>
  <w:style w:type="paragraph" w:styleId="12">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6"/>
    <w:qFormat/>
    <w:uiPriority w:val="0"/>
    <w:pPr>
      <w:ind w:left="100" w:leftChars="2500"/>
    </w:pPr>
  </w:style>
  <w:style w:type="paragraph" w:styleId="14">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0"/>
    <w:semiHidden/>
    <w:unhideWhenUsed/>
    <w:qFormat/>
    <w:uiPriority w:val="99"/>
    <w:pPr>
      <w:tabs>
        <w:tab w:val="center" w:pos="4153"/>
        <w:tab w:val="right" w:pos="8306"/>
      </w:tabs>
      <w:snapToGrid w:val="0"/>
      <w:jc w:val="left"/>
    </w:pPr>
    <w:rPr>
      <w:sz w:val="18"/>
      <w:szCs w:val="18"/>
    </w:rPr>
  </w:style>
  <w:style w:type="paragraph" w:styleId="1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hAnsi="宋体" w:cs="宋体"/>
      <w:sz w:val="24"/>
      <w:szCs w:val="24"/>
    </w:rPr>
  </w:style>
  <w:style w:type="character" w:styleId="19">
    <w:name w:val="Strong"/>
    <w:basedOn w:val="18"/>
    <w:qFormat/>
    <w:uiPriority w:val="22"/>
    <w:rPr>
      <w:b/>
    </w:rPr>
  </w:style>
  <w:style w:type="character" w:styleId="20">
    <w:name w:val="FollowedHyperlink"/>
    <w:basedOn w:val="18"/>
    <w:semiHidden/>
    <w:unhideWhenUsed/>
    <w:qFormat/>
    <w:uiPriority w:val="99"/>
    <w:rPr>
      <w:color w:val="000000"/>
      <w:u w:val="none"/>
    </w:rPr>
  </w:style>
  <w:style w:type="character" w:styleId="21">
    <w:name w:val="Emphasis"/>
    <w:basedOn w:val="18"/>
    <w:qFormat/>
    <w:uiPriority w:val="20"/>
  </w:style>
  <w:style w:type="character" w:styleId="22">
    <w:name w:val="Hyperlink"/>
    <w:qFormat/>
    <w:uiPriority w:val="0"/>
    <w:rPr>
      <w:color w:val="444444"/>
      <w:u w:val="none"/>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8"/>
    <w:link w:val="2"/>
    <w:qFormat/>
    <w:uiPriority w:val="0"/>
    <w:rPr>
      <w:rFonts w:ascii="宋体" w:hAnsi="Times New Roman" w:eastAsia="宋体" w:cs="Times New Roman"/>
      <w:b/>
      <w:bCs/>
      <w:kern w:val="44"/>
      <w:sz w:val="44"/>
      <w:szCs w:val="44"/>
    </w:rPr>
  </w:style>
  <w:style w:type="character" w:customStyle="1" w:styleId="26">
    <w:name w:val="日期 Char"/>
    <w:basedOn w:val="18"/>
    <w:link w:val="13"/>
    <w:qFormat/>
    <w:uiPriority w:val="0"/>
    <w:rPr>
      <w:rFonts w:ascii="宋体" w:hAnsi="Times New Roman" w:eastAsia="宋体" w:cs="Times New Roman"/>
      <w:kern w:val="0"/>
      <w:sz w:val="34"/>
      <w:szCs w:val="20"/>
    </w:rPr>
  </w:style>
  <w:style w:type="character" w:customStyle="1" w:styleId="27">
    <w:name w:val="正文文本缩进 Char"/>
    <w:basedOn w:val="18"/>
    <w:link w:val="11"/>
    <w:qFormat/>
    <w:uiPriority w:val="0"/>
    <w:rPr>
      <w:rFonts w:ascii="宋体" w:hAnsi="Times New Roman" w:eastAsia="宋体" w:cs="Times New Roman"/>
      <w:kern w:val="0"/>
      <w:sz w:val="34"/>
      <w:szCs w:val="20"/>
    </w:rPr>
  </w:style>
  <w:style w:type="character" w:customStyle="1" w:styleId="28">
    <w:name w:val="日期 Char1"/>
    <w:basedOn w:val="18"/>
    <w:semiHidden/>
    <w:qFormat/>
    <w:uiPriority w:val="99"/>
    <w:rPr>
      <w:rFonts w:ascii="宋体" w:hAnsi="Times New Roman" w:eastAsia="宋体" w:cs="Times New Roman"/>
      <w:kern w:val="0"/>
      <w:sz w:val="34"/>
      <w:szCs w:val="20"/>
    </w:rPr>
  </w:style>
  <w:style w:type="character" w:customStyle="1" w:styleId="29">
    <w:name w:val="正文文本 Char"/>
    <w:basedOn w:val="18"/>
    <w:link w:val="6"/>
    <w:qFormat/>
    <w:uiPriority w:val="99"/>
    <w:rPr>
      <w:rFonts w:ascii="宋体" w:hAnsi="Times New Roman" w:eastAsia="宋体" w:cs="Times New Roman"/>
      <w:kern w:val="0"/>
      <w:sz w:val="34"/>
      <w:szCs w:val="20"/>
    </w:rPr>
  </w:style>
  <w:style w:type="character" w:customStyle="1" w:styleId="30">
    <w:name w:val="正文首行缩进 Char"/>
    <w:basedOn w:val="29"/>
    <w:link w:val="5"/>
    <w:qFormat/>
    <w:uiPriority w:val="0"/>
    <w:rPr>
      <w:rFonts w:ascii="宋体" w:hAnsi="Times New Roman" w:eastAsia="宋体" w:cs="Times New Roman"/>
      <w:kern w:val="0"/>
      <w:sz w:val="34"/>
      <w:szCs w:val="20"/>
    </w:rPr>
  </w:style>
  <w:style w:type="character" w:customStyle="1" w:styleId="31">
    <w:name w:val="正文文本缩进 Char1"/>
    <w:basedOn w:val="18"/>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Char"/>
    <w:basedOn w:val="18"/>
    <w:link w:val="10"/>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Char"/>
    <w:basedOn w:val="18"/>
    <w:link w:val="12"/>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Char"/>
    <w:basedOn w:val="18"/>
    <w:link w:val="16"/>
    <w:semiHidden/>
    <w:qFormat/>
    <w:uiPriority w:val="99"/>
    <w:rPr>
      <w:rFonts w:ascii="宋体" w:hAnsi="Times New Roman" w:eastAsia="宋体" w:cs="Times New Roman"/>
      <w:kern w:val="0"/>
      <w:sz w:val="18"/>
      <w:szCs w:val="18"/>
    </w:rPr>
  </w:style>
  <w:style w:type="character" w:customStyle="1" w:styleId="40">
    <w:name w:val="页脚 Char"/>
    <w:basedOn w:val="18"/>
    <w:link w:val="15"/>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Char"/>
    <w:basedOn w:val="18"/>
    <w:link w:val="14"/>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18"/>
    <w:qFormat/>
    <w:uiPriority w:val="0"/>
  </w:style>
  <w:style w:type="character" w:customStyle="1" w:styleId="48">
    <w:name w:val="blue"/>
    <w:basedOn w:val="18"/>
    <w:qFormat/>
    <w:uiPriority w:val="0"/>
    <w:rPr>
      <w:color w:val="0371C6"/>
      <w:sz w:val="21"/>
      <w:szCs w:val="21"/>
    </w:rPr>
  </w:style>
  <w:style w:type="character" w:customStyle="1" w:styleId="49">
    <w:name w:val="red"/>
    <w:basedOn w:val="18"/>
    <w:qFormat/>
    <w:uiPriority w:val="0"/>
    <w:rPr>
      <w:color w:val="FF0000"/>
      <w:sz w:val="18"/>
      <w:szCs w:val="18"/>
    </w:rPr>
  </w:style>
  <w:style w:type="character" w:customStyle="1" w:styleId="50">
    <w:name w:val="red1"/>
    <w:basedOn w:val="18"/>
    <w:qFormat/>
    <w:uiPriority w:val="0"/>
    <w:rPr>
      <w:color w:val="FF0000"/>
      <w:sz w:val="18"/>
      <w:szCs w:val="18"/>
    </w:rPr>
  </w:style>
  <w:style w:type="character" w:customStyle="1" w:styleId="51">
    <w:name w:val="red2"/>
    <w:basedOn w:val="18"/>
    <w:qFormat/>
    <w:uiPriority w:val="0"/>
    <w:rPr>
      <w:color w:val="CC0000"/>
    </w:rPr>
  </w:style>
  <w:style w:type="character" w:customStyle="1" w:styleId="52">
    <w:name w:val="red3"/>
    <w:basedOn w:val="18"/>
    <w:qFormat/>
    <w:uiPriority w:val="0"/>
    <w:rPr>
      <w:color w:val="FF0000"/>
    </w:rPr>
  </w:style>
  <w:style w:type="character" w:customStyle="1" w:styleId="53">
    <w:name w:val="green"/>
    <w:basedOn w:val="18"/>
    <w:qFormat/>
    <w:uiPriority w:val="0"/>
    <w:rPr>
      <w:color w:val="66AE00"/>
      <w:sz w:val="18"/>
      <w:szCs w:val="18"/>
    </w:rPr>
  </w:style>
  <w:style w:type="character" w:customStyle="1" w:styleId="54">
    <w:name w:val="green1"/>
    <w:basedOn w:val="18"/>
    <w:qFormat/>
    <w:uiPriority w:val="0"/>
    <w:rPr>
      <w:color w:val="66AE00"/>
      <w:sz w:val="18"/>
      <w:szCs w:val="18"/>
    </w:rPr>
  </w:style>
  <w:style w:type="character" w:customStyle="1" w:styleId="55">
    <w:name w:val="gb-jt"/>
    <w:basedOn w:val="18"/>
    <w:qFormat/>
    <w:uiPriority w:val="0"/>
  </w:style>
  <w:style w:type="character" w:customStyle="1" w:styleId="56">
    <w:name w:val="right"/>
    <w:basedOn w:val="18"/>
    <w:qFormat/>
    <w:uiPriority w:val="0"/>
    <w:rPr>
      <w:color w:val="999999"/>
      <w:sz w:val="18"/>
      <w:szCs w:val="18"/>
    </w:rPr>
  </w:style>
  <w:style w:type="character" w:customStyle="1" w:styleId="57">
    <w:name w:val="hover25"/>
    <w:basedOn w:val="18"/>
    <w:qFormat/>
    <w:uiPriority w:val="0"/>
  </w:style>
  <w:style w:type="character" w:customStyle="1" w:styleId="58">
    <w:name w:val="标题 2 Char"/>
    <w:basedOn w:val="18"/>
    <w:link w:val="3"/>
    <w:qFormat/>
    <w:uiPriority w:val="0"/>
    <w:rPr>
      <w:rFonts w:ascii="Arial" w:hAnsi="Arial" w:eastAsia="黑体"/>
      <w:b/>
      <w:bCs/>
      <w:sz w:val="32"/>
      <w:szCs w:val="32"/>
    </w:rPr>
  </w:style>
  <w:style w:type="character" w:customStyle="1" w:styleId="59">
    <w:name w:val="l_9"/>
    <w:basedOn w:val="18"/>
    <w:qFormat/>
    <w:uiPriority w:val="0"/>
  </w:style>
  <w:style w:type="character" w:customStyle="1" w:styleId="60">
    <w:name w:val="icon_xglc"/>
    <w:basedOn w:val="18"/>
    <w:qFormat/>
    <w:uiPriority w:val="0"/>
  </w:style>
  <w:style w:type="character" w:customStyle="1" w:styleId="61">
    <w:name w:val="icon_cxkcyry"/>
    <w:basedOn w:val="18"/>
    <w:qFormat/>
    <w:uiPriority w:val="0"/>
  </w:style>
  <w:style w:type="character" w:customStyle="1" w:styleId="62">
    <w:name w:val="swapimg4"/>
    <w:basedOn w:val="18"/>
    <w:qFormat/>
    <w:uiPriority w:val="0"/>
  </w:style>
  <w:style w:type="character" w:customStyle="1" w:styleId="63">
    <w:name w:val="swapimg5"/>
    <w:basedOn w:val="18"/>
    <w:qFormat/>
    <w:uiPriority w:val="0"/>
  </w:style>
  <w:style w:type="character" w:customStyle="1" w:styleId="64">
    <w:name w:val="menutitle10"/>
    <w:basedOn w:val="18"/>
    <w:qFormat/>
    <w:uiPriority w:val="0"/>
    <w:rPr>
      <w:color w:val="333333"/>
      <w:sz w:val="24"/>
      <w:szCs w:val="24"/>
    </w:rPr>
  </w:style>
  <w:style w:type="character" w:customStyle="1" w:styleId="65">
    <w:name w:val="menutitle11"/>
    <w:basedOn w:val="18"/>
    <w:qFormat/>
    <w:uiPriority w:val="0"/>
    <w:rPr>
      <w:color w:val="333333"/>
      <w:sz w:val="24"/>
      <w:szCs w:val="24"/>
    </w:rPr>
  </w:style>
  <w:style w:type="character" w:customStyle="1" w:styleId="66">
    <w:name w:val="focus2"/>
    <w:basedOn w:val="18"/>
    <w:qFormat/>
    <w:uiPriority w:val="0"/>
    <w:rPr>
      <w:b/>
      <w:color w:val="000000"/>
    </w:rPr>
  </w:style>
  <w:style w:type="character" w:customStyle="1" w:styleId="67">
    <w:name w:val="searchclose"/>
    <w:basedOn w:val="18"/>
    <w:qFormat/>
    <w:uiPriority w:val="0"/>
  </w:style>
  <w:style w:type="character" w:customStyle="1" w:styleId="68">
    <w:name w:val="l_7"/>
    <w:basedOn w:val="18"/>
    <w:qFormat/>
    <w:uiPriority w:val="0"/>
  </w:style>
  <w:style w:type="character" w:customStyle="1" w:styleId="69">
    <w:name w:val="l_71"/>
    <w:basedOn w:val="18"/>
    <w:qFormat/>
    <w:uiPriority w:val="0"/>
  </w:style>
  <w:style w:type="character" w:customStyle="1" w:styleId="70">
    <w:name w:val="close6"/>
    <w:basedOn w:val="18"/>
    <w:qFormat/>
    <w:uiPriority w:val="0"/>
  </w:style>
  <w:style w:type="character" w:customStyle="1" w:styleId="71">
    <w:name w:val="icon_dljg"/>
    <w:basedOn w:val="18"/>
    <w:qFormat/>
    <w:uiPriority w:val="0"/>
  </w:style>
  <w:style w:type="character" w:customStyle="1" w:styleId="72">
    <w:name w:val="icon_cxktbr"/>
    <w:basedOn w:val="18"/>
    <w:qFormat/>
    <w:uiPriority w:val="0"/>
  </w:style>
  <w:style w:type="character" w:customStyle="1" w:styleId="73">
    <w:name w:val="searchopen"/>
    <w:basedOn w:val="18"/>
    <w:qFormat/>
    <w:uiPriority w:val="0"/>
  </w:style>
  <w:style w:type="character" w:customStyle="1" w:styleId="74">
    <w:name w:val="l_1"/>
    <w:basedOn w:val="18"/>
    <w:qFormat/>
    <w:uiPriority w:val="0"/>
  </w:style>
  <w:style w:type="character" w:customStyle="1" w:styleId="75">
    <w:name w:val="l_11"/>
    <w:basedOn w:val="18"/>
    <w:qFormat/>
    <w:uiPriority w:val="0"/>
  </w:style>
  <w:style w:type="character" w:customStyle="1" w:styleId="76">
    <w:name w:val="icon_gzkj"/>
    <w:basedOn w:val="18"/>
    <w:qFormat/>
    <w:uiPriority w:val="0"/>
  </w:style>
  <w:style w:type="character" w:customStyle="1" w:styleId="77">
    <w:name w:val="icon_lzrz"/>
    <w:basedOn w:val="18"/>
    <w:qFormat/>
    <w:uiPriority w:val="0"/>
  </w:style>
  <w:style w:type="character" w:customStyle="1" w:styleId="78">
    <w:name w:val="icon_xzry"/>
    <w:basedOn w:val="18"/>
    <w:qFormat/>
    <w:uiPriority w:val="0"/>
  </w:style>
  <w:style w:type="character" w:customStyle="1" w:styleId="79">
    <w:name w:val="m-text"/>
    <w:basedOn w:val="18"/>
    <w:qFormat/>
    <w:uiPriority w:val="0"/>
  </w:style>
  <w:style w:type="character" w:customStyle="1" w:styleId="80">
    <w:name w:val="l_3"/>
    <w:basedOn w:val="18"/>
    <w:qFormat/>
    <w:uiPriority w:val="0"/>
  </w:style>
  <w:style w:type="character" w:customStyle="1" w:styleId="81">
    <w:name w:val="l_31"/>
    <w:basedOn w:val="18"/>
    <w:qFormat/>
    <w:uiPriority w:val="0"/>
  </w:style>
  <w:style w:type="character" w:customStyle="1" w:styleId="82">
    <w:name w:val="l_0"/>
    <w:basedOn w:val="18"/>
    <w:qFormat/>
    <w:uiPriority w:val="0"/>
  </w:style>
  <w:style w:type="character" w:customStyle="1" w:styleId="83">
    <w:name w:val="l_01"/>
    <w:basedOn w:val="18"/>
    <w:qFormat/>
    <w:uiPriority w:val="0"/>
  </w:style>
  <w:style w:type="character" w:customStyle="1" w:styleId="84">
    <w:name w:val="l_4"/>
    <w:basedOn w:val="18"/>
    <w:qFormat/>
    <w:uiPriority w:val="0"/>
  </w:style>
  <w:style w:type="character" w:customStyle="1" w:styleId="85">
    <w:name w:val="l_41"/>
    <w:basedOn w:val="18"/>
    <w:qFormat/>
    <w:uiPriority w:val="0"/>
  </w:style>
  <w:style w:type="character" w:customStyle="1" w:styleId="86">
    <w:name w:val="l_2"/>
    <w:basedOn w:val="18"/>
    <w:qFormat/>
    <w:uiPriority w:val="0"/>
  </w:style>
  <w:style w:type="character" w:customStyle="1" w:styleId="87">
    <w:name w:val="l_21"/>
    <w:basedOn w:val="18"/>
    <w:qFormat/>
    <w:uiPriority w:val="0"/>
  </w:style>
  <w:style w:type="character" w:customStyle="1" w:styleId="88">
    <w:name w:val="l_5"/>
    <w:basedOn w:val="18"/>
    <w:qFormat/>
    <w:uiPriority w:val="0"/>
  </w:style>
  <w:style w:type="character" w:customStyle="1" w:styleId="89">
    <w:name w:val="l_51"/>
    <w:basedOn w:val="18"/>
    <w:qFormat/>
    <w:uiPriority w:val="0"/>
  </w:style>
  <w:style w:type="character" w:customStyle="1" w:styleId="90">
    <w:name w:val="color_cdyy"/>
    <w:basedOn w:val="18"/>
    <w:qFormat/>
    <w:uiPriority w:val="0"/>
    <w:rPr>
      <w:color w:val="FFFFFF"/>
      <w:bdr w:val="single" w:color="FFFFFF" w:sz="6" w:space="0"/>
    </w:rPr>
  </w:style>
  <w:style w:type="character" w:customStyle="1" w:styleId="91">
    <w:name w:val="l_6"/>
    <w:basedOn w:val="18"/>
    <w:qFormat/>
    <w:uiPriority w:val="0"/>
  </w:style>
  <w:style w:type="character" w:customStyle="1" w:styleId="92">
    <w:name w:val="l_61"/>
    <w:basedOn w:val="18"/>
    <w:qFormat/>
    <w:uiPriority w:val="0"/>
  </w:style>
  <w:style w:type="character" w:customStyle="1" w:styleId="93">
    <w:name w:val="l_8"/>
    <w:basedOn w:val="18"/>
    <w:qFormat/>
    <w:uiPriority w:val="0"/>
  </w:style>
  <w:style w:type="character" w:customStyle="1" w:styleId="94">
    <w:name w:val="l_81"/>
    <w:basedOn w:val="18"/>
    <w:qFormat/>
    <w:uiPriority w:val="0"/>
  </w:style>
  <w:style w:type="character" w:customStyle="1" w:styleId="95">
    <w:name w:val="l_10"/>
    <w:basedOn w:val="18"/>
    <w:qFormat/>
    <w:uiPriority w:val="0"/>
  </w:style>
  <w:style w:type="character" w:customStyle="1" w:styleId="96">
    <w:name w:val="l_101"/>
    <w:basedOn w:val="18"/>
    <w:qFormat/>
    <w:uiPriority w:val="0"/>
  </w:style>
  <w:style w:type="character" w:customStyle="1" w:styleId="97">
    <w:name w:val="l_111"/>
    <w:basedOn w:val="18"/>
    <w:qFormat/>
    <w:uiPriority w:val="0"/>
  </w:style>
  <w:style w:type="character" w:customStyle="1" w:styleId="98">
    <w:name w:val="l_112"/>
    <w:basedOn w:val="18"/>
    <w:qFormat/>
    <w:uiPriority w:val="0"/>
  </w:style>
  <w:style w:type="character" w:customStyle="1" w:styleId="99">
    <w:name w:val="l_12"/>
    <w:basedOn w:val="18"/>
    <w:qFormat/>
    <w:uiPriority w:val="0"/>
  </w:style>
  <w:style w:type="character" w:customStyle="1" w:styleId="100">
    <w:name w:val="l_121"/>
    <w:basedOn w:val="18"/>
    <w:qFormat/>
    <w:uiPriority w:val="0"/>
  </w:style>
  <w:style w:type="character" w:customStyle="1" w:styleId="101">
    <w:name w:val="l_13"/>
    <w:basedOn w:val="18"/>
    <w:qFormat/>
    <w:uiPriority w:val="0"/>
  </w:style>
  <w:style w:type="character" w:customStyle="1" w:styleId="102">
    <w:name w:val="l_131"/>
    <w:basedOn w:val="18"/>
    <w:qFormat/>
    <w:uiPriority w:val="0"/>
  </w:style>
  <w:style w:type="character" w:customStyle="1" w:styleId="103">
    <w:name w:val="l_14"/>
    <w:basedOn w:val="18"/>
    <w:qFormat/>
    <w:uiPriority w:val="0"/>
  </w:style>
  <w:style w:type="character" w:customStyle="1" w:styleId="104">
    <w:name w:val="l_141"/>
    <w:basedOn w:val="18"/>
    <w:qFormat/>
    <w:uiPriority w:val="0"/>
  </w:style>
  <w:style w:type="character" w:customStyle="1" w:styleId="105">
    <w:name w:val="l_15"/>
    <w:basedOn w:val="18"/>
    <w:qFormat/>
    <w:uiPriority w:val="0"/>
  </w:style>
  <w:style w:type="character" w:customStyle="1" w:styleId="106">
    <w:name w:val="l_151"/>
    <w:basedOn w:val="18"/>
    <w:qFormat/>
    <w:uiPriority w:val="0"/>
  </w:style>
  <w:style w:type="paragraph" w:customStyle="1" w:styleId="107">
    <w:name w:val="列出段落2"/>
    <w:basedOn w:val="1"/>
    <w:qFormat/>
    <w:uiPriority w:val="99"/>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5340</Words>
  <Characters>30443</Characters>
  <Lines>253</Lines>
  <Paragraphs>71</Paragraphs>
  <TotalTime>1</TotalTime>
  <ScaleCrop>false</ScaleCrop>
  <LinksUpToDate>false</LinksUpToDate>
  <CharactersWithSpaces>35712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陕西瑞珂工程咨询有限责任公司:时运龙</cp:lastModifiedBy>
  <cp:lastPrinted>2019-09-19T01:14:00Z</cp:lastPrinted>
  <dcterms:modified xsi:type="dcterms:W3CDTF">2019-09-20T01:54:41Z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