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52"/>
          <w:szCs w:val="52"/>
        </w:rPr>
      </w:pPr>
      <w:r>
        <w:rPr>
          <w:rFonts w:hint="eastAsia" w:hAnsi="宋体" w:cs="宋体"/>
          <w:b/>
          <w:sz w:val="52"/>
          <w:szCs w:val="52"/>
        </w:rPr>
        <w:t>许昌市2019年环卫基础设施提升项目</w:t>
      </w:r>
    </w:p>
    <w:p>
      <w:pPr>
        <w:autoSpaceDE w:val="0"/>
        <w:autoSpaceDN w:val="0"/>
        <w:adjustRightInd w:val="0"/>
        <w:jc w:val="center"/>
        <w:rPr>
          <w:rFonts w:hAnsi="宋体" w:cs="宋体"/>
          <w:b/>
          <w:sz w:val="52"/>
          <w:szCs w:val="52"/>
        </w:rPr>
      </w:pPr>
      <w:r>
        <w:rPr>
          <w:rFonts w:hint="eastAsia" w:hAnsi="宋体" w:cs="宋体"/>
          <w:b/>
          <w:sz w:val="52"/>
          <w:szCs w:val="52"/>
        </w:rPr>
        <w:t>-4座公厕拆除重建</w:t>
      </w:r>
    </w:p>
    <w:p>
      <w:pPr>
        <w:autoSpaceDE w:val="0"/>
        <w:autoSpaceDN w:val="0"/>
        <w:adjustRightInd w:val="0"/>
        <w:ind w:firstLine="720" w:firstLineChars="100"/>
        <w:rPr>
          <w:rFonts w:hAnsi="宋体" w:cs="宋体"/>
          <w:b/>
          <w:sz w:val="72"/>
          <w:szCs w:val="72"/>
        </w:rPr>
      </w:pP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autoSpaceDE w:val="0"/>
        <w:autoSpaceDN w:val="0"/>
        <w:adjustRightInd w:val="0"/>
        <w:ind w:firstLine="3060" w:firstLineChars="850"/>
        <w:rPr>
          <w:rFonts w:hAnsi="宋体" w:cs="宋体"/>
          <w:b/>
          <w:sz w:val="32"/>
          <w:szCs w:val="32"/>
        </w:rPr>
      </w:pPr>
      <w:r>
        <w:rPr>
          <w:rFonts w:hint="eastAsia" w:hAnsi="宋体" w:cs="宋体"/>
          <w:b/>
          <w:sz w:val="36"/>
          <w:szCs w:val="36"/>
        </w:rPr>
        <w:t xml:space="preserve">项目编号：XCGC-F2019227 </w:t>
      </w: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spacing w:line="360" w:lineRule="auto"/>
        <w:ind w:firstLine="1600" w:firstLineChars="500"/>
        <w:rPr>
          <w:b/>
          <w:bCs/>
          <w:kern w:val="2"/>
          <w:sz w:val="32"/>
          <w:szCs w:val="32"/>
        </w:rPr>
      </w:pPr>
      <w:r>
        <w:rPr>
          <w:rFonts w:hint="eastAsia"/>
          <w:b/>
          <w:bCs/>
          <w:kern w:val="2"/>
          <w:sz w:val="32"/>
          <w:szCs w:val="32"/>
        </w:rPr>
        <w:t>招标单位：许昌市环境卫生管理处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b/>
          <w:bCs/>
          <w:kern w:val="2"/>
          <w:sz w:val="32"/>
          <w:szCs w:val="32"/>
        </w:rPr>
      </w:pPr>
      <w:r>
        <w:rPr>
          <w:rFonts w:hint="eastAsia"/>
          <w:b/>
          <w:bCs/>
          <w:kern w:val="2"/>
          <w:sz w:val="32"/>
          <w:szCs w:val="32"/>
        </w:rPr>
        <w:t>二零一九年九月</w:t>
      </w:r>
    </w:p>
    <w:p>
      <w:pPr>
        <w:jc w:val="cente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11" w:type="first"/>
          <w:headerReference r:id="rId9" w:type="default"/>
          <w:footerReference r:id="rId10" w:type="default"/>
          <w:pgSz w:w="11906" w:h="16838"/>
          <w:pgMar w:top="1304" w:right="1134" w:bottom="1304" w:left="1134" w:header="851" w:footer="992" w:gutter="0"/>
          <w:pgNumType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autoSpaceDE w:val="0"/>
        <w:autoSpaceDN w:val="0"/>
        <w:adjustRightInd w:val="0"/>
        <w:jc w:val="center"/>
        <w:rPr>
          <w:b/>
          <w:sz w:val="28"/>
          <w:szCs w:val="28"/>
        </w:rPr>
      </w:pPr>
      <w:r>
        <w:rPr>
          <w:rFonts w:hint="eastAsia"/>
          <w:b/>
          <w:sz w:val="28"/>
          <w:szCs w:val="28"/>
        </w:rPr>
        <w:t>XCGC-F2019227许昌市环境卫生管理处“许昌市2019年环卫基础设施提升项目</w:t>
      </w:r>
    </w:p>
    <w:p>
      <w:pPr>
        <w:autoSpaceDE w:val="0"/>
        <w:autoSpaceDN w:val="0"/>
        <w:adjustRightInd w:val="0"/>
        <w:jc w:val="center"/>
        <w:rPr>
          <w:b/>
          <w:sz w:val="28"/>
          <w:szCs w:val="28"/>
        </w:rPr>
      </w:pPr>
      <w:r>
        <w:rPr>
          <w:rFonts w:hint="eastAsia"/>
          <w:b/>
          <w:sz w:val="28"/>
          <w:szCs w:val="28"/>
        </w:rPr>
        <w:t>——4座公厕拆除重建”招标公告</w:t>
      </w:r>
    </w:p>
    <w:p>
      <w:pPr>
        <w:widowControl/>
        <w:spacing w:line="380" w:lineRule="exact"/>
        <w:rPr>
          <w:b/>
          <w:color w:val="000000"/>
          <w:sz w:val="24"/>
        </w:rPr>
      </w:pPr>
      <w:r>
        <w:rPr>
          <w:rFonts w:hint="eastAsia" w:hAnsi="宋体" w:cs="宋体"/>
          <w:b/>
          <w:color w:val="000000"/>
          <w:sz w:val="24"/>
        </w:rPr>
        <w:t>一、招标条件</w:t>
      </w:r>
    </w:p>
    <w:p>
      <w:pPr>
        <w:tabs>
          <w:tab w:val="left" w:pos="6120"/>
        </w:tabs>
        <w:spacing w:line="480" w:lineRule="exact"/>
        <w:ind w:firstLine="480" w:firstLineChars="200"/>
        <w:rPr>
          <w:rFonts w:hAnsi="宋体" w:cs="宋体"/>
          <w:sz w:val="24"/>
          <w:szCs w:val="24"/>
        </w:rPr>
      </w:pPr>
      <w:r>
        <w:rPr>
          <w:rFonts w:hint="eastAsia" w:hAnsi="宋体" w:cs="宋体"/>
          <w:sz w:val="24"/>
          <w:szCs w:val="24"/>
        </w:rPr>
        <w:t>许昌市2019年环卫基础设施提升项目—4座公厕拆除重建，已由许昌市发展和改革委员会以许发改城市审【2019】19号文件批准建设，招标人为许昌市环境卫生管理处，建设资金为财政资金，项目出资比例为100%。项目已具备招标条件，现对该项目施工进行公开招标。</w:t>
      </w:r>
    </w:p>
    <w:p>
      <w:pPr>
        <w:autoSpaceDE w:val="0"/>
        <w:autoSpaceDN w:val="0"/>
        <w:adjustRightInd w:val="0"/>
        <w:rPr>
          <w:b/>
          <w:color w:val="000000"/>
          <w:sz w:val="24"/>
        </w:rPr>
      </w:pPr>
      <w:r>
        <w:rPr>
          <w:rFonts w:hint="eastAsia" w:hAnsi="宋体" w:cs="宋体"/>
          <w:sz w:val="24"/>
          <w:szCs w:val="24"/>
        </w:rPr>
        <w:t xml:space="preserve"> </w:t>
      </w:r>
      <w:r>
        <w:rPr>
          <w:rFonts w:hint="eastAsia" w:hAnsi="宋体" w:cs="宋体"/>
          <w:b/>
          <w:color w:val="000000"/>
          <w:sz w:val="24"/>
        </w:rPr>
        <w:t>二、项目概况与招标内容</w:t>
      </w:r>
    </w:p>
    <w:p>
      <w:pPr>
        <w:widowControl/>
        <w:tabs>
          <w:tab w:val="center" w:pos="4819"/>
        </w:tabs>
        <w:spacing w:line="380" w:lineRule="exact"/>
        <w:rPr>
          <w:color w:val="000000"/>
          <w:sz w:val="24"/>
          <w:szCs w:val="24"/>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 xml:space="preserve">XCGC-F2019227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罗庄西巷、文峰路事故科南侧、文峰路人行后街、东关1048巷。</w:t>
      </w:r>
    </w:p>
    <w:p>
      <w:pPr>
        <w:spacing w:line="360" w:lineRule="auto"/>
        <w:ind w:firstLine="480" w:firstLineChars="200"/>
        <w:rPr>
          <w:rFonts w:hAnsi="宋体" w:cs="宋体"/>
          <w:color w:val="000000"/>
          <w:sz w:val="24"/>
        </w:rPr>
      </w:pPr>
      <w:r>
        <w:rPr>
          <w:rFonts w:hint="eastAsia" w:hAnsi="宋体" w:cs="宋体"/>
          <w:color w:val="000000"/>
          <w:sz w:val="24"/>
        </w:rPr>
        <w:t>（三）规   模：</w:t>
      </w:r>
      <w:r>
        <w:rPr>
          <w:rFonts w:hint="eastAsia" w:hAnsi="宋体" w:cs="宋体"/>
          <w:sz w:val="24"/>
          <w:szCs w:val="24"/>
        </w:rPr>
        <w:t>主要包括对罗庄西巷、文峰路事故科南侧、文峰路人行后街、东关1048巷4座公厕进行拆除重建。</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sz w:val="24"/>
          <w:szCs w:val="24"/>
        </w:rPr>
        <w:t>1143080.96</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  期：150日历天；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Ansi="宋体" w:cs="宋体"/>
          <w:color w:val="000000"/>
          <w:sz w:val="24"/>
        </w:rPr>
      </w:pPr>
      <w:r>
        <w:rPr>
          <w:rFonts w:hint="eastAsia" w:hAnsi="宋体" w:cs="宋体"/>
          <w:color w:val="000000"/>
          <w:sz w:val="24"/>
        </w:rPr>
        <w:t>（一）要求投标人须具备独立法人资格，并具备建筑工程施工总承包三级及以上企业资质，</w:t>
      </w:r>
      <w:r>
        <w:rPr>
          <w:rFonts w:hAnsi="宋体" w:cs="宋体"/>
          <w:color w:val="000000"/>
          <w:sz w:val="24"/>
        </w:rPr>
        <w:t>具有安全生产许可证，</w:t>
      </w:r>
      <w:r>
        <w:rPr>
          <w:rFonts w:hint="eastAsia" w:hAnsi="宋体" w:cs="宋体"/>
          <w:color w:val="000000"/>
          <w:sz w:val="24"/>
        </w:rPr>
        <w:t>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筑工程专业注册建造师执业资格、有效的项目负责人安全生产考核合格证，且未担任其他在施建设工程的项目负责人。</w:t>
      </w:r>
    </w:p>
    <w:p>
      <w:pPr>
        <w:widowControl/>
        <w:spacing w:line="380" w:lineRule="exact"/>
        <w:ind w:firstLine="480" w:firstLineChars="200"/>
        <w:rPr>
          <w:rFonts w:hAnsi="宋体" w:cs="宋体"/>
          <w:color w:val="000000"/>
          <w:sz w:val="24"/>
        </w:rPr>
      </w:pPr>
      <w:r>
        <w:rPr>
          <w:rFonts w:hint="eastAsia" w:hAnsi="宋体" w:cs="宋体"/>
          <w:color w:val="000000"/>
          <w:sz w:val="24"/>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Ansi="宋体" w:cs="宋体"/>
          <w:color w:val="000000"/>
          <w:sz w:val="24"/>
        </w:rPr>
      </w:pPr>
      <w:r>
        <w:rPr>
          <w:rFonts w:hint="eastAsia" w:hAnsi="宋体" w:cs="宋体"/>
          <w:color w:val="000000"/>
          <w:sz w:val="24"/>
        </w:rPr>
        <w:t xml:space="preserve"> （三）本次招标实行资格后审。</w:t>
      </w:r>
      <w:bookmarkStart w:id="81" w:name="_GoBack"/>
      <w:bookmarkEnd w:id="81"/>
    </w:p>
    <w:p>
      <w:pPr>
        <w:widowControl/>
        <w:spacing w:line="380" w:lineRule="exact"/>
        <w:rPr>
          <w:color w:val="000000"/>
          <w:sz w:val="24"/>
        </w:rPr>
      </w:pPr>
      <w:r>
        <w:rPr>
          <w:rFonts w:hint="eastAsia" w:hAnsi="宋体" w:cs="宋体"/>
          <w:color w:val="000000"/>
          <w:sz w:val="24"/>
        </w:rPr>
        <w:t xml:space="preserve">     （四）本次招标不接受联合体投标。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w:t>
      </w:r>
      <w:r>
        <w:rPr>
          <w:rFonts w:hint="eastAsia" w:hAnsi="宋体" w:cs="宋体"/>
          <w:sz w:val="24"/>
          <w:szCs w:val="24"/>
        </w:rPr>
        <w:t>2019年9月27日至</w:t>
      </w:r>
      <w:r>
        <w:rPr>
          <w:rFonts w:hint="eastAsia" w:hAnsi="宋体" w:cs="宋体"/>
          <w:color w:val="000000"/>
          <w:sz w:val="24"/>
        </w:rPr>
        <w:t>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sz w:val="24"/>
          <w:szCs w:val="24"/>
        </w:rPr>
        <w:t>：201</w:t>
      </w:r>
      <w:r>
        <w:rPr>
          <w:rFonts w:hint="eastAsia" w:hAnsi="宋体" w:eastAsia="宋体" w:cs="宋体"/>
          <w:sz w:val="24"/>
          <w:szCs w:val="24"/>
        </w:rPr>
        <w:t>9</w:t>
      </w:r>
      <w:r>
        <w:rPr>
          <w:rFonts w:hAnsi="宋体" w:eastAsia="宋体" w:cs="宋体"/>
          <w:sz w:val="24"/>
          <w:szCs w:val="24"/>
        </w:rPr>
        <w:t>年</w:t>
      </w:r>
      <w:r>
        <w:rPr>
          <w:rFonts w:hint="eastAsia" w:hAnsi="宋体" w:eastAsia="宋体" w:cs="宋体"/>
          <w:sz w:val="24"/>
          <w:szCs w:val="24"/>
        </w:rPr>
        <w:t>10</w:t>
      </w:r>
      <w:r>
        <w:rPr>
          <w:rFonts w:hAnsi="宋体" w:eastAsia="宋体" w:cs="宋体"/>
          <w:sz w:val="24"/>
          <w:szCs w:val="24"/>
        </w:rPr>
        <w:t>月</w:t>
      </w:r>
      <w:r>
        <w:rPr>
          <w:rFonts w:hint="eastAsia" w:hAnsi="宋体" w:eastAsia="宋体" w:cs="宋体"/>
          <w:sz w:val="24"/>
          <w:szCs w:val="24"/>
        </w:rPr>
        <w:t>21</w:t>
      </w:r>
      <w:r>
        <w:rPr>
          <w:rFonts w:hAnsi="宋体" w:eastAsia="宋体" w:cs="宋体"/>
          <w:sz w:val="24"/>
          <w:szCs w:val="24"/>
        </w:rPr>
        <w:t>日</w:t>
      </w:r>
      <w:r>
        <w:rPr>
          <w:rFonts w:hint="eastAsia" w:hAnsi="宋体" w:eastAsia="宋体" w:cs="宋体"/>
          <w:sz w:val="24"/>
          <w:szCs w:val="24"/>
        </w:rPr>
        <w:t>9</w:t>
      </w:r>
      <w:r>
        <w:rPr>
          <w:rFonts w:hAnsi="宋体" w:eastAsia="宋体" w:cs="宋体"/>
          <w:sz w:val="24"/>
          <w:szCs w:val="24"/>
        </w:rPr>
        <w:t>时</w:t>
      </w:r>
      <w:r>
        <w:rPr>
          <w:rFonts w:hint="eastAsia" w:hAnsi="宋体" w:eastAsia="宋体" w:cs="宋体"/>
          <w:sz w:val="24"/>
          <w:szCs w:val="24"/>
        </w:rPr>
        <w:t>30</w:t>
      </w:r>
      <w:r>
        <w:rPr>
          <w:rFonts w:hAnsi="宋体" w:eastAsia="宋体" w:cs="宋体"/>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招标人：许昌市环境卫生管理处</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地 址：</w:t>
      </w:r>
      <w:r>
        <w:rPr>
          <w:rFonts w:hAnsi="宋体" w:cs="宋体"/>
          <w:color w:val="000000" w:themeColor="text1"/>
          <w:sz w:val="24"/>
          <w:szCs w:val="24"/>
        </w:rPr>
        <w:t>魏都区车站路</w:t>
      </w:r>
      <w:r>
        <w:rPr>
          <w:rFonts w:hint="eastAsia" w:hAnsi="宋体" w:cs="宋体"/>
          <w:color w:val="000000" w:themeColor="text1"/>
          <w:sz w:val="24"/>
          <w:szCs w:val="24"/>
        </w:rPr>
        <w:t>8号</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联系人：周先生</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联系电话：18803746796</w:t>
      </w:r>
    </w:p>
    <w:p>
      <w:pPr>
        <w:tabs>
          <w:tab w:val="left" w:pos="4500"/>
        </w:tabs>
        <w:spacing w:line="530" w:lineRule="exact"/>
        <w:ind w:left="-170" w:leftChars="-50" w:right="-170" w:rightChars="-50" w:firstLine="600" w:firstLineChars="250"/>
        <w:rPr>
          <w:rFonts w:hAnsi="宋体" w:cs="宋体"/>
          <w:sz w:val="24"/>
        </w:rPr>
      </w:pPr>
      <w:r>
        <w:rPr>
          <w:rFonts w:hint="eastAsia" w:hAnsi="宋体" w:cs="宋体"/>
          <w:sz w:val="24"/>
        </w:rPr>
        <w:t>代理机构名称：</w:t>
      </w:r>
      <w:r>
        <w:rPr>
          <w:rFonts w:hint="eastAsia" w:hAnsi="宋体" w:eastAsia="宋体" w:cs="宋体"/>
          <w:sz w:val="24"/>
          <w:shd w:val="clear" w:color="auto" w:fill="FFFFFF"/>
        </w:rPr>
        <w:t xml:space="preserve">许昌宏业工程招标代理有限公司 </w:t>
      </w:r>
    </w:p>
    <w:p>
      <w:pPr>
        <w:tabs>
          <w:tab w:val="left" w:pos="4500"/>
        </w:tabs>
        <w:spacing w:line="530" w:lineRule="exact"/>
        <w:ind w:left="-170" w:leftChars="-50" w:right="-170" w:rightChars="-50" w:firstLine="120" w:firstLineChars="50"/>
        <w:rPr>
          <w:rFonts w:hAnsi="宋体" w:eastAsia="宋体" w:cs="宋体"/>
          <w:sz w:val="24"/>
          <w:shd w:val="clear" w:color="auto" w:fill="FFFFFF"/>
        </w:rPr>
      </w:pPr>
      <w:r>
        <w:rPr>
          <w:rFonts w:hint="eastAsia" w:hAnsi="宋体" w:cs="宋体"/>
          <w:sz w:val="24"/>
        </w:rPr>
        <w:t xml:space="preserve">    地址：</w:t>
      </w:r>
      <w:r>
        <w:rPr>
          <w:rFonts w:hint="eastAsia" w:hAnsi="宋体" w:eastAsia="宋体" w:cs="宋体"/>
          <w:sz w:val="24"/>
          <w:shd w:val="clear" w:color="auto" w:fill="FFFFFF"/>
        </w:rPr>
        <w:t>许昌市东城区创业服务中心</w:t>
      </w:r>
    </w:p>
    <w:p>
      <w:pPr>
        <w:tabs>
          <w:tab w:val="left" w:pos="4500"/>
        </w:tabs>
        <w:spacing w:line="530" w:lineRule="exact"/>
        <w:ind w:left="-170" w:leftChars="-50" w:right="-170" w:rightChars="-50" w:firstLine="120" w:firstLineChars="50"/>
        <w:rPr>
          <w:rFonts w:hAnsi="宋体" w:cs="宋体"/>
          <w:sz w:val="24"/>
        </w:rPr>
      </w:pPr>
      <w:r>
        <w:rPr>
          <w:rFonts w:hint="eastAsia" w:hAnsi="宋体" w:cs="宋体"/>
          <w:sz w:val="24"/>
        </w:rPr>
        <w:t xml:space="preserve">    项目负责人：张咏竑</w:t>
      </w:r>
    </w:p>
    <w:p>
      <w:pPr>
        <w:tabs>
          <w:tab w:val="left" w:pos="4500"/>
        </w:tabs>
        <w:spacing w:line="530" w:lineRule="exact"/>
        <w:ind w:left="-170" w:leftChars="-50" w:right="-170" w:rightChars="-50" w:firstLine="120" w:firstLineChars="50"/>
        <w:rPr>
          <w:rFonts w:hAnsi="宋体" w:cs="宋体"/>
          <w:sz w:val="24"/>
        </w:rPr>
      </w:pPr>
      <w:r>
        <w:rPr>
          <w:rFonts w:hint="eastAsia" w:hAnsi="宋体" w:cs="宋体"/>
          <w:sz w:val="24"/>
        </w:rPr>
        <w:t xml:space="preserve">    联系人：辛女士</w:t>
      </w:r>
    </w:p>
    <w:p>
      <w:pPr>
        <w:tabs>
          <w:tab w:val="left" w:pos="4140"/>
          <w:tab w:val="left" w:pos="4260"/>
        </w:tabs>
        <w:spacing w:line="530" w:lineRule="exact"/>
        <w:ind w:right="-578" w:rightChars="-170" w:firstLine="240" w:firstLineChars="100"/>
        <w:rPr>
          <w:rFonts w:hAnsi="宋体" w:eastAsia="宋体" w:cs="宋体"/>
          <w:sz w:val="24"/>
        </w:rPr>
      </w:pPr>
      <w:r>
        <w:rPr>
          <w:rFonts w:hint="eastAsia" w:hAnsi="宋体" w:cs="宋体"/>
          <w:sz w:val="24"/>
        </w:rPr>
        <w:t xml:space="preserve">  电话：13598978466</w:t>
      </w:r>
    </w:p>
    <w:p>
      <w:pPr>
        <w:spacing w:line="530" w:lineRule="exact"/>
        <w:ind w:firstLine="240" w:firstLineChars="100"/>
        <w:rPr>
          <w:rFonts w:hAnsi="宋体"/>
          <w:sz w:val="24"/>
        </w:rPr>
      </w:pPr>
      <w:r>
        <w:rPr>
          <w:rFonts w:hint="eastAsia" w:hAnsi="宋体" w:cs="宋体"/>
          <w:sz w:val="24"/>
        </w:rPr>
        <w:t xml:space="preserve">                                                    </w:t>
      </w:r>
      <w:r>
        <w:rPr>
          <w:rFonts w:hint="eastAsia" w:hAnsi="宋体"/>
          <w:sz w:val="24"/>
        </w:rPr>
        <w:t>许昌市环境卫生管理处</w:t>
      </w:r>
    </w:p>
    <w:p>
      <w:pPr>
        <w:widowControl/>
        <w:spacing w:line="380" w:lineRule="exact"/>
        <w:ind w:firstLine="6720" w:firstLineChars="2800"/>
        <w:rPr>
          <w:rFonts w:hAnsi="宋体"/>
          <w:b/>
          <w:color w:val="000000" w:themeColor="text1"/>
          <w:sz w:val="28"/>
          <w:szCs w:val="28"/>
        </w:rPr>
      </w:pPr>
      <w:r>
        <w:rPr>
          <w:rFonts w:hint="eastAsia" w:hAnsi="宋体"/>
          <w:sz w:val="24"/>
        </w:rPr>
        <w:t>2019年9月 25日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w:t>
      </w:r>
      <w:r>
        <w:rPr>
          <w:rFonts w:hAnsi="宋体" w:eastAsia="宋体" w:cs="宋体"/>
          <w:sz w:val="24"/>
          <w:szCs w:val="24"/>
        </w:rPr>
        <w:t>许昌投标文件制作系统 SEARUN V1.1</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4" w:type="first"/>
          <w:headerReference r:id="rId12" w:type="default"/>
          <w:footerReference r:id="rId13" w:type="default"/>
          <w:pgSz w:w="11906" w:h="16838"/>
          <w:pgMar w:top="1304" w:right="1134" w:bottom="1304" w:left="1134" w:header="851" w:footer="992" w:gutter="0"/>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spacing w:line="400" w:lineRule="exact"/>
              <w:rPr>
                <w:rFonts w:hAnsi="宋体" w:eastAsia="宋体" w:cs="宋体"/>
                <w:sz w:val="24"/>
              </w:rPr>
            </w:pPr>
            <w:r>
              <w:rPr>
                <w:rFonts w:hint="eastAsia" w:hAnsi="宋体" w:eastAsia="宋体" w:cs="宋体"/>
                <w:sz w:val="24"/>
              </w:rPr>
              <w:t>招标人：许昌市环境卫生管理处</w:t>
            </w:r>
          </w:p>
          <w:p>
            <w:pPr>
              <w:spacing w:line="400" w:lineRule="exact"/>
              <w:rPr>
                <w:rFonts w:hAnsi="宋体" w:eastAsia="宋体" w:cs="宋体"/>
                <w:sz w:val="24"/>
              </w:rPr>
            </w:pPr>
            <w:r>
              <w:rPr>
                <w:rFonts w:hint="eastAsia" w:hAnsi="宋体" w:eastAsia="宋体" w:cs="宋体"/>
                <w:sz w:val="24"/>
              </w:rPr>
              <w:t>地 址：魏都区车站路8号</w:t>
            </w:r>
          </w:p>
          <w:p>
            <w:pPr>
              <w:spacing w:line="400" w:lineRule="exact"/>
              <w:rPr>
                <w:rFonts w:hAnsi="宋体" w:eastAsia="宋体" w:cs="宋体"/>
                <w:sz w:val="24"/>
              </w:rPr>
            </w:pPr>
            <w:r>
              <w:rPr>
                <w:rFonts w:hint="eastAsia" w:hAnsi="宋体" w:eastAsia="宋体" w:cs="宋体"/>
                <w:sz w:val="24"/>
              </w:rPr>
              <w:t>联系人：周先生</w:t>
            </w:r>
          </w:p>
          <w:p>
            <w:pPr>
              <w:spacing w:line="400" w:lineRule="exact"/>
              <w:rPr>
                <w:rFonts w:hAnsi="宋体" w:eastAsia="宋体" w:cs="宋体"/>
                <w:sz w:val="24"/>
              </w:rPr>
            </w:pPr>
            <w:r>
              <w:rPr>
                <w:rFonts w:hint="eastAsia" w:hAnsi="宋体" w:eastAsia="宋体" w:cs="宋体"/>
                <w:sz w:val="24"/>
              </w:rPr>
              <w:t>联系电话：18803746796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tabs>
                <w:tab w:val="left" w:pos="4500"/>
              </w:tabs>
              <w:spacing w:line="400" w:lineRule="exact"/>
              <w:ind w:right="-170" w:rightChars="-50"/>
              <w:rPr>
                <w:rFonts w:hAnsi="宋体" w:eastAsia="宋体" w:cs="宋体"/>
                <w:sz w:val="24"/>
              </w:rPr>
            </w:pPr>
            <w:r>
              <w:rPr>
                <w:rFonts w:hint="eastAsia" w:hAnsi="宋体" w:eastAsia="宋体" w:cs="宋体"/>
                <w:sz w:val="24"/>
              </w:rPr>
              <w:t xml:space="preserve">代理机构：许昌宏业工程招标代理有限公司 </w:t>
            </w:r>
          </w:p>
          <w:p>
            <w:pPr>
              <w:tabs>
                <w:tab w:val="left" w:pos="4500"/>
              </w:tabs>
              <w:spacing w:line="400" w:lineRule="exact"/>
              <w:ind w:left="-170" w:leftChars="-50" w:right="-170" w:rightChars="-50" w:firstLine="120" w:firstLineChars="50"/>
              <w:rPr>
                <w:rFonts w:hAnsi="宋体" w:eastAsia="宋体" w:cs="宋体"/>
                <w:sz w:val="24"/>
              </w:rPr>
            </w:pPr>
            <w:r>
              <w:rPr>
                <w:rFonts w:hint="eastAsia" w:hAnsi="宋体" w:eastAsia="宋体" w:cs="宋体"/>
                <w:sz w:val="24"/>
              </w:rPr>
              <w:t>地址：许昌市东城区创业服务中心</w:t>
            </w:r>
          </w:p>
          <w:p>
            <w:pPr>
              <w:tabs>
                <w:tab w:val="left" w:pos="4500"/>
              </w:tabs>
              <w:spacing w:line="400" w:lineRule="exact"/>
              <w:ind w:left="-170" w:leftChars="-50" w:right="-170" w:rightChars="-50" w:firstLine="120" w:firstLineChars="50"/>
              <w:rPr>
                <w:rFonts w:hAnsi="宋体" w:eastAsia="宋体" w:cs="宋体"/>
                <w:sz w:val="24"/>
              </w:rPr>
            </w:pPr>
            <w:r>
              <w:rPr>
                <w:rFonts w:hint="eastAsia" w:hAnsi="宋体" w:eastAsia="宋体" w:cs="宋体"/>
                <w:sz w:val="24"/>
              </w:rPr>
              <w:t xml:space="preserve">项目负责人：张咏竑 </w:t>
            </w:r>
          </w:p>
          <w:p>
            <w:pPr>
              <w:tabs>
                <w:tab w:val="left" w:pos="4500"/>
              </w:tabs>
              <w:spacing w:line="400" w:lineRule="exact"/>
              <w:ind w:left="-170" w:leftChars="-50" w:right="-170" w:rightChars="-50" w:firstLine="120" w:firstLineChars="50"/>
              <w:rPr>
                <w:rFonts w:hAnsi="宋体" w:eastAsia="宋体" w:cs="宋体"/>
                <w:sz w:val="24"/>
              </w:rPr>
            </w:pPr>
            <w:r>
              <w:rPr>
                <w:rFonts w:hint="eastAsia" w:hAnsi="宋体" w:eastAsia="宋体" w:cs="宋体"/>
                <w:sz w:val="24"/>
              </w:rPr>
              <w:t>联系人：辛女士</w:t>
            </w:r>
          </w:p>
          <w:p>
            <w:pPr>
              <w:tabs>
                <w:tab w:val="left" w:pos="4500"/>
              </w:tabs>
              <w:spacing w:line="400" w:lineRule="exact"/>
              <w:ind w:left="-170" w:leftChars="-50" w:right="-170" w:rightChars="-50" w:firstLine="120" w:firstLineChars="50"/>
              <w:rPr>
                <w:rFonts w:hAnsi="宋体" w:eastAsia="宋体" w:cs="宋体"/>
                <w:sz w:val="24"/>
              </w:rPr>
            </w:pPr>
            <w:r>
              <w:rPr>
                <w:rFonts w:hint="eastAsia" w:hAnsi="宋体" w:eastAsia="宋体" w:cs="宋体"/>
                <w:sz w:val="24"/>
              </w:rPr>
              <w:t>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rPr>
              <w:t>许昌市2019年环卫基础设施提升项目—4座公厕拆除重建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rPr>
              <w:t>罗庄西巷、文峰路事故科南侧、文峰路人行后街、东关1048巷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hAnsi="宋体" w:cs="宋体"/>
                <w:sz w:val="24"/>
                <w:szCs w:val="24"/>
                <w:highlight w:val="yellow"/>
              </w:rPr>
            </w:pPr>
            <w:r>
              <w:rPr>
                <w:rFonts w:hint="eastAsia" w:hAnsi="宋体" w:cs="宋体"/>
                <w:color w:val="000000"/>
                <w:sz w:val="24"/>
              </w:rPr>
              <w:t xml:space="preserve">150日历天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Ansi="宋体" w:eastAsia="宋体" w:cs="宋体"/>
                <w:sz w:val="24"/>
              </w:rPr>
            </w:pPr>
            <w:r>
              <w:rPr>
                <w:rFonts w:hint="eastAsia" w:hAnsi="宋体" w:eastAsia="宋体" w:cs="宋体"/>
                <w:sz w:val="24"/>
              </w:rPr>
              <w:t>资质条件：</w:t>
            </w:r>
          </w:p>
          <w:p>
            <w:pPr>
              <w:pStyle w:val="2"/>
              <w:numPr>
                <w:ilvl w:val="0"/>
                <w:numId w:val="2"/>
              </w:numPr>
              <w:ind w:firstLine="240"/>
              <w:rPr>
                <w:rFonts w:hAnsi="宋体" w:eastAsia="宋体" w:cs="宋体"/>
                <w:sz w:val="24"/>
              </w:rPr>
            </w:pPr>
            <w:r>
              <w:rPr>
                <w:rFonts w:hint="eastAsia" w:hAnsi="宋体" w:eastAsia="宋体" w:cs="宋体"/>
                <w:sz w:val="24"/>
              </w:rPr>
              <w:t>要求投标人须具备独立法人资格，并具备建筑工程施工总承包三级及以上企业资质，</w:t>
            </w:r>
            <w:r>
              <w:rPr>
                <w:rFonts w:hAnsi="宋体" w:eastAsia="宋体" w:cs="宋体"/>
                <w:sz w:val="24"/>
              </w:rPr>
              <w:t>具有安全生产许可证，</w:t>
            </w:r>
            <w:r>
              <w:rPr>
                <w:rFonts w:hint="eastAsia" w:hAnsi="宋体" w:eastAsia="宋体" w:cs="宋体"/>
                <w:sz w:val="24"/>
              </w:rPr>
              <w:t>并在人员、设备、资金等方面具有相应的施工能力。拟派项目负责人须具备贰级及以上建筑工程专业注册建造师执业资格、有效的项目负责人安全生产考核合格证，且未担任其他在施建设工程的项目负责人。</w:t>
            </w:r>
          </w:p>
          <w:p>
            <w:pPr>
              <w:pStyle w:val="2"/>
              <w:numPr>
                <w:ilvl w:val="0"/>
                <w:numId w:val="2"/>
              </w:numPr>
              <w:ind w:firstLine="240"/>
              <w:rPr>
                <w:rFonts w:hAnsi="宋体" w:eastAsia="宋体" w:cs="宋体"/>
                <w:sz w:val="24"/>
                <w:szCs w:val="24"/>
              </w:rPr>
            </w:pPr>
            <w:r>
              <w:rPr>
                <w:rFonts w:hint="eastAsia" w:hAnsi="宋体" w:eastAsia="宋体" w:cs="宋体"/>
                <w:sz w:val="24"/>
              </w:rPr>
              <w:t>未被列入“国家企业信用公示系统”网站（www.gsxt.gov.cn）严重违法失信企业名单（黑名单）的投标人,未被列入</w:t>
            </w:r>
            <w:r>
              <w:rPr>
                <w:rFonts w:hint="eastAsia" w:hAnsi="宋体" w:eastAsia="宋体" w:cs="宋体"/>
                <w:sz w:val="24"/>
                <w:szCs w:val="24"/>
              </w:rPr>
              <w:t xml:space="preserve">“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firstLine="240"/>
              <w:rPr>
                <w:rFonts w:hAnsi="宋体" w:eastAsia="宋体" w:cs="宋体"/>
                <w:sz w:val="24"/>
                <w:szCs w:val="24"/>
              </w:rPr>
            </w:pPr>
            <w:r>
              <w:rPr>
                <w:rFonts w:hint="eastAsia" w:hAnsi="宋体" w:eastAsia="宋体" w:cs="宋体"/>
                <w:sz w:val="24"/>
                <w:szCs w:val="24"/>
              </w:rPr>
              <w:t>本次招标实行资格后审。</w:t>
            </w:r>
          </w:p>
          <w:p>
            <w:pPr>
              <w:pStyle w:val="2"/>
              <w:ind w:firstLine="240"/>
            </w:pPr>
            <w:r>
              <w:rPr>
                <w:rFonts w:hint="eastAsia" w:hAnsi="宋体" w:eastAsia="宋体" w:cs="宋体"/>
                <w:sz w:val="24"/>
                <w:szCs w:val="24"/>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2019年10月21日9时30分（北京时间）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4" w:colFirst="0" w:colLast="2"/>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投标保证金递交截止时间：同投标截止时间。</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金额：贰万贰仟元整（</w:t>
            </w:r>
            <w:r>
              <w:rPr>
                <w:rFonts w:ascii="Arial" w:hAnsi="Arial" w:eastAsia="宋体" w:cs="Arial"/>
                <w:b/>
                <w:bCs/>
                <w:sz w:val="24"/>
              </w:rPr>
              <w:t>¥</w:t>
            </w:r>
            <w:r>
              <w:rPr>
                <w:rFonts w:hint="eastAsia" w:ascii="Arial" w:hAnsi="Arial" w:eastAsia="宋体" w:cs="Arial"/>
                <w:b/>
                <w:bCs/>
                <w:sz w:val="24"/>
              </w:rPr>
              <w:t>22000.00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r>
              <w:rPr>
                <w:rFonts w:hint="eastAsia" w:hAnsi="宋体"/>
                <w:sz w:val="24"/>
              </w:rPr>
              <w:t>（不足年份按成立年份起）</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 SEARUN V1.1”制作，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投标人名称：</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许昌市公共资源交易中心开标二室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开标地点：许昌市公共资源交易中心开标二室(许昌市龙兴路竹林路交汇处公共资源大厦三楼）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b/>
                <w:bCs/>
                <w:sz w:val="24"/>
              </w:rPr>
              <w:t>指不低于本次招标控制价金额的建筑工程项目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Ansi="宋体" w:eastAsia="宋体" w:cs="宋体"/>
                <w:b/>
                <w:bCs/>
                <w:sz w:val="24"/>
              </w:rPr>
            </w:pPr>
            <w:r>
              <w:rPr>
                <w:rFonts w:hint="eastAsia" w:hAnsi="宋体" w:eastAsia="宋体" w:cs="宋体"/>
                <w:b/>
                <w:bCs/>
                <w:sz w:val="24"/>
              </w:rPr>
              <w:t xml:space="preserve">大写：壹佰壹拾肆万叁仟零捌拾元玖角陆分  </w:t>
            </w:r>
          </w:p>
          <w:p>
            <w:pPr>
              <w:pStyle w:val="2"/>
              <w:ind w:firstLine="0" w:firstLineChars="0"/>
              <w:rPr>
                <w:rFonts w:hAnsi="宋体" w:eastAsia="宋体" w:cs="宋体"/>
                <w:b/>
                <w:bCs/>
                <w:sz w:val="24"/>
              </w:rPr>
            </w:pPr>
            <w:r>
              <w:rPr>
                <w:rFonts w:hint="eastAsia" w:hAnsi="宋体" w:eastAsia="宋体" w:cs="宋体"/>
                <w:b/>
                <w:bCs/>
                <w:sz w:val="24"/>
              </w:rPr>
              <w:t>小写：1143080.96元</w:t>
            </w:r>
          </w:p>
          <w:p>
            <w:pPr>
              <w:autoSpaceDE w:val="0"/>
              <w:autoSpaceDN w:val="0"/>
              <w:adjustRightInd w:val="0"/>
              <w:spacing w:line="420" w:lineRule="exact"/>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autoSpaceDE w:val="0"/>
              <w:autoSpaceDN w:val="0"/>
              <w:spacing w:line="440" w:lineRule="exact"/>
              <w:jc w:val="left"/>
              <w:outlineLvl w:val="0"/>
              <w:rPr>
                <w:rFonts w:hAnsi="宋体" w:cs="仿宋_GB2312"/>
                <w:sz w:val="24"/>
              </w:rPr>
            </w:pPr>
          </w:p>
        </w:tc>
        <w:tc>
          <w:tcPr>
            <w:tcW w:w="8790" w:type="dxa"/>
            <w:gridSpan w:val="4"/>
            <w:vAlign w:val="center"/>
          </w:tcPr>
          <w:p>
            <w:pPr>
              <w:autoSpaceDE w:val="0"/>
              <w:autoSpaceDN w:val="0"/>
              <w:spacing w:line="440" w:lineRule="exact"/>
              <w:jc w:val="left"/>
              <w:outlineLvl w:val="0"/>
              <w:rPr>
                <w:rFonts w:hAnsi="宋体" w:cs="仿宋_GB2312"/>
                <w:sz w:val="24"/>
              </w:rPr>
            </w:pPr>
            <w:r>
              <w:rPr>
                <w:rFonts w:hint="eastAsia" w:hAnsi="宋体" w:cs="仿宋_GB2312"/>
                <w:sz w:val="24"/>
              </w:rPr>
              <w:t>1、开标时各投标人的法定代表人或授权委托人（持有效的授权委托书）持身份证原件到开标现场并签到，缺席或逾期不到者视为放弃。各投标单位参加会议人数不得多于三人。</w:t>
            </w:r>
          </w:p>
          <w:p>
            <w:pPr>
              <w:autoSpaceDE w:val="0"/>
              <w:autoSpaceDN w:val="0"/>
              <w:spacing w:line="440" w:lineRule="exact"/>
              <w:jc w:val="left"/>
              <w:outlineLvl w:val="0"/>
              <w:rPr>
                <w:rFonts w:hAnsi="宋体" w:cs="仿宋_GB2312"/>
                <w:sz w:val="24"/>
              </w:rPr>
            </w:pPr>
            <w:r>
              <w:rPr>
                <w:rFonts w:hint="eastAsia" w:hAnsi="宋体" w:cs="仿宋_GB2312"/>
                <w:sz w:val="24"/>
              </w:rPr>
              <w:t>2、项目负责人须携带本人身份证原件参加开标会议。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cs="仿宋_GB2312"/>
                <w:sz w:val="24"/>
              </w:rPr>
            </w:pPr>
            <w:r>
              <w:rPr>
                <w:rFonts w:hint="eastAsia" w:hAnsi="宋体" w:cs="仿宋_GB2312"/>
                <w:sz w:val="24"/>
              </w:rPr>
              <w:t>1、逾期送达的或者未送达指定地点的电子介质存储的投标文件；</w:t>
            </w:r>
          </w:p>
          <w:p>
            <w:pPr>
              <w:autoSpaceDE w:val="0"/>
              <w:autoSpaceDN w:val="0"/>
              <w:spacing w:line="440" w:lineRule="exact"/>
              <w:jc w:val="left"/>
              <w:outlineLvl w:val="0"/>
              <w:rPr>
                <w:rFonts w:hAnsi="宋体" w:cs="仿宋_GB2312"/>
                <w:sz w:val="24"/>
              </w:rPr>
            </w:pPr>
            <w:r>
              <w:rPr>
                <w:rFonts w:hint="eastAsia" w:hAnsi="宋体" w:cs="仿宋_GB2312"/>
                <w:sz w:val="24"/>
              </w:rPr>
              <w:t>2、电子介质存储的投标文件未按招标文件要求密封的；</w:t>
            </w:r>
          </w:p>
          <w:p>
            <w:pPr>
              <w:autoSpaceDE w:val="0"/>
              <w:autoSpaceDN w:val="0"/>
              <w:spacing w:line="440" w:lineRule="exact"/>
              <w:jc w:val="left"/>
              <w:outlineLvl w:val="0"/>
              <w:rPr>
                <w:rFonts w:hAnsi="宋体" w:cs="仿宋_GB2312"/>
                <w:sz w:val="24"/>
              </w:rPr>
            </w:pPr>
            <w:r>
              <w:rPr>
                <w:rFonts w:hint="eastAsia" w:hAnsi="宋体" w:cs="仿宋_GB2312"/>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仿宋_GB2312"/>
                <w:sz w:val="24"/>
              </w:rPr>
              <w:t>4、开标时法人或授权委托人（持有效的授权委托书）未携带本人身份证原件到开标现场并签到的。</w:t>
            </w:r>
          </w:p>
          <w:p>
            <w:pPr>
              <w:pStyle w:val="2"/>
              <w:ind w:firstLine="0" w:firstLineChars="0"/>
            </w:pPr>
            <w:r>
              <w:rPr>
                <w:rFonts w:hint="eastAsia" w:hAnsi="宋体" w:cs="仿宋_GB2312"/>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w:t>
            </w:r>
            <w:r>
              <w:rPr>
                <w:rFonts w:hAnsi="宋体" w:eastAsia="宋体" w:cs="宋体"/>
                <w:sz w:val="24"/>
                <w:szCs w:val="24"/>
              </w:rPr>
              <w:t>许昌投标文件制作系统 SEARUN V1.1</w:t>
            </w:r>
            <w:r>
              <w:rPr>
                <w:rFonts w:hint="eastAsia" w:hAnsi="宋体" w:eastAsia="宋体" w:cs="宋体"/>
                <w:sz w:val="24"/>
              </w:rPr>
              <w:t>”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720" w:firstLineChars="3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（8）施工进度表与网络计划图；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（9）施工总平面图布置；</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500" w:lineRule="exact"/>
        <w:ind w:firstLine="480" w:firstLineChars="200"/>
        <w:jc w:val="left"/>
        <w:rPr>
          <w:rFonts w:hAnsi="宋体" w:cs="TimesNewRomanPSMT"/>
          <w:sz w:val="18"/>
          <w:szCs w:val="18"/>
        </w:rPr>
      </w:pPr>
      <w:r>
        <w:rPr>
          <w:rFonts w:hint="eastAsia" w:ascii="新宋体" w:hAnsi="新宋体" w:eastAsia="新宋体" w:cs="仿宋_GB2312"/>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pStyle w:val="2"/>
        <w:ind w:firstLine="480" w:firstLineChars="200"/>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“近年财务状况表”应附经会计师事务所或审计机构审计的财务会计报表，包括资产负债表、现金流量表、利润表和财务情况说明书(报表附注)的原件扫描件，具体年份要求见投标人须知前附表。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“近年完成的类似项目情况表”应附合同协议书和中标通知书（或工程竣工验收备案表）的原件扫描件，具体年份要求见投标人须知前附表。每张表格只填写一个项目，并标明序号。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“正在施工和新承接的项目情况表”应附合同协议书和中标通知书（或工程竣工验收备案表）的原件扫描件。每张表格只填写一个项目，并标明序号。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w:t>
      </w:r>
      <w:r>
        <w:rPr>
          <w:rFonts w:hint="eastAsia" w:hAnsi="宋体"/>
          <w:sz w:val="24"/>
        </w:rPr>
        <w:t>许昌投标文件制作系统SEARUN V1.1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w:t>
      </w:r>
      <w:r>
        <w:rPr>
          <w:rFonts w:hint="eastAsia" w:hAnsi="宋体"/>
          <w:sz w:val="24"/>
        </w:rPr>
        <w:t>许昌投标文件制作系统SEARUN V1.1</w:t>
      </w:r>
      <w:r>
        <w:rPr>
          <w:rFonts w:hint="eastAsia" w:hAnsi="宋体" w:cs="宋体"/>
          <w:sz w:val="24"/>
        </w:rPr>
        <w:t>”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使用电子介质存储的投标文件应单独密封，封套上写明“投标人名称、招标人名称、项目名称、标段，在年月日时分前不得开启”，并加盖单位公章，法定代表人或委托代理人签名，在投标截止时间前递交。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pStyle w:val="2"/>
        <w:ind w:firstLine="240"/>
        <w:rPr>
          <w:rFonts w:hAnsi="宋体" w:cs="宋体"/>
          <w:sz w:val="24"/>
        </w:rPr>
      </w:pPr>
    </w:p>
    <w:p>
      <w:pPr>
        <w:pStyle w:val="2"/>
        <w:ind w:firstLine="240"/>
        <w:rPr>
          <w:rFonts w:hAnsi="宋体" w:cs="宋体"/>
          <w:sz w:val="24"/>
        </w:rPr>
      </w:pPr>
    </w:p>
    <w:p>
      <w:pPr>
        <w:pStyle w:val="2"/>
        <w:ind w:firstLine="240"/>
        <w:rPr>
          <w:rFonts w:hAnsi="宋体" w:cs="宋体"/>
          <w:sz w:val="24"/>
        </w:rPr>
      </w:pPr>
    </w:p>
    <w:p>
      <w:pPr>
        <w:pStyle w:val="2"/>
        <w:ind w:firstLine="240"/>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pStyle w:val="2"/>
        <w:ind w:firstLine="240"/>
        <w:rPr>
          <w:rFonts w:hAnsi="宋体" w:cs="宋体"/>
          <w:sz w:val="24"/>
        </w:rPr>
      </w:pPr>
    </w:p>
    <w:p>
      <w:pPr>
        <w:pStyle w:val="2"/>
        <w:ind w:firstLine="240"/>
        <w:rPr>
          <w:rFonts w:hAnsi="宋体" w:cs="宋体"/>
          <w:sz w:val="24"/>
        </w:rPr>
      </w:pPr>
    </w:p>
    <w:p>
      <w:pPr>
        <w:pStyle w:val="2"/>
        <w:ind w:firstLine="24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300" w:firstLineChars="2250"/>
        <w:rPr>
          <w:rFonts w:hAnsi="宋体" w:cs="宋体"/>
          <w:sz w:val="28"/>
          <w:szCs w:val="28"/>
        </w:rPr>
      </w:pPr>
      <w:r>
        <w:rPr>
          <w:rFonts w:hint="eastAsia" w:hAnsi="宋体" w:cs="宋体"/>
          <w:sz w:val="28"/>
          <w:szCs w:val="28"/>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pStyle w:val="2"/>
        <w:ind w:firstLine="340"/>
      </w:pPr>
    </w:p>
    <w:p>
      <w:pPr>
        <w:spacing w:line="400" w:lineRule="exact"/>
        <w:rPr>
          <w:rFonts w:hAnsi="宋体" w:cs="宋体"/>
          <w:sz w:val="24"/>
          <w:u w:val="single"/>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五、初步评审</w:t>
      </w:r>
    </w:p>
    <w:p>
      <w:pPr>
        <w:snapToGrid w:val="0"/>
        <w:spacing w:line="360" w:lineRule="auto"/>
        <w:ind w:firstLine="480" w:firstLineChars="200"/>
        <w:rPr>
          <w:rFonts w:hAnsi="宋体" w:cs="宋体"/>
          <w:sz w:val="24"/>
        </w:rPr>
      </w:pPr>
      <w:r>
        <w:rPr>
          <w:rFonts w:hint="eastAsia" w:ascii="新宋体" w:hAnsi="新宋体" w:eastAsia="新宋体"/>
          <w:sz w:val="24"/>
        </w:rPr>
        <w:t>评</w:t>
      </w:r>
      <w:r>
        <w:rPr>
          <w:rFonts w:hint="eastAsia" w:hAnsi="宋体" w:cs="宋体"/>
          <w:sz w:val="24"/>
        </w:rPr>
        <w:t xml:space="preserve">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Ansi="宋体" w:cs="宋体"/>
          <w:sz w:val="24"/>
        </w:rPr>
      </w:pPr>
      <w:r>
        <w:rPr>
          <w:rFonts w:hint="eastAsia" w:hAnsi="宋体" w:cs="宋体"/>
          <w:sz w:val="24"/>
        </w:rPr>
        <w:t>1.投标文件是否按招标文件要求签字盖章；</w:t>
      </w:r>
    </w:p>
    <w:p>
      <w:pPr>
        <w:snapToGrid w:val="0"/>
        <w:spacing w:line="360" w:lineRule="auto"/>
        <w:ind w:firstLine="480" w:firstLineChars="200"/>
        <w:rPr>
          <w:rFonts w:hAnsi="宋体" w:cs="宋体"/>
          <w:sz w:val="24"/>
        </w:rPr>
      </w:pPr>
      <w:r>
        <w:rPr>
          <w:rFonts w:hint="eastAsia" w:hAnsi="宋体" w:cs="宋体"/>
          <w:sz w:val="24"/>
        </w:rPr>
        <w:t>2.投标联合体是否提交共同投标协议；（允许联合体投标的）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3.投标人是否符合国家或者招标文件规定的资格条件；注册建造师注册单位与投标人是否一致；</w:t>
      </w:r>
    </w:p>
    <w:p>
      <w:pPr>
        <w:snapToGrid w:val="0"/>
        <w:spacing w:line="360" w:lineRule="auto"/>
        <w:ind w:firstLine="480" w:firstLineChars="200"/>
        <w:rPr>
          <w:rFonts w:hAnsi="宋体" w:cs="宋体"/>
          <w:sz w:val="24"/>
        </w:rPr>
      </w:pPr>
      <w:r>
        <w:rPr>
          <w:rFonts w:hint="eastAsia" w:hAnsi="宋体" w:cs="宋体"/>
          <w:sz w:val="24"/>
        </w:rPr>
        <w:t>4.同一投标人是否提交两个以上不同的投标文件或者投标报价，但招标文件要求提交备选投标的除外；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5.投标报价是否高于招标文件设定的最高投标限价；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hAnsi="宋体" w:cs="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8.评标委员会在评标过程中，发现投标文件中除不符合法律法规规定的情形外，还存在下列情况之一的，也可按否决投标处理。</w:t>
      </w:r>
    </w:p>
    <w:p>
      <w:pPr>
        <w:spacing w:line="440" w:lineRule="exact"/>
        <w:ind w:firstLine="480" w:firstLineChars="200"/>
        <w:rPr>
          <w:rFonts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Ansi="宋体" w:cs="宋体"/>
          <w:b/>
          <w:sz w:val="24"/>
        </w:rPr>
      </w:pPr>
      <w:r>
        <w:rPr>
          <w:rFonts w:hint="eastAsia" w:hAnsi="宋体" w:cs="宋体"/>
          <w:b/>
          <w:sz w:val="24"/>
        </w:rPr>
        <w:t>9.清标内容：</w:t>
      </w:r>
    </w:p>
    <w:tbl>
      <w:tblPr>
        <w:tblStyle w:val="9"/>
        <w:tblW w:w="9970" w:type="dxa"/>
        <w:jc w:val="center"/>
        <w:tblInd w:w="394" w:type="dxa"/>
        <w:tblLayout w:type="fixed"/>
        <w:tblCellMar>
          <w:top w:w="0" w:type="dxa"/>
          <w:left w:w="108" w:type="dxa"/>
          <w:bottom w:w="0" w:type="dxa"/>
          <w:right w:w="108" w:type="dxa"/>
        </w:tblCellMar>
      </w:tblPr>
      <w:tblGrid>
        <w:gridCol w:w="390"/>
        <w:gridCol w:w="623"/>
        <w:gridCol w:w="4095"/>
        <w:gridCol w:w="3322"/>
        <w:gridCol w:w="781"/>
        <w:gridCol w:w="759"/>
      </w:tblGrid>
      <w:tr>
        <w:tblPrEx>
          <w:tblLayout w:type="fixed"/>
          <w:tblCellMar>
            <w:top w:w="0" w:type="dxa"/>
            <w:left w:w="108" w:type="dxa"/>
            <w:bottom w:w="0" w:type="dxa"/>
            <w:right w:w="108" w:type="dxa"/>
          </w:tblCellMar>
        </w:tblPrEx>
        <w:trPr>
          <w:trHeight w:val="295" w:hRule="atLeast"/>
          <w:jc w:val="center"/>
        </w:trPr>
        <w:tc>
          <w:tcPr>
            <w:tcW w:w="101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序号</w:t>
            </w:r>
          </w:p>
        </w:tc>
        <w:tc>
          <w:tcPr>
            <w:tcW w:w="4095" w:type="dxa"/>
            <w:vMerge w:val="restart"/>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清标项目</w:t>
            </w:r>
          </w:p>
        </w:tc>
        <w:tc>
          <w:tcPr>
            <w:tcW w:w="3322" w:type="dxa"/>
            <w:vMerge w:val="restart"/>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清标结果</w:t>
            </w:r>
          </w:p>
        </w:tc>
      </w:tr>
      <w:tr>
        <w:tblPrEx>
          <w:tblLayout w:type="fixed"/>
          <w:tblCellMar>
            <w:top w:w="0" w:type="dxa"/>
            <w:left w:w="108" w:type="dxa"/>
            <w:bottom w:w="0" w:type="dxa"/>
            <w:right w:w="108" w:type="dxa"/>
          </w:tblCellMar>
        </w:tblPrEx>
        <w:trPr>
          <w:trHeight w:val="250" w:hRule="atLeast"/>
          <w:jc w:val="center"/>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4095" w:type="dxa"/>
            <w:vMerge w:val="continue"/>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3322" w:type="dxa"/>
            <w:vMerge w:val="continue"/>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否</w:t>
            </w:r>
          </w:p>
        </w:tc>
      </w:tr>
      <w:tr>
        <w:tblPrEx>
          <w:tblLayout w:type="fixed"/>
          <w:tblCellMar>
            <w:top w:w="0" w:type="dxa"/>
            <w:left w:w="108" w:type="dxa"/>
            <w:bottom w:w="0" w:type="dxa"/>
            <w:right w:w="108" w:type="dxa"/>
          </w:tblCellMar>
        </w:tblPrEx>
        <w:trPr>
          <w:trHeight w:val="339" w:hRule="atLeast"/>
          <w:jc w:val="center"/>
        </w:trPr>
        <w:tc>
          <w:tcPr>
            <w:tcW w:w="39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1</w:t>
            </w: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1.1</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项目总报价</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1.2</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单项工程费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1.3</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单位工程费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w:t>
            </w: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2.1</w:t>
            </w:r>
          </w:p>
        </w:tc>
        <w:tc>
          <w:tcPr>
            <w:tcW w:w="4095"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分部分项工程费及单价措施费</w:t>
            </w:r>
          </w:p>
        </w:tc>
        <w:tc>
          <w:tcPr>
            <w:tcW w:w="3322"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2.2</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分部分项及单价措施项目编码</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2.3</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分部分项及单价措施项目名称</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2.4</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分部分项及单价措施项目特征</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2.5</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分部分项及单价措施项目计量单位</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2.6</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分部分项及单价措施项目工程量</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2.7</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分部分项工程费及单价措施费清单综合单价</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2.8</w:t>
            </w:r>
          </w:p>
        </w:tc>
        <w:tc>
          <w:tcPr>
            <w:tcW w:w="4095"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材料单价</w:t>
            </w:r>
          </w:p>
        </w:tc>
        <w:tc>
          <w:tcPr>
            <w:tcW w:w="3322"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3</w:t>
            </w: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3.1</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安全文明施工费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3.2</w:t>
            </w:r>
          </w:p>
        </w:tc>
        <w:tc>
          <w:tcPr>
            <w:tcW w:w="4095"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其他措施费（费率类）项目</w:t>
            </w:r>
          </w:p>
        </w:tc>
        <w:tc>
          <w:tcPr>
            <w:tcW w:w="3322"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539" w:hRule="atLeast"/>
          <w:jc w:val="center"/>
        </w:trPr>
        <w:tc>
          <w:tcPr>
            <w:tcW w:w="39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w:t>
            </w: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4.1</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其它项目费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各组成部分之和（暂列金额+专业暂估价+计日工费+总承包服 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4.2</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暂列金额</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4.3</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专业工程暂估价</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4.4</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计日工</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vMerge w:val="continue"/>
            <w:tcBorders>
              <w:top w:val="nil"/>
              <w:left w:val="single" w:color="auto" w:sz="4" w:space="0"/>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623"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4.5</w:t>
            </w: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总承包服务费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5</w:t>
            </w:r>
          </w:p>
        </w:tc>
        <w:tc>
          <w:tcPr>
            <w:tcW w:w="62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规费</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54" w:hRule="exact"/>
          <w:jc w:val="center"/>
        </w:trPr>
        <w:tc>
          <w:tcPr>
            <w:tcW w:w="3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6</w:t>
            </w:r>
          </w:p>
        </w:tc>
        <w:tc>
          <w:tcPr>
            <w:tcW w:w="62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4095"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增值税</w:t>
            </w:r>
          </w:p>
        </w:tc>
        <w:tc>
          <w:tcPr>
            <w:tcW w:w="3322"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r>
        <w:tblPrEx>
          <w:tblLayout w:type="fixed"/>
          <w:tblCellMar>
            <w:top w:w="0" w:type="dxa"/>
            <w:left w:w="108" w:type="dxa"/>
            <w:bottom w:w="0" w:type="dxa"/>
            <w:right w:w="108" w:type="dxa"/>
          </w:tblCellMar>
        </w:tblPrEx>
        <w:trPr>
          <w:trHeight w:val="471" w:hRule="exact"/>
          <w:jc w:val="center"/>
        </w:trPr>
        <w:tc>
          <w:tcPr>
            <w:tcW w:w="3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1"/>
                <w:szCs w:val="21"/>
              </w:rPr>
            </w:pPr>
            <w:r>
              <w:rPr>
                <w:rFonts w:hint="eastAsia" w:ascii="新宋体" w:hAnsi="新宋体" w:eastAsia="新宋体"/>
                <w:sz w:val="21"/>
                <w:szCs w:val="21"/>
              </w:rPr>
              <w:t>7</w:t>
            </w:r>
          </w:p>
        </w:tc>
        <w:tc>
          <w:tcPr>
            <w:tcW w:w="623"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417" w:type="dxa"/>
            <w:gridSpan w:val="2"/>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20" w:firstLineChars="200"/>
              <w:jc w:val="center"/>
              <w:rPr>
                <w:rFonts w:ascii="新宋体" w:hAnsi="新宋体" w:eastAsia="新宋体"/>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0"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注：不同投标人电子投标文件制作硬件特征码（网卡MAC地址、CPU序号、硬盘序列号等）均一致时，视为投标人之间串（围）标行为。硬件特征码（网卡MAC地址、CPU序号、硬盘序列号等）均一致时，评标委员会应在评标报告中写明串（围）标行为认定并签字，否决其投标。</w:t>
      </w:r>
    </w:p>
    <w:p>
      <w:pPr>
        <w:spacing w:line="360" w:lineRule="auto"/>
        <w:ind w:firstLine="679" w:firstLineChars="283"/>
        <w:rPr>
          <w:rFonts w:hAnsi="宋体" w:cs="宋体"/>
          <w:b/>
          <w:sz w:val="24"/>
          <w:szCs w:val="24"/>
        </w:rPr>
      </w:pPr>
      <w:r>
        <w:rPr>
          <w:rFonts w:hint="eastAsia" w:hAnsi="宋体" w:cs="宋体"/>
          <w:sz w:val="24"/>
        </w:rPr>
        <w:t>初步评审经审查后应写出评审意见。</w:t>
      </w:r>
    </w:p>
    <w:p>
      <w:pPr>
        <w:numPr>
          <w:ilvl w:val="0"/>
          <w:numId w:val="5"/>
        </w:numPr>
        <w:snapToGrid w:val="0"/>
        <w:spacing w:line="360" w:lineRule="auto"/>
        <w:ind w:firstLine="480" w:firstLineChars="200"/>
        <w:rPr>
          <w:rFonts w:hAnsi="宋体" w:cs="宋体"/>
          <w:b/>
          <w:sz w:val="24"/>
        </w:rPr>
      </w:pPr>
      <w:r>
        <w:rPr>
          <w:rFonts w:hint="eastAsia" w:hAnsi="宋体" w:cs="宋体"/>
          <w:b/>
          <w:sz w:val="24"/>
        </w:rPr>
        <w:t>详细评审</w:t>
      </w:r>
    </w:p>
    <w:p>
      <w:pPr>
        <w:pStyle w:val="2"/>
        <w:numPr>
          <w:ilvl w:val="0"/>
          <w:numId w:val="6"/>
        </w:numPr>
        <w:ind w:firstLine="241"/>
        <w:rPr>
          <w:rFonts w:hAnsi="宋体" w:cs="宋体"/>
          <w:b/>
          <w:sz w:val="24"/>
        </w:rPr>
      </w:pPr>
      <w:r>
        <w:rPr>
          <w:rFonts w:hint="eastAsia" w:hAnsi="宋体" w:cs="宋体"/>
          <w:b/>
          <w:sz w:val="24"/>
        </w:rPr>
        <w:t>技术标（25分）</w:t>
      </w:r>
    </w:p>
    <w:p>
      <w:pPr>
        <w:pStyle w:val="2"/>
        <w:ind w:firstLine="0" w:firstLineChars="0"/>
        <w:rPr>
          <w:rFonts w:hAnsi="宋体" w:cs="宋体"/>
          <w:b/>
          <w:sz w:val="24"/>
        </w:rPr>
      </w:pPr>
    </w:p>
    <w:tbl>
      <w:tblPr>
        <w:tblStyle w:val="9"/>
        <w:tblW w:w="9590" w:type="dxa"/>
        <w:jc w:val="center"/>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1035"/>
        <w:gridCol w:w="1023"/>
        <w:gridCol w:w="550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序号</w:t>
            </w:r>
          </w:p>
        </w:tc>
        <w:tc>
          <w:tcPr>
            <w:tcW w:w="103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内容</w:t>
            </w:r>
          </w:p>
        </w:tc>
        <w:tc>
          <w:tcPr>
            <w:tcW w:w="102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分值</w:t>
            </w:r>
          </w:p>
        </w:tc>
        <w:tc>
          <w:tcPr>
            <w:tcW w:w="550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评审标准</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03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内容完整性</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0-0.5分</w:t>
            </w:r>
          </w:p>
        </w:tc>
        <w:tc>
          <w:tcPr>
            <w:tcW w:w="550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技术标的主要内容具有完整性，符合招标文件的要求。</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技术标不符合招标文件要求。</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主要施工方案与技术措施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 xml:space="preserve"> 1-3分</w:t>
            </w: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施工方案（含工程特点、施工重点与难点及绿色施工）总体安排合理，施工工艺、施工机械合理、可行；对施工难点有合理的建议。</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质量管理体系与措施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1-2分</w:t>
            </w:r>
          </w:p>
        </w:tc>
        <w:tc>
          <w:tcPr>
            <w:tcW w:w="5502" w:type="dxa"/>
            <w:vAlign w:val="center"/>
          </w:tcPr>
          <w:p>
            <w:pPr>
              <w:spacing w:line="360" w:lineRule="exact"/>
              <w:rPr>
                <w:rFonts w:asciiTheme="minorEastAsia" w:hAnsiTheme="minorEastAsia" w:cstheme="minorEastAsia"/>
                <w:sz w:val="21"/>
                <w:szCs w:val="21"/>
              </w:rPr>
            </w:pPr>
            <w:r>
              <w:rPr>
                <w:rFonts w:hint="eastAsia" w:asciiTheme="minorEastAsia" w:hAnsiTheme="minorEastAsia" w:cstheme="minor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60" w:lineRule="exact"/>
              <w:rPr>
                <w:rFonts w:asciiTheme="minorEastAsia" w:hAnsiTheme="minorEastAsia" w:cstheme="minorEastAsia"/>
                <w:sz w:val="21"/>
                <w:szCs w:val="21"/>
              </w:rPr>
            </w:pPr>
            <w:r>
              <w:rPr>
                <w:rFonts w:hint="eastAsia" w:asciiTheme="minorEastAsia" w:hAnsiTheme="minorEastAsia" w:cstheme="minor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安全管理体系与措施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 xml:space="preserve"> 1-2分</w:t>
            </w:r>
          </w:p>
        </w:tc>
        <w:tc>
          <w:tcPr>
            <w:tcW w:w="5502" w:type="dxa"/>
            <w:vAlign w:val="center"/>
          </w:tcPr>
          <w:p>
            <w:pPr>
              <w:spacing w:line="360" w:lineRule="exact"/>
              <w:rPr>
                <w:rFonts w:asciiTheme="minorEastAsia" w:hAnsiTheme="minorEastAsia" w:cstheme="minorEastAsia"/>
                <w:sz w:val="21"/>
                <w:szCs w:val="21"/>
              </w:rPr>
            </w:pPr>
            <w:r>
              <w:rPr>
                <w:rFonts w:hint="eastAsia" w:asciiTheme="minorEastAsia" w:hAnsiTheme="minorEastAsia" w:cstheme="minor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 xml:space="preserve">文明施工、环境保护管理体系及施工现场扬尘治理措施  </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1-3分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工期保证措施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工期承诺满足招标文件要求，工期保证措施合理且有针对性，有具体的违约责任承诺。</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工期承诺满足招标文件要求，工期保证措施基本合理，有具体的违约责任承诺。</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103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拟投入资源配备计划</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0.5-2分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1.机械：投入计划与进度计划呼应，采用先进机械设备且配置合理、先进，满足安全技术规范和施工进度需要；PC构件运输、安装设备满足施工要求；</w:t>
            </w:r>
          </w:p>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2.劳动力：投入计划与进度计划呼应，较好满足施工需要，调配投入计划合理、准确；</w:t>
            </w:r>
          </w:p>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3.主要物资计划：主要物资（含PC构件的供应需求）投入计划与进度计划呼应，较好满足施工需要，调配投入计划合理、准确。</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1.机械：投入计划与进度计划呼应，机械设备配置基本合理，满足安全技术规范和施工进度需要；</w:t>
            </w:r>
          </w:p>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2.劳动力：投入计划与进度计划呼应，基本满足施工需要，调配投入计划基本合理；</w:t>
            </w:r>
          </w:p>
          <w:p>
            <w:pPr>
              <w:spacing w:line="300" w:lineRule="exact"/>
              <w:rPr>
                <w:rFonts w:asciiTheme="minorEastAsia" w:hAnsiTheme="minorEastAsia" w:cstheme="minorEastAsia"/>
                <w:spacing w:val="-4"/>
                <w:sz w:val="21"/>
                <w:szCs w:val="21"/>
              </w:rPr>
            </w:pPr>
            <w:r>
              <w:rPr>
                <w:rFonts w:hint="eastAsia" w:asciiTheme="minorEastAsia" w:hAnsiTheme="minorEastAsia" w:cstheme="minorEastAsia"/>
                <w:spacing w:val="-4"/>
                <w:sz w:val="21"/>
                <w:szCs w:val="21"/>
              </w:rPr>
              <w:t>3.主要物资计划：主要物资（含PC构件的供应需求）投入计划与进度计划呼应，基本满足施工需要，调配投入计划基本合理。</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施工进度表与网络计划图</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0.5-2分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关键线路清晰、准确、完整、计划编制合理、可行、满足招标文件对工期的要求。</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关键线路基本准确，计划编制基本可行。</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施工总平面图布置</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0.5-1分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总体布置有针对性、合理、能较好满足施工需要，符合安全、文明施工要求；材料堆放有序。</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总体布置基本合理、基本满足施工需要。</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1035" w:type="dxa"/>
            <w:vMerge w:val="restart"/>
            <w:vAlign w:val="center"/>
          </w:tcPr>
          <w:p>
            <w:pPr>
              <w:jc w:val="left"/>
              <w:rPr>
                <w:rFonts w:asciiTheme="minorEastAsia" w:hAnsiTheme="minorEastAsia" w:cstheme="minorEastAsia"/>
                <w:sz w:val="21"/>
                <w:szCs w:val="21"/>
              </w:rPr>
            </w:pPr>
            <w:r>
              <w:rPr>
                <w:rFonts w:hint="eastAsia" w:asciiTheme="minorEastAsia" w:hAnsiTheme="minorEastAsia" w:cstheme="minorEastAsia"/>
                <w:sz w:val="21"/>
                <w:szCs w:val="21"/>
              </w:rPr>
              <w:t>技术创新的应用实施措施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1-2分</w:t>
            </w: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z w:val="21"/>
                <w:szCs w:val="21"/>
              </w:rPr>
              <w:t>（1）节能减排、（2）绿色施工、（3）工艺创新、（4）装配式建筑等技术创新的应用实施措施符合工程情况，具有针对性、可行性、经济适用性。</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spacing w:line="300" w:lineRule="exact"/>
              <w:rPr>
                <w:rFonts w:asciiTheme="minorEastAsia" w:hAnsiTheme="minorEastAsia" w:cstheme="minorEastAsia"/>
                <w:sz w:val="21"/>
                <w:szCs w:val="21"/>
              </w:rPr>
            </w:pPr>
            <w:r>
              <w:rPr>
                <w:rFonts w:hint="eastAsia" w:asciiTheme="minorEastAsia" w:hAnsiTheme="minorEastAsia" w:cstheme="minorEastAsia"/>
                <w:spacing w:val="-8"/>
                <w:sz w:val="21"/>
                <w:szCs w:val="21"/>
              </w:rPr>
              <w:t>（1）节能减排、（2）绿色施工、（3）工艺创新、（4）装配式建筑等技术创新的应用实施措施基本符合工程情况，具有针</w:t>
            </w:r>
            <w:r>
              <w:rPr>
                <w:rFonts w:hint="eastAsia" w:asciiTheme="minorEastAsia" w:hAnsiTheme="minorEastAsia" w:cstheme="minorEastAsia"/>
                <w:sz w:val="21"/>
                <w:szCs w:val="21"/>
              </w:rPr>
              <w:t>对性。</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11</w:t>
            </w:r>
          </w:p>
        </w:tc>
        <w:tc>
          <w:tcPr>
            <w:tcW w:w="103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采用新工艺、新技术、新设备、新材料、BIM等的程度</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1-2分</w:t>
            </w: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采用新工艺、新技术、新设备、新材料、BIM等的程度满足设计要求，符合施工需要和相应技术标准等规定，经济适用。</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采用新工艺、新技术、新设备、新材料、BIM等的程度满足设计要求， 基本符合施工要求和相应技术标准等规定。</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w:t>
            </w:r>
          </w:p>
        </w:tc>
        <w:tc>
          <w:tcPr>
            <w:tcW w:w="103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施工现场实施信息化监控和数据处理</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0.5-1.5分</w:t>
            </w: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施工现场实施信息化监控和数据处理系统布置合理，满足需要。</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施工现场实施信息化监控和数据处理系统布置基本符合需要。</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13</w:t>
            </w:r>
          </w:p>
        </w:tc>
        <w:tc>
          <w:tcPr>
            <w:tcW w:w="1035"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风险管理措施</w:t>
            </w:r>
          </w:p>
        </w:tc>
        <w:tc>
          <w:tcPr>
            <w:tcW w:w="1023" w:type="dxa"/>
            <w:vMerge w:val="restart"/>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1-2分</w:t>
            </w: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风险防控管理措施齐全，风险预控符合规范要求，风险控制要点定位准确，各阶段风险控制及应急措施得力。</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5" w:type="dxa"/>
            <w:vMerge w:val="continue"/>
            <w:vAlign w:val="center"/>
          </w:tcPr>
          <w:p>
            <w:pPr>
              <w:jc w:val="left"/>
              <w:rPr>
                <w:rFonts w:asciiTheme="minorEastAsia" w:hAnsiTheme="minorEastAsia" w:cstheme="minorEastAsia"/>
                <w:sz w:val="21"/>
                <w:szCs w:val="21"/>
              </w:rPr>
            </w:pPr>
          </w:p>
        </w:tc>
        <w:tc>
          <w:tcPr>
            <w:tcW w:w="1035" w:type="dxa"/>
            <w:vMerge w:val="continue"/>
            <w:vAlign w:val="center"/>
          </w:tcPr>
          <w:p>
            <w:pPr>
              <w:jc w:val="left"/>
              <w:rPr>
                <w:rFonts w:asciiTheme="minorEastAsia" w:hAnsiTheme="minorEastAsia" w:cstheme="minorEastAsia"/>
                <w:sz w:val="21"/>
                <w:szCs w:val="21"/>
              </w:rPr>
            </w:pPr>
          </w:p>
        </w:tc>
        <w:tc>
          <w:tcPr>
            <w:tcW w:w="1023" w:type="dxa"/>
            <w:vMerge w:val="continue"/>
            <w:vAlign w:val="center"/>
          </w:tcPr>
          <w:p>
            <w:pPr>
              <w:jc w:val="left"/>
              <w:rPr>
                <w:rFonts w:asciiTheme="minorEastAsia" w:hAnsiTheme="minorEastAsia" w:cstheme="minorEastAsia"/>
                <w:sz w:val="21"/>
                <w:szCs w:val="21"/>
              </w:rPr>
            </w:pPr>
          </w:p>
        </w:tc>
        <w:tc>
          <w:tcPr>
            <w:tcW w:w="5502" w:type="dxa"/>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风险防控管理措施基本齐全，风险预控符合规范要求，风险控制要点定位基本准确，有各阶段风险控制及应急措施。</w:t>
            </w: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680" w:type="dxa"/>
            <w:gridSpan w:val="2"/>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合计</w:t>
            </w:r>
          </w:p>
        </w:tc>
        <w:tc>
          <w:tcPr>
            <w:tcW w:w="1023"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10-25分</w:t>
            </w:r>
          </w:p>
        </w:tc>
        <w:tc>
          <w:tcPr>
            <w:tcW w:w="5502" w:type="dxa"/>
            <w:vAlign w:val="center"/>
          </w:tcPr>
          <w:p>
            <w:pPr>
              <w:rPr>
                <w:rFonts w:asciiTheme="minorEastAsia" w:hAnsiTheme="minorEastAsia" w:cstheme="minorEastAsia"/>
                <w:sz w:val="21"/>
                <w:szCs w:val="21"/>
              </w:rPr>
            </w:pPr>
          </w:p>
        </w:tc>
        <w:tc>
          <w:tcPr>
            <w:tcW w:w="1385" w:type="dxa"/>
            <w:vAlign w:val="center"/>
          </w:tcPr>
          <w:p>
            <w:pPr>
              <w:jc w:val="center"/>
              <w:rPr>
                <w:rFonts w:asciiTheme="minorEastAsia" w:hAnsiTheme="minorEastAsia" w:cstheme="minorEastAsia"/>
                <w:sz w:val="21"/>
                <w:szCs w:val="21"/>
              </w:rPr>
            </w:pPr>
            <w:r>
              <w:rPr>
                <w:rFonts w:hint="eastAsia" w:asciiTheme="minorEastAsia" w:hAnsiTheme="minorEastAsia" w:cstheme="minorEastAsia"/>
                <w:sz w:val="21"/>
                <w:szCs w:val="21"/>
              </w:rPr>
              <w:t>10≤得分≤25</w:t>
            </w:r>
          </w:p>
        </w:tc>
      </w:tr>
    </w:tbl>
    <w:p>
      <w:pPr>
        <w:snapToGrid w:val="0"/>
        <w:spacing w:line="360" w:lineRule="auto"/>
        <w:rPr>
          <w:rFonts w:hAnsi="宋体" w:cs="宋体"/>
          <w:sz w:val="24"/>
          <w:szCs w:val="24"/>
          <w:shd w:val="clear" w:color="auto" w:fill="FFFFFF"/>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sz w:val="24"/>
          <w:szCs w:val="24"/>
          <w:shd w:val="clear" w:color="auto" w:fill="FFFFFF"/>
        </w:rPr>
        <w:t xml:space="preserve">   </w:t>
      </w:r>
      <w:r>
        <w:rPr>
          <w:rFonts w:hint="eastAsia" w:hAnsi="宋体" w:cs="宋体"/>
          <w:b/>
          <w:bCs/>
          <w:sz w:val="24"/>
          <w:szCs w:val="24"/>
        </w:rPr>
        <w:t>（二）商务标（50分）</w:t>
      </w:r>
    </w:p>
    <w:p>
      <w:pPr>
        <w:snapToGrid w:val="0"/>
        <w:spacing w:line="360" w:lineRule="auto"/>
        <w:rPr>
          <w:rFonts w:hAnsi="宋体" w:cs="宋体"/>
          <w:sz w:val="24"/>
          <w:szCs w:val="24"/>
          <w:shd w:val="clear" w:color="auto" w:fill="FFFFFF"/>
        </w:rPr>
      </w:pPr>
      <w:r>
        <w:rPr>
          <w:rFonts w:hint="eastAsia" w:hAnsi="宋体" w:cs="宋体"/>
          <w:b/>
          <w:bCs/>
          <w:sz w:val="24"/>
          <w:szCs w:val="24"/>
        </w:rPr>
        <w:t>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adjustRightInd w:val="0"/>
        <w:snapToGrid w:val="0"/>
        <w:spacing w:line="440" w:lineRule="exact"/>
        <w:ind w:firstLine="578" w:firstLineChars="241"/>
        <w:rPr>
          <w:rFonts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（三）综合标（25分）</w:t>
      </w:r>
    </w:p>
    <w:tbl>
      <w:tblPr>
        <w:tblStyle w:val="9"/>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1"/>
                <w:szCs w:val="21"/>
              </w:rPr>
            </w:pPr>
            <w:r>
              <w:rPr>
                <w:rFonts w:hint="eastAsia" w:hAnsi="宋体" w:cs="宋体"/>
                <w:sz w:val="21"/>
                <w:szCs w:val="21"/>
              </w:rPr>
              <w:t>序号</w:t>
            </w:r>
          </w:p>
        </w:tc>
        <w:tc>
          <w:tcPr>
            <w:tcW w:w="1417" w:type="dxa"/>
            <w:vAlign w:val="center"/>
          </w:tcPr>
          <w:p>
            <w:pPr>
              <w:jc w:val="center"/>
              <w:rPr>
                <w:rFonts w:hAnsi="宋体" w:cs="宋体"/>
                <w:sz w:val="21"/>
                <w:szCs w:val="21"/>
              </w:rPr>
            </w:pPr>
            <w:r>
              <w:rPr>
                <w:rFonts w:hint="eastAsia" w:hAnsi="宋体" w:cs="宋体"/>
                <w:sz w:val="21"/>
                <w:szCs w:val="21"/>
              </w:rPr>
              <w:t>项     目</w:t>
            </w:r>
          </w:p>
        </w:tc>
        <w:tc>
          <w:tcPr>
            <w:tcW w:w="4678" w:type="dxa"/>
            <w:vAlign w:val="center"/>
          </w:tcPr>
          <w:p>
            <w:pPr>
              <w:jc w:val="center"/>
              <w:rPr>
                <w:rFonts w:hAnsi="宋体" w:cs="宋体"/>
                <w:sz w:val="21"/>
                <w:szCs w:val="21"/>
              </w:rPr>
            </w:pPr>
            <w:r>
              <w:rPr>
                <w:rFonts w:hint="eastAsia" w:hAnsi="宋体" w:cs="宋体"/>
                <w:sz w:val="21"/>
                <w:szCs w:val="21"/>
              </w:rPr>
              <w:t>评  审   标   准</w:t>
            </w:r>
          </w:p>
        </w:tc>
        <w:tc>
          <w:tcPr>
            <w:tcW w:w="1843" w:type="dxa"/>
            <w:vAlign w:val="center"/>
          </w:tcPr>
          <w:p>
            <w:pPr>
              <w:jc w:val="center"/>
              <w:rPr>
                <w:rFonts w:hAnsi="宋体" w:cs="宋体"/>
                <w:sz w:val="21"/>
                <w:szCs w:val="21"/>
              </w:rPr>
            </w:pPr>
            <w:r>
              <w:rPr>
                <w:rFonts w:hint="eastAsia" w:hAnsi="宋体" w:cs="宋体"/>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1"/>
                <w:szCs w:val="21"/>
              </w:rPr>
            </w:pPr>
            <w:r>
              <w:rPr>
                <w:rFonts w:hint="eastAsia" w:hAnsi="宋体" w:cs="宋体"/>
                <w:sz w:val="21"/>
                <w:szCs w:val="21"/>
              </w:rPr>
              <w:t>1</w:t>
            </w:r>
          </w:p>
        </w:tc>
        <w:tc>
          <w:tcPr>
            <w:tcW w:w="1417" w:type="dxa"/>
            <w:vAlign w:val="center"/>
          </w:tcPr>
          <w:p>
            <w:pPr>
              <w:jc w:val="center"/>
              <w:rPr>
                <w:rFonts w:hAnsi="宋体" w:cs="宋体"/>
                <w:sz w:val="21"/>
                <w:szCs w:val="21"/>
              </w:rPr>
            </w:pPr>
            <w:r>
              <w:rPr>
                <w:rFonts w:hint="eastAsia" w:hAnsi="宋体" w:cs="宋体"/>
                <w:sz w:val="21"/>
                <w:szCs w:val="21"/>
              </w:rPr>
              <w:t>企业业绩</w:t>
            </w:r>
          </w:p>
        </w:tc>
        <w:tc>
          <w:tcPr>
            <w:tcW w:w="4678" w:type="dxa"/>
            <w:vAlign w:val="center"/>
          </w:tcPr>
          <w:p>
            <w:pPr>
              <w:spacing w:line="300" w:lineRule="exact"/>
              <w:jc w:val="left"/>
              <w:rPr>
                <w:rFonts w:hAnsi="宋体" w:cs="宋体"/>
                <w:sz w:val="21"/>
                <w:szCs w:val="21"/>
              </w:rPr>
            </w:pPr>
            <w:r>
              <w:rPr>
                <w:rFonts w:hint="eastAsia" w:hAnsi="宋体" w:cs="宋体"/>
                <w:sz w:val="21"/>
                <w:szCs w:val="21"/>
              </w:rPr>
              <w:t>2016年1月1日以来，承担过类似项目的，每项得4分，本项最高得4分。（以中标通知书、施工合同（或竣工验收备案表）为准，缺一项不得分，且与拟派项目负责人业绩不得为同一业绩）</w:t>
            </w:r>
          </w:p>
        </w:tc>
        <w:tc>
          <w:tcPr>
            <w:tcW w:w="1843" w:type="dxa"/>
            <w:vAlign w:val="center"/>
          </w:tcPr>
          <w:p>
            <w:pPr>
              <w:jc w:val="center"/>
              <w:rPr>
                <w:rFonts w:hAnsi="宋体" w:cs="宋体"/>
                <w:sz w:val="21"/>
                <w:szCs w:val="21"/>
              </w:rPr>
            </w:pPr>
            <w:r>
              <w:rPr>
                <w:rFonts w:hint="eastAsia" w:hAnsi="宋体" w:cs="宋体"/>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1"/>
                <w:szCs w:val="21"/>
              </w:rPr>
            </w:pPr>
            <w:r>
              <w:rPr>
                <w:rFonts w:hint="eastAsia" w:hAnsi="宋体" w:cs="宋体"/>
                <w:sz w:val="21"/>
                <w:szCs w:val="21"/>
              </w:rPr>
              <w:t>2</w:t>
            </w:r>
          </w:p>
        </w:tc>
        <w:tc>
          <w:tcPr>
            <w:tcW w:w="1417" w:type="dxa"/>
            <w:vAlign w:val="center"/>
          </w:tcPr>
          <w:p>
            <w:pPr>
              <w:jc w:val="center"/>
              <w:rPr>
                <w:rFonts w:hAnsi="宋体" w:cs="宋体"/>
                <w:sz w:val="21"/>
                <w:szCs w:val="21"/>
              </w:rPr>
            </w:pPr>
            <w:r>
              <w:rPr>
                <w:rFonts w:hint="eastAsia" w:hAnsi="宋体" w:cs="宋体"/>
                <w:sz w:val="21"/>
                <w:szCs w:val="21"/>
              </w:rPr>
              <w:t>项目经理业绩</w:t>
            </w:r>
          </w:p>
        </w:tc>
        <w:tc>
          <w:tcPr>
            <w:tcW w:w="4678" w:type="dxa"/>
            <w:vAlign w:val="center"/>
          </w:tcPr>
          <w:p>
            <w:pPr>
              <w:spacing w:line="300" w:lineRule="exact"/>
              <w:jc w:val="left"/>
              <w:rPr>
                <w:rFonts w:hAnsi="宋体" w:cs="宋体"/>
                <w:sz w:val="21"/>
                <w:szCs w:val="21"/>
              </w:rPr>
            </w:pPr>
            <w:r>
              <w:rPr>
                <w:rFonts w:hint="eastAsia" w:hAnsi="宋体" w:cs="宋体"/>
                <w:sz w:val="21"/>
                <w:szCs w:val="21"/>
              </w:rPr>
              <w:t>2016年1月1日以来，承担过类似项目业绩的，得6分，本项最高得6分。（以中标通知书、施工合同（或竣工验收备案表）为准，缺一项不得分，且与企业业绩不得为同一业绩）</w:t>
            </w:r>
          </w:p>
        </w:tc>
        <w:tc>
          <w:tcPr>
            <w:tcW w:w="1843" w:type="dxa"/>
            <w:vAlign w:val="center"/>
          </w:tcPr>
          <w:p>
            <w:pPr>
              <w:jc w:val="center"/>
              <w:rPr>
                <w:rFonts w:hAnsi="宋体" w:cs="宋体"/>
                <w:sz w:val="21"/>
                <w:szCs w:val="21"/>
              </w:rPr>
            </w:pPr>
            <w:r>
              <w:rPr>
                <w:rFonts w:hint="eastAsia" w:hAnsi="宋体" w:cs="宋体"/>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1"/>
                <w:szCs w:val="21"/>
              </w:rPr>
            </w:pPr>
            <w:r>
              <w:rPr>
                <w:rFonts w:hint="eastAsia" w:hAnsi="宋体" w:cs="宋体"/>
                <w:sz w:val="21"/>
                <w:szCs w:val="21"/>
              </w:rPr>
              <w:t>3</w:t>
            </w:r>
          </w:p>
        </w:tc>
        <w:tc>
          <w:tcPr>
            <w:tcW w:w="1417" w:type="dxa"/>
            <w:vMerge w:val="restart"/>
            <w:vAlign w:val="center"/>
          </w:tcPr>
          <w:p>
            <w:pPr>
              <w:jc w:val="center"/>
              <w:rPr>
                <w:rFonts w:hAnsi="宋体" w:cs="宋体"/>
                <w:sz w:val="21"/>
                <w:szCs w:val="21"/>
              </w:rPr>
            </w:pPr>
            <w:r>
              <w:rPr>
                <w:rFonts w:hint="eastAsia" w:hAnsi="宋体" w:cs="宋体"/>
                <w:sz w:val="21"/>
                <w:szCs w:val="21"/>
              </w:rPr>
              <w:t>优惠承诺</w:t>
            </w:r>
          </w:p>
        </w:tc>
        <w:tc>
          <w:tcPr>
            <w:tcW w:w="4678" w:type="dxa"/>
            <w:vAlign w:val="center"/>
          </w:tcPr>
          <w:p>
            <w:pPr>
              <w:spacing w:line="300" w:lineRule="exact"/>
              <w:jc w:val="left"/>
              <w:rPr>
                <w:rFonts w:hAnsi="宋体" w:cs="宋体"/>
                <w:sz w:val="21"/>
                <w:szCs w:val="21"/>
              </w:rPr>
            </w:pPr>
            <w:r>
              <w:rPr>
                <w:rFonts w:hint="eastAsia" w:hAnsi="宋体" w:cs="宋体"/>
                <w:sz w:val="21"/>
                <w:szCs w:val="21"/>
              </w:rPr>
              <w:t>优惠承诺应是书面的符合工程实际情况，确保依法依规，优惠合理，详实可行。</w:t>
            </w:r>
          </w:p>
        </w:tc>
        <w:tc>
          <w:tcPr>
            <w:tcW w:w="1843" w:type="dxa"/>
            <w:vAlign w:val="center"/>
          </w:tcPr>
          <w:p>
            <w:pPr>
              <w:jc w:val="center"/>
              <w:rPr>
                <w:rFonts w:hAnsi="宋体" w:cs="宋体"/>
                <w:sz w:val="21"/>
                <w:szCs w:val="21"/>
              </w:rPr>
            </w:pPr>
            <w:r>
              <w:rPr>
                <w:rFonts w:hint="eastAsia" w:hAnsi="宋体" w:cs="宋体"/>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1"/>
                <w:szCs w:val="21"/>
              </w:rPr>
            </w:pPr>
          </w:p>
        </w:tc>
        <w:tc>
          <w:tcPr>
            <w:tcW w:w="1417" w:type="dxa"/>
            <w:vMerge w:val="continue"/>
            <w:vAlign w:val="center"/>
          </w:tcPr>
          <w:p>
            <w:pPr>
              <w:jc w:val="left"/>
              <w:rPr>
                <w:rFonts w:hAnsi="宋体" w:cs="宋体"/>
                <w:sz w:val="21"/>
                <w:szCs w:val="21"/>
              </w:rPr>
            </w:pPr>
          </w:p>
        </w:tc>
        <w:tc>
          <w:tcPr>
            <w:tcW w:w="4678" w:type="dxa"/>
            <w:vAlign w:val="center"/>
          </w:tcPr>
          <w:p>
            <w:pPr>
              <w:spacing w:line="300" w:lineRule="exact"/>
              <w:jc w:val="left"/>
              <w:rPr>
                <w:rFonts w:hAnsi="宋体" w:cs="宋体"/>
                <w:sz w:val="21"/>
                <w:szCs w:val="21"/>
              </w:rPr>
            </w:pPr>
            <w:r>
              <w:rPr>
                <w:rFonts w:hint="eastAsia" w:hAnsi="宋体" w:cs="宋体"/>
                <w:sz w:val="21"/>
                <w:szCs w:val="21"/>
              </w:rPr>
              <w:t>优惠承诺符合工程实际情况，确保依法依规，优惠基本合理，基本详实可行。</w:t>
            </w:r>
          </w:p>
        </w:tc>
        <w:tc>
          <w:tcPr>
            <w:tcW w:w="1843" w:type="dxa"/>
            <w:vAlign w:val="center"/>
          </w:tcPr>
          <w:p>
            <w:pPr>
              <w:jc w:val="center"/>
              <w:rPr>
                <w:rFonts w:hAnsi="宋体" w:cs="宋体"/>
                <w:sz w:val="21"/>
                <w:szCs w:val="21"/>
              </w:rPr>
            </w:pPr>
            <w:r>
              <w:rPr>
                <w:rFonts w:hint="eastAsia" w:hAnsi="宋体" w:cs="宋体"/>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30" w:type="dxa"/>
            <w:vMerge w:val="restart"/>
            <w:vAlign w:val="center"/>
          </w:tcPr>
          <w:p>
            <w:pPr>
              <w:jc w:val="center"/>
              <w:rPr>
                <w:rFonts w:hAnsi="宋体" w:cs="宋体"/>
                <w:sz w:val="21"/>
                <w:szCs w:val="21"/>
              </w:rPr>
            </w:pPr>
            <w:r>
              <w:rPr>
                <w:rFonts w:hint="eastAsia" w:hAnsi="宋体" w:cs="宋体"/>
                <w:sz w:val="21"/>
                <w:szCs w:val="21"/>
              </w:rPr>
              <w:t>4</w:t>
            </w:r>
          </w:p>
        </w:tc>
        <w:tc>
          <w:tcPr>
            <w:tcW w:w="1417" w:type="dxa"/>
            <w:vMerge w:val="restart"/>
            <w:vAlign w:val="center"/>
          </w:tcPr>
          <w:p>
            <w:pPr>
              <w:jc w:val="center"/>
              <w:rPr>
                <w:rFonts w:hAnsi="宋体" w:cs="宋体"/>
                <w:sz w:val="21"/>
                <w:szCs w:val="21"/>
              </w:rPr>
            </w:pPr>
            <w:r>
              <w:rPr>
                <w:rFonts w:hint="eastAsia" w:hAnsi="宋体" w:cs="宋体"/>
                <w:sz w:val="21"/>
                <w:szCs w:val="21"/>
              </w:rPr>
              <w:t>履职尽责承诺</w:t>
            </w:r>
          </w:p>
        </w:tc>
        <w:tc>
          <w:tcPr>
            <w:tcW w:w="4678" w:type="dxa"/>
            <w:vAlign w:val="center"/>
          </w:tcPr>
          <w:p>
            <w:pPr>
              <w:spacing w:line="300" w:lineRule="exact"/>
              <w:jc w:val="left"/>
              <w:rPr>
                <w:rFonts w:hAnsi="宋体" w:cs="宋体"/>
                <w:sz w:val="21"/>
                <w:szCs w:val="21"/>
              </w:rPr>
            </w:pPr>
            <w:r>
              <w:rPr>
                <w:rFonts w:hint="eastAsia" w:hAnsi="宋体" w:cs="宋体"/>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pPr>
              <w:jc w:val="center"/>
              <w:rPr>
                <w:rFonts w:hAnsi="宋体" w:cs="宋体"/>
                <w:sz w:val="21"/>
                <w:szCs w:val="21"/>
              </w:rPr>
            </w:pPr>
            <w:r>
              <w:rPr>
                <w:rFonts w:hint="eastAsia" w:hAnsi="宋体" w:cs="宋体"/>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1"/>
                <w:szCs w:val="21"/>
              </w:rPr>
            </w:pPr>
          </w:p>
        </w:tc>
        <w:tc>
          <w:tcPr>
            <w:tcW w:w="1417" w:type="dxa"/>
            <w:vMerge w:val="continue"/>
            <w:vAlign w:val="center"/>
          </w:tcPr>
          <w:p>
            <w:pPr>
              <w:jc w:val="left"/>
              <w:rPr>
                <w:rFonts w:hAnsi="宋体" w:cs="宋体"/>
                <w:sz w:val="21"/>
                <w:szCs w:val="21"/>
              </w:rPr>
            </w:pPr>
          </w:p>
        </w:tc>
        <w:tc>
          <w:tcPr>
            <w:tcW w:w="4678" w:type="dxa"/>
            <w:vAlign w:val="center"/>
          </w:tcPr>
          <w:p>
            <w:pPr>
              <w:spacing w:line="300" w:lineRule="exact"/>
              <w:jc w:val="left"/>
              <w:rPr>
                <w:rFonts w:hAnsi="宋体" w:cs="宋体"/>
                <w:sz w:val="21"/>
                <w:szCs w:val="21"/>
              </w:rPr>
            </w:pPr>
            <w:r>
              <w:rPr>
                <w:rFonts w:hint="eastAsia" w:hAnsi="宋体" w:cs="宋体"/>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pPr>
              <w:jc w:val="center"/>
              <w:rPr>
                <w:rFonts w:hAnsi="宋体" w:cs="宋体"/>
                <w:sz w:val="21"/>
                <w:szCs w:val="21"/>
              </w:rPr>
            </w:pPr>
            <w:r>
              <w:rPr>
                <w:rFonts w:hint="eastAsia" w:hAnsi="宋体" w:cs="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1"/>
                <w:szCs w:val="21"/>
              </w:rPr>
            </w:pPr>
            <w:r>
              <w:rPr>
                <w:rFonts w:hint="eastAsia" w:hAnsi="宋体" w:cs="宋体"/>
                <w:sz w:val="21"/>
                <w:szCs w:val="21"/>
              </w:rPr>
              <w:t>5</w:t>
            </w:r>
          </w:p>
        </w:tc>
        <w:tc>
          <w:tcPr>
            <w:tcW w:w="1417" w:type="dxa"/>
            <w:vAlign w:val="center"/>
          </w:tcPr>
          <w:p>
            <w:pPr>
              <w:jc w:val="center"/>
              <w:rPr>
                <w:rFonts w:hAnsi="宋体" w:cs="宋体"/>
                <w:sz w:val="21"/>
                <w:szCs w:val="21"/>
              </w:rPr>
            </w:pPr>
            <w:r>
              <w:rPr>
                <w:rFonts w:hint="eastAsia" w:hAnsi="宋体" w:cs="宋体"/>
                <w:sz w:val="21"/>
                <w:szCs w:val="21"/>
              </w:rPr>
              <w:t>企业信用（含纳税诚信）</w:t>
            </w:r>
          </w:p>
        </w:tc>
        <w:tc>
          <w:tcPr>
            <w:tcW w:w="4678" w:type="dxa"/>
            <w:vAlign w:val="center"/>
          </w:tcPr>
          <w:p>
            <w:pPr>
              <w:spacing w:line="300" w:lineRule="exact"/>
              <w:jc w:val="left"/>
              <w:rPr>
                <w:rFonts w:hAnsi="宋体" w:cs="宋体"/>
                <w:sz w:val="21"/>
                <w:szCs w:val="21"/>
              </w:rPr>
            </w:pPr>
            <w:r>
              <w:rPr>
                <w:rFonts w:hint="eastAsia" w:hAnsi="宋体" w:cs="宋体"/>
                <w:sz w:val="21"/>
                <w:szCs w:val="21"/>
              </w:rPr>
              <w:t>企业获得过市级安全文明工地，一项得2分；省级安全文明工地，一项得4分，没有不得分，本项最高得4分。</w:t>
            </w:r>
          </w:p>
        </w:tc>
        <w:tc>
          <w:tcPr>
            <w:tcW w:w="1843" w:type="dxa"/>
            <w:vAlign w:val="center"/>
          </w:tcPr>
          <w:p>
            <w:pPr>
              <w:jc w:val="center"/>
              <w:rPr>
                <w:rFonts w:hAnsi="宋体" w:cs="宋体"/>
                <w:sz w:val="21"/>
                <w:szCs w:val="21"/>
              </w:rPr>
            </w:pPr>
            <w:r>
              <w:rPr>
                <w:rFonts w:hint="eastAsia" w:hAnsi="宋体" w:cs="宋体"/>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1"/>
                <w:szCs w:val="21"/>
              </w:rPr>
            </w:pPr>
            <w:r>
              <w:rPr>
                <w:rFonts w:hint="eastAsia" w:hAnsi="宋体" w:cs="宋体"/>
                <w:sz w:val="21"/>
                <w:szCs w:val="21"/>
              </w:rPr>
              <w:t>6</w:t>
            </w:r>
          </w:p>
        </w:tc>
        <w:tc>
          <w:tcPr>
            <w:tcW w:w="1417" w:type="dxa"/>
            <w:vAlign w:val="center"/>
          </w:tcPr>
          <w:p>
            <w:pPr>
              <w:jc w:val="center"/>
              <w:rPr>
                <w:rFonts w:hAnsi="宋体" w:cs="宋体"/>
                <w:sz w:val="21"/>
                <w:szCs w:val="21"/>
              </w:rPr>
            </w:pPr>
            <w:r>
              <w:rPr>
                <w:rFonts w:hint="eastAsia" w:hAnsi="宋体" w:cs="宋体"/>
                <w:sz w:val="21"/>
                <w:szCs w:val="21"/>
              </w:rPr>
              <w:t>项目经理信用</w:t>
            </w:r>
          </w:p>
        </w:tc>
        <w:tc>
          <w:tcPr>
            <w:tcW w:w="4678" w:type="dxa"/>
            <w:vAlign w:val="center"/>
          </w:tcPr>
          <w:p>
            <w:pPr>
              <w:spacing w:line="300" w:lineRule="exact"/>
              <w:jc w:val="left"/>
              <w:rPr>
                <w:rFonts w:hAnsi="宋体" w:cs="宋体"/>
                <w:sz w:val="21"/>
                <w:szCs w:val="21"/>
              </w:rPr>
            </w:pPr>
            <w:r>
              <w:rPr>
                <w:rFonts w:hint="eastAsia" w:hAnsi="宋体" w:cs="宋体"/>
                <w:sz w:val="21"/>
                <w:szCs w:val="21"/>
              </w:rPr>
              <w:t>项目经理曾获得过省安全文明标准化工地奖，一项得2分，本项最高得2分。</w:t>
            </w:r>
          </w:p>
        </w:tc>
        <w:tc>
          <w:tcPr>
            <w:tcW w:w="1843" w:type="dxa"/>
            <w:vAlign w:val="center"/>
          </w:tcPr>
          <w:p>
            <w:pPr>
              <w:jc w:val="center"/>
              <w:rPr>
                <w:rFonts w:hAnsi="宋体" w:cs="宋体"/>
                <w:sz w:val="21"/>
                <w:szCs w:val="21"/>
              </w:rPr>
            </w:pPr>
            <w:r>
              <w:rPr>
                <w:rFonts w:hint="eastAsia" w:hAnsi="宋体" w:cs="宋体"/>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1"/>
                <w:szCs w:val="21"/>
              </w:rPr>
            </w:pPr>
            <w:r>
              <w:rPr>
                <w:rFonts w:hint="eastAsia" w:hAnsi="宋体" w:cs="宋体"/>
                <w:sz w:val="21"/>
                <w:szCs w:val="21"/>
              </w:rPr>
              <w:t>7</w:t>
            </w:r>
          </w:p>
        </w:tc>
        <w:tc>
          <w:tcPr>
            <w:tcW w:w="1417" w:type="dxa"/>
            <w:vAlign w:val="center"/>
          </w:tcPr>
          <w:p>
            <w:pPr>
              <w:jc w:val="center"/>
              <w:rPr>
                <w:rFonts w:hAnsi="宋体" w:cs="宋体"/>
                <w:sz w:val="21"/>
                <w:szCs w:val="21"/>
              </w:rPr>
            </w:pPr>
            <w:r>
              <w:rPr>
                <w:rFonts w:hint="eastAsia" w:hAnsi="宋体" w:cs="宋体"/>
                <w:sz w:val="21"/>
                <w:szCs w:val="21"/>
              </w:rPr>
              <w:t>招标人意见</w:t>
            </w:r>
          </w:p>
        </w:tc>
        <w:tc>
          <w:tcPr>
            <w:tcW w:w="4678" w:type="dxa"/>
            <w:vAlign w:val="center"/>
          </w:tcPr>
          <w:p>
            <w:pPr>
              <w:rPr>
                <w:rFonts w:hAnsi="宋体" w:cs="宋体"/>
                <w:sz w:val="21"/>
                <w:szCs w:val="21"/>
              </w:rPr>
            </w:pPr>
            <w:r>
              <w:rPr>
                <w:rFonts w:hint="eastAsia" w:hAnsi="宋体" w:cs="宋体"/>
                <w:sz w:val="21"/>
                <w:szCs w:val="21"/>
              </w:rPr>
              <w:t>各投标人得分均按2分计算。</w:t>
            </w:r>
          </w:p>
        </w:tc>
        <w:tc>
          <w:tcPr>
            <w:tcW w:w="1843" w:type="dxa"/>
            <w:vAlign w:val="center"/>
          </w:tcPr>
          <w:p>
            <w:pPr>
              <w:jc w:val="center"/>
              <w:rPr>
                <w:rFonts w:hAnsi="宋体" w:cs="宋体"/>
                <w:sz w:val="21"/>
                <w:szCs w:val="21"/>
              </w:rPr>
            </w:pPr>
            <w:r>
              <w:rPr>
                <w:rFonts w:hint="eastAsia" w:hAnsi="宋体" w:cs="宋体"/>
                <w:sz w:val="21"/>
                <w:szCs w:val="21"/>
              </w:rPr>
              <w:t>0≤得分≤2分</w:t>
            </w:r>
          </w:p>
        </w:tc>
      </w:tr>
    </w:tbl>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bookmarkStart w:id="70" w:name="_Toc295572535"/>
      <w:bookmarkStart w:id="71" w:name="_Toc272833453"/>
      <w:bookmarkStart w:id="72" w:name="_Toc273546398"/>
      <w:bookmarkStart w:id="73" w:name="_Toc270931534"/>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pStyle w:val="2"/>
        <w:ind w:firstLine="340"/>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autoSpaceDE w:val="0"/>
        <w:autoSpaceDN w:val="0"/>
        <w:adjustRightInd w:val="0"/>
        <w:ind w:firstLine="882" w:firstLineChars="245"/>
        <w:outlineLvl w:val="0"/>
        <w:rPr>
          <w:rFonts w:hAnsi="宋体" w:cs="宋体"/>
          <w:b/>
          <w:sz w:val="36"/>
          <w:szCs w:val="36"/>
        </w:rPr>
      </w:pPr>
    </w:p>
    <w:p>
      <w:pPr>
        <w:pStyle w:val="2"/>
        <w:ind w:firstLine="340"/>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pStyle w:val="2"/>
        <w:ind w:firstLine="0" w:firstLineChars="0"/>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340"/>
      </w:pPr>
    </w:p>
    <w:p>
      <w:pPr>
        <w:autoSpaceDE w:val="0"/>
        <w:autoSpaceDN w:val="0"/>
        <w:adjustRightInd w:val="0"/>
        <w:spacing w:line="420" w:lineRule="exact"/>
        <w:jc w:val="center"/>
        <w:rPr>
          <w:rFonts w:hAnsi="宋体" w:cs="宋体"/>
          <w:sz w:val="32"/>
          <w:szCs w:val="32"/>
        </w:rPr>
      </w:pPr>
    </w:p>
    <w:p>
      <w:pPr>
        <w:pStyle w:val="2"/>
        <w:ind w:firstLine="340"/>
      </w:pPr>
    </w:p>
    <w:p>
      <w:pPr>
        <w:pStyle w:val="2"/>
        <w:ind w:firstLine="340"/>
      </w:pPr>
    </w:p>
    <w:p>
      <w:pPr>
        <w:pStyle w:val="2"/>
        <w:ind w:firstLine="34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4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4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4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 xml:space="preserve"> 元</w:t>
      </w:r>
    </w:p>
    <w:p>
      <w:pPr>
        <w:spacing w:line="44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4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4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rPr>
        <w:t xml:space="preserve">      </w:t>
      </w:r>
      <w:r>
        <w:rPr>
          <w:rFonts w:hint="eastAsia" w:hAnsi="宋体" w:cs="宋体"/>
          <w:sz w:val="24"/>
        </w:rPr>
        <w:t>暂估价RMB￥：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spacing w:line="44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40" w:lineRule="exact"/>
        <w:ind w:left="237" w:leftChars="70" w:firstLine="240" w:firstLineChars="100"/>
        <w:rPr>
          <w:rFonts w:hAnsi="宋体" w:cs="宋体"/>
          <w:sz w:val="24"/>
          <w:u w:val="single"/>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4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3360" w:firstLineChars="1400"/>
        <w:rPr>
          <w:rFonts w:hAnsi="宋体" w:cs="宋体"/>
          <w:sz w:val="24"/>
          <w:u w:val="single"/>
        </w:rPr>
      </w:pPr>
      <w:r>
        <w:rPr>
          <w:rFonts w:hint="eastAsia" w:hAnsi="宋体" w:cs="宋体"/>
          <w:sz w:val="24"/>
        </w:rPr>
        <w:t>投标人（盖章）：</w:t>
      </w:r>
    </w:p>
    <w:p>
      <w:pPr>
        <w:spacing w:line="480" w:lineRule="exact"/>
        <w:ind w:firstLine="3360" w:firstLineChars="1400"/>
        <w:rPr>
          <w:rFonts w:hAnsi="宋体" w:cs="宋体"/>
          <w:sz w:val="24"/>
        </w:rPr>
      </w:pPr>
      <w:r>
        <w:rPr>
          <w:rFonts w:hint="eastAsia" w:hAnsi="宋体" w:cs="宋体"/>
          <w:sz w:val="24"/>
        </w:rPr>
        <w:t>法定代表人或委托代理人（签字）：</w:t>
      </w:r>
    </w:p>
    <w:p>
      <w:pPr>
        <w:spacing w:line="480" w:lineRule="exact"/>
        <w:ind w:firstLine="3360" w:firstLineChars="14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项目负责人（项目经理）</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rPr>
              <w:t xml:space="preserve">      </w:t>
            </w:r>
            <w:r>
              <w:rPr>
                <w:rFonts w:hint="eastAsia" w:hAnsi="宋体" w:cs="宋体"/>
                <w:sz w:val="24"/>
              </w:rPr>
              <w:t>暂估价RMB￥：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eastAsia="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ascii="新宋体" w:hAnsi="新宋体" w:eastAsia="新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w:t>
            </w: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 xml:space="preserve">                               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val="en-US"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sz w:val="24"/>
              </w:rPr>
            </w:pPr>
            <w:r>
              <w:rPr>
                <w:rFonts w:hint="eastAsia" w:hAnsi="宋体" w:cs="宋体"/>
                <w:sz w:val="24"/>
              </w:rPr>
              <w:t>身份证原件扫描件</w:t>
            </w:r>
          </w:p>
        </w:tc>
        <w:tc>
          <w:tcPr>
            <w:tcW w:w="4345" w:type="dxa"/>
            <w:vAlign w:val="center"/>
          </w:tcPr>
          <w:p>
            <w:pPr>
              <w:spacing w:line="360" w:lineRule="auto"/>
              <w:jc w:val="center"/>
              <w:rPr>
                <w:rFonts w:hAnsi="宋体" w:cs="宋体"/>
                <w:sz w:val="24"/>
              </w:rPr>
            </w:pPr>
            <w:r>
              <w:rPr>
                <w:rFonts w:hint="eastAsia" w:hAnsi="宋体" w:cs="宋体"/>
                <w:sz w:val="24"/>
              </w:rPr>
              <w:t>建造师证书原件扫描件</w:t>
            </w:r>
          </w:p>
        </w:tc>
      </w:tr>
    </w:tbl>
    <w:p>
      <w:pPr>
        <w:pStyle w:val="2"/>
        <w:ind w:firstLine="340"/>
      </w:pPr>
    </w:p>
    <w:p>
      <w:pPr>
        <w:spacing w:line="360" w:lineRule="auto"/>
        <w:ind w:firstLine="480"/>
        <w:rPr>
          <w:rFonts w:hAnsi="宋体" w:cs="宋体"/>
          <w:sz w:val="24"/>
        </w:rPr>
      </w:pPr>
    </w:p>
    <w:p>
      <w:pPr>
        <w:spacing w:line="360" w:lineRule="auto"/>
        <w:rPr>
          <w:rFonts w:hAnsi="宋体" w:cs="宋体"/>
          <w:sz w:val="24"/>
        </w:rPr>
      </w:pPr>
    </w:p>
    <w:p>
      <w:pPr>
        <w:pStyle w:val="2"/>
        <w:ind w:firstLine="340"/>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附1：项目负责人（项目经理）简历表</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Cs w:val="21"/>
        </w:rPr>
      </w:pPr>
      <w:r>
        <w:rPr>
          <w:rFonts w:hint="eastAsia" w:hAnsi="宋体" w:cs="宋体"/>
          <w:szCs w:val="21"/>
        </w:rPr>
        <w:br w:type="page"/>
      </w:r>
    </w:p>
    <w:p>
      <w:pPr>
        <w:jc w:val="center"/>
        <w:rPr>
          <w:rFonts w:hAnsi="宋体" w:cs="宋体"/>
          <w:b/>
          <w:bCs/>
          <w:sz w:val="36"/>
          <w:szCs w:val="36"/>
        </w:rPr>
      </w:pPr>
      <w:r>
        <w:rPr>
          <w:rFonts w:hint="eastAsia" w:hAnsi="宋体" w:cs="宋体"/>
          <w:b/>
          <w:bCs/>
          <w:sz w:val="36"/>
          <w:szCs w:val="36"/>
        </w:rPr>
        <w:t>承诺书</w:t>
      </w:r>
    </w:p>
    <w:p>
      <w:pPr>
        <w:pStyle w:val="2"/>
        <w:ind w:firstLine="340"/>
      </w:pP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（项目名称）</w:t>
      </w:r>
      <w:r>
        <w:rPr>
          <w:rFonts w:hint="eastAsia" w:hAnsi="宋体" w:cs="宋体"/>
          <w:sz w:val="24"/>
        </w:rPr>
        <w:t>（以下简称“本工程”）的项目负责人</w:t>
      </w:r>
      <w:r>
        <w:rPr>
          <w:rFonts w:hint="eastAsia" w:hAnsi="宋体" w:cs="宋体"/>
          <w:sz w:val="24"/>
          <w:u w:val="single"/>
        </w:rPr>
        <w:t>（项目负责人姓名）</w:t>
      </w:r>
      <w:r>
        <w:rPr>
          <w:rFonts w:hint="eastAsia" w:hAnsi="宋体" w:cs="宋体"/>
          <w:sz w:val="24"/>
        </w:rPr>
        <w:t>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spacing w:line="420" w:lineRule="exact"/>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spacing w:line="420" w:lineRule="exact"/>
        <w:rPr>
          <w:rFonts w:hAnsi="宋体" w:cs="宋体"/>
          <w:szCs w:val="21"/>
        </w:rPr>
      </w:pPr>
    </w:p>
    <w:p>
      <w:pPr>
        <w:spacing w:line="420" w:lineRule="exact"/>
        <w:rPr>
          <w:rFonts w:hAnsi="宋体" w:cs="宋体"/>
          <w:sz w:val="24"/>
        </w:rPr>
      </w:pPr>
      <w:r>
        <w:rPr>
          <w:rFonts w:hint="eastAsia" w:hAnsi="宋体" w:cs="宋体"/>
          <w:sz w:val="24"/>
        </w:rPr>
        <w:t>附2：主要项目管理人员简历表</w:t>
      </w:r>
    </w:p>
    <w:tbl>
      <w:tblPr>
        <w:tblStyle w:val="9"/>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999"/>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32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051"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273"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051"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273"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051"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273"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051"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273"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051"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273"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jc w:val="center"/>
        </w:trPr>
        <w:tc>
          <w:tcPr>
            <w:tcW w:w="1052"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272" w:type="dxa"/>
            <w:gridSpan w:val="2"/>
          </w:tcPr>
          <w:p>
            <w:pP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b/>
          <w:sz w:val="32"/>
        </w:rPr>
      </w:pPr>
    </w:p>
    <w:p>
      <w:pPr>
        <w:autoSpaceDE w:val="0"/>
        <w:autoSpaceDN w:val="0"/>
        <w:adjustRightInd w:val="0"/>
        <w:spacing w:line="360" w:lineRule="auto"/>
        <w:ind w:right="215" w:firstLine="420"/>
        <w:jc w:val="center"/>
        <w:rPr>
          <w:rFonts w:hAnsi="宋体" w:cs="宋体"/>
          <w:b/>
          <w:sz w:val="32"/>
        </w:rPr>
      </w:pPr>
    </w:p>
    <w:p>
      <w:pPr>
        <w:autoSpaceDE w:val="0"/>
        <w:autoSpaceDN w:val="0"/>
        <w:adjustRightInd w:val="0"/>
        <w:spacing w:line="360" w:lineRule="auto"/>
        <w:ind w:right="215" w:firstLine="420"/>
        <w:jc w:val="center"/>
        <w:rPr>
          <w:rFonts w:hAnsi="宋体" w:cs="宋体"/>
          <w:b/>
          <w:sz w:val="28"/>
        </w:rPr>
      </w:pP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（1）内容完整性；</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（2）主要施工方案和技术措施；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（6）工期保证措施；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（8）施工进度表与网络计划图；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（9）施工总平面图布置；</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（10）技术创新的应用实施措施；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（12）施工现场实施信息化监控和数据处理；</w:t>
      </w:r>
    </w:p>
    <w:p>
      <w:pPr>
        <w:tabs>
          <w:tab w:val="left" w:pos="1260"/>
        </w:tabs>
        <w:autoSpaceDE w:val="0"/>
        <w:autoSpaceDN w:val="0"/>
        <w:adjustRightInd w:val="0"/>
        <w:spacing w:line="500" w:lineRule="exact"/>
        <w:ind w:firstLine="480" w:firstLineChars="200"/>
        <w:jc w:val="left"/>
        <w:rPr>
          <w:rFonts w:hAnsi="宋体" w:cs="TimesNewRomanPSMT"/>
          <w:sz w:val="18"/>
          <w:szCs w:val="18"/>
        </w:rPr>
      </w:pPr>
      <w:r>
        <w:rPr>
          <w:rFonts w:hint="eastAsia" w:ascii="新宋体" w:hAnsi="新宋体" w:eastAsia="新宋体" w:cs="仿宋_GB2312"/>
          <w:b/>
          <w:bCs/>
          <w:sz w:val="24"/>
        </w:rPr>
        <w:t>（13）风险管理措施。</w:t>
      </w:r>
    </w:p>
    <w:p>
      <w:pPr>
        <w:autoSpaceDE w:val="0"/>
        <w:autoSpaceDN w:val="0"/>
        <w:spacing w:line="540" w:lineRule="exact"/>
        <w:ind w:firstLine="520" w:firstLineChars="200"/>
        <w:jc w:val="left"/>
        <w:rPr>
          <w:rFonts w:hAnsi="宋体" w:cs="宋体"/>
          <w:b/>
          <w:sz w:val="26"/>
          <w:szCs w:val="26"/>
        </w:rPr>
      </w:pPr>
    </w:p>
    <w:sectPr>
      <w:footerReference r:id="rId16" w:type="first"/>
      <w:footerReference r:id="rId15" w:type="default"/>
      <w:pgSz w:w="11906" w:h="16838"/>
      <w:pgMar w:top="1560"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pict>
        <v:shape id="文本框 7"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2q44a8BAABL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8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2q44a8BAABL&#10;AwAADgAAAAAAAAABACAAAAAeAQAAZHJzL2Uyb0RvYy54bWxQSwUGAAAAAAYABgBZAQAAPwU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6"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pPr>
    <w:r>
      <w:pict>
        <v:shape id="文本框 8"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Imva4BAABL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19K3lDhucUSnH99PP3+ffn0jdW7PEGKDWZuAeWl850cc8+SP6MyqRwU2f1EP&#10;wTg2+nhtrhwTEflRvajrCkMCY9MF8dnj8wAxvZfekmy0FHB6pan88BDTOXVKydWcX2tjygSNe+ZA&#10;zOxhmfuZY7bSuB0vgra+O6KeAQffUoebSYn54LCveUcmAyZjOxn7AHrXI7V54RXD3T4hicItVzjD&#10;XgrjxIq6y3bllXh6L1mP/8D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zcia9rgEAAEsD&#10;AAAOAAAAAAAAAAEAIAAAAB4BAABkcnMvZTJvRG9jLnhtbFBLBQYAAAAABgAGAFkBAAA+BQ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文本框 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SRiq8BAABLAwAADgAAAGRycy9lMm9Eb2MueG1srVNLbtswEN0H6B0I&#10;7mvKBho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xSRiq8BAABL&#10;AwAADgAAAAAAAAABACAAAAAeAQAAZHJzL2Uyb0RvYy54bWxQSwUGAAAAAAYABgBZAQAAPwU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rFonts w:hint="eastAsia"/>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4C195A"/>
    <w:multiLevelType w:val="singleLevel"/>
    <w:tmpl w:val="F44C195A"/>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315F8D"/>
    <w:multiLevelType w:val="singleLevel"/>
    <w:tmpl w:val="23315F8D"/>
    <w:lvl w:ilvl="0" w:tentative="0">
      <w:start w:val="7"/>
      <w:numFmt w:val="chineseCounting"/>
      <w:suff w:val="nothing"/>
      <w:lvlText w:val="%1、"/>
      <w:lvlJc w:val="left"/>
      <w:rPr>
        <w:rFonts w:hint="eastAsia"/>
      </w:rPr>
    </w:lvl>
  </w:abstractNum>
  <w:abstractNum w:abstractNumId="3">
    <w:nsid w:val="291F6B36"/>
    <w:multiLevelType w:val="singleLevel"/>
    <w:tmpl w:val="291F6B36"/>
    <w:lvl w:ilvl="0" w:tentative="0">
      <w:start w:val="1"/>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EF9"/>
    <w:rsid w:val="00016A75"/>
    <w:rsid w:val="00026F4A"/>
    <w:rsid w:val="00032575"/>
    <w:rsid w:val="00042DB5"/>
    <w:rsid w:val="000C1239"/>
    <w:rsid w:val="000C2E17"/>
    <w:rsid w:val="000D1860"/>
    <w:rsid w:val="000D2A59"/>
    <w:rsid w:val="000E150D"/>
    <w:rsid w:val="001075B1"/>
    <w:rsid w:val="001650AB"/>
    <w:rsid w:val="00185373"/>
    <w:rsid w:val="00196097"/>
    <w:rsid w:val="001A45BE"/>
    <w:rsid w:val="001F2978"/>
    <w:rsid w:val="001F3C54"/>
    <w:rsid w:val="0022659C"/>
    <w:rsid w:val="00232F89"/>
    <w:rsid w:val="00256D3B"/>
    <w:rsid w:val="002624F3"/>
    <w:rsid w:val="002F652A"/>
    <w:rsid w:val="00352BD2"/>
    <w:rsid w:val="003559F3"/>
    <w:rsid w:val="00405657"/>
    <w:rsid w:val="00411AAD"/>
    <w:rsid w:val="00425967"/>
    <w:rsid w:val="004D0932"/>
    <w:rsid w:val="005154E9"/>
    <w:rsid w:val="00516E13"/>
    <w:rsid w:val="00545D3A"/>
    <w:rsid w:val="00572A25"/>
    <w:rsid w:val="005A3D47"/>
    <w:rsid w:val="00657BF7"/>
    <w:rsid w:val="00680B10"/>
    <w:rsid w:val="00696CD7"/>
    <w:rsid w:val="006A6A29"/>
    <w:rsid w:val="007028CF"/>
    <w:rsid w:val="0071239E"/>
    <w:rsid w:val="007210B0"/>
    <w:rsid w:val="00787438"/>
    <w:rsid w:val="007B376E"/>
    <w:rsid w:val="007B7D99"/>
    <w:rsid w:val="00842176"/>
    <w:rsid w:val="008B59FE"/>
    <w:rsid w:val="0092401D"/>
    <w:rsid w:val="00932435"/>
    <w:rsid w:val="00932690"/>
    <w:rsid w:val="009C1B1F"/>
    <w:rsid w:val="009F488E"/>
    <w:rsid w:val="009F6393"/>
    <w:rsid w:val="00A17C5C"/>
    <w:rsid w:val="00A23AE3"/>
    <w:rsid w:val="00A4610A"/>
    <w:rsid w:val="00A71759"/>
    <w:rsid w:val="00A959E4"/>
    <w:rsid w:val="00AA3761"/>
    <w:rsid w:val="00AB3275"/>
    <w:rsid w:val="00AB4763"/>
    <w:rsid w:val="00B50968"/>
    <w:rsid w:val="00B6151F"/>
    <w:rsid w:val="00BD3396"/>
    <w:rsid w:val="00C00DDE"/>
    <w:rsid w:val="00C5399B"/>
    <w:rsid w:val="00C627A2"/>
    <w:rsid w:val="00C712A5"/>
    <w:rsid w:val="00C737B0"/>
    <w:rsid w:val="00CA314E"/>
    <w:rsid w:val="00CC4BAA"/>
    <w:rsid w:val="00D874FF"/>
    <w:rsid w:val="00E06F70"/>
    <w:rsid w:val="00E303BE"/>
    <w:rsid w:val="00E94B27"/>
    <w:rsid w:val="00E965D1"/>
    <w:rsid w:val="00F0306A"/>
    <w:rsid w:val="00F5443E"/>
    <w:rsid w:val="00F70E5A"/>
    <w:rsid w:val="00F87376"/>
    <w:rsid w:val="00F939FA"/>
    <w:rsid w:val="00FB1E0D"/>
    <w:rsid w:val="00FB7312"/>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B7749A"/>
    <w:rsid w:val="23C4120D"/>
    <w:rsid w:val="241E6462"/>
    <w:rsid w:val="24C862FD"/>
    <w:rsid w:val="250F68A7"/>
    <w:rsid w:val="257C1820"/>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 w:type="character" w:customStyle="1" w:styleId="27">
    <w:name w:val="l_4"/>
    <w:basedOn w:val="10"/>
    <w:qFormat/>
    <w:uiPriority w:val="0"/>
  </w:style>
  <w:style w:type="character" w:customStyle="1" w:styleId="28">
    <w:name w:val="l_41"/>
    <w:basedOn w:val="10"/>
    <w:qFormat/>
    <w:uiPriority w:val="0"/>
  </w:style>
  <w:style w:type="character" w:customStyle="1" w:styleId="29">
    <w:name w:val="l_12"/>
    <w:basedOn w:val="10"/>
    <w:qFormat/>
    <w:uiPriority w:val="0"/>
  </w:style>
  <w:style w:type="character" w:customStyle="1" w:styleId="30">
    <w:name w:val="focus2"/>
    <w:basedOn w:val="10"/>
    <w:qFormat/>
    <w:uiPriority w:val="0"/>
    <w:rPr>
      <w:b/>
      <w:color w:val="000000"/>
    </w:rPr>
  </w:style>
  <w:style w:type="character" w:customStyle="1" w:styleId="31">
    <w:name w:val="l_2"/>
    <w:basedOn w:val="10"/>
    <w:qFormat/>
    <w:uiPriority w:val="0"/>
  </w:style>
  <w:style w:type="character" w:customStyle="1" w:styleId="32">
    <w:name w:val="l_21"/>
    <w:basedOn w:val="10"/>
    <w:qFormat/>
    <w:uiPriority w:val="0"/>
  </w:style>
  <w:style w:type="character" w:customStyle="1" w:styleId="33">
    <w:name w:val="color_cdyy"/>
    <w:basedOn w:val="10"/>
    <w:qFormat/>
    <w:uiPriority w:val="0"/>
    <w:rPr>
      <w:color w:val="FFFFFF"/>
      <w:bdr w:val="single" w:color="FFFFFF" w:sz="6" w:space="0"/>
    </w:rPr>
  </w:style>
  <w:style w:type="character" w:customStyle="1" w:styleId="34">
    <w:name w:val="menutitle10"/>
    <w:basedOn w:val="10"/>
    <w:qFormat/>
    <w:uiPriority w:val="0"/>
    <w:rPr>
      <w:color w:val="333333"/>
      <w:sz w:val="24"/>
      <w:szCs w:val="24"/>
    </w:rPr>
  </w:style>
  <w:style w:type="character" w:customStyle="1" w:styleId="35">
    <w:name w:val="menutitle11"/>
    <w:basedOn w:val="10"/>
    <w:qFormat/>
    <w:uiPriority w:val="0"/>
    <w:rPr>
      <w:color w:val="333333"/>
      <w:sz w:val="24"/>
      <w:szCs w:val="24"/>
    </w:rPr>
  </w:style>
  <w:style w:type="character" w:customStyle="1" w:styleId="36">
    <w:name w:val="l_15"/>
    <w:basedOn w:val="10"/>
    <w:qFormat/>
    <w:uiPriority w:val="0"/>
  </w:style>
  <w:style w:type="character" w:customStyle="1" w:styleId="37">
    <w:name w:val="l_151"/>
    <w:basedOn w:val="10"/>
    <w:qFormat/>
    <w:uiPriority w:val="0"/>
  </w:style>
  <w:style w:type="character" w:customStyle="1" w:styleId="38">
    <w:name w:val="close6"/>
    <w:basedOn w:val="10"/>
    <w:qFormat/>
    <w:uiPriority w:val="0"/>
  </w:style>
  <w:style w:type="character" w:customStyle="1" w:styleId="39">
    <w:name w:val="icon_dljg"/>
    <w:basedOn w:val="10"/>
    <w:qFormat/>
    <w:uiPriority w:val="0"/>
  </w:style>
  <w:style w:type="character" w:customStyle="1" w:styleId="40">
    <w:name w:val="icon_cxktbr"/>
    <w:basedOn w:val="10"/>
    <w:qFormat/>
    <w:uiPriority w:val="0"/>
  </w:style>
  <w:style w:type="character" w:customStyle="1" w:styleId="41">
    <w:name w:val="icon_cxkcyry"/>
    <w:basedOn w:val="10"/>
    <w:qFormat/>
    <w:uiPriority w:val="0"/>
  </w:style>
  <w:style w:type="character" w:customStyle="1" w:styleId="42">
    <w:name w:val="swapimg3"/>
    <w:basedOn w:val="10"/>
    <w:qFormat/>
    <w:uiPriority w:val="0"/>
  </w:style>
  <w:style w:type="character" w:customStyle="1" w:styleId="43">
    <w:name w:val="swapimg4"/>
    <w:basedOn w:val="10"/>
    <w:qFormat/>
    <w:uiPriority w:val="0"/>
  </w:style>
  <w:style w:type="character" w:customStyle="1" w:styleId="44">
    <w:name w:val="searchclose"/>
    <w:basedOn w:val="10"/>
    <w:qFormat/>
    <w:uiPriority w:val="0"/>
  </w:style>
  <w:style w:type="character" w:customStyle="1" w:styleId="45">
    <w:name w:val="searchopen"/>
    <w:basedOn w:val="10"/>
    <w:qFormat/>
    <w:uiPriority w:val="0"/>
  </w:style>
  <w:style w:type="character" w:customStyle="1" w:styleId="46">
    <w:name w:val="icon_xzry"/>
    <w:basedOn w:val="10"/>
    <w:qFormat/>
    <w:uiPriority w:val="0"/>
  </w:style>
  <w:style w:type="character" w:customStyle="1" w:styleId="47">
    <w:name w:val="icon_gzkj"/>
    <w:basedOn w:val="10"/>
    <w:qFormat/>
    <w:uiPriority w:val="0"/>
  </w:style>
  <w:style w:type="character" w:customStyle="1" w:styleId="48">
    <w:name w:val="icon_lzrz"/>
    <w:basedOn w:val="10"/>
    <w:qFormat/>
    <w:uiPriority w:val="0"/>
  </w:style>
  <w:style w:type="character" w:customStyle="1" w:styleId="49">
    <w:name w:val="icon_xglc"/>
    <w:basedOn w:val="10"/>
    <w:qFormat/>
    <w:uiPriority w:val="0"/>
  </w:style>
  <w:style w:type="character" w:customStyle="1" w:styleId="50">
    <w:name w:val="m-text"/>
    <w:basedOn w:val="10"/>
    <w:qFormat/>
    <w:uiPriority w:val="0"/>
  </w:style>
  <w:style w:type="character" w:customStyle="1" w:styleId="51">
    <w:name w:val="l_0"/>
    <w:basedOn w:val="10"/>
    <w:qFormat/>
    <w:uiPriority w:val="0"/>
  </w:style>
  <w:style w:type="character" w:customStyle="1" w:styleId="52">
    <w:name w:val="l_01"/>
    <w:basedOn w:val="10"/>
    <w:qFormat/>
    <w:uiPriority w:val="0"/>
  </w:style>
  <w:style w:type="character" w:customStyle="1" w:styleId="53">
    <w:name w:val="l_1"/>
    <w:basedOn w:val="10"/>
    <w:qFormat/>
    <w:uiPriority w:val="0"/>
  </w:style>
  <w:style w:type="character" w:customStyle="1" w:styleId="54">
    <w:name w:val="l_11"/>
    <w:basedOn w:val="10"/>
    <w:qFormat/>
    <w:uiPriority w:val="0"/>
  </w:style>
  <w:style w:type="character" w:customStyle="1" w:styleId="55">
    <w:name w:val="l_14"/>
    <w:basedOn w:val="10"/>
    <w:qFormat/>
    <w:uiPriority w:val="0"/>
  </w:style>
  <w:style w:type="character" w:customStyle="1" w:styleId="56">
    <w:name w:val="l_141"/>
    <w:basedOn w:val="10"/>
    <w:qFormat/>
    <w:uiPriority w:val="0"/>
  </w:style>
  <w:style w:type="character" w:customStyle="1" w:styleId="57">
    <w:name w:val="l_5"/>
    <w:basedOn w:val="10"/>
    <w:qFormat/>
    <w:uiPriority w:val="0"/>
  </w:style>
  <w:style w:type="character" w:customStyle="1" w:styleId="58">
    <w:name w:val="l_51"/>
    <w:basedOn w:val="10"/>
    <w:qFormat/>
    <w:uiPriority w:val="0"/>
  </w:style>
  <w:style w:type="character" w:customStyle="1" w:styleId="59">
    <w:name w:val="l_3"/>
    <w:basedOn w:val="10"/>
    <w:qFormat/>
    <w:uiPriority w:val="0"/>
  </w:style>
  <w:style w:type="character" w:customStyle="1" w:styleId="60">
    <w:name w:val="l_31"/>
    <w:basedOn w:val="10"/>
    <w:qFormat/>
    <w:uiPriority w:val="0"/>
  </w:style>
  <w:style w:type="character" w:customStyle="1" w:styleId="61">
    <w:name w:val="l_6"/>
    <w:basedOn w:val="10"/>
    <w:qFormat/>
    <w:uiPriority w:val="0"/>
  </w:style>
  <w:style w:type="character" w:customStyle="1" w:styleId="62">
    <w:name w:val="l_61"/>
    <w:basedOn w:val="10"/>
    <w:qFormat/>
    <w:uiPriority w:val="0"/>
  </w:style>
  <w:style w:type="character" w:customStyle="1" w:styleId="63">
    <w:name w:val="l_7"/>
    <w:basedOn w:val="10"/>
    <w:qFormat/>
    <w:uiPriority w:val="0"/>
  </w:style>
  <w:style w:type="character" w:customStyle="1" w:styleId="64">
    <w:name w:val="l_71"/>
    <w:basedOn w:val="10"/>
    <w:qFormat/>
    <w:uiPriority w:val="0"/>
  </w:style>
  <w:style w:type="character" w:customStyle="1" w:styleId="65">
    <w:name w:val="l_8"/>
    <w:basedOn w:val="10"/>
    <w:qFormat/>
    <w:uiPriority w:val="0"/>
  </w:style>
  <w:style w:type="character" w:customStyle="1" w:styleId="66">
    <w:name w:val="l_81"/>
    <w:basedOn w:val="10"/>
    <w:qFormat/>
    <w:uiPriority w:val="0"/>
  </w:style>
  <w:style w:type="character" w:customStyle="1" w:styleId="67">
    <w:name w:val="l_9"/>
    <w:basedOn w:val="10"/>
    <w:qFormat/>
    <w:uiPriority w:val="0"/>
  </w:style>
  <w:style w:type="character" w:customStyle="1" w:styleId="68">
    <w:name w:val="l_91"/>
    <w:basedOn w:val="10"/>
    <w:qFormat/>
    <w:uiPriority w:val="0"/>
  </w:style>
  <w:style w:type="character" w:customStyle="1" w:styleId="69">
    <w:name w:val="l_10"/>
    <w:basedOn w:val="10"/>
    <w:qFormat/>
    <w:uiPriority w:val="0"/>
  </w:style>
  <w:style w:type="character" w:customStyle="1" w:styleId="70">
    <w:name w:val="l_101"/>
    <w:basedOn w:val="10"/>
    <w:qFormat/>
    <w:uiPriority w:val="0"/>
  </w:style>
  <w:style w:type="character" w:customStyle="1" w:styleId="71">
    <w:name w:val="l_111"/>
    <w:basedOn w:val="10"/>
    <w:qFormat/>
    <w:uiPriority w:val="0"/>
  </w:style>
  <w:style w:type="character" w:customStyle="1" w:styleId="72">
    <w:name w:val="l_112"/>
    <w:basedOn w:val="10"/>
    <w:qFormat/>
    <w:uiPriority w:val="0"/>
  </w:style>
  <w:style w:type="character" w:customStyle="1" w:styleId="73">
    <w:name w:val="l_13"/>
    <w:basedOn w:val="10"/>
    <w:qFormat/>
    <w:uiPriority w:val="0"/>
  </w:style>
  <w:style w:type="character" w:customStyle="1" w:styleId="74">
    <w:name w:val="l_131"/>
    <w:basedOn w:val="10"/>
    <w:qFormat/>
    <w:uiPriority w:val="0"/>
  </w:style>
  <w:style w:type="character" w:customStyle="1" w:styleId="75">
    <w:name w:val="swapimg"/>
    <w:basedOn w:val="10"/>
    <w:qFormat/>
    <w:uiPriority w:val="0"/>
  </w:style>
  <w:style w:type="character" w:customStyle="1" w:styleId="76">
    <w:name w:val="swapimg1"/>
    <w:basedOn w:val="10"/>
    <w:qFormat/>
    <w:uiPriority w:val="0"/>
  </w:style>
  <w:style w:type="character" w:customStyle="1" w:styleId="77">
    <w:name w:val="l_121"/>
    <w:basedOn w:val="10"/>
    <w:qFormat/>
    <w:uiPriority w:val="0"/>
  </w:style>
  <w:style w:type="character" w:customStyle="1" w:styleId="78">
    <w:name w:val="l_12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30471</Words>
  <Characters>5536</Characters>
  <Lines>46</Lines>
  <Paragraphs>71</Paragraphs>
  <TotalTime>185</TotalTime>
  <ScaleCrop>false</ScaleCrop>
  <LinksUpToDate>false</LinksUpToDate>
  <CharactersWithSpaces>35936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大雄的哆啦a梦</cp:lastModifiedBy>
  <cp:lastPrinted>2019-09-26T03:33:00Z</cp:lastPrinted>
  <dcterms:modified xsi:type="dcterms:W3CDTF">2019-09-27T06:41:03Z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