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iagrams/colors1.xml" ContentType="application/vnd.openxmlformats-officedocument.drawingml.diagramColors+xml"/>
  <Override PartName="/word/diagrams/data1.xml" ContentType="application/vnd.openxmlformats-officedocument.drawingml.diagramData+xml"/>
  <Override PartName="/word/diagrams/drawing1.xml" ContentType="application/vnd.ms-office.drawingml.diagramDrawing+xml"/>
  <Override PartName="/word/diagrams/layout1.xml" ContentType="application/vnd.openxmlformats-officedocument.drawingml.diagramLayout+xml"/>
  <Override PartName="/word/diagrams/quickStyle1.xml" ContentType="application/vnd.openxmlformats-officedocument.drawingml.diagramStyle+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outlineLvl w:val="0"/>
        <w:rPr>
          <w:rFonts w:ascii="宋体" w:hAnsi="宋体"/>
          <w:b/>
          <w:bCs/>
          <w:sz w:val="24"/>
          <w:szCs w:val="24"/>
        </w:rPr>
      </w:pPr>
      <w:bookmarkStart w:id="0" w:name="_GoBack"/>
      <w:bookmarkEnd w:id="0"/>
      <w:r>
        <w:rPr>
          <w:rFonts w:hint="eastAsia" w:ascii="宋体" w:hAnsi="宋体"/>
          <w:b/>
          <w:bCs/>
          <w:sz w:val="24"/>
          <w:szCs w:val="24"/>
        </w:rPr>
        <w:t>4.3 技术方案（实施方案）</w:t>
      </w:r>
    </w:p>
    <w:p>
      <w:pPr>
        <w:autoSpaceDE w:val="0"/>
        <w:autoSpaceDN w:val="0"/>
        <w:adjustRightInd w:val="0"/>
        <w:spacing w:line="360" w:lineRule="auto"/>
        <w:outlineLvl w:val="0"/>
        <w:rPr>
          <w:rFonts w:ascii="宋体" w:hAnsi="宋体"/>
          <w:b/>
          <w:bCs/>
          <w:sz w:val="24"/>
          <w:szCs w:val="24"/>
        </w:rPr>
      </w:pPr>
    </w:p>
    <w:p>
      <w:pPr>
        <w:autoSpaceDE w:val="0"/>
        <w:autoSpaceDN w:val="0"/>
        <w:adjustRightInd w:val="0"/>
        <w:spacing w:line="360" w:lineRule="auto"/>
        <w:outlineLvl w:val="0"/>
        <w:rPr>
          <w:rFonts w:ascii="宋体" w:hAnsi="宋体"/>
          <w:b/>
          <w:bCs/>
          <w:sz w:val="24"/>
          <w:szCs w:val="24"/>
        </w:rPr>
      </w:pPr>
      <w:r>
        <w:rPr>
          <w:rFonts w:hint="eastAsia" w:ascii="宋体" w:hAnsi="宋体"/>
          <w:b/>
          <w:bCs/>
          <w:sz w:val="24"/>
          <w:szCs w:val="24"/>
        </w:rPr>
        <w:t>项目名称：执行救助保险</w:t>
      </w:r>
    </w:p>
    <w:tbl>
      <w:tblPr>
        <w:tblStyle w:val="7"/>
        <w:tblW w:w="7904" w:type="dxa"/>
        <w:tblInd w:w="0" w:type="dxa"/>
        <w:tblLayout w:type="fixed"/>
        <w:tblCellMar>
          <w:top w:w="0" w:type="dxa"/>
          <w:left w:w="108" w:type="dxa"/>
          <w:bottom w:w="0" w:type="dxa"/>
          <w:right w:w="108" w:type="dxa"/>
        </w:tblCellMar>
      </w:tblPr>
      <w:tblGrid>
        <w:gridCol w:w="534"/>
        <w:gridCol w:w="1984"/>
        <w:gridCol w:w="1701"/>
        <w:gridCol w:w="1701"/>
        <w:gridCol w:w="1984"/>
      </w:tblGrid>
      <w:tr>
        <w:tblPrEx>
          <w:tblLayout w:type="fixed"/>
          <w:tblCellMar>
            <w:top w:w="0" w:type="dxa"/>
            <w:left w:w="108" w:type="dxa"/>
            <w:bottom w:w="0" w:type="dxa"/>
            <w:right w:w="108" w:type="dxa"/>
          </w:tblCellMar>
        </w:tblPrEx>
        <w:trPr>
          <w:trHeight w:val="941" w:hRule="atLeast"/>
        </w:trPr>
        <w:tc>
          <w:tcPr>
            <w:tcW w:w="5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280" w:lineRule="exact"/>
              <w:jc w:val="center"/>
              <w:rPr>
                <w:rFonts w:cs="宋体" w:asciiTheme="minorEastAsia" w:hAnsiTheme="minorEastAsia"/>
                <w:b/>
                <w:szCs w:val="21"/>
                <w:lang w:val="zh-CN"/>
              </w:rPr>
            </w:pPr>
            <w:r>
              <w:rPr>
                <w:rFonts w:hint="eastAsia" w:cs="宋体" w:asciiTheme="minorEastAsia" w:hAnsiTheme="minorEastAsia"/>
                <w:b/>
                <w:szCs w:val="21"/>
                <w:lang w:val="zh-CN"/>
              </w:rPr>
              <w:t>序号</w:t>
            </w:r>
          </w:p>
        </w:tc>
        <w:tc>
          <w:tcPr>
            <w:tcW w:w="198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1701"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合同金额（元）</w:t>
            </w:r>
          </w:p>
        </w:tc>
        <w:tc>
          <w:tcPr>
            <w:tcW w:w="1701"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赔付金额（元）</w:t>
            </w:r>
          </w:p>
        </w:tc>
        <w:tc>
          <w:tcPr>
            <w:tcW w:w="198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1</w:t>
            </w:r>
          </w:p>
        </w:tc>
        <w:tc>
          <w:tcPr>
            <w:tcW w:w="198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jc w:val="center"/>
              <w:rPr>
                <w:rFonts w:asciiTheme="minorEastAsia" w:hAnsiTheme="minorEastAsia"/>
                <w:szCs w:val="21"/>
              </w:rPr>
            </w:pPr>
            <w:r>
              <w:rPr>
                <w:rFonts w:hint="eastAsia" w:ascii="宋体" w:hAnsi="宋体" w:eastAsia="宋体" w:cs="宋体"/>
                <w:kern w:val="0"/>
                <w:sz w:val="24"/>
                <w:szCs w:val="24"/>
              </w:rPr>
              <w:t>执行救助保险</w:t>
            </w:r>
          </w:p>
        </w:tc>
        <w:tc>
          <w:tcPr>
            <w:tcW w:w="170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jc w:val="center"/>
              <w:rPr>
                <w:rFonts w:asciiTheme="minorEastAsia" w:hAnsiTheme="minorEastAsia"/>
                <w:szCs w:val="21"/>
              </w:rPr>
            </w:pPr>
            <w:r>
              <w:rPr>
                <w:rFonts w:hint="eastAsia" w:asciiTheme="minorEastAsia" w:hAnsiTheme="minorEastAsia"/>
                <w:szCs w:val="21"/>
              </w:rPr>
              <w:t>712261.59</w:t>
            </w:r>
          </w:p>
        </w:tc>
        <w:tc>
          <w:tcPr>
            <w:tcW w:w="170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jc w:val="center"/>
              <w:rPr>
                <w:rFonts w:asciiTheme="minorEastAsia" w:hAnsiTheme="minorEastAsia"/>
                <w:szCs w:val="21"/>
              </w:rPr>
            </w:pPr>
            <w:r>
              <w:rPr>
                <w:rFonts w:hint="eastAsia" w:asciiTheme="minorEastAsia" w:hAnsiTheme="minorEastAsia"/>
                <w:szCs w:val="21"/>
              </w:rPr>
              <w:t>2208011</w:t>
            </w:r>
          </w:p>
        </w:tc>
        <w:tc>
          <w:tcPr>
            <w:tcW w:w="198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jc w:val="center"/>
              <w:rPr>
                <w:rFonts w:asciiTheme="minorEastAsia" w:hAnsiTheme="minorEastAsia"/>
                <w:szCs w:val="21"/>
              </w:rPr>
            </w:pPr>
            <w:r>
              <w:rPr>
                <w:rFonts w:hint="eastAsia" w:asciiTheme="minorEastAsia" w:hAnsiTheme="minorEastAsia"/>
                <w:szCs w:val="21"/>
              </w:rPr>
              <w:t>自合同生效之日起1年</w:t>
            </w:r>
          </w:p>
        </w:tc>
      </w:tr>
    </w:tbl>
    <w:p>
      <w:pPr>
        <w:wordWrap w:val="0"/>
        <w:topLinePunct/>
        <w:autoSpaceDE w:val="0"/>
        <w:autoSpaceDN w:val="0"/>
        <w:adjustRightInd w:val="0"/>
        <w:spacing w:line="360" w:lineRule="auto"/>
        <w:ind w:firstLine="482"/>
        <w:rPr>
          <w:rFonts w:ascii="宋体" w:cs="宋体"/>
          <w:sz w:val="24"/>
          <w:lang w:val="zh-CN"/>
        </w:rPr>
      </w:pPr>
    </w:p>
    <w:p>
      <w:pPr>
        <w:wordWrap w:val="0"/>
        <w:topLinePunct/>
        <w:autoSpaceDE w:val="0"/>
        <w:autoSpaceDN w:val="0"/>
        <w:adjustRightInd w:val="0"/>
        <w:spacing w:line="360" w:lineRule="auto"/>
        <w:ind w:firstLine="482"/>
        <w:rPr>
          <w:rFonts w:ascii="宋体" w:cs="宋体"/>
          <w:sz w:val="24"/>
          <w:lang w:val="zh-CN"/>
        </w:rPr>
      </w:pPr>
      <w:r>
        <w:rPr>
          <w:rFonts w:hint="eastAsia" w:ascii="宋体" w:cs="宋体"/>
          <w:sz w:val="24"/>
          <w:lang w:val="zh-CN"/>
        </w:rPr>
        <w:t>1、在执行救助保险当中，法院作为投保人，使用部分救助基金为遭受人身伤害并取得胜诉判决的受害人或其亲属购买保险服务，由保险公司与法院共同对这类申请执行救助的人员进行真实性调查，再由法院进行审核，最终由保险公司发放救助款。借助执行救助保险可以极大程度上减少审批流程，提高救助工作的效率。</w:t>
      </w:r>
    </w:p>
    <w:p>
      <w:pPr>
        <w:wordWrap w:val="0"/>
        <w:topLinePunct/>
        <w:autoSpaceDE w:val="0"/>
        <w:autoSpaceDN w:val="0"/>
        <w:adjustRightInd w:val="0"/>
        <w:spacing w:line="360" w:lineRule="auto"/>
        <w:ind w:firstLine="482"/>
        <w:rPr>
          <w:rFonts w:ascii="宋体" w:cs="宋体"/>
          <w:sz w:val="24"/>
          <w:lang w:val="zh-CN"/>
        </w:rPr>
      </w:pPr>
      <w:r>
        <w:rPr>
          <w:rFonts w:hint="eastAsia" w:ascii="宋体" w:cs="宋体"/>
          <w:sz w:val="24"/>
          <w:lang w:val="zh-CN"/>
        </w:rPr>
        <w:t>2、“执行救助保险”应负保险责任：</w:t>
      </w:r>
    </w:p>
    <w:p>
      <w:pPr>
        <w:wordWrap w:val="0"/>
        <w:topLinePunct/>
        <w:autoSpaceDE w:val="0"/>
        <w:autoSpaceDN w:val="0"/>
        <w:adjustRightInd w:val="0"/>
        <w:spacing w:line="360" w:lineRule="auto"/>
        <w:ind w:firstLine="482"/>
        <w:rPr>
          <w:rFonts w:ascii="宋体" w:cs="宋体"/>
          <w:sz w:val="24"/>
          <w:lang w:val="zh-CN"/>
        </w:rPr>
      </w:pPr>
      <w:r>
        <w:rPr>
          <w:rFonts w:hint="eastAsia" w:ascii="宋体" w:cs="宋体"/>
          <w:sz w:val="24"/>
          <w:lang w:val="zh-CN"/>
        </w:rPr>
        <w:t>人民法院选择投保并在保险单中载明的下列案件中，遭受人身伤害并取得胜诉判决的受害人或其亲属，因无法足额获得被执行人损害赔偿，且人民法院依法裁定中止或终结执行，在保险期间内，向人民法院提出执行救助申请，对于人民法院依据国家或地方有关法律、法规或规范性文件应当支付的救助金，保险公司按照本保险合同的约定负责赔偿。</w:t>
      </w:r>
    </w:p>
    <w:p>
      <w:pPr>
        <w:wordWrap w:val="0"/>
        <w:topLinePunct/>
        <w:autoSpaceDE w:val="0"/>
        <w:autoSpaceDN w:val="0"/>
        <w:adjustRightInd w:val="0"/>
        <w:spacing w:line="360" w:lineRule="auto"/>
        <w:ind w:firstLine="482"/>
        <w:rPr>
          <w:rFonts w:ascii="宋体" w:cs="宋体"/>
          <w:sz w:val="24"/>
          <w:lang w:val="zh-CN"/>
        </w:rPr>
      </w:pPr>
      <w:r>
        <w:rPr>
          <w:rFonts w:hint="eastAsia" w:ascii="宋体" w:cs="宋体"/>
          <w:sz w:val="24"/>
          <w:lang w:val="zh-CN"/>
        </w:rPr>
        <w:t>3.救助对象范围</w:t>
      </w:r>
    </w:p>
    <w:p>
      <w:pPr>
        <w:wordWrap w:val="0"/>
        <w:topLinePunct/>
        <w:autoSpaceDE w:val="0"/>
        <w:autoSpaceDN w:val="0"/>
        <w:adjustRightInd w:val="0"/>
        <w:spacing w:line="360" w:lineRule="auto"/>
        <w:ind w:firstLine="482"/>
        <w:rPr>
          <w:rFonts w:ascii="宋体" w:cs="宋体"/>
          <w:sz w:val="24"/>
          <w:lang w:val="zh-CN"/>
        </w:rPr>
      </w:pPr>
      <w:r>
        <w:rPr>
          <w:rFonts w:hint="eastAsia" w:ascii="宋体" w:cs="宋体"/>
          <w:sz w:val="24"/>
          <w:lang w:val="zh-CN"/>
        </w:rPr>
        <w:t xml:space="preserve">（1）刑事案件被害人受到犯罪侵害，造成重伤或者严重残疾，因加害人死亡或者没有赔偿能力，无法通过诉讼获得赔偿，陷入生活困难的； </w:t>
      </w:r>
    </w:p>
    <w:p>
      <w:pPr>
        <w:wordWrap w:val="0"/>
        <w:topLinePunct/>
        <w:autoSpaceDE w:val="0"/>
        <w:autoSpaceDN w:val="0"/>
        <w:adjustRightInd w:val="0"/>
        <w:spacing w:line="360" w:lineRule="auto"/>
        <w:ind w:firstLine="482"/>
        <w:rPr>
          <w:rFonts w:ascii="宋体" w:cs="宋体"/>
          <w:sz w:val="24"/>
          <w:lang w:val="zh-CN"/>
        </w:rPr>
      </w:pPr>
      <w:r>
        <w:rPr>
          <w:rFonts w:hint="eastAsia" w:ascii="宋体" w:cs="宋体"/>
          <w:sz w:val="24"/>
          <w:lang w:val="zh-CN"/>
        </w:rPr>
        <w:t xml:space="preserve">（2）刑事案件被害人受到犯罪侵害危及生命，急需救治，无力承担医疗救治费用的； </w:t>
      </w:r>
    </w:p>
    <w:p>
      <w:pPr>
        <w:wordWrap w:val="0"/>
        <w:topLinePunct/>
        <w:autoSpaceDE w:val="0"/>
        <w:autoSpaceDN w:val="0"/>
        <w:adjustRightInd w:val="0"/>
        <w:spacing w:line="360" w:lineRule="auto"/>
        <w:ind w:firstLine="482"/>
        <w:rPr>
          <w:rFonts w:ascii="宋体" w:cs="宋体"/>
          <w:sz w:val="24"/>
          <w:lang w:val="zh-CN"/>
        </w:rPr>
      </w:pPr>
      <w:r>
        <w:rPr>
          <w:rFonts w:hint="eastAsia" w:ascii="宋体" w:cs="宋体"/>
          <w:sz w:val="24"/>
          <w:lang w:val="zh-CN"/>
        </w:rPr>
        <w:t xml:space="preserve">（3）刑事案件被害人受到犯罪侵害而死亡，因加害人死亡或者没有赔偿能力，依靠被害人收入为主要生活来源的近亲属无法通过诉讼获得赔偿，陷入生活困难的； </w:t>
      </w:r>
    </w:p>
    <w:p>
      <w:pPr>
        <w:wordWrap w:val="0"/>
        <w:topLinePunct/>
        <w:autoSpaceDE w:val="0"/>
        <w:autoSpaceDN w:val="0"/>
        <w:adjustRightInd w:val="0"/>
        <w:spacing w:line="360" w:lineRule="auto"/>
        <w:ind w:firstLine="482"/>
        <w:rPr>
          <w:rFonts w:ascii="宋体" w:cs="宋体"/>
          <w:sz w:val="24"/>
          <w:lang w:val="zh-CN"/>
        </w:rPr>
      </w:pPr>
      <w:r>
        <w:rPr>
          <w:rFonts w:hint="eastAsia" w:ascii="宋体" w:cs="宋体"/>
          <w:sz w:val="24"/>
          <w:lang w:val="zh-CN"/>
        </w:rPr>
        <w:t xml:space="preserve">（4）刑事案件被害人受到犯罪侵害，致使其财产遭受重大损失，因加害人死亡或者没有赔偿能力，无法通过诉讼获得赔偿，陷入生活困难的； </w:t>
      </w:r>
    </w:p>
    <w:p>
      <w:pPr>
        <w:wordWrap w:val="0"/>
        <w:topLinePunct/>
        <w:autoSpaceDE w:val="0"/>
        <w:autoSpaceDN w:val="0"/>
        <w:adjustRightInd w:val="0"/>
        <w:spacing w:line="360" w:lineRule="auto"/>
        <w:ind w:firstLine="482"/>
        <w:rPr>
          <w:rFonts w:ascii="宋体" w:cs="宋体"/>
          <w:sz w:val="24"/>
          <w:lang w:val="zh-CN"/>
        </w:rPr>
      </w:pPr>
      <w:r>
        <w:rPr>
          <w:rFonts w:hint="eastAsia" w:ascii="宋体" w:cs="宋体"/>
          <w:sz w:val="24"/>
          <w:lang w:val="zh-CN"/>
        </w:rPr>
        <w:t xml:space="preserve">（5）举报人、证人、鉴定人因举报、作证、鉴定受到打击报复，致使其人身受到伤害或财产受到重大损失，无法通过诉讼获得赔偿，陷入生活困难的； </w:t>
      </w:r>
    </w:p>
    <w:p>
      <w:pPr>
        <w:wordWrap w:val="0"/>
        <w:topLinePunct/>
        <w:autoSpaceDE w:val="0"/>
        <w:autoSpaceDN w:val="0"/>
        <w:adjustRightInd w:val="0"/>
        <w:spacing w:line="360" w:lineRule="auto"/>
        <w:ind w:firstLine="482"/>
        <w:rPr>
          <w:rFonts w:ascii="宋体" w:cs="宋体"/>
          <w:sz w:val="24"/>
          <w:lang w:val="zh-CN"/>
        </w:rPr>
      </w:pPr>
      <w:r>
        <w:rPr>
          <w:rFonts w:hint="eastAsia" w:ascii="宋体" w:cs="宋体"/>
          <w:sz w:val="24"/>
          <w:lang w:val="zh-CN"/>
        </w:rPr>
        <w:t xml:space="preserve">（6）追索赡养费、扶养费、抚育费等，因被执行人没有履行能力，申请执行人陷入生活困难的； </w:t>
      </w:r>
    </w:p>
    <w:p>
      <w:pPr>
        <w:wordWrap w:val="0"/>
        <w:topLinePunct/>
        <w:autoSpaceDE w:val="0"/>
        <w:autoSpaceDN w:val="0"/>
        <w:adjustRightInd w:val="0"/>
        <w:spacing w:line="360" w:lineRule="auto"/>
        <w:ind w:firstLine="482"/>
        <w:rPr>
          <w:rFonts w:ascii="宋体" w:cs="宋体"/>
          <w:sz w:val="24"/>
          <w:lang w:val="zh-CN"/>
        </w:rPr>
      </w:pPr>
      <w:r>
        <w:rPr>
          <w:rFonts w:hint="eastAsia" w:ascii="宋体" w:cs="宋体"/>
          <w:sz w:val="24"/>
          <w:lang w:val="zh-CN"/>
        </w:rPr>
        <w:t xml:space="preserve">（7）因道路交通事故等民事侵权行为造成人身伤害，无法通过诉讼获得赔偿，受害人陷入生活困难的； </w:t>
      </w:r>
    </w:p>
    <w:p>
      <w:pPr>
        <w:wordWrap w:val="0"/>
        <w:topLinePunct/>
        <w:autoSpaceDE w:val="0"/>
        <w:autoSpaceDN w:val="0"/>
        <w:adjustRightInd w:val="0"/>
        <w:spacing w:line="360" w:lineRule="auto"/>
        <w:ind w:firstLine="482"/>
        <w:rPr>
          <w:rFonts w:ascii="宋体" w:cs="宋体"/>
          <w:sz w:val="24"/>
          <w:lang w:val="zh-CN"/>
        </w:rPr>
      </w:pPr>
      <w:r>
        <w:rPr>
          <w:rFonts w:hint="eastAsia" w:ascii="宋体" w:cs="宋体"/>
          <w:sz w:val="24"/>
          <w:lang w:val="zh-CN"/>
        </w:rPr>
        <w:t xml:space="preserve">（8）人民法院根据实际情况，认为需要救助的其他人员。 </w:t>
      </w:r>
    </w:p>
    <w:p>
      <w:pPr>
        <w:rPr>
          <w:rFonts w:ascii="仿宋_GB2312" w:eastAsia="仿宋_GB2312" w:cs="仿宋_GB2312"/>
          <w:b/>
          <w:bCs/>
          <w:sz w:val="28"/>
          <w:szCs w:val="28"/>
        </w:rPr>
      </w:pPr>
    </w:p>
    <w:p>
      <w:pPr>
        <w:spacing w:line="360" w:lineRule="auto"/>
        <w:rPr>
          <w:rFonts w:ascii="宋体" w:hAnsi="宋体" w:eastAsia="宋体" w:cs="宋体"/>
          <w:kern w:val="0"/>
          <w:sz w:val="24"/>
          <w:szCs w:val="24"/>
        </w:rPr>
      </w:pPr>
      <w:r>
        <w:rPr>
          <w:rFonts w:hint="eastAsia" w:ascii="宋体" w:hAnsi="宋体" w:eastAsia="宋体" w:cs="宋体"/>
          <w:b/>
          <w:kern w:val="0"/>
          <w:sz w:val="24"/>
          <w:szCs w:val="24"/>
        </w:rPr>
        <w:t>投保流程：</w:t>
      </w:r>
      <w:r>
        <w:rPr>
          <w:rFonts w:hint="eastAsia" w:ascii="宋体" w:hAnsi="宋体" w:eastAsia="宋体" w:cs="宋体"/>
          <w:kern w:val="0"/>
          <w:sz w:val="24"/>
          <w:szCs w:val="24"/>
        </w:rPr>
        <w:t>1、签订投保单；</w:t>
      </w:r>
    </w:p>
    <w:p>
      <w:pPr>
        <w:spacing w:line="360" w:lineRule="auto"/>
        <w:ind w:firstLine="1200" w:firstLineChars="500"/>
        <w:rPr>
          <w:rFonts w:ascii="宋体" w:hAnsi="宋体" w:eastAsia="宋体" w:cs="宋体"/>
          <w:kern w:val="0"/>
          <w:sz w:val="24"/>
          <w:szCs w:val="24"/>
        </w:rPr>
      </w:pPr>
      <w:r>
        <w:rPr>
          <w:rFonts w:hint="eastAsia" w:ascii="宋体" w:hAnsi="宋体" w:eastAsia="宋体" w:cs="宋体"/>
          <w:kern w:val="0"/>
          <w:sz w:val="24"/>
          <w:szCs w:val="24"/>
        </w:rPr>
        <w:t>2、根据双方协商缴纳保费。</w:t>
      </w:r>
    </w:p>
    <w:p>
      <w:pPr>
        <w:spacing w:line="360" w:lineRule="auto"/>
        <w:rPr>
          <w:rFonts w:ascii="宋体" w:hAnsi="宋体" w:eastAsia="宋体" w:cs="宋体"/>
          <w:b/>
          <w:kern w:val="0"/>
          <w:sz w:val="24"/>
          <w:szCs w:val="24"/>
        </w:rPr>
      </w:pPr>
    </w:p>
    <w:p>
      <w:pPr>
        <w:spacing w:line="360" w:lineRule="auto"/>
        <w:rPr>
          <w:rFonts w:ascii="宋体" w:hAnsi="宋体" w:eastAsia="宋体" w:cs="宋体"/>
          <w:kern w:val="0"/>
          <w:sz w:val="24"/>
          <w:szCs w:val="24"/>
        </w:rPr>
      </w:pPr>
      <w:r>
        <w:rPr>
          <w:rFonts w:hint="eastAsia" w:ascii="宋体" w:hAnsi="宋体" w:eastAsia="宋体" w:cs="宋体"/>
          <w:b/>
          <w:kern w:val="0"/>
          <w:sz w:val="24"/>
          <w:szCs w:val="24"/>
        </w:rPr>
        <w:t>理赔手续：</w:t>
      </w:r>
      <w:r>
        <w:rPr>
          <w:rFonts w:hint="eastAsia" w:ascii="宋体" w:hAnsi="宋体" w:eastAsia="宋体" w:cs="宋体"/>
          <w:kern w:val="0"/>
          <w:sz w:val="24"/>
          <w:szCs w:val="24"/>
        </w:rPr>
        <w:t>1、保险单；</w:t>
      </w:r>
    </w:p>
    <w:p>
      <w:pPr>
        <w:spacing w:line="360" w:lineRule="auto"/>
        <w:ind w:firstLine="1200" w:firstLineChars="500"/>
        <w:rPr>
          <w:rFonts w:ascii="宋体" w:hAnsi="宋体" w:eastAsia="宋体" w:cs="宋体"/>
          <w:kern w:val="0"/>
          <w:sz w:val="24"/>
          <w:szCs w:val="24"/>
        </w:rPr>
      </w:pPr>
      <w:r>
        <w:rPr>
          <w:rFonts w:hint="eastAsia" w:ascii="宋体" w:hAnsi="宋体" w:eastAsia="宋体" w:cs="宋体"/>
          <w:kern w:val="0"/>
          <w:sz w:val="24"/>
          <w:szCs w:val="24"/>
        </w:rPr>
        <w:t>2、执行救助申请书；</w:t>
      </w:r>
    </w:p>
    <w:p>
      <w:pPr>
        <w:spacing w:line="360" w:lineRule="auto"/>
        <w:ind w:firstLine="1200" w:firstLineChars="500"/>
        <w:rPr>
          <w:rFonts w:ascii="宋体" w:hAnsi="宋体" w:eastAsia="宋体" w:cs="宋体"/>
          <w:kern w:val="0"/>
          <w:sz w:val="24"/>
          <w:szCs w:val="24"/>
        </w:rPr>
      </w:pPr>
      <w:r>
        <w:rPr>
          <w:rFonts w:hint="eastAsia" w:ascii="宋体" w:hAnsi="宋体" w:eastAsia="宋体" w:cs="宋体"/>
          <w:kern w:val="0"/>
          <w:sz w:val="24"/>
          <w:szCs w:val="24"/>
        </w:rPr>
        <w:t>3、中止或终结执行的裁定书；</w:t>
      </w:r>
    </w:p>
    <w:p>
      <w:pPr>
        <w:spacing w:line="360" w:lineRule="auto"/>
        <w:ind w:firstLine="1200" w:firstLineChars="500"/>
        <w:rPr>
          <w:rFonts w:ascii="宋体" w:hAnsi="宋体" w:eastAsia="宋体" w:cs="宋体"/>
          <w:kern w:val="0"/>
          <w:sz w:val="24"/>
          <w:szCs w:val="24"/>
        </w:rPr>
      </w:pPr>
      <w:r>
        <w:rPr>
          <w:rFonts w:hint="eastAsia" w:ascii="宋体" w:hAnsi="宋体" w:eastAsia="宋体" w:cs="宋体"/>
          <w:kern w:val="0"/>
          <w:sz w:val="24"/>
          <w:szCs w:val="24"/>
        </w:rPr>
        <w:t>4、同意执行救助的审批意见；</w:t>
      </w:r>
    </w:p>
    <w:p>
      <w:pPr>
        <w:spacing w:line="360" w:lineRule="auto"/>
        <w:ind w:left="1437" w:leftChars="570" w:hanging="240" w:hangingChars="100"/>
        <w:rPr>
          <w:rFonts w:ascii="宋体" w:hAnsi="宋体" w:eastAsia="宋体" w:cs="宋体"/>
          <w:kern w:val="0"/>
          <w:sz w:val="24"/>
          <w:szCs w:val="24"/>
        </w:rPr>
      </w:pPr>
      <w:r>
        <w:rPr>
          <w:rFonts w:hint="eastAsia" w:ascii="宋体" w:hAnsi="宋体" w:eastAsia="宋体" w:cs="宋体"/>
          <w:kern w:val="0"/>
          <w:sz w:val="24"/>
          <w:szCs w:val="24"/>
        </w:rPr>
        <w:t>5、投保人、被保险人所能提供的其他与确认保险事故性质、原因、损失程度等有关的证明和资料。</w:t>
      </w:r>
    </w:p>
    <w:p>
      <w:pPr>
        <w:spacing w:line="560" w:lineRule="exact"/>
        <w:ind w:firstLine="640" w:firstLineChars="200"/>
        <w:rPr>
          <w:rFonts w:hint="eastAsia" w:ascii="仿宋_GB2312" w:eastAsia="仿宋_GB2312" w:cs="仿宋_GB2312"/>
          <w:sz w:val="32"/>
          <w:szCs w:val="32"/>
        </w:rPr>
      </w:pPr>
    </w:p>
    <w:p>
      <w:pPr>
        <w:spacing w:line="560" w:lineRule="exact"/>
        <w:ind w:firstLine="640" w:firstLineChars="200"/>
        <w:rPr>
          <w:rFonts w:ascii="仿宋_GB2312" w:eastAsia="仿宋_GB2312" w:cs="仿宋_GB2312"/>
          <w:sz w:val="32"/>
          <w:szCs w:val="32"/>
        </w:rPr>
      </w:pPr>
    </w:p>
    <w:p>
      <w:pPr>
        <w:autoSpaceDE w:val="0"/>
        <w:autoSpaceDN w:val="0"/>
        <w:adjustRightInd w:val="0"/>
        <w:spacing w:line="360" w:lineRule="auto"/>
        <w:outlineLvl w:val="0"/>
        <w:rPr>
          <w:rFonts w:ascii="宋体" w:hAnsi="宋体"/>
          <w:b/>
          <w:bCs/>
          <w:sz w:val="24"/>
          <w:szCs w:val="24"/>
        </w:rPr>
      </w:pPr>
    </w:p>
    <w:p>
      <w:pPr>
        <w:autoSpaceDE w:val="0"/>
        <w:autoSpaceDN w:val="0"/>
        <w:adjustRightInd w:val="0"/>
        <w:spacing w:line="360" w:lineRule="auto"/>
        <w:outlineLvl w:val="0"/>
        <w:rPr>
          <w:rFonts w:ascii="宋体" w:hAnsi="宋体"/>
          <w:b/>
          <w:bCs/>
          <w:sz w:val="24"/>
          <w:szCs w:val="24"/>
        </w:rPr>
      </w:pPr>
    </w:p>
    <w:p>
      <w:pPr>
        <w:spacing w:afterLines="50" w:line="360" w:lineRule="auto"/>
        <w:rPr>
          <w:rFonts w:ascii="宋体" w:hAnsi="宋体" w:eastAsia="宋体" w:cs="宋体"/>
          <w:b/>
          <w:kern w:val="0"/>
          <w:sz w:val="24"/>
          <w:szCs w:val="24"/>
        </w:rPr>
      </w:pPr>
      <w:r>
        <w:rPr>
          <w:rFonts w:hint="eastAsia" w:ascii="宋体" w:hAnsi="宋体" w:eastAsia="宋体" w:cs="宋体"/>
          <w:b/>
          <w:kern w:val="0"/>
          <w:sz w:val="24"/>
          <w:szCs w:val="24"/>
        </w:rPr>
        <w:t>4.3.1 专门组建项目服务团队</w:t>
      </w:r>
    </w:p>
    <w:p>
      <w:pPr>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我公司将本着河南省许昌市中级人民法院“执行救助保险”项目的保险需求为中心，以竭诚为本项目提供全面、优质和便捷的保险服务为核心”的指导原则，在充分整合公司内部人才和技术资源的基础上，组建河南省许昌市中级人民法院“执行救助保险”项目服务团队。</w:t>
      </w:r>
    </w:p>
    <w:p>
      <w:pPr>
        <w:pStyle w:val="11"/>
        <w:ind w:firstLine="0" w:firstLineChars="0"/>
        <w:rPr>
          <w:rFonts w:ascii="宋体" w:hAnsi="宋体" w:eastAsia="宋体" w:cs="宋体"/>
          <w:sz w:val="24"/>
          <w:szCs w:val="24"/>
        </w:rPr>
      </w:pPr>
    </w:p>
    <w:tbl>
      <w:tblPr>
        <w:tblStyle w:val="7"/>
        <w:tblW w:w="8488" w:type="dxa"/>
        <w:jc w:val="center"/>
        <w:tblInd w:w="0" w:type="dxa"/>
        <w:tblBorders>
          <w:top w:val="single" w:color="BEBEBE" w:themeColor="background1" w:themeShade="BF" w:sz="12" w:space="0"/>
          <w:left w:val="none" w:color="auto" w:sz="0" w:space="0"/>
          <w:bottom w:val="single" w:color="BEBEBE" w:themeColor="background1" w:themeShade="BF" w:sz="12" w:space="0"/>
          <w:right w:val="none" w:color="auto" w:sz="0" w:space="0"/>
          <w:insideH w:val="single" w:color="BEBEBE" w:themeColor="background1" w:themeShade="BF" w:sz="6" w:space="0"/>
          <w:insideV w:val="single" w:color="FFFFFF" w:themeColor="background1" w:sz="6" w:space="0"/>
        </w:tblBorders>
        <w:tblLayout w:type="fixed"/>
        <w:tblCellMar>
          <w:top w:w="0" w:type="dxa"/>
          <w:left w:w="108" w:type="dxa"/>
          <w:bottom w:w="0" w:type="dxa"/>
          <w:right w:w="108" w:type="dxa"/>
        </w:tblCellMar>
      </w:tblPr>
      <w:tblGrid>
        <w:gridCol w:w="1177"/>
        <w:gridCol w:w="3458"/>
        <w:gridCol w:w="1729"/>
        <w:gridCol w:w="2124"/>
      </w:tblGrid>
      <w:tr>
        <w:tblPrEx>
          <w:tblBorders>
            <w:top w:val="single" w:color="BEBEBE" w:themeColor="background1" w:themeShade="BF" w:sz="12" w:space="0"/>
            <w:left w:val="none" w:color="auto" w:sz="0" w:space="0"/>
            <w:bottom w:val="single" w:color="BEBEBE" w:themeColor="background1" w:themeShade="BF" w:sz="12" w:space="0"/>
            <w:right w:val="none" w:color="auto" w:sz="0" w:space="0"/>
            <w:insideH w:val="single" w:color="BEBEBE" w:themeColor="background1" w:themeShade="BF" w:sz="6" w:space="0"/>
            <w:insideV w:val="single" w:color="FFFFFF" w:themeColor="background1" w:sz="6" w:space="0"/>
          </w:tblBorders>
          <w:tblLayout w:type="fixed"/>
          <w:tblCellMar>
            <w:top w:w="0" w:type="dxa"/>
            <w:left w:w="108" w:type="dxa"/>
            <w:bottom w:w="0" w:type="dxa"/>
            <w:right w:w="108" w:type="dxa"/>
          </w:tblCellMar>
        </w:tblPrEx>
        <w:trPr>
          <w:trHeight w:val="907" w:hRule="atLeast"/>
          <w:tblHeader/>
          <w:jc w:val="center"/>
        </w:trPr>
        <w:tc>
          <w:tcPr>
            <w:tcW w:w="1177" w:type="dxa"/>
            <w:shd w:val="clear" w:color="auto" w:fill="FF0000"/>
            <w:vAlign w:val="center"/>
          </w:tcPr>
          <w:p>
            <w:pPr>
              <w:spacing w:line="440" w:lineRule="exact"/>
              <w:jc w:val="center"/>
              <w:rPr>
                <w:rFonts w:ascii="宋体" w:hAnsi="宋体" w:eastAsia="宋体" w:cs="宋体"/>
                <w:b/>
                <w:color w:val="FFFFFF" w:themeColor="background1"/>
                <w:sz w:val="24"/>
                <w:szCs w:val="24"/>
              </w:rPr>
            </w:pPr>
            <w:r>
              <w:rPr>
                <w:rFonts w:hint="eastAsia" w:ascii="宋体" w:hAnsi="宋体" w:eastAsia="宋体" w:cs="宋体"/>
                <w:b/>
                <w:color w:val="FFFFFF" w:themeColor="background1"/>
                <w:sz w:val="24"/>
                <w:szCs w:val="24"/>
              </w:rPr>
              <w:t>姓名</w:t>
            </w:r>
          </w:p>
        </w:tc>
        <w:tc>
          <w:tcPr>
            <w:tcW w:w="3458" w:type="dxa"/>
            <w:shd w:val="clear" w:color="auto" w:fill="FF0000"/>
            <w:vAlign w:val="center"/>
          </w:tcPr>
          <w:p>
            <w:pPr>
              <w:spacing w:line="440" w:lineRule="exact"/>
              <w:jc w:val="center"/>
              <w:rPr>
                <w:rFonts w:ascii="宋体" w:hAnsi="宋体" w:eastAsia="宋体" w:cs="宋体"/>
                <w:b/>
                <w:color w:val="FFFFFF" w:themeColor="background1"/>
                <w:sz w:val="24"/>
                <w:szCs w:val="24"/>
              </w:rPr>
            </w:pPr>
            <w:r>
              <w:rPr>
                <w:rFonts w:hint="eastAsia" w:ascii="宋体" w:hAnsi="宋体" w:eastAsia="宋体" w:cs="宋体"/>
                <w:b/>
                <w:color w:val="FFFFFF" w:themeColor="background1"/>
                <w:sz w:val="24"/>
                <w:szCs w:val="24"/>
              </w:rPr>
              <w:t>单位</w:t>
            </w:r>
          </w:p>
        </w:tc>
        <w:tc>
          <w:tcPr>
            <w:tcW w:w="1729" w:type="dxa"/>
            <w:shd w:val="clear" w:color="auto" w:fill="FF0000"/>
            <w:vAlign w:val="center"/>
          </w:tcPr>
          <w:p>
            <w:pPr>
              <w:spacing w:line="440" w:lineRule="exact"/>
              <w:jc w:val="center"/>
              <w:rPr>
                <w:rFonts w:ascii="宋体" w:hAnsi="宋体" w:eastAsia="宋体" w:cs="宋体"/>
                <w:b/>
                <w:color w:val="FFFFFF" w:themeColor="background1"/>
                <w:sz w:val="24"/>
                <w:szCs w:val="24"/>
              </w:rPr>
            </w:pPr>
            <w:r>
              <w:rPr>
                <w:rFonts w:hint="eastAsia" w:ascii="宋体" w:hAnsi="宋体" w:eastAsia="宋体" w:cs="宋体"/>
                <w:b/>
                <w:color w:val="FFFFFF" w:themeColor="background1"/>
                <w:sz w:val="24"/>
                <w:szCs w:val="24"/>
              </w:rPr>
              <w:t>职务</w:t>
            </w:r>
          </w:p>
        </w:tc>
        <w:tc>
          <w:tcPr>
            <w:tcW w:w="2124" w:type="dxa"/>
            <w:shd w:val="clear" w:color="auto" w:fill="FF0000"/>
            <w:vAlign w:val="center"/>
          </w:tcPr>
          <w:p>
            <w:pPr>
              <w:spacing w:line="440" w:lineRule="exact"/>
              <w:jc w:val="center"/>
              <w:rPr>
                <w:rFonts w:ascii="宋体" w:hAnsi="宋体" w:eastAsia="宋体" w:cs="宋体"/>
                <w:b/>
                <w:color w:val="FFFFFF" w:themeColor="background1"/>
                <w:sz w:val="24"/>
                <w:szCs w:val="24"/>
              </w:rPr>
            </w:pPr>
            <w:r>
              <w:rPr>
                <w:rFonts w:hint="eastAsia" w:ascii="宋体" w:hAnsi="宋体" w:eastAsia="宋体" w:cs="宋体"/>
                <w:b/>
                <w:color w:val="FFFFFF" w:themeColor="background1"/>
                <w:sz w:val="24"/>
                <w:szCs w:val="24"/>
              </w:rPr>
              <w:t>职责</w:t>
            </w:r>
          </w:p>
        </w:tc>
      </w:tr>
      <w:tr>
        <w:tblPrEx>
          <w:tblBorders>
            <w:top w:val="single" w:color="BEBEBE" w:themeColor="background1" w:themeShade="BF" w:sz="12" w:space="0"/>
            <w:left w:val="none" w:color="auto" w:sz="0" w:space="0"/>
            <w:bottom w:val="single" w:color="BEBEBE" w:themeColor="background1" w:themeShade="BF" w:sz="12" w:space="0"/>
            <w:right w:val="none" w:color="auto" w:sz="0" w:space="0"/>
            <w:insideH w:val="single" w:color="BEBEBE" w:themeColor="background1" w:themeShade="BF" w:sz="6" w:space="0"/>
            <w:insideV w:val="single" w:color="FFFFFF" w:themeColor="background1" w:sz="6" w:space="0"/>
          </w:tblBorders>
          <w:tblLayout w:type="fixed"/>
          <w:tblCellMar>
            <w:top w:w="0" w:type="dxa"/>
            <w:left w:w="108" w:type="dxa"/>
            <w:bottom w:w="0" w:type="dxa"/>
            <w:right w:w="108" w:type="dxa"/>
          </w:tblCellMar>
        </w:tblPrEx>
        <w:trPr>
          <w:trHeight w:val="907" w:hRule="atLeast"/>
          <w:jc w:val="center"/>
        </w:trPr>
        <w:tc>
          <w:tcPr>
            <w:tcW w:w="1177" w:type="dxa"/>
            <w:vAlign w:val="center"/>
          </w:tcPr>
          <w:p>
            <w:pPr>
              <w:spacing w:line="360" w:lineRule="auto"/>
              <w:jc w:val="center"/>
              <w:rPr>
                <w:rFonts w:ascii="宋体" w:hAnsi="宋体" w:eastAsia="宋体" w:cs="宋体"/>
                <w:sz w:val="24"/>
                <w:szCs w:val="24"/>
              </w:rPr>
            </w:pPr>
            <w:r>
              <w:rPr>
                <w:rFonts w:hint="eastAsia" w:ascii="宋体" w:hAnsi="宋体" w:eastAsia="宋体" w:cs="宋体"/>
                <w:sz w:val="24"/>
                <w:szCs w:val="24"/>
              </w:rPr>
              <w:t>于海鹏</w:t>
            </w:r>
          </w:p>
        </w:tc>
        <w:tc>
          <w:tcPr>
            <w:tcW w:w="3458" w:type="dxa"/>
            <w:vAlign w:val="center"/>
          </w:tcPr>
          <w:p>
            <w:pPr>
              <w:spacing w:line="300" w:lineRule="exact"/>
              <w:jc w:val="center"/>
              <w:rPr>
                <w:rFonts w:ascii="宋体" w:hAnsi="宋体" w:eastAsia="宋体" w:cs="宋体"/>
                <w:sz w:val="24"/>
                <w:szCs w:val="24"/>
              </w:rPr>
            </w:pPr>
            <w:r>
              <w:rPr>
                <w:rFonts w:hint="eastAsia" w:ascii="宋体" w:hAnsi="宋体" w:eastAsia="宋体" w:cs="宋体"/>
                <w:sz w:val="24"/>
                <w:szCs w:val="24"/>
              </w:rPr>
              <w:t>人保财险许昌市分公司</w:t>
            </w:r>
          </w:p>
        </w:tc>
        <w:tc>
          <w:tcPr>
            <w:tcW w:w="1729" w:type="dxa"/>
            <w:vAlign w:val="center"/>
          </w:tcPr>
          <w:p>
            <w:pPr>
              <w:spacing w:line="300" w:lineRule="exact"/>
              <w:jc w:val="center"/>
              <w:rPr>
                <w:rFonts w:ascii="宋体" w:hAnsi="宋体" w:eastAsia="宋体" w:cs="宋体"/>
                <w:sz w:val="24"/>
                <w:szCs w:val="24"/>
              </w:rPr>
            </w:pPr>
            <w:r>
              <w:rPr>
                <w:rFonts w:hint="eastAsia" w:ascii="宋体" w:hAnsi="宋体" w:eastAsia="宋体" w:cs="宋体"/>
                <w:sz w:val="24"/>
                <w:szCs w:val="24"/>
              </w:rPr>
              <w:t>负责人</w:t>
            </w:r>
          </w:p>
        </w:tc>
        <w:tc>
          <w:tcPr>
            <w:tcW w:w="2124" w:type="dxa"/>
            <w:vAlign w:val="center"/>
          </w:tcPr>
          <w:p>
            <w:pPr>
              <w:spacing w:line="300" w:lineRule="exact"/>
              <w:jc w:val="center"/>
              <w:rPr>
                <w:rFonts w:ascii="宋体" w:hAnsi="宋体" w:eastAsia="宋体" w:cs="宋体"/>
                <w:sz w:val="24"/>
                <w:szCs w:val="24"/>
              </w:rPr>
            </w:pPr>
            <w:r>
              <w:rPr>
                <w:rFonts w:hint="eastAsia" w:ascii="宋体" w:hAnsi="宋体" w:eastAsia="宋体" w:cs="宋体"/>
                <w:sz w:val="24"/>
                <w:szCs w:val="24"/>
              </w:rPr>
              <w:t>组长</w:t>
            </w:r>
          </w:p>
        </w:tc>
      </w:tr>
      <w:tr>
        <w:tblPrEx>
          <w:tblBorders>
            <w:top w:val="single" w:color="BEBEBE" w:themeColor="background1" w:themeShade="BF" w:sz="12" w:space="0"/>
            <w:left w:val="none" w:color="auto" w:sz="0" w:space="0"/>
            <w:bottom w:val="single" w:color="BEBEBE" w:themeColor="background1" w:themeShade="BF" w:sz="12" w:space="0"/>
            <w:right w:val="none" w:color="auto" w:sz="0" w:space="0"/>
            <w:insideH w:val="single" w:color="BEBEBE" w:themeColor="background1" w:themeShade="BF" w:sz="6" w:space="0"/>
            <w:insideV w:val="single" w:color="FFFFFF" w:themeColor="background1" w:sz="6" w:space="0"/>
          </w:tblBorders>
          <w:tblLayout w:type="fixed"/>
          <w:tblCellMar>
            <w:top w:w="0" w:type="dxa"/>
            <w:left w:w="108" w:type="dxa"/>
            <w:bottom w:w="0" w:type="dxa"/>
            <w:right w:w="108" w:type="dxa"/>
          </w:tblCellMar>
        </w:tblPrEx>
        <w:trPr>
          <w:trHeight w:val="907" w:hRule="atLeast"/>
          <w:jc w:val="center"/>
        </w:trPr>
        <w:tc>
          <w:tcPr>
            <w:tcW w:w="1177" w:type="dxa"/>
            <w:shd w:val="clear" w:color="auto" w:fill="auto"/>
            <w:vAlign w:val="center"/>
          </w:tcPr>
          <w:p>
            <w:pPr>
              <w:spacing w:line="360" w:lineRule="auto"/>
              <w:jc w:val="center"/>
              <w:rPr>
                <w:rFonts w:ascii="宋体" w:hAnsi="宋体" w:eastAsia="宋体" w:cs="宋体"/>
                <w:sz w:val="24"/>
                <w:szCs w:val="24"/>
              </w:rPr>
            </w:pPr>
            <w:r>
              <w:rPr>
                <w:rFonts w:hint="eastAsia" w:ascii="宋体" w:hAnsi="宋体" w:eastAsia="宋体" w:cs="宋体"/>
                <w:sz w:val="24"/>
                <w:szCs w:val="24"/>
              </w:rPr>
              <w:t>陈芳芳</w:t>
            </w:r>
          </w:p>
        </w:tc>
        <w:tc>
          <w:tcPr>
            <w:tcW w:w="3458" w:type="dxa"/>
            <w:shd w:val="clear" w:color="auto" w:fill="auto"/>
            <w:vAlign w:val="center"/>
          </w:tcPr>
          <w:p>
            <w:pPr>
              <w:spacing w:line="300" w:lineRule="exact"/>
              <w:jc w:val="center"/>
              <w:rPr>
                <w:rFonts w:ascii="宋体" w:hAnsi="宋体" w:eastAsia="宋体" w:cs="宋体"/>
                <w:sz w:val="24"/>
                <w:szCs w:val="24"/>
              </w:rPr>
            </w:pPr>
            <w:r>
              <w:rPr>
                <w:rFonts w:hint="eastAsia" w:ascii="宋体" w:hAnsi="宋体" w:eastAsia="宋体" w:cs="宋体"/>
                <w:sz w:val="24"/>
                <w:szCs w:val="24"/>
              </w:rPr>
              <w:t>人保财险许昌市分公司</w:t>
            </w:r>
          </w:p>
        </w:tc>
        <w:tc>
          <w:tcPr>
            <w:tcW w:w="1729" w:type="dxa"/>
            <w:shd w:val="clear" w:color="auto" w:fill="auto"/>
            <w:vAlign w:val="center"/>
          </w:tcPr>
          <w:p>
            <w:pPr>
              <w:jc w:val="center"/>
              <w:rPr>
                <w:rFonts w:ascii="宋体" w:hAnsi="宋体" w:eastAsia="宋体" w:cs="宋体"/>
                <w:sz w:val="24"/>
                <w:szCs w:val="24"/>
              </w:rPr>
            </w:pPr>
            <w:r>
              <w:rPr>
                <w:rFonts w:hint="eastAsia" w:ascii="宋体" w:hAnsi="宋体" w:eastAsia="宋体" w:cs="宋体"/>
                <w:sz w:val="24"/>
                <w:szCs w:val="24"/>
              </w:rPr>
              <w:t>总经理助理</w:t>
            </w:r>
          </w:p>
        </w:tc>
        <w:tc>
          <w:tcPr>
            <w:tcW w:w="2124" w:type="dxa"/>
            <w:shd w:val="clear" w:color="auto" w:fill="auto"/>
            <w:vAlign w:val="center"/>
          </w:tcPr>
          <w:p>
            <w:pPr>
              <w:spacing w:line="300" w:lineRule="exact"/>
              <w:jc w:val="center"/>
              <w:rPr>
                <w:rFonts w:ascii="宋体" w:hAnsi="宋体" w:eastAsia="宋体" w:cs="宋体"/>
                <w:sz w:val="24"/>
                <w:szCs w:val="24"/>
              </w:rPr>
            </w:pPr>
            <w:r>
              <w:rPr>
                <w:rFonts w:hint="eastAsia" w:ascii="宋体" w:hAnsi="宋体" w:eastAsia="宋体" w:cs="宋体"/>
                <w:sz w:val="24"/>
                <w:szCs w:val="24"/>
              </w:rPr>
              <w:t>副组长</w:t>
            </w:r>
          </w:p>
          <w:p>
            <w:pPr>
              <w:spacing w:line="300" w:lineRule="exact"/>
              <w:jc w:val="center"/>
              <w:rPr>
                <w:rFonts w:ascii="宋体" w:hAnsi="宋体" w:eastAsia="宋体" w:cs="宋体"/>
                <w:sz w:val="24"/>
                <w:szCs w:val="24"/>
              </w:rPr>
            </w:pPr>
            <w:r>
              <w:rPr>
                <w:rFonts w:hint="eastAsia" w:ascii="宋体" w:hAnsi="宋体" w:eastAsia="宋体" w:cs="宋体"/>
                <w:sz w:val="24"/>
                <w:szCs w:val="24"/>
              </w:rPr>
              <w:t>（项目负责人）</w:t>
            </w:r>
          </w:p>
        </w:tc>
      </w:tr>
      <w:tr>
        <w:tblPrEx>
          <w:tblBorders>
            <w:top w:val="single" w:color="BEBEBE" w:themeColor="background1" w:themeShade="BF" w:sz="12" w:space="0"/>
            <w:left w:val="none" w:color="auto" w:sz="0" w:space="0"/>
            <w:bottom w:val="single" w:color="BEBEBE" w:themeColor="background1" w:themeShade="BF" w:sz="12" w:space="0"/>
            <w:right w:val="none" w:color="auto" w:sz="0" w:space="0"/>
            <w:insideH w:val="single" w:color="BEBEBE" w:themeColor="background1" w:themeShade="BF" w:sz="6" w:space="0"/>
            <w:insideV w:val="single" w:color="FFFFFF" w:themeColor="background1" w:sz="6" w:space="0"/>
          </w:tblBorders>
          <w:tblLayout w:type="fixed"/>
          <w:tblCellMar>
            <w:top w:w="0" w:type="dxa"/>
            <w:left w:w="108" w:type="dxa"/>
            <w:bottom w:w="0" w:type="dxa"/>
            <w:right w:w="108" w:type="dxa"/>
          </w:tblCellMar>
        </w:tblPrEx>
        <w:trPr>
          <w:trHeight w:val="907" w:hRule="atLeast"/>
          <w:jc w:val="center"/>
        </w:trPr>
        <w:tc>
          <w:tcPr>
            <w:tcW w:w="1177" w:type="dxa"/>
            <w:shd w:val="clear" w:color="auto" w:fill="auto"/>
            <w:vAlign w:val="center"/>
          </w:tcPr>
          <w:p>
            <w:pPr>
              <w:spacing w:line="360" w:lineRule="auto"/>
              <w:jc w:val="center"/>
              <w:rPr>
                <w:rFonts w:ascii="宋体" w:hAnsi="宋体" w:eastAsia="宋体" w:cs="宋体"/>
                <w:sz w:val="24"/>
                <w:szCs w:val="24"/>
              </w:rPr>
            </w:pPr>
            <w:r>
              <w:rPr>
                <w:rFonts w:hint="eastAsia" w:ascii="宋体" w:hAnsi="宋体" w:eastAsia="宋体" w:cs="宋体"/>
                <w:sz w:val="24"/>
                <w:szCs w:val="24"/>
              </w:rPr>
              <w:t>李志华</w:t>
            </w:r>
          </w:p>
        </w:tc>
        <w:tc>
          <w:tcPr>
            <w:tcW w:w="3458" w:type="dxa"/>
            <w:shd w:val="clear" w:color="auto" w:fill="auto"/>
            <w:vAlign w:val="center"/>
          </w:tcPr>
          <w:p>
            <w:pPr>
              <w:spacing w:line="300" w:lineRule="exact"/>
              <w:jc w:val="center"/>
              <w:rPr>
                <w:rFonts w:ascii="宋体" w:hAnsi="宋体" w:eastAsia="宋体" w:cs="宋体"/>
                <w:sz w:val="24"/>
                <w:szCs w:val="24"/>
              </w:rPr>
            </w:pPr>
            <w:r>
              <w:rPr>
                <w:rFonts w:hint="eastAsia" w:ascii="宋体" w:hAnsi="宋体" w:eastAsia="宋体" w:cs="宋体"/>
                <w:sz w:val="24"/>
                <w:szCs w:val="24"/>
              </w:rPr>
              <w:t>人保财险许昌市分公司</w:t>
            </w:r>
          </w:p>
          <w:p>
            <w:pPr>
              <w:spacing w:line="300" w:lineRule="exact"/>
              <w:jc w:val="center"/>
              <w:rPr>
                <w:rFonts w:ascii="宋体" w:hAnsi="宋体" w:eastAsia="宋体" w:cs="宋体"/>
                <w:sz w:val="24"/>
                <w:szCs w:val="24"/>
              </w:rPr>
            </w:pPr>
            <w:r>
              <w:rPr>
                <w:rFonts w:hint="eastAsia" w:ascii="宋体" w:hAnsi="宋体" w:eastAsia="宋体" w:cs="宋体"/>
                <w:sz w:val="24"/>
                <w:szCs w:val="24"/>
              </w:rPr>
              <w:t>商业非车保险部</w:t>
            </w:r>
          </w:p>
        </w:tc>
        <w:tc>
          <w:tcPr>
            <w:tcW w:w="1729" w:type="dxa"/>
            <w:shd w:val="clear" w:color="auto" w:fill="auto"/>
            <w:vAlign w:val="center"/>
          </w:tcPr>
          <w:p>
            <w:pPr>
              <w:spacing w:line="300" w:lineRule="exact"/>
              <w:jc w:val="center"/>
              <w:rPr>
                <w:rFonts w:ascii="宋体" w:hAnsi="宋体" w:eastAsia="宋体" w:cs="宋体"/>
                <w:sz w:val="24"/>
                <w:szCs w:val="24"/>
              </w:rPr>
            </w:pPr>
            <w:r>
              <w:rPr>
                <w:rFonts w:hint="eastAsia" w:ascii="宋体" w:hAnsi="宋体" w:eastAsia="宋体" w:cs="宋体"/>
                <w:sz w:val="24"/>
                <w:szCs w:val="24"/>
              </w:rPr>
              <w:t>经理</w:t>
            </w:r>
          </w:p>
        </w:tc>
        <w:tc>
          <w:tcPr>
            <w:tcW w:w="2124" w:type="dxa"/>
            <w:shd w:val="clear" w:color="auto" w:fill="auto"/>
            <w:vAlign w:val="center"/>
          </w:tcPr>
          <w:p>
            <w:pPr>
              <w:spacing w:line="300" w:lineRule="exact"/>
              <w:jc w:val="center"/>
              <w:rPr>
                <w:rFonts w:ascii="宋体" w:hAnsi="宋体" w:eastAsia="宋体" w:cs="宋体"/>
                <w:sz w:val="24"/>
                <w:szCs w:val="24"/>
              </w:rPr>
            </w:pPr>
            <w:r>
              <w:rPr>
                <w:rFonts w:hint="eastAsia" w:ascii="宋体" w:hAnsi="宋体" w:eastAsia="宋体" w:cs="宋体"/>
                <w:sz w:val="24"/>
                <w:szCs w:val="24"/>
              </w:rPr>
              <w:t>项目承保责任人</w:t>
            </w:r>
          </w:p>
        </w:tc>
      </w:tr>
      <w:tr>
        <w:tblPrEx>
          <w:tblBorders>
            <w:top w:val="single" w:color="BEBEBE" w:themeColor="background1" w:themeShade="BF" w:sz="12" w:space="0"/>
            <w:left w:val="none" w:color="auto" w:sz="0" w:space="0"/>
            <w:bottom w:val="single" w:color="BEBEBE" w:themeColor="background1" w:themeShade="BF" w:sz="12" w:space="0"/>
            <w:right w:val="none" w:color="auto" w:sz="0" w:space="0"/>
            <w:insideH w:val="single" w:color="BEBEBE" w:themeColor="background1" w:themeShade="BF" w:sz="6" w:space="0"/>
            <w:insideV w:val="single" w:color="FFFFFF" w:themeColor="background1" w:sz="6" w:space="0"/>
          </w:tblBorders>
          <w:tblLayout w:type="fixed"/>
          <w:tblCellMar>
            <w:top w:w="0" w:type="dxa"/>
            <w:left w:w="108" w:type="dxa"/>
            <w:bottom w:w="0" w:type="dxa"/>
            <w:right w:w="108" w:type="dxa"/>
          </w:tblCellMar>
        </w:tblPrEx>
        <w:trPr>
          <w:trHeight w:val="907" w:hRule="atLeast"/>
          <w:jc w:val="center"/>
        </w:trPr>
        <w:tc>
          <w:tcPr>
            <w:tcW w:w="1177" w:type="dxa"/>
            <w:vAlign w:val="center"/>
          </w:tcPr>
          <w:p>
            <w:pPr>
              <w:spacing w:line="360" w:lineRule="auto"/>
              <w:jc w:val="center"/>
              <w:rPr>
                <w:rFonts w:ascii="宋体" w:hAnsi="宋体" w:eastAsia="宋体" w:cs="宋体"/>
                <w:sz w:val="24"/>
                <w:szCs w:val="24"/>
              </w:rPr>
            </w:pPr>
            <w:r>
              <w:rPr>
                <w:rFonts w:hint="eastAsia" w:ascii="宋体" w:hAnsi="宋体" w:eastAsia="宋体" w:cs="宋体"/>
                <w:sz w:val="24"/>
                <w:szCs w:val="24"/>
              </w:rPr>
              <w:t>桓青</w:t>
            </w:r>
          </w:p>
        </w:tc>
        <w:tc>
          <w:tcPr>
            <w:tcW w:w="3458" w:type="dxa"/>
            <w:vAlign w:val="center"/>
          </w:tcPr>
          <w:p>
            <w:pPr>
              <w:spacing w:line="300" w:lineRule="exact"/>
              <w:jc w:val="center"/>
              <w:rPr>
                <w:rFonts w:ascii="宋体" w:hAnsi="宋体" w:eastAsia="宋体" w:cs="宋体"/>
                <w:sz w:val="24"/>
                <w:szCs w:val="24"/>
              </w:rPr>
            </w:pPr>
            <w:r>
              <w:rPr>
                <w:rFonts w:hint="eastAsia" w:ascii="宋体" w:hAnsi="宋体" w:eastAsia="宋体" w:cs="宋体"/>
                <w:sz w:val="24"/>
                <w:szCs w:val="24"/>
              </w:rPr>
              <w:t>人保财险许昌市分公司</w:t>
            </w:r>
          </w:p>
          <w:p>
            <w:pPr>
              <w:spacing w:line="300" w:lineRule="exact"/>
              <w:jc w:val="center"/>
              <w:rPr>
                <w:rFonts w:ascii="宋体" w:hAnsi="宋体" w:eastAsia="宋体" w:cs="宋体"/>
                <w:sz w:val="24"/>
                <w:szCs w:val="24"/>
              </w:rPr>
            </w:pPr>
            <w:r>
              <w:rPr>
                <w:rFonts w:hint="eastAsia" w:ascii="宋体" w:hAnsi="宋体" w:eastAsia="宋体" w:cs="宋体"/>
                <w:sz w:val="24"/>
                <w:szCs w:val="24"/>
              </w:rPr>
              <w:t>责任保险部</w:t>
            </w:r>
          </w:p>
        </w:tc>
        <w:tc>
          <w:tcPr>
            <w:tcW w:w="1729" w:type="dxa"/>
            <w:vAlign w:val="center"/>
          </w:tcPr>
          <w:p>
            <w:pPr>
              <w:spacing w:line="300" w:lineRule="exact"/>
              <w:jc w:val="center"/>
              <w:rPr>
                <w:rFonts w:ascii="宋体" w:hAnsi="宋体" w:eastAsia="宋体" w:cs="宋体"/>
                <w:sz w:val="24"/>
                <w:szCs w:val="24"/>
              </w:rPr>
            </w:pPr>
            <w:r>
              <w:rPr>
                <w:rFonts w:hint="eastAsia" w:ascii="宋体" w:hAnsi="宋体" w:eastAsia="宋体" w:cs="宋体"/>
                <w:sz w:val="24"/>
                <w:szCs w:val="24"/>
              </w:rPr>
              <w:t>经理</w:t>
            </w:r>
          </w:p>
        </w:tc>
        <w:tc>
          <w:tcPr>
            <w:tcW w:w="2124" w:type="dxa"/>
            <w:vAlign w:val="center"/>
          </w:tcPr>
          <w:p>
            <w:pPr>
              <w:spacing w:line="300" w:lineRule="exact"/>
              <w:jc w:val="center"/>
              <w:rPr>
                <w:rFonts w:ascii="宋体" w:hAnsi="宋体" w:eastAsia="宋体" w:cs="宋体"/>
                <w:sz w:val="24"/>
                <w:szCs w:val="24"/>
              </w:rPr>
            </w:pPr>
            <w:r>
              <w:rPr>
                <w:rFonts w:hint="eastAsia" w:ascii="宋体" w:hAnsi="宋体" w:eastAsia="宋体" w:cs="宋体"/>
                <w:sz w:val="24"/>
                <w:szCs w:val="24"/>
              </w:rPr>
              <w:t>项目承保责任人</w:t>
            </w:r>
          </w:p>
        </w:tc>
      </w:tr>
      <w:tr>
        <w:tblPrEx>
          <w:tblBorders>
            <w:top w:val="single" w:color="BEBEBE" w:themeColor="background1" w:themeShade="BF" w:sz="12" w:space="0"/>
            <w:left w:val="none" w:color="auto" w:sz="0" w:space="0"/>
            <w:bottom w:val="single" w:color="BEBEBE" w:themeColor="background1" w:themeShade="BF" w:sz="12" w:space="0"/>
            <w:right w:val="none" w:color="auto" w:sz="0" w:space="0"/>
            <w:insideH w:val="single" w:color="BEBEBE" w:themeColor="background1" w:themeShade="BF" w:sz="6" w:space="0"/>
            <w:insideV w:val="single" w:color="FFFFFF" w:themeColor="background1" w:sz="6" w:space="0"/>
          </w:tblBorders>
          <w:tblLayout w:type="fixed"/>
          <w:tblCellMar>
            <w:top w:w="0" w:type="dxa"/>
            <w:left w:w="108" w:type="dxa"/>
            <w:bottom w:w="0" w:type="dxa"/>
            <w:right w:w="108" w:type="dxa"/>
          </w:tblCellMar>
        </w:tblPrEx>
        <w:trPr>
          <w:trHeight w:val="907" w:hRule="atLeast"/>
          <w:jc w:val="center"/>
        </w:trPr>
        <w:tc>
          <w:tcPr>
            <w:tcW w:w="1177" w:type="dxa"/>
            <w:vAlign w:val="center"/>
          </w:tcPr>
          <w:p>
            <w:pPr>
              <w:spacing w:line="360" w:lineRule="auto"/>
              <w:jc w:val="center"/>
              <w:rPr>
                <w:rFonts w:ascii="宋体" w:hAnsi="宋体" w:eastAsia="宋体" w:cs="宋体"/>
                <w:sz w:val="24"/>
                <w:szCs w:val="24"/>
              </w:rPr>
            </w:pPr>
            <w:r>
              <w:rPr>
                <w:rFonts w:hint="eastAsia" w:ascii="宋体" w:hAnsi="宋体" w:eastAsia="宋体" w:cs="宋体"/>
                <w:sz w:val="24"/>
                <w:szCs w:val="24"/>
              </w:rPr>
              <w:t>王贺永</w:t>
            </w:r>
          </w:p>
        </w:tc>
        <w:tc>
          <w:tcPr>
            <w:tcW w:w="3458" w:type="dxa"/>
            <w:vAlign w:val="center"/>
          </w:tcPr>
          <w:p>
            <w:pPr>
              <w:spacing w:line="300" w:lineRule="exact"/>
              <w:jc w:val="center"/>
              <w:rPr>
                <w:rFonts w:ascii="宋体" w:hAnsi="宋体" w:eastAsia="宋体" w:cs="宋体"/>
                <w:sz w:val="24"/>
                <w:szCs w:val="24"/>
              </w:rPr>
            </w:pPr>
            <w:r>
              <w:rPr>
                <w:rFonts w:hint="eastAsia" w:ascii="宋体" w:hAnsi="宋体" w:eastAsia="宋体" w:cs="宋体"/>
                <w:sz w:val="24"/>
                <w:szCs w:val="24"/>
              </w:rPr>
              <w:t>人保财险许昌市分公司</w:t>
            </w:r>
          </w:p>
          <w:p>
            <w:pPr>
              <w:spacing w:line="300" w:lineRule="exact"/>
              <w:jc w:val="center"/>
              <w:rPr>
                <w:rFonts w:ascii="宋体" w:hAnsi="宋体" w:eastAsia="宋体" w:cs="宋体"/>
                <w:sz w:val="24"/>
                <w:szCs w:val="24"/>
              </w:rPr>
            </w:pPr>
            <w:r>
              <w:rPr>
                <w:rFonts w:hint="eastAsia" w:ascii="宋体" w:hAnsi="宋体" w:eastAsia="宋体" w:cs="宋体"/>
                <w:sz w:val="24"/>
                <w:szCs w:val="24"/>
              </w:rPr>
              <w:t>理赔事业部</w:t>
            </w:r>
          </w:p>
        </w:tc>
        <w:tc>
          <w:tcPr>
            <w:tcW w:w="1729" w:type="dxa"/>
            <w:vAlign w:val="center"/>
          </w:tcPr>
          <w:p>
            <w:pPr>
              <w:spacing w:line="300" w:lineRule="exact"/>
              <w:jc w:val="center"/>
              <w:rPr>
                <w:rFonts w:ascii="宋体" w:hAnsi="宋体" w:eastAsia="宋体" w:cs="宋体"/>
                <w:sz w:val="24"/>
                <w:szCs w:val="24"/>
              </w:rPr>
            </w:pPr>
            <w:r>
              <w:rPr>
                <w:rFonts w:hint="eastAsia" w:ascii="宋体" w:hAnsi="宋体" w:eastAsia="宋体" w:cs="宋体"/>
                <w:sz w:val="24"/>
                <w:szCs w:val="24"/>
              </w:rPr>
              <w:t>经理</w:t>
            </w:r>
          </w:p>
        </w:tc>
        <w:tc>
          <w:tcPr>
            <w:tcW w:w="2124" w:type="dxa"/>
            <w:vAlign w:val="center"/>
          </w:tcPr>
          <w:p>
            <w:pPr>
              <w:spacing w:line="300" w:lineRule="exact"/>
              <w:jc w:val="center"/>
              <w:rPr>
                <w:rFonts w:ascii="宋体" w:hAnsi="宋体" w:eastAsia="宋体" w:cs="宋体"/>
                <w:sz w:val="24"/>
                <w:szCs w:val="24"/>
              </w:rPr>
            </w:pPr>
            <w:r>
              <w:rPr>
                <w:rFonts w:hint="eastAsia" w:ascii="宋体" w:hAnsi="宋体" w:eastAsia="宋体" w:cs="宋体"/>
                <w:sz w:val="24"/>
                <w:szCs w:val="24"/>
              </w:rPr>
              <w:t>项目理赔责任人</w:t>
            </w:r>
          </w:p>
        </w:tc>
      </w:tr>
      <w:tr>
        <w:tblPrEx>
          <w:tblBorders>
            <w:top w:val="single" w:color="BEBEBE" w:themeColor="background1" w:themeShade="BF" w:sz="12" w:space="0"/>
            <w:left w:val="none" w:color="auto" w:sz="0" w:space="0"/>
            <w:bottom w:val="single" w:color="BEBEBE" w:themeColor="background1" w:themeShade="BF" w:sz="12" w:space="0"/>
            <w:right w:val="none" w:color="auto" w:sz="0" w:space="0"/>
            <w:insideH w:val="single" w:color="BEBEBE" w:themeColor="background1" w:themeShade="BF" w:sz="6" w:space="0"/>
            <w:insideV w:val="single" w:color="FFFFFF" w:themeColor="background1" w:sz="6" w:space="0"/>
          </w:tblBorders>
          <w:tblLayout w:type="fixed"/>
          <w:tblCellMar>
            <w:top w:w="0" w:type="dxa"/>
            <w:left w:w="108" w:type="dxa"/>
            <w:bottom w:w="0" w:type="dxa"/>
            <w:right w:w="108" w:type="dxa"/>
          </w:tblCellMar>
        </w:tblPrEx>
        <w:trPr>
          <w:trHeight w:val="907" w:hRule="atLeast"/>
          <w:jc w:val="center"/>
        </w:trPr>
        <w:tc>
          <w:tcPr>
            <w:tcW w:w="1177" w:type="dxa"/>
            <w:vAlign w:val="center"/>
          </w:tcPr>
          <w:p>
            <w:pPr>
              <w:spacing w:line="360" w:lineRule="auto"/>
              <w:jc w:val="center"/>
              <w:rPr>
                <w:rFonts w:ascii="宋体" w:hAnsi="宋体" w:eastAsia="宋体" w:cs="宋体"/>
                <w:sz w:val="24"/>
                <w:szCs w:val="24"/>
              </w:rPr>
            </w:pPr>
            <w:r>
              <w:rPr>
                <w:rFonts w:hint="eastAsia" w:ascii="宋体" w:hAnsi="宋体" w:eastAsia="宋体" w:cs="宋体"/>
                <w:sz w:val="24"/>
                <w:szCs w:val="24"/>
              </w:rPr>
              <w:t>刘红芳</w:t>
            </w:r>
          </w:p>
        </w:tc>
        <w:tc>
          <w:tcPr>
            <w:tcW w:w="3458" w:type="dxa"/>
            <w:vAlign w:val="center"/>
          </w:tcPr>
          <w:p>
            <w:pPr>
              <w:spacing w:line="300" w:lineRule="exact"/>
              <w:jc w:val="center"/>
              <w:rPr>
                <w:rFonts w:ascii="宋体" w:hAnsi="宋体" w:eastAsia="宋体" w:cs="宋体"/>
                <w:sz w:val="24"/>
                <w:szCs w:val="24"/>
              </w:rPr>
            </w:pPr>
            <w:r>
              <w:rPr>
                <w:rFonts w:hint="eastAsia" w:ascii="宋体" w:hAnsi="宋体" w:eastAsia="宋体" w:cs="宋体"/>
                <w:sz w:val="24"/>
                <w:szCs w:val="24"/>
              </w:rPr>
              <w:t>人保财险许昌市分公司</w:t>
            </w:r>
          </w:p>
          <w:p>
            <w:pPr>
              <w:spacing w:line="300" w:lineRule="exact"/>
              <w:jc w:val="center"/>
              <w:rPr>
                <w:rFonts w:ascii="宋体" w:hAnsi="宋体" w:eastAsia="宋体" w:cs="宋体"/>
                <w:sz w:val="24"/>
                <w:szCs w:val="24"/>
              </w:rPr>
            </w:pPr>
            <w:r>
              <w:rPr>
                <w:rFonts w:hint="eastAsia" w:ascii="宋体" w:hAnsi="宋体" w:eastAsia="宋体" w:cs="宋体"/>
                <w:sz w:val="24"/>
                <w:szCs w:val="24"/>
              </w:rPr>
              <w:t>出单中心</w:t>
            </w:r>
          </w:p>
        </w:tc>
        <w:tc>
          <w:tcPr>
            <w:tcW w:w="1729" w:type="dxa"/>
            <w:vAlign w:val="center"/>
          </w:tcPr>
          <w:p>
            <w:pPr>
              <w:spacing w:line="300" w:lineRule="exact"/>
              <w:jc w:val="center"/>
              <w:rPr>
                <w:rFonts w:ascii="宋体" w:hAnsi="宋体" w:eastAsia="宋体" w:cs="宋体"/>
                <w:sz w:val="24"/>
                <w:szCs w:val="24"/>
              </w:rPr>
            </w:pPr>
            <w:r>
              <w:rPr>
                <w:rFonts w:hint="eastAsia" w:ascii="宋体" w:hAnsi="宋体" w:eastAsia="宋体" w:cs="宋体"/>
                <w:sz w:val="24"/>
                <w:szCs w:val="24"/>
              </w:rPr>
              <w:t>经理</w:t>
            </w:r>
          </w:p>
        </w:tc>
        <w:tc>
          <w:tcPr>
            <w:tcW w:w="2124" w:type="dxa"/>
            <w:vAlign w:val="center"/>
          </w:tcPr>
          <w:p>
            <w:pPr>
              <w:spacing w:line="300" w:lineRule="exact"/>
              <w:jc w:val="center"/>
              <w:rPr>
                <w:rFonts w:ascii="宋体" w:hAnsi="宋体" w:eastAsia="宋体" w:cs="宋体"/>
                <w:sz w:val="24"/>
                <w:szCs w:val="24"/>
              </w:rPr>
            </w:pPr>
            <w:r>
              <w:rPr>
                <w:rFonts w:hint="eastAsia" w:ascii="宋体" w:hAnsi="宋体" w:eastAsia="宋体" w:cs="宋体"/>
                <w:sz w:val="24"/>
                <w:szCs w:val="24"/>
              </w:rPr>
              <w:t>承保出单责任人</w:t>
            </w:r>
          </w:p>
        </w:tc>
      </w:tr>
      <w:tr>
        <w:tblPrEx>
          <w:tblBorders>
            <w:top w:val="single" w:color="BEBEBE" w:themeColor="background1" w:themeShade="BF" w:sz="12" w:space="0"/>
            <w:left w:val="none" w:color="auto" w:sz="0" w:space="0"/>
            <w:bottom w:val="single" w:color="BEBEBE" w:themeColor="background1" w:themeShade="BF" w:sz="12" w:space="0"/>
            <w:right w:val="none" w:color="auto" w:sz="0" w:space="0"/>
            <w:insideH w:val="single" w:color="BEBEBE" w:themeColor="background1" w:themeShade="BF" w:sz="6" w:space="0"/>
            <w:insideV w:val="single" w:color="FFFFFF" w:themeColor="background1" w:sz="6" w:space="0"/>
          </w:tblBorders>
          <w:tblLayout w:type="fixed"/>
          <w:tblCellMar>
            <w:top w:w="0" w:type="dxa"/>
            <w:left w:w="108" w:type="dxa"/>
            <w:bottom w:w="0" w:type="dxa"/>
            <w:right w:w="108" w:type="dxa"/>
          </w:tblCellMar>
        </w:tblPrEx>
        <w:trPr>
          <w:trHeight w:val="907" w:hRule="atLeast"/>
          <w:jc w:val="center"/>
        </w:trPr>
        <w:tc>
          <w:tcPr>
            <w:tcW w:w="1177" w:type="dxa"/>
            <w:vAlign w:val="center"/>
          </w:tcPr>
          <w:p>
            <w:pPr>
              <w:spacing w:line="360" w:lineRule="auto"/>
              <w:jc w:val="center"/>
              <w:rPr>
                <w:rFonts w:ascii="宋体" w:hAnsi="宋体" w:eastAsia="宋体" w:cs="宋体"/>
                <w:sz w:val="24"/>
                <w:szCs w:val="24"/>
              </w:rPr>
            </w:pPr>
            <w:r>
              <w:rPr>
                <w:rFonts w:hint="eastAsia" w:ascii="宋体" w:hAnsi="宋体" w:eastAsia="宋体" w:cs="宋体"/>
                <w:sz w:val="24"/>
                <w:szCs w:val="24"/>
              </w:rPr>
              <w:t>贾晓刚</w:t>
            </w:r>
          </w:p>
        </w:tc>
        <w:tc>
          <w:tcPr>
            <w:tcW w:w="3458" w:type="dxa"/>
            <w:vAlign w:val="center"/>
          </w:tcPr>
          <w:p>
            <w:pPr>
              <w:spacing w:line="300" w:lineRule="exact"/>
              <w:jc w:val="center"/>
              <w:rPr>
                <w:rFonts w:ascii="宋体" w:hAnsi="宋体" w:eastAsia="宋体" w:cs="宋体"/>
                <w:sz w:val="24"/>
                <w:szCs w:val="24"/>
              </w:rPr>
            </w:pPr>
            <w:r>
              <w:rPr>
                <w:rFonts w:hint="eastAsia" w:ascii="宋体" w:hAnsi="宋体" w:eastAsia="宋体" w:cs="宋体"/>
                <w:sz w:val="24"/>
                <w:szCs w:val="24"/>
              </w:rPr>
              <w:t>人保财险许昌市分公司</w:t>
            </w:r>
          </w:p>
          <w:p>
            <w:pPr>
              <w:spacing w:line="300" w:lineRule="exact"/>
              <w:jc w:val="center"/>
              <w:rPr>
                <w:rFonts w:ascii="宋体" w:hAnsi="宋体" w:eastAsia="宋体" w:cs="宋体"/>
                <w:sz w:val="24"/>
                <w:szCs w:val="24"/>
              </w:rPr>
            </w:pPr>
            <w:r>
              <w:rPr>
                <w:rFonts w:hint="eastAsia" w:ascii="宋体" w:hAnsi="宋体" w:eastAsia="宋体" w:cs="宋体"/>
                <w:sz w:val="24"/>
                <w:szCs w:val="24"/>
              </w:rPr>
              <w:t>财务部</w:t>
            </w:r>
          </w:p>
        </w:tc>
        <w:tc>
          <w:tcPr>
            <w:tcW w:w="1729" w:type="dxa"/>
            <w:vAlign w:val="center"/>
          </w:tcPr>
          <w:p>
            <w:pPr>
              <w:spacing w:line="300" w:lineRule="exact"/>
              <w:jc w:val="center"/>
              <w:rPr>
                <w:rFonts w:ascii="宋体" w:hAnsi="宋体" w:eastAsia="宋体" w:cs="宋体"/>
                <w:sz w:val="24"/>
                <w:szCs w:val="24"/>
              </w:rPr>
            </w:pPr>
            <w:r>
              <w:rPr>
                <w:rFonts w:hint="eastAsia" w:ascii="宋体" w:hAnsi="宋体" w:eastAsia="宋体" w:cs="宋体"/>
                <w:sz w:val="24"/>
                <w:szCs w:val="24"/>
              </w:rPr>
              <w:t>经理</w:t>
            </w:r>
          </w:p>
        </w:tc>
        <w:tc>
          <w:tcPr>
            <w:tcW w:w="2124" w:type="dxa"/>
            <w:vAlign w:val="center"/>
          </w:tcPr>
          <w:p>
            <w:pPr>
              <w:spacing w:line="300" w:lineRule="exact"/>
              <w:jc w:val="center"/>
              <w:rPr>
                <w:rFonts w:ascii="宋体" w:hAnsi="宋体" w:eastAsia="宋体" w:cs="宋体"/>
                <w:sz w:val="24"/>
                <w:szCs w:val="24"/>
              </w:rPr>
            </w:pPr>
            <w:r>
              <w:rPr>
                <w:rFonts w:hint="eastAsia" w:ascii="宋体" w:hAnsi="宋体" w:eastAsia="宋体" w:cs="宋体"/>
                <w:sz w:val="24"/>
                <w:szCs w:val="24"/>
              </w:rPr>
              <w:t>资金保障责任人</w:t>
            </w:r>
          </w:p>
        </w:tc>
      </w:tr>
      <w:tr>
        <w:tblPrEx>
          <w:tblBorders>
            <w:top w:val="single" w:color="BEBEBE" w:themeColor="background1" w:themeShade="BF" w:sz="12" w:space="0"/>
            <w:left w:val="none" w:color="auto" w:sz="0" w:space="0"/>
            <w:bottom w:val="single" w:color="BEBEBE" w:themeColor="background1" w:themeShade="BF" w:sz="12" w:space="0"/>
            <w:right w:val="none" w:color="auto" w:sz="0" w:space="0"/>
            <w:insideH w:val="single" w:color="BEBEBE" w:themeColor="background1" w:themeShade="BF" w:sz="6" w:space="0"/>
            <w:insideV w:val="single" w:color="FFFFFF" w:themeColor="background1" w:sz="6" w:space="0"/>
          </w:tblBorders>
          <w:tblLayout w:type="fixed"/>
          <w:tblCellMar>
            <w:top w:w="0" w:type="dxa"/>
            <w:left w:w="108" w:type="dxa"/>
            <w:bottom w:w="0" w:type="dxa"/>
            <w:right w:w="108" w:type="dxa"/>
          </w:tblCellMar>
        </w:tblPrEx>
        <w:trPr>
          <w:trHeight w:val="907" w:hRule="atLeast"/>
          <w:jc w:val="center"/>
        </w:trPr>
        <w:tc>
          <w:tcPr>
            <w:tcW w:w="1177" w:type="dxa"/>
            <w:vAlign w:val="center"/>
          </w:tcPr>
          <w:p>
            <w:pPr>
              <w:spacing w:line="360" w:lineRule="auto"/>
              <w:jc w:val="center"/>
              <w:rPr>
                <w:rFonts w:ascii="宋体" w:hAnsi="宋体" w:eastAsia="宋体" w:cs="宋体"/>
                <w:sz w:val="24"/>
                <w:szCs w:val="24"/>
              </w:rPr>
            </w:pPr>
            <w:r>
              <w:rPr>
                <w:rFonts w:hint="eastAsia" w:ascii="宋体" w:hAnsi="宋体" w:eastAsia="宋体" w:cs="宋体"/>
                <w:sz w:val="24"/>
                <w:szCs w:val="24"/>
              </w:rPr>
              <w:t>刘伟芳</w:t>
            </w:r>
          </w:p>
        </w:tc>
        <w:tc>
          <w:tcPr>
            <w:tcW w:w="3458" w:type="dxa"/>
            <w:vAlign w:val="center"/>
          </w:tcPr>
          <w:p>
            <w:pPr>
              <w:spacing w:line="300" w:lineRule="exact"/>
              <w:jc w:val="center"/>
              <w:rPr>
                <w:rFonts w:ascii="宋体" w:hAnsi="宋体" w:eastAsia="宋体" w:cs="宋体"/>
                <w:sz w:val="24"/>
                <w:szCs w:val="24"/>
              </w:rPr>
            </w:pPr>
            <w:r>
              <w:rPr>
                <w:rFonts w:hint="eastAsia" w:ascii="宋体" w:hAnsi="宋体" w:eastAsia="宋体" w:cs="宋体"/>
                <w:sz w:val="24"/>
                <w:szCs w:val="24"/>
              </w:rPr>
              <w:t>人保财险许昌市分公司</w:t>
            </w:r>
          </w:p>
          <w:p>
            <w:pPr>
              <w:spacing w:line="300" w:lineRule="exact"/>
              <w:jc w:val="center"/>
              <w:rPr>
                <w:rFonts w:ascii="宋体" w:hAnsi="宋体" w:eastAsia="宋体" w:cs="宋体"/>
                <w:sz w:val="24"/>
                <w:szCs w:val="24"/>
              </w:rPr>
            </w:pPr>
            <w:r>
              <w:rPr>
                <w:rFonts w:hint="eastAsia" w:ascii="宋体" w:hAnsi="宋体" w:eastAsia="宋体" w:cs="宋体"/>
                <w:sz w:val="24"/>
                <w:szCs w:val="24"/>
              </w:rPr>
              <w:t>信息技术部</w:t>
            </w:r>
          </w:p>
        </w:tc>
        <w:tc>
          <w:tcPr>
            <w:tcW w:w="1729" w:type="dxa"/>
            <w:vAlign w:val="center"/>
          </w:tcPr>
          <w:p>
            <w:pPr>
              <w:spacing w:line="300" w:lineRule="exact"/>
              <w:jc w:val="center"/>
              <w:rPr>
                <w:rFonts w:ascii="宋体" w:hAnsi="宋体" w:eastAsia="宋体" w:cs="宋体"/>
                <w:sz w:val="24"/>
                <w:szCs w:val="24"/>
              </w:rPr>
            </w:pPr>
            <w:r>
              <w:rPr>
                <w:rFonts w:hint="eastAsia" w:ascii="宋体" w:hAnsi="宋体" w:eastAsia="宋体" w:cs="宋体"/>
                <w:sz w:val="24"/>
                <w:szCs w:val="24"/>
              </w:rPr>
              <w:t>经理</w:t>
            </w:r>
          </w:p>
        </w:tc>
        <w:tc>
          <w:tcPr>
            <w:tcW w:w="2124" w:type="dxa"/>
            <w:vAlign w:val="center"/>
          </w:tcPr>
          <w:p>
            <w:pPr>
              <w:spacing w:line="300" w:lineRule="exact"/>
              <w:jc w:val="center"/>
              <w:rPr>
                <w:rFonts w:ascii="宋体" w:hAnsi="宋体" w:eastAsia="宋体" w:cs="宋体"/>
                <w:sz w:val="24"/>
                <w:szCs w:val="24"/>
              </w:rPr>
            </w:pPr>
            <w:r>
              <w:rPr>
                <w:rFonts w:hint="eastAsia" w:ascii="宋体" w:hAnsi="宋体" w:eastAsia="宋体" w:cs="宋体"/>
                <w:sz w:val="24"/>
                <w:szCs w:val="24"/>
              </w:rPr>
              <w:t>信息技术、设备运行保障责任人</w:t>
            </w:r>
          </w:p>
        </w:tc>
      </w:tr>
      <w:tr>
        <w:tblPrEx>
          <w:tblBorders>
            <w:top w:val="single" w:color="BEBEBE" w:themeColor="background1" w:themeShade="BF" w:sz="12" w:space="0"/>
            <w:left w:val="none" w:color="auto" w:sz="0" w:space="0"/>
            <w:bottom w:val="single" w:color="BEBEBE" w:themeColor="background1" w:themeShade="BF" w:sz="12" w:space="0"/>
            <w:right w:val="none" w:color="auto" w:sz="0" w:space="0"/>
            <w:insideH w:val="single" w:color="BEBEBE" w:themeColor="background1" w:themeShade="BF" w:sz="6" w:space="0"/>
            <w:insideV w:val="single" w:color="FFFFFF" w:themeColor="background1" w:sz="6" w:space="0"/>
          </w:tblBorders>
          <w:tblLayout w:type="fixed"/>
          <w:tblCellMar>
            <w:top w:w="0" w:type="dxa"/>
            <w:left w:w="108" w:type="dxa"/>
            <w:bottom w:w="0" w:type="dxa"/>
            <w:right w:w="108" w:type="dxa"/>
          </w:tblCellMar>
        </w:tblPrEx>
        <w:trPr>
          <w:trHeight w:val="907" w:hRule="atLeast"/>
          <w:jc w:val="center"/>
        </w:trPr>
        <w:tc>
          <w:tcPr>
            <w:tcW w:w="1177" w:type="dxa"/>
            <w:vAlign w:val="center"/>
          </w:tcPr>
          <w:p>
            <w:pPr>
              <w:spacing w:line="360" w:lineRule="auto"/>
              <w:jc w:val="center"/>
              <w:rPr>
                <w:rFonts w:ascii="宋体" w:hAnsi="宋体" w:eastAsia="宋体" w:cs="宋体"/>
                <w:sz w:val="24"/>
                <w:szCs w:val="24"/>
              </w:rPr>
            </w:pPr>
            <w:r>
              <w:rPr>
                <w:rFonts w:hint="eastAsia" w:ascii="宋体" w:hAnsi="宋体" w:eastAsia="宋体" w:cs="宋体"/>
                <w:sz w:val="24"/>
                <w:szCs w:val="24"/>
              </w:rPr>
              <w:t>雷晓龙</w:t>
            </w:r>
          </w:p>
        </w:tc>
        <w:tc>
          <w:tcPr>
            <w:tcW w:w="3458" w:type="dxa"/>
            <w:vAlign w:val="center"/>
          </w:tcPr>
          <w:p>
            <w:pPr>
              <w:spacing w:line="300" w:lineRule="exact"/>
              <w:jc w:val="center"/>
              <w:rPr>
                <w:rFonts w:ascii="宋体" w:hAnsi="宋体" w:eastAsia="宋体" w:cs="宋体"/>
                <w:sz w:val="24"/>
                <w:szCs w:val="24"/>
              </w:rPr>
            </w:pPr>
            <w:r>
              <w:rPr>
                <w:rFonts w:hint="eastAsia" w:ascii="宋体" w:hAnsi="宋体" w:eastAsia="宋体" w:cs="宋体"/>
                <w:sz w:val="24"/>
                <w:szCs w:val="24"/>
              </w:rPr>
              <w:t>人保财险许昌市分公司</w:t>
            </w:r>
          </w:p>
          <w:p>
            <w:pPr>
              <w:spacing w:line="300" w:lineRule="exact"/>
              <w:jc w:val="center"/>
              <w:rPr>
                <w:rFonts w:ascii="宋体" w:hAnsi="宋体" w:eastAsia="宋体" w:cs="宋体"/>
                <w:sz w:val="24"/>
                <w:szCs w:val="24"/>
              </w:rPr>
            </w:pPr>
            <w:r>
              <w:rPr>
                <w:rFonts w:hint="eastAsia" w:ascii="宋体" w:hAnsi="宋体" w:eastAsia="宋体" w:cs="宋体"/>
                <w:sz w:val="24"/>
                <w:szCs w:val="24"/>
              </w:rPr>
              <w:t>商业非车保险部</w:t>
            </w:r>
          </w:p>
        </w:tc>
        <w:tc>
          <w:tcPr>
            <w:tcW w:w="1729" w:type="dxa"/>
            <w:vAlign w:val="center"/>
          </w:tcPr>
          <w:p>
            <w:pPr>
              <w:spacing w:line="300" w:lineRule="exact"/>
              <w:jc w:val="center"/>
              <w:rPr>
                <w:rFonts w:ascii="宋体" w:hAnsi="宋体" w:eastAsia="宋体" w:cs="宋体"/>
                <w:sz w:val="24"/>
                <w:szCs w:val="24"/>
              </w:rPr>
            </w:pPr>
            <w:r>
              <w:rPr>
                <w:rFonts w:hint="eastAsia" w:ascii="宋体" w:hAnsi="宋体" w:eastAsia="宋体" w:cs="宋体"/>
                <w:sz w:val="24"/>
                <w:szCs w:val="24"/>
              </w:rPr>
              <w:t>副经理</w:t>
            </w:r>
          </w:p>
        </w:tc>
        <w:tc>
          <w:tcPr>
            <w:tcW w:w="2124" w:type="dxa"/>
            <w:vAlign w:val="center"/>
          </w:tcPr>
          <w:p>
            <w:pPr>
              <w:spacing w:line="300" w:lineRule="exact"/>
              <w:jc w:val="center"/>
              <w:rPr>
                <w:rFonts w:ascii="宋体" w:hAnsi="宋体" w:eastAsia="宋体" w:cs="宋体"/>
                <w:sz w:val="24"/>
                <w:szCs w:val="24"/>
              </w:rPr>
            </w:pPr>
            <w:r>
              <w:rPr>
                <w:rFonts w:hint="eastAsia" w:ascii="宋体" w:hAnsi="宋体" w:eastAsia="宋体" w:cs="宋体"/>
                <w:sz w:val="24"/>
                <w:szCs w:val="24"/>
              </w:rPr>
              <w:t>项目对接人</w:t>
            </w:r>
          </w:p>
        </w:tc>
      </w:tr>
    </w:tbl>
    <w:p>
      <w:pPr>
        <w:pStyle w:val="12"/>
        <w:widowControl w:val="0"/>
        <w:rPr>
          <w:rFonts w:eastAsia="宋体" w:cs="宋体"/>
          <w:sz w:val="30"/>
          <w:szCs w:val="30"/>
        </w:rPr>
      </w:pPr>
    </w:p>
    <w:p>
      <w:pPr>
        <w:pStyle w:val="12"/>
        <w:widowControl w:val="0"/>
        <w:rPr>
          <w:rFonts w:eastAsia="宋体" w:cs="宋体"/>
          <w:color w:val="auto"/>
          <w:sz w:val="24"/>
        </w:rPr>
      </w:pPr>
      <w:r>
        <w:rPr>
          <w:rFonts w:hint="eastAsia" w:eastAsia="宋体" w:cs="宋体"/>
          <w:sz w:val="24"/>
        </w:rPr>
        <w:t xml:space="preserve">4.3.2 </w:t>
      </w:r>
      <w:r>
        <w:rPr>
          <w:rFonts w:hint="eastAsia" w:eastAsia="宋体" w:cs="宋体"/>
          <w:color w:val="auto"/>
          <w:sz w:val="24"/>
        </w:rPr>
        <w:t>健全组织保障，有序推动项目落地</w:t>
      </w:r>
    </w:p>
    <w:p>
      <w:pPr>
        <w:pStyle w:val="11"/>
        <w:ind w:firstLine="480"/>
        <w:rPr>
          <w:rFonts w:ascii="宋体" w:hAnsi="宋体" w:eastAsia="宋体" w:cs="宋体"/>
          <w:sz w:val="24"/>
          <w:szCs w:val="24"/>
        </w:rPr>
      </w:pPr>
      <w:r>
        <w:rPr>
          <w:rFonts w:hint="eastAsia" w:ascii="宋体" w:hAnsi="宋体" w:eastAsia="宋体" w:cs="宋体"/>
          <w:sz w:val="24"/>
          <w:szCs w:val="24"/>
        </w:rPr>
        <w:t>按照领导小组的安排，成立了许昌市专项落地服务团队，负责组建河南省许昌市中级人民法院“执行救助保险”项目保险专项落地服务团队。</w:t>
      </w:r>
    </w:p>
    <w:p>
      <w:pPr>
        <w:pStyle w:val="11"/>
        <w:ind w:firstLine="0" w:firstLineChars="0"/>
        <w:rPr>
          <w:rFonts w:ascii="宋体" w:hAnsi="宋体" w:eastAsia="宋体" w:cs="宋体"/>
          <w:b/>
          <w:bCs/>
          <w:sz w:val="24"/>
          <w:szCs w:val="24"/>
        </w:rPr>
      </w:pPr>
      <w:r>
        <w:rPr>
          <w:rFonts w:hint="eastAsia" w:ascii="宋体" w:hAnsi="宋体" w:eastAsia="宋体" w:cs="宋体"/>
          <w:b/>
          <w:bCs/>
          <w:sz w:val="24"/>
          <w:szCs w:val="24"/>
        </w:rPr>
        <w:t>建立理赔服务团队</w:t>
      </w:r>
    </w:p>
    <w:p>
      <w:pPr>
        <w:pStyle w:val="11"/>
        <w:ind w:firstLine="480"/>
        <w:rPr>
          <w:rFonts w:ascii="宋体" w:hAnsi="宋体" w:eastAsia="宋体" w:cs="宋体"/>
          <w:sz w:val="24"/>
          <w:szCs w:val="24"/>
        </w:rPr>
      </w:pPr>
      <w:r>
        <w:rPr>
          <w:rFonts w:hint="eastAsia" w:ascii="宋体" w:hAnsi="宋体" w:eastAsia="宋体" w:cs="宋体"/>
          <w:sz w:val="24"/>
          <w:szCs w:val="24"/>
        </w:rPr>
        <w:t>保障措施：建立投诉制度，及时提升服务品质。如果河南省许昌市中级人民法院对我公司的保险服务感到不满意，可以及时拨打投诉电话95518进行投诉，我们将针对提出的建议和要求，及时改进不足，提升服务品质。</w:t>
      </w:r>
    </w:p>
    <w:p>
      <w:pPr>
        <w:pStyle w:val="11"/>
        <w:ind w:firstLine="480"/>
        <w:rPr>
          <w:rFonts w:ascii="宋体" w:hAnsi="宋体" w:eastAsia="宋体" w:cs="宋体"/>
          <w:sz w:val="24"/>
          <w:szCs w:val="24"/>
        </w:rPr>
      </w:pPr>
      <w:r>
        <w:rPr>
          <w:rFonts w:hint="eastAsia" w:ascii="宋体" w:hAnsi="宋体" w:eastAsia="宋体" w:cs="宋体"/>
          <w:sz w:val="24"/>
          <w:szCs w:val="24"/>
        </w:rPr>
        <w:t>服务小组职能：</w:t>
      </w:r>
    </w:p>
    <w:p>
      <w:pPr>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（1）提供保险咨询服务，参与风险管理工作。</w:t>
      </w:r>
    </w:p>
    <w:p>
      <w:pPr>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（2）负责保险服务工作的日常联络。</w:t>
      </w:r>
    </w:p>
    <w:p>
      <w:pPr>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（3）定期进行客户回访，听取被保险人的意见建议，及时以书面形式对相关建议和要求进行回复。</w:t>
      </w:r>
    </w:p>
    <w:p>
      <w:pPr>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（4）对于重大和疑难赔案的处理提出技术性的意见和建议，并及时向领导决策小组汇报。</w:t>
      </w:r>
    </w:p>
    <w:p>
      <w:pPr>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（5）协助被保险人收集索赔资料，及时完成赔案理算、赔案制作、赔款支付等工作。</w:t>
      </w:r>
    </w:p>
    <w:p>
      <w:pPr>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（6）负责该项目现场查勘、材料搜集、定损理赔工作。</w:t>
      </w:r>
    </w:p>
    <w:p>
      <w:pPr>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（7）负责向项目工作小组反馈现场服务工作情况。</w:t>
      </w:r>
    </w:p>
    <w:p>
      <w:pPr>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 xml:space="preserve">（8）参与风险管理工作，参与赔案处理工作。 </w:t>
      </w:r>
    </w:p>
    <w:p>
      <w:pPr>
        <w:spacing w:line="360" w:lineRule="auto"/>
        <w:rPr>
          <w:rFonts w:ascii="宋体" w:hAnsi="宋体" w:eastAsia="宋体" w:cs="宋体"/>
          <w:kern w:val="0"/>
          <w:sz w:val="24"/>
          <w:szCs w:val="24"/>
        </w:rPr>
      </w:pPr>
    </w:p>
    <w:p>
      <w:pPr>
        <w:spacing w:line="360" w:lineRule="auto"/>
        <w:rPr>
          <w:rFonts w:ascii="宋体" w:hAnsi="宋体" w:eastAsia="宋体" w:cs="宋体"/>
          <w:b/>
          <w:kern w:val="0"/>
          <w:sz w:val="24"/>
          <w:szCs w:val="24"/>
        </w:rPr>
      </w:pPr>
      <w:r>
        <w:rPr>
          <w:rFonts w:hint="eastAsia" w:ascii="宋体" w:hAnsi="宋体" w:eastAsia="宋体" w:cs="宋体"/>
          <w:b/>
          <w:kern w:val="0"/>
          <w:sz w:val="24"/>
          <w:szCs w:val="24"/>
        </w:rPr>
        <w:t>服务团队的特点：</w:t>
      </w:r>
    </w:p>
    <w:p>
      <w:pPr>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团队人员固定专业，以保证服务的连续性。</w:t>
      </w:r>
    </w:p>
    <w:p>
      <w:pPr>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该团队的主要人员负责从承保到理赔，从出险报案到赔付的所有工作，以保证服务的连续性。</w:t>
      </w:r>
    </w:p>
    <w:p>
      <w:pPr>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团队具有高效性，是一个从决策到实施的一站式服务机构，也是我公司为被保险人专设的服务窗口。</w:t>
      </w:r>
    </w:p>
    <w:p>
      <w:pPr>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团队具有专业性，是我公司充分整合内部资源的典范。</w:t>
      </w:r>
    </w:p>
    <w:p>
      <w:pPr>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为给项目提供专业、优质的保险服务，我公司充分整合内部资源，项目服务团队吸收了承保、理赔等各部门人员,能够满足保险服务的各方面需求。这些人员拥有丰富保险业务知识和实践经验，各有所长，相互配合，将共同为本项目提供最优质服务。</w:t>
      </w:r>
    </w:p>
    <w:p>
      <w:pPr>
        <w:spacing w:line="360" w:lineRule="auto"/>
        <w:ind w:firstLine="480" w:firstLineChars="200"/>
        <w:rPr>
          <w:rFonts w:ascii="宋体" w:hAnsi="宋体" w:eastAsia="宋体" w:cs="宋体"/>
          <w:kern w:val="0"/>
          <w:sz w:val="24"/>
          <w:szCs w:val="24"/>
        </w:rPr>
      </w:pPr>
    </w:p>
    <w:p>
      <w:pPr>
        <w:pStyle w:val="11"/>
        <w:ind w:firstLine="0" w:firstLineChars="0"/>
        <w:rPr>
          <w:rFonts w:ascii="宋体" w:hAnsi="宋体" w:eastAsia="宋体" w:cs="宋体"/>
          <w:sz w:val="24"/>
          <w:szCs w:val="24"/>
        </w:rPr>
      </w:pPr>
      <w:r>
        <w:rPr>
          <w:rFonts w:hint="eastAsia" w:ascii="宋体" w:hAnsi="宋体" w:eastAsia="宋体" w:cs="宋体"/>
          <w:sz w:val="24"/>
          <w:szCs w:val="24"/>
        </w:rPr>
        <w:drawing>
          <wp:inline distT="0" distB="0" distL="0" distR="0">
            <wp:extent cx="4796155" cy="2710815"/>
            <wp:effectExtent l="0" t="0" r="0" b="0"/>
            <wp:docPr id="1130" name="图示 113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 r:lo="rId5" r:qs="rId6" r:cs="rId7"/>
              </a:graphicData>
            </a:graphic>
          </wp:inline>
        </w:drawing>
      </w:r>
    </w:p>
    <w:p>
      <w:pPr>
        <w:pStyle w:val="11"/>
        <w:ind w:firstLine="0" w:firstLineChars="0"/>
        <w:rPr>
          <w:rFonts w:ascii="宋体" w:hAnsi="宋体" w:eastAsia="宋体" w:cs="宋体"/>
          <w:sz w:val="24"/>
          <w:szCs w:val="24"/>
        </w:rPr>
      </w:pPr>
    </w:p>
    <w:p>
      <w:pPr>
        <w:spacing w:line="360" w:lineRule="auto"/>
        <w:rPr>
          <w:rFonts w:ascii="宋体" w:hAnsi="宋体" w:eastAsia="宋体" w:cs="宋体"/>
          <w:b/>
          <w:sz w:val="24"/>
          <w:szCs w:val="24"/>
        </w:rPr>
      </w:pPr>
      <w:r>
        <w:rPr>
          <w:rFonts w:hint="eastAsia" w:ascii="宋体" w:hAnsi="宋体" w:eastAsia="宋体" w:cs="宋体"/>
          <w:b/>
          <w:sz w:val="24"/>
          <w:szCs w:val="24"/>
        </w:rPr>
        <w:t>4.3.3 准备项目筹备</w:t>
      </w:r>
    </w:p>
    <w:p>
      <w:pPr>
        <w:spacing w:line="360" w:lineRule="auto"/>
        <w:ind w:firstLine="482" w:firstLineChars="200"/>
        <w:rPr>
          <w:rFonts w:ascii="宋体" w:hAnsi="宋体" w:eastAsia="宋体" w:cs="宋体"/>
          <w:sz w:val="24"/>
          <w:szCs w:val="24"/>
        </w:rPr>
      </w:pPr>
      <w:r>
        <w:rPr>
          <w:rFonts w:hint="eastAsia" w:ascii="宋体" w:hAnsi="宋体" w:eastAsia="宋体" w:cs="宋体"/>
          <w:b/>
          <w:sz w:val="24"/>
          <w:szCs w:val="24"/>
        </w:rPr>
        <w:t>队伍组建：</w:t>
      </w:r>
      <w:r>
        <w:rPr>
          <w:rFonts w:hint="eastAsia" w:ascii="宋体" w:hAnsi="宋体" w:eastAsia="宋体" w:cs="宋体"/>
          <w:sz w:val="24"/>
          <w:szCs w:val="24"/>
        </w:rPr>
        <w:t>在现有人员基础上，为了进一步加强队伍专业性，我司拟为本项目再行聘请专职法律背景人员组成专职团队，作为原有配备专业团队的有效补充，并进行集中岗前培训考试，成绩合格逐步根据采购单位需求进一步充实团队力量。</w:t>
      </w:r>
    </w:p>
    <w:p>
      <w:pPr>
        <w:spacing w:line="360" w:lineRule="auto"/>
        <w:ind w:firstLine="482" w:firstLineChars="200"/>
        <w:rPr>
          <w:rFonts w:ascii="宋体" w:hAnsi="宋体" w:eastAsia="宋体" w:cs="宋体"/>
          <w:sz w:val="24"/>
          <w:szCs w:val="24"/>
        </w:rPr>
      </w:pPr>
      <w:r>
        <w:rPr>
          <w:rFonts w:hint="eastAsia" w:ascii="宋体" w:hAnsi="宋体" w:eastAsia="宋体" w:cs="宋体"/>
          <w:b/>
          <w:sz w:val="24"/>
          <w:szCs w:val="24"/>
        </w:rPr>
        <w:t>硬件配备：</w:t>
      </w:r>
      <w:r>
        <w:rPr>
          <w:rFonts w:hint="eastAsia" w:ascii="宋体" w:hAnsi="宋体" w:eastAsia="宋体" w:cs="宋体"/>
          <w:sz w:val="24"/>
          <w:szCs w:val="24"/>
        </w:rPr>
        <w:t>完成车辆租用手续办理，购买电脑、打印机、传真机、照相机、录音笔、执法记录仪等硬件器材。</w:t>
      </w:r>
    </w:p>
    <w:p>
      <w:pPr>
        <w:autoSpaceDE w:val="0"/>
        <w:autoSpaceDN w:val="0"/>
        <w:adjustRightInd w:val="0"/>
        <w:spacing w:line="360" w:lineRule="auto"/>
        <w:ind w:firstLine="482" w:firstLineChars="200"/>
        <w:rPr>
          <w:rFonts w:ascii="宋体" w:hAnsi="宋体" w:eastAsia="宋体" w:cs="宋体"/>
          <w:sz w:val="24"/>
          <w:szCs w:val="24"/>
        </w:rPr>
      </w:pPr>
      <w:r>
        <w:rPr>
          <w:rFonts w:hint="eastAsia" w:ascii="宋体" w:hAnsi="宋体" w:eastAsia="宋体" w:cs="宋体"/>
          <w:b/>
          <w:sz w:val="24"/>
          <w:szCs w:val="24"/>
        </w:rPr>
        <w:t>人员培训：</w:t>
      </w:r>
      <w:r>
        <w:rPr>
          <w:rFonts w:hint="eastAsia" w:ascii="宋体" w:hAnsi="宋体" w:eastAsia="宋体" w:cs="宋体"/>
          <w:sz w:val="24"/>
          <w:szCs w:val="24"/>
        </w:rPr>
        <w:t>建立健全系统化的业务技能及职业素养培训体系，提升员工的职业技能。</w:t>
      </w:r>
    </w:p>
    <w:p>
      <w:pPr>
        <w:autoSpaceDE w:val="0"/>
        <w:autoSpaceDN w:val="0"/>
        <w:adjustRightInd w:val="0"/>
        <w:spacing w:line="360" w:lineRule="auto"/>
        <w:ind w:firstLine="643"/>
        <w:rPr>
          <w:rFonts w:ascii="宋体" w:hAnsi="宋体" w:eastAsia="宋体" w:cs="宋体"/>
          <w:b/>
          <w:color w:val="000000"/>
          <w:sz w:val="24"/>
          <w:szCs w:val="24"/>
        </w:rPr>
      </w:pPr>
      <w:r>
        <w:rPr>
          <w:rFonts w:hint="eastAsia" w:ascii="宋体" w:hAnsi="宋体" w:eastAsia="宋体" w:cs="宋体"/>
          <w:color w:val="000000"/>
          <w:sz w:val="24"/>
          <w:szCs w:val="24"/>
        </w:rPr>
        <w:t>业务培训内容：法律知识类、财务知识类、管理技能类、信息系统类、业务基础类等五个方面强化培训。</w:t>
      </w:r>
    </w:p>
    <w:p>
      <w:pPr>
        <w:autoSpaceDE w:val="0"/>
        <w:autoSpaceDN w:val="0"/>
        <w:adjustRightInd w:val="0"/>
        <w:spacing w:line="360" w:lineRule="auto"/>
        <w:ind w:firstLine="600" w:firstLineChars="250"/>
        <w:rPr>
          <w:rFonts w:ascii="宋体" w:hAnsi="宋体" w:eastAsia="宋体" w:cs="宋体"/>
          <w:color w:val="000000"/>
          <w:sz w:val="24"/>
          <w:szCs w:val="24"/>
        </w:rPr>
      </w:pPr>
      <w:r>
        <w:rPr>
          <w:rFonts w:hint="eastAsia" w:ascii="宋体" w:hAnsi="宋体" w:eastAsia="宋体" w:cs="宋体"/>
          <w:color w:val="000000"/>
          <w:sz w:val="24"/>
          <w:szCs w:val="24"/>
        </w:rPr>
        <w:t>职责分工：</w:t>
      </w:r>
      <w:r>
        <w:rPr>
          <w:rFonts w:hint="eastAsia" w:ascii="宋体" w:hAnsi="宋体" w:eastAsia="宋体" w:cs="宋体"/>
          <w:bCs/>
          <w:color w:val="000000"/>
          <w:sz w:val="24"/>
          <w:szCs w:val="24"/>
        </w:rPr>
        <w:t>省市级公司领导小组</w:t>
      </w:r>
      <w:r>
        <w:rPr>
          <w:rFonts w:hint="eastAsia" w:ascii="宋体" w:hAnsi="宋体" w:eastAsia="宋体" w:cs="宋体"/>
          <w:color w:val="000000"/>
          <w:sz w:val="24"/>
          <w:szCs w:val="24"/>
        </w:rPr>
        <w:t>主要职责是制定经办服务专项业务培训制度；建设系统共享的优秀培训项目资源、讲师资源和课程、教材资源体系；支持、督导培训工作开展；定期评价考核培训工作效果。主要职责是按照本办法做好培训管理工作；梳理专管专营团队员工能力素质的基本要求及提升需求，制定专业类培训计划和方案并认真组织实施；支持、鼓励团队积极参加符合岗位要求和个人职业生涯发展需要的培训；评价经办服务专项业务的培训工作。</w:t>
      </w:r>
    </w:p>
    <w:p>
      <w:pPr>
        <w:autoSpaceDE w:val="0"/>
        <w:autoSpaceDN w:val="0"/>
        <w:adjustRightInd w:val="0"/>
        <w:spacing w:line="360" w:lineRule="auto"/>
        <w:ind w:firstLine="602" w:firstLineChars="250"/>
        <w:rPr>
          <w:rFonts w:ascii="宋体" w:hAnsi="宋体" w:eastAsia="宋体" w:cs="宋体"/>
          <w:color w:val="000000"/>
          <w:sz w:val="24"/>
          <w:szCs w:val="24"/>
          <w:shd w:val="clear" w:color="auto" w:fill="FFFFFF"/>
        </w:rPr>
      </w:pPr>
      <w:r>
        <w:rPr>
          <w:rFonts w:hint="eastAsia" w:ascii="宋体" w:hAnsi="宋体" w:eastAsia="宋体" w:cs="宋体"/>
          <w:b/>
          <w:color w:val="000000"/>
          <w:sz w:val="24"/>
          <w:szCs w:val="24"/>
          <w:shd w:val="clear" w:color="auto" w:fill="FFFFFF"/>
        </w:rPr>
        <w:t>建立内控制度体系：</w:t>
      </w:r>
      <w:r>
        <w:rPr>
          <w:rFonts w:hint="eastAsia" w:ascii="宋体" w:hAnsi="宋体" w:eastAsia="宋体" w:cs="宋体"/>
          <w:color w:val="000000"/>
          <w:sz w:val="24"/>
          <w:szCs w:val="24"/>
          <w:shd w:val="clear" w:color="auto" w:fill="FFFFFF"/>
        </w:rPr>
        <w:t>建立健全人员、业务日常管理考核内控制度。建立健全岗位职责、工作“AB角”、首问负责、学习培训、督办稽查、投诉举报处理、突发事件应急处理、安全防范、财务管理等制度，提升制度约束力。为减少经办业务工作人员的人身意外风险，公司制定风险共担和责任认定管理规范，同时为员工购买相关社会保险及人身意外伤害保险，转嫁经办人员的标准化工作中的相关意外等风险，为经办服务工作持续稳定开展提供全面的保险保障。</w:t>
      </w:r>
    </w:p>
    <w:p>
      <w:pPr>
        <w:pStyle w:val="11"/>
        <w:ind w:firstLine="482"/>
        <w:rPr>
          <w:rFonts w:ascii="宋体" w:hAnsi="宋体" w:eastAsia="宋体" w:cs="宋体"/>
          <w:b/>
          <w:sz w:val="24"/>
          <w:szCs w:val="24"/>
        </w:rPr>
      </w:pPr>
      <w:r>
        <w:rPr>
          <w:rFonts w:hint="eastAsia" w:ascii="宋体" w:hAnsi="宋体" w:eastAsia="宋体" w:cs="宋体"/>
          <w:b/>
          <w:sz w:val="24"/>
          <w:szCs w:val="24"/>
        </w:rPr>
        <w:t>完成技术对接阶段</w:t>
      </w:r>
    </w:p>
    <w:p>
      <w:pPr>
        <w:autoSpaceDE w:val="0"/>
        <w:autoSpaceDN w:val="0"/>
        <w:adjustRightInd w:val="0"/>
        <w:spacing w:line="360" w:lineRule="auto"/>
        <w:ind w:firstLine="600" w:firstLineChars="250"/>
        <w:rPr>
          <w:rFonts w:ascii="宋体" w:hAnsi="宋体" w:eastAsia="宋体" w:cs="宋体"/>
          <w:color w:val="000000"/>
          <w:sz w:val="24"/>
          <w:szCs w:val="24"/>
          <w:shd w:val="clear" w:color="auto" w:fill="FFFFFF"/>
        </w:rPr>
      </w:pPr>
      <w:r>
        <w:rPr>
          <w:rFonts w:hint="eastAsia" w:ascii="宋体" w:hAnsi="宋体" w:eastAsia="宋体" w:cs="宋体"/>
          <w:color w:val="000000"/>
          <w:sz w:val="24"/>
          <w:szCs w:val="24"/>
          <w:shd w:val="clear" w:color="auto" w:fill="FFFFFF"/>
        </w:rPr>
        <w:t>我司派专人进驻贵单位进行相应的业务咨询与理赔服务工作，建立承保信息跟踪卡，对被保险标的建立用户档案，开展跟踪服务。经常了解贵单位对保险服务的需求，加强沟通，积极改进工作中存在的问题，不断提高承保服务质量。更好地帮助解决“执行难”。</w:t>
      </w:r>
    </w:p>
    <w:p>
      <w:pPr>
        <w:pStyle w:val="11"/>
        <w:ind w:firstLine="0" w:firstLineChars="0"/>
        <w:rPr>
          <w:rFonts w:ascii="宋体" w:hAnsi="宋体" w:eastAsia="宋体" w:cs="宋体"/>
          <w:b/>
          <w:sz w:val="30"/>
          <w:szCs w:val="30"/>
        </w:rPr>
      </w:pPr>
    </w:p>
    <w:p>
      <w:pPr>
        <w:pStyle w:val="11"/>
        <w:ind w:firstLine="0" w:firstLineChars="0"/>
        <w:rPr>
          <w:rFonts w:ascii="宋体" w:hAnsi="宋体" w:eastAsia="宋体" w:cs="宋体"/>
          <w:b/>
          <w:sz w:val="24"/>
          <w:szCs w:val="24"/>
        </w:rPr>
      </w:pPr>
      <w:r>
        <w:rPr>
          <w:rFonts w:hint="eastAsia" w:ascii="宋体" w:hAnsi="宋体" w:eastAsia="宋体" w:cs="宋体"/>
          <w:b/>
          <w:sz w:val="24"/>
          <w:szCs w:val="24"/>
        </w:rPr>
        <w:t>4.3.4 项目常态到位、技化运营</w:t>
      </w:r>
    </w:p>
    <w:p>
      <w:pPr>
        <w:pStyle w:val="11"/>
        <w:ind w:firstLine="0" w:firstLineChars="0"/>
        <w:rPr>
          <w:rFonts w:ascii="宋体" w:hAnsi="宋体" w:eastAsia="宋体" w:cs="宋体"/>
          <w:b/>
          <w:sz w:val="24"/>
          <w:szCs w:val="24"/>
        </w:rPr>
      </w:pPr>
    </w:p>
    <w:p>
      <w:pPr>
        <w:pStyle w:val="11"/>
        <w:ind w:firstLine="482"/>
        <w:rPr>
          <w:rFonts w:ascii="宋体" w:hAnsi="宋体" w:eastAsia="宋体" w:cs="宋体"/>
          <w:b/>
          <w:sz w:val="24"/>
          <w:szCs w:val="24"/>
        </w:rPr>
      </w:pPr>
      <w:r>
        <w:rPr>
          <w:rFonts w:hint="eastAsia" w:ascii="宋体" w:hAnsi="宋体" w:eastAsia="宋体" w:cs="宋体"/>
          <w:b/>
          <w:sz w:val="24"/>
          <w:szCs w:val="24"/>
        </w:rPr>
        <w:t>组织保证方案</w:t>
      </w:r>
    </w:p>
    <w:p>
      <w:pPr>
        <w:pStyle w:val="11"/>
        <w:ind w:firstLine="480"/>
        <w:rPr>
          <w:rFonts w:ascii="宋体" w:hAnsi="宋体" w:eastAsia="宋体" w:cs="宋体"/>
          <w:sz w:val="24"/>
          <w:szCs w:val="24"/>
        </w:rPr>
      </w:pPr>
      <w:r>
        <w:rPr>
          <w:rFonts w:hint="eastAsia" w:ascii="宋体" w:hAnsi="宋体" w:eastAsia="宋体" w:cs="宋体"/>
          <w:sz w:val="24"/>
          <w:szCs w:val="24"/>
        </w:rPr>
        <w:t>许昌市分公司已成立河南省许昌市中级人民法院“执行救助保险”项目领导小组，作为本项目的综合指导与协调机构，统一规划、组织、协调执行救助保险推进工作，针对业务发展过程中出现的问题，制定协调、解决方案，落实保险各项服务承诺，由市分公司负责人于海鹏任组长的领导小组，责任保险部、信息技术部、财务会计部、等部门负责人为成员。</w:t>
      </w:r>
    </w:p>
    <w:p>
      <w:pPr>
        <w:pStyle w:val="11"/>
        <w:ind w:firstLine="482"/>
        <w:rPr>
          <w:rFonts w:ascii="宋体" w:hAnsi="宋体" w:eastAsia="宋体" w:cs="宋体"/>
          <w:b/>
          <w:sz w:val="24"/>
          <w:szCs w:val="24"/>
        </w:rPr>
      </w:pPr>
      <w:r>
        <w:rPr>
          <w:rFonts w:hint="eastAsia" w:ascii="宋体" w:hAnsi="宋体" w:eastAsia="宋体" w:cs="宋体"/>
          <w:b/>
          <w:sz w:val="24"/>
          <w:szCs w:val="24"/>
        </w:rPr>
        <w:t>人员培训方案</w:t>
      </w:r>
    </w:p>
    <w:p>
      <w:pPr>
        <w:pStyle w:val="11"/>
        <w:ind w:firstLine="480"/>
        <w:rPr>
          <w:rFonts w:ascii="宋体" w:hAnsi="宋体" w:eastAsia="宋体" w:cs="宋体"/>
          <w:sz w:val="24"/>
          <w:szCs w:val="24"/>
        </w:rPr>
      </w:pPr>
      <w:r>
        <w:rPr>
          <w:rFonts w:hint="eastAsia" w:ascii="宋体" w:hAnsi="宋体" w:eastAsia="宋体" w:cs="宋体"/>
          <w:sz w:val="24"/>
          <w:szCs w:val="24"/>
        </w:rPr>
        <w:t>如若中标，我公司将邀请人保系统内法律领域专家以及政府相关领域专家作为讲师，利用半个月的时间，组织中标区域所有员工进行执行救助保险服务专项业务知识培训和考试。并根据项目推进和实施需要，不断充实人员力量，持续开展技能提升培训。以便业务经办人员迅速掌握社保业务相关知识。</w:t>
      </w:r>
    </w:p>
    <w:p>
      <w:pPr>
        <w:pStyle w:val="11"/>
        <w:ind w:firstLine="480"/>
        <w:rPr>
          <w:rFonts w:ascii="宋体" w:hAnsi="宋体" w:eastAsia="宋体" w:cs="宋体"/>
          <w:sz w:val="24"/>
          <w:szCs w:val="24"/>
        </w:rPr>
      </w:pPr>
    </w:p>
    <w:p>
      <w:pPr>
        <w:pStyle w:val="11"/>
        <w:ind w:firstLine="480"/>
        <w:rPr>
          <w:rFonts w:ascii="宋体" w:hAnsi="宋体" w:eastAsia="宋体" w:cs="宋体"/>
          <w:sz w:val="24"/>
          <w:szCs w:val="24"/>
        </w:rPr>
      </w:pPr>
    </w:p>
    <w:p>
      <w:pPr>
        <w:autoSpaceDE w:val="0"/>
        <w:autoSpaceDN w:val="0"/>
        <w:adjustRightInd w:val="0"/>
        <w:spacing w:line="360" w:lineRule="auto"/>
        <w:jc w:val="center"/>
        <w:outlineLvl w:val="0"/>
        <w:rPr>
          <w:rFonts w:hint="eastAsia" w:ascii="宋体" w:hAnsi="宋体"/>
          <w:b/>
          <w:bCs/>
          <w:sz w:val="24"/>
          <w:szCs w:val="24"/>
        </w:rPr>
      </w:pPr>
    </w:p>
    <w:p>
      <w:pPr>
        <w:autoSpaceDE w:val="0"/>
        <w:autoSpaceDN w:val="0"/>
        <w:adjustRightInd w:val="0"/>
        <w:spacing w:line="360" w:lineRule="auto"/>
        <w:jc w:val="center"/>
        <w:outlineLvl w:val="0"/>
        <w:rPr>
          <w:rFonts w:hint="eastAsia" w:ascii="宋体" w:hAnsi="宋体"/>
          <w:b/>
          <w:bCs/>
          <w:sz w:val="24"/>
          <w:szCs w:val="24"/>
        </w:rPr>
      </w:pPr>
    </w:p>
    <w:p>
      <w:pPr>
        <w:autoSpaceDE w:val="0"/>
        <w:autoSpaceDN w:val="0"/>
        <w:adjustRightInd w:val="0"/>
        <w:spacing w:line="360" w:lineRule="auto"/>
        <w:jc w:val="center"/>
        <w:outlineLvl w:val="0"/>
        <w:rPr>
          <w:rFonts w:hint="eastAsia" w:ascii="宋体" w:hAnsi="宋体"/>
          <w:b/>
          <w:bCs/>
          <w:sz w:val="24"/>
          <w:szCs w:val="24"/>
        </w:rPr>
      </w:pPr>
    </w:p>
    <w:p>
      <w:pPr>
        <w:autoSpaceDE w:val="0"/>
        <w:autoSpaceDN w:val="0"/>
        <w:adjustRightInd w:val="0"/>
        <w:spacing w:line="360" w:lineRule="auto"/>
        <w:jc w:val="center"/>
        <w:outlineLvl w:val="0"/>
        <w:rPr>
          <w:rFonts w:hint="eastAsia" w:ascii="宋体" w:hAnsi="宋体"/>
          <w:b/>
          <w:bCs/>
          <w:sz w:val="24"/>
          <w:szCs w:val="24"/>
        </w:rPr>
      </w:pPr>
    </w:p>
    <w:p>
      <w:pPr>
        <w:autoSpaceDE w:val="0"/>
        <w:autoSpaceDN w:val="0"/>
        <w:adjustRightInd w:val="0"/>
        <w:spacing w:line="360" w:lineRule="auto"/>
        <w:jc w:val="center"/>
        <w:outlineLvl w:val="0"/>
        <w:rPr>
          <w:rFonts w:hint="eastAsia"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r>
        <w:rPr>
          <w:rFonts w:hint="eastAsia" w:ascii="宋体" w:hAnsi="宋体"/>
          <w:b/>
          <w:bCs/>
          <w:sz w:val="24"/>
          <w:szCs w:val="24"/>
        </w:rPr>
        <w:t>4.5 售后服务方案</w:t>
      </w: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outlineLvl w:val="0"/>
        <w:rPr>
          <w:rFonts w:ascii="宋体" w:hAnsi="宋体" w:eastAsia="宋体" w:cs="宋体"/>
          <w:b/>
          <w:sz w:val="24"/>
          <w:szCs w:val="24"/>
        </w:rPr>
      </w:pPr>
      <w:r>
        <w:rPr>
          <w:rFonts w:hint="eastAsia" w:ascii="宋体" w:hAnsi="宋体" w:eastAsia="宋体" w:cs="宋体"/>
          <w:b/>
          <w:sz w:val="24"/>
          <w:szCs w:val="24"/>
        </w:rPr>
        <w:t>4.5.1 承保售后服务</w:t>
      </w:r>
    </w:p>
    <w:p>
      <w:pPr>
        <w:pStyle w:val="3"/>
        <w:spacing w:line="360" w:lineRule="auto"/>
        <w:rPr>
          <w:rFonts w:ascii="宋体" w:hAnsi="宋体" w:cs="Arial" w:eastAsiaTheme="minorEastAsia"/>
          <w:kern w:val="0"/>
          <w:szCs w:val="21"/>
          <w:lang w:val="zh-CN"/>
        </w:rPr>
      </w:pPr>
      <w:r>
        <w:rPr>
          <w:rFonts w:hint="eastAsia" w:ascii="宋体" w:hAnsi="宋体" w:cs="Arial" w:eastAsiaTheme="minorEastAsia"/>
          <w:kern w:val="0"/>
          <w:sz w:val="24"/>
          <w:szCs w:val="24"/>
          <w:lang w:val="zh-CN"/>
        </w:rPr>
        <w:t>中国人保财险作为国内规模和市场份额第一的财产保险公司，拥有业内领先的技术人才资源和重大项目承保理赔服务经验，拥有遍及全国的机构和服务网点，可以完全覆盖本项目所在地址。为确保本项目的各项保险服务确实履行，保证各项服务的质量，我公司将本着“客户需要的保险需求为中心，以竭诚为本项目提供全面、优质和便捷的保险服务为核心”的指导原则，为贵单位提供及时、便捷的保险服务。</w:t>
      </w:r>
    </w:p>
    <w:p>
      <w:pPr>
        <w:autoSpaceDE w:val="0"/>
        <w:autoSpaceDN w:val="0"/>
        <w:adjustRightInd w:val="0"/>
        <w:spacing w:line="360" w:lineRule="auto"/>
        <w:outlineLvl w:val="0"/>
        <w:rPr>
          <w:rFonts w:ascii="宋体" w:hAnsi="宋体" w:eastAsia="宋体" w:cs="宋体"/>
          <w:b/>
          <w:sz w:val="24"/>
          <w:szCs w:val="24"/>
        </w:rPr>
      </w:pPr>
      <w:r>
        <w:rPr>
          <w:rFonts w:hint="eastAsia" w:ascii="宋体" w:hAnsi="宋体" w:eastAsia="宋体" w:cs="宋体"/>
          <w:b/>
          <w:sz w:val="24"/>
          <w:szCs w:val="24"/>
        </w:rPr>
        <w:t>承保服务的承诺</w:t>
      </w:r>
    </w:p>
    <w:p>
      <w:pPr>
        <w:spacing w:line="360" w:lineRule="auto"/>
        <w:ind w:firstLine="420"/>
        <w:rPr>
          <w:rFonts w:ascii="宋体" w:hAnsi="宋体" w:cs="Arial"/>
          <w:kern w:val="0"/>
          <w:sz w:val="24"/>
          <w:szCs w:val="24"/>
          <w:lang w:val="zh-CN"/>
        </w:rPr>
      </w:pPr>
      <w:r>
        <w:rPr>
          <w:rFonts w:hint="eastAsia" w:ascii="宋体" w:hAnsi="宋体" w:cs="Arial"/>
          <w:kern w:val="0"/>
          <w:sz w:val="24"/>
          <w:szCs w:val="24"/>
          <w:lang w:val="zh-CN"/>
        </w:rPr>
        <w:t>我司根据投保单位承保情况，按照双方达成的承保协议，与贵单位协商确定具体承保事宜，提前获取承保时所需提供的资料，并认真做好保险档案维护、管理工作。</w:t>
      </w:r>
    </w:p>
    <w:p>
      <w:pPr>
        <w:autoSpaceDE w:val="0"/>
        <w:autoSpaceDN w:val="0"/>
        <w:adjustRightInd w:val="0"/>
        <w:spacing w:line="360" w:lineRule="auto"/>
        <w:outlineLvl w:val="0"/>
        <w:rPr>
          <w:rFonts w:ascii="宋体" w:hAnsi="宋体" w:eastAsia="宋体" w:cs="宋体"/>
          <w:b/>
          <w:sz w:val="24"/>
          <w:szCs w:val="24"/>
        </w:rPr>
      </w:pPr>
      <w:r>
        <w:rPr>
          <w:rFonts w:hint="eastAsia" w:ascii="宋体" w:hAnsi="宋体" w:eastAsia="宋体" w:cs="宋体"/>
          <w:b/>
          <w:sz w:val="24"/>
          <w:szCs w:val="24"/>
        </w:rPr>
        <w:t>回访工作</w:t>
      </w:r>
    </w:p>
    <w:p>
      <w:pPr>
        <w:spacing w:line="360" w:lineRule="auto"/>
        <w:ind w:firstLine="420"/>
        <w:rPr>
          <w:rFonts w:ascii="宋体" w:hAnsi="宋体" w:cs="Arial"/>
          <w:kern w:val="0"/>
          <w:szCs w:val="21"/>
          <w:lang w:val="zh-CN"/>
        </w:rPr>
      </w:pPr>
      <w:r>
        <w:rPr>
          <w:rFonts w:hint="eastAsia" w:ascii="宋体" w:hAnsi="宋体" w:cs="Arial"/>
          <w:kern w:val="0"/>
          <w:sz w:val="24"/>
          <w:szCs w:val="24"/>
          <w:lang w:val="zh-CN"/>
        </w:rPr>
        <w:t>我司积极做好承保上门回访工作，建立承保信息跟踪卡，对被保险标的建立用户档案，开展跟踪服务。经常了解</w:t>
      </w:r>
      <w:r>
        <w:rPr>
          <w:rFonts w:hint="eastAsia" w:ascii="宋体" w:hAnsi="宋体" w:cs="Arial"/>
          <w:kern w:val="0"/>
          <w:sz w:val="24"/>
          <w:szCs w:val="24"/>
        </w:rPr>
        <w:t>河南省许昌市中级</w:t>
      </w:r>
      <w:r>
        <w:rPr>
          <w:rFonts w:hint="eastAsia" w:ascii="宋体" w:hAnsi="宋体" w:cs="Arial"/>
          <w:kern w:val="0"/>
          <w:sz w:val="24"/>
          <w:szCs w:val="24"/>
          <w:lang w:val="zh-CN"/>
        </w:rPr>
        <w:t>人民法院对保险服务的需求，加强沟通，积极改进工作中存在的问题，不断提高承保服务质量，防止脱保、漏保，不致投保人遭受损失。</w:t>
      </w:r>
    </w:p>
    <w:p>
      <w:pPr>
        <w:autoSpaceDE w:val="0"/>
        <w:autoSpaceDN w:val="0"/>
        <w:adjustRightInd w:val="0"/>
        <w:spacing w:line="360" w:lineRule="auto"/>
        <w:outlineLvl w:val="0"/>
        <w:rPr>
          <w:rFonts w:ascii="宋体" w:hAnsi="宋体" w:eastAsia="宋体" w:cs="宋体"/>
          <w:b/>
          <w:sz w:val="24"/>
          <w:szCs w:val="24"/>
        </w:rPr>
      </w:pPr>
      <w:r>
        <w:rPr>
          <w:rFonts w:hint="eastAsia" w:ascii="宋体" w:hAnsi="宋体" w:eastAsia="宋体" w:cs="宋体"/>
          <w:b/>
          <w:sz w:val="24"/>
          <w:szCs w:val="24"/>
        </w:rPr>
        <w:t>全天候服务</w:t>
      </w:r>
    </w:p>
    <w:p>
      <w:pPr>
        <w:spacing w:line="360" w:lineRule="auto"/>
        <w:ind w:firstLine="420"/>
        <w:rPr>
          <w:rFonts w:ascii="宋体" w:hAnsi="宋体" w:cs="Arial"/>
          <w:kern w:val="0"/>
          <w:szCs w:val="21"/>
        </w:rPr>
      </w:pPr>
      <w:r>
        <w:rPr>
          <w:rFonts w:hint="eastAsia" w:ascii="宋体" w:hAnsi="宋体" w:cs="Arial"/>
          <w:kern w:val="0"/>
          <w:sz w:val="24"/>
          <w:szCs w:val="24"/>
        </w:rPr>
        <w:t>我司为客户提供365天×24小时无间断预约、咨询、报案、投诉等全方位的快速便捷服务，并指定专人受理投保业务，确定出险报案业务员，设有24小时全天候报案服务电话，专人受理理赔报案等以提升保险服务质量，保证被保险人获得优先服务的权利。</w:t>
      </w:r>
    </w:p>
    <w:p>
      <w:pPr>
        <w:autoSpaceDE w:val="0"/>
        <w:autoSpaceDN w:val="0"/>
        <w:adjustRightInd w:val="0"/>
        <w:spacing w:line="360" w:lineRule="auto"/>
        <w:outlineLvl w:val="0"/>
        <w:rPr>
          <w:rFonts w:ascii="宋体" w:hAnsi="宋体" w:eastAsia="宋体" w:cs="宋体"/>
          <w:b/>
          <w:sz w:val="24"/>
          <w:szCs w:val="24"/>
        </w:rPr>
      </w:pPr>
      <w:r>
        <w:rPr>
          <w:rFonts w:hint="eastAsia" w:ascii="宋体" w:hAnsi="宋体" w:eastAsia="宋体" w:cs="宋体"/>
          <w:b/>
          <w:sz w:val="24"/>
          <w:szCs w:val="24"/>
        </w:rPr>
        <w:t>培训服务</w:t>
      </w:r>
    </w:p>
    <w:p>
      <w:pPr>
        <w:spacing w:line="360" w:lineRule="auto"/>
        <w:ind w:firstLine="420"/>
        <w:rPr>
          <w:rFonts w:ascii="宋体" w:hAnsi="宋体" w:cs="Arial"/>
          <w:kern w:val="0"/>
          <w:sz w:val="24"/>
          <w:szCs w:val="24"/>
        </w:rPr>
      </w:pPr>
      <w:r>
        <w:rPr>
          <w:rFonts w:hint="eastAsia" w:ascii="宋体" w:hAnsi="宋体" w:cs="Arial"/>
          <w:kern w:val="0"/>
          <w:sz w:val="24"/>
          <w:szCs w:val="24"/>
        </w:rPr>
        <w:t>我公司从经营以来一直坚持“做人民满意的保险公司”，为确保品牌服务质量，我公司将聘请相关专家为贵单位提供保险知识、法律知识、保险理赔等培训和交流，培训费用由我公司承担。</w:t>
      </w:r>
    </w:p>
    <w:p>
      <w:pPr>
        <w:spacing w:line="360" w:lineRule="auto"/>
        <w:ind w:firstLine="420"/>
        <w:rPr>
          <w:rFonts w:ascii="宋体" w:hAnsi="宋体"/>
          <w:b/>
          <w:bCs/>
          <w:sz w:val="24"/>
          <w:szCs w:val="24"/>
        </w:rPr>
      </w:pPr>
    </w:p>
    <w:p>
      <w:pPr>
        <w:autoSpaceDE w:val="0"/>
        <w:autoSpaceDN w:val="0"/>
        <w:adjustRightInd w:val="0"/>
        <w:spacing w:line="360" w:lineRule="auto"/>
        <w:outlineLvl w:val="0"/>
        <w:rPr>
          <w:rFonts w:ascii="宋体" w:hAnsi="宋体"/>
          <w:b/>
          <w:bCs/>
          <w:sz w:val="24"/>
          <w:szCs w:val="24"/>
        </w:rPr>
      </w:pPr>
    </w:p>
    <w:p>
      <w:pPr>
        <w:autoSpaceDE w:val="0"/>
        <w:autoSpaceDN w:val="0"/>
        <w:adjustRightInd w:val="0"/>
        <w:spacing w:line="360" w:lineRule="auto"/>
        <w:outlineLvl w:val="0"/>
        <w:rPr>
          <w:rFonts w:ascii="宋体" w:hAnsi="宋体"/>
          <w:b/>
          <w:bCs/>
          <w:sz w:val="24"/>
          <w:szCs w:val="24"/>
        </w:rPr>
      </w:pPr>
      <w:r>
        <w:rPr>
          <w:rFonts w:hint="eastAsia" w:ascii="宋体" w:hAnsi="宋体" w:eastAsia="宋体" w:cs="宋体"/>
          <w:b/>
          <w:sz w:val="24"/>
          <w:szCs w:val="24"/>
        </w:rPr>
        <w:t>4.5.2 理赔服务</w:t>
      </w:r>
    </w:p>
    <w:p>
      <w:pPr>
        <w:spacing w:line="360" w:lineRule="auto"/>
        <w:ind w:firstLine="420"/>
        <w:rPr>
          <w:rFonts w:ascii="宋体" w:hAnsi="宋体" w:cs="Arial"/>
          <w:kern w:val="0"/>
          <w:sz w:val="24"/>
          <w:szCs w:val="24"/>
        </w:rPr>
      </w:pPr>
      <w:r>
        <w:rPr>
          <w:rFonts w:hint="eastAsia" w:ascii="宋体" w:hAnsi="宋体" w:cs="Arial"/>
          <w:kern w:val="0"/>
          <w:sz w:val="24"/>
          <w:szCs w:val="24"/>
        </w:rPr>
        <w:t>我公司在处理赔案过程中将严格按照“主动、迅速、准确、合理”的理赔原则，在不违反法律和保险条款的前提下，尽可能满足客户的所有要求，公正地处理索赔事宜。</w:t>
      </w:r>
    </w:p>
    <w:p>
      <w:pPr>
        <w:pStyle w:val="11"/>
        <w:ind w:firstLine="0" w:firstLineChars="0"/>
        <w:rPr>
          <w:rFonts w:ascii="宋体" w:hAnsi="宋体" w:eastAsia="宋体" w:cs="宋体"/>
          <w:b/>
          <w:sz w:val="24"/>
          <w:szCs w:val="24"/>
        </w:rPr>
      </w:pPr>
      <w:r>
        <w:rPr>
          <w:rFonts w:hint="eastAsia" w:ascii="宋体" w:hAnsi="宋体" w:eastAsia="宋体" w:cs="宋体"/>
          <w:b/>
          <w:sz w:val="24"/>
          <w:szCs w:val="24"/>
        </w:rPr>
        <w:t>出险报案</w:t>
      </w:r>
    </w:p>
    <w:p>
      <w:pPr>
        <w:spacing w:line="360" w:lineRule="auto"/>
        <w:ind w:firstLine="420"/>
        <w:rPr>
          <w:rFonts w:ascii="宋体" w:hAnsi="宋体" w:cs="Arial"/>
          <w:kern w:val="0"/>
          <w:sz w:val="24"/>
          <w:szCs w:val="24"/>
        </w:rPr>
      </w:pPr>
      <w:r>
        <w:rPr>
          <w:rFonts w:hint="eastAsia" w:ascii="宋体" w:hAnsi="宋体" w:cs="Arial"/>
          <w:kern w:val="0"/>
          <w:sz w:val="24"/>
          <w:szCs w:val="24"/>
        </w:rPr>
        <w:t>我司派专人进驻贵单位进行相应的业务咨询与理赔服务工作，相关理赔案件可由我司工作人员直接进行理赔报案，同时协助理赔部门尽快对案件进行理赔，帮助进行救助赔偿。</w:t>
      </w:r>
    </w:p>
    <w:p>
      <w:pPr>
        <w:spacing w:line="360" w:lineRule="auto"/>
        <w:ind w:firstLine="420"/>
        <w:rPr>
          <w:rFonts w:hint="eastAsia" w:ascii="宋体" w:hAnsi="宋体" w:cs="Arial"/>
          <w:kern w:val="0"/>
          <w:sz w:val="24"/>
          <w:szCs w:val="24"/>
        </w:rPr>
      </w:pPr>
      <w:r>
        <w:rPr>
          <w:rFonts w:hint="eastAsia" w:ascii="宋体" w:hAnsi="宋体" w:cs="Arial"/>
          <w:kern w:val="0"/>
          <w:sz w:val="24"/>
          <w:szCs w:val="24"/>
        </w:rPr>
        <w:t>我公司承诺项目服务小组的两名属地联系人电话作为24小时专项接报案电话，被保险人可拨打理赔服务专员电话获得迅速有效的专属保险服务。</w:t>
      </w:r>
    </w:p>
    <w:p>
      <w:pPr>
        <w:spacing w:line="360" w:lineRule="auto"/>
        <w:ind w:firstLine="420"/>
        <w:rPr>
          <w:rFonts w:hint="eastAsia" w:ascii="宋体" w:hAnsi="宋体" w:cs="Arial"/>
          <w:kern w:val="0"/>
          <w:sz w:val="24"/>
          <w:szCs w:val="24"/>
        </w:rPr>
      </w:pPr>
    </w:p>
    <w:tbl>
      <w:tblPr>
        <w:tblStyle w:val="7"/>
        <w:tblW w:w="5528" w:type="dxa"/>
        <w:tblInd w:w="1384" w:type="dxa"/>
        <w:tblLayout w:type="fixed"/>
        <w:tblCellMar>
          <w:top w:w="0" w:type="dxa"/>
          <w:left w:w="108" w:type="dxa"/>
          <w:bottom w:w="0" w:type="dxa"/>
          <w:right w:w="108" w:type="dxa"/>
        </w:tblCellMar>
      </w:tblPr>
      <w:tblGrid>
        <w:gridCol w:w="2089"/>
        <w:gridCol w:w="3439"/>
      </w:tblGrid>
      <w:tr>
        <w:tblPrEx>
          <w:tblLayout w:type="fixed"/>
          <w:tblCellMar>
            <w:top w:w="0" w:type="dxa"/>
            <w:left w:w="108" w:type="dxa"/>
            <w:bottom w:w="0" w:type="dxa"/>
            <w:right w:w="108" w:type="dxa"/>
          </w:tblCellMar>
        </w:tblPrEx>
        <w:trPr>
          <w:trHeight w:val="304" w:hRule="atLeast"/>
        </w:trPr>
        <w:tc>
          <w:tcPr>
            <w:tcW w:w="208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联系人</w:t>
            </w:r>
          </w:p>
        </w:tc>
        <w:tc>
          <w:tcPr>
            <w:tcW w:w="3439"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联系方式</w:t>
            </w:r>
          </w:p>
        </w:tc>
      </w:tr>
      <w:tr>
        <w:tblPrEx>
          <w:tblLayout w:type="fixed"/>
          <w:tblCellMar>
            <w:top w:w="0" w:type="dxa"/>
            <w:left w:w="108" w:type="dxa"/>
            <w:bottom w:w="0" w:type="dxa"/>
            <w:right w:w="108" w:type="dxa"/>
          </w:tblCellMar>
        </w:tblPrEx>
        <w:trPr>
          <w:trHeight w:val="304" w:hRule="atLeast"/>
        </w:trPr>
        <w:tc>
          <w:tcPr>
            <w:tcW w:w="208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李志华</w:t>
            </w:r>
          </w:p>
        </w:tc>
        <w:tc>
          <w:tcPr>
            <w:tcW w:w="34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13937469469</w:t>
            </w:r>
          </w:p>
        </w:tc>
      </w:tr>
      <w:tr>
        <w:tblPrEx>
          <w:tblLayout w:type="fixed"/>
          <w:tblCellMar>
            <w:top w:w="0" w:type="dxa"/>
            <w:left w:w="108" w:type="dxa"/>
            <w:bottom w:w="0" w:type="dxa"/>
            <w:right w:w="108" w:type="dxa"/>
          </w:tblCellMar>
        </w:tblPrEx>
        <w:trPr>
          <w:trHeight w:val="304" w:hRule="atLeast"/>
        </w:trPr>
        <w:tc>
          <w:tcPr>
            <w:tcW w:w="208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雷晓龙</w:t>
            </w:r>
          </w:p>
        </w:tc>
        <w:tc>
          <w:tcPr>
            <w:tcW w:w="343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15037455360</w:t>
            </w:r>
          </w:p>
        </w:tc>
      </w:tr>
    </w:tbl>
    <w:p>
      <w:pPr>
        <w:spacing w:line="360" w:lineRule="auto"/>
        <w:ind w:firstLine="420"/>
        <w:rPr>
          <w:rFonts w:ascii="宋体" w:hAnsi="宋体" w:cs="Arial"/>
          <w:kern w:val="0"/>
          <w:sz w:val="24"/>
          <w:szCs w:val="24"/>
        </w:rPr>
      </w:pPr>
    </w:p>
    <w:p>
      <w:pPr>
        <w:pStyle w:val="11"/>
        <w:ind w:firstLine="0" w:firstLineChars="0"/>
        <w:rPr>
          <w:rFonts w:ascii="宋体" w:hAnsi="宋体" w:eastAsia="宋体" w:cs="宋体"/>
          <w:b/>
          <w:sz w:val="24"/>
          <w:szCs w:val="24"/>
        </w:rPr>
      </w:pPr>
      <w:r>
        <w:rPr>
          <w:rFonts w:hint="eastAsia" w:ascii="宋体" w:hAnsi="宋体" w:eastAsia="宋体" w:cs="宋体"/>
          <w:b/>
          <w:sz w:val="24"/>
          <w:szCs w:val="24"/>
        </w:rPr>
        <w:t>理赔单证要求</w:t>
      </w:r>
    </w:p>
    <w:p>
      <w:pPr>
        <w:spacing w:line="360" w:lineRule="auto"/>
        <w:ind w:firstLine="420"/>
        <w:rPr>
          <w:rFonts w:ascii="宋体" w:hAnsi="宋体" w:cs="Arial"/>
          <w:kern w:val="0"/>
          <w:sz w:val="24"/>
          <w:szCs w:val="24"/>
        </w:rPr>
      </w:pPr>
      <w:r>
        <w:rPr>
          <w:rFonts w:hint="eastAsia" w:ascii="宋体" w:hAnsi="宋体" w:cs="Arial"/>
          <w:kern w:val="0"/>
          <w:sz w:val="24"/>
          <w:szCs w:val="24"/>
          <w:lang w:val="zh-CN"/>
        </w:rPr>
        <w:t>在被保险人准备有关索赔资料的过程中，我公司可由进驻人员协助收集整理相关单证。</w:t>
      </w:r>
    </w:p>
    <w:p>
      <w:pPr>
        <w:spacing w:line="360" w:lineRule="auto"/>
        <w:ind w:firstLine="420"/>
        <w:rPr>
          <w:rFonts w:ascii="宋体" w:hAnsi="宋体" w:cs="Arial"/>
          <w:kern w:val="0"/>
          <w:sz w:val="24"/>
          <w:szCs w:val="24"/>
        </w:rPr>
      </w:pPr>
      <w:r>
        <w:rPr>
          <w:rFonts w:hint="eastAsia" w:ascii="宋体" w:hAnsi="宋体" w:cs="Arial"/>
          <w:kern w:val="0"/>
          <w:sz w:val="24"/>
          <w:szCs w:val="24"/>
        </w:rPr>
        <w:t>我公司为本项目制定了专门的理赔服务方案，以符合和便利被保险人的索赔需要。根据贵单位实际，我公司本年度按照以下标准清单准备索赔资料：</w:t>
      </w:r>
    </w:p>
    <w:p>
      <w:pPr>
        <w:spacing w:line="360" w:lineRule="auto"/>
        <w:ind w:firstLine="420"/>
        <w:rPr>
          <w:rFonts w:ascii="宋体" w:hAnsi="宋体" w:cs="Arial"/>
          <w:kern w:val="0"/>
          <w:sz w:val="24"/>
          <w:szCs w:val="24"/>
        </w:rPr>
      </w:pPr>
    </w:p>
    <w:tbl>
      <w:tblPr>
        <w:tblStyle w:val="7"/>
        <w:tblW w:w="9345" w:type="dxa"/>
        <w:tblInd w:w="0" w:type="dxa"/>
        <w:tblLayout w:type="fixed"/>
        <w:tblCellMar>
          <w:top w:w="0" w:type="dxa"/>
          <w:left w:w="108" w:type="dxa"/>
          <w:bottom w:w="0" w:type="dxa"/>
          <w:right w:w="108" w:type="dxa"/>
        </w:tblCellMar>
      </w:tblPr>
      <w:tblGrid>
        <w:gridCol w:w="753"/>
        <w:gridCol w:w="8592"/>
      </w:tblGrid>
      <w:tr>
        <w:tblPrEx>
          <w:tblLayout w:type="fixed"/>
          <w:tblCellMar>
            <w:top w:w="0" w:type="dxa"/>
            <w:left w:w="108" w:type="dxa"/>
            <w:bottom w:w="0" w:type="dxa"/>
            <w:right w:w="108" w:type="dxa"/>
          </w:tblCellMar>
        </w:tblPrEx>
        <w:trPr>
          <w:trHeight w:val="779" w:hRule="atLeast"/>
        </w:trPr>
        <w:tc>
          <w:tcPr>
            <w:tcW w:w="753" w:type="dxa"/>
            <w:tcBorders>
              <w:top w:val="single" w:color="4F81BD" w:sz="8" w:space="0"/>
              <w:left w:val="single" w:color="4F81BD" w:sz="8" w:space="0"/>
              <w:bottom w:val="single" w:color="4F81BD" w:sz="8" w:space="0"/>
              <w:right w:val="single" w:color="4F81BD" w:sz="8" w:space="0"/>
            </w:tcBorders>
            <w:shd w:val="clear" w:color="auto" w:fill="D3DFEE"/>
            <w:noWrap/>
            <w:vAlign w:val="center"/>
          </w:tcPr>
          <w:p>
            <w:pPr>
              <w:spacing w:line="360" w:lineRule="auto"/>
              <w:ind w:firstLine="420"/>
              <w:jc w:val="center"/>
              <w:rPr>
                <w:rFonts w:ascii="华文细黑" w:hAnsi="华文细黑" w:eastAsia="华文细黑" w:cs="华文细黑"/>
                <w:kern w:val="1"/>
                <w:sz w:val="22"/>
              </w:rPr>
            </w:pPr>
            <w:r>
              <w:rPr>
                <w:rFonts w:ascii="华文细黑" w:hAnsi="华文细黑" w:eastAsia="华文细黑" w:cs="华文细黑"/>
                <w:kern w:val="1"/>
                <w:sz w:val="22"/>
              </w:rPr>
              <w:t>1</w:t>
            </w:r>
          </w:p>
        </w:tc>
        <w:tc>
          <w:tcPr>
            <w:tcW w:w="8592" w:type="dxa"/>
            <w:tcBorders>
              <w:top w:val="single" w:color="4F81BD" w:sz="8" w:space="0"/>
              <w:left w:val="single" w:color="4F81BD" w:sz="8" w:space="0"/>
              <w:bottom w:val="single" w:color="4F81BD" w:sz="8" w:space="0"/>
              <w:right w:val="single" w:color="4F81BD" w:sz="8" w:space="0"/>
            </w:tcBorders>
            <w:shd w:val="clear" w:color="auto" w:fill="D3DFEE"/>
            <w:noWrap/>
            <w:vAlign w:val="center"/>
          </w:tcPr>
          <w:p>
            <w:pPr>
              <w:spacing w:line="360" w:lineRule="auto"/>
              <w:ind w:right="-286"/>
              <w:rPr>
                <w:rFonts w:ascii="华文细黑" w:hAnsi="华文细黑" w:eastAsia="华文细黑" w:cs="华文细黑"/>
                <w:b/>
                <w:kern w:val="1"/>
                <w:sz w:val="22"/>
              </w:rPr>
            </w:pPr>
            <w:r>
              <w:rPr>
                <w:rFonts w:hint="eastAsia" w:ascii="华文细黑" w:hAnsi="华文细黑" w:eastAsia="华文细黑" w:cs="华文细黑"/>
                <w:kern w:val="1"/>
                <w:sz w:val="22"/>
              </w:rPr>
              <w:t>执行救助申请书</w:t>
            </w:r>
          </w:p>
        </w:tc>
      </w:tr>
      <w:tr>
        <w:tblPrEx>
          <w:tblLayout w:type="fixed"/>
          <w:tblCellMar>
            <w:top w:w="0" w:type="dxa"/>
            <w:left w:w="108" w:type="dxa"/>
            <w:bottom w:w="0" w:type="dxa"/>
            <w:right w:w="108" w:type="dxa"/>
          </w:tblCellMar>
        </w:tblPrEx>
        <w:trPr>
          <w:trHeight w:val="779" w:hRule="atLeast"/>
        </w:trPr>
        <w:tc>
          <w:tcPr>
            <w:tcW w:w="753" w:type="dxa"/>
            <w:tcBorders>
              <w:top w:val="single" w:color="4F81BD" w:sz="8" w:space="0"/>
              <w:left w:val="single" w:color="4F81BD" w:sz="8" w:space="0"/>
              <w:bottom w:val="single" w:color="4F81BD" w:sz="8" w:space="0"/>
              <w:right w:val="single" w:color="4F81BD" w:sz="8" w:space="0"/>
            </w:tcBorders>
            <w:shd w:val="clear" w:color="auto" w:fill="D3DFEE"/>
            <w:noWrap/>
            <w:vAlign w:val="center"/>
          </w:tcPr>
          <w:p>
            <w:pPr>
              <w:spacing w:line="360" w:lineRule="auto"/>
              <w:ind w:firstLine="420"/>
              <w:jc w:val="center"/>
              <w:rPr>
                <w:rFonts w:ascii="华文细黑" w:hAnsi="华文细黑" w:eastAsia="华文细黑" w:cs="华文细黑"/>
                <w:kern w:val="1"/>
                <w:sz w:val="22"/>
              </w:rPr>
            </w:pPr>
            <w:r>
              <w:rPr>
                <w:rFonts w:ascii="华文细黑" w:hAnsi="华文细黑" w:eastAsia="华文细黑" w:cs="华文细黑"/>
                <w:kern w:val="1"/>
                <w:sz w:val="22"/>
              </w:rPr>
              <w:t>2</w:t>
            </w:r>
          </w:p>
        </w:tc>
        <w:tc>
          <w:tcPr>
            <w:tcW w:w="8592" w:type="dxa"/>
            <w:tcBorders>
              <w:top w:val="single" w:color="4F81BD" w:sz="8" w:space="0"/>
              <w:left w:val="single" w:color="4F81BD" w:sz="8" w:space="0"/>
              <w:bottom w:val="single" w:color="4F81BD" w:sz="8" w:space="0"/>
              <w:right w:val="single" w:color="4F81BD" w:sz="8" w:space="0"/>
            </w:tcBorders>
            <w:shd w:val="clear" w:color="auto" w:fill="D3DFEE"/>
            <w:noWrap/>
            <w:vAlign w:val="center"/>
          </w:tcPr>
          <w:p>
            <w:pPr>
              <w:spacing w:line="360" w:lineRule="auto"/>
              <w:ind w:right="-286"/>
              <w:rPr>
                <w:rFonts w:ascii="华文细黑" w:hAnsi="华文细黑" w:eastAsia="华文细黑" w:cs="华文细黑"/>
                <w:kern w:val="1"/>
                <w:sz w:val="22"/>
              </w:rPr>
            </w:pPr>
            <w:r>
              <w:rPr>
                <w:rFonts w:hint="eastAsia" w:ascii="华文细黑" w:hAnsi="华文细黑" w:eastAsia="华文细黑" w:cs="华文细黑"/>
                <w:kern w:val="1"/>
                <w:sz w:val="22"/>
              </w:rPr>
              <w:t>终止或终结执行的裁定书</w:t>
            </w:r>
          </w:p>
        </w:tc>
      </w:tr>
      <w:tr>
        <w:tblPrEx>
          <w:tblLayout w:type="fixed"/>
          <w:tblCellMar>
            <w:top w:w="0" w:type="dxa"/>
            <w:left w:w="108" w:type="dxa"/>
            <w:bottom w:w="0" w:type="dxa"/>
            <w:right w:w="108" w:type="dxa"/>
          </w:tblCellMar>
        </w:tblPrEx>
        <w:trPr>
          <w:trHeight w:val="779" w:hRule="atLeast"/>
        </w:trPr>
        <w:tc>
          <w:tcPr>
            <w:tcW w:w="753" w:type="dxa"/>
            <w:tcBorders>
              <w:top w:val="single" w:color="4F81BD" w:sz="8" w:space="0"/>
              <w:left w:val="single" w:color="4F81BD" w:sz="8" w:space="0"/>
              <w:bottom w:val="single" w:color="4F81BD" w:sz="8" w:space="0"/>
              <w:right w:val="single" w:color="4F81BD" w:sz="8" w:space="0"/>
            </w:tcBorders>
            <w:shd w:val="clear" w:color="auto" w:fill="D3DFEE"/>
            <w:noWrap/>
            <w:vAlign w:val="center"/>
          </w:tcPr>
          <w:p>
            <w:pPr>
              <w:spacing w:line="360" w:lineRule="auto"/>
              <w:ind w:firstLine="420"/>
              <w:jc w:val="center"/>
              <w:rPr>
                <w:rFonts w:ascii="华文细黑" w:hAnsi="华文细黑" w:eastAsia="华文细黑" w:cs="华文细黑"/>
                <w:kern w:val="1"/>
                <w:sz w:val="22"/>
              </w:rPr>
            </w:pPr>
            <w:r>
              <w:rPr>
                <w:rFonts w:ascii="华文细黑" w:hAnsi="华文细黑" w:eastAsia="华文细黑" w:cs="华文细黑"/>
                <w:kern w:val="1"/>
                <w:sz w:val="22"/>
              </w:rPr>
              <w:t>3</w:t>
            </w:r>
          </w:p>
        </w:tc>
        <w:tc>
          <w:tcPr>
            <w:tcW w:w="8592" w:type="dxa"/>
            <w:tcBorders>
              <w:top w:val="single" w:color="4F81BD" w:sz="8" w:space="0"/>
              <w:left w:val="single" w:color="4F81BD" w:sz="8" w:space="0"/>
              <w:bottom w:val="single" w:color="4F81BD" w:sz="8" w:space="0"/>
              <w:right w:val="single" w:color="4F81BD" w:sz="8" w:space="0"/>
            </w:tcBorders>
            <w:shd w:val="clear" w:color="auto" w:fill="D3DFEE"/>
            <w:noWrap/>
            <w:vAlign w:val="center"/>
          </w:tcPr>
          <w:p>
            <w:pPr>
              <w:spacing w:line="360" w:lineRule="auto"/>
              <w:ind w:right="-286"/>
              <w:rPr>
                <w:rFonts w:ascii="华文细黑" w:hAnsi="华文细黑" w:eastAsia="华文细黑" w:cs="华文细黑"/>
                <w:kern w:val="1"/>
                <w:sz w:val="22"/>
              </w:rPr>
            </w:pPr>
            <w:r>
              <w:rPr>
                <w:rFonts w:hint="eastAsia" w:ascii="华文细黑" w:hAnsi="华文细黑" w:eastAsia="华文细黑" w:cs="华文细黑"/>
                <w:kern w:val="1"/>
                <w:sz w:val="22"/>
              </w:rPr>
              <w:t>同意执行救助的审批意见</w:t>
            </w:r>
          </w:p>
        </w:tc>
      </w:tr>
      <w:tr>
        <w:tblPrEx>
          <w:tblLayout w:type="fixed"/>
          <w:tblCellMar>
            <w:top w:w="0" w:type="dxa"/>
            <w:left w:w="108" w:type="dxa"/>
            <w:bottom w:w="0" w:type="dxa"/>
            <w:right w:w="108" w:type="dxa"/>
          </w:tblCellMar>
        </w:tblPrEx>
        <w:trPr>
          <w:trHeight w:val="779" w:hRule="atLeast"/>
        </w:trPr>
        <w:tc>
          <w:tcPr>
            <w:tcW w:w="753" w:type="dxa"/>
            <w:tcBorders>
              <w:top w:val="single" w:color="4F81BD" w:sz="8" w:space="0"/>
              <w:left w:val="single" w:color="4F81BD" w:sz="8" w:space="0"/>
              <w:bottom w:val="single" w:color="4F81BD" w:sz="8" w:space="0"/>
              <w:right w:val="single" w:color="4F81BD" w:sz="8" w:space="0"/>
            </w:tcBorders>
            <w:shd w:val="clear" w:color="auto" w:fill="D3DFEE"/>
            <w:noWrap/>
            <w:vAlign w:val="center"/>
          </w:tcPr>
          <w:p>
            <w:pPr>
              <w:spacing w:line="360" w:lineRule="auto"/>
              <w:ind w:firstLine="420"/>
              <w:jc w:val="center"/>
              <w:rPr>
                <w:rFonts w:ascii="华文细黑" w:hAnsi="华文细黑" w:eastAsia="华文细黑" w:cs="华文细黑"/>
                <w:kern w:val="1"/>
                <w:sz w:val="22"/>
              </w:rPr>
            </w:pPr>
            <w:r>
              <w:rPr>
                <w:rFonts w:hint="eastAsia" w:ascii="华文细黑" w:hAnsi="华文细黑" w:eastAsia="华文细黑" w:cs="华文细黑"/>
                <w:kern w:val="1"/>
                <w:sz w:val="22"/>
              </w:rPr>
              <w:t>4</w:t>
            </w:r>
          </w:p>
        </w:tc>
        <w:tc>
          <w:tcPr>
            <w:tcW w:w="8592" w:type="dxa"/>
            <w:tcBorders>
              <w:top w:val="single" w:color="4F81BD" w:sz="8" w:space="0"/>
              <w:left w:val="single" w:color="4F81BD" w:sz="8" w:space="0"/>
              <w:bottom w:val="single" w:color="4F81BD" w:sz="8" w:space="0"/>
              <w:right w:val="single" w:color="4F81BD" w:sz="8" w:space="0"/>
            </w:tcBorders>
            <w:shd w:val="clear" w:color="auto" w:fill="D3DFEE"/>
            <w:noWrap/>
            <w:vAlign w:val="center"/>
          </w:tcPr>
          <w:p>
            <w:pPr>
              <w:spacing w:line="360" w:lineRule="auto"/>
              <w:ind w:right="-286"/>
              <w:rPr>
                <w:rFonts w:ascii="华文细黑" w:hAnsi="华文细黑" w:eastAsia="华文细黑" w:cs="华文细黑"/>
                <w:kern w:val="1"/>
                <w:sz w:val="22"/>
              </w:rPr>
            </w:pPr>
            <w:r>
              <w:rPr>
                <w:rFonts w:hint="eastAsia" w:ascii="华文细黑" w:hAnsi="华文细黑" w:eastAsia="华文细黑" w:cs="华文细黑"/>
                <w:kern w:val="1"/>
                <w:sz w:val="22"/>
              </w:rPr>
              <w:t>投保人提供的其他与确认保险事故性质、原因、损失程度等有关的证明和材料</w:t>
            </w:r>
          </w:p>
        </w:tc>
      </w:tr>
      <w:tr>
        <w:tblPrEx>
          <w:tblLayout w:type="fixed"/>
          <w:tblCellMar>
            <w:top w:w="0" w:type="dxa"/>
            <w:left w:w="108" w:type="dxa"/>
            <w:bottom w:w="0" w:type="dxa"/>
            <w:right w:w="108" w:type="dxa"/>
          </w:tblCellMar>
        </w:tblPrEx>
        <w:trPr>
          <w:trHeight w:val="779" w:hRule="atLeast"/>
        </w:trPr>
        <w:tc>
          <w:tcPr>
            <w:tcW w:w="753" w:type="dxa"/>
            <w:tcBorders>
              <w:top w:val="single" w:color="4F81BD" w:sz="8" w:space="0"/>
              <w:left w:val="single" w:color="4F81BD" w:sz="8" w:space="0"/>
              <w:bottom w:val="single" w:color="4F81BD" w:sz="8" w:space="0"/>
              <w:right w:val="single" w:color="4F81BD" w:sz="8" w:space="0"/>
            </w:tcBorders>
            <w:shd w:val="clear" w:color="auto" w:fill="D3DFEE"/>
            <w:noWrap/>
            <w:vAlign w:val="center"/>
          </w:tcPr>
          <w:p>
            <w:pPr>
              <w:spacing w:line="360" w:lineRule="auto"/>
              <w:ind w:firstLine="420"/>
              <w:jc w:val="center"/>
              <w:rPr>
                <w:rFonts w:ascii="华文细黑" w:hAnsi="华文细黑" w:eastAsia="华文细黑" w:cs="华文细黑"/>
                <w:kern w:val="1"/>
                <w:sz w:val="22"/>
              </w:rPr>
            </w:pPr>
            <w:r>
              <w:rPr>
                <w:rFonts w:hint="eastAsia" w:ascii="华文细黑" w:hAnsi="华文细黑" w:eastAsia="华文细黑" w:cs="华文细黑"/>
                <w:kern w:val="1"/>
                <w:sz w:val="22"/>
              </w:rPr>
              <w:t>5</w:t>
            </w:r>
          </w:p>
        </w:tc>
        <w:tc>
          <w:tcPr>
            <w:tcW w:w="8592" w:type="dxa"/>
            <w:tcBorders>
              <w:top w:val="single" w:color="4F81BD" w:sz="8" w:space="0"/>
              <w:left w:val="single" w:color="4F81BD" w:sz="8" w:space="0"/>
              <w:bottom w:val="single" w:color="4F81BD" w:sz="8" w:space="0"/>
              <w:right w:val="single" w:color="4F81BD" w:sz="8" w:space="0"/>
            </w:tcBorders>
            <w:shd w:val="clear" w:color="auto" w:fill="D3DFEE"/>
            <w:noWrap/>
            <w:vAlign w:val="center"/>
          </w:tcPr>
          <w:p>
            <w:pPr>
              <w:spacing w:line="360" w:lineRule="auto"/>
              <w:ind w:right="-286"/>
              <w:rPr>
                <w:rFonts w:ascii="华文细黑" w:hAnsi="华文细黑" w:eastAsia="华文细黑" w:cs="华文细黑"/>
                <w:kern w:val="1"/>
                <w:sz w:val="22"/>
              </w:rPr>
            </w:pPr>
            <w:r>
              <w:rPr>
                <w:rFonts w:hint="eastAsia" w:ascii="华文细黑" w:hAnsi="华文细黑" w:eastAsia="华文细黑" w:cs="华文细黑"/>
                <w:kern w:val="1"/>
                <w:sz w:val="22"/>
              </w:rPr>
              <w:t>救助案件终审判决书</w:t>
            </w:r>
          </w:p>
        </w:tc>
      </w:tr>
      <w:tr>
        <w:tblPrEx>
          <w:tblLayout w:type="fixed"/>
          <w:tblCellMar>
            <w:top w:w="0" w:type="dxa"/>
            <w:left w:w="108" w:type="dxa"/>
            <w:bottom w:w="0" w:type="dxa"/>
            <w:right w:w="108" w:type="dxa"/>
          </w:tblCellMar>
        </w:tblPrEx>
        <w:trPr>
          <w:trHeight w:val="779" w:hRule="atLeast"/>
        </w:trPr>
        <w:tc>
          <w:tcPr>
            <w:tcW w:w="753" w:type="dxa"/>
            <w:tcBorders>
              <w:top w:val="single" w:color="4F81BD" w:sz="8" w:space="0"/>
              <w:left w:val="single" w:color="4F81BD" w:sz="8" w:space="0"/>
              <w:bottom w:val="single" w:color="4F81BD" w:sz="8" w:space="0"/>
              <w:right w:val="single" w:color="4F81BD" w:sz="8" w:space="0"/>
            </w:tcBorders>
            <w:shd w:val="clear" w:color="auto" w:fill="D3DFEE"/>
            <w:noWrap/>
            <w:vAlign w:val="center"/>
          </w:tcPr>
          <w:p>
            <w:pPr>
              <w:spacing w:line="360" w:lineRule="auto"/>
              <w:ind w:firstLine="420"/>
              <w:jc w:val="center"/>
              <w:rPr>
                <w:rFonts w:ascii="华文细黑" w:hAnsi="华文细黑" w:eastAsia="华文细黑" w:cs="华文细黑"/>
                <w:kern w:val="1"/>
                <w:sz w:val="22"/>
              </w:rPr>
            </w:pPr>
            <w:r>
              <w:rPr>
                <w:rFonts w:hint="eastAsia" w:ascii="华文细黑" w:hAnsi="华文细黑" w:eastAsia="华文细黑" w:cs="华文细黑"/>
                <w:kern w:val="1"/>
                <w:sz w:val="22"/>
              </w:rPr>
              <w:t>6</w:t>
            </w:r>
          </w:p>
        </w:tc>
        <w:tc>
          <w:tcPr>
            <w:tcW w:w="8592" w:type="dxa"/>
            <w:tcBorders>
              <w:top w:val="single" w:color="4F81BD" w:sz="8" w:space="0"/>
              <w:left w:val="single" w:color="4F81BD" w:sz="8" w:space="0"/>
              <w:bottom w:val="single" w:color="4F81BD" w:sz="8" w:space="0"/>
              <w:right w:val="single" w:color="4F81BD" w:sz="8" w:space="0"/>
            </w:tcBorders>
            <w:shd w:val="clear" w:color="auto" w:fill="D3DFEE"/>
            <w:noWrap/>
            <w:vAlign w:val="center"/>
          </w:tcPr>
          <w:p>
            <w:pPr>
              <w:spacing w:line="360" w:lineRule="auto"/>
              <w:ind w:right="-286"/>
              <w:rPr>
                <w:rFonts w:ascii="华文细黑" w:hAnsi="华文细黑" w:eastAsia="华文细黑" w:cs="华文细黑"/>
                <w:kern w:val="1"/>
                <w:sz w:val="22"/>
              </w:rPr>
            </w:pPr>
            <w:r>
              <w:rPr>
                <w:rFonts w:hint="eastAsia" w:ascii="华文细黑" w:hAnsi="华文细黑" w:eastAsia="华文细黑" w:cs="华文细黑"/>
                <w:kern w:val="1"/>
                <w:sz w:val="22"/>
              </w:rPr>
              <w:t>转账身份证复印件（正反）、银行卡复印件及卡号</w:t>
            </w:r>
          </w:p>
        </w:tc>
      </w:tr>
    </w:tbl>
    <w:p>
      <w:pPr>
        <w:pStyle w:val="11"/>
        <w:ind w:firstLine="0" w:firstLineChars="0"/>
        <w:rPr>
          <w:rFonts w:ascii="宋体" w:hAnsi="宋体" w:eastAsia="宋体" w:cs="宋体"/>
          <w:b/>
          <w:sz w:val="24"/>
          <w:szCs w:val="24"/>
        </w:rPr>
      </w:pPr>
    </w:p>
    <w:p>
      <w:pPr>
        <w:pStyle w:val="11"/>
        <w:ind w:firstLine="0" w:firstLineChars="0"/>
        <w:rPr>
          <w:rFonts w:ascii="宋体" w:hAnsi="宋体" w:eastAsia="宋体" w:cs="宋体"/>
          <w:b/>
          <w:sz w:val="24"/>
          <w:szCs w:val="24"/>
        </w:rPr>
      </w:pPr>
      <w:r>
        <w:rPr>
          <w:rFonts w:hint="eastAsia" w:ascii="宋体" w:hAnsi="宋体" w:eastAsia="宋体" w:cs="宋体"/>
          <w:b/>
          <w:sz w:val="24"/>
          <w:szCs w:val="24"/>
        </w:rPr>
        <w:t>单证审核</w:t>
      </w:r>
    </w:p>
    <w:p>
      <w:pPr>
        <w:widowControl/>
        <w:spacing w:before="100" w:beforeAutospacing="1" w:after="100" w:afterAutospacing="1" w:line="360" w:lineRule="auto"/>
        <w:ind w:firstLine="420"/>
        <w:contextualSpacing/>
        <w:jc w:val="left"/>
        <w:rPr>
          <w:rFonts w:ascii="宋体" w:hAnsi="宋体" w:cs="Arial"/>
          <w:kern w:val="0"/>
          <w:sz w:val="24"/>
          <w:szCs w:val="24"/>
          <w:lang w:val="zh-CN"/>
        </w:rPr>
      </w:pPr>
      <w:r>
        <w:rPr>
          <w:rFonts w:hint="eastAsia" w:ascii="宋体" w:hAnsi="宋体" w:cs="Arial"/>
          <w:kern w:val="0"/>
          <w:sz w:val="24"/>
          <w:szCs w:val="24"/>
          <w:lang w:val="zh-CN"/>
        </w:rPr>
        <w:t>在收到被保险人及其代表的报案通知后，我公司理赔服务小组将向被保险人提供专业的赔案处理意见，提供书面的“索赔指引及清单”，如被保险人所提</w:t>
      </w:r>
      <w:r>
        <w:rPr>
          <w:rFonts w:hint="eastAsia" w:ascii="宋体" w:hAnsi="宋体" w:cs="Arial"/>
          <w:kern w:val="0"/>
          <w:sz w:val="24"/>
          <w:szCs w:val="24"/>
        </w:rPr>
        <w:t>交的索赔证明和资料不完整，理赔服务小组将以书面方式一次性通知被保险人补充提供，</w:t>
      </w:r>
      <w:r>
        <w:rPr>
          <w:rFonts w:hint="eastAsia" w:ascii="宋体" w:hAnsi="宋体" w:cs="Arial"/>
          <w:kern w:val="0"/>
          <w:sz w:val="24"/>
          <w:szCs w:val="24"/>
          <w:lang w:val="zh-CN"/>
        </w:rPr>
        <w:t>进行必要性解释工作，并协助被保险人准备其他索赔资料。若在接到索赔资料后两个工作日内未提出有关审核意见，则视为已认可索赔资料的完整性。</w:t>
      </w:r>
    </w:p>
    <w:p>
      <w:pPr>
        <w:pStyle w:val="11"/>
        <w:ind w:firstLine="0" w:firstLineChars="0"/>
        <w:rPr>
          <w:rFonts w:ascii="宋体" w:hAnsi="宋体" w:eastAsia="宋体" w:cs="宋体"/>
          <w:b/>
          <w:sz w:val="24"/>
          <w:szCs w:val="24"/>
          <w:lang w:val="zh-CN"/>
        </w:rPr>
      </w:pPr>
      <w:r>
        <w:rPr>
          <w:rFonts w:hint="eastAsia" w:ascii="宋体" w:hAnsi="宋体" w:eastAsia="宋体" w:cs="宋体"/>
          <w:b/>
          <w:sz w:val="24"/>
          <w:szCs w:val="24"/>
          <w:lang w:val="zh-CN"/>
        </w:rPr>
        <w:t>损失金额核定</w:t>
      </w:r>
    </w:p>
    <w:p>
      <w:pPr>
        <w:widowControl/>
        <w:spacing w:before="100" w:beforeAutospacing="1" w:after="100" w:afterAutospacing="1" w:line="360" w:lineRule="auto"/>
        <w:ind w:firstLine="420"/>
        <w:contextualSpacing/>
        <w:jc w:val="left"/>
        <w:rPr>
          <w:rFonts w:ascii="宋体" w:hAnsi="宋体" w:cs="Arial"/>
          <w:kern w:val="0"/>
          <w:sz w:val="24"/>
          <w:szCs w:val="24"/>
          <w:lang w:val="zh-CN"/>
        </w:rPr>
      </w:pPr>
      <w:r>
        <w:rPr>
          <w:rFonts w:hint="eastAsia" w:ascii="宋体" w:hAnsi="宋体" w:cs="Arial"/>
          <w:kern w:val="0"/>
          <w:sz w:val="24"/>
          <w:szCs w:val="24"/>
          <w:lang w:val="zh-CN"/>
        </w:rPr>
        <w:t>我公司将在调查取证并认定保险责任后，查核被保险人提供的索赔资料，审核受损财产是否属于保险财产，施救费用支出是否必要、合理等，以确定保险赔偿范围，并制作理算报告提交审核批准即核赔支付赔款。</w:t>
      </w:r>
    </w:p>
    <w:p>
      <w:pPr>
        <w:pStyle w:val="11"/>
        <w:ind w:firstLine="0" w:firstLineChars="0"/>
        <w:rPr>
          <w:rFonts w:ascii="宋体" w:hAnsi="宋体" w:eastAsia="宋体" w:cs="宋体"/>
          <w:b/>
          <w:sz w:val="24"/>
          <w:szCs w:val="24"/>
          <w:lang w:val="zh-CN"/>
        </w:rPr>
      </w:pPr>
      <w:r>
        <w:rPr>
          <w:rFonts w:hint="eastAsia" w:ascii="宋体" w:hAnsi="宋体" w:eastAsia="宋体" w:cs="宋体"/>
          <w:b/>
          <w:sz w:val="24"/>
          <w:szCs w:val="24"/>
          <w:lang w:val="zh-CN"/>
        </w:rPr>
        <w:t>结案赔付</w:t>
      </w:r>
    </w:p>
    <w:p>
      <w:pPr>
        <w:widowControl/>
        <w:spacing w:before="100" w:beforeAutospacing="1" w:after="100" w:afterAutospacing="1" w:line="360" w:lineRule="auto"/>
        <w:ind w:firstLine="420"/>
        <w:contextualSpacing/>
        <w:jc w:val="left"/>
        <w:rPr>
          <w:rFonts w:ascii="宋体" w:hAnsi="宋体" w:cs="Arial"/>
          <w:kern w:val="0"/>
          <w:sz w:val="24"/>
          <w:szCs w:val="24"/>
          <w:lang w:val="zh-CN"/>
        </w:rPr>
      </w:pPr>
      <w:r>
        <w:rPr>
          <w:rFonts w:hint="eastAsia" w:ascii="宋体" w:hAnsi="宋体" w:cs="Arial"/>
          <w:kern w:val="0"/>
          <w:sz w:val="24"/>
          <w:szCs w:val="24"/>
          <w:lang w:val="zh-CN"/>
        </w:rPr>
        <w:t xml:space="preserve">按照保险合同约定向被保险人赔偿。对属于保险责任的保险事故，我公司在收齐单证，并签署赔付协议书后根据赔款金额大小分别在 3-7 个工作日内赔付。 </w:t>
      </w:r>
    </w:p>
    <w:p>
      <w:pPr>
        <w:spacing w:line="360" w:lineRule="auto"/>
        <w:ind w:firstLine="420"/>
        <w:rPr>
          <w:rFonts w:ascii="宋体" w:hAnsi="宋体" w:eastAsia="宋体" w:cs="宋体"/>
          <w:b/>
          <w:kern w:val="0"/>
          <w:sz w:val="24"/>
          <w:szCs w:val="24"/>
          <w:lang w:val="zh-CN"/>
        </w:rPr>
      </w:pPr>
      <w:r>
        <w:rPr>
          <w:rFonts w:hint="eastAsia" w:ascii="宋体" w:hAnsi="宋体" w:eastAsia="宋体" w:cs="宋体"/>
          <w:b/>
          <w:kern w:val="0"/>
          <w:sz w:val="24"/>
          <w:szCs w:val="24"/>
          <w:lang w:val="zh-CN"/>
        </w:rPr>
        <w:t>资料审核时限</w:t>
      </w:r>
    </w:p>
    <w:p>
      <w:pPr>
        <w:widowControl/>
        <w:spacing w:before="100" w:beforeAutospacing="1" w:after="100" w:afterAutospacing="1" w:line="360" w:lineRule="auto"/>
        <w:ind w:firstLine="420"/>
        <w:contextualSpacing/>
        <w:jc w:val="left"/>
        <w:rPr>
          <w:rFonts w:ascii="宋体" w:hAnsi="宋体" w:cs="Arial"/>
          <w:kern w:val="0"/>
          <w:sz w:val="24"/>
          <w:szCs w:val="24"/>
          <w:lang w:val="zh-CN"/>
        </w:rPr>
      </w:pPr>
      <w:r>
        <w:rPr>
          <w:rFonts w:hint="eastAsia" w:ascii="宋体" w:hAnsi="宋体" w:cs="Arial"/>
          <w:kern w:val="0"/>
          <w:sz w:val="24"/>
          <w:szCs w:val="24"/>
          <w:lang w:val="zh-CN"/>
        </w:rPr>
        <w:t>在收到被保险人及其代表的索赔资料后，我公司将在一天内进行资料的审核，如被保险人所提交的索赔证明和资料不完整，我公司理赔人员将以书面方式一次性通知被保险人补充提供，进行必要性解释工作，并协助被保险人准备其他索赔资料。若在接到索赔资料后两个工作日内未提出有关审核意见，则视为已认可索赔资料的完整性。</w:t>
      </w:r>
    </w:p>
    <w:p>
      <w:pPr>
        <w:spacing w:line="360" w:lineRule="auto"/>
        <w:ind w:firstLine="420"/>
        <w:rPr>
          <w:rFonts w:ascii="宋体" w:hAnsi="宋体" w:eastAsia="宋体" w:cs="宋体"/>
          <w:b/>
          <w:kern w:val="0"/>
          <w:sz w:val="24"/>
          <w:szCs w:val="24"/>
          <w:lang w:val="zh-CN"/>
        </w:rPr>
      </w:pPr>
      <w:r>
        <w:rPr>
          <w:rFonts w:hint="eastAsia" w:ascii="宋体" w:hAnsi="宋体" w:eastAsia="宋体" w:cs="宋体"/>
          <w:b/>
          <w:kern w:val="0"/>
          <w:sz w:val="24"/>
          <w:szCs w:val="24"/>
          <w:lang w:val="zh-CN"/>
        </w:rPr>
        <w:t>损失金额核定时限</w:t>
      </w:r>
    </w:p>
    <w:tbl>
      <w:tblPr>
        <w:tblStyle w:val="7"/>
        <w:tblW w:w="8040" w:type="dxa"/>
        <w:tblInd w:w="108" w:type="dxa"/>
        <w:tblLayout w:type="fixed"/>
        <w:tblCellMar>
          <w:top w:w="0" w:type="dxa"/>
          <w:left w:w="108" w:type="dxa"/>
          <w:bottom w:w="0" w:type="dxa"/>
          <w:right w:w="108" w:type="dxa"/>
        </w:tblCellMar>
      </w:tblPr>
      <w:tblGrid>
        <w:gridCol w:w="3840"/>
        <w:gridCol w:w="4200"/>
      </w:tblGrid>
      <w:tr>
        <w:tblPrEx>
          <w:tblLayout w:type="fixed"/>
          <w:tblCellMar>
            <w:top w:w="0" w:type="dxa"/>
            <w:left w:w="108" w:type="dxa"/>
            <w:bottom w:w="0" w:type="dxa"/>
            <w:right w:w="108" w:type="dxa"/>
          </w:tblCellMar>
        </w:tblPrEx>
        <w:trPr>
          <w:trHeight w:val="640" w:hRule="atLeast"/>
        </w:trPr>
        <w:tc>
          <w:tcPr>
            <w:tcW w:w="3840" w:type="dxa"/>
            <w:tcBorders>
              <w:top w:val="single" w:color="000000" w:sz="4" w:space="0"/>
              <w:left w:val="single" w:color="000000" w:sz="4" w:space="0"/>
              <w:bottom w:val="single" w:color="000000" w:sz="4" w:space="0"/>
              <w:right w:val="single" w:color="000000" w:sz="4" w:space="0"/>
            </w:tcBorders>
            <w:shd w:val="clear" w:color="auto" w:fill="FF0000"/>
            <w:noWrap/>
            <w:vAlign w:val="center"/>
          </w:tcPr>
          <w:p>
            <w:pPr>
              <w:tabs>
                <w:tab w:val="left" w:pos="540"/>
              </w:tabs>
              <w:spacing w:line="360" w:lineRule="auto"/>
              <w:jc w:val="center"/>
              <w:rPr>
                <w:rFonts w:ascii="华文细黑" w:hAnsi="华文细黑" w:eastAsia="华文细黑" w:cs="华文细黑"/>
                <w:kern w:val="1"/>
                <w:szCs w:val="21"/>
              </w:rPr>
            </w:pPr>
            <w:r>
              <w:rPr>
                <w:rFonts w:ascii="华文细黑" w:hAnsi="华文细黑" w:eastAsia="华文细黑" w:cs="华文细黑"/>
                <w:kern w:val="1"/>
                <w:szCs w:val="21"/>
              </w:rPr>
              <w:t>损失金额（人民币）</w:t>
            </w:r>
          </w:p>
        </w:tc>
        <w:tc>
          <w:tcPr>
            <w:tcW w:w="4200" w:type="dxa"/>
            <w:tcBorders>
              <w:top w:val="single" w:color="000000" w:sz="4" w:space="0"/>
              <w:left w:val="single" w:color="000000" w:sz="4" w:space="0"/>
              <w:bottom w:val="single" w:color="000000" w:sz="4" w:space="0"/>
              <w:right w:val="single" w:color="000000" w:sz="4" w:space="0"/>
            </w:tcBorders>
            <w:shd w:val="clear" w:color="auto" w:fill="FF0000"/>
            <w:noWrap/>
            <w:vAlign w:val="center"/>
          </w:tcPr>
          <w:p>
            <w:pPr>
              <w:tabs>
                <w:tab w:val="left" w:pos="540"/>
              </w:tabs>
              <w:spacing w:line="360" w:lineRule="auto"/>
              <w:ind w:firstLine="420"/>
              <w:jc w:val="center"/>
              <w:rPr>
                <w:rFonts w:ascii="华文细黑" w:hAnsi="华文细黑" w:eastAsia="华文细黑" w:cs="华文细黑"/>
                <w:kern w:val="1"/>
                <w:szCs w:val="21"/>
              </w:rPr>
            </w:pPr>
            <w:r>
              <w:rPr>
                <w:rFonts w:ascii="华文细黑" w:hAnsi="华文细黑" w:eastAsia="华文细黑" w:cs="华文细黑"/>
                <w:kern w:val="1"/>
                <w:szCs w:val="21"/>
              </w:rPr>
              <w:t>核损时限</w:t>
            </w:r>
          </w:p>
        </w:tc>
      </w:tr>
      <w:tr>
        <w:tblPrEx>
          <w:tblLayout w:type="fixed"/>
          <w:tblCellMar>
            <w:top w:w="0" w:type="dxa"/>
            <w:left w:w="108" w:type="dxa"/>
            <w:bottom w:w="0" w:type="dxa"/>
            <w:right w:w="108" w:type="dxa"/>
          </w:tblCellMar>
        </w:tblPrEx>
        <w:trPr>
          <w:trHeight w:val="640" w:hRule="atLeast"/>
        </w:trPr>
        <w:tc>
          <w:tcPr>
            <w:tcW w:w="3840" w:type="dxa"/>
            <w:tcBorders>
              <w:top w:val="single" w:color="000000" w:sz="4" w:space="0"/>
              <w:left w:val="single" w:color="000000" w:sz="4" w:space="0"/>
              <w:bottom w:val="single" w:color="000000" w:sz="4" w:space="0"/>
              <w:right w:val="single" w:color="000000" w:sz="4" w:space="0"/>
            </w:tcBorders>
            <w:noWrap/>
          </w:tcPr>
          <w:p>
            <w:pPr>
              <w:spacing w:line="360" w:lineRule="auto"/>
              <w:jc w:val="center"/>
              <w:rPr>
                <w:rFonts w:ascii="华文细黑" w:hAnsi="华文细黑" w:eastAsia="华文细黑" w:cs="华文细黑"/>
                <w:kern w:val="1"/>
                <w:szCs w:val="21"/>
              </w:rPr>
            </w:pPr>
            <w:r>
              <w:rPr>
                <w:rFonts w:ascii="华文细黑" w:hAnsi="华文细黑" w:eastAsia="华文细黑" w:cs="华文细黑"/>
                <w:kern w:val="1"/>
                <w:szCs w:val="21"/>
              </w:rPr>
              <w:t>10万元以内的赔案</w:t>
            </w:r>
          </w:p>
        </w:tc>
        <w:tc>
          <w:tcPr>
            <w:tcW w:w="4200" w:type="dxa"/>
            <w:tcBorders>
              <w:top w:val="single" w:color="000000" w:sz="4" w:space="0"/>
              <w:left w:val="single" w:color="000000" w:sz="4" w:space="0"/>
              <w:bottom w:val="single" w:color="000000" w:sz="4" w:space="0"/>
              <w:right w:val="single" w:color="000000" w:sz="4" w:space="0"/>
            </w:tcBorders>
            <w:noWrap/>
          </w:tcPr>
          <w:p>
            <w:pPr>
              <w:spacing w:line="360" w:lineRule="auto"/>
              <w:jc w:val="center"/>
              <w:rPr>
                <w:rFonts w:ascii="华文细黑" w:hAnsi="华文细黑" w:eastAsia="华文细黑" w:cs="华文细黑"/>
                <w:kern w:val="1"/>
                <w:szCs w:val="21"/>
              </w:rPr>
            </w:pPr>
            <w:r>
              <w:rPr>
                <w:rFonts w:ascii="华文细黑" w:hAnsi="华文细黑" w:eastAsia="华文细黑" w:cs="华文细黑"/>
                <w:kern w:val="1"/>
                <w:szCs w:val="21"/>
              </w:rPr>
              <w:t>3个工作日内核损完毕</w:t>
            </w:r>
          </w:p>
        </w:tc>
      </w:tr>
      <w:tr>
        <w:tblPrEx>
          <w:tblLayout w:type="fixed"/>
          <w:tblCellMar>
            <w:top w:w="0" w:type="dxa"/>
            <w:left w:w="108" w:type="dxa"/>
            <w:bottom w:w="0" w:type="dxa"/>
            <w:right w:w="108" w:type="dxa"/>
          </w:tblCellMar>
        </w:tblPrEx>
        <w:trPr>
          <w:trHeight w:val="640" w:hRule="atLeast"/>
        </w:trPr>
        <w:tc>
          <w:tcPr>
            <w:tcW w:w="3840" w:type="dxa"/>
            <w:tcBorders>
              <w:top w:val="single" w:color="000000" w:sz="4" w:space="0"/>
              <w:left w:val="single" w:color="000000" w:sz="4" w:space="0"/>
              <w:bottom w:val="single" w:color="000000" w:sz="4" w:space="0"/>
              <w:right w:val="single" w:color="000000" w:sz="4" w:space="0"/>
            </w:tcBorders>
            <w:noWrap/>
          </w:tcPr>
          <w:p>
            <w:pPr>
              <w:spacing w:line="360" w:lineRule="auto"/>
              <w:jc w:val="center"/>
              <w:rPr>
                <w:rFonts w:ascii="华文细黑" w:hAnsi="华文细黑" w:eastAsia="华文细黑" w:cs="华文细黑"/>
                <w:kern w:val="1"/>
                <w:szCs w:val="21"/>
              </w:rPr>
            </w:pPr>
            <w:r>
              <w:rPr>
                <w:rFonts w:ascii="华文细黑" w:hAnsi="华文细黑" w:eastAsia="华文细黑" w:cs="华文细黑"/>
                <w:kern w:val="1"/>
                <w:szCs w:val="21"/>
              </w:rPr>
              <w:t>10-50万元的赔案</w:t>
            </w:r>
          </w:p>
        </w:tc>
        <w:tc>
          <w:tcPr>
            <w:tcW w:w="4200" w:type="dxa"/>
            <w:tcBorders>
              <w:top w:val="single" w:color="000000" w:sz="4" w:space="0"/>
              <w:left w:val="single" w:color="000000" w:sz="4" w:space="0"/>
              <w:bottom w:val="single" w:color="000000" w:sz="4" w:space="0"/>
              <w:right w:val="single" w:color="000000" w:sz="4" w:space="0"/>
            </w:tcBorders>
            <w:noWrap/>
          </w:tcPr>
          <w:p>
            <w:pPr>
              <w:spacing w:line="360" w:lineRule="auto"/>
              <w:jc w:val="center"/>
              <w:rPr>
                <w:rFonts w:ascii="华文细黑" w:hAnsi="华文细黑" w:eastAsia="华文细黑" w:cs="华文细黑"/>
                <w:kern w:val="1"/>
                <w:szCs w:val="21"/>
              </w:rPr>
            </w:pPr>
            <w:r>
              <w:rPr>
                <w:rFonts w:ascii="华文细黑" w:hAnsi="华文细黑" w:eastAsia="华文细黑" w:cs="华文细黑"/>
                <w:kern w:val="1"/>
                <w:szCs w:val="21"/>
              </w:rPr>
              <w:t>5个工作日内核损完毕</w:t>
            </w:r>
          </w:p>
        </w:tc>
      </w:tr>
    </w:tbl>
    <w:p>
      <w:pPr>
        <w:spacing w:line="360" w:lineRule="auto"/>
        <w:ind w:firstLine="420"/>
        <w:rPr>
          <w:rFonts w:ascii="宋体" w:hAnsi="宋体" w:eastAsia="宋体" w:cs="宋体"/>
          <w:b/>
          <w:kern w:val="0"/>
          <w:sz w:val="24"/>
          <w:szCs w:val="24"/>
          <w:lang w:val="zh-CN"/>
        </w:rPr>
      </w:pPr>
      <w:r>
        <w:rPr>
          <w:rFonts w:hint="eastAsia" w:ascii="宋体" w:hAnsi="宋体" w:eastAsia="宋体" w:cs="宋体"/>
          <w:b/>
          <w:kern w:val="0"/>
          <w:sz w:val="24"/>
          <w:szCs w:val="24"/>
          <w:lang w:val="zh-CN"/>
        </w:rPr>
        <w:t>结案赔付时限</w:t>
      </w:r>
    </w:p>
    <w:p>
      <w:pPr>
        <w:widowControl/>
        <w:spacing w:before="100" w:beforeAutospacing="1" w:after="100" w:afterAutospacing="1" w:line="360" w:lineRule="auto"/>
        <w:ind w:firstLine="420"/>
        <w:contextualSpacing/>
        <w:jc w:val="left"/>
        <w:rPr>
          <w:rFonts w:ascii="宋体" w:hAnsi="宋体" w:cs="Arial"/>
          <w:kern w:val="0"/>
          <w:sz w:val="24"/>
          <w:szCs w:val="24"/>
          <w:lang w:val="zh-CN"/>
        </w:rPr>
      </w:pPr>
      <w:r>
        <w:rPr>
          <w:rFonts w:hint="eastAsia" w:ascii="宋体" w:hAnsi="宋体" w:cs="Arial"/>
          <w:kern w:val="0"/>
          <w:sz w:val="24"/>
          <w:szCs w:val="24"/>
          <w:lang w:val="zh-CN"/>
        </w:rPr>
        <w:t>我公司承诺在收到所有必须、有效、真实的有关单证和资料后，将尽快缮制赔案，在双方关于赔款金额达成一致意见后，在3个工作日内支付赔款。</w:t>
      </w:r>
    </w:p>
    <w:p>
      <w:pPr>
        <w:spacing w:line="360" w:lineRule="auto"/>
        <w:ind w:firstLine="420"/>
        <w:rPr>
          <w:rFonts w:ascii="宋体" w:hAnsi="宋体" w:eastAsia="宋体" w:cs="宋体"/>
          <w:b/>
          <w:kern w:val="0"/>
          <w:sz w:val="24"/>
          <w:szCs w:val="24"/>
          <w:lang w:val="zh-CN"/>
        </w:rPr>
      </w:pPr>
      <w:r>
        <w:rPr>
          <w:rFonts w:hint="eastAsia" w:ascii="宋体" w:hAnsi="宋体" w:eastAsia="宋体" w:cs="宋体"/>
          <w:b/>
          <w:kern w:val="0"/>
          <w:sz w:val="24"/>
          <w:szCs w:val="24"/>
          <w:lang w:val="zh-CN"/>
        </w:rPr>
        <w:t>结案率</w:t>
      </w:r>
    </w:p>
    <w:p>
      <w:pPr>
        <w:widowControl/>
        <w:spacing w:before="100" w:beforeAutospacing="1" w:after="100" w:afterAutospacing="1" w:line="360" w:lineRule="auto"/>
        <w:ind w:firstLine="420"/>
        <w:contextualSpacing/>
        <w:jc w:val="left"/>
        <w:rPr>
          <w:rFonts w:ascii="宋体" w:hAnsi="宋体" w:cs="Arial"/>
          <w:kern w:val="0"/>
          <w:sz w:val="24"/>
          <w:szCs w:val="24"/>
          <w:lang w:val="zh-CN"/>
        </w:rPr>
      </w:pPr>
      <w:r>
        <w:rPr>
          <w:rFonts w:hint="eastAsia" w:ascii="宋体" w:hAnsi="宋体" w:cs="Arial"/>
          <w:kern w:val="0"/>
          <w:sz w:val="24"/>
          <w:szCs w:val="24"/>
          <w:lang w:val="zh-CN"/>
        </w:rPr>
        <w:t xml:space="preserve">  我公司承诺，对于所有属于保险责任、手续齐全的赔案，在保险合同结束时，100%予以结案。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 w:name="华文细黑">
    <w:altName w:val="微软雅黑"/>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B5B"/>
    <w:rsid w:val="00090F7D"/>
    <w:rsid w:val="004A2B5B"/>
    <w:rsid w:val="00555380"/>
    <w:rsid w:val="00894526"/>
    <w:rsid w:val="00FD2B05"/>
    <w:rsid w:val="15BD24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5"/>
    <w:basedOn w:val="1"/>
    <w:next w:val="1"/>
    <w:link w:val="13"/>
    <w:semiHidden/>
    <w:unhideWhenUsed/>
    <w:qFormat/>
    <w:uiPriority w:val="9"/>
    <w:pPr>
      <w:keepNext/>
      <w:keepLines/>
      <w:spacing w:before="280" w:after="290" w:line="376" w:lineRule="auto"/>
      <w:outlineLvl w:val="4"/>
    </w:pPr>
    <w:rPr>
      <w:b/>
      <w:bCs/>
      <w:sz w:val="28"/>
      <w:szCs w:val="28"/>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425"/>
    </w:pPr>
    <w:rPr>
      <w:rFonts w:ascii="Times New Roman" w:hAnsi="Times New Roman" w:eastAsia="宋体" w:cs="Times New Roman"/>
      <w:szCs w:val="20"/>
    </w:rPr>
  </w:style>
  <w:style w:type="paragraph" w:styleId="4">
    <w:name w:val="Balloon Text"/>
    <w:basedOn w:val="1"/>
    <w:link w:val="14"/>
    <w:semiHidden/>
    <w:unhideWhenUsed/>
    <w:qFormat/>
    <w:uiPriority w:val="99"/>
    <w:rPr>
      <w:sz w:val="18"/>
      <w:szCs w:val="18"/>
    </w:rPr>
  </w:style>
  <w:style w:type="paragraph" w:styleId="5">
    <w:name w:val="footer"/>
    <w:basedOn w:val="1"/>
    <w:link w:val="10"/>
    <w:semiHidden/>
    <w:unhideWhenUsed/>
    <w:qFormat/>
    <w:uiPriority w:val="99"/>
    <w:pPr>
      <w:tabs>
        <w:tab w:val="center" w:pos="4153"/>
        <w:tab w:val="right" w:pos="8306"/>
      </w:tabs>
      <w:snapToGrid w:val="0"/>
      <w:jc w:val="left"/>
    </w:pPr>
    <w:rPr>
      <w:sz w:val="18"/>
      <w:szCs w:val="18"/>
    </w:rPr>
  </w:style>
  <w:style w:type="paragraph" w:styleId="6">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semiHidden/>
    <w:qFormat/>
    <w:uiPriority w:val="99"/>
    <w:rPr>
      <w:sz w:val="18"/>
      <w:szCs w:val="18"/>
    </w:rPr>
  </w:style>
  <w:style w:type="character" w:customStyle="1" w:styleId="10">
    <w:name w:val="页脚 Char"/>
    <w:basedOn w:val="8"/>
    <w:link w:val="5"/>
    <w:semiHidden/>
    <w:qFormat/>
    <w:uiPriority w:val="99"/>
    <w:rPr>
      <w:sz w:val="18"/>
      <w:szCs w:val="18"/>
    </w:rPr>
  </w:style>
  <w:style w:type="paragraph" w:customStyle="1" w:styleId="11">
    <w:name w:val="（9）正文（投标）"/>
    <w:basedOn w:val="1"/>
    <w:qFormat/>
    <w:uiPriority w:val="0"/>
    <w:pPr>
      <w:widowControl/>
      <w:spacing w:line="360" w:lineRule="auto"/>
      <w:ind w:firstLine="200" w:firstLineChars="200"/>
    </w:pPr>
    <w:rPr>
      <w:rFonts w:ascii="仿宋_GB2312" w:hAnsi="仿宋_GB2312" w:eastAsia="仿宋_GB2312" w:cs="仿宋_GB2312"/>
      <w:kern w:val="0"/>
      <w:sz w:val="28"/>
      <w:szCs w:val="32"/>
    </w:rPr>
  </w:style>
  <w:style w:type="paragraph" w:customStyle="1" w:styleId="12">
    <w:name w:val="5级标题（投标）"/>
    <w:basedOn w:val="2"/>
    <w:qFormat/>
    <w:uiPriority w:val="0"/>
    <w:pPr>
      <w:widowControl/>
      <w:spacing w:before="0" w:after="0" w:line="360" w:lineRule="auto"/>
    </w:pPr>
    <w:rPr>
      <w:rFonts w:ascii="宋体" w:hAnsi="宋体" w:eastAsia="微软雅黑"/>
      <w:bCs w:val="0"/>
      <w:color w:val="000000"/>
      <w:kern w:val="0"/>
      <w:szCs w:val="24"/>
    </w:rPr>
  </w:style>
  <w:style w:type="character" w:customStyle="1" w:styleId="13">
    <w:name w:val="标题 5 Char"/>
    <w:basedOn w:val="8"/>
    <w:link w:val="2"/>
    <w:semiHidden/>
    <w:uiPriority w:val="9"/>
    <w:rPr>
      <w:b/>
      <w:bCs/>
      <w:sz w:val="28"/>
      <w:szCs w:val="28"/>
    </w:rPr>
  </w:style>
  <w:style w:type="character" w:customStyle="1" w:styleId="14">
    <w:name w:val="批注框文本 Char"/>
    <w:basedOn w:val="8"/>
    <w:link w:val="4"/>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diagramColors" Target="diagrams/colors1.xml"/><Relationship Id="rId6" Type="http://schemas.openxmlformats.org/officeDocument/2006/relationships/diagramQuickStyle" Target="diagrams/quickStyle1.xml"/><Relationship Id="rId5" Type="http://schemas.openxmlformats.org/officeDocument/2006/relationships/diagramLayout" Target="diagrams/layout1.xml"/><Relationship Id="rId4" Type="http://schemas.openxmlformats.org/officeDocument/2006/relationships/diagramData" Target="diagrams/data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diagrams/colors1.xml><?xml version="1.0" encoding="utf-8"?>
<dgm:colorsDef xmlns:dgm="http://schemas.openxmlformats.org/drawingml/2006/diagram" xmlns:a="http://schemas.openxmlformats.org/drawingml/2006/main" uniqueId="urn:microsoft.com/office/officeart/2005/8/colors/colorful4#1">
  <dgm:title val=""/>
  <dgm:desc val=""/>
  <dgm:catLst>
    <dgm:cat type="colorful" pri="10400"/>
  </dgm:catLst>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colorsDef>
</file>

<file path=word/diagrams/data1.xml><?xml version="1.0" encoding="utf-8"?>
<dgm:dataModel xmlns:dgm="http://schemas.openxmlformats.org/drawingml/2006/diagram" xmlns:a="http://schemas.openxmlformats.org/drawingml/2006/main">
  <dgm:ptLst>
    <dgm:pt modelId="{C1DAE35A-57D6-45C0-A052-8B7FF1FB8FC3}" type="doc">
      <dgm:prSet loTypeId="urn:microsoft.com/office/officeart/2008/layout/HorizontalMultiLevelHierarchy" loCatId="hierarchy" qsTypeId="urn:microsoft.com/office/officeart/2005/8/quickstyle/simple1#1" qsCatId="simple" csTypeId="urn:microsoft.com/office/officeart/2005/8/colors/colorful4#1" csCatId="colorful" phldr="1"/>
      <dgm:spPr/>
      <dgm:t>
        <a:bodyPr/>
        <a:p>
          <a:endParaRPr lang="zh-CN" altLang="en-US"/>
        </a:p>
      </dgm:t>
    </dgm:pt>
    <dgm:pt modelId="{B2F1174D-46D1-477A-B37C-9C8C0E589AE6}">
      <dgm:prSet phldrT="[文本]" custT="1"/>
      <dgm:spPr>
        <a:solidFill>
          <a:srgbClr val="FF3300"/>
        </a:solidFill>
        <a:ln>
          <a:noFill/>
        </a:ln>
        <a:effectLst>
          <a:outerShdw blurRad="50800" dist="38100" dir="2700000" algn="tl" rotWithShape="0">
            <a:prstClr val="black">
              <a:alpha val="40000"/>
            </a:prstClr>
          </a:outerShdw>
        </a:effectLst>
      </dgm:spPr>
      <dgm:t>
        <a:bodyPr/>
        <a:p>
          <a:r>
            <a:rPr lang="zh-CN" altLang="en-US" sz="2400">
              <a:latin typeface="微软雅黑" panose="020B0503020204020204" pitchFamily="2" charset="-122"/>
              <a:ea typeface="微软雅黑" panose="020B0503020204020204" pitchFamily="2" charset="-122"/>
            </a:rPr>
            <a:t>提升服务</a:t>
          </a:r>
        </a:p>
      </dgm:t>
    </dgm:pt>
    <dgm:pt modelId="{6F6777FC-3E4F-4A9A-8133-170D1F6E7852}" cxnId="{75D85015-EB60-4F51-8C14-D7B9DEB8F40E}" type="parTrans">
      <dgm:prSet/>
      <dgm:spPr/>
      <dgm:t>
        <a:bodyPr/>
        <a:p>
          <a:endParaRPr lang="zh-CN" altLang="en-US" sz="1800">
            <a:latin typeface="微软雅黑" panose="020B0503020204020204" pitchFamily="2" charset="-122"/>
            <a:ea typeface="微软雅黑" panose="020B0503020204020204" pitchFamily="2" charset="-122"/>
          </a:endParaRPr>
        </a:p>
      </dgm:t>
    </dgm:pt>
    <dgm:pt modelId="{8D56E7BB-29AF-4D87-B6D5-D29383869BD0}" cxnId="{75D85015-EB60-4F51-8C14-D7B9DEB8F40E}" type="sibTrans">
      <dgm:prSet/>
      <dgm:spPr/>
      <dgm:t>
        <a:bodyPr/>
        <a:p>
          <a:endParaRPr lang="zh-CN" altLang="en-US" sz="1800">
            <a:latin typeface="微软雅黑" panose="020B0503020204020204" pitchFamily="2" charset="-122"/>
            <a:ea typeface="微软雅黑" panose="020B0503020204020204" pitchFamily="2" charset="-122"/>
          </a:endParaRPr>
        </a:p>
      </dgm:t>
    </dgm:pt>
    <dgm:pt modelId="{EB4E8CAA-9BF1-48BC-BE89-AB867E19F73F}">
      <dgm:prSet phldrT="[文本]" custT="1"/>
      <dgm:spPr/>
      <dgm:t>
        <a:bodyPr/>
        <a:p>
          <a:r>
            <a:rPr lang="zh-CN" altLang="en-US" sz="1800">
              <a:latin typeface="微软雅黑" panose="020B0503020204020204" pitchFamily="2" charset="-122"/>
              <a:ea typeface="微软雅黑" panose="020B0503020204020204" pitchFamily="2" charset="-122"/>
            </a:rPr>
            <a:t>制度保障</a:t>
          </a:r>
        </a:p>
      </dgm:t>
    </dgm:pt>
    <dgm:pt modelId="{847CDF12-6A8C-491D-BD54-B10CE15CEE7B}" cxnId="{49DEEF94-7F99-48C9-8300-20197F1AD2BE}" type="parTrans">
      <dgm:prSet custT="1"/>
      <dgm:spPr/>
      <dgm:t>
        <a:bodyPr/>
        <a:p>
          <a:endParaRPr lang="zh-CN" altLang="en-US" sz="1800">
            <a:latin typeface="微软雅黑" panose="020B0503020204020204" pitchFamily="2" charset="-122"/>
            <a:ea typeface="微软雅黑" panose="020B0503020204020204" pitchFamily="2" charset="-122"/>
          </a:endParaRPr>
        </a:p>
      </dgm:t>
    </dgm:pt>
    <dgm:pt modelId="{4368C996-0DEA-46CA-9EB3-2FF1C6E09E7D}" cxnId="{49DEEF94-7F99-48C9-8300-20197F1AD2BE}" type="sibTrans">
      <dgm:prSet/>
      <dgm:spPr/>
      <dgm:t>
        <a:bodyPr/>
        <a:p>
          <a:endParaRPr lang="zh-CN" altLang="en-US" sz="1800">
            <a:latin typeface="微软雅黑" panose="020B0503020204020204" pitchFamily="2" charset="-122"/>
            <a:ea typeface="微软雅黑" panose="020B0503020204020204" pitchFamily="2" charset="-122"/>
          </a:endParaRPr>
        </a:p>
      </dgm:t>
    </dgm:pt>
    <dgm:pt modelId="{849D884B-A39D-4C4B-B288-579496EE1D18}">
      <dgm:prSet phldrT="[文本]" custT="1"/>
      <dgm:spPr/>
      <dgm:t>
        <a:bodyPr/>
        <a:p>
          <a:r>
            <a:rPr lang="zh-CN" altLang="en-US" sz="1800">
              <a:latin typeface="微软雅黑" panose="020B0503020204020204" pitchFamily="2" charset="-122"/>
              <a:ea typeface="微软雅黑" panose="020B0503020204020204" pitchFamily="2" charset="-122"/>
            </a:rPr>
            <a:t>加强培训</a:t>
          </a:r>
        </a:p>
      </dgm:t>
    </dgm:pt>
    <dgm:pt modelId="{285407E5-28DD-438B-9BC7-89793E7D3790}" cxnId="{785E9EF4-B3BE-4829-919F-60ABF92975E0}" type="parTrans">
      <dgm:prSet custT="1"/>
      <dgm:spPr/>
      <dgm:t>
        <a:bodyPr/>
        <a:p>
          <a:endParaRPr lang="zh-CN" altLang="en-US" sz="1800">
            <a:latin typeface="微软雅黑" panose="020B0503020204020204" pitchFamily="2" charset="-122"/>
            <a:ea typeface="微软雅黑" panose="020B0503020204020204" pitchFamily="2" charset="-122"/>
          </a:endParaRPr>
        </a:p>
      </dgm:t>
    </dgm:pt>
    <dgm:pt modelId="{29DE4CE3-80B4-4A71-85A6-DD4FF6D2D3B9}" cxnId="{785E9EF4-B3BE-4829-919F-60ABF92975E0}" type="sibTrans">
      <dgm:prSet/>
      <dgm:spPr/>
      <dgm:t>
        <a:bodyPr/>
        <a:p>
          <a:endParaRPr lang="zh-CN" altLang="en-US" sz="1800">
            <a:latin typeface="微软雅黑" panose="020B0503020204020204" pitchFamily="2" charset="-122"/>
            <a:ea typeface="微软雅黑" panose="020B0503020204020204" pitchFamily="2" charset="-122"/>
          </a:endParaRPr>
        </a:p>
      </dgm:t>
    </dgm:pt>
    <dgm:pt modelId="{520E6EBB-3CFB-4FA2-AB63-8AE5AF1EE18C}">
      <dgm:prSet phldrT="[文本]" custT="1"/>
      <dgm:spPr/>
      <dgm:t>
        <a:bodyPr/>
        <a:p>
          <a:r>
            <a:rPr lang="zh-CN" altLang="en-US" sz="1800">
              <a:latin typeface="微软雅黑" panose="020B0503020204020204" pitchFamily="2" charset="-122"/>
              <a:ea typeface="微软雅黑" panose="020B0503020204020204" pitchFamily="2" charset="-122"/>
            </a:rPr>
            <a:t>健全服务窗口</a:t>
          </a:r>
        </a:p>
      </dgm:t>
    </dgm:pt>
    <dgm:pt modelId="{02B04E6B-2FD8-4697-B73E-B5256D9308B0}" cxnId="{85ECE170-8E0D-4769-9D2D-C9F6295B5DE3}" type="parTrans">
      <dgm:prSet custT="1"/>
      <dgm:spPr/>
      <dgm:t>
        <a:bodyPr/>
        <a:p>
          <a:endParaRPr lang="zh-CN" altLang="en-US" sz="1800">
            <a:latin typeface="微软雅黑" panose="020B0503020204020204" pitchFamily="2" charset="-122"/>
            <a:ea typeface="微软雅黑" panose="020B0503020204020204" pitchFamily="2" charset="-122"/>
          </a:endParaRPr>
        </a:p>
      </dgm:t>
    </dgm:pt>
    <dgm:pt modelId="{D2BD55FE-F69E-4C26-A781-D7F23EF085EE}" cxnId="{85ECE170-8E0D-4769-9D2D-C9F6295B5DE3}" type="sibTrans">
      <dgm:prSet/>
      <dgm:spPr/>
      <dgm:t>
        <a:bodyPr/>
        <a:p>
          <a:endParaRPr lang="zh-CN" altLang="en-US" sz="1800">
            <a:latin typeface="微软雅黑" panose="020B0503020204020204" pitchFamily="2" charset="-122"/>
            <a:ea typeface="微软雅黑" panose="020B0503020204020204" pitchFamily="2" charset="-122"/>
          </a:endParaRPr>
        </a:p>
      </dgm:t>
    </dgm:pt>
    <dgm:pt modelId="{5B30847A-5BC9-468E-8A42-7BD532D9002A}">
      <dgm:prSet phldrT="[文本]" custT="1"/>
      <dgm:spPr/>
      <dgm:t>
        <a:bodyPr/>
        <a:p>
          <a:r>
            <a:rPr lang="zh-CN" altLang="en-US" sz="1800">
              <a:latin typeface="微软雅黑" panose="020B0503020204020204" pitchFamily="2" charset="-122"/>
              <a:ea typeface="微软雅黑" panose="020B0503020204020204" pitchFamily="2" charset="-122"/>
            </a:rPr>
            <a:t>网络社区建设</a:t>
          </a:r>
        </a:p>
      </dgm:t>
    </dgm:pt>
    <dgm:pt modelId="{771116EB-F8F3-4145-8BBC-FBF0E41AD4CD}" cxnId="{8DF2963A-E785-4FC5-BBCE-206819D8CB15}" type="parTrans">
      <dgm:prSet custT="1"/>
      <dgm:spPr/>
      <dgm:t>
        <a:bodyPr/>
        <a:p>
          <a:endParaRPr lang="zh-CN" altLang="en-US" sz="1800">
            <a:latin typeface="微软雅黑" panose="020B0503020204020204" pitchFamily="2" charset="-122"/>
            <a:ea typeface="微软雅黑" panose="020B0503020204020204" pitchFamily="2" charset="-122"/>
          </a:endParaRPr>
        </a:p>
      </dgm:t>
    </dgm:pt>
    <dgm:pt modelId="{E3CEADAE-B91C-42A4-B045-349D0F2E865F}" cxnId="{8DF2963A-E785-4FC5-BBCE-206819D8CB15}" type="sibTrans">
      <dgm:prSet/>
      <dgm:spPr/>
      <dgm:t>
        <a:bodyPr/>
        <a:p>
          <a:endParaRPr lang="zh-CN" altLang="en-US" sz="1800">
            <a:latin typeface="微软雅黑" panose="020B0503020204020204" pitchFamily="2" charset="-122"/>
            <a:ea typeface="微软雅黑" panose="020B0503020204020204" pitchFamily="2" charset="-122"/>
          </a:endParaRPr>
        </a:p>
      </dgm:t>
    </dgm:pt>
    <dgm:pt modelId="{09CA4FE4-B4FB-4D93-838A-E81DBE1AB189}">
      <dgm:prSet phldrT="[文本]" custT="1"/>
      <dgm:spPr/>
      <dgm:t>
        <a:bodyPr/>
        <a:p>
          <a:r>
            <a:rPr lang="zh-CN" altLang="en-US" sz="1800">
              <a:latin typeface="微软雅黑" panose="020B0503020204020204" pitchFamily="2" charset="-122"/>
              <a:ea typeface="微软雅黑" panose="020B0503020204020204" pitchFamily="2" charset="-122"/>
            </a:rPr>
            <a:t>全天候服务热线</a:t>
          </a:r>
        </a:p>
      </dgm:t>
    </dgm:pt>
    <dgm:pt modelId="{25CDC75E-7672-42E2-9111-6104DE03D95A}" cxnId="{7926D4A9-8320-4D73-9188-D2DD0DE80600}" type="parTrans">
      <dgm:prSet custT="1"/>
      <dgm:spPr/>
      <dgm:t>
        <a:bodyPr/>
        <a:p>
          <a:endParaRPr lang="zh-CN" altLang="en-US" sz="1800">
            <a:latin typeface="微软雅黑" panose="020B0503020204020204" pitchFamily="2" charset="-122"/>
            <a:ea typeface="微软雅黑" panose="020B0503020204020204" pitchFamily="2" charset="-122"/>
          </a:endParaRPr>
        </a:p>
      </dgm:t>
    </dgm:pt>
    <dgm:pt modelId="{8F976AE7-92DA-47F7-9024-5AFF07B16F98}" cxnId="{7926D4A9-8320-4D73-9188-D2DD0DE80600}" type="sibTrans">
      <dgm:prSet/>
      <dgm:spPr/>
      <dgm:t>
        <a:bodyPr/>
        <a:p>
          <a:endParaRPr lang="zh-CN" altLang="en-US" sz="1800">
            <a:latin typeface="微软雅黑" panose="020B0503020204020204" pitchFamily="2" charset="-122"/>
            <a:ea typeface="微软雅黑" panose="020B0503020204020204" pitchFamily="2" charset="-122"/>
          </a:endParaRPr>
        </a:p>
      </dgm:t>
    </dgm:pt>
    <dgm:pt modelId="{D35B6E4B-6A7E-4B80-82EF-1B6EEB73A482}">
      <dgm:prSet phldrT="[文本]" custT="1"/>
      <dgm:spPr/>
      <dgm:t>
        <a:bodyPr/>
        <a:p>
          <a:r>
            <a:rPr lang="zh-CN" altLang="en-US" sz="1800">
              <a:latin typeface="微软雅黑" panose="020B0503020204020204" pitchFamily="2" charset="-122"/>
              <a:ea typeface="微软雅黑" panose="020B0503020204020204" pitchFamily="2" charset="-122"/>
            </a:rPr>
            <a:t>绿色通道宣传</a:t>
          </a:r>
        </a:p>
      </dgm:t>
    </dgm:pt>
    <dgm:pt modelId="{F4EE55F9-4C06-4BEF-950C-722F289B863A}" cxnId="{74E8D34D-D9CB-43F5-A4B3-04936E3D8D3B}" type="parTrans">
      <dgm:prSet custT="1"/>
      <dgm:spPr/>
      <dgm:t>
        <a:bodyPr/>
        <a:p>
          <a:endParaRPr lang="zh-CN" altLang="en-US" sz="1800">
            <a:latin typeface="微软雅黑" panose="020B0503020204020204" pitchFamily="2" charset="-122"/>
            <a:ea typeface="微软雅黑" panose="020B0503020204020204" pitchFamily="2" charset="-122"/>
          </a:endParaRPr>
        </a:p>
      </dgm:t>
    </dgm:pt>
    <dgm:pt modelId="{20992F97-0B9A-4635-918C-08CB485BC386}" cxnId="{74E8D34D-D9CB-43F5-A4B3-04936E3D8D3B}" type="sibTrans">
      <dgm:prSet/>
      <dgm:spPr/>
      <dgm:t>
        <a:bodyPr/>
        <a:p>
          <a:endParaRPr lang="zh-CN" altLang="en-US" sz="1800">
            <a:latin typeface="微软雅黑" panose="020B0503020204020204" pitchFamily="2" charset="-122"/>
            <a:ea typeface="微软雅黑" panose="020B0503020204020204" pitchFamily="2" charset="-122"/>
          </a:endParaRPr>
        </a:p>
      </dgm:t>
    </dgm:pt>
    <dgm:pt modelId="{C1FC9ED6-1DF1-4649-8093-EF14F0844A06}">
      <dgm:prSet phldrT="[文本]" custT="1"/>
      <dgm:spPr/>
      <dgm:t>
        <a:bodyPr/>
        <a:p>
          <a:r>
            <a:rPr lang="zh-CN" altLang="en-US" sz="1800">
              <a:latin typeface="微软雅黑" panose="020B0503020204020204" pitchFamily="2" charset="-122"/>
              <a:ea typeface="微软雅黑" panose="020B0503020204020204" pitchFamily="2" charset="-122"/>
            </a:rPr>
            <a:t>加强外部监督</a:t>
          </a:r>
        </a:p>
      </dgm:t>
    </dgm:pt>
    <dgm:pt modelId="{CD2F5767-53A3-471D-9C82-2E82D4F1842C}" cxnId="{CBF326E1-4E7B-4A19-8655-E3B958536415}" type="parTrans">
      <dgm:prSet/>
      <dgm:spPr/>
      <dgm:t>
        <a:bodyPr/>
        <a:p>
          <a:endParaRPr lang="zh-CN" altLang="en-US"/>
        </a:p>
      </dgm:t>
    </dgm:pt>
    <dgm:pt modelId="{D0FAE478-CA92-4829-9469-71BDE805ACCF}" cxnId="{CBF326E1-4E7B-4A19-8655-E3B958536415}" type="sibTrans">
      <dgm:prSet/>
      <dgm:spPr/>
      <dgm:t>
        <a:bodyPr/>
        <a:p>
          <a:endParaRPr lang="zh-CN" altLang="en-US"/>
        </a:p>
      </dgm:t>
    </dgm:pt>
    <dgm:pt modelId="{BB499E30-9739-4148-BBF3-23F9522A72C0}" type="pres">
      <dgm:prSet presAssocID="{C1DAE35A-57D6-45C0-A052-8B7FF1FB8FC3}" presName="Name0" presStyleCnt="0">
        <dgm:presLayoutVars>
          <dgm:chPref val="1"/>
          <dgm:dir/>
          <dgm:animOne val="branch"/>
          <dgm:animLvl val="lvl"/>
          <dgm:resizeHandles val="exact"/>
        </dgm:presLayoutVars>
      </dgm:prSet>
      <dgm:spPr/>
      <dgm:t>
        <a:bodyPr/>
        <a:p>
          <a:endParaRPr lang="zh-CN" altLang="en-US"/>
        </a:p>
      </dgm:t>
    </dgm:pt>
    <dgm:pt modelId="{401C71F1-3F9D-4D22-B49B-C69F5CDA14F2}" type="pres">
      <dgm:prSet presAssocID="{B2F1174D-46D1-477A-B37C-9C8C0E589AE6}" presName="root1" presStyleCnt="0"/>
      <dgm:spPr/>
      <dgm:t>
        <a:bodyPr/>
        <a:p>
          <a:endParaRPr lang="zh-CN" altLang="en-US"/>
        </a:p>
      </dgm:t>
    </dgm:pt>
    <dgm:pt modelId="{DE806C72-42CC-4469-A0CD-A800CD91B9BE}" type="pres">
      <dgm:prSet presAssocID="{B2F1174D-46D1-477A-B37C-9C8C0E589AE6}" presName="LevelOneTextNode" presStyleLbl="node0" presStyleIdx="0" presStyleCnt="1" custAng="5400000" custScaleX="491540" custScaleY="79377">
        <dgm:presLayoutVars>
          <dgm:chPref val="3"/>
        </dgm:presLayoutVars>
      </dgm:prSet>
      <dgm:spPr/>
      <dgm:t>
        <a:bodyPr/>
        <a:p>
          <a:endParaRPr lang="zh-CN" altLang="en-US"/>
        </a:p>
      </dgm:t>
    </dgm:pt>
    <dgm:pt modelId="{6F021557-ACF6-4DEA-8CEF-24C618EDA07F}" type="pres">
      <dgm:prSet presAssocID="{B2F1174D-46D1-477A-B37C-9C8C0E589AE6}" presName="level2hierChild" presStyleCnt="0"/>
      <dgm:spPr/>
      <dgm:t>
        <a:bodyPr/>
        <a:p>
          <a:endParaRPr lang="zh-CN" altLang="en-US"/>
        </a:p>
      </dgm:t>
    </dgm:pt>
    <dgm:pt modelId="{2E0AED11-B379-48E7-BD45-017FA6319F66}" type="pres">
      <dgm:prSet presAssocID="{847CDF12-6A8C-491D-BD54-B10CE15CEE7B}" presName="conn2-1" presStyleLbl="parChTrans1D2" presStyleIdx="0" presStyleCnt="7"/>
      <dgm:spPr/>
      <dgm:t>
        <a:bodyPr/>
        <a:p>
          <a:endParaRPr lang="zh-CN" altLang="en-US"/>
        </a:p>
      </dgm:t>
    </dgm:pt>
    <dgm:pt modelId="{5DA62097-F632-44EC-8DDA-6D6D932140FB}" type="pres">
      <dgm:prSet presAssocID="{847CDF12-6A8C-491D-BD54-B10CE15CEE7B}" presName="connTx" presStyleLbl="parChTrans1D2" presStyleIdx="0" presStyleCnt="7"/>
      <dgm:spPr/>
      <dgm:t>
        <a:bodyPr/>
        <a:p>
          <a:endParaRPr lang="zh-CN" altLang="en-US"/>
        </a:p>
      </dgm:t>
    </dgm:pt>
    <dgm:pt modelId="{0AB88E7C-69EB-43C1-8348-8920EDD8D74F}" type="pres">
      <dgm:prSet presAssocID="{EB4E8CAA-9BF1-48BC-BE89-AB867E19F73F}" presName="root2" presStyleCnt="0"/>
      <dgm:spPr/>
      <dgm:t>
        <a:bodyPr/>
        <a:p>
          <a:endParaRPr lang="zh-CN" altLang="en-US"/>
        </a:p>
      </dgm:t>
    </dgm:pt>
    <dgm:pt modelId="{BB0A545A-0799-4760-A8D6-DA5363982382}" type="pres">
      <dgm:prSet presAssocID="{EB4E8CAA-9BF1-48BC-BE89-AB867E19F73F}" presName="LevelTwoTextNode" presStyleLbl="node2" presStyleIdx="0" presStyleCnt="7" custScaleX="222712">
        <dgm:presLayoutVars>
          <dgm:chPref val="3"/>
        </dgm:presLayoutVars>
      </dgm:prSet>
      <dgm:spPr/>
      <dgm:t>
        <a:bodyPr/>
        <a:p>
          <a:endParaRPr lang="zh-CN" altLang="en-US"/>
        </a:p>
      </dgm:t>
    </dgm:pt>
    <dgm:pt modelId="{CFFF88F2-330F-4B94-A484-7FBC668482F3}" type="pres">
      <dgm:prSet presAssocID="{EB4E8CAA-9BF1-48BC-BE89-AB867E19F73F}" presName="level3hierChild" presStyleCnt="0"/>
      <dgm:spPr/>
      <dgm:t>
        <a:bodyPr/>
        <a:p>
          <a:endParaRPr lang="zh-CN" altLang="en-US"/>
        </a:p>
      </dgm:t>
    </dgm:pt>
    <dgm:pt modelId="{F9DBFD20-8207-4D44-A480-858899E6F7CC}" type="pres">
      <dgm:prSet presAssocID="{285407E5-28DD-438B-9BC7-89793E7D3790}" presName="conn2-1" presStyleLbl="parChTrans1D2" presStyleIdx="1" presStyleCnt="7"/>
      <dgm:spPr/>
      <dgm:t>
        <a:bodyPr/>
        <a:p>
          <a:endParaRPr lang="zh-CN" altLang="en-US"/>
        </a:p>
      </dgm:t>
    </dgm:pt>
    <dgm:pt modelId="{6091E954-EBD4-49B3-9C5E-67F6FBA15D6B}" type="pres">
      <dgm:prSet presAssocID="{285407E5-28DD-438B-9BC7-89793E7D3790}" presName="connTx" presStyleLbl="parChTrans1D2" presStyleIdx="1" presStyleCnt="7"/>
      <dgm:spPr/>
      <dgm:t>
        <a:bodyPr/>
        <a:p>
          <a:endParaRPr lang="zh-CN" altLang="en-US"/>
        </a:p>
      </dgm:t>
    </dgm:pt>
    <dgm:pt modelId="{05C9785C-9932-4CF9-8621-DC08EC9C3E49}" type="pres">
      <dgm:prSet presAssocID="{849D884B-A39D-4C4B-B288-579496EE1D18}" presName="root2" presStyleCnt="0"/>
      <dgm:spPr/>
      <dgm:t>
        <a:bodyPr/>
        <a:p>
          <a:endParaRPr lang="zh-CN" altLang="en-US"/>
        </a:p>
      </dgm:t>
    </dgm:pt>
    <dgm:pt modelId="{2B21CAA4-FBDB-40D2-817A-B8ED447CA5CB}" type="pres">
      <dgm:prSet presAssocID="{849D884B-A39D-4C4B-B288-579496EE1D18}" presName="LevelTwoTextNode" presStyleLbl="node2" presStyleIdx="1" presStyleCnt="7" custScaleX="222712">
        <dgm:presLayoutVars>
          <dgm:chPref val="3"/>
        </dgm:presLayoutVars>
      </dgm:prSet>
      <dgm:spPr/>
      <dgm:t>
        <a:bodyPr/>
        <a:p>
          <a:endParaRPr lang="zh-CN" altLang="en-US"/>
        </a:p>
      </dgm:t>
    </dgm:pt>
    <dgm:pt modelId="{E490DFD1-67F1-4C5A-B98B-296D3FB41BB0}" type="pres">
      <dgm:prSet presAssocID="{849D884B-A39D-4C4B-B288-579496EE1D18}" presName="level3hierChild" presStyleCnt="0"/>
      <dgm:spPr/>
      <dgm:t>
        <a:bodyPr/>
        <a:p>
          <a:endParaRPr lang="zh-CN" altLang="en-US"/>
        </a:p>
      </dgm:t>
    </dgm:pt>
    <dgm:pt modelId="{1E958E45-E8A3-4DA0-8E80-BB61BDB45C63}" type="pres">
      <dgm:prSet presAssocID="{02B04E6B-2FD8-4697-B73E-B5256D9308B0}" presName="conn2-1" presStyleLbl="parChTrans1D2" presStyleIdx="2" presStyleCnt="7"/>
      <dgm:spPr/>
      <dgm:t>
        <a:bodyPr/>
        <a:p>
          <a:endParaRPr lang="zh-CN" altLang="en-US"/>
        </a:p>
      </dgm:t>
    </dgm:pt>
    <dgm:pt modelId="{6A3A000F-BC63-4CF3-9D6F-D7BC531EBFAA}" type="pres">
      <dgm:prSet presAssocID="{02B04E6B-2FD8-4697-B73E-B5256D9308B0}" presName="connTx" presStyleLbl="parChTrans1D2" presStyleIdx="2" presStyleCnt="7"/>
      <dgm:spPr/>
      <dgm:t>
        <a:bodyPr/>
        <a:p>
          <a:endParaRPr lang="zh-CN" altLang="en-US"/>
        </a:p>
      </dgm:t>
    </dgm:pt>
    <dgm:pt modelId="{1DA03FA8-0202-4366-83A0-ED033EBDC661}" type="pres">
      <dgm:prSet presAssocID="{520E6EBB-3CFB-4FA2-AB63-8AE5AF1EE18C}" presName="root2" presStyleCnt="0"/>
      <dgm:spPr/>
      <dgm:t>
        <a:bodyPr/>
        <a:p>
          <a:endParaRPr lang="zh-CN" altLang="en-US"/>
        </a:p>
      </dgm:t>
    </dgm:pt>
    <dgm:pt modelId="{8A26A1E5-49B5-44F8-92FF-EB754B8B195C}" type="pres">
      <dgm:prSet presAssocID="{520E6EBB-3CFB-4FA2-AB63-8AE5AF1EE18C}" presName="LevelTwoTextNode" presStyleLbl="node2" presStyleIdx="2" presStyleCnt="7" custScaleX="222712">
        <dgm:presLayoutVars>
          <dgm:chPref val="3"/>
        </dgm:presLayoutVars>
      </dgm:prSet>
      <dgm:spPr/>
      <dgm:t>
        <a:bodyPr/>
        <a:p>
          <a:endParaRPr lang="zh-CN" altLang="en-US"/>
        </a:p>
      </dgm:t>
    </dgm:pt>
    <dgm:pt modelId="{C8031836-0182-4F78-8C5C-427200C095E8}" type="pres">
      <dgm:prSet presAssocID="{520E6EBB-3CFB-4FA2-AB63-8AE5AF1EE18C}" presName="level3hierChild" presStyleCnt="0"/>
      <dgm:spPr/>
      <dgm:t>
        <a:bodyPr/>
        <a:p>
          <a:endParaRPr lang="zh-CN" altLang="en-US"/>
        </a:p>
      </dgm:t>
    </dgm:pt>
    <dgm:pt modelId="{6AC1D632-F09A-4635-AF16-9AF30A05D3F8}" type="pres">
      <dgm:prSet presAssocID="{CD2F5767-53A3-471D-9C82-2E82D4F1842C}" presName="conn2-1" presStyleLbl="parChTrans1D2" presStyleIdx="3" presStyleCnt="7"/>
      <dgm:spPr/>
      <dgm:t>
        <a:bodyPr/>
        <a:p>
          <a:endParaRPr lang="zh-CN" altLang="en-US"/>
        </a:p>
      </dgm:t>
    </dgm:pt>
    <dgm:pt modelId="{A0643695-7C6B-4B84-8474-17D60882C57C}" type="pres">
      <dgm:prSet presAssocID="{CD2F5767-53A3-471D-9C82-2E82D4F1842C}" presName="connTx" presStyleLbl="parChTrans1D2" presStyleIdx="3" presStyleCnt="7"/>
      <dgm:spPr/>
      <dgm:t>
        <a:bodyPr/>
        <a:p>
          <a:endParaRPr lang="zh-CN" altLang="en-US"/>
        </a:p>
      </dgm:t>
    </dgm:pt>
    <dgm:pt modelId="{236C10C6-45F6-4A86-A093-A44662F20921}" type="pres">
      <dgm:prSet presAssocID="{C1FC9ED6-1DF1-4649-8093-EF14F0844A06}" presName="root2" presStyleCnt="0"/>
      <dgm:spPr/>
      <dgm:t>
        <a:bodyPr/>
        <a:p>
          <a:endParaRPr lang="zh-CN" altLang="en-US"/>
        </a:p>
      </dgm:t>
    </dgm:pt>
    <dgm:pt modelId="{85F7656E-477B-4C3A-99EC-0B8522472C56}" type="pres">
      <dgm:prSet presAssocID="{C1FC9ED6-1DF1-4649-8093-EF14F0844A06}" presName="LevelTwoTextNode" presStyleLbl="node2" presStyleIdx="3" presStyleCnt="7" custScaleX="222812">
        <dgm:presLayoutVars>
          <dgm:chPref val="3"/>
        </dgm:presLayoutVars>
      </dgm:prSet>
      <dgm:spPr/>
      <dgm:t>
        <a:bodyPr/>
        <a:p>
          <a:endParaRPr lang="zh-CN" altLang="en-US"/>
        </a:p>
      </dgm:t>
    </dgm:pt>
    <dgm:pt modelId="{8D544536-7CBA-463F-902D-509E9CBD6BB0}" type="pres">
      <dgm:prSet presAssocID="{C1FC9ED6-1DF1-4649-8093-EF14F0844A06}" presName="level3hierChild" presStyleCnt="0"/>
      <dgm:spPr/>
      <dgm:t>
        <a:bodyPr/>
        <a:p>
          <a:endParaRPr lang="zh-CN" altLang="en-US"/>
        </a:p>
      </dgm:t>
    </dgm:pt>
    <dgm:pt modelId="{7B9583D3-BB34-440C-AA42-683220BF6874}" type="pres">
      <dgm:prSet presAssocID="{25CDC75E-7672-42E2-9111-6104DE03D95A}" presName="conn2-1" presStyleLbl="parChTrans1D2" presStyleIdx="4" presStyleCnt="7"/>
      <dgm:spPr/>
      <dgm:t>
        <a:bodyPr/>
        <a:p>
          <a:endParaRPr lang="zh-CN" altLang="en-US"/>
        </a:p>
      </dgm:t>
    </dgm:pt>
    <dgm:pt modelId="{AA93D098-54B2-4358-8D5C-4DD76A365541}" type="pres">
      <dgm:prSet presAssocID="{25CDC75E-7672-42E2-9111-6104DE03D95A}" presName="connTx" presStyleLbl="parChTrans1D2" presStyleIdx="4" presStyleCnt="7"/>
      <dgm:spPr/>
      <dgm:t>
        <a:bodyPr/>
        <a:p>
          <a:endParaRPr lang="zh-CN" altLang="en-US"/>
        </a:p>
      </dgm:t>
    </dgm:pt>
    <dgm:pt modelId="{2E4E6A2A-8903-4378-8D8D-0A78B5D048C4}" type="pres">
      <dgm:prSet presAssocID="{09CA4FE4-B4FB-4D93-838A-E81DBE1AB189}" presName="root2" presStyleCnt="0"/>
      <dgm:spPr/>
      <dgm:t>
        <a:bodyPr/>
        <a:p>
          <a:endParaRPr lang="zh-CN" altLang="en-US"/>
        </a:p>
      </dgm:t>
    </dgm:pt>
    <dgm:pt modelId="{D7317AB1-76BF-427E-AC86-9A552A44589B}" type="pres">
      <dgm:prSet presAssocID="{09CA4FE4-B4FB-4D93-838A-E81DBE1AB189}" presName="LevelTwoTextNode" presStyleLbl="node2" presStyleIdx="4" presStyleCnt="7" custScaleX="222712">
        <dgm:presLayoutVars>
          <dgm:chPref val="3"/>
        </dgm:presLayoutVars>
      </dgm:prSet>
      <dgm:spPr/>
      <dgm:t>
        <a:bodyPr/>
        <a:p>
          <a:endParaRPr lang="zh-CN" altLang="en-US"/>
        </a:p>
      </dgm:t>
    </dgm:pt>
    <dgm:pt modelId="{6905E7D9-5CEF-479F-A18F-8F1931815CD2}" type="pres">
      <dgm:prSet presAssocID="{09CA4FE4-B4FB-4D93-838A-E81DBE1AB189}" presName="level3hierChild" presStyleCnt="0"/>
      <dgm:spPr/>
      <dgm:t>
        <a:bodyPr/>
        <a:p>
          <a:endParaRPr lang="zh-CN" altLang="en-US"/>
        </a:p>
      </dgm:t>
    </dgm:pt>
    <dgm:pt modelId="{CA25BFB8-05F5-4EEB-B29A-2499C6162FAF}" type="pres">
      <dgm:prSet presAssocID="{771116EB-F8F3-4145-8BBC-FBF0E41AD4CD}" presName="conn2-1" presStyleLbl="parChTrans1D2" presStyleIdx="5" presStyleCnt="7"/>
      <dgm:spPr/>
      <dgm:t>
        <a:bodyPr/>
        <a:p>
          <a:endParaRPr lang="zh-CN" altLang="en-US"/>
        </a:p>
      </dgm:t>
    </dgm:pt>
    <dgm:pt modelId="{2E39CBAE-4011-4867-9A39-305A6EA68FBB}" type="pres">
      <dgm:prSet presAssocID="{771116EB-F8F3-4145-8BBC-FBF0E41AD4CD}" presName="connTx" presStyleLbl="parChTrans1D2" presStyleIdx="5" presStyleCnt="7"/>
      <dgm:spPr/>
      <dgm:t>
        <a:bodyPr/>
        <a:p>
          <a:endParaRPr lang="zh-CN" altLang="en-US"/>
        </a:p>
      </dgm:t>
    </dgm:pt>
    <dgm:pt modelId="{E45969E5-20F5-4DE8-97F0-2A196C694F2B}" type="pres">
      <dgm:prSet presAssocID="{5B30847A-5BC9-468E-8A42-7BD532D9002A}" presName="root2" presStyleCnt="0"/>
      <dgm:spPr/>
      <dgm:t>
        <a:bodyPr/>
        <a:p>
          <a:endParaRPr lang="zh-CN" altLang="en-US"/>
        </a:p>
      </dgm:t>
    </dgm:pt>
    <dgm:pt modelId="{10DA494B-7B04-4AFA-9DD8-0992DA403F82}" type="pres">
      <dgm:prSet presAssocID="{5B30847A-5BC9-468E-8A42-7BD532D9002A}" presName="LevelTwoTextNode" presStyleLbl="node2" presStyleIdx="5" presStyleCnt="7" custScaleX="222712">
        <dgm:presLayoutVars>
          <dgm:chPref val="3"/>
        </dgm:presLayoutVars>
      </dgm:prSet>
      <dgm:spPr/>
      <dgm:t>
        <a:bodyPr/>
        <a:p>
          <a:endParaRPr lang="zh-CN" altLang="en-US"/>
        </a:p>
      </dgm:t>
    </dgm:pt>
    <dgm:pt modelId="{F66B129F-8E1A-4DC1-BB8F-39CF59077092}" type="pres">
      <dgm:prSet presAssocID="{5B30847A-5BC9-468E-8A42-7BD532D9002A}" presName="level3hierChild" presStyleCnt="0"/>
      <dgm:spPr/>
      <dgm:t>
        <a:bodyPr/>
        <a:p>
          <a:endParaRPr lang="zh-CN" altLang="en-US"/>
        </a:p>
      </dgm:t>
    </dgm:pt>
    <dgm:pt modelId="{23477F18-67A3-4374-8FE0-92A33DD4259E}" type="pres">
      <dgm:prSet presAssocID="{F4EE55F9-4C06-4BEF-950C-722F289B863A}" presName="conn2-1" presStyleLbl="parChTrans1D2" presStyleIdx="6" presStyleCnt="7"/>
      <dgm:spPr/>
      <dgm:t>
        <a:bodyPr/>
        <a:p>
          <a:endParaRPr lang="zh-CN" altLang="en-US"/>
        </a:p>
      </dgm:t>
    </dgm:pt>
    <dgm:pt modelId="{41B3C993-354D-46C4-B1EC-5CF23B667BBC}" type="pres">
      <dgm:prSet presAssocID="{F4EE55F9-4C06-4BEF-950C-722F289B863A}" presName="connTx" presStyleLbl="parChTrans1D2" presStyleIdx="6" presStyleCnt="7"/>
      <dgm:spPr/>
      <dgm:t>
        <a:bodyPr/>
        <a:p>
          <a:endParaRPr lang="zh-CN" altLang="en-US"/>
        </a:p>
      </dgm:t>
    </dgm:pt>
    <dgm:pt modelId="{4EF2E799-30AC-414C-B20C-232D78667A4A}" type="pres">
      <dgm:prSet presAssocID="{D35B6E4B-6A7E-4B80-82EF-1B6EEB73A482}" presName="root2" presStyleCnt="0"/>
      <dgm:spPr/>
      <dgm:t>
        <a:bodyPr/>
        <a:p>
          <a:endParaRPr lang="zh-CN" altLang="en-US"/>
        </a:p>
      </dgm:t>
    </dgm:pt>
    <dgm:pt modelId="{50824B1F-132E-4771-B8BA-7FC5FDC54E13}" type="pres">
      <dgm:prSet presAssocID="{D35B6E4B-6A7E-4B80-82EF-1B6EEB73A482}" presName="LevelTwoTextNode" presStyleLbl="node2" presStyleIdx="6" presStyleCnt="7" custScaleX="222712">
        <dgm:presLayoutVars>
          <dgm:chPref val="3"/>
        </dgm:presLayoutVars>
      </dgm:prSet>
      <dgm:spPr/>
      <dgm:t>
        <a:bodyPr/>
        <a:p>
          <a:endParaRPr lang="zh-CN" altLang="en-US"/>
        </a:p>
      </dgm:t>
    </dgm:pt>
    <dgm:pt modelId="{8EBCEE23-9643-4B70-B211-70AC42028D8D}" type="pres">
      <dgm:prSet presAssocID="{D35B6E4B-6A7E-4B80-82EF-1B6EEB73A482}" presName="level3hierChild" presStyleCnt="0"/>
      <dgm:spPr/>
      <dgm:t>
        <a:bodyPr/>
        <a:p>
          <a:endParaRPr lang="zh-CN" altLang="en-US"/>
        </a:p>
      </dgm:t>
    </dgm:pt>
  </dgm:ptLst>
  <dgm:cxnLst>
    <dgm:cxn modelId="{4D0B834A-8713-42D2-9960-B9691FA3C261}" type="presOf" srcId="{D35B6E4B-6A7E-4B80-82EF-1B6EEB73A482}" destId="{50824B1F-132E-4771-B8BA-7FC5FDC54E13}" srcOrd="0" destOrd="0" presId="urn:microsoft.com/office/officeart/2008/layout/HorizontalMultiLevelHierarchy"/>
    <dgm:cxn modelId="{96756CF3-DB64-4B05-B833-FCE13E55D910}" type="presOf" srcId="{285407E5-28DD-438B-9BC7-89793E7D3790}" destId="{6091E954-EBD4-49B3-9C5E-67F6FBA15D6B}" srcOrd="1" destOrd="0" presId="urn:microsoft.com/office/officeart/2008/layout/HorizontalMultiLevelHierarchy"/>
    <dgm:cxn modelId="{B62DCB50-E57B-42A2-8839-A824870B8956}" type="presOf" srcId="{C1DAE35A-57D6-45C0-A052-8B7FF1FB8FC3}" destId="{BB499E30-9739-4148-BBF3-23F9522A72C0}" srcOrd="0" destOrd="0" presId="urn:microsoft.com/office/officeart/2008/layout/HorizontalMultiLevelHierarchy"/>
    <dgm:cxn modelId="{7C9C9C44-7E2F-48B9-9270-3817B62FEB8D}" type="presOf" srcId="{847CDF12-6A8C-491D-BD54-B10CE15CEE7B}" destId="{2E0AED11-B379-48E7-BD45-017FA6319F66}" srcOrd="0" destOrd="0" presId="urn:microsoft.com/office/officeart/2008/layout/HorizontalMultiLevelHierarchy"/>
    <dgm:cxn modelId="{45A59DD9-B59E-42FD-9D79-509F661B3013}" type="presOf" srcId="{F4EE55F9-4C06-4BEF-950C-722F289B863A}" destId="{41B3C993-354D-46C4-B1EC-5CF23B667BBC}" srcOrd="1" destOrd="0" presId="urn:microsoft.com/office/officeart/2008/layout/HorizontalMultiLevelHierarchy"/>
    <dgm:cxn modelId="{A0E6A5E9-7B00-434C-8072-2E9E6D98863D}" type="presOf" srcId="{C1FC9ED6-1DF1-4649-8093-EF14F0844A06}" destId="{85F7656E-477B-4C3A-99EC-0B8522472C56}" srcOrd="0" destOrd="0" presId="urn:microsoft.com/office/officeart/2008/layout/HorizontalMultiLevelHierarchy"/>
    <dgm:cxn modelId="{74E8D34D-D9CB-43F5-A4B3-04936E3D8D3B}" srcId="{B2F1174D-46D1-477A-B37C-9C8C0E589AE6}" destId="{D35B6E4B-6A7E-4B80-82EF-1B6EEB73A482}" srcOrd="6" destOrd="0" parTransId="{F4EE55F9-4C06-4BEF-950C-722F289B863A}" sibTransId="{20992F97-0B9A-4635-918C-08CB485BC386}"/>
    <dgm:cxn modelId="{7926D4A9-8320-4D73-9188-D2DD0DE80600}" srcId="{B2F1174D-46D1-477A-B37C-9C8C0E589AE6}" destId="{09CA4FE4-B4FB-4D93-838A-E81DBE1AB189}" srcOrd="4" destOrd="0" parTransId="{25CDC75E-7672-42E2-9111-6104DE03D95A}" sibTransId="{8F976AE7-92DA-47F7-9024-5AFF07B16F98}"/>
    <dgm:cxn modelId="{785E9EF4-B3BE-4829-919F-60ABF92975E0}" srcId="{B2F1174D-46D1-477A-B37C-9C8C0E589AE6}" destId="{849D884B-A39D-4C4B-B288-579496EE1D18}" srcOrd="1" destOrd="0" parTransId="{285407E5-28DD-438B-9BC7-89793E7D3790}" sibTransId="{29DE4CE3-80B4-4A71-85A6-DD4FF6D2D3B9}"/>
    <dgm:cxn modelId="{0A682011-E65D-4815-9187-1FEAF2FA9F66}" type="presOf" srcId="{02B04E6B-2FD8-4697-B73E-B5256D9308B0}" destId="{6A3A000F-BC63-4CF3-9D6F-D7BC531EBFAA}" srcOrd="1" destOrd="0" presId="urn:microsoft.com/office/officeart/2008/layout/HorizontalMultiLevelHierarchy"/>
    <dgm:cxn modelId="{85ECE170-8E0D-4769-9D2D-C9F6295B5DE3}" srcId="{B2F1174D-46D1-477A-B37C-9C8C0E589AE6}" destId="{520E6EBB-3CFB-4FA2-AB63-8AE5AF1EE18C}" srcOrd="2" destOrd="0" parTransId="{02B04E6B-2FD8-4697-B73E-B5256D9308B0}" sibTransId="{D2BD55FE-F69E-4C26-A781-D7F23EF085EE}"/>
    <dgm:cxn modelId="{CBF326E1-4E7B-4A19-8655-E3B958536415}" srcId="{B2F1174D-46D1-477A-B37C-9C8C0E589AE6}" destId="{C1FC9ED6-1DF1-4649-8093-EF14F0844A06}" srcOrd="3" destOrd="0" parTransId="{CD2F5767-53A3-471D-9C82-2E82D4F1842C}" sibTransId="{D0FAE478-CA92-4829-9469-71BDE805ACCF}"/>
    <dgm:cxn modelId="{3FCC6C75-A19B-408D-933E-02C358CDBC83}" type="presOf" srcId="{520E6EBB-3CFB-4FA2-AB63-8AE5AF1EE18C}" destId="{8A26A1E5-49B5-44F8-92FF-EB754B8B195C}" srcOrd="0" destOrd="0" presId="urn:microsoft.com/office/officeart/2008/layout/HorizontalMultiLevelHierarchy"/>
    <dgm:cxn modelId="{A45A5407-67D6-4C0E-9B55-7D02DE17A73B}" type="presOf" srcId="{02B04E6B-2FD8-4697-B73E-B5256D9308B0}" destId="{1E958E45-E8A3-4DA0-8E80-BB61BDB45C63}" srcOrd="0" destOrd="0" presId="urn:microsoft.com/office/officeart/2008/layout/HorizontalMultiLevelHierarchy"/>
    <dgm:cxn modelId="{629EDDD9-90A6-452B-8701-6B9ECFB8E0BD}" type="presOf" srcId="{285407E5-28DD-438B-9BC7-89793E7D3790}" destId="{F9DBFD20-8207-4D44-A480-858899E6F7CC}" srcOrd="0" destOrd="0" presId="urn:microsoft.com/office/officeart/2008/layout/HorizontalMultiLevelHierarchy"/>
    <dgm:cxn modelId="{13AA172C-446D-4BA8-A167-6124A4CBE69B}" type="presOf" srcId="{F4EE55F9-4C06-4BEF-950C-722F289B863A}" destId="{23477F18-67A3-4374-8FE0-92A33DD4259E}" srcOrd="0" destOrd="0" presId="urn:microsoft.com/office/officeart/2008/layout/HorizontalMultiLevelHierarchy"/>
    <dgm:cxn modelId="{16F4B45D-68CF-4FC9-A23E-3D5659CF12B2}" type="presOf" srcId="{847CDF12-6A8C-491D-BD54-B10CE15CEE7B}" destId="{5DA62097-F632-44EC-8DDA-6D6D932140FB}" srcOrd="1" destOrd="0" presId="urn:microsoft.com/office/officeart/2008/layout/HorizontalMultiLevelHierarchy"/>
    <dgm:cxn modelId="{3C6A350C-636A-418C-BC1B-C3E38BE4CEAB}" type="presOf" srcId="{849D884B-A39D-4C4B-B288-579496EE1D18}" destId="{2B21CAA4-FBDB-40D2-817A-B8ED447CA5CB}" srcOrd="0" destOrd="0" presId="urn:microsoft.com/office/officeart/2008/layout/HorizontalMultiLevelHierarchy"/>
    <dgm:cxn modelId="{8DF2963A-E785-4FC5-BBCE-206819D8CB15}" srcId="{B2F1174D-46D1-477A-B37C-9C8C0E589AE6}" destId="{5B30847A-5BC9-468E-8A42-7BD532D9002A}" srcOrd="5" destOrd="0" parTransId="{771116EB-F8F3-4145-8BBC-FBF0E41AD4CD}" sibTransId="{E3CEADAE-B91C-42A4-B045-349D0F2E865F}"/>
    <dgm:cxn modelId="{57FD6EC8-2E33-459A-B657-BD51F6E8BAC9}" type="presOf" srcId="{EB4E8CAA-9BF1-48BC-BE89-AB867E19F73F}" destId="{BB0A545A-0799-4760-A8D6-DA5363982382}" srcOrd="0" destOrd="0" presId="urn:microsoft.com/office/officeart/2008/layout/HorizontalMultiLevelHierarchy"/>
    <dgm:cxn modelId="{2A8E0E45-F9B4-4557-B245-265435769D66}" type="presOf" srcId="{B2F1174D-46D1-477A-B37C-9C8C0E589AE6}" destId="{DE806C72-42CC-4469-A0CD-A800CD91B9BE}" srcOrd="0" destOrd="0" presId="urn:microsoft.com/office/officeart/2008/layout/HorizontalMultiLevelHierarchy"/>
    <dgm:cxn modelId="{82B3A644-C1CC-473F-B56E-7AEC6E21C29F}" type="presOf" srcId="{25CDC75E-7672-42E2-9111-6104DE03D95A}" destId="{7B9583D3-BB34-440C-AA42-683220BF6874}" srcOrd="0" destOrd="0" presId="urn:microsoft.com/office/officeart/2008/layout/HorizontalMultiLevelHierarchy"/>
    <dgm:cxn modelId="{FDD9407B-0D04-4A1F-902E-16D68F54F1FB}" type="presOf" srcId="{25CDC75E-7672-42E2-9111-6104DE03D95A}" destId="{AA93D098-54B2-4358-8D5C-4DD76A365541}" srcOrd="1" destOrd="0" presId="urn:microsoft.com/office/officeart/2008/layout/HorizontalMultiLevelHierarchy"/>
    <dgm:cxn modelId="{30321139-3666-4145-838B-893EC42E7739}" type="presOf" srcId="{CD2F5767-53A3-471D-9C82-2E82D4F1842C}" destId="{6AC1D632-F09A-4635-AF16-9AF30A05D3F8}" srcOrd="0" destOrd="0" presId="urn:microsoft.com/office/officeart/2008/layout/HorizontalMultiLevelHierarchy"/>
    <dgm:cxn modelId="{E330CB45-8367-4552-8ADB-0FD6BF32AB84}" type="presOf" srcId="{09CA4FE4-B4FB-4D93-838A-E81DBE1AB189}" destId="{D7317AB1-76BF-427E-AC86-9A552A44589B}" srcOrd="0" destOrd="0" presId="urn:microsoft.com/office/officeart/2008/layout/HorizontalMultiLevelHierarchy"/>
    <dgm:cxn modelId="{75D85015-EB60-4F51-8C14-D7B9DEB8F40E}" srcId="{C1DAE35A-57D6-45C0-A052-8B7FF1FB8FC3}" destId="{B2F1174D-46D1-477A-B37C-9C8C0E589AE6}" srcOrd="0" destOrd="0" parTransId="{6F6777FC-3E4F-4A9A-8133-170D1F6E7852}" sibTransId="{8D56E7BB-29AF-4D87-B6D5-D29383869BD0}"/>
    <dgm:cxn modelId="{49DEEF94-7F99-48C9-8300-20197F1AD2BE}" srcId="{B2F1174D-46D1-477A-B37C-9C8C0E589AE6}" destId="{EB4E8CAA-9BF1-48BC-BE89-AB867E19F73F}" srcOrd="0" destOrd="0" parTransId="{847CDF12-6A8C-491D-BD54-B10CE15CEE7B}" sibTransId="{4368C996-0DEA-46CA-9EB3-2FF1C6E09E7D}"/>
    <dgm:cxn modelId="{7EF249DE-53D4-46D3-A7F3-241A0F6FF19D}" type="presOf" srcId="{771116EB-F8F3-4145-8BBC-FBF0E41AD4CD}" destId="{2E39CBAE-4011-4867-9A39-305A6EA68FBB}" srcOrd="1" destOrd="0" presId="urn:microsoft.com/office/officeart/2008/layout/HorizontalMultiLevelHierarchy"/>
    <dgm:cxn modelId="{9C873BC2-7E75-48E6-B50E-7AE6AB0C8156}" type="presOf" srcId="{771116EB-F8F3-4145-8BBC-FBF0E41AD4CD}" destId="{CA25BFB8-05F5-4EEB-B29A-2499C6162FAF}" srcOrd="0" destOrd="0" presId="urn:microsoft.com/office/officeart/2008/layout/HorizontalMultiLevelHierarchy"/>
    <dgm:cxn modelId="{7735B604-B051-4149-A9B2-FED86CDBDC68}" type="presOf" srcId="{CD2F5767-53A3-471D-9C82-2E82D4F1842C}" destId="{A0643695-7C6B-4B84-8474-17D60882C57C}" srcOrd="1" destOrd="0" presId="urn:microsoft.com/office/officeart/2008/layout/HorizontalMultiLevelHierarchy"/>
    <dgm:cxn modelId="{31474A22-2717-40BE-9AF0-4BCFAB0FE313}" type="presOf" srcId="{5B30847A-5BC9-468E-8A42-7BD532D9002A}" destId="{10DA494B-7B04-4AFA-9DD8-0992DA403F82}" srcOrd="0" destOrd="0" presId="urn:microsoft.com/office/officeart/2008/layout/HorizontalMultiLevelHierarchy"/>
    <dgm:cxn modelId="{08459E10-1D5F-4912-89AE-2C1D38E63052}" type="presParOf" srcId="{BB499E30-9739-4148-BBF3-23F9522A72C0}" destId="{401C71F1-3F9D-4D22-B49B-C69F5CDA14F2}" srcOrd="0" destOrd="0" presId="urn:microsoft.com/office/officeart/2008/layout/HorizontalMultiLevelHierarchy"/>
    <dgm:cxn modelId="{BEEDEA5F-394E-46D9-B330-F8333DD87E68}" type="presParOf" srcId="{401C71F1-3F9D-4D22-B49B-C69F5CDA14F2}" destId="{DE806C72-42CC-4469-A0CD-A800CD91B9BE}" srcOrd="0" destOrd="0" presId="urn:microsoft.com/office/officeart/2008/layout/HorizontalMultiLevelHierarchy"/>
    <dgm:cxn modelId="{D7C920FC-4F18-474E-97D0-5C19C882D631}" type="presParOf" srcId="{401C71F1-3F9D-4D22-B49B-C69F5CDA14F2}" destId="{6F021557-ACF6-4DEA-8CEF-24C618EDA07F}" srcOrd="1" destOrd="0" presId="urn:microsoft.com/office/officeart/2008/layout/HorizontalMultiLevelHierarchy"/>
    <dgm:cxn modelId="{F45EE644-43C6-428D-BC9B-612F478A3DEC}" type="presParOf" srcId="{6F021557-ACF6-4DEA-8CEF-24C618EDA07F}" destId="{2E0AED11-B379-48E7-BD45-017FA6319F66}" srcOrd="0" destOrd="0" presId="urn:microsoft.com/office/officeart/2008/layout/HorizontalMultiLevelHierarchy"/>
    <dgm:cxn modelId="{A0664634-AD3F-45A1-B2CE-BA8A523A51C1}" type="presParOf" srcId="{2E0AED11-B379-48E7-BD45-017FA6319F66}" destId="{5DA62097-F632-44EC-8DDA-6D6D932140FB}" srcOrd="0" destOrd="0" presId="urn:microsoft.com/office/officeart/2008/layout/HorizontalMultiLevelHierarchy"/>
    <dgm:cxn modelId="{3D4A0226-A85A-471B-9049-F6E086A27434}" type="presParOf" srcId="{6F021557-ACF6-4DEA-8CEF-24C618EDA07F}" destId="{0AB88E7C-69EB-43C1-8348-8920EDD8D74F}" srcOrd="1" destOrd="0" presId="urn:microsoft.com/office/officeart/2008/layout/HorizontalMultiLevelHierarchy"/>
    <dgm:cxn modelId="{B5FE518A-E013-4460-B09F-5080CA7C2CC4}" type="presParOf" srcId="{0AB88E7C-69EB-43C1-8348-8920EDD8D74F}" destId="{BB0A545A-0799-4760-A8D6-DA5363982382}" srcOrd="0" destOrd="0" presId="urn:microsoft.com/office/officeart/2008/layout/HorizontalMultiLevelHierarchy"/>
    <dgm:cxn modelId="{76F7AE39-7969-4F1D-8A1A-E0B1B1ED9767}" type="presParOf" srcId="{0AB88E7C-69EB-43C1-8348-8920EDD8D74F}" destId="{CFFF88F2-330F-4B94-A484-7FBC668482F3}" srcOrd="1" destOrd="0" presId="urn:microsoft.com/office/officeart/2008/layout/HorizontalMultiLevelHierarchy"/>
    <dgm:cxn modelId="{C76C110F-B391-459E-BCB0-A387F9F07404}" type="presParOf" srcId="{6F021557-ACF6-4DEA-8CEF-24C618EDA07F}" destId="{F9DBFD20-8207-4D44-A480-858899E6F7CC}" srcOrd="2" destOrd="0" presId="urn:microsoft.com/office/officeart/2008/layout/HorizontalMultiLevelHierarchy"/>
    <dgm:cxn modelId="{A4D80F9C-FA56-4852-AC13-CDE94FE1AD44}" type="presParOf" srcId="{F9DBFD20-8207-4D44-A480-858899E6F7CC}" destId="{6091E954-EBD4-49B3-9C5E-67F6FBA15D6B}" srcOrd="0" destOrd="0" presId="urn:microsoft.com/office/officeart/2008/layout/HorizontalMultiLevelHierarchy"/>
    <dgm:cxn modelId="{D45EDBD6-7C13-4C4B-AFF6-1D422480404B}" type="presParOf" srcId="{6F021557-ACF6-4DEA-8CEF-24C618EDA07F}" destId="{05C9785C-9932-4CF9-8621-DC08EC9C3E49}" srcOrd="3" destOrd="0" presId="urn:microsoft.com/office/officeart/2008/layout/HorizontalMultiLevelHierarchy"/>
    <dgm:cxn modelId="{3FFD2CD5-20A8-41D4-BD45-82FF545DFD46}" type="presParOf" srcId="{05C9785C-9932-4CF9-8621-DC08EC9C3E49}" destId="{2B21CAA4-FBDB-40D2-817A-B8ED447CA5CB}" srcOrd="0" destOrd="0" presId="urn:microsoft.com/office/officeart/2008/layout/HorizontalMultiLevelHierarchy"/>
    <dgm:cxn modelId="{BC56A7CE-6312-4032-8992-5D4428655E1A}" type="presParOf" srcId="{05C9785C-9932-4CF9-8621-DC08EC9C3E49}" destId="{E490DFD1-67F1-4C5A-B98B-296D3FB41BB0}" srcOrd="1" destOrd="0" presId="urn:microsoft.com/office/officeart/2008/layout/HorizontalMultiLevelHierarchy"/>
    <dgm:cxn modelId="{51BCBC28-A5BA-44F8-B98B-325FB7266D87}" type="presParOf" srcId="{6F021557-ACF6-4DEA-8CEF-24C618EDA07F}" destId="{1E958E45-E8A3-4DA0-8E80-BB61BDB45C63}" srcOrd="4" destOrd="0" presId="urn:microsoft.com/office/officeart/2008/layout/HorizontalMultiLevelHierarchy"/>
    <dgm:cxn modelId="{46F25912-A9E9-470B-BE80-931E7EF37DFB}" type="presParOf" srcId="{1E958E45-E8A3-4DA0-8E80-BB61BDB45C63}" destId="{6A3A000F-BC63-4CF3-9D6F-D7BC531EBFAA}" srcOrd="0" destOrd="0" presId="urn:microsoft.com/office/officeart/2008/layout/HorizontalMultiLevelHierarchy"/>
    <dgm:cxn modelId="{BDB37E31-9EFA-473C-94F4-11AEED9270B0}" type="presParOf" srcId="{6F021557-ACF6-4DEA-8CEF-24C618EDA07F}" destId="{1DA03FA8-0202-4366-83A0-ED033EBDC661}" srcOrd="5" destOrd="0" presId="urn:microsoft.com/office/officeart/2008/layout/HorizontalMultiLevelHierarchy"/>
    <dgm:cxn modelId="{F6A2CDE9-5755-4A7F-8CA5-C445EDDD2A1E}" type="presParOf" srcId="{1DA03FA8-0202-4366-83A0-ED033EBDC661}" destId="{8A26A1E5-49B5-44F8-92FF-EB754B8B195C}" srcOrd="0" destOrd="0" presId="urn:microsoft.com/office/officeart/2008/layout/HorizontalMultiLevelHierarchy"/>
    <dgm:cxn modelId="{9C199990-C37D-4306-955B-2BE4E4A9B12A}" type="presParOf" srcId="{1DA03FA8-0202-4366-83A0-ED033EBDC661}" destId="{C8031836-0182-4F78-8C5C-427200C095E8}" srcOrd="1" destOrd="0" presId="urn:microsoft.com/office/officeart/2008/layout/HorizontalMultiLevelHierarchy"/>
    <dgm:cxn modelId="{3065DCB9-7637-4343-B5F3-E33D5EFDDEA7}" type="presParOf" srcId="{6F021557-ACF6-4DEA-8CEF-24C618EDA07F}" destId="{6AC1D632-F09A-4635-AF16-9AF30A05D3F8}" srcOrd="6" destOrd="0" presId="urn:microsoft.com/office/officeart/2008/layout/HorizontalMultiLevelHierarchy"/>
    <dgm:cxn modelId="{A435E53B-A68C-451C-8E4F-92B5F31AEEEE}" type="presParOf" srcId="{6AC1D632-F09A-4635-AF16-9AF30A05D3F8}" destId="{A0643695-7C6B-4B84-8474-17D60882C57C}" srcOrd="0" destOrd="0" presId="urn:microsoft.com/office/officeart/2008/layout/HorizontalMultiLevelHierarchy"/>
    <dgm:cxn modelId="{7C8043BE-E587-467C-8676-E5E8394EAA39}" type="presParOf" srcId="{6F021557-ACF6-4DEA-8CEF-24C618EDA07F}" destId="{236C10C6-45F6-4A86-A093-A44662F20921}" srcOrd="7" destOrd="0" presId="urn:microsoft.com/office/officeart/2008/layout/HorizontalMultiLevelHierarchy"/>
    <dgm:cxn modelId="{9450C9B9-BDE3-4BFD-90E9-227276033172}" type="presParOf" srcId="{236C10C6-45F6-4A86-A093-A44662F20921}" destId="{85F7656E-477B-4C3A-99EC-0B8522472C56}" srcOrd="0" destOrd="0" presId="urn:microsoft.com/office/officeart/2008/layout/HorizontalMultiLevelHierarchy"/>
    <dgm:cxn modelId="{1485CD44-C4AB-42DD-8B78-3687034DF8A0}" type="presParOf" srcId="{236C10C6-45F6-4A86-A093-A44662F20921}" destId="{8D544536-7CBA-463F-902D-509E9CBD6BB0}" srcOrd="1" destOrd="0" presId="urn:microsoft.com/office/officeart/2008/layout/HorizontalMultiLevelHierarchy"/>
    <dgm:cxn modelId="{FF2E9974-D09F-406B-8601-F751116302B0}" type="presParOf" srcId="{6F021557-ACF6-4DEA-8CEF-24C618EDA07F}" destId="{7B9583D3-BB34-440C-AA42-683220BF6874}" srcOrd="8" destOrd="0" presId="urn:microsoft.com/office/officeart/2008/layout/HorizontalMultiLevelHierarchy"/>
    <dgm:cxn modelId="{F472D4F9-9E2F-4C3D-860E-BF78453598DD}" type="presParOf" srcId="{7B9583D3-BB34-440C-AA42-683220BF6874}" destId="{AA93D098-54B2-4358-8D5C-4DD76A365541}" srcOrd="0" destOrd="0" presId="urn:microsoft.com/office/officeart/2008/layout/HorizontalMultiLevelHierarchy"/>
    <dgm:cxn modelId="{F143CA28-F046-40AF-8F0F-66B881DE4BD4}" type="presParOf" srcId="{6F021557-ACF6-4DEA-8CEF-24C618EDA07F}" destId="{2E4E6A2A-8903-4378-8D8D-0A78B5D048C4}" srcOrd="9" destOrd="0" presId="urn:microsoft.com/office/officeart/2008/layout/HorizontalMultiLevelHierarchy"/>
    <dgm:cxn modelId="{9A0FCE0A-2EEC-43DD-9EBD-40C50FA18C2D}" type="presParOf" srcId="{2E4E6A2A-8903-4378-8D8D-0A78B5D048C4}" destId="{D7317AB1-76BF-427E-AC86-9A552A44589B}" srcOrd="0" destOrd="0" presId="urn:microsoft.com/office/officeart/2008/layout/HorizontalMultiLevelHierarchy"/>
    <dgm:cxn modelId="{C0812E89-3499-41AB-9923-C8AE42D025AB}" type="presParOf" srcId="{2E4E6A2A-8903-4378-8D8D-0A78B5D048C4}" destId="{6905E7D9-5CEF-479F-A18F-8F1931815CD2}" srcOrd="1" destOrd="0" presId="urn:microsoft.com/office/officeart/2008/layout/HorizontalMultiLevelHierarchy"/>
    <dgm:cxn modelId="{C44CDC02-BE8A-4C14-9AB0-FA4F35A741DC}" type="presParOf" srcId="{6F021557-ACF6-4DEA-8CEF-24C618EDA07F}" destId="{CA25BFB8-05F5-4EEB-B29A-2499C6162FAF}" srcOrd="10" destOrd="0" presId="urn:microsoft.com/office/officeart/2008/layout/HorizontalMultiLevelHierarchy"/>
    <dgm:cxn modelId="{78408326-C752-406B-A270-B093D6D36B7E}" type="presParOf" srcId="{CA25BFB8-05F5-4EEB-B29A-2499C6162FAF}" destId="{2E39CBAE-4011-4867-9A39-305A6EA68FBB}" srcOrd="0" destOrd="0" presId="urn:microsoft.com/office/officeart/2008/layout/HorizontalMultiLevelHierarchy"/>
    <dgm:cxn modelId="{F1C109CE-156C-49F0-8F6B-08231AD96550}" type="presParOf" srcId="{6F021557-ACF6-4DEA-8CEF-24C618EDA07F}" destId="{E45969E5-20F5-4DE8-97F0-2A196C694F2B}" srcOrd="11" destOrd="0" presId="urn:microsoft.com/office/officeart/2008/layout/HorizontalMultiLevelHierarchy"/>
    <dgm:cxn modelId="{E0EBB4D9-F156-46AD-9FD2-FA96F03C1FFB}" type="presParOf" srcId="{E45969E5-20F5-4DE8-97F0-2A196C694F2B}" destId="{10DA494B-7B04-4AFA-9DD8-0992DA403F82}" srcOrd="0" destOrd="0" presId="urn:microsoft.com/office/officeart/2008/layout/HorizontalMultiLevelHierarchy"/>
    <dgm:cxn modelId="{61BF7EB2-41B8-4535-9692-D18EEF759FA4}" type="presParOf" srcId="{E45969E5-20F5-4DE8-97F0-2A196C694F2B}" destId="{F66B129F-8E1A-4DC1-BB8F-39CF59077092}" srcOrd="1" destOrd="0" presId="urn:microsoft.com/office/officeart/2008/layout/HorizontalMultiLevelHierarchy"/>
    <dgm:cxn modelId="{35F56853-2B4F-4372-B0B5-D189D6371122}" type="presParOf" srcId="{6F021557-ACF6-4DEA-8CEF-24C618EDA07F}" destId="{23477F18-67A3-4374-8FE0-92A33DD4259E}" srcOrd="12" destOrd="0" presId="urn:microsoft.com/office/officeart/2008/layout/HorizontalMultiLevelHierarchy"/>
    <dgm:cxn modelId="{AF0300B2-B336-4BB4-A8D0-0FBEF27DB224}" type="presParOf" srcId="{23477F18-67A3-4374-8FE0-92A33DD4259E}" destId="{41B3C993-354D-46C4-B1EC-5CF23B667BBC}" srcOrd="0" destOrd="0" presId="urn:microsoft.com/office/officeart/2008/layout/HorizontalMultiLevelHierarchy"/>
    <dgm:cxn modelId="{168C3710-1456-4AAD-B70A-A941533877E2}" type="presParOf" srcId="{6F021557-ACF6-4DEA-8CEF-24C618EDA07F}" destId="{4EF2E799-30AC-414C-B20C-232D78667A4A}" srcOrd="13" destOrd="0" presId="urn:microsoft.com/office/officeart/2008/layout/HorizontalMultiLevelHierarchy"/>
    <dgm:cxn modelId="{C30F4A13-BB3D-4D5D-A8DE-C3216DE48035}" type="presParOf" srcId="{4EF2E799-30AC-414C-B20C-232D78667A4A}" destId="{50824B1F-132E-4771-B8BA-7FC5FDC54E13}" srcOrd="0" destOrd="0" presId="urn:microsoft.com/office/officeart/2008/layout/HorizontalMultiLevelHierarchy"/>
    <dgm:cxn modelId="{F62E349C-51AF-4598-9672-FEF384087168}" type="presParOf" srcId="{4EF2E799-30AC-414C-B20C-232D78667A4A}" destId="{8EBCEE23-9643-4B70-B211-70AC42028D8D}" srcOrd="1" destOrd="0" presId="urn:microsoft.com/office/officeart/2008/layout/HorizontalMultiLevelHierarchy"/>
  </dgm:cxnLst>
  <dgm:bg/>
  <dgm:whole/>
</dgm:dataModel>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type="rect" r:blip="" rot="270">
                  <dgm:adjLst/>
                </dgm:shape>
              </dgm:if>
              <dgm:else name="Name11">
                <dgm:shape xmlns:r="http://schemas.openxmlformats.org/officeDocument/2006/relationships" type="rect" r:blip="" rot="90">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endSty" val="noArr"/>
                        <dgm:param type="connRout" val="bend"/>
                        <dgm:param type="begPts" val="midR"/>
                        <dgm:param type="endPts" val="midL"/>
                      </dgm:alg>
                    </dgm:if>
                    <dgm:else name="Name18">
                      <dgm:alg type="conn">
                        <dgm:param type="dim" val="1D"/>
                        <dgm:param type="endSty" val="noArr"/>
                        <dgm:param type="connRout" val="bend"/>
                        <dgm:param type="begPts" val="midL"/>
                        <dgm:param type="endPts" val="midR"/>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1">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jinhu.me</Company>
  <Pages>10</Pages>
  <Words>758</Words>
  <Characters>4327</Characters>
  <Lines>36</Lines>
  <Paragraphs>10</Paragraphs>
  <TotalTime>4</TotalTime>
  <ScaleCrop>false</ScaleCrop>
  <LinksUpToDate>false</LinksUpToDate>
  <CharactersWithSpaces>5075</CharactersWithSpaces>
  <Application>WPS Office_11.1.0.8806_F1E327BC-269C-435d-A152-05C5408002CA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2019-09-26T02:16:00Z</dcterms:created>
  <dc:creator>桓青</dc:creator>
  <cp:lastModifiedBy>Administrator</cp:lastModifiedBy>
  <dcterms:modified xsi:type="dcterms:W3CDTF">2019-09-26T02:36:56Z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