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000000"/>
          <w:spacing w:val="-16"/>
          <w:w w:val="90"/>
          <w:kern w:val="22"/>
          <w:sz w:val="60"/>
          <w:szCs w:val="60"/>
        </w:rPr>
      </w:pPr>
      <w:r>
        <w:rPr>
          <w:rFonts w:hint="eastAsia" w:ascii="黑体" w:hAnsi="黑体" w:eastAsia="黑体" w:cs="黑体"/>
          <w:b/>
          <w:bCs/>
          <w:color w:val="000000"/>
          <w:sz w:val="60"/>
          <w:szCs w:val="60"/>
          <w:shd w:val="clear" w:color="auto" w:fill="FFFFFF"/>
          <w:lang w:eastAsia="zh-CN"/>
        </w:rPr>
        <w:t>长葛市教育体育局中小学教学仪器设备采购项目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cs="宋体"/>
          <w:b/>
          <w:color w:val="000000"/>
          <w:sz w:val="28"/>
          <w:szCs w:val="28"/>
          <w:shd w:val="clear" w:color="auto" w:fill="FFFFFF"/>
          <w:lang w:eastAsia="zh-CN"/>
        </w:rPr>
        <w:t>长招采公字</w:t>
      </w:r>
      <w:r>
        <w:rPr>
          <w:rFonts w:hint="eastAsia" w:ascii="宋体" w:hAnsi="宋体" w:cs="宋体"/>
          <w:b/>
          <w:color w:val="000000"/>
          <w:sz w:val="32"/>
          <w:szCs w:val="32"/>
          <w:shd w:val="clear" w:color="auto" w:fill="FFFFFF"/>
          <w:lang w:val="en-US" w:eastAsia="zh-CN"/>
        </w:rPr>
        <w:t>【2019】</w:t>
      </w:r>
      <w:r>
        <w:rPr>
          <w:rFonts w:hint="eastAsia" w:ascii="宋体" w:hAnsi="宋体" w:cs="宋体"/>
          <w:b/>
          <w:color w:val="000000"/>
          <w:sz w:val="28"/>
          <w:szCs w:val="28"/>
          <w:shd w:val="clear" w:color="auto" w:fill="FFFFFF"/>
          <w:lang w:eastAsia="zh-CN"/>
        </w:rPr>
        <w:t>036号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宋体" w:hAnsi="宋体"/>
          <w:b/>
          <w:color w:val="000000"/>
          <w:sz w:val="32"/>
          <w:szCs w:val="32"/>
        </w:rPr>
        <w:t>长葛市教育体育局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b/>
          <w:color w:val="000000"/>
          <w:sz w:val="32"/>
          <w:szCs w:val="32"/>
          <w:lang w:eastAsia="zh-CN"/>
        </w:rPr>
        <w:t>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长葛市教育体育局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w:t>
      </w:r>
      <w:r>
        <w:rPr>
          <w:rFonts w:hint="eastAsia" w:cs="仿宋_GB2312" w:asciiTheme="minorEastAsia" w:hAnsiTheme="minorEastAsia" w:eastAsiaTheme="minorEastAsia"/>
          <w:color w:val="000000"/>
          <w:sz w:val="24"/>
          <w:szCs w:val="24"/>
          <w:shd w:val="clear" w:color="auto" w:fill="FFFFFF"/>
          <w:lang w:val="zh-CN"/>
        </w:rPr>
        <w:t>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 xml:space="preserve">036号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（四）项目主要内容、数量及要求：一标包：</w:t>
      </w:r>
      <w:r>
        <w:rPr>
          <w:rFonts w:hint="eastAsia" w:cs="仿宋_GB2312" w:asciiTheme="minorEastAsia" w:hAnsiTheme="minorEastAsia" w:eastAsiaTheme="minorEastAsia"/>
          <w:color w:val="000000"/>
          <w:sz w:val="24"/>
          <w:szCs w:val="24"/>
          <w:shd w:val="clear" w:color="auto" w:fill="FFFFFF"/>
          <w:lang w:val="en-US" w:eastAsia="zh-CN"/>
        </w:rPr>
        <w:t>60套心理咨询室设施设备采购；二标包：26套劳技教室设备采购，详细参数见采购文件。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一标包：1200000元，二标包：936000元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；“中国社会组织公共服务平台”网站（www.chinanpo.gov.cn）严重违法失信名单</w:t>
      </w:r>
      <w:r>
        <w:rPr>
          <w:rFonts w:hint="eastAsia" w:cs="仿宋_GB2312" w:asciiTheme="minorEastAsia" w:hAnsiTheme="minorEastAsia" w:eastAsiaTheme="minorEastAsia"/>
          <w:color w:val="000000"/>
          <w:sz w:val="24"/>
          <w:szCs w:val="24"/>
          <w:shd w:val="clear" w:color="auto" w:fill="FFFFFF"/>
          <w:lang w:val="zh-CN"/>
        </w:rPr>
        <w:t>的投标人；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（一）投标截止及开标时间：2019年</w:t>
      </w:r>
      <w:r>
        <w:rPr>
          <w:rFonts w:hint="eastAsia" w:cs="仿宋_GB2312" w:asciiTheme="minorEastAsia" w:hAnsiTheme="minorEastAsia" w:eastAsiaTheme="minorEastAsia"/>
          <w:color w:val="000000"/>
          <w:sz w:val="24"/>
          <w:szCs w:val="24"/>
          <w:u w:val="single"/>
          <w:lang w:val="en-US" w:eastAsia="zh-CN"/>
        </w:rPr>
        <w:t>10</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22</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09</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00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eastAsia="zh-CN"/>
        </w:rPr>
        <w:t>二</w:t>
      </w:r>
      <w:r>
        <w:rPr>
          <w:rFonts w:hint="eastAsia" w:cs="仿宋_GB2312" w:asciiTheme="minorEastAsia" w:hAnsiTheme="minorEastAsia" w:eastAsiaTheme="minorEastAsia"/>
          <w:color w:val="000000"/>
          <w:sz w:val="24"/>
          <w:szCs w:val="24"/>
        </w:rPr>
        <w:t>室（长葛市葛天大道东段商务区6#楼4楼</w:t>
      </w:r>
      <w:r>
        <w:rPr>
          <w:rFonts w:hint="eastAsia" w:cs="仿宋_GB2312" w:asciiTheme="minorEastAsia" w:hAnsiTheme="minorEastAsia" w:eastAsiaTheme="minorEastAsia"/>
          <w:color w:val="000000"/>
          <w:sz w:val="24"/>
          <w:szCs w:val="24"/>
          <w:lang w:val="en-US" w:eastAsia="zh-CN"/>
        </w:rPr>
        <w:t>409</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采购人：长葛市教育体育局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联系人：石科长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联系电话：03746110256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spacing w:line="360" w:lineRule="exact"/>
        <w:ind w:firstLine="480" w:firstLineChars="200"/>
        <w:rPr>
          <w:rFonts w:hint="eastAsia" w:cs="Arial" w:asciiTheme="minorEastAsia" w:hAnsiTheme="minorEastAsia"/>
          <w:color w:val="00000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sz w:val="24"/>
          <w:szCs w:val="24"/>
        </w:rPr>
      </w:pPr>
      <w:r>
        <w:rPr>
          <w:rFonts w:hint="eastAsia" w:ascii="宋体" w:hAnsi="宋体" w:eastAsia="宋体" w:cs="宋体"/>
          <w:b w:val="0"/>
          <w:i w:val="0"/>
          <w:color w:val="000000"/>
          <w:kern w:val="0"/>
          <w:sz w:val="24"/>
          <w:szCs w:val="24"/>
          <w:u w:val="none"/>
          <w:shd w:val="clear" w:fill="FFFFFF"/>
          <w:lang w:val="en-US" w:eastAsia="zh-CN" w:bidi="ar"/>
        </w:rPr>
        <w:t>二〇一九年九月</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p>
      <w:pP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lang w:eastAsia="zh-CN"/>
        </w:rPr>
        <w:t>一标包</w:t>
      </w:r>
    </w:p>
    <w:tbl>
      <w:tblPr>
        <w:tblStyle w:val="22"/>
        <w:tblpPr w:leftFromText="180" w:rightFromText="180" w:vertAnchor="text" w:horzAnchor="page" w:tblpX="1248" w:tblpY="792"/>
        <w:tblOverlap w:val="never"/>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47"/>
        <w:gridCol w:w="6194"/>
        <w:gridCol w:w="490"/>
        <w:gridCol w:w="58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noWrap w:val="0"/>
            <w:vAlign w:val="center"/>
          </w:tcPr>
          <w:p>
            <w:pPr>
              <w:widowControl/>
              <w:jc w:val="both"/>
              <w:rPr>
                <w:rFonts w:hint="eastAsia" w:ascii="宋体" w:hAnsi="宋体" w:eastAsia="宋体" w:cs="宋体"/>
                <w:kern w:val="0"/>
                <w:sz w:val="24"/>
                <w:szCs w:val="24"/>
              </w:rPr>
            </w:pPr>
            <w:bookmarkStart w:id="1" w:name="_Toc175644394"/>
            <w:bookmarkStart w:id="2" w:name="_Toc98579011"/>
            <w:bookmarkStart w:id="3" w:name="_Toc98035089"/>
            <w:bookmarkStart w:id="4" w:name="_Toc50276165"/>
            <w:bookmarkStart w:id="5" w:name="_Toc98580293"/>
            <w:bookmarkStart w:id="6" w:name="_Toc272497418"/>
            <w:bookmarkStart w:id="7" w:name="_Toc101843125"/>
            <w:bookmarkStart w:id="8" w:name="_Toc50276204"/>
            <w:bookmarkStart w:id="9" w:name="_Toc98579069"/>
            <w:bookmarkStart w:id="10" w:name="_Toc101951263"/>
            <w:bookmarkStart w:id="11" w:name="_Toc98579610"/>
            <w:bookmarkStart w:id="12" w:name="_Toc101775125"/>
            <w:bookmarkStart w:id="13" w:name="_Toc41884706"/>
            <w:bookmarkStart w:id="14" w:name="_Toc41723936"/>
            <w:bookmarkStart w:id="15" w:name="_Toc42313172"/>
            <w:bookmarkStart w:id="16" w:name="_Toc46308531"/>
            <w:bookmarkStart w:id="17" w:name="_Toc101771372"/>
            <w:bookmarkStart w:id="18" w:name="_Toc42394517"/>
            <w:bookmarkStart w:id="19" w:name="_Toc46308687"/>
            <w:bookmarkStart w:id="20" w:name="_Toc42394673"/>
            <w:r>
              <w:rPr>
                <w:rFonts w:hint="eastAsia" w:ascii="宋体" w:hAnsi="宋体" w:eastAsia="宋体" w:cs="宋体"/>
                <w:kern w:val="0"/>
                <w:sz w:val="24"/>
                <w:szCs w:val="24"/>
              </w:rPr>
              <w:t>序号</w:t>
            </w:r>
          </w:p>
        </w:tc>
        <w:tc>
          <w:tcPr>
            <w:tcW w:w="64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6194"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参数</w:t>
            </w:r>
          </w:p>
        </w:tc>
        <w:tc>
          <w:tcPr>
            <w:tcW w:w="490"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58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750"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心理挂图</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教育部心理健康教育指导纲要中的心理教育目标等内容开发，包括潜能、情绪、励志、人际、学习、自我意识等主题。以心理错觉图、不可能图形等系列经典心理学图片。营造心理健康教育氛围、给予学生积极心理暗示。</w:t>
            </w:r>
            <w:r>
              <w:rPr>
                <w:rFonts w:hint="eastAsia" w:ascii="宋体" w:hAnsi="宋体" w:eastAsia="宋体" w:cs="宋体"/>
                <w:color w:val="000000"/>
                <w:kern w:val="0"/>
                <w:sz w:val="24"/>
                <w:szCs w:val="24"/>
                <w:lang w:val="en-US" w:eastAsia="zh-CN"/>
              </w:rPr>
              <w:t>标准心理挂图构造，独特边框设计，</w:t>
            </w:r>
            <w:r>
              <w:rPr>
                <w:rFonts w:hint="eastAsia" w:ascii="宋体" w:hAnsi="宋体" w:eastAsia="宋体" w:cs="宋体"/>
                <w:color w:val="000000"/>
                <w:kern w:val="0"/>
                <w:sz w:val="24"/>
                <w:szCs w:val="24"/>
              </w:rPr>
              <w:t>尺寸大小：</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cm*</w:t>
            </w:r>
            <w:r>
              <w:rPr>
                <w:rFonts w:hint="eastAsia" w:ascii="宋体" w:hAnsi="宋体" w:eastAsia="宋体" w:cs="宋体"/>
                <w:color w:val="000000"/>
                <w:kern w:val="0"/>
                <w:sz w:val="24"/>
                <w:szCs w:val="24"/>
                <w:lang w:val="en-US" w:eastAsia="zh-CN"/>
              </w:rPr>
              <w:t>60</w:t>
            </w:r>
            <w:r>
              <w:rPr>
                <w:rFonts w:hint="eastAsia" w:ascii="宋体" w:hAnsi="宋体" w:eastAsia="宋体" w:cs="宋体"/>
                <w:color w:val="000000"/>
                <w:kern w:val="0"/>
                <w:sz w:val="24"/>
                <w:szCs w:val="24"/>
              </w:rPr>
              <w:t>cm ，挂图要求为正版作品。</w:t>
            </w:r>
          </w:p>
        </w:tc>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drawing>
                <wp:inline distT="0" distB="0" distL="114300" distR="114300">
                  <wp:extent cx="901065" cy="1085215"/>
                  <wp:effectExtent l="0" t="0" r="13335" b="1206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8"/>
                          <a:stretch>
                            <a:fillRect/>
                          </a:stretch>
                        </pic:blipFill>
                        <pic:spPr>
                          <a:xfrm>
                            <a:off x="0" y="0"/>
                            <a:ext cx="901065" cy="10852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490" w:type="dxa"/>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647" w:type="dxa"/>
            <w:shd w:val="clear" w:color="000000" w:fill="FFFFFF"/>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普及版心理沙盘</w:t>
            </w:r>
          </w:p>
          <w:p>
            <w:pPr>
              <w:widowControl/>
              <w:jc w:val="center"/>
              <w:rPr>
                <w:rFonts w:hint="eastAsia" w:ascii="宋体" w:hAnsi="宋体" w:eastAsia="宋体" w:cs="宋体"/>
                <w:color w:val="000000"/>
                <w:kern w:val="0"/>
                <w:sz w:val="24"/>
                <w:szCs w:val="24"/>
              </w:rPr>
            </w:pPr>
          </w:p>
        </w:tc>
        <w:tc>
          <w:tcPr>
            <w:tcW w:w="6194" w:type="dxa"/>
            <w:shd w:val="clear" w:color="000000" w:fill="FFFFFF"/>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沙箱1个【干沙箱，国际标准内径尺寸：57cm*72cm*7cm】，</w:t>
            </w: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沙柜1个【尺寸：160cm*90cm*30cm，五层九阶独特设计】，</w:t>
            </w: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箱支架1个，心理沙盘专业用沙10公斤，800个沙具（原创性沙具意象组合，内含专业原型结构），类型包括神灵类、埃及文化类、图腾文化类、印度文化类、基督文化类、佛教文化类、家庭人物类、普通人物类、职业人物类、风俗类、卡通动漫类、魔幻意象类、怪兽精灵类、军事类、日常用品类、食物食品类、房屋建筑类、材料类、交通类、阴影意象类、野生动物类、飞禽昆虫类、花草树木类、自然物质类、经典人物类、童话人物类、家居设施类、服装服饰类、餐具厨具类、乐器类、颜色几何图形类等；</w:t>
            </w:r>
            <w:r>
              <w:rPr>
                <w:rFonts w:hint="eastAsia" w:ascii="宋体" w:hAnsi="宋体" w:eastAsia="宋体" w:cs="宋体"/>
                <w:color w:val="000000"/>
                <w:kern w:val="0"/>
                <w:sz w:val="24"/>
                <w:szCs w:val="24"/>
                <w:lang w:val="en-US" w:eastAsia="zh-CN"/>
              </w:rPr>
              <w:t>沙盘管理软件1套，</w:t>
            </w:r>
            <w:r>
              <w:rPr>
                <w:rFonts w:hint="eastAsia" w:ascii="宋体" w:hAnsi="宋体" w:eastAsia="宋体" w:cs="宋体"/>
                <w:color w:val="000000"/>
                <w:kern w:val="0"/>
                <w:sz w:val="24"/>
                <w:szCs w:val="24"/>
              </w:rPr>
              <w:t>沙盘四件套：沙刷、沙铲、沙框、沙耙，沙盘指导手册1本+沙盘培训光盘2张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沙盘管理软件1套，赠送专业心理沙盘培训课程。</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bidi="ar-SA"/>
              </w:rPr>
              <w:drawing>
                <wp:inline distT="0" distB="0" distL="114300" distR="114300">
                  <wp:extent cx="901065" cy="1268095"/>
                  <wp:effectExtent l="0" t="0" r="1333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901065" cy="1268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宣泄器材</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一、组成：包含宣泄主体（1个）+固定底座1个+</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表情</w:t>
            </w:r>
            <w:r>
              <w:rPr>
                <w:rFonts w:hint="eastAsia" w:ascii="宋体" w:hAnsi="宋体" w:eastAsia="宋体" w:cs="宋体"/>
                <w:color w:val="000000"/>
                <w:kern w:val="0"/>
                <w:sz w:val="24"/>
                <w:szCs w:val="24"/>
                <w:lang w:val="en-US" w:eastAsia="zh-CN"/>
              </w:rPr>
              <w:t>宣泄球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个）。</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二、产品介绍</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根据小学生心理宣泄特点之勒温场理论，并结合儿童心理特点，产品以鲜艳多彩、趣味互动为特色。</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宣泄</w:t>
            </w:r>
            <w:r>
              <w:rPr>
                <w:rFonts w:hint="eastAsia" w:ascii="宋体" w:hAnsi="宋体" w:eastAsia="宋体" w:cs="宋体"/>
                <w:color w:val="000000"/>
                <w:kern w:val="0"/>
                <w:sz w:val="24"/>
                <w:szCs w:val="24"/>
                <w:lang w:val="en-US" w:eastAsia="zh-CN"/>
              </w:rPr>
              <w:t>柱根据小学生宣泄特点定制而成，避免人形宣泄对青少年的正强化。</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val="en-US" w:eastAsia="zh-CN"/>
              </w:rPr>
              <w:t>多种颜色的愤怒表情组合而成，柱形</w:t>
            </w:r>
            <w:r>
              <w:rPr>
                <w:rFonts w:hint="eastAsia" w:ascii="宋体" w:hAnsi="宋体" w:eastAsia="宋体" w:cs="宋体"/>
                <w:color w:val="000000"/>
                <w:kern w:val="0"/>
                <w:sz w:val="24"/>
                <w:szCs w:val="24"/>
              </w:rPr>
              <w:t>宣泄主体和梯型固定底座两部份组成。数量：1个。主体内层：抗击打，耐变形。</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主体中层：高回弹PU（环保聚氨酯），一次成型。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主体外层：涤纶橡胶复合材料，耐磨性高。</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固定底座：采用高密度聚乙烯精工处理，坚实牢固；超大容量底座，可注水、注沙，稳定性极佳。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多彩宣泄柱</w:t>
            </w:r>
            <w:r>
              <w:rPr>
                <w:rFonts w:hint="eastAsia" w:ascii="宋体" w:hAnsi="宋体" w:eastAsia="宋体" w:cs="宋体"/>
                <w:color w:val="000000"/>
                <w:kern w:val="0"/>
                <w:sz w:val="24"/>
                <w:szCs w:val="24"/>
              </w:rPr>
              <w:t>整体高度不低于1650mm，其中底座高度不低于700mm，宣泄主体不低于950mm  ；</w:t>
            </w:r>
            <w:r>
              <w:rPr>
                <w:rFonts w:hint="eastAsia" w:ascii="宋体" w:hAnsi="宋体" w:eastAsia="宋体" w:cs="宋体"/>
                <w:color w:val="000000"/>
                <w:kern w:val="0"/>
                <w:sz w:val="24"/>
                <w:szCs w:val="24"/>
                <w:lang w:val="en-US" w:eastAsia="zh-CN"/>
              </w:rPr>
              <w:t>鲜艳颜色不少于5种，</w:t>
            </w:r>
            <w:r>
              <w:rPr>
                <w:rFonts w:hint="eastAsia" w:ascii="宋体" w:hAnsi="宋体" w:eastAsia="宋体" w:cs="宋体"/>
                <w:color w:val="000000"/>
                <w:kern w:val="0"/>
                <w:sz w:val="24"/>
                <w:szCs w:val="24"/>
              </w:rPr>
              <w:t xml:space="preserve">  底座周长2000mm</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表情</w:t>
            </w:r>
            <w:r>
              <w:rPr>
                <w:rFonts w:hint="eastAsia" w:ascii="宋体" w:hAnsi="宋体" w:eastAsia="宋体" w:cs="宋体"/>
                <w:color w:val="000000"/>
                <w:kern w:val="0"/>
                <w:sz w:val="24"/>
                <w:szCs w:val="24"/>
                <w:lang w:val="en-US" w:eastAsia="zh-CN"/>
              </w:rPr>
              <w:t>宣泄球</w:t>
            </w:r>
            <w:r>
              <w:rPr>
                <w:rFonts w:hint="eastAsia" w:ascii="宋体" w:hAnsi="宋体" w:eastAsia="宋体" w:cs="宋体"/>
                <w:color w:val="000000"/>
                <w:kern w:val="0"/>
                <w:sz w:val="24"/>
                <w:szCs w:val="24"/>
              </w:rPr>
              <w:t>：不同面部表情，方便使用者根据情况选择；数量：</w:t>
            </w:r>
            <w:r>
              <w:rPr>
                <w:rFonts w:hint="eastAsia" w:ascii="宋体" w:hAnsi="宋体" w:eastAsia="宋体" w:cs="宋体"/>
                <w:color w:val="000000"/>
                <w:kern w:val="0"/>
                <w:sz w:val="24"/>
                <w:szCs w:val="24"/>
                <w:lang w:val="en-US" w:eastAsia="zh-CN"/>
              </w:rPr>
              <w:t>2个</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色彩为2种。</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75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bidi="ar-SA"/>
              </w:rPr>
              <w:drawing>
                <wp:inline distT="0" distB="0" distL="114300" distR="114300">
                  <wp:extent cx="484505" cy="1525270"/>
                  <wp:effectExtent l="0" t="0" r="3175" b="13970"/>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10"/>
                          <a:stretch>
                            <a:fillRect/>
                          </a:stretch>
                        </pic:blipFill>
                        <pic:spPr>
                          <a:xfrm>
                            <a:off x="0" y="0"/>
                            <a:ext cx="484505" cy="1525270"/>
                          </a:xfrm>
                          <a:prstGeom prst="rect">
                            <a:avLst/>
                          </a:prstGeom>
                          <a:noFill/>
                          <a:ln>
                            <a:noFill/>
                          </a:ln>
                        </pic:spPr>
                      </pic:pic>
                    </a:graphicData>
                  </a:graphic>
                </wp:inline>
              </w:drawing>
            </w:r>
            <w:r>
              <w:rPr>
                <w:rFonts w:hint="eastAsia" w:ascii="宋体" w:hAnsi="宋体" w:eastAsia="宋体" w:cs="宋体"/>
                <w:color w:val="000000"/>
                <w:kern w:val="0"/>
                <w:sz w:val="24"/>
                <w:szCs w:val="24"/>
                <w:lang w:val="en-US" w:eastAsia="zh-CN" w:bidi="ar-SA"/>
              </w:rPr>
              <w:drawing>
                <wp:inline distT="0" distB="0" distL="114300" distR="114300">
                  <wp:extent cx="901065" cy="327660"/>
                  <wp:effectExtent l="0" t="0" r="13335" b="7620"/>
                  <wp:docPr id="5" name="图片 4" descr="1552369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52369310(1)"/>
                          <pic:cNvPicPr>
                            <a:picLocks noChangeAspect="1"/>
                          </pic:cNvPicPr>
                        </pic:nvPicPr>
                        <pic:blipFill>
                          <a:blip r:embed="rId11"/>
                          <a:stretch>
                            <a:fillRect/>
                          </a:stretch>
                        </pic:blipFill>
                        <pic:spPr>
                          <a:xfrm>
                            <a:off x="0" y="0"/>
                            <a:ext cx="901065" cy="3276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宣泄手套</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材质：PU仿皮外套，乳胶、橡塑发泡模压成型，粘扣式。佩戴舒适。击打方便安全。</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2"/>
                <w:sz w:val="24"/>
                <w:szCs w:val="24"/>
                <w:lang w:val="en-US" w:eastAsia="zh-CN" w:bidi="ar-SA"/>
              </w:rPr>
              <w:drawing>
                <wp:inline distT="0" distB="0" distL="114300" distR="114300">
                  <wp:extent cx="969010" cy="985520"/>
                  <wp:effectExtent l="0" t="0" r="6350"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969010" cy="9855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宣泄挂图</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以宣泄、减压内容引导为主体，根据教育部心理健康教育指导纲要中的心理教育目标等内容开发，以卡通形象和积极心理学引导词为载体。营造心理健康教育氛围、给予学生积极心理暗示。尺寸大小：40cm*60cm ，材质：PVC，挂图要求为正版</w:t>
            </w:r>
            <w:r>
              <w:rPr>
                <w:rFonts w:hint="eastAsia" w:ascii="宋体" w:hAnsi="宋体" w:eastAsia="宋体" w:cs="宋体"/>
                <w:color w:val="000000"/>
                <w:kern w:val="0"/>
                <w:sz w:val="24"/>
                <w:szCs w:val="24"/>
                <w:lang w:val="en-US" w:eastAsia="zh-CN"/>
              </w:rPr>
              <w:t>高清</w:t>
            </w:r>
            <w:r>
              <w:rPr>
                <w:rFonts w:hint="eastAsia" w:ascii="宋体" w:hAnsi="宋体" w:eastAsia="宋体" w:cs="宋体"/>
                <w:color w:val="000000"/>
                <w:kern w:val="0"/>
                <w:sz w:val="24"/>
                <w:szCs w:val="24"/>
              </w:rPr>
              <w:t>作品。</w:t>
            </w:r>
          </w:p>
        </w:tc>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2"/>
                <w:sz w:val="24"/>
                <w:szCs w:val="24"/>
                <w:lang w:val="en-US" w:eastAsia="zh-CN" w:bidi="ar-SA"/>
              </w:rPr>
              <w:drawing>
                <wp:inline distT="0" distB="0" distL="114300" distR="114300">
                  <wp:extent cx="962660" cy="1200150"/>
                  <wp:effectExtent l="50165" t="39370" r="53975" b="406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lum bright="12000" contrast="42000"/>
                          </a:blip>
                          <a:stretch>
                            <a:fillRect/>
                          </a:stretch>
                        </pic:blipFill>
                        <pic:spPr>
                          <a:xfrm rot="300000">
                            <a:off x="0" y="0"/>
                            <a:ext cx="962660" cy="120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647" w:type="dxa"/>
            <w:noWrap w:val="0"/>
            <w:vAlign w:val="center"/>
          </w:tcPr>
          <w:p>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心理保健箱</w:t>
            </w:r>
          </w:p>
        </w:tc>
        <w:tc>
          <w:tcPr>
            <w:tcW w:w="6194" w:type="dxa"/>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材质：ABS材质，钢骨支撑，坚固耐用，流线设计，工业技术与心理技术的有效结合。</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尺寸：约111.3cm×77cm×62.5cm</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结构：顶部独特设计可以用于心理咨询台，也可以有效结合心理沙盘使用。底部采用带对角锁静音轮支持，便于移动和日常驻立使用。中部采用多层次多高度抽屉式设计。分别配备不同阶段心理咨询所需专业道具。</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功能：心理保健箱是心理咨询室日常实务操作必备设备，配备从初诊接待所需资料到每次咨询所需专业资料、测评量表等。结合当代心理咨询常用技术方法，融合心理投射技术、音乐治疗技术、家庭系统排列技术、催眠技术等多项技术，配备有专业心理咨询道具，依据荣格分析心理学理论和人本心理学理论研制，针对小学生年龄段所具有的心理特点，配备有操作指南及相应教学教案。心理保健箱可以使心理咨询日常工作快速开展，属于心理咨询室多功能操作箱。</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具体操作时可以辅助心理咨询室的心理沙盘进入心理课堂，使更多的学生能接触到心理咨询室专业设备，提升心理沙盘乃至心理咨询室的整体利用率。</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器材：心理咨询记录表、抽纸盒、录音笔、计时沙漏、催眠道具、奥尔夫乐器、家庭系统排列道具、心理投射道具等。道具总数不少于150个。</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台</w:t>
            </w:r>
          </w:p>
        </w:tc>
        <w:tc>
          <w:tcPr>
            <w:tcW w:w="1750" w:type="dxa"/>
            <w:noWrap w:val="0"/>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kern w:val="2"/>
                <w:sz w:val="24"/>
                <w:szCs w:val="24"/>
                <w:lang w:val="en-US" w:eastAsia="zh-CN" w:bidi="ar-SA"/>
              </w:rPr>
              <w:drawing>
                <wp:inline distT="0" distB="0" distL="114300" distR="114300">
                  <wp:extent cx="973455" cy="901700"/>
                  <wp:effectExtent l="0" t="0" r="190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973455" cy="901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64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团体心理辅导工具包</w:t>
            </w:r>
          </w:p>
          <w:p>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【小学户外版】</w:t>
            </w:r>
          </w:p>
        </w:tc>
        <w:tc>
          <w:tcPr>
            <w:tcW w:w="6194" w:type="dxa"/>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根据教育部心理健康教育指导纲要中的心理教育目标等内容开发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结合体验式培训及素质教育培训现状，定制小学生户外版本团体心理辅导课程器材箱。针对性的开发时间管理、情绪管理、意志锻炼、协作观念、思维训练等多种模块组合的心理活动。独特手提式设计，配有肩带，便于心理老师携带。材质：高密度牛津布+PE塑胶底；</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尺寸53cm*33cm*26cm；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项目名称：团队大拼图、</w:t>
            </w:r>
            <w:r>
              <w:rPr>
                <w:rFonts w:hint="eastAsia" w:ascii="宋体" w:hAnsi="宋体" w:eastAsia="宋体" w:cs="宋体"/>
                <w:color w:val="000000"/>
                <w:kern w:val="0"/>
                <w:sz w:val="24"/>
                <w:szCs w:val="24"/>
                <w:lang w:val="en-US" w:eastAsia="zh-CN"/>
              </w:rPr>
              <w:t>天网恢恢、</w:t>
            </w:r>
            <w:r>
              <w:rPr>
                <w:rFonts w:hint="eastAsia" w:ascii="宋体" w:hAnsi="宋体" w:eastAsia="宋体" w:cs="宋体"/>
                <w:color w:val="000000"/>
                <w:kern w:val="0"/>
                <w:sz w:val="24"/>
                <w:szCs w:val="24"/>
              </w:rPr>
              <w:t>驿站传书、月球行走、一圈到底、愚公移山、同进同退、穿越A4、盲阵、漫漫人生路、堵车、序列式、千手观音、孤岛求生、终极目标、大河之舞、能量传输、激情节拍、众志成城、赢跑、勇者无畏、突破封锁、汉诺塔、超音速、</w:t>
            </w:r>
            <w:r>
              <w:rPr>
                <w:rFonts w:hint="eastAsia" w:ascii="宋体" w:hAnsi="宋体" w:eastAsia="宋体" w:cs="宋体"/>
                <w:color w:val="000000"/>
                <w:kern w:val="0"/>
                <w:sz w:val="24"/>
                <w:szCs w:val="24"/>
                <w:lang w:val="en-US" w:eastAsia="zh-CN"/>
              </w:rPr>
              <w:t>无敌</w:t>
            </w:r>
            <w:r>
              <w:rPr>
                <w:rFonts w:hint="eastAsia" w:ascii="宋体" w:hAnsi="宋体" w:eastAsia="宋体" w:cs="宋体"/>
                <w:color w:val="000000"/>
                <w:kern w:val="0"/>
                <w:sz w:val="24"/>
                <w:szCs w:val="24"/>
              </w:rPr>
              <w:t>风火轮等近</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十多个团体活动项目。</w:t>
            </w:r>
            <w:r>
              <w:rPr>
                <w:rFonts w:hint="eastAsia" w:ascii="宋体" w:hAnsi="宋体" w:eastAsia="宋体" w:cs="宋体"/>
                <w:color w:val="000000"/>
                <w:kern w:val="0"/>
                <w:sz w:val="24"/>
                <w:szCs w:val="24"/>
                <w:lang w:val="en-US" w:eastAsia="zh-CN"/>
              </w:rPr>
              <w:t>含团体心理活动扑克、U型管、汉诺塔等不少于100件器材。</w:t>
            </w:r>
            <w:r>
              <w:rPr>
                <w:rFonts w:hint="eastAsia" w:ascii="宋体" w:hAnsi="宋体" w:eastAsia="宋体" w:cs="宋体"/>
                <w:color w:val="000000"/>
                <w:kern w:val="0"/>
                <w:sz w:val="24"/>
                <w:szCs w:val="24"/>
              </w:rPr>
              <w:t>可操作项目</w:t>
            </w:r>
            <w:r>
              <w:rPr>
                <w:rFonts w:hint="eastAsia" w:ascii="宋体" w:hAnsi="宋体" w:eastAsia="宋体" w:cs="宋体"/>
                <w:color w:val="000000"/>
                <w:kern w:val="0"/>
                <w:sz w:val="24"/>
                <w:szCs w:val="24"/>
                <w:lang w:val="en-US" w:eastAsia="zh-CN"/>
              </w:rPr>
              <w:t>游戏的</w:t>
            </w:r>
            <w:r>
              <w:rPr>
                <w:rFonts w:hint="eastAsia" w:ascii="宋体" w:hAnsi="宋体" w:eastAsia="宋体" w:cs="宋体"/>
                <w:color w:val="000000"/>
                <w:kern w:val="0"/>
                <w:sz w:val="24"/>
                <w:szCs w:val="24"/>
              </w:rPr>
              <w:t>数量</w:t>
            </w:r>
            <w:r>
              <w:rPr>
                <w:rFonts w:hint="eastAsia" w:ascii="宋体" w:hAnsi="宋体" w:eastAsia="宋体" w:cs="宋体"/>
                <w:color w:val="000000"/>
                <w:kern w:val="0"/>
                <w:sz w:val="24"/>
                <w:szCs w:val="24"/>
                <w:lang w:val="en-US" w:eastAsia="zh-CN"/>
              </w:rPr>
              <w:t>可</w:t>
            </w:r>
            <w:r>
              <w:rPr>
                <w:rFonts w:hint="eastAsia" w:ascii="宋体" w:hAnsi="宋体" w:eastAsia="宋体" w:cs="宋体"/>
                <w:color w:val="000000"/>
                <w:kern w:val="0"/>
                <w:sz w:val="24"/>
                <w:szCs w:val="24"/>
              </w:rPr>
              <w:t>达到80个，附有《团体心理辅导实用手册》一本</w:t>
            </w:r>
            <w:r>
              <w:rPr>
                <w:rFonts w:hint="eastAsia" w:ascii="宋体" w:hAnsi="宋体" w:eastAsia="宋体" w:cs="宋体"/>
                <w:color w:val="000000"/>
                <w:kern w:val="0"/>
                <w:sz w:val="24"/>
                <w:szCs w:val="24"/>
                <w:lang w:val="en-US" w:eastAsia="zh-CN"/>
              </w:rPr>
              <w:t>,每个活动均从项目名称、道具、适合人数、场地等角度详细介绍。中标后需</w:t>
            </w:r>
            <w:r>
              <w:rPr>
                <w:rFonts w:hint="eastAsia" w:ascii="宋体" w:hAnsi="宋体" w:eastAsia="宋体" w:cs="宋体"/>
                <w:color w:val="000000"/>
                <w:kern w:val="0"/>
                <w:sz w:val="24"/>
                <w:szCs w:val="24"/>
              </w:rPr>
              <w:t>赠送团体心理辅导现场培训课一场。</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套</w:t>
            </w:r>
          </w:p>
        </w:tc>
        <w:tc>
          <w:tcPr>
            <w:tcW w:w="175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drawing>
                <wp:inline distT="0" distB="0" distL="114300" distR="114300">
                  <wp:extent cx="1075055" cy="1056005"/>
                  <wp:effectExtent l="0" t="0" r="6985" b="10795"/>
                  <wp:docPr id="9" name="图片 8" descr="微信截图_2019031900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微信截图_20190319003548"/>
                          <pic:cNvPicPr>
                            <a:picLocks noChangeAspect="1"/>
                          </pic:cNvPicPr>
                        </pic:nvPicPr>
                        <pic:blipFill>
                          <a:blip r:embed="rId15"/>
                          <a:stretch>
                            <a:fillRect/>
                          </a:stretch>
                        </pic:blipFill>
                        <pic:spPr>
                          <a:xfrm>
                            <a:off x="0" y="0"/>
                            <a:ext cx="1075055" cy="1056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64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心理咨询专用沙发</w:t>
            </w:r>
          </w:p>
        </w:tc>
        <w:tc>
          <w:tcPr>
            <w:tcW w:w="6194"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结合心理咨询实际操作需求，定制款式心理咨询沙发。</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两个半圆形单人沙发，可背部倚靠、可手臂扶持，有抱枕可搂。整体给来访者以心理安全感、内心舒适感。</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参考规格：内部填充物 高密度海绵   </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框架：木骨架 </w:t>
            </w:r>
            <w:r>
              <w:rPr>
                <w:rFonts w:hint="eastAsia" w:ascii="宋体" w:hAnsi="宋体" w:eastAsia="宋体" w:cs="宋体"/>
                <w:sz w:val="24"/>
                <w:szCs w:val="24"/>
                <w:lang w:val="en-US" w:eastAsia="zh-CN"/>
              </w:rPr>
              <w:t>布艺</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形状: </w:t>
            </w:r>
            <w:r>
              <w:rPr>
                <w:rFonts w:hint="eastAsia" w:ascii="宋体" w:hAnsi="宋体" w:eastAsia="宋体" w:cs="宋体"/>
                <w:sz w:val="24"/>
                <w:szCs w:val="24"/>
                <w:lang w:val="en-US" w:eastAsia="zh-CN"/>
              </w:rPr>
              <w:t>半圆</w:t>
            </w:r>
            <w:r>
              <w:rPr>
                <w:rFonts w:hint="eastAsia" w:ascii="宋体" w:hAnsi="宋体" w:eastAsia="宋体" w:cs="宋体"/>
                <w:sz w:val="24"/>
                <w:szCs w:val="24"/>
                <w:lang w:eastAsia="zh-CN"/>
              </w:rPr>
              <w:t>形:</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花色：可调整</w:t>
            </w:r>
            <w:r>
              <w:rPr>
                <w:rFonts w:hint="eastAsia" w:ascii="宋体" w:hAnsi="宋体" w:eastAsia="宋体" w:cs="宋体"/>
                <w:sz w:val="24"/>
                <w:szCs w:val="24"/>
                <w:lang w:eastAsia="zh-CN"/>
              </w:rPr>
              <w:t xml:space="preserve"> </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组装款式定位: 经济型</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毛重: 10K</w:t>
            </w:r>
            <w:r>
              <w:rPr>
                <w:rFonts w:hint="eastAsia" w:ascii="宋体" w:hAnsi="宋体" w:eastAsia="宋体" w:cs="宋体"/>
                <w:sz w:val="24"/>
                <w:szCs w:val="24"/>
                <w:lang w:val="en-US" w:eastAsia="zh-CN"/>
              </w:rPr>
              <w:t>G</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套</w:t>
            </w:r>
          </w:p>
        </w:tc>
        <w:tc>
          <w:tcPr>
            <w:tcW w:w="175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2"/>
                <w:sz w:val="24"/>
                <w:szCs w:val="24"/>
                <w:lang w:val="en-US" w:eastAsia="zh-CN" w:bidi="ar-SA"/>
              </w:rPr>
              <w:drawing>
                <wp:anchor distT="0" distB="0" distL="114300" distR="114300" simplePos="0" relativeHeight="251659264" behindDoc="0" locked="0" layoutInCell="1" allowOverlap="1">
                  <wp:simplePos x="0" y="0"/>
                  <wp:positionH relativeFrom="page">
                    <wp:posOffset>276225</wp:posOffset>
                  </wp:positionH>
                  <wp:positionV relativeFrom="page">
                    <wp:posOffset>485140</wp:posOffset>
                  </wp:positionV>
                  <wp:extent cx="612140" cy="1089025"/>
                  <wp:effectExtent l="0" t="0" r="12700" b="8255"/>
                  <wp:wrapSquare wrapText="bothSides"/>
                  <wp:docPr id="10" name="图片 51" descr="微信图片_2018040312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微信图片_20180403124923"/>
                          <pic:cNvPicPr>
                            <a:picLocks noChangeAspect="1"/>
                          </pic:cNvPicPr>
                        </pic:nvPicPr>
                        <pic:blipFill>
                          <a:blip r:embed="rId16"/>
                          <a:stretch>
                            <a:fillRect/>
                          </a:stretch>
                        </pic:blipFill>
                        <pic:spPr>
                          <a:xfrm>
                            <a:off x="0" y="0"/>
                            <a:ext cx="612140" cy="1089025"/>
                          </a:xfrm>
                          <a:prstGeom prst="rect">
                            <a:avLst/>
                          </a:prstGeom>
                          <a:noFill/>
                          <a:ln>
                            <a:noFill/>
                          </a:ln>
                        </pic:spPr>
                      </pic:pic>
                    </a:graphicData>
                  </a:graphic>
                </wp:anchor>
              </w:drawing>
            </w:r>
          </w:p>
        </w:tc>
      </w:tr>
    </w:tbl>
    <w:p>
      <w:pPr>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以上为每套心理咨询室设施设备具体清单及参数要求；本项目招标数量：60套。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心理保健箱为一标包核心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其他要求</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rPr>
        <w:t>1、本项目为交钥匙工程（项目投标报价为总包价，包含货物采购、包装、运输、装卸、安装、备品备件、质保、税金等一切费用），如有招标文件中没有明确，而本项目必须的各种材料均应包括在本项目中，采购人不再另行进行支付有关款项。</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eastAsia="宋体"/>
          <w:sz w:val="24"/>
          <w:szCs w:val="24"/>
          <w:lang w:eastAsia="zh-CN"/>
        </w:rPr>
      </w:pPr>
      <w:r>
        <w:rPr>
          <w:rFonts w:hint="eastAsia"/>
          <w:sz w:val="24"/>
          <w:szCs w:val="24"/>
          <w:lang w:val="en-US" w:eastAsia="zh-CN"/>
        </w:rPr>
        <w:t>2</w:t>
      </w:r>
      <w:r>
        <w:rPr>
          <w:rFonts w:hint="eastAsia"/>
          <w:sz w:val="24"/>
          <w:szCs w:val="24"/>
        </w:rPr>
        <w:t>、售后免费服务和保修期</w:t>
      </w:r>
      <w:r>
        <w:rPr>
          <w:rFonts w:hint="eastAsia"/>
          <w:sz w:val="24"/>
          <w:szCs w:val="24"/>
          <w:lang w:eastAsia="zh-CN"/>
        </w:rPr>
        <w:t>为三年</w:t>
      </w:r>
      <w:r>
        <w:rPr>
          <w:rFonts w:hint="eastAsia"/>
          <w:sz w:val="24"/>
          <w:szCs w:val="24"/>
        </w:rPr>
        <w:t>，投标时需提供厂家售后服务承诺函原件。</w:t>
      </w:r>
      <w:r>
        <w:rPr>
          <w:rFonts w:hint="eastAsia"/>
          <w:sz w:val="24"/>
          <w:szCs w:val="24"/>
          <w:lang w:eastAsia="zh-CN"/>
        </w:rPr>
        <w:t>未提供的按照无效投标处理。</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lang w:val="en-US" w:eastAsia="zh-CN"/>
        </w:rPr>
        <w:t>3</w:t>
      </w:r>
      <w:r>
        <w:rPr>
          <w:rFonts w:hint="eastAsia"/>
          <w:sz w:val="24"/>
          <w:szCs w:val="24"/>
        </w:rPr>
        <w:t>、采购单位将从中标人所供货物中抽取一定比例的货物，</w:t>
      </w:r>
      <w:r>
        <w:rPr>
          <w:rFonts w:hint="eastAsia"/>
          <w:sz w:val="24"/>
          <w:szCs w:val="24"/>
          <w:lang w:eastAsia="zh-CN"/>
        </w:rPr>
        <w:t>安排专家</w:t>
      </w:r>
      <w:r>
        <w:rPr>
          <w:rFonts w:hint="eastAsia"/>
          <w:sz w:val="24"/>
          <w:szCs w:val="24"/>
        </w:rPr>
        <w:t>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lang w:val="en-US" w:eastAsia="zh-CN"/>
        </w:rPr>
        <w:t>4</w:t>
      </w:r>
      <w:r>
        <w:rPr>
          <w:rFonts w:hint="eastAsia"/>
          <w:sz w:val="24"/>
          <w:szCs w:val="24"/>
        </w:rPr>
        <w:t>、付款方式（不响应者为无效投标）</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lang w:eastAsia="zh-CN"/>
        </w:rPr>
      </w:pPr>
      <w:r>
        <w:rPr>
          <w:rFonts w:hint="eastAsia"/>
          <w:sz w:val="24"/>
          <w:szCs w:val="24"/>
        </w:rPr>
        <w:t>经验收合格后支付合同总价款的9</w:t>
      </w:r>
      <w:r>
        <w:rPr>
          <w:rFonts w:hint="eastAsia"/>
          <w:sz w:val="24"/>
          <w:szCs w:val="24"/>
          <w:lang w:val="en-US" w:eastAsia="zh-CN"/>
        </w:rPr>
        <w:t>0</w:t>
      </w:r>
      <w:r>
        <w:rPr>
          <w:rFonts w:hint="eastAsia"/>
          <w:sz w:val="24"/>
          <w:szCs w:val="24"/>
        </w:rPr>
        <w:t>%，剩余</w:t>
      </w:r>
      <w:r>
        <w:rPr>
          <w:rFonts w:hint="eastAsia"/>
          <w:sz w:val="24"/>
          <w:szCs w:val="24"/>
          <w:lang w:val="en-US" w:eastAsia="zh-CN"/>
        </w:rPr>
        <w:t>10</w:t>
      </w:r>
      <w:r>
        <w:rPr>
          <w:rFonts w:hint="eastAsia"/>
          <w:sz w:val="24"/>
          <w:szCs w:val="24"/>
        </w:rPr>
        <w:t>%满</w:t>
      </w:r>
      <w:r>
        <w:rPr>
          <w:rFonts w:hint="eastAsia"/>
          <w:sz w:val="24"/>
          <w:szCs w:val="24"/>
          <w:lang w:eastAsia="zh-CN"/>
        </w:rPr>
        <w:t>半</w:t>
      </w:r>
      <w:r>
        <w:rPr>
          <w:rFonts w:hint="eastAsia"/>
          <w:sz w:val="24"/>
          <w:szCs w:val="24"/>
        </w:rPr>
        <w:t>年无质量问题一次付</w:t>
      </w:r>
      <w:r>
        <w:rPr>
          <w:rFonts w:hint="eastAsia"/>
          <w:sz w:val="24"/>
          <w:szCs w:val="24"/>
          <w:lang w:eastAsia="zh-CN"/>
        </w:rPr>
        <w:t>清</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5、供货完毕后，免费进行专业心理沙盘培训和团体心理辅导现场培训，在保障心理硬件设备的同时，增强心理软件技术。软硬件的结合，让心理咨询在教学工作中得到广泛应用。</w:t>
      </w:r>
    </w:p>
    <w:p>
      <w:pPr>
        <w:rPr>
          <w:sz w:val="24"/>
          <w:szCs w:val="24"/>
        </w:rPr>
      </w:pP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numPr>
          <w:ilvl w:val="0"/>
          <w:numId w:val="0"/>
        </w:numPr>
        <w:rPr>
          <w:rFonts w:hint="eastAsia"/>
          <w:sz w:val="24"/>
          <w:szCs w:val="24"/>
        </w:rPr>
      </w:pPr>
    </w:p>
    <w:p>
      <w:pPr>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tblPr>
        <w:tblStyle w:val="22"/>
        <w:tblW w:w="10290" w:type="dxa"/>
        <w:jc w:val="center"/>
        <w:tblInd w:w="-870" w:type="dxa"/>
        <w:shd w:val="clear" w:color="auto" w:fill="auto"/>
        <w:tblLayout w:type="fixed"/>
        <w:tblCellMar>
          <w:top w:w="0" w:type="dxa"/>
          <w:left w:w="0" w:type="dxa"/>
          <w:bottom w:w="0" w:type="dxa"/>
          <w:right w:w="0" w:type="dxa"/>
        </w:tblCellMar>
      </w:tblPr>
      <w:tblGrid>
        <w:gridCol w:w="825"/>
        <w:gridCol w:w="930"/>
        <w:gridCol w:w="6868"/>
        <w:gridCol w:w="786"/>
        <w:gridCol w:w="881"/>
      </w:tblGrid>
      <w:tr>
        <w:tblPrEx>
          <w:shd w:val="clear" w:color="auto" w:fill="auto"/>
          <w:tblLayout w:type="fixed"/>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8"/>
                <w:szCs w:val="28"/>
                <w:u w:val="none"/>
                <w:lang w:val="en-US" w:eastAsia="zh-CN" w:bidi="ar"/>
              </w:rPr>
              <w:t>二标包：</w:t>
            </w:r>
          </w:p>
        </w:tc>
      </w:tr>
      <w:tr>
        <w:tblPrEx>
          <w:tblLayout w:type="fixed"/>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42座劳技教室配备标准</w:t>
            </w:r>
          </w:p>
        </w:tc>
      </w:tr>
      <w:tr>
        <w:tblPrEx>
          <w:tblLayout w:type="fixed"/>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Layout w:type="fixed"/>
          <w:tblCellMar>
            <w:top w:w="0" w:type="dxa"/>
            <w:left w:w="0" w:type="dxa"/>
            <w:bottom w:w="0" w:type="dxa"/>
            <w:right w:w="0" w:type="dxa"/>
          </w:tblCellMar>
        </w:tblPrEx>
        <w:trPr>
          <w:trHeight w:val="16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演示讲台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规格：2400mm×700mm×800mm（±50mm）</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台面：台面：采用12.7mm厚双面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2-1：化学性能：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满足以下化学试剂：硝酸（65%）、硫酸（98%）、盐酸（37%）、二甲基甲酰胺、二恶烷、乙醚、甲酸（90%）、糠醛、四氢呋喃等52项化学试剂检测，检验结果均为无明显变化，分级结果为“5级”。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2-2：物理检测性能：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①静曲强度：92.9MPa； ②弹性模量：7040MPa；③密度：1.38g/cm3；④24h吸水率%：0.3；⑤尺寸稳定性%：0.1（干热）；⑥漆膜附着力级：0级-切割边缘完全平滑无脱落；⑦漆膜硬度：大于6H；⑧抗冲击性能：6.1MM（落球高度1米）；⑨表面耐龟裂：5级-用6倍放大镜观察表面无裂纹；⑩表面耐香烟灼烧：5级-无明显变化；⑪表面耐干热：5级-无明显变化；⑫表面耐划痕：2.5N作用下试件表面无大于90%的连续划痕；⑬表面耐温热性能：5级-无明显变化；⑭表面耐磨性能：磨耗值0.07mg/100r，表面情况-磨350转以后无露底现象；⑮耐光色牢度：4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2-3：环保性能：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①重金属含量（限色漆）mg/kg——铅：1.7；镉：未检出；铬：0.4；汞：未检出；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②甲醛释放量mg/ m3 （1m3气候箱法）——0.03（E1级标准《0.124》。</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2-4：抗菌性能：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大肠杆菌ATCC8739，抗菌活性值5.8，抗菌率&gt;99%以上；*金黄色葡萄球菌ATCC6538P，抗菌活性值&gt;4.8，抗菌率&gt;99%以上；*铜绿假单胞菌ATCC9027，抗菌活性值1.8，抗菌率&gt;98%以上；*肺炎克雷伯氏菌ATCC4352，抗菌活性值2.9，抗菌率&gt;99%以上；*枯草芽孢杆菌黑色变种ATCC9372，抗菌活性值1.8，抗菌率&gt;98%以上；*表皮葡萄球菌ATCC12228，抗菌活性值1.6，抗菌率&gt;97%以上。</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台体框架：采用铝合金型材制作，框架的立柱为45mm×32mm×1.2mm方管，框架的横梁为32mm×32mm×1.2mm方管，通过ABS专用连接件组装而成，接缝严密，连接牢固，无松动现象。型材应带凹槽，槽的宽度、深度应与所采用的柜体板材相匹配，接缝严密，无晃动现象。型材表面需经静电粉沫喷涂处理，整体耐腐蚀、防火、防潮、稳固耐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3、台身：采用基材16mm厚彩色和灰色聚木屑三聚氰胺双面板经后成型加工，截面采用2mm厚塑制优质封边条机械封边。配置储物柜，上部设抽屉，下部柜门；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4、台脚：配置橡胶减震垫；</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5、结构：柜体设储物柜及抽屉，满足实验工具存放。</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6、教师座椅：五轮转椅，带扶手和气杆升降、仿皮或布艺。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r>
              <w:rPr>
                <w:rStyle w:val="71"/>
                <w:color w:val="auto"/>
                <w:sz w:val="21"/>
                <w:szCs w:val="21"/>
                <w:lang w:val="en-US" w:eastAsia="zh-CN" w:bidi="ar"/>
              </w:rPr>
              <w:t>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114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学生劳技桌</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规格：1400mm×1400mm×760mm（±50mm）。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1、铝木结构，一体化台面，设置抽屉。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2、台面材料：25mm三聚氰胺板面。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3、台体框架：制作材料、连接要求等与教师演示台相同。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4、台体衬板：与教师演示台相同。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5、台身：配置储物柜，上部设抽屉，下部柜门。烹饪台柜设置内置外拉式。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6、桌脚：与演示台相同。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7、结构：与演示台相同，烹饪台柜设置内置外拉式。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8、基本功能：满足烹饪、金工、钳工、木工、电工、工艺的实验操作及相关工具设备存放，较大件工具放置在工具柜内。</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9、固定：实验台安装到位后应固定在地面，防止移动。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Layout w:type="fixed"/>
          <w:tblCellMar>
            <w:top w:w="0" w:type="dxa"/>
            <w:left w:w="0" w:type="dxa"/>
            <w:bottom w:w="0" w:type="dxa"/>
            <w:right w:w="0" w:type="dxa"/>
          </w:tblCellMar>
        </w:tblPrEx>
        <w:trPr>
          <w:trHeight w:val="28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学生凳</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规格：圆形固定凳。</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1、凳面：采用ABS工程塑料注塑成型，直径为300mm；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2、立管：采用Φ50mm，壁厚1.2mm的钢管。立管上部有钢板与凳面结合；</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3、凳脚：采用壁厚1.2mm的钢板制成。凳脚合围在立管外侧；</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4、立管、凳脚表面酸洗、磷化、喷塑防护。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一、木工—设计与制作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 金工—设计与制作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两用板手 8.10.12.14mm各1支，什锦锉 3*140mm，6件套什锦锉，钢锯弓 12寸，加厚锯架，双档可调节，含锯条1支，钢丝钳 6寸150mm，双色柄，钢卷尺 5m钢卷尺，活板手 8寸200mm，样冲 5寸尖头样冲，尖嘴钳 6寸，150mm，双色柄，螺丝刀 4寸十字，6*100mm，双色防滑手柄，带磁性螺丝刀 4寸一字，6*100mm，双色防滑手柄，带磁性螺丝刀 3寸十字，5*75mm，双色防滑手柄，带磁性螺丝刀 3寸一字，5*75mm，双色防滑手柄，带磁性平锉，8寸200mm，全长300mm，防滑胶柄，中齿，半圆锉，8寸200mm，全长300mm，防滑胶柄，中齿，圆锉，8寸200mm，全长300mm，防滑胶柄，中齿，三角锉，8寸200mm，全长300mm，防滑胶柄，中齿，三叉扳手8-10-12mm，高碳钢锻造，钢丝板手 钢制，铁皮剪 8寸，英式铁皮剪，钢丝刷 8寸，木柄，6行，钳工锤 300g，木柄，锤头采用优质高碳钢锻打，圆规 150mm，合金刀头，圆头锤 1磅，木柄，锤头采用优质高碳钢锻打，内六角 9件套，公制，1.5-10mm，钢直尺 30cm，不锈钢制，丝锥板牙 12件套盒装，工具箱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三、家用电工技术</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5米钢卷尺 ，电工胶带，测电笔 氖泡式，美工刀，吸锡器，螺丝刀 4寸十 一字各1把，活扳手 8寸，羊角锤，清灰刷，钢丝钳 6寸，烙铁架 铸铁底座，斜嘴钳 6寸，电烙铁 外热式30W，数字万用表 数显式，尖嘴钳 6寸，电子批 6只装，螺丝刀 3*150mm十 一字各1把，螺丝刀 3寸十 一字各1把，剥线钳 6寸150mm，小手锯 6寸，焊锡丝 桶装，内六角 5支，工具箱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四、手工-泥塑制作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超轻粘土手工制作工具箱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含1.A4垫板1块。2.大号方形压板1块。3.实心亚克力棒。4.翘头剪刀。5.鹰嘴镊子。6.可弯刀片10厘米。7.白乳胶40ml。8.球形工具4支。9.功能工具5件套。10.七本针。11.12色超轻粘土各100克。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泥塑工具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板1件：木质，边缘圆滑无毛刺，尺寸为190×60×13mm（±50mm）；泥塑刀6支：材质为黄杨木，型号为3、6、10、13、24、34，长度不小于195mm；环形刀4支：三支为双头刀，长度不低于195mm，造型各异，一支为单头刀，长度为125mm；刮刀1件：直型刀头，长170mm，宽35mm；型板1件：材质为黄杨木，尺寸115×47mm；切割线1件：手柄长75mm，直径9mm，钢丝线长650mm；转台1件：双面转台，中间带有轴承，直径114mm，高31mm；喷壶1件：鞋型；海绵1件：边缘做圆滑处理；</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刮刀1件：不锈钢材质，尺寸为98×48mm；碾棍1件：木质，表面光滑两端有手握柄，直径35mm，长395mm；包装箱1件：木箱包装，产品定位存放</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29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陶泥</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每袋500g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五、 </w:t>
            </w:r>
            <w:r>
              <w:rPr>
                <w:rStyle w:val="72"/>
                <w:sz w:val="21"/>
                <w:szCs w:val="21"/>
                <w:lang w:val="en-US" w:eastAsia="zh-CN" w:bidi="ar"/>
              </w:rPr>
              <w:t>手工-雕刻制作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床1件、石刻刀6支、木刻刀5支、绘图铅笔1支、扫尘刷1件、多用锤1把、铝合金笔刀1把、笔刀刀片3件、美工刀1把、印泥盒1件、印尼1份、石质印章2枚、尼龙印章2枚、橡皮练习章3块、砂纸5块、印模转印贴8个，产品箱内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54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雕刻章料</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红石2.5*5cm2枚，浙江红石2*5cm1枚，浙江红石随形素章1枚，青海石2.5*5cm2枚，青海石3*5cm1枚，青海石2*5cm1枚，青海石随形素章2枚，青海石1.5*5cm圆形素章1枚，丹东石3*5cm1枚，丹东石2.5*-5cm2枚，丹东石2*5cm1枚，丹东石3.5*1.5*5cm1枚，丹东石随形章1枚，橡皮章2枚，雕刻木块若干，塑料工具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纸工工具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垫板1张：聚丙稀（pp）材质，长宽高295mm×200mm×3mm（±50mm）；2、剪刀1件：无刃、圆头，总长度160mm；3、花边剪1件：铁口花边剪，刀头总长度60mm；4、打孔器1件：手握式单孔打孔器，有纸屑收集装置，手握处防滑细纹，最大打孔能力可打8张纸，打孔直径6mm；5、美工刀一件，ABS塑料材质手柄，小号刀片；6、订书机一件，7、雕刻刀，全金属刀杆，强度高，刀片加持牢固，刀片带防护帽，防止伤人8、刻刀刀片，3片，高碳钢，塑料盒装</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tblLayout w:type="fixed"/>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8、直尺：要求刻度清晰、准确。长30cm。9、蛇形尺：采用优质PE材料制成，符合环保要求、无毒、无味。长30cm。长30cm。10、工具盒1件：箱体规格：375mm×290mm×60mm。（±50mm）PVC吹塑工具盒，定位包装。</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以上配备为1套劳技教室器材设备明细清单，此次招标数量为26套，包含安装、调试和教学使用培训。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r>
        <w:rPr>
          <w:rFonts w:hint="eastAsia" w:ascii="Times New Roman" w:hAnsi="Times New Roman" w:cs="Times New Roman"/>
          <w:b/>
          <w:bCs/>
          <w:color w:val="auto"/>
          <w:sz w:val="24"/>
          <w:szCs w:val="24"/>
          <w:highlight w:val="none"/>
          <w:shd w:val="clear"/>
          <w:lang w:val="en-US" w:eastAsia="zh-CN"/>
        </w:rPr>
        <w:t>演示讲台为</w:t>
      </w:r>
      <w:r>
        <w:rPr>
          <w:rFonts w:hint="eastAsia" w:cs="Times New Roman"/>
          <w:b/>
          <w:bCs/>
          <w:color w:val="auto"/>
          <w:sz w:val="24"/>
          <w:szCs w:val="24"/>
          <w:highlight w:val="none"/>
          <w:shd w:val="clear"/>
          <w:lang w:val="en-US" w:eastAsia="zh-CN"/>
        </w:rPr>
        <w:t>二</w:t>
      </w:r>
      <w:r>
        <w:rPr>
          <w:rFonts w:hint="eastAsia" w:ascii="Times New Roman" w:hAnsi="Times New Roman" w:cs="Times New Roman"/>
          <w:b/>
          <w:bCs/>
          <w:color w:val="auto"/>
          <w:sz w:val="24"/>
          <w:szCs w:val="24"/>
          <w:highlight w:val="none"/>
          <w:shd w:val="clear"/>
          <w:lang w:val="en-US" w:eastAsia="zh-CN"/>
        </w:rPr>
        <w:t>标包核心产品。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付款方式（不响应者为无效投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3、</w:t>
      </w:r>
      <w:r>
        <w:rPr>
          <w:rFonts w:hint="eastAsia" w:ascii="Times New Roman" w:hAnsi="Times New Roman" w:cs="Times New Roman"/>
          <w:sz w:val="24"/>
          <w:szCs w:val="24"/>
          <w:lang w:val="en-US" w:eastAsia="zh-CN"/>
        </w:rPr>
        <w:t>采购单位将从中标人所供货物中抽取一定比例的货物，交由第三方进行质量检测验收，质量检测验收费用由中标人承担，但最高费用不超过投标总价的2%，投标报价中须包含该费用。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5</w:t>
      </w:r>
      <w:r>
        <w:rPr>
          <w:rFonts w:hint="eastAsia" w:ascii="Times New Roman" w:hAnsi="Times New Roman" w:cs="Times New Roman"/>
          <w:sz w:val="24"/>
          <w:szCs w:val="24"/>
          <w:lang w:val="en-US" w:eastAsia="zh-CN"/>
        </w:rPr>
        <w:t>、售后免费服务和保修期为三年，投标时需提供厂家售后服务承诺函原件。未提供的按照无效投标处理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项目名称：长葛市教育体育局中小学教学仪器设备采购项目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项目编号：长招采公字[2019]036号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w:t>
            </w:r>
            <w:r>
              <w:rPr>
                <w:rFonts w:hint="eastAsia" w:cs="仿宋_GB2312" w:asciiTheme="minorEastAsia" w:hAnsiTheme="minorEastAsia" w:eastAsiaTheme="minorEastAsia"/>
                <w:color w:val="000000"/>
                <w:sz w:val="21"/>
                <w:szCs w:val="21"/>
                <w:shd w:val="clear" w:color="auto" w:fill="FFFFFF"/>
                <w:lang w:val="zh-CN"/>
              </w:rPr>
              <w:t>一标包：</w:t>
            </w:r>
            <w:r>
              <w:rPr>
                <w:rFonts w:hint="eastAsia" w:cs="仿宋_GB2312" w:asciiTheme="minorEastAsia" w:hAnsiTheme="minorEastAsia" w:eastAsiaTheme="minorEastAsia"/>
                <w:color w:val="000000"/>
                <w:sz w:val="21"/>
                <w:szCs w:val="21"/>
                <w:shd w:val="clear" w:color="auto" w:fill="FFFFFF"/>
                <w:lang w:val="en-US" w:eastAsia="zh-CN"/>
              </w:rPr>
              <w:t>60套心理咨询室设施设备采购；二标包：26套劳技教室设备采购</w:t>
            </w:r>
            <w:r>
              <w:rPr>
                <w:rFonts w:hint="eastAsia" w:cs="仿宋_GB2312" w:asciiTheme="minorEastAsia" w:hAnsiTheme="minorEastAsia"/>
                <w:szCs w:val="21"/>
                <w:lang w:val="en-US" w:eastAsia="zh-CN"/>
              </w:rPr>
              <w:t>，详细参数见采购文件。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严重违法失信名单</w:t>
            </w:r>
            <w:r>
              <w:rPr>
                <w:rFonts w:hint="eastAsia" w:cs="宋体" w:asciiTheme="minorEastAsia" w:hAnsiTheme="minorEastAsia"/>
                <w:kern w:val="0"/>
                <w:szCs w:val="21"/>
                <w:highlight w:val="none"/>
              </w:rPr>
              <w:t>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1"/>
              <w:widowControl/>
              <w:rPr>
                <w:rFonts w:cs="宋体" w:asciiTheme="minorEastAsia" w:hAnsiTheme="minorEastAsia"/>
                <w:bCs/>
                <w:szCs w:val="21"/>
                <w:lang w:val="zh-CN"/>
              </w:rPr>
            </w:pPr>
            <w:r>
              <w:rPr>
                <w:rFonts w:hint="eastAsia" w:cs="宋体" w:asciiTheme="minorEastAsia" w:hAnsiTheme="minorEastAsia" w:eastAsiaTheme="minorEastAsia"/>
                <w:bCs/>
                <w:kern w:val="2"/>
                <w:sz w:val="21"/>
                <w:szCs w:val="21"/>
                <w:lang w:val="zh-CN" w:eastAsia="zh-CN" w:bidi="ar-SA"/>
              </w:rPr>
              <w:t>一标包：1200000元，二标包：936000元。超出最高限价的投标无效。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2019</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10</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22</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09</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00</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长葛市公共资源交易中心开标</w:t>
            </w:r>
            <w:r>
              <w:rPr>
                <w:rFonts w:hint="eastAsia" w:cs="宋体" w:asciiTheme="minorEastAsia" w:hAnsiTheme="minorEastAsia"/>
                <w:bCs/>
                <w:szCs w:val="21"/>
                <w:u w:val="none"/>
                <w:lang w:val="en-US" w:eastAsia="zh-CN"/>
              </w:rPr>
              <w:t>二</w:t>
            </w:r>
            <w:r>
              <w:rPr>
                <w:rFonts w:hint="eastAsia" w:cs="宋体" w:asciiTheme="minorEastAsia" w:hAnsiTheme="minorEastAsia"/>
                <w:bCs/>
                <w:szCs w:val="21"/>
                <w:lang w:val="zh-CN"/>
              </w:rPr>
              <w:t>室</w:t>
            </w:r>
            <w:r>
              <w:rPr>
                <w:rFonts w:hint="eastAsia" w:ascii="宋体" w:hAnsi="宋体" w:cs="仿宋_GB2312"/>
              </w:rPr>
              <w:t>（长葛市葛天大道东段商务区6#楼</w:t>
            </w:r>
            <w:r>
              <w:rPr>
                <w:rFonts w:hint="eastAsia" w:ascii="宋体" w:hAnsi="宋体" w:cs="仿宋_GB2312"/>
                <w:lang w:val="en-US" w:eastAsia="zh-CN"/>
              </w:rPr>
              <w:t>4</w:t>
            </w:r>
            <w:r>
              <w:rPr>
                <w:rFonts w:hint="eastAsia" w:ascii="宋体" w:hAnsi="宋体" w:cs="仿宋_GB2312"/>
              </w:rPr>
              <w:t>楼</w:t>
            </w:r>
            <w:r>
              <w:rPr>
                <w:rFonts w:hint="eastAsia" w:ascii="宋体" w:hAnsi="宋体" w:cs="仿宋_GB2312"/>
                <w:lang w:val="en-US" w:eastAsia="zh-CN"/>
              </w:rPr>
              <w:t>409</w:t>
            </w:r>
            <w:r>
              <w:rPr>
                <w:rFonts w:hint="eastAsia" w:ascii="宋体" w:hAnsi="宋体" w:cs="仿宋_GB231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adjustRightInd w:val="0"/>
              <w:spacing w:line="360" w:lineRule="auto"/>
              <w:rPr>
                <w:rFonts w:hint="eastAsia"/>
                <w:lang w:val="zh-CN"/>
              </w:rPr>
            </w:pPr>
            <w:r>
              <w:rPr>
                <w:rFonts w:hint="eastAsia"/>
                <w:lang w:val="zh-CN"/>
              </w:rPr>
              <w:t>开户行：河南长葛农村商业银行股份有限公司营业部</w:t>
            </w:r>
          </w:p>
          <w:p>
            <w:pPr>
              <w:autoSpaceDE w:val="0"/>
              <w:autoSpaceDN w:val="0"/>
              <w:adjustRightInd w:val="0"/>
              <w:spacing w:line="360" w:lineRule="auto"/>
              <w:rPr>
                <w:rFonts w:hint="eastAsia"/>
                <w:lang w:val="zh-CN"/>
              </w:rPr>
            </w:pPr>
            <w:r>
              <w:rPr>
                <w:rFonts w:hint="eastAsia"/>
                <w:lang w:val="zh-CN"/>
              </w:rPr>
              <w:t>户  名：长葛市公共资源交易中心</w:t>
            </w:r>
          </w:p>
          <w:p>
            <w:pPr>
              <w:autoSpaceDE w:val="0"/>
              <w:autoSpaceDN w:val="0"/>
              <w:adjustRightInd w:val="0"/>
              <w:spacing w:line="360" w:lineRule="auto"/>
              <w:rPr>
                <w:rFonts w:hint="eastAsia"/>
                <w:lang w:val="zh-CN"/>
              </w:rPr>
            </w:pPr>
            <w:r>
              <w:rPr>
                <w:rFonts w:hint="eastAsia"/>
                <w:lang w:val="zh-CN"/>
              </w:rPr>
              <w:t>账  号：13201001800000552</w:t>
            </w:r>
          </w:p>
          <w:p>
            <w:pPr>
              <w:autoSpaceDE w:val="0"/>
              <w:autoSpaceDN w:val="0"/>
              <w:adjustRightInd w:val="0"/>
              <w:spacing w:line="360" w:lineRule="auto"/>
              <w:rPr>
                <w:rFonts w:hint="eastAsia"/>
                <w:lang w:val="zh-CN"/>
              </w:rPr>
            </w:pPr>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代理服务费由中标供应商支付，按照差额累进计价法计算。中标通知书发出前，以现金或转账形式交纳。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严重违法失信名单。</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宋体" w:hAnsi="宋体"/>
                <w:b/>
                <w:bCs/>
                <w:sz w:val="24"/>
                <w:szCs w:val="24"/>
                <w:lang w:eastAsia="zh-CN"/>
              </w:rPr>
              <w:t>投标承诺函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2" w:name="baidusnap2"/>
            <w:bookmarkEnd w:id="22"/>
            <w:r>
              <w:rPr>
                <w:rFonts w:hint="eastAsia" w:cs="仿宋_GB2312" w:asciiTheme="minorEastAsia" w:hAnsiTheme="minorEastAsia"/>
                <w:szCs w:val="21"/>
                <w:lang w:val="zh-CN"/>
              </w:rPr>
              <w:t>提供未为本项目提供整体设计、</w:t>
            </w:r>
            <w:bookmarkStart w:id="23" w:name="baidusnap9"/>
            <w:bookmarkEnd w:id="2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42</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bookmarkStart w:id="29" w:name="_GoBack"/>
            <w:bookmarkEnd w:id="29"/>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42</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6</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每份业绩且合同金额在一标包（二标包）预算金额以上的</w:t>
            </w:r>
            <w:r>
              <w:rPr>
                <w:rFonts w:hint="default" w:ascii="宋体" w:hAnsi="宋体" w:cs="宋体"/>
                <w:szCs w:val="21"/>
                <w:lang w:val="en-US"/>
              </w:rPr>
              <w:t>得</w:t>
            </w:r>
            <w:r>
              <w:rPr>
                <w:rFonts w:hint="eastAsia" w:ascii="宋体" w:hAnsi="宋体" w:cs="宋体"/>
                <w:szCs w:val="21"/>
                <w:lang w:val="en-US" w:eastAsia="zh-CN"/>
              </w:rPr>
              <w:t>2</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6</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电子扫描件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eastAsiaTheme="minorEastAsia"/>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2</w:t>
            </w:r>
            <w:r>
              <w:rPr>
                <w:rFonts w:hint="eastAsia" w:ascii="宋体" w:hAnsi="宋体" w:cs="宋体"/>
                <w:szCs w:val="21"/>
              </w:rPr>
              <w:t>分，共</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12</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lang w:eastAsia="zh-CN"/>
              </w:rPr>
              <w:t>投标人具有重合同守信用</w:t>
            </w:r>
            <w:r>
              <w:rPr>
                <w:rFonts w:hint="eastAsia"/>
                <w:lang w:val="en-US" w:eastAsia="zh-CN"/>
              </w:rPr>
              <w:t>AAA级</w:t>
            </w:r>
            <w:r>
              <w:rPr>
                <w:rFonts w:hint="eastAsia"/>
                <w:lang w:eastAsia="zh-CN"/>
              </w:rPr>
              <w:t>企业证书</w:t>
            </w:r>
            <w:r>
              <w:rPr>
                <w:rFonts w:hint="eastAsia" w:ascii="宋体" w:hAnsi="宋体" w:cs="宋体"/>
                <w:szCs w:val="21"/>
              </w:rPr>
              <w:t>、</w:t>
            </w:r>
            <w:r>
              <w:rPr>
                <w:rFonts w:hint="eastAsia"/>
                <w:lang w:val="en-US" w:eastAsia="zh-CN"/>
              </w:rPr>
              <w:t>AAA级</w:t>
            </w:r>
            <w:r>
              <w:rPr>
                <w:rFonts w:hint="eastAsia" w:ascii="宋体" w:hAnsi="宋体" w:cs="宋体"/>
                <w:szCs w:val="21"/>
              </w:rPr>
              <w:t>资信企业，</w:t>
            </w:r>
            <w:r>
              <w:rPr>
                <w:rFonts w:hint="eastAsia"/>
                <w:lang w:val="en-US" w:eastAsia="zh-CN"/>
              </w:rPr>
              <w:t>AAA级</w:t>
            </w:r>
            <w:r>
              <w:rPr>
                <w:rFonts w:hint="eastAsia" w:ascii="宋体" w:hAnsi="宋体" w:cs="宋体"/>
                <w:szCs w:val="21"/>
              </w:rPr>
              <w:t>诚信供应</w:t>
            </w:r>
            <w:r>
              <w:rPr>
                <w:rFonts w:hint="eastAsia" w:ascii="宋体" w:hAnsi="宋体"/>
                <w:kern w:val="0"/>
                <w:szCs w:val="21"/>
                <w:lang w:val="en-US" w:eastAsia="zh-CN"/>
              </w:rPr>
              <w:t>商、AAA级诚信经营示范单位证书、中国环保节能科技创新企业证书，中国信用评级认证AAA证书（带有网址查询网页）的每有一项得2分，最多得12分。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ascii="宋体" w:hAnsi="宋体" w:cs="宋体" w:eastAsiaTheme="minorEastAsia"/>
                <w:kern w:val="0"/>
                <w:szCs w:val="21"/>
                <w:lang w:val="en-US" w:eastAsia="zh-CN"/>
              </w:rPr>
            </w:pPr>
            <w:r>
              <w:rPr>
                <w:rFonts w:hint="eastAsia" w:ascii="宋体" w:hAnsi="宋体" w:cs="宋体"/>
                <w:kern w:val="0"/>
                <w:szCs w:val="21"/>
                <w:lang w:eastAsia="zh-CN"/>
              </w:rPr>
              <w:t>产品</w:t>
            </w:r>
            <w:r>
              <w:rPr>
                <w:rFonts w:hint="eastAsia" w:ascii="宋体" w:hAnsi="宋体" w:cs="宋体"/>
                <w:kern w:val="0"/>
                <w:szCs w:val="21"/>
              </w:rPr>
              <w:t>检测报</w:t>
            </w:r>
            <w:r>
              <w:rPr>
                <w:rFonts w:hint="eastAsia" w:ascii="宋体" w:hAnsi="宋体" w:cs="宋体"/>
                <w:kern w:val="0"/>
                <w:szCs w:val="21"/>
                <w:lang w:eastAsia="zh-CN"/>
              </w:rPr>
              <w:t>告</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ascii="宋体" w:hAnsi="宋体" w:cs="宋体"/>
                <w:kern w:val="0"/>
                <w:szCs w:val="21"/>
              </w:rPr>
              <w:t>检测报告的</w:t>
            </w:r>
            <w:r>
              <w:rPr>
                <w:rFonts w:hint="eastAsia" w:ascii="宋体" w:hAnsi="宋体" w:cs="宋体"/>
                <w:kern w:val="0"/>
                <w:szCs w:val="21"/>
                <w:lang w:eastAsia="zh-CN"/>
              </w:rPr>
              <w:t>每份</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lang w:val="en-US" w:eastAsia="zh-CN"/>
              </w:rPr>
            </w:pPr>
            <w:r>
              <w:rPr>
                <w:rFonts w:hint="eastAsia"/>
                <w:lang w:val="en-US" w:eastAsia="zh-CN"/>
              </w:rPr>
              <w:t>产品专利证书</w:t>
            </w:r>
          </w:p>
          <w:p>
            <w:pPr>
              <w:pStyle w:val="3"/>
              <w:ind w:firstLine="210" w:firstLineChars="100"/>
              <w:rPr>
                <w:rFonts w:hint="eastAsia"/>
                <w:lang w:val="en-US" w:eastAsia="zh-CN"/>
              </w:rPr>
            </w:pPr>
            <w:r>
              <w:rPr>
                <w:rFonts w:hint="eastAsia"/>
                <w:lang w:val="en-US" w:eastAsia="zh-CN"/>
              </w:rPr>
              <w:t>（6分）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lang w:val="en-US" w:eastAsia="zh-CN"/>
              </w:rPr>
              <w:t>专利证书的</w:t>
            </w:r>
            <w:r>
              <w:rPr>
                <w:rFonts w:hint="eastAsia" w:ascii="宋体" w:hAnsi="宋体" w:cs="宋体"/>
                <w:kern w:val="0"/>
                <w:szCs w:val="21"/>
                <w:lang w:eastAsia="zh-CN"/>
              </w:rPr>
              <w:t>每有一个</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6分</w:t>
            </w:r>
            <w:r>
              <w:rPr>
                <w:rFonts w:hint="eastAsia" w:ascii="宋体" w:hAnsi="宋体"/>
                <w:kern w:val="0"/>
                <w:szCs w:val="21"/>
                <w:lang w:eastAsia="zh-CN"/>
              </w:rPr>
              <w:t>）</w:t>
            </w:r>
          </w:p>
        </w:tc>
        <w:tc>
          <w:tcPr>
            <w:tcW w:w="6163" w:type="dxa"/>
            <w:vAlign w:val="center"/>
          </w:tcPr>
          <w:p>
            <w:pPr>
              <w:spacing w:after="0"/>
              <w:rPr>
                <w:rFonts w:hint="eastAsia"/>
              </w:rPr>
            </w:pPr>
            <w:r>
              <w:rPr>
                <w:rFonts w:hint="eastAsia" w:ascii="宋体" w:hAnsi="宋体"/>
                <w:kern w:val="0"/>
                <w:szCs w:val="21"/>
                <w:lang w:val="en-US" w:eastAsia="zh-CN"/>
              </w:rPr>
              <w:t>1、</w:t>
            </w:r>
            <w:r>
              <w:rPr>
                <w:rFonts w:hint="eastAsia"/>
              </w:rPr>
              <w:t>施工组织方案(含货物进场计划安排、施工进度计划安排、施工人员安排等)</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w:t>
            </w:r>
            <w:r>
              <w:rPr>
                <w:rFonts w:hint="eastAsi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lang w:val="en-US" w:eastAsia="zh-CN"/>
              </w:rPr>
            </w:pPr>
            <w:r>
              <w:rPr>
                <w:rFonts w:hint="eastAsia" w:ascii="宋体" w:hAnsi="宋体"/>
                <w:kern w:val="0"/>
                <w:szCs w:val="21"/>
                <w:lang w:val="en-US" w:eastAsia="zh-CN"/>
              </w:rPr>
              <w:t>2、</w:t>
            </w:r>
            <w:r>
              <w:rPr>
                <w:rFonts w:hint="eastAsia" w:ascii="宋体" w:hAnsi="宋体"/>
                <w:kern w:val="0"/>
                <w:szCs w:val="21"/>
              </w:rPr>
              <w:t>具有完善的培训计划的对比在（分为三档，一档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（18分）</w:t>
            </w:r>
          </w:p>
        </w:tc>
        <w:tc>
          <w:tcPr>
            <w:tcW w:w="7741" w:type="dxa"/>
            <w:gridSpan w:val="2"/>
            <w:tcBorders>
              <w:right w:val="single" w:color="auto" w:sz="4" w:space="0"/>
            </w:tcBorders>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5分</w:t>
            </w:r>
            <w:r>
              <w:rPr>
                <w:rFonts w:hint="eastAsi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3、</w:t>
            </w:r>
            <w:r>
              <w:rPr>
                <w:rFonts w:hint="eastAsia"/>
              </w:rPr>
              <w:t>由评委综合比较各投标人投标产品的设计水平、制造工艺、稳定性、</w:t>
            </w:r>
            <w:r>
              <w:rPr>
                <w:rFonts w:hint="eastAsia"/>
                <w:lang w:eastAsia="zh-CN"/>
              </w:rPr>
              <w:t>先进性、</w:t>
            </w:r>
            <w:r>
              <w:rPr>
                <w:rFonts w:hint="eastAsia"/>
              </w:rPr>
              <w:t>质量等进行综合评议分析比较内分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第一类</w:t>
            </w:r>
            <w:r>
              <w:rPr>
                <w:rFonts w:hint="eastAsia"/>
                <w:lang w:val="en-US" w:eastAsia="zh-CN"/>
              </w:rPr>
              <w:t>13分，第二类8分，第三类3分。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24" w:name="_资格证明文件"/>
            <w:bookmarkEnd w:id="24"/>
            <w:bookmarkStart w:id="2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25"/>
          </w:p>
        </w:tc>
        <w:tc>
          <w:tcPr>
            <w:tcW w:w="4492" w:type="dxa"/>
            <w:gridSpan w:val="2"/>
            <w:vAlign w:val="center"/>
          </w:tcPr>
          <w:p>
            <w:pPr>
              <w:jc w:val="center"/>
              <w:rPr>
                <w:rFonts w:asciiTheme="minorEastAsia" w:hAnsiTheme="minorEastAsia"/>
                <w:szCs w:val="21"/>
                <w:highlight w:val="none"/>
              </w:rPr>
            </w:pPr>
            <w:bookmarkStart w:id="2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2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27" w:name="OLE_LINK13"/>
      <w:bookmarkStart w:id="28"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27"/>
    <w:bookmarkEnd w:id="2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AEE194"/>
    <w:multiLevelType w:val="singleLevel"/>
    <w:tmpl w:val="4DAEE194"/>
    <w:lvl w:ilvl="0" w:tentative="0">
      <w:start w:val="1"/>
      <w:numFmt w:val="decimal"/>
      <w:suff w:val="nothing"/>
      <w:lvlText w:val="%1、"/>
      <w:lvlJc w:val="left"/>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582101"/>
    <w:rsid w:val="10E64FA4"/>
    <w:rsid w:val="13464CFF"/>
    <w:rsid w:val="156C482A"/>
    <w:rsid w:val="17873035"/>
    <w:rsid w:val="17B353A0"/>
    <w:rsid w:val="1EC1311C"/>
    <w:rsid w:val="203F2A24"/>
    <w:rsid w:val="23007671"/>
    <w:rsid w:val="23BE10D0"/>
    <w:rsid w:val="279B317D"/>
    <w:rsid w:val="28D35F51"/>
    <w:rsid w:val="2B5B3B51"/>
    <w:rsid w:val="2BA714D8"/>
    <w:rsid w:val="2C635DC2"/>
    <w:rsid w:val="33813D07"/>
    <w:rsid w:val="33BC3DF7"/>
    <w:rsid w:val="33F73B97"/>
    <w:rsid w:val="35DB3970"/>
    <w:rsid w:val="36ED49BA"/>
    <w:rsid w:val="3C4B07BF"/>
    <w:rsid w:val="3F4848BC"/>
    <w:rsid w:val="404B2C3C"/>
    <w:rsid w:val="421B1247"/>
    <w:rsid w:val="44707CD3"/>
    <w:rsid w:val="464A19B1"/>
    <w:rsid w:val="4C1E4B6B"/>
    <w:rsid w:val="4C480673"/>
    <w:rsid w:val="4F004D7D"/>
    <w:rsid w:val="50AA04D1"/>
    <w:rsid w:val="537D225C"/>
    <w:rsid w:val="53BE2216"/>
    <w:rsid w:val="53FC735A"/>
    <w:rsid w:val="553523A8"/>
    <w:rsid w:val="5B1F0BB5"/>
    <w:rsid w:val="5CAE3B9E"/>
    <w:rsid w:val="5D73605D"/>
    <w:rsid w:val="60607234"/>
    <w:rsid w:val="60DC2489"/>
    <w:rsid w:val="62A27B5F"/>
    <w:rsid w:val="63250FF2"/>
    <w:rsid w:val="632D7F14"/>
    <w:rsid w:val="642B11B3"/>
    <w:rsid w:val="65186307"/>
    <w:rsid w:val="66092B9F"/>
    <w:rsid w:val="665553D9"/>
    <w:rsid w:val="66620059"/>
    <w:rsid w:val="68D42E51"/>
    <w:rsid w:val="6A3D240C"/>
    <w:rsid w:val="6B9664C0"/>
    <w:rsid w:val="6EAB3F30"/>
    <w:rsid w:val="70371048"/>
    <w:rsid w:val="72B26E4A"/>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25</TotalTime>
  <ScaleCrop>false</ScaleCrop>
  <LinksUpToDate>false</LinksUpToDate>
  <CharactersWithSpaces>37441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湘湘小哥</cp:lastModifiedBy>
  <cp:lastPrinted>2019-09-24T02:44:00Z</cp:lastPrinted>
  <dcterms:modified xsi:type="dcterms:W3CDTF">2019-09-26T09:23:56Z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