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 xml:space="preserve">  禹州市大学路、学府西路等绿化工程设计项目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</w:pP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320" w:firstLineChars="100"/>
        <w:jc w:val="both"/>
        <w:textAlignment w:val="auto"/>
        <w:rPr>
          <w:rFonts w:hint="default" w:ascii="仿宋" w:hAnsi="仿宋" w:eastAsia="仿宋"/>
          <w:b/>
          <w:sz w:val="44"/>
          <w:lang w:val="en-US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禹州市大学路、学府西路等绿化工程设计项目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G2019209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107.17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万元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法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4"/>
        <w:tblW w:w="9600" w:type="dxa"/>
        <w:tblCellSpacing w:w="0" w:type="dxa"/>
        <w:tblInd w:w="12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528"/>
        <w:gridCol w:w="1759"/>
        <w:gridCol w:w="268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河南省城乡规划设计研究总院有限公司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1071000.00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合同签订后20个工作日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洛阳市规划建筑设计研究院有限公司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1069000.00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合同签订后20个工作日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ind w:firstLine="240" w:firstLineChars="1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中外建华诚工程技术集团有限公司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1067000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合同签订后20个工作日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4"/>
        <w:tblW w:w="8260" w:type="dxa"/>
        <w:tblCellSpacing w:w="0" w:type="dxa"/>
        <w:tblInd w:w="148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河南省城乡规划设计研究总院有限公司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洛阳市规划建筑设计研究院有限公司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中外建华诚工程技术集团有限公司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三家投标企业均通过硬件特征码防串围标分析。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4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中外建华诚工程技术集团有限公司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right="0" w:rightChars="0" w:firstLine="720" w:firstLineChars="300"/>
              <w:jc w:val="both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洛阳市规划建筑设计研究院有限公司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right="0" w:rightChars="0" w:firstLine="720" w:firstLineChars="300"/>
              <w:jc w:val="both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 w:firstLine="840" w:firstLineChars="400"/>
              <w:jc w:val="both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 w:firstLine="840" w:firstLineChars="400"/>
              <w:jc w:val="both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71.94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 w:firstLine="840" w:firstLineChars="400"/>
              <w:jc w:val="both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84.94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 w:firstLine="840" w:firstLineChars="400"/>
              <w:jc w:val="both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 w:firstLine="840" w:firstLineChars="400"/>
              <w:jc w:val="both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76.94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77.14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河南省城乡规划设计研究总院有限公司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right="0" w:rightChars="0" w:firstLine="720" w:firstLineChars="300"/>
              <w:jc w:val="both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29.89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29.89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54.89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29.89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68.89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29.89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57.89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29.89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  <w:t>60.89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60.09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4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中外建华诚工程技术集团有限公司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z w:val="24"/>
                <w:szCs w:val="24"/>
                <w:lang w:val="en-US" w:eastAsia="zh-CN"/>
              </w:rPr>
              <w:t>95.00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洛阳市规划建筑设计研究院有限公司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77.14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河南省城乡规划设计研究总院有限公司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60.09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中外建华诚工程技术集团有限公司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地址：北京市石景山区实兴大街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 xml:space="preserve">30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号院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 xml:space="preserve">3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号楼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 xml:space="preserve">2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层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 xml:space="preserve">B-0066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房间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联系人：常启龙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联系方式：</w:t>
      </w:r>
      <w:r>
        <w:rPr>
          <w:rFonts w:hint="default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15090385830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壹佰零陆万柒仟元整（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1067000</w:t>
      </w:r>
      <w:r>
        <w:rPr>
          <w:rFonts w:hint="eastAsia" w:ascii="仿宋" w:hAnsi="仿宋" w:eastAsia="仿宋" w:cs="仿宋"/>
          <w:sz w:val="32"/>
          <w:szCs w:val="32"/>
        </w:rPr>
        <w:t>.00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01" w:firstLineChars="10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第二中标候选人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中标候选人（中标人）名称：洛阳市规划建筑设计研究院有限公司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（二）地址：洛阳市洛龙区开元大道</w:t>
      </w:r>
      <w:r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  <w:t xml:space="preserve">56 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号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（三）联系人：彭飞     联系方式：</w:t>
      </w:r>
      <w:r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  <w:t>15978679788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（四）中标金额：壹佰零陆万玖仟元整（1069000.00元）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河南省城乡规划设计研究总院有限公司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sz w:val="32"/>
          <w:szCs w:val="32"/>
        </w:rPr>
        <w:t>郑州市惠济区文化北路298 号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薛晨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sz w:val="32"/>
          <w:szCs w:val="32"/>
        </w:rPr>
        <w:t>13598016608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（四）中标金额：壹佰零柒万壹仟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元整（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1071000.00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元）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八、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陈留涛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评标委员会成员名单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陈留涛、秦忠强、杨惠、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李清河、徐亚丽 (业主代表)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2019年9月26日</w:t>
      </w:r>
    </w:p>
    <w:p/>
    <w:sectPr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ËÎÌå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F323F2"/>
    <w:multiLevelType w:val="singleLevel"/>
    <w:tmpl w:val="00F323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6724F9"/>
    <w:rsid w:val="05E84922"/>
    <w:rsid w:val="071A53FC"/>
    <w:rsid w:val="0CBA057F"/>
    <w:rsid w:val="2EF219F9"/>
    <w:rsid w:val="3CBC01A6"/>
    <w:rsid w:val="52C4222F"/>
    <w:rsid w:val="58F05E68"/>
    <w:rsid w:val="72F615EF"/>
    <w:rsid w:val="794C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2019-09-19T03:59:00Z</dcterms:created>
  <dc:creator>016</dc:creator>
  <cp:lastModifiedBy>禹州市公共资源交易中心:侯英红</cp:lastModifiedBy>
  <cp:lastPrinted>2019-09-19T06:13:00Z</cp:lastPrinted>
  <dcterms:modified xsi:type="dcterms:W3CDTF">2019-09-26T02:46:56Z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