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442" w:firstLineChars="100"/>
        <w:rPr>
          <w:rFonts w:ascii="微软简隶书" w:eastAsia="微软简隶书"/>
        </w:rPr>
      </w:pPr>
      <w:r>
        <w:rPr>
          <w:rFonts w:hint="eastAsia" w:ascii="黑体" w:hAnsi="黑体" w:eastAsia="黑体" w:cs="黑体"/>
          <w:b/>
          <w:bCs/>
          <w:sz w:val="44"/>
          <w:szCs w:val="44"/>
        </w:rPr>
        <w:t>禹州市教育体育局阶梯教室设备采购项目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YZCG-T2019248</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禹州市教育体育局阶梯教室设备采购项目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的委托，就“禹州市教育体育局阶梯教室设备采购项目”进行竞争性谈判，欢迎合格的投标人前来投标。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1、采购人：禹州市教育体育局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2、项目名称：禹州市教育体育局阶梯教室设备采购项目</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248</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：功放、音频处理器等</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1、符合《政府采购法》第二十二条之规定，具有独立法人资格及相应的经营范围（</w:t>
      </w:r>
      <w:r>
        <w:rPr>
          <w:rFonts w:hint="eastAsia" w:ascii="新宋体" w:hAnsi="新宋体" w:eastAsia="新宋体" w:cs="新宋体"/>
          <w:color w:val="000000"/>
          <w:kern w:val="0"/>
          <w:sz w:val="24"/>
          <w:szCs w:val="24"/>
          <w:lang w:eastAsia="zh-CN"/>
        </w:rPr>
        <w:t>以营业执照为准</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2、被委托人是须是本单位职工，须提供公司为本人缴纳社会保险证明；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color w:val="000000"/>
          <w:kern w:val="0"/>
          <w:sz w:val="24"/>
          <w:szCs w:val="24"/>
        </w:rPr>
        <w:t>、本次招标公告同时在《中国政府采购网》、《河南省政府采购网》、《全国公共资源交易平台（河南省·许昌市）》发布等。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七</w:t>
      </w:r>
      <w:r>
        <w:rPr>
          <w:rFonts w:hint="eastAsia" w:ascii="新宋体" w:hAnsi="新宋体" w:eastAsia="新宋体" w:cs="新宋体"/>
          <w:color w:val="000000"/>
          <w:kern w:val="0"/>
          <w:sz w:val="24"/>
          <w:szCs w:val="24"/>
        </w:rPr>
        <w:t>、代理机构及采购单位地址、联系人、联系电话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王大道</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15936376268</w:t>
      </w: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080" w:firstLineChars="17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spacing w:line="600" w:lineRule="exact"/>
        <w:jc w:val="center"/>
        <w:rPr>
          <w:rFonts w:hint="eastAsia" w:ascii="新宋体" w:hAnsi="新宋体" w:eastAsia="新宋体" w:cs="新宋体"/>
          <w:b/>
          <w:bCs/>
          <w:sz w:val="24"/>
          <w:szCs w:val="24"/>
          <w:lang w:eastAsia="zh-CN"/>
        </w:rPr>
      </w:pPr>
    </w:p>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温馨提示：</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本项目为全流程电子化交易项目，请认真阅读谈判文件，并注意以下事项。</w:t>
      </w:r>
    </w:p>
    <w:p>
      <w:pPr>
        <w:pStyle w:val="22"/>
        <w:ind w:firstLine="320"/>
        <w:rPr>
          <w:rFonts w:hint="eastAsia" w:ascii="新宋体" w:hAnsi="新宋体" w:eastAsia="新宋体" w:cs="新宋体"/>
          <w:b/>
          <w:sz w:val="24"/>
          <w:szCs w:val="24"/>
        </w:rPr>
      </w:pP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2.电子文件下载、制作、提交期间和谈判响应文件递交（</w:t>
      </w:r>
      <w:r>
        <w:rPr>
          <w:rFonts w:hint="eastAsia" w:ascii="新宋体" w:hAnsi="新宋体" w:eastAsia="新宋体" w:cs="新宋体"/>
          <w:sz w:val="24"/>
          <w:szCs w:val="24"/>
        </w:rPr>
        <w:t>电子响应文件的解密</w:t>
      </w:r>
      <w:r>
        <w:rPr>
          <w:rFonts w:hint="eastAsia" w:ascii="新宋体" w:hAnsi="新宋体" w:eastAsia="新宋体" w:cs="新宋体"/>
          <w:b/>
          <w:color w:val="000000"/>
          <w:sz w:val="24"/>
          <w:szCs w:val="24"/>
        </w:rPr>
        <w:t>）环节，供应商须使用CA数字证书（证书须在有效期内）。</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3.电子响应文件的制作</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供应商登录《全国公共资源交易平台(河南省▪许昌市)》公共资源交易系统（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4.加密电子响应文件的提交</w:t>
      </w:r>
    </w:p>
    <w:p>
      <w:pPr>
        <w:tabs>
          <w:tab w:val="left" w:pos="7095"/>
        </w:tabs>
        <w:spacing w:line="360" w:lineRule="auto"/>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4.1加密电子响应文件应在谈判文件规定的谈判响应截止时间（谈判时间）之前成功提交至《全国公共资源交易平台(河南省▪许昌市)》公共资源交易系统（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4.3 加密电子响应文件成功提交后，供应商应打印“投标文件提交回执单”供谈判响应文件递交现场备查。</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5.评审依据</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5.1采用全流程电子化交易评审时，谈判小组以电子响应文件为依据评审。</w:t>
      </w:r>
    </w:p>
    <w:p>
      <w:pPr>
        <w:tabs>
          <w:tab w:val="left" w:pos="7095"/>
        </w:tabs>
        <w:spacing w:line="360" w:lineRule="auto"/>
        <w:ind w:firstLine="480" w:firstLineChars="200"/>
        <w:contextualSpacing/>
        <w:rPr>
          <w:rFonts w:hAnsi="宋体"/>
          <w:color w:val="000000"/>
          <w:szCs w:val="21"/>
        </w:rPr>
      </w:pPr>
      <w:r>
        <w:rPr>
          <w:rFonts w:hint="eastAsia" w:ascii="新宋体" w:hAnsi="新宋体" w:eastAsia="新宋体" w:cs="新宋体"/>
          <w:color w:val="000000"/>
          <w:sz w:val="24"/>
          <w:szCs w:val="24"/>
        </w:rPr>
        <w:t>5.2全流程电子化交易如因系统异常情况无法完成，将以人工方式进行。谈判小组以纸质响</w:t>
      </w:r>
      <w:r>
        <w:rPr>
          <w:rFonts w:hint="eastAsia" w:hAnsi="宋体"/>
          <w:color w:val="000000"/>
          <w:szCs w:val="21"/>
        </w:rPr>
        <w:t>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val="0"/>
          <w:bCs w:val="0"/>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满足中小学校阶梯教室的使用要求以及国家相关安全、环保、质量等要求。</w:t>
      </w:r>
    </w:p>
    <w:p>
      <w:pPr>
        <w:widowControl/>
        <w:numPr>
          <w:ilvl w:val="0"/>
          <w:numId w:val="6"/>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3"/>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675"/>
        <w:gridCol w:w="7110"/>
        <w:gridCol w:w="58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序号</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名称</w:t>
            </w:r>
          </w:p>
        </w:tc>
        <w:tc>
          <w:tcPr>
            <w:tcW w:w="711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技术参数</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数量</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8"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礼堂椅</w:t>
            </w:r>
          </w:p>
        </w:tc>
        <w:tc>
          <w:tcPr>
            <w:tcW w:w="7110" w:type="dxa"/>
            <w:shd w:val="clear" w:color="auto" w:fill="FFFFFF"/>
            <w:noWrap w:val="0"/>
            <w:tcMar>
              <w:top w:w="15" w:type="dxa"/>
              <w:left w:w="15" w:type="dxa"/>
              <w:right w:w="15" w:type="dxa"/>
            </w:tcMar>
            <w:vAlign w:val="top"/>
          </w:tcPr>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1、背海棉：采用高密度冷发泡PU定型海棉，海棉厚10CM，密度为大于45KG/M3。</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2、座海棉：采用高密度冷发泡PU定型海棉,海棉厚15CM，密度为大于55KG/M3。</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3、背内板：采用优质夹板经模具压注成型。外型成弧型，美观大方，具有曲线美，厚度为0.6cm。</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4、背外板：采用优质高密度硬木多层板，经模具冷压注成型，防火面，不褪色，抗变型。背外板规格：长度为725 mm，宽度为520mm，厚度为18mm。</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5、座外板：采用优质高密度硬木多层板经模具压注成型，防火面，尺寸规格：长度为460mm，宽度为425 mm，厚度为15mm。</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6、回位功能：座内采用阻尼慢回弹结构，持久耐用，无噪音。</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7、座椅结构：采用加强型连接结构，在两背角码间装有加强横管（40X20XT1.2），座包后方装有防震胶垫，使座在受外力作用与背相碰撞时受力点不再海绵上，而更加耐用、牢固、更舒适。</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8、扶手面：采用实木扶手。</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9、写字板：*采用14MM直径实心圆形钢筋支撑结构，能承受100KG重量，面板采用高密度中纤板 。不使用时可以折叠隐藏在扶手脚框内，节约空间。</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10、面料：座背面料采用颐达高级专用布料，耐摩、耐脏。</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11、侧板：*采用内插式侧板，优质中纤板外附海绵包布，使用寿命长，无维修。</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12、脚架：扶手框架采用优质T2.0mm热轧板，底脚板采用2 mm优质冷轧钢冲压成型，脚管采用80X40XT1.2优质方管经二氧化碳焊接成型，表面采用防锈静电喷亚光黑处理。</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13、座椅外形：设计符合人体工程学原理，舒适度好。</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14、地面固定：采用不锈钢内六角膨胀螺丝使座椅与地面固定。</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135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主席</w:t>
            </w:r>
          </w:p>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会议桌</w:t>
            </w:r>
          </w:p>
        </w:tc>
        <w:tc>
          <w:tcPr>
            <w:tcW w:w="7110" w:type="dxa"/>
            <w:shd w:val="clear" w:color="auto" w:fill="FFFFFF"/>
            <w:noWrap w:val="0"/>
            <w:tcMar>
              <w:top w:w="15" w:type="dxa"/>
              <w:left w:w="15" w:type="dxa"/>
              <w:right w:w="15" w:type="dxa"/>
            </w:tcMar>
            <w:vAlign w:val="top"/>
          </w:tcPr>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基材：台面E1级中纤板，其余部位选用品牌E1级刨花板；面层：0.6mm厚天然优质木皮饰面，封边：四周胡桃木实木封边；油漆：著名品牌环保油漆，高级隐孔亚光漆表面工艺处理，附着力强、透明度高、耐磨性好，色泽柔和，手感良好。</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会议椅</w:t>
            </w:r>
          </w:p>
        </w:tc>
        <w:tc>
          <w:tcPr>
            <w:tcW w:w="7110" w:type="dxa"/>
            <w:shd w:val="clear" w:color="auto" w:fill="FFFFFF"/>
            <w:noWrap w:val="0"/>
            <w:tcMar>
              <w:top w:w="15" w:type="dxa"/>
              <w:left w:w="15" w:type="dxa"/>
              <w:right w:w="15" w:type="dxa"/>
            </w:tcMar>
            <w:vAlign w:val="top"/>
          </w:tcPr>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1、面材选用西皮，经液态浸色及防潮、防污等工艺处理，使皮面更加柔软舒适，光泽持久；</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2、辅料采用发泡高密度海棉，表面有一层保护面，可防氧化，防碎，经过HD测试，永不变形。</w:t>
            </w:r>
          </w:p>
          <w:p>
            <w:pPr>
              <w:keepNext w:val="0"/>
              <w:keepLines w:val="0"/>
              <w:widowControl/>
              <w:suppressLineNumbers w:val="0"/>
              <w:spacing w:line="240" w:lineRule="auto"/>
              <w:jc w:val="both"/>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3、实木材质</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6</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34"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演讲台</w:t>
            </w:r>
          </w:p>
        </w:tc>
        <w:tc>
          <w:tcPr>
            <w:tcW w:w="7110" w:type="dxa"/>
            <w:shd w:val="clear" w:color="auto" w:fill="FFFFFF"/>
            <w:noWrap w:val="0"/>
            <w:tcMar>
              <w:top w:w="15" w:type="dxa"/>
              <w:left w:w="15" w:type="dxa"/>
              <w:right w:w="15" w:type="dxa"/>
            </w:tcMar>
            <w:vAlign w:val="top"/>
          </w:tcPr>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环保指标符合国家环保E1级标准，甲醛释放量≤0．5mg/L；</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基材：基材采用E1级环保中密度纤维板，甲醛释放量≤5mg/100g；</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面材：双面贴A级进口木皮，木皮厚度0．6mm，木皮纹理颜色一致，无结疤，无瑕疵。经过防虫防腐处理，耐磨性好，纹理清晰自然，色泽一致。</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封边：四周实木封边，走线孔内缘及隐蔽部位全部做封边处理</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框架：采用实木框架，榫结构。</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油漆：选用环保油漆，隐孔亚光，两面均衡油饰，漆膜附着力达到1级。</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会议桌</w:t>
            </w:r>
          </w:p>
        </w:tc>
        <w:tc>
          <w:tcPr>
            <w:tcW w:w="7110" w:type="dxa"/>
            <w:shd w:val="clear" w:color="auto" w:fill="FFFFFF"/>
            <w:noWrap w:val="0"/>
            <w:tcMar>
              <w:top w:w="15" w:type="dxa"/>
              <w:left w:w="15" w:type="dxa"/>
              <w:right w:w="15" w:type="dxa"/>
            </w:tcMar>
            <w:vAlign w:val="top"/>
          </w:tcPr>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1、基材：AAA级中纤板，符合国际E1级环保标准，木材含水率控制为8%—12%</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2、面材：</w:t>
            </w:r>
            <w:r>
              <w:rPr>
                <w:rFonts w:hint="eastAsia" w:ascii="宋体" w:hAnsi="宋体" w:cs="宋体"/>
                <w:b w:val="0"/>
                <w:bCs w:val="0"/>
                <w:i w:val="0"/>
                <w:color w:val="000000"/>
                <w:kern w:val="0"/>
                <w:sz w:val="21"/>
                <w:szCs w:val="21"/>
                <w:u w:val="none"/>
                <w:lang w:val="en-US" w:eastAsia="zh-CN" w:bidi="ar"/>
              </w:rPr>
              <w:t>优质</w:t>
            </w:r>
            <w:r>
              <w:rPr>
                <w:rFonts w:hint="eastAsia" w:ascii="宋体" w:hAnsi="宋体" w:eastAsia="宋体" w:cs="宋体"/>
                <w:b w:val="0"/>
                <w:bCs w:val="0"/>
                <w:i w:val="0"/>
                <w:color w:val="000000"/>
                <w:kern w:val="0"/>
                <w:sz w:val="21"/>
                <w:szCs w:val="21"/>
                <w:u w:val="none"/>
                <w:lang w:val="en-US" w:eastAsia="zh-CN" w:bidi="ar"/>
              </w:rPr>
              <w:t>0.6mm厚胡桃木皮</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3、油漆：环保聚脂油漆</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甲醛含量小于1.5mg/</w:t>
            </w:r>
            <w:r>
              <w:rPr>
                <w:rFonts w:hint="eastAsia" w:ascii="宋体" w:hAnsi="宋体" w:cs="宋体"/>
                <w:b w:val="0"/>
                <w:bCs w:val="0"/>
                <w:i w:val="0"/>
                <w:color w:val="000000"/>
                <w:kern w:val="0"/>
                <w:sz w:val="21"/>
                <w:szCs w:val="21"/>
                <w:u w:val="none"/>
                <w:lang w:val="en-US" w:eastAsia="zh-CN" w:bidi="ar"/>
              </w:rPr>
              <w:t>L</w:t>
            </w:r>
            <w:r>
              <w:rPr>
                <w:rFonts w:hint="eastAsia" w:ascii="宋体" w:hAnsi="宋体" w:eastAsia="宋体" w:cs="宋体"/>
                <w:b w:val="0"/>
                <w:bCs w:val="0"/>
                <w:i w:val="0"/>
                <w:color w:val="000000"/>
                <w:kern w:val="0"/>
                <w:sz w:val="21"/>
                <w:szCs w:val="21"/>
                <w:u w:val="none"/>
                <w:lang w:val="en-US" w:eastAsia="zh-CN" w:bidi="ar"/>
              </w:rPr>
              <w:t>；可溶性铅小于9mg/kg，达到E1级环保标准，油漆硬度为3H光泽均匀，硬度高，抗刮性强，不褪色</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4、配备强大的强弱电走线系统</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5、工艺标准：达到GB/T3324-95《木家具通用技术条件》</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尺寸根据实际环境定制</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0"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6</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专业功放</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2.采用智能控制强制散热设计，具有风机噪音小，散热效率高等特点；具有完善可靠的安全保护措施和工作状态指示（短路、过载、直流和过热保护，变压器过热保护），让用户放心使用。</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3.输出功率:立体声/并联8Ω:200W*2.立体声/并联4Ω:300W*2.桥接8Ω:600W。</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4.采用标准XLR+TRS1/4” 复合多功能输入接口，更加方便不同用户需求。智能削峰限幅器，控制功率模块及扬声器系统在安全范围内工作。</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5.信噪比≥95dB、频响:20Hz-20KHz(+0dB/-2dB)；分离度≥80dB、失真度≤0.05%</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音频处理器</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3.输出通道支持31段参量均衡器、延时器、分频器、高低通滤波器、限幅器。</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4.支持24bit/48KHz卓越的高品质声音，支持输入通道48V幻像供电，频率响应：20Hz-20KHz，总谐波失真＜0.002% @1KHz ,4dBu，数/模动态范围(A-计权)：120dB；最大输出电平≥+24dBu，最大输入电平≥+24dBu。</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5.支持通过ipad或iPhone或安卓手机APP软件进行操作控制、切换8个不同场景。面板具备USB接口，支持多媒体存储，可进行播放或存储录播。</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6.配置双向RS-232接口，可用于控制外部设备；配置RS-485接口，可实现自动摄像跟踪功能。配置8通道可编程GPIO控制接口（可自定义输入输出）。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7.支持断电自动保护记忆功能。支持通道拷贝、粘贴、联控功能。支持通过浏览器访问设备，下载自带管理控制软件；软件界面直观、图形化，可工作在XP/Windows7.8.10等系统环境下。</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8</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天线分配器</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1.可支持为4台一拖二真分集话筒自动选讯接收机的多频道系统共用一对天线和一个电源，简化天线装配工程，提升接收距离及效能。</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2.频带范围：640~960MHz，输出/入增益+1.0dB(频段中心)，输出/入阻抗：50Ω，频宽：320MHz。</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9</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话筒天线</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1.采用专业UHF频段无线真分集接收机用的45度极化宽频全向天线，支持550MHz ~ 850MHz频率范围频段，具有8dBi的高指向特性的增益。</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2.最大功率支持50W，半功率波瓣宽度：H:76°±5°，V:76°±5°，前后比≥23dB，。</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3.接头类型BNC，输入阻抗50Ω，雷电保护：直流接地DC。</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4.支持吸顶、壁挂、垂直安装方式。</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6"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调音台</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1.支持≥8路麦克风输入兼容6路线路输入接口，支持≥2路立体声输入接口，≥4路RCA输入，话筒接口幻像电源：+48V。</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3.内置24位DSP效果器，提供100种预设效果。</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4.具备13个60mm行程的高精密碳膜推子。</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5.内置USB声卡模块，支持连接电脑进行音乐播放和声音录音；内置MP3播放器，支持1个USB接口接U盘播放音乐。</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6.频率响应：10Hz to 55KHz，+/-3dB；失真度：&lt;0.003% at+0dB,22Hz-22KHz A-weighted；灵敏度；+21dB~-30dB；信噪比：&lt;-100dBr A-weighted。</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电源时序器</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2.当远程控制有效时同时控制后板ALARM（报警）端口导通—起到级联控制ALARM（报警）功能。</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3.单个通道最大负载功率2200W，所有通道负载总功率达6000W。输出连接器：多用途电源插座。</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专业音箱</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 阻抗：8Ω</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 频响：70Hz-20KHz</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 额定功率：150W</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 灵敏度：96dB/W/M</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 覆盖角度：(H)100°(V)80°</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 高音：3"锥形高音单元×2</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 低音：8"低音×1</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为确保该项目所使用的产品为正规实力厂家提供，,所投音频系统厂家须获得ISO27001信息安全管理体系认证证书、ISO20000信息技术服务管理体系证书，两个证书缺一不可（提供证书复印件）。</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为保证本次招标设备的高效果性以及售后服务的便捷性，本次所招专业扩声设备和舞台灯光设备要求为同一厂家设备</w:t>
            </w:r>
            <w:r>
              <w:rPr>
                <w:rFonts w:hint="eastAsia" w:ascii="宋体" w:hAnsi="宋体" w:cs="宋体"/>
                <w:b w:val="0"/>
                <w:bCs w:val="0"/>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提供中国质量检验协会颁发的CAQI全国质量检验稳定合格产品证书，CAQI全国产品和服务质量诚信示范企业，CAQI全国质量信用先进企业。</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13</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支架</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固定面板尺寸（长*宽）： 140mm*65mm</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箱体固定面板尺寸（长*宽）： 128mm*70mm</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14</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桌插</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1.插座采用全铝结构，优质铝材加上CNC精雕加工,插座面板框架为整体铝合金整体CNC一次成型。</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2.设备的表面处理为阳极氧化处理，色泽光亮</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3.信息模块接口采用标准模块，信号强，质量好。</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4.信息接口选用高档配置，表面滑线细腻，与办公台连接紧密。</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5.弹起式桌面插座，支持45°仰角，符合工程学原理角度。</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6.具有1个视频切换按键，搭配中控矩阵使用可实现视频切换。</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6.配置接口：1个多功能电源，2个网络，1个3.5音频，1个高清，一个视频切换</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一拖八无线会议话筒</w:t>
            </w:r>
          </w:p>
        </w:tc>
        <w:tc>
          <w:tcPr>
            <w:tcW w:w="7110" w:type="dxa"/>
            <w:shd w:val="clear" w:color="auto" w:fill="FFFFFF"/>
            <w:noWrap w:val="0"/>
            <w:tcMar>
              <w:top w:w="15" w:type="dxa"/>
              <w:left w:w="15" w:type="dxa"/>
              <w:right w:w="15" w:type="dxa"/>
            </w:tcMar>
            <w:vAlign w:val="top"/>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采用先进PLL频率合成锁相环技术，微电脑集成中央处理器CPU总线控制系统。</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 兼容手动选频和红外自动对频锁定频道， 杂讯锁定静噪控制及音码锁定静噪控制，信号更稳定。</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 具有SCAN 自动扫频功能，使用前按SET功能键自动找一个环境最干净的频点处停下来，此频率作为接收机的使用频率</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 V/A显示屏在任何角度观察字体清晰同时显示信道号与工作频率。带8级射频电平显示，8级音频电平显示，频道菜单显示，静音显示。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 先进的滤波及抗干扰功能能够有效阻隔外界不良信号及手机信号的干扰。</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 使用640-830MHZ频段，每台接收机拥有200个可调频率。</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 采用传统按键操控，更省电，更经济实惠，性价比高，内置高性能的语音压扩技术，支持平衡和非平衡两种选择输出端口。</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8.系统指标：频率范围： 640-690MHZ  740-790MHz  807-830MHz、频道数目： 500个、音频响应 ：80HZ-18KHZ(±2dB)、信噪比： &gt;105dB、灵敏度 ：–105 dBm for 12 dB SINAD, typical、有效使用距离 ：空旷50米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提供厂家售后服务承诺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9.接收器指标：平衡200Ω 负载-13dBV，非平衡600Ω、音频输出阻抗： 平衡200Ω；1路合并非平衡600Ω；</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10.麦克风指标：输出功率 ：高功率30mW；低功率3mW</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11.系统包括有一台主机+六台桌面式无线麦克风和两个手持话筒须与功放为同一品牌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16</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抑制器</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1.采用96KHz采样频率，32-bit DSP处理器，24-bitA/D及D/A转换，支持数字信号输入输出通道提供coaxial，AES及光纤接口。</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2.支持144 x 32的LCD显示屏显示参数功能，提供4段LED显示输出电平；每通道24个LED灯显示啸叫抑制状态数量；</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3.每通道支持压缩、限幅、噪声门、功能设置，可切换工作模式为直通或反馈抑制；可任意编辑固定和动态反馈点数量，可一键清除啸叫点；单机可存储30组用户程序。须与功放为同一品牌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17</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影视灯（面光）</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1.电源输入：AC100~240V 50-60Hz。</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2.信号输入/输出：3P-XLR输入/输出，DMX512信号。</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3.电源消耗功率：最大220W。</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4.LED光源：COB白光200W LED 3200K。</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5.DMX通道：3 DMX通道。</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6.控制：LCD显示屏。</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7.光束角度：19度（26度可选择）。</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8.防水等级：IP20。</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9.工作环境温度：-20°～40°。</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为确保该项目所使用的产品为正规实力厂家提供，,所投音频系统厂家须获得ISO27001信息安全管理体系认证证书、ISO20000信息技术服务管理体系证书，两个证书缺一不可。</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为保证本次招标设备的高效果性以及售后服务的便捷性，本次所招专业扩声设备和舞台灯光设备要求为同一厂家设备，提供厂家证明文件</w:t>
            </w:r>
            <w:r>
              <w:rPr>
                <w:rFonts w:hint="eastAsia" w:ascii="宋体" w:hAnsi="宋体" w:cs="宋体"/>
                <w:b w:val="0"/>
                <w:bCs w:val="0"/>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提供中国质量检验协会颁发的CAQI全国质量检验稳定合格产品证书，CAQI全国产品和服务质量诚信示范企业，CAQI全国质量信用先进企业。</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18</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影视灯（顶光）</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1.电源输入：AC110-240V/50-60Hz    300W。</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2.光源：2835/0.5W LED暖白+冷白；光源寿命：十万小时；色温：3200-6500K可调，CRI≥95，TLCI≥95；调光：16比特以上0-100%无抖动平滑线性调光；暖白+冷白2种颜色可混。</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3.控制信号：DMX控制。</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 xml:space="preserve">4.控制模式：DMX信号控制或手动按键控制 可单独色温手动调选；通道模式：2通道、6通道，2种通道模式可选择。                  </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5.带RDM功能/通过DMX数据线升级软件。</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6.环境湿度：﹣25℃-40℃。</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19</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灯光控台</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1.DMX512/1990标准，最大1024个DMX控制通道，两路光电隔离信号输出；最大控制120台电脑灯或120路调光。</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2.内置图形轨迹发生器，有227个内置图形，方便用户对电脑灯进行图形轨迹控制，如画圆、螺旋、彩虹、追逐等多种效果。</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3.使用珍珠灯库（R20格式灯库），且控台上可自行编写灯库；带背光的LCD显示屏，首创的中英文显示可切换界面。面板中英文可选。</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4.图形参数（如：振幅、速度、间隔、波浪、方向）均可独立设置，更方便快捷的做出想要的造型和场景，每个场景可保存图形数量5个；同时可运行图形数量10个，节目录制功能，最多可储存100个节目。</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5.有内置时间码和外置MIDI触发功能，实现一键声光同步的炫丽灯光秀；场景能够实现交叠功能，图形有宽度参数，能够更快速的编程，可储存100个素材，素材共享或者独立素材均可随心设置。</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6.素材储存模式有四种，素材储存和调用灵活便捷；可储存120个重演场景，用于储存多步场景和单步场景。每个多步场景最多可储存600个单步，可同时输出和运行12个重演场景，具有高级编组功能。</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带12根集控推杆，按键点控和推杆集控兼容，支持重新配节地址码、垂直水平交换、通道输出反向等功能；关机或者突发断电等情况数据可记忆保持；U盘可备份控台数据，并支持重新导入到控台使用，同型号控台数据可共享。</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8.支持远程软件升级，随时随地增加新的功能，具有预编程功能，离线事先编程，支持立即黑场、场景互锁，预置推杆可控制电脑灯的属性，属性控制更方便快捷。</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9.电源：AC 100 -240V / 50-60Hz。</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须与影视灯为同一品牌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20</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控台</w:t>
            </w:r>
          </w:p>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配件</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1.1路DMX512数码输入，1路DMX512直接输出。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2.输入输出光电隔离。</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3.8路独立放大驱动输出。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4.信号放大整形功能，延长信号传输距离。</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5.增强数据总线接入设备数量的能力。保护灯光控制台DMX512输出接口，故障现场隔离，提高数字式灯光控制系统的安全可靠性。</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6.独立的LED信号指示。</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7.电源：AC100~240V/50-60Hz。</w:t>
            </w:r>
            <w:r>
              <w:rPr>
                <w:rFonts w:hint="eastAsia" w:ascii="宋体" w:hAnsi="宋体" w:eastAsia="宋体" w:cs="宋体"/>
                <w:b w:val="0"/>
                <w:bCs w:val="0"/>
                <w:i w:val="0"/>
                <w:color w:val="000000"/>
                <w:kern w:val="0"/>
                <w:sz w:val="21"/>
                <w:szCs w:val="21"/>
                <w:u w:val="none"/>
                <w:lang w:val="en-US" w:eastAsia="zh-CN" w:bidi="ar"/>
              </w:rPr>
              <w:br w:type="textWrapping"/>
            </w:r>
            <w:r>
              <w:rPr>
                <w:rFonts w:hint="eastAsia" w:ascii="宋体" w:hAnsi="宋体" w:eastAsia="宋体" w:cs="宋体"/>
                <w:b w:val="0"/>
                <w:bCs w:val="0"/>
                <w:i w:val="0"/>
                <w:color w:val="000000"/>
                <w:kern w:val="0"/>
                <w:sz w:val="21"/>
                <w:szCs w:val="21"/>
                <w:u w:val="none"/>
                <w:lang w:val="en-US" w:eastAsia="zh-CN" w:bidi="ar"/>
              </w:rPr>
              <w:t>须与影视灯为同一品牌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影视灯配件</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规格：28mm；重量：228g；承重：50kg；卡管;40-58mm</w:t>
            </w:r>
            <w:r>
              <w:rPr>
                <w:rFonts w:hint="eastAsia" w:ascii="宋体" w:hAnsi="宋体" w:cs="宋体"/>
                <w:b w:val="0"/>
                <w:bCs w:val="0"/>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须与影视灯为同一品牌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20</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影视灯配件</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规格：4mm；长度：80mm；承重：150kg</w:t>
            </w:r>
            <w:r>
              <w:rPr>
                <w:rFonts w:hint="eastAsia" w:ascii="宋体" w:hAnsi="宋体" w:cs="宋体"/>
                <w:b w:val="0"/>
                <w:bCs w:val="0"/>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须与影视灯为同一品牌</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20</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23</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影视灯灯杆</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根据实际情况采用外径50镀锌圆管φ50*2.5mm</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电源线RVV电线电缆 国标纯铜环保 RVV3*2.5</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100</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25</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信号线</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RVVP2*0.5，200米/卷</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26</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w:t>
            </w:r>
          </w:p>
        </w:tc>
        <w:tc>
          <w:tcPr>
            <w:tcW w:w="7110" w:type="dxa"/>
            <w:shd w:val="clear" w:color="auto" w:fill="FFFFFF"/>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电工胶布、焊锡、热缩管、大二芯6.35单插头、镀金3.5mm立体声耳机公插头、卡农公头、卡农母头、BNC公头、BNC母头、HDMI线、镀锌管</w:t>
            </w:r>
          </w:p>
        </w:tc>
        <w:tc>
          <w:tcPr>
            <w:tcW w:w="58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27</w:t>
            </w:r>
          </w:p>
        </w:tc>
        <w:tc>
          <w:tcPr>
            <w:tcW w:w="675" w:type="dxa"/>
            <w:shd w:val="clear" w:color="auto" w:fill="FFFFFF"/>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室内全彩LED屏模组</w:t>
            </w:r>
          </w:p>
        </w:tc>
        <w:tc>
          <w:tcPr>
            <w:tcW w:w="711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1、显示屏面积:12.18㎡；</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2、像数点间距:2.5mm</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3、像素密度:160000Dots/㎡</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4、像素构成:1R1G1B</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5、模组分辨率:128*64=8192Dots</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6、尺寸(长*宽*厚):320*160*19mm</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7、重量:0.48g±0.01kg</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8、结构特点:灯驱合一</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9、灯管封装:SMD2020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10、输入电压(直流):4.5±0.1V</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11、最大电流≤5A±0.1</w:t>
            </w:r>
            <w:r>
              <w:rPr>
                <w:rFonts w:hint="eastAsia" w:ascii="宋体" w:hAnsi="宋体" w:cs="宋体"/>
                <w:b w:val="0"/>
                <w:bCs w:val="0"/>
                <w:color w:val="auto"/>
                <w:kern w:val="0"/>
                <w:sz w:val="21"/>
                <w:szCs w:val="21"/>
                <w:lang w:val="en-US" w:eastAsia="zh-CN"/>
              </w:rPr>
              <w:t>A</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12、单元板功率 :≤23W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13、驱动方式：1/20动态恒流驱动</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14、亮度：≥600cd/㎡</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15、亮度均匀性：＞0.95</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16、屏幕水平视角：140±10°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17、屏幕垂直视角：130±10°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18、最佳视距：≥2.5m</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19、每平方模组最大功率：≤439W/㎡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20、使用环境:户室</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21、配电功率（每平方最大功率÷78%÷85%）≤663W</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22、灰度等级：红、绿、蓝各14-16bits</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23、显示颜色：43980亿种</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24、换帧频率：≥60帧/秒</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25、刷新频率：≥1920Hz</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26、控制方式：计算机控制，逐点一一对应，视频同步，实时显示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27、亮度调节：256级手动/自动</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28、输入信号：DVI/VGA，视频(多种制式)，RGBHV、复合视频信号、S-VIDEO、YpbPr(HDTV)</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9、使用寿命：≥10万小时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30、平均无故障时间: ≥1万小时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31、衰减率(工作3年)：≤15％</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32、连续失控点：0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33、离散失控点：＜0.0001，出厂时为0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34、盲点率：＜0.0003，出厂时为0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35、工作温度范围：-20至40℃</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36、工作湿度范围：10％至65％RH</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37、防护性能：超温/过载/掉电/图像补偿/各种校正技术/过流/过压/防雷(可选项)</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38、屏幕水平平整度：＜1mm/㎡</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9、屏幕垂直平整度：＜1mm/㎡</w:t>
            </w:r>
            <w:r>
              <w:rPr>
                <w:rFonts w:hint="eastAsia" w:ascii="宋体" w:hAnsi="宋体" w:eastAsia="宋体" w:cs="宋体"/>
                <w:b w:val="0"/>
                <w:bCs w:val="0"/>
                <w:color w:val="auto"/>
                <w:kern w:val="0"/>
                <w:sz w:val="21"/>
                <w:szCs w:val="21"/>
              </w:rPr>
              <w:br w:type="textWrapping"/>
            </w:r>
            <w:r>
              <w:rPr>
                <w:rFonts w:hint="eastAsia" w:ascii="宋体" w:hAnsi="宋体" w:cs="宋体"/>
                <w:b w:val="0"/>
                <w:bCs w:val="0"/>
                <w:color w:val="auto"/>
                <w:kern w:val="0"/>
                <w:sz w:val="21"/>
                <w:szCs w:val="21"/>
                <w:lang w:eastAsia="zh-CN"/>
              </w:rPr>
              <w:t>投标时提供</w:t>
            </w:r>
            <w:r>
              <w:rPr>
                <w:rFonts w:hint="eastAsia" w:ascii="宋体" w:hAnsi="宋体" w:eastAsia="宋体" w:cs="宋体"/>
                <w:b w:val="0"/>
                <w:bCs w:val="0"/>
                <w:color w:val="auto"/>
                <w:kern w:val="0"/>
                <w:sz w:val="21"/>
                <w:szCs w:val="21"/>
              </w:rPr>
              <w:t>所投LED显示屏生产厂家为国家级企业技术中心（提供经原厂确认证明文件）；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eastAsia="zh-CN"/>
              </w:rPr>
              <w:t>投标时提供</w:t>
            </w:r>
            <w:r>
              <w:rPr>
                <w:rFonts w:hint="eastAsia" w:ascii="宋体" w:hAnsi="宋体" w:eastAsia="宋体" w:cs="宋体"/>
                <w:b w:val="0"/>
                <w:bCs w:val="0"/>
                <w:color w:val="auto"/>
                <w:kern w:val="0"/>
                <w:sz w:val="21"/>
                <w:szCs w:val="21"/>
              </w:rPr>
              <w:t>所投LED显示屏生产厂家具有安全生产标准化证书；</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eastAsia="zh-CN"/>
              </w:rPr>
              <w:t>投标时提供</w:t>
            </w:r>
            <w:r>
              <w:rPr>
                <w:rFonts w:hint="eastAsia" w:ascii="宋体" w:hAnsi="宋体" w:eastAsia="宋体" w:cs="宋体"/>
                <w:b w:val="0"/>
                <w:bCs w:val="0"/>
                <w:color w:val="auto"/>
                <w:kern w:val="0"/>
                <w:sz w:val="21"/>
                <w:szCs w:val="21"/>
              </w:rPr>
              <w:t xml:space="preserve">所投LED显示屏具有防火阻燃等级中文报告；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投标时提供</w:t>
            </w:r>
            <w:r>
              <w:rPr>
                <w:rFonts w:hint="eastAsia" w:ascii="宋体" w:hAnsi="宋体" w:eastAsia="宋体" w:cs="宋体"/>
                <w:b w:val="0"/>
                <w:bCs w:val="0"/>
                <w:color w:val="auto"/>
                <w:kern w:val="0"/>
                <w:sz w:val="21"/>
                <w:szCs w:val="21"/>
              </w:rPr>
              <w:t>提供厂家所投产品的CCC证书</w:t>
            </w:r>
            <w:r>
              <w:rPr>
                <w:rFonts w:hint="eastAsia" w:ascii="宋体" w:hAnsi="宋体" w:eastAsia="宋体" w:cs="宋体"/>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 ISO9001质量管理体系认证证书， ISO14001环境体系认证证书；</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提供</w:t>
            </w:r>
            <w:r>
              <w:rPr>
                <w:rFonts w:hint="eastAsia" w:ascii="宋体" w:hAnsi="宋体" w:eastAsia="宋体" w:cs="宋体"/>
                <w:b w:val="0"/>
                <w:bCs w:val="0"/>
                <w:color w:val="auto"/>
                <w:kern w:val="0"/>
                <w:sz w:val="21"/>
                <w:szCs w:val="21"/>
              </w:rPr>
              <w:t>投标LED显示屏产品需具备LED箱体进风口防水防尘结构</w:t>
            </w:r>
            <w:r>
              <w:rPr>
                <w:rFonts w:hint="eastAsia" w:ascii="宋体" w:hAnsi="宋体" w:eastAsia="宋体" w:cs="宋体"/>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投标LED显示屏产品需具备可全局控制的LED显示屏亮度</w:t>
            </w:r>
            <w:r>
              <w:rPr>
                <w:rFonts w:hint="eastAsia" w:ascii="宋体" w:hAnsi="宋体" w:eastAsia="宋体" w:cs="宋体"/>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auto"/>
                <w:kern w:val="0"/>
                <w:sz w:val="21"/>
                <w:szCs w:val="21"/>
                <w:lang w:eastAsia="zh-CN"/>
              </w:rPr>
              <w:t>以上资料需提供经制造企业的复印件</w:t>
            </w:r>
          </w:p>
        </w:tc>
        <w:tc>
          <w:tcPr>
            <w:tcW w:w="585"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shd w:val="clear" w:color="auto" w:fill="FFFFFF"/>
            <w:noWrap w:val="0"/>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28</w:t>
            </w:r>
          </w:p>
        </w:tc>
        <w:tc>
          <w:tcPr>
            <w:tcW w:w="6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显示屏控制系统</w:t>
            </w:r>
          </w:p>
        </w:tc>
        <w:tc>
          <w:tcPr>
            <w:tcW w:w="71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1）单卡输出RGB’数据24组；</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2)单卡带载像素为256*226(4扫)128*384(16扫)128*768(32扫)；</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3)支持配置文件回读；</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4)支持静态-32扫任意扫描方式，兼容行业主流常规芯片、双锁存芯片、PWM高刷芯片；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5)支持138译码、595译码、5958译码等多种译码方式；</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6)宽电压设计，支持电压输入范围+3.5V-6V；</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7)硬件采用工业级设计，支持-40度至85度工作环境；</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8)支持5V防反接保护电路，(可选配不分正负任意接)；</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9)支持一键换卡，更换接收卡后不需要重新设置加载程序；</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10)支持多种灰度模式。刷新优先、灰度优先、亮度优先；</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11)支持逐点亮色度校正；</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12)支持温湿度监控(扩展)</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13支持供电电压检测(扩展)</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14)支持接收卡预存画面设置(扩展)；</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kern w:val="0"/>
                <w:sz w:val="21"/>
                <w:szCs w:val="21"/>
              </w:rPr>
              <w:t>控制系统同品牌，与控制系统其他分项无缝兼容，完全满足控制系统性能需求。控制系统(含多画面拼接器、视频控制器、独立主控、同步接收卡)采用同一生产厂家同一品牌产品，严禁贴牌。</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kern w:val="0"/>
                <w:sz w:val="21"/>
                <w:szCs w:val="21"/>
              </w:rPr>
              <w:t>提供LED全彩自愈数据传输系统证书。</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kern w:val="0"/>
                <w:sz w:val="21"/>
                <w:szCs w:val="21"/>
              </w:rPr>
              <w:t>提供一键换卡检测报告</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kern w:val="0"/>
                <w:sz w:val="21"/>
                <w:szCs w:val="21"/>
              </w:rPr>
              <w:t>提供全彩LED显示系统嵌入式软件著作权；</w:t>
            </w:r>
            <w:r>
              <w:rPr>
                <w:rFonts w:hint="eastAsia" w:ascii="宋体" w:hAnsi="宋体" w:eastAsia="宋体" w:cs="宋体"/>
                <w:b w:val="0"/>
                <w:bCs w:val="0"/>
                <w:color w:val="auto"/>
                <w:kern w:val="0"/>
                <w:sz w:val="21"/>
                <w:szCs w:val="21"/>
              </w:rPr>
              <w:br w:type="textWrapping"/>
            </w:r>
            <w:r>
              <w:rPr>
                <w:rFonts w:hint="eastAsia" w:ascii="宋体" w:hAnsi="宋体" w:eastAsia="宋体" w:cs="宋体"/>
                <w:b w:val="0"/>
                <w:bCs w:val="0"/>
                <w:color w:val="auto"/>
                <w:kern w:val="0"/>
                <w:sz w:val="21"/>
                <w:szCs w:val="21"/>
                <w:lang w:eastAsia="zh-CN"/>
              </w:rPr>
              <w:t>以上资料需提供经制造企业的复印件</w:t>
            </w:r>
          </w:p>
        </w:tc>
        <w:tc>
          <w:tcPr>
            <w:tcW w:w="585"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390"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29</w:t>
            </w:r>
          </w:p>
        </w:tc>
        <w:tc>
          <w:tcPr>
            <w:tcW w:w="67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视频处理器</w:t>
            </w:r>
          </w:p>
        </w:tc>
        <w:tc>
          <w:tcPr>
            <w:tcW w:w="71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1、具有完备的视频输入接口，包括1路VGA，1路DVI，2路USB/SDI（可选），2路HDMI，1路DP ，4K*2K输入，支持2路SDI扩展输入，支持2路USB扩展输入；支持输出带载像素最高1600，最宽3840，可根据显示屏分辨率对输入图像进行逐点缩放。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2、只需对一个旋钮和一个按钮进行操作即可完成系统配置，所有操作几步即可完成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3、新一代控制器的系列产品，强大的图像处理、专业的图像控制、以及友好的人机界面，使显示屏控制工作从未如此轻松和愉快。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4、采用创新型架构，实现智能配置，屏幕调试可在数分钟内完成，极大缩短舞台准备时间；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5、支持任意信号间做无缝切换，无黑屏，无闪烁，无花屏，以增强并呈现专业品质的演示画面； </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6、画中画的位置、大小等均可调节，可以随心所欲的控制;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7、支持 LCD 界面显示，清晰的按键灯提示, 支持画中画功能，支持四路画面输出；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8、全音视频同步切换：每一路视频输入信号都支持物理的音频接入口，支持音视频同步切换。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9、支持输出任意不同分辨率一键水平/垂直无缝拼接，只能计算拼接参数，无错位，无撕裂。</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10、通过独有的视频补偿处理算法保证画质不受任何损失，画面缩小时无尺度限制，有效保留图像细节，减轻画面放大多倍后产生的失焦现象。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11、支持四路视频信号源同时输出同时显示。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12、支持10个内置模板，可快速切换到不同拼接应用场景，自动搜索并切换已连接的输入信号，一键点屏。</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13、10+ Bit Faroudja DCDI去隔行视频处理，Faroudja  Real Color真彩图想处理，Faroudja TureLife视频图像增强，使用ACC和ACM图像滤波引擎，处理每位颜色时，非线性滤波效果可使图像损失率降低，还原色彩真实度，同时支持3D降噪。</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14、实现模拟信号快速、准确校正，解决模拟信号在传输过程中容易产生的黑边、偏移的问题。支持手动矫正和自动矫正功能。</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15、解决前端信号（尤其是VGA信号及非标准摄像头的输出信号）产生的黑边问题，而且可以针对任意信号源做任意裁剪（且依旧保持满屏状态）。</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16、解决拼接错位、单元不同步问题，拼接 图像完全同步，无撕裂，无丢帧，无卡顿。</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17、设备输入、输出接口均采用稳定可靠的保护芯片进行保护，以避免过电压、过电流的冲击。同时专用的电子隔离技术，防止电流反灌，保护外设、显卡等接口不受电子冲击损害。</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18、支持画面叠加、抠像，实现文字叠加功能，可任意调节抠取的色彩值。</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19、支持三路DVI输出，支持2路DVI+1路DVI备份，1路Audio输出，400万像素点对点输出。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20、六色RGBCMY独立色彩校正，支持图像90°/180°270°旋转，支持图像水平/垂直翻转，点对点输出，带给客户更流畅、更炫酷的视觉体验</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21、支持键盘锁功能，防止施工调试后现场人员的误操作；</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22、支持上位机软件控制，实现可视化快捷操作，软件操作与大屏显示同步；</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提供三方专业检测机构出具的高低温检测报告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提供由专业检测机构出具的自定义分辨率检测报告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提供由专业检测机构出具的音视频同步检测报告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提供由专业检测机构出具的屏幕画面旋转检测报告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提供由专业检测机构出具的定时任务场景切换检测报告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 HUDMI2.0及DP1.2 4K@60hz超高清输入检测报告</w:t>
            </w:r>
            <w:r>
              <w:rPr>
                <w:rFonts w:hint="eastAsia" w:ascii="宋体" w:hAnsi="宋体" w:cs="宋体"/>
                <w:b w:val="0"/>
                <w:bCs w:val="0"/>
                <w:color w:val="auto"/>
                <w:sz w:val="21"/>
                <w:szCs w:val="21"/>
                <w:lang w:eastAsia="zh-CN"/>
              </w:rPr>
              <w:t>复印件</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w:t>
            </w:r>
            <w:r>
              <w:rPr>
                <w:rFonts w:hint="eastAsia" w:ascii="宋体" w:hAnsi="宋体" w:cs="宋体"/>
                <w:b w:val="0"/>
                <w:bCs w:val="0"/>
                <w:color w:val="auto"/>
                <w:kern w:val="0"/>
                <w:sz w:val="21"/>
                <w:szCs w:val="21"/>
                <w:lang w:eastAsia="zh-CN"/>
              </w:rPr>
              <w:t>投标时</w:t>
            </w:r>
            <w:r>
              <w:rPr>
                <w:rFonts w:hint="eastAsia" w:ascii="宋体" w:hAnsi="宋体" w:eastAsia="宋体" w:cs="宋体"/>
                <w:b w:val="0"/>
                <w:bCs w:val="0"/>
                <w:color w:val="auto"/>
                <w:sz w:val="21"/>
                <w:szCs w:val="21"/>
              </w:rPr>
              <w:t>提供由专业检测机构出具的4K点对点检测报告</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kern w:val="0"/>
                <w:sz w:val="21"/>
                <w:szCs w:val="21"/>
                <w:lang w:eastAsia="zh-CN"/>
              </w:rPr>
              <w:t>以上资料需提供经制造企业确认的复印件</w:t>
            </w:r>
          </w:p>
        </w:tc>
        <w:tc>
          <w:tcPr>
            <w:tcW w:w="585"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675" w:type="dxa"/>
            <w:noWrap w:val="0"/>
            <w:vAlign w:val="center"/>
          </w:tcPr>
          <w:p>
            <w:pPr>
              <w:widowControl/>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auto"/>
                <w:kern w:val="0"/>
                <w:sz w:val="21"/>
                <w:szCs w:val="21"/>
              </w:rPr>
              <w:t>台</w:t>
            </w:r>
          </w:p>
        </w:tc>
      </w:tr>
    </w:tbl>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numPr>
          <w:ilvl w:val="0"/>
          <w:numId w:val="6"/>
        </w:numPr>
        <w:spacing w:line="360" w:lineRule="auto"/>
        <w:ind w:left="0" w:leftChars="0" w:firstLine="482" w:firstLineChars="200"/>
        <w:contextualSpacing/>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numPr>
          <w:ilvl w:val="0"/>
          <w:numId w:val="0"/>
        </w:numPr>
        <w:spacing w:line="360" w:lineRule="auto"/>
        <w:ind w:lef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新宋体" w:hAnsi="新宋体" w:eastAsia="新宋体" w:cs="新宋体"/>
          <w:color w:val="000000"/>
          <w:kern w:val="0"/>
          <w:sz w:val="24"/>
          <w:szCs w:val="24"/>
          <w:lang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val="0"/>
          <w:bCs w:val="0"/>
          <w:color w:val="000000"/>
          <w:kern w:val="0"/>
          <w:sz w:val="24"/>
          <w:szCs w:val="24"/>
        </w:rPr>
        <w:t>1、质保期为设备安装调试验收合格后2年，质保期内发生故障或质量问题，卖方在接到通知后1小时进行响应，4小时到达，24小时内处理问题，否则需提供备用机直至原设备修好为止；</w:t>
      </w:r>
    </w:p>
    <w:p>
      <w:pPr>
        <w:widowControl/>
        <w:shd w:val="clear" w:color="auto" w:fill="FFFFFF"/>
        <w:spacing w:line="360" w:lineRule="auto"/>
        <w:ind w:firstLine="480" w:firstLineChars="200"/>
        <w:contextualSpacing/>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2、投标人保证其提供的产品是全新的、未使用过的，并在各个方面符合招标文件规定的质量、规格和性能。</w:t>
      </w:r>
    </w:p>
    <w:p>
      <w:pPr>
        <w:widowControl/>
        <w:shd w:val="clear" w:color="auto" w:fill="FFFFFF"/>
        <w:spacing w:line="360" w:lineRule="auto"/>
        <w:ind w:firstLine="480" w:firstLineChars="200"/>
        <w:contextualSpacing/>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3、卖方应负责对买方操作人员进行使用培训，使其能够独立操作，并可以简单的维护和保养。</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、所响应产品必须符合国家质量检测标准和本谈判文件规定标准的全新正品现货。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验收合格正常使用后付款。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项目名称：禹州市教育体育局阶梯教室设备采购项目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YZCG-T2019248</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禹州市褚河镇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代</w:t>
            </w:r>
            <w:r>
              <w:rPr>
                <w:rFonts w:hint="default" w:cs="仿宋_GB2312" w:asciiTheme="minorEastAsia" w:hAnsiTheme="minorEastAsia" w:eastAsiaTheme="minorEastAsia"/>
                <w:szCs w:val="21"/>
                <w:lang w:val="en-US" w:eastAsia="zh-CN"/>
              </w:rPr>
              <w:t>先生   联系电话：15936376268</w:t>
            </w:r>
            <w:bookmarkStart w:id="83" w:name="_GoBack"/>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30万元，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3"/>
        </w:numPr>
        <w:autoSpaceDE w:val="0"/>
        <w:autoSpaceDN w:val="0"/>
        <w:spacing w:line="360" w:lineRule="auto"/>
        <w:ind w:firstLineChars="0"/>
        <w:contextualSpacing/>
        <w:rPr>
          <w:rFonts w:ascii="ˎ̥" w:hAnsi="ˎ̥"/>
          <w:vanish/>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szCs w:val="21"/>
              </w:rPr>
              <w:t>www.gsxt.gov.cn</w:t>
            </w:r>
            <w:r>
              <w:rPr>
                <w:rStyle w:val="28"/>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404029"/>
      <w:bookmarkStart w:id="1" w:name="_Toc329278149"/>
      <w:bookmarkStart w:id="2" w:name="_Toc356744034"/>
      <w:bookmarkStart w:id="3" w:name="_Toc354923119"/>
      <w:bookmarkStart w:id="4" w:name="_Toc355649942"/>
      <w:bookmarkStart w:id="5" w:name="_Toc357868214"/>
      <w:bookmarkStart w:id="6" w:name="_Toc364457259"/>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64457260"/>
      <w:bookmarkStart w:id="10" w:name="_Toc354404030"/>
      <w:bookmarkStart w:id="11" w:name="_Toc326060506"/>
      <w:bookmarkStart w:id="12" w:name="_Toc356744035"/>
      <w:bookmarkStart w:id="13" w:name="_Toc357868215"/>
      <w:bookmarkStart w:id="14" w:name="_Toc355649943"/>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56744036"/>
      <w:bookmarkStart w:id="22" w:name="_Toc354922982"/>
      <w:bookmarkStart w:id="23" w:name="_Toc326060507"/>
      <w:bookmarkStart w:id="24" w:name="_Toc354404031"/>
      <w:bookmarkStart w:id="25" w:name="_Toc36445726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6744037"/>
      <w:bookmarkStart w:id="30" w:name="_Toc354923122"/>
      <w:bookmarkStart w:id="31" w:name="_Toc326060508"/>
      <w:bookmarkStart w:id="32" w:name="_Toc329278152"/>
      <w:bookmarkStart w:id="33" w:name="_Toc355649945"/>
      <w:bookmarkStart w:id="34" w:name="_Toc357868217"/>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7868218"/>
      <w:bookmarkStart w:id="37" w:name="_Toc329278153"/>
      <w:bookmarkStart w:id="38" w:name="_Toc354404033"/>
      <w:bookmarkStart w:id="39" w:name="_Toc364457263"/>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64457265"/>
      <w:bookmarkStart w:id="58" w:name="_Toc354923125"/>
      <w:bookmarkStart w:id="59" w:name="_Toc354922986"/>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5649949"/>
      <w:bookmarkStart w:id="64" w:name="_Toc357868221"/>
      <w:bookmarkStart w:id="65" w:name="_Toc354922987"/>
      <w:bookmarkStart w:id="66" w:name="_Toc354923126"/>
      <w:bookmarkStart w:id="67" w:name="_Toc326060512"/>
      <w:bookmarkStart w:id="68" w:name="_Toc354404036"/>
      <w:bookmarkStart w:id="69" w:name="_Toc329278156"/>
      <w:bookmarkStart w:id="70" w:name="_Toc364457266"/>
      <w:bookmarkStart w:id="71" w:name="_Toc35674404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cs="黑体" w:asciiTheme="minorEastAsia" w:hAnsiTheme="minorEastAsia"/>
          <w:b/>
          <w:bCs/>
          <w:sz w:val="28"/>
          <w:szCs w:val="28"/>
          <w:lang w:val="zh-CN"/>
        </w:rPr>
      </w:pPr>
    </w:p>
    <w:p>
      <w:pPr>
        <w:pStyle w:val="2"/>
        <w:rPr>
          <w:rFonts w:hint="eastAsia" w:cs="黑体" w:asciiTheme="minorEastAsia" w:hAnsiTheme="minorEastAsia"/>
          <w:b/>
          <w:bCs/>
          <w:sz w:val="28"/>
          <w:szCs w:val="28"/>
          <w:lang w:val="zh-CN"/>
        </w:rPr>
      </w:pPr>
    </w:p>
    <w:p>
      <w:pPr>
        <w:pStyle w:val="2"/>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81" w:name="OLE_LINK13"/>
      <w:bookmarkStart w:id="82"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BC4F3C94"/>
    <w:multiLevelType w:val="singleLevel"/>
    <w:tmpl w:val="BC4F3C94"/>
    <w:lvl w:ilvl="0" w:tentative="0">
      <w:start w:val="1"/>
      <w:numFmt w:val="decimal"/>
      <w:suff w:val="space"/>
      <w:lvlText w:val="%1."/>
      <w:lvlJc w:val="left"/>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4"/>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3"/>
  </w:num>
  <w:num w:numId="4">
    <w:abstractNumId w:val="3"/>
  </w:num>
  <w:num w:numId="5">
    <w:abstractNumId w:val="24"/>
  </w:num>
  <w:num w:numId="6">
    <w:abstractNumId w:val="28"/>
  </w:num>
  <w:num w:numId="7">
    <w:abstractNumId w:val="1"/>
  </w:num>
  <w:num w:numId="8">
    <w:abstractNumId w:val="20"/>
  </w:num>
  <w:num w:numId="9">
    <w:abstractNumId w:val="25"/>
  </w:num>
  <w:num w:numId="10">
    <w:abstractNumId w:val="18"/>
  </w:num>
  <w:num w:numId="11">
    <w:abstractNumId w:val="13"/>
  </w:num>
  <w:num w:numId="12">
    <w:abstractNumId w:val="19"/>
  </w:num>
  <w:num w:numId="13">
    <w:abstractNumId w:val="21"/>
  </w:num>
  <w:num w:numId="14">
    <w:abstractNumId w:val="29"/>
  </w:num>
  <w:num w:numId="15">
    <w:abstractNumId w:val="17"/>
  </w:num>
  <w:num w:numId="16">
    <w:abstractNumId w:val="14"/>
  </w:num>
  <w:num w:numId="17">
    <w:abstractNumId w:val="26"/>
  </w:num>
  <w:num w:numId="18">
    <w:abstractNumId w:val="12"/>
  </w:num>
  <w:num w:numId="19">
    <w:abstractNumId w:val="22"/>
  </w:num>
  <w:num w:numId="20">
    <w:abstractNumId w:val="16"/>
  </w:num>
  <w:num w:numId="21">
    <w:abstractNumId w:val="27"/>
  </w:num>
  <w:num w:numId="22">
    <w:abstractNumId w:val="30"/>
  </w:num>
  <w:num w:numId="23">
    <w:abstractNumId w:val="0"/>
  </w:num>
  <w:num w:numId="24">
    <w:abstractNumId w:val="6"/>
  </w:num>
  <w:num w:numId="25">
    <w:abstractNumId w:val="10"/>
  </w:num>
  <w:num w:numId="26">
    <w:abstractNumId w:val="7"/>
  </w:num>
  <w:num w:numId="27">
    <w:abstractNumId w:val="9"/>
  </w:num>
  <w:num w:numId="28">
    <w:abstractNumId w:val="5"/>
  </w:num>
  <w:num w:numId="29">
    <w:abstractNumId w:val="8"/>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5520141"/>
    <w:rsid w:val="064E7C45"/>
    <w:rsid w:val="07BF5E31"/>
    <w:rsid w:val="07F96DEB"/>
    <w:rsid w:val="08ED0258"/>
    <w:rsid w:val="08EF08AA"/>
    <w:rsid w:val="09B61E03"/>
    <w:rsid w:val="0A115352"/>
    <w:rsid w:val="0A1E34A8"/>
    <w:rsid w:val="0A2241D5"/>
    <w:rsid w:val="0AED524D"/>
    <w:rsid w:val="0B042130"/>
    <w:rsid w:val="0B391354"/>
    <w:rsid w:val="0CAE7D79"/>
    <w:rsid w:val="0CC96F90"/>
    <w:rsid w:val="0CDF499A"/>
    <w:rsid w:val="0DAC0795"/>
    <w:rsid w:val="0DF14212"/>
    <w:rsid w:val="0F2D2FCF"/>
    <w:rsid w:val="0F492F98"/>
    <w:rsid w:val="100B4F00"/>
    <w:rsid w:val="10ED3EAB"/>
    <w:rsid w:val="110E6C6E"/>
    <w:rsid w:val="115D39B8"/>
    <w:rsid w:val="122C725F"/>
    <w:rsid w:val="128E3D8E"/>
    <w:rsid w:val="12E50F51"/>
    <w:rsid w:val="13BF63D1"/>
    <w:rsid w:val="14214638"/>
    <w:rsid w:val="149819C8"/>
    <w:rsid w:val="14B173D9"/>
    <w:rsid w:val="14D058A3"/>
    <w:rsid w:val="14D42B0D"/>
    <w:rsid w:val="15EE44D7"/>
    <w:rsid w:val="16175570"/>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1495698"/>
    <w:rsid w:val="320D3218"/>
    <w:rsid w:val="32985053"/>
    <w:rsid w:val="32B20743"/>
    <w:rsid w:val="32E31462"/>
    <w:rsid w:val="340A14ED"/>
    <w:rsid w:val="34280373"/>
    <w:rsid w:val="3439458D"/>
    <w:rsid w:val="345D5D57"/>
    <w:rsid w:val="350A079B"/>
    <w:rsid w:val="35306958"/>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C355E8"/>
    <w:rsid w:val="48EE371C"/>
    <w:rsid w:val="49574371"/>
    <w:rsid w:val="49CF3E0F"/>
    <w:rsid w:val="4A222BB1"/>
    <w:rsid w:val="4D005CCE"/>
    <w:rsid w:val="4D9B0DFF"/>
    <w:rsid w:val="4DAF7610"/>
    <w:rsid w:val="4DE45808"/>
    <w:rsid w:val="4E9448CD"/>
    <w:rsid w:val="4ECA5CC8"/>
    <w:rsid w:val="4F374C6E"/>
    <w:rsid w:val="4FB56BD4"/>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24963B2"/>
    <w:rsid w:val="737E090F"/>
    <w:rsid w:val="741756AE"/>
    <w:rsid w:val="741A563C"/>
    <w:rsid w:val="743F01B2"/>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95B3F5C"/>
    <w:rsid w:val="7A030FF4"/>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2019-09-25T04:11:40Z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