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教育体育局空调采购项目</w:t>
      </w:r>
    </w:p>
    <w:p>
      <w:pPr>
        <w:pStyle w:val="28"/>
        <w:rPr>
          <w:rFonts w:ascii="黑体" w:hAnsi="黑体" w:eastAsia="黑体" w:cs="黑体"/>
          <w:color w:val="000000"/>
          <w:sz w:val="44"/>
          <w:szCs w:val="44"/>
        </w:rPr>
      </w:pPr>
    </w:p>
    <w:p>
      <w:pPr>
        <w:pStyle w:val="28"/>
        <w:rPr>
          <w:rFonts w:ascii="黑体" w:hAnsi="黑体" w:eastAsia="黑体" w:cs="黑体"/>
          <w:color w:val="000000"/>
          <w:sz w:val="44"/>
          <w:szCs w:val="44"/>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教育体育</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47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禹州市教育体育局</w:t>
      </w:r>
      <w:r>
        <w:rPr>
          <w:rFonts w:hint="eastAsia" w:ascii="仿宋" w:hAnsi="仿宋" w:eastAsia="仿宋" w:cs="仿宋"/>
          <w:b/>
          <w:bCs/>
          <w:sz w:val="36"/>
          <w:szCs w:val="36"/>
          <w:lang w:eastAsia="zh-CN"/>
        </w:rPr>
        <w:t>空调</w:t>
      </w:r>
      <w:r>
        <w:rPr>
          <w:rFonts w:hint="eastAsia" w:ascii="仿宋" w:hAnsi="仿宋" w:eastAsia="仿宋" w:cs="仿宋"/>
          <w:b/>
          <w:bCs/>
          <w:sz w:val="36"/>
          <w:szCs w:val="36"/>
        </w:rPr>
        <w:t>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局的委托，就“禹州市教育体育局</w:t>
      </w:r>
      <w:r>
        <w:rPr>
          <w:rFonts w:hint="eastAsia" w:ascii="新宋体" w:hAnsi="新宋体" w:eastAsia="新宋体" w:cs="新宋体"/>
          <w:sz w:val="24"/>
          <w:szCs w:val="24"/>
          <w:lang w:eastAsia="zh-CN"/>
        </w:rPr>
        <w:t>空调采购项目</w:t>
      </w:r>
      <w:r>
        <w:rPr>
          <w:rFonts w:hint="eastAsia" w:ascii="新宋体" w:hAnsi="新宋体" w:eastAsia="新宋体" w:cs="新宋体"/>
          <w:sz w:val="24"/>
          <w:szCs w:val="24"/>
        </w:rPr>
        <w:t>”进行公开招标，欢迎合格的投标人前来投标。</w:t>
      </w:r>
    </w:p>
    <w:p>
      <w:pPr>
        <w:pStyle w:val="59"/>
        <w:widowControl/>
        <w:numPr>
          <w:ilvl w:val="0"/>
          <w:numId w:val="0"/>
        </w:numPr>
        <w:shd w:val="clear" w:color="auto" w:fill="FFFFFF"/>
        <w:spacing w:line="400" w:lineRule="exact"/>
        <w:ind w:leftChars="0"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：禹州市教育体育局空调采购项目</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247</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空调一批</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56.85</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56.85</w:t>
      </w:r>
      <w:r>
        <w:rPr>
          <w:rFonts w:hint="eastAsia" w:ascii="新宋体" w:hAnsi="新宋体" w:eastAsia="新宋体" w:cs="新宋体"/>
          <w:sz w:val="24"/>
          <w:szCs w:val="24"/>
        </w:rPr>
        <w:t>万元</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23 </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代</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0374-8880023</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8"/>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pPr>
    </w:p>
    <w:p>
      <w:pPr>
        <w:widowControl/>
        <w:numPr>
          <w:ilvl w:val="0"/>
          <w:numId w:val="6"/>
        </w:numPr>
        <w:shd w:val="clear" w:color="auto" w:fill="FFFFFF"/>
        <w:spacing w:line="360" w:lineRule="auto"/>
        <w:jc w:val="left"/>
        <w:rPr>
          <w:b w:val="0"/>
          <w:bCs w:val="0"/>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满足中小学校空调设备的使用要求以及国家相关安全、环保、质量等要求。</w:t>
      </w:r>
    </w:p>
    <w:p>
      <w:pPr>
        <w:pStyle w:val="63"/>
        <w:widowControl/>
        <w:numPr>
          <w:ilvl w:val="0"/>
          <w:numId w:val="6"/>
        </w:numPr>
        <w:shd w:val="clear" w:color="auto" w:fill="FFFFFF"/>
        <w:spacing w:line="360" w:lineRule="auto"/>
        <w:ind w:left="0" w:leftChars="0" w:firstLine="0" w:firstLine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2"/>
        <w:tblW w:w="8558" w:type="dxa"/>
        <w:jc w:val="center"/>
        <w:tblInd w:w="443" w:type="dxa"/>
        <w:tblLayout w:type="fixed"/>
        <w:tblCellMar>
          <w:top w:w="0" w:type="dxa"/>
          <w:left w:w="0" w:type="dxa"/>
          <w:bottom w:w="0" w:type="dxa"/>
          <w:right w:w="0" w:type="dxa"/>
        </w:tblCellMar>
      </w:tblPr>
      <w:tblGrid>
        <w:gridCol w:w="676"/>
        <w:gridCol w:w="1267"/>
        <w:gridCol w:w="4372"/>
        <w:gridCol w:w="568"/>
        <w:gridCol w:w="568"/>
        <w:gridCol w:w="1107"/>
      </w:tblGrid>
      <w:tr>
        <w:tblPrEx>
          <w:tblLayout w:type="fixed"/>
          <w:tblCellMar>
            <w:top w:w="0" w:type="dxa"/>
            <w:left w:w="0" w:type="dxa"/>
            <w:bottom w:w="0" w:type="dxa"/>
            <w:right w:w="0" w:type="dxa"/>
          </w:tblCellMar>
        </w:tblPrEx>
        <w:trPr>
          <w:trHeight w:val="225" w:hRule="atLeast"/>
          <w:jc w:val="center"/>
        </w:trPr>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4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技术参数</w:t>
            </w:r>
          </w:p>
        </w:tc>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是否为核心产品</w:t>
            </w: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1.5匹定频挂机</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额定制冷量：≥3500W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额定制热量：≥3750W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额定制冷功率：≤1115W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额定制热功率：≤1100W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室内机噪音：≤37dB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室外机噪音：≤50dB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★循环风量：≥630m3/h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电辅加热功率：≤1050W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6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3p定频柜机</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w:t>
            </w:r>
            <w:r>
              <w:rPr>
                <w:rFonts w:hint="eastAsia" w:ascii="宋体" w:hAnsi="宋体" w:cs="宋体"/>
                <w:i w:val="0"/>
                <w:color w:val="000000"/>
                <w:kern w:val="0"/>
                <w:sz w:val="24"/>
                <w:szCs w:val="24"/>
                <w:u w:val="none"/>
                <w:lang w:val="en-US" w:eastAsia="zh-CN" w:bidi="ar"/>
              </w:rPr>
              <w:t>7290</w:t>
            </w:r>
            <w:r>
              <w:rPr>
                <w:rFonts w:hint="eastAsia" w:ascii="宋体" w:hAnsi="宋体" w:eastAsia="宋体" w:cs="宋体"/>
                <w:i w:val="0"/>
                <w:color w:val="000000"/>
                <w:kern w:val="0"/>
                <w:sz w:val="24"/>
                <w:szCs w:val="24"/>
                <w:u w:val="none"/>
                <w:lang w:val="en-US" w:eastAsia="zh-CN" w:bidi="ar"/>
              </w:rPr>
              <w:t>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额定制热量：≥8100W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额定制冷功率：≤2370W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★额定制热功率：≤2450W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室内机噪音：≤42dB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室外机噪音：≤55dB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循环风量：≥1200m3/h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电辅加热功率：≤2500W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1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2匹风管式中央空调</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额定制冷量：≥5000W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额定制热量：≥5700W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★额定制冷功率：≤1750W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额定制热功率：≤1650W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室内机噪音：≤35dB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室外机噪音：≤54dB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循环风量：≥820m3/h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电辅加热功率：1750W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031"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大3匹风管式中央空调</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额定制冷量：≥7200W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额定制热量：≥8300W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额定制冷功率：≤2690W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★额定制热功率：≤2700W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室内机噪音：≤40dB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室外机噪音：≤56dB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循环风量：≥1000m3/h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电辅加热功率：2250W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5匹风管式中央空调</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额定制冷量：≥12000W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额定制热量：≥13300W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额定制冷功率：≤4700W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★额定制热功率：≤4200W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室内机噪音：≤48dB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室外机噪音：≤58dB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循环风量：≥2000m3/h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电辅加热功率：3300W</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8匹多联式中央空调室外机</w:t>
            </w:r>
          </w:p>
        </w:tc>
        <w:tc>
          <w:tcPr>
            <w:tcW w:w="4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额定制冷量：≥18000W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额定制热量：≥20000W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额定制冷功率：≤5200W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额定制热功率：≤5200W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噪音：≤56dB</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8匹多联式中央空调室内机</w:t>
            </w:r>
          </w:p>
        </w:tc>
        <w:tc>
          <w:tcPr>
            <w:tcW w:w="4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额定制冷量：≥5600W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额定制热量：≥6300W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功率：≤60W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噪音：29-35dB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循环风量：≥900m3/h</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8匹多联式中央空调室内机</w:t>
            </w:r>
          </w:p>
        </w:tc>
        <w:tc>
          <w:tcPr>
            <w:tcW w:w="4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额定制冷量：≥3600W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额定制热量：≥4000W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功率：≤50W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噪音：25-31dB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循环风量：≥530m3/h</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辅助材料</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含各类铜管、冷凝水管、送风口、回风口、保温管、电源线等</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批</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否</w:t>
            </w: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2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64"/>
        <w:numPr>
          <w:ilvl w:val="0"/>
          <w:numId w:val="0"/>
        </w:numPr>
        <w:ind w:leftChars="0"/>
        <w:rPr>
          <w:rFonts w:hint="eastAsia"/>
          <w:lang w:val="zh-TW" w:eastAsia="zh-CN"/>
        </w:rPr>
      </w:pP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1、质保期为设备安装调试验收合格后2年，质保期内发生故障或质量问题，卖方在接到通知后1小时进行响应，4小时到达，24小时内处理问题，否则需提供备用机直至原设备修好为止；</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2、投标人保证其提供的产品是全新的、未使用过的，并在各个方面符合招标文件规定的质量、规格和性能。</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3、卖方应负责对买方操作人员进行使用培训，使其能够独立操作，并可以简单的维护和保养。</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3"/>
        <w:widowControl/>
        <w:shd w:val="clear" w:color="auto" w:fill="FFFFFF"/>
        <w:spacing w:line="360" w:lineRule="auto"/>
        <w:ind w:firstLine="600"/>
        <w:jc w:val="left"/>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3"/>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1.1、供应商须明确所投产品的厂家、产地、品牌、型号、详细参数（序号9除外），否则为无效投标。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（七）付款方式：按照合同约定，经验收合格后申请支付。</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项目名称：禹州市教育体育局</w:t>
            </w:r>
            <w:r>
              <w:rPr>
                <w:rFonts w:hint="eastAsia" w:cs="仿宋_GB2312" w:asciiTheme="minorEastAsia" w:hAnsiTheme="minorEastAsia"/>
                <w:szCs w:val="21"/>
                <w:lang w:eastAsia="zh-CN"/>
              </w:rPr>
              <w:t>空调</w:t>
            </w:r>
            <w:r>
              <w:rPr>
                <w:rFonts w:hint="eastAsia" w:cs="仿宋_GB2312" w:asciiTheme="minorEastAsia" w:hAnsiTheme="minorEastAsia"/>
                <w:szCs w:val="21"/>
              </w:rPr>
              <w:t xml:space="preserve">采购项目 </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247</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教育体育</w:t>
            </w:r>
            <w:r>
              <w:rPr>
                <w:rFonts w:hint="eastAsia" w:cs="仿宋_GB2312" w:asciiTheme="minorEastAsia" w:hAnsiTheme="minorEastAsia"/>
                <w:szCs w:val="21"/>
              </w:rPr>
              <w:t>局</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代</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56.85</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23</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pPr w:leftFromText="180" w:rightFromText="180" w:vertAnchor="text" w:horzAnchor="page" w:tblpX="1451" w:tblpY="92"/>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4"/>
        <w:gridCol w:w="672"/>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44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序号</w:t>
            </w:r>
          </w:p>
        </w:tc>
        <w:tc>
          <w:tcPr>
            <w:tcW w:w="49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项目</w:t>
            </w:r>
          </w:p>
        </w:tc>
        <w:tc>
          <w:tcPr>
            <w:tcW w:w="8790"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kern w:val="0"/>
                <w:sz w:val="21"/>
                <w:szCs w:val="21"/>
              </w:rPr>
            </w:pPr>
          </w:p>
        </w:tc>
        <w:tc>
          <w:tcPr>
            <w:tcW w:w="4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kern w:val="0"/>
                <w:sz w:val="21"/>
                <w:szCs w:val="21"/>
              </w:rPr>
            </w:pPr>
          </w:p>
        </w:tc>
        <w:tc>
          <w:tcPr>
            <w:tcW w:w="67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分值</w:t>
            </w:r>
          </w:p>
        </w:tc>
        <w:tc>
          <w:tcPr>
            <w:tcW w:w="8118"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1</w:t>
            </w:r>
          </w:p>
        </w:tc>
        <w:tc>
          <w:tcPr>
            <w:tcW w:w="49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rPr>
                <w:rFonts w:ascii="宋体" w:hAnsi="宋体"/>
                <w:kern w:val="0"/>
                <w:sz w:val="21"/>
                <w:szCs w:val="21"/>
              </w:rPr>
            </w:pPr>
            <w:r>
              <w:rPr>
                <w:rFonts w:hint="eastAsia" w:ascii="宋体" w:hAnsi="宋体"/>
                <w:kern w:val="0"/>
                <w:sz w:val="21"/>
                <w:szCs w:val="21"/>
              </w:rPr>
              <w:t>报价得分</w:t>
            </w:r>
          </w:p>
        </w:tc>
        <w:tc>
          <w:tcPr>
            <w:tcW w:w="6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50</w:t>
            </w:r>
          </w:p>
        </w:tc>
        <w:tc>
          <w:tcPr>
            <w:tcW w:w="8118" w:type="dxa"/>
            <w:noWrap w:val="0"/>
            <w:vAlign w:val="center"/>
          </w:tcPr>
          <w:p>
            <w:pPr>
              <w:pStyle w:val="66"/>
              <w:spacing w:after="0"/>
              <w:rPr>
                <w:rFonts w:hint="eastAsia" w:ascii="宋体" w:hAnsi="宋体"/>
                <w:highlight w:val="none"/>
              </w:rPr>
            </w:pPr>
            <w:r>
              <w:rPr>
                <w:rFonts w:hint="eastAsia" w:ascii="宋体" w:hAnsi="宋体"/>
                <w:highlight w:val="none"/>
              </w:rPr>
              <w:t>有效</w:t>
            </w:r>
            <w:r>
              <w:rPr>
                <w:rFonts w:hint="eastAsia" w:ascii="宋体" w:hAnsi="宋体"/>
                <w:highlight w:val="none"/>
                <w:lang w:eastAsia="zh-CN"/>
              </w:rPr>
              <w:t>投标人</w:t>
            </w:r>
            <w:r>
              <w:rPr>
                <w:rFonts w:hint="eastAsia" w:ascii="宋体" w:hAnsi="宋体"/>
                <w:highlight w:val="none"/>
              </w:rPr>
              <w:t>中投标价格最低的投标报价为评标基准价，其价格分为满分。</w:t>
            </w:r>
          </w:p>
          <w:p>
            <w:pPr>
              <w:pStyle w:val="66"/>
              <w:spacing w:after="0"/>
              <w:rPr>
                <w:rFonts w:hint="eastAsia" w:ascii="宋体" w:hAnsi="宋体"/>
              </w:rPr>
            </w:pPr>
            <w:r>
              <w:rPr>
                <w:rFonts w:hint="eastAsia" w:ascii="宋体" w:hAnsi="宋体"/>
              </w:rPr>
              <w:t>其他供应商的价格分统一按照下列公式计算：</w:t>
            </w:r>
          </w:p>
          <w:p>
            <w:pPr>
              <w:pStyle w:val="66"/>
              <w:spacing w:after="0"/>
              <w:rPr>
                <w:rFonts w:hint="eastAsia" w:ascii="宋体" w:hAnsi="宋体"/>
              </w:rPr>
            </w:pPr>
            <w:r>
              <w:rPr>
                <w:rFonts w:hint="eastAsia" w:ascii="宋体" w:hAnsi="宋体"/>
              </w:rPr>
              <w:t>投标报价得分=(评标基准价／投标报价)×</w:t>
            </w:r>
            <w:r>
              <w:rPr>
                <w:rFonts w:hint="eastAsia" w:ascii="宋体" w:hAnsi="宋体"/>
                <w:lang w:val="en-US" w:eastAsia="zh-CN"/>
              </w:rPr>
              <w:t>5</w:t>
            </w:r>
            <w:r>
              <w:rPr>
                <w:rFonts w:hint="eastAsia" w:ascii="宋体" w:hAnsi="宋体"/>
              </w:rPr>
              <w:t>0</w:t>
            </w:r>
          </w:p>
          <w:p>
            <w:pPr>
              <w:keepNext w:val="0"/>
              <w:keepLines w:val="0"/>
              <w:pageBreakBefore w:val="0"/>
              <w:widowControl/>
              <w:kinsoku/>
              <w:wordWrap/>
              <w:overflowPunct/>
              <w:topLinePunct w:val="0"/>
              <w:autoSpaceDE/>
              <w:autoSpaceDN/>
              <w:bidi w:val="0"/>
              <w:adjustRightInd/>
              <w:snapToGrid/>
              <w:spacing w:line="240" w:lineRule="auto"/>
              <w:rPr>
                <w:rFonts w:ascii="宋体" w:hAnsi="宋体"/>
                <w:kern w:val="0"/>
                <w:sz w:val="21"/>
                <w:szCs w:val="21"/>
              </w:rPr>
            </w:pPr>
            <w:r>
              <w:rPr>
                <w:rFonts w:hint="eastAsia" w:ascii="宋体" w:hAnsi="宋体"/>
              </w:rPr>
              <w:t>注：分值计算保留小数点后两位，小数点后第三位“四舍五入”。</w:t>
            </w:r>
            <w:r>
              <w:rPr>
                <w:rFonts w:hint="eastAsia" w:ascii="宋体" w:hAnsi="宋体"/>
              </w:rPr>
              <w:br w:type="textWrapping"/>
            </w:r>
            <w:r>
              <w:rPr>
                <w:rFonts w:hint="eastAsia" w:ascii="宋体" w:hAnsi="宋体"/>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4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kern w:val="0"/>
                <w:sz w:val="21"/>
                <w:szCs w:val="21"/>
                <w:lang w:val="en-US" w:eastAsia="zh-CN"/>
              </w:rPr>
            </w:pPr>
            <w:r>
              <w:rPr>
                <w:rFonts w:hint="eastAsia" w:ascii="宋体" w:hAnsi="宋体"/>
                <w:kern w:val="0"/>
                <w:sz w:val="21"/>
                <w:szCs w:val="21"/>
                <w:lang w:val="en-US" w:eastAsia="zh-CN"/>
              </w:rPr>
              <w:t>2</w:t>
            </w:r>
          </w:p>
        </w:tc>
        <w:tc>
          <w:tcPr>
            <w:tcW w:w="494"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kern w:val="0"/>
                <w:sz w:val="21"/>
                <w:szCs w:val="21"/>
                <w:lang w:val="en-US" w:eastAsia="zh-CN"/>
              </w:rPr>
            </w:pPr>
            <w:r>
              <w:rPr>
                <w:rFonts w:hint="eastAsia" w:ascii="宋体" w:hAnsi="宋体"/>
                <w:kern w:val="0"/>
                <w:sz w:val="21"/>
                <w:szCs w:val="21"/>
                <w:lang w:val="en-US" w:eastAsia="zh-CN"/>
              </w:rPr>
              <w:t>商务部分</w:t>
            </w:r>
          </w:p>
        </w:tc>
        <w:tc>
          <w:tcPr>
            <w:tcW w:w="672"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8118" w:type="dxa"/>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highlight w:val="none"/>
              </w:rPr>
              <w:t>供应商具有质量管理体系认证证书、职业健康管理体系认证证书，每项得2分，共</w:t>
            </w:r>
            <w:r>
              <w:rPr>
                <w:rFonts w:hint="eastAsia" w:ascii="宋体" w:hAnsi="宋体" w:cs="宋体"/>
                <w:sz w:val="21"/>
                <w:szCs w:val="21"/>
                <w:highlight w:val="none"/>
                <w:lang w:val="en-US" w:eastAsia="zh-CN"/>
              </w:rPr>
              <w:t>4</w:t>
            </w:r>
            <w:r>
              <w:rPr>
                <w:rFonts w:hint="eastAsia" w:ascii="宋体" w:hAnsi="宋体" w:cs="宋体"/>
                <w:sz w:val="21"/>
                <w:szCs w:val="21"/>
                <w:highlight w:val="none"/>
              </w:rPr>
              <w:t>分。投标文件中附完整的复印件，否则不得分）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4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49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67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p>
        </w:tc>
        <w:tc>
          <w:tcPr>
            <w:tcW w:w="8118" w:type="dxa"/>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供应商提供有效的经社会信用体系建设主管部门认可的信用评级机构出具的企业信用报告，投标人应出具河南省信用建设促进会—信用河南网（http://www.xyhnw.com/）或其他省级（含）以上官方信用网上公布的该信用等级评级机构名单网页打印件（应有该官方网站网址）。报告复印件和信用等级评级机构名单网页打印件在投标文件中提供，否则不得分。</w:t>
            </w:r>
            <w:r>
              <w:rPr>
                <w:rFonts w:hint="eastAsia" w:ascii="宋体" w:hAnsi="宋体" w:cs="宋体"/>
                <w:sz w:val="21"/>
                <w:szCs w:val="21"/>
                <w:highlight w:val="none"/>
              </w:rPr>
              <w:t>信用等级为AAA级得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分，AA级得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r>
              <w:rPr>
                <w:rFonts w:hint="eastAsia" w:ascii="宋体" w:hAnsi="宋体" w:cs="宋体"/>
                <w:sz w:val="21"/>
                <w:szCs w:val="21"/>
                <w:highlight w:val="none"/>
                <w:lang w:eastAsia="zh-CN"/>
              </w:rPr>
              <w:t>，共</w:t>
            </w:r>
            <w:r>
              <w:rPr>
                <w:rFonts w:hint="eastAsia" w:ascii="宋体" w:hAnsi="宋体" w:cs="宋体"/>
                <w:sz w:val="21"/>
                <w:szCs w:val="21"/>
                <w:highlight w:val="none"/>
                <w:lang w:val="en-US" w:eastAsia="zh-CN"/>
              </w:rPr>
              <w:t>2分</w:t>
            </w:r>
            <w:r>
              <w:rPr>
                <w:rFonts w:hint="eastAsia" w:ascii="宋体" w:hAnsi="宋体" w:cs="宋体"/>
                <w:sz w:val="21"/>
                <w:szCs w:val="21"/>
                <w:highlight w:val="none"/>
              </w:rPr>
              <w:t>。</w:t>
            </w:r>
            <w:r>
              <w:rPr>
                <w:rFonts w:hint="eastAsia" w:ascii="宋体" w:hAnsi="宋体" w:cs="宋体"/>
                <w:sz w:val="21"/>
                <w:szCs w:val="21"/>
              </w:rPr>
              <w:t>（开标时提供证书原件，未提供原件的不得分。）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4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49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67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p>
        </w:tc>
        <w:tc>
          <w:tcPr>
            <w:tcW w:w="8118" w:type="dxa"/>
            <w:noWrap w:val="0"/>
            <w:vAlign w:val="center"/>
          </w:tcPr>
          <w:p>
            <w:pPr>
              <w:keepNext w:val="0"/>
              <w:keepLines w:val="0"/>
              <w:pageBreakBefore w:val="0"/>
              <w:kinsoku/>
              <w:wordWrap/>
              <w:overflowPunct/>
              <w:topLinePunct w:val="0"/>
              <w:autoSpaceDE/>
              <w:autoSpaceDN/>
              <w:bidi w:val="0"/>
              <w:adjustRightInd/>
              <w:snapToGrid/>
              <w:spacing w:line="240" w:lineRule="auto"/>
            </w:pPr>
            <w:r>
              <w:rPr>
                <w:rFonts w:hint="eastAsia"/>
                <w:lang w:val="en-US" w:eastAsia="zh-CN"/>
              </w:rPr>
              <w:t>3</w:t>
            </w:r>
            <w:r>
              <w:rPr>
                <w:rFonts w:hint="eastAsia"/>
              </w:rPr>
              <w:t>.1.投标空调品牌制造商或所属集团获得中国工业大奖得2分。（提供复印件加盖生产商公章）</w:t>
            </w:r>
          </w:p>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hint="eastAsia"/>
              </w:rPr>
            </w:pPr>
            <w:r>
              <w:rPr>
                <w:rFonts w:hint="eastAsia"/>
                <w:lang w:val="en-US" w:eastAsia="zh-CN"/>
              </w:rPr>
              <w:t>3</w:t>
            </w:r>
            <w:r>
              <w:rPr>
                <w:rFonts w:hint="eastAsia"/>
              </w:rPr>
              <w:t>.</w:t>
            </w:r>
            <w:r>
              <w:rPr>
                <w:rFonts w:hint="eastAsia"/>
                <w:lang w:val="en-US" w:eastAsia="zh-CN"/>
              </w:rPr>
              <w:t>2</w:t>
            </w:r>
            <w:r>
              <w:rPr>
                <w:rFonts w:hint="eastAsia"/>
              </w:rPr>
              <w:t>.投标空调品牌制造商或所属集团获得国务院颁发的科技进步奖得</w:t>
            </w:r>
            <w:r>
              <w:rPr>
                <w:rFonts w:hint="eastAsia"/>
                <w:lang w:val="en-US" w:eastAsia="zh-CN"/>
              </w:rPr>
              <w:t>2</w:t>
            </w:r>
            <w:r>
              <w:rPr>
                <w:rFonts w:hint="eastAsia"/>
              </w:rPr>
              <w:t>分</w:t>
            </w:r>
            <w:r>
              <w:rPr>
                <w:rFonts w:hint="eastAsia"/>
                <w:lang w:eastAsia="zh-CN"/>
              </w:rPr>
              <w:t>。</w:t>
            </w:r>
            <w:r>
              <w:rPr>
                <w:rFonts w:hint="eastAsia"/>
              </w:rPr>
              <w:t>（提供复印件加盖生产商公章）。（提供复印件加盖生产商公章）</w:t>
            </w:r>
          </w:p>
          <w:p>
            <w:pPr>
              <w:pStyle w:val="2"/>
              <w:ind w:left="0" w:leftChars="0" w:firstLine="0" w:firstLineChars="0"/>
              <w:rPr>
                <w:rFonts w:hint="default" w:eastAsia="宋体"/>
                <w:lang w:val="en-US" w:eastAsia="zh-CN"/>
              </w:rPr>
            </w:pPr>
            <w:r>
              <w:rPr>
                <w:rFonts w:hint="eastAsia" w:asciiTheme="minorHAnsi" w:hAnsiTheme="minorHAnsi" w:eastAsiaTheme="minorEastAsia" w:cstheme="minorBidi"/>
                <w:kern w:val="2"/>
                <w:sz w:val="21"/>
                <w:szCs w:val="22"/>
                <w:lang w:val="en-US" w:eastAsia="zh-CN" w:bidi="ar-SA"/>
              </w:rPr>
              <w:t>3.3.连续三年被评过“省级守合同重信用企业”得2分。（提供复印件加盖生产商公章）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trPr>
        <w:tc>
          <w:tcPr>
            <w:tcW w:w="4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49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p>
        </w:tc>
        <w:tc>
          <w:tcPr>
            <w:tcW w:w="67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right="147" w:rightChars="70"/>
              <w:textAlignment w:val="center"/>
              <w:rPr>
                <w:rFonts w:ascii="宋体" w:hAnsi="宋体" w:cs="宋体"/>
                <w:sz w:val="21"/>
                <w:szCs w:val="21"/>
              </w:rPr>
            </w:pPr>
          </w:p>
        </w:tc>
        <w:tc>
          <w:tcPr>
            <w:tcW w:w="8118"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eastAsia="宋体"/>
                <w:kern w:val="0"/>
                <w:sz w:val="21"/>
                <w:szCs w:val="21"/>
                <w:lang w:eastAsia="zh-CN"/>
              </w:rPr>
            </w:pPr>
            <w:r>
              <w:rPr>
                <w:rFonts w:hint="eastAsia" w:ascii="宋体" w:hAnsi="宋体"/>
                <w:kern w:val="0"/>
                <w:sz w:val="21"/>
                <w:szCs w:val="21"/>
                <w:lang w:val="en-US" w:eastAsia="zh-CN"/>
              </w:rPr>
              <w:t>4.</w:t>
            </w:r>
            <w:r>
              <w:rPr>
                <w:rFonts w:hint="eastAsia" w:ascii="宋体" w:hAnsi="宋体"/>
                <w:kern w:val="0"/>
                <w:sz w:val="21"/>
                <w:szCs w:val="21"/>
              </w:rPr>
              <w:t>售后部分</w:t>
            </w:r>
            <w:r>
              <w:rPr>
                <w:rFonts w:hint="eastAsia" w:ascii="宋体" w:hAnsi="宋体"/>
                <w:kern w:val="0"/>
                <w:sz w:val="21"/>
                <w:szCs w:val="21"/>
                <w:lang w:eastAsia="zh-CN"/>
              </w:rPr>
              <w:t>（</w:t>
            </w:r>
            <w:r>
              <w:rPr>
                <w:rFonts w:hint="eastAsia" w:ascii="宋体" w:hAnsi="宋体"/>
                <w:kern w:val="0"/>
                <w:sz w:val="21"/>
                <w:szCs w:val="21"/>
                <w:lang w:val="en-US" w:eastAsia="zh-CN"/>
              </w:rPr>
              <w:t>8分</w:t>
            </w:r>
            <w:r>
              <w:rPr>
                <w:rFonts w:hint="eastAsia" w:ascii="宋体" w:hAnsi="宋体"/>
                <w:kern w:val="0"/>
                <w:sz w:val="21"/>
                <w:szCs w:val="21"/>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sz w:val="21"/>
                <w:szCs w:val="21"/>
              </w:rPr>
            </w:pPr>
            <w:r>
              <w:rPr>
                <w:rFonts w:hint="eastAsia" w:ascii="宋体" w:hAnsi="宋体" w:cs="仿宋_GB2312"/>
                <w:szCs w:val="21"/>
                <w:lang w:val="en-US" w:eastAsia="zh-CN"/>
              </w:rPr>
              <w:t>售后服务体系健全，措施得力并能提供完善的技术支持和服务；优6-8分，良：3-5分，一般：1-2分。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4" w:hRule="atLeast"/>
        </w:trPr>
        <w:tc>
          <w:tcPr>
            <w:tcW w:w="445" w:type="dxa"/>
            <w:noWrap w:val="0"/>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1"/>
                <w:szCs w:val="21"/>
              </w:rPr>
            </w:pPr>
            <w:r>
              <w:rPr>
                <w:rFonts w:hint="eastAsia" w:ascii="宋体" w:hAnsi="宋体"/>
                <w:kern w:val="0"/>
                <w:sz w:val="21"/>
                <w:szCs w:val="21"/>
              </w:rPr>
              <w:t>3</w:t>
            </w:r>
          </w:p>
        </w:tc>
        <w:tc>
          <w:tcPr>
            <w:tcW w:w="4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ascii="宋体" w:hAnsi="宋体"/>
                <w:kern w:val="0"/>
                <w:sz w:val="21"/>
                <w:szCs w:val="21"/>
              </w:rPr>
            </w:pPr>
            <w:r>
              <w:rPr>
                <w:rFonts w:hint="eastAsia" w:ascii="宋体" w:hAnsi="宋体"/>
                <w:kern w:val="0"/>
                <w:sz w:val="21"/>
                <w:szCs w:val="21"/>
              </w:rPr>
              <w:t>技术部分</w:t>
            </w:r>
          </w:p>
        </w:tc>
        <w:tc>
          <w:tcPr>
            <w:tcW w:w="6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81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eastAsia="宋体"/>
                <w:kern w:val="0"/>
                <w:sz w:val="21"/>
                <w:szCs w:val="21"/>
                <w:lang w:val="en-US" w:eastAsia="zh-CN"/>
              </w:rPr>
            </w:pPr>
            <w:r>
              <w:rPr>
                <w:rFonts w:hint="eastAsia"/>
                <w:kern w:val="0"/>
                <w:sz w:val="21"/>
                <w:szCs w:val="21"/>
              </w:rPr>
              <w:t>1、完全满足招标文件中技术指标要求的得</w:t>
            </w:r>
            <w:r>
              <w:rPr>
                <w:rFonts w:hint="eastAsia"/>
                <w:kern w:val="0"/>
                <w:sz w:val="21"/>
                <w:szCs w:val="21"/>
                <w:lang w:val="en-US" w:eastAsia="zh-CN"/>
              </w:rPr>
              <w:t>20</w:t>
            </w:r>
            <w:r>
              <w:rPr>
                <w:rFonts w:hint="eastAsia"/>
                <w:kern w:val="0"/>
                <w:sz w:val="21"/>
                <w:szCs w:val="21"/>
              </w:rPr>
              <w:t>分</w:t>
            </w:r>
            <w:r>
              <w:rPr>
                <w:rFonts w:hint="eastAsia"/>
                <w:kern w:val="0"/>
                <w:sz w:val="21"/>
                <w:szCs w:val="21"/>
                <w:lang w:eastAsia="zh-CN"/>
              </w:rPr>
              <w:t>，负偏离一项扣</w:t>
            </w:r>
            <w:r>
              <w:rPr>
                <w:rFonts w:hint="eastAsia"/>
                <w:kern w:val="0"/>
                <w:sz w:val="21"/>
                <w:szCs w:val="21"/>
                <w:lang w:val="en-US" w:eastAsia="zh-CN"/>
              </w:rPr>
              <w:t>2分，扣完为止。</w:t>
            </w:r>
          </w:p>
          <w:p>
            <w:pPr>
              <w:keepNext w:val="0"/>
              <w:keepLines w:val="0"/>
              <w:pageBreakBefore w:val="0"/>
              <w:widowControl/>
              <w:kinsoku/>
              <w:wordWrap/>
              <w:overflowPunct/>
              <w:topLinePunct w:val="0"/>
              <w:autoSpaceDE/>
              <w:autoSpaceDN/>
              <w:bidi w:val="0"/>
              <w:adjustRightInd/>
              <w:snapToGrid/>
              <w:spacing w:line="240" w:lineRule="auto"/>
              <w:rPr>
                <w:kern w:val="0"/>
                <w:sz w:val="21"/>
                <w:szCs w:val="21"/>
              </w:rPr>
            </w:pPr>
            <w:r>
              <w:rPr>
                <w:rFonts w:hint="eastAsia"/>
                <w:kern w:val="0"/>
                <w:sz w:val="21"/>
                <w:szCs w:val="21"/>
              </w:rPr>
              <w:t>2、</w:t>
            </w:r>
            <w:r>
              <w:rPr>
                <w:rFonts w:hint="eastAsia"/>
                <w:kern w:val="0"/>
                <w:sz w:val="21"/>
                <w:szCs w:val="21"/>
                <w:highlight w:val="none"/>
              </w:rPr>
              <w:t>所投空调产品技术参数优于采购文件“货物需求”中</w:t>
            </w:r>
            <w:r>
              <w:rPr>
                <w:rFonts w:hint="eastAsia"/>
                <w:kern w:val="0"/>
                <w:sz w:val="21"/>
                <w:szCs w:val="21"/>
                <w:highlight w:val="none"/>
                <w:lang w:val="en-US" w:eastAsia="zh-CN"/>
              </w:rPr>
              <w:t>带“★”</w:t>
            </w:r>
            <w:r>
              <w:rPr>
                <w:rFonts w:hint="eastAsia"/>
                <w:kern w:val="0"/>
                <w:sz w:val="21"/>
                <w:szCs w:val="21"/>
                <w:highlight w:val="none"/>
              </w:rPr>
              <w:t>技术参数的，每一项加</w:t>
            </w:r>
            <w:r>
              <w:rPr>
                <w:rFonts w:hint="eastAsia"/>
                <w:kern w:val="0"/>
                <w:sz w:val="21"/>
                <w:szCs w:val="21"/>
                <w:highlight w:val="none"/>
                <w:lang w:val="en-US" w:eastAsia="zh-CN"/>
              </w:rPr>
              <w:t>2</w:t>
            </w:r>
            <w:r>
              <w:rPr>
                <w:rFonts w:hint="eastAsia"/>
                <w:kern w:val="0"/>
                <w:sz w:val="21"/>
                <w:szCs w:val="21"/>
                <w:highlight w:val="none"/>
              </w:rPr>
              <w:t>分，最高加</w:t>
            </w:r>
            <w:r>
              <w:rPr>
                <w:rFonts w:hint="eastAsia"/>
                <w:kern w:val="0"/>
                <w:sz w:val="21"/>
                <w:szCs w:val="21"/>
                <w:highlight w:val="none"/>
                <w:lang w:val="en-US" w:eastAsia="zh-CN"/>
              </w:rPr>
              <w:t>10</w:t>
            </w:r>
            <w:r>
              <w:rPr>
                <w:rFonts w:hint="eastAsia"/>
                <w:kern w:val="0"/>
                <w:sz w:val="21"/>
                <w:szCs w:val="21"/>
                <w:highlight w:val="none"/>
              </w:rPr>
              <w:t>分。</w:t>
            </w:r>
          </w:p>
        </w:tc>
      </w:tr>
    </w:tbl>
    <w:p>
      <w:pPr>
        <w:pStyle w:val="63"/>
        <w:shd w:val="clear" w:color="auto" w:fill="FFFFFF"/>
        <w:jc w:val="left"/>
        <w:rPr>
          <w:rFonts w:ascii="新宋体" w:hAnsi="新宋体" w:eastAsia="新宋体" w:cs="新宋体"/>
          <w:kern w:val="0"/>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bookmarkStart w:id="9" w:name="_GoBack"/>
      <w:bookmarkEnd w:id="9"/>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4795CB8A"/>
    <w:multiLevelType w:val="singleLevel"/>
    <w:tmpl w:val="4795CB8A"/>
    <w:lvl w:ilvl="0" w:tentative="0">
      <w:start w:val="1"/>
      <w:numFmt w:val="chineseCounting"/>
      <w:suff w:val="nothing"/>
      <w:lvlText w:val="%1、"/>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5"/>
  </w:num>
  <w:num w:numId="5">
    <w:abstractNumId w:val="7"/>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E8E722F"/>
    <w:rsid w:val="1F8E45BB"/>
    <w:rsid w:val="1FE15514"/>
    <w:rsid w:val="1FF158F3"/>
    <w:rsid w:val="208614E5"/>
    <w:rsid w:val="2157706F"/>
    <w:rsid w:val="21DC7D3C"/>
    <w:rsid w:val="21DD4A96"/>
    <w:rsid w:val="2298317C"/>
    <w:rsid w:val="22CE29EE"/>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6621D69"/>
    <w:rsid w:val="36841FFE"/>
    <w:rsid w:val="369A01A8"/>
    <w:rsid w:val="36B46A4A"/>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3"/>
    <w:link w:val="4"/>
    <w:qFormat/>
    <w:uiPriority w:val="0"/>
    <w:rPr>
      <w:rFonts w:ascii="Calibri" w:hAnsi="Calibri" w:eastAsia="宋体" w:cs="Times New Roman"/>
      <w:b/>
      <w:bCs/>
      <w:kern w:val="44"/>
      <w:sz w:val="44"/>
      <w:szCs w:val="44"/>
    </w:rPr>
  </w:style>
  <w:style w:type="character" w:customStyle="1" w:styleId="32">
    <w:name w:val="标题 2 字符"/>
    <w:basedOn w:val="23"/>
    <w:link w:val="5"/>
    <w:qFormat/>
    <w:uiPriority w:val="0"/>
    <w:rPr>
      <w:rFonts w:ascii="Arial" w:hAnsi="Arial" w:eastAsia="黑体" w:cs="Times New Roman"/>
      <w:b/>
      <w:bCs/>
      <w:kern w:val="0"/>
      <w:sz w:val="32"/>
      <w:szCs w:val="32"/>
    </w:rPr>
  </w:style>
  <w:style w:type="character" w:customStyle="1" w:styleId="33">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3"/>
    <w:link w:val="7"/>
    <w:qFormat/>
    <w:uiPriority w:val="0"/>
    <w:rPr>
      <w:rFonts w:ascii="Arial" w:hAnsi="Arial" w:eastAsia="黑体" w:cs="Times New Roman"/>
      <w:b/>
      <w:bCs/>
      <w:kern w:val="0"/>
      <w:sz w:val="28"/>
      <w:szCs w:val="28"/>
    </w:rPr>
  </w:style>
  <w:style w:type="character" w:customStyle="1" w:styleId="35">
    <w:name w:val="纯文本 字符"/>
    <w:basedOn w:val="23"/>
    <w:link w:val="14"/>
    <w:qFormat/>
    <w:uiPriority w:val="0"/>
    <w:rPr>
      <w:rFonts w:eastAsia="宋体"/>
      <w:sz w:val="24"/>
    </w:rPr>
  </w:style>
  <w:style w:type="character" w:customStyle="1" w:styleId="36">
    <w:name w:val="日期 字符"/>
    <w:basedOn w:val="23"/>
    <w:link w:val="15"/>
    <w:qFormat/>
    <w:uiPriority w:val="99"/>
  </w:style>
  <w:style w:type="character" w:customStyle="1" w:styleId="37">
    <w:name w:val="页脚 字符"/>
    <w:basedOn w:val="23"/>
    <w:link w:val="16"/>
    <w:qFormat/>
    <w:uiPriority w:val="99"/>
    <w:rPr>
      <w:sz w:val="18"/>
      <w:szCs w:val="18"/>
    </w:rPr>
  </w:style>
  <w:style w:type="character" w:customStyle="1" w:styleId="38">
    <w:name w:val="页眉 字符"/>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3"/>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 w:type="paragraph" w:customStyle="1" w:styleId="6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100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2019-09-25T01:54:15Z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