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许昌市文化广电和旅游局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创建示范区升降简易舞台购置</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许昌市文化广电和旅游局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十九</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w:t>
      </w:r>
      <w:r>
        <w:rPr>
          <w:rFonts w:hint="eastAsia" w:cs="仿宋_GB2312" w:asciiTheme="minorEastAsia" w:hAnsiTheme="minorEastAsia" w:eastAsiaTheme="minorEastAsia"/>
          <w:color w:val="000000"/>
          <w:sz w:val="21"/>
          <w:szCs w:val="21"/>
          <w:shd w:val="clear" w:color="auto" w:fill="FFFFFF"/>
        </w:rPr>
        <w:t>称采购中心) 受</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创建示范区升降简易舞台购置</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w:t>
      </w:r>
      <w:r>
        <w:rPr>
          <w:rFonts w:hint="eastAsia"/>
          <w:color w:val="000000"/>
          <w:sz w:val="21"/>
          <w:szCs w:val="21"/>
          <w:shd w:val="clear" w:color="auto" w:fill="FFFFFF"/>
        </w:rPr>
        <w:t>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创建示范区升降简易舞台购置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137</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升降简易舞台200套。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279万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279万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7个工作日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建安区、魏都区、长葛市、鄢陵县、禹州市、襄城县。</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吕涛</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13837446606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升降舞台与传统舞台相比，舞台升降方便，拆装简便，台下可利用空间十分可观，另外坚固耐用，特别适合和满足群众演出和娱乐需要。</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升降简易舞台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b w:val="0"/>
                <w:i w:val="0"/>
              </w:rPr>
            </w:pPr>
            <w:r>
              <w:rPr>
                <w:rFonts w:hint="eastAsia"/>
                <w:b w:val="0"/>
                <w:i w:val="0"/>
                <w:lang w:val="en-US" w:eastAsia="zh-CN"/>
              </w:rPr>
              <w:t>▲1、</w:t>
            </w:r>
            <w:r>
              <w:rPr>
                <w:rFonts w:hint="eastAsia"/>
                <w:b w:val="0"/>
                <w:i w:val="0"/>
              </w:rPr>
              <w:t>高密度舞台面，台面≥18mm厚高密度建筑覆膜板</w:t>
            </w:r>
            <w:r>
              <w:rPr>
                <w:rFonts w:hint="eastAsia"/>
                <w:b w:val="0"/>
                <w:i w:val="0"/>
                <w:lang w:eastAsia="zh-CN"/>
              </w:rPr>
              <w:t>；</w:t>
            </w:r>
            <w:r>
              <w:rPr>
                <w:rFonts w:hint="eastAsia"/>
                <w:b w:val="0"/>
                <w:i w:val="0"/>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eastAsiaTheme="minorEastAsia"/>
                <w:b w:val="0"/>
                <w:i w:val="0"/>
                <w:lang w:eastAsia="zh-CN"/>
              </w:rPr>
            </w:pPr>
            <w:r>
              <w:rPr>
                <w:rFonts w:hint="eastAsia"/>
                <w:b w:val="0"/>
                <w:i w:val="0"/>
                <w:lang w:val="en-US" w:eastAsia="zh-CN"/>
              </w:rPr>
              <w:t>▲</w:t>
            </w:r>
            <w:r>
              <w:rPr>
                <w:rFonts w:hint="eastAsia"/>
                <w:b w:val="0"/>
                <w:i w:val="0"/>
              </w:rPr>
              <w:t>2、台面由40块1220*1220mm的方板面组装而成</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right="0" w:rightChars="0"/>
              <w:jc w:val="both"/>
              <w:rPr>
                <w:rFonts w:hint="eastAsia"/>
                <w:b w:val="0"/>
                <w:i w:val="0"/>
              </w:rPr>
            </w:pPr>
            <w:r>
              <w:rPr>
                <w:rFonts w:hint="eastAsia"/>
                <w:b w:val="0"/>
                <w:i w:val="0"/>
                <w:lang w:val="en-US" w:eastAsia="zh-CN"/>
              </w:rPr>
              <w:t>▲3、</w:t>
            </w:r>
            <w:r>
              <w:rPr>
                <w:rFonts w:hint="eastAsia"/>
                <w:b w:val="0"/>
                <w:i w:val="0"/>
              </w:rPr>
              <w:t>舞台每平方承载≥500KG，台面平整不起皮，长期使用不变形，且放水防滑，表面大颗粒处理，增强摩擦力，起到很好的防滑效果，同时经过放水处理，遇水不易腐蚀，使用寿命增长</w:t>
            </w:r>
            <w:r>
              <w:rPr>
                <w:rFonts w:hint="eastAsia"/>
                <w:b w:val="0"/>
                <w:i w:val="0"/>
                <w:lang w:eastAsia="zh-CN"/>
              </w:rPr>
              <w:t>；</w:t>
            </w:r>
            <w:r>
              <w:rPr>
                <w:rFonts w:hint="eastAsia"/>
                <w:b w:val="0"/>
                <w:i w:val="0"/>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eastAsiaTheme="minorEastAsia"/>
                <w:b w:val="0"/>
                <w:i w:val="0"/>
                <w:lang w:eastAsia="zh-CN"/>
              </w:rPr>
            </w:pPr>
            <w:r>
              <w:rPr>
                <w:rFonts w:hint="eastAsia"/>
                <w:b w:val="0"/>
                <w:i w:val="0"/>
                <w:lang w:val="en-US" w:eastAsia="zh-CN"/>
              </w:rPr>
              <w:t>▲4、</w:t>
            </w:r>
            <w:r>
              <w:rPr>
                <w:rFonts w:hint="eastAsia"/>
                <w:b w:val="0"/>
                <w:i w:val="0"/>
              </w:rPr>
              <w:t>主体架构采用钢铁结构，主管直径≥48mm，管壁厚度≥2.5mm</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eastAsiaTheme="minorEastAsia"/>
                <w:b w:val="0"/>
                <w:i w:val="0"/>
                <w:lang w:eastAsia="zh-CN"/>
              </w:rPr>
            </w:pPr>
            <w:r>
              <w:rPr>
                <w:rFonts w:hint="eastAsia"/>
                <w:b w:val="0"/>
                <w:i w:val="0"/>
                <w:lang w:val="en-US" w:eastAsia="zh-CN"/>
              </w:rPr>
              <w:t>▲5、</w:t>
            </w:r>
            <w:r>
              <w:rPr>
                <w:rFonts w:hint="eastAsia"/>
                <w:b w:val="0"/>
                <w:i w:val="0"/>
              </w:rPr>
              <w:t>横杆直径≥42.7mm，管壁厚度≥2mm，连接板厚度≥10mm，调节丝杆为直径≥38mm的实心型钢</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Chars="0" w:right="0" w:rightChars="0"/>
              <w:jc w:val="both"/>
              <w:rPr>
                <w:rFonts w:hint="eastAsia" w:eastAsiaTheme="minorEastAsia"/>
                <w:b w:val="0"/>
                <w:i w:val="0"/>
                <w:lang w:eastAsia="zh-CN"/>
              </w:rPr>
            </w:pPr>
            <w:r>
              <w:rPr>
                <w:rFonts w:hint="eastAsia"/>
                <w:b w:val="0"/>
                <w:i w:val="0"/>
                <w:lang w:val="en-US" w:eastAsia="zh-CN"/>
              </w:rPr>
              <w:t>▲6、</w:t>
            </w:r>
            <w:r>
              <w:rPr>
                <w:rFonts w:hint="eastAsia"/>
                <w:b w:val="0"/>
                <w:i w:val="0"/>
              </w:rPr>
              <w:t>调节范围高度可60-110公分,配60公分调节脚</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0" w:right="0" w:rightChars="0" w:firstLine="0" w:firstLineChars="0"/>
              <w:jc w:val="both"/>
              <w:rPr>
                <w:rFonts w:ascii="Times New Roman" w:hAnsi="Times New Roman" w:eastAsia="仿宋_GB2312" w:cs="Times New Roman"/>
                <w:b/>
                <w:i/>
                <w:color w:val="548DD4" w:themeColor="text2" w:themeTint="99"/>
                <w:kern w:val="0"/>
                <w:szCs w:val="21"/>
              </w:rPr>
            </w:pPr>
            <w:r>
              <w:rPr>
                <w:rFonts w:hint="eastAsia"/>
                <w:b w:val="0"/>
                <w:i w:val="0"/>
                <w:lang w:val="en-US" w:eastAsia="zh-CN"/>
              </w:rPr>
              <w:t>7、</w:t>
            </w:r>
            <w:r>
              <w:rPr>
                <w:rFonts w:hint="eastAsia"/>
                <w:b w:val="0"/>
                <w:i w:val="0"/>
              </w:rPr>
              <w:t>舞台主体采用雷亚式结构，坚固耐用，便于拆装，主体支架采用Q235国际钢管，                      整体由台面、托盘、横杆、立杆、调节脚、楼梯组成。</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套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200 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仿宋" w:hAnsi="仿宋" w:eastAsia="仿宋" w:cs="Times New Roman"/>
                <w:color w:val="FF0000"/>
                <w:kern w:val="0"/>
                <w:szCs w:val="21"/>
              </w:rPr>
            </w:pPr>
            <w:r>
              <w:rPr>
                <w:rFonts w:hint="eastAsia"/>
                <w:b w:val="0"/>
                <w:i w:val="0"/>
                <w:lang w:val="en-US" w:eastAsia="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3、本项目设备交付（服务、施工）地点分布在魏都区、建安区、长葛市、鄢陵县、禹州市、襄城县各村（社区），中标人需上门安装调试。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4、供货周期：提供自主配送，装卸服务，合同签订后七日内到货并配送至指定地点，并负责运输期间所有安全责任。</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5、投标人所投设备必须提供3年免费质保期。</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7</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279万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279万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eastAsia="zh-CN"/>
        </w:rPr>
        <w:t>2、支付时间及条件：</w:t>
      </w:r>
      <w:r>
        <w:rPr>
          <w:rFonts w:hint="eastAsia" w:ascii="宋体" w:cs="宋体"/>
          <w:sz w:val="24"/>
          <w:lang w:val="en-US" w:eastAsia="zh-CN"/>
        </w:rPr>
        <w:t>签订合同后支付总金额30%，到货验收合格后支付总金额65%，其余5%质保期满一年后支付。</w:t>
      </w:r>
    </w:p>
    <w:p>
      <w:pPr>
        <w:wordWrap w:val="0"/>
        <w:topLinePunct/>
        <w:spacing w:line="360" w:lineRule="auto"/>
        <w:ind w:firstLine="480" w:firstLineChars="200"/>
        <w:rPr>
          <w:rFonts w:hint="eastAsia" w:ascii="宋体" w:cs="宋体"/>
          <w:sz w:val="24"/>
          <w:lang w:val="en-US" w:eastAsia="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创建示范区升降简易舞台购置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升降简易舞台200套</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建安区、魏都区、长葛市、鄢陵县、禹州市、襄城县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吕涛</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13837446606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279万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28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22</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20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投标人提供2016年1月1日以来类似项目合同，每提供1个得</w:t>
            </w:r>
            <w:r>
              <w:rPr>
                <w:rFonts w:hint="eastAsia" w:ascii="宋体" w:hAnsi="宋体" w:cs="仿宋_GB2312"/>
                <w:b w:val="0"/>
                <w:i w:val="0"/>
                <w:color w:val="000000"/>
                <w:kern w:val="2"/>
                <w:sz w:val="21"/>
                <w:szCs w:val="21"/>
                <w:u w:val="none"/>
                <w:lang w:val="en-US" w:eastAsia="zh-CN" w:bidi="ar"/>
              </w:rPr>
              <w:t>3</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9</w:t>
            </w:r>
            <w:r>
              <w:rPr>
                <w:rFonts w:hint="eastAsia" w:ascii="宋体" w:hAnsi="宋体" w:eastAsia="宋体" w:cs="仿宋_GB2312"/>
                <w:b w:val="0"/>
                <w:i w:val="0"/>
                <w:color w:val="000000"/>
                <w:kern w:val="2"/>
                <w:sz w:val="21"/>
                <w:szCs w:val="21"/>
                <w:u w:val="none"/>
                <w:lang w:val="en-US" w:eastAsia="zh-CN" w:bidi="ar"/>
              </w:rPr>
              <w:t>分。（提供合同、中标通知书）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pacing w:line="360" w:lineRule="auto"/>
              <w:jc w:val="center"/>
              <w:rPr>
                <w:rFonts w:hint="eastAsia" w:ascii="宋体" w:hAnsi="宋体"/>
                <w:color w:val="000000"/>
                <w:szCs w:val="21"/>
                <w:lang w:val="en-GB" w:eastAsia="zh-CN"/>
              </w:rPr>
            </w:pPr>
            <w:r>
              <w:rPr>
                <w:rFonts w:hint="eastAsia" w:ascii="宋体" w:hAnsi="宋体"/>
                <w:color w:val="000000"/>
                <w:szCs w:val="21"/>
                <w:lang w:val="en-GB" w:eastAsia="zh-CN"/>
              </w:rPr>
              <w:t>管理体系</w:t>
            </w:r>
          </w:p>
          <w:p>
            <w:pPr>
              <w:spacing w:line="360" w:lineRule="auto"/>
              <w:jc w:val="center"/>
              <w:rPr>
                <w:rFonts w:hint="eastAsia" w:ascii="宋体" w:hAnsi="宋体" w:eastAsia="宋体" w:cs="Times New Roman"/>
                <w:szCs w:val="21"/>
              </w:rPr>
            </w:pPr>
            <w:r>
              <w:rPr>
                <w:rFonts w:hint="eastAsia" w:ascii="宋体" w:hAnsi="宋体"/>
                <w:color w:val="000000"/>
                <w:szCs w:val="21"/>
                <w:lang w:val="en-GB"/>
              </w:rPr>
              <w:t xml:space="preserve">（ 1 </w:t>
            </w:r>
            <w:r>
              <w:rPr>
                <w:rFonts w:hint="eastAsia" w:ascii="宋体" w:hAnsi="宋体"/>
                <w:color w:val="000000"/>
                <w:szCs w:val="21"/>
                <w:lang w:val="en-US" w:eastAsia="zh-CN"/>
              </w:rPr>
              <w:t>7</w:t>
            </w:r>
            <w:r>
              <w:rPr>
                <w:rFonts w:hint="eastAsia" w:ascii="宋体" w:hAnsi="宋体"/>
                <w:color w:val="000000"/>
                <w:szCs w:val="21"/>
                <w:lang w:val="en-GB"/>
              </w:rPr>
              <w:t>分）</w:t>
            </w:r>
          </w:p>
        </w:tc>
        <w:tc>
          <w:tcPr>
            <w:tcW w:w="6095" w:type="dxa"/>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投标人提供质量管理体系认证证书（ISO9001）得3分，没有不加分</w:t>
            </w:r>
            <w:r>
              <w:rPr>
                <w:rFonts w:hint="eastAsia" w:ascii="宋体" w:hAnsi="宋体" w:eastAsia="宋体" w:cs="Times New Roman"/>
                <w:b w:val="0"/>
                <w:i w:val="0"/>
                <w:color w:val="000000"/>
                <w:kern w:val="2"/>
                <w:sz w:val="21"/>
                <w:szCs w:val="21"/>
                <w:u w:val="none"/>
                <w:lang w:val="en-US" w:eastAsia="zh-CN" w:bidi="ar"/>
              </w:rPr>
              <w:t>。</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投标人提供职业健康安全管理体系认证证书（ISO18001）得3分，没有不加分。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3.投标人提供环境管理体系认证证书（IS014001）得3分，没有不加分。</w:t>
            </w:r>
          </w:p>
          <w:p>
            <w:pPr>
              <w:spacing w:line="360" w:lineRule="auto"/>
              <w:jc w:val="left"/>
              <w:rPr>
                <w:rFonts w:hint="eastAsia" w:ascii="宋体" w:hAnsi="宋体" w:eastAsia="宋体" w:cs="仿宋_GB2312"/>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4.投标人提供2016年以来信用评估机构出具的有效的企业信用报告，等级AAA级信用企业认证证书得8分，没有不得分。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节约能源、保护环境政策加分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2</w:t>
            </w:r>
            <w:r>
              <w:rPr>
                <w:rFonts w:hint="eastAsia" w:ascii="宋体" w:hAnsi="宋体"/>
                <w:color w:val="000000"/>
                <w:szCs w:val="21"/>
                <w:lang w:val="en-GB"/>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22</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18</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both"/>
              <w:rPr>
                <w:rFonts w:hint="eastAsia" w:asciiTheme="minorEastAsia" w:hAnsiTheme="minorEastAsia"/>
                <w:szCs w:val="21"/>
                <w:lang w:val="en-US" w:eastAsia="zh-CN"/>
              </w:rPr>
            </w:pPr>
            <w:r>
              <w:rPr>
                <w:rFonts w:hint="eastAsia" w:asciiTheme="minorEastAsia" w:hAnsiTheme="minorEastAsia"/>
                <w:szCs w:val="21"/>
                <w:lang w:val="en-US" w:eastAsia="zh-CN"/>
              </w:rPr>
              <w:t>货物需求中带▲技术参数实质性优于招标文件一项的加3分，满分18分。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根据投标人提供得技术方案：</w:t>
            </w:r>
          </w:p>
          <w:p>
            <w:pPr>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具有安装调试、实施步骤、进度计划方案的得2分；</w:t>
            </w:r>
          </w:p>
          <w:p>
            <w:pPr>
              <w:spacing w:line="360" w:lineRule="auto"/>
              <w:jc w:val="left"/>
              <w:rPr>
                <w:rFonts w:hint="eastAsia" w:asciiTheme="minorEastAsia" w:hAnsiTheme="minorEastAsia"/>
                <w:szCs w:val="21"/>
                <w:lang w:val="en-US" w:eastAsia="zh-CN"/>
              </w:rPr>
            </w:pPr>
            <w:r>
              <w:rPr>
                <w:rFonts w:hint="eastAsia" w:asciiTheme="minorEastAsia" w:hAnsiTheme="minorEastAsia"/>
                <w:szCs w:val="21"/>
                <w:lang w:val="en-US" w:eastAsia="zh-CN"/>
              </w:rPr>
              <w:t>具有工期、质量保障措施、施工进行保障措施的方案得2分。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提供免费质量保障，满足3年免费质保的基础上，每延长一年加2分，共4分。</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售后服务期内，故障响应时间小于1小时，上门时间小于4小时，维修更换时间小于24小时，得3分，不满足不得分（投标文件中提供承诺函）。</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质保期内，每年到各设备安装点对文化协管员开展至少一次免费技术培训服务的得6分（投标文件中提供承诺函）。</w:t>
            </w:r>
          </w:p>
          <w:p>
            <w:pPr>
              <w:snapToGrid w:val="0"/>
              <w:spacing w:beforeLines="50"/>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4、质保期内，每年到各设备安装点进行免费巡检得6分（投标文件中提供承诺函）。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编制规范、文字清晰、无差错1分。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74185203"/>
      <w:bookmarkStart w:id="8" w:name="_Toc186274126"/>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hint="eastAsia" w:cs="Courier New" w:asciiTheme="minorEastAsia" w:hAnsiTheme="minorEastAsia"/>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E8D75"/>
    <w:multiLevelType w:val="singleLevel"/>
    <w:tmpl w:val="EA4E8D75"/>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F954B0"/>
    <w:multiLevelType w:val="singleLevel"/>
    <w:tmpl w:val="1BF954B0"/>
    <w:lvl w:ilvl="0" w:tentative="0">
      <w:start w:val="1"/>
      <w:numFmt w:val="chineseCounting"/>
      <w:suff w:val="nothing"/>
      <w:lvlText w:val="%1、"/>
      <w:lvlJc w:val="left"/>
      <w:rPr>
        <w:rFonts w:hint="eastAsia"/>
      </w:r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975C7F"/>
    <w:multiLevelType w:val="singleLevel"/>
    <w:tmpl w:val="43975C7F"/>
    <w:lvl w:ilvl="0" w:tentative="0">
      <w:start w:val="1"/>
      <w:numFmt w:val="decimal"/>
      <w:suff w:val="nothing"/>
      <w:lvlText w:val="%1、"/>
      <w:lvlJc w:val="left"/>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6"/>
  </w:num>
  <w:num w:numId="6">
    <w:abstractNumId w:val="9"/>
  </w:num>
  <w:num w:numId="7">
    <w:abstractNumId w:val="16"/>
  </w:num>
  <w:num w:numId="8">
    <w:abstractNumId w:val="5"/>
  </w:num>
  <w:num w:numId="9">
    <w:abstractNumId w:val="7"/>
  </w:num>
  <w:num w:numId="10">
    <w:abstractNumId w:val="18"/>
  </w:num>
  <w:num w:numId="11">
    <w:abstractNumId w:val="11"/>
  </w:num>
  <w:num w:numId="12">
    <w:abstractNumId w:val="17"/>
  </w:num>
  <w:num w:numId="13">
    <w:abstractNumId w:val="4"/>
  </w:num>
  <w:num w:numId="14">
    <w:abstractNumId w:val="8"/>
  </w:num>
  <w:num w:numId="15">
    <w:abstractNumId w:val="13"/>
  </w:num>
  <w:num w:numId="16">
    <w:abstractNumId w:val="10"/>
  </w:num>
  <w:num w:numId="17">
    <w:abstractNumId w:val="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3600024"/>
    <w:rsid w:val="0552238E"/>
    <w:rsid w:val="138379AC"/>
    <w:rsid w:val="1A15720A"/>
    <w:rsid w:val="24C76A4C"/>
    <w:rsid w:val="28A544E9"/>
    <w:rsid w:val="29AD436C"/>
    <w:rsid w:val="314E7D01"/>
    <w:rsid w:val="31E7228F"/>
    <w:rsid w:val="354C23B3"/>
    <w:rsid w:val="370A4A1F"/>
    <w:rsid w:val="372D24DD"/>
    <w:rsid w:val="41A759DB"/>
    <w:rsid w:val="49AF1700"/>
    <w:rsid w:val="50921DC9"/>
    <w:rsid w:val="593246FE"/>
    <w:rsid w:val="5D676916"/>
    <w:rsid w:val="5F8D482D"/>
    <w:rsid w:val="61C46652"/>
    <w:rsid w:val="7EBD6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1</TotalTime>
  <ScaleCrop>false</ScaleCrop>
  <LinksUpToDate>false</LinksUpToDate>
  <CharactersWithSpaces>37693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cp:lastModifiedBy>
  <cp:lastPrinted>2019-08-02T09:19:00Z</cp:lastPrinted>
  <dcterms:modified xsi:type="dcterms:W3CDTF">2019-09-19T00:48:12Z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