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微软简隶书" w:eastAsia="黑体"/>
          <w:lang w:eastAsia="zh-CN"/>
        </w:rPr>
      </w:pPr>
      <w:r>
        <w:rPr>
          <w:rFonts w:hint="eastAsia" w:ascii="黑体" w:hAnsi="黑体" w:eastAsia="黑体" w:cs="黑体"/>
          <w:b/>
          <w:bCs/>
          <w:sz w:val="48"/>
          <w:szCs w:val="48"/>
        </w:rPr>
        <w:t>禹州市古城镇中心学校体美音教学设备采购项目</w:t>
      </w:r>
      <w:r>
        <w:rPr>
          <w:rFonts w:hint="eastAsia" w:ascii="黑体" w:hAnsi="黑体" w:eastAsia="黑体" w:cs="黑体"/>
          <w:b/>
          <w:bCs/>
          <w:sz w:val="48"/>
          <w:szCs w:val="48"/>
          <w:lang w:eastAsia="zh-CN"/>
        </w:rPr>
        <w:t>（二次）</w:t>
      </w:r>
    </w:p>
    <w:p>
      <w:pPr>
        <w:jc w:val="center"/>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YZCG-T2019174-1</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采购单位：禹州市教育体育局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cs="黑体" w:asciiTheme="minorEastAsia" w:hAnsiTheme="minorEastAsia"/>
          <w:b/>
          <w:bCs/>
          <w:sz w:val="44"/>
          <w:szCs w:val="44"/>
          <w:lang w:val="zh-CN"/>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eastAsia="zh-CN"/>
        </w:rPr>
      </w:pPr>
      <w:r>
        <w:rPr>
          <w:rFonts w:hint="eastAsia"/>
          <w:b/>
          <w:bCs/>
          <w:sz w:val="44"/>
          <w:szCs w:val="44"/>
          <w:lang w:eastAsia="zh-CN"/>
        </w:rPr>
        <w:t>禹州市古城镇中心学校体美音教学设备采购项目（二次）竞争性谈判公告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禹州市政府采购中心受禹州市教育体育局的委托，就“禹州市古城镇中心学校体美音教学设备采购项目</w:t>
      </w:r>
      <w:r>
        <w:rPr>
          <w:rFonts w:hint="eastAsia" w:ascii="仿宋" w:hAnsi="仿宋" w:eastAsia="仿宋" w:cs="仿宋_GB2312"/>
          <w:sz w:val="32"/>
          <w:szCs w:val="32"/>
          <w:lang w:eastAsia="zh-CN"/>
        </w:rPr>
        <w:t>（二次）</w:t>
      </w:r>
      <w:r>
        <w:rPr>
          <w:rFonts w:hint="eastAsia" w:ascii="仿宋" w:hAnsi="仿宋" w:eastAsia="仿宋" w:cs="仿宋_GB2312"/>
          <w:sz w:val="32"/>
          <w:szCs w:val="32"/>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1、采购人：禹州市教育体育局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default"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禹州市古城镇中心学校体美音教学设备采购项目</w:t>
      </w:r>
      <w:r>
        <w:rPr>
          <w:rFonts w:hint="eastAsia" w:ascii="仿宋" w:hAnsi="仿宋" w:eastAsia="仿宋" w:cs="Arial"/>
          <w:color w:val="000000"/>
          <w:kern w:val="0"/>
          <w:sz w:val="32"/>
          <w:szCs w:val="32"/>
          <w:lang w:val="en-US" w:eastAsia="zh-CN"/>
        </w:rPr>
        <w:t>(二次)</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174-1</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eastAsia="zh-CN"/>
        </w:rPr>
        <w:t>体美音教学设备一批</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31.3</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，供应商须具有独立法人资格及相应的经营范围；</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9"/>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sz w:val="32"/>
          <w:szCs w:val="32"/>
          <w:lang w:val="zh-CN"/>
        </w:rPr>
        <w:fldChar w:fldCharType="begin"/>
      </w:r>
      <w:r>
        <w:rPr>
          <w:rFonts w:hint="eastAsia" w:ascii="仿宋" w:hAnsi="仿宋" w:eastAsia="仿宋" w:cs="宋体"/>
          <w:sz w:val="32"/>
          <w:szCs w:val="32"/>
          <w:lang w:val="zh-CN"/>
        </w:rPr>
        <w:instrText xml:space="preserve"> HYPERLINK "http://221.14.6.70:8088/ggzy/" </w:instrText>
      </w:r>
      <w:r>
        <w:rPr>
          <w:rFonts w:hint="eastAsia" w:ascii="仿宋" w:hAnsi="仿宋" w:eastAsia="仿宋" w:cs="宋体"/>
          <w:sz w:val="32"/>
          <w:szCs w:val="32"/>
          <w:lang w:val="zh-CN"/>
        </w:rPr>
        <w:fldChar w:fldCharType="separate"/>
      </w:r>
      <w:r>
        <w:rPr>
          <w:rStyle w:val="29"/>
          <w:rFonts w:hint="eastAsia" w:ascii="仿宋" w:hAnsi="仿宋" w:eastAsia="仿宋" w:cs="宋体"/>
          <w:sz w:val="32"/>
          <w:szCs w:val="32"/>
          <w:lang w:val="zh-CN"/>
        </w:rPr>
        <w:t>http://ggzy.xuchang.gov.cn</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10</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11</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15：00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w:t>
      </w:r>
      <w:r>
        <w:rPr>
          <w:rFonts w:hint="eastAsia" w:ascii="仿宋" w:hAnsi="仿宋" w:eastAsia="仿宋" w:cs="仿宋"/>
          <w:sz w:val="32"/>
          <w:szCs w:val="32"/>
          <w:lang w:eastAsia="zh-CN"/>
        </w:rPr>
        <w:t>教育体育局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代</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0374-8880023</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jc w:val="center"/>
        <w:rPr>
          <w:rFonts w:cs="宋体" w:asciiTheme="majorEastAsia" w:hAnsiTheme="majorEastAsia" w:eastAsiaTheme="majorEastAsia"/>
          <w:b/>
          <w:kern w:val="0"/>
          <w:sz w:val="24"/>
          <w:szCs w:val="24"/>
        </w:rPr>
      </w:pPr>
    </w:p>
    <w:p>
      <w:pPr>
        <w:pStyle w:val="2"/>
        <w:ind w:left="0" w:leftChars="0" w:firstLine="0" w:firstLineChars="0"/>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满足中小学校师生体育、美术、音乐教学设备的使用要求以及国家相关安全、环保、质量等要求。</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采购清单</w:t>
      </w:r>
    </w:p>
    <w:tbl>
      <w:tblPr>
        <w:tblStyle w:val="23"/>
        <w:tblW w:w="8789" w:type="dxa"/>
        <w:jc w:val="center"/>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68"/>
        <w:gridCol w:w="5387"/>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17"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设备名称</w:t>
            </w:r>
          </w:p>
        </w:tc>
        <w:tc>
          <w:tcPr>
            <w:tcW w:w="5387"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产品详细参数</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17" w:type="dxa"/>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一</w:t>
            </w:r>
          </w:p>
        </w:tc>
        <w:tc>
          <w:tcPr>
            <w:tcW w:w="8072" w:type="dxa"/>
            <w:gridSpan w:val="4"/>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体育器材设备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实心球</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（1）2kg,D=18cm；（2）材质要求塑胶（PU），表面手感有弹性，无毛刺。（3）执行GB6675-2003国家玩具安全技术规范.（4）符合GB/T19851.18相关要求。10米高度落下不允许破花。</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2"/>
              </w:rPr>
              <w:t>50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篮球架</w:t>
            </w:r>
          </w:p>
        </w:tc>
        <w:tc>
          <w:tcPr>
            <w:tcW w:w="5387" w:type="dxa"/>
            <w:noWrap w:val="0"/>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1. 单臂地埋式，单臂地埋式：球架主体支撑部分的钢材：直径</w:t>
            </w:r>
            <w:r>
              <w:rPr>
                <w:rFonts w:hint="eastAsia" w:ascii="宋体" w:hAnsi="宋体" w:cs="宋体"/>
                <w:kern w:val="0"/>
                <w:sz w:val="22"/>
                <w:lang w:val="en-US" w:eastAsia="zh-CN"/>
              </w:rPr>
              <w:t>114</w:t>
            </w:r>
            <w:r>
              <w:rPr>
                <w:rFonts w:hint="eastAsia" w:ascii="宋体" w:hAnsi="宋体" w:eastAsia="宋体" w:cs="宋体"/>
                <w:kern w:val="0"/>
                <w:sz w:val="22"/>
              </w:rPr>
              <w:t>mm,壁厚3.5 mm,一次性折弯成型；伸臂</w:t>
            </w:r>
            <w:r>
              <w:rPr>
                <w:rFonts w:hint="eastAsia" w:ascii="宋体" w:hAnsi="宋体" w:cs="宋体"/>
                <w:kern w:val="0"/>
                <w:sz w:val="22"/>
                <w:lang w:val="en-US" w:eastAsia="zh-CN"/>
              </w:rPr>
              <w:t>114</w:t>
            </w:r>
            <w:r>
              <w:rPr>
                <w:rFonts w:hint="eastAsia" w:ascii="宋体" w:hAnsi="宋体" w:eastAsia="宋体" w:cs="宋体"/>
                <w:kern w:val="0"/>
                <w:sz w:val="22"/>
              </w:rPr>
              <w:t>mm；拉杠为一次性折弯成型的32mm壁厚3.0mm。篮球架的高度：从篮圈到地面3.05米；篮圈采用φ17实心圆钢制作，圈下焊有冲压成型的圆弧形网钩，十二段均匀分布留适当间隙，配篮网。采用预埋件形式，预埋件实际长度650mm，连接螺栓5支，螺栓型号M20，防锈处理，牢固、安全、可靠。</w:t>
            </w:r>
            <w:r>
              <w:rPr>
                <w:rFonts w:hint="eastAsia" w:ascii="宋体" w:hAnsi="宋体" w:eastAsia="宋体" w:cs="宋体"/>
                <w:kern w:val="0"/>
                <w:sz w:val="22"/>
              </w:rPr>
              <w:br w:type="textWrapping"/>
            </w:r>
            <w:r>
              <w:rPr>
                <w:rFonts w:hint="eastAsia" w:ascii="宋体" w:hAnsi="宋体" w:eastAsia="宋体" w:cs="宋体"/>
                <w:kern w:val="0"/>
                <w:sz w:val="22"/>
              </w:rPr>
              <w:t>2. 架体表面处理能耐酸碱,耐湿热,抗老化,耐腐蚀,能适合潮湿和酸雨环境,采取除锈处理,确保涂层可以在户外长期使用。色彩中选择搭配,确保外表鲜艳均匀。</w:t>
            </w:r>
            <w:r>
              <w:rPr>
                <w:rFonts w:hint="eastAsia" w:ascii="宋体" w:hAnsi="宋体" w:eastAsia="宋体" w:cs="宋体"/>
                <w:kern w:val="0"/>
                <w:sz w:val="22"/>
              </w:rPr>
              <w:br w:type="textWrapping"/>
            </w:r>
            <w:r>
              <w:rPr>
                <w:rFonts w:hint="eastAsia" w:ascii="宋体" w:hAnsi="宋体" w:eastAsia="宋体" w:cs="宋体"/>
                <w:kern w:val="0"/>
                <w:sz w:val="22"/>
              </w:rPr>
              <w:t>3. 高强度钢化玻璃或SMC篮板，规格为1.8m x 1.05m，篮板与支架采取多点连接，连接牢固可靠。</w:t>
            </w:r>
            <w:r>
              <w:rPr>
                <w:rFonts w:hint="eastAsia" w:ascii="宋体" w:hAnsi="宋体" w:eastAsia="宋体" w:cs="宋体"/>
                <w:kern w:val="0"/>
                <w:sz w:val="22"/>
              </w:rPr>
              <w:br w:type="textWrapping"/>
            </w:r>
            <w:r>
              <w:rPr>
                <w:rFonts w:hint="eastAsia" w:ascii="宋体" w:hAnsi="宋体" w:eastAsia="宋体" w:cs="宋体"/>
                <w:kern w:val="0"/>
                <w:sz w:val="22"/>
              </w:rPr>
              <w:t>★4. 安全性能：框架与配种整付设计合理，符合力学和相关安全标准；须通过</w:t>
            </w:r>
            <w:r>
              <w:rPr>
                <w:rFonts w:hint="eastAsia" w:ascii="宋体" w:hAnsi="宋体" w:cs="宋体"/>
                <w:kern w:val="0"/>
                <w:sz w:val="22"/>
                <w:lang w:eastAsia="zh-CN"/>
              </w:rPr>
              <w:t>省级或省级以上检验中心出具的检验报告加盖公章。</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排球网</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聚乙烯材质，移动式高2-2.43m  手摇升降   含球网符合GB/T19851.13-2007标准</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软式排球</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5号。产品执行标准：GB/T22882-2008《排球》圆周长650～670mm，质量235～300g，圆周差5mm，球体表面选用优质PU材料。反弹高度：1100-1400mm。外表面以目测为主，商标、图案、色泽等字迹清晰、图案端正、色彩鲜艳，球片粘接无缝隙，表面无破损、脱落等现象。</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羽毛球网</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聚乙烯材质，(符合体育行业标准)（含网）</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乒乓球台（室外）</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 台面由两个半张台面组成；</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 球台面板选用台面采用高端SMC材料；采用全SMC模压一次成型，台面底部采用网格加强筋结构；台面具有密度大、弹性好、耐酸碱、耐热、防潮等；</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3. 球台台面的颜色为蓝色，</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4. 球台表面平整无开裂、脱胶、伤痕、明显翘曲等缺陷。台面表面无光泽；端、边线和中线为白色，油漆牢固，漆色均匀一致，无脱漆、</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5. 采用彩虹型支腿，结构台腿圆管φ60mm；壁厚2.5mm，球腿采用弧形彩虹对称结构设计,安装方便，结构稳定，与地面牢固连接；</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68"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足球门</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采用89x2.75mm优质钢管，5000mm，高200mm。</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迎宾牌</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 外形尺寸不小于1200*245*1300mm；</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 主框架不小于50*50*2.70mm优质钢管；</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3. 告示牌不小于12mm高密度PVC板双面胶印成型；</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4. 版面为铝合金U型槽连接，有效预防锈蚀；</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5. 后置滚轮结构，方便器材整体移动；</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6. 预埋式连接结构；</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1</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跳高架</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1.符合GB/T19851.2-2005要求；2.技术指标：立柱高度1600mm—2000mm,高度刻度500mm—1800mm;横杆拖长60mm,宽40mm</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3产品表面光洁 体形端直 无明显外观缺陷性能外观及其他技术要求符合Yooo第4.5.6.7章有关要求</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4 外表面经过特殊工艺处理  具有一定防滑作用  但又不失光洁度</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10</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 xml:space="preserve">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栏架</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  栏高500-700mm；</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  跨栏板长度1200mm。外套管为铝合金制。底架26*2.8mm和30*30*2.8 mm优质钢管焊接而成、符合GB/T19851.2-2005要求</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10</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68" w:type="dxa"/>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足球</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1.符合GB/T 22892中少年3#合格品球的要求。圆周长535mm，质量280g。</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2.PU丁基球胆。</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2.外表面以目测为主，球体表面印有商标等字迹清晰、色彩鲜艳，球片粘接无缝隙，表面无破损、脱落等现象。</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50</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（7号）篮球</w:t>
            </w:r>
          </w:p>
        </w:tc>
        <w:tc>
          <w:tcPr>
            <w:tcW w:w="5387" w:type="dxa"/>
            <w:noWrap w:val="0"/>
            <w:vAlign w:val="center"/>
          </w:tcPr>
          <w:p>
            <w:pPr>
              <w:widowControl/>
              <w:jc w:val="left"/>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1.PU（PU：丁基内胆，绕线约1800圈（线重40g）耐冲击次数3000次不变形，无开胶）。</w:t>
            </w:r>
            <w:r>
              <w:rPr>
                <w:rFonts w:hint="eastAsia" w:ascii="方正宋三简体" w:hAnsi="宋体" w:eastAsia="方正宋三简体" w:cs="宋体"/>
                <w:color w:val="000000"/>
                <w:kern w:val="0"/>
                <w:sz w:val="22"/>
              </w:rPr>
              <w:br w:type="textWrapping"/>
            </w:r>
            <w:r>
              <w:rPr>
                <w:rFonts w:hint="eastAsia" w:ascii="方正宋三简体" w:hAnsi="宋体" w:eastAsia="方正宋三简体" w:cs="宋体"/>
                <w:color w:val="000000"/>
                <w:kern w:val="0"/>
                <w:sz w:val="22"/>
              </w:rPr>
              <w:t>2.外表面以目测为主，球体表面印有商标等字迹清晰、色彩鲜艳，球片粘接无缝隙，表面无破损、脱落等现象。</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50</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68" w:type="dxa"/>
            <w:noWrap w:val="0"/>
            <w:vAlign w:val="center"/>
          </w:tcPr>
          <w:p>
            <w:pPr>
              <w:widowControl/>
              <w:jc w:val="center"/>
              <w:rPr>
                <w:rFonts w:ascii="方正宋三简体" w:hAnsi="宋体" w:eastAsia="方正宋三简体" w:cs="宋体"/>
                <w:color w:val="000000"/>
                <w:kern w:val="0"/>
                <w:sz w:val="22"/>
              </w:rPr>
            </w:pPr>
            <w:r>
              <w:rPr>
                <w:rFonts w:hint="eastAsia" w:ascii="方正宋三简体" w:hAnsi="宋体" w:eastAsia="方正宋三简体" w:cs="宋体"/>
                <w:color w:val="000000"/>
                <w:kern w:val="0"/>
                <w:sz w:val="22"/>
              </w:rPr>
              <w:t>大功率拉杆音响</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15寸，锂电，双无线麦克</w:t>
            </w:r>
          </w:p>
        </w:tc>
        <w:tc>
          <w:tcPr>
            <w:tcW w:w="709"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1</w:t>
            </w:r>
          </w:p>
        </w:tc>
        <w:tc>
          <w:tcPr>
            <w:tcW w:w="708" w:type="dxa"/>
            <w:noWrap w:val="0"/>
            <w:vAlign w:val="center"/>
          </w:tcPr>
          <w:p>
            <w:pPr>
              <w:widowControl/>
              <w:jc w:val="center"/>
              <w:rPr>
                <w:rFonts w:ascii="方正宋三简体" w:hAnsi="宋体" w:eastAsia="方正宋三简体" w:cs="宋体"/>
                <w:color w:val="000000"/>
                <w:kern w:val="0"/>
                <w:sz w:val="24"/>
                <w:szCs w:val="24"/>
              </w:rPr>
            </w:pPr>
            <w:r>
              <w:rPr>
                <w:rFonts w:hint="eastAsia" w:ascii="方正宋三简体" w:hAnsi="宋体" w:eastAsia="方正宋三简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8072" w:type="dxa"/>
            <w:gridSpan w:val="4"/>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书法教室设备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无线高拍仪</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一、硬件部分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 1/3.2吋cmos镜头， 500万图像有效像素(2384X1788)，信噪比≦50dB，色彩：24位色；</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2.拍摄幅面：A4幅面，120度折臂式设计,USB接口供电，无需外接电源；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3.可识别 、拍摄、自动调整白平衡，自动调整曝光；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4.白光LED灯；配备触控开关，可触摸式三级调光；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5.支持无线功能：通过无线传输影像及数据，省去布线安装麻烦。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二、软件部分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1．配有实物展台、电子黑板、课件录制、扫描管理、快速抓图等软件功能。软件每个界面都具有快速导航跳转功能，方便教师快速进行功能切换。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2.图像扫描：1秒/张，可进行手动扫描和定时自动扫描，可自定义设置图像存储路径，自定义文件命名规则。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3.通过软件视频展示可以实现动态即时旋转和按照1%梯度缩放，具有对拍摄图像进行360度无极旋转，具有图像纠斜功能，可调节图像亮度、饱和度、对比度。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4.对比教学功能，1、2、4、6分屏，可以同时打开多个图像，可打开本地存储图片，可调用镜头拍照，可调用镜头直接显示，可以单独对每个屏幕进行批注、放大、缩小、旋转、调整图像亮度、饱和度等操作。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5.具有电子黑板功能：自带电子白板工具，可实现电子黑板与电脑桌面的一键切换。自带白板工具含有多种书写笔模式、几何图形、数学工具、物理工具、化学工具等方便教师直接使用。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5.视频录象：可一键打开录像功能，对教师课堂上白板、展台、电脑桌面的操作过程进行同步视频录制。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6.快速抓图：具有视频图片直接拖入教学PPT和word，快速将展示内容形成课件。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7.扫描管理：可对文件装订、解压、删除、重命名、转换PDF、打印等功能，可找回误删除的文件。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8.文字识别功能：默认为JPG格式，可修改存储路径，支持OCR文字识别，方便老师将图片识别后保存为WORD文档进行再编辑。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9.支持无线功能：通过无线传输影像及数据，省去布线安装麻烦。</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0"/>
            <w:vAlign w:val="center"/>
          </w:tcPr>
          <w:p>
            <w:pPr>
              <w:widowControl/>
              <w:jc w:val="center"/>
              <w:rPr>
                <w:rFonts w:ascii="宋体" w:hAnsi="宋体" w:eastAsia="宋体" w:cs="宋体"/>
                <w:kern w:val="0"/>
                <w:szCs w:val="21"/>
              </w:rPr>
            </w:pPr>
            <w:r>
              <w:rPr>
                <w:rFonts w:hint="eastAsia" w:ascii="宋体" w:hAnsi="宋体" w:eastAsia="宋体" w:cs="宋体"/>
                <w:kern w:val="0"/>
                <w:szCs w:val="21"/>
              </w:rPr>
              <w:t>书法临摹桌教师讲台</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1．外观尺寸：180cm×70cm×76cm。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2．定制讲台，采用进口马六甲实木框架，结实牢固，漆面平整光亮，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古色纹理，防水、不变形，绿色环保；无任何有害物质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3．可自备电脑，能分体控制书法教学直播系统、投影、电子白板、音响等。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4．配有专用供电插座，单体电压24V，额定功率7W；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双层设计，可存放字帖教材等设备。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 左半部镶嵌投影器；投影器规格：30cm*30cm；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7.投影器电压：24V，额定功率；7瓦</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学生书法临摹桌</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1、规格：130*65*76CM ;1.整体基材采用进口马六甲双饰面生态板，纯实木，防水、不变形，绿色环保。</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2整体外观：高档家具用的双面饰面板 ，无任何有害物质。3.用电：使用24伏安全电压，单个投影区的功率是7W。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3.配备2个投影区，临摹屏支持防水、配有软胶膜护眼功能；发光源采用聚光盒和电路板组成，聚光盒采用稳定性良好的ABS树脂材料构成；单个投影区尺寸：30cm×30cm；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4、电路板由121只LED灯珠组成，保证光线均匀;临摹区亮度：根据需要可无极调节灯光亮度，亮度范围0-900流明;配备专用电源适配器，将220V供电电压转换为24V安全电压；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5、投影区电路板采用DC子母线与外部供电线路相连接；</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教师官帽椅</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1.材质：南榆木，木性坚韧，纹理通达清晰，硬度与强度适中，花纹漂亮，色泽美观大方，可长久保存2.颜色：花梨色，款式：明清古典、传统风格3.结构：采用传统的榫卯结构，设计巧妙，牢固可靠</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毛笔</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笔头为兼毫</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墨汁</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500克</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砚台</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5寸罗纹砚</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笔洗</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青花瓷</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笔山</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青花瓷</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笔挂</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木龙头</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镇纸</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石质</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毛笔毡</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50cm*65cm</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68" w:type="dxa"/>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宣纸</w:t>
            </w:r>
          </w:p>
        </w:tc>
        <w:tc>
          <w:tcPr>
            <w:tcW w:w="5387" w:type="dxa"/>
            <w:noWrap w:val="0"/>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生宣、熟宣（200张）</w:t>
            </w:r>
          </w:p>
        </w:tc>
        <w:tc>
          <w:tcPr>
            <w:tcW w:w="709"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708" w:type="dxa"/>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26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配套活页子母字帖</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母字帖：30*30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子字帖：10.5*13.1.配套活页字母字帖，范字字体尺寸14CM*14CM；2.纸质字帖范字为黑底白字，便于摹写；3.空格处临写，便于临、摹结合，精确对比，找出差距，以便改进；</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6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专用水洗画毡</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规格：50cm*65cm，1.材质柔软，厚度为超薄型；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2.透光性好，不易吸水，折后无痕迹，使用后可用水洗，风干后即可重复使用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3.使用时间长，可使用1万小时以上</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6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书法教室安装材料</w:t>
            </w:r>
          </w:p>
        </w:tc>
        <w:tc>
          <w:tcPr>
            <w:tcW w:w="5387" w:type="dxa"/>
            <w:noWrap w:val="0"/>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材质：可变压电源适配器3只，硬质PVC圆管，24伏DC子母线接头，1.5平方铜电线，半圆形地面线槽和部分安装小配件满足安装需求，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标准：质量标准按国家电气行业《GB4706.9-2003》标准CQC/RY236执行</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w:t>
            </w:r>
          </w:p>
        </w:tc>
        <w:tc>
          <w:tcPr>
            <w:tcW w:w="8072" w:type="dxa"/>
            <w:gridSpan w:val="4"/>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美术教室设备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shd w:val="clear" w:color="auto" w:fill="auto"/>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衬布</w:t>
            </w:r>
          </w:p>
        </w:tc>
        <w:tc>
          <w:tcPr>
            <w:tcW w:w="5387" w:type="dxa"/>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900mm×1500mm，涤棉材质，各种花色</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写生凳</w:t>
            </w:r>
          </w:p>
        </w:tc>
        <w:tc>
          <w:tcPr>
            <w:tcW w:w="5387" w:type="dxa"/>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折叠式，尺寸：36*36*58CM</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写生灯</w:t>
            </w:r>
          </w:p>
        </w:tc>
        <w:tc>
          <w:tcPr>
            <w:tcW w:w="5387" w:type="dxa"/>
            <w:noWrap w:val="0"/>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1、落地升降总高度1500mm—2600mm,照射角度0°-120°；2、三节升降杆:由一根直径为25mm钢管和二根直径分别为19mm、12.7mm不锈钢管组成，升降固定钮用高强ABS件组成，灯杆为钢管，表面镀铬，铝节、塑料旋钮，内置弹簧3、聚光灯罩合金板喷塑，直径260mm,深度190mm，4、五角支撑架用高强ABS而成，脚用直径16mm铁管静电喷塑制成，带滚轮，可移动5、高强LED光源板与灯罩一体，光源功率≥13W配2200mm长的优质电线，开关、插头 6、开关带有遥控装置</w:t>
            </w:r>
            <w:r>
              <w:rPr>
                <w:rFonts w:hint="eastAsia" w:ascii="宋体" w:hAnsi="宋体" w:cs="宋体"/>
                <w:kern w:val="0"/>
                <w:sz w:val="22"/>
                <w:lang w:val="en-US" w:eastAsia="zh-CN"/>
              </w:rPr>
              <w:t>,7、提供国家文教用品质量监督检验中心出具的检验报告。</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工作台</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优质实木复合材质，25mm三聚氰胺饰面板，实木条封边，规格1800mm×800mm×760mm，40mm×40mm可折叠方管支架，支架表面静电喷塑处理</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shd w:val="clear" w:color="auto" w:fill="auto"/>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磁性白黑板</w:t>
            </w:r>
          </w:p>
        </w:tc>
        <w:tc>
          <w:tcPr>
            <w:tcW w:w="5387" w:type="dxa"/>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1000mm×2000mm，磁性铝合金大边框，白绿双面，带支架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shd w:val="clear" w:color="auto" w:fill="auto"/>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中学美术教学挂图</w:t>
            </w:r>
          </w:p>
        </w:tc>
        <w:tc>
          <w:tcPr>
            <w:tcW w:w="5387" w:type="dxa"/>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55幅对开铜版纸印刷，教育部标准</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写生画板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60×45(cm)</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写生画板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1、规格：300mm×450mm×15mm；2、材质：双面椴木三合板，四周实木边框；3、要求：边框宽5mm、。整体板面平整、表面光滑、洁净、无毛刺。</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画架</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画架高大于等于140cm，上宽不小于22cm，下宽不小于47cm，上档长不小于25.5cm，下档不小于39.5cm。采用松木制作，整体无开裂、变形，木材接合为卯榫结构，接合紧密无脱节。两档间钻0.8—1cm圆孔6个，间距为10cm。画架表面平整光滑，无毛刺，色调保持大体一致。 </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油画箱</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箱体要求: 外形尺寸不小于470×330×75mm。箱内配有简易画板1块，面积不小于400×300mm。箱内分格不少于4个，用来存放绘画工具、颜料等，箱体有提把，背带由宽度不小于32mm的混纺编织带或帆布制成，长短可调。产品表面平整、无裂纹、疖疤、毛刺。</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镜框</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600mm×900mm;600x450mm边框材质为PVC，宽度25mm;底板是中纤板;表层为透明PVC片。</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民间美术样本</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木版年画（杨柳青年画1件）②剪纸（代表性作品两件以上，体现单色、套色、阴刻、阳刻特点）③皮影④扎染、蜡染各一件⑤绣品或绣片共两件⑥风筝（胖沙燕、瘦沙燕、软翅蝴蝶各1件）⑦布老虎1个，泥老虎1个≮100mm⑧挂饰（香包2件、中国结2件）⑨工艺品竹提篮1个⑩陕西凤翔挂虎1件⑾京剧脸谱(生旦净末丑各1件)⑿民间玩具（风车两轮以上1件、空竹1件）泥塑作品一组（不少于5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陶瓷样本</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一、适用范围：适用于中小学美术教学使用。二、技术要求：配置：中国各大名窑实物(仿)十四件及简介，可陈设、展示、欣赏。官窑：瓷器直径不小于100mm,高度不小于200mm、哥窑：瓷器直径不小于100mm，高度不小于200mm、汝窑：三羊尊，直径不小于180mm，高度不小于280mm、均窑：瓷器直径不小于100mm，高度不小于320mm、定窑：瓷器长度不小于230mm，高度不小于100mm，仿制品各1件釉下青花瓷仿制品：直径不小于100mm，高度不小于280mm；泥条成型：高度不小于200mm、泥板成型：高度不小于240mm、拉坯成型作品各1件：高度不小于200mm；新石器时期文物仿制品3件：高度不小于200mm、唐三彩作品1件：瓷马，高度不小于330mm，长度不小于240mm、宜兴紫砂陶壶1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写生教具（</w:t>
            </w:r>
            <w:r>
              <w:rPr>
                <w:rFonts w:ascii="Times New Roman" w:hAnsi="Times New Roman" w:eastAsia="宋体" w:cs="Times New Roman"/>
                <w:color w:val="000000"/>
                <w:kern w:val="0"/>
                <w:sz w:val="22"/>
              </w:rPr>
              <w:t>1</w:t>
            </w:r>
            <w:r>
              <w:rPr>
                <w:rFonts w:hint="eastAsia" w:ascii="宋体" w:hAnsi="宋体" w:eastAsia="宋体" w:cs="宋体"/>
                <w:color w:val="000000"/>
                <w:kern w:val="0"/>
                <w:sz w:val="22"/>
              </w:rPr>
              <w:t>）</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一、适用范围：适用于中小学美术教学使用。二、技术要求：1．材质：优质石膏粉。2．配置：⑴海盗1件；⑵伏尔泰1件：；⑶太阳神头像1件；⑷小天使胸像1件；⑸石膏手1件；共5类5件。3．要求：形态逼真，工艺新颖，外观整洁，无反光，线条清晰，无裂纹。</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写生教具（</w:t>
            </w:r>
            <w:r>
              <w:rPr>
                <w:rFonts w:ascii="Times New Roman" w:hAnsi="Times New Roman" w:eastAsia="宋体" w:cs="Times New Roman"/>
                <w:color w:val="000000"/>
                <w:kern w:val="0"/>
                <w:sz w:val="22"/>
              </w:rPr>
              <w:t>2</w:t>
            </w:r>
            <w:r>
              <w:rPr>
                <w:rFonts w:hint="eastAsia" w:ascii="宋体" w:hAnsi="宋体" w:eastAsia="宋体" w:cs="宋体"/>
                <w:color w:val="000000"/>
                <w:kern w:val="0"/>
                <w:sz w:val="22"/>
              </w:rPr>
              <w:t>）</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一、适用范围：适用于中小学美术教学使用。二、技术要求：1．材质：优质石膏粉。2.几何形体15件 ：圆球、四棱锥、正方体、圆锥、长方体、圆柱体、六棱柱、方带方、圆锥带圆、方锥带方、多面体、八棱柱、六棱锥、圆切、十二面体各一件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写生静物</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蜡果6件：苹果、橘子、香蕉、黄瓜、茄子、柿子椒。器皿6件；彩陶2件、釉陶2件、编织篮2件；木质关节人1件；仿真禽鸟标本1件。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静物台</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一、适用范围：适用于小学、初中美术教学使用。二、技术要求：台面尺寸：600*600*25mm(误差≤5mm)，钢木结构，优质环保板材、螺旋升降，可制动脚轮，升降高度650-750mm。</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绘图仪器</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五件套</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丁字尺</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规格:600mm,有机塑料</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直尺</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规格:1000mm,有机塑料</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曲线板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规格:250mm,有机塑料</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三角板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材质：有机塑料；刻度：250mm，30º， 40º各一</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大圆规</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圆规总长度410mm，木质。</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大三角板</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材质：木质</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版画工具</w:t>
            </w:r>
          </w:p>
        </w:tc>
        <w:tc>
          <w:tcPr>
            <w:tcW w:w="5387" w:type="dxa"/>
            <w:noWrap w:val="0"/>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⑴胶辊3件：大号胶辊滚筒长≥150mm、直径≥30mm，手柄长≥110mm；中号胶辊滚筒长≥95mm、直径≥30mm，手柄长≥110mm；小号胶辊滚筒长≥75mm、直径≥30mm，手柄≥110mm，支架金属镀铬；</w:t>
            </w:r>
          </w:p>
          <w:p>
            <w:pPr>
              <w:widowControl/>
              <w:jc w:val="left"/>
              <w:rPr>
                <w:rFonts w:hint="eastAsia" w:ascii="宋体" w:hAnsi="宋体" w:eastAsia="宋体" w:cs="宋体"/>
                <w:kern w:val="0"/>
                <w:sz w:val="22"/>
              </w:rPr>
            </w:pPr>
            <w:r>
              <w:rPr>
                <w:rFonts w:hint="eastAsia" w:ascii="宋体" w:hAnsi="宋体" w:eastAsia="宋体" w:cs="宋体"/>
                <w:kern w:val="0"/>
                <w:sz w:val="22"/>
              </w:rPr>
              <w:t>⑵磨托1件：磨托头直径≥45mm、磨托手柄长≥90mm；</w:t>
            </w:r>
          </w:p>
          <w:p>
            <w:pPr>
              <w:widowControl/>
              <w:jc w:val="left"/>
              <w:rPr>
                <w:rFonts w:hint="eastAsia" w:ascii="宋体" w:hAnsi="宋体" w:eastAsia="宋体" w:cs="宋体"/>
                <w:kern w:val="0"/>
                <w:sz w:val="22"/>
              </w:rPr>
            </w:pPr>
            <w:r>
              <w:rPr>
                <w:rFonts w:hint="eastAsia" w:ascii="宋体" w:hAnsi="宋体" w:eastAsia="宋体" w:cs="宋体"/>
                <w:kern w:val="0"/>
                <w:sz w:val="22"/>
              </w:rPr>
              <w:t>⑶笔刀1件：合金手柄长≥120mm；</w:t>
            </w:r>
          </w:p>
          <w:p>
            <w:pPr>
              <w:widowControl/>
              <w:jc w:val="left"/>
              <w:rPr>
                <w:rFonts w:hint="eastAsia" w:ascii="宋体" w:hAnsi="宋体" w:eastAsia="宋体" w:cs="宋体"/>
                <w:kern w:val="0"/>
                <w:sz w:val="22"/>
              </w:rPr>
            </w:pPr>
            <w:r>
              <w:rPr>
                <w:rFonts w:hint="eastAsia" w:ascii="宋体" w:hAnsi="宋体" w:eastAsia="宋体" w:cs="宋体"/>
                <w:kern w:val="0"/>
                <w:sz w:val="22"/>
              </w:rPr>
              <w:t>⑷笔刀刀头3件：锰钢刀头≥35mm；</w:t>
            </w:r>
          </w:p>
          <w:p>
            <w:pPr>
              <w:widowControl/>
              <w:jc w:val="left"/>
              <w:rPr>
                <w:rFonts w:hint="eastAsia" w:ascii="宋体" w:hAnsi="宋体" w:eastAsia="宋体" w:cs="宋体"/>
                <w:kern w:val="0"/>
                <w:sz w:val="22"/>
              </w:rPr>
            </w:pPr>
            <w:r>
              <w:rPr>
                <w:rFonts w:hint="eastAsia" w:ascii="宋体" w:hAnsi="宋体" w:eastAsia="宋体" w:cs="宋体"/>
                <w:kern w:val="0"/>
                <w:sz w:val="22"/>
              </w:rPr>
              <w:t>⑸木刻刀5件：木手柄≥100mm、刀头碳钢材质；</w:t>
            </w:r>
          </w:p>
          <w:p>
            <w:pPr>
              <w:widowControl/>
              <w:jc w:val="left"/>
              <w:rPr>
                <w:rFonts w:hint="eastAsia" w:ascii="宋体" w:hAnsi="宋体" w:eastAsia="宋体" w:cs="宋体"/>
                <w:kern w:val="0"/>
                <w:sz w:val="22"/>
              </w:rPr>
            </w:pPr>
            <w:r>
              <w:rPr>
                <w:rFonts w:hint="eastAsia" w:ascii="宋体" w:hAnsi="宋体" w:eastAsia="宋体" w:cs="宋体"/>
                <w:kern w:val="0"/>
                <w:sz w:val="22"/>
              </w:rPr>
              <w:t>⑹石刻刀1件：精钢材质，长度≥135mm；</w:t>
            </w:r>
          </w:p>
          <w:p>
            <w:pPr>
              <w:widowControl/>
              <w:jc w:val="left"/>
              <w:rPr>
                <w:rFonts w:hint="eastAsia" w:ascii="宋体" w:hAnsi="宋体" w:eastAsia="宋体" w:cs="宋体"/>
                <w:kern w:val="0"/>
                <w:sz w:val="22"/>
              </w:rPr>
            </w:pPr>
            <w:r>
              <w:rPr>
                <w:rFonts w:hint="eastAsia" w:ascii="宋体" w:hAnsi="宋体" w:eastAsia="宋体" w:cs="宋体"/>
                <w:kern w:val="0"/>
                <w:sz w:val="22"/>
              </w:rPr>
              <w:t xml:space="preserve">⑺油石1件：双面，尺寸不小于150mm×50mm×25mm； </w:t>
            </w:r>
          </w:p>
          <w:p>
            <w:pPr>
              <w:widowControl/>
              <w:jc w:val="left"/>
              <w:rPr>
                <w:rFonts w:hint="eastAsia" w:ascii="宋体" w:hAnsi="宋体" w:eastAsia="宋体" w:cs="宋体"/>
                <w:kern w:val="0"/>
                <w:sz w:val="22"/>
              </w:rPr>
            </w:pPr>
            <w:r>
              <w:rPr>
                <w:rFonts w:hint="eastAsia" w:ascii="宋体" w:hAnsi="宋体" w:eastAsia="宋体" w:cs="宋体"/>
                <w:kern w:val="0"/>
                <w:sz w:val="22"/>
              </w:rPr>
              <w:t>⑻马莲1件：塑料材质，直径100mm±2mm；</w:t>
            </w:r>
          </w:p>
          <w:p>
            <w:pPr>
              <w:widowControl/>
              <w:jc w:val="left"/>
              <w:rPr>
                <w:rFonts w:hint="eastAsia" w:ascii="宋体" w:hAnsi="宋体" w:eastAsia="宋体" w:cs="宋体"/>
                <w:kern w:val="0"/>
                <w:sz w:val="22"/>
              </w:rPr>
            </w:pPr>
            <w:r>
              <w:rPr>
                <w:rFonts w:hint="eastAsia" w:ascii="宋体" w:hAnsi="宋体" w:eastAsia="宋体" w:cs="宋体"/>
                <w:kern w:val="0"/>
                <w:sz w:val="22"/>
              </w:rPr>
              <w:t>(9)底纹笔1件： 木柄光滑、无毛刺、色泽均匀，长≥180mm，宽≥45mm，刷头采用优质羊毛制成，毛质应整齐均匀，毛长≥30mm；</w:t>
            </w:r>
          </w:p>
          <w:p>
            <w:pPr>
              <w:widowControl/>
              <w:jc w:val="left"/>
              <w:rPr>
                <w:rFonts w:hint="eastAsia" w:ascii="宋体" w:hAnsi="宋体" w:eastAsia="宋体" w:cs="宋体"/>
                <w:kern w:val="0"/>
                <w:sz w:val="22"/>
              </w:rPr>
            </w:pPr>
            <w:r>
              <w:rPr>
                <w:rFonts w:hint="eastAsia" w:ascii="宋体" w:hAnsi="宋体" w:eastAsia="宋体" w:cs="宋体"/>
                <w:kern w:val="0"/>
                <w:sz w:val="22"/>
              </w:rPr>
              <w:t>(10)电烙铁1件：外热式30W，长度≥200mm±2mm,外接电源线长度≥900mm；</w:t>
            </w:r>
          </w:p>
          <w:p>
            <w:pPr>
              <w:widowControl/>
              <w:jc w:val="left"/>
              <w:rPr>
                <w:rFonts w:hint="eastAsia" w:ascii="宋体" w:hAnsi="宋体" w:eastAsia="宋体" w:cs="宋体"/>
                <w:kern w:val="0"/>
                <w:sz w:val="22"/>
              </w:rPr>
            </w:pPr>
            <w:r>
              <w:rPr>
                <w:rFonts w:hint="eastAsia" w:ascii="宋体" w:hAnsi="宋体" w:eastAsia="宋体" w:cs="宋体"/>
                <w:kern w:val="0"/>
                <w:sz w:val="22"/>
              </w:rPr>
              <w:t>(11)素描铅笔2支；</w:t>
            </w:r>
          </w:p>
          <w:p>
            <w:pPr>
              <w:widowControl/>
              <w:jc w:val="left"/>
              <w:rPr>
                <w:rFonts w:hint="eastAsia" w:ascii="宋体" w:hAnsi="宋体" w:eastAsia="宋体" w:cs="宋体"/>
                <w:kern w:val="0"/>
                <w:sz w:val="22"/>
              </w:rPr>
            </w:pPr>
            <w:r>
              <w:rPr>
                <w:rFonts w:hint="eastAsia" w:ascii="宋体" w:hAnsi="宋体" w:eastAsia="宋体" w:cs="宋体"/>
                <w:kern w:val="0"/>
                <w:sz w:val="22"/>
              </w:rPr>
              <w:t>(12)油画刀5把：木质手柄，漆面处理，不锈钢刀头，长度≥160mm；</w:t>
            </w:r>
          </w:p>
          <w:p>
            <w:pPr>
              <w:widowControl/>
              <w:jc w:val="left"/>
              <w:rPr>
                <w:rFonts w:hint="eastAsia" w:ascii="宋体" w:hAnsi="宋体" w:eastAsia="宋体" w:cs="宋体"/>
                <w:kern w:val="0"/>
                <w:sz w:val="22"/>
              </w:rPr>
            </w:pPr>
            <w:r>
              <w:rPr>
                <w:rFonts w:hint="eastAsia" w:ascii="宋体" w:hAnsi="宋体" w:eastAsia="宋体" w:cs="宋体"/>
                <w:kern w:val="0"/>
                <w:sz w:val="22"/>
              </w:rPr>
              <w:t>(13)版画油墨2瓶：不小于50ml；</w:t>
            </w:r>
          </w:p>
          <w:p>
            <w:pPr>
              <w:widowControl/>
              <w:jc w:val="left"/>
              <w:rPr>
                <w:rFonts w:ascii="宋体" w:hAnsi="宋体" w:eastAsia="宋体" w:cs="宋体"/>
                <w:kern w:val="0"/>
                <w:sz w:val="22"/>
              </w:rPr>
            </w:pPr>
            <w:r>
              <w:rPr>
                <w:rFonts w:hint="eastAsia" w:ascii="宋体" w:hAnsi="宋体" w:eastAsia="宋体" w:cs="宋体"/>
                <w:kern w:val="0"/>
                <w:sz w:val="22"/>
              </w:rPr>
              <w:t>(14)印床1件：木质，长100mm±2mm，宽65mm±2mm，高50mm±2mm。投标时，需提供与参数对应</w:t>
            </w:r>
            <w:r>
              <w:rPr>
                <w:rFonts w:hint="eastAsia" w:ascii="宋体" w:hAnsi="宋体" w:cs="宋体"/>
                <w:kern w:val="0"/>
                <w:sz w:val="22"/>
                <w:lang w:val="en-US" w:eastAsia="zh-CN"/>
              </w:rPr>
              <w:t>国家文教用品质量监督检验中心出具的检验报告</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绘画工具</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绘画笔6支、勾线笔1支、各规格绘画铅笔共12支、纸擦笔3支、延长器1支、绘图橡皮1块、可塑橡皮1块、美工刀1把、折叠水桶1件、调色盘1件、调色盒1件。调色刀1把、12色水彩颜料1盒、12色水粉颜料1盒，中空吹塑定位包装，所有产品均有单独卡槽定位于箱子内，不得串动，便于携带、存放。</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泥工工具</w:t>
            </w:r>
          </w:p>
        </w:tc>
        <w:tc>
          <w:tcPr>
            <w:tcW w:w="5387" w:type="dxa"/>
            <w:noWrap w:val="0"/>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1.配置：⑴拍板1件：木质，长×宽×高≥205mm×65mm×28mm； ⑵泥塑刀6件：木质，长度≥180mm；⑶环型刀3件：木柄双头环型刀，长度≥200mm；⑷刮刀2件：环型刀头、三角刀头各1件，长度≥130mm；⑸型板1件：黄杨木型板≥110mm×50mm；⑹切割线1件：木手柄，长≥70mm，钢丝线长度≥600mm；⑺转台1件：塑料材质，双面、中间带轴承，直径≥110mm，高度≥30mm；⑻喷壶1件；⑼海绵1块；⑽刮板1件；⑾碾辊1根，长≥320mm，直径≥27mm；⑿打孔器1根，长≥190mm，打孔直径为11mm。⒀平铲针1支：木柄双头，一尖一平，长度≥160mm。</w:t>
            </w:r>
          </w:p>
          <w:p>
            <w:pPr>
              <w:widowControl/>
              <w:jc w:val="center"/>
              <w:rPr>
                <w:rFonts w:ascii="宋体" w:hAnsi="宋体" w:eastAsia="宋体" w:cs="宋体"/>
                <w:kern w:val="0"/>
                <w:sz w:val="22"/>
              </w:rPr>
            </w:pPr>
            <w:r>
              <w:rPr>
                <w:rFonts w:hint="eastAsia" w:ascii="宋体" w:hAnsi="宋体" w:eastAsia="宋体" w:cs="宋体"/>
                <w:kern w:val="0"/>
                <w:sz w:val="22"/>
              </w:rPr>
              <w:t>★2．中空吹塑定位包装，所有产品均有单独卡槽定位于箱子内，不得串动，便于携带、存放。投标时，需提供与参数对应</w:t>
            </w:r>
            <w:r>
              <w:rPr>
                <w:rFonts w:hint="eastAsia" w:ascii="宋体" w:hAnsi="宋体" w:cs="宋体"/>
                <w:kern w:val="0"/>
                <w:sz w:val="22"/>
                <w:lang w:val="en-US" w:eastAsia="zh-CN"/>
              </w:rPr>
              <w:t>国家文教用品质量监督检验中心出具的检验报告</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制作工具</w:t>
            </w:r>
          </w:p>
        </w:tc>
        <w:tc>
          <w:tcPr>
            <w:tcW w:w="5387"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1、油画刀 5 把：长 210mm、205mm、180mm、185mm、170mm；2、什锦锉 5把：长 160mm；3、美工刀 1 把：长 160mm；4、钩刀 1 把：长 160mm；5、电烙铁 1 把：长 220mm；6、木刻刀 5 把：长 130mm；7、打孔器 1 件：长125mm 单孔孔径 0.6cm；8、剪刀 2 把：长 140mm、125mm；9、多用锯 1把：长 230mm 宽 100mm；10、尖嘴钳 1 把：长 165mm；11、板刷 1 把：145mm×20mm；12、锥子 1 件：长 120mm；13、多功能小锤 1 把：长 160mm；14、油石 1 件：70mm×50mm×20mm；15、凿子 1 件：塑料手柄，长 185mm，宽 16mm；16、篆刻刀 1 把：长 140mm；17、鸭嘴锤 1 把：长 250mm；18、包装盒 1 件：所有产品中空吹塑定位包装，便于携带、存放。</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纸工工具</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剪刀1件：无刃、圆头，总长度160mm。2、花边剪刀1件：刀头总长度60mm。3、直尺1件：30mm。4、切割垫板1块：A4幅面。5、笔刀1件：长140mm。6、笔刀刀片3件：39mm。7、订书器1件。8、蛇形尺1件：长300mm。9、打孔器1件：手握式单孔打孔器，有纸屑收集装置，手握处防滑细纹，最大打孔能力可打8张纸，打孔直径6mm。10、美工刀1件：长165mm。</w:t>
            </w:r>
          </w:p>
        </w:tc>
        <w:tc>
          <w:tcPr>
            <w:tcW w:w="709" w:type="dxa"/>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268" w:type="dxa"/>
            <w:shd w:val="clear" w:color="000000" w:fill="FFFFFF"/>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国画和书法工具</w:t>
            </w:r>
          </w:p>
        </w:tc>
        <w:tc>
          <w:tcPr>
            <w:tcW w:w="5387" w:type="dxa"/>
            <w:shd w:val="clear" w:color="000000" w:fill="FFFFFF"/>
            <w:noWrap w:val="0"/>
            <w:vAlign w:val="top"/>
          </w:tcPr>
          <w:p>
            <w:pPr>
              <w:widowControl/>
              <w:jc w:val="left"/>
              <w:rPr>
                <w:rFonts w:ascii="宋体" w:hAnsi="宋体" w:eastAsia="宋体" w:cs="宋体"/>
                <w:kern w:val="0"/>
                <w:sz w:val="22"/>
              </w:rPr>
            </w:pPr>
            <w:r>
              <w:rPr>
                <w:rFonts w:hint="eastAsia" w:ascii="宋体" w:hAnsi="宋体" w:eastAsia="宋体" w:cs="宋体"/>
                <w:kern w:val="0"/>
                <w:sz w:val="22"/>
              </w:rPr>
              <w:t>毛笔8支、画毡1块、调色盘1块、砚台1个、笔洗1个、笔架1个、镇尺1付、笔帘1个、墨1块、印盒1个、墨汁1瓶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268" w:type="dxa"/>
            <w:shd w:val="clear" w:color="000000" w:fill="FFFFFF"/>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电子绘画板</w:t>
            </w:r>
          </w:p>
        </w:tc>
        <w:tc>
          <w:tcPr>
            <w:tcW w:w="5387" w:type="dxa"/>
            <w:shd w:val="clear" w:color="000000" w:fill="FFFFFF"/>
            <w:noWrap w:val="0"/>
            <w:vAlign w:val="top"/>
          </w:tcPr>
          <w:p>
            <w:pPr>
              <w:widowControl/>
              <w:jc w:val="left"/>
              <w:rPr>
                <w:rFonts w:ascii="宋体" w:hAnsi="宋体" w:eastAsia="宋体" w:cs="宋体"/>
                <w:kern w:val="0"/>
                <w:sz w:val="22"/>
              </w:rPr>
            </w:pPr>
            <w:r>
              <w:rPr>
                <w:rFonts w:hint="eastAsia" w:ascii="宋体" w:hAnsi="宋体" w:eastAsia="宋体" w:cs="宋体"/>
                <w:kern w:val="0"/>
                <w:sz w:val="22"/>
              </w:rPr>
              <w:t>绘画区域不小于135mm×200mm,压感级别1024级及以上,无线无源压感笔；配备与教材相应的软件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268" w:type="dxa"/>
            <w:shd w:val="clear" w:color="000000" w:fill="FFFFFF"/>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书法工具</w:t>
            </w:r>
          </w:p>
        </w:tc>
        <w:tc>
          <w:tcPr>
            <w:tcW w:w="5387" w:type="dxa"/>
            <w:shd w:val="clear" w:color="000000" w:fill="FFFFFF"/>
            <w:noWrap w:val="0"/>
            <w:vAlign w:val="top"/>
          </w:tcPr>
          <w:p>
            <w:pPr>
              <w:widowControl/>
              <w:jc w:val="left"/>
              <w:rPr>
                <w:rFonts w:ascii="宋体" w:hAnsi="宋体" w:eastAsia="宋体" w:cs="宋体"/>
                <w:kern w:val="0"/>
                <w:sz w:val="22"/>
              </w:rPr>
            </w:pPr>
            <w:r>
              <w:rPr>
                <w:rFonts w:hint="eastAsia" w:ascii="宋体" w:hAnsi="宋体" w:eastAsia="宋体" w:cs="宋体"/>
                <w:kern w:val="0"/>
                <w:sz w:val="22"/>
              </w:rPr>
              <w:t>毛笔（斗笔、大白云、中白云、小白云、小狼毫、勾线笔）、毛毡、镇尺、笔洗、墨汁、调色盘、笔架、名家字帖</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268" w:type="dxa"/>
            <w:shd w:val="clear" w:color="000000" w:fill="FFFFFF"/>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篆刻工具</w:t>
            </w:r>
          </w:p>
        </w:tc>
        <w:tc>
          <w:tcPr>
            <w:tcW w:w="5387" w:type="dxa"/>
            <w:shd w:val="clear" w:color="000000" w:fill="FFFFFF"/>
            <w:noWrap w:val="0"/>
            <w:vAlign w:val="top"/>
          </w:tcPr>
          <w:p>
            <w:pPr>
              <w:widowControl/>
              <w:jc w:val="left"/>
              <w:rPr>
                <w:rFonts w:ascii="宋体" w:hAnsi="宋体" w:eastAsia="宋体" w:cs="宋体"/>
                <w:kern w:val="0"/>
                <w:sz w:val="22"/>
              </w:rPr>
            </w:pPr>
            <w:r>
              <w:rPr>
                <w:rFonts w:hint="eastAsia" w:ascii="宋体" w:hAnsi="宋体" w:eastAsia="宋体" w:cs="宋体"/>
                <w:kern w:val="0"/>
                <w:sz w:val="22"/>
              </w:rPr>
              <w:t>篆刻刀、印床、章料、印泥等</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268" w:type="dxa"/>
            <w:shd w:val="clear" w:color="auto" w:fill="auto"/>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美术学具</w:t>
            </w:r>
          </w:p>
        </w:tc>
        <w:tc>
          <w:tcPr>
            <w:tcW w:w="5387" w:type="dxa"/>
            <w:shd w:val="clear" w:color="000000" w:fill="FFFFFF"/>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10类18件（墨汁、水彩笔6支，毛笔3支，调色盘、铅笔2支、胶带、胶棒、12色水彩颜料、水粉纸、素描纸、）</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美术课配套材料</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水彩笔3色各1支，白卡纸16开，生宣纸15*15cm2张，大白云1支，调色盒1个，脸谱1个，美工刀1个，胶棒1个，水彩颜料3色各1瓶。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25</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w:t>
            </w:r>
          </w:p>
        </w:tc>
        <w:tc>
          <w:tcPr>
            <w:tcW w:w="8072" w:type="dxa"/>
            <w:gridSpan w:val="4"/>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音乐教室设备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教学液晶屏</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≥55寸液晶电视，全智能4K</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教师用琴</w:t>
            </w:r>
          </w:p>
        </w:tc>
        <w:tc>
          <w:tcPr>
            <w:tcW w:w="5387" w:type="dxa"/>
            <w:noWrap w:val="0"/>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键盘：88键，逐级配重键盘</w:t>
            </w:r>
          </w:p>
          <w:p>
            <w:pPr>
              <w:widowControl/>
              <w:jc w:val="left"/>
              <w:rPr>
                <w:rFonts w:hint="eastAsia" w:ascii="宋体" w:hAnsi="宋体" w:eastAsia="宋体" w:cs="宋体"/>
                <w:kern w:val="0"/>
                <w:sz w:val="22"/>
              </w:rPr>
            </w:pPr>
            <w:r>
              <w:rPr>
                <w:rFonts w:hint="eastAsia" w:ascii="宋体" w:hAnsi="宋体" w:eastAsia="宋体" w:cs="宋体"/>
                <w:kern w:val="0"/>
                <w:sz w:val="22"/>
              </w:rPr>
              <w:t>力度感应：3级、关闭</w:t>
            </w:r>
          </w:p>
          <w:p>
            <w:pPr>
              <w:widowControl/>
              <w:jc w:val="left"/>
              <w:rPr>
                <w:rFonts w:hint="eastAsia" w:ascii="宋体" w:hAnsi="宋体" w:eastAsia="宋体" w:cs="宋体"/>
                <w:kern w:val="0"/>
                <w:sz w:val="22"/>
              </w:rPr>
            </w:pPr>
            <w:r>
              <w:rPr>
                <w:rFonts w:hint="eastAsia" w:ascii="宋体" w:hAnsi="宋体" w:eastAsia="宋体" w:cs="宋体"/>
                <w:kern w:val="0"/>
                <w:sz w:val="22"/>
              </w:rPr>
              <w:t>音源：双元素AHL音源</w:t>
            </w:r>
          </w:p>
          <w:p>
            <w:pPr>
              <w:widowControl/>
              <w:jc w:val="left"/>
              <w:rPr>
                <w:rFonts w:hint="eastAsia" w:ascii="宋体" w:hAnsi="宋体" w:eastAsia="宋体" w:cs="宋体"/>
                <w:kern w:val="0"/>
                <w:sz w:val="22"/>
              </w:rPr>
            </w:pPr>
            <w:r>
              <w:rPr>
                <w:rFonts w:hint="eastAsia" w:ascii="宋体" w:hAnsi="宋体" w:eastAsia="宋体" w:cs="宋体"/>
                <w:kern w:val="0"/>
                <w:sz w:val="22"/>
              </w:rPr>
              <w:t>复音数：64</w:t>
            </w:r>
          </w:p>
          <w:p>
            <w:pPr>
              <w:widowControl/>
              <w:jc w:val="left"/>
              <w:rPr>
                <w:rFonts w:hint="eastAsia" w:ascii="宋体" w:hAnsi="宋体" w:eastAsia="宋体" w:cs="宋体"/>
                <w:kern w:val="0"/>
                <w:sz w:val="22"/>
              </w:rPr>
            </w:pPr>
            <w:r>
              <w:rPr>
                <w:rFonts w:hint="eastAsia" w:ascii="宋体" w:hAnsi="宋体" w:eastAsia="宋体" w:cs="宋体"/>
                <w:kern w:val="0"/>
                <w:sz w:val="22"/>
              </w:rPr>
              <w:t>音色：内置700种音色</w:t>
            </w:r>
          </w:p>
          <w:p>
            <w:pPr>
              <w:widowControl/>
              <w:jc w:val="left"/>
              <w:rPr>
                <w:rFonts w:hint="eastAsia" w:ascii="宋体" w:hAnsi="宋体" w:eastAsia="宋体" w:cs="宋体"/>
                <w:kern w:val="0"/>
                <w:sz w:val="22"/>
              </w:rPr>
            </w:pPr>
            <w:r>
              <w:rPr>
                <w:rFonts w:hint="eastAsia" w:ascii="宋体" w:hAnsi="宋体" w:eastAsia="宋体" w:cs="宋体"/>
                <w:kern w:val="0"/>
                <w:sz w:val="22"/>
              </w:rPr>
              <w:t>数码音效：大厅（一种），混响（10种），合唱（5种）</w:t>
            </w:r>
          </w:p>
          <w:p>
            <w:pPr>
              <w:widowControl/>
              <w:jc w:val="left"/>
              <w:rPr>
                <w:rFonts w:hint="eastAsia" w:ascii="宋体" w:hAnsi="宋体" w:eastAsia="宋体" w:cs="宋体"/>
                <w:kern w:val="0"/>
                <w:sz w:val="22"/>
              </w:rPr>
            </w:pPr>
            <w:r>
              <w:rPr>
                <w:rFonts w:hint="eastAsia" w:ascii="宋体" w:hAnsi="宋体" w:eastAsia="宋体" w:cs="宋体"/>
                <w:kern w:val="0"/>
                <w:sz w:val="22"/>
              </w:rPr>
              <w:t>节奏/伴奏：200种（10个用户节奏）</w:t>
            </w:r>
          </w:p>
          <w:p>
            <w:pPr>
              <w:widowControl/>
              <w:jc w:val="left"/>
              <w:rPr>
                <w:rFonts w:hint="eastAsia" w:ascii="宋体" w:hAnsi="宋体" w:eastAsia="宋体" w:cs="宋体"/>
                <w:kern w:val="0"/>
                <w:sz w:val="22"/>
              </w:rPr>
            </w:pPr>
            <w:r>
              <w:rPr>
                <w:rFonts w:hint="eastAsia" w:ascii="宋体" w:hAnsi="宋体" w:eastAsia="宋体" w:cs="宋体"/>
                <w:kern w:val="0"/>
                <w:sz w:val="22"/>
              </w:rPr>
              <w:t>自动伴奏：模式：CASIO和弦，多指和弦1，多指和弦2（关闭6音），多指和弦3（指控低音），全键盘和弦</w:t>
            </w:r>
          </w:p>
          <w:p>
            <w:pPr>
              <w:widowControl/>
              <w:jc w:val="left"/>
              <w:rPr>
                <w:rFonts w:hint="eastAsia" w:ascii="宋体" w:hAnsi="宋体" w:eastAsia="宋体" w:cs="宋体"/>
                <w:kern w:val="0"/>
                <w:sz w:val="22"/>
              </w:rPr>
            </w:pPr>
            <w:r>
              <w:rPr>
                <w:rFonts w:hint="eastAsia" w:ascii="宋体" w:hAnsi="宋体" w:eastAsia="宋体" w:cs="宋体"/>
                <w:kern w:val="0"/>
                <w:sz w:val="22"/>
              </w:rPr>
              <w:t>叠加：控制：开始/停止，前奏，标准/插入，变奏/插入，同步开始/尾奏</w:t>
            </w:r>
          </w:p>
          <w:p>
            <w:pPr>
              <w:widowControl/>
              <w:jc w:val="left"/>
              <w:rPr>
                <w:rFonts w:hint="eastAsia" w:ascii="宋体" w:hAnsi="宋体" w:eastAsia="宋体" w:cs="宋体"/>
                <w:kern w:val="0"/>
                <w:sz w:val="22"/>
              </w:rPr>
            </w:pPr>
            <w:r>
              <w:rPr>
                <w:rFonts w:hint="eastAsia" w:ascii="宋体" w:hAnsi="宋体" w:eastAsia="宋体" w:cs="宋体"/>
                <w:kern w:val="0"/>
                <w:sz w:val="22"/>
              </w:rPr>
              <w:t>内置乐曲：152（乐曲库）</w:t>
            </w:r>
          </w:p>
          <w:p>
            <w:pPr>
              <w:widowControl/>
              <w:jc w:val="left"/>
              <w:rPr>
                <w:rFonts w:hint="eastAsia" w:ascii="宋体" w:hAnsi="宋体" w:eastAsia="宋体" w:cs="宋体"/>
                <w:kern w:val="0"/>
                <w:sz w:val="22"/>
              </w:rPr>
            </w:pPr>
            <w:r>
              <w:rPr>
                <w:rFonts w:hint="eastAsia" w:ascii="宋体" w:hAnsi="宋体" w:eastAsia="宋体" w:cs="宋体"/>
                <w:kern w:val="0"/>
                <w:sz w:val="22"/>
              </w:rPr>
              <w:t>乐曲扩展：10首（总计不超过320KB）</w:t>
            </w:r>
          </w:p>
          <w:p>
            <w:pPr>
              <w:widowControl/>
              <w:jc w:val="left"/>
              <w:rPr>
                <w:rFonts w:hint="eastAsia" w:ascii="宋体" w:hAnsi="宋体" w:eastAsia="宋体" w:cs="宋体"/>
                <w:kern w:val="0"/>
                <w:sz w:val="22"/>
              </w:rPr>
            </w:pPr>
            <w:r>
              <w:rPr>
                <w:rFonts w:hint="eastAsia" w:ascii="宋体" w:hAnsi="宋体" w:eastAsia="宋体" w:cs="宋体"/>
                <w:kern w:val="0"/>
                <w:sz w:val="22"/>
              </w:rPr>
              <w:t>教学功能：步进课程，乐句，课程部份选择，评分，声导指法，课程部分:右手、左手、双手</w:t>
            </w:r>
          </w:p>
          <w:p>
            <w:pPr>
              <w:widowControl/>
              <w:jc w:val="left"/>
              <w:rPr>
                <w:rFonts w:hint="eastAsia" w:ascii="宋体" w:hAnsi="宋体" w:eastAsia="宋体" w:cs="宋体"/>
                <w:kern w:val="0"/>
                <w:sz w:val="22"/>
              </w:rPr>
            </w:pPr>
            <w:r>
              <w:rPr>
                <w:rFonts w:hint="eastAsia" w:ascii="宋体" w:hAnsi="宋体" w:eastAsia="宋体" w:cs="宋体"/>
                <w:kern w:val="0"/>
                <w:sz w:val="22"/>
              </w:rPr>
              <w:t>节拍器：拍子：0、1-9拍（速度范围：30-255拍/分钟）</w:t>
            </w:r>
          </w:p>
          <w:p>
            <w:pPr>
              <w:widowControl/>
              <w:jc w:val="left"/>
              <w:rPr>
                <w:rFonts w:hint="eastAsia" w:ascii="宋体" w:hAnsi="宋体" w:eastAsia="宋体" w:cs="宋体"/>
                <w:kern w:val="0"/>
                <w:sz w:val="22"/>
              </w:rPr>
            </w:pPr>
            <w:r>
              <w:rPr>
                <w:rFonts w:hint="eastAsia" w:ascii="宋体" w:hAnsi="宋体" w:eastAsia="宋体" w:cs="宋体"/>
                <w:kern w:val="0"/>
                <w:sz w:val="22"/>
              </w:rPr>
              <w:t>录音：6轨*5首（表演录音），总计约12000个音符，实时录音/回放</w:t>
            </w:r>
          </w:p>
          <w:p>
            <w:pPr>
              <w:widowControl/>
              <w:jc w:val="left"/>
              <w:rPr>
                <w:rFonts w:hint="eastAsia" w:ascii="宋体" w:hAnsi="宋体" w:eastAsia="宋体" w:cs="宋体"/>
                <w:kern w:val="0"/>
                <w:sz w:val="22"/>
              </w:rPr>
            </w:pPr>
            <w:r>
              <w:rPr>
                <w:rFonts w:hint="eastAsia" w:ascii="宋体" w:hAnsi="宋体" w:eastAsia="宋体" w:cs="宋体"/>
                <w:kern w:val="0"/>
                <w:sz w:val="22"/>
              </w:rPr>
              <w:t>采样：最大采样容量：不超过8种声音。最大总采样时间：不超过10秒。采样声音输入：麦克风采样/jack</w:t>
            </w:r>
          </w:p>
          <w:p>
            <w:pPr>
              <w:widowControl/>
              <w:jc w:val="left"/>
              <w:rPr>
                <w:rFonts w:hint="eastAsia" w:ascii="宋体" w:hAnsi="宋体" w:eastAsia="宋体" w:cs="宋体"/>
                <w:kern w:val="0"/>
                <w:sz w:val="22"/>
              </w:rPr>
            </w:pPr>
            <w:r>
              <w:rPr>
                <w:rFonts w:hint="eastAsia" w:ascii="宋体" w:hAnsi="宋体" w:eastAsia="宋体" w:cs="宋体"/>
                <w:kern w:val="0"/>
                <w:sz w:val="22"/>
              </w:rPr>
              <w:t>其他功能：节奏编辑（10个用户节奏）；注册记忆32（4个*8库）；音乐预设305种；单键预设200种；自动和声12种；自动琵音90种；预设音律：平均律+16种；八度升降：±2八度；音乐挑战；节奏/乐曲控制；叠加、分割；滑音轮：0-12半音；钢琴/风琴钮；和弦字典</w:t>
            </w:r>
          </w:p>
          <w:p>
            <w:pPr>
              <w:widowControl/>
              <w:jc w:val="left"/>
              <w:rPr>
                <w:rFonts w:hint="eastAsia" w:ascii="宋体" w:hAnsi="宋体" w:eastAsia="宋体" w:cs="宋体"/>
                <w:kern w:val="0"/>
                <w:sz w:val="22"/>
              </w:rPr>
            </w:pPr>
            <w:r>
              <w:rPr>
                <w:rFonts w:hint="eastAsia" w:ascii="宋体" w:hAnsi="宋体" w:eastAsia="宋体" w:cs="宋体"/>
                <w:kern w:val="0"/>
                <w:sz w:val="22"/>
              </w:rPr>
              <w:t>移调：25级（-12半音-+12半音）</w:t>
            </w:r>
          </w:p>
          <w:p>
            <w:pPr>
              <w:widowControl/>
              <w:jc w:val="left"/>
              <w:rPr>
                <w:rFonts w:hint="eastAsia" w:ascii="宋体" w:hAnsi="宋体" w:eastAsia="宋体" w:cs="宋体"/>
                <w:kern w:val="0"/>
                <w:sz w:val="22"/>
              </w:rPr>
            </w:pPr>
            <w:r>
              <w:rPr>
                <w:rFonts w:hint="eastAsia" w:ascii="宋体" w:hAnsi="宋体" w:eastAsia="宋体" w:cs="宋体"/>
                <w:kern w:val="0"/>
                <w:sz w:val="22"/>
              </w:rPr>
              <w:t>微调：A4=415.5-465.9Hz（默认值：440.0Hz）</w:t>
            </w:r>
          </w:p>
          <w:p>
            <w:pPr>
              <w:widowControl/>
              <w:jc w:val="left"/>
              <w:rPr>
                <w:rFonts w:hint="eastAsia" w:ascii="宋体" w:hAnsi="宋体" w:eastAsia="宋体" w:cs="宋体"/>
                <w:kern w:val="0"/>
                <w:sz w:val="22"/>
              </w:rPr>
            </w:pPr>
            <w:r>
              <w:rPr>
                <w:rFonts w:hint="eastAsia" w:ascii="宋体" w:hAnsi="宋体" w:eastAsia="宋体" w:cs="宋体"/>
                <w:kern w:val="0"/>
                <w:sz w:val="22"/>
              </w:rPr>
              <w:t>踏板：标准jack（延音、抽选、柔音、节奏）</w:t>
            </w:r>
          </w:p>
          <w:p>
            <w:pPr>
              <w:widowControl/>
              <w:jc w:val="left"/>
              <w:rPr>
                <w:rFonts w:hint="eastAsia" w:ascii="宋体" w:hAnsi="宋体" w:eastAsia="宋体" w:cs="宋体"/>
                <w:kern w:val="0"/>
                <w:sz w:val="22"/>
              </w:rPr>
            </w:pPr>
            <w:r>
              <w:rPr>
                <w:rFonts w:hint="eastAsia" w:ascii="宋体" w:hAnsi="宋体" w:eastAsia="宋体" w:cs="宋体"/>
                <w:kern w:val="0"/>
                <w:sz w:val="22"/>
              </w:rPr>
              <w:t>显示：LCD带背光</w:t>
            </w:r>
          </w:p>
          <w:p>
            <w:pPr>
              <w:widowControl/>
              <w:jc w:val="left"/>
              <w:rPr>
                <w:rFonts w:hint="eastAsia" w:ascii="宋体" w:hAnsi="宋体" w:eastAsia="宋体" w:cs="宋体"/>
                <w:kern w:val="0"/>
                <w:sz w:val="22"/>
              </w:rPr>
            </w:pPr>
            <w:r>
              <w:rPr>
                <w:rFonts w:hint="eastAsia" w:ascii="宋体" w:hAnsi="宋体" w:eastAsia="宋体" w:cs="宋体"/>
                <w:kern w:val="0"/>
                <w:sz w:val="22"/>
              </w:rPr>
              <w:t>SD卡插槽：支持SD记忆卡容量：SD或SDHC存储卡，最高支持32GB，SMF（格式0/1）</w:t>
            </w:r>
          </w:p>
          <w:p>
            <w:pPr>
              <w:widowControl/>
              <w:jc w:val="left"/>
              <w:rPr>
                <w:rFonts w:hint="eastAsia" w:ascii="宋体" w:hAnsi="宋体" w:eastAsia="宋体" w:cs="宋体"/>
                <w:kern w:val="0"/>
                <w:sz w:val="22"/>
              </w:rPr>
            </w:pPr>
            <w:r>
              <w:rPr>
                <w:rFonts w:hint="eastAsia" w:ascii="宋体" w:hAnsi="宋体" w:eastAsia="宋体" w:cs="宋体"/>
                <w:kern w:val="0"/>
                <w:sz w:val="22"/>
              </w:rPr>
              <w:t>MIDI:通用兼容性：1级，端口：USB</w:t>
            </w:r>
          </w:p>
          <w:p>
            <w:pPr>
              <w:widowControl/>
              <w:jc w:val="left"/>
              <w:rPr>
                <w:rFonts w:hint="eastAsia" w:ascii="宋体" w:hAnsi="宋体" w:eastAsia="宋体" w:cs="宋体"/>
                <w:kern w:val="0"/>
                <w:sz w:val="22"/>
              </w:rPr>
            </w:pPr>
            <w:r>
              <w:rPr>
                <w:rFonts w:hint="eastAsia" w:ascii="宋体" w:hAnsi="宋体" w:eastAsia="宋体" w:cs="宋体"/>
                <w:kern w:val="0"/>
                <w:sz w:val="22"/>
              </w:rPr>
              <w:t>扬声器：12cm/6cm（椭圆）*2，高品质扬声器</w:t>
            </w:r>
          </w:p>
          <w:p>
            <w:pPr>
              <w:widowControl/>
              <w:jc w:val="left"/>
              <w:rPr>
                <w:rFonts w:hint="eastAsia" w:ascii="宋体" w:hAnsi="宋体" w:eastAsia="宋体" w:cs="宋体"/>
                <w:kern w:val="0"/>
                <w:sz w:val="22"/>
              </w:rPr>
            </w:pPr>
            <w:r>
              <w:rPr>
                <w:rFonts w:hint="eastAsia" w:ascii="宋体" w:hAnsi="宋体" w:eastAsia="宋体" w:cs="宋体"/>
                <w:kern w:val="0"/>
                <w:sz w:val="22"/>
              </w:rPr>
              <w:t>功率：8W+8W</w:t>
            </w:r>
          </w:p>
          <w:p>
            <w:pPr>
              <w:widowControl/>
              <w:jc w:val="left"/>
              <w:rPr>
                <w:rFonts w:hint="eastAsia" w:ascii="宋体" w:hAnsi="宋体" w:eastAsia="宋体" w:cs="宋体"/>
                <w:kern w:val="0"/>
                <w:sz w:val="22"/>
              </w:rPr>
            </w:pPr>
            <w:r>
              <w:rPr>
                <w:rFonts w:hint="eastAsia" w:ascii="宋体" w:hAnsi="宋体" w:eastAsia="宋体" w:cs="宋体"/>
                <w:kern w:val="0"/>
                <w:sz w:val="22"/>
              </w:rPr>
              <w:t>输入/输出端口：耳机（标准立体声jack）；延音/踏板；音频输入；麦克输入/采样；USB-B型；外部电源（12V）</w:t>
            </w:r>
          </w:p>
          <w:p>
            <w:pPr>
              <w:widowControl/>
              <w:jc w:val="left"/>
              <w:rPr>
                <w:rFonts w:hint="eastAsia" w:ascii="宋体" w:hAnsi="宋体" w:eastAsia="宋体" w:cs="宋体"/>
                <w:kern w:val="0"/>
                <w:sz w:val="22"/>
              </w:rPr>
            </w:pPr>
            <w:r>
              <w:rPr>
                <w:rFonts w:hint="eastAsia" w:ascii="宋体" w:hAnsi="宋体" w:eastAsia="宋体" w:cs="宋体"/>
                <w:kern w:val="0"/>
                <w:sz w:val="22"/>
              </w:rPr>
              <w:t>电源要求：交流电源适配器：AD-A12150LW</w:t>
            </w:r>
          </w:p>
          <w:p>
            <w:pPr>
              <w:widowControl/>
              <w:jc w:val="left"/>
              <w:rPr>
                <w:rFonts w:hint="eastAsia" w:ascii="宋体" w:hAnsi="宋体" w:eastAsia="宋体" w:cs="宋体"/>
                <w:kern w:val="0"/>
                <w:sz w:val="22"/>
              </w:rPr>
            </w:pPr>
            <w:r>
              <w:rPr>
                <w:rFonts w:hint="eastAsia" w:ascii="宋体" w:hAnsi="宋体" w:eastAsia="宋体" w:cs="宋体"/>
                <w:kern w:val="0"/>
                <w:sz w:val="22"/>
              </w:rPr>
              <w:t>尺寸：1322*286*129mm（仅琴体）</w:t>
            </w:r>
          </w:p>
          <w:p>
            <w:pPr>
              <w:widowControl/>
              <w:jc w:val="left"/>
              <w:rPr>
                <w:rFonts w:hint="eastAsia" w:ascii="宋体" w:hAnsi="宋体" w:eastAsia="宋体" w:cs="宋体"/>
                <w:kern w:val="0"/>
                <w:sz w:val="22"/>
              </w:rPr>
            </w:pPr>
            <w:r>
              <w:rPr>
                <w:rFonts w:hint="eastAsia" w:ascii="宋体" w:hAnsi="宋体" w:eastAsia="宋体" w:cs="宋体"/>
                <w:kern w:val="0"/>
                <w:sz w:val="22"/>
              </w:rPr>
              <w:t>重量：11.3kg</w:t>
            </w:r>
          </w:p>
          <w:p>
            <w:pPr>
              <w:widowControl/>
              <w:jc w:val="left"/>
              <w:rPr>
                <w:rFonts w:ascii="宋体" w:hAnsi="宋体" w:eastAsia="宋体" w:cs="宋体"/>
                <w:kern w:val="0"/>
                <w:sz w:val="22"/>
              </w:rPr>
            </w:pPr>
            <w:r>
              <w:rPr>
                <w:rFonts w:hint="eastAsia" w:ascii="宋体" w:hAnsi="宋体" w:eastAsia="宋体" w:cs="宋体"/>
                <w:kern w:val="0"/>
                <w:sz w:val="22"/>
              </w:rPr>
              <w:t>带三踏板，带架子。</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教师用琴凳</w:t>
            </w:r>
          </w:p>
        </w:tc>
        <w:tc>
          <w:tcPr>
            <w:tcW w:w="5387" w:type="dxa"/>
            <w:noWrap w:val="0"/>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适用人数:单人</w:t>
            </w:r>
          </w:p>
          <w:p>
            <w:pPr>
              <w:widowControl/>
              <w:jc w:val="left"/>
              <w:rPr>
                <w:rFonts w:ascii="宋体" w:hAnsi="宋体" w:eastAsia="宋体" w:cs="宋体"/>
                <w:kern w:val="0"/>
                <w:sz w:val="22"/>
              </w:rPr>
            </w:pPr>
            <w:r>
              <w:rPr>
                <w:rFonts w:hint="eastAsia" w:ascii="宋体" w:hAnsi="宋体" w:eastAsia="宋体" w:cs="宋体"/>
                <w:kern w:val="0"/>
                <w:sz w:val="22"/>
              </w:rPr>
              <w:t xml:space="preserve">实木制，凳面材质:皮 </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五线谱电教板</w:t>
            </w:r>
          </w:p>
        </w:tc>
        <w:tc>
          <w:tcPr>
            <w:tcW w:w="5387" w:type="dxa"/>
            <w:noWrap w:val="0"/>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 开展音乐教学使用，结构牢固，性能稳定，美观大方。电教板尺寸1800㎜×900㎜×60mm</w:t>
            </w:r>
          </w:p>
          <w:p>
            <w:pPr>
              <w:widowControl/>
              <w:jc w:val="left"/>
              <w:rPr>
                <w:rFonts w:hint="eastAsia" w:ascii="宋体" w:hAnsi="宋体" w:eastAsia="宋体" w:cs="宋体"/>
                <w:kern w:val="0"/>
                <w:sz w:val="22"/>
              </w:rPr>
            </w:pPr>
            <w:r>
              <w:rPr>
                <w:rFonts w:hint="eastAsia" w:ascii="宋体" w:hAnsi="宋体" w:eastAsia="宋体" w:cs="宋体"/>
                <w:kern w:val="0"/>
                <w:sz w:val="22"/>
              </w:rPr>
              <w:t>2) 采用轻触式按键，音量调节和节拍速度为电子调节。</w:t>
            </w:r>
          </w:p>
          <w:p>
            <w:pPr>
              <w:widowControl/>
              <w:jc w:val="left"/>
              <w:rPr>
                <w:rFonts w:hint="eastAsia" w:ascii="宋体" w:hAnsi="宋体" w:eastAsia="宋体" w:cs="宋体"/>
                <w:kern w:val="0"/>
                <w:sz w:val="22"/>
              </w:rPr>
            </w:pPr>
            <w:r>
              <w:rPr>
                <w:rFonts w:hint="eastAsia" w:ascii="宋体" w:hAnsi="宋体" w:eastAsia="宋体" w:cs="宋体"/>
                <w:kern w:val="0"/>
                <w:sz w:val="22"/>
              </w:rPr>
              <w:t>3) 具有128种GM音色，</w:t>
            </w:r>
          </w:p>
          <w:p>
            <w:pPr>
              <w:widowControl/>
              <w:jc w:val="left"/>
              <w:rPr>
                <w:rFonts w:hint="eastAsia" w:ascii="宋体" w:hAnsi="宋体" w:eastAsia="宋体" w:cs="宋体"/>
                <w:kern w:val="0"/>
                <w:sz w:val="22"/>
              </w:rPr>
            </w:pPr>
            <w:r>
              <w:rPr>
                <w:rFonts w:hint="eastAsia" w:ascii="宋体" w:hAnsi="宋体" w:eastAsia="宋体" w:cs="宋体"/>
                <w:kern w:val="0"/>
                <w:sz w:val="22"/>
              </w:rPr>
              <w:t>4) 12种调式；12种节奏</w:t>
            </w:r>
          </w:p>
          <w:p>
            <w:pPr>
              <w:widowControl/>
              <w:jc w:val="left"/>
              <w:rPr>
                <w:rFonts w:hint="eastAsia" w:ascii="宋体" w:hAnsi="宋体" w:eastAsia="宋体" w:cs="宋体"/>
                <w:kern w:val="0"/>
                <w:sz w:val="22"/>
              </w:rPr>
            </w:pPr>
            <w:r>
              <w:rPr>
                <w:rFonts w:hint="eastAsia" w:ascii="宋体" w:hAnsi="宋体" w:eastAsia="宋体" w:cs="宋体"/>
                <w:kern w:val="0"/>
                <w:sz w:val="22"/>
              </w:rPr>
              <w:t>5) 节拍速度为40-208拍/分；</w:t>
            </w:r>
          </w:p>
          <w:p>
            <w:pPr>
              <w:widowControl/>
              <w:jc w:val="left"/>
              <w:rPr>
                <w:rFonts w:hint="eastAsia" w:ascii="宋体" w:hAnsi="宋体" w:eastAsia="宋体" w:cs="宋体"/>
                <w:kern w:val="0"/>
                <w:sz w:val="22"/>
              </w:rPr>
            </w:pPr>
            <w:r>
              <w:rPr>
                <w:rFonts w:hint="eastAsia" w:ascii="宋体" w:hAnsi="宋体" w:eastAsia="宋体" w:cs="宋体"/>
                <w:kern w:val="0"/>
                <w:sz w:val="22"/>
              </w:rPr>
              <w:t>6) 内存有522首练习曲、示范曲；18首中外欣赏名曲</w:t>
            </w:r>
          </w:p>
          <w:p>
            <w:pPr>
              <w:widowControl/>
              <w:jc w:val="left"/>
              <w:rPr>
                <w:rFonts w:hint="eastAsia" w:ascii="宋体" w:hAnsi="宋体" w:eastAsia="宋体" w:cs="宋体"/>
                <w:kern w:val="0"/>
                <w:sz w:val="22"/>
              </w:rPr>
            </w:pPr>
            <w:r>
              <w:rPr>
                <w:rFonts w:hint="eastAsia" w:ascii="宋体" w:hAnsi="宋体" w:eastAsia="宋体" w:cs="宋体"/>
                <w:kern w:val="0"/>
                <w:sz w:val="22"/>
              </w:rPr>
              <w:t>7) 18分钟的录音</w:t>
            </w:r>
          </w:p>
          <w:p>
            <w:pPr>
              <w:widowControl/>
              <w:jc w:val="left"/>
              <w:rPr>
                <w:rFonts w:hint="eastAsia" w:ascii="宋体" w:hAnsi="宋体" w:eastAsia="宋体" w:cs="宋体"/>
                <w:kern w:val="0"/>
                <w:sz w:val="22"/>
              </w:rPr>
            </w:pPr>
            <w:r>
              <w:rPr>
                <w:rFonts w:hint="eastAsia" w:ascii="宋体" w:hAnsi="宋体" w:eastAsia="宋体" w:cs="宋体"/>
                <w:kern w:val="0"/>
                <w:sz w:val="22"/>
              </w:rPr>
              <w:t>8) 在有效音域内任意和弦演示</w:t>
            </w:r>
          </w:p>
          <w:p>
            <w:pPr>
              <w:widowControl/>
              <w:jc w:val="left"/>
              <w:rPr>
                <w:rFonts w:hint="eastAsia" w:ascii="宋体" w:hAnsi="宋体" w:eastAsia="宋体" w:cs="宋体"/>
                <w:kern w:val="0"/>
                <w:sz w:val="22"/>
              </w:rPr>
            </w:pPr>
            <w:r>
              <w:rPr>
                <w:rFonts w:hint="eastAsia" w:ascii="宋体" w:hAnsi="宋体" w:eastAsia="宋体" w:cs="宋体"/>
                <w:kern w:val="0"/>
                <w:sz w:val="22"/>
              </w:rPr>
              <w:t>9) 手控音符升降</w:t>
            </w:r>
          </w:p>
          <w:p>
            <w:pPr>
              <w:widowControl/>
              <w:jc w:val="left"/>
              <w:rPr>
                <w:rFonts w:hint="eastAsia" w:ascii="宋体" w:hAnsi="宋体" w:eastAsia="宋体" w:cs="宋体"/>
                <w:kern w:val="0"/>
                <w:sz w:val="22"/>
              </w:rPr>
            </w:pPr>
            <w:r>
              <w:rPr>
                <w:rFonts w:hint="eastAsia" w:ascii="宋体" w:hAnsi="宋体" w:eastAsia="宋体" w:cs="宋体"/>
                <w:kern w:val="0"/>
                <w:sz w:val="22"/>
              </w:rPr>
              <w:t xml:space="preserve">10) 3组谱表；音域G-a2 </w:t>
            </w:r>
          </w:p>
          <w:p>
            <w:pPr>
              <w:widowControl/>
              <w:jc w:val="left"/>
              <w:rPr>
                <w:rFonts w:ascii="宋体" w:hAnsi="宋体" w:eastAsia="宋体" w:cs="宋体"/>
                <w:kern w:val="0"/>
                <w:sz w:val="22"/>
              </w:rPr>
            </w:pPr>
            <w:r>
              <w:rPr>
                <w:rFonts w:hint="eastAsia" w:ascii="宋体" w:hAnsi="宋体" w:eastAsia="宋体" w:cs="宋体"/>
                <w:kern w:val="0"/>
                <w:sz w:val="22"/>
              </w:rPr>
              <w:t>11) 随时暂停、保留、声光同步显示功能</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音乐挂图</w:t>
            </w:r>
          </w:p>
        </w:tc>
        <w:tc>
          <w:tcPr>
            <w:tcW w:w="5387" w:type="dxa"/>
            <w:noWrap w:val="0"/>
            <w:vAlign w:val="center"/>
          </w:tcPr>
          <w:p>
            <w:pPr>
              <w:widowControl/>
              <w:jc w:val="left"/>
              <w:rPr>
                <w:rFonts w:ascii="宋体" w:hAnsi="宋体" w:eastAsia="宋体" w:cs="宋体"/>
                <w:kern w:val="0"/>
                <w:sz w:val="22"/>
              </w:rPr>
            </w:pPr>
            <w:r>
              <w:rPr>
                <w:rFonts w:hint="eastAsia" w:ascii="宋体" w:hAnsi="宋体" w:eastAsia="宋体" w:cs="宋体"/>
                <w:kern w:val="0"/>
                <w:sz w:val="22"/>
              </w:rPr>
              <w:t>音乐家挂图数量不小于25张, 铜版纸彩色印刷，规格：740×520mm，全对开。无纺布包装。音乐家包括赵元任、刘天华、贺渌汀、黄 自、冼星海、丁善德、聂耳、马思聪，外国音乐家；约翰·塞巴斯蒂安·巴赫、乔治·弗里德里希·亨德尔、约瑟夫·海顿、沃尔夫冈·阿玛多伊斯·莫扎特、路德维希·冯·貝多芬、弗朗兹·彼得·舒伯特、弗雷德里克·弗朗西斯克·肖邦、罗伯特·舒曼、朱塞佩·威尔第、约翰·施特劳斯、约翰内斯·勃拉姆斯、夏尔·卡米尔·圣桑、乔治·比才、彼得·伊里奇·柴科夫斯基、爱德华·格里格、克罗德·德彪西、德米特里·肖斯塔科维奇等。</w:t>
            </w:r>
          </w:p>
        </w:tc>
        <w:tc>
          <w:tcPr>
            <w:tcW w:w="709"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708" w:type="dxa"/>
            <w:noWrap w:val="0"/>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手风琴</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120BS三排簧、 产品介绍：120贝司三排簧新结构回声手风琴,具有独特的回声结构设计,绝妙的印象效果,模拟多种乐器音色,丰富了手风琴演奏功能</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爵士鼓</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1、材质：优质聚酯膜鼓皮，七层桦木鼓腔，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2、规格：22×14底鼓.16×16通鼓.14×5.5军鼓.13×11通鼓.12×10通鼓.10×8通鼓.8×8通鼓.镲 架配置：吊镲镲架二只.踩镲镲架一只.嗵鼓鼓架一只,军鼓架一只.底鼓踩锤一只.镲片：14"一片.16"一片.12"两片</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长笛</w:t>
            </w:r>
          </w:p>
        </w:tc>
        <w:tc>
          <w:tcPr>
            <w:tcW w:w="5387" w:type="dxa"/>
            <w:noWrap w:val="0"/>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16孔 闭孔加E键 镍银合金管身 表面镀银,皮垫纯手工打磨，回弹性好，极小压力即可达到极佳的气密效果，减少手指压力</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单簧管</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17键 胶木管身合金键镀镍，按键设计精确开孔，手感舒适，高音区嘹亮明朗；中音区音色纯净，清澈优美；低音区低沉，浑厚而丰满。</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吉它</w:t>
            </w:r>
          </w:p>
        </w:tc>
        <w:tc>
          <w:tcPr>
            <w:tcW w:w="5387" w:type="dxa"/>
            <w:noWrap w:val="0"/>
            <w:vAlign w:val="top"/>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面板为椴木胶合板，背侧板为椴木胶合板，琴柄为色木，黄铜音品。</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采用十二平均律。</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小字一组a音为440HZ，符合GB/T3451的要求。</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 各音的音准误差在正负20个音分之内。</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 弦器：半封闭弦钮。</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 木材经过干燥处理，含水律不超过15%。</w:t>
            </w:r>
          </w:p>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7. 金属部件防锈处理，指标符合QB/T1153-2006的相关规定。</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次中音萨克斯</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降B调，高音声F键键子管身黄铜 表面漆金，高密度，高弹性，抗磨，小巧便携；音量适中；音阶连续完整,一体成型，抗氧化能力强，经久耐用. </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乐谱架</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可折叠，便携式</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指甲及拨片</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与乐器配套</w:t>
            </w:r>
          </w:p>
        </w:tc>
        <w:tc>
          <w:tcPr>
            <w:tcW w:w="709" w:type="dxa"/>
            <w:noWrap w:val="0"/>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708" w:type="dxa"/>
            <w:noWrap w:val="0"/>
            <w:vAlign w:val="center"/>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外观：漆金 麟铜嘴子管，三立键活塞，不锈钢活塞，高档盒子。专业配件</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圆号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双排、F-Bb调、喇叭口分离、按键式放水口、音建系统连杆式4键、金漆喷涂. </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长号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变调Bb/F、黄铜材质、音建系统F键、金漆喷涂、活塞式放水口. </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漆金，降B调</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太阳号</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黄铜主体管 表面漆金 白铜变音管 号口直径605MM材质：黄铜    调性：bB     面处理：漆金            </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木琴</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37音,红木音板</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大镲</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40cm黄铜</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大军鼓</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鼓皮：优质鼓皮 鼓腔：铝合金 26X12,牢固耐用，拉力强，拆卸方便规格： Bass Drum 25"×12  工艺：白皮、喷沙氧化处理附件:鼓棒,背带</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行进小军鼓</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含一副鼓槌、背架、钥匙。直径≥355mm；高≥135mm； 高强度聚酯膜鼓皮，不锈钢高强度鼓圈，安装“沙带”外径37.5*15</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小锣</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1、材质：优质响铜；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2、规格：直径：220mm±5mm。主音集中，谐音丰富洪亮，无明显转音及颠音。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3、配件：附槌。</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堂鼓</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木框，牛皮鼓面，直径22cm，高33cm,带架</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铙</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铜制，直径27cm,铙面光、弧度适度、圆度准确、边缘厚度一致，中间的帽形大小和两面的音高要相同，两面为一副</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钹</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铜制，钹面直径15cm，碗径5cm～7cm，碗高1.5cm～2cm，钹面光、弧度适度、圆度准确、边缘厚度一致，中间的帽形大小和两面的音高要相同，两面为一副</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竖笛</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八孔，高级品，塑料</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葫芦丝</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中音C调、降B调</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26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笛子</w:t>
            </w:r>
          </w:p>
        </w:tc>
        <w:tc>
          <w:tcPr>
            <w:tcW w:w="5387" w:type="dxa"/>
            <w:noWrap w:val="0"/>
            <w:vAlign w:val="top"/>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竹制。</w:t>
            </w:r>
          </w:p>
        </w:tc>
        <w:tc>
          <w:tcPr>
            <w:tcW w:w="709"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8" w:type="dxa"/>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二胡</w:t>
            </w:r>
          </w:p>
        </w:tc>
        <w:tc>
          <w:tcPr>
            <w:tcW w:w="5387" w:type="dxa"/>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一级乌木木轸二胡，六角筒，蟒皮</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古筝</w:t>
            </w:r>
          </w:p>
        </w:tc>
        <w:tc>
          <w:tcPr>
            <w:tcW w:w="5387" w:type="dxa"/>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特氏古夷苏木，玉影长驻，荷塘鱼戏图案（含架）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锣</w:t>
            </w:r>
          </w:p>
        </w:tc>
        <w:tc>
          <w:tcPr>
            <w:tcW w:w="5387" w:type="dxa"/>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锣：苏锣、手锣  响铜</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26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大钹</w:t>
            </w:r>
          </w:p>
        </w:tc>
        <w:tc>
          <w:tcPr>
            <w:tcW w:w="5387" w:type="dxa"/>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镲：水镲、大钹   响铜</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打击乐</w:t>
            </w:r>
          </w:p>
        </w:tc>
        <w:tc>
          <w:tcPr>
            <w:tcW w:w="5387" w:type="dxa"/>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1.铃鼓：材质：木质圈、铃片、羊皮鼓面2、规格：铃鼓直径不小于200mm，鼓框宽度不小于40mm，木质圈厚度不小于5mm，单片铃片的厚度约0.5mm 3、结构：由鼓身、鼓面、小铃片组成.</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2小锣：铜锣用优质响铜制作，圆形，直径≥215mm，厚度约2mm，厚薄均匀，平整，无毛刺，无裂缝，表面抛光氧化处理并涂油。槌用硬杂木制成，表面无疤痕。带锣尺。</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3.蛙鸣器：木制，长≥200mm，直径不小于：40mm，手握鱼形，中间表面有螺纹，表面有两个圆孔，头部和尾部表面画有图案，配有一个刮棍</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4.梆子：材质：原木，尺寸：150*50*33mm,敲击时发出响亮声音,带敲击锤。</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5.双响筒：由筒体、手柄、击槌组成。筒体全长不小于180，筒体直径不小于40mm，手柄用硬杂木制成，手柄全长不小于160mm，击槌用硬杂木制成，击锤全长不小于160mm。产品表面涂树脂清漆，漆层光亮、均匀。敲打双响筒时，能发出两种频率不等的声音。</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6.卡巴萨：材质:手柄、上盖及下盖均为木质，串珠为金属制。直径约60mm，总长度约150mm 柄长约100mm用法：演奏卡巴萨的时候,手握卡巴萨手柄，来回摇晃，通过合金珠链摩擦发出声响，可根据摩擦速度的快慢来变化节奏。</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7.刮棒：刮棒：木制，长≥170mm，直径约20mm，表面有螺纹，配有一个刮棍。</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8.响板：全长不小于180mm，响板上片厚底不小于7mm，最长柄不小于90mm 颜色红蓝,由主板及两块副板连接组成。主板及副板均用实木制成。响板表面无疖疤、裂缝，漆层均匀、光亮。发音清脆响亮。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9.手摇铃：全长≥120mm，柄长约：100mm，铃铛直径约：25mm，木质手柄，两个一对。</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10.三角铁：材质尺寸要求：产品由三角铁及击棒组成。三角铁为三边形，边长约190mm；防锈，配击棒，表面镀铬，镀层均匀、光亮，有塑料扣有利于演奏使用。击棒直径≥4mm，击棒长度≥100，表面镀铬，终端有塑料包裹。制作精美，光洁，无毛刺。</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11.串铃：全长≥150mm，铃铛：13铃，木质手柄。</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12.专用中空定位塑料箱：材质:省级以上环保PP材质.工艺：中空吹塑定位，为了更好的固定乐器使用。规格不小于：400*100*300mm。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投标时必须提供由制造商经省级以上乐器质量监督检测中心出具的检测报告原件，须提供针对本项目的厂家授权函原件及售后服务承诺函原件。</w:t>
            </w:r>
          </w:p>
        </w:tc>
        <w:tc>
          <w:tcPr>
            <w:tcW w:w="709"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08" w:type="dxa"/>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五</w:t>
            </w:r>
          </w:p>
        </w:tc>
        <w:tc>
          <w:tcPr>
            <w:tcW w:w="8072" w:type="dxa"/>
            <w:gridSpan w:val="4"/>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舞蹈教室设备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钢琴</w:t>
            </w:r>
          </w:p>
        </w:tc>
        <w:tc>
          <w:tcPr>
            <w:tcW w:w="5387" w:type="dxa"/>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高度:：1180mm</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长度：1506mm</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宽度：590mm</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琴弦：采用进口原装德国罗丝劳（ROSLAU）琴钢丝，1低音弦长度：1143mm</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弦槌：采用日本进口呢毡，重量：约6－10克。</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干燥处理：木制件经过两年以上的自然风干，再根据不同的部件采用不同的烘干方式释放木材的内应力，呢毡经过防潮、防蛀、防霉处理。</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键盘盖：不带缓降装置。</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键盘：全音域88键，采用优质红松</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踏板：全功能三瓣式。</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外观涂装：底层为高密度聚脂板，再涂饰底漆及高硬度防裂亮光面漆。</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音乐节拍器</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机械式</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把杆</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要求，水曲柳木直径低于65mm，内穿15mm软钢。移动式可升降。</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落地镜</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优质防水镜面含边框</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辅材</w:t>
            </w:r>
          </w:p>
        </w:tc>
        <w:tc>
          <w:tcPr>
            <w:tcW w:w="5387" w:type="dxa"/>
            <w:noWrap w:val="0"/>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1.绿色环保专业型pvc舞蹈地胶，无毒无味，减震防滑，耐磨，不收缩变形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2.吸音吊顶矿棉吸音板；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3.吊顶格栅灯专业吸顶式冷光源灯具；灯具安装3道，每道最少4LED灯具。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4.2套教室（其中一套教室不含1序号1项）。</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17" w:type="dxa"/>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6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六面体凳</w:t>
            </w:r>
          </w:p>
        </w:tc>
        <w:tc>
          <w:tcPr>
            <w:tcW w:w="5387" w:type="dxa"/>
            <w:noWrap w:val="0"/>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1.六面体结构，外形尺寸不小于300×350×400mm。2．采用模具成型软塑料边条经机械封饰、配龄合型软防滑八角。3．可承重不小于60kg</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投标时须提供由制造商经省级以上质量监督检验中心出具的甲醛检测报告原件，须提供针对本项目的厂家授权函原件及售后服务承诺函原件。</w:t>
            </w:r>
          </w:p>
        </w:tc>
        <w:tc>
          <w:tcPr>
            <w:tcW w:w="709"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708" w:type="dxa"/>
            <w:noWrap w:val="0"/>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bl>
    <w:p>
      <w:pPr>
        <w:pStyle w:val="2"/>
        <w:ind w:left="0" w:leftChars="0" w:firstLine="0" w:firstLineChars="0"/>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（三）</w:t>
      </w:r>
      <w:r>
        <w:rPr>
          <w:rFonts w:hint="eastAsia" w:ascii="仿宋" w:hAnsi="仿宋" w:eastAsia="仿宋" w:cs="仿宋"/>
          <w:color w:val="000000"/>
          <w:kern w:val="0"/>
          <w:sz w:val="30"/>
          <w:szCs w:val="30"/>
          <w:lang w:eastAsia="zh-CN"/>
        </w:rPr>
        <w:t>采购标的执行标准：需执行的国家相关标准、规范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（四）服务标准、期限、效率等要求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1、交货期限：按照合同所签供货日期，供货、安装、调试完毕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2、提供7*24小时电话在线服务，应做到15分钟内响应，30分钟内解决问题（电话解决不了的疑难杂症需现场解决的24小时内到达现场，36小时内解决完毕）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3、提供3年免费质保服务。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（五）验收标准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lang w:eastAsia="zh-CN"/>
        </w:rPr>
        <w:t>按照</w:t>
      </w:r>
      <w:r>
        <w:rPr>
          <w:rFonts w:hint="eastAsia" w:ascii="仿宋" w:hAnsi="仿宋" w:eastAsia="仿宋" w:cs="仿宋"/>
          <w:color w:val="000000"/>
          <w:kern w:val="0"/>
          <w:sz w:val="30"/>
          <w:szCs w:val="30"/>
          <w:lang w:val="en-US" w:eastAsia="zh-CN"/>
        </w:rPr>
        <w:t>国家相关标准规范验收（与采购标的的执行标准一致，选填）。</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00"/>
        <w:jc w:val="left"/>
        <w:textAlignment w:val="auto"/>
        <w:outlineLvl w:val="9"/>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lang w:eastAsia="zh-CN"/>
        </w:rPr>
        <w:t>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cs="宋体" w:asciiTheme="majorEastAsia" w:hAnsiTheme="majorEastAsia" w:eastAsiaTheme="majorEastAsia"/>
          <w:b/>
          <w:kern w:val="0"/>
          <w:sz w:val="32"/>
          <w:szCs w:val="32"/>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项目名称：禹州市古城镇中心学校体美音教学设备采购项目</w:t>
            </w:r>
            <w:r>
              <w:rPr>
                <w:rFonts w:hint="eastAsia" w:cs="仿宋_GB2312" w:asciiTheme="minorEastAsia" w:hAnsiTheme="minorEastAsia"/>
                <w:szCs w:val="21"/>
                <w:lang w:val="en-US" w:eastAsia="zh-CN"/>
              </w:rPr>
              <w:t>(二次)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YZCG-T2019174-1</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禹州市古城镇中心学校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名称：禹州市教育体育局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 xml:space="preserve">代先生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31.3</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10</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11</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 xml:space="preserve">  15</w:t>
            </w:r>
            <w:bookmarkStart w:id="7" w:name="_GoBack"/>
            <w:bookmarkEnd w:id="7"/>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3"/>
        </w:numPr>
        <w:autoSpaceDE w:val="0"/>
        <w:autoSpaceDN w:val="0"/>
        <w:spacing w:line="360" w:lineRule="auto"/>
        <w:ind w:firstLineChars="0"/>
        <w:contextualSpacing/>
        <w:rPr>
          <w:rFonts w:ascii="ˎ̥" w:hAnsi="ˎ̥"/>
          <w:vanish/>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cs="仿宋_GB2312" w:asciiTheme="minorEastAsia" w:hAnsiTheme="minorEastAsia"/>
                <w:b/>
                <w:szCs w:val="21"/>
                <w:lang w:val="zh-CN"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both"/>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宋三简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tentative="0">
      <w:start w:val="6"/>
      <w:numFmt w:val="chineseCounting"/>
      <w:suff w:val="nothing"/>
      <w:lvlText w:val="%1、"/>
      <w:lvlJc w:val="left"/>
      <w:rPr>
        <w:rFonts w:hint="eastAsia"/>
      </w:r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807CAC4"/>
    <w:multiLevelType w:val="singleLevel"/>
    <w:tmpl w:val="3807CAC4"/>
    <w:lvl w:ilvl="0" w:tentative="0">
      <w:start w:val="1"/>
      <w:numFmt w:val="chineseCounting"/>
      <w:suff w:val="nothing"/>
      <w:lvlText w:val="%1、"/>
      <w:lvlJc w:val="left"/>
      <w:rPr>
        <w:rFonts w:hint="eastAsia"/>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817507C"/>
    <w:multiLevelType w:val="singleLevel"/>
    <w:tmpl w:val="6817507C"/>
    <w:lvl w:ilvl="0" w:tentative="0">
      <w:start w:val="2"/>
      <w:numFmt w:val="chineseCounting"/>
      <w:suff w:val="nothing"/>
      <w:lvlText w:val="（%1）"/>
      <w:lvlJc w:val="left"/>
      <w:rPr>
        <w:rFonts w:hint="eastAsia"/>
      </w:rPr>
    </w:lvl>
  </w:abstractNum>
  <w:abstractNum w:abstractNumId="1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14"/>
  </w:num>
  <w:num w:numId="7">
    <w:abstractNumId w:val="18"/>
  </w:num>
  <w:num w:numId="8">
    <w:abstractNumId w:val="12"/>
  </w:num>
  <w:num w:numId="9">
    <w:abstractNumId w:val="19"/>
  </w:num>
  <w:num w:numId="10">
    <w:abstractNumId w:val="10"/>
  </w:num>
  <w:num w:numId="11">
    <w:abstractNumId w:val="5"/>
  </w:num>
  <w:num w:numId="12">
    <w:abstractNumId w:val="11"/>
  </w:num>
  <w:num w:numId="13">
    <w:abstractNumId w:val="13"/>
  </w:num>
  <w:num w:numId="14">
    <w:abstractNumId w:val="22"/>
  </w:num>
  <w:num w:numId="15">
    <w:abstractNumId w:val="9"/>
  </w:num>
  <w:num w:numId="16">
    <w:abstractNumId w:val="6"/>
  </w:num>
  <w:num w:numId="17">
    <w:abstractNumId w:val="20"/>
  </w:num>
  <w:num w:numId="18">
    <w:abstractNumId w:val="4"/>
  </w:num>
  <w:num w:numId="19">
    <w:abstractNumId w:val="15"/>
  </w:num>
  <w:num w:numId="20">
    <w:abstractNumId w:val="8"/>
  </w:num>
  <w:num w:numId="21">
    <w:abstractNumId w:val="21"/>
  </w:num>
  <w:num w:numId="22">
    <w:abstractNumId w:val="23"/>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1C1A8A"/>
    <w:rsid w:val="16B051B6"/>
    <w:rsid w:val="175E24E1"/>
    <w:rsid w:val="17A4256D"/>
    <w:rsid w:val="17B078B6"/>
    <w:rsid w:val="18C216D0"/>
    <w:rsid w:val="197B011F"/>
    <w:rsid w:val="198F1D07"/>
    <w:rsid w:val="19DB09FD"/>
    <w:rsid w:val="1A50262B"/>
    <w:rsid w:val="1A6D388D"/>
    <w:rsid w:val="1A907281"/>
    <w:rsid w:val="1B1C3903"/>
    <w:rsid w:val="1B70335D"/>
    <w:rsid w:val="1B933962"/>
    <w:rsid w:val="1BC27E34"/>
    <w:rsid w:val="1C317F37"/>
    <w:rsid w:val="1C527EEE"/>
    <w:rsid w:val="1C611338"/>
    <w:rsid w:val="1CB36692"/>
    <w:rsid w:val="1D90357B"/>
    <w:rsid w:val="1EAC0576"/>
    <w:rsid w:val="1F457DEB"/>
    <w:rsid w:val="1F4F76D7"/>
    <w:rsid w:val="1F5E25BF"/>
    <w:rsid w:val="204C3CC9"/>
    <w:rsid w:val="20ED0E50"/>
    <w:rsid w:val="20FF154F"/>
    <w:rsid w:val="21DF17AC"/>
    <w:rsid w:val="22B643D4"/>
    <w:rsid w:val="2301785C"/>
    <w:rsid w:val="23177121"/>
    <w:rsid w:val="239565AE"/>
    <w:rsid w:val="240F6C6D"/>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252EE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761A5"/>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D054B"/>
    <w:rsid w:val="39073CCD"/>
    <w:rsid w:val="391E6950"/>
    <w:rsid w:val="397D27BB"/>
    <w:rsid w:val="3A1A525E"/>
    <w:rsid w:val="3B380893"/>
    <w:rsid w:val="3C175755"/>
    <w:rsid w:val="3C725167"/>
    <w:rsid w:val="3C9839FA"/>
    <w:rsid w:val="3CB04E80"/>
    <w:rsid w:val="3CC67CD4"/>
    <w:rsid w:val="3D374F84"/>
    <w:rsid w:val="3D96637E"/>
    <w:rsid w:val="3DC372EE"/>
    <w:rsid w:val="3DEC2498"/>
    <w:rsid w:val="3E4F494F"/>
    <w:rsid w:val="3E86084D"/>
    <w:rsid w:val="3FAD3FCA"/>
    <w:rsid w:val="40BE3049"/>
    <w:rsid w:val="422721F4"/>
    <w:rsid w:val="42547D8B"/>
    <w:rsid w:val="42F23437"/>
    <w:rsid w:val="43663E29"/>
    <w:rsid w:val="44052193"/>
    <w:rsid w:val="444769AF"/>
    <w:rsid w:val="44EA4606"/>
    <w:rsid w:val="458C667A"/>
    <w:rsid w:val="460A5375"/>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710915"/>
    <w:rsid w:val="4CE713A1"/>
    <w:rsid w:val="4D005CCE"/>
    <w:rsid w:val="4D550000"/>
    <w:rsid w:val="4D600780"/>
    <w:rsid w:val="4DE45808"/>
    <w:rsid w:val="4E9448CD"/>
    <w:rsid w:val="4F374C6E"/>
    <w:rsid w:val="4FF65309"/>
    <w:rsid w:val="50560813"/>
    <w:rsid w:val="505F0174"/>
    <w:rsid w:val="50A050A3"/>
    <w:rsid w:val="51352836"/>
    <w:rsid w:val="51A13899"/>
    <w:rsid w:val="51F90B1B"/>
    <w:rsid w:val="520C2784"/>
    <w:rsid w:val="52581E68"/>
    <w:rsid w:val="528771C6"/>
    <w:rsid w:val="52904857"/>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9B940B6"/>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DD349C"/>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27458B1"/>
    <w:rsid w:val="728905F6"/>
    <w:rsid w:val="737E090F"/>
    <w:rsid w:val="740747C3"/>
    <w:rsid w:val="741756AE"/>
    <w:rsid w:val="741A563C"/>
    <w:rsid w:val="751414C1"/>
    <w:rsid w:val="755446EC"/>
    <w:rsid w:val="755E1E93"/>
    <w:rsid w:val="75752706"/>
    <w:rsid w:val="75AB4839"/>
    <w:rsid w:val="76015A01"/>
    <w:rsid w:val="76721B44"/>
    <w:rsid w:val="767C5E46"/>
    <w:rsid w:val="76B625A7"/>
    <w:rsid w:val="770C5354"/>
    <w:rsid w:val="78123710"/>
    <w:rsid w:val="78143BC7"/>
    <w:rsid w:val="787D7581"/>
    <w:rsid w:val="78AF68A0"/>
    <w:rsid w:val="78C37659"/>
    <w:rsid w:val="790B56C3"/>
    <w:rsid w:val="7AA424FA"/>
    <w:rsid w:val="7B0155BF"/>
    <w:rsid w:val="7BC16393"/>
    <w:rsid w:val="7C1D0C87"/>
    <w:rsid w:val="7D0543E8"/>
    <w:rsid w:val="7D426DE3"/>
    <w:rsid w:val="7D7A79B6"/>
    <w:rsid w:val="7DE1586C"/>
    <w:rsid w:val="7E4C7A10"/>
    <w:rsid w:val="7E4D2297"/>
    <w:rsid w:val="7E583278"/>
    <w:rsid w:val="7E862BBC"/>
    <w:rsid w:val="7EB52D4A"/>
    <w:rsid w:val="7EC43622"/>
    <w:rsid w:val="7ECA7D27"/>
    <w:rsid w:val="7EEC1A19"/>
    <w:rsid w:val="7EF735F0"/>
    <w:rsid w:val="7F0867B7"/>
    <w:rsid w:val="7F0A2998"/>
    <w:rsid w:val="7F0B0D76"/>
    <w:rsid w:val="7F130E11"/>
    <w:rsid w:val="7F407D78"/>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9</TotalTime>
  <ScaleCrop>false</ScaleCrop>
  <LinksUpToDate>false</LinksUpToDate>
  <CharactersWithSpaces>34645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2019-09-18T03:39:26Z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