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color w:val="C00000"/>
          <w:kern w:val="2"/>
          <w:sz w:val="52"/>
          <w:szCs w:val="52"/>
        </w:rPr>
      </w:pPr>
    </w:p>
    <w:p>
      <w:pPr>
        <w:pStyle w:val="2"/>
        <w:jc w:val="center"/>
        <w:rPr>
          <w:rFonts w:hint="eastAsia" w:eastAsia="宋体"/>
          <w:lang w:eastAsia="zh-CN"/>
        </w:rPr>
      </w:pPr>
      <w:r>
        <w:rPr>
          <w:rFonts w:hint="eastAsia" w:ascii="Calibri" w:hAnsi="宋体" w:cs="宋体"/>
          <w:b/>
          <w:kern w:val="2"/>
          <w:sz w:val="52"/>
          <w:szCs w:val="52"/>
          <w:lang w:eastAsia="zh-CN"/>
        </w:rPr>
        <w:t>尚集镇街区改造项目</w:t>
      </w: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214</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spacing w:line="360" w:lineRule="auto"/>
        <w:rPr>
          <w:rFonts w:ascii="黑体" w:hAnsi="宋体" w:eastAsia="黑体" w:cs="Courier New"/>
          <w:color w:val="000000"/>
          <w:kern w:val="2"/>
          <w:sz w:val="30"/>
          <w:szCs w:val="30"/>
        </w:rPr>
      </w:pPr>
    </w:p>
    <w:p>
      <w:pPr>
        <w:pStyle w:val="2"/>
        <w:ind w:firstLine="340"/>
      </w:pPr>
    </w:p>
    <w:p>
      <w:pPr>
        <w:spacing w:line="360" w:lineRule="auto"/>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   标   人： </w:t>
      </w:r>
      <w:r>
        <w:rPr>
          <w:rFonts w:hint="eastAsia" w:ascii="黑体" w:hAnsi="宋体" w:eastAsia="黑体" w:cs="Courier New"/>
          <w:color w:val="000000"/>
          <w:kern w:val="2"/>
          <w:sz w:val="28"/>
          <w:szCs w:val="28"/>
          <w:lang w:val="en-US" w:eastAsia="zh-CN"/>
        </w:rPr>
        <w:t>许昌市城乡一体化示范区建设环保局</w:t>
      </w:r>
      <w:r>
        <w:rPr>
          <w:rFonts w:hint="eastAsia" w:ascii="黑体" w:hAnsi="宋体" w:eastAsia="黑体" w:cs="Courier New"/>
          <w:color w:val="000000"/>
          <w:kern w:val="2"/>
          <w:sz w:val="28"/>
          <w:szCs w:val="28"/>
        </w:rPr>
        <w:t xml:space="preserve">    </w:t>
      </w: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招标代理机构： </w:t>
      </w:r>
      <w:r>
        <w:rPr>
          <w:rFonts w:hint="eastAsia" w:ascii="黑体" w:hAnsi="宋体" w:eastAsia="黑体" w:cs="Courier New"/>
          <w:color w:val="000000"/>
          <w:kern w:val="2"/>
          <w:sz w:val="28"/>
          <w:szCs w:val="28"/>
          <w:lang w:eastAsia="zh-CN"/>
        </w:rPr>
        <w:t>方大国际</w:t>
      </w:r>
      <w:r>
        <w:rPr>
          <w:rFonts w:hint="eastAsia" w:ascii="黑体" w:hAnsi="宋体" w:eastAsia="黑体" w:cs="Courier New"/>
          <w:color w:val="000000"/>
          <w:kern w:val="2"/>
          <w:sz w:val="28"/>
          <w:szCs w:val="28"/>
        </w:rPr>
        <w:t>工程</w:t>
      </w:r>
      <w:r>
        <w:rPr>
          <w:rFonts w:hint="eastAsia" w:ascii="黑体" w:hAnsi="宋体" w:eastAsia="黑体" w:cs="Courier New"/>
          <w:color w:val="000000"/>
          <w:kern w:val="2"/>
          <w:sz w:val="28"/>
          <w:szCs w:val="28"/>
          <w:lang w:eastAsia="zh-CN"/>
        </w:rPr>
        <w:t>咨询股份</w:t>
      </w:r>
      <w:r>
        <w:rPr>
          <w:rFonts w:hint="eastAsia" w:ascii="黑体" w:hAnsi="宋体" w:eastAsia="黑体" w:cs="Courier New"/>
          <w:color w:val="000000"/>
          <w:kern w:val="2"/>
          <w:sz w:val="28"/>
          <w:szCs w:val="28"/>
        </w:rPr>
        <w:t>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日        期：二○一九年</w:t>
      </w:r>
      <w:r>
        <w:rPr>
          <w:rFonts w:hint="eastAsia" w:ascii="黑体" w:hAnsi="宋体" w:eastAsia="黑体"/>
          <w:color w:val="000000"/>
          <w:kern w:val="2"/>
          <w:sz w:val="28"/>
          <w:szCs w:val="28"/>
          <w:lang w:eastAsia="zh-CN"/>
        </w:rPr>
        <w:t>九</w:t>
      </w:r>
      <w:r>
        <w:rPr>
          <w:rFonts w:hint="eastAsia" w:ascii="黑体" w:hAnsi="宋体" w:eastAsia="黑体"/>
          <w:color w:val="000000"/>
          <w:kern w:val="2"/>
          <w:sz w:val="28"/>
          <w:szCs w:val="28"/>
        </w:rPr>
        <w:t xml:space="preserve">月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3140"/>
      <w:bookmarkStart w:id="2" w:name="_Toc18890"/>
      <w:bookmarkStart w:id="3" w:name="_Toc13718"/>
      <w:bookmarkStart w:id="4" w:name="_Toc22061"/>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214许昌市城乡一体化示范区建设环保局</w:t>
      </w:r>
      <w:r>
        <w:rPr>
          <w:rFonts w:hint="eastAsia" w:hAnsi="宋体" w:cs="宋体"/>
          <w:b/>
          <w:sz w:val="32"/>
          <w:szCs w:val="32"/>
          <w:lang w:eastAsia="zh-CN"/>
        </w:rPr>
        <w:t>“尚集镇街区改造项目”</w:t>
      </w:r>
      <w:r>
        <w:rPr>
          <w:rFonts w:hint="eastAsia" w:hAnsi="宋体" w:cs="宋体"/>
          <w:b/>
          <w:sz w:val="32"/>
          <w:szCs w:val="32"/>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lang w:eastAsia="zh-CN"/>
        </w:rPr>
        <w:t>尚集镇街区改造项目</w:t>
      </w:r>
      <w:r>
        <w:rPr>
          <w:rFonts w:hint="eastAsia" w:hAnsi="宋体" w:cs="宋体"/>
          <w:sz w:val="24"/>
          <w:szCs w:val="24"/>
        </w:rPr>
        <w:t>，已由</w:t>
      </w:r>
      <w:r>
        <w:rPr>
          <w:rFonts w:hint="eastAsia" w:hAnsi="宋体" w:cs="宋体"/>
          <w:sz w:val="24"/>
          <w:szCs w:val="24"/>
          <w:lang w:eastAsia="zh-CN"/>
        </w:rPr>
        <w:t>相关部门</w:t>
      </w:r>
      <w:r>
        <w:rPr>
          <w:rFonts w:hint="eastAsia" w:hAnsi="宋体" w:cs="宋体"/>
          <w:sz w:val="24"/>
          <w:szCs w:val="24"/>
        </w:rPr>
        <w:t>批准建设，招标人为</w:t>
      </w:r>
      <w:r>
        <w:rPr>
          <w:rFonts w:hint="eastAsia" w:hAnsi="宋体" w:cs="宋体"/>
          <w:sz w:val="24"/>
          <w:szCs w:val="24"/>
          <w:lang w:val="en-US" w:eastAsia="zh-CN"/>
        </w:rPr>
        <w:t>许昌市城乡一体化示范区建设环保局</w:t>
      </w:r>
      <w:r>
        <w:rPr>
          <w:rFonts w:hint="eastAsia" w:hAnsi="宋体" w:cs="宋体"/>
          <w:sz w:val="24"/>
          <w:szCs w:val="24"/>
        </w:rPr>
        <w:t xml:space="preserve"> ，建设资金为</w:t>
      </w:r>
      <w:r>
        <w:rPr>
          <w:rFonts w:hint="eastAsia" w:hAnsi="宋体" w:cs="宋体"/>
          <w:sz w:val="24"/>
          <w:szCs w:val="24"/>
          <w:lang w:eastAsia="zh-CN"/>
        </w:rPr>
        <w:t>财政资金</w:t>
      </w:r>
      <w:r>
        <w:rPr>
          <w:rFonts w:hint="eastAsia" w:hAnsi="宋体" w:cs="宋体"/>
          <w:sz w:val="24"/>
          <w:szCs w:val="24"/>
        </w:rPr>
        <w:t>，项目出资比例为100%。项目已具备招标条件，现对该项目的进行公开招标。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 xml:space="preserve">214 </w:t>
      </w:r>
    </w:p>
    <w:p>
      <w:pPr>
        <w:spacing w:line="560" w:lineRule="exact"/>
        <w:ind w:firstLine="480" w:firstLineChars="200"/>
        <w:rPr>
          <w:rFonts w:hint="eastAsia" w:hAnsi="宋体" w:cs="宋体"/>
          <w:sz w:val="24"/>
          <w:szCs w:val="24"/>
          <w:highlight w:val="yellow"/>
        </w:rPr>
      </w:pPr>
      <w:r>
        <w:rPr>
          <w:rFonts w:hint="eastAsia" w:hAnsi="宋体" w:cs="宋体"/>
          <w:sz w:val="24"/>
          <w:szCs w:val="24"/>
        </w:rPr>
        <w:t>2.2项目概况</w:t>
      </w:r>
      <w:r>
        <w:rPr>
          <w:rFonts w:hint="eastAsia" w:hAnsi="宋体" w:cs="宋体"/>
          <w:sz w:val="24"/>
          <w:szCs w:val="24"/>
          <w:highlight w:val="none"/>
          <w:shd w:val="clear" w:color="auto" w:fill="auto"/>
        </w:rPr>
        <w:t>：</w:t>
      </w:r>
      <w:r>
        <w:rPr>
          <w:rFonts w:hint="eastAsia" w:hAnsi="宋体" w:cs="宋体"/>
          <w:sz w:val="24"/>
          <w:szCs w:val="24"/>
          <w:highlight w:val="none"/>
          <w:shd w:val="clear" w:color="auto" w:fill="auto"/>
          <w:lang w:eastAsia="zh-CN"/>
        </w:rPr>
        <w:t>尚集</w:t>
      </w:r>
      <w:r>
        <w:rPr>
          <w:rFonts w:hint="eastAsia" w:hAnsi="宋体" w:cs="宋体"/>
          <w:sz w:val="24"/>
          <w:szCs w:val="24"/>
          <w:highlight w:val="none"/>
          <w:shd w:val="clear" w:color="auto" w:fill="auto"/>
        </w:rPr>
        <w:t>镇政府以东至饮马河桥段</w:t>
      </w:r>
      <w:r>
        <w:rPr>
          <w:rFonts w:hint="eastAsia" w:hAnsi="宋体" w:cs="宋体"/>
          <w:sz w:val="24"/>
          <w:szCs w:val="24"/>
          <w:highlight w:val="none"/>
          <w:shd w:val="clear" w:color="auto" w:fill="auto"/>
          <w:lang w:eastAsia="zh-CN"/>
        </w:rPr>
        <w:t>及</w:t>
      </w:r>
      <w:r>
        <w:rPr>
          <w:rFonts w:hint="eastAsia" w:hAnsi="宋体" w:cs="宋体"/>
          <w:sz w:val="24"/>
          <w:szCs w:val="24"/>
          <w:highlight w:val="none"/>
          <w:shd w:val="clear" w:color="auto" w:fill="auto"/>
        </w:rPr>
        <w:t>镇政府西至文峰路段，</w:t>
      </w:r>
      <w:r>
        <w:rPr>
          <w:rFonts w:hint="eastAsia" w:hAnsi="宋体" w:cs="宋体"/>
          <w:sz w:val="24"/>
          <w:szCs w:val="24"/>
          <w:highlight w:val="none"/>
          <w:shd w:val="clear" w:color="auto" w:fill="auto"/>
          <w:lang w:eastAsia="zh-CN"/>
        </w:rPr>
        <w:t>拆除门台混凝土，</w:t>
      </w:r>
      <w:r>
        <w:rPr>
          <w:rFonts w:hint="eastAsia" w:hAnsi="宋体" w:cs="宋体"/>
          <w:sz w:val="24"/>
          <w:szCs w:val="24"/>
          <w:highlight w:val="none"/>
          <w:shd w:val="clear" w:color="auto" w:fill="auto"/>
        </w:rPr>
        <w:t>局部需摊铺碎石进行基础找平补强5684.50平方，摊</w:t>
      </w:r>
      <w:bookmarkStart w:id="142" w:name="_GoBack"/>
      <w:bookmarkEnd w:id="142"/>
      <w:r>
        <w:rPr>
          <w:rFonts w:hint="eastAsia" w:hAnsi="宋体" w:cs="宋体"/>
          <w:sz w:val="24"/>
          <w:szCs w:val="24"/>
          <w:highlight w:val="none"/>
          <w:shd w:val="clear" w:color="auto" w:fill="auto"/>
        </w:rPr>
        <w:t xml:space="preserve">铺5厘米厚沥青油面13781.6平方米，对道路南侧盖板沟进行升高，更换部分盖板，对北侧两个污水横流的小街巷新建盖板沟。 </w:t>
      </w:r>
    </w:p>
    <w:p>
      <w:pPr>
        <w:spacing w:line="560" w:lineRule="exact"/>
        <w:ind w:firstLine="480" w:firstLineChars="200"/>
        <w:rPr>
          <w:rFonts w:hAnsi="宋体" w:cs="宋体"/>
          <w:color w:val="auto"/>
          <w:sz w:val="24"/>
          <w:szCs w:val="24"/>
        </w:rPr>
      </w:pPr>
      <w:r>
        <w:rPr>
          <w:rFonts w:hint="eastAsia" w:hAnsi="宋体" w:cs="宋体"/>
          <w:color w:val="auto"/>
          <w:sz w:val="24"/>
          <w:szCs w:val="24"/>
        </w:rPr>
        <w:t>2.3招标控制价为：</w:t>
      </w:r>
      <w:r>
        <w:rPr>
          <w:rFonts w:hint="eastAsia" w:hAnsi="宋体" w:cs="宋体"/>
          <w:color w:val="auto"/>
          <w:sz w:val="24"/>
          <w:szCs w:val="24"/>
          <w:lang w:val="en-US" w:eastAsia="zh-CN"/>
        </w:rPr>
        <w:t xml:space="preserve"> 2538033.26</w:t>
      </w:r>
      <w:r>
        <w:rPr>
          <w:rFonts w:hint="eastAsia" w:hAnsi="宋体" w:cs="宋体"/>
          <w:color w:val="auto"/>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color w:val="auto"/>
          <w:szCs w:val="24"/>
        </w:rPr>
        <w:t>2.4招标范围： 招标范围为招标文件、</w:t>
      </w:r>
      <w:r>
        <w:rPr>
          <w:rFonts w:hint="eastAsia"/>
          <w:szCs w:val="24"/>
        </w:rPr>
        <w:t>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一</w:t>
      </w:r>
      <w:r>
        <w:rPr>
          <w:rFonts w:hint="eastAsia" w:hAnsi="宋体" w:cs="宋体"/>
          <w:sz w:val="24"/>
          <w:szCs w:val="24"/>
        </w:rPr>
        <w:t>个标段</w:t>
      </w:r>
    </w:p>
    <w:p>
      <w:pPr>
        <w:spacing w:line="56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sz w:val="24"/>
          <w:szCs w:val="24"/>
        </w:rPr>
        <w:t>2.6计划工期：</w:t>
      </w:r>
      <w:r>
        <w:rPr>
          <w:rFonts w:hint="eastAsia" w:hAnsi="宋体" w:cs="宋体"/>
          <w:color w:val="000000" w:themeColor="text1"/>
          <w:sz w:val="24"/>
          <w:szCs w:val="24"/>
          <w:lang w:val="en-US" w:eastAsia="zh-CN"/>
          <w14:textFill>
            <w14:solidFill>
              <w14:schemeClr w14:val="tx1"/>
            </w14:solidFill>
          </w14:textFill>
        </w:rPr>
        <w:t>15</w:t>
      </w:r>
      <w:r>
        <w:rPr>
          <w:rFonts w:hint="eastAsia" w:hAnsi="宋体" w:cs="宋体"/>
          <w:color w:val="000000" w:themeColor="text1"/>
          <w:sz w:val="24"/>
          <w:szCs w:val="24"/>
          <w14:textFill>
            <w14:solidFill>
              <w14:schemeClr w14:val="tx1"/>
            </w14:solidFill>
          </w14:textFill>
        </w:rPr>
        <w:t>日历天</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w:t>
      </w:r>
      <w:r>
        <w:rPr>
          <w:rFonts w:hint="eastAsia" w:hAnsi="宋体"/>
          <w:sz w:val="24"/>
          <w:lang w:eastAsia="zh-CN"/>
        </w:rPr>
        <w:t>叁</w:t>
      </w:r>
      <w:r>
        <w:rPr>
          <w:rFonts w:hint="eastAsia" w:hAnsi="宋体"/>
          <w:sz w:val="24"/>
        </w:rPr>
        <w:t>级及以上资质，并在人员、设备、资金等方面具有相应的施工能力。拟派项目负责人须具备</w:t>
      </w:r>
      <w:r>
        <w:rPr>
          <w:rFonts w:hint="eastAsia" w:hAnsi="宋体"/>
          <w:sz w:val="24"/>
          <w:lang w:eastAsia="zh-CN"/>
        </w:rPr>
        <w:t>贰</w:t>
      </w:r>
      <w:r>
        <w:rPr>
          <w:rFonts w:hint="eastAsia" w:hAnsi="宋体"/>
          <w:sz w:val="24"/>
        </w:rPr>
        <w:t>级市政公用工程专业注册建造师执业资格、项目经理安全生产考核合格证，且未担任其他在施建设工程项目的项目负责人。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本项目为全流程电子化交易项目，须提交电子投标文件和一份电子介质（U盘）存储的投标文件。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投标文件提交的截止时间及开标时间：2019年</w:t>
      </w:r>
      <w:r>
        <w:rPr>
          <w:rFonts w:hint="eastAsia" w:hAnsi="宋体"/>
          <w:bCs/>
          <w:sz w:val="24"/>
          <w:lang w:val="en-US" w:eastAsia="zh-CN"/>
        </w:rPr>
        <w:t>10</w:t>
      </w:r>
      <w:r>
        <w:rPr>
          <w:rFonts w:hint="eastAsia" w:hAnsi="宋体"/>
          <w:bCs/>
          <w:sz w:val="24"/>
        </w:rPr>
        <w:t>月</w:t>
      </w:r>
      <w:r>
        <w:rPr>
          <w:rFonts w:hint="eastAsia" w:hAnsi="宋体"/>
          <w:bCs/>
          <w:sz w:val="24"/>
          <w:lang w:val="en-US" w:eastAsia="zh-CN"/>
        </w:rPr>
        <w:t>10</w:t>
      </w:r>
      <w:r>
        <w:rPr>
          <w:rFonts w:hint="eastAsia" w:hAnsi="宋体"/>
          <w:bCs/>
          <w:sz w:val="24"/>
        </w:rPr>
        <w:t>日</w:t>
      </w:r>
      <w:r>
        <w:rPr>
          <w:rFonts w:hint="eastAsia" w:hAnsi="宋体"/>
          <w:bCs/>
          <w:sz w:val="24"/>
          <w:lang w:val="en-US" w:eastAsia="zh-CN"/>
        </w:rPr>
        <w:t>9</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3</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szCs w:val="24"/>
          <w:lang w:val="en-US" w:eastAsia="zh-CN"/>
        </w:rPr>
        <w:t>许昌市城乡一体化示范区建设环保局</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联系人：</w:t>
      </w:r>
      <w:r>
        <w:rPr>
          <w:rFonts w:hint="eastAsia" w:hAnsi="宋体" w:cs="宋体"/>
          <w:sz w:val="24"/>
          <w:lang w:eastAsia="zh-CN"/>
        </w:rPr>
        <w:t>牛先生</w:t>
      </w:r>
    </w:p>
    <w:p>
      <w:pPr>
        <w:adjustRightInd w:val="0"/>
        <w:snapToGrid w:val="0"/>
        <w:spacing w:line="460" w:lineRule="exact"/>
        <w:ind w:firstLine="240" w:firstLineChars="100"/>
        <w:rPr>
          <w:rFonts w:hint="eastAsia" w:hAnsi="宋体" w:cs="宋体"/>
          <w:sz w:val="24"/>
          <w:lang w:val="en-US" w:eastAsia="zh-CN"/>
        </w:rPr>
      </w:pPr>
      <w:r>
        <w:rPr>
          <w:rFonts w:hint="eastAsia" w:hAnsi="宋体" w:cs="宋体"/>
          <w:sz w:val="24"/>
        </w:rPr>
        <w:t>联系电话：</w:t>
      </w:r>
      <w:r>
        <w:rPr>
          <w:rFonts w:hint="eastAsia" w:hAnsi="宋体" w:cs="宋体"/>
          <w:sz w:val="24"/>
          <w:lang w:val="en-US" w:eastAsia="zh-CN"/>
        </w:rPr>
        <w:t>0374-3190065</w:t>
      </w:r>
    </w:p>
    <w:p>
      <w:pPr>
        <w:adjustRightInd w:val="0"/>
        <w:snapToGrid w:val="0"/>
        <w:spacing w:line="460" w:lineRule="exact"/>
        <w:rPr>
          <w:rFonts w:hint="eastAsia" w:hAnsi="宋体" w:cs="宋体"/>
          <w:color w:val="000000"/>
          <w:sz w:val="24"/>
          <w:szCs w:val="24"/>
        </w:rPr>
      </w:pPr>
      <w:r>
        <w:rPr>
          <w:rFonts w:hint="eastAsia" w:hAnsi="宋体" w:cs="宋体"/>
          <w:color w:val="000000"/>
          <w:sz w:val="24"/>
          <w:szCs w:val="24"/>
        </w:rPr>
        <w:t xml:space="preserve">  代理机构：</w:t>
      </w:r>
      <w:r>
        <w:rPr>
          <w:rFonts w:hint="eastAsia" w:hAnsi="宋体" w:cs="宋体"/>
          <w:color w:val="000000"/>
          <w:sz w:val="24"/>
          <w:szCs w:val="24"/>
          <w:lang w:eastAsia="zh-CN"/>
        </w:rPr>
        <w:t>方大国际工程咨询股份有限公司</w:t>
      </w:r>
    </w:p>
    <w:p>
      <w:pPr>
        <w:adjustRightInd w:val="0"/>
        <w:snapToGrid w:val="0"/>
        <w:spacing w:line="460" w:lineRule="exact"/>
        <w:rPr>
          <w:rFonts w:hint="eastAsia"/>
          <w:color w:val="000000"/>
          <w:sz w:val="24"/>
          <w:szCs w:val="22"/>
        </w:rPr>
      </w:pPr>
      <w:r>
        <w:rPr>
          <w:rFonts w:hint="eastAsia" w:hAnsi="宋体" w:cs="宋体"/>
          <w:color w:val="000000"/>
          <w:sz w:val="24"/>
          <w:szCs w:val="24"/>
        </w:rPr>
        <w:t xml:space="preserve">  </w:t>
      </w:r>
      <w:r>
        <w:rPr>
          <w:rFonts w:hint="eastAsia"/>
          <w:color w:val="000000"/>
          <w:sz w:val="24"/>
          <w:szCs w:val="22"/>
        </w:rPr>
        <w:t>地    址：许昌市建安大道与百花北路交叉口向南200米</w:t>
      </w:r>
    </w:p>
    <w:p>
      <w:pPr>
        <w:adjustRightInd w:val="0"/>
        <w:snapToGrid w:val="0"/>
        <w:spacing w:line="460" w:lineRule="exact"/>
        <w:rPr>
          <w:rFonts w:hint="eastAsia" w:hAnsi="宋体" w:cs="宋体"/>
          <w:color w:val="000000"/>
          <w:sz w:val="24"/>
          <w:szCs w:val="24"/>
          <w:lang w:val="en-US" w:eastAsia="zh-CN"/>
        </w:rPr>
      </w:pPr>
      <w:r>
        <w:rPr>
          <w:rFonts w:hint="eastAsia" w:hAnsi="宋体" w:cs="宋体"/>
          <w:color w:val="000000"/>
          <w:sz w:val="24"/>
          <w:szCs w:val="24"/>
        </w:rPr>
        <w:t xml:space="preserve">  联 系 人：</w:t>
      </w:r>
      <w:r>
        <w:rPr>
          <w:rFonts w:hint="eastAsia" w:hAnsi="宋体" w:cs="宋体"/>
          <w:color w:val="000000"/>
          <w:sz w:val="24"/>
          <w:szCs w:val="24"/>
          <w:lang w:val="en-US" w:eastAsia="zh-CN"/>
        </w:rPr>
        <w:t>李苗苗</w:t>
      </w:r>
    </w:p>
    <w:p>
      <w:pPr>
        <w:adjustRightInd w:val="0"/>
        <w:snapToGrid w:val="0"/>
        <w:spacing w:line="460" w:lineRule="exact"/>
        <w:rPr>
          <w:rFonts w:hint="default" w:hAnsi="宋体" w:eastAsia="宋体" w:cs="宋体"/>
          <w:color w:val="000000"/>
          <w:sz w:val="24"/>
          <w:szCs w:val="24"/>
          <w:lang w:val="en-US" w:eastAsia="zh-CN"/>
        </w:rPr>
      </w:pPr>
      <w:r>
        <w:rPr>
          <w:rFonts w:hint="eastAsia" w:hAnsi="宋体" w:cs="宋体"/>
          <w:color w:val="000000"/>
          <w:sz w:val="24"/>
          <w:szCs w:val="24"/>
        </w:rPr>
        <w:t xml:space="preserve">  联系电话：</w:t>
      </w:r>
      <w:r>
        <w:rPr>
          <w:rFonts w:hint="eastAsia" w:hAnsi="宋体" w:cs="宋体"/>
          <w:color w:val="000000"/>
          <w:sz w:val="24"/>
          <w:szCs w:val="24"/>
          <w:lang w:val="en-US" w:eastAsia="zh-CN"/>
        </w:rPr>
        <w:t>15939912433</w:t>
      </w:r>
    </w:p>
    <w:p>
      <w:pPr>
        <w:adjustRightInd w:val="0"/>
        <w:snapToGrid w:val="0"/>
        <w:spacing w:line="460" w:lineRule="exact"/>
        <w:jc w:val="right"/>
        <w:rPr>
          <w:rFonts w:hint="eastAsia" w:hAnsi="宋体" w:cs="宋体"/>
          <w:sz w:val="24"/>
          <w:szCs w:val="24"/>
          <w:lang w:val="en-US" w:eastAsia="zh-CN"/>
        </w:rPr>
      </w:pPr>
      <w:r>
        <w:rPr>
          <w:rFonts w:hint="eastAsia" w:hAnsi="宋体" w:cs="宋体"/>
          <w:sz w:val="24"/>
          <w:szCs w:val="24"/>
          <w:lang w:val="en-US" w:eastAsia="zh-CN"/>
        </w:rPr>
        <w:t>许昌市城乡一体化示范区建设环保局</w:t>
      </w:r>
    </w:p>
    <w:p>
      <w:pPr>
        <w:pStyle w:val="2"/>
        <w:rPr>
          <w:rFonts w:hint="default"/>
          <w:lang w:val="en-US"/>
        </w:rPr>
      </w:pPr>
      <w:r>
        <w:rPr>
          <w:rFonts w:hint="eastAsia" w:hAnsi="宋体" w:cs="宋体"/>
          <w:sz w:val="24"/>
          <w:szCs w:val="24"/>
          <w:lang w:val="en-US" w:eastAsia="zh-CN"/>
        </w:rPr>
        <w:t xml:space="preserve">                                                             2019年9月17日</w:t>
      </w:r>
    </w:p>
    <w:p>
      <w:pPr>
        <w:widowControl/>
        <w:jc w:val="left"/>
        <w:rPr>
          <w:rFonts w:hAnsi="宋体"/>
          <w:b/>
          <w:sz w:val="28"/>
          <w:szCs w:val="28"/>
        </w:rPr>
      </w:pPr>
      <w:r>
        <w:rPr>
          <w:rFonts w:hAnsi="宋体"/>
          <w:b/>
          <w:sz w:val="28"/>
          <w:szCs w:val="28"/>
        </w:rPr>
        <w:br w:type="page"/>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6"/>
        <w:jc w:val="center"/>
      </w:pPr>
      <w:r>
        <w:rPr>
          <w:rFonts w:hint="eastAsia"/>
        </w:rPr>
        <w:br w:type="page"/>
      </w:r>
      <w:bookmarkStart w:id="5" w:name="_Toc15736"/>
      <w:bookmarkStart w:id="6" w:name="_Toc15093"/>
      <w:bookmarkStart w:id="7" w:name="_Toc12190"/>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74"/>
        <w:gridCol w:w="44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3"/>
          </w:tcPr>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szCs w:val="24"/>
                <w:lang w:val="en-US" w:eastAsia="zh-CN"/>
              </w:rPr>
              <w:t>许昌市城乡一体化示范区建设环保局</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联系人：</w:t>
            </w:r>
            <w:r>
              <w:rPr>
                <w:rFonts w:hint="eastAsia" w:hAnsi="宋体" w:cs="宋体"/>
                <w:sz w:val="24"/>
                <w:lang w:eastAsia="zh-CN"/>
              </w:rPr>
              <w:t>牛先生</w:t>
            </w:r>
          </w:p>
          <w:p>
            <w:pPr>
              <w:tabs>
                <w:tab w:val="left" w:pos="4140"/>
                <w:tab w:val="left" w:pos="4260"/>
              </w:tabs>
              <w:spacing w:line="530" w:lineRule="exact"/>
              <w:ind w:right="-578" w:rightChars="-170" w:firstLine="240" w:firstLineChars="100"/>
              <w:rPr>
                <w:rFonts w:hint="default" w:hAnsi="宋体" w:eastAsia="宋体" w:cs="宋体"/>
                <w:sz w:val="24"/>
                <w:szCs w:val="24"/>
                <w:lang w:val="en-US" w:eastAsia="zh-CN"/>
              </w:rPr>
            </w:pPr>
            <w:r>
              <w:rPr>
                <w:rFonts w:hint="eastAsia" w:hAnsi="宋体" w:cs="宋体"/>
                <w:sz w:val="24"/>
              </w:rPr>
              <w:t>联系电话：</w:t>
            </w:r>
            <w:r>
              <w:rPr>
                <w:rFonts w:hint="eastAsia" w:hAnsi="宋体" w:cs="宋体"/>
                <w:sz w:val="24"/>
                <w:lang w:val="en-US" w:eastAsia="zh-CN"/>
              </w:rPr>
              <w:t>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3"/>
          </w:tcPr>
          <w:p>
            <w:pPr>
              <w:autoSpaceDE w:val="0"/>
              <w:autoSpaceDN w:val="0"/>
              <w:adjustRightInd w:val="0"/>
              <w:spacing w:line="420" w:lineRule="exact"/>
              <w:jc w:val="left"/>
              <w:rPr>
                <w:rFonts w:hint="eastAsia" w:hAnsi="宋体" w:cs="黑体"/>
                <w:color w:val="000000"/>
                <w:sz w:val="24"/>
                <w:lang w:eastAsia="zh-CN"/>
              </w:rPr>
            </w:pPr>
            <w:r>
              <w:rPr>
                <w:rFonts w:hint="eastAsia" w:hAnsi="宋体" w:cs="黑体"/>
                <w:color w:val="000000"/>
                <w:sz w:val="24"/>
              </w:rPr>
              <w:t>代理机构：</w:t>
            </w:r>
            <w:r>
              <w:rPr>
                <w:rFonts w:hint="eastAsia" w:hAnsi="宋体" w:cs="黑体"/>
                <w:color w:val="000000"/>
                <w:sz w:val="24"/>
                <w:lang w:eastAsia="zh-CN"/>
              </w:rPr>
              <w:t>方大国际工程咨询股份有限公司</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 xml:space="preserve">地    址：许昌市建安大道与百花北路交叉口向南200米         </w:t>
            </w:r>
          </w:p>
          <w:p>
            <w:pPr>
              <w:autoSpaceDE w:val="0"/>
              <w:autoSpaceDN w:val="0"/>
              <w:adjustRightInd w:val="0"/>
              <w:spacing w:line="420" w:lineRule="exact"/>
              <w:jc w:val="left"/>
              <w:rPr>
                <w:rFonts w:hint="eastAsia" w:hAnsi="宋体" w:eastAsia="宋体" w:cs="黑体"/>
                <w:color w:val="000000"/>
                <w:sz w:val="24"/>
                <w:lang w:val="en-US" w:eastAsia="zh-CN"/>
              </w:rPr>
            </w:pPr>
            <w:r>
              <w:rPr>
                <w:rFonts w:hint="eastAsia" w:hAnsi="宋体" w:cs="黑体"/>
                <w:color w:val="000000"/>
                <w:sz w:val="24"/>
              </w:rPr>
              <w:t>联 系 人：</w:t>
            </w:r>
            <w:r>
              <w:rPr>
                <w:rFonts w:hint="eastAsia" w:hAnsi="宋体" w:cs="黑体"/>
                <w:color w:val="000000"/>
                <w:sz w:val="24"/>
                <w:lang w:val="en-US" w:eastAsia="zh-CN"/>
              </w:rPr>
              <w:t>李苗苗</w:t>
            </w:r>
          </w:p>
          <w:p>
            <w:pPr>
              <w:tabs>
                <w:tab w:val="left" w:pos="4140"/>
                <w:tab w:val="left" w:pos="4260"/>
              </w:tabs>
              <w:spacing w:line="360" w:lineRule="auto"/>
              <w:ind w:right="-578" w:rightChars="-170"/>
              <w:jc w:val="left"/>
              <w:rPr>
                <w:rFonts w:hAnsi="宋体" w:cs="宋体"/>
                <w:sz w:val="24"/>
                <w:szCs w:val="24"/>
              </w:rPr>
            </w:pPr>
            <w:r>
              <w:rPr>
                <w:rFonts w:hint="eastAsia" w:hAnsi="宋体" w:cs="黑体"/>
                <w:color w:val="000000"/>
                <w:sz w:val="24"/>
              </w:rPr>
              <w:t>联系电话：</w:t>
            </w:r>
            <w:r>
              <w:rPr>
                <w:rFonts w:hint="eastAsia" w:hAnsi="宋体" w:cs="黑体"/>
                <w:color w:val="000000"/>
                <w:sz w:val="24"/>
                <w:lang w:val="en-US" w:eastAsia="zh-CN"/>
              </w:rPr>
              <w:t>15939912433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lang w:eastAsia="zh-CN"/>
              </w:rPr>
              <w:t>尚集镇街区改造项目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3"/>
            <w:vAlign w:val="center"/>
          </w:tcPr>
          <w:p>
            <w:pPr>
              <w:rPr>
                <w:rFonts w:hint="eastAsia" w:hAnsi="宋体" w:eastAsia="宋体" w:cs="宋体"/>
                <w:sz w:val="24"/>
                <w:szCs w:val="24"/>
                <w:lang w:eastAsia="zh-CN"/>
              </w:rPr>
            </w:pPr>
            <w:r>
              <w:rPr>
                <w:rFonts w:hint="eastAsia" w:hAnsi="宋体" w:cs="宋体"/>
                <w:sz w:val="24"/>
                <w:szCs w:val="24"/>
              </w:rPr>
              <w:t>示范区</w:t>
            </w:r>
            <w:r>
              <w:rPr>
                <w:rFonts w:hint="eastAsia" w:hAnsi="宋体" w:cs="宋体"/>
                <w:sz w:val="24"/>
                <w:szCs w:val="24"/>
                <w:lang w:eastAsia="zh-CN"/>
              </w:rPr>
              <w:t>尚集镇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3"/>
          </w:tcPr>
          <w:p>
            <w:pPr>
              <w:autoSpaceDE w:val="0"/>
              <w:autoSpaceDN w:val="0"/>
              <w:adjustRightInd w:val="0"/>
              <w:spacing w:line="420" w:lineRule="exact"/>
              <w:jc w:val="left"/>
              <w:rPr>
                <w:rFonts w:hint="eastAsia" w:hAnsi="宋体" w:eastAsia="宋体" w:cs="宋体"/>
                <w:sz w:val="24"/>
                <w:lang w:eastAsia="zh-CN"/>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3"/>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3"/>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lang w:val="en-US" w:eastAsia="zh-CN"/>
                <w14:textFill>
                  <w14:solidFill>
                    <w14:schemeClr w14:val="tx1"/>
                  </w14:solidFill>
                </w14:textFill>
              </w:rPr>
              <w:t>15</w:t>
            </w:r>
            <w:r>
              <w:rPr>
                <w:rFonts w:hint="eastAsia" w:hAnsi="宋体" w:cs="宋体"/>
                <w:color w:val="000000" w:themeColor="text1"/>
                <w:sz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3"/>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3"/>
          </w:tcPr>
          <w:p>
            <w:pPr>
              <w:widowControl/>
              <w:spacing w:line="360" w:lineRule="auto"/>
              <w:ind w:firstLine="360" w:firstLineChars="150"/>
              <w:rPr>
                <w:rFonts w:hAnsi="宋体"/>
                <w:sz w:val="24"/>
              </w:rPr>
            </w:pPr>
            <w:r>
              <w:rPr>
                <w:rFonts w:hint="eastAsia" w:hAnsi="宋体" w:cs="宋体"/>
                <w:sz w:val="24"/>
                <w:szCs w:val="24"/>
              </w:rPr>
              <w:t>1、</w:t>
            </w:r>
            <w:r>
              <w:rPr>
                <w:rFonts w:hint="eastAsia" w:hAnsi="宋体"/>
                <w:sz w:val="24"/>
              </w:rPr>
              <w:t>要求投标人须具备独立法人资格，并具备市政公用工程施工总承包</w:t>
            </w:r>
            <w:r>
              <w:rPr>
                <w:rFonts w:hint="eastAsia" w:hAnsi="宋体"/>
                <w:sz w:val="24"/>
                <w:lang w:eastAsia="zh-CN"/>
              </w:rPr>
              <w:t>叁</w:t>
            </w:r>
            <w:r>
              <w:rPr>
                <w:rFonts w:hint="eastAsia" w:hAnsi="宋体"/>
                <w:sz w:val="24"/>
              </w:rPr>
              <w:t>级及以上企业资质，并在人员、设备、资金等方面具有相应的施工能力。拟派项目负责人须具备</w:t>
            </w:r>
            <w:r>
              <w:rPr>
                <w:rFonts w:hint="eastAsia" w:hAnsi="宋体"/>
                <w:sz w:val="24"/>
                <w:lang w:eastAsia="zh-CN"/>
              </w:rPr>
              <w:t>贰</w:t>
            </w:r>
            <w:r>
              <w:rPr>
                <w:rFonts w:hint="eastAsia" w:hAnsi="宋体"/>
                <w:sz w:val="24"/>
              </w:rPr>
              <w:t>级市政公用工程专业注册建造师执业资格、项目经理安全生产考核合格证，且未担任其他在施建设工程项目的项目负责人。</w:t>
            </w:r>
          </w:p>
          <w:p>
            <w:pPr>
              <w:spacing w:line="530" w:lineRule="exact"/>
              <w:ind w:firstLine="360" w:firstLineChars="150"/>
              <w:jc w:val="left"/>
              <w:outlineLvl w:val="1"/>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3"/>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rPr>
                <w:rFonts w:hAnsi="宋体" w:cs="宋体"/>
                <w:sz w:val="24"/>
                <w:szCs w:val="22"/>
              </w:rPr>
              <w:t>http://ggzy.xuchang.gov.cn/</w:t>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3"/>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3"/>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投标截止时间</w:t>
            </w:r>
          </w:p>
        </w:tc>
        <w:tc>
          <w:tcPr>
            <w:tcW w:w="6274" w:type="dxa"/>
            <w:gridSpan w:val="3"/>
          </w:tcPr>
          <w:p>
            <w:pPr>
              <w:autoSpaceDE w:val="0"/>
              <w:autoSpaceDN w:val="0"/>
              <w:adjustRightInd w:val="0"/>
              <w:spacing w:line="420" w:lineRule="exact"/>
              <w:jc w:val="left"/>
              <w:rPr>
                <w:rFonts w:hAnsi="宋体" w:cs="宋体"/>
                <w:b/>
                <w:sz w:val="24"/>
              </w:rPr>
            </w:pPr>
            <w:r>
              <w:rPr>
                <w:rFonts w:hint="eastAsia" w:hAnsi="宋体" w:cs="宋体"/>
                <w:b/>
                <w:sz w:val="24"/>
              </w:rPr>
              <w:t>2019年</w:t>
            </w:r>
            <w:r>
              <w:rPr>
                <w:rFonts w:hint="eastAsia" w:hAnsi="宋体" w:cs="宋体"/>
                <w:b/>
                <w:sz w:val="24"/>
                <w:lang w:val="en-US" w:eastAsia="zh-CN"/>
              </w:rPr>
              <w:t>10</w:t>
            </w:r>
            <w:r>
              <w:rPr>
                <w:rFonts w:hint="eastAsia" w:hAnsi="宋体" w:cs="宋体"/>
                <w:b/>
                <w:sz w:val="24"/>
              </w:rPr>
              <w:t>月</w:t>
            </w:r>
            <w:r>
              <w:rPr>
                <w:rFonts w:hint="eastAsia" w:hAnsi="宋体" w:cs="宋体"/>
                <w:b/>
                <w:sz w:val="24"/>
                <w:lang w:val="en-US" w:eastAsia="zh-CN"/>
              </w:rPr>
              <w:t>10</w:t>
            </w:r>
            <w:r>
              <w:rPr>
                <w:rFonts w:hint="eastAsia" w:hAnsi="宋体" w:cs="宋体"/>
                <w:b/>
                <w:sz w:val="24"/>
              </w:rPr>
              <w:t>日</w:t>
            </w:r>
            <w:r>
              <w:rPr>
                <w:rFonts w:hint="eastAsia" w:hAnsi="宋体" w:cs="宋体"/>
                <w:b/>
                <w:sz w:val="24"/>
                <w:lang w:val="en-US" w:eastAsia="zh-CN"/>
              </w:rPr>
              <w:t>9</w:t>
            </w:r>
            <w:r>
              <w:rPr>
                <w:rFonts w:hint="eastAsia" w:hAnsi="宋体" w:cs="宋体"/>
                <w:b/>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3"/>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投标保证金须知</w:t>
            </w:r>
          </w:p>
        </w:tc>
        <w:tc>
          <w:tcPr>
            <w:tcW w:w="6274" w:type="dxa"/>
            <w:gridSpan w:val="3"/>
            <w:vAlign w:val="center"/>
          </w:tcPr>
          <w:p>
            <w:pPr>
              <w:widowControl/>
              <w:spacing w:line="360" w:lineRule="auto"/>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3"/>
            <w:vAlign w:val="center"/>
          </w:tcPr>
          <w:p>
            <w:pPr>
              <w:autoSpaceDE w:val="0"/>
              <w:autoSpaceDN w:val="0"/>
              <w:adjustRightInd w:val="0"/>
              <w:spacing w:line="276" w:lineRule="auto"/>
              <w:jc w:val="left"/>
              <w:rPr>
                <w:rFonts w:hAnsi="宋体" w:cs="宋体"/>
                <w:b/>
                <w:bCs/>
                <w:color w:val="auto"/>
                <w:sz w:val="24"/>
                <w:u w:val="single"/>
              </w:rPr>
            </w:pPr>
            <w:r>
              <w:rPr>
                <w:rFonts w:hint="eastAsia" w:hAnsi="宋体" w:cs="宋体"/>
                <w:b/>
                <w:bCs/>
                <w:color w:val="auto"/>
                <w:sz w:val="24"/>
              </w:rPr>
              <w:t>投标保证金递交截止时间：同投标截止时间。</w:t>
            </w:r>
          </w:p>
          <w:p>
            <w:pPr>
              <w:autoSpaceDE w:val="0"/>
              <w:autoSpaceDN w:val="0"/>
              <w:adjustRightInd w:val="0"/>
              <w:spacing w:line="276" w:lineRule="auto"/>
              <w:jc w:val="left"/>
              <w:rPr>
                <w:rFonts w:hAnsi="宋体" w:cs="宋体"/>
                <w:b/>
                <w:bCs/>
                <w:color w:val="auto"/>
                <w:sz w:val="24"/>
              </w:rPr>
            </w:pPr>
            <w:r>
              <w:rPr>
                <w:rFonts w:hint="eastAsia" w:hAnsi="宋体" w:cs="宋体"/>
                <w:b/>
                <w:bCs/>
                <w:color w:val="auto"/>
                <w:sz w:val="24"/>
              </w:rPr>
              <w:t>金额：</w:t>
            </w:r>
            <w:r>
              <w:rPr>
                <w:rFonts w:hint="eastAsia" w:hAnsi="宋体" w:cs="宋体"/>
                <w:b/>
                <w:bCs/>
                <w:color w:val="auto"/>
                <w:sz w:val="24"/>
                <w:lang w:val="en-US" w:eastAsia="zh-CN"/>
              </w:rPr>
              <w:t>伍万元整</w:t>
            </w:r>
            <w:r>
              <w:rPr>
                <w:rFonts w:hint="eastAsia" w:hAnsi="宋体" w:cs="宋体"/>
                <w:b/>
                <w:bCs/>
                <w:color w:val="auto"/>
                <w:sz w:val="24"/>
              </w:rPr>
              <w:t>（￥</w:t>
            </w:r>
            <w:r>
              <w:rPr>
                <w:rFonts w:hint="eastAsia" w:hAnsi="宋体" w:cs="宋体"/>
                <w:b/>
                <w:bCs/>
                <w:color w:val="auto"/>
                <w:sz w:val="24"/>
                <w:lang w:val="en-US" w:eastAsia="zh-CN"/>
              </w:rPr>
              <w:t>50000.00</w:t>
            </w:r>
            <w:r>
              <w:rPr>
                <w:rFonts w:hint="eastAsia" w:hAnsi="宋体" w:cs="宋体"/>
                <w:b/>
                <w:bCs/>
                <w:color w:val="auto"/>
                <w:sz w:val="24"/>
              </w:rPr>
              <w:t>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3"/>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3"/>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3"/>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3"/>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w:t>
            </w:r>
            <w:r>
              <w:rPr>
                <w:rFonts w:hint="eastAsia" w:hAnsi="宋体" w:cs="宋体"/>
                <w:sz w:val="24"/>
                <w:lang w:val="en-US" w:eastAsia="zh-CN"/>
              </w:rPr>
              <w:t>2019</w:t>
            </w:r>
            <w:r>
              <w:rPr>
                <w:rFonts w:hint="eastAsia" w:hAnsi="宋体" w:cs="宋体"/>
                <w:sz w:val="24"/>
              </w:rPr>
              <w:t>年</w:t>
            </w:r>
            <w:r>
              <w:rPr>
                <w:rFonts w:hint="eastAsia" w:hAnsi="宋体" w:cs="宋体"/>
                <w:sz w:val="24"/>
                <w:lang w:val="en-US" w:eastAsia="zh-CN"/>
              </w:rPr>
              <w:t>10</w:t>
            </w:r>
            <w:r>
              <w:rPr>
                <w:rFonts w:hint="eastAsia" w:hAnsi="宋体" w:cs="宋体"/>
                <w:sz w:val="24"/>
              </w:rPr>
              <w:t>月</w:t>
            </w:r>
            <w:r>
              <w:rPr>
                <w:rFonts w:hint="eastAsia" w:hAnsi="宋体" w:cs="宋体"/>
                <w:sz w:val="24"/>
                <w:lang w:val="en-US" w:eastAsia="zh-CN"/>
              </w:rPr>
              <w:t>10</w:t>
            </w:r>
            <w:r>
              <w:rPr>
                <w:rFonts w:hint="eastAsia" w:hAnsi="宋体" w:cs="宋体"/>
                <w:sz w:val="24"/>
              </w:rPr>
              <w:t xml:space="preserve">日 </w:t>
            </w:r>
            <w:r>
              <w:rPr>
                <w:rFonts w:hint="eastAsia" w:hAnsi="宋体" w:cs="宋体"/>
                <w:sz w:val="24"/>
                <w:lang w:val="en-US" w:eastAsia="zh-CN"/>
              </w:rPr>
              <w:t>9</w:t>
            </w:r>
            <w:r>
              <w:rPr>
                <w:rFonts w:hint="eastAsia" w:hAnsi="宋体" w:cs="宋体"/>
                <w:sz w:val="24"/>
              </w:rPr>
              <w:t xml:space="preserve"> 时</w:t>
            </w:r>
            <w:r>
              <w:rPr>
                <w:rFonts w:hint="eastAsia" w:hAnsi="宋体" w:cs="宋体"/>
                <w:sz w:val="24"/>
                <w:lang w:val="en-US" w:eastAsia="zh-CN"/>
              </w:rPr>
              <w:t>30</w:t>
            </w:r>
            <w:r>
              <w:rPr>
                <w:rFonts w:hint="eastAsia" w:hAnsi="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3"/>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w:t>
            </w:r>
            <w:r>
              <w:rPr>
                <w:rFonts w:hint="eastAsia" w:hAnsi="宋体" w:cs="宋体"/>
                <w:sz w:val="24"/>
                <w:u w:val="single"/>
                <w:lang w:val="en-US" w:eastAsia="zh-CN"/>
              </w:rPr>
              <w:t xml:space="preserve">3 </w:t>
            </w:r>
            <w:r>
              <w:rPr>
                <w:rFonts w:hint="eastAsia" w:hAnsi="宋体" w:cs="宋体"/>
                <w:sz w:val="24"/>
                <w:u w:val="single"/>
              </w:rPr>
              <w:t>室</w:t>
            </w:r>
            <w:r>
              <w:rPr>
                <w:rFonts w:hint="eastAsia" w:hAnsi="宋体" w:cs="宋体"/>
                <w:sz w:val="24"/>
              </w:rPr>
              <w:t>(许昌市龙兴路竹林路交汇处公共资源大厦 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w:t>
            </w:r>
            <w:r>
              <w:rPr>
                <w:rFonts w:hint="eastAsia" w:hAnsi="宋体" w:cs="宋体"/>
                <w:sz w:val="24"/>
                <w:lang w:val="en-US" w:eastAsia="zh-CN"/>
              </w:rPr>
              <w:t>3</w:t>
            </w:r>
            <w:r>
              <w:rPr>
                <w:rFonts w:hint="eastAsia" w:hAnsi="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3"/>
            <w:vAlign w:val="center"/>
          </w:tcPr>
          <w:p>
            <w:pPr>
              <w:spacing w:line="288" w:lineRule="auto"/>
              <w:rPr>
                <w:rFonts w:hAnsi="宋体" w:cs="宋体"/>
                <w:sz w:val="24"/>
              </w:rPr>
            </w:pPr>
            <w:r>
              <w:rPr>
                <w:rFonts w:hint="eastAsia" w:hAnsi="宋体" w:cs="宋体"/>
                <w:sz w:val="24"/>
              </w:rPr>
              <w:t>评标委员会构成：从河南省综合评标专家库中随机抽取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4"/>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sz w:val="24"/>
                <w:lang w:val="en-US" w:eastAsia="zh-CN"/>
              </w:rPr>
              <w:t>2016年1月1日（以合同签订时间为准）以来已完工的</w:t>
            </w:r>
            <w:r>
              <w:rPr>
                <w:rFonts w:hint="eastAsia" w:hAnsi="宋体" w:cs="宋体"/>
                <w:snapToGrid w:val="0"/>
                <w:sz w:val="24"/>
              </w:rPr>
              <w:t>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6200" w:type="dxa"/>
            <w:gridSpan w:val="2"/>
            <w:vAlign w:val="center"/>
          </w:tcPr>
          <w:p>
            <w:pPr>
              <w:keepNext/>
              <w:rPr>
                <w:rFonts w:hAnsi="宋体" w:cs="宋体"/>
                <w:color w:val="auto"/>
                <w:sz w:val="24"/>
              </w:rPr>
            </w:pPr>
            <w:r>
              <w:rPr>
                <w:rFonts w:hint="eastAsia" w:hAnsi="宋体" w:cs="宋体"/>
                <w:color w:val="auto"/>
                <w:sz w:val="24"/>
              </w:rPr>
              <w:t>本工程设招标控制价：</w:t>
            </w:r>
          </w:p>
          <w:p>
            <w:pPr>
              <w:keepNext/>
              <w:spacing w:line="360" w:lineRule="auto"/>
              <w:ind w:firstLine="480" w:firstLineChars="200"/>
              <w:rPr>
                <w:rFonts w:hAnsi="宋体" w:cs="宋体"/>
                <w:b/>
                <w:bCs/>
                <w:color w:val="auto"/>
                <w:sz w:val="24"/>
              </w:rPr>
            </w:pPr>
            <w:r>
              <w:rPr>
                <w:rFonts w:hint="eastAsia" w:hAnsi="宋体" w:cs="宋体"/>
                <w:b/>
                <w:bCs/>
                <w:color w:val="auto"/>
                <w:sz w:val="24"/>
              </w:rPr>
              <w:t>大写：</w:t>
            </w:r>
            <w:r>
              <w:rPr>
                <w:rFonts w:hint="eastAsia" w:hAnsi="宋体" w:cs="宋体"/>
                <w:b/>
                <w:bCs/>
                <w:color w:val="auto"/>
                <w:sz w:val="24"/>
                <w:lang w:eastAsia="zh-CN"/>
              </w:rPr>
              <w:t>贰佰伍拾叁万捌仟零叁拾叁元贰角陆分</w:t>
            </w:r>
            <w:r>
              <w:rPr>
                <w:rFonts w:hint="eastAsia" w:hAnsi="宋体" w:cs="宋体"/>
                <w:b/>
                <w:bCs/>
                <w:color w:val="auto"/>
                <w:sz w:val="24"/>
                <w:lang w:val="en-US" w:eastAsia="zh-CN"/>
              </w:rPr>
              <w:t xml:space="preserve"> </w:t>
            </w:r>
            <w:r>
              <w:rPr>
                <w:rFonts w:hint="eastAsia" w:hAnsi="宋体" w:cs="宋体"/>
                <w:b/>
                <w:bCs/>
                <w:color w:val="auto"/>
                <w:sz w:val="24"/>
              </w:rPr>
              <w:t xml:space="preserve">   </w:t>
            </w:r>
          </w:p>
          <w:p>
            <w:pPr>
              <w:keepNext/>
              <w:spacing w:line="360" w:lineRule="auto"/>
              <w:ind w:firstLine="439" w:firstLineChars="183"/>
              <w:rPr>
                <w:rFonts w:hAnsi="宋体" w:cs="宋体"/>
                <w:b/>
                <w:bCs/>
                <w:color w:val="auto"/>
                <w:sz w:val="24"/>
              </w:rPr>
            </w:pPr>
            <w:r>
              <w:rPr>
                <w:rFonts w:hint="eastAsia" w:hAnsi="宋体" w:cs="宋体"/>
                <w:b/>
                <w:bCs/>
                <w:color w:val="auto"/>
                <w:sz w:val="24"/>
              </w:rPr>
              <w:t>小写：</w:t>
            </w:r>
            <w:r>
              <w:rPr>
                <w:rFonts w:hint="eastAsia" w:hAnsi="宋体" w:cs="宋体"/>
                <w:b/>
                <w:bCs/>
                <w:color w:val="auto"/>
                <w:sz w:val="24"/>
                <w:lang w:val="en-US" w:eastAsia="zh-CN"/>
              </w:rPr>
              <w:t xml:space="preserve"> 2538033.26元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4"/>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5"/>
            <w:vAlign w:val="center"/>
          </w:tcPr>
          <w:p>
            <w:pPr>
              <w:spacing w:line="276" w:lineRule="auto"/>
              <w:rPr>
                <w:rFonts w:hAnsi="宋体" w:cs="宋体"/>
                <w:sz w:val="24"/>
              </w:rPr>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5"/>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7"/>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7"/>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79632552"/>
      <w:bookmarkStart w:id="17" w:name="_Toc152042311"/>
      <w:bookmarkStart w:id="18" w:name="_Toc144974503"/>
      <w:bookmarkStart w:id="19" w:name="_Toc152045535"/>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5536"/>
      <w:bookmarkStart w:id="21" w:name="_Toc179632553"/>
      <w:bookmarkStart w:id="22" w:name="_Toc152042312"/>
      <w:bookmarkStart w:id="23" w:name="_Toc144974504"/>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2313"/>
      <w:bookmarkStart w:id="26" w:name="_Toc179632554"/>
      <w:bookmarkStart w:id="27" w:name="_Toc152045537"/>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1"/>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52042322"/>
      <w:bookmarkStart w:id="40" w:name="_Toc152045546"/>
      <w:bookmarkStart w:id="41" w:name="_Toc144974514"/>
      <w:bookmarkStart w:id="42" w:name="_Toc179632564"/>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（2）</w:t>
      </w:r>
      <w:r>
        <w:rPr>
          <w:rFonts w:hint="eastAsia" w:hAnsi="宋体" w:cs="宋体"/>
          <w:sz w:val="24"/>
          <w:szCs w:val="22"/>
          <w:lang w:eastAsia="zh-CN"/>
        </w:rPr>
        <w:t>主要</w:t>
      </w:r>
      <w:r>
        <w:rPr>
          <w:rFonts w:hint="eastAsia" w:hAnsi="宋体" w:cs="宋体"/>
          <w:sz w:val="24"/>
          <w:szCs w:val="22"/>
        </w:rPr>
        <w:t>施工方案和技术措施；</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（5）</w:t>
      </w:r>
      <w:r>
        <w:rPr>
          <w:rFonts w:hint="eastAsia" w:hAnsi="宋体" w:cs="宋体"/>
          <w:sz w:val="24"/>
          <w:szCs w:val="22"/>
          <w:lang w:eastAsia="zh-CN"/>
        </w:rPr>
        <w:t>文明施工、</w:t>
      </w:r>
      <w:r>
        <w:rPr>
          <w:rFonts w:hint="eastAsia" w:hAnsi="宋体" w:cs="宋体"/>
          <w:sz w:val="24"/>
          <w:szCs w:val="22"/>
        </w:rPr>
        <w:t>环境保护管理体系</w:t>
      </w:r>
      <w:r>
        <w:rPr>
          <w:rFonts w:hint="eastAsia" w:hAnsi="宋体" w:cs="宋体"/>
          <w:sz w:val="24"/>
          <w:szCs w:val="22"/>
          <w:lang w:eastAsia="zh-CN"/>
        </w:rPr>
        <w:t>及施工现场扬尘治理</w:t>
      </w:r>
      <w:r>
        <w:rPr>
          <w:rFonts w:hint="eastAsia" w:hAnsi="宋体" w:cs="宋体"/>
          <w:sz w:val="24"/>
          <w:szCs w:val="22"/>
        </w:rPr>
        <w:t>措施；</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（6）工</w:t>
      </w:r>
      <w:r>
        <w:rPr>
          <w:rFonts w:hint="eastAsia" w:hAnsi="宋体" w:cs="宋体"/>
          <w:sz w:val="24"/>
          <w:szCs w:val="22"/>
          <w:lang w:eastAsia="zh-CN"/>
        </w:rPr>
        <w:t>期保证</w:t>
      </w:r>
      <w:r>
        <w:rPr>
          <w:rFonts w:hint="eastAsia" w:hAnsi="宋体" w:cs="宋体"/>
          <w:sz w:val="24"/>
          <w:szCs w:val="22"/>
        </w:rPr>
        <w:t>措施；</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（8）施工进度表</w:t>
      </w:r>
      <w:r>
        <w:rPr>
          <w:rFonts w:hint="eastAsia" w:hAnsi="宋体" w:cs="宋体"/>
          <w:sz w:val="24"/>
          <w:szCs w:val="22"/>
          <w:lang w:eastAsia="zh-CN"/>
        </w:rPr>
        <w:t>与网络计划</w:t>
      </w:r>
      <w:r>
        <w:rPr>
          <w:rFonts w:hint="eastAsia" w:hAnsi="宋体" w:cs="宋体"/>
          <w:sz w:val="24"/>
          <w:szCs w:val="22"/>
        </w:rPr>
        <w:t>图；</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（10）技术创新</w:t>
      </w:r>
      <w:r>
        <w:rPr>
          <w:rFonts w:hint="eastAsia" w:hAnsi="宋体" w:cs="宋体"/>
          <w:sz w:val="24"/>
          <w:szCs w:val="22"/>
          <w:lang w:eastAsia="zh-CN"/>
        </w:rPr>
        <w:t>的应用实施措施</w:t>
      </w:r>
      <w:r>
        <w:rPr>
          <w:rFonts w:hint="eastAsia" w:hAnsi="宋体" w:cs="宋体"/>
          <w:sz w:val="24"/>
          <w:szCs w:val="22"/>
        </w:rPr>
        <w:t>；</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rPr>
        <w:t>（11）</w:t>
      </w:r>
      <w:r>
        <w:rPr>
          <w:rFonts w:hint="eastAsia" w:hAnsi="宋体" w:cs="宋体"/>
          <w:sz w:val="24"/>
          <w:szCs w:val="22"/>
          <w:lang w:eastAsia="zh-CN"/>
        </w:rPr>
        <w:t>采用</w:t>
      </w:r>
      <w:r>
        <w:rPr>
          <w:rFonts w:hint="eastAsia" w:hAnsi="宋体" w:cs="宋体"/>
          <w:sz w:val="24"/>
          <w:szCs w:val="22"/>
        </w:rPr>
        <w:t>新工艺、新技术、新设备、新材料</w:t>
      </w:r>
      <w:r>
        <w:rPr>
          <w:rFonts w:hint="eastAsia" w:hAnsi="宋体" w:cs="宋体"/>
          <w:sz w:val="24"/>
          <w:szCs w:val="22"/>
          <w:lang w:eastAsia="zh-CN"/>
        </w:rPr>
        <w:t>、</w:t>
      </w:r>
      <w:r>
        <w:rPr>
          <w:rFonts w:hint="eastAsia" w:hAnsi="宋体" w:cs="宋体"/>
          <w:sz w:val="24"/>
          <w:szCs w:val="22"/>
          <w:lang w:val="en-US" w:eastAsia="zh-CN"/>
        </w:rPr>
        <w:t>BIM等的程度</w:t>
      </w:r>
      <w:r>
        <w:rPr>
          <w:rFonts w:hint="eastAsia" w:hAnsi="宋体" w:cs="宋体"/>
          <w:sz w:val="24"/>
          <w:szCs w:val="22"/>
        </w:rPr>
        <w:t>；</w:t>
      </w:r>
    </w:p>
    <w:p>
      <w:pPr>
        <w:autoSpaceDE w:val="0"/>
        <w:autoSpaceDN w:val="0"/>
        <w:spacing w:line="440" w:lineRule="exact"/>
        <w:ind w:firstLine="480" w:firstLineChars="200"/>
        <w:jc w:val="left"/>
        <w:outlineLvl w:val="1"/>
        <w:rPr>
          <w:rFonts w:hint="eastAsia" w:hAnsi="宋体" w:cs="宋体"/>
          <w:sz w:val="24"/>
          <w:szCs w:val="22"/>
          <w:lang w:eastAsia="zh-CN"/>
        </w:rPr>
      </w:pPr>
      <w:r>
        <w:rPr>
          <w:rFonts w:hint="eastAsia" w:hAnsi="宋体" w:cs="宋体"/>
          <w:sz w:val="24"/>
          <w:szCs w:val="22"/>
        </w:rPr>
        <w:t>（12）</w:t>
      </w:r>
      <w:r>
        <w:rPr>
          <w:rFonts w:hint="eastAsia" w:hAnsi="宋体" w:cs="宋体"/>
          <w:sz w:val="24"/>
          <w:szCs w:val="22"/>
          <w:lang w:eastAsia="zh-CN"/>
        </w:rPr>
        <w:t>施工</w:t>
      </w:r>
      <w:r>
        <w:rPr>
          <w:rFonts w:hint="eastAsia" w:hAnsi="宋体" w:cs="宋体"/>
          <w:sz w:val="24"/>
          <w:szCs w:val="22"/>
        </w:rPr>
        <w:t>现场实施</w:t>
      </w:r>
      <w:r>
        <w:rPr>
          <w:rFonts w:hint="eastAsia" w:hAnsi="宋体" w:cs="宋体"/>
          <w:sz w:val="24"/>
          <w:szCs w:val="22"/>
          <w:lang w:eastAsia="zh-CN"/>
        </w:rPr>
        <w:t>信息化</w:t>
      </w:r>
      <w:r>
        <w:rPr>
          <w:rFonts w:hint="eastAsia" w:hAnsi="宋体" w:cs="宋体"/>
          <w:sz w:val="24"/>
          <w:szCs w:val="22"/>
        </w:rPr>
        <w:t>监控和数据处理</w:t>
      </w:r>
      <w:r>
        <w:rPr>
          <w:rFonts w:hint="eastAsia" w:hAnsi="宋体" w:cs="宋体"/>
          <w:sz w:val="24"/>
          <w:szCs w:val="22"/>
          <w:lang w:eastAsia="zh-CN"/>
        </w:rPr>
        <w:t>；</w:t>
      </w:r>
    </w:p>
    <w:p>
      <w:pPr>
        <w:autoSpaceDE w:val="0"/>
        <w:autoSpaceDN w:val="0"/>
        <w:spacing w:line="440" w:lineRule="exact"/>
        <w:ind w:firstLine="480" w:firstLineChars="200"/>
        <w:jc w:val="left"/>
        <w:outlineLvl w:val="1"/>
        <w:rPr>
          <w:rFonts w:hint="eastAsia" w:hAnsi="宋体" w:cs="宋体"/>
          <w:sz w:val="24"/>
          <w:szCs w:val="22"/>
        </w:rPr>
      </w:pPr>
      <w:r>
        <w:rPr>
          <w:rFonts w:hint="eastAsia" w:hAnsi="宋体" w:cs="宋体"/>
          <w:sz w:val="24"/>
          <w:szCs w:val="22"/>
          <w:lang w:val="en-US" w:eastAsia="zh-CN"/>
        </w:rPr>
        <w:t>（13）风险管理措施。</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b/>
          <w:sz w:val="24"/>
        </w:rPr>
        <w:t xml:space="preserve">3.6 </w:t>
      </w:r>
      <w:bookmarkEnd w:id="46"/>
      <w:bookmarkStart w:id="47" w:name="_Toc152042329"/>
      <w:bookmarkStart w:id="48" w:name="_Toc152045553"/>
      <w:bookmarkStart w:id="49" w:name="_Toc144974521"/>
      <w:bookmarkStart w:id="50" w:name="_Toc17963257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1"/>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1"/>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1"/>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1"/>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52042345"/>
      <w:bookmarkStart w:id="63" w:name="_Toc152045569"/>
      <w:bookmarkStart w:id="64" w:name="_Toc144974537"/>
      <w:bookmarkStart w:id="65"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1"/>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1"/>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0附表二：问题的澄清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（项目名称）标段招标评标委员会：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widowControl/>
        <w:jc w:val="left"/>
        <w:rPr>
          <w:rFonts w:hAnsi="宋体" w:cs="宋体"/>
          <w:b/>
          <w:bCs/>
          <w:sz w:val="36"/>
          <w:szCs w:val="36"/>
        </w:rPr>
      </w:pPr>
      <w:r>
        <w:rPr>
          <w:rFonts w:hAnsi="宋体" w:cs="宋体"/>
          <w:b/>
          <w:bCs/>
          <w:sz w:val="36"/>
          <w:szCs w:val="36"/>
        </w:rPr>
        <w:br w:type="page"/>
      </w:r>
    </w:p>
    <w:p>
      <w:pPr>
        <w:spacing w:line="420" w:lineRule="exact"/>
        <w:ind w:firstLine="2160" w:firstLineChars="600"/>
        <w:rPr>
          <w:rFonts w:ascii="新宋体" w:hAnsi="新宋体" w:eastAsia="新宋体" w:cs="新宋体"/>
          <w:b/>
          <w:bCs/>
          <w:sz w:val="36"/>
          <w:szCs w:val="36"/>
          <w:highlight w:val="none"/>
        </w:rPr>
      </w:pPr>
      <w:r>
        <w:rPr>
          <w:rFonts w:hint="eastAsia" w:hAnsi="宋体"/>
          <w:b/>
          <w:sz w:val="36"/>
          <w:szCs w:val="36"/>
          <w:highlight w:val="none"/>
        </w:rPr>
        <w:t>第三章   评标办法</w:t>
      </w:r>
      <w:r>
        <w:rPr>
          <w:rFonts w:hint="eastAsia" w:ascii="新宋体" w:hAnsi="新宋体" w:eastAsia="新宋体" w:cs="新宋体"/>
          <w:b/>
          <w:bCs/>
          <w:sz w:val="36"/>
          <w:szCs w:val="36"/>
          <w:highlight w:val="none"/>
        </w:rPr>
        <w:t>（综合</w:t>
      </w:r>
      <w:r>
        <w:rPr>
          <w:rFonts w:hint="eastAsia" w:ascii="新宋体" w:hAnsi="新宋体" w:eastAsia="新宋体" w:cs="新宋体"/>
          <w:b/>
          <w:bCs/>
          <w:sz w:val="36"/>
          <w:szCs w:val="36"/>
          <w:highlight w:val="none"/>
          <w:lang w:eastAsia="zh-CN"/>
        </w:rPr>
        <w:t>评标</w:t>
      </w:r>
      <w:r>
        <w:rPr>
          <w:rFonts w:hint="eastAsia" w:ascii="新宋体" w:hAnsi="新宋体" w:eastAsia="新宋体" w:cs="新宋体"/>
          <w:b/>
          <w:bCs/>
          <w:sz w:val="36"/>
          <w:szCs w:val="36"/>
          <w:highlight w:val="none"/>
        </w:rPr>
        <w:t>法）</w:t>
      </w:r>
    </w:p>
    <w:p>
      <w:pPr>
        <w:adjustRightInd w:val="0"/>
        <w:snapToGrid w:val="0"/>
        <w:spacing w:line="430" w:lineRule="exact"/>
        <w:rPr>
          <w:rFonts w:hAnsi="宋体" w:cs="宋体"/>
          <w:sz w:val="24"/>
          <w:highlight w:val="none"/>
        </w:rPr>
      </w:pPr>
      <w:r>
        <w:rPr>
          <w:rFonts w:hint="eastAsia" w:hAnsi="宋体" w:cs="宋体"/>
          <w:sz w:val="24"/>
          <w:highlight w:val="none"/>
        </w:rPr>
        <w:t xml:space="preserve">  </w:t>
      </w:r>
      <w:r>
        <w:rPr>
          <w:rFonts w:hint="eastAsia" w:hAnsi="宋体" w:cs="宋体"/>
          <w:sz w:val="24"/>
          <w:highlight w:val="none"/>
          <w:lang w:val="en-US" w:eastAsia="zh-CN"/>
        </w:rPr>
        <w:t xml:space="preserve">   </w:t>
      </w:r>
      <w:r>
        <w:rPr>
          <w:rFonts w:hint="eastAsia" w:hAnsi="宋体" w:cs="宋体"/>
          <w:sz w:val="24"/>
          <w:highlight w:val="none"/>
        </w:rPr>
        <w:t>一、评标应遵循公正、公平、择优的原则严格按照招标文件进行。</w:t>
      </w:r>
    </w:p>
    <w:p>
      <w:pPr>
        <w:adjustRightInd w:val="0"/>
        <w:snapToGrid w:val="0"/>
        <w:spacing w:line="430" w:lineRule="exact"/>
        <w:rPr>
          <w:rFonts w:hAnsi="宋体" w:cs="宋体"/>
          <w:sz w:val="24"/>
          <w:highlight w:val="none"/>
        </w:rPr>
      </w:pPr>
      <w:r>
        <w:rPr>
          <w:rFonts w:hint="eastAsia" w:hAnsi="宋体" w:cs="宋体"/>
          <w:sz w:val="24"/>
          <w:highlight w:val="none"/>
        </w:rPr>
        <w:t xml:space="preserve">     二、评标由招标人依法组建的评标委员会负责，评标委员会成员</w:t>
      </w:r>
      <w:r>
        <w:rPr>
          <w:rFonts w:hint="eastAsia" w:hAnsi="宋体" w:cs="宋体"/>
          <w:sz w:val="24"/>
          <w:highlight w:val="none"/>
          <w:lang w:eastAsia="zh-CN"/>
        </w:rPr>
        <w:t>详见前附表</w:t>
      </w:r>
      <w:r>
        <w:rPr>
          <w:rFonts w:hint="eastAsia" w:hAnsi="宋体" w:cs="宋体"/>
          <w:sz w:val="24"/>
          <w:highlight w:val="none"/>
        </w:rPr>
        <w:t xml:space="preserve">。与投标人有利害关系的专家不得进入评标委员会。           </w:t>
      </w:r>
    </w:p>
    <w:p>
      <w:pPr>
        <w:adjustRightInd w:val="0"/>
        <w:snapToGrid w:val="0"/>
        <w:spacing w:line="430" w:lineRule="exact"/>
        <w:rPr>
          <w:rFonts w:hAnsi="宋体" w:cs="宋体"/>
          <w:sz w:val="24"/>
          <w:highlight w:val="none"/>
        </w:rPr>
      </w:pPr>
      <w:r>
        <w:rPr>
          <w:rFonts w:hint="eastAsia" w:hAnsi="宋体" w:cs="宋体"/>
          <w:sz w:val="24"/>
          <w:highlight w:val="none"/>
        </w:rPr>
        <w:t xml:space="preserve">     三、</w:t>
      </w:r>
      <w:r>
        <w:rPr>
          <w:rFonts w:hint="eastAsia" w:ascii="新宋体" w:hAnsi="新宋体" w:eastAsia="新宋体"/>
          <w:sz w:val="24"/>
          <w:highlight w:val="none"/>
        </w:rPr>
        <w:t>评标采用综合</w:t>
      </w:r>
      <w:r>
        <w:rPr>
          <w:rFonts w:hint="eastAsia" w:ascii="新宋体" w:hAnsi="新宋体" w:eastAsia="新宋体"/>
          <w:strike w:val="0"/>
          <w:dstrike w:val="0"/>
          <w:color w:val="auto"/>
          <w:sz w:val="24"/>
          <w:highlight w:val="none"/>
          <w:lang w:eastAsia="zh-CN"/>
        </w:rPr>
        <w:t>评标</w:t>
      </w:r>
      <w:r>
        <w:rPr>
          <w:rFonts w:hint="eastAsia" w:ascii="新宋体" w:hAnsi="新宋体" w:eastAsia="新宋体"/>
          <w:sz w:val="24"/>
          <w:highlight w:val="none"/>
        </w:rPr>
        <w:t>法，是指评标委员会根据招标文件要求，应从技术标、商务标、综合标三部分进行综合评审</w:t>
      </w:r>
      <w:r>
        <w:rPr>
          <w:rFonts w:hint="eastAsia" w:hAnsi="宋体" w:cs="宋体"/>
          <w:sz w:val="24"/>
          <w:highlight w:val="none"/>
        </w:rPr>
        <w:t>。</w:t>
      </w:r>
    </w:p>
    <w:p>
      <w:pPr>
        <w:adjustRightInd w:val="0"/>
        <w:snapToGrid w:val="0"/>
        <w:spacing w:line="430" w:lineRule="exact"/>
        <w:ind w:firstLine="720" w:firstLineChars="300"/>
        <w:rPr>
          <w:rFonts w:hAnsi="宋体" w:cs="宋体"/>
          <w:sz w:val="24"/>
          <w:highlight w:val="none"/>
        </w:rPr>
      </w:pPr>
      <w:r>
        <w:rPr>
          <w:rFonts w:hint="eastAsia" w:hAnsi="宋体" w:cs="宋体"/>
          <w:sz w:val="24"/>
          <w:highlight w:val="none"/>
        </w:rPr>
        <w:t>四、评标程序为：</w:t>
      </w:r>
    </w:p>
    <w:p>
      <w:pPr>
        <w:adjustRightInd w:val="0"/>
        <w:snapToGrid w:val="0"/>
        <w:spacing w:line="430" w:lineRule="exact"/>
        <w:ind w:firstLine="480" w:firstLineChars="200"/>
        <w:rPr>
          <w:rFonts w:hAnsi="宋体" w:cs="宋体"/>
          <w:sz w:val="24"/>
          <w:highlight w:val="none"/>
        </w:rPr>
      </w:pPr>
      <w:r>
        <w:rPr>
          <w:rFonts w:hint="eastAsia" w:hAnsi="宋体" w:cs="宋体"/>
          <w:sz w:val="24"/>
          <w:highlight w:val="none"/>
        </w:rPr>
        <w:t>（一）初步评审；</w:t>
      </w:r>
    </w:p>
    <w:p>
      <w:pPr>
        <w:adjustRightInd w:val="0"/>
        <w:snapToGrid w:val="0"/>
        <w:spacing w:line="430" w:lineRule="exact"/>
        <w:ind w:firstLine="480" w:firstLineChars="200"/>
        <w:rPr>
          <w:rFonts w:hAnsi="宋体" w:cs="宋体"/>
          <w:sz w:val="24"/>
          <w:highlight w:val="none"/>
        </w:rPr>
      </w:pPr>
      <w:r>
        <w:rPr>
          <w:rFonts w:hint="eastAsia" w:hAnsi="宋体" w:cs="宋体"/>
          <w:sz w:val="24"/>
          <w:highlight w:val="none"/>
        </w:rPr>
        <w:t>（二）详细评审；</w:t>
      </w:r>
    </w:p>
    <w:p>
      <w:pPr>
        <w:adjustRightInd w:val="0"/>
        <w:snapToGrid w:val="0"/>
        <w:spacing w:line="430" w:lineRule="exact"/>
        <w:ind w:firstLine="480" w:firstLineChars="200"/>
        <w:rPr>
          <w:rFonts w:hAnsi="宋体" w:cs="宋体"/>
          <w:sz w:val="24"/>
          <w:highlight w:val="none"/>
        </w:rPr>
      </w:pPr>
      <w:r>
        <w:rPr>
          <w:rFonts w:hint="eastAsia" w:hAnsi="宋体" w:cs="宋体"/>
          <w:sz w:val="24"/>
          <w:highlight w:val="none"/>
        </w:rPr>
        <w:t>（三）问题的澄清、说明或补正；</w:t>
      </w:r>
    </w:p>
    <w:p>
      <w:pPr>
        <w:adjustRightInd w:val="0"/>
        <w:snapToGrid w:val="0"/>
        <w:spacing w:line="430" w:lineRule="exact"/>
        <w:ind w:firstLine="480" w:firstLineChars="200"/>
        <w:rPr>
          <w:rFonts w:hAnsi="宋体" w:cs="宋体"/>
          <w:sz w:val="24"/>
          <w:highlight w:val="none"/>
        </w:rPr>
      </w:pPr>
      <w:r>
        <w:rPr>
          <w:rFonts w:hint="eastAsia" w:hAnsi="宋体" w:cs="宋体"/>
          <w:sz w:val="24"/>
          <w:highlight w:val="none"/>
        </w:rPr>
        <w:t>（四）推荐中标候选人；</w:t>
      </w:r>
    </w:p>
    <w:p>
      <w:pPr>
        <w:adjustRightInd w:val="0"/>
        <w:snapToGrid w:val="0"/>
        <w:spacing w:line="430" w:lineRule="exact"/>
        <w:ind w:firstLine="480" w:firstLineChars="200"/>
        <w:rPr>
          <w:rFonts w:hAnsi="宋体" w:cs="宋体"/>
          <w:sz w:val="24"/>
          <w:highlight w:val="none"/>
        </w:rPr>
      </w:pPr>
      <w:r>
        <w:rPr>
          <w:rFonts w:hint="eastAsia" w:hAnsi="宋体" w:cs="宋体"/>
          <w:sz w:val="24"/>
          <w:highlight w:val="none"/>
        </w:rPr>
        <w:t>（五）评标现场宣布中标候选人确定结果并在指定媒体上进行公示。</w:t>
      </w:r>
    </w:p>
    <w:p>
      <w:pPr>
        <w:adjustRightInd w:val="0"/>
        <w:snapToGrid w:val="0"/>
        <w:spacing w:line="430" w:lineRule="exact"/>
        <w:ind w:firstLine="480" w:firstLineChars="200"/>
        <w:rPr>
          <w:rFonts w:hAnsi="宋体" w:cs="宋体"/>
          <w:sz w:val="24"/>
          <w:highlight w:val="none"/>
        </w:rPr>
      </w:pPr>
      <w:r>
        <w:rPr>
          <w:rFonts w:hint="eastAsia" w:hAnsi="宋体" w:cs="宋体"/>
          <w:b/>
          <w:bCs/>
          <w:sz w:val="24"/>
          <w:highlight w:val="none"/>
        </w:rPr>
        <w:t>五、初步评审</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一</w:t>
      </w:r>
      <w:r>
        <w:rPr>
          <w:rFonts w:hint="eastAsia" w:ascii="新宋体" w:hAnsi="新宋体" w:eastAsia="新宋体"/>
          <w:sz w:val="24"/>
          <w:highlight w:val="none"/>
        </w:rPr>
        <w:t>）电子投标文件是否按招标文件要求签字盖章（无需逐页签字盖章）；</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二</w:t>
      </w:r>
      <w:r>
        <w:rPr>
          <w:rFonts w:hint="eastAsia" w:ascii="新宋体" w:hAnsi="新宋体" w:eastAsia="新宋体"/>
          <w:sz w:val="24"/>
          <w:highlight w:val="none"/>
        </w:rPr>
        <w:t>）投标联合体是否提交共同投标协议（允许联合体投标的）；</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三</w:t>
      </w:r>
      <w:r>
        <w:rPr>
          <w:rFonts w:hint="eastAsia" w:ascii="新宋体" w:hAnsi="新宋体" w:eastAsia="新宋体"/>
          <w:sz w:val="24"/>
          <w:highlight w:val="none"/>
        </w:rPr>
        <w:t>）投标人是否符合国家或者招标文件规定的资格条件，注册建造师注册单位与投标人是否一致；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四</w:t>
      </w:r>
      <w:r>
        <w:rPr>
          <w:rFonts w:hint="eastAsia" w:ascii="新宋体" w:hAnsi="新宋体" w:eastAsia="新宋体"/>
          <w:sz w:val="24"/>
          <w:highlight w:val="none"/>
        </w:rPr>
        <w:t xml:space="preserve">）同一投标人是否提交两个以上不同的投标文件或者投标报价，但招标文件要求提交备选投标的除外；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五</w:t>
      </w:r>
      <w:r>
        <w:rPr>
          <w:rFonts w:hint="eastAsia" w:ascii="新宋体" w:hAnsi="新宋体" w:eastAsia="新宋体"/>
          <w:sz w:val="24"/>
          <w:highlight w:val="none"/>
        </w:rPr>
        <w:t>）投标报价是否高于招标文件设定的最高投标限价；</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六</w:t>
      </w:r>
      <w:r>
        <w:rPr>
          <w:rFonts w:hint="eastAsia" w:ascii="新宋体" w:hAnsi="新宋体" w:eastAsia="新宋体"/>
          <w:sz w:val="24"/>
          <w:highlight w:val="none"/>
        </w:rPr>
        <w:t>）投标范围、工期、工程质量、投标有效期、付款方式是否符合招标文件规定；</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eastAsia="zh-CN"/>
        </w:rPr>
        <w:t>七</w:t>
      </w:r>
      <w:r>
        <w:rPr>
          <w:rFonts w:hint="eastAsia" w:ascii="新宋体" w:hAnsi="新宋体" w:eastAsia="新宋体"/>
          <w:sz w:val="24"/>
          <w:highlight w:val="none"/>
        </w:rPr>
        <w:t>）投标人是否有串通投标、弄虚作假、行贿等违法行为。</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lang w:eastAsia="zh-CN"/>
        </w:rPr>
        <w:t>（八）</w:t>
      </w:r>
      <w:r>
        <w:rPr>
          <w:rFonts w:hint="eastAsia" w:ascii="新宋体" w:hAnsi="新宋体" w:eastAsia="新宋体"/>
          <w:sz w:val="24"/>
          <w:highlight w:val="none"/>
        </w:rPr>
        <w:t>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1</w:t>
      </w:r>
      <w:r>
        <w:rPr>
          <w:rFonts w:hint="eastAsia" w:ascii="新宋体" w:hAnsi="新宋体" w:eastAsia="新宋体"/>
          <w:sz w:val="24"/>
          <w:highlight w:val="none"/>
        </w:rPr>
        <w:t>）未按招标文件规定编制各项报价的；</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2</w:t>
      </w:r>
      <w:r>
        <w:rPr>
          <w:rFonts w:hint="eastAsia" w:ascii="新宋体" w:hAnsi="新宋体" w:eastAsia="新宋体"/>
          <w:sz w:val="24"/>
          <w:highlight w:val="none"/>
        </w:rPr>
        <w:t>）投标报价与其组成部分、工程量清单项目合价与综合单价、综合单价与人材机用量相互矛盾，致使评标委员会无法正常评审判定的；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3</w:t>
      </w:r>
      <w:r>
        <w:rPr>
          <w:rFonts w:hint="eastAsia" w:ascii="新宋体" w:hAnsi="新宋体" w:eastAsia="新宋体"/>
          <w:sz w:val="24"/>
          <w:highlight w:val="none"/>
        </w:rPr>
        <w:t>）规费和安全文明施工费违反工程造价计价有关规定的；</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4</w:t>
      </w:r>
      <w:r>
        <w:rPr>
          <w:rFonts w:hint="eastAsia" w:ascii="新宋体" w:hAnsi="新宋体" w:eastAsia="新宋体"/>
          <w:sz w:val="24"/>
          <w:highlight w:val="none"/>
        </w:rPr>
        <w:t>）分部分项工程项目、措施项目报价中的项目编码、项目名称、项目特征、计量单位和工程量与招标文件的清单不一致的；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5</w:t>
      </w:r>
      <w:r>
        <w:rPr>
          <w:rFonts w:hint="eastAsia" w:ascii="新宋体" w:hAnsi="新宋体" w:eastAsia="新宋体"/>
          <w:sz w:val="24"/>
          <w:highlight w:val="none"/>
        </w:rPr>
        <w:t>）未按照招标文件所列明的暂列金额、暂估价编制投标报价的；</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w:t>
      </w:r>
      <w:r>
        <w:rPr>
          <w:rFonts w:hint="eastAsia" w:ascii="新宋体" w:hAnsi="新宋体" w:eastAsia="新宋体"/>
          <w:sz w:val="24"/>
          <w:highlight w:val="none"/>
          <w:lang w:val="en-US" w:eastAsia="zh-CN"/>
        </w:rPr>
        <w:t>6</w:t>
      </w:r>
      <w:r>
        <w:rPr>
          <w:rFonts w:hint="eastAsia" w:ascii="新宋体" w:hAnsi="新宋体" w:eastAsia="新宋体"/>
          <w:sz w:val="24"/>
          <w:highlight w:val="none"/>
        </w:rPr>
        <w:t>）住房和城乡建设部《标准施工招标文件》规定的其他否决投标条件。</w:t>
      </w:r>
    </w:p>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highlight w:val="none"/>
        </w:rPr>
      </w:pPr>
      <w:r>
        <w:rPr>
          <w:rFonts w:hint="eastAsia" w:hAnsi="宋体" w:cs="宋体"/>
          <w:b/>
          <w:bCs/>
          <w:sz w:val="24"/>
          <w:szCs w:val="24"/>
          <w:highlight w:val="none"/>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ind w:firstLine="480" w:firstLineChars="200"/>
        <w:rPr>
          <w:rFonts w:hint="eastAsia" w:ascii="新宋体" w:hAnsi="新宋体" w:eastAsia="新宋体"/>
          <w:sz w:val="24"/>
          <w:highlight w:val="none"/>
          <w:lang w:eastAsia="zh-CN"/>
        </w:rPr>
      </w:pPr>
      <w:r>
        <w:rPr>
          <w:rFonts w:hint="eastAsia" w:ascii="新宋体" w:hAnsi="新宋体" w:eastAsia="新宋体"/>
          <w:sz w:val="24"/>
          <w:highlight w:val="none"/>
          <w:lang w:eastAsia="zh-CN"/>
        </w:rPr>
        <w:t>（九）</w:t>
      </w:r>
      <w:r>
        <w:rPr>
          <w:rFonts w:hint="eastAsia" w:ascii="新宋体" w:hAnsi="新宋体" w:eastAsia="新宋体"/>
          <w:sz w:val="24"/>
          <w:highlight w:val="none"/>
        </w:rPr>
        <w:t>商务标清标内容</w:t>
      </w:r>
      <w:r>
        <w:rPr>
          <w:rFonts w:hint="eastAsia" w:ascii="新宋体" w:hAnsi="新宋体" w:eastAsia="新宋体"/>
          <w:sz w:val="24"/>
          <w:highlight w:val="none"/>
          <w:lang w:eastAsia="zh-CN"/>
        </w:rPr>
        <w:t>。</w:t>
      </w:r>
    </w:p>
    <w:tbl>
      <w:tblPr>
        <w:tblStyle w:val="29"/>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highlight w:val="none"/>
              </w:rPr>
            </w:pPr>
            <w:r>
              <w:rPr>
                <w:rFonts w:hint="eastAsia" w:ascii="新宋体" w:hAnsi="新宋体" w:eastAsia="新宋体"/>
                <w:sz w:val="24"/>
                <w:highlight w:val="none"/>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r>
              <w:rPr>
                <w:rFonts w:hint="eastAsia" w:ascii="新宋体" w:hAnsi="新宋体" w:eastAsia="新宋体"/>
                <w:sz w:val="24"/>
                <w:highlight w:val="none"/>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highlight w:val="none"/>
              </w:rPr>
            </w:pPr>
          </w:p>
        </w:tc>
      </w:tr>
    </w:tbl>
    <w:p>
      <w:pPr>
        <w:spacing w:line="44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注：不在上述范围内且不具有实质性影响的内容，均不能作为清标的依据或理由。</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初步评审经审查后应写出评审意见。</w:t>
      </w:r>
    </w:p>
    <w:p>
      <w:pPr>
        <w:snapToGrid w:val="0"/>
        <w:spacing w:line="360" w:lineRule="auto"/>
        <w:ind w:firstLine="480" w:firstLineChars="200"/>
        <w:rPr>
          <w:rFonts w:hAnsi="宋体" w:cs="宋体"/>
          <w:sz w:val="24"/>
          <w:szCs w:val="24"/>
          <w:highlight w:val="none"/>
        </w:rPr>
      </w:pPr>
      <w:r>
        <w:rPr>
          <w:rFonts w:hint="eastAsia" w:ascii="新宋体" w:hAnsi="新宋体" w:eastAsia="新宋体"/>
          <w:b/>
          <w:sz w:val="24"/>
          <w:highlight w:val="none"/>
        </w:rPr>
        <w:t>六、</w:t>
      </w:r>
      <w:r>
        <w:rPr>
          <w:rFonts w:hint="eastAsia" w:hAnsi="宋体" w:cs="宋体"/>
          <w:b/>
          <w:sz w:val="24"/>
          <w:highlight w:val="none"/>
        </w:rPr>
        <w:t>详细评审</w:t>
      </w:r>
    </w:p>
    <w:p>
      <w:pPr>
        <w:snapToGrid w:val="0"/>
        <w:spacing w:line="360" w:lineRule="auto"/>
        <w:rPr>
          <w:rFonts w:hAnsi="宋体" w:cs="宋体"/>
          <w:sz w:val="24"/>
          <w:szCs w:val="24"/>
          <w:highlight w:val="none"/>
        </w:rPr>
      </w:pPr>
      <w:r>
        <w:rPr>
          <w:rFonts w:hint="eastAsia" w:hAnsi="宋体" w:cs="宋体"/>
          <w:sz w:val="24"/>
          <w:szCs w:val="24"/>
          <w:highlight w:val="none"/>
        </w:rPr>
        <w:t xml:space="preserve">   </w:t>
      </w:r>
      <w:r>
        <w:rPr>
          <w:rFonts w:hint="eastAsia" w:hAnsi="宋体" w:cs="宋体"/>
          <w:b/>
          <w:bCs/>
          <w:sz w:val="24"/>
          <w:szCs w:val="24"/>
          <w:highlight w:val="none"/>
        </w:rPr>
        <w:t>（</w:t>
      </w:r>
      <w:r>
        <w:rPr>
          <w:rFonts w:hint="eastAsia" w:hAnsi="宋体" w:cs="宋体"/>
          <w:b/>
          <w:bCs/>
          <w:sz w:val="24"/>
          <w:szCs w:val="24"/>
          <w:highlight w:val="none"/>
          <w:lang w:eastAsia="zh-CN"/>
        </w:rPr>
        <w:t>一</w:t>
      </w:r>
      <w:r>
        <w:rPr>
          <w:rFonts w:hint="eastAsia" w:hAnsi="宋体" w:cs="宋体"/>
          <w:b/>
          <w:bCs/>
          <w:sz w:val="24"/>
          <w:szCs w:val="24"/>
          <w:highlight w:val="none"/>
        </w:rPr>
        <w:t>）技术标（</w:t>
      </w:r>
      <w:r>
        <w:rPr>
          <w:rFonts w:hint="eastAsia" w:hAnsi="宋体" w:cs="宋体"/>
          <w:b/>
          <w:bCs/>
          <w:sz w:val="24"/>
          <w:szCs w:val="24"/>
          <w:highlight w:val="none"/>
          <w:lang w:val="en-US" w:eastAsia="zh-CN"/>
        </w:rPr>
        <w:t>25</w:t>
      </w:r>
      <w:r>
        <w:rPr>
          <w:rFonts w:hint="eastAsia" w:hAnsi="宋体" w:cs="宋体"/>
          <w:b/>
          <w:bCs/>
          <w:sz w:val="24"/>
          <w:szCs w:val="24"/>
          <w:highlight w:val="none"/>
        </w:rPr>
        <w:t>分）</w:t>
      </w:r>
    </w:p>
    <w:tbl>
      <w:tblPr>
        <w:tblStyle w:val="29"/>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11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2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内容完整性</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0-0.5分</w:t>
            </w:r>
          </w:p>
        </w:tc>
        <w:tc>
          <w:tcPr>
            <w:tcW w:w="52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技术标的主要内容具有完整性，符合招标文件的要求。</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技术标不符合招标文件要求。</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1-3分</w:t>
            </w: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204" w:type="dxa"/>
            <w:noWrap w:val="0"/>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1-2分</w:t>
            </w:r>
          </w:p>
        </w:tc>
        <w:tc>
          <w:tcPr>
            <w:tcW w:w="5204" w:type="dxa"/>
            <w:noWrap w:val="0"/>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文明施工、环境保护管理体系及施工现场扬尘治理措施</w:t>
            </w:r>
            <w:r>
              <w:rPr>
                <w:rFonts w:hint="eastAsia" w:ascii="宋体" w:hAnsi="宋体" w:eastAsia="宋体" w:cs="宋体"/>
                <w:kern w:val="0"/>
                <w:sz w:val="24"/>
                <w:szCs w:val="24"/>
                <w:highlight w:val="none"/>
              </w:rPr>
              <w:t xml:space="preserve">  </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工期保证措施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工期承诺满足招标文件要求，工期保证措施合理且有针对性，有具体的违约责任承诺。</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工期承诺满足招标文件要求，工期保证措施基本合理，有具体的违约责任承诺。</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拟投入资源配备计划</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0.5-2分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1.机械：投入计划与进度计划呼应，采用先进机械设备且配置合理、先进，满足安全技术规范和施工进度需要；PC构件运输、安装设备满足施工要求；</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2.劳动力：投入计划与进度计划呼应，较好满足施工需要，调配投入计划合理、准确；</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1.机械：投入计划与进度计划呼应，机械设备配置基本合理，满足安全技术规范和施工进度需要；</w:t>
            </w:r>
          </w:p>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2.劳动力：投入计划与进度计划呼应，基本满足施工需要，调配投入计划基本合理；</w:t>
            </w:r>
          </w:p>
          <w:p>
            <w:pPr>
              <w:spacing w:line="300" w:lineRule="exac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施工进度表与网络计划图</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0.5-2分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关键线路清晰、准确、完整、计划编制合理、可行、满足招标文件对工期的要求。</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关键线路基本准确，计划编制基本可行。</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施工总平面图布置</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0.5-1分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总体布置有针对性、合理、能较好满足施工需要，符合安全、文明施工要求；材料堆放有序。</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总体布置基本合理、基本满足施工需要。</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276" w:type="dxa"/>
            <w:vMerge w:val="restar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技术创新的应用实施措施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（1）节能减排、（2）绿色施工、（3）工艺创新、（4）装配式建筑等技术创新的应用实施措施基本符合工程情况，具有针</w:t>
            </w:r>
            <w:r>
              <w:rPr>
                <w:rFonts w:hint="eastAsia" w:ascii="宋体" w:hAnsi="宋体" w:eastAsia="宋体" w:cs="宋体"/>
                <w:sz w:val="24"/>
                <w:szCs w:val="24"/>
                <w:highlight w:val="none"/>
              </w:rPr>
              <w:t>对性。</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2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采用新工艺、新技术、新设备、新材料、BIM等的程度满足设计要求，符合施工需要和相应技术标准等规定，经济适用。</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采用新工艺、新技术、新设备、新材料、BIM等的程度满足设计要求， 基本符合施工要求和相应技术标准等规定。</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2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0.5-1.5分</w:t>
            </w: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施工现场实施信息化监控和数据处理系统布置合理，满足需要。</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施工现场实施信息化监控和数据处理系统布置基本符合需要。</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2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风险管理措施</w:t>
            </w:r>
          </w:p>
        </w:tc>
        <w:tc>
          <w:tcPr>
            <w:tcW w:w="11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风险防控管理措施齐全，风险预控符合规范要求，风险控制要点定位准确，各阶段风险控制及应急措施得力。</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567" w:type="dxa"/>
            <w:vMerge w:val="continue"/>
            <w:noWrap w:val="0"/>
            <w:vAlign w:val="center"/>
          </w:tcPr>
          <w:p>
            <w:pPr>
              <w:jc w:val="left"/>
              <w:rPr>
                <w:rFonts w:hint="eastAsia" w:ascii="宋体" w:hAnsi="宋体" w:eastAsia="宋体" w:cs="宋体"/>
                <w:sz w:val="24"/>
                <w:szCs w:val="24"/>
                <w:highlight w:val="none"/>
              </w:rPr>
            </w:pPr>
          </w:p>
        </w:tc>
        <w:tc>
          <w:tcPr>
            <w:tcW w:w="1276" w:type="dxa"/>
            <w:vMerge w:val="continue"/>
            <w:noWrap w:val="0"/>
            <w:vAlign w:val="center"/>
          </w:tcPr>
          <w:p>
            <w:pPr>
              <w:jc w:val="left"/>
              <w:rPr>
                <w:rFonts w:hint="eastAsia" w:ascii="宋体" w:hAnsi="宋体" w:eastAsia="宋体" w:cs="宋体"/>
                <w:sz w:val="24"/>
                <w:szCs w:val="24"/>
                <w:highlight w:val="none"/>
              </w:rPr>
            </w:pPr>
          </w:p>
        </w:tc>
        <w:tc>
          <w:tcPr>
            <w:tcW w:w="1175" w:type="dxa"/>
            <w:vMerge w:val="continue"/>
            <w:noWrap w:val="0"/>
            <w:vAlign w:val="center"/>
          </w:tcPr>
          <w:p>
            <w:pPr>
              <w:jc w:val="left"/>
              <w:rPr>
                <w:rFonts w:hint="eastAsia" w:ascii="宋体" w:hAnsi="宋体" w:eastAsia="宋体" w:cs="宋体"/>
                <w:sz w:val="24"/>
                <w:szCs w:val="24"/>
                <w:highlight w:val="none"/>
              </w:rPr>
            </w:pPr>
          </w:p>
        </w:tc>
        <w:tc>
          <w:tcPr>
            <w:tcW w:w="5204"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风险防控管理措施基本齐全，风险预控符合规范要求，风险控制要点定位基本准确，有各阶段风险控制及应急措施。</w:t>
            </w: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0" w:hRule="atLeast"/>
          <w:jc w:val="center"/>
        </w:trPr>
        <w:tc>
          <w:tcPr>
            <w:tcW w:w="1843"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17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10-25分</w:t>
            </w:r>
          </w:p>
        </w:tc>
        <w:tc>
          <w:tcPr>
            <w:tcW w:w="5204" w:type="dxa"/>
            <w:noWrap w:val="0"/>
            <w:vAlign w:val="center"/>
          </w:tcPr>
          <w:p>
            <w:pPr>
              <w:rPr>
                <w:rFonts w:hint="eastAsia" w:ascii="宋体" w:hAnsi="宋体" w:eastAsia="宋体" w:cs="宋体"/>
                <w:sz w:val="24"/>
                <w:szCs w:val="24"/>
                <w:highlight w:val="none"/>
              </w:rPr>
            </w:pPr>
          </w:p>
        </w:tc>
        <w:tc>
          <w:tcPr>
            <w:tcW w:w="168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10≤得分≤25</w:t>
            </w:r>
          </w:p>
        </w:tc>
      </w:tr>
    </w:tbl>
    <w:p>
      <w:pPr>
        <w:pStyle w:val="2"/>
        <w:rPr>
          <w:highlight w:val="none"/>
        </w:rPr>
      </w:pPr>
      <w:r>
        <w:rPr>
          <w:rFonts w:hint="eastAsia" w:hAnsi="宋体" w:cs="宋体"/>
          <w:bCs/>
          <w:sz w:val="24"/>
          <w:szCs w:val="24"/>
          <w:highlight w:val="none"/>
        </w:rPr>
        <w:t xml:space="preserve">  </w:t>
      </w:r>
      <w:r>
        <w:rPr>
          <w:rFonts w:hint="eastAsia" w:hAnsi="宋体" w:cs="宋体"/>
          <w:bCs/>
          <w:strike w:val="0"/>
          <w:dstrike w:val="0"/>
          <w:color w:val="auto"/>
          <w:sz w:val="24"/>
          <w:szCs w:val="24"/>
          <w:highlight w:val="none"/>
        </w:rPr>
        <w:t>以上项目若有缺项，该项为0分。</w:t>
      </w:r>
    </w:p>
    <w:p>
      <w:pPr>
        <w:snapToGrid w:val="0"/>
        <w:spacing w:line="360" w:lineRule="auto"/>
        <w:rPr>
          <w:rFonts w:hAnsi="宋体" w:cs="宋体"/>
          <w:b/>
          <w:bCs/>
          <w:sz w:val="24"/>
          <w:szCs w:val="24"/>
          <w:highlight w:val="none"/>
        </w:rPr>
      </w:pPr>
      <w:r>
        <w:rPr>
          <w:rFonts w:hint="eastAsia" w:hAnsi="宋体" w:cs="宋体"/>
          <w:b/>
          <w:bCs/>
          <w:sz w:val="24"/>
          <w:szCs w:val="24"/>
          <w:highlight w:val="none"/>
        </w:rPr>
        <w:t xml:space="preserve">   （</w:t>
      </w:r>
      <w:r>
        <w:rPr>
          <w:rFonts w:hint="eastAsia" w:hAnsi="宋体" w:cs="宋体"/>
          <w:b/>
          <w:bCs/>
          <w:sz w:val="24"/>
          <w:szCs w:val="24"/>
          <w:highlight w:val="none"/>
          <w:lang w:eastAsia="zh-CN"/>
        </w:rPr>
        <w:t>二</w:t>
      </w:r>
      <w:r>
        <w:rPr>
          <w:rFonts w:hint="eastAsia" w:hAnsi="宋体" w:cs="宋体"/>
          <w:b/>
          <w:bCs/>
          <w:sz w:val="24"/>
          <w:szCs w:val="24"/>
          <w:highlight w:val="none"/>
        </w:rPr>
        <w:t>）商务标（</w:t>
      </w:r>
      <w:r>
        <w:rPr>
          <w:rFonts w:hint="eastAsia" w:hAnsi="宋体" w:cs="宋体"/>
          <w:b/>
          <w:bCs/>
          <w:sz w:val="24"/>
          <w:szCs w:val="24"/>
          <w:highlight w:val="none"/>
          <w:lang w:val="en-US" w:eastAsia="zh-CN"/>
        </w:rPr>
        <w:t>50</w:t>
      </w:r>
      <w:r>
        <w:rPr>
          <w:rFonts w:hint="eastAsia" w:hAnsi="宋体" w:cs="宋体"/>
          <w:b/>
          <w:bCs/>
          <w:sz w:val="24"/>
          <w:szCs w:val="24"/>
          <w:highlight w:val="none"/>
        </w:rPr>
        <w:t>分）</w:t>
      </w:r>
    </w:p>
    <w:p>
      <w:pPr>
        <w:snapToGrid w:val="0"/>
        <w:spacing w:line="360" w:lineRule="auto"/>
        <w:ind w:firstLine="481"/>
        <w:rPr>
          <w:rFonts w:hint="eastAsia" w:hAnsi="宋体" w:cs="宋体"/>
          <w:b/>
          <w:bCs/>
          <w:sz w:val="24"/>
          <w:szCs w:val="24"/>
          <w:highlight w:val="none"/>
        </w:rPr>
      </w:pPr>
      <w:r>
        <w:rPr>
          <w:rFonts w:hint="eastAsia" w:hAnsi="宋体" w:cs="宋体"/>
          <w:b/>
          <w:bCs/>
          <w:sz w:val="24"/>
          <w:szCs w:val="24"/>
          <w:highlight w:val="none"/>
        </w:rPr>
        <w:t xml:space="preserve"> 1</w:t>
      </w:r>
      <w:r>
        <w:rPr>
          <w:rFonts w:hint="eastAsia" w:hAnsi="宋体" w:cs="宋体"/>
          <w:b/>
          <w:bCs/>
          <w:sz w:val="24"/>
          <w:szCs w:val="24"/>
          <w:highlight w:val="none"/>
          <w:lang w:eastAsia="zh-CN"/>
        </w:rPr>
        <w:t>、</w:t>
      </w:r>
      <w:r>
        <w:rPr>
          <w:rFonts w:hint="eastAsia" w:hAnsi="宋体" w:cs="宋体"/>
          <w:b/>
          <w:bCs/>
          <w:sz w:val="24"/>
          <w:szCs w:val="24"/>
          <w:highlight w:val="none"/>
        </w:rPr>
        <w:t>投标报价的评审，共计30分。</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工程量清单报价评标基准价计算公式为：</w:t>
      </w:r>
    </w:p>
    <w:p>
      <w:pPr>
        <w:snapToGrid w:val="0"/>
        <w:spacing w:line="360" w:lineRule="auto"/>
        <w:ind w:firstLine="484"/>
        <w:rPr>
          <w:rFonts w:hAnsi="宋体" w:cs="宋体"/>
          <w:sz w:val="24"/>
          <w:szCs w:val="24"/>
        </w:rPr>
      </w:pPr>
      <w:r>
        <w:rPr>
          <w:rFonts w:hint="eastAsia" w:hAnsi="宋体" w:cs="宋体"/>
          <w:sz w:val="24"/>
          <w:szCs w:val="24"/>
        </w:rPr>
        <w:t>评标基准价＝最高投标限价×K+投标报价×（1－K）。</w:t>
      </w:r>
    </w:p>
    <w:p>
      <w:pPr>
        <w:snapToGrid w:val="0"/>
        <w:spacing w:line="360" w:lineRule="auto"/>
        <w:ind w:firstLine="484"/>
        <w:rPr>
          <w:rFonts w:hAnsi="宋体" w:cs="宋体"/>
          <w:sz w:val="24"/>
          <w:szCs w:val="24"/>
        </w:rPr>
      </w:pPr>
      <w:r>
        <w:rPr>
          <w:rFonts w:hint="eastAsia" w:hAnsi="宋体" w:cs="宋体"/>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580" w:firstLineChars="242"/>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int="eastAsia" w:hAnsi="宋体" w:cs="宋体"/>
          <w:b/>
          <w:bCs/>
          <w:sz w:val="24"/>
          <w:szCs w:val="24"/>
          <w:highlight w:val="none"/>
        </w:rPr>
      </w:pPr>
      <w:r>
        <w:rPr>
          <w:rFonts w:hint="eastAsia" w:hAnsi="宋体" w:cs="宋体"/>
          <w:b/>
          <w:bCs/>
          <w:sz w:val="24"/>
          <w:szCs w:val="24"/>
          <w:highlight w:val="none"/>
        </w:rPr>
        <w:t>2</w:t>
      </w:r>
      <w:r>
        <w:rPr>
          <w:rFonts w:hint="eastAsia" w:hAnsi="宋体" w:cs="宋体"/>
          <w:b/>
          <w:bCs/>
          <w:sz w:val="24"/>
          <w:szCs w:val="24"/>
          <w:highlight w:val="none"/>
          <w:lang w:eastAsia="zh-CN"/>
        </w:rPr>
        <w:t>、</w:t>
      </w:r>
      <w:r>
        <w:rPr>
          <w:rFonts w:hint="eastAsia" w:hAnsi="宋体" w:cs="宋体"/>
          <w:b/>
          <w:bCs/>
          <w:sz w:val="24"/>
          <w:szCs w:val="24"/>
          <w:highlight w:val="none"/>
        </w:rPr>
        <w:t>分部分项工程项目清单单价评审，共计10分。</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b/>
          <w:bCs/>
          <w:sz w:val="24"/>
          <w:szCs w:val="24"/>
          <w:highlight w:val="none"/>
        </w:rPr>
        <w:t>3</w:t>
      </w:r>
      <w:r>
        <w:rPr>
          <w:rFonts w:hint="eastAsia" w:hAnsi="宋体" w:cs="宋体"/>
          <w:b/>
          <w:bCs/>
          <w:sz w:val="24"/>
          <w:szCs w:val="24"/>
          <w:highlight w:val="none"/>
          <w:lang w:eastAsia="zh-CN"/>
        </w:rPr>
        <w:t>、</w:t>
      </w:r>
      <w:r>
        <w:rPr>
          <w:rFonts w:hint="eastAsia" w:hAnsi="宋体" w:cs="宋体"/>
          <w:b/>
          <w:bCs/>
          <w:sz w:val="24"/>
          <w:szCs w:val="24"/>
          <w:highlight w:val="none"/>
        </w:rPr>
        <w:t>措施项目费的评审（不含安全文明措施费），共计5分。</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int="eastAsia" w:hAnsi="宋体" w:cs="宋体"/>
          <w:b/>
          <w:bCs/>
          <w:sz w:val="24"/>
          <w:szCs w:val="24"/>
          <w:highlight w:val="none"/>
        </w:rPr>
      </w:pPr>
      <w:r>
        <w:rPr>
          <w:rFonts w:hint="eastAsia" w:hAnsi="宋体" w:cs="宋体"/>
          <w:b/>
          <w:bCs/>
          <w:sz w:val="24"/>
          <w:szCs w:val="24"/>
          <w:highlight w:val="none"/>
        </w:rPr>
        <w:t>4</w:t>
      </w:r>
      <w:r>
        <w:rPr>
          <w:rFonts w:hint="eastAsia" w:hAnsi="宋体" w:cs="宋体"/>
          <w:b/>
          <w:bCs/>
          <w:sz w:val="24"/>
          <w:szCs w:val="24"/>
          <w:highlight w:val="none"/>
          <w:lang w:eastAsia="zh-CN"/>
        </w:rPr>
        <w:t>、</w:t>
      </w:r>
      <w:r>
        <w:rPr>
          <w:rFonts w:hint="eastAsia" w:hAnsi="宋体" w:cs="宋体"/>
          <w:b/>
          <w:bCs/>
          <w:sz w:val="24"/>
          <w:szCs w:val="24"/>
          <w:highlight w:val="none"/>
        </w:rPr>
        <w:t>主要材料单价的评审，共计5分。</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z w:val="24"/>
          <w:szCs w:val="24"/>
          <w:highlight w:val="none"/>
          <w:lang w:val="en-US" w:eastAsia="zh-CN"/>
        </w:rPr>
      </w:pPr>
      <w:r>
        <w:rPr>
          <w:rFonts w:hint="eastAsia" w:hAnsi="宋体" w:cs="宋体"/>
          <w:sz w:val="24"/>
          <w:szCs w:val="24"/>
          <w:highlight w:val="none"/>
        </w:rPr>
        <w:t>当投标人报价在材料单价基准值95%–103%范围内（不含95%和103%）每项得0.5分，在材料单价基准值90%–95%范围内（含90%和95%）每项得0.25分。超出该范围的不得分。</w:t>
      </w:r>
      <w:r>
        <w:rPr>
          <w:rFonts w:hint="eastAsia" w:hAnsi="宋体" w:cs="宋体"/>
          <w:sz w:val="24"/>
          <w:szCs w:val="24"/>
          <w:highlight w:val="none"/>
          <w:lang w:val="en-US" w:eastAsia="zh-CN"/>
        </w:rPr>
        <w:t xml:space="preserve"> </w:t>
      </w:r>
    </w:p>
    <w:p>
      <w:pPr>
        <w:adjustRightInd w:val="0"/>
        <w:snapToGrid w:val="0"/>
        <w:spacing w:line="440" w:lineRule="exact"/>
        <w:ind w:firstLine="578" w:firstLineChars="241"/>
        <w:rPr>
          <w:rFonts w:hint="eastAsia" w:hAnsi="宋体" w:cs="宋体"/>
          <w:b/>
          <w:bCs/>
          <w:sz w:val="24"/>
          <w:szCs w:val="24"/>
          <w:highlight w:val="none"/>
        </w:rPr>
      </w:pPr>
      <w:r>
        <w:rPr>
          <w:rFonts w:hint="eastAsia" w:hAnsi="宋体" w:cs="宋体"/>
          <w:sz w:val="24"/>
          <w:szCs w:val="24"/>
          <w:highlight w:val="none"/>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dstrike w:val="0"/>
          <w:color w:val="FF0000"/>
          <w:sz w:val="24"/>
          <w:szCs w:val="24"/>
          <w:highlight w:val="none"/>
        </w:rPr>
      </w:pPr>
      <w:r>
        <w:rPr>
          <w:rFonts w:hint="eastAsia" w:hAnsi="宋体" w:cs="宋体"/>
          <w:b/>
          <w:bCs/>
          <w:sz w:val="24"/>
          <w:szCs w:val="24"/>
          <w:highlight w:val="none"/>
        </w:rPr>
        <w:t>（</w:t>
      </w:r>
      <w:r>
        <w:rPr>
          <w:rFonts w:hint="eastAsia" w:hAnsi="宋体" w:cs="宋体"/>
          <w:b/>
          <w:bCs/>
          <w:sz w:val="24"/>
          <w:szCs w:val="24"/>
          <w:highlight w:val="none"/>
          <w:lang w:eastAsia="zh-CN"/>
        </w:rPr>
        <w:t>三</w:t>
      </w:r>
      <w:r>
        <w:rPr>
          <w:rFonts w:hint="eastAsia" w:hAnsi="宋体" w:cs="宋体"/>
          <w:b/>
          <w:bCs/>
          <w:sz w:val="24"/>
          <w:szCs w:val="24"/>
          <w:highlight w:val="none"/>
        </w:rPr>
        <w:t>）综合标（</w:t>
      </w:r>
      <w:r>
        <w:rPr>
          <w:rFonts w:hint="eastAsia" w:hAnsi="宋体" w:cs="宋体"/>
          <w:b/>
          <w:bCs/>
          <w:sz w:val="24"/>
          <w:szCs w:val="24"/>
          <w:highlight w:val="none"/>
          <w:lang w:val="en-US" w:eastAsia="zh-CN"/>
        </w:rPr>
        <w:t>25</w:t>
      </w:r>
      <w:r>
        <w:rPr>
          <w:rFonts w:hint="eastAsia" w:hAnsi="宋体" w:cs="宋体"/>
          <w:b/>
          <w:bCs/>
          <w:sz w:val="24"/>
          <w:szCs w:val="24"/>
          <w:highlight w:val="none"/>
        </w:rPr>
        <w:t>分）</w:t>
      </w:r>
    </w:p>
    <w:tbl>
      <w:tblPr>
        <w:tblStyle w:val="29"/>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589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  审   标   准</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589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年1月1日以来（以合同签订时间为准）企业</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类似业绩每项得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分。（以施工合同和竣工验收备案表为准或以施工合同和中标通知书为准）</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tc>
        <w:tc>
          <w:tcPr>
            <w:tcW w:w="5894" w:type="dxa"/>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年1月1日以来（以合同签订时间为准）</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具有类似业绩者每项得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分。（以施工合同和竣工验收备案表为准或以施工合同和中标通知书为准，若不显示项目经理名字，需提供建设单位或招投标监管部门出具的相关证明）</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1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优惠承诺</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优惠承诺应是书面的符合工程实际情况，确保依法依规，优惠合理，详实可行。</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ascii="宋体" w:hAnsi="宋体" w:eastAsia="宋体" w:cs="宋体"/>
                <w:sz w:val="24"/>
                <w:szCs w:val="24"/>
                <w:highlight w:val="none"/>
              </w:rPr>
            </w:pPr>
          </w:p>
        </w:tc>
        <w:tc>
          <w:tcPr>
            <w:tcW w:w="1417" w:type="dxa"/>
            <w:vMerge w:val="continue"/>
            <w:noWrap w:val="0"/>
            <w:vAlign w:val="center"/>
          </w:tcPr>
          <w:p>
            <w:pPr>
              <w:jc w:val="left"/>
              <w:rPr>
                <w:rFonts w:hint="eastAsia" w:ascii="宋体" w:hAnsi="宋体" w:eastAsia="宋体" w:cs="宋体"/>
                <w:sz w:val="24"/>
                <w:szCs w:val="24"/>
                <w:highlight w:val="none"/>
              </w:rPr>
            </w:pP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优惠承诺符合工程实际情况，确保依法依规，优惠基本合理，基本详实可行。</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1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noWrap w:val="0"/>
            <w:vAlign w:val="center"/>
          </w:tcPr>
          <w:p>
            <w:pPr>
              <w:jc w:val="left"/>
              <w:rPr>
                <w:rFonts w:hint="eastAsia" w:ascii="宋体" w:hAnsi="宋体" w:eastAsia="宋体" w:cs="宋体"/>
                <w:sz w:val="24"/>
                <w:szCs w:val="24"/>
                <w:highlight w:val="none"/>
              </w:rPr>
            </w:pPr>
          </w:p>
        </w:tc>
        <w:tc>
          <w:tcPr>
            <w:tcW w:w="1417" w:type="dxa"/>
            <w:vMerge w:val="continue"/>
            <w:noWrap w:val="0"/>
            <w:vAlign w:val="center"/>
          </w:tcPr>
          <w:p>
            <w:pPr>
              <w:jc w:val="left"/>
              <w:rPr>
                <w:rFonts w:hint="eastAsia" w:ascii="宋体" w:hAnsi="宋体" w:eastAsia="宋体" w:cs="宋体"/>
                <w:sz w:val="24"/>
                <w:szCs w:val="24"/>
                <w:highlight w:val="none"/>
              </w:rPr>
            </w:pP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企业信用（含纳税诚信）</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1、企业所承建的市政工程项目2016年1月1日以来荣获省级以上（含省级）优良工程荣誉称号的得1分；（需提供获奖证书和同级奖励文件扫描件，以证书时间为准）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自2016年1月1日以来任一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3、自2016年1月1日以来企业连续两年获得过省级以上（含省级）建设工程招标投标“诚实守信单位”者得1分，缺一个本项不得分；（需提供获奖证书和同级奖励文件扫描件，以证书时间为准）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4、自2016年1月1日以来企业获得过省级以上（含省级）百日安全行动先进者得1分。（需提供获奖证书和同级奖励文件扫描件或者提供奖牌和同级奖励文件扫描件，以证书或奖牌时间为准）</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项目经理信用</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1、自2016年1月1日以来项目经理获得过省级以上（含省级）科技进步奖者得1分。（需提供获奖证书和同级奖励文件扫描件，以证书时间为准）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2、自2016年1月1日以来项目经理获得过省级以上（含省级）安全文明标准工地奖的得1分。（需提供获奖证书和同级奖励文件扫描件，以证书时间为准）</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1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招标人意见</w:t>
            </w:r>
          </w:p>
        </w:tc>
        <w:tc>
          <w:tcPr>
            <w:tcW w:w="5894" w:type="dxa"/>
            <w:noWrap w:val="0"/>
            <w:vAlign w:val="center"/>
          </w:tcPr>
          <w:p>
            <w:pPr>
              <w:jc w:val="center"/>
              <w:rPr>
                <w:rFonts w:hint="eastAsia" w:ascii="宋体" w:hAnsi="宋体" w:eastAsia="宋体" w:cs="宋体"/>
                <w:color w:val="FF0000"/>
                <w:sz w:val="24"/>
                <w:szCs w:val="24"/>
                <w:highlight w:val="none"/>
                <w:lang w:val="en-US" w:eastAsia="zh-CN"/>
              </w:rPr>
            </w:pPr>
            <w:r>
              <w:rPr>
                <w:rFonts w:hint="eastAsia" w:hAnsi="宋体" w:cs="宋体"/>
                <w:color w:val="auto"/>
                <w:sz w:val="24"/>
                <w:szCs w:val="24"/>
                <w:highlight w:val="none"/>
                <w:lang w:eastAsia="zh-CN"/>
              </w:rPr>
              <w:t>招标人意见均为</w:t>
            </w:r>
            <w:r>
              <w:rPr>
                <w:rFonts w:hint="eastAsia" w:hAnsi="宋体" w:cs="宋体"/>
                <w:color w:val="auto"/>
                <w:sz w:val="24"/>
                <w:szCs w:val="24"/>
                <w:highlight w:val="none"/>
                <w:lang w:val="en-US" w:eastAsia="zh-CN"/>
              </w:rPr>
              <w:t>2分</w:t>
            </w:r>
          </w:p>
        </w:tc>
        <w:tc>
          <w:tcPr>
            <w:tcW w:w="151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0≤得分≤2分</w:t>
            </w:r>
          </w:p>
        </w:tc>
      </w:tr>
    </w:tbl>
    <w:p>
      <w:pPr>
        <w:spacing w:line="360" w:lineRule="auto"/>
        <w:ind w:left="475" w:leftChars="140"/>
        <w:rPr>
          <w:rFonts w:hint="eastAsia"/>
          <w:b/>
          <w:sz w:val="24"/>
          <w:szCs w:val="24"/>
          <w:highlight w:val="none"/>
        </w:rPr>
      </w:pPr>
      <w:r>
        <w:rPr>
          <w:rFonts w:hint="eastAsia"/>
          <w:b/>
          <w:sz w:val="24"/>
          <w:szCs w:val="24"/>
          <w:highlight w:val="none"/>
        </w:rPr>
        <w:t>注：1）业绩合同以合同签订日期为准，获奖证书以发证日期为准。</w:t>
      </w:r>
    </w:p>
    <w:p>
      <w:pPr>
        <w:spacing w:line="360" w:lineRule="auto"/>
        <w:ind w:left="475" w:leftChars="140"/>
        <w:rPr>
          <w:rFonts w:hint="eastAsia"/>
          <w:b/>
          <w:sz w:val="24"/>
          <w:szCs w:val="24"/>
          <w:highlight w:val="none"/>
        </w:rPr>
      </w:pPr>
      <w:r>
        <w:rPr>
          <w:rFonts w:hint="eastAsia"/>
          <w:b/>
          <w:sz w:val="24"/>
          <w:szCs w:val="24"/>
          <w:highlight w:val="none"/>
        </w:rPr>
        <w:t>2）凡评标办法里涉及到的证书、证件及业绩材料等，均应在电子版投标文件中附其原件扫描件（</w:t>
      </w:r>
      <w:r>
        <w:rPr>
          <w:rFonts w:hint="eastAsia"/>
          <w:b/>
          <w:color w:val="auto"/>
          <w:sz w:val="24"/>
          <w:szCs w:val="24"/>
          <w:highlight w:val="none"/>
        </w:rPr>
        <w:t>或图片），</w:t>
      </w:r>
      <w:r>
        <w:rPr>
          <w:rFonts w:hint="eastAsia"/>
          <w:b/>
          <w:color w:val="auto"/>
          <w:sz w:val="24"/>
          <w:szCs w:val="24"/>
          <w:highlight w:val="none"/>
          <w:lang w:eastAsia="zh-CN"/>
        </w:rPr>
        <w:t>所有扫描件和图片须</w:t>
      </w:r>
      <w:r>
        <w:rPr>
          <w:rFonts w:hint="eastAsia"/>
          <w:b/>
          <w:color w:val="auto"/>
          <w:sz w:val="24"/>
          <w:szCs w:val="24"/>
          <w:highlight w:val="none"/>
          <w:lang w:val="en-US" w:eastAsia="zh-CN"/>
        </w:rPr>
        <w:t>加盖企业电子公章，</w:t>
      </w:r>
      <w:r>
        <w:rPr>
          <w:rFonts w:hint="eastAsia"/>
          <w:b/>
          <w:color w:val="auto"/>
          <w:sz w:val="24"/>
          <w:szCs w:val="24"/>
          <w:highlight w:val="none"/>
        </w:rPr>
        <w:t>否</w:t>
      </w:r>
      <w:r>
        <w:rPr>
          <w:rFonts w:hint="eastAsia"/>
          <w:b/>
          <w:sz w:val="24"/>
          <w:szCs w:val="24"/>
          <w:highlight w:val="none"/>
        </w:rPr>
        <w:t>则该项得分应作0分处理。</w:t>
      </w:r>
    </w:p>
    <w:p>
      <w:pPr>
        <w:snapToGrid w:val="0"/>
        <w:spacing w:line="420" w:lineRule="exact"/>
        <w:ind w:firstLine="480" w:firstLineChars="200"/>
        <w:rPr>
          <w:rFonts w:hint="eastAsia"/>
          <w:b/>
          <w:sz w:val="24"/>
          <w:szCs w:val="24"/>
          <w:highlight w:val="none"/>
        </w:rPr>
      </w:pPr>
      <w:r>
        <w:rPr>
          <w:rFonts w:hint="eastAsia"/>
          <w:b/>
          <w:sz w:val="24"/>
          <w:szCs w:val="24"/>
          <w:highlight w:val="none"/>
        </w:rPr>
        <w:t>3）近年来指201</w:t>
      </w:r>
      <w:r>
        <w:rPr>
          <w:rFonts w:hint="eastAsia"/>
          <w:b/>
          <w:sz w:val="24"/>
          <w:szCs w:val="24"/>
          <w:highlight w:val="none"/>
          <w:lang w:val="en-US" w:eastAsia="zh-CN"/>
        </w:rPr>
        <w:t>6</w:t>
      </w:r>
      <w:r>
        <w:rPr>
          <w:rFonts w:hint="eastAsia"/>
          <w:b/>
          <w:sz w:val="24"/>
          <w:szCs w:val="24"/>
          <w:highlight w:val="none"/>
        </w:rPr>
        <w:t>年1月1日以来。</w:t>
      </w:r>
    </w:p>
    <w:p>
      <w:pPr>
        <w:adjustRightInd w:val="0"/>
        <w:snapToGrid w:val="0"/>
        <w:spacing w:line="360" w:lineRule="auto"/>
        <w:ind w:firstLine="470" w:firstLineChars="196"/>
        <w:rPr>
          <w:rFonts w:hAnsi="宋体" w:cs="宋体"/>
          <w:sz w:val="24"/>
          <w:szCs w:val="24"/>
          <w:highlight w:val="none"/>
        </w:rPr>
      </w:pPr>
      <w:r>
        <w:rPr>
          <w:rFonts w:hint="eastAsia" w:hAnsi="宋体" w:cs="宋体"/>
          <w:b/>
          <w:bCs/>
          <w:sz w:val="24"/>
          <w:szCs w:val="24"/>
          <w:highlight w:val="none"/>
        </w:rPr>
        <w:t>（</w:t>
      </w:r>
      <w:r>
        <w:rPr>
          <w:rFonts w:hint="eastAsia" w:hAnsi="宋体" w:cs="宋体"/>
          <w:b/>
          <w:bCs/>
          <w:sz w:val="24"/>
          <w:szCs w:val="24"/>
          <w:highlight w:val="none"/>
          <w:lang w:eastAsia="zh-CN"/>
        </w:rPr>
        <w:t>四</w:t>
      </w:r>
      <w:r>
        <w:rPr>
          <w:rFonts w:hint="eastAsia" w:hAnsi="宋体" w:cs="宋体"/>
          <w:b/>
          <w:bCs/>
          <w:sz w:val="24"/>
          <w:szCs w:val="24"/>
          <w:highlight w:val="none"/>
        </w:rPr>
        <w:t>）投标人综合得分</w:t>
      </w:r>
    </w:p>
    <w:p>
      <w:pPr>
        <w:snapToGrid w:val="0"/>
        <w:spacing w:line="360" w:lineRule="auto"/>
        <w:ind w:firstLine="481"/>
        <w:rPr>
          <w:rFonts w:hint="eastAsia" w:hAnsi="宋体" w:cs="宋体"/>
          <w:sz w:val="24"/>
          <w:szCs w:val="24"/>
          <w:highlight w:val="none"/>
        </w:rPr>
      </w:pPr>
      <w:r>
        <w:rPr>
          <w:rFonts w:hint="eastAsia" w:hAnsi="宋体" w:cs="宋体"/>
          <w:sz w:val="24"/>
          <w:szCs w:val="24"/>
          <w:highlight w:val="none"/>
        </w:rPr>
        <w:t>评标委员会应按下列公式计算得分，分值均保留两位小数。</w:t>
      </w:r>
    </w:p>
    <w:p>
      <w:pPr>
        <w:snapToGrid w:val="0"/>
        <w:spacing w:line="360" w:lineRule="auto"/>
        <w:ind w:firstLine="481"/>
        <w:rPr>
          <w:rFonts w:hint="eastAsia" w:hAnsi="宋体" w:cs="宋体"/>
          <w:sz w:val="24"/>
          <w:szCs w:val="24"/>
          <w:highlight w:val="none"/>
        </w:rPr>
      </w:pPr>
      <w:r>
        <w:rPr>
          <w:rFonts w:hint="eastAsia" w:hAnsi="宋体" w:cs="宋体"/>
          <w:sz w:val="24"/>
          <w:szCs w:val="24"/>
          <w:highlight w:val="none"/>
        </w:rPr>
        <w:t>投标人综合得分＝技术标得分＋商务标得分＋综合标得分。</w:t>
      </w:r>
    </w:p>
    <w:p>
      <w:pPr>
        <w:adjustRightInd w:val="0"/>
        <w:snapToGrid w:val="0"/>
        <w:spacing w:line="400" w:lineRule="exact"/>
        <w:rPr>
          <w:rFonts w:hAnsi="宋体" w:cs="宋体"/>
          <w:sz w:val="24"/>
          <w:szCs w:val="24"/>
          <w:highlight w:val="none"/>
        </w:rPr>
      </w:pPr>
      <w:r>
        <w:rPr>
          <w:rFonts w:hint="eastAsia" w:hAnsi="宋体" w:cs="宋体"/>
          <w:b/>
          <w:bCs/>
          <w:sz w:val="24"/>
          <w:szCs w:val="24"/>
          <w:highlight w:val="none"/>
        </w:rPr>
        <w:t xml:space="preserve">    （</w:t>
      </w:r>
      <w:r>
        <w:rPr>
          <w:rFonts w:hint="eastAsia" w:hAnsi="宋体" w:cs="宋体"/>
          <w:b/>
          <w:bCs/>
          <w:sz w:val="24"/>
          <w:szCs w:val="24"/>
          <w:highlight w:val="none"/>
          <w:lang w:eastAsia="zh-CN"/>
        </w:rPr>
        <w:t>五</w:t>
      </w:r>
      <w:r>
        <w:rPr>
          <w:rFonts w:hint="eastAsia" w:hAnsi="宋体" w:cs="宋体"/>
          <w:b/>
          <w:bCs/>
          <w:sz w:val="24"/>
          <w:szCs w:val="24"/>
          <w:highlight w:val="none"/>
        </w:rPr>
        <w:t>）投标人的最终得分及中标候选人排序</w:t>
      </w:r>
      <w:r>
        <w:rPr>
          <w:rFonts w:hint="eastAsia" w:hAnsi="宋体" w:cs="宋体"/>
          <w:sz w:val="24"/>
          <w:szCs w:val="24"/>
          <w:highlight w:val="none"/>
        </w:rPr>
        <w:t xml:space="preserve"> </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highlight w:val="none"/>
        </w:rPr>
      </w:pPr>
      <w:r>
        <w:rPr>
          <w:rFonts w:hint="eastAsia" w:hAnsi="宋体" w:cs="宋体"/>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highlight w:val="none"/>
        </w:rPr>
      </w:pPr>
      <w:r>
        <w:rPr>
          <w:rFonts w:hint="eastAsia" w:hAnsi="宋体" w:cs="宋体"/>
          <w:b/>
          <w:sz w:val="24"/>
          <w:highlight w:val="none"/>
        </w:rPr>
        <w:t>八、定标</w:t>
      </w:r>
    </w:p>
    <w:p>
      <w:pPr>
        <w:adjustRightInd w:val="0"/>
        <w:snapToGrid w:val="0"/>
        <w:spacing w:line="440" w:lineRule="exact"/>
        <w:ind w:firstLine="480" w:firstLineChars="200"/>
        <w:rPr>
          <w:rFonts w:hAnsi="宋体" w:cs="宋体"/>
          <w:sz w:val="24"/>
          <w:highlight w:val="none"/>
        </w:rPr>
      </w:pPr>
      <w:r>
        <w:rPr>
          <w:rFonts w:hint="eastAsia" w:ascii="新宋体" w:hAnsi="新宋体" w:eastAsia="新宋体"/>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highlight w:val="none"/>
        </w:rPr>
        <w:t>。</w:t>
      </w:r>
    </w:p>
    <w:p>
      <w:pPr>
        <w:pStyle w:val="78"/>
        <w:keepNext w:val="0"/>
        <w:keepLines w:val="0"/>
        <w:adjustRightInd w:val="0"/>
        <w:snapToGrid w:val="0"/>
        <w:spacing w:line="440" w:lineRule="exact"/>
        <w:ind w:firstLine="480" w:firstLineChars="200"/>
        <w:rPr>
          <w:rFonts w:hAnsi="宋体" w:eastAsia="宋体"/>
          <w:b/>
          <w:szCs w:val="24"/>
          <w:highlight w:val="none"/>
        </w:rPr>
      </w:pPr>
      <w:r>
        <w:rPr>
          <w:rFonts w:hint="eastAsia" w:hAnsi="宋体" w:eastAsia="宋体"/>
          <w:b/>
          <w:highlight w:val="none"/>
        </w:rPr>
        <w:t>九、</w:t>
      </w:r>
      <w:r>
        <w:rPr>
          <w:rFonts w:hint="eastAsia" w:hAnsi="宋体" w:eastAsia="宋体"/>
          <w:b/>
          <w:szCs w:val="24"/>
          <w:highlight w:val="none"/>
        </w:rPr>
        <w:t>评标报告</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评标委员会根据投标人须知前附表7.1条的规定向招标人提交评标报告。评标报告应当由全体评标委员会成员签字，并于评标结束时抄送有关行政监督部门。</w:t>
      </w:r>
    </w:p>
    <w:p>
      <w:pPr>
        <w:pStyle w:val="78"/>
        <w:keepNext w:val="0"/>
        <w:keepLines w:val="0"/>
        <w:adjustRightInd w:val="0"/>
        <w:snapToGrid w:val="0"/>
        <w:spacing w:line="440" w:lineRule="exact"/>
        <w:ind w:firstLine="480" w:firstLineChars="200"/>
        <w:rPr>
          <w:rFonts w:hAnsi="宋体" w:eastAsia="宋体"/>
          <w:b/>
          <w:szCs w:val="24"/>
          <w:highlight w:val="none"/>
        </w:rPr>
      </w:pPr>
      <w:r>
        <w:rPr>
          <w:rFonts w:hint="eastAsia" w:hAnsi="宋体" w:eastAsia="宋体"/>
          <w:b/>
          <w:highlight w:val="none"/>
        </w:rPr>
        <w:t>十、</w:t>
      </w:r>
      <w:r>
        <w:rPr>
          <w:rFonts w:hint="eastAsia" w:hAnsi="宋体" w:eastAsia="宋体"/>
          <w:b/>
          <w:szCs w:val="24"/>
          <w:highlight w:val="none"/>
        </w:rPr>
        <w:t>公示</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中标人确定后，招标人应当在</w:t>
      </w:r>
      <w:r>
        <w:rPr>
          <w:rFonts w:hint="eastAsia" w:hAnsi="宋体" w:cs="宋体"/>
          <w:sz w:val="24"/>
          <w:szCs w:val="24"/>
          <w:highlight w:val="none"/>
        </w:rPr>
        <w:t>【全国公共资源交易平台（河南省·许昌市）】</w:t>
      </w:r>
      <w:r>
        <w:rPr>
          <w:rFonts w:hint="eastAsia" w:hAnsi="宋体" w:cs="宋体"/>
          <w:sz w:val="24"/>
          <w:highlight w:val="none"/>
        </w:rPr>
        <w:t>、</w:t>
      </w:r>
      <w:r>
        <w:rPr>
          <w:rFonts w:hint="eastAsia" w:hAnsi="宋体" w:cs="宋体"/>
          <w:sz w:val="24"/>
          <w:szCs w:val="24"/>
          <w:highlight w:val="none"/>
        </w:rPr>
        <w:t>《河南省电子招标投标公共服务平台》</w:t>
      </w:r>
      <w:r>
        <w:rPr>
          <w:rFonts w:hint="eastAsia" w:hAnsi="宋体" w:cs="宋体"/>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highlight w:val="none"/>
        </w:rPr>
      </w:pPr>
      <w:r>
        <w:rPr>
          <w:rFonts w:hint="eastAsia" w:hAnsi="宋体" w:cs="宋体"/>
          <w:b/>
          <w:sz w:val="24"/>
          <w:highlight w:val="none"/>
        </w:rPr>
        <w:t>十一、特殊情况的处置程序</w:t>
      </w:r>
    </w:p>
    <w:p>
      <w:pPr>
        <w:adjustRightInd w:val="0"/>
        <w:snapToGrid w:val="0"/>
        <w:spacing w:line="440" w:lineRule="exact"/>
        <w:ind w:firstLine="480" w:firstLineChars="200"/>
        <w:outlineLvl w:val="0"/>
        <w:rPr>
          <w:rFonts w:hAnsi="宋体" w:cs="宋体"/>
          <w:b/>
          <w:sz w:val="24"/>
          <w:highlight w:val="none"/>
        </w:rPr>
      </w:pPr>
      <w:r>
        <w:rPr>
          <w:rFonts w:hint="eastAsia" w:hAnsi="宋体" w:cs="宋体"/>
          <w:b/>
          <w:sz w:val="24"/>
          <w:highlight w:val="none"/>
        </w:rPr>
        <w:t>11.1关于澄清、说明或补正</w:t>
      </w:r>
    </w:p>
    <w:p>
      <w:pPr>
        <w:adjustRightInd w:val="0"/>
        <w:snapToGrid w:val="0"/>
        <w:spacing w:line="440" w:lineRule="exact"/>
        <w:ind w:firstLine="480" w:firstLineChars="200"/>
        <w:outlineLvl w:val="0"/>
        <w:rPr>
          <w:rFonts w:hAnsi="宋体" w:cs="宋体"/>
          <w:sz w:val="24"/>
          <w:highlight w:val="none"/>
        </w:rPr>
      </w:pPr>
      <w:r>
        <w:rPr>
          <w:rFonts w:hint="eastAsia" w:hAnsi="宋体" w:cs="宋体"/>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highlight w:val="none"/>
        </w:rPr>
      </w:pPr>
      <w:r>
        <w:rPr>
          <w:rFonts w:hint="eastAsia" w:hAnsi="宋体" w:cs="宋体"/>
          <w:b/>
          <w:sz w:val="24"/>
          <w:highlight w:val="none"/>
        </w:rPr>
        <w:t>11.2关于评标活动暂停</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highlight w:val="none"/>
        </w:rPr>
      </w:pPr>
      <w:r>
        <w:rPr>
          <w:rFonts w:hint="eastAsia" w:hAnsi="宋体" w:cs="宋体"/>
          <w:b/>
          <w:sz w:val="24"/>
          <w:highlight w:val="none"/>
        </w:rPr>
        <w:t>11.3关于评标中途更换评标委员会成员</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11.3.1除非发生下列情况之一，评标委员会成员不得在评标中途更换：</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（1）因不可抗拒的客观原因，不能到场或需在评标中途退出评标活动。</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（2）根据法律法规规定，某个或某几个评标委员会成员需要回避。</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highlight w:val="none"/>
        </w:rPr>
      </w:pPr>
      <w:r>
        <w:rPr>
          <w:rFonts w:hint="eastAsia" w:hAnsi="宋体" w:cs="宋体"/>
          <w:b/>
          <w:sz w:val="24"/>
          <w:highlight w:val="none"/>
        </w:rPr>
        <w:t>11.4记名投票</w:t>
      </w:r>
    </w:p>
    <w:p>
      <w:pPr>
        <w:adjustRightInd w:val="0"/>
        <w:snapToGrid w:val="0"/>
        <w:spacing w:line="440" w:lineRule="exact"/>
        <w:ind w:firstLine="480" w:firstLineChars="200"/>
        <w:rPr>
          <w:rFonts w:hAnsi="宋体" w:cs="宋体"/>
          <w:sz w:val="24"/>
          <w:highlight w:val="none"/>
        </w:rPr>
      </w:pPr>
      <w:r>
        <w:rPr>
          <w:rFonts w:hint="eastAsia" w:hAnsi="宋体" w:cs="宋体"/>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highlight w:val="none"/>
        </w:rPr>
      </w:pPr>
      <w:r>
        <w:rPr>
          <w:rFonts w:hint="eastAsia" w:hAnsi="宋体" w:cs="宋体"/>
          <w:b/>
          <w:sz w:val="24"/>
          <w:highlight w:val="none"/>
        </w:rPr>
        <w:t>11.5评标委员会对评标结果有异议的</w:t>
      </w:r>
    </w:p>
    <w:p>
      <w:pPr>
        <w:adjustRightInd w:val="0"/>
        <w:snapToGrid w:val="0"/>
        <w:spacing w:line="440" w:lineRule="exact"/>
        <w:ind w:firstLine="468" w:firstLineChars="200"/>
        <w:rPr>
          <w:rFonts w:hAnsi="宋体" w:cs="宋体"/>
          <w:spacing w:val="-3"/>
          <w:sz w:val="24"/>
          <w:highlight w:val="none"/>
        </w:rPr>
      </w:pPr>
      <w:r>
        <w:rPr>
          <w:rFonts w:hint="eastAsia" w:hAnsi="宋体" w:cs="宋体"/>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bookmarkStart w:id="77" w:name="_Toc283559990"/>
    </w:p>
    <w:p>
      <w:pPr>
        <w:autoSpaceDE w:val="0"/>
        <w:autoSpaceDN w:val="0"/>
        <w:adjustRightInd w:val="0"/>
        <w:snapToGrid w:val="0"/>
        <w:spacing w:line="440" w:lineRule="exact"/>
        <w:jc w:val="center"/>
        <w:outlineLvl w:val="0"/>
        <w:rPr>
          <w:rFonts w:hAnsi="宋体" w:cs="宋体"/>
          <w:b/>
          <w:sz w:val="36"/>
          <w:szCs w:val="36"/>
        </w:rPr>
      </w:pPr>
      <w:bookmarkStart w:id="78" w:name="_Toc4217"/>
      <w:bookmarkStart w:id="79" w:name="_Toc20238"/>
      <w:bookmarkStart w:id="80" w:name="_Toc881"/>
      <w:bookmarkStart w:id="81" w:name="_Toc14301"/>
    </w:p>
    <w:p>
      <w:pPr>
        <w:pStyle w:val="2"/>
        <w:rPr>
          <w:rFonts w:hAnsi="宋体" w:cs="宋体"/>
          <w:b/>
          <w:sz w:val="36"/>
          <w:szCs w:val="36"/>
        </w:rPr>
      </w:pPr>
    </w:p>
    <w:p>
      <w:pPr>
        <w:pStyle w:val="4"/>
        <w:rPr>
          <w:rFonts w:hAnsi="宋体" w:cs="宋体"/>
          <w:b/>
          <w:sz w:val="36"/>
          <w:szCs w:val="36"/>
        </w:rPr>
      </w:pPr>
    </w:p>
    <w:p>
      <w:pPr>
        <w:pStyle w:val="4"/>
        <w:rPr>
          <w:rFonts w:hAnsi="宋体" w:cs="宋体"/>
          <w:b/>
          <w:sz w:val="36"/>
          <w:szCs w:val="36"/>
        </w:rPr>
      </w:pPr>
    </w:p>
    <w:p>
      <w:pPr>
        <w:pStyle w:val="4"/>
        <w:rPr>
          <w:rFonts w:hAnsi="宋体" w:cs="宋体"/>
          <w:b/>
          <w:sz w:val="36"/>
          <w:szCs w:val="36"/>
        </w:rPr>
      </w:pPr>
    </w:p>
    <w:p>
      <w:pPr>
        <w:pStyle w:val="4"/>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77"/>
      <w:bookmarkEnd w:id="78"/>
      <w:bookmarkEnd w:id="79"/>
      <w:bookmarkEnd w:id="80"/>
      <w:bookmarkEnd w:id="81"/>
    </w:p>
    <w:p>
      <w:pPr>
        <w:tabs>
          <w:tab w:val="left" w:pos="5000"/>
        </w:tabs>
        <w:spacing w:line="360" w:lineRule="auto"/>
        <w:ind w:firstLine="490"/>
        <w:rPr>
          <w:rFonts w:hAnsi="宋体" w:cs="宋体"/>
          <w:b/>
          <w:sz w:val="32"/>
          <w:szCs w:val="32"/>
        </w:rPr>
      </w:pPr>
      <w:bookmarkStart w:id="82" w:name="_Toc278443514"/>
      <w:bookmarkEnd w:id="82"/>
      <w:bookmarkStart w:id="83"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4"/>
        <w:rPr>
          <w:rFonts w:hAnsi="宋体" w:cs="宋体"/>
          <w:b/>
          <w:sz w:val="36"/>
          <w:szCs w:val="36"/>
        </w:rPr>
      </w:pPr>
    </w:p>
    <w:p>
      <w:pPr>
        <w:pStyle w:val="4"/>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84" w:name="_Toc19959"/>
      <w:bookmarkStart w:id="85" w:name="_Toc17496"/>
      <w:bookmarkStart w:id="86" w:name="_Toc16052"/>
      <w:bookmarkStart w:id="87" w:name="_Toc9220"/>
      <w:r>
        <w:rPr>
          <w:rFonts w:hint="eastAsia" w:hAnsi="宋体" w:cs="宋体"/>
          <w:b/>
          <w:sz w:val="36"/>
          <w:szCs w:val="36"/>
        </w:rPr>
        <w:t>第五章 工程量清单</w:t>
      </w:r>
      <w:bookmarkEnd w:id="84"/>
      <w:bookmarkEnd w:id="85"/>
      <w:bookmarkEnd w:id="86"/>
      <w:bookmarkEnd w:id="87"/>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(2)本工程依据《河南省</w:t>
      </w:r>
      <w:r>
        <w:rPr>
          <w:rFonts w:hint="eastAsia" w:hAnsi="宋体" w:cs="宋体"/>
          <w:sz w:val="24"/>
          <w:lang w:eastAsia="zh-CN"/>
        </w:rPr>
        <w:t>市政</w:t>
      </w:r>
      <w:r>
        <w:rPr>
          <w:rFonts w:hint="eastAsia" w:hAnsi="宋体" w:cs="宋体"/>
          <w:sz w:val="24"/>
        </w:rPr>
        <w:t>工程预算定额》（HA</w:t>
      </w:r>
      <w:r>
        <w:rPr>
          <w:rFonts w:hint="eastAsia" w:hAnsi="宋体" w:cs="宋体"/>
          <w:sz w:val="24"/>
          <w:lang w:val="en-US" w:eastAsia="zh-CN"/>
        </w:rPr>
        <w:t xml:space="preserve"> A</w:t>
      </w:r>
      <w:r>
        <w:rPr>
          <w:rFonts w:hint="eastAsia" w:hAnsi="宋体" w:cs="宋体"/>
          <w:sz w:val="24"/>
        </w:rPr>
        <w:t>1-31-2016</w:t>
      </w:r>
      <w:r>
        <w:rPr>
          <w:rFonts w:hint="eastAsia" w:hAnsi="宋体" w:cs="宋体"/>
          <w:sz w:val="24"/>
          <w:lang w:eastAsia="zh-CN"/>
        </w:rPr>
        <w:t>）</w:t>
      </w:r>
      <w:r>
        <w:rPr>
          <w:rFonts w:hint="eastAsia" w:hAnsi="宋体" w:cs="宋体"/>
          <w:sz w:val="24"/>
        </w:rPr>
        <w:t>、《建设工程工程量清单计价规范》（GB50500-2013）及相关计价文件等；</w:t>
      </w:r>
    </w:p>
    <w:p>
      <w:pPr>
        <w:spacing w:line="440" w:lineRule="exact"/>
        <w:ind w:left="1" w:firstLine="480" w:firstLineChars="200"/>
        <w:rPr>
          <w:rFonts w:hAnsi="宋体" w:cs="宋体"/>
          <w:sz w:val="24"/>
        </w:rPr>
      </w:pPr>
      <w:r>
        <w:rPr>
          <w:rFonts w:hint="eastAsia" w:hAnsi="宋体" w:cs="宋体"/>
          <w:sz w:val="24"/>
        </w:rPr>
        <w:t xml:space="preserve">(3)材料价格依据2019年第3期《许昌工程造价信息》及6月份主材价、其他价格参照市场价。 </w:t>
      </w:r>
    </w:p>
    <w:p>
      <w:pPr>
        <w:spacing w:line="440" w:lineRule="exact"/>
        <w:ind w:left="1" w:firstLine="480" w:firstLineChars="200"/>
        <w:rPr>
          <w:rFonts w:hAnsi="宋体" w:cs="宋体"/>
          <w:sz w:val="24"/>
        </w:rPr>
      </w:pPr>
      <w:r>
        <w:rPr>
          <w:rFonts w:hint="eastAsia" w:hAnsi="宋体" w:cs="宋体"/>
          <w:sz w:val="24"/>
        </w:rPr>
        <w:t>(4) 税金按9%计入；</w:t>
      </w:r>
    </w:p>
    <w:p>
      <w:pPr>
        <w:spacing w:line="440" w:lineRule="exact"/>
        <w:ind w:left="1" w:firstLine="480" w:firstLineChars="200"/>
        <w:rPr>
          <w:rFonts w:hAnsi="宋体" w:cs="宋体"/>
          <w:sz w:val="24"/>
        </w:rPr>
      </w:pPr>
      <w:r>
        <w:rPr>
          <w:rFonts w:hint="eastAsia" w:hAnsi="宋体" w:cs="宋体"/>
          <w:sz w:val="24"/>
        </w:rPr>
        <w:t>(5) 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widowControl/>
        <w:jc w:val="left"/>
        <w:rPr>
          <w:rFonts w:hAnsi="宋体" w:cs="宋体"/>
          <w:b/>
          <w:sz w:val="36"/>
          <w:szCs w:val="36"/>
        </w:rPr>
      </w:pPr>
      <w:bookmarkStart w:id="88" w:name="_Toc4070"/>
      <w:bookmarkStart w:id="89" w:name="_Toc11416"/>
      <w:bookmarkStart w:id="90" w:name="_Toc14326"/>
      <w:bookmarkStart w:id="91" w:name="_Toc15599"/>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83"/>
      <w:bookmarkEnd w:id="88"/>
      <w:bookmarkEnd w:id="89"/>
      <w:bookmarkEnd w:id="90"/>
      <w:bookmarkEnd w:id="91"/>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92"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3" w:name="_Toc7507"/>
      <w:bookmarkStart w:id="94" w:name="_Toc25324"/>
      <w:bookmarkStart w:id="95" w:name="_Toc29278"/>
      <w:bookmarkStart w:id="96" w:name="_Toc32221"/>
      <w:r>
        <w:rPr>
          <w:rFonts w:hint="eastAsia" w:hAnsi="宋体" w:cs="宋体"/>
          <w:b/>
          <w:sz w:val="36"/>
          <w:szCs w:val="36"/>
        </w:rPr>
        <w:t>第七章 技术标准和要求</w:t>
      </w:r>
      <w:bookmarkEnd w:id="93"/>
      <w:bookmarkEnd w:id="94"/>
      <w:bookmarkEnd w:id="95"/>
      <w:bookmarkEnd w:id="96"/>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92"/>
    <w:p>
      <w:pPr>
        <w:autoSpaceDE w:val="0"/>
        <w:autoSpaceDN w:val="0"/>
        <w:adjustRightInd w:val="0"/>
        <w:spacing w:beforeLines="100" w:afterLines="100"/>
        <w:jc w:val="center"/>
        <w:outlineLvl w:val="0"/>
        <w:rPr>
          <w:rFonts w:hAnsi="宋体" w:cs="宋体"/>
          <w:b/>
          <w:sz w:val="44"/>
          <w:szCs w:val="44"/>
        </w:rPr>
      </w:pPr>
      <w:bookmarkStart w:id="97" w:name="_Toc278443525"/>
      <w:bookmarkStart w:id="98" w:name="_Toc17063"/>
      <w:bookmarkStart w:id="99" w:name="_Toc5171"/>
      <w:bookmarkStart w:id="100" w:name="_Toc17950"/>
      <w:bookmarkStart w:id="101" w:name="_Toc15033"/>
      <w:r>
        <w:rPr>
          <w:rFonts w:hint="eastAsia" w:hAnsi="宋体" w:cs="宋体"/>
          <w:b/>
          <w:sz w:val="44"/>
          <w:szCs w:val="44"/>
        </w:rPr>
        <w:t>第八章 投标文件格式</w:t>
      </w:r>
      <w:bookmarkEnd w:id="97"/>
      <w:bookmarkEnd w:id="98"/>
      <w:bookmarkEnd w:id="99"/>
      <w:bookmarkEnd w:id="100"/>
      <w:bookmarkEnd w:id="101"/>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02" w:name="_Toc6021"/>
      <w:bookmarkStart w:id="103" w:name="_Toc24048"/>
      <w:bookmarkStart w:id="104" w:name="_Toc23339"/>
      <w:bookmarkStart w:id="105" w:name="_Toc7603"/>
      <w:r>
        <w:rPr>
          <w:rFonts w:hint="eastAsia" w:hAnsi="宋体" w:cs="宋体"/>
          <w:b/>
          <w:sz w:val="32"/>
        </w:rPr>
        <w:t>一、投标函及投标函附录</w:t>
      </w:r>
      <w:bookmarkEnd w:id="102"/>
      <w:bookmarkEnd w:id="103"/>
      <w:bookmarkEnd w:id="104"/>
      <w:bookmarkEnd w:id="105"/>
    </w:p>
    <w:p>
      <w:pPr>
        <w:spacing w:beforeLines="100" w:afterLines="50" w:line="510" w:lineRule="exact"/>
        <w:jc w:val="center"/>
        <w:rPr>
          <w:rFonts w:hAnsi="宋体" w:cs="宋体"/>
          <w:sz w:val="28"/>
          <w:szCs w:val="28"/>
        </w:rPr>
      </w:pPr>
      <w:bookmarkStart w:id="106" w:name="_Toc271787730"/>
      <w:r>
        <w:rPr>
          <w:rFonts w:hint="eastAsia" w:hAnsi="宋体" w:cs="宋体"/>
          <w:sz w:val="28"/>
          <w:szCs w:val="28"/>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在考察现场并充分研究（项目名称）标段（以下简称“本工程”）招标文件的全部内容后，我方兹以</w:t>
      </w:r>
      <w:r>
        <w:rPr>
          <w:rFonts w:hint="eastAsia" w:ascii="新宋体" w:hAnsi="新宋体" w:eastAsia="新宋体"/>
          <w:sz w:val="24"/>
          <w:highlight w:val="none"/>
          <w:lang w:eastAsia="zh-CN"/>
        </w:rPr>
        <w:t>投标总报价</w:t>
      </w:r>
      <w:r>
        <w:rPr>
          <w:rFonts w:hint="eastAsia" w:ascii="新宋体" w:hAnsi="新宋体" w:eastAsia="新宋体"/>
          <w:sz w:val="24"/>
          <w:highlight w:val="none"/>
        </w:rPr>
        <w:t>：</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在我方的上述投标</w:t>
      </w:r>
      <w:r>
        <w:rPr>
          <w:rFonts w:hint="eastAsia" w:ascii="新宋体" w:hAnsi="新宋体" w:eastAsia="新宋体"/>
          <w:sz w:val="24"/>
          <w:szCs w:val="22"/>
          <w:highlight w:val="none"/>
          <w:lang w:eastAsia="zh-CN"/>
        </w:rPr>
        <w:t>总</w:t>
      </w:r>
      <w:r>
        <w:rPr>
          <w:rFonts w:hint="eastAsia" w:ascii="新宋体" w:hAnsi="新宋体" w:eastAsia="新宋体"/>
          <w:sz w:val="24"/>
          <w:szCs w:val="22"/>
          <w:highlight w:val="none"/>
        </w:rPr>
        <w:t>报价中，</w:t>
      </w:r>
      <w:r>
        <w:rPr>
          <w:rFonts w:hint="eastAsia" w:ascii="新宋体" w:hAnsi="新宋体" w:eastAsia="新宋体"/>
          <w:sz w:val="24"/>
          <w:szCs w:val="22"/>
          <w:highlight w:val="none"/>
          <w:lang w:eastAsia="zh-CN"/>
        </w:rPr>
        <w:t>包括</w:t>
      </w:r>
      <w:r>
        <w:rPr>
          <w:rFonts w:hint="eastAsia" w:ascii="新宋体" w:hAnsi="新宋体" w:eastAsia="新宋体"/>
          <w:sz w:val="24"/>
          <w:szCs w:val="22"/>
          <w:highlight w:val="none"/>
        </w:rPr>
        <w:t>：</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规费RMB￥：元</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税金RMB￥：元</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安全文明措施费RMB￥：元</w:t>
      </w:r>
    </w:p>
    <w:p>
      <w:pPr>
        <w:spacing w:line="48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jc w:val="center"/>
        <w:outlineLvl w:val="0"/>
        <w:rPr>
          <w:rFonts w:hint="eastAsia" w:ascii="黑体" w:hAnsi="新宋体" w:eastAsia="黑体" w:cs="黑体"/>
          <w:sz w:val="28"/>
          <w:szCs w:val="28"/>
          <w:highlight w:val="none"/>
        </w:rPr>
      </w:pPr>
      <w:bookmarkStart w:id="107" w:name="_Toc250616672"/>
    </w:p>
    <w:p>
      <w:pPr>
        <w:spacing w:beforeLines="100" w:afterLines="50" w:line="510" w:lineRule="exact"/>
        <w:jc w:val="center"/>
        <w:rPr>
          <w:rFonts w:hint="eastAsia" w:hAnsi="宋体" w:cs="宋体"/>
          <w:sz w:val="28"/>
          <w:szCs w:val="28"/>
        </w:rPr>
      </w:pPr>
      <w:r>
        <w:rPr>
          <w:rFonts w:hint="eastAsia" w:hAnsi="宋体" w:cs="宋体"/>
          <w:sz w:val="28"/>
          <w:szCs w:val="28"/>
          <w:lang w:val="en-US" w:eastAsia="zh-CN"/>
        </w:rPr>
        <w:t>(</w:t>
      </w:r>
      <w:r>
        <w:rPr>
          <w:rFonts w:hint="eastAsia" w:hAnsi="宋体" w:cs="宋体"/>
          <w:sz w:val="28"/>
          <w:szCs w:val="28"/>
        </w:rPr>
        <w:t>二</w:t>
      </w:r>
      <w:r>
        <w:rPr>
          <w:rFonts w:hint="eastAsia" w:hAnsi="宋体" w:cs="宋体"/>
          <w:sz w:val="28"/>
          <w:szCs w:val="28"/>
          <w:lang w:val="en-US" w:eastAsia="zh-CN"/>
        </w:rPr>
        <w:t>)</w:t>
      </w:r>
      <w:r>
        <w:rPr>
          <w:rFonts w:hint="eastAsia" w:hAnsi="宋体" w:cs="宋体"/>
          <w:sz w:val="28"/>
          <w:szCs w:val="28"/>
        </w:rPr>
        <w:t>投标函附录</w:t>
      </w:r>
      <w:bookmarkEnd w:id="107"/>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工程名称</w:t>
            </w:r>
          </w:p>
        </w:tc>
        <w:tc>
          <w:tcPr>
            <w:tcW w:w="6222" w:type="dxa"/>
            <w:gridSpan w:val="6"/>
            <w:noWrap w:val="0"/>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投标人</w:t>
            </w:r>
          </w:p>
        </w:tc>
        <w:tc>
          <w:tcPr>
            <w:tcW w:w="6222" w:type="dxa"/>
            <w:gridSpan w:val="6"/>
            <w:noWrap w:val="0"/>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noWrap w:val="0"/>
            <w:vAlign w:val="center"/>
          </w:tcPr>
          <w:p>
            <w:pPr>
              <w:jc w:val="center"/>
              <w:rPr>
                <w:rFonts w:hint="eastAsia" w:ascii="新宋体" w:hAnsi="新宋体" w:eastAsia="新宋体"/>
                <w:sz w:val="24"/>
                <w:highlight w:val="none"/>
                <w:lang w:eastAsia="zh-CN"/>
              </w:rPr>
            </w:pPr>
            <w:r>
              <w:rPr>
                <w:rFonts w:hint="eastAsia" w:ascii="新宋体" w:hAnsi="新宋体" w:eastAsia="新宋体"/>
                <w:sz w:val="24"/>
                <w:highlight w:val="none"/>
                <w:lang w:eastAsia="zh-CN"/>
              </w:rPr>
              <w:t>项目负责人（项目经理）</w:t>
            </w:r>
          </w:p>
        </w:tc>
        <w:tc>
          <w:tcPr>
            <w:tcW w:w="809" w:type="dxa"/>
            <w:noWrap w:val="0"/>
            <w:vAlign w:val="center"/>
          </w:tcPr>
          <w:p>
            <w:pPr>
              <w:jc w:val="center"/>
              <w:rPr>
                <w:rFonts w:ascii="新宋体" w:hAnsi="新宋体" w:eastAsia="新宋体"/>
                <w:sz w:val="24"/>
                <w:highlight w:val="none"/>
              </w:rPr>
            </w:pPr>
          </w:p>
        </w:tc>
        <w:tc>
          <w:tcPr>
            <w:tcW w:w="607"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noWrap w:val="0"/>
            <w:vAlign w:val="center"/>
          </w:tcPr>
          <w:p>
            <w:pPr>
              <w:jc w:val="center"/>
              <w:rPr>
                <w:rFonts w:ascii="新宋体" w:hAnsi="新宋体" w:eastAsia="新宋体"/>
                <w:sz w:val="24"/>
                <w:highlight w:val="none"/>
              </w:rPr>
            </w:pPr>
          </w:p>
        </w:tc>
        <w:tc>
          <w:tcPr>
            <w:tcW w:w="809"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注册编号</w:t>
            </w:r>
          </w:p>
        </w:tc>
        <w:tc>
          <w:tcPr>
            <w:tcW w:w="3189" w:type="dxa"/>
            <w:gridSpan w:val="2"/>
            <w:noWrap w:val="0"/>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技术负责人</w:t>
            </w:r>
          </w:p>
        </w:tc>
        <w:tc>
          <w:tcPr>
            <w:tcW w:w="809" w:type="dxa"/>
            <w:noWrap w:val="0"/>
            <w:vAlign w:val="center"/>
          </w:tcPr>
          <w:p>
            <w:pPr>
              <w:jc w:val="center"/>
              <w:rPr>
                <w:rFonts w:ascii="新宋体" w:hAnsi="新宋体" w:eastAsia="新宋体"/>
                <w:sz w:val="24"/>
                <w:highlight w:val="none"/>
              </w:rPr>
            </w:pPr>
          </w:p>
        </w:tc>
        <w:tc>
          <w:tcPr>
            <w:tcW w:w="607"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noWrap w:val="0"/>
            <w:vAlign w:val="center"/>
          </w:tcPr>
          <w:p>
            <w:pPr>
              <w:jc w:val="center"/>
              <w:rPr>
                <w:rFonts w:ascii="新宋体" w:hAnsi="新宋体" w:eastAsia="新宋体"/>
                <w:sz w:val="24"/>
                <w:highlight w:val="none"/>
              </w:rPr>
            </w:pPr>
          </w:p>
        </w:tc>
        <w:tc>
          <w:tcPr>
            <w:tcW w:w="809"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证书编号</w:t>
            </w:r>
          </w:p>
        </w:tc>
        <w:tc>
          <w:tcPr>
            <w:tcW w:w="3189" w:type="dxa"/>
            <w:gridSpan w:val="2"/>
            <w:noWrap w:val="0"/>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投标</w:t>
            </w:r>
            <w:r>
              <w:rPr>
                <w:rFonts w:hint="eastAsia" w:ascii="新宋体" w:hAnsi="新宋体" w:eastAsia="新宋体"/>
                <w:sz w:val="24"/>
                <w:highlight w:val="none"/>
                <w:lang w:eastAsia="zh-CN"/>
              </w:rPr>
              <w:t>总</w:t>
            </w:r>
            <w:r>
              <w:rPr>
                <w:rFonts w:hint="eastAsia" w:ascii="新宋体" w:hAnsi="新宋体" w:eastAsia="新宋体"/>
                <w:sz w:val="24"/>
                <w:highlight w:val="none"/>
              </w:rPr>
              <w:t>报价</w:t>
            </w:r>
          </w:p>
          <w:p>
            <w:pPr>
              <w:jc w:val="center"/>
              <w:rPr>
                <w:rFonts w:ascii="新宋体" w:hAnsi="新宋体" w:eastAsia="新宋体"/>
                <w:sz w:val="24"/>
                <w:highlight w:val="none"/>
              </w:rPr>
            </w:pPr>
          </w:p>
        </w:tc>
        <w:tc>
          <w:tcPr>
            <w:tcW w:w="3439" w:type="dxa"/>
            <w:gridSpan w:val="5"/>
            <w:noWrap w:val="0"/>
            <w:vAlign w:val="center"/>
          </w:tcPr>
          <w:p>
            <w:pPr>
              <w:rPr>
                <w:rFonts w:ascii="新宋体" w:hAnsi="新宋体" w:eastAsia="新宋体"/>
                <w:sz w:val="24"/>
                <w:highlight w:val="none"/>
              </w:rPr>
            </w:pPr>
            <w:r>
              <w:rPr>
                <w:rFonts w:hint="eastAsia" w:ascii="新宋体" w:hAnsi="新宋体" w:eastAsia="新宋体"/>
                <w:sz w:val="24"/>
                <w:highlight w:val="none"/>
              </w:rPr>
              <w:t>（大写）</w:t>
            </w:r>
          </w:p>
        </w:tc>
        <w:tc>
          <w:tcPr>
            <w:tcW w:w="2783" w:type="dxa"/>
            <w:noWrap w:val="0"/>
            <w:vAlign w:val="center"/>
          </w:tcPr>
          <w:p>
            <w:pPr>
              <w:rPr>
                <w:rFonts w:ascii="新宋体" w:hAnsi="新宋体" w:eastAsia="新宋体"/>
                <w:sz w:val="24"/>
                <w:highlight w:val="none"/>
              </w:rPr>
            </w:pPr>
            <w:r>
              <w:rPr>
                <w:rFonts w:hint="eastAsia" w:ascii="新宋体" w:hAnsi="新宋体" w:eastAsia="新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trPr>
        <w:tc>
          <w:tcPr>
            <w:tcW w:w="2916" w:type="dxa"/>
            <w:vMerge w:val="continue"/>
            <w:noWrap w:val="0"/>
            <w:vAlign w:val="center"/>
          </w:tcPr>
          <w:p>
            <w:pPr>
              <w:jc w:val="center"/>
              <w:rPr>
                <w:rFonts w:ascii="新宋体" w:hAnsi="新宋体" w:eastAsia="新宋体"/>
                <w:sz w:val="24"/>
                <w:highlight w:val="none"/>
              </w:rPr>
            </w:pPr>
          </w:p>
        </w:tc>
        <w:tc>
          <w:tcPr>
            <w:tcW w:w="6222" w:type="dxa"/>
            <w:gridSpan w:val="6"/>
            <w:noWrap w:val="0"/>
            <w:vAlign w:val="center"/>
          </w:tcPr>
          <w:p>
            <w:pPr>
              <w:spacing w:line="480" w:lineRule="exact"/>
              <w:ind w:firstLine="480" w:firstLineChars="200"/>
              <w:jc w:val="both"/>
              <w:rPr>
                <w:rFonts w:hint="eastAsia" w:ascii="新宋体" w:hAnsi="新宋体" w:eastAsia="新宋体"/>
                <w:sz w:val="24"/>
                <w:szCs w:val="22"/>
                <w:highlight w:val="none"/>
              </w:rPr>
            </w:pPr>
            <w:r>
              <w:rPr>
                <w:rFonts w:hint="eastAsia" w:ascii="新宋体" w:hAnsi="新宋体" w:eastAsia="新宋体"/>
                <w:sz w:val="24"/>
                <w:szCs w:val="22"/>
                <w:highlight w:val="none"/>
              </w:rPr>
              <w:t>其中：</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规费RMB￥：元</w:t>
            </w:r>
          </w:p>
          <w:p>
            <w:pPr>
              <w:spacing w:line="480" w:lineRule="exact"/>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税金RMB￥：元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szCs w:val="22"/>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投标质量等级</w:t>
            </w:r>
          </w:p>
        </w:tc>
        <w:tc>
          <w:tcPr>
            <w:tcW w:w="6222" w:type="dxa"/>
            <w:gridSpan w:val="6"/>
            <w:noWrap w:val="0"/>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投标工期</w:t>
            </w:r>
          </w:p>
        </w:tc>
        <w:tc>
          <w:tcPr>
            <w:tcW w:w="6222" w:type="dxa"/>
            <w:gridSpan w:val="6"/>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noWrap w:val="0"/>
            <w:vAlign w:val="center"/>
          </w:tcPr>
          <w:p>
            <w:pPr>
              <w:jc w:val="center"/>
              <w:rPr>
                <w:rFonts w:ascii="新宋体" w:hAnsi="新宋体" w:eastAsia="新宋体"/>
                <w:sz w:val="24"/>
                <w:highlight w:val="none"/>
              </w:rPr>
            </w:pPr>
            <w:r>
              <w:rPr>
                <w:rFonts w:hint="eastAsia" w:ascii="新宋体" w:hAnsi="新宋体" w:eastAsia="新宋体"/>
                <w:sz w:val="24"/>
                <w:highlight w:val="none"/>
              </w:rPr>
              <w:t>投标有效期</w:t>
            </w:r>
          </w:p>
        </w:tc>
        <w:tc>
          <w:tcPr>
            <w:tcW w:w="6222" w:type="dxa"/>
            <w:gridSpan w:val="6"/>
            <w:noWrap w:val="0"/>
            <w:vAlign w:val="center"/>
          </w:tcPr>
          <w:p>
            <w:pPr>
              <w:jc w:val="center"/>
              <w:rPr>
                <w:rFonts w:ascii="新宋体" w:hAnsi="新宋体" w:eastAsia="新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9138" w:type="dxa"/>
            <w:gridSpan w:val="7"/>
            <w:noWrap w:val="0"/>
            <w:vAlign w:val="top"/>
          </w:tcPr>
          <w:p>
            <w:pPr>
              <w:rPr>
                <w:rFonts w:ascii="新宋体" w:hAnsi="新宋体" w:eastAsia="新宋体"/>
                <w:sz w:val="24"/>
                <w:highlight w:val="none"/>
              </w:rPr>
            </w:pPr>
            <w:r>
              <w:rPr>
                <w:rFonts w:hint="eastAsia" w:ascii="新宋体" w:hAnsi="新宋体" w:eastAsia="新宋体"/>
                <w:sz w:val="24"/>
                <w:highlight w:val="none"/>
              </w:rPr>
              <w:t xml:space="preserve"> 优惠与服务承诺：</w:t>
            </w: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r>
              <w:rPr>
                <w:rFonts w:hint="eastAsia" w:ascii="新宋体" w:hAnsi="新宋体" w:eastAsia="新宋体"/>
                <w:sz w:val="24"/>
                <w:highlight w:val="none"/>
              </w:rPr>
              <w:t>（包含优惠承诺、质量承诺、服务承诺及按扬尘污染整治标准进行各工序的施工）</w:t>
            </w:r>
          </w:p>
        </w:tc>
      </w:tr>
    </w:tbl>
    <w:p>
      <w:pPr>
        <w:ind w:right="955"/>
        <w:rPr>
          <w:sz w:val="24"/>
          <w:highlight w:val="none"/>
        </w:rPr>
      </w:pPr>
    </w:p>
    <w:p>
      <w:pPr>
        <w:spacing w:line="360" w:lineRule="auto"/>
        <w:ind w:right="475"/>
        <w:jc w:val="right"/>
        <w:rPr>
          <w:rFonts w:ascii="新宋体" w:hAnsi="新宋体" w:eastAsia="新宋体"/>
          <w:sz w:val="24"/>
          <w:highlight w:val="none"/>
        </w:rPr>
      </w:pPr>
      <w:r>
        <w:rPr>
          <w:rFonts w:hint="eastAsia" w:ascii="新宋体" w:hAnsi="新宋体" w:eastAsia="新宋体"/>
          <w:sz w:val="24"/>
          <w:highlight w:val="none"/>
        </w:rPr>
        <w:t>投标单位（盖章）：</w:t>
      </w:r>
    </w:p>
    <w:p>
      <w:pPr>
        <w:spacing w:line="360" w:lineRule="auto"/>
        <w:ind w:right="315"/>
        <w:jc w:val="right"/>
        <w:rPr>
          <w:rFonts w:ascii="新宋体" w:hAnsi="新宋体" w:eastAsia="新宋体"/>
          <w:sz w:val="24"/>
          <w:highlight w:val="none"/>
        </w:rPr>
      </w:pPr>
      <w:r>
        <w:rPr>
          <w:rFonts w:hint="eastAsia" w:ascii="新宋体" w:hAnsi="新宋体" w:eastAsia="新宋体"/>
          <w:sz w:val="24"/>
          <w:highlight w:val="none"/>
        </w:rPr>
        <w:t>法定代表人或委托代理人（签字）：</w:t>
      </w:r>
    </w:p>
    <w:p>
      <w:pPr>
        <w:tabs>
          <w:tab w:val="left" w:pos="7560"/>
          <w:tab w:val="right" w:pos="9008"/>
        </w:tabs>
        <w:spacing w:line="360" w:lineRule="auto"/>
        <w:ind w:right="630"/>
        <w:jc w:val="left"/>
        <w:rPr>
          <w:rFonts w:hAnsi="宋体" w:cs="宋体"/>
          <w:sz w:val="24"/>
        </w:rPr>
      </w:pPr>
      <w:r>
        <w:rPr>
          <w:rFonts w:ascii="新宋体" w:hAnsi="新宋体" w:eastAsia="新宋体"/>
          <w:sz w:val="24"/>
          <w:highlight w:val="none"/>
        </w:rPr>
        <w:tab/>
      </w:r>
      <w:r>
        <w:rPr>
          <w:rFonts w:hint="eastAsia" w:ascii="新宋体" w:hAnsi="新宋体" w:eastAsia="新宋体"/>
          <w:sz w:val="24"/>
          <w:highlight w:val="none"/>
        </w:rPr>
        <w:t>年 月 日</w:t>
      </w:r>
    </w:p>
    <w:p>
      <w:pPr>
        <w:autoSpaceDE w:val="0"/>
        <w:autoSpaceDN w:val="0"/>
        <w:adjustRightInd w:val="0"/>
        <w:spacing w:beforeLines="100" w:afterLines="100" w:line="420" w:lineRule="exact"/>
        <w:jc w:val="center"/>
        <w:outlineLvl w:val="1"/>
        <w:rPr>
          <w:sz w:val="21"/>
          <w:szCs w:val="21"/>
        </w:rPr>
      </w:pPr>
      <w:bookmarkStart w:id="108" w:name="_Toc32040"/>
      <w:bookmarkStart w:id="109" w:name="_Toc21690"/>
      <w:bookmarkStart w:id="110" w:name="_Toc1078"/>
      <w:bookmarkStart w:id="111" w:name="_Toc5877"/>
      <w:r>
        <w:rPr>
          <w:rFonts w:hint="eastAsia" w:hAnsi="宋体" w:cs="宋体"/>
          <w:sz w:val="28"/>
          <w:szCs w:val="28"/>
        </w:rPr>
        <w:t>二、</w:t>
      </w:r>
      <w:bookmarkEnd w:id="106"/>
      <w:r>
        <w:rPr>
          <w:rFonts w:hint="eastAsia" w:hAnsi="宋体" w:cs="宋体"/>
          <w:b/>
          <w:sz w:val="28"/>
          <w:szCs w:val="28"/>
        </w:rPr>
        <w:t>法定代表人身份证明、授权委托书</w:t>
      </w:r>
      <w:bookmarkEnd w:id="108"/>
      <w:bookmarkEnd w:id="109"/>
      <w:bookmarkEnd w:id="110"/>
      <w:bookmarkEnd w:id="111"/>
    </w:p>
    <w:p>
      <w:pPr>
        <w:autoSpaceDE w:val="0"/>
        <w:autoSpaceDN w:val="0"/>
        <w:adjustRightInd w:val="0"/>
        <w:spacing w:line="420" w:lineRule="exact"/>
        <w:jc w:val="center"/>
        <w:outlineLvl w:val="1"/>
        <w:rPr>
          <w:rFonts w:hAnsi="宋体" w:cs="宋体"/>
          <w:sz w:val="28"/>
          <w:szCs w:val="28"/>
        </w:rPr>
      </w:pPr>
      <w:bookmarkStart w:id="112" w:name="_Toc271787731"/>
      <w:r>
        <w:rPr>
          <w:rFonts w:hint="eastAsia" w:hAnsi="宋体" w:cs="宋体"/>
          <w:b/>
          <w:bCs/>
          <w:sz w:val="28"/>
          <w:szCs w:val="28"/>
        </w:rPr>
        <w:t>（一）法定代表人身份证明</w:t>
      </w:r>
      <w:bookmarkEnd w:id="112"/>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13" w:name="_Toc271787732"/>
      <w:r>
        <w:rPr>
          <w:rFonts w:hint="eastAsia" w:hAnsi="宋体" w:cs="宋体"/>
          <w:b/>
          <w:bCs/>
          <w:sz w:val="28"/>
          <w:szCs w:val="28"/>
        </w:rPr>
        <w:t>（二）授权委托书</w:t>
      </w:r>
      <w:bookmarkEnd w:id="113"/>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rPr>
        <w:t>年月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highlight w:val="none"/>
        </w:rPr>
      </w:pPr>
      <w:r>
        <w:rPr>
          <w:rFonts w:hint="eastAsia" w:hAnsi="宋体"/>
          <w:sz w:val="24"/>
          <w:szCs w:val="24"/>
          <w:highlight w:val="none"/>
        </w:rPr>
        <w:t>附许昌公共资源交易中心保证金缴纳回执及基本户开户许可证原件扫描件（或图片）</w:t>
      </w:r>
      <w:r>
        <w:rPr>
          <w:rFonts w:hint="eastAsia" w:hAnsi="宋体" w:cs="宋体"/>
          <w:sz w:val="24"/>
          <w:szCs w:val="24"/>
          <w:highlight w:val="none"/>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14" w:name="_Toc23114"/>
      <w:bookmarkStart w:id="115" w:name="_Toc25358"/>
      <w:bookmarkStart w:id="116" w:name="_Toc6974"/>
      <w:bookmarkStart w:id="117" w:name="_Toc14411"/>
      <w:r>
        <w:rPr>
          <w:rFonts w:hint="eastAsia" w:hAnsi="宋体" w:cs="宋体"/>
          <w:b/>
          <w:sz w:val="32"/>
        </w:rPr>
        <w:t>四、项目管理机构配备情况</w:t>
      </w:r>
      <w:bookmarkEnd w:id="114"/>
      <w:bookmarkEnd w:id="115"/>
      <w:bookmarkEnd w:id="116"/>
      <w:bookmarkEnd w:id="117"/>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2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18" w:name="_Toc24477"/>
      <w:bookmarkStart w:id="119" w:name="_Toc15514"/>
      <w:bookmarkStart w:id="120" w:name="_Toc25176"/>
      <w:bookmarkStart w:id="121" w:name="_Toc8140"/>
      <w:r>
        <w:rPr>
          <w:rFonts w:hint="eastAsia" w:hAnsi="宋体" w:cs="宋体"/>
          <w:b/>
          <w:sz w:val="32"/>
        </w:rPr>
        <w:t>五、</w:t>
      </w:r>
      <w:r>
        <w:rPr>
          <w:rFonts w:hint="eastAsia" w:hAnsi="宋体" w:cs="宋体"/>
          <w:b/>
          <w:sz w:val="32"/>
          <w:szCs w:val="32"/>
        </w:rPr>
        <w:t>投标单位基本情况表</w:t>
      </w:r>
      <w:bookmarkEnd w:id="118"/>
      <w:bookmarkEnd w:id="119"/>
      <w:bookmarkEnd w:id="120"/>
      <w:bookmarkEnd w:id="121"/>
    </w:p>
    <w:p>
      <w:pPr>
        <w:autoSpaceDE w:val="0"/>
        <w:autoSpaceDN w:val="0"/>
        <w:adjustRightInd w:val="0"/>
        <w:spacing w:line="360" w:lineRule="auto"/>
        <w:ind w:right="215" w:firstLine="420"/>
        <w:jc w:val="center"/>
        <w:rPr>
          <w:rFonts w:hAnsi="宋体" w:cs="宋体"/>
          <w:b/>
          <w:sz w:val="28"/>
        </w:rPr>
      </w:pPr>
    </w:p>
    <w:tbl>
      <w:tblPr>
        <w:tblStyle w:val="2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22" w:name="_Toc21875"/>
      <w:bookmarkStart w:id="123" w:name="_Toc24360"/>
      <w:bookmarkStart w:id="124" w:name="_Toc31407"/>
      <w:bookmarkStart w:id="125" w:name="_Toc20666"/>
      <w:r>
        <w:rPr>
          <w:rFonts w:hint="eastAsia" w:hAnsi="宋体" w:cs="宋体"/>
          <w:b/>
          <w:sz w:val="32"/>
        </w:rPr>
        <w:t>六、</w:t>
      </w:r>
      <w:r>
        <w:rPr>
          <w:rFonts w:hint="eastAsia" w:hAnsi="宋体" w:cs="宋体"/>
          <w:b/>
          <w:sz w:val="32"/>
          <w:szCs w:val="32"/>
        </w:rPr>
        <w:t>资格证明文件</w:t>
      </w:r>
      <w:bookmarkEnd w:id="122"/>
      <w:bookmarkEnd w:id="123"/>
      <w:bookmarkEnd w:id="124"/>
      <w:bookmarkEnd w:id="125"/>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26" w:name="_Toc14108"/>
      <w:bookmarkStart w:id="127" w:name="_Toc28544"/>
      <w:bookmarkStart w:id="128" w:name="_Toc5650"/>
      <w:bookmarkStart w:id="129" w:name="_Toc8478"/>
      <w:r>
        <w:rPr>
          <w:rFonts w:hint="eastAsia" w:hAnsi="宋体" w:cs="宋体"/>
          <w:b/>
          <w:sz w:val="32"/>
          <w:szCs w:val="32"/>
        </w:rPr>
        <w:t>七、近年完成的类似项目情况表</w:t>
      </w:r>
      <w:bookmarkEnd w:id="126"/>
      <w:bookmarkEnd w:id="127"/>
      <w:bookmarkEnd w:id="128"/>
      <w:bookmarkEnd w:id="129"/>
    </w:p>
    <w:tbl>
      <w:tblPr>
        <w:tblStyle w:val="2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0" w:name="_Toc32083"/>
      <w:bookmarkStart w:id="131" w:name="_Toc18653"/>
      <w:bookmarkStart w:id="132" w:name="_Toc30289"/>
      <w:bookmarkStart w:id="133" w:name="_Toc7338"/>
      <w:r>
        <w:rPr>
          <w:rFonts w:hint="eastAsia" w:hAnsi="宋体" w:cs="宋体"/>
          <w:b/>
          <w:sz w:val="32"/>
          <w:szCs w:val="32"/>
        </w:rPr>
        <w:t>八、正在施工的和新承接的项目情况</w:t>
      </w:r>
      <w:bookmarkEnd w:id="130"/>
      <w:bookmarkEnd w:id="131"/>
      <w:bookmarkEnd w:id="132"/>
      <w:bookmarkEnd w:id="133"/>
    </w:p>
    <w:p>
      <w:pPr>
        <w:autoSpaceDE w:val="0"/>
        <w:autoSpaceDN w:val="0"/>
        <w:adjustRightInd w:val="0"/>
        <w:spacing w:line="360" w:lineRule="auto"/>
        <w:ind w:right="215" w:firstLine="420"/>
        <w:jc w:val="center"/>
        <w:rPr>
          <w:rFonts w:hAnsi="宋体" w:cs="宋体"/>
          <w:b/>
          <w:sz w:val="32"/>
          <w:szCs w:val="32"/>
        </w:rPr>
      </w:pPr>
    </w:p>
    <w:tbl>
      <w:tblPr>
        <w:tblStyle w:val="2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34" w:name="_Toc20196"/>
      <w:bookmarkStart w:id="135" w:name="_Toc32111"/>
      <w:bookmarkStart w:id="136" w:name="_Toc24108"/>
      <w:bookmarkStart w:id="137" w:name="_Toc10088"/>
      <w:r>
        <w:rPr>
          <w:rFonts w:hint="eastAsia" w:hAnsi="宋体" w:cs="宋体"/>
          <w:b/>
          <w:sz w:val="32"/>
        </w:rPr>
        <w:t>九、其它材料</w:t>
      </w:r>
      <w:bookmarkEnd w:id="134"/>
      <w:bookmarkEnd w:id="135"/>
      <w:bookmarkEnd w:id="136"/>
      <w:bookmarkEnd w:id="137"/>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38" w:name="_Toc30084"/>
      <w:bookmarkStart w:id="139" w:name="_Toc28859"/>
      <w:bookmarkStart w:id="140" w:name="_Toc3616"/>
      <w:bookmarkStart w:id="141" w:name="_Toc19684"/>
      <w:r>
        <w:rPr>
          <w:rFonts w:hint="eastAsia" w:hAnsi="宋体" w:cs="宋体"/>
          <w:b/>
          <w:sz w:val="44"/>
          <w:szCs w:val="44"/>
        </w:rPr>
        <w:t>目  录</w:t>
      </w:r>
      <w:bookmarkEnd w:id="138"/>
      <w:bookmarkEnd w:id="139"/>
      <w:bookmarkEnd w:id="140"/>
      <w:bookmarkEnd w:id="141"/>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w:t>
      </w:r>
      <w:r>
        <w:rPr>
          <w:rFonts w:hint="eastAsia" w:hAnsi="宋体" w:cs="宋体"/>
          <w:b/>
          <w:sz w:val="26"/>
          <w:szCs w:val="26"/>
          <w:lang w:eastAsia="zh-CN"/>
        </w:rPr>
        <w:t>主要</w:t>
      </w:r>
      <w:r>
        <w:rPr>
          <w:rFonts w:hint="eastAsia" w:hAnsi="宋体" w:cs="宋体"/>
          <w:b/>
          <w:sz w:val="26"/>
          <w:szCs w:val="26"/>
        </w:rPr>
        <w:t>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w:t>
      </w:r>
      <w:r>
        <w:rPr>
          <w:rFonts w:hint="eastAsia" w:hAnsi="宋体" w:cs="宋体"/>
          <w:b/>
          <w:sz w:val="26"/>
          <w:szCs w:val="26"/>
          <w:lang w:eastAsia="zh-CN"/>
        </w:rPr>
        <w:t>文明施工、</w:t>
      </w:r>
      <w:r>
        <w:rPr>
          <w:rFonts w:hint="eastAsia" w:hAnsi="宋体" w:cs="宋体"/>
          <w:b/>
          <w:sz w:val="26"/>
          <w:szCs w:val="26"/>
        </w:rPr>
        <w:t>环境保护管理体系</w:t>
      </w:r>
      <w:r>
        <w:rPr>
          <w:rFonts w:hint="eastAsia" w:hAnsi="宋体" w:cs="宋体"/>
          <w:b/>
          <w:sz w:val="26"/>
          <w:szCs w:val="26"/>
          <w:lang w:eastAsia="zh-CN"/>
        </w:rPr>
        <w:t>及施工现场扬尘治理</w:t>
      </w:r>
      <w:r>
        <w:rPr>
          <w:rFonts w:hint="eastAsia" w:hAnsi="宋体" w:cs="宋体"/>
          <w:b/>
          <w:sz w:val="26"/>
          <w:szCs w:val="26"/>
        </w:rPr>
        <w:t>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w:t>
      </w:r>
      <w:r>
        <w:rPr>
          <w:rFonts w:hint="eastAsia" w:hAnsi="宋体" w:cs="宋体"/>
          <w:b/>
          <w:sz w:val="26"/>
          <w:szCs w:val="26"/>
          <w:lang w:eastAsia="zh-CN"/>
        </w:rPr>
        <w:t>期保证</w:t>
      </w:r>
      <w:r>
        <w:rPr>
          <w:rFonts w:hint="eastAsia" w:hAnsi="宋体" w:cs="宋体"/>
          <w:b/>
          <w:sz w:val="26"/>
          <w:szCs w:val="26"/>
        </w:rPr>
        <w:t>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w:t>
      </w:r>
      <w:r>
        <w:rPr>
          <w:rFonts w:hint="eastAsia" w:hAnsi="宋体" w:cs="宋体"/>
          <w:b/>
          <w:sz w:val="26"/>
          <w:szCs w:val="26"/>
          <w:lang w:eastAsia="zh-CN"/>
        </w:rPr>
        <w:t>与网络计划</w:t>
      </w:r>
      <w:r>
        <w:rPr>
          <w:rFonts w:hint="eastAsia" w:hAnsi="宋体" w:cs="宋体"/>
          <w:b/>
          <w:sz w:val="26"/>
          <w:szCs w:val="26"/>
        </w:rPr>
        <w:t>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w:t>
      </w:r>
      <w:r>
        <w:rPr>
          <w:rFonts w:hint="eastAsia" w:hAnsi="宋体" w:cs="宋体"/>
          <w:b/>
          <w:sz w:val="26"/>
          <w:szCs w:val="26"/>
          <w:lang w:eastAsia="zh-CN"/>
        </w:rPr>
        <w:t>的应用实施措施</w:t>
      </w:r>
      <w:r>
        <w:rPr>
          <w:rFonts w:hint="eastAsia" w:hAnsi="宋体" w:cs="宋体"/>
          <w:b/>
          <w:sz w:val="26"/>
          <w:szCs w:val="26"/>
        </w:rPr>
        <w:t>；</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w:t>
      </w:r>
      <w:r>
        <w:rPr>
          <w:rFonts w:hint="eastAsia" w:hAnsi="宋体" w:cs="宋体"/>
          <w:b/>
          <w:sz w:val="26"/>
          <w:szCs w:val="26"/>
          <w:lang w:eastAsia="zh-CN"/>
        </w:rPr>
        <w:t>采用</w:t>
      </w:r>
      <w:r>
        <w:rPr>
          <w:rFonts w:hint="eastAsia" w:hAnsi="宋体" w:cs="宋体"/>
          <w:b/>
          <w:sz w:val="26"/>
          <w:szCs w:val="26"/>
        </w:rPr>
        <w:t>新工艺、新技术、新设备、新材料</w:t>
      </w:r>
      <w:r>
        <w:rPr>
          <w:rFonts w:hint="eastAsia" w:hAnsi="宋体" w:cs="宋体"/>
          <w:b/>
          <w:sz w:val="26"/>
          <w:szCs w:val="26"/>
          <w:lang w:eastAsia="zh-CN"/>
        </w:rPr>
        <w:t>、</w:t>
      </w:r>
      <w:r>
        <w:rPr>
          <w:rFonts w:hint="eastAsia" w:hAnsi="宋体" w:cs="宋体"/>
          <w:b/>
          <w:sz w:val="26"/>
          <w:szCs w:val="26"/>
          <w:lang w:val="en-US" w:eastAsia="zh-CN"/>
        </w:rPr>
        <w:t>BIM等的程度</w:t>
      </w:r>
      <w:r>
        <w:rPr>
          <w:rFonts w:hint="eastAsia" w:hAnsi="宋体" w:cs="宋体"/>
          <w:b/>
          <w:sz w:val="26"/>
          <w:szCs w:val="26"/>
        </w:rPr>
        <w:t>；</w:t>
      </w:r>
    </w:p>
    <w:p>
      <w:pPr>
        <w:autoSpaceDE w:val="0"/>
        <w:autoSpaceDN w:val="0"/>
        <w:spacing w:line="540" w:lineRule="exact"/>
        <w:ind w:firstLine="520" w:firstLineChars="200"/>
        <w:jc w:val="left"/>
        <w:rPr>
          <w:rFonts w:hint="eastAsia" w:hAnsi="宋体" w:cs="宋体"/>
          <w:b/>
          <w:sz w:val="26"/>
          <w:szCs w:val="26"/>
          <w:lang w:eastAsia="zh-CN"/>
        </w:rPr>
      </w:pPr>
      <w:r>
        <w:rPr>
          <w:rFonts w:hint="eastAsia" w:hAnsi="宋体" w:cs="宋体"/>
          <w:b/>
          <w:sz w:val="26"/>
          <w:szCs w:val="26"/>
        </w:rPr>
        <w:t>（12）</w:t>
      </w:r>
      <w:r>
        <w:rPr>
          <w:rFonts w:hint="eastAsia" w:hAnsi="宋体" w:cs="宋体"/>
          <w:b/>
          <w:sz w:val="26"/>
          <w:szCs w:val="26"/>
          <w:lang w:eastAsia="zh-CN"/>
        </w:rPr>
        <w:t>施工</w:t>
      </w:r>
      <w:r>
        <w:rPr>
          <w:rFonts w:hint="eastAsia" w:hAnsi="宋体" w:cs="宋体"/>
          <w:b/>
          <w:sz w:val="26"/>
          <w:szCs w:val="26"/>
        </w:rPr>
        <w:t>现场实施</w:t>
      </w:r>
      <w:r>
        <w:rPr>
          <w:rFonts w:hint="eastAsia" w:hAnsi="宋体" w:cs="宋体"/>
          <w:b/>
          <w:sz w:val="26"/>
          <w:szCs w:val="26"/>
          <w:lang w:eastAsia="zh-CN"/>
        </w:rPr>
        <w:t>信息化</w:t>
      </w:r>
      <w:r>
        <w:rPr>
          <w:rFonts w:hint="eastAsia" w:hAnsi="宋体" w:cs="宋体"/>
          <w:b/>
          <w:sz w:val="26"/>
          <w:szCs w:val="26"/>
        </w:rPr>
        <w:t>监控和数据处理</w:t>
      </w:r>
      <w:r>
        <w:rPr>
          <w:rFonts w:hint="eastAsia" w:hAnsi="宋体" w:cs="宋体"/>
          <w:b/>
          <w:sz w:val="26"/>
          <w:szCs w:val="26"/>
          <w:lang w:eastAsia="zh-CN"/>
        </w:rPr>
        <w:t>；</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lang w:val="en-US" w:eastAsia="zh-CN"/>
        </w:rPr>
        <w:t>（13）风险管理措施。</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3"/>
      </w:rPr>
    </w:pPr>
    <w:r>
      <w:fldChar w:fldCharType="begin"/>
    </w:r>
    <w:r>
      <w:rPr>
        <w:rStyle w:val="33"/>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pBdr>
                              <w:top w:val="single" w:color="auto" w:sz="4" w:space="0"/>
                            </w:pBdr>
                            <w:ind w:right="360"/>
                            <w:jc w:val="center"/>
                          </w:pPr>
                          <w:r>
                            <w:fldChar w:fldCharType="begin"/>
                          </w:r>
                          <w:r>
                            <w:rPr>
                              <w:rStyle w:val="33"/>
                            </w:rPr>
                            <w:instrText xml:space="preserve"> PAGE </w:instrText>
                          </w:r>
                          <w:r>
                            <w:fldChar w:fldCharType="separate"/>
                          </w:r>
                          <w:r>
                            <w:rPr>
                              <w:rStyle w:val="33"/>
                            </w:rPr>
                            <w:t>2</w:t>
                          </w:r>
                          <w:r>
                            <w:fldChar w:fldCharType="end"/>
                          </w:r>
                        </w:p>
                      </w:txbxContent>
                    </wps:txbx>
                    <wps:bodyPr wrap="none" lIns="0" tIns="0" rIns="0" bIns="0" upright="1">
                      <a:spAutoFit/>
                    </wps:bodyPr>
                  </wps:wsp>
                </a:graphicData>
              </a:graphic>
            </wp:anchor>
          </w:drawing>
        </mc:Choice>
        <mc:Fallback>
          <w:pict>
            <v:shape id="文本框 61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ACQb5MABAABmAwAADgAAAAAAAAABACAAAAAiAQAAZHJzL2Uyb0RvYy54bWxQ&#10;SwUGAAAAAAYABgBZAQAAVAUAAAAA&#10;">
              <v:fill on="f" focussize="0,0"/>
              <v:stroke on="f" weight="1.25pt"/>
              <v:imagedata o:title=""/>
              <o:lock v:ext="edit" aspectratio="f"/>
              <v:textbox inset="0mm,0mm,0mm,0mm" style="mso-fit-shape-to-text:t;">
                <w:txbxContent>
                  <w:p>
                    <w:pPr>
                      <w:pStyle w:val="23"/>
                      <w:pBdr>
                        <w:top w:val="single" w:color="auto" w:sz="4" w:space="0"/>
                      </w:pBdr>
                      <w:ind w:right="360"/>
                      <w:jc w:val="center"/>
                    </w:pPr>
                    <w:r>
                      <w:fldChar w:fldCharType="begin"/>
                    </w:r>
                    <w:r>
                      <w:rPr>
                        <w:rStyle w:val="33"/>
                      </w:rPr>
                      <w:instrText xml:space="preserve"> PAGE </w:instrText>
                    </w:r>
                    <w:r>
                      <w:fldChar w:fldCharType="separate"/>
                    </w:r>
                    <w:r>
                      <w:rPr>
                        <w:rStyle w:val="33"/>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61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CNnDt8ABAABmAwAADgAAAAAAAAABACAAAAAiAQAAZHJzL2Uyb0RvYy54bWxQ&#10;SwUGAAAAAAYABgBZAQAAVAU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F6"/>
    <w:rsid w:val="000178F6"/>
    <w:rsid w:val="000250C6"/>
    <w:rsid w:val="00053AC1"/>
    <w:rsid w:val="00075718"/>
    <w:rsid w:val="00094E98"/>
    <w:rsid w:val="000A26C5"/>
    <w:rsid w:val="00116027"/>
    <w:rsid w:val="0012143F"/>
    <w:rsid w:val="001236FC"/>
    <w:rsid w:val="00164A88"/>
    <w:rsid w:val="00174B3A"/>
    <w:rsid w:val="0018209C"/>
    <w:rsid w:val="00196CCD"/>
    <w:rsid w:val="001A0763"/>
    <w:rsid w:val="001B41E7"/>
    <w:rsid w:val="001D2DEB"/>
    <w:rsid w:val="001F0C9B"/>
    <w:rsid w:val="001F59BB"/>
    <w:rsid w:val="001F74AE"/>
    <w:rsid w:val="001F7B41"/>
    <w:rsid w:val="0022051D"/>
    <w:rsid w:val="0023420E"/>
    <w:rsid w:val="002574C8"/>
    <w:rsid w:val="002712F3"/>
    <w:rsid w:val="00271D20"/>
    <w:rsid w:val="00296D0D"/>
    <w:rsid w:val="002A7CC5"/>
    <w:rsid w:val="002B0AA5"/>
    <w:rsid w:val="002D1004"/>
    <w:rsid w:val="002D6491"/>
    <w:rsid w:val="002E45CD"/>
    <w:rsid w:val="002F19FB"/>
    <w:rsid w:val="002F47E1"/>
    <w:rsid w:val="003004C9"/>
    <w:rsid w:val="00331ED0"/>
    <w:rsid w:val="00332D31"/>
    <w:rsid w:val="003843F0"/>
    <w:rsid w:val="003A063D"/>
    <w:rsid w:val="003A2B22"/>
    <w:rsid w:val="003B3A55"/>
    <w:rsid w:val="003B3E07"/>
    <w:rsid w:val="003B695D"/>
    <w:rsid w:val="003B6F91"/>
    <w:rsid w:val="003C5B02"/>
    <w:rsid w:val="003F312B"/>
    <w:rsid w:val="004218E9"/>
    <w:rsid w:val="00446EA9"/>
    <w:rsid w:val="0046066C"/>
    <w:rsid w:val="00490133"/>
    <w:rsid w:val="004906AC"/>
    <w:rsid w:val="00493FBD"/>
    <w:rsid w:val="004B16CA"/>
    <w:rsid w:val="004E53D1"/>
    <w:rsid w:val="00513703"/>
    <w:rsid w:val="0055215D"/>
    <w:rsid w:val="00590F88"/>
    <w:rsid w:val="00594511"/>
    <w:rsid w:val="005A0E2F"/>
    <w:rsid w:val="005B2094"/>
    <w:rsid w:val="005C13C8"/>
    <w:rsid w:val="005C3306"/>
    <w:rsid w:val="00600099"/>
    <w:rsid w:val="00633641"/>
    <w:rsid w:val="006408B0"/>
    <w:rsid w:val="00674180"/>
    <w:rsid w:val="006866AE"/>
    <w:rsid w:val="0069767D"/>
    <w:rsid w:val="006C4C4F"/>
    <w:rsid w:val="006D272E"/>
    <w:rsid w:val="006D7BCE"/>
    <w:rsid w:val="006E64F3"/>
    <w:rsid w:val="006E7284"/>
    <w:rsid w:val="006F44BD"/>
    <w:rsid w:val="007158E2"/>
    <w:rsid w:val="007355CC"/>
    <w:rsid w:val="007405B8"/>
    <w:rsid w:val="00773272"/>
    <w:rsid w:val="00792AA2"/>
    <w:rsid w:val="007A5365"/>
    <w:rsid w:val="007D24DB"/>
    <w:rsid w:val="007D723A"/>
    <w:rsid w:val="007E59D1"/>
    <w:rsid w:val="00803822"/>
    <w:rsid w:val="00812439"/>
    <w:rsid w:val="00814A6A"/>
    <w:rsid w:val="00844A97"/>
    <w:rsid w:val="00870731"/>
    <w:rsid w:val="00897BC2"/>
    <w:rsid w:val="008A4EFE"/>
    <w:rsid w:val="008B01D6"/>
    <w:rsid w:val="008B7361"/>
    <w:rsid w:val="00907E33"/>
    <w:rsid w:val="00931F16"/>
    <w:rsid w:val="00944CC4"/>
    <w:rsid w:val="00964E37"/>
    <w:rsid w:val="009919C6"/>
    <w:rsid w:val="00997F8D"/>
    <w:rsid w:val="009C0553"/>
    <w:rsid w:val="009D72BC"/>
    <w:rsid w:val="009D7596"/>
    <w:rsid w:val="009E350E"/>
    <w:rsid w:val="00A21345"/>
    <w:rsid w:val="00A266F4"/>
    <w:rsid w:val="00A34DAE"/>
    <w:rsid w:val="00A67D35"/>
    <w:rsid w:val="00AB6A27"/>
    <w:rsid w:val="00AF72A4"/>
    <w:rsid w:val="00B21805"/>
    <w:rsid w:val="00B255D7"/>
    <w:rsid w:val="00B34A9B"/>
    <w:rsid w:val="00B4042D"/>
    <w:rsid w:val="00B422AC"/>
    <w:rsid w:val="00B83290"/>
    <w:rsid w:val="00BD0BC8"/>
    <w:rsid w:val="00BE5AE1"/>
    <w:rsid w:val="00BE66C7"/>
    <w:rsid w:val="00BE679B"/>
    <w:rsid w:val="00C01A11"/>
    <w:rsid w:val="00C02698"/>
    <w:rsid w:val="00C042C7"/>
    <w:rsid w:val="00C056FA"/>
    <w:rsid w:val="00C068E7"/>
    <w:rsid w:val="00C139D0"/>
    <w:rsid w:val="00C13F48"/>
    <w:rsid w:val="00C14F99"/>
    <w:rsid w:val="00C26215"/>
    <w:rsid w:val="00C55004"/>
    <w:rsid w:val="00C57C5F"/>
    <w:rsid w:val="00C642A5"/>
    <w:rsid w:val="00C70668"/>
    <w:rsid w:val="00C726D5"/>
    <w:rsid w:val="00CA6BE9"/>
    <w:rsid w:val="00CD784D"/>
    <w:rsid w:val="00CF637E"/>
    <w:rsid w:val="00CF6FD4"/>
    <w:rsid w:val="00D03D8B"/>
    <w:rsid w:val="00D04521"/>
    <w:rsid w:val="00D05A76"/>
    <w:rsid w:val="00D502C8"/>
    <w:rsid w:val="00D71E96"/>
    <w:rsid w:val="00DA6D8A"/>
    <w:rsid w:val="00DC0A5B"/>
    <w:rsid w:val="00DD01EA"/>
    <w:rsid w:val="00DD4588"/>
    <w:rsid w:val="00DF7009"/>
    <w:rsid w:val="00E35C53"/>
    <w:rsid w:val="00E40312"/>
    <w:rsid w:val="00E718AE"/>
    <w:rsid w:val="00E72EEA"/>
    <w:rsid w:val="00E72FAC"/>
    <w:rsid w:val="00E7715F"/>
    <w:rsid w:val="00EA2E6D"/>
    <w:rsid w:val="00EB463A"/>
    <w:rsid w:val="00EC1AF2"/>
    <w:rsid w:val="00EC274C"/>
    <w:rsid w:val="00EF6AA4"/>
    <w:rsid w:val="00F17CF7"/>
    <w:rsid w:val="00F7323D"/>
    <w:rsid w:val="00F76572"/>
    <w:rsid w:val="00F77CE8"/>
    <w:rsid w:val="00FB3ECB"/>
    <w:rsid w:val="00FB7F3D"/>
    <w:rsid w:val="00FC10F7"/>
    <w:rsid w:val="00FC6CD7"/>
    <w:rsid w:val="00FD7247"/>
    <w:rsid w:val="00FF139A"/>
    <w:rsid w:val="011B04FC"/>
    <w:rsid w:val="0162027F"/>
    <w:rsid w:val="031D7070"/>
    <w:rsid w:val="041A6AD2"/>
    <w:rsid w:val="050F6747"/>
    <w:rsid w:val="05F037FC"/>
    <w:rsid w:val="07FA6C23"/>
    <w:rsid w:val="086A3259"/>
    <w:rsid w:val="08A768E0"/>
    <w:rsid w:val="09363BF0"/>
    <w:rsid w:val="09CC458A"/>
    <w:rsid w:val="0A2A1790"/>
    <w:rsid w:val="0A93557B"/>
    <w:rsid w:val="0BAA7590"/>
    <w:rsid w:val="0C640C22"/>
    <w:rsid w:val="0D0729D2"/>
    <w:rsid w:val="0F8302ED"/>
    <w:rsid w:val="11A848D2"/>
    <w:rsid w:val="12153458"/>
    <w:rsid w:val="128114F1"/>
    <w:rsid w:val="12F94C92"/>
    <w:rsid w:val="13AE1810"/>
    <w:rsid w:val="142A62B6"/>
    <w:rsid w:val="14532246"/>
    <w:rsid w:val="145A1103"/>
    <w:rsid w:val="15AB0F74"/>
    <w:rsid w:val="15DB4461"/>
    <w:rsid w:val="16224B78"/>
    <w:rsid w:val="17FE32AC"/>
    <w:rsid w:val="183954E7"/>
    <w:rsid w:val="18925A73"/>
    <w:rsid w:val="1B947F20"/>
    <w:rsid w:val="1E5F772A"/>
    <w:rsid w:val="1F2D41E7"/>
    <w:rsid w:val="1F9F1CBC"/>
    <w:rsid w:val="1FB91B92"/>
    <w:rsid w:val="226E5AA8"/>
    <w:rsid w:val="24FE350A"/>
    <w:rsid w:val="256022E2"/>
    <w:rsid w:val="259F3AD8"/>
    <w:rsid w:val="25B34D66"/>
    <w:rsid w:val="26737EA4"/>
    <w:rsid w:val="282536AD"/>
    <w:rsid w:val="282F5EE1"/>
    <w:rsid w:val="29030575"/>
    <w:rsid w:val="2A591A5C"/>
    <w:rsid w:val="2B866AFB"/>
    <w:rsid w:val="2C0D6042"/>
    <w:rsid w:val="2C292CA8"/>
    <w:rsid w:val="2E2059ED"/>
    <w:rsid w:val="2E475D81"/>
    <w:rsid w:val="2FFF1769"/>
    <w:rsid w:val="30661DCB"/>
    <w:rsid w:val="30A314C5"/>
    <w:rsid w:val="31143C84"/>
    <w:rsid w:val="324D6AF9"/>
    <w:rsid w:val="326C3D1B"/>
    <w:rsid w:val="344D5A8A"/>
    <w:rsid w:val="352146C2"/>
    <w:rsid w:val="35376D0E"/>
    <w:rsid w:val="35BC28E1"/>
    <w:rsid w:val="36B04291"/>
    <w:rsid w:val="36BC333E"/>
    <w:rsid w:val="36BF1774"/>
    <w:rsid w:val="383738F0"/>
    <w:rsid w:val="38D60473"/>
    <w:rsid w:val="3A9F058A"/>
    <w:rsid w:val="3AED7F2B"/>
    <w:rsid w:val="3B650F68"/>
    <w:rsid w:val="3B6A62F5"/>
    <w:rsid w:val="3DCB2EC9"/>
    <w:rsid w:val="3E5561A0"/>
    <w:rsid w:val="3E972A8C"/>
    <w:rsid w:val="3E9B50EB"/>
    <w:rsid w:val="41270ABA"/>
    <w:rsid w:val="41E87F67"/>
    <w:rsid w:val="420D71C0"/>
    <w:rsid w:val="44DD4EE4"/>
    <w:rsid w:val="453443CE"/>
    <w:rsid w:val="454E4B9B"/>
    <w:rsid w:val="45C13381"/>
    <w:rsid w:val="461C40C6"/>
    <w:rsid w:val="47C70BBF"/>
    <w:rsid w:val="483E59A6"/>
    <w:rsid w:val="4B455550"/>
    <w:rsid w:val="4B783D21"/>
    <w:rsid w:val="4BF910D0"/>
    <w:rsid w:val="4C634F7F"/>
    <w:rsid w:val="4CF8411C"/>
    <w:rsid w:val="4D1D1299"/>
    <w:rsid w:val="4D7B6CA0"/>
    <w:rsid w:val="4E4B6431"/>
    <w:rsid w:val="4EB723D2"/>
    <w:rsid w:val="4F3C2EE5"/>
    <w:rsid w:val="4FED7366"/>
    <w:rsid w:val="51001E72"/>
    <w:rsid w:val="5377784D"/>
    <w:rsid w:val="548E35FC"/>
    <w:rsid w:val="54A36690"/>
    <w:rsid w:val="56743DD7"/>
    <w:rsid w:val="57DB4138"/>
    <w:rsid w:val="580B0DB1"/>
    <w:rsid w:val="587549BB"/>
    <w:rsid w:val="58D116E7"/>
    <w:rsid w:val="593034EC"/>
    <w:rsid w:val="59426C51"/>
    <w:rsid w:val="59652206"/>
    <w:rsid w:val="5A6A331F"/>
    <w:rsid w:val="5B7C55C7"/>
    <w:rsid w:val="5B977600"/>
    <w:rsid w:val="5B9B0A5C"/>
    <w:rsid w:val="5BB567F3"/>
    <w:rsid w:val="5BFF3B30"/>
    <w:rsid w:val="5CAF227B"/>
    <w:rsid w:val="5E991148"/>
    <w:rsid w:val="5F1A307F"/>
    <w:rsid w:val="5F2143A4"/>
    <w:rsid w:val="60693FAD"/>
    <w:rsid w:val="626F2808"/>
    <w:rsid w:val="629711C1"/>
    <w:rsid w:val="646A7D45"/>
    <w:rsid w:val="65810D9C"/>
    <w:rsid w:val="658A0AB6"/>
    <w:rsid w:val="673A5D5A"/>
    <w:rsid w:val="67463A5E"/>
    <w:rsid w:val="682E1816"/>
    <w:rsid w:val="68D7707A"/>
    <w:rsid w:val="68EE022F"/>
    <w:rsid w:val="69F74D0A"/>
    <w:rsid w:val="6A6C5F16"/>
    <w:rsid w:val="6B2E40CC"/>
    <w:rsid w:val="6B3E4BE8"/>
    <w:rsid w:val="6BA17BE5"/>
    <w:rsid w:val="6C031CE7"/>
    <w:rsid w:val="6C032C32"/>
    <w:rsid w:val="6CB44074"/>
    <w:rsid w:val="6DD5486D"/>
    <w:rsid w:val="6E714334"/>
    <w:rsid w:val="6EA257E7"/>
    <w:rsid w:val="6EC73F3C"/>
    <w:rsid w:val="6FB85C0A"/>
    <w:rsid w:val="6FD17342"/>
    <w:rsid w:val="6FFB72F1"/>
    <w:rsid w:val="70EB791B"/>
    <w:rsid w:val="70F46B2D"/>
    <w:rsid w:val="71037B8C"/>
    <w:rsid w:val="72111CB4"/>
    <w:rsid w:val="73023162"/>
    <w:rsid w:val="736862FB"/>
    <w:rsid w:val="741D2EB8"/>
    <w:rsid w:val="755C2C56"/>
    <w:rsid w:val="766E2580"/>
    <w:rsid w:val="77FB42BA"/>
    <w:rsid w:val="785B7C25"/>
    <w:rsid w:val="79501F1C"/>
    <w:rsid w:val="7A2D1120"/>
    <w:rsid w:val="7B6B365B"/>
    <w:rsid w:val="7D150CCD"/>
    <w:rsid w:val="7D261F8B"/>
    <w:rsid w:val="7D7B2150"/>
    <w:rsid w:val="7DB2658E"/>
    <w:rsid w:val="7FD60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39"/>
    <w:qFormat/>
    <w:uiPriority w:val="0"/>
    <w:pPr>
      <w:keepNext/>
      <w:keepLines/>
      <w:spacing w:before="260" w:after="260" w:line="416" w:lineRule="auto"/>
      <w:outlineLvl w:val="2"/>
    </w:pPr>
    <w:rPr>
      <w:b/>
      <w:bCs/>
      <w:sz w:val="32"/>
      <w:szCs w:val="32"/>
    </w:rPr>
  </w:style>
  <w:style w:type="paragraph" w:styleId="9">
    <w:name w:val="heading 4"/>
    <w:basedOn w:val="1"/>
    <w:next w:val="1"/>
    <w:link w:val="40"/>
    <w:qFormat/>
    <w:uiPriority w:val="0"/>
    <w:pPr>
      <w:keepNext/>
      <w:keepLines/>
      <w:spacing w:line="360" w:lineRule="auto"/>
      <w:outlineLvl w:val="3"/>
    </w:pPr>
    <w:rPr>
      <w:rFonts w:ascii="Arial" w:hAnsi="Arial"/>
      <w:b/>
      <w:bCs/>
      <w:szCs w:val="28"/>
    </w:rPr>
  </w:style>
  <w:style w:type="paragraph" w:styleId="10">
    <w:name w:val="heading 5"/>
    <w:basedOn w:val="1"/>
    <w:next w:val="1"/>
    <w:link w:val="41"/>
    <w:qFormat/>
    <w:uiPriority w:val="0"/>
    <w:pPr>
      <w:keepNext/>
      <w:keepLines/>
      <w:spacing w:before="280" w:after="290" w:line="376" w:lineRule="auto"/>
      <w:outlineLvl w:val="4"/>
    </w:pPr>
    <w:rPr>
      <w:b/>
      <w:bCs/>
      <w:sz w:val="28"/>
      <w:szCs w:val="28"/>
    </w:rPr>
  </w:style>
  <w:style w:type="paragraph" w:styleId="11">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75"/>
    <w:qFormat/>
    <w:uiPriority w:val="0"/>
    <w:pPr>
      <w:ind w:firstLine="420" w:firstLineChars="100"/>
    </w:pPr>
  </w:style>
  <w:style w:type="paragraph" w:styleId="3">
    <w:name w:val="Body Text"/>
    <w:basedOn w:val="1"/>
    <w:link w:val="74"/>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link w:val="79"/>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87"/>
    <w:semiHidden/>
    <w:qFormat/>
    <w:uiPriority w:val="0"/>
    <w:pPr>
      <w:shd w:val="clear" w:color="auto" w:fill="000080"/>
    </w:pPr>
  </w:style>
  <w:style w:type="paragraph" w:styleId="17">
    <w:name w:val="Body Text 3"/>
    <w:basedOn w:val="1"/>
    <w:link w:val="82"/>
    <w:qFormat/>
    <w:uiPriority w:val="0"/>
    <w:rPr>
      <w:sz w:val="24"/>
    </w:rPr>
  </w:style>
  <w:style w:type="paragraph" w:styleId="18">
    <w:name w:val="toc 3"/>
    <w:basedOn w:val="1"/>
    <w:next w:val="1"/>
    <w:semiHidden/>
    <w:qFormat/>
    <w:uiPriority w:val="0"/>
    <w:pPr>
      <w:ind w:left="840" w:leftChars="400"/>
    </w:pPr>
  </w:style>
  <w:style w:type="paragraph" w:styleId="19">
    <w:name w:val="Plain Text"/>
    <w:basedOn w:val="1"/>
    <w:link w:val="70"/>
    <w:qFormat/>
    <w:uiPriority w:val="0"/>
    <w:rPr>
      <w:rFonts w:hAnsi="Courier New" w:cs="Courier New"/>
      <w:kern w:val="2"/>
      <w:sz w:val="21"/>
      <w:szCs w:val="21"/>
    </w:rPr>
  </w:style>
  <w:style w:type="paragraph" w:styleId="20">
    <w:name w:val="Date"/>
    <w:basedOn w:val="1"/>
    <w:next w:val="1"/>
    <w:link w:val="89"/>
    <w:qFormat/>
    <w:uiPriority w:val="0"/>
    <w:pPr>
      <w:ind w:left="100" w:leftChars="2500"/>
    </w:pPr>
  </w:style>
  <w:style w:type="paragraph" w:styleId="21">
    <w:name w:val="Body Text Indent 2"/>
    <w:basedOn w:val="1"/>
    <w:link w:val="76"/>
    <w:qFormat/>
    <w:uiPriority w:val="0"/>
    <w:pPr>
      <w:spacing w:after="120" w:line="480" w:lineRule="auto"/>
      <w:ind w:left="420" w:leftChars="200"/>
    </w:pPr>
  </w:style>
  <w:style w:type="paragraph" w:styleId="22">
    <w:name w:val="Balloon Text"/>
    <w:basedOn w:val="1"/>
    <w:link w:val="83"/>
    <w:semiHidden/>
    <w:qFormat/>
    <w:uiPriority w:val="0"/>
    <w:rPr>
      <w:sz w:val="18"/>
      <w:szCs w:val="18"/>
    </w:rPr>
  </w:style>
  <w:style w:type="paragraph" w:styleId="23">
    <w:name w:val="footer"/>
    <w:basedOn w:val="1"/>
    <w:link w:val="8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4">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link w:val="86"/>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link w:val="69"/>
    <w:qFormat/>
    <w:uiPriority w:val="0"/>
    <w:pPr>
      <w:adjustRightInd w:val="0"/>
      <w:spacing w:before="240" w:after="60" w:line="420" w:lineRule="atLeast"/>
      <w:jc w:val="center"/>
      <w:textAlignment w:val="baseline"/>
      <w:outlineLvl w:val="0"/>
    </w:pPr>
    <w:rPr>
      <w:rFonts w:ascii="Arial" w:hAnsi="Arial"/>
      <w:b/>
      <w:sz w:val="32"/>
    </w:rPr>
  </w:style>
  <w:style w:type="table" w:styleId="30">
    <w:name w:val="Table Grid"/>
    <w:basedOn w:val="2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标题 1 Char"/>
    <w:basedOn w:val="31"/>
    <w:link w:val="6"/>
    <w:qFormat/>
    <w:uiPriority w:val="0"/>
    <w:rPr>
      <w:rFonts w:ascii="宋体" w:hAnsi="Times New Roman" w:eastAsia="宋体" w:cs="Times New Roman"/>
      <w:b/>
      <w:bCs/>
      <w:kern w:val="44"/>
      <w:sz w:val="44"/>
      <w:szCs w:val="44"/>
    </w:rPr>
  </w:style>
  <w:style w:type="character" w:customStyle="1" w:styleId="38">
    <w:name w:val="标题 2 Char"/>
    <w:basedOn w:val="31"/>
    <w:link w:val="7"/>
    <w:qFormat/>
    <w:uiPriority w:val="0"/>
    <w:rPr>
      <w:rFonts w:ascii="Arial" w:hAnsi="Arial" w:eastAsia="黑体" w:cs="Times New Roman"/>
      <w:b/>
      <w:bCs/>
      <w:sz w:val="32"/>
      <w:szCs w:val="32"/>
    </w:rPr>
  </w:style>
  <w:style w:type="character" w:customStyle="1" w:styleId="39">
    <w:name w:val="标题 3 Char"/>
    <w:basedOn w:val="31"/>
    <w:link w:val="8"/>
    <w:qFormat/>
    <w:uiPriority w:val="0"/>
    <w:rPr>
      <w:rFonts w:ascii="宋体" w:hAnsi="Times New Roman" w:eastAsia="宋体" w:cs="Times New Roman"/>
      <w:b/>
      <w:bCs/>
      <w:kern w:val="0"/>
      <w:sz w:val="32"/>
      <w:szCs w:val="32"/>
    </w:rPr>
  </w:style>
  <w:style w:type="character" w:customStyle="1" w:styleId="40">
    <w:name w:val="标题 4 Char"/>
    <w:basedOn w:val="31"/>
    <w:link w:val="9"/>
    <w:qFormat/>
    <w:uiPriority w:val="0"/>
    <w:rPr>
      <w:rFonts w:ascii="Arial" w:hAnsi="Arial" w:eastAsia="宋体" w:cs="Times New Roman"/>
      <w:b/>
      <w:bCs/>
      <w:kern w:val="0"/>
      <w:sz w:val="34"/>
      <w:szCs w:val="28"/>
    </w:rPr>
  </w:style>
  <w:style w:type="character" w:customStyle="1" w:styleId="41">
    <w:name w:val="标题 5 Char"/>
    <w:basedOn w:val="31"/>
    <w:link w:val="10"/>
    <w:qFormat/>
    <w:uiPriority w:val="0"/>
    <w:rPr>
      <w:rFonts w:ascii="宋体" w:hAnsi="Times New Roman" w:eastAsia="宋体" w:cs="Times New Roman"/>
      <w:b/>
      <w:bCs/>
      <w:kern w:val="0"/>
      <w:sz w:val="28"/>
      <w:szCs w:val="28"/>
    </w:rPr>
  </w:style>
  <w:style w:type="character" w:customStyle="1" w:styleId="42">
    <w:name w:val="标题 6 Char"/>
    <w:basedOn w:val="31"/>
    <w:link w:val="11"/>
    <w:qFormat/>
    <w:uiPriority w:val="0"/>
    <w:rPr>
      <w:rFonts w:ascii="Arial" w:hAnsi="Arial" w:eastAsia="黑体" w:cs="Times New Roman"/>
      <w:b/>
      <w:bCs/>
      <w:kern w:val="0"/>
      <w:sz w:val="24"/>
      <w:szCs w:val="20"/>
    </w:rPr>
  </w:style>
  <w:style w:type="character" w:customStyle="1" w:styleId="43">
    <w:name w:val="标题 7 Char"/>
    <w:basedOn w:val="31"/>
    <w:link w:val="12"/>
    <w:qFormat/>
    <w:uiPriority w:val="0"/>
    <w:rPr>
      <w:rFonts w:ascii="宋体" w:hAnsi="Times New Roman" w:eastAsia="宋体" w:cs="Times New Roman"/>
      <w:b/>
      <w:bCs/>
      <w:kern w:val="0"/>
      <w:sz w:val="24"/>
      <w:szCs w:val="20"/>
    </w:rPr>
  </w:style>
  <w:style w:type="character" w:customStyle="1" w:styleId="44">
    <w:name w:val="标题 8 Char"/>
    <w:basedOn w:val="31"/>
    <w:link w:val="13"/>
    <w:qFormat/>
    <w:uiPriority w:val="0"/>
    <w:rPr>
      <w:rFonts w:ascii="Arial" w:hAnsi="Arial" w:eastAsia="黑体" w:cs="Times New Roman"/>
      <w:kern w:val="0"/>
      <w:sz w:val="24"/>
      <w:szCs w:val="20"/>
    </w:rPr>
  </w:style>
  <w:style w:type="character" w:customStyle="1" w:styleId="45">
    <w:name w:val="标题 9 Char"/>
    <w:basedOn w:val="31"/>
    <w:link w:val="14"/>
    <w:qFormat/>
    <w:uiPriority w:val="0"/>
    <w:rPr>
      <w:rFonts w:ascii="Arial" w:hAnsi="Arial" w:eastAsia="黑体" w:cs="Times New Roman"/>
      <w:kern w:val="0"/>
      <w:sz w:val="34"/>
      <w:szCs w:val="21"/>
    </w:rPr>
  </w:style>
  <w:style w:type="character" w:customStyle="1" w:styleId="46">
    <w:name w:val="red1"/>
    <w:basedOn w:val="31"/>
    <w:qFormat/>
    <w:uiPriority w:val="0"/>
    <w:rPr>
      <w:color w:val="FF0000"/>
      <w:sz w:val="18"/>
      <w:szCs w:val="18"/>
    </w:rPr>
  </w:style>
  <w:style w:type="character" w:customStyle="1" w:styleId="47">
    <w:name w:val="tit1"/>
    <w:basedOn w:val="31"/>
    <w:qFormat/>
    <w:uiPriority w:val="0"/>
  </w:style>
  <w:style w:type="character" w:customStyle="1" w:styleId="48">
    <w:name w:val="green"/>
    <w:basedOn w:val="31"/>
    <w:qFormat/>
    <w:uiPriority w:val="0"/>
    <w:rPr>
      <w:color w:val="66AE00"/>
      <w:sz w:val="18"/>
      <w:szCs w:val="18"/>
    </w:rPr>
  </w:style>
  <w:style w:type="character" w:customStyle="1" w:styleId="49">
    <w:name w:val="red2"/>
    <w:basedOn w:val="31"/>
    <w:qFormat/>
    <w:uiPriority w:val="0"/>
    <w:rPr>
      <w:color w:val="CC0000"/>
    </w:rPr>
  </w:style>
  <w:style w:type="character" w:customStyle="1" w:styleId="50">
    <w:name w:val="sl"/>
    <w:basedOn w:val="31"/>
    <w:qFormat/>
    <w:uiPriority w:val="0"/>
  </w:style>
  <w:style w:type="character" w:customStyle="1" w:styleId="51">
    <w:name w:val="green1"/>
    <w:basedOn w:val="31"/>
    <w:qFormat/>
    <w:uiPriority w:val="0"/>
    <w:rPr>
      <w:color w:val="66AE00"/>
      <w:sz w:val="18"/>
      <w:szCs w:val="18"/>
    </w:rPr>
  </w:style>
  <w:style w:type="character" w:customStyle="1" w:styleId="52">
    <w:name w:val="right"/>
    <w:basedOn w:val="31"/>
    <w:qFormat/>
    <w:uiPriority w:val="0"/>
    <w:rPr>
      <w:color w:val="999999"/>
      <w:sz w:val="18"/>
      <w:szCs w:val="18"/>
    </w:rPr>
  </w:style>
  <w:style w:type="character" w:customStyle="1" w:styleId="53">
    <w:name w:val="lsr"/>
    <w:basedOn w:val="31"/>
    <w:qFormat/>
    <w:uiPriority w:val="0"/>
  </w:style>
  <w:style w:type="character" w:customStyle="1" w:styleId="54">
    <w:name w:val="textcontents"/>
    <w:basedOn w:val="31"/>
    <w:qFormat/>
    <w:uiPriority w:val="0"/>
  </w:style>
  <w:style w:type="character" w:customStyle="1" w:styleId="55">
    <w:name w:val="red3"/>
    <w:basedOn w:val="31"/>
    <w:qFormat/>
    <w:uiPriority w:val="0"/>
    <w:rPr>
      <w:color w:val="FF0000"/>
    </w:rPr>
  </w:style>
  <w:style w:type="character" w:customStyle="1" w:styleId="56">
    <w:name w:val="页脚 Char"/>
    <w:qFormat/>
    <w:uiPriority w:val="99"/>
    <w:rPr>
      <w:sz w:val="18"/>
      <w:szCs w:val="18"/>
    </w:rPr>
  </w:style>
  <w:style w:type="character" w:customStyle="1" w:styleId="57">
    <w:name w:val="hover25"/>
    <w:basedOn w:val="31"/>
    <w:qFormat/>
    <w:uiPriority w:val="0"/>
  </w:style>
  <w:style w:type="character" w:customStyle="1" w:styleId="58">
    <w:name w:val="blue"/>
    <w:basedOn w:val="31"/>
    <w:qFormat/>
    <w:uiPriority w:val="0"/>
    <w:rPr>
      <w:color w:val="0371C6"/>
      <w:sz w:val="21"/>
      <w:szCs w:val="21"/>
    </w:rPr>
  </w:style>
  <w:style w:type="character" w:customStyle="1" w:styleId="59">
    <w:name w:val="font161"/>
    <w:qFormat/>
    <w:uiPriority w:val="0"/>
    <w:rPr>
      <w:b/>
      <w:bCs/>
      <w:sz w:val="32"/>
      <w:szCs w:val="32"/>
    </w:rPr>
  </w:style>
  <w:style w:type="character" w:customStyle="1" w:styleId="60">
    <w:name w:val="纯文本 Char"/>
    <w:qFormat/>
    <w:uiPriority w:val="0"/>
    <w:rPr>
      <w:rFonts w:ascii="宋体" w:hAnsi="Courier New" w:eastAsia="宋体" w:cs="Courier New"/>
      <w:szCs w:val="21"/>
    </w:rPr>
  </w:style>
  <w:style w:type="character" w:customStyle="1" w:styleId="61">
    <w:name w:val="tit"/>
    <w:basedOn w:val="31"/>
    <w:qFormat/>
    <w:uiPriority w:val="0"/>
  </w:style>
  <w:style w:type="character" w:customStyle="1" w:styleId="62">
    <w:name w:val="down"/>
    <w:qFormat/>
    <w:uiPriority w:val="0"/>
    <w:rPr>
      <w:shd w:val="clear" w:color="auto" w:fill="DAEEF9"/>
    </w:rPr>
  </w:style>
  <w:style w:type="character" w:customStyle="1" w:styleId="63">
    <w:name w:val="lsl"/>
    <w:basedOn w:val="31"/>
    <w:qFormat/>
    <w:uiPriority w:val="0"/>
  </w:style>
  <w:style w:type="character" w:customStyle="1" w:styleId="64">
    <w:name w:val="red"/>
    <w:basedOn w:val="31"/>
    <w:qFormat/>
    <w:uiPriority w:val="0"/>
    <w:rPr>
      <w:color w:val="FF0000"/>
      <w:sz w:val="18"/>
      <w:szCs w:val="18"/>
    </w:rPr>
  </w:style>
  <w:style w:type="character" w:customStyle="1" w:styleId="65">
    <w:name w:val="apple-converted-space"/>
    <w:basedOn w:val="31"/>
    <w:qFormat/>
    <w:uiPriority w:val="0"/>
  </w:style>
  <w:style w:type="character" w:customStyle="1" w:styleId="66">
    <w:name w:val="sr"/>
    <w:basedOn w:val="31"/>
    <w:qFormat/>
    <w:uiPriority w:val="0"/>
  </w:style>
  <w:style w:type="character" w:customStyle="1" w:styleId="67">
    <w:name w:val="gb-jt"/>
    <w:basedOn w:val="31"/>
    <w:qFormat/>
    <w:uiPriority w:val="0"/>
  </w:style>
  <w:style w:type="paragraph" w:customStyle="1" w:styleId="68">
    <w:name w:val="正文 + 自动设置"/>
    <w:basedOn w:val="6"/>
    <w:qFormat/>
    <w:uiPriority w:val="0"/>
    <w:pPr>
      <w:tabs>
        <w:tab w:val="left" w:pos="840"/>
      </w:tabs>
      <w:spacing w:before="360" w:after="360" w:line="480" w:lineRule="auto"/>
      <w:jc w:val="center"/>
    </w:pPr>
    <w:rPr>
      <w:rFonts w:eastAsia="黑体"/>
      <w:bCs w:val="0"/>
      <w:sz w:val="36"/>
      <w:szCs w:val="20"/>
    </w:rPr>
  </w:style>
  <w:style w:type="character" w:customStyle="1" w:styleId="69">
    <w:name w:val="标题 Char"/>
    <w:basedOn w:val="31"/>
    <w:link w:val="28"/>
    <w:qFormat/>
    <w:uiPriority w:val="0"/>
    <w:rPr>
      <w:rFonts w:ascii="Arial" w:hAnsi="Arial" w:eastAsia="宋体" w:cs="Times New Roman"/>
      <w:b/>
      <w:kern w:val="0"/>
      <w:sz w:val="32"/>
      <w:szCs w:val="20"/>
    </w:rPr>
  </w:style>
  <w:style w:type="character" w:customStyle="1" w:styleId="70">
    <w:name w:val="纯文本 Char1"/>
    <w:basedOn w:val="31"/>
    <w:link w:val="19"/>
    <w:semiHidden/>
    <w:qFormat/>
    <w:uiPriority w:val="99"/>
    <w:rPr>
      <w:rFonts w:ascii="宋体" w:hAnsi="Courier New" w:eastAsia="宋体" w:cs="Courier New"/>
      <w:kern w:val="0"/>
      <w:szCs w:val="21"/>
    </w:rPr>
  </w:style>
  <w:style w:type="paragraph" w:customStyle="1" w:styleId="71">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2">
    <w:name w:val="表格"/>
    <w:basedOn w:val="1"/>
    <w:qFormat/>
    <w:uiPriority w:val="0"/>
    <w:pPr>
      <w:jc w:val="center"/>
      <w:textAlignment w:val="center"/>
    </w:pPr>
    <w:rPr>
      <w:rFonts w:ascii="华文细黑" w:hAnsi="华文细黑"/>
    </w:rPr>
  </w:style>
  <w:style w:type="paragraph" w:styleId="73">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4">
    <w:name w:val="正文文本 Char"/>
    <w:basedOn w:val="31"/>
    <w:link w:val="3"/>
    <w:semiHidden/>
    <w:qFormat/>
    <w:uiPriority w:val="99"/>
    <w:rPr>
      <w:rFonts w:ascii="宋体" w:hAnsi="Times New Roman" w:eastAsia="宋体" w:cs="Times New Roman"/>
      <w:kern w:val="0"/>
      <w:sz w:val="34"/>
      <w:szCs w:val="20"/>
    </w:rPr>
  </w:style>
  <w:style w:type="character" w:customStyle="1" w:styleId="75">
    <w:name w:val="正文首行缩进 Char"/>
    <w:basedOn w:val="74"/>
    <w:link w:val="2"/>
    <w:qFormat/>
    <w:uiPriority w:val="0"/>
    <w:rPr>
      <w:rFonts w:ascii="宋体" w:hAnsi="Times New Roman" w:eastAsia="宋体" w:cs="Times New Roman"/>
      <w:kern w:val="0"/>
      <w:sz w:val="34"/>
      <w:szCs w:val="20"/>
    </w:rPr>
  </w:style>
  <w:style w:type="character" w:customStyle="1" w:styleId="76">
    <w:name w:val="正文文本缩进 2 Char"/>
    <w:basedOn w:val="31"/>
    <w:link w:val="21"/>
    <w:qFormat/>
    <w:uiPriority w:val="0"/>
    <w:rPr>
      <w:rFonts w:ascii="宋体" w:hAnsi="Times New Roman" w:eastAsia="宋体" w:cs="Times New Roman"/>
      <w:kern w:val="0"/>
      <w:sz w:val="34"/>
      <w:szCs w:val="20"/>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character" w:customStyle="1" w:styleId="79">
    <w:name w:val="正文文本缩进 Char"/>
    <w:basedOn w:val="31"/>
    <w:link w:val="5"/>
    <w:qFormat/>
    <w:uiPriority w:val="0"/>
    <w:rPr>
      <w:rFonts w:ascii="宋体" w:hAnsi="Times New Roman" w:eastAsia="宋体" w:cs="Times New Roman"/>
      <w:kern w:val="0"/>
      <w:sz w:val="34"/>
      <w:szCs w:val="20"/>
    </w:rPr>
  </w:style>
  <w:style w:type="paragraph" w:customStyle="1" w:styleId="80">
    <w:name w:val="1"/>
    <w:basedOn w:val="1"/>
    <w:next w:val="1"/>
    <w:qFormat/>
    <w:uiPriority w:val="0"/>
  </w:style>
  <w:style w:type="character" w:customStyle="1" w:styleId="81">
    <w:name w:val="页脚 Char1"/>
    <w:basedOn w:val="31"/>
    <w:link w:val="23"/>
    <w:semiHidden/>
    <w:qFormat/>
    <w:uiPriority w:val="99"/>
    <w:rPr>
      <w:rFonts w:ascii="宋体" w:hAnsi="Times New Roman" w:eastAsia="宋体" w:cs="Times New Roman"/>
      <w:kern w:val="0"/>
      <w:sz w:val="18"/>
      <w:szCs w:val="18"/>
    </w:rPr>
  </w:style>
  <w:style w:type="character" w:customStyle="1" w:styleId="82">
    <w:name w:val="正文文本 3 Char"/>
    <w:basedOn w:val="31"/>
    <w:link w:val="17"/>
    <w:qFormat/>
    <w:uiPriority w:val="0"/>
    <w:rPr>
      <w:rFonts w:ascii="宋体" w:hAnsi="Times New Roman" w:eastAsia="宋体" w:cs="Times New Roman"/>
      <w:kern w:val="0"/>
      <w:sz w:val="24"/>
      <w:szCs w:val="20"/>
    </w:rPr>
  </w:style>
  <w:style w:type="character" w:customStyle="1" w:styleId="83">
    <w:name w:val="批注框文本 Char"/>
    <w:basedOn w:val="31"/>
    <w:link w:val="22"/>
    <w:semiHidden/>
    <w:qFormat/>
    <w:uiPriority w:val="0"/>
    <w:rPr>
      <w:rFonts w:ascii="宋体" w:hAnsi="Times New Roman" w:eastAsia="宋体" w:cs="Times New Roman"/>
      <w:kern w:val="0"/>
      <w:sz w:val="18"/>
      <w:szCs w:val="18"/>
    </w:rPr>
  </w:style>
  <w:style w:type="paragraph" w:customStyle="1" w:styleId="84">
    <w:name w:val="p0"/>
    <w:basedOn w:val="1"/>
    <w:qFormat/>
    <w:uiPriority w:val="0"/>
    <w:pPr>
      <w:widowControl/>
      <w:spacing w:line="408" w:lineRule="auto"/>
      <w:ind w:left="1"/>
      <w:textAlignment w:val="bottom"/>
    </w:pPr>
    <w:rPr>
      <w:color w:val="000000"/>
    </w:rPr>
  </w:style>
  <w:style w:type="paragraph" w:customStyle="1" w:styleId="85">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character" w:customStyle="1" w:styleId="86">
    <w:name w:val="正文文本缩进 3 Char"/>
    <w:basedOn w:val="31"/>
    <w:link w:val="26"/>
    <w:qFormat/>
    <w:uiPriority w:val="0"/>
    <w:rPr>
      <w:rFonts w:ascii="宋体" w:hAnsi="宋体" w:eastAsia="宋体" w:cs="Times New Roman"/>
      <w:kern w:val="0"/>
      <w:sz w:val="34"/>
      <w:szCs w:val="20"/>
    </w:rPr>
  </w:style>
  <w:style w:type="character" w:customStyle="1" w:styleId="87">
    <w:name w:val="文档结构图 Char"/>
    <w:basedOn w:val="31"/>
    <w:link w:val="16"/>
    <w:semiHidden/>
    <w:qFormat/>
    <w:uiPriority w:val="0"/>
    <w:rPr>
      <w:rFonts w:ascii="宋体" w:hAnsi="Times New Roman" w:eastAsia="宋体" w:cs="Times New Roman"/>
      <w:kern w:val="0"/>
      <w:sz w:val="34"/>
      <w:szCs w:val="20"/>
      <w:shd w:val="clear" w:color="auto" w:fill="000080"/>
    </w:rPr>
  </w:style>
  <w:style w:type="character" w:customStyle="1" w:styleId="88">
    <w:name w:val="页眉 Char"/>
    <w:basedOn w:val="31"/>
    <w:link w:val="24"/>
    <w:qFormat/>
    <w:uiPriority w:val="0"/>
    <w:rPr>
      <w:rFonts w:ascii="宋体" w:hAnsi="Times New Roman" w:eastAsia="宋体" w:cs="Times New Roman"/>
      <w:kern w:val="0"/>
      <w:sz w:val="18"/>
      <w:szCs w:val="18"/>
    </w:rPr>
  </w:style>
  <w:style w:type="character" w:customStyle="1" w:styleId="89">
    <w:name w:val="日期 Char"/>
    <w:basedOn w:val="31"/>
    <w:link w:val="20"/>
    <w:qFormat/>
    <w:uiPriority w:val="0"/>
    <w:rPr>
      <w:rFonts w:ascii="宋体" w:hAnsi="Times New Roman" w:eastAsia="宋体" w:cs="Times New Roman"/>
      <w:kern w:val="0"/>
      <w:sz w:val="34"/>
      <w:szCs w:val="20"/>
    </w:rPr>
  </w:style>
  <w:style w:type="paragraph" w:customStyle="1" w:styleId="90">
    <w:name w:val="WPSOffice手动目录 1"/>
    <w:qFormat/>
    <w:uiPriority w:val="0"/>
    <w:rPr>
      <w:rFonts w:ascii="Times New Roman" w:hAnsi="Times New Roman" w:eastAsia="宋体" w:cs="Times New Roman"/>
      <w:sz w:val="21"/>
      <w:szCs w:val="22"/>
      <w:lang w:val="en-US" w:eastAsia="zh-CN"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Char"/>
    <w:basedOn w:val="1"/>
    <w:qFormat/>
    <w:uiPriority w:val="0"/>
    <w:rPr>
      <w:rFonts w:ascii="仿宋_GB2312" w:eastAsia="仿宋_GB2312"/>
      <w:b/>
      <w:sz w:val="32"/>
      <w:szCs w:val="32"/>
    </w:rPr>
  </w:style>
  <w:style w:type="paragraph" w:customStyle="1" w:styleId="93">
    <w:name w:val="Char1"/>
    <w:basedOn w:val="1"/>
    <w:qFormat/>
    <w:uiPriority w:val="0"/>
    <w:pPr>
      <w:adjustRightInd w:val="0"/>
      <w:spacing w:line="600" w:lineRule="exact"/>
      <w:ind w:firstLine="560" w:firstLineChars="200"/>
      <w:jc w:val="center"/>
    </w:pPr>
  </w:style>
  <w:style w:type="paragraph" w:customStyle="1" w:styleId="94">
    <w:name w:val="表格文字"/>
    <w:basedOn w:val="1"/>
    <w:qFormat/>
    <w:uiPriority w:val="0"/>
    <w:pPr>
      <w:adjustRightInd w:val="0"/>
      <w:spacing w:line="420" w:lineRule="atLeast"/>
      <w:jc w:val="left"/>
      <w:textAlignment w:val="baseline"/>
    </w:pPr>
  </w:style>
  <w:style w:type="paragraph" w:customStyle="1" w:styleId="9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97">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5316</Words>
  <Characters>30305</Characters>
  <Lines>252</Lines>
  <Paragraphs>71</Paragraphs>
  <TotalTime>3</TotalTime>
  <ScaleCrop>false</ScaleCrop>
  <LinksUpToDate>false</LinksUpToDate>
  <CharactersWithSpaces>35550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Administrator</cp:lastModifiedBy>
  <cp:lastPrinted>2019-07-09T06:59:00Z</cp:lastPrinted>
  <dcterms:modified xsi:type="dcterms:W3CDTF">2019-09-17T07:24:29Z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