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920" w:firstLineChars="6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项目编号：建安建工公字〔2019〕</w:t>
      </w:r>
      <w:r>
        <w:rPr>
          <w:rFonts w:hint="eastAsia" w:asciiTheme="minorEastAsia" w:hAnsiTheme="minorEastAsia" w:eastAsiaTheme="minorEastAsia"/>
          <w:sz w:val="32"/>
          <w:szCs w:val="32"/>
          <w:lang w:val="en-US" w:eastAsia="zh-CN"/>
        </w:rPr>
        <w:t>151</w:t>
      </w:r>
      <w:r>
        <w:rPr>
          <w:rFonts w:hint="eastAsia" w:asciiTheme="minorEastAsia" w:hAnsiTheme="minorEastAsia" w:eastAsiaTheme="minorEastAsia"/>
          <w:sz w:val="32"/>
          <w:szCs w:val="32"/>
        </w:rPr>
        <w:t>号</w:t>
      </w:r>
    </w:p>
    <w:p>
      <w:pPr>
        <w:ind w:left="3517" w:leftChars="564" w:hanging="1600" w:hangingChars="500"/>
        <w:jc w:val="left"/>
        <w:rPr>
          <w:rFonts w:hint="default" w:asciiTheme="minorEastAsia" w:hAnsiTheme="minorEastAsia" w:eastAsiaTheme="minorEastAsia"/>
          <w:sz w:val="32"/>
          <w:szCs w:val="32"/>
          <w:lang w:val="en-US" w:eastAsia="zh-CN"/>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lang w:val="en-US" w:eastAsia="zh-CN"/>
        </w:rPr>
        <w:t>许昌市建安区三达湿地出水口提升改造工程</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招 标 人：</w:t>
      </w:r>
      <w:r>
        <w:rPr>
          <w:rFonts w:hint="eastAsia" w:asciiTheme="minorEastAsia" w:hAnsiTheme="minorEastAsia" w:eastAsiaTheme="minorEastAsia"/>
          <w:sz w:val="32"/>
          <w:szCs w:val="32"/>
        </w:rPr>
        <w:t>许昌市建安区住房和城乡建设局</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河南天扬工程项目管理有限公司</w:t>
      </w:r>
    </w:p>
    <w:p>
      <w:pPr>
        <w:ind w:firstLine="3840" w:firstLineChars="1200"/>
        <w:rPr>
          <w:rFonts w:asciiTheme="minorEastAsia" w:hAnsiTheme="minorEastAsia" w:eastAsiaTheme="minorEastAsia"/>
          <w:sz w:val="16"/>
        </w:rPr>
      </w:pPr>
      <w:r>
        <w:rPr>
          <w:rFonts w:hint="eastAsia" w:asciiTheme="minorEastAsia" w:hAnsiTheme="minorEastAsia" w:eastAsiaTheme="minorEastAsia"/>
          <w:sz w:val="32"/>
          <w:szCs w:val="32"/>
        </w:rPr>
        <w:t>二〇一九年</w:t>
      </w:r>
      <w:r>
        <w:rPr>
          <w:rFonts w:hint="eastAsia" w:asciiTheme="minorEastAsia" w:hAnsiTheme="minorEastAsia" w:eastAsiaTheme="minorEastAsia"/>
          <w:sz w:val="32"/>
          <w:szCs w:val="32"/>
          <w:lang w:val="en-US" w:eastAsia="zh-CN"/>
        </w:rPr>
        <w:t>九</w:t>
      </w:r>
      <w:r>
        <w:rPr>
          <w:rFonts w:hint="eastAsia" w:asciiTheme="minorEastAsia" w:hAnsiTheme="minorEastAsia" w:eastAsiaTheme="minorEastAsia"/>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ind w:firstLine="4400" w:firstLineChars="1000"/>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投标人须知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autoSpaceDE w:val="0"/>
        <w:autoSpaceDN w:val="0"/>
        <w:adjustRightInd w:val="0"/>
        <w:spacing w:line="520" w:lineRule="exact"/>
        <w:ind w:firstLine="480" w:firstLineChars="200"/>
        <w:jc w:val="center"/>
        <w:outlineLvl w:val="0"/>
        <w:rPr>
          <w:rFonts w:hAnsi="宋体" w:cs="宋体"/>
          <w:sz w:val="24"/>
          <w:szCs w:val="24"/>
        </w:rPr>
      </w:pPr>
      <w:r>
        <w:rPr>
          <w:rFonts w:hint="eastAsia" w:hAnsi="宋体" w:cs="宋体"/>
          <w:sz w:val="24"/>
          <w:szCs w:val="24"/>
        </w:rPr>
        <w:t>建安建工公字〔2019〕</w:t>
      </w:r>
      <w:r>
        <w:rPr>
          <w:rFonts w:hint="eastAsia" w:hAnsi="宋体" w:cs="宋体"/>
          <w:sz w:val="24"/>
          <w:szCs w:val="24"/>
          <w:lang w:val="en-US" w:eastAsia="zh-CN"/>
        </w:rPr>
        <w:t xml:space="preserve">151 </w:t>
      </w:r>
      <w:r>
        <w:rPr>
          <w:rFonts w:hint="eastAsia" w:hAnsi="宋体" w:cs="宋体"/>
          <w:sz w:val="24"/>
          <w:szCs w:val="24"/>
        </w:rPr>
        <w:t>号</w:t>
      </w:r>
    </w:p>
    <w:p>
      <w:pPr>
        <w:autoSpaceDE w:val="0"/>
        <w:autoSpaceDN w:val="0"/>
        <w:adjustRightInd w:val="0"/>
        <w:spacing w:line="520" w:lineRule="exact"/>
        <w:ind w:firstLine="480" w:firstLineChars="200"/>
        <w:jc w:val="center"/>
        <w:outlineLvl w:val="0"/>
        <w:rPr>
          <w:rFonts w:hAnsi="宋体" w:cs="宋体"/>
          <w:sz w:val="24"/>
          <w:szCs w:val="24"/>
        </w:rPr>
      </w:pPr>
      <w:r>
        <w:rPr>
          <w:rFonts w:hint="eastAsia" w:hAnsi="宋体" w:cs="宋体"/>
          <w:sz w:val="24"/>
          <w:szCs w:val="24"/>
        </w:rPr>
        <w:t>许昌市建安区住房和城乡建设局</w:t>
      </w:r>
    </w:p>
    <w:p>
      <w:pPr>
        <w:autoSpaceDE w:val="0"/>
        <w:autoSpaceDN w:val="0"/>
        <w:adjustRightInd w:val="0"/>
        <w:spacing w:line="520" w:lineRule="exact"/>
        <w:ind w:firstLine="480" w:firstLineChars="200"/>
        <w:jc w:val="center"/>
        <w:outlineLvl w:val="0"/>
        <w:rPr>
          <w:rFonts w:hint="eastAsia" w:hAnsi="宋体" w:cs="宋体"/>
          <w:sz w:val="24"/>
          <w:szCs w:val="24"/>
          <w:lang w:val="en-US" w:eastAsia="zh-CN"/>
        </w:rPr>
      </w:pPr>
      <w:r>
        <w:rPr>
          <w:rFonts w:hint="eastAsia" w:hAnsi="宋体" w:cs="宋体"/>
          <w:sz w:val="24"/>
          <w:szCs w:val="24"/>
          <w:lang w:val="en-US" w:eastAsia="zh-CN"/>
        </w:rPr>
        <w:t>许昌市建安区三达湿地出水口提升改造工程</w:t>
      </w:r>
    </w:p>
    <w:p>
      <w:pPr>
        <w:autoSpaceDE w:val="0"/>
        <w:autoSpaceDN w:val="0"/>
        <w:adjustRightInd w:val="0"/>
        <w:spacing w:line="520" w:lineRule="exact"/>
        <w:ind w:firstLine="480" w:firstLineChars="200"/>
        <w:jc w:val="center"/>
        <w:outlineLvl w:val="0"/>
        <w:rPr>
          <w:rFonts w:hAnsi="宋体" w:cs="宋体"/>
          <w:sz w:val="28"/>
          <w:szCs w:val="28"/>
        </w:rPr>
      </w:pPr>
      <w:r>
        <w:rPr>
          <w:rFonts w:hAnsi="宋体" w:cs="宋体"/>
          <w:sz w:val="24"/>
          <w:szCs w:val="24"/>
        </w:rPr>
        <w:t>公开招标公告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outlineLvl w:val="0"/>
        <w:rPr>
          <w:rFonts w:hAnsi="宋体" w:cs="宋体"/>
          <w:sz w:val="24"/>
          <w:szCs w:val="22"/>
        </w:rPr>
      </w:pPr>
      <w:r>
        <w:rPr>
          <w:rFonts w:hint="eastAsia" w:hAnsi="宋体" w:cs="宋体"/>
          <w:sz w:val="24"/>
          <w:szCs w:val="22"/>
        </w:rPr>
        <w:t>1、项目编号：建安建工公字〔2019〕</w:t>
      </w:r>
      <w:r>
        <w:rPr>
          <w:rFonts w:hint="eastAsia" w:hAnsi="宋体" w:cs="宋体"/>
          <w:sz w:val="24"/>
          <w:szCs w:val="22"/>
          <w:lang w:val="en-US" w:eastAsia="zh-CN"/>
        </w:rPr>
        <w:t>151</w:t>
      </w:r>
      <w:r>
        <w:rPr>
          <w:rFonts w:hint="eastAsia" w:hAnsi="宋体" w:cs="宋体"/>
          <w:sz w:val="24"/>
          <w:szCs w:val="22"/>
        </w:rPr>
        <w:t>号。</w:t>
      </w:r>
    </w:p>
    <w:p>
      <w:pPr>
        <w:autoSpaceDE w:val="0"/>
        <w:autoSpaceDN w:val="0"/>
        <w:adjustRightInd w:val="0"/>
        <w:spacing w:line="520" w:lineRule="exact"/>
        <w:ind w:firstLine="480" w:firstLineChars="200"/>
        <w:outlineLvl w:val="0"/>
      </w:pPr>
      <w:r>
        <w:rPr>
          <w:rFonts w:hint="eastAsia" w:hAnsi="宋体" w:cs="宋体"/>
          <w:sz w:val="24"/>
          <w:szCs w:val="24"/>
        </w:rPr>
        <w:t>2、</w:t>
      </w:r>
      <w:r>
        <w:rPr>
          <w:rFonts w:hAnsi="宋体" w:cs="宋体"/>
          <w:sz w:val="24"/>
          <w:szCs w:val="24"/>
        </w:rPr>
        <w:t>项目名称：</w:t>
      </w:r>
      <w:r>
        <w:rPr>
          <w:rFonts w:hint="eastAsia" w:hAnsi="宋体" w:cs="宋体"/>
          <w:sz w:val="24"/>
          <w:szCs w:val="24"/>
          <w:lang w:val="en-US" w:eastAsia="zh-CN"/>
        </w:rPr>
        <w:t>许昌市建安区三达湿地出水口提升改造工程</w:t>
      </w:r>
      <w:r>
        <w:rPr>
          <w:rFonts w:hint="eastAsia" w:hAnsi="宋体" w:cs="宋体"/>
          <w:sz w:val="24"/>
          <w:szCs w:val="24"/>
        </w:rPr>
        <w:t>。</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3、招标单位：许昌市建安区住房和城乡建设局。</w:t>
      </w:r>
    </w:p>
    <w:p>
      <w:pPr>
        <w:autoSpaceDE w:val="0"/>
        <w:autoSpaceDN w:val="0"/>
        <w:adjustRightInd w:val="0"/>
        <w:spacing w:line="420" w:lineRule="exact"/>
        <w:ind w:firstLine="480" w:firstLineChars="200"/>
        <w:outlineLvl w:val="0"/>
        <w:rPr>
          <w:rFonts w:hint="eastAsia" w:hAnsi="宋体" w:cs="宋体"/>
          <w:sz w:val="24"/>
          <w:szCs w:val="22"/>
          <w:lang w:val="en-US" w:eastAsia="zh-CN"/>
        </w:rPr>
      </w:pPr>
      <w:r>
        <w:rPr>
          <w:rFonts w:hint="eastAsia" w:hAnsi="宋体" w:cs="宋体"/>
          <w:sz w:val="24"/>
          <w:szCs w:val="22"/>
        </w:rPr>
        <w:t>4、工程概况：</w:t>
      </w:r>
      <w:r>
        <w:rPr>
          <w:rFonts w:hint="eastAsia" w:hAnsi="宋体" w:cs="宋体"/>
          <w:sz w:val="24"/>
          <w:szCs w:val="22"/>
          <w:lang w:val="en-US" w:eastAsia="zh-CN"/>
        </w:rPr>
        <w:t>本项目建设地点位于许昌市建安区三达湿地出水口处，建设内容包括乔木、灌木、色带、花卉及水中植物栽植及水系、景石布置等。</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5、招标范围：招标文件、施工图纸、工程量清单、设计变更（如有）及答疑纪要（如有）范围内的所有工程内容。</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6、标段划分：共分为一个标段。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4"/>
        </w:rPr>
        <w:t>7</w:t>
      </w:r>
      <w:r>
        <w:rPr>
          <w:rFonts w:hAnsi="宋体" w:cs="宋体"/>
          <w:sz w:val="24"/>
          <w:szCs w:val="24"/>
        </w:rPr>
        <w:t>、</w:t>
      </w:r>
      <w:r>
        <w:rPr>
          <w:rFonts w:hint="eastAsia" w:hAnsi="宋体" w:cs="宋体"/>
          <w:sz w:val="24"/>
          <w:szCs w:val="22"/>
        </w:rPr>
        <w:t>资金预算：</w:t>
      </w:r>
      <w:r>
        <w:rPr>
          <w:rFonts w:hint="eastAsia" w:hAnsi="宋体" w:cs="宋体"/>
          <w:sz w:val="24"/>
          <w:szCs w:val="24"/>
          <w:lang w:val="en-US" w:eastAsia="zh-CN"/>
        </w:rPr>
        <w:t>3417232.72</w:t>
      </w:r>
      <w:r>
        <w:rPr>
          <w:rFonts w:hint="eastAsia" w:hAnsi="宋体" w:cs="宋体"/>
          <w:sz w:val="24"/>
          <w:szCs w:val="22"/>
        </w:rPr>
        <w:t>元。</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8、</w:t>
      </w:r>
      <w:r>
        <w:rPr>
          <w:rFonts w:hAnsi="宋体" w:cs="宋体"/>
          <w:sz w:val="24"/>
          <w:szCs w:val="24"/>
        </w:rPr>
        <w:t>计划工期：</w:t>
      </w:r>
      <w:r>
        <w:rPr>
          <w:rFonts w:hint="eastAsia" w:hAnsi="宋体" w:cs="宋体"/>
          <w:sz w:val="24"/>
          <w:szCs w:val="24"/>
          <w:lang w:val="en-US" w:eastAsia="zh-CN"/>
        </w:rPr>
        <w:t>15</w:t>
      </w:r>
      <w:r>
        <w:rPr>
          <w:rFonts w:hint="eastAsia" w:hAnsi="宋体" w:cs="宋体"/>
          <w:sz w:val="24"/>
          <w:szCs w:val="24"/>
        </w:rPr>
        <w:t>日历天。</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9、质量要求：达到国家建设工程质量验收的规范和标准(合格)。</w:t>
      </w:r>
    </w:p>
    <w:p>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outlineLvl w:val="0"/>
        <w:rPr>
          <w:rFonts w:hAnsi="宋体" w:cs="宋体"/>
          <w:b/>
          <w:bCs/>
          <w:sz w:val="24"/>
          <w:szCs w:val="24"/>
        </w:rPr>
      </w:pPr>
      <w:r>
        <w:rPr>
          <w:rFonts w:hAnsi="宋体" w:cs="宋体"/>
          <w:b/>
          <w:bCs/>
          <w:sz w:val="24"/>
          <w:szCs w:val="24"/>
        </w:rPr>
        <w:t>二、投标人资格要求</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0"/>
        <w:rPr>
          <w:rFonts w:hAnsi="宋体" w:cs="宋体"/>
          <w:color w:val="000000" w:themeColor="text1"/>
          <w:sz w:val="24"/>
          <w:szCs w:val="24"/>
          <w:highlight w:val="red"/>
        </w:rPr>
      </w:pPr>
      <w:r>
        <w:rPr>
          <w:rFonts w:hint="eastAsia" w:hAnsi="宋体" w:cs="仿宋_GB2312"/>
          <w:color w:val="000000" w:themeColor="text1"/>
          <w:kern w:val="2"/>
          <w:sz w:val="24"/>
          <w:szCs w:val="24"/>
          <w:shd w:val="clear" w:color="auto" w:fill="FFFFFF"/>
        </w:rPr>
        <w:t>1、</w:t>
      </w:r>
      <w:bookmarkStart w:id="1" w:name="_Toc28292"/>
      <w:bookmarkEnd w:id="1"/>
      <w:r>
        <w:rPr>
          <w:rFonts w:hint="eastAsia" w:hAnsi="宋体" w:cs="宋体"/>
          <w:color w:val="000000" w:themeColor="text1"/>
          <w:sz w:val="24"/>
          <w:szCs w:val="24"/>
          <w:lang w:val="en-US" w:eastAsia="zh-CN"/>
        </w:rPr>
        <w:t>投标人须具备有效的营业执照(经营范围需包含园林绿化等相关内容；并在人员、设备、资金等方面具有相应的施工能力）；</w:t>
      </w:r>
      <w:r>
        <w:rPr>
          <w:rFonts w:hint="eastAsia" w:hAnsi="宋体" w:cs="宋体"/>
          <w:color w:val="auto"/>
          <w:sz w:val="24"/>
          <w:szCs w:val="24"/>
          <w:highlight w:val="none"/>
        </w:rPr>
        <w:t>拟派项目负责人须具有市政公用工程专业贰级及以上建造师资质，且同时具有园林绿化相关专业中级及以上技术职称和有效的安全生产考核合格证，且未担任其他在施建设工程的项目负责人。</w:t>
      </w:r>
    </w:p>
    <w:p>
      <w:pPr>
        <w:autoSpaceDE w:val="0"/>
        <w:autoSpaceDN w:val="0"/>
        <w:adjustRightInd w:val="0"/>
        <w:spacing w:line="420" w:lineRule="exact"/>
        <w:ind w:firstLine="480" w:firstLineChars="200"/>
        <w:jc w:val="left"/>
        <w:outlineLvl w:val="0"/>
        <w:rPr>
          <w:rFonts w:hAnsi="宋体" w:cs="仿宋_GB2312"/>
          <w:kern w:val="2"/>
          <w:sz w:val="24"/>
          <w:szCs w:val="24"/>
          <w:shd w:val="clear" w:color="auto" w:fill="FFFFFF"/>
        </w:rPr>
      </w:pPr>
      <w:r>
        <w:rPr>
          <w:rFonts w:hint="eastAsia" w:hAnsi="宋体" w:cs="仿宋_GB2312"/>
          <w:kern w:val="2"/>
          <w:sz w:val="24"/>
          <w:szCs w:val="24"/>
          <w:shd w:val="clear" w:color="auto" w:fill="FFFFFF"/>
          <w:lang w:val="en-US" w:eastAsia="zh-CN"/>
        </w:rPr>
        <w:t>2</w:t>
      </w:r>
      <w:r>
        <w:rPr>
          <w:rFonts w:hint="eastAsia" w:hAnsi="宋体" w:cs="仿宋_GB2312"/>
          <w:kern w:val="2"/>
          <w:sz w:val="24"/>
          <w:szCs w:val="24"/>
          <w:shd w:val="clear" w:color="auto" w:fill="FFFFFF"/>
        </w:rPr>
        <w:t>、不接受投标人被“信用中国”和“信用河南”网站信用信息栏列入黑名单，以及被“国家企业信用信息公示系统”列入经营异常名录或严重失信黑名单的投标。</w:t>
      </w:r>
    </w:p>
    <w:p>
      <w:pPr>
        <w:autoSpaceDE w:val="0"/>
        <w:autoSpaceDN w:val="0"/>
        <w:adjustRightInd w:val="0"/>
        <w:spacing w:line="420" w:lineRule="exact"/>
        <w:ind w:firstLine="480" w:firstLineChars="200"/>
        <w:jc w:val="left"/>
        <w:outlineLvl w:val="0"/>
        <w:rPr>
          <w:rFonts w:hAnsi="宋体" w:cs="仿宋_GB2312"/>
          <w:kern w:val="2"/>
          <w:sz w:val="21"/>
          <w:szCs w:val="21"/>
          <w:shd w:val="clear" w:color="auto" w:fill="FFFFFF"/>
        </w:rPr>
      </w:pPr>
      <w:r>
        <w:rPr>
          <w:rFonts w:hint="eastAsia" w:hAnsi="宋体" w:cs="仿宋_GB2312"/>
          <w:kern w:val="2"/>
          <w:sz w:val="24"/>
          <w:szCs w:val="24"/>
          <w:shd w:val="clear" w:color="auto" w:fill="FFFFFF"/>
          <w:lang w:val="en-US" w:eastAsia="zh-CN"/>
        </w:rPr>
        <w:t>3</w:t>
      </w:r>
      <w:r>
        <w:rPr>
          <w:rFonts w:hint="eastAsia" w:hAnsi="宋体" w:cs="仿宋_GB2312"/>
          <w:kern w:val="2"/>
          <w:sz w:val="24"/>
          <w:szCs w:val="24"/>
          <w:shd w:val="clear" w:color="auto" w:fill="FFFFFF"/>
        </w:rPr>
        <w:t>、不接受联合体投标</w:t>
      </w:r>
      <w:r>
        <w:rPr>
          <w:rFonts w:hint="eastAsia" w:hAnsi="宋体" w:cs="仿宋_GB2312"/>
          <w:kern w:val="2"/>
          <w:sz w:val="21"/>
          <w:szCs w:val="21"/>
          <w:shd w:val="clear" w:color="auto" w:fill="FFFFFF"/>
        </w:rPr>
        <w:t>。</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4</w:t>
      </w:r>
      <w:r>
        <w:rPr>
          <w:rFonts w:hint="eastAsia" w:hAnsi="宋体" w:cs="宋体"/>
          <w:sz w:val="24"/>
          <w:szCs w:val="24"/>
        </w:rPr>
        <w:t>、本次招标实行资格后审。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四、招标文件的获取  </w:t>
      </w:r>
    </w:p>
    <w:p>
      <w:pPr>
        <w:spacing w:line="440" w:lineRule="exact"/>
        <w:ind w:firstLine="480" w:firstLineChars="200"/>
        <w:jc w:val="left"/>
        <w:rPr>
          <w:rFonts w:hAnsi="宋体" w:cs="宋体"/>
          <w:sz w:val="24"/>
          <w:szCs w:val="24"/>
        </w:rPr>
      </w:pPr>
      <w:r>
        <w:rPr>
          <w:rFonts w:hint="eastAsia" w:hAnsi="宋体" w:cs="宋体"/>
          <w:sz w:val="24"/>
          <w:szCs w:val="24"/>
        </w:rPr>
        <w:t>4.1招标文件和工程量清单的获取：投标人于投标文件递交截止时间前均可登录《全国公共资源交易平台(河南省▪许昌市)》（http://ggzy.xuchang.gov.cn/），通过“投标人/供应商登录”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4.</w:t>
      </w:r>
      <w:r>
        <w:rPr>
          <w:rFonts w:hint="eastAsia" w:hAnsi="宋体" w:cs="宋体"/>
          <w:sz w:val="24"/>
          <w:szCs w:val="24"/>
          <w:lang w:val="en-US" w:eastAsia="zh-CN"/>
        </w:rPr>
        <w:t>2</w:t>
      </w:r>
      <w:r>
        <w:rPr>
          <w:rFonts w:hint="eastAsia" w:hAnsi="宋体" w:cs="宋体"/>
          <w:sz w:val="24"/>
          <w:szCs w:val="24"/>
        </w:rPr>
        <w:t>招标文件每套售价</w:t>
      </w:r>
      <w:r>
        <w:rPr>
          <w:rFonts w:hint="eastAsia" w:hAnsi="宋体" w:cs="宋体"/>
          <w:sz w:val="24"/>
          <w:szCs w:val="24"/>
          <w:lang w:val="en-US" w:eastAsia="zh-CN"/>
        </w:rPr>
        <w:t>100</w:t>
      </w:r>
      <w:r>
        <w:rPr>
          <w:rFonts w:hint="eastAsia" w:hAnsi="宋体" w:cs="宋体"/>
          <w:sz w:val="24"/>
          <w:szCs w:val="24"/>
        </w:rPr>
        <w:t>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5.1 本项目为全流程电子化交易项目，须提交</w:t>
      </w:r>
      <w:r>
        <w:rPr>
          <w:rFonts w:hint="eastAsia" w:ascii="宋体" w:hAnsi="宋体" w:cs="宋体"/>
          <w:kern w:val="0"/>
          <w:sz w:val="24"/>
          <w:shd w:val="clear" w:color="auto" w:fill="FFFFFF"/>
        </w:rPr>
        <w:t>电子投标文件</w:t>
      </w:r>
      <w:r>
        <w:rPr>
          <w:rFonts w:hint="eastAsia" w:ascii="宋体" w:hAnsi="宋体" w:cs="宋体"/>
          <w:kern w:val="0"/>
          <w:sz w:val="24"/>
          <w:shd w:val="clear" w:color="auto" w:fill="FFFFFF"/>
          <w:lang w:val="en-US" w:eastAsia="zh-CN"/>
        </w:rPr>
        <w:t>和存储有备份文件的电子介质2份</w:t>
      </w:r>
      <w:r>
        <w:rPr>
          <w:rFonts w:hint="eastAsia" w:hAnsi="宋体" w:cs="宋体"/>
          <w:sz w:val="24"/>
          <w:szCs w:val="24"/>
        </w:rPr>
        <w:t>。</w:t>
      </w:r>
    </w:p>
    <w:p>
      <w:pPr>
        <w:spacing w:line="440" w:lineRule="exact"/>
        <w:ind w:firstLine="480" w:firstLineChars="200"/>
        <w:jc w:val="left"/>
        <w:rPr>
          <w:rFonts w:hAnsi="宋体" w:cs="宋体"/>
          <w:sz w:val="24"/>
          <w:szCs w:val="24"/>
        </w:rPr>
      </w:pPr>
      <w:r>
        <w:rPr>
          <w:rFonts w:hint="eastAsia" w:hAnsi="宋体" w:cs="宋体"/>
          <w:sz w:val="24"/>
          <w:szCs w:val="24"/>
        </w:rPr>
        <w:t>5.2 投标文件提交的截止时间及开标时间：2019年</w:t>
      </w:r>
      <w:r>
        <w:rPr>
          <w:rFonts w:hint="eastAsia" w:hAnsi="宋体" w:cs="宋体"/>
          <w:sz w:val="24"/>
          <w:szCs w:val="24"/>
          <w:lang w:val="en-US" w:eastAsia="zh-CN"/>
        </w:rPr>
        <w:t>10</w:t>
      </w:r>
      <w:r>
        <w:rPr>
          <w:rFonts w:hint="eastAsia" w:hAnsi="宋体" w:cs="宋体"/>
          <w:sz w:val="24"/>
          <w:szCs w:val="24"/>
        </w:rPr>
        <w:t>月</w:t>
      </w:r>
      <w:r>
        <w:rPr>
          <w:rFonts w:hint="eastAsia" w:hAnsi="宋体" w:cs="宋体"/>
          <w:sz w:val="24"/>
          <w:szCs w:val="24"/>
          <w:lang w:val="en-US" w:eastAsia="zh-CN"/>
        </w:rPr>
        <w:t>11</w:t>
      </w:r>
      <w:r>
        <w:rPr>
          <w:rFonts w:hint="eastAsia" w:hAnsi="宋体" w:cs="宋体"/>
          <w:sz w:val="24"/>
          <w:szCs w:val="24"/>
        </w:rPr>
        <w:t>日9时30分。</w:t>
      </w:r>
    </w:p>
    <w:p>
      <w:pPr>
        <w:spacing w:line="440" w:lineRule="exact"/>
        <w:ind w:firstLine="480" w:firstLineChars="200"/>
        <w:jc w:val="left"/>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w:t>
      </w:r>
      <w:r>
        <w:rPr>
          <w:rFonts w:hint="eastAsia" w:hAnsi="宋体" w:cs="宋体"/>
          <w:sz w:val="24"/>
          <w:szCs w:val="24"/>
          <w:lang w:val="en-US" w:eastAsia="zh-CN"/>
        </w:rPr>
        <w:t>并同时提交</w:t>
      </w:r>
      <w:r>
        <w:rPr>
          <w:rFonts w:hint="eastAsia" w:ascii="宋体" w:hAnsi="宋体" w:cs="宋体"/>
          <w:kern w:val="0"/>
          <w:sz w:val="24"/>
          <w:shd w:val="clear" w:color="auto" w:fill="FFFFFF"/>
          <w:lang w:val="en-US" w:eastAsia="zh-CN"/>
        </w:rPr>
        <w:t>存储有备份文件的电子介质2份</w:t>
      </w:r>
      <w:r>
        <w:rPr>
          <w:rFonts w:hint="eastAsia" w:hAnsi="宋体" w:cs="宋体"/>
          <w:sz w:val="24"/>
          <w:szCs w:val="24"/>
        </w:rPr>
        <w:t>。</w:t>
      </w:r>
    </w:p>
    <w:p>
      <w:pPr>
        <w:spacing w:line="440" w:lineRule="exact"/>
        <w:ind w:firstLine="480" w:firstLineChars="200"/>
        <w:jc w:val="left"/>
        <w:rPr>
          <w:rFonts w:hAnsi="宋体" w:cs="宋体"/>
          <w:sz w:val="24"/>
          <w:szCs w:val="24"/>
        </w:rPr>
      </w:pPr>
      <w:r>
        <w:rPr>
          <w:rFonts w:hint="eastAsia" w:hAnsi="宋体" w:cs="宋体"/>
          <w:sz w:val="24"/>
          <w:szCs w:val="24"/>
        </w:rPr>
        <w:t>5.4</w:t>
      </w:r>
      <w:r>
        <w:rPr>
          <w:rFonts w:hint="eastAsia" w:ascii="宋体" w:hAnsi="宋体" w:cs="宋体"/>
          <w:kern w:val="0"/>
          <w:sz w:val="24"/>
          <w:shd w:val="clear" w:color="auto" w:fill="FFFFFF"/>
          <w:lang w:val="en-US" w:eastAsia="zh-CN"/>
        </w:rPr>
        <w:t>存储有备份文件的电子介质</w:t>
      </w:r>
      <w:r>
        <w:rPr>
          <w:rFonts w:hint="eastAsia" w:hAnsi="宋体" w:cs="宋体"/>
          <w:sz w:val="24"/>
          <w:szCs w:val="24"/>
        </w:rPr>
        <w:t>提交地点：许昌市建安区新元大道兴业大厦4楼开标一室。</w:t>
      </w:r>
    </w:p>
    <w:p>
      <w:pPr>
        <w:spacing w:line="440" w:lineRule="exact"/>
        <w:ind w:firstLine="480" w:firstLineChars="200"/>
        <w:jc w:val="left"/>
        <w:rPr>
          <w:rFonts w:hAnsi="宋体" w:cs="宋体"/>
          <w:sz w:val="24"/>
          <w:szCs w:val="24"/>
        </w:rPr>
      </w:pPr>
      <w:r>
        <w:rPr>
          <w:rFonts w:hint="eastAsia" w:hAnsi="宋体" w:cs="宋体"/>
          <w:sz w:val="24"/>
          <w:szCs w:val="24"/>
        </w:rPr>
        <w:t>5.5逾期送达的或者未送达指定地点的</w:t>
      </w:r>
      <w:r>
        <w:rPr>
          <w:rFonts w:hint="eastAsia" w:ascii="宋体" w:hAnsi="宋体" w:cs="宋体"/>
          <w:kern w:val="0"/>
          <w:sz w:val="24"/>
          <w:shd w:val="clear" w:color="auto" w:fill="FFFFFF"/>
          <w:lang w:val="en-US" w:eastAsia="zh-CN"/>
        </w:rPr>
        <w:t>存储有备份文件的电子介质</w:t>
      </w:r>
      <w:r>
        <w:rPr>
          <w:rFonts w:hint="eastAsia" w:hAnsi="宋体" w:cs="宋体"/>
          <w:sz w:val="24"/>
          <w:szCs w:val="24"/>
        </w:rPr>
        <w:t>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Ansi="宋体" w:cs="宋体"/>
          <w:sz w:val="24"/>
          <w:szCs w:val="24"/>
        </w:rPr>
      </w:pPr>
      <w:r>
        <w:rPr>
          <w:rFonts w:hint="eastAsia" w:hAnsi="宋体" w:cs="宋体"/>
          <w:sz w:val="24"/>
          <w:szCs w:val="24"/>
        </w:rPr>
        <w:t>招 标 人：许昌市建安区住房和城乡建设局</w:t>
      </w:r>
    </w:p>
    <w:p>
      <w:pPr>
        <w:spacing w:line="440" w:lineRule="exact"/>
        <w:ind w:firstLine="480" w:firstLineChars="200"/>
        <w:jc w:val="left"/>
        <w:rPr>
          <w:rFonts w:hAnsi="宋体" w:cs="宋体"/>
          <w:sz w:val="24"/>
          <w:szCs w:val="24"/>
        </w:rPr>
      </w:pPr>
      <w:r>
        <w:rPr>
          <w:rFonts w:hint="eastAsia" w:hAnsi="宋体" w:cs="宋体"/>
          <w:sz w:val="24"/>
          <w:szCs w:val="24"/>
        </w:rPr>
        <w:t>项目负责人：杨会芳</w:t>
      </w:r>
    </w:p>
    <w:p>
      <w:pPr>
        <w:spacing w:line="440" w:lineRule="exact"/>
        <w:ind w:firstLine="480" w:firstLineChars="200"/>
        <w:jc w:val="left"/>
        <w:rPr>
          <w:rFonts w:hAnsi="宋体" w:cs="宋体"/>
          <w:sz w:val="24"/>
          <w:szCs w:val="24"/>
        </w:rPr>
      </w:pPr>
      <w:r>
        <w:rPr>
          <w:rFonts w:hint="eastAsia" w:hAnsi="宋体" w:cs="宋体"/>
          <w:sz w:val="24"/>
          <w:szCs w:val="24"/>
        </w:rPr>
        <w:t>电    话：13849880890</w:t>
      </w:r>
    </w:p>
    <w:p>
      <w:pPr>
        <w:spacing w:line="440" w:lineRule="exact"/>
        <w:ind w:firstLine="480" w:firstLineChars="200"/>
        <w:jc w:val="left"/>
        <w:rPr>
          <w:rFonts w:hAnsi="宋体" w:cs="宋体"/>
          <w:sz w:val="24"/>
          <w:szCs w:val="24"/>
        </w:rPr>
      </w:pPr>
      <w:r>
        <w:rPr>
          <w:rFonts w:hint="eastAsia" w:hAnsi="宋体" w:cs="宋体"/>
          <w:sz w:val="24"/>
          <w:szCs w:val="24"/>
        </w:rPr>
        <w:t>代理机构：河南天扬工程项目管理有限公司</w:t>
      </w:r>
    </w:p>
    <w:p>
      <w:pPr>
        <w:spacing w:line="440" w:lineRule="exact"/>
        <w:ind w:firstLine="480" w:firstLineChars="200"/>
        <w:jc w:val="left"/>
        <w:rPr>
          <w:rFonts w:hAnsi="宋体" w:cs="宋体"/>
          <w:sz w:val="24"/>
          <w:szCs w:val="24"/>
        </w:rPr>
      </w:pPr>
      <w:r>
        <w:rPr>
          <w:rFonts w:hint="eastAsia" w:hAnsi="宋体" w:cs="宋体"/>
          <w:sz w:val="24"/>
          <w:szCs w:val="24"/>
        </w:rPr>
        <w:t>项目负责人：齐小换</w:t>
      </w:r>
    </w:p>
    <w:p>
      <w:pPr>
        <w:spacing w:line="440" w:lineRule="exact"/>
        <w:ind w:firstLine="480" w:firstLineChars="200"/>
        <w:jc w:val="left"/>
        <w:rPr>
          <w:rFonts w:hAnsi="宋体" w:cs="宋体"/>
          <w:sz w:val="24"/>
          <w:szCs w:val="24"/>
        </w:rPr>
      </w:pPr>
      <w:r>
        <w:rPr>
          <w:rFonts w:hint="eastAsia" w:hAnsi="宋体" w:cs="宋体"/>
          <w:sz w:val="24"/>
          <w:szCs w:val="24"/>
        </w:rPr>
        <w:t>电  话：13782288180</w:t>
      </w:r>
    </w:p>
    <w:p>
      <w:pPr>
        <w:pStyle w:val="2"/>
        <w:spacing w:after="0" w:line="400" w:lineRule="exact"/>
        <w:ind w:firstLine="4560" w:firstLineChars="1900"/>
        <w:rPr>
          <w:rFonts w:hAnsi="宋体" w:cs="宋体"/>
          <w:sz w:val="24"/>
          <w:szCs w:val="24"/>
        </w:rPr>
      </w:pPr>
    </w:p>
    <w:p>
      <w:pPr>
        <w:pStyle w:val="2"/>
        <w:spacing w:after="0" w:line="400" w:lineRule="exact"/>
        <w:ind w:firstLine="4560" w:firstLineChars="1900"/>
        <w:rPr>
          <w:rFonts w:hAnsi="宋体" w:cs="宋体"/>
          <w:sz w:val="24"/>
          <w:szCs w:val="24"/>
        </w:rPr>
      </w:pPr>
    </w:p>
    <w:p>
      <w:pPr>
        <w:pStyle w:val="2"/>
        <w:ind w:firstLine="5280" w:firstLineChars="2200"/>
        <w:rPr>
          <w:rFonts w:hAnsi="宋体" w:cs="宋体"/>
          <w:sz w:val="24"/>
          <w:szCs w:val="24"/>
        </w:rPr>
      </w:pPr>
      <w:r>
        <w:rPr>
          <w:rFonts w:hint="eastAsia" w:hAnsi="宋体" w:cs="宋体"/>
          <w:sz w:val="24"/>
          <w:szCs w:val="24"/>
        </w:rPr>
        <w:t>许昌市建安区住房和城乡建设局</w:t>
      </w:r>
    </w:p>
    <w:p>
      <w:pPr>
        <w:pStyle w:val="2"/>
        <w:ind w:firstLine="6720" w:firstLineChars="2800"/>
        <w:rPr>
          <w:rFonts w:hAnsi="宋体" w:cs="宋体"/>
          <w:sz w:val="24"/>
          <w:szCs w:val="24"/>
        </w:rPr>
      </w:pPr>
      <w:r>
        <w:rPr>
          <w:rFonts w:hint="eastAsia" w:hAnsi="宋体" w:cs="宋体"/>
          <w:sz w:val="24"/>
          <w:szCs w:val="24"/>
        </w:rPr>
        <w:t>2019年</w:t>
      </w:r>
      <w:r>
        <w:rPr>
          <w:rFonts w:hint="eastAsia" w:hAnsi="宋体" w:cs="宋体"/>
          <w:sz w:val="24"/>
          <w:szCs w:val="24"/>
          <w:lang w:val="en-US" w:eastAsia="zh-CN"/>
        </w:rPr>
        <w:t>9</w:t>
      </w:r>
      <w:r>
        <w:rPr>
          <w:rFonts w:hint="eastAsia" w:hAnsi="宋体" w:cs="宋体"/>
          <w:sz w:val="24"/>
          <w:szCs w:val="24"/>
        </w:rPr>
        <w:t>月</w:t>
      </w:r>
      <w:r>
        <w:rPr>
          <w:rFonts w:hint="eastAsia" w:hAnsi="宋体" w:cs="宋体"/>
          <w:sz w:val="24"/>
          <w:szCs w:val="24"/>
          <w:lang w:val="en-US" w:eastAsia="zh-CN"/>
        </w:rPr>
        <w:t>12</w:t>
      </w:r>
      <w:r>
        <w:rPr>
          <w:rFonts w:hint="eastAsia" w:hAnsi="宋体" w:cs="宋体"/>
          <w:sz w:val="24"/>
          <w:szCs w:val="24"/>
        </w:rPr>
        <w:t xml:space="preserve">日 </w:t>
      </w:r>
    </w:p>
    <w:p>
      <w:pPr>
        <w:widowControl/>
        <w:spacing w:line="312" w:lineRule="auto"/>
        <w:rPr>
          <w:rFonts w:hint="eastAsia" w:hAnsi="宋体"/>
          <w:b/>
          <w:sz w:val="28"/>
          <w:szCs w:val="21"/>
        </w:rPr>
      </w:pPr>
    </w:p>
    <w:p>
      <w:pPr>
        <w:widowControl/>
        <w:spacing w:line="312" w:lineRule="auto"/>
        <w:rPr>
          <w:rFonts w:hint="eastAsia" w:hAnsi="宋体"/>
          <w:b/>
          <w:sz w:val="28"/>
          <w:szCs w:val="21"/>
        </w:rPr>
      </w:pP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w:t>
      </w:r>
      <w:r>
        <w:rPr>
          <w:rFonts w:hint="eastAsia" w:ascii="宋体" w:hAnsi="宋体"/>
          <w:color w:val="000000"/>
          <w:sz w:val="24"/>
          <w:lang w:val="en-US" w:eastAsia="zh-CN"/>
        </w:rPr>
        <w:t>存储有备份文件的电子介质</w:t>
      </w:r>
      <w:r>
        <w:rPr>
          <w:rFonts w:hint="eastAsia" w:hAnsi="宋体" w:cs="宋体"/>
          <w:sz w:val="24"/>
          <w:szCs w:val="24"/>
        </w:rPr>
        <w:t>为依据评标。</w:t>
      </w: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2" w:name="_Toc283559940"/>
      <w:r>
        <w:rPr>
          <w:rFonts w:hint="eastAsia" w:hAnsi="宋体" w:cs="黑体"/>
          <w:b/>
          <w:sz w:val="28"/>
          <w:szCs w:val="28"/>
        </w:rPr>
        <w:t>投标人须知前附表</w:t>
      </w:r>
      <w:bookmarkEnd w:id="2"/>
    </w:p>
    <w:tbl>
      <w:tblPr>
        <w:tblStyle w:val="30"/>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209"/>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1854"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7017" w:type="dxa"/>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7017" w:type="dxa"/>
            <w:vAlign w:val="center"/>
          </w:tcPr>
          <w:p>
            <w:pPr>
              <w:autoSpaceDE w:val="0"/>
              <w:autoSpaceDN w:val="0"/>
              <w:adjustRightInd w:val="0"/>
              <w:spacing w:line="320" w:lineRule="exact"/>
              <w:rPr>
                <w:rFonts w:hAnsi="宋体"/>
                <w:sz w:val="24"/>
                <w:szCs w:val="22"/>
              </w:rPr>
            </w:pPr>
            <w:r>
              <w:rPr>
                <w:rFonts w:hint="eastAsia" w:hAnsi="宋体"/>
                <w:sz w:val="24"/>
                <w:szCs w:val="22"/>
                <w:lang w:val="zh-CN"/>
              </w:rPr>
              <w:t>招 标 人：</w:t>
            </w:r>
            <w:r>
              <w:rPr>
                <w:rFonts w:hint="eastAsia" w:hAnsi="宋体" w:cs="宋体"/>
                <w:sz w:val="24"/>
                <w:szCs w:val="24"/>
              </w:rPr>
              <w:t>许昌市建安区住房和城乡建设局</w:t>
            </w:r>
          </w:p>
          <w:p>
            <w:pPr>
              <w:autoSpaceDE w:val="0"/>
              <w:autoSpaceDN w:val="0"/>
              <w:adjustRightInd w:val="0"/>
              <w:spacing w:line="320" w:lineRule="exact"/>
              <w:rPr>
                <w:rFonts w:hAnsi="宋体"/>
                <w:sz w:val="24"/>
                <w:szCs w:val="22"/>
              </w:rPr>
            </w:pPr>
            <w:r>
              <w:rPr>
                <w:rFonts w:hint="eastAsia" w:hAnsi="宋体"/>
                <w:sz w:val="24"/>
                <w:szCs w:val="22"/>
              </w:rPr>
              <w:t>地    址：</w:t>
            </w:r>
            <w:r>
              <w:rPr>
                <w:rFonts w:hint="eastAsia" w:hAnsi="宋体" w:cs="宋体"/>
                <w:sz w:val="24"/>
                <w:szCs w:val="24"/>
              </w:rPr>
              <w:t>许昌市建安区兴业大厦3楼</w:t>
            </w:r>
          </w:p>
          <w:p>
            <w:pPr>
              <w:autoSpaceDE w:val="0"/>
              <w:autoSpaceDN w:val="0"/>
              <w:adjustRightInd w:val="0"/>
              <w:spacing w:line="320" w:lineRule="exact"/>
              <w:rPr>
                <w:rFonts w:hAnsi="宋体"/>
                <w:sz w:val="24"/>
                <w:szCs w:val="22"/>
              </w:rPr>
            </w:pPr>
            <w:r>
              <w:rPr>
                <w:rFonts w:hint="eastAsia" w:hAnsi="宋体"/>
                <w:sz w:val="24"/>
                <w:szCs w:val="22"/>
              </w:rPr>
              <w:t>联 系 人：杨会芳</w:t>
            </w:r>
          </w:p>
          <w:p>
            <w:pPr>
              <w:autoSpaceDE w:val="0"/>
              <w:autoSpaceDN w:val="0"/>
              <w:adjustRightInd w:val="0"/>
              <w:spacing w:line="320" w:lineRule="exact"/>
              <w:rPr>
                <w:rFonts w:hAnsi="宋体"/>
                <w:bCs/>
                <w:sz w:val="24"/>
              </w:rPr>
            </w:pPr>
            <w:r>
              <w:rPr>
                <w:rFonts w:hint="eastAsia" w:hAnsi="宋体"/>
                <w:sz w:val="24"/>
                <w:szCs w:val="22"/>
              </w:rPr>
              <w:t>联系电话：13849880890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7017" w:type="dxa"/>
            <w:vAlign w:val="center"/>
          </w:tcPr>
          <w:p>
            <w:pPr>
              <w:autoSpaceDE w:val="0"/>
              <w:autoSpaceDN w:val="0"/>
              <w:adjustRightInd w:val="0"/>
              <w:spacing w:line="320" w:lineRule="exact"/>
              <w:rPr>
                <w:rFonts w:hAnsi="宋体"/>
                <w:sz w:val="24"/>
              </w:rPr>
            </w:pPr>
            <w:r>
              <w:rPr>
                <w:rFonts w:hint="eastAsia" w:hAnsi="宋体"/>
                <w:sz w:val="24"/>
              </w:rPr>
              <w:t>代理机构：河南天扬工程项目管理有限公司</w:t>
            </w:r>
          </w:p>
          <w:p>
            <w:pPr>
              <w:autoSpaceDE w:val="0"/>
              <w:autoSpaceDN w:val="0"/>
              <w:adjustRightInd w:val="0"/>
              <w:spacing w:line="320" w:lineRule="exact"/>
              <w:rPr>
                <w:rFonts w:hAnsi="宋体"/>
                <w:sz w:val="24"/>
              </w:rPr>
            </w:pPr>
            <w:r>
              <w:rPr>
                <w:rFonts w:hint="eastAsia" w:hAnsi="宋体"/>
                <w:sz w:val="24"/>
              </w:rPr>
              <w:t>联 系 人：齐小换</w:t>
            </w:r>
          </w:p>
          <w:p>
            <w:pPr>
              <w:autoSpaceDE w:val="0"/>
              <w:autoSpaceDN w:val="0"/>
              <w:adjustRightInd w:val="0"/>
              <w:spacing w:line="320" w:lineRule="exact"/>
              <w:rPr>
                <w:rFonts w:hAnsi="宋体"/>
                <w:sz w:val="24"/>
              </w:rPr>
            </w:pPr>
            <w:r>
              <w:rPr>
                <w:rFonts w:hint="eastAsia" w:hAnsi="宋体"/>
                <w:sz w:val="24"/>
              </w:rPr>
              <w:t>联系电话：13782288180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3</w:t>
            </w:r>
          </w:p>
        </w:tc>
        <w:tc>
          <w:tcPr>
            <w:tcW w:w="1854"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7017" w:type="dxa"/>
            <w:vAlign w:val="center"/>
          </w:tcPr>
          <w:p>
            <w:pPr>
              <w:autoSpaceDE w:val="0"/>
              <w:autoSpaceDN w:val="0"/>
              <w:adjustRightInd w:val="0"/>
              <w:spacing w:line="320" w:lineRule="exact"/>
              <w:jc w:val="left"/>
              <w:rPr>
                <w:rFonts w:hint="default" w:hAnsi="宋体" w:eastAsia="宋体"/>
                <w:b/>
                <w:sz w:val="24"/>
                <w:lang w:val="en-US" w:eastAsia="zh-CN"/>
              </w:rPr>
            </w:pPr>
            <w:r>
              <w:rPr>
                <w:rFonts w:hint="eastAsia" w:hAnsi="宋体" w:cs="宋体"/>
                <w:sz w:val="24"/>
                <w:szCs w:val="24"/>
                <w:lang w:val="en-US" w:eastAsia="zh-CN"/>
              </w:rPr>
              <w:t>许昌市建安区三达湿地出水口提升改造工程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7017" w:type="dxa"/>
            <w:vAlign w:val="center"/>
          </w:tcPr>
          <w:p>
            <w:pPr>
              <w:spacing w:line="320" w:lineRule="exact"/>
              <w:jc w:val="left"/>
              <w:rPr>
                <w:rFonts w:hint="default" w:hAnsi="宋体" w:cs="仿宋_GB2312"/>
                <w:sz w:val="24"/>
                <w:szCs w:val="24"/>
                <w:lang w:val="en-US"/>
              </w:rPr>
            </w:pPr>
            <w:r>
              <w:rPr>
                <w:rFonts w:hint="eastAsia" w:hAnsi="宋体"/>
                <w:sz w:val="24"/>
              </w:rPr>
              <w:t>许昌市建安区</w:t>
            </w:r>
            <w:r>
              <w:rPr>
                <w:rFonts w:hint="eastAsia" w:hAnsi="宋体" w:cs="宋体"/>
                <w:sz w:val="24"/>
                <w:szCs w:val="24"/>
                <w:lang w:val="en-US" w:eastAsia="zh-CN"/>
              </w:rPr>
              <w:t>三达湿地出水口处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7017" w:type="dxa"/>
            <w:tcBorders>
              <w:bottom w:val="single" w:color="auto" w:sz="4" w:space="0"/>
            </w:tcBorders>
          </w:tcPr>
          <w:p>
            <w:pPr>
              <w:autoSpaceDE w:val="0"/>
              <w:autoSpaceDN w:val="0"/>
              <w:adjustRightInd w:val="0"/>
              <w:spacing w:line="320" w:lineRule="exact"/>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1854"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仿宋_GB2312"/>
                <w:sz w:val="24"/>
                <w:lang w:val="en-US" w:eastAsia="zh-CN"/>
              </w:rPr>
              <w:t>15</w:t>
            </w:r>
            <w:r>
              <w:rPr>
                <w:rFonts w:hint="eastAsia" w:hAnsi="宋体" w:cs="仿宋_GB2312"/>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7017" w:type="dxa"/>
          </w:tcPr>
          <w:p>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outlineLvl w:val="0"/>
              <w:rPr>
                <w:rFonts w:hAnsi="宋体" w:cs="宋体"/>
                <w:color w:val="000000" w:themeColor="text1"/>
                <w:sz w:val="24"/>
                <w:szCs w:val="24"/>
                <w:highlight w:val="red"/>
              </w:rPr>
            </w:pPr>
            <w:r>
              <w:rPr>
                <w:rFonts w:hint="eastAsia" w:hAnsi="宋体" w:cs="仿宋_GB2312"/>
                <w:color w:val="000000" w:themeColor="text1"/>
                <w:kern w:val="2"/>
                <w:sz w:val="24"/>
                <w:szCs w:val="24"/>
                <w:shd w:val="clear" w:color="auto" w:fill="FFFFFF"/>
              </w:rPr>
              <w:t>1、</w:t>
            </w:r>
            <w:r>
              <w:rPr>
                <w:rFonts w:hint="eastAsia" w:hAnsi="宋体" w:cs="宋体"/>
                <w:color w:val="000000" w:themeColor="text1"/>
                <w:sz w:val="24"/>
                <w:szCs w:val="24"/>
                <w:lang w:val="en-US" w:eastAsia="zh-CN"/>
              </w:rPr>
              <w:t>投标人须具备有效的营业执照(经营范围需包含园林绿化等相关内容；并在人员、设备、资金等方面具有相应的施工能力）；</w:t>
            </w:r>
            <w:r>
              <w:rPr>
                <w:rFonts w:hint="eastAsia" w:hAnsi="宋体" w:cs="宋体"/>
                <w:color w:val="auto"/>
                <w:sz w:val="24"/>
                <w:szCs w:val="24"/>
                <w:highlight w:val="none"/>
              </w:rPr>
              <w:t>拟派项目负责人须具有市政公用工程专业贰级及以上建造师资质，且同时具有园林绿化相关专业中级及以上技术职称和有效的安全生产考核合格证，且未担任其他在施建设工程的项目负责人。</w:t>
            </w:r>
          </w:p>
          <w:p>
            <w:pPr>
              <w:autoSpaceDE w:val="0"/>
              <w:autoSpaceDN w:val="0"/>
              <w:adjustRightInd w:val="0"/>
              <w:spacing w:line="420" w:lineRule="exact"/>
              <w:jc w:val="left"/>
              <w:outlineLvl w:val="0"/>
              <w:rPr>
                <w:rFonts w:hAnsi="宋体" w:cs="仿宋_GB2312"/>
                <w:kern w:val="2"/>
                <w:sz w:val="24"/>
                <w:szCs w:val="24"/>
                <w:shd w:val="clear" w:color="auto" w:fill="FFFFFF"/>
              </w:rPr>
            </w:pPr>
            <w:r>
              <w:rPr>
                <w:rFonts w:hint="eastAsia" w:hAnsi="宋体" w:cs="仿宋_GB2312"/>
                <w:kern w:val="2"/>
                <w:sz w:val="24"/>
                <w:szCs w:val="24"/>
                <w:shd w:val="clear" w:color="auto" w:fill="FFFFFF"/>
                <w:lang w:val="en-US" w:eastAsia="zh-CN"/>
              </w:rPr>
              <w:t>2</w:t>
            </w:r>
            <w:r>
              <w:rPr>
                <w:rFonts w:hint="eastAsia" w:hAnsi="宋体" w:cs="仿宋_GB2312"/>
                <w:kern w:val="2"/>
                <w:sz w:val="24"/>
                <w:szCs w:val="24"/>
                <w:shd w:val="clear" w:color="auto" w:fill="FFFFFF"/>
              </w:rPr>
              <w:t>、不接受投标人被“信用中国”和“信用河南”网站信用信息栏列入黑名单，以及被“国家企业信用信息公示系统”列入经营异常名录或严重失信黑名单的投标。</w:t>
            </w:r>
          </w:p>
          <w:p>
            <w:pPr>
              <w:autoSpaceDE w:val="0"/>
              <w:autoSpaceDN w:val="0"/>
              <w:adjustRightInd w:val="0"/>
              <w:spacing w:line="420" w:lineRule="exact"/>
              <w:jc w:val="left"/>
              <w:outlineLvl w:val="0"/>
              <w:rPr>
                <w:rFonts w:hAnsi="宋体" w:cs="仿宋_GB2312"/>
                <w:kern w:val="2"/>
                <w:sz w:val="21"/>
                <w:szCs w:val="21"/>
                <w:shd w:val="clear" w:color="auto" w:fill="FFFFFF"/>
              </w:rPr>
            </w:pPr>
            <w:r>
              <w:rPr>
                <w:rFonts w:hint="eastAsia" w:hAnsi="宋体" w:cs="仿宋_GB2312"/>
                <w:kern w:val="2"/>
                <w:sz w:val="24"/>
                <w:szCs w:val="24"/>
                <w:shd w:val="clear" w:color="auto" w:fill="FFFFFF"/>
                <w:lang w:val="en-US" w:eastAsia="zh-CN"/>
              </w:rPr>
              <w:t>3</w:t>
            </w:r>
            <w:r>
              <w:rPr>
                <w:rFonts w:hint="eastAsia" w:hAnsi="宋体" w:cs="仿宋_GB2312"/>
                <w:kern w:val="2"/>
                <w:sz w:val="24"/>
                <w:szCs w:val="24"/>
                <w:shd w:val="clear" w:color="auto" w:fill="FFFFFF"/>
              </w:rPr>
              <w:t>、不接受联合体投标</w:t>
            </w:r>
            <w:r>
              <w:rPr>
                <w:rFonts w:hint="eastAsia" w:hAnsi="宋体" w:cs="仿宋_GB2312"/>
                <w:kern w:val="2"/>
                <w:sz w:val="21"/>
                <w:szCs w:val="21"/>
                <w:shd w:val="clear" w:color="auto" w:fill="FFFFFF"/>
              </w:rPr>
              <w:t>。</w:t>
            </w:r>
          </w:p>
          <w:p>
            <w:pPr>
              <w:autoSpaceDE w:val="0"/>
              <w:autoSpaceDN w:val="0"/>
              <w:adjustRightInd w:val="0"/>
              <w:spacing w:line="420" w:lineRule="exact"/>
              <w:jc w:val="left"/>
              <w:outlineLvl w:val="0"/>
              <w:rPr>
                <w:rFonts w:hAnsi="宋体"/>
                <w:b/>
                <w:sz w:val="24"/>
              </w:rPr>
            </w:pPr>
            <w:r>
              <w:rPr>
                <w:rFonts w:hint="eastAsia" w:hAnsi="宋体" w:cs="宋体"/>
                <w:sz w:val="24"/>
                <w:szCs w:val="24"/>
                <w:lang w:val="en-US" w:eastAsia="zh-CN"/>
              </w:rPr>
              <w:t>4</w:t>
            </w:r>
            <w:r>
              <w:rPr>
                <w:rFonts w:hint="eastAsia" w:hAnsi="宋体" w:cs="宋体"/>
                <w:sz w:val="24"/>
                <w:szCs w:val="24"/>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7017" w:type="dxa"/>
            <w:vAlign w:val="center"/>
          </w:tcPr>
          <w:p>
            <w:pPr>
              <w:autoSpaceDE w:val="0"/>
              <w:autoSpaceDN w:val="0"/>
              <w:adjustRightInd w:val="0"/>
              <w:spacing w:line="320" w:lineRule="exac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7017" w:type="dxa"/>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仿宋_GB2312"/>
                <w:sz w:val="24"/>
                <w:szCs w:val="22"/>
              </w:rPr>
            </w:pPr>
            <w:r>
              <w:rPr>
                <w:rFonts w:hint="eastAsia" w:hAnsi="宋体" w:cs="仿宋_GB2312"/>
                <w:sz w:val="24"/>
                <w:szCs w:val="22"/>
              </w:rPr>
              <w:t>投标预备会</w:t>
            </w:r>
          </w:p>
        </w:tc>
        <w:tc>
          <w:tcPr>
            <w:tcW w:w="7017" w:type="dxa"/>
            <w:vAlign w:val="center"/>
          </w:tcPr>
          <w:p>
            <w:pPr>
              <w:autoSpaceDE w:val="0"/>
              <w:autoSpaceDN w:val="0"/>
              <w:adjustRightInd w:val="0"/>
              <w:spacing w:line="320" w:lineRule="exact"/>
              <w:jc w:val="left"/>
              <w:rPr>
                <w:rFonts w:hAnsi="宋体" w:cs="仿宋_GB2312"/>
                <w:sz w:val="24"/>
                <w:szCs w:val="22"/>
              </w:rPr>
            </w:pPr>
            <w:r>
              <w:rPr>
                <w:rFonts w:hint="eastAsia" w:hAnsi="宋体" w:cs="仿宋_GB2312"/>
                <w:sz w:val="24"/>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7017" w:type="dxa"/>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1854" w:type="dxa"/>
            <w:gridSpan w:val="3"/>
            <w:vAlign w:val="center"/>
          </w:tcPr>
          <w:p>
            <w:pPr>
              <w:spacing w:line="340" w:lineRule="exact"/>
              <w:jc w:val="center"/>
              <w:rPr>
                <w:rFonts w:hAnsi="宋体"/>
                <w:sz w:val="24"/>
              </w:rPr>
            </w:pPr>
            <w:r>
              <w:rPr>
                <w:rFonts w:hint="eastAsia" w:hAnsi="宋体"/>
                <w:sz w:val="24"/>
              </w:rPr>
              <w:t>招标人澄清的时间</w:t>
            </w:r>
          </w:p>
        </w:tc>
        <w:tc>
          <w:tcPr>
            <w:tcW w:w="7017" w:type="dxa"/>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854"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招标文件的获取</w:t>
            </w:r>
          </w:p>
        </w:tc>
        <w:tc>
          <w:tcPr>
            <w:tcW w:w="7017" w:type="dxa"/>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w:t>
            </w:r>
            <w:r>
              <w:rPr>
                <w:rFonts w:hint="eastAsia" w:hAnsi="宋体" w:cs="宋体"/>
                <w:sz w:val="24"/>
                <w:szCs w:val="24"/>
              </w:rPr>
              <w:t>http://ggzy.xuchang.gov.cn/</w:t>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1854"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7017" w:type="dxa"/>
            <w:vAlign w:val="center"/>
          </w:tcPr>
          <w:p>
            <w:pPr>
              <w:autoSpaceDE w:val="0"/>
              <w:autoSpaceDN w:val="0"/>
              <w:adjustRightInd w:val="0"/>
              <w:spacing w:line="340" w:lineRule="exact"/>
              <w:rPr>
                <w:rFonts w:hAnsi="宋体" w:cs="仿宋_GB2312"/>
                <w:sz w:val="24"/>
              </w:rPr>
            </w:pPr>
            <w:r>
              <w:rPr>
                <w:rFonts w:hint="eastAsia" w:hAnsi="宋体" w:cs="仿宋_GB231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7017" w:type="dxa"/>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1854" w:type="dxa"/>
            <w:gridSpan w:val="3"/>
            <w:vAlign w:val="center"/>
          </w:tcPr>
          <w:p>
            <w:pPr>
              <w:autoSpaceDE w:val="0"/>
              <w:autoSpaceDN w:val="0"/>
              <w:adjustRightInd w:val="0"/>
              <w:spacing w:line="340" w:lineRule="exact"/>
              <w:jc w:val="center"/>
              <w:rPr>
                <w:rFonts w:hAnsi="宋体"/>
                <w:bCs/>
                <w:color w:val="000000" w:themeColor="text1"/>
                <w:sz w:val="24"/>
                <w:szCs w:val="22"/>
              </w:rPr>
            </w:pPr>
            <w:r>
              <w:rPr>
                <w:rFonts w:hint="eastAsia" w:hAnsi="宋体"/>
                <w:bCs/>
                <w:color w:val="000000" w:themeColor="text1"/>
                <w:sz w:val="24"/>
                <w:szCs w:val="22"/>
              </w:rPr>
              <w:t>投标截止时间</w:t>
            </w:r>
          </w:p>
        </w:tc>
        <w:tc>
          <w:tcPr>
            <w:tcW w:w="7017" w:type="dxa"/>
            <w:vAlign w:val="center"/>
          </w:tcPr>
          <w:p>
            <w:pPr>
              <w:autoSpaceDE w:val="0"/>
              <w:autoSpaceDN w:val="0"/>
              <w:adjustRightInd w:val="0"/>
              <w:spacing w:line="340" w:lineRule="exact"/>
              <w:rPr>
                <w:rFonts w:hAnsi="宋体"/>
                <w:bCs/>
                <w:color w:val="000000" w:themeColor="text1"/>
                <w:sz w:val="24"/>
                <w:szCs w:val="22"/>
              </w:rPr>
            </w:pPr>
            <w:r>
              <w:rPr>
                <w:rFonts w:hint="eastAsia" w:hAnsi="宋体"/>
                <w:bCs/>
                <w:sz w:val="24"/>
                <w:szCs w:val="22"/>
              </w:rPr>
              <w:t>2019年</w:t>
            </w:r>
            <w:r>
              <w:rPr>
                <w:rFonts w:hint="eastAsia" w:hAnsi="宋体"/>
                <w:bCs/>
                <w:sz w:val="24"/>
                <w:szCs w:val="22"/>
                <w:lang w:val="en-US" w:eastAsia="zh-CN"/>
              </w:rPr>
              <w:t>10</w:t>
            </w:r>
            <w:r>
              <w:rPr>
                <w:rFonts w:hint="eastAsia" w:hAnsi="宋体"/>
                <w:bCs/>
                <w:sz w:val="24"/>
                <w:szCs w:val="22"/>
              </w:rPr>
              <w:t>月</w:t>
            </w:r>
            <w:r>
              <w:rPr>
                <w:rFonts w:hint="eastAsia" w:hAnsi="宋体"/>
                <w:bCs/>
                <w:sz w:val="24"/>
                <w:szCs w:val="22"/>
                <w:lang w:val="en-US" w:eastAsia="zh-CN"/>
              </w:rPr>
              <w:t>11</w:t>
            </w:r>
            <w:r>
              <w:rPr>
                <w:rFonts w:hint="eastAsia" w:hAnsi="宋体"/>
                <w:bCs/>
                <w:sz w:val="24"/>
                <w:szCs w:val="22"/>
              </w:rPr>
              <w:t>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7017" w:type="dxa"/>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3" w:name="OLE_LINK4" w:colFirst="0" w:colLast="2"/>
            <w:bookmarkStart w:id="4" w:name="_Hlk424659721"/>
            <w:bookmarkStart w:id="5" w:name="OLE_LINK3" w:colFirst="0" w:colLast="2"/>
            <w:r>
              <w:rPr>
                <w:rFonts w:hAnsi="宋体" w:cs="TimesNewRomanPSMT"/>
                <w:sz w:val="24"/>
              </w:rPr>
              <w:t>3.4.1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7017" w:type="dxa"/>
            <w:vAlign w:val="center"/>
          </w:tcPr>
          <w:p>
            <w:pPr>
              <w:spacing w:line="360" w:lineRule="auto"/>
              <w:rPr>
                <w:rFonts w:hAnsi="宋体" w:cs="宋体"/>
                <w:sz w:val="24"/>
                <w:szCs w:val="24"/>
              </w:rPr>
            </w:pPr>
            <w:r>
              <w:rPr>
                <w:rFonts w:hint="eastAsia" w:hAnsi="宋体" w:cs="宋体"/>
                <w:sz w:val="24"/>
                <w:szCs w:val="24"/>
              </w:rPr>
              <w:t>见附表一</w:t>
            </w:r>
          </w:p>
        </w:tc>
      </w:tr>
      <w:bookmarkEnd w:id="3"/>
      <w:bookmarkEnd w:id="4"/>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1854" w:type="dxa"/>
            <w:gridSpan w:val="3"/>
            <w:vAlign w:val="center"/>
          </w:tcPr>
          <w:p>
            <w:pPr>
              <w:jc w:val="center"/>
              <w:rPr>
                <w:sz w:val="24"/>
              </w:rPr>
            </w:pPr>
            <w:r>
              <w:rPr>
                <w:rFonts w:hint="eastAsia"/>
                <w:sz w:val="24"/>
              </w:rPr>
              <w:t>近年财务状况要求</w:t>
            </w:r>
          </w:p>
        </w:tc>
        <w:tc>
          <w:tcPr>
            <w:tcW w:w="7017" w:type="dxa"/>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w:t>
            </w:r>
          </w:p>
          <w:p>
            <w:pPr>
              <w:autoSpaceDE w:val="0"/>
              <w:autoSpaceDN w:val="0"/>
              <w:adjustRightInd w:val="0"/>
              <w:jc w:val="center"/>
              <w:rPr>
                <w:rFonts w:hAnsi="宋体" w:cs="仿宋_GB2312"/>
                <w:sz w:val="24"/>
              </w:rPr>
            </w:pPr>
            <w:r>
              <w:rPr>
                <w:rFonts w:hint="eastAsia" w:hAnsi="宋体" w:cs="仿宋_GB2312"/>
                <w:sz w:val="24"/>
              </w:rPr>
              <w:t>类似项目</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7017" w:type="dxa"/>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7017" w:type="dxa"/>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1854"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签字或盖章</w:t>
            </w:r>
          </w:p>
          <w:p>
            <w:pPr>
              <w:autoSpaceDE w:val="0"/>
              <w:autoSpaceDN w:val="0"/>
              <w:adjustRightInd w:val="0"/>
              <w:spacing w:line="420" w:lineRule="exact"/>
              <w:jc w:val="center"/>
              <w:rPr>
                <w:rFonts w:hAnsi="宋体" w:cs="黑体"/>
                <w:sz w:val="24"/>
              </w:rPr>
            </w:pPr>
            <w:r>
              <w:rPr>
                <w:rFonts w:hint="eastAsia" w:hAnsi="宋体" w:cs="仿宋_GB2312"/>
                <w:sz w:val="24"/>
              </w:rPr>
              <w:t>要求</w:t>
            </w:r>
          </w:p>
        </w:tc>
        <w:tc>
          <w:tcPr>
            <w:tcW w:w="7017" w:type="dxa"/>
            <w:vAlign w:val="center"/>
          </w:tcPr>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7017" w:type="dxa"/>
            <w:vAlign w:val="center"/>
          </w:tcPr>
          <w:p>
            <w:pPr>
              <w:autoSpaceDE w:val="0"/>
              <w:autoSpaceDN w:val="0"/>
              <w:adjustRightInd w:val="0"/>
              <w:spacing w:line="420" w:lineRule="exact"/>
              <w:rPr>
                <w:rFonts w:ascii="新宋体" w:hAnsi="新宋体" w:eastAsia="新宋体"/>
                <w:sz w:val="24"/>
                <w:szCs w:val="22"/>
                <w:lang w:val="zh-CN"/>
              </w:rPr>
            </w:pPr>
            <w:r>
              <w:rPr>
                <w:rFonts w:hint="eastAsia" w:ascii="新宋体" w:hAnsi="新宋体" w:eastAsia="新宋体"/>
                <w:sz w:val="24"/>
                <w:szCs w:val="22"/>
                <w:lang w:val="zh-CN"/>
              </w:rPr>
              <w:t>1、电子投标文件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（1）成功上传至【全国公共资源交易平台（河南省·许昌市）】公共资源交易系统电子投标文件1份（文件格式为：XX公司XXX项目编号.file）。</w:t>
            </w:r>
          </w:p>
          <w:p>
            <w:pPr>
              <w:autoSpaceDE w:val="0"/>
              <w:autoSpaceDN w:val="0"/>
              <w:adjustRightInd w:val="0"/>
              <w:spacing w:line="400" w:lineRule="exact"/>
              <w:rPr>
                <w:rFonts w:ascii="新宋体" w:hAnsi="新宋体" w:eastAsia="新宋体"/>
                <w:sz w:val="24"/>
                <w:szCs w:val="22"/>
              </w:rPr>
            </w:pPr>
            <w:r>
              <w:rPr>
                <w:rFonts w:hint="eastAsia" w:ascii="新宋体" w:hAnsi="新宋体" w:eastAsia="新宋体"/>
                <w:sz w:val="24"/>
                <w:szCs w:val="22"/>
                <w:lang w:val="zh-CN"/>
              </w:rPr>
              <w:t>（2）</w:t>
            </w:r>
            <w:r>
              <w:rPr>
                <w:rFonts w:hint="eastAsia" w:ascii="宋体" w:hAnsi="宋体" w:cs="宋体"/>
                <w:bCs/>
                <w:sz w:val="24"/>
                <w:lang w:val="en-US" w:eastAsia="zh-CN"/>
              </w:rPr>
              <w:t>存储有备份文件的电子介质2份。</w:t>
            </w:r>
            <w:r>
              <w:rPr>
                <w:rFonts w:hint="eastAsia" w:ascii="新宋体" w:hAnsi="新宋体" w:eastAsia="新宋体"/>
                <w:sz w:val="24"/>
                <w:szCs w:val="22"/>
                <w:lang w:val="zh-CN"/>
              </w:rPr>
              <w:t>。</w:t>
            </w:r>
          </w:p>
          <w:p>
            <w:pPr>
              <w:spacing w:line="460" w:lineRule="exact"/>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许昌投标文件制作系统SEARUNV1.1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7017" w:type="dxa"/>
            <w:vAlign w:val="center"/>
          </w:tcPr>
          <w:p>
            <w:pPr>
              <w:autoSpaceDE w:val="0"/>
              <w:autoSpaceDN w:val="0"/>
              <w:adjustRightInd w:val="0"/>
              <w:spacing w:line="420" w:lineRule="exact"/>
              <w:rPr>
                <w:rFonts w:hint="default" w:ascii="新宋体" w:hAnsi="新宋体" w:eastAsia="宋体"/>
                <w:sz w:val="24"/>
                <w:lang w:val="en-US" w:eastAsia="zh-CN"/>
              </w:rPr>
            </w:pPr>
            <w:r>
              <w:rPr>
                <w:rFonts w:hint="eastAsia" w:ascii="宋体" w:hAnsi="宋体" w:cs="宋体"/>
                <w:bCs/>
                <w:sz w:val="24"/>
                <w:lang w:val="en-US" w:eastAsia="zh-CN"/>
              </w:rPr>
              <w:t>存储有备份文件的电子介质2份</w:t>
            </w:r>
            <w:r>
              <w:rPr>
                <w:rFonts w:hint="eastAsia" w:hAnsi="宋体" w:cs="宋体"/>
                <w:sz w:val="24"/>
                <w:lang w:val="en-US" w:eastAsia="zh-CN"/>
              </w:rPr>
              <w:t>应分开</w:t>
            </w:r>
            <w:r>
              <w:rPr>
                <w:rFonts w:hint="eastAsia" w:hAnsi="宋体" w:cs="宋体"/>
                <w:sz w:val="24"/>
              </w:rPr>
              <w:t>单独密封、盖章，</w:t>
            </w:r>
            <w:r>
              <w:rPr>
                <w:rFonts w:hint="eastAsia" w:hAnsi="宋体" w:cs="宋体"/>
                <w:sz w:val="24"/>
                <w:lang w:val="en-US" w:eastAsia="zh-CN"/>
              </w:rPr>
              <w:t>封套上写明“投标人名称、项目名称、项目编号、标段，在 年 月 日 时 分前不得开启”，并加盖单位公章，法定代表人或委托代理人签名，在投标截止时间前递交。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7017" w:type="dxa"/>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p>
          <w:p>
            <w:pPr>
              <w:rPr>
                <w:rFonts w:ascii="楷体_GB2312" w:hAnsi="楷体_GB2312" w:eastAsia="楷体_GB2312" w:cs="楷体_GB2312"/>
                <w:sz w:val="28"/>
                <w:szCs w:val="28"/>
              </w:rPr>
            </w:pPr>
            <w:r>
              <w:rPr>
                <w:rFonts w:hint="eastAsia"/>
                <w:sz w:val="24"/>
              </w:rPr>
              <w:t>招标人名称：</w:t>
            </w:r>
          </w:p>
          <w:p>
            <w:pPr>
              <w:autoSpaceDE w:val="0"/>
              <w:autoSpaceDN w:val="0"/>
              <w:adjustRightInd w:val="0"/>
              <w:spacing w:line="420" w:lineRule="exact"/>
              <w:jc w:val="left"/>
              <w:rPr>
                <w:rFonts w:hAnsi="宋体"/>
                <w:sz w:val="24"/>
              </w:rPr>
            </w:pPr>
            <w:r>
              <w:rPr>
                <w:rFonts w:hint="eastAsia"/>
                <w:sz w:val="24"/>
              </w:rPr>
              <w:t>项目名称：</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在2019年</w:t>
            </w:r>
            <w:r>
              <w:rPr>
                <w:rFonts w:hint="eastAsia" w:hAnsi="宋体" w:cs="仿宋_GB2312"/>
                <w:sz w:val="24"/>
                <w:lang w:val="en-US" w:eastAsia="zh-CN"/>
              </w:rPr>
              <w:t>10</w:t>
            </w:r>
            <w:r>
              <w:rPr>
                <w:rFonts w:hint="eastAsia" w:hAnsi="宋体" w:cs="仿宋_GB2312"/>
                <w:sz w:val="24"/>
              </w:rPr>
              <w:t>月</w:t>
            </w:r>
            <w:r>
              <w:rPr>
                <w:rFonts w:hint="eastAsia" w:hAnsi="宋体" w:cs="仿宋_GB2312"/>
                <w:sz w:val="24"/>
                <w:lang w:val="en-US" w:eastAsia="zh-CN"/>
              </w:rPr>
              <w:t>11</w:t>
            </w:r>
            <w:r>
              <w:rPr>
                <w:rFonts w:hint="eastAsia" w:hAnsi="宋体" w:cs="仿宋_GB2312"/>
                <w:sz w:val="24"/>
              </w:rPr>
              <w:t>日9时30分前不得开启。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7017" w:type="dxa"/>
            <w:vAlign w:val="center"/>
          </w:tcPr>
          <w:p>
            <w:pPr>
              <w:numPr>
                <w:ilvl w:val="0"/>
                <w:numId w:val="3"/>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1854"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开标</w:t>
            </w:r>
          </w:p>
          <w:p>
            <w:pPr>
              <w:autoSpaceDE w:val="0"/>
              <w:autoSpaceDN w:val="0"/>
              <w:adjustRightInd w:val="0"/>
              <w:spacing w:line="420" w:lineRule="exact"/>
              <w:jc w:val="center"/>
              <w:rPr>
                <w:rFonts w:hAnsi="宋体" w:cs="黑体"/>
                <w:sz w:val="24"/>
              </w:rPr>
            </w:pPr>
            <w:r>
              <w:rPr>
                <w:rFonts w:hint="eastAsia" w:hAnsi="宋体" w:cs="仿宋_GB2312"/>
                <w:sz w:val="24"/>
              </w:rPr>
              <w:t>时间和地点</w:t>
            </w:r>
          </w:p>
        </w:tc>
        <w:tc>
          <w:tcPr>
            <w:tcW w:w="7017" w:type="dxa"/>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7017" w:type="dxa"/>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7017" w:type="dxa"/>
            <w:vAlign w:val="center"/>
          </w:tcPr>
          <w:p>
            <w:pPr>
              <w:spacing w:line="288" w:lineRule="auto"/>
              <w:rPr>
                <w:sz w:val="24"/>
              </w:rPr>
            </w:pPr>
            <w:r>
              <w:rPr>
                <w:rFonts w:hint="eastAsia" w:ascii="新宋体" w:hAnsi="新宋体" w:eastAsia="新宋体"/>
                <w:color w:val="000000" w:themeColor="text1"/>
                <w:sz w:val="24"/>
              </w:rPr>
              <w:t>评标委员会构成：</w:t>
            </w:r>
            <w:r>
              <w:rPr>
                <w:rFonts w:hint="eastAsia" w:ascii="新宋体" w:hAnsi="新宋体" w:eastAsia="新宋体"/>
                <w:color w:val="000000" w:themeColor="text1"/>
                <w:sz w:val="24"/>
                <w:lang w:val="en-US" w:eastAsia="zh-CN"/>
              </w:rPr>
              <w:t>5</w:t>
            </w:r>
            <w:r>
              <w:rPr>
                <w:rFonts w:hint="eastAsia" w:ascii="新宋体" w:hAnsi="新宋体" w:eastAsia="新宋体"/>
                <w:color w:val="000000" w:themeColor="text1"/>
                <w:sz w:val="24"/>
              </w:rPr>
              <w:t>人，从河南省综合评标专家库中随机抽取</w:t>
            </w:r>
            <w:r>
              <w:rPr>
                <w:rFonts w:hint="eastAsia" w:ascii="新宋体" w:hAnsi="新宋体" w:eastAsia="新宋体"/>
                <w:color w:val="000000" w:themeColor="text1"/>
                <w:sz w:val="24"/>
                <w:lang w:val="en-US" w:eastAsia="zh-CN"/>
              </w:rPr>
              <w:t>4</w:t>
            </w:r>
            <w:r>
              <w:rPr>
                <w:rFonts w:hint="eastAsia" w:ascii="新宋体" w:hAnsi="新宋体" w:eastAsia="新宋体"/>
                <w:color w:val="000000" w:themeColor="text1"/>
                <w:sz w:val="24"/>
              </w:rPr>
              <w:t>人和招标人代表</w:t>
            </w:r>
            <w:r>
              <w:rPr>
                <w:rFonts w:hint="eastAsia" w:ascii="新宋体" w:hAnsi="新宋体" w:eastAsia="新宋体"/>
                <w:color w:val="000000" w:themeColor="text1"/>
                <w:sz w:val="24"/>
                <w:lang w:val="en-US" w:eastAsia="zh-CN"/>
              </w:rPr>
              <w:t>1</w:t>
            </w:r>
            <w:r>
              <w:rPr>
                <w:rFonts w:hint="eastAsia" w:ascii="新宋体" w:hAnsi="新宋体" w:eastAsia="新宋体"/>
                <w:color w:val="000000" w:themeColor="text1"/>
                <w:sz w:val="24"/>
              </w:rPr>
              <w:t>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7017" w:type="dxa"/>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7.4</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履约保证金</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szCs w:val="22"/>
              </w:rPr>
              <w:t>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highlight w:val="yellow"/>
              </w:rPr>
            </w:pPr>
            <w:r>
              <w:rPr>
                <w:rFonts w:hint="eastAsia" w:hAnsi="宋体" w:cs="TimesNewRomanPSMT"/>
                <w:sz w:val="24"/>
              </w:rPr>
              <w:t>类似工程</w:t>
            </w:r>
          </w:p>
        </w:tc>
        <w:tc>
          <w:tcPr>
            <w:tcW w:w="7226" w:type="dxa"/>
            <w:gridSpan w:val="2"/>
            <w:vAlign w:val="center"/>
          </w:tcPr>
          <w:p>
            <w:pPr>
              <w:autoSpaceDE w:val="0"/>
              <w:autoSpaceDN w:val="0"/>
              <w:adjustRightInd w:val="0"/>
              <w:spacing w:line="420" w:lineRule="exact"/>
              <w:jc w:val="left"/>
              <w:rPr>
                <w:rFonts w:hAnsi="宋体" w:cs="仿宋_GB2312"/>
                <w:sz w:val="24"/>
                <w:highlight w:val="yellow"/>
              </w:rPr>
            </w:pPr>
            <w:r>
              <w:rPr>
                <w:rFonts w:hint="eastAsia" w:hAnsi="宋体" w:cs="仿宋_GB2312"/>
                <w:sz w:val="24"/>
                <w:szCs w:val="22"/>
              </w:rPr>
              <w:t>类似</w:t>
            </w:r>
            <w:r>
              <w:rPr>
                <w:rFonts w:hint="eastAsia" w:hAnsi="宋体" w:cs="仿宋_GB2312"/>
                <w:sz w:val="24"/>
                <w:szCs w:val="22"/>
                <w:lang w:val="en-US" w:eastAsia="zh-CN"/>
              </w:rPr>
              <w:t>园林绿化</w:t>
            </w:r>
            <w:r>
              <w:rPr>
                <w:rFonts w:hint="eastAsia" w:hAnsi="宋体" w:cs="仿宋_GB2312"/>
                <w:sz w:val="24"/>
                <w:szCs w:val="22"/>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854" w:type="dxa"/>
            <w:gridSpan w:val="3"/>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17" w:type="dxa"/>
            <w:vAlign w:val="center"/>
          </w:tcPr>
          <w:tbl>
            <w:tblPr>
              <w:tblStyle w:val="30"/>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w:t>
                  </w:r>
                  <w:r>
                    <w:rPr>
                      <w:rFonts w:hint="eastAsia" w:hAnsi="宋体" w:cs="宋体"/>
                      <w:b/>
                      <w:bCs/>
                      <w:sz w:val="24"/>
                      <w:szCs w:val="24"/>
                      <w:lang w:val="en-US" w:eastAsia="zh-CN"/>
                    </w:rPr>
                    <w:t>叁佰肆拾壹万柒仟贰佰叁拾贰元柒角贰分</w:t>
                  </w:r>
                  <w:r>
                    <w:rPr>
                      <w:rFonts w:hint="eastAsia" w:hAnsi="宋体" w:cs="宋体"/>
                      <w:b/>
                      <w:bCs/>
                      <w:sz w:val="24"/>
                      <w:szCs w:val="24"/>
                    </w:rPr>
                    <w:t>（含规费、税金、安全文明措施费）；</w:t>
                  </w:r>
                </w:p>
                <w:p>
                  <w:pPr>
                    <w:spacing w:line="440" w:lineRule="exact"/>
                    <w:jc w:val="left"/>
                    <w:rPr>
                      <w:rFonts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3417232.72</w:t>
                  </w:r>
                  <w:r>
                    <w:rPr>
                      <w:rFonts w:hint="eastAsia" w:hAnsi="宋体" w:cs="宋体"/>
                      <w:b/>
                      <w:bCs/>
                      <w:sz w:val="24"/>
                      <w:szCs w:val="24"/>
                    </w:rPr>
                    <w:t>元。</w:t>
                  </w:r>
                </w:p>
                <w:p>
                  <w:pPr>
                    <w:spacing w:line="440" w:lineRule="exact"/>
                    <w:jc w:val="lef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ind w:firstLine="480" w:firstLineChars="200"/>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若不提出，则视为投标人对招标人公布的工程量清单无异议，中标后因此造成的工程量的增加，由中标人承担。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1854"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7017"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4"/>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1、在中标通知书发出前，招标人将中标候选人的情况在《全国公共资源交易平台(河南省▪许昌市)》、《河南省电子招标投标公共服务平台》予以公示，公示期不少于3日。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sz w:val="24"/>
              </w:rPr>
            </w:pPr>
            <w:bookmarkStart w:id="6" w:name="_Toc225243456"/>
            <w:bookmarkStart w:id="7" w:name="_Toc283559965"/>
            <w:r>
              <w:rPr>
                <w:rFonts w:hint="eastAsia" w:hAnsi="宋体" w:cs="宋体"/>
                <w:sz w:val="24"/>
              </w:rPr>
              <w:t>10.11.1 投标文件的拒收</w:t>
            </w:r>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w:t>
            </w:r>
            <w:r>
              <w:rPr>
                <w:rFonts w:hint="eastAsia" w:ascii="宋体" w:hAnsi="宋体" w:cs="宋体"/>
                <w:bCs/>
                <w:sz w:val="24"/>
                <w:lang w:val="en-US" w:eastAsia="zh-CN"/>
              </w:rPr>
              <w:t>存储有备份文件的电子介质</w:t>
            </w:r>
            <w:r>
              <w:rPr>
                <w:rFonts w:hint="eastAsia" w:ascii="新宋体" w:hAnsi="新宋体" w:eastAsia="新宋体"/>
                <w:sz w:val="24"/>
                <w:szCs w:val="22"/>
              </w:rPr>
              <w:t>；</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w:t>
            </w:r>
            <w:r>
              <w:rPr>
                <w:rFonts w:hint="eastAsia" w:ascii="宋体" w:hAnsi="宋体" w:cs="宋体"/>
                <w:bCs/>
                <w:sz w:val="24"/>
                <w:lang w:val="en-US" w:eastAsia="zh-CN"/>
              </w:rPr>
              <w:t>存储有备份文件的电子介质</w:t>
            </w:r>
            <w:r>
              <w:rPr>
                <w:rFonts w:hint="eastAsia" w:ascii="新宋体" w:hAnsi="新宋体" w:eastAsia="新宋体"/>
                <w:sz w:val="24"/>
                <w:szCs w:val="22"/>
              </w:rPr>
              <w:t>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4"/>
                <w:szCs w:val="24"/>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utoSpaceDE w:val="0"/>
              <w:autoSpaceDN w:val="0"/>
              <w:spacing w:line="35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5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35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35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35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50" w:lineRule="exact"/>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35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35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350" w:lineRule="exact"/>
              <w:jc w:val="left"/>
              <w:outlineLvl w:val="0"/>
              <w:rPr>
                <w:rFonts w:hAnsi="宋体" w:cs="宋体"/>
                <w:sz w:val="24"/>
              </w:rPr>
            </w:pPr>
            <w:r>
              <w:rPr>
                <w:rFonts w:hint="eastAsia" w:hAnsi="宋体" w:cs="宋体"/>
                <w:sz w:val="24"/>
              </w:rPr>
              <w:t>7.2 商务标投标文件制作技术咨询：0374-2961598。</w:t>
            </w:r>
          </w:p>
          <w:p>
            <w:pPr>
              <w:autoSpaceDE w:val="0"/>
              <w:autoSpaceDN w:val="0"/>
              <w:adjustRightInd w:val="0"/>
              <w:snapToGrid w:val="0"/>
              <w:spacing w:line="350" w:lineRule="exact"/>
              <w:jc w:val="left"/>
              <w:outlineLvl w:val="0"/>
              <w:rPr>
                <w:rFonts w:hAnsi="宋体" w:cs="仿宋_GB2312"/>
                <w:sz w:val="24"/>
              </w:rPr>
            </w:pPr>
            <w:r>
              <w:rPr>
                <w:rFonts w:hint="eastAsia" w:hAnsi="宋体" w:cs="宋体"/>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b/>
          <w:sz w:val="28"/>
          <w:szCs w:val="28"/>
        </w:rPr>
      </w:pPr>
      <w:bookmarkStart w:id="8"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9" w:name="_Toc152042311"/>
      <w:bookmarkStart w:id="10" w:name="_Toc152045535"/>
      <w:bookmarkStart w:id="11" w:name="_Toc179632552"/>
      <w:bookmarkStart w:id="12" w:name="_Toc144974503"/>
      <w:r>
        <w:rPr>
          <w:rFonts w:hint="eastAsia" w:hAnsi="宋体" w:cs="宋体"/>
          <w:b/>
          <w:sz w:val="24"/>
        </w:rPr>
        <w:t>1.5 费用承担</w:t>
      </w:r>
      <w:bookmarkEnd w:id="9"/>
      <w:bookmarkEnd w:id="10"/>
      <w:bookmarkEnd w:id="11"/>
      <w:bookmarkEnd w:id="1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3" w:name="_Toc144974504"/>
      <w:bookmarkStart w:id="14" w:name="_Toc152042312"/>
      <w:bookmarkStart w:id="15" w:name="_Toc152045536"/>
      <w:bookmarkStart w:id="16" w:name="_Toc179632553"/>
      <w:r>
        <w:rPr>
          <w:rFonts w:hint="eastAsia" w:hAnsi="宋体" w:cs="宋体"/>
          <w:b/>
          <w:sz w:val="24"/>
        </w:rPr>
        <w:t>1.6 保密</w:t>
      </w:r>
      <w:bookmarkEnd w:id="13"/>
      <w:bookmarkEnd w:id="14"/>
      <w:bookmarkEnd w:id="15"/>
      <w:bookmarkEnd w:id="1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7" w:name="_Toc144974505"/>
      <w:bookmarkStart w:id="18" w:name="_Toc152042313"/>
      <w:bookmarkStart w:id="19" w:name="_Toc152045537"/>
      <w:bookmarkStart w:id="20" w:name="_Toc179632554"/>
      <w:r>
        <w:rPr>
          <w:rFonts w:hint="eastAsia" w:hAnsi="宋体" w:cs="宋体"/>
          <w:b/>
          <w:sz w:val="24"/>
        </w:rPr>
        <w:t>1.7 语言</w:t>
      </w:r>
      <w:bookmarkEnd w:id="17"/>
      <w:r>
        <w:rPr>
          <w:rFonts w:hint="eastAsia" w:hAnsi="宋体" w:cs="宋体"/>
          <w:b/>
          <w:sz w:val="24"/>
        </w:rPr>
        <w:t>文字</w:t>
      </w:r>
      <w:bookmarkEnd w:id="18"/>
      <w:bookmarkEnd w:id="19"/>
      <w:bookmarkEnd w:id="2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1" w:name="_Toc179632555"/>
      <w:bookmarkStart w:id="22" w:name="_Toc152045538"/>
      <w:bookmarkStart w:id="23" w:name="_Toc152042314"/>
      <w:bookmarkStart w:id="24" w:name="_Toc144974506"/>
      <w:r>
        <w:rPr>
          <w:rFonts w:hint="eastAsia" w:hAnsi="宋体" w:cs="宋体"/>
          <w:b/>
          <w:sz w:val="24"/>
        </w:rPr>
        <w:t>1.8 计量单位</w:t>
      </w:r>
      <w:bookmarkEnd w:id="21"/>
      <w:bookmarkEnd w:id="22"/>
      <w:bookmarkEnd w:id="23"/>
      <w:bookmarkEnd w:id="2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8"/>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int="eastAsia" w:hAnsi="宋体" w:cs="宋体"/>
          <w:b/>
          <w:sz w:val="24"/>
        </w:rPr>
        <w:t>投标预备会</w:t>
      </w:r>
      <w:bookmarkEnd w:id="25"/>
    </w:p>
    <w:p>
      <w:pPr>
        <w:autoSpaceDE w:val="0"/>
        <w:autoSpaceDN w:val="0"/>
        <w:spacing w:line="450" w:lineRule="exact"/>
        <w:ind w:firstLine="480" w:firstLineChars="200"/>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int="eastAsia" w:hAnsi="宋体" w:cs="宋体"/>
          <w:b/>
          <w:sz w:val="24"/>
        </w:rPr>
        <w:t>分包</w:t>
      </w:r>
      <w:bookmarkEnd w:id="26"/>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int="eastAsia" w:hAnsi="宋体" w:cs="宋体"/>
          <w:b/>
          <w:sz w:val="24"/>
        </w:rPr>
        <w:t>偏离</w:t>
      </w:r>
      <w:bookmarkEnd w:id="27"/>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8"/>
        <w:spacing w:line="450" w:lineRule="exact"/>
        <w:jc w:val="both"/>
        <w:outlineLvl w:val="0"/>
        <w:rPr>
          <w:rFonts w:hAnsi="宋体"/>
          <w:b/>
          <w:color w:val="auto"/>
        </w:rPr>
      </w:pPr>
      <w:bookmarkStart w:id="28" w:name="_Toc283559951"/>
      <w:r>
        <w:rPr>
          <w:rFonts w:hAnsi="宋体"/>
          <w:b/>
          <w:color w:val="auto"/>
        </w:rPr>
        <w:t xml:space="preserve">2. </w:t>
      </w:r>
      <w:r>
        <w:rPr>
          <w:rFonts w:hint="eastAsia" w:hAnsi="宋体"/>
          <w:b/>
          <w:color w:val="auto"/>
        </w:rPr>
        <w:t>招标文件</w:t>
      </w:r>
      <w:bookmarkEnd w:id="28"/>
    </w:p>
    <w:p>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int="eastAsia" w:hAnsi="宋体" w:cs="宋体"/>
          <w:b/>
          <w:sz w:val="24"/>
        </w:rPr>
        <w:t>招标文件的组成</w:t>
      </w:r>
      <w:bookmarkEnd w:id="29"/>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（6）技术标准和要求；</w:t>
      </w:r>
    </w:p>
    <w:p>
      <w:pPr>
        <w:spacing w:line="450" w:lineRule="exact"/>
        <w:ind w:firstLine="410" w:firstLineChars="171"/>
        <w:rPr>
          <w:sz w:val="24"/>
        </w:rPr>
      </w:pPr>
      <w:r>
        <w:rPr>
          <w:rFonts w:hint="eastAsia"/>
          <w:sz w:val="24"/>
        </w:rPr>
        <w:t>（7）投标文件格式；</w:t>
      </w:r>
    </w:p>
    <w:p>
      <w:pPr>
        <w:spacing w:line="450" w:lineRule="exact"/>
        <w:ind w:firstLine="410" w:firstLineChars="171"/>
        <w:rPr>
          <w:sz w:val="24"/>
        </w:rPr>
      </w:pPr>
      <w:r>
        <w:rPr>
          <w:rFonts w:hint="eastAsia"/>
          <w:sz w:val="24"/>
        </w:rPr>
        <w:t>（8）投标人须知前附表规定的其他材料；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int="eastAsia" w:hAnsi="宋体" w:cs="宋体"/>
          <w:b/>
          <w:sz w:val="24"/>
        </w:rPr>
        <w:t>招标文件的澄清</w:t>
      </w:r>
      <w:bookmarkEnd w:id="30"/>
    </w:p>
    <w:p>
      <w:pPr>
        <w:spacing w:line="450" w:lineRule="exact"/>
        <w:ind w:firstLine="410" w:firstLineChars="171"/>
        <w:rPr>
          <w:sz w:val="24"/>
        </w:rPr>
      </w:pPr>
      <w:bookmarkStart w:id="3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1"/>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2" w:name="_Toc152045546"/>
      <w:bookmarkStart w:id="33" w:name="_Toc152042322"/>
      <w:bookmarkStart w:id="34" w:name="_Toc144974514"/>
      <w:bookmarkStart w:id="35" w:name="_Toc179632564"/>
      <w:r>
        <w:rPr>
          <w:rFonts w:hint="eastAsia" w:hAnsi="宋体" w:cs="宋体"/>
          <w:b/>
          <w:sz w:val="24"/>
        </w:rPr>
        <w:t>3. 投标文件</w:t>
      </w:r>
      <w:bookmarkEnd w:id="32"/>
      <w:bookmarkEnd w:id="33"/>
      <w:bookmarkEnd w:id="34"/>
      <w:bookmarkEnd w:id="35"/>
    </w:p>
    <w:p>
      <w:pPr>
        <w:autoSpaceDE w:val="0"/>
        <w:autoSpaceDN w:val="0"/>
        <w:spacing w:line="420" w:lineRule="exact"/>
        <w:jc w:val="left"/>
        <w:outlineLvl w:val="0"/>
        <w:rPr>
          <w:rFonts w:hAnsi="宋体" w:cs="宋体"/>
          <w:b/>
          <w:sz w:val="24"/>
        </w:rPr>
      </w:pPr>
      <w:bookmarkStart w:id="36"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（1）投标函；</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（2）投标函附录；</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（3）法定代表人身份证明、授权委托书；</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（4）投标保证金；</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（5）项目管理机构配备情况；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（6）投标单位基本信息表；</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（7）资格证明文件；</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（8）正在施工的和新承接的项目情况；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w:t>
      </w:r>
      <w:r>
        <w:rPr>
          <w:rFonts w:hint="eastAsia" w:hAnsi="宋体" w:cs="宋体"/>
          <w:sz w:val="24"/>
          <w:lang w:val="en-US" w:eastAsia="zh-CN"/>
        </w:rPr>
        <w:t>主要</w:t>
      </w:r>
      <w:r>
        <w:rPr>
          <w:rFonts w:hint="eastAsia" w:hAnsi="宋体" w:cs="宋体"/>
          <w:sz w:val="24"/>
        </w:rPr>
        <w:t>施工方案</w:t>
      </w:r>
      <w:r>
        <w:rPr>
          <w:rFonts w:hint="eastAsia" w:hAnsi="宋体" w:cs="宋体"/>
          <w:sz w:val="24"/>
          <w:lang w:val="en-US" w:eastAsia="zh-CN"/>
        </w:rPr>
        <w:t>与</w:t>
      </w:r>
      <w:r>
        <w:rPr>
          <w:rFonts w:hint="eastAsia" w:hAnsi="宋体" w:cs="宋体"/>
          <w:sz w:val="24"/>
        </w:rPr>
        <w:t>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w:t>
      </w:r>
      <w:r>
        <w:rPr>
          <w:rFonts w:hint="eastAsia" w:hAnsi="宋体" w:cs="宋体"/>
          <w:sz w:val="24"/>
          <w:lang w:val="en-US" w:eastAsia="zh-CN"/>
        </w:rPr>
        <w:t>文明施工、</w:t>
      </w:r>
      <w:r>
        <w:rPr>
          <w:rFonts w:hint="eastAsia" w:hAnsi="宋体" w:cs="宋体"/>
          <w:sz w:val="24"/>
        </w:rPr>
        <w:t>环境保护管理体系</w:t>
      </w:r>
      <w:r>
        <w:rPr>
          <w:rFonts w:hint="eastAsia" w:hAnsi="宋体" w:cs="宋体"/>
          <w:sz w:val="24"/>
          <w:lang w:val="en-US" w:eastAsia="zh-CN"/>
        </w:rPr>
        <w:t>及施工现场扬尘治理措施</w:t>
      </w:r>
      <w:r>
        <w:rPr>
          <w:rFonts w:hint="eastAsia" w:hAnsi="宋体" w:cs="宋体"/>
          <w:sz w:val="24"/>
        </w:rPr>
        <w:t>；</w:t>
      </w:r>
    </w:p>
    <w:p>
      <w:pPr>
        <w:autoSpaceDE w:val="0"/>
        <w:autoSpaceDN w:val="0"/>
        <w:spacing w:line="420" w:lineRule="exact"/>
        <w:ind w:firstLine="480" w:firstLineChars="200"/>
        <w:jc w:val="left"/>
        <w:outlineLvl w:val="0"/>
        <w:rPr>
          <w:rFonts w:hint="default" w:hAnsi="宋体" w:eastAsia="宋体" w:cs="宋体"/>
          <w:sz w:val="24"/>
          <w:lang w:val="en-US" w:eastAsia="zh-CN"/>
        </w:rPr>
      </w:pPr>
      <w:r>
        <w:rPr>
          <w:rFonts w:hint="eastAsia" w:hAnsi="宋体" w:cs="宋体"/>
          <w:sz w:val="24"/>
        </w:rPr>
        <w:t>（6）</w:t>
      </w:r>
      <w:r>
        <w:rPr>
          <w:rFonts w:hint="eastAsia" w:hAnsi="宋体" w:cs="宋体"/>
          <w:sz w:val="24"/>
          <w:lang w:val="en-US" w:eastAsia="zh-CN"/>
        </w:rPr>
        <w:t>工期保证措施；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w:t>
      </w:r>
      <w:r>
        <w:rPr>
          <w:rFonts w:hint="eastAsia" w:hAnsi="宋体" w:cs="宋体"/>
          <w:sz w:val="24"/>
          <w:lang w:val="en-US" w:eastAsia="zh-CN"/>
        </w:rPr>
        <w:t>与</w:t>
      </w:r>
      <w:r>
        <w:rPr>
          <w:rFonts w:hint="eastAsia" w:hAnsi="宋体" w:cs="宋体"/>
          <w:sz w:val="24"/>
        </w:rPr>
        <w:t>网络</w:t>
      </w:r>
      <w:r>
        <w:rPr>
          <w:rFonts w:hint="eastAsia" w:hAnsi="宋体" w:cs="宋体"/>
          <w:sz w:val="24"/>
          <w:lang w:val="en-US" w:eastAsia="zh-CN"/>
        </w:rPr>
        <w:t>计划</w:t>
      </w:r>
      <w:r>
        <w:rPr>
          <w:rFonts w:hint="eastAsia" w:hAnsi="宋体" w:cs="宋体"/>
          <w:sz w:val="24"/>
        </w:rPr>
        <w:t>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420" w:lineRule="exact"/>
        <w:ind w:firstLine="480" w:firstLineChars="200"/>
        <w:jc w:val="left"/>
        <w:outlineLvl w:val="0"/>
        <w:rPr>
          <w:rFonts w:hint="default" w:hAnsi="宋体" w:eastAsia="宋体" w:cs="宋体"/>
          <w:sz w:val="24"/>
          <w:lang w:val="en-US" w:eastAsia="zh-CN"/>
        </w:rPr>
      </w:pPr>
      <w:r>
        <w:rPr>
          <w:rFonts w:hint="eastAsia" w:hAnsi="宋体" w:cs="宋体"/>
          <w:sz w:val="24"/>
        </w:rPr>
        <w:t>（10）</w:t>
      </w:r>
      <w:r>
        <w:rPr>
          <w:rFonts w:hint="eastAsia" w:hAnsi="宋体" w:cs="宋体"/>
          <w:sz w:val="24"/>
          <w:lang w:val="en-US" w:eastAsia="zh-CN"/>
        </w:rPr>
        <w:t>技术创新的应用实施措施；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w:t>
      </w:r>
      <w:r>
        <w:rPr>
          <w:rFonts w:hint="eastAsia" w:hAnsi="宋体" w:cs="宋体"/>
          <w:sz w:val="24"/>
          <w:lang w:val="en-US" w:eastAsia="zh-CN"/>
        </w:rPr>
        <w:t>采用</w:t>
      </w:r>
      <w:r>
        <w:rPr>
          <w:rFonts w:hint="eastAsia" w:hAnsi="宋体" w:cs="宋体"/>
          <w:sz w:val="24"/>
        </w:rPr>
        <w:t>新工艺、新技术、新设备、新材料</w:t>
      </w:r>
      <w:r>
        <w:rPr>
          <w:rFonts w:hint="eastAsia" w:hAnsi="宋体" w:cs="宋体"/>
          <w:sz w:val="24"/>
          <w:lang w:eastAsia="zh-CN"/>
        </w:rPr>
        <w:t>、</w:t>
      </w:r>
      <w:r>
        <w:rPr>
          <w:rFonts w:hint="eastAsia" w:hAnsi="宋体" w:cs="宋体"/>
          <w:sz w:val="24"/>
          <w:lang w:val="en-US" w:eastAsia="zh-CN"/>
        </w:rPr>
        <w:t>BIM等</w:t>
      </w:r>
      <w:r>
        <w:rPr>
          <w:rFonts w:hint="eastAsia" w:hAnsi="宋体" w:cs="宋体"/>
          <w:sz w:val="24"/>
        </w:rPr>
        <w:t>的程度；</w:t>
      </w:r>
    </w:p>
    <w:p>
      <w:pPr>
        <w:autoSpaceDE w:val="0"/>
        <w:autoSpaceDN w:val="0"/>
        <w:spacing w:line="420" w:lineRule="exact"/>
        <w:ind w:firstLine="480" w:firstLineChars="200"/>
        <w:jc w:val="left"/>
        <w:outlineLvl w:val="0"/>
        <w:rPr>
          <w:rFonts w:hint="eastAsia" w:hAnsi="宋体" w:cs="宋体"/>
          <w:sz w:val="24"/>
          <w:lang w:eastAsia="zh-CN"/>
        </w:rPr>
      </w:pPr>
      <w:r>
        <w:rPr>
          <w:rFonts w:hint="eastAsia" w:hAnsi="宋体" w:cs="宋体"/>
          <w:sz w:val="24"/>
        </w:rPr>
        <w:t>（12）</w:t>
      </w:r>
      <w:r>
        <w:rPr>
          <w:rFonts w:hint="eastAsia" w:hAnsi="宋体" w:cs="宋体"/>
          <w:sz w:val="24"/>
          <w:lang w:val="en-US" w:eastAsia="zh-CN"/>
        </w:rPr>
        <w:t>施工</w:t>
      </w:r>
      <w:r>
        <w:rPr>
          <w:rFonts w:hint="eastAsia" w:hAnsi="宋体" w:cs="宋体"/>
          <w:sz w:val="24"/>
        </w:rPr>
        <w:t>现场实施</w:t>
      </w:r>
      <w:r>
        <w:rPr>
          <w:rFonts w:hint="eastAsia" w:hAnsi="宋体" w:cs="宋体"/>
          <w:sz w:val="24"/>
          <w:lang w:val="en-US" w:eastAsia="zh-CN"/>
        </w:rPr>
        <w:t>信息化</w:t>
      </w:r>
      <w:r>
        <w:rPr>
          <w:rFonts w:hint="eastAsia" w:hAnsi="宋体" w:cs="宋体"/>
          <w:sz w:val="24"/>
        </w:rPr>
        <w:t>监控和数据处理</w:t>
      </w:r>
      <w:r>
        <w:rPr>
          <w:rFonts w:hint="eastAsia" w:hAnsi="宋体" w:cs="宋体"/>
          <w:sz w:val="24"/>
          <w:lang w:eastAsia="zh-CN"/>
        </w:rPr>
        <w:t>；</w:t>
      </w:r>
    </w:p>
    <w:p>
      <w:pPr>
        <w:autoSpaceDE w:val="0"/>
        <w:autoSpaceDN w:val="0"/>
        <w:spacing w:line="420" w:lineRule="exact"/>
        <w:ind w:firstLine="480" w:firstLineChars="200"/>
        <w:jc w:val="left"/>
        <w:outlineLvl w:val="0"/>
        <w:rPr>
          <w:rFonts w:hint="default" w:hAnsi="宋体" w:eastAsia="宋体" w:cs="宋体"/>
          <w:sz w:val="24"/>
          <w:lang w:val="en-US" w:eastAsia="zh-CN"/>
        </w:rPr>
      </w:pPr>
      <w:r>
        <w:rPr>
          <w:rFonts w:hint="eastAsia" w:hAnsi="宋体" w:cs="宋体"/>
          <w:sz w:val="24"/>
          <w:lang w:eastAsia="zh-CN"/>
        </w:rPr>
        <w:t>（</w:t>
      </w:r>
      <w:r>
        <w:rPr>
          <w:rFonts w:hint="eastAsia" w:hAnsi="宋体" w:cs="宋体"/>
          <w:sz w:val="24"/>
          <w:lang w:val="en-US" w:eastAsia="zh-CN"/>
        </w:rPr>
        <w:t>13</w:t>
      </w:r>
      <w:r>
        <w:rPr>
          <w:rFonts w:hint="eastAsia" w:hAnsi="宋体" w:cs="宋体"/>
          <w:sz w:val="24"/>
          <w:lang w:eastAsia="zh-CN"/>
        </w:rPr>
        <w:t>）</w:t>
      </w:r>
      <w:r>
        <w:rPr>
          <w:rFonts w:hint="eastAsia" w:hAnsi="宋体" w:cs="宋体"/>
          <w:sz w:val="24"/>
          <w:lang w:val="en-US" w:eastAsia="zh-CN"/>
        </w:rPr>
        <w:t>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6"/>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（五）拒绝履行合同义务的；</w:t>
      </w:r>
    </w:p>
    <w:p>
      <w:pPr>
        <w:spacing w:line="380" w:lineRule="exact"/>
        <w:ind w:firstLine="480" w:firstLineChars="200"/>
        <w:rPr>
          <w:rFonts w:hAnsi="宋体" w:cs="宋体"/>
          <w:sz w:val="24"/>
        </w:rPr>
      </w:pPr>
      <w:r>
        <w:rPr>
          <w:rFonts w:hint="eastAsia" w:hAnsi="宋体" w:cs="宋体"/>
          <w:sz w:val="24"/>
        </w:rPr>
        <w:t>（六）相关法律、法规规定不予退还的其它情形。</w:t>
      </w:r>
    </w:p>
    <w:p>
      <w:pPr>
        <w:spacing w:line="380" w:lineRule="exact"/>
        <w:ind w:firstLine="480" w:firstLineChars="200"/>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52045553"/>
      <w:bookmarkStart w:id="39" w:name="_Toc152042329"/>
      <w:bookmarkStart w:id="40" w:name="_Toc144974521"/>
      <w:bookmarkStart w:id="41" w:name="_Toc17963257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3.7.5 </w:t>
      </w:r>
      <w:r>
        <w:rPr>
          <w:rFonts w:hint="eastAsia" w:ascii="宋体" w:hAnsi="宋体" w:cs="宋体"/>
          <w:bCs/>
          <w:sz w:val="24"/>
          <w:lang w:val="en-US" w:eastAsia="zh-CN"/>
        </w:rPr>
        <w:t>存储有备份文件的电子介质2份</w:t>
      </w:r>
      <w:r>
        <w:rPr>
          <w:rFonts w:hint="eastAsia" w:hAnsi="宋体" w:cs="宋体"/>
          <w:sz w:val="24"/>
          <w:lang w:eastAsia="zh-CN"/>
        </w:rPr>
        <w:t>（</w:t>
      </w:r>
      <w:r>
        <w:rPr>
          <w:rFonts w:hint="eastAsia" w:hAnsi="宋体" w:cs="宋体"/>
          <w:sz w:val="24"/>
          <w:lang w:val="en-US" w:eastAsia="zh-CN"/>
        </w:rPr>
        <w:t>注明：投标人名称、项目名称、项目编号、标段</w:t>
      </w:r>
      <w:r>
        <w:rPr>
          <w:rFonts w:hint="eastAsia" w:hAnsi="宋体" w:cs="宋体"/>
          <w:sz w:val="24"/>
          <w:lang w:eastAsia="zh-CN"/>
        </w:rPr>
        <w:t>）</w:t>
      </w:r>
      <w:r>
        <w:rPr>
          <w:rFonts w:hint="eastAsia" w:hAnsi="宋体" w:cs="宋体"/>
          <w:sz w:val="24"/>
        </w:rPr>
        <w:t>。</w:t>
      </w:r>
    </w:p>
    <w:p>
      <w:pPr>
        <w:autoSpaceDE w:val="0"/>
        <w:autoSpaceDN w:val="0"/>
        <w:spacing w:line="440" w:lineRule="exact"/>
        <w:jc w:val="left"/>
        <w:rPr>
          <w:rFonts w:hAnsi="宋体" w:cs="宋体"/>
          <w:b/>
          <w:sz w:val="24"/>
        </w:rPr>
      </w:pPr>
      <w:r>
        <w:rPr>
          <w:rFonts w:hint="eastAsia" w:hAnsi="宋体" w:cs="宋体"/>
          <w:b/>
          <w:sz w:val="24"/>
        </w:rPr>
        <w:t xml:space="preserve">    3.7.</w:t>
      </w:r>
      <w:r>
        <w:rPr>
          <w:rFonts w:hint="eastAsia" w:hAnsi="宋体" w:cs="宋体"/>
          <w:b/>
          <w:sz w:val="24"/>
          <w:lang w:val="en-US" w:eastAsia="zh-CN"/>
        </w:rPr>
        <w:t>6</w:t>
      </w:r>
      <w:r>
        <w:rPr>
          <w:rFonts w:hint="eastAsia" w:hAnsi="宋体" w:cs="宋体"/>
          <w:b/>
          <w:sz w:val="24"/>
        </w:rPr>
        <w:t xml:space="preserve">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w:t>
      </w:r>
      <w:r>
        <w:rPr>
          <w:rFonts w:hint="eastAsia" w:hAnsi="宋体" w:cs="宋体"/>
          <w:sz w:val="24"/>
          <w:lang w:val="en-US" w:eastAsia="zh-CN"/>
        </w:rPr>
        <w:t>6</w:t>
      </w:r>
      <w:r>
        <w:rPr>
          <w:rFonts w:hint="eastAsia" w:hAnsi="宋体" w:cs="宋体"/>
          <w:sz w:val="24"/>
        </w:rPr>
        <w:t>.1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w:t>
      </w:r>
      <w:r>
        <w:rPr>
          <w:rFonts w:hint="eastAsia" w:hAnsi="宋体" w:cs="宋体"/>
          <w:sz w:val="24"/>
          <w:lang w:val="en-US" w:eastAsia="zh-CN"/>
        </w:rPr>
        <w:t>6</w:t>
      </w:r>
      <w:r>
        <w:rPr>
          <w:rFonts w:hint="eastAsia" w:hAnsi="宋体" w:cs="宋体"/>
          <w:sz w:val="24"/>
        </w:rPr>
        <w:t>.2 商务标投标文件制作技术咨询：0374-2961598。</w:t>
      </w:r>
    </w:p>
    <w:p>
      <w:pPr>
        <w:pStyle w:val="68"/>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w:t>
      </w:r>
      <w:r>
        <w:rPr>
          <w:rFonts w:hint="eastAsia" w:hAnsi="宋体" w:cs="宋体"/>
          <w:sz w:val="24"/>
          <w:lang w:val="en-US" w:eastAsia="zh-CN"/>
        </w:rPr>
        <w:t>1</w:t>
      </w:r>
      <w:r>
        <w:rPr>
          <w:rFonts w:hint="eastAsia" w:hAnsi="宋体" w:cs="宋体"/>
          <w:sz w:val="24"/>
        </w:rPr>
        <w:t xml:space="preserve"> </w:t>
      </w:r>
      <w:r>
        <w:rPr>
          <w:rFonts w:hint="eastAsia" w:ascii="宋体" w:hAnsi="宋体" w:cs="宋体"/>
          <w:bCs/>
          <w:sz w:val="24"/>
          <w:lang w:val="en-US" w:eastAsia="zh-CN"/>
        </w:rPr>
        <w:t>存储有备份文件的电子介质</w:t>
      </w:r>
      <w:r>
        <w:rPr>
          <w:rFonts w:hint="eastAsia" w:hAnsi="宋体" w:cs="宋体"/>
          <w:sz w:val="24"/>
        </w:rPr>
        <w:t>应单独密封，封套上写明“投标人名称、项目名称、</w:t>
      </w:r>
      <w:r>
        <w:rPr>
          <w:rFonts w:hint="eastAsia" w:hAnsi="宋体" w:cs="宋体"/>
          <w:sz w:val="24"/>
          <w:lang w:val="en-US" w:eastAsia="zh-CN"/>
        </w:rPr>
        <w:t>项目编号、</w:t>
      </w:r>
      <w:r>
        <w:rPr>
          <w:rFonts w:hint="eastAsia" w:hAnsi="宋体" w:cs="宋体"/>
          <w:sz w:val="24"/>
        </w:rPr>
        <w:t>标段，在  年  月  日  时  分前不得开启”，并加盖单位公章，法定代表人或委托代理人签名，在投标截止时间前递交。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w:t>
      </w:r>
      <w:r>
        <w:rPr>
          <w:rFonts w:hint="eastAsia" w:hAnsi="宋体" w:cs="宋体"/>
          <w:sz w:val="24"/>
          <w:lang w:val="en-US" w:eastAsia="zh-CN"/>
        </w:rPr>
        <w:t>2</w:t>
      </w:r>
      <w:r>
        <w:rPr>
          <w:rFonts w:hint="eastAsia" w:hAnsi="宋体" w:cs="宋体"/>
          <w:sz w:val="24"/>
        </w:rPr>
        <w:t xml:space="preserve"> 未按本章第4.1.1项要求密封和加写标记的</w:t>
      </w:r>
      <w:r>
        <w:rPr>
          <w:rFonts w:hint="eastAsia" w:ascii="宋体" w:hAnsi="宋体" w:cs="宋体"/>
          <w:bCs/>
          <w:sz w:val="24"/>
          <w:lang w:val="en-US" w:eastAsia="zh-CN"/>
        </w:rPr>
        <w:t>存储有备份文件的电子介质</w:t>
      </w:r>
      <w:r>
        <w:rPr>
          <w:rFonts w:hint="eastAsia" w:hAnsi="宋体" w:cs="宋体"/>
          <w:sz w:val="24"/>
        </w:rPr>
        <w:t>，招标人不予受理。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w:t>
      </w:r>
      <w:r>
        <w:rPr>
          <w:rFonts w:hint="eastAsia" w:ascii="宋体" w:hAnsi="宋体" w:cs="宋体"/>
          <w:bCs/>
          <w:sz w:val="24"/>
          <w:lang w:val="en-US" w:eastAsia="zh-CN"/>
        </w:rPr>
        <w:t>存储有备份文件的电子介质2份</w:t>
      </w:r>
      <w:r>
        <w:rPr>
          <w:rFonts w:hint="eastAsia" w:hAnsi="宋体" w:cs="宋体"/>
          <w:sz w:val="24"/>
        </w:rPr>
        <w:t>。</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w:t>
      </w:r>
      <w:r>
        <w:rPr>
          <w:rFonts w:hint="eastAsia" w:ascii="宋体" w:hAnsi="宋体" w:cs="宋体"/>
          <w:bCs/>
          <w:sz w:val="24"/>
          <w:lang w:val="en-US" w:eastAsia="zh-CN"/>
        </w:rPr>
        <w:t>存储有备份文件的电子介质</w:t>
      </w:r>
      <w:r>
        <w:rPr>
          <w:rFonts w:hint="eastAsia" w:hAnsi="宋体" w:cs="宋体"/>
          <w:sz w:val="24"/>
        </w:rPr>
        <w:t>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w:t>
      </w:r>
      <w:r>
        <w:rPr>
          <w:rFonts w:hint="eastAsia" w:ascii="宋体" w:hAnsi="宋体" w:cs="宋体"/>
          <w:bCs/>
          <w:sz w:val="24"/>
          <w:lang w:val="en-US" w:eastAsia="zh-CN"/>
        </w:rPr>
        <w:t>存储有备份文件的电子介质</w:t>
      </w:r>
      <w:r>
        <w:rPr>
          <w:rFonts w:hint="eastAsia" w:hAnsi="宋体" w:cs="宋体"/>
          <w:sz w:val="24"/>
        </w:rPr>
        <w:t>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w:t>
      </w:r>
      <w:r>
        <w:rPr>
          <w:rFonts w:hint="eastAsia" w:ascii="宋体" w:hAnsi="宋体" w:cs="宋体"/>
          <w:bCs/>
          <w:sz w:val="24"/>
          <w:lang w:val="en-US" w:eastAsia="zh-CN"/>
        </w:rPr>
        <w:t>存储有备份文件的电子介质</w:t>
      </w:r>
      <w:r>
        <w:rPr>
          <w:rFonts w:hint="eastAsia" w:hAnsi="宋体" w:cs="宋体"/>
          <w:sz w:val="24"/>
        </w:rPr>
        <w:t>，招标人不予受理。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w:t>
      </w:r>
      <w:r>
        <w:rPr>
          <w:rFonts w:hint="eastAsia" w:hAnsi="宋体" w:cs="宋体"/>
          <w:sz w:val="24"/>
          <w:lang w:val="en-US" w:eastAsia="zh-CN"/>
        </w:rPr>
        <w:t>2</w:t>
      </w:r>
      <w:r>
        <w:rPr>
          <w:rFonts w:hint="eastAsia" w:hAnsi="宋体" w:cs="宋体"/>
          <w:sz w:val="24"/>
        </w:rPr>
        <w:t xml:space="preserve"> 投标人应当在投标截止时间前完成电子投标文件的提交，可以补充、修改或撤回。投标截止时间前未完成电子投标文件提交、取得“投标文件提交回执单”的，视为撤回投标文件。</w:t>
      </w:r>
    </w:p>
    <w:p>
      <w:pPr>
        <w:pStyle w:val="68"/>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w:t>
      </w:r>
      <w:r>
        <w:rPr>
          <w:rFonts w:hint="eastAsia" w:ascii="宋体" w:hAnsi="宋体" w:cs="宋体"/>
          <w:bCs/>
          <w:sz w:val="24"/>
          <w:lang w:val="en-US" w:eastAsia="zh-CN"/>
        </w:rPr>
        <w:t>存储有备份文件的电子介质</w:t>
      </w:r>
      <w:r>
        <w:rPr>
          <w:rFonts w:hint="eastAsia" w:hAnsi="宋体"/>
          <w:sz w:val="24"/>
          <w:szCs w:val="24"/>
        </w:rPr>
        <w:t>，以人工方式进行。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8"/>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8"/>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5569"/>
      <w:bookmarkStart w:id="56" w:name="_Toc144974537"/>
      <w:bookmarkStart w:id="57" w:name="_Toc179632587"/>
      <w:bookmarkStart w:id="58" w:name="_Toc152042345"/>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int="eastAsia" w:hAnsi="宋体" w:cs="宋体"/>
          <w:b/>
          <w:sz w:val="24"/>
        </w:rPr>
        <w:t>7.4履约保证金</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7.4.1履约保证金提交方式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1、以网银、银行转账支票、银行电汇方式提交。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2、现金支票和现金不得作为履约保证金提交方式。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3、中标人必须通过其公司账户按照规定的方式提交，其名称应与中标单位的名称一致。</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4、中标人在缴纳履约保证金时必须在附言、备注和用途栏注明“项目编号及标段”，否则可能造成延迟退还。</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7.4.2履约保证金提交比例和数额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履约保证金数额不得超过中标合同金额的10%。</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7.4.3履约保证金的退还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2、中标人因发生质疑、投诉、举报或有关部门立案调查的，中心依据相关行政监督部门的意见暂停退还或没收其履约保证金，待行政监督部门对相关情况处置后，按照有关规定办理。</w:t>
      </w:r>
    </w:p>
    <w:p>
      <w:pPr>
        <w:autoSpaceDE w:val="0"/>
        <w:autoSpaceDN w:val="0"/>
        <w:spacing w:line="440" w:lineRule="exac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8"/>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0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投标人和其他利害关系人认为本次招标活动违反法律、法规和规章规定的，有权向有关行政监督部门投诉。</w:t>
      </w:r>
    </w:p>
    <w:p>
      <w:pPr>
        <w:pStyle w:val="68"/>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bookmarkStart w:id="69" w:name="_Toc283559990"/>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jc w:val="right"/>
        <w:rPr>
          <w:rFonts w:hAnsi="宋体" w:cs="宋体"/>
          <w:sz w:val="24"/>
        </w:rPr>
      </w:pPr>
      <w:r>
        <w:rPr>
          <w:rFonts w:hint="eastAsia"/>
          <w:color w:val="000000"/>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0" w:firstLineChars="0"/>
      </w:pPr>
    </w:p>
    <w:p>
      <w:pPr>
        <w:spacing w:line="400" w:lineRule="exact"/>
        <w:ind w:firstLine="480" w:firstLineChars="200"/>
        <w:rPr>
          <w:rFonts w:hAnsi="宋体" w:cs="宋体"/>
          <w:b/>
          <w:bCs/>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7200" w:firstLineChars="3000"/>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spacing w:line="420" w:lineRule="exact"/>
        <w:rPr>
          <w:rFonts w:hAnsi="宋体"/>
          <w:b/>
          <w:sz w:val="36"/>
          <w:szCs w:val="36"/>
        </w:rPr>
      </w:pPr>
    </w:p>
    <w:p>
      <w:pPr>
        <w:spacing w:line="420" w:lineRule="exact"/>
        <w:ind w:firstLine="2160" w:firstLineChars="600"/>
        <w:rPr>
          <w:rFonts w:hAnsi="宋体"/>
          <w:b/>
          <w:sz w:val="36"/>
          <w:szCs w:val="36"/>
        </w:rPr>
      </w:pPr>
    </w:p>
    <w:p>
      <w:pPr>
        <w:spacing w:line="420" w:lineRule="exact"/>
        <w:ind w:firstLine="2160" w:firstLineChars="600"/>
        <w:rPr>
          <w:rFonts w:hAnsi="宋体"/>
          <w:b/>
          <w:sz w:val="36"/>
          <w:szCs w:val="36"/>
        </w:rPr>
      </w:pPr>
    </w:p>
    <w:p>
      <w:pPr>
        <w:spacing w:line="420" w:lineRule="exact"/>
        <w:ind w:firstLine="2160" w:firstLineChars="600"/>
        <w:rPr>
          <w:rFonts w:hAnsi="宋体"/>
          <w:b/>
          <w:sz w:val="36"/>
          <w:szCs w:val="36"/>
        </w:rPr>
      </w:pPr>
    </w:p>
    <w:p>
      <w:pPr>
        <w:spacing w:line="420" w:lineRule="exact"/>
        <w:ind w:firstLine="2160" w:firstLineChars="600"/>
        <w:rPr>
          <w:rFonts w:hAnsi="宋体"/>
          <w:b/>
          <w:sz w:val="36"/>
          <w:szCs w:val="36"/>
        </w:rPr>
      </w:pPr>
    </w:p>
    <w:p>
      <w:pPr>
        <w:spacing w:line="420" w:lineRule="exact"/>
        <w:ind w:firstLine="2160" w:firstLineChars="600"/>
        <w:rPr>
          <w:rFonts w:ascii="新宋体" w:hAnsi="新宋体" w:eastAsia="新宋体" w:cs="新宋体"/>
          <w:b/>
          <w:bCs/>
          <w:sz w:val="36"/>
          <w:szCs w:val="36"/>
        </w:rPr>
      </w:pPr>
      <w:r>
        <w:rPr>
          <w:rFonts w:hint="eastAsia" w:hAnsi="宋体"/>
          <w:b/>
          <w:sz w:val="36"/>
          <w:szCs w:val="36"/>
        </w:rPr>
        <w:t>第三章   评标办法</w:t>
      </w:r>
      <w:r>
        <w:rPr>
          <w:rFonts w:hint="eastAsia" w:ascii="新宋体" w:hAnsi="新宋体" w:eastAsia="新宋体" w:cs="新宋体"/>
          <w:b/>
          <w:bCs/>
          <w:sz w:val="36"/>
          <w:szCs w:val="36"/>
        </w:rPr>
        <w:t>（综合</w:t>
      </w:r>
      <w:r>
        <w:rPr>
          <w:rFonts w:hint="eastAsia" w:ascii="新宋体" w:hAnsi="新宋体" w:eastAsia="新宋体" w:cs="新宋体"/>
          <w:b/>
          <w:bCs/>
          <w:sz w:val="36"/>
          <w:szCs w:val="36"/>
          <w:lang w:val="en-US" w:eastAsia="zh-CN"/>
        </w:rPr>
        <w:t>评标</w:t>
      </w:r>
      <w:r>
        <w:rPr>
          <w:rFonts w:hint="eastAsia" w:ascii="新宋体" w:hAnsi="新宋体" w:eastAsia="新宋体" w:cs="新宋体"/>
          <w:b/>
          <w:bCs/>
          <w:sz w:val="36"/>
          <w:szCs w:val="36"/>
        </w:rPr>
        <w:t>法）</w:t>
      </w:r>
    </w:p>
    <w:p>
      <w:pPr>
        <w:snapToGrid w:val="0"/>
        <w:spacing w:line="360" w:lineRule="auto"/>
        <w:ind w:firstLine="480" w:firstLineChars="200"/>
        <w:rPr>
          <w:rFonts w:hint="eastAsia" w:ascii="新宋体" w:hAnsi="新宋体" w:eastAsia="新宋体"/>
          <w:sz w:val="24"/>
        </w:rPr>
      </w:pPr>
    </w:p>
    <w:p>
      <w:pPr>
        <w:snapToGrid w:val="0"/>
        <w:spacing w:line="360" w:lineRule="auto"/>
        <w:ind w:firstLine="480" w:firstLineChars="200"/>
        <w:rPr>
          <w:rFonts w:ascii="新宋体" w:hAnsi="新宋体" w:eastAsia="新宋体"/>
          <w:sz w:val="24"/>
        </w:rPr>
      </w:pPr>
      <w:r>
        <w:rPr>
          <w:rFonts w:hint="eastAsia" w:ascii="新宋体" w:hAnsi="新宋体" w:eastAsia="新宋体"/>
          <w:b/>
          <w:bCs/>
          <w:sz w:val="24"/>
        </w:rPr>
        <w:t>一、</w:t>
      </w:r>
      <w:r>
        <w:rPr>
          <w:rFonts w:hint="eastAsia" w:ascii="新宋体" w:hAnsi="新宋体" w:eastAsia="新宋体" w:cs="新宋体"/>
          <w:sz w:val="24"/>
        </w:rPr>
        <w:t>评标办法依据“豫建〔2018〕161号 关于印发《河南省建设工程工程量清单招标评标办法》的通知”，</w:t>
      </w:r>
      <w:r>
        <w:rPr>
          <w:rFonts w:hint="eastAsia" w:ascii="新宋体" w:hAnsi="新宋体" w:eastAsia="新宋体"/>
          <w:sz w:val="24"/>
        </w:rPr>
        <w:t>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b/>
          <w:bCs/>
          <w:sz w:val="24"/>
        </w:rPr>
        <w:t>二、</w:t>
      </w:r>
      <w:r>
        <w:rPr>
          <w:rFonts w:hint="eastAsia" w:ascii="新宋体" w:hAnsi="新宋体" w:eastAsia="新宋体"/>
          <w:sz w:val="24"/>
        </w:rPr>
        <w:t>评标委员会构成：</w:t>
      </w:r>
      <w:r>
        <w:rPr>
          <w:rFonts w:hint="eastAsia" w:ascii="新宋体" w:hAnsi="新宋体" w:eastAsia="新宋体"/>
          <w:sz w:val="24"/>
          <w:lang w:val="en-US" w:eastAsia="zh-CN"/>
        </w:rPr>
        <w:t>5</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4</w:t>
      </w:r>
      <w:r>
        <w:rPr>
          <w:rFonts w:hint="eastAsia" w:ascii="新宋体" w:hAnsi="新宋体" w:eastAsia="新宋体"/>
          <w:sz w:val="24"/>
        </w:rPr>
        <w:t>人和招标人代表</w:t>
      </w:r>
      <w:r>
        <w:rPr>
          <w:rFonts w:hint="eastAsia" w:ascii="新宋体" w:hAnsi="新宋体" w:eastAsia="新宋体"/>
          <w:sz w:val="24"/>
          <w:lang w:val="en-US" w:eastAsia="zh-CN"/>
        </w:rPr>
        <w:t>1</w:t>
      </w:r>
      <w:r>
        <w:rPr>
          <w:rFonts w:hint="eastAsia" w:ascii="新宋体" w:hAnsi="新宋体" w:eastAsia="新宋体"/>
          <w:sz w:val="24"/>
        </w:rPr>
        <w:t>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b/>
          <w:bCs/>
          <w:sz w:val="24"/>
        </w:rPr>
        <w:t>三、</w:t>
      </w:r>
      <w:r>
        <w:rPr>
          <w:rFonts w:hint="eastAsia" w:ascii="新宋体" w:hAnsi="新宋体" w:eastAsia="新宋体"/>
          <w:sz w:val="24"/>
        </w:rPr>
        <w:t>评标采用综合</w:t>
      </w:r>
      <w:r>
        <w:rPr>
          <w:rFonts w:hint="eastAsia" w:ascii="新宋体" w:hAnsi="新宋体" w:eastAsia="新宋体"/>
          <w:sz w:val="24"/>
          <w:lang w:val="en-US" w:eastAsia="zh-CN"/>
        </w:rPr>
        <w:t>评标</w:t>
      </w:r>
      <w:r>
        <w:rPr>
          <w:rFonts w:hint="eastAsia" w:ascii="新宋体" w:hAnsi="新宋体" w:eastAsia="新宋体"/>
          <w:sz w:val="24"/>
        </w:rPr>
        <w:t>法，是指评标委员会根据招标文件要求，应从技术标、商务标、综合（信用）标三部分进行综合评审。</w:t>
      </w:r>
    </w:p>
    <w:p>
      <w:pPr>
        <w:spacing w:line="360" w:lineRule="auto"/>
        <w:ind w:firstLine="480" w:firstLineChars="200"/>
        <w:rPr>
          <w:rFonts w:ascii="新宋体" w:hAnsi="新宋体" w:eastAsia="新宋体"/>
          <w:b/>
          <w:bCs/>
          <w:sz w:val="24"/>
        </w:rPr>
      </w:pPr>
      <w:r>
        <w:rPr>
          <w:rFonts w:hint="eastAsia" w:ascii="新宋体" w:hAnsi="新宋体" w:eastAsia="新宋体"/>
          <w:b/>
          <w:bCs/>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
          <w:bCs w:val="0"/>
          <w:sz w:val="24"/>
        </w:rPr>
      </w:pPr>
      <w:r>
        <w:rPr>
          <w:rFonts w:hint="eastAsia" w:ascii="新宋体" w:hAnsi="新宋体" w:eastAsia="新宋体"/>
          <w:b/>
          <w:bCs w:val="0"/>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（3）规费和税金、安全文明施工费违</w:t>
      </w:r>
      <w:r>
        <w:rPr>
          <w:rFonts w:hint="eastAsia" w:ascii="新宋体" w:hAnsi="新宋体" w:eastAsia="新宋体"/>
          <w:bCs/>
          <w:sz w:val="24"/>
          <w:lang w:val="en-US" w:eastAsia="zh-CN"/>
        </w:rPr>
        <w:t>反工程造价计价有关</w:t>
      </w:r>
      <w:r>
        <w:rPr>
          <w:rFonts w:hint="eastAsia" w:ascii="新宋体" w:hAnsi="新宋体" w:eastAsia="新宋体"/>
          <w:bCs/>
          <w:sz w:val="24"/>
        </w:rPr>
        <w:t xml:space="preserve">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（5）未按照</w:t>
      </w:r>
      <w:r>
        <w:rPr>
          <w:rFonts w:hint="eastAsia" w:ascii="新宋体" w:hAnsi="新宋体" w:eastAsia="新宋体"/>
          <w:bCs/>
          <w:sz w:val="24"/>
          <w:lang w:val="en-US" w:eastAsia="zh-CN"/>
        </w:rPr>
        <w:t>招标文件所列明的</w:t>
      </w:r>
      <w:r>
        <w:rPr>
          <w:rFonts w:hint="eastAsia" w:ascii="新宋体" w:hAnsi="新宋体" w:eastAsia="新宋体"/>
          <w:bCs/>
          <w:sz w:val="24"/>
        </w:rPr>
        <w:t>暂列金额</w:t>
      </w:r>
      <w:r>
        <w:rPr>
          <w:rFonts w:hint="eastAsia" w:ascii="新宋体" w:hAnsi="新宋体" w:eastAsia="新宋体"/>
          <w:bCs/>
          <w:sz w:val="24"/>
          <w:lang w:eastAsia="zh-CN"/>
        </w:rPr>
        <w:t>、</w:t>
      </w:r>
      <w:r>
        <w:rPr>
          <w:rFonts w:hint="eastAsia" w:ascii="新宋体" w:hAnsi="新宋体" w:eastAsia="新宋体"/>
          <w:bCs/>
          <w:sz w:val="24"/>
        </w:rPr>
        <w:t>暂估价编制投标报价的。</w:t>
      </w:r>
    </w:p>
    <w:p>
      <w:pPr>
        <w:spacing w:line="360" w:lineRule="auto"/>
        <w:ind w:firstLine="480" w:firstLineChars="200"/>
        <w:rPr>
          <w:rFonts w:hint="eastAsia"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hint="default" w:ascii="新宋体" w:hAnsi="新宋体" w:eastAsia="宋体"/>
          <w:b/>
          <w:sz w:val="24"/>
          <w:lang w:val="en-US" w:eastAsia="zh-CN"/>
        </w:rPr>
      </w:pPr>
      <w:r>
        <w:rPr>
          <w:rFonts w:hint="eastAsia" w:hAnsi="宋体" w:cs="宋体"/>
          <w:b/>
          <w:bCs/>
          <w:sz w:val="24"/>
          <w:szCs w:val="24"/>
        </w:rPr>
        <w:t>备注：</w:t>
      </w:r>
      <w:r>
        <w:rPr>
          <w:rFonts w:hint="eastAsia" w:hAnsi="宋体" w:cs="宋体"/>
          <w:b/>
          <w:bCs/>
          <w:sz w:val="24"/>
          <w:szCs w:val="24"/>
          <w:lang w:val="en-US" w:eastAsia="zh-CN"/>
        </w:rPr>
        <w:t>按照《关于推进全流程电子化交易和在线监管工作有关问题的通知》（许公管办【2019】3号）规定：</w:t>
      </w:r>
      <w:r>
        <w:rPr>
          <w:rFonts w:hint="eastAsia" w:hAnsi="宋体" w:cs="宋体"/>
          <w:b/>
          <w:bCs/>
          <w:sz w:val="24"/>
          <w:szCs w:val="24"/>
        </w:rPr>
        <w:t>不同投标人电子投标文件</w:t>
      </w:r>
      <w:r>
        <w:rPr>
          <w:rFonts w:hint="eastAsia" w:hAnsi="宋体" w:cs="宋体"/>
          <w:b/>
          <w:bCs/>
          <w:sz w:val="24"/>
          <w:szCs w:val="24"/>
          <w:lang w:val="en-US" w:eastAsia="zh-CN"/>
        </w:rPr>
        <w:t>记录的</w:t>
      </w:r>
      <w:r>
        <w:rPr>
          <w:rFonts w:hint="eastAsia" w:hAnsi="宋体" w:cs="宋体"/>
          <w:b/>
          <w:bCs/>
          <w:sz w:val="24"/>
          <w:szCs w:val="24"/>
        </w:rPr>
        <w:t>网卡MAC地址、CPU序号、硬盘序列号等</w:t>
      </w:r>
      <w:r>
        <w:rPr>
          <w:rFonts w:hint="eastAsia" w:hAnsi="宋体" w:cs="宋体"/>
          <w:b/>
          <w:bCs/>
          <w:sz w:val="24"/>
          <w:szCs w:val="24"/>
          <w:lang w:val="en-US" w:eastAsia="zh-CN"/>
        </w:rPr>
        <w:t>硬件特征码均相</w:t>
      </w:r>
      <w:r>
        <w:rPr>
          <w:rFonts w:hint="eastAsia" w:hAnsi="宋体" w:cs="宋体"/>
          <w:b/>
          <w:bCs/>
          <w:sz w:val="24"/>
          <w:szCs w:val="24"/>
        </w:rPr>
        <w:t>同时，视为‘不同投标人的投标文件由同一单位或者个人编制’或‘不同投标人委托同一单位或者个人办理投标事宜’，其投标无效”</w:t>
      </w:r>
      <w:r>
        <w:rPr>
          <w:rFonts w:hint="eastAsia" w:hAnsi="宋体" w:cs="宋体"/>
          <w:b/>
          <w:bCs/>
          <w:sz w:val="24"/>
          <w:szCs w:val="24"/>
          <w:lang w:eastAsia="zh-CN"/>
        </w:rPr>
        <w:t>。</w:t>
      </w:r>
      <w:r>
        <w:rPr>
          <w:rFonts w:hint="eastAsia" w:hAnsi="宋体" w:cs="宋体"/>
          <w:b/>
          <w:bCs/>
          <w:sz w:val="24"/>
          <w:szCs w:val="24"/>
        </w:rPr>
        <w:t>评标专家应严格按照要求查看“硬件特征码”相关信息并进行评审</w:t>
      </w:r>
      <w:r>
        <w:rPr>
          <w:rFonts w:hint="eastAsia" w:hAnsi="宋体" w:cs="宋体"/>
          <w:b/>
          <w:bCs/>
          <w:sz w:val="24"/>
          <w:szCs w:val="24"/>
          <w:lang w:eastAsia="zh-CN"/>
        </w:rPr>
        <w:t>，</w:t>
      </w:r>
      <w:r>
        <w:rPr>
          <w:rFonts w:hint="eastAsia" w:hAnsi="宋体" w:cs="宋体"/>
          <w:b/>
          <w:bCs/>
          <w:sz w:val="24"/>
          <w:szCs w:val="24"/>
          <w:lang w:val="en-US" w:eastAsia="zh-CN"/>
        </w:rPr>
        <w:t>在评标报告中显示“不同投标人电子投标文件制作硬件特征码”是否雷同的分析及判定结果。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0"/>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w:t>
            </w:r>
            <w:r>
              <w:rPr>
                <w:rFonts w:hint="eastAsia" w:ascii="新宋体" w:hAnsi="新宋体" w:eastAsia="新宋体" w:cs="新宋体"/>
                <w:b/>
                <w:sz w:val="21"/>
                <w:szCs w:val="21"/>
                <w:lang w:eastAsia="zh-CN"/>
              </w:rPr>
              <w:t>（</w:t>
            </w:r>
            <w:r>
              <w:rPr>
                <w:rFonts w:hint="eastAsia" w:ascii="新宋体" w:hAnsi="新宋体" w:eastAsia="新宋体" w:cs="新宋体"/>
                <w:b/>
                <w:sz w:val="21"/>
                <w:szCs w:val="21"/>
                <w:lang w:val="en-US" w:eastAsia="zh-CN"/>
              </w:rPr>
              <w:t>含单价措施项目</w:t>
            </w:r>
            <w:r>
              <w:rPr>
                <w:rFonts w:hint="eastAsia" w:ascii="新宋体" w:hAnsi="新宋体" w:eastAsia="新宋体" w:cs="新宋体"/>
                <w:b/>
                <w:sz w:val="21"/>
                <w:szCs w:val="21"/>
                <w:lang w:eastAsia="zh-CN"/>
              </w:rPr>
              <w:t>）</w:t>
            </w:r>
            <w:r>
              <w:rPr>
                <w:rFonts w:hint="eastAsia" w:ascii="新宋体" w:hAnsi="新宋体" w:eastAsia="新宋体" w:cs="新宋体"/>
                <w:b/>
                <w:sz w:val="21"/>
                <w:szCs w:val="21"/>
              </w:rPr>
              <w:t>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w:t>
            </w:r>
            <w:r>
              <w:rPr>
                <w:rFonts w:hint="eastAsia" w:ascii="新宋体" w:hAnsi="新宋体" w:eastAsia="新宋体" w:cs="新宋体"/>
                <w:b/>
                <w:sz w:val="21"/>
                <w:szCs w:val="21"/>
                <w:lang w:val="en-US" w:eastAsia="zh-CN"/>
              </w:rPr>
              <w:t>综合</w:t>
            </w:r>
            <w:r>
              <w:rPr>
                <w:rFonts w:hint="eastAsia" w:ascii="新宋体" w:hAnsi="新宋体" w:eastAsia="新宋体" w:cs="新宋体"/>
                <w:b/>
                <w:sz w:val="21"/>
                <w:szCs w:val="21"/>
              </w:rPr>
              <w:t>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w:t>
            </w:r>
            <w:r>
              <w:rPr>
                <w:rFonts w:hint="eastAsia" w:ascii="新宋体" w:hAnsi="新宋体" w:eastAsia="新宋体" w:cs="新宋体"/>
                <w:b/>
                <w:sz w:val="21"/>
                <w:szCs w:val="21"/>
                <w:lang w:val="en-US" w:eastAsia="zh-CN"/>
              </w:rPr>
              <w:t>综合</w:t>
            </w:r>
            <w:r>
              <w:rPr>
                <w:rFonts w:hint="eastAsia" w:ascii="新宋体" w:hAnsi="新宋体" w:eastAsia="新宋体" w:cs="新宋体"/>
                <w:b/>
                <w:sz w:val="21"/>
                <w:szCs w:val="21"/>
              </w:rPr>
              <w:t>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w:t>
            </w:r>
            <w:r>
              <w:rPr>
                <w:rFonts w:hint="eastAsia" w:ascii="新宋体" w:hAnsi="新宋体" w:eastAsia="新宋体" w:cs="新宋体"/>
                <w:b/>
                <w:sz w:val="21"/>
                <w:szCs w:val="21"/>
                <w:lang w:val="en-US" w:eastAsia="zh-CN"/>
              </w:rPr>
              <w:t>施工</w:t>
            </w:r>
            <w:r>
              <w:rPr>
                <w:rFonts w:hint="eastAsia" w:ascii="新宋体" w:hAnsi="新宋体" w:eastAsia="新宋体" w:cs="新宋体"/>
                <w:b/>
                <w:sz w:val="21"/>
                <w:szCs w:val="21"/>
              </w:rPr>
              <w:t>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lang w:val="en-US" w:eastAsia="zh-CN"/>
              </w:rPr>
              <w:t>根据</w:t>
            </w:r>
            <w:r>
              <w:rPr>
                <w:rFonts w:hint="eastAsia" w:ascii="新宋体" w:hAnsi="新宋体" w:eastAsia="新宋体" w:cs="新宋体"/>
                <w:b/>
                <w:sz w:val="21"/>
                <w:szCs w:val="21"/>
              </w:rPr>
              <w:t>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新宋体" w:hAnsi="新宋体" w:eastAsia="新宋体" w:cs="新宋体"/>
                <w:b/>
                <w:sz w:val="21"/>
                <w:szCs w:val="21"/>
                <w:lang w:val="en-US" w:eastAsia="zh-CN"/>
              </w:rPr>
            </w:pPr>
            <w:r>
              <w:rPr>
                <w:rFonts w:hint="eastAsia" w:ascii="新宋体" w:hAnsi="新宋体" w:eastAsia="新宋体" w:cs="新宋体"/>
                <w:b/>
                <w:sz w:val="21"/>
                <w:szCs w:val="21"/>
                <w:lang w:val="en-US" w:eastAsia="zh-CN"/>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lang w:val="en-US" w:eastAsia="zh-CN"/>
              </w:rPr>
              <w:t>应</w:t>
            </w:r>
            <w:r>
              <w:rPr>
                <w:rFonts w:hint="eastAsia" w:ascii="新宋体" w:hAnsi="新宋体" w:eastAsia="新宋体" w:cs="新宋体"/>
                <w:b/>
                <w:sz w:val="21"/>
                <w:szCs w:val="21"/>
              </w:rPr>
              <w:t>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w:t>
            </w:r>
            <w:r>
              <w:rPr>
                <w:rFonts w:hint="eastAsia" w:ascii="新宋体" w:hAnsi="新宋体" w:eastAsia="新宋体" w:cs="新宋体"/>
                <w:b/>
                <w:sz w:val="21"/>
                <w:szCs w:val="21"/>
                <w:lang w:val="en-US" w:eastAsia="zh-CN"/>
              </w:rPr>
              <w:t>工程</w:t>
            </w:r>
            <w:r>
              <w:rPr>
                <w:rFonts w:hint="eastAsia" w:ascii="新宋体" w:hAnsi="新宋体" w:eastAsia="新宋体" w:cs="新宋体"/>
                <w:b/>
                <w:sz w:val="21"/>
                <w:szCs w:val="21"/>
              </w:rPr>
              <w:t>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lang w:val="en-US" w:eastAsia="zh-CN"/>
              </w:rPr>
              <w:t>应</w:t>
            </w:r>
            <w:r>
              <w:rPr>
                <w:rFonts w:hint="eastAsia" w:ascii="新宋体" w:hAnsi="新宋体" w:eastAsia="新宋体" w:cs="新宋体"/>
                <w:b/>
                <w:sz w:val="21"/>
                <w:szCs w:val="21"/>
              </w:rPr>
              <w:t>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lang w:val="en-US" w:eastAsia="zh-CN"/>
              </w:rPr>
              <w:t>应</w:t>
            </w:r>
            <w:r>
              <w:rPr>
                <w:rFonts w:hint="eastAsia" w:ascii="新宋体" w:hAnsi="新宋体" w:eastAsia="新宋体" w:cs="新宋体"/>
                <w:b/>
                <w:sz w:val="21"/>
                <w:szCs w:val="21"/>
              </w:rPr>
              <w:t>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lang w:val="en-US" w:eastAsia="zh-CN"/>
              </w:rPr>
              <w:t>根据</w:t>
            </w:r>
            <w:r>
              <w:rPr>
                <w:rFonts w:hint="eastAsia" w:ascii="新宋体" w:hAnsi="新宋体" w:eastAsia="新宋体" w:cs="新宋体"/>
                <w:b/>
                <w:sz w:val="21"/>
                <w:szCs w:val="21"/>
              </w:rPr>
              <w:t>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新宋体" w:hAnsi="新宋体" w:eastAsia="新宋体" w:cs="新宋体"/>
                <w:b/>
                <w:sz w:val="21"/>
                <w:szCs w:val="21"/>
                <w:lang w:val="en-US" w:eastAsia="zh-CN"/>
              </w:rPr>
            </w:pPr>
            <w:r>
              <w:rPr>
                <w:rFonts w:hint="eastAsia" w:ascii="新宋体" w:hAnsi="新宋体" w:eastAsia="新宋体" w:cs="新宋体"/>
                <w:b/>
                <w:sz w:val="21"/>
                <w:szCs w:val="21"/>
                <w:lang w:val="en-US" w:eastAsia="zh-CN"/>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lang w:val="en-US" w:eastAsia="zh-CN"/>
              </w:rPr>
              <w:t>根据</w:t>
            </w:r>
            <w:r>
              <w:rPr>
                <w:rFonts w:hint="eastAsia" w:ascii="新宋体" w:hAnsi="新宋体" w:eastAsia="新宋体" w:cs="新宋体"/>
                <w:b/>
                <w:sz w:val="21"/>
                <w:szCs w:val="21"/>
              </w:rPr>
              <w:t>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hint="eastAsia" w:ascii="新宋体" w:hAnsi="新宋体" w:eastAsia="新宋体" w:cs="宋体"/>
          <w:bCs/>
          <w:sz w:val="24"/>
          <w:lang w:val="en-US" w:eastAsia="zh-CN"/>
        </w:rPr>
      </w:pPr>
      <w:r>
        <w:rPr>
          <w:rFonts w:hint="eastAsia" w:ascii="新宋体" w:hAnsi="新宋体" w:eastAsia="新宋体" w:cs="宋体"/>
          <w:bCs/>
          <w:sz w:val="24"/>
        </w:rPr>
        <w:t>评标委员会按招标文件</w:t>
      </w:r>
      <w:r>
        <w:rPr>
          <w:rFonts w:hint="eastAsia" w:ascii="新宋体" w:hAnsi="新宋体" w:eastAsia="新宋体" w:cs="宋体"/>
          <w:bCs/>
          <w:sz w:val="24"/>
          <w:lang w:val="en-US" w:eastAsia="zh-CN"/>
        </w:rPr>
        <w:t>及商务标清标内容要求</w:t>
      </w:r>
      <w:r>
        <w:rPr>
          <w:rFonts w:hint="eastAsia" w:ascii="新宋体" w:hAnsi="新宋体" w:eastAsia="新宋体" w:cs="宋体"/>
          <w:bCs/>
          <w:sz w:val="24"/>
        </w:rPr>
        <w:t>对投标文件</w:t>
      </w:r>
      <w:r>
        <w:rPr>
          <w:rFonts w:hint="eastAsia" w:ascii="新宋体" w:hAnsi="新宋体" w:eastAsia="新宋体" w:cs="宋体"/>
          <w:bCs/>
          <w:sz w:val="24"/>
          <w:lang w:val="en-US" w:eastAsia="zh-CN"/>
        </w:rPr>
        <w:t>的</w:t>
      </w:r>
      <w:r>
        <w:rPr>
          <w:rFonts w:hint="eastAsia" w:ascii="新宋体" w:hAnsi="新宋体" w:eastAsia="新宋体" w:cs="宋体"/>
          <w:bCs/>
          <w:sz w:val="24"/>
        </w:rPr>
        <w:t>符合性、响应性</w:t>
      </w:r>
      <w:r>
        <w:rPr>
          <w:rFonts w:hint="eastAsia" w:ascii="新宋体" w:hAnsi="新宋体" w:eastAsia="新宋体" w:cs="宋体"/>
          <w:bCs/>
          <w:sz w:val="24"/>
          <w:lang w:eastAsia="zh-CN"/>
        </w:rPr>
        <w:t>、</w:t>
      </w:r>
      <w:r>
        <w:rPr>
          <w:rFonts w:hint="eastAsia" w:ascii="新宋体" w:hAnsi="新宋体" w:eastAsia="新宋体" w:cs="宋体"/>
          <w:bCs/>
          <w:sz w:val="24"/>
          <w:lang w:val="en-US" w:eastAsia="zh-CN"/>
        </w:rPr>
        <w:t>资格备件</w:t>
      </w:r>
      <w:r>
        <w:rPr>
          <w:rFonts w:hint="eastAsia" w:ascii="新宋体" w:hAnsi="新宋体" w:eastAsia="新宋体" w:cs="宋体"/>
          <w:bCs/>
          <w:sz w:val="24"/>
        </w:rPr>
        <w:t>和重大偏差</w:t>
      </w:r>
      <w:r>
        <w:rPr>
          <w:rFonts w:hint="eastAsia" w:ascii="新宋体" w:hAnsi="新宋体" w:eastAsia="新宋体" w:cs="宋体"/>
          <w:bCs/>
          <w:sz w:val="24"/>
          <w:lang w:val="en-US" w:eastAsia="zh-CN"/>
        </w:rPr>
        <w:t>等</w:t>
      </w:r>
      <w:r>
        <w:rPr>
          <w:rFonts w:hint="eastAsia" w:ascii="新宋体" w:hAnsi="新宋体" w:eastAsia="新宋体" w:cs="宋体"/>
          <w:bCs/>
          <w:sz w:val="24"/>
        </w:rPr>
        <w:t>逐一</w:t>
      </w:r>
      <w:r>
        <w:rPr>
          <w:rFonts w:hint="eastAsia" w:ascii="新宋体" w:hAnsi="新宋体" w:eastAsia="新宋体" w:cs="宋体"/>
          <w:bCs/>
          <w:sz w:val="24"/>
          <w:lang w:val="en-US" w:eastAsia="zh-CN"/>
        </w:rPr>
        <w:t>进行</w:t>
      </w:r>
      <w:r>
        <w:rPr>
          <w:rFonts w:hint="eastAsia" w:ascii="新宋体" w:hAnsi="新宋体" w:eastAsia="新宋体" w:cs="宋体"/>
          <w:bCs/>
          <w:sz w:val="24"/>
        </w:rPr>
        <w:t>评审，经审查不符合招标文件要求的，不再进入详细评审阶段</w:t>
      </w:r>
      <w:r>
        <w:rPr>
          <w:rFonts w:hint="eastAsia" w:ascii="新宋体" w:hAnsi="新宋体" w:eastAsia="新宋体" w:cs="宋体"/>
          <w:bCs/>
          <w:sz w:val="24"/>
          <w:lang w:eastAsia="zh-CN"/>
        </w:rPr>
        <w:t>；</w:t>
      </w:r>
      <w:r>
        <w:rPr>
          <w:rFonts w:hint="eastAsia" w:ascii="新宋体" w:hAnsi="新宋体" w:eastAsia="新宋体" w:cs="宋体"/>
          <w:bCs/>
          <w:sz w:val="24"/>
          <w:lang w:val="en-US" w:eastAsia="zh-CN"/>
        </w:rPr>
        <w:t>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w:t>
      </w:r>
      <w:r>
        <w:rPr>
          <w:rFonts w:hint="eastAsia" w:ascii="新宋体" w:hAnsi="新宋体" w:eastAsia="新宋体" w:cs="宋体"/>
          <w:bCs/>
          <w:sz w:val="24"/>
          <w:lang w:val="en-US" w:eastAsia="zh-CN"/>
        </w:rPr>
        <w:t>5</w:t>
      </w:r>
      <w:r>
        <w:rPr>
          <w:rFonts w:hint="eastAsia" w:ascii="新宋体" w:hAnsi="新宋体" w:eastAsia="新宋体" w:cs="宋体"/>
          <w:bCs/>
          <w:sz w:val="24"/>
        </w:rPr>
        <w:t>%，商务标的权重占</w:t>
      </w:r>
      <w:r>
        <w:rPr>
          <w:rFonts w:hint="eastAsia" w:ascii="新宋体" w:hAnsi="新宋体" w:eastAsia="新宋体" w:cs="宋体"/>
          <w:bCs/>
          <w:sz w:val="24"/>
          <w:lang w:val="en-US" w:eastAsia="zh-CN"/>
        </w:rPr>
        <w:t>5</w:t>
      </w:r>
      <w:r>
        <w:rPr>
          <w:rFonts w:hint="eastAsia" w:ascii="新宋体" w:hAnsi="新宋体" w:eastAsia="新宋体" w:cs="宋体"/>
          <w:bCs/>
          <w:sz w:val="24"/>
        </w:rPr>
        <w:t>0%，综合（信用）标的权重占</w:t>
      </w:r>
      <w:r>
        <w:rPr>
          <w:rFonts w:hint="eastAsia" w:ascii="新宋体" w:hAnsi="新宋体" w:eastAsia="新宋体" w:cs="宋体"/>
          <w:bCs/>
          <w:sz w:val="24"/>
          <w:lang w:val="en-US" w:eastAsia="zh-CN"/>
        </w:rPr>
        <w:t>25</w:t>
      </w:r>
      <w:r>
        <w:rPr>
          <w:rFonts w:hint="eastAsia" w:ascii="新宋体" w:hAnsi="新宋体" w:eastAsia="新宋体" w:cs="宋体"/>
          <w:bCs/>
          <w:sz w:val="24"/>
        </w:rPr>
        <w:t>%。</w:t>
      </w:r>
    </w:p>
    <w:p>
      <w:pPr>
        <w:snapToGrid w:val="0"/>
        <w:spacing w:line="360" w:lineRule="auto"/>
        <w:rPr>
          <w:rFonts w:hAnsi="宋体" w:cs="宋体"/>
          <w:b/>
          <w:sz w:val="24"/>
        </w:rPr>
      </w:pPr>
      <w:r>
        <w:rPr>
          <w:rFonts w:hint="eastAsia" w:hAnsi="宋体" w:cs="宋体"/>
          <w:b/>
          <w:sz w:val="24"/>
        </w:rPr>
        <w:t>（</w:t>
      </w:r>
      <w:r>
        <w:rPr>
          <w:rFonts w:hint="eastAsia" w:hAnsi="宋体" w:cs="宋体"/>
          <w:b/>
          <w:sz w:val="24"/>
          <w:lang w:val="en-US" w:eastAsia="zh-CN"/>
        </w:rPr>
        <w:t>一</w:t>
      </w:r>
      <w:r>
        <w:rPr>
          <w:rFonts w:hint="eastAsia" w:hAnsi="宋体" w:cs="宋体"/>
          <w:b/>
          <w:sz w:val="24"/>
        </w:rPr>
        <w:t>）技术标（2</w:t>
      </w:r>
      <w:r>
        <w:rPr>
          <w:rFonts w:hint="eastAsia" w:hAnsi="宋体" w:cs="宋体"/>
          <w:b/>
          <w:sz w:val="24"/>
          <w:lang w:val="en-US" w:eastAsia="zh-CN"/>
        </w:rPr>
        <w:t>5</w:t>
      </w:r>
      <w:r>
        <w:rPr>
          <w:rFonts w:hint="eastAsia" w:hAnsi="宋体" w:cs="宋体"/>
          <w:b/>
          <w:sz w:val="24"/>
        </w:rPr>
        <w:t>分）</w:t>
      </w:r>
    </w:p>
    <w:tbl>
      <w:tblPr>
        <w:tblStyle w:val="30"/>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410"/>
        <w:gridCol w:w="1044"/>
        <w:gridCol w:w="5091"/>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新宋体" w:hAnsi="新宋体" w:eastAsia="新宋体"/>
                <w:sz w:val="18"/>
                <w:szCs w:val="13"/>
                <w:lang w:val="en-US" w:eastAsia="zh-CN"/>
              </w:rPr>
            </w:pPr>
            <w:bookmarkStart w:id="70" w:name="_Toc295572535"/>
            <w:bookmarkStart w:id="71" w:name="_Toc270931534"/>
            <w:bookmarkStart w:id="72" w:name="_Toc272833453"/>
            <w:bookmarkStart w:id="73" w:name="_Toc273546398"/>
            <w:r>
              <w:rPr>
                <w:rFonts w:hint="eastAsia" w:ascii="新宋体" w:hAnsi="新宋体" w:eastAsia="新宋体"/>
                <w:sz w:val="18"/>
                <w:szCs w:val="13"/>
                <w:lang w:val="en-US" w:eastAsia="zh-CN"/>
              </w:rPr>
              <w:t>序号</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内容</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分值</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评审标准</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1</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内容完整性</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0-0.5分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技术标的主要内容具有完整性，符合招标文件的要求。</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hint="eastAsia" w:ascii="新宋体" w:hAnsi="新宋体" w:eastAsia="新宋体"/>
                <w:sz w:val="18"/>
                <w:szCs w:val="13"/>
                <w:lang w:val="en-US" w:eastAsia="zh-CN"/>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技术标不符合招标文件要求。</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2</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主要施工方案与技术措施</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1-3分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施工方案（含工程特点、施工重点与难点及绿色施工）总体安排合理，运用先进、合理的施工工艺、施工机械；对施工难点有先进和合理的建议。</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sz w:val="18"/>
                <w:szCs w:val="13"/>
              </w:rPr>
            </w:pPr>
            <w:r>
              <w:rPr>
                <w:rFonts w:hint="eastAsia" w:ascii="新宋体" w:hAnsi="新宋体" w:eastAsia="新宋体"/>
                <w:sz w:val="18"/>
                <w:szCs w:val="13"/>
                <w:lang w:val="en-US" w:eastAsia="zh-CN"/>
              </w:rPr>
              <w:t>施工方案（含工程特点、施工重点与难点及绿色施工）总体安排合理，施工工艺、施工机械合理、可行；对施工难点有合理的建议。</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3</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质量管理体系与措施</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1-2分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sz w:val="18"/>
                <w:szCs w:val="13"/>
              </w:rPr>
            </w:pPr>
            <w:r>
              <w:rPr>
                <w:rFonts w:hint="eastAsia" w:ascii="新宋体" w:hAnsi="新宋体" w:eastAsia="新宋体"/>
                <w:sz w:val="18"/>
                <w:szCs w:val="13"/>
                <w:lang w:val="en-US" w:eastAsia="zh-CN"/>
              </w:rPr>
              <w:t>组织机构形式基本合理，指挥系统、质量监控系统、联络协调系统，具体措施可行。主体结构质量保证措施经济、安全、基本可行。主体结构、装饰装修符合工程建设强制性标准，不得偷工减料。</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4</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安全管理体系与措施</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1-2分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sz w:val="18"/>
                <w:szCs w:val="13"/>
              </w:rPr>
            </w:pPr>
            <w:r>
              <w:rPr>
                <w:rFonts w:hint="eastAsia" w:ascii="新宋体" w:hAnsi="新宋体" w:eastAsia="新宋体"/>
                <w:sz w:val="18"/>
                <w:szCs w:val="13"/>
                <w:lang w:val="en-US" w:eastAsia="zh-CN"/>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5</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文明施工、环境保护管理体系及施工现场扬尘治理措施</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1-3分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sz w:val="18"/>
                <w:szCs w:val="13"/>
              </w:rPr>
            </w:pPr>
            <w:r>
              <w:rPr>
                <w:rFonts w:hint="eastAsia" w:ascii="新宋体" w:hAnsi="新宋体" w:eastAsia="新宋体"/>
                <w:sz w:val="18"/>
                <w:szCs w:val="13"/>
                <w:lang w:val="en-US" w:eastAsia="zh-CN"/>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6</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工期保证措施</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1-2分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工期承诺满足招标文件要求，工期保证措施合理且有针对性，有具体的违约责任承诺。</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工期承诺满足招标文件要求，工期保证措施基本合理，有具体的违约责任承诺。</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7</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拟投入资源配备计划</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0.5-2分</w:t>
            </w:r>
          </w:p>
        </w:tc>
        <w:tc>
          <w:tcPr>
            <w:tcW w:w="5091" w:type="dxa"/>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20" w:lineRule="exact"/>
              <w:jc w:val="both"/>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机械：投入计划与进度计划呼应，采用先进机械设备且配置合理、先进，满足安全技术规范和施工进度需要；PC构件运输、安装设备满足施工要求；</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劳动力：投入计划与进度计划呼应，较好满足施工需要，调配投入计划合理、准确；</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3、主要物资计划：主要物资（含PC构件的供应需求）投入计划与进度计划呼应，较好满足施工需要，调配投入计划合理、准确。</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20" w:lineRule="exact"/>
              <w:jc w:val="both"/>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机械：投入计划与进度计划呼应，机械设备配置基本合理，满足安全技术规范和施工进度需要；</w:t>
            </w:r>
          </w:p>
          <w:p>
            <w:pPr>
              <w:keepNext w:val="0"/>
              <w:keepLines w:val="0"/>
              <w:pageBreakBefore w:val="0"/>
              <w:widowControl w:val="0"/>
              <w:numPr>
                <w:ilvl w:val="0"/>
                <w:numId w:val="5"/>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劳动力：投入计划与进度计划呼应，基本满足施工需要，调配投入计划基本合理；</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rPr>
                <w:rFonts w:ascii="新宋体" w:hAnsi="新宋体" w:eastAsia="新宋体"/>
                <w:sz w:val="18"/>
                <w:szCs w:val="13"/>
              </w:rPr>
            </w:pPr>
            <w:r>
              <w:rPr>
                <w:rFonts w:hint="eastAsia" w:ascii="新宋体" w:hAnsi="新宋体" w:eastAsia="新宋体"/>
                <w:sz w:val="18"/>
                <w:szCs w:val="13"/>
                <w:lang w:val="en-US" w:eastAsia="zh-CN"/>
              </w:rPr>
              <w:t>3、主要物资计划：主要物资（含PC构件的供应需求）投入计划与进度计划呼应，基本满足施工需要，调配投入计划基本合理。</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8</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施工进度表与网络计划图</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0.5-2分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关键线路清晰、准确、完整、计划编制合理、可行、满足招标文件对工期的要求。</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sz w:val="18"/>
                <w:szCs w:val="13"/>
              </w:rPr>
            </w:pPr>
            <w:r>
              <w:rPr>
                <w:rFonts w:hint="eastAsia" w:ascii="新宋体" w:hAnsi="新宋体" w:eastAsia="新宋体"/>
                <w:sz w:val="18"/>
                <w:szCs w:val="13"/>
                <w:lang w:val="en-US" w:eastAsia="zh-CN"/>
              </w:rPr>
              <w:t>关键线路基本准确，计划编制基本可行。</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9</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施工总平面图布置</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0.5-1分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总体布置有针对性、合理、能较好满足施工需要，符合安全、文明施工要求；材料堆放有序。</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sz w:val="18"/>
                <w:szCs w:val="13"/>
              </w:rPr>
            </w:pPr>
            <w:r>
              <w:rPr>
                <w:rFonts w:hint="eastAsia" w:ascii="新宋体" w:hAnsi="新宋体" w:eastAsia="新宋体"/>
                <w:sz w:val="18"/>
                <w:szCs w:val="13"/>
                <w:lang w:val="en-US" w:eastAsia="zh-CN"/>
              </w:rPr>
              <w:t>总体布置基本合理、基本满足施工需要。</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10</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技术创新的应用实施措施</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1-2分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节能减排、绿色施工、工艺创新、装配式建筑等技术创新的应用实施措施符合工程情况，具有针对性、可行性、经济适用性。</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sz w:val="18"/>
                <w:szCs w:val="13"/>
              </w:rPr>
            </w:pPr>
            <w:r>
              <w:rPr>
                <w:rFonts w:hint="eastAsia" w:ascii="新宋体" w:hAnsi="新宋体" w:eastAsia="新宋体"/>
                <w:sz w:val="18"/>
                <w:szCs w:val="13"/>
                <w:lang w:val="en-US" w:eastAsia="zh-CN"/>
              </w:rPr>
              <w:t>节能减排、绿色施工、工艺创新、装配式建筑等技术创新的应用实施措施基本符合工程情况，具有针对性。</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11</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采用新工艺、新技术、新设备、新材料、BIM等的程度</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1-2分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采用新工艺、新技术、新设备、新材料、BIM等的程度满足设计要求，符合施工需要和相应技术标准等规定，经济适用。</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sz w:val="18"/>
                <w:szCs w:val="13"/>
              </w:rPr>
            </w:pPr>
            <w:r>
              <w:rPr>
                <w:rFonts w:hint="eastAsia" w:ascii="新宋体" w:hAnsi="新宋体" w:eastAsia="新宋体"/>
                <w:sz w:val="18"/>
                <w:szCs w:val="13"/>
                <w:lang w:val="en-US" w:eastAsia="zh-CN"/>
              </w:rPr>
              <w:t>采用新工艺、新技术、新设备、新材料、BIM等的程度</w:t>
            </w:r>
            <w:bookmarkStart w:id="631" w:name="_GoBack"/>
            <w:bookmarkEnd w:id="631"/>
            <w:r>
              <w:rPr>
                <w:rFonts w:hint="eastAsia" w:ascii="新宋体" w:hAnsi="新宋体" w:eastAsia="新宋体"/>
                <w:sz w:val="18"/>
                <w:szCs w:val="13"/>
                <w:lang w:val="en-US" w:eastAsia="zh-CN"/>
              </w:rPr>
              <w:t>满足设计要求，基本符合施工要求和相应技术标准等规定。</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12</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施工现场实施信息化监控和数据处理</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0.5-1.5分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施工现场实施信息化监控数据处理系统布置合理，满足需要。</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rPr>
            </w:pPr>
            <w:r>
              <w:rPr>
                <w:rFonts w:hint="eastAsia" w:ascii="新宋体" w:hAnsi="新宋体" w:eastAsia="新宋体"/>
                <w:sz w:val="18"/>
                <w:szCs w:val="13"/>
                <w:lang w:val="en-US" w:eastAsia="zh-CN"/>
              </w:rPr>
              <w:t>施工现场实施信息化监控数据处理系统布置基本符合需要。</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13</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风险管理措施</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1-2分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风险防控管理措施齐全，风险预控符合规范要求，风险控制要点定位准确 ，各阶段风险控制及应急措施得力。</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sz w:val="18"/>
                <w:szCs w:val="13"/>
              </w:rPr>
            </w:pPr>
            <w:r>
              <w:rPr>
                <w:rFonts w:hint="eastAsia" w:ascii="新宋体" w:hAnsi="新宋体" w:eastAsia="新宋体"/>
                <w:sz w:val="18"/>
                <w:szCs w:val="13"/>
                <w:lang w:val="en-US" w:eastAsia="zh-CN"/>
              </w:rPr>
              <w:t>风险防控管理措施基本齐全，风险预控符合规范要求，风险控制要点定位基本准确 ，有各阶段风险控制及应急措施。</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210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合计</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sz w:val="18"/>
                <w:szCs w:val="13"/>
              </w:rPr>
            </w:pPr>
            <w:r>
              <w:rPr>
                <w:rFonts w:hint="eastAsia" w:ascii="新宋体" w:hAnsi="新宋体" w:eastAsia="新宋体"/>
                <w:sz w:val="18"/>
                <w:szCs w:val="13"/>
                <w:lang w:val="en-US" w:eastAsia="zh-CN"/>
              </w:rPr>
              <w:t>10-25分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新宋体" w:hAnsi="新宋体" w:eastAsia="新宋体"/>
                <w:sz w:val="18"/>
                <w:szCs w:val="13"/>
                <w:lang w:val="en-US" w:eastAsia="zh-CN"/>
              </w:rPr>
            </w:pP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w:t>
      </w:r>
      <w:r>
        <w:rPr>
          <w:rFonts w:hint="eastAsia" w:hAnsi="宋体" w:cs="宋体"/>
          <w:b/>
          <w:bCs/>
          <w:sz w:val="24"/>
          <w:szCs w:val="24"/>
          <w:lang w:val="en-US" w:eastAsia="zh-CN"/>
        </w:rPr>
        <w:t>二</w:t>
      </w:r>
      <w:r>
        <w:rPr>
          <w:rFonts w:hint="eastAsia" w:hAnsi="宋体" w:cs="宋体"/>
          <w:b/>
          <w:bCs/>
          <w:sz w:val="24"/>
          <w:szCs w:val="24"/>
        </w:rPr>
        <w:t>）商务标（</w:t>
      </w:r>
      <w:r>
        <w:rPr>
          <w:rFonts w:hint="eastAsia" w:hAnsi="宋体" w:cs="宋体"/>
          <w:b/>
          <w:bCs/>
          <w:sz w:val="24"/>
          <w:szCs w:val="24"/>
          <w:lang w:val="en-US" w:eastAsia="zh-CN"/>
        </w:rPr>
        <w:t>5</w:t>
      </w:r>
      <w:r>
        <w:rPr>
          <w:rFonts w:hint="eastAsia" w:hAnsi="宋体" w:cs="宋体"/>
          <w:b/>
          <w:bCs/>
          <w:sz w:val="24"/>
          <w:szCs w:val="24"/>
        </w:rPr>
        <w:t>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4"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 xml:space="preserve">    ②K为招标控制价权重系数，0.</w:t>
      </w:r>
      <w:r>
        <w:rPr>
          <w:rFonts w:hint="eastAsia" w:ascii="新宋体" w:hAnsi="新宋体" w:eastAsia="新宋体"/>
          <w:sz w:val="24"/>
          <w:lang w:val="en-US" w:eastAsia="zh-CN"/>
        </w:rPr>
        <w:t>3</w:t>
      </w:r>
      <w:r>
        <w:rPr>
          <w:rFonts w:hint="eastAsia" w:ascii="新宋体" w:hAnsi="新宋体" w:eastAsia="新宋体"/>
          <w:sz w:val="24"/>
        </w:rPr>
        <w:t>≤K≤0.5（K的取值：0.3、</w:t>
      </w:r>
      <w:r>
        <w:rPr>
          <w:rFonts w:hint="eastAsia" w:ascii="新宋体" w:hAnsi="新宋体" w:eastAsia="新宋体"/>
          <w:sz w:val="24"/>
          <w:lang w:val="en-US" w:eastAsia="zh-CN"/>
        </w:rPr>
        <w:t>0.35、</w:t>
      </w:r>
      <w:r>
        <w:rPr>
          <w:rFonts w:hint="eastAsia" w:ascii="新宋体" w:hAnsi="新宋体" w:eastAsia="新宋体"/>
          <w:sz w:val="24"/>
        </w:rPr>
        <w:t>0.4、</w:t>
      </w:r>
      <w:r>
        <w:rPr>
          <w:rFonts w:hint="eastAsia" w:ascii="新宋体" w:hAnsi="新宋体" w:eastAsia="新宋体"/>
          <w:sz w:val="24"/>
          <w:lang w:val="en-US" w:eastAsia="zh-CN"/>
        </w:rPr>
        <w:t>0.45、</w:t>
      </w:r>
      <w:r>
        <w:rPr>
          <w:rFonts w:hint="eastAsia" w:ascii="新宋体" w:hAnsi="新宋体" w:eastAsia="新宋体"/>
          <w:sz w:val="24"/>
        </w:rPr>
        <w:t>0.5），在开标现场随机抽取。</w:t>
      </w:r>
    </w:p>
    <w:p>
      <w:pPr>
        <w:keepNext w:val="0"/>
        <w:keepLines w:val="0"/>
        <w:pageBreakBefore w:val="0"/>
        <w:widowControl w:val="0"/>
        <w:kinsoku/>
        <w:wordWrap/>
        <w:overflowPunct/>
        <w:topLinePunct w:val="0"/>
        <w:autoSpaceDE/>
        <w:autoSpaceDN/>
        <w:bidi w:val="0"/>
        <w:adjustRightInd/>
        <w:snapToGrid/>
        <w:spacing w:line="440" w:lineRule="exact"/>
        <w:ind w:firstLine="960" w:firstLineChars="400"/>
        <w:textAlignment w:val="auto"/>
        <w:rPr>
          <w:rFonts w:hint="eastAsia"/>
        </w:rPr>
      </w:pPr>
      <w:r>
        <w:rPr>
          <w:rFonts w:hint="eastAsia" w:ascii="新宋体" w:hAnsi="新宋体" w:eastAsia="新宋体"/>
          <w:sz w:val="24"/>
          <w:szCs w:val="22"/>
          <w:lang w:val="en-US" w:eastAsia="zh-CN"/>
        </w:rPr>
        <w:fldChar w:fldCharType="begin"/>
      </w:r>
      <w:r>
        <w:rPr>
          <w:rFonts w:hint="eastAsia" w:ascii="新宋体" w:hAnsi="新宋体" w:eastAsia="新宋体"/>
          <w:sz w:val="24"/>
          <w:szCs w:val="22"/>
          <w:lang w:val="en-US" w:eastAsia="zh-CN"/>
        </w:rPr>
        <w:instrText xml:space="preserve"> = 3 \* GB3 \* MERGEFORMAT </w:instrText>
      </w:r>
      <w:r>
        <w:rPr>
          <w:rFonts w:hint="eastAsia" w:ascii="新宋体" w:hAnsi="新宋体" w:eastAsia="新宋体"/>
          <w:sz w:val="24"/>
          <w:szCs w:val="22"/>
          <w:lang w:val="en-US" w:eastAsia="zh-CN"/>
        </w:rPr>
        <w:fldChar w:fldCharType="separate"/>
      </w:r>
      <w:r>
        <w:rPr>
          <w:rFonts w:hint="eastAsia" w:ascii="新宋体" w:hAnsi="新宋体" w:eastAsia="新宋体"/>
          <w:sz w:val="24"/>
          <w:szCs w:val="22"/>
        </w:rPr>
        <w:t>③</w:t>
      </w:r>
      <w:r>
        <w:rPr>
          <w:rFonts w:hint="eastAsia" w:ascii="新宋体" w:hAnsi="新宋体" w:eastAsia="新宋体"/>
          <w:sz w:val="24"/>
          <w:szCs w:val="22"/>
          <w:lang w:val="en-US" w:eastAsia="zh-CN"/>
        </w:rPr>
        <w:fldChar w:fldCharType="end"/>
      </w:r>
      <w:r>
        <w:rPr>
          <w:rFonts w:hint="eastAsia" w:ascii="新宋体" w:hAnsi="新宋体" w:eastAsia="新宋体"/>
          <w:sz w:val="24"/>
          <w:szCs w:val="22"/>
          <w:lang w:val="en-US" w:eastAsia="zh-CN"/>
        </w:rPr>
        <w:t>上述招标控制价、投标报价、有效投标报价在参与评标基准价计算时，均不含：规费、安全文明施工措施费、暂列金额与专业暂估价、增值税。</w:t>
      </w:r>
      <w:bookmarkEnd w:id="74"/>
    </w:p>
    <w:p>
      <w:pPr>
        <w:snapToGrid w:val="0"/>
        <w:spacing w:line="360" w:lineRule="auto"/>
        <w:rPr>
          <w:rFonts w:hint="eastAsia" w:hAnsi="宋体" w:cs="宋体"/>
          <w:b/>
          <w:bCs/>
          <w:sz w:val="24"/>
          <w:szCs w:val="24"/>
        </w:rPr>
      </w:pPr>
      <w:r>
        <w:rPr>
          <w:rFonts w:hint="eastAsia" w:hAnsi="宋体" w:cs="宋体"/>
          <w:b/>
          <w:bCs/>
          <w:sz w:val="24"/>
          <w:szCs w:val="24"/>
        </w:rPr>
        <w:t xml:space="preserve"> </w:t>
      </w:r>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lang w:val="en-US" w:eastAsia="zh-CN"/>
        </w:rPr>
        <w:t>当</w:t>
      </w:r>
      <w:r>
        <w:rPr>
          <w:rFonts w:hint="eastAsia" w:hAnsi="宋体" w:cs="宋体"/>
          <w:sz w:val="24"/>
          <w:szCs w:val="24"/>
        </w:rPr>
        <w:t>投标报价与评标基准价相等</w:t>
      </w:r>
      <w:r>
        <w:rPr>
          <w:rFonts w:hint="eastAsia" w:hAnsi="宋体" w:cs="宋体"/>
          <w:sz w:val="24"/>
          <w:szCs w:val="24"/>
          <w:lang w:val="en-US" w:eastAsia="zh-CN"/>
        </w:rPr>
        <w:t>时，</w:t>
      </w:r>
      <w:r>
        <w:rPr>
          <w:rFonts w:hint="eastAsia" w:hAnsi="宋体" w:cs="宋体"/>
          <w:sz w:val="24"/>
          <w:szCs w:val="24"/>
        </w:rPr>
        <w:t>得基本分20分。当投标报价低于评标基准价时，每低1%</w:t>
      </w:r>
      <w:r>
        <w:rPr>
          <w:rFonts w:hint="eastAsia" w:hAnsi="宋体" w:cs="宋体"/>
          <w:sz w:val="24"/>
          <w:szCs w:val="24"/>
          <w:lang w:val="en-US" w:eastAsia="zh-CN"/>
        </w:rPr>
        <w:t>范围内</w:t>
      </w:r>
      <w:r>
        <w:rPr>
          <w:rFonts w:hint="eastAsia" w:hAnsi="宋体" w:cs="宋体"/>
          <w:sz w:val="24"/>
          <w:szCs w:val="24"/>
        </w:rPr>
        <w:t>在基本分20分的基础上加2分，最多加10分；当投标报价低于评标基准价5%以上（不含5%）时，每再低1%</w:t>
      </w:r>
      <w:r>
        <w:rPr>
          <w:rFonts w:hint="eastAsia" w:hAnsi="宋体" w:cs="宋体"/>
          <w:sz w:val="24"/>
          <w:szCs w:val="24"/>
          <w:lang w:val="en-US" w:eastAsia="zh-CN"/>
        </w:rPr>
        <w:t>范围内</w:t>
      </w:r>
      <w:r>
        <w:rPr>
          <w:rFonts w:hint="eastAsia" w:hAnsi="宋体" w:cs="宋体"/>
          <w:sz w:val="24"/>
          <w:szCs w:val="24"/>
        </w:rPr>
        <w:t>在满分30分的基础上扣3分，扣完为止；当投标报价高于评标基准价时，每高1%</w:t>
      </w:r>
      <w:r>
        <w:rPr>
          <w:rFonts w:hint="eastAsia" w:hAnsi="宋体" w:cs="宋体"/>
          <w:sz w:val="24"/>
          <w:szCs w:val="24"/>
          <w:lang w:val="en-US" w:eastAsia="zh-CN"/>
        </w:rPr>
        <w:t>范围内</w:t>
      </w:r>
      <w:r>
        <w:rPr>
          <w:rFonts w:hint="eastAsia" w:hAnsi="宋体" w:cs="宋体"/>
          <w:sz w:val="24"/>
          <w:szCs w:val="24"/>
        </w:rPr>
        <w:t xml:space="preserve">在基本分20分的基础上扣2分，扣完为止。 </w:t>
      </w:r>
    </w:p>
    <w:p>
      <w:pPr>
        <w:numPr>
          <w:ilvl w:val="0"/>
          <w:numId w:val="6"/>
        </w:numPr>
        <w:snapToGrid w:val="0"/>
        <w:spacing w:line="360" w:lineRule="auto"/>
        <w:ind w:firstLine="481"/>
        <w:rPr>
          <w:rFonts w:hAnsi="宋体" w:cs="宋体"/>
          <w:b/>
          <w:bCs/>
          <w:sz w:val="24"/>
          <w:szCs w:val="24"/>
        </w:rPr>
      </w:pPr>
      <w:r>
        <w:rPr>
          <w:rFonts w:hint="eastAsia" w:hAnsi="宋体" w:cs="宋体"/>
          <w:b/>
          <w:bCs/>
          <w:sz w:val="24"/>
          <w:szCs w:val="24"/>
        </w:rPr>
        <w:t>分部分项工程项目</w:t>
      </w:r>
      <w:r>
        <w:rPr>
          <w:rFonts w:hint="eastAsia" w:hAnsi="宋体" w:cs="宋体"/>
          <w:b/>
          <w:bCs/>
          <w:sz w:val="24"/>
          <w:szCs w:val="24"/>
          <w:lang w:val="en-US" w:eastAsia="zh-CN"/>
        </w:rPr>
        <w:t>清单</w:t>
      </w:r>
      <w:r>
        <w:rPr>
          <w:rFonts w:hint="eastAsia" w:hAnsi="宋体" w:cs="宋体"/>
          <w:b/>
          <w:bCs/>
          <w:sz w:val="24"/>
          <w:szCs w:val="24"/>
        </w:rPr>
        <w:t>单价（1</w:t>
      </w:r>
      <w:r>
        <w:rPr>
          <w:rFonts w:hint="eastAsia" w:hAnsi="宋体" w:cs="宋体"/>
          <w:b/>
          <w:bCs/>
          <w:sz w:val="24"/>
          <w:szCs w:val="24"/>
          <w:lang w:val="en-US" w:eastAsia="zh-CN"/>
        </w:rPr>
        <w:t>0</w:t>
      </w:r>
      <w:r>
        <w:rPr>
          <w:rFonts w:hint="eastAsia" w:hAnsi="宋体" w:cs="宋体"/>
          <w:b/>
          <w:bCs/>
          <w:sz w:val="24"/>
          <w:szCs w:val="24"/>
        </w:rPr>
        <w:t>分）</w:t>
      </w:r>
    </w:p>
    <w:p>
      <w:pPr>
        <w:snapToGrid w:val="0"/>
        <w:spacing w:line="360" w:lineRule="auto"/>
        <w:ind w:firstLine="484"/>
        <w:rPr>
          <w:rFonts w:hint="eastAsia" w:hAnsi="宋体" w:cs="宋体"/>
          <w:sz w:val="24"/>
          <w:szCs w:val="24"/>
          <w:lang w:val="en-US" w:eastAsia="zh-CN"/>
        </w:rPr>
      </w:pPr>
      <w:r>
        <w:rPr>
          <w:rFonts w:hint="eastAsia" w:hAnsi="宋体" w:cs="宋体"/>
          <w:sz w:val="24"/>
          <w:szCs w:val="24"/>
          <w:lang w:val="en-US" w:eastAsia="zh-CN"/>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lang w:val="en-US" w:eastAsia="zh-CN"/>
        </w:rPr>
        <w:t>综合单价基准值是</w:t>
      </w:r>
      <w:r>
        <w:rPr>
          <w:rFonts w:hint="eastAsia" w:hAnsi="宋体" w:cs="宋体"/>
          <w:sz w:val="24"/>
          <w:szCs w:val="24"/>
        </w:rPr>
        <w:t>以各有效投标报价</w:t>
      </w:r>
      <w:r>
        <w:rPr>
          <w:rFonts w:hint="eastAsia" w:hAnsi="宋体" w:cs="宋体"/>
          <w:sz w:val="24"/>
          <w:szCs w:val="24"/>
          <w:lang w:val="en-US" w:eastAsia="zh-CN"/>
        </w:rPr>
        <w:t>中</w:t>
      </w:r>
      <w:r>
        <w:rPr>
          <w:rFonts w:hint="eastAsia" w:hAnsi="宋体" w:cs="宋体"/>
          <w:sz w:val="24"/>
          <w:szCs w:val="24"/>
        </w:rPr>
        <w:t>（当有效投标人5名及以上时，去掉1个最高、1个最低值）</w:t>
      </w:r>
      <w:r>
        <w:rPr>
          <w:rFonts w:hint="eastAsia" w:hAnsi="宋体" w:cs="宋体"/>
          <w:sz w:val="24"/>
          <w:szCs w:val="24"/>
          <w:lang w:val="en-US" w:eastAsia="zh-CN"/>
        </w:rPr>
        <w:t>对应抽取</w:t>
      </w:r>
      <w:r>
        <w:rPr>
          <w:rFonts w:hint="eastAsia" w:hAnsi="宋体" w:cs="宋体"/>
          <w:sz w:val="24"/>
          <w:szCs w:val="24"/>
        </w:rPr>
        <w:t>清单项目综合单价的算术平均值。</w:t>
      </w:r>
      <w:r>
        <w:rPr>
          <w:rFonts w:hint="eastAsia" w:hAnsi="宋体" w:cs="宋体"/>
          <w:sz w:val="24"/>
          <w:szCs w:val="24"/>
          <w:lang w:val="en-US" w:eastAsia="zh-CN"/>
        </w:rPr>
        <w:t>投标人报价</w:t>
      </w:r>
      <w:r>
        <w:rPr>
          <w:rFonts w:hint="eastAsia" w:hAnsi="宋体" w:cs="宋体"/>
          <w:sz w:val="24"/>
          <w:szCs w:val="24"/>
        </w:rPr>
        <w:t>在综合单价基准值95%—103%范围内（不含95%和103%）</w:t>
      </w:r>
      <w:r>
        <w:rPr>
          <w:rFonts w:hint="eastAsia" w:hAnsi="宋体" w:cs="宋体"/>
          <w:sz w:val="24"/>
          <w:szCs w:val="24"/>
          <w:lang w:val="en-US" w:eastAsia="zh-CN"/>
        </w:rPr>
        <w:t>的，</w:t>
      </w:r>
      <w:r>
        <w:rPr>
          <w:rFonts w:hint="eastAsia" w:hAnsi="宋体" w:cs="宋体"/>
          <w:sz w:val="24"/>
          <w:szCs w:val="24"/>
        </w:rPr>
        <w:t>每项得</w:t>
      </w:r>
      <w:r>
        <w:rPr>
          <w:rFonts w:hint="eastAsia" w:hAnsi="宋体" w:cs="宋体"/>
          <w:sz w:val="24"/>
          <w:szCs w:val="24"/>
          <w:lang w:val="en-US" w:eastAsia="zh-CN"/>
        </w:rPr>
        <w:t>0.5</w:t>
      </w:r>
      <w:r>
        <w:rPr>
          <w:rFonts w:hint="eastAsia" w:hAnsi="宋体" w:cs="宋体"/>
          <w:sz w:val="24"/>
          <w:szCs w:val="24"/>
        </w:rPr>
        <w:t>分，在</w:t>
      </w:r>
      <w:r>
        <w:rPr>
          <w:rFonts w:hint="eastAsia" w:hAnsi="宋体" w:cs="宋体"/>
          <w:sz w:val="24"/>
          <w:szCs w:val="24"/>
          <w:lang w:val="en-US" w:eastAsia="zh-CN"/>
        </w:rPr>
        <w:t>综合单价</w:t>
      </w:r>
      <w:r>
        <w:rPr>
          <w:rFonts w:hint="eastAsia" w:hAnsi="宋体" w:cs="宋体"/>
          <w:sz w:val="24"/>
          <w:szCs w:val="24"/>
        </w:rPr>
        <w:t>基准值90%—95%范围内（含90%和95%）每项得0.</w:t>
      </w:r>
      <w:r>
        <w:rPr>
          <w:rFonts w:hint="eastAsia" w:hAnsi="宋体" w:cs="宋体"/>
          <w:sz w:val="24"/>
          <w:szCs w:val="24"/>
          <w:lang w:val="en-US" w:eastAsia="zh-CN"/>
        </w:rPr>
        <w:t>25</w:t>
      </w:r>
      <w:r>
        <w:rPr>
          <w:rFonts w:hint="eastAsia" w:hAnsi="宋体" w:cs="宋体"/>
          <w:sz w:val="24"/>
          <w:szCs w:val="24"/>
        </w:rPr>
        <w:t>分，满分共计1</w:t>
      </w:r>
      <w:r>
        <w:rPr>
          <w:rFonts w:hint="eastAsia" w:hAnsi="宋体" w:cs="宋体"/>
          <w:sz w:val="24"/>
          <w:szCs w:val="24"/>
          <w:lang w:val="en-US" w:eastAsia="zh-CN"/>
        </w:rPr>
        <w:t>0</w:t>
      </w:r>
      <w:r>
        <w:rPr>
          <w:rFonts w:hint="eastAsia" w:hAnsi="宋体" w:cs="宋体"/>
          <w:sz w:val="24"/>
          <w:szCs w:val="24"/>
        </w:rPr>
        <w:t>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w:t>
      </w:r>
      <w:r>
        <w:rPr>
          <w:rFonts w:hint="eastAsia" w:hAnsi="宋体" w:cs="宋体"/>
          <w:b/>
          <w:bCs/>
          <w:sz w:val="24"/>
          <w:szCs w:val="24"/>
          <w:lang w:val="en-US" w:eastAsia="zh-CN"/>
        </w:rPr>
        <w:t>费（不含安全文明措施费）</w:t>
      </w:r>
      <w:r>
        <w:rPr>
          <w:rFonts w:hint="eastAsia" w:hAnsi="宋体" w:cs="宋体"/>
          <w:b/>
          <w:bCs/>
          <w:sz w:val="24"/>
          <w:szCs w:val="24"/>
        </w:rPr>
        <w:t>（5分）</w:t>
      </w:r>
    </w:p>
    <w:p>
      <w:pPr>
        <w:snapToGrid w:val="0"/>
        <w:spacing w:line="360" w:lineRule="auto"/>
        <w:ind w:firstLine="484"/>
        <w:rPr>
          <w:rFonts w:hAnsi="宋体" w:cs="宋体"/>
          <w:sz w:val="24"/>
          <w:szCs w:val="24"/>
        </w:rPr>
      </w:pPr>
      <w:r>
        <w:rPr>
          <w:rFonts w:hint="eastAsia" w:hAnsi="宋体" w:cs="宋体"/>
          <w:sz w:val="24"/>
          <w:szCs w:val="24"/>
        </w:rPr>
        <w:t>措施项目</w:t>
      </w:r>
      <w:r>
        <w:rPr>
          <w:rFonts w:hint="eastAsia" w:hAnsi="宋体" w:cs="宋体"/>
          <w:sz w:val="24"/>
          <w:szCs w:val="24"/>
          <w:lang w:val="en-US" w:eastAsia="zh-CN"/>
        </w:rPr>
        <w:t>费</w:t>
      </w:r>
      <w:r>
        <w:rPr>
          <w:rFonts w:hint="eastAsia" w:hAnsi="宋体" w:cs="宋体"/>
          <w:sz w:val="24"/>
          <w:szCs w:val="24"/>
        </w:rPr>
        <w:t>基准值</w:t>
      </w:r>
      <w:r>
        <w:rPr>
          <w:rFonts w:hint="eastAsia" w:hAnsi="宋体" w:cs="宋体"/>
          <w:sz w:val="24"/>
          <w:szCs w:val="24"/>
          <w:lang w:val="en-US" w:eastAsia="zh-CN"/>
        </w:rPr>
        <w:t>是在招标控制价中措施项目费用80%-110%范围之前的有效</w:t>
      </w:r>
      <w:r>
        <w:rPr>
          <w:rFonts w:hint="eastAsia" w:hAnsi="宋体" w:cs="宋体"/>
          <w:sz w:val="24"/>
          <w:szCs w:val="24"/>
        </w:rPr>
        <w:t>投标人所报措施项目费算术平均值。投标所报措施费与措施项目基准值相等得基本分3分。当投标报价低于措施项目基准值时，每低1%在基本分3分的基础上加0.</w:t>
      </w:r>
      <w:r>
        <w:rPr>
          <w:rFonts w:hint="eastAsia" w:hAnsi="宋体" w:cs="宋体"/>
          <w:sz w:val="24"/>
          <w:szCs w:val="24"/>
          <w:lang w:val="en-US" w:eastAsia="zh-CN"/>
        </w:rPr>
        <w:t>1</w:t>
      </w:r>
      <w:r>
        <w:rPr>
          <w:rFonts w:hint="eastAsia" w:hAnsi="宋体" w:cs="宋体"/>
          <w:sz w:val="24"/>
          <w:szCs w:val="24"/>
        </w:rPr>
        <w:t>分</w:t>
      </w:r>
      <w:r>
        <w:rPr>
          <w:rFonts w:hint="eastAsia" w:hAnsi="宋体" w:cs="宋体"/>
          <w:sz w:val="24"/>
          <w:szCs w:val="24"/>
          <w:lang w:eastAsia="zh-CN"/>
        </w:rPr>
        <w:t>，</w:t>
      </w:r>
      <w:r>
        <w:rPr>
          <w:rFonts w:hint="eastAsia" w:hAnsi="宋体" w:cs="宋体"/>
          <w:sz w:val="24"/>
          <w:szCs w:val="24"/>
          <w:lang w:val="en-US" w:eastAsia="zh-CN"/>
        </w:rPr>
        <w:t>最多加至5分为止</w:t>
      </w:r>
      <w:r>
        <w:rPr>
          <w:rFonts w:hint="eastAsia" w:hAnsi="宋体" w:cs="宋体"/>
          <w:sz w:val="24"/>
          <w:szCs w:val="24"/>
        </w:rPr>
        <w:t xml:space="preserve">；当高于措施项目基准值时，每高于1%时，在基本分3分的基础上扣0.2分，扣完为止。 </w:t>
      </w:r>
    </w:p>
    <w:p>
      <w:pPr>
        <w:numPr>
          <w:ilvl w:val="0"/>
          <w:numId w:val="7"/>
        </w:numPr>
        <w:snapToGrid w:val="0"/>
        <w:spacing w:line="360" w:lineRule="auto"/>
        <w:ind w:firstLine="484"/>
        <w:rPr>
          <w:rFonts w:hAnsi="宋体" w:cs="宋体"/>
          <w:b/>
          <w:bCs/>
          <w:sz w:val="24"/>
          <w:szCs w:val="24"/>
        </w:rPr>
      </w:pPr>
      <w:r>
        <w:rPr>
          <w:rFonts w:hint="eastAsia" w:hAnsi="宋体" w:cs="宋体"/>
          <w:b/>
          <w:bCs/>
          <w:sz w:val="24"/>
          <w:szCs w:val="24"/>
        </w:rPr>
        <w:t>主要材料单价（</w:t>
      </w:r>
      <w:r>
        <w:rPr>
          <w:rFonts w:hint="eastAsia" w:hAnsi="宋体" w:cs="宋体"/>
          <w:b/>
          <w:bCs/>
          <w:sz w:val="24"/>
          <w:szCs w:val="24"/>
          <w:lang w:val="en-US" w:eastAsia="zh-CN"/>
        </w:rPr>
        <w:t>5</w:t>
      </w:r>
      <w:r>
        <w:rPr>
          <w:rFonts w:hint="eastAsia" w:hAnsi="宋体" w:cs="宋体"/>
          <w:b/>
          <w:bCs/>
          <w:sz w:val="24"/>
          <w:szCs w:val="24"/>
        </w:rPr>
        <w:t>分）</w:t>
      </w:r>
    </w:p>
    <w:p>
      <w:pPr>
        <w:snapToGrid w:val="0"/>
        <w:spacing w:line="360" w:lineRule="auto"/>
        <w:ind w:firstLine="484"/>
        <w:rPr>
          <w:rFonts w:hint="eastAsia" w:hAnsi="宋体" w:cs="宋体"/>
          <w:sz w:val="24"/>
          <w:szCs w:val="24"/>
          <w:lang w:val="en-US" w:eastAsia="zh-CN"/>
        </w:rPr>
      </w:pPr>
      <w:r>
        <w:rPr>
          <w:rFonts w:hint="eastAsia" w:hAnsi="宋体" w:cs="宋体"/>
          <w:sz w:val="24"/>
          <w:szCs w:val="24"/>
          <w:lang w:val="en-US" w:eastAsia="zh-CN"/>
        </w:rPr>
        <w:t>从招标控制价中材料总价权重最大的前10-20项材料中抽取6项，在剩余材料中抽取4项。</w:t>
      </w:r>
    </w:p>
    <w:p>
      <w:pPr>
        <w:snapToGrid w:val="0"/>
        <w:spacing w:line="360" w:lineRule="auto"/>
        <w:ind w:firstLine="484"/>
        <w:rPr>
          <w:rFonts w:hint="eastAsia" w:hAnsi="宋体" w:cs="宋体"/>
          <w:sz w:val="24"/>
          <w:szCs w:val="24"/>
        </w:rPr>
      </w:pPr>
      <w:r>
        <w:rPr>
          <w:rFonts w:hint="eastAsia" w:hAnsi="宋体" w:cs="宋体"/>
          <w:sz w:val="24"/>
          <w:szCs w:val="24"/>
        </w:rPr>
        <w:t>主要材料单价</w:t>
      </w:r>
      <w:r>
        <w:rPr>
          <w:rFonts w:hint="eastAsia" w:hAnsi="宋体" w:cs="宋体"/>
          <w:sz w:val="24"/>
          <w:szCs w:val="24"/>
          <w:lang w:val="en-US" w:eastAsia="zh-CN"/>
        </w:rPr>
        <w:t>基准值</w:t>
      </w:r>
      <w:r>
        <w:rPr>
          <w:rFonts w:hint="eastAsia" w:hAnsi="宋体" w:cs="宋体"/>
          <w:sz w:val="24"/>
          <w:szCs w:val="24"/>
        </w:rPr>
        <w:t>以各有效投标报价</w:t>
      </w:r>
      <w:r>
        <w:rPr>
          <w:rFonts w:hint="eastAsia" w:hAnsi="宋体" w:cs="宋体"/>
          <w:sz w:val="24"/>
          <w:szCs w:val="24"/>
          <w:lang w:val="en-US" w:eastAsia="zh-CN"/>
        </w:rPr>
        <w:t>中</w:t>
      </w:r>
      <w:r>
        <w:rPr>
          <w:rFonts w:hint="eastAsia" w:hAnsi="宋体" w:cs="宋体"/>
          <w:sz w:val="24"/>
          <w:szCs w:val="24"/>
        </w:rPr>
        <w:t>（当有效投标人5名及以上时，去掉1个最高、1个最低值）</w:t>
      </w:r>
      <w:r>
        <w:rPr>
          <w:rFonts w:hint="eastAsia" w:hAnsi="宋体" w:cs="宋体"/>
          <w:sz w:val="24"/>
          <w:szCs w:val="24"/>
          <w:lang w:val="en-US" w:eastAsia="zh-CN"/>
        </w:rPr>
        <w:t>对应抽取</w:t>
      </w:r>
      <w:r>
        <w:rPr>
          <w:rFonts w:hint="eastAsia" w:hAnsi="宋体" w:cs="宋体"/>
          <w:sz w:val="24"/>
          <w:szCs w:val="24"/>
        </w:rPr>
        <w:t>材料单价的算术平均值。</w:t>
      </w:r>
    </w:p>
    <w:p>
      <w:pPr>
        <w:snapToGrid w:val="0"/>
        <w:spacing w:line="360" w:lineRule="auto"/>
        <w:ind w:firstLine="484"/>
        <w:rPr>
          <w:rFonts w:hint="eastAsia" w:hAnsi="宋体" w:cs="宋体"/>
          <w:sz w:val="24"/>
          <w:szCs w:val="24"/>
          <w:lang w:val="en-US" w:eastAsia="zh-CN"/>
        </w:rPr>
      </w:pPr>
      <w:r>
        <w:rPr>
          <w:rFonts w:hint="eastAsia" w:hAnsi="宋体" w:cs="宋体"/>
          <w:sz w:val="24"/>
          <w:szCs w:val="24"/>
          <w:lang w:val="en-US" w:eastAsia="zh-CN"/>
        </w:rPr>
        <w:t>当投标人报价</w:t>
      </w:r>
      <w:r>
        <w:rPr>
          <w:rFonts w:hint="eastAsia" w:hAnsi="宋体" w:cs="宋体"/>
          <w:sz w:val="24"/>
          <w:szCs w:val="24"/>
        </w:rPr>
        <w:t>在材料</w:t>
      </w:r>
      <w:r>
        <w:rPr>
          <w:rFonts w:hint="eastAsia" w:hAnsi="宋体" w:cs="宋体"/>
          <w:sz w:val="24"/>
          <w:szCs w:val="24"/>
          <w:lang w:val="en-US" w:eastAsia="zh-CN"/>
        </w:rPr>
        <w:t>单价</w:t>
      </w:r>
      <w:r>
        <w:rPr>
          <w:rFonts w:hint="eastAsia" w:hAnsi="宋体" w:cs="宋体"/>
          <w:sz w:val="24"/>
          <w:szCs w:val="24"/>
        </w:rPr>
        <w:t>基准值95%—103%范围内（不含95%和103%）每项得</w:t>
      </w:r>
      <w:r>
        <w:rPr>
          <w:rFonts w:hint="eastAsia" w:hAnsi="宋体" w:cs="宋体"/>
          <w:sz w:val="24"/>
          <w:szCs w:val="24"/>
          <w:lang w:val="en-US" w:eastAsia="zh-CN"/>
        </w:rPr>
        <w:t>0.5</w:t>
      </w:r>
      <w:r>
        <w:rPr>
          <w:rFonts w:hint="eastAsia" w:hAnsi="宋体" w:cs="宋体"/>
          <w:sz w:val="24"/>
          <w:szCs w:val="24"/>
        </w:rPr>
        <w:t>分，在材料基准值90%—95%范围内（含90%和95%）每项得0.</w:t>
      </w:r>
      <w:r>
        <w:rPr>
          <w:rFonts w:hint="eastAsia" w:hAnsi="宋体" w:cs="宋体"/>
          <w:sz w:val="24"/>
          <w:szCs w:val="24"/>
          <w:lang w:val="en-US" w:eastAsia="zh-CN"/>
        </w:rPr>
        <w:t>25</w:t>
      </w:r>
      <w:r>
        <w:rPr>
          <w:rFonts w:hint="eastAsia" w:hAnsi="宋体" w:cs="宋体"/>
          <w:sz w:val="24"/>
          <w:szCs w:val="24"/>
        </w:rPr>
        <w:t>分。超</w:t>
      </w:r>
      <w:r>
        <w:rPr>
          <w:rFonts w:hint="eastAsia" w:hAnsi="宋体" w:cs="宋体"/>
          <w:sz w:val="24"/>
          <w:szCs w:val="24"/>
          <w:lang w:val="en-US" w:eastAsia="zh-CN"/>
        </w:rPr>
        <w:t>出该范围的不得分。材料单价与综合单价组成中价格不一致时该项为0分。</w:t>
      </w:r>
    </w:p>
    <w:p>
      <w:pPr>
        <w:snapToGrid w:val="0"/>
        <w:spacing w:line="360" w:lineRule="auto"/>
        <w:ind w:firstLine="484"/>
        <w:rPr>
          <w:rFonts w:hint="default" w:hAnsi="宋体" w:cs="宋体"/>
          <w:b/>
          <w:bCs/>
          <w:sz w:val="24"/>
          <w:szCs w:val="24"/>
          <w:lang w:val="en-US" w:eastAsia="zh-CN"/>
        </w:rPr>
      </w:pPr>
      <w:r>
        <w:rPr>
          <w:rFonts w:hint="eastAsia" w:hAnsi="宋体" w:cs="宋体"/>
          <w:b/>
          <w:bCs/>
          <w:sz w:val="24"/>
          <w:szCs w:val="24"/>
          <w:lang w:val="en-US" w:eastAsia="zh-CN"/>
        </w:rPr>
        <w:t>注：针对上述2、4款项中部分分部分项工程项目数量较少、施工工艺简单、主材种类较少而不能满足最低抽项要求的，应将所有分部分项工程项目或主要材料项目纳入评审范围。</w:t>
      </w:r>
    </w:p>
    <w:bookmarkEnd w:id="70"/>
    <w:bookmarkEnd w:id="71"/>
    <w:bookmarkEnd w:id="72"/>
    <w:bookmarkEnd w:id="73"/>
    <w:p>
      <w:pPr>
        <w:numPr>
          <w:ilvl w:val="0"/>
          <w:numId w:val="0"/>
        </w:numPr>
        <w:spacing w:line="360" w:lineRule="auto"/>
        <w:rPr>
          <w:b/>
          <w:bCs/>
          <w:sz w:val="24"/>
          <w:szCs w:val="24"/>
        </w:rPr>
      </w:pPr>
      <w:r>
        <w:rPr>
          <w:rFonts w:hint="eastAsia" w:cs="宋体"/>
          <w:b/>
          <w:bCs/>
          <w:sz w:val="24"/>
          <w:szCs w:val="24"/>
          <w:lang w:eastAsia="zh-CN"/>
        </w:rPr>
        <w:t>（</w:t>
      </w:r>
      <w:r>
        <w:rPr>
          <w:rFonts w:hint="eastAsia" w:cs="宋体"/>
          <w:b/>
          <w:bCs/>
          <w:sz w:val="24"/>
          <w:szCs w:val="24"/>
          <w:lang w:val="en-US" w:eastAsia="zh-CN"/>
        </w:rPr>
        <w:t>三</w:t>
      </w:r>
      <w:r>
        <w:rPr>
          <w:rFonts w:hint="eastAsia" w:cs="宋体"/>
          <w:b/>
          <w:bCs/>
          <w:sz w:val="24"/>
          <w:szCs w:val="24"/>
          <w:lang w:eastAsia="zh-CN"/>
        </w:rPr>
        <w:t>）</w:t>
      </w:r>
      <w:r>
        <w:rPr>
          <w:rFonts w:hint="eastAsia" w:cs="宋体"/>
          <w:b/>
          <w:bCs/>
          <w:sz w:val="24"/>
          <w:szCs w:val="24"/>
        </w:rPr>
        <w:t>综合（信用）标的评标分值（2</w:t>
      </w:r>
      <w:r>
        <w:rPr>
          <w:rFonts w:hint="eastAsia" w:cs="宋体"/>
          <w:b/>
          <w:bCs/>
          <w:sz w:val="24"/>
          <w:szCs w:val="24"/>
          <w:lang w:val="en-US" w:eastAsia="zh-CN"/>
        </w:rPr>
        <w:t>5</w:t>
      </w:r>
      <w:r>
        <w:rPr>
          <w:rFonts w:hint="eastAsia" w:cs="宋体"/>
          <w:b/>
          <w:bCs/>
          <w:sz w:val="24"/>
          <w:szCs w:val="24"/>
        </w:rPr>
        <w:t>分）</w:t>
      </w:r>
    </w:p>
    <w:tbl>
      <w:tblPr>
        <w:tblStyle w:val="30"/>
        <w:tblW w:w="86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467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30" w:type="dxa"/>
            <w:vAlign w:val="center"/>
          </w:tcPr>
          <w:p>
            <w:pPr>
              <w:jc w:val="center"/>
              <w:rPr>
                <w:rFonts w:ascii="Times New Roman"/>
                <w:kern w:val="2"/>
                <w:sz w:val="21"/>
                <w:szCs w:val="21"/>
              </w:rPr>
            </w:pPr>
            <w:r>
              <w:rPr>
                <w:rFonts w:hint="eastAsia" w:ascii="Times New Roman"/>
                <w:kern w:val="2"/>
                <w:sz w:val="21"/>
                <w:szCs w:val="21"/>
              </w:rPr>
              <w:t>序号</w:t>
            </w:r>
          </w:p>
        </w:tc>
        <w:tc>
          <w:tcPr>
            <w:tcW w:w="1417" w:type="dxa"/>
            <w:vAlign w:val="center"/>
          </w:tcPr>
          <w:p>
            <w:pPr>
              <w:jc w:val="center"/>
              <w:rPr>
                <w:rFonts w:ascii="Times New Roman"/>
                <w:kern w:val="2"/>
                <w:sz w:val="21"/>
                <w:szCs w:val="21"/>
              </w:rPr>
            </w:pPr>
            <w:r>
              <w:rPr>
                <w:rFonts w:hint="eastAsia" w:ascii="Times New Roman"/>
                <w:kern w:val="2"/>
                <w:sz w:val="21"/>
                <w:szCs w:val="21"/>
              </w:rPr>
              <w:t>项</w:t>
            </w:r>
            <w:r>
              <w:rPr>
                <w:rFonts w:ascii="Times New Roman"/>
                <w:kern w:val="2"/>
                <w:sz w:val="21"/>
                <w:szCs w:val="21"/>
              </w:rPr>
              <w:t xml:space="preserve">     </w:t>
            </w:r>
            <w:r>
              <w:rPr>
                <w:rFonts w:hint="eastAsia" w:ascii="Times New Roman"/>
                <w:kern w:val="2"/>
                <w:sz w:val="21"/>
                <w:szCs w:val="21"/>
              </w:rPr>
              <w:t>目</w:t>
            </w:r>
          </w:p>
        </w:tc>
        <w:tc>
          <w:tcPr>
            <w:tcW w:w="4678" w:type="dxa"/>
            <w:vAlign w:val="center"/>
          </w:tcPr>
          <w:p>
            <w:pPr>
              <w:jc w:val="center"/>
              <w:rPr>
                <w:rFonts w:ascii="Times New Roman"/>
                <w:kern w:val="2"/>
                <w:sz w:val="21"/>
                <w:szCs w:val="21"/>
              </w:rPr>
            </w:pPr>
            <w:r>
              <w:rPr>
                <w:rFonts w:hint="eastAsia" w:ascii="Times New Roman"/>
                <w:kern w:val="2"/>
                <w:sz w:val="21"/>
                <w:szCs w:val="21"/>
              </w:rPr>
              <w:t>评</w:t>
            </w:r>
            <w:r>
              <w:rPr>
                <w:rFonts w:ascii="Times New Roman"/>
                <w:kern w:val="2"/>
                <w:sz w:val="21"/>
                <w:szCs w:val="21"/>
              </w:rPr>
              <w:t xml:space="preserve">  </w:t>
            </w:r>
            <w:r>
              <w:rPr>
                <w:rFonts w:hint="eastAsia" w:ascii="Times New Roman"/>
                <w:kern w:val="2"/>
                <w:sz w:val="21"/>
                <w:szCs w:val="21"/>
              </w:rPr>
              <w:t>审</w:t>
            </w:r>
            <w:r>
              <w:rPr>
                <w:rFonts w:ascii="Times New Roman"/>
                <w:kern w:val="2"/>
                <w:sz w:val="21"/>
                <w:szCs w:val="21"/>
              </w:rPr>
              <w:t xml:space="preserve">   </w:t>
            </w:r>
            <w:r>
              <w:rPr>
                <w:rFonts w:hint="eastAsia" w:ascii="Times New Roman"/>
                <w:kern w:val="2"/>
                <w:sz w:val="21"/>
                <w:szCs w:val="21"/>
              </w:rPr>
              <w:t>标</w:t>
            </w:r>
            <w:r>
              <w:rPr>
                <w:rFonts w:ascii="Times New Roman"/>
                <w:kern w:val="2"/>
                <w:sz w:val="21"/>
                <w:szCs w:val="21"/>
              </w:rPr>
              <w:t xml:space="preserve">   </w:t>
            </w:r>
            <w:r>
              <w:rPr>
                <w:rFonts w:hint="eastAsia" w:ascii="Times New Roman"/>
                <w:kern w:val="2"/>
                <w:sz w:val="21"/>
                <w:szCs w:val="21"/>
              </w:rPr>
              <w:t>准</w:t>
            </w:r>
          </w:p>
        </w:tc>
        <w:tc>
          <w:tcPr>
            <w:tcW w:w="1843" w:type="dxa"/>
            <w:vAlign w:val="center"/>
          </w:tcPr>
          <w:p>
            <w:pPr>
              <w:jc w:val="center"/>
              <w:rPr>
                <w:rFonts w:ascii="Times New Roman"/>
                <w:kern w:val="2"/>
                <w:sz w:val="21"/>
                <w:szCs w:val="21"/>
              </w:rPr>
            </w:pPr>
            <w:r>
              <w:rPr>
                <w:rFonts w:hint="eastAsia" w:ascii="Times New Roman"/>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730" w:type="dxa"/>
            <w:vAlign w:val="center"/>
          </w:tcPr>
          <w:p>
            <w:pPr>
              <w:jc w:val="center"/>
              <w:rPr>
                <w:rFonts w:ascii="Times New Roman"/>
                <w:kern w:val="2"/>
                <w:sz w:val="21"/>
                <w:szCs w:val="21"/>
              </w:rPr>
            </w:pPr>
            <w:r>
              <w:rPr>
                <w:rFonts w:ascii="Times New Roman"/>
                <w:kern w:val="2"/>
                <w:sz w:val="21"/>
                <w:szCs w:val="21"/>
              </w:rPr>
              <w:t>1</w:t>
            </w:r>
          </w:p>
        </w:tc>
        <w:tc>
          <w:tcPr>
            <w:tcW w:w="1417" w:type="dxa"/>
            <w:vAlign w:val="center"/>
          </w:tcPr>
          <w:p>
            <w:pPr>
              <w:jc w:val="center"/>
              <w:rPr>
                <w:rFonts w:ascii="Times New Roman"/>
                <w:kern w:val="2"/>
                <w:sz w:val="21"/>
                <w:szCs w:val="21"/>
              </w:rPr>
            </w:pPr>
            <w:r>
              <w:rPr>
                <w:rFonts w:hint="eastAsia" w:ascii="Times New Roman"/>
                <w:kern w:val="2"/>
                <w:sz w:val="21"/>
                <w:szCs w:val="21"/>
              </w:rPr>
              <w:t>企业业绩</w:t>
            </w:r>
          </w:p>
        </w:tc>
        <w:tc>
          <w:tcPr>
            <w:tcW w:w="4678" w:type="dxa"/>
            <w:vAlign w:val="center"/>
          </w:tcPr>
          <w:p>
            <w:pPr>
              <w:spacing w:line="240" w:lineRule="exact"/>
              <w:jc w:val="left"/>
              <w:rPr>
                <w:rFonts w:ascii="Times New Roman"/>
                <w:kern w:val="2"/>
                <w:sz w:val="21"/>
                <w:szCs w:val="21"/>
              </w:rPr>
            </w:pPr>
            <w:r>
              <w:rPr>
                <w:rFonts w:hint="eastAsia"/>
                <w:sz w:val="21"/>
                <w:szCs w:val="21"/>
              </w:rPr>
              <w:t>自2016年1月1日以来（以合同签订时间为准）企业具有类似项目业绩者，每项</w:t>
            </w:r>
            <w:r>
              <w:rPr>
                <w:rFonts w:hint="eastAsia"/>
                <w:sz w:val="21"/>
                <w:szCs w:val="21"/>
                <w:highlight w:val="none"/>
              </w:rPr>
              <w:t>得1分，最高得</w:t>
            </w:r>
            <w:r>
              <w:rPr>
                <w:rFonts w:hint="eastAsia"/>
                <w:sz w:val="21"/>
                <w:szCs w:val="21"/>
                <w:highlight w:val="none"/>
                <w:lang w:val="en-US" w:eastAsia="zh-CN"/>
              </w:rPr>
              <w:t>4</w:t>
            </w:r>
            <w:r>
              <w:rPr>
                <w:rFonts w:hint="eastAsia"/>
                <w:sz w:val="21"/>
                <w:szCs w:val="21"/>
                <w:highlight w:val="none"/>
              </w:rPr>
              <w:t>分。</w:t>
            </w:r>
            <w:r>
              <w:rPr>
                <w:rFonts w:hint="eastAsia"/>
                <w:sz w:val="21"/>
                <w:szCs w:val="21"/>
              </w:rPr>
              <w:t>（以中标公示截图和中标通知书和施工合同为准，缺一不得分。）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730" w:type="dxa"/>
            <w:vAlign w:val="center"/>
          </w:tcPr>
          <w:p>
            <w:pPr>
              <w:jc w:val="center"/>
              <w:rPr>
                <w:rFonts w:ascii="Times New Roman"/>
                <w:kern w:val="2"/>
                <w:sz w:val="21"/>
                <w:szCs w:val="21"/>
              </w:rPr>
            </w:pPr>
            <w:r>
              <w:rPr>
                <w:rFonts w:ascii="Times New Roman"/>
                <w:kern w:val="2"/>
                <w:sz w:val="21"/>
                <w:szCs w:val="21"/>
              </w:rPr>
              <w:t>2</w:t>
            </w:r>
          </w:p>
        </w:tc>
        <w:tc>
          <w:tcPr>
            <w:tcW w:w="1417" w:type="dxa"/>
            <w:vAlign w:val="center"/>
          </w:tcPr>
          <w:p>
            <w:pPr>
              <w:jc w:val="center"/>
              <w:rPr>
                <w:rFonts w:ascii="Times New Roman"/>
                <w:kern w:val="2"/>
                <w:sz w:val="21"/>
                <w:szCs w:val="21"/>
              </w:rPr>
            </w:pPr>
            <w:r>
              <w:rPr>
                <w:rFonts w:hint="eastAsia" w:ascii="Times New Roman"/>
                <w:kern w:val="2"/>
                <w:sz w:val="21"/>
                <w:szCs w:val="21"/>
              </w:rPr>
              <w:t>项目负责人业绩</w:t>
            </w:r>
          </w:p>
        </w:tc>
        <w:tc>
          <w:tcPr>
            <w:tcW w:w="4678" w:type="dxa"/>
            <w:vAlign w:val="center"/>
          </w:tcPr>
          <w:p>
            <w:pPr>
              <w:spacing w:line="240" w:lineRule="exact"/>
              <w:jc w:val="left"/>
              <w:rPr>
                <w:rFonts w:ascii="Times New Roman"/>
                <w:kern w:val="2"/>
                <w:sz w:val="21"/>
                <w:szCs w:val="21"/>
              </w:rPr>
            </w:pPr>
            <w:r>
              <w:rPr>
                <w:rFonts w:hint="eastAsia"/>
                <w:sz w:val="21"/>
                <w:szCs w:val="21"/>
              </w:rPr>
              <w:t>自2016年1月1日以来（以合同签订时间为准）：拟派项目负责人具有类似项目业绩者得</w:t>
            </w:r>
            <w:r>
              <w:rPr>
                <w:rFonts w:hint="eastAsia"/>
                <w:sz w:val="21"/>
                <w:szCs w:val="21"/>
                <w:lang w:val="en-US" w:eastAsia="zh-CN"/>
              </w:rPr>
              <w:t>6</w:t>
            </w:r>
            <w:r>
              <w:rPr>
                <w:rFonts w:hint="eastAsia"/>
                <w:sz w:val="21"/>
                <w:szCs w:val="21"/>
              </w:rPr>
              <w:t>分，最高得</w:t>
            </w:r>
            <w:r>
              <w:rPr>
                <w:rFonts w:hint="eastAsia"/>
                <w:sz w:val="21"/>
                <w:szCs w:val="21"/>
                <w:lang w:val="en-US" w:eastAsia="zh-CN"/>
              </w:rPr>
              <w:t>6</w:t>
            </w:r>
            <w:r>
              <w:rPr>
                <w:rFonts w:hint="eastAsia"/>
                <w:sz w:val="21"/>
                <w:szCs w:val="21"/>
              </w:rPr>
              <w:t>分（以中标公示截图和中标通知书和施工合同为准，缺一不得分。）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ascii="Times New Roman"/>
                <w:kern w:val="2"/>
                <w:sz w:val="21"/>
                <w:szCs w:val="21"/>
              </w:rPr>
            </w:pPr>
            <w:r>
              <w:rPr>
                <w:rFonts w:ascii="Times New Roman"/>
                <w:kern w:val="2"/>
                <w:sz w:val="21"/>
                <w:szCs w:val="21"/>
              </w:rPr>
              <w:t>3</w:t>
            </w:r>
          </w:p>
        </w:tc>
        <w:tc>
          <w:tcPr>
            <w:tcW w:w="1417" w:type="dxa"/>
            <w:vMerge w:val="restart"/>
            <w:vAlign w:val="center"/>
          </w:tcPr>
          <w:p>
            <w:pPr>
              <w:jc w:val="center"/>
              <w:rPr>
                <w:rFonts w:ascii="Times New Roman"/>
                <w:kern w:val="2"/>
                <w:sz w:val="21"/>
                <w:szCs w:val="21"/>
              </w:rPr>
            </w:pPr>
            <w:r>
              <w:rPr>
                <w:rFonts w:hint="eastAsia" w:ascii="Times New Roman"/>
                <w:kern w:val="2"/>
                <w:sz w:val="21"/>
                <w:szCs w:val="21"/>
              </w:rPr>
              <w:t>优惠承诺</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优惠承诺应是书面的符合工程实际情况，确保依法依规，优惠合理，详实可行。</w:t>
            </w:r>
          </w:p>
        </w:tc>
        <w:tc>
          <w:tcPr>
            <w:tcW w:w="1843" w:type="dxa"/>
            <w:vAlign w:val="center"/>
          </w:tcPr>
          <w:p>
            <w:pPr>
              <w:jc w:val="center"/>
              <w:rPr>
                <w:rFonts w:ascii="Times New Roman"/>
                <w:kern w:val="2"/>
                <w:sz w:val="21"/>
                <w:szCs w:val="21"/>
              </w:rPr>
            </w:pPr>
            <w:r>
              <w:rPr>
                <w:rFonts w:ascii="Times New Roman"/>
                <w:kern w:val="2"/>
                <w:sz w:val="21"/>
                <w:szCs w:val="21"/>
              </w:rPr>
              <w:t>3</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jc w:val="left"/>
              <w:rPr>
                <w:rFonts w:ascii="Times New Roman"/>
                <w:kern w:val="2"/>
                <w:sz w:val="21"/>
                <w:szCs w:val="21"/>
              </w:rPr>
            </w:pP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优惠承诺符合工程实际情况，确保依法依规，优惠基本合理，基本详实可行。</w:t>
            </w:r>
          </w:p>
        </w:tc>
        <w:tc>
          <w:tcPr>
            <w:tcW w:w="1843"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jc w:val="center"/>
        </w:trPr>
        <w:tc>
          <w:tcPr>
            <w:tcW w:w="730" w:type="dxa"/>
            <w:vMerge w:val="restart"/>
            <w:vAlign w:val="center"/>
          </w:tcPr>
          <w:p>
            <w:pPr>
              <w:jc w:val="center"/>
              <w:rPr>
                <w:rFonts w:ascii="Times New Roman"/>
                <w:kern w:val="2"/>
                <w:sz w:val="21"/>
                <w:szCs w:val="21"/>
              </w:rPr>
            </w:pPr>
            <w:r>
              <w:rPr>
                <w:rFonts w:ascii="Times New Roman"/>
                <w:kern w:val="2"/>
                <w:sz w:val="21"/>
                <w:szCs w:val="21"/>
              </w:rPr>
              <w:t>4</w:t>
            </w:r>
          </w:p>
        </w:tc>
        <w:tc>
          <w:tcPr>
            <w:tcW w:w="1417" w:type="dxa"/>
            <w:vMerge w:val="restart"/>
            <w:vAlign w:val="center"/>
          </w:tcPr>
          <w:p>
            <w:pPr>
              <w:jc w:val="center"/>
              <w:rPr>
                <w:rFonts w:ascii="Times New Roman"/>
                <w:kern w:val="2"/>
                <w:sz w:val="21"/>
                <w:szCs w:val="21"/>
              </w:rPr>
            </w:pPr>
            <w:r>
              <w:rPr>
                <w:rFonts w:hint="eastAsia" w:ascii="Times New Roman"/>
                <w:kern w:val="2"/>
                <w:sz w:val="21"/>
                <w:szCs w:val="21"/>
              </w:rPr>
              <w:t>履职尽责承诺</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pPr>
              <w:jc w:val="center"/>
              <w:rPr>
                <w:rFonts w:ascii="Times New Roman"/>
                <w:kern w:val="2"/>
                <w:sz w:val="21"/>
                <w:szCs w:val="21"/>
              </w:rPr>
            </w:pPr>
            <w:r>
              <w:rPr>
                <w:rFonts w:ascii="Times New Roman"/>
                <w:kern w:val="2"/>
                <w:sz w:val="21"/>
                <w:szCs w:val="21"/>
              </w:rPr>
              <w:t>2</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jc w:val="left"/>
              <w:rPr>
                <w:rFonts w:ascii="Times New Roman"/>
                <w:kern w:val="2"/>
                <w:sz w:val="21"/>
                <w:szCs w:val="21"/>
              </w:rPr>
            </w:pP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0" w:hRule="atLeast"/>
          <w:jc w:val="center"/>
        </w:trPr>
        <w:tc>
          <w:tcPr>
            <w:tcW w:w="730" w:type="dxa"/>
            <w:vAlign w:val="center"/>
          </w:tcPr>
          <w:p>
            <w:pPr>
              <w:jc w:val="center"/>
              <w:rPr>
                <w:rFonts w:ascii="Times New Roman"/>
                <w:kern w:val="2"/>
                <w:sz w:val="21"/>
                <w:szCs w:val="21"/>
              </w:rPr>
            </w:pPr>
            <w:r>
              <w:rPr>
                <w:rFonts w:ascii="Times New Roman"/>
                <w:kern w:val="2"/>
                <w:sz w:val="21"/>
                <w:szCs w:val="21"/>
              </w:rPr>
              <w:t>5</w:t>
            </w:r>
          </w:p>
        </w:tc>
        <w:tc>
          <w:tcPr>
            <w:tcW w:w="1417" w:type="dxa"/>
            <w:vAlign w:val="center"/>
          </w:tcPr>
          <w:p>
            <w:pPr>
              <w:jc w:val="center"/>
              <w:rPr>
                <w:rFonts w:ascii="Times New Roman"/>
                <w:kern w:val="2"/>
                <w:sz w:val="21"/>
                <w:szCs w:val="21"/>
              </w:rPr>
            </w:pPr>
            <w:r>
              <w:rPr>
                <w:rFonts w:hint="eastAsia" w:ascii="Times New Roman"/>
                <w:kern w:val="2"/>
                <w:sz w:val="21"/>
                <w:szCs w:val="21"/>
              </w:rPr>
              <w:t>企业信用（含纳税诚信）</w:t>
            </w:r>
          </w:p>
        </w:tc>
        <w:tc>
          <w:tcPr>
            <w:tcW w:w="4678" w:type="dxa"/>
            <w:vAlign w:val="center"/>
          </w:tcPr>
          <w:p>
            <w:pPr>
              <w:spacing w:line="240" w:lineRule="exact"/>
              <w:jc w:val="left"/>
              <w:rPr>
                <w:rFonts w:hint="eastAsia" w:ascii="Times New Roman"/>
                <w:kern w:val="2"/>
                <w:sz w:val="21"/>
                <w:szCs w:val="21"/>
              </w:rPr>
            </w:pPr>
            <w:r>
              <w:rPr>
                <w:rFonts w:hint="eastAsia" w:ascii="Times New Roman"/>
                <w:kern w:val="2"/>
                <w:sz w:val="21"/>
                <w:szCs w:val="21"/>
                <w:lang w:val="en-US" w:eastAsia="zh-CN"/>
              </w:rPr>
              <w:t>1、</w:t>
            </w:r>
            <w:r>
              <w:rPr>
                <w:rFonts w:hint="eastAsia" w:ascii="Times New Roman"/>
                <w:kern w:val="2"/>
                <w:sz w:val="21"/>
                <w:szCs w:val="21"/>
              </w:rPr>
              <w:t>自2016年1月1日以来投标人获得市级及以上建设行政主管部门或行业协会颁发的先进或优秀施工企业称号者：市级得1分，省级及以上得2分，最高得2分。（以证书和同级奖励文件为准，缺一不得分。）</w:t>
            </w:r>
          </w:p>
          <w:p>
            <w:pPr>
              <w:spacing w:line="240" w:lineRule="exact"/>
              <w:jc w:val="left"/>
              <w:rPr>
                <w:rFonts w:ascii="Times New Roman"/>
                <w:kern w:val="2"/>
                <w:sz w:val="21"/>
                <w:szCs w:val="21"/>
              </w:rPr>
            </w:pPr>
            <w:r>
              <w:rPr>
                <w:rFonts w:hint="eastAsia" w:ascii="Times New Roman"/>
                <w:kern w:val="2"/>
                <w:sz w:val="21"/>
                <w:szCs w:val="21"/>
                <w:lang w:val="en-US" w:eastAsia="zh-CN"/>
              </w:rPr>
              <w:t>2、</w:t>
            </w:r>
            <w:r>
              <w:rPr>
                <w:rFonts w:hint="eastAsia" w:ascii="Times New Roman"/>
                <w:kern w:val="2"/>
                <w:sz w:val="21"/>
                <w:szCs w:val="21"/>
              </w:rPr>
              <w:t>自2016年1月1日以来企业承担的项目获得市级及以上建设行政主管部门或行业协会颁发的园林工程金杯奖的得2分，否则不得分。（以证书和同级奖励文件为准，缺一不得分。）</w:t>
            </w:r>
          </w:p>
        </w:tc>
        <w:tc>
          <w:tcPr>
            <w:tcW w:w="1843" w:type="dxa"/>
            <w:vAlign w:val="center"/>
          </w:tcPr>
          <w:p>
            <w:pPr>
              <w:jc w:val="center"/>
              <w:rPr>
                <w:rFonts w:ascii="Times New Roman"/>
                <w:kern w:val="2"/>
                <w:sz w:val="21"/>
                <w:szCs w:val="21"/>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vAlign w:val="center"/>
          </w:tcPr>
          <w:p>
            <w:pPr>
              <w:jc w:val="center"/>
              <w:rPr>
                <w:rFonts w:ascii="Times New Roman"/>
                <w:kern w:val="2"/>
                <w:sz w:val="21"/>
                <w:szCs w:val="21"/>
              </w:rPr>
            </w:pPr>
            <w:r>
              <w:rPr>
                <w:rFonts w:ascii="Times New Roman"/>
                <w:kern w:val="2"/>
                <w:sz w:val="21"/>
                <w:szCs w:val="21"/>
              </w:rPr>
              <w:t>6</w:t>
            </w:r>
          </w:p>
        </w:tc>
        <w:tc>
          <w:tcPr>
            <w:tcW w:w="1417" w:type="dxa"/>
            <w:vAlign w:val="center"/>
          </w:tcPr>
          <w:p>
            <w:pPr>
              <w:jc w:val="center"/>
              <w:rPr>
                <w:rFonts w:ascii="Times New Roman"/>
                <w:kern w:val="2"/>
                <w:sz w:val="21"/>
                <w:szCs w:val="21"/>
              </w:rPr>
            </w:pPr>
            <w:r>
              <w:rPr>
                <w:rFonts w:hint="eastAsia" w:ascii="Times New Roman"/>
                <w:kern w:val="2"/>
                <w:sz w:val="21"/>
                <w:szCs w:val="21"/>
              </w:rPr>
              <w:t>项目负责人信用</w:t>
            </w:r>
          </w:p>
        </w:tc>
        <w:tc>
          <w:tcPr>
            <w:tcW w:w="4678" w:type="dxa"/>
            <w:vAlign w:val="center"/>
          </w:tcPr>
          <w:p>
            <w:pPr>
              <w:jc w:val="left"/>
              <w:rPr>
                <w:rFonts w:ascii="Times New Roman"/>
                <w:kern w:val="2"/>
                <w:sz w:val="21"/>
                <w:szCs w:val="21"/>
              </w:rPr>
            </w:pPr>
            <w:r>
              <w:rPr>
                <w:rFonts w:hint="eastAsia" w:ascii="Times New Roman"/>
                <w:kern w:val="2"/>
                <w:sz w:val="21"/>
                <w:szCs w:val="21"/>
              </w:rPr>
              <w:t>拟派项目负责人须具有市政公用工程专业贰级及以上建造师资质，且同时具有园林绿化相关专业中级及以上技术职称和地市级建设行政主管部门或相关行业协会颁发的园林绿化施工企业项目负责人证书的得2分，本项最高得2分。</w:t>
            </w:r>
          </w:p>
        </w:tc>
        <w:tc>
          <w:tcPr>
            <w:tcW w:w="1843" w:type="dxa"/>
            <w:vAlign w:val="center"/>
          </w:tcPr>
          <w:p>
            <w:pPr>
              <w:jc w:val="center"/>
              <w:rPr>
                <w:rFonts w:ascii="Times New Roman"/>
                <w:kern w:val="2"/>
                <w:sz w:val="21"/>
                <w:szCs w:val="21"/>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tcPr>
          <w:p>
            <w:pPr>
              <w:jc w:val="center"/>
              <w:rPr>
                <w:rFonts w:ascii="Times New Roman"/>
                <w:kern w:val="2"/>
                <w:sz w:val="21"/>
                <w:szCs w:val="21"/>
              </w:rPr>
            </w:pPr>
            <w:r>
              <w:rPr>
                <w:rFonts w:ascii="Times New Roman"/>
                <w:kern w:val="2"/>
                <w:sz w:val="21"/>
                <w:szCs w:val="21"/>
              </w:rPr>
              <w:t>7</w:t>
            </w:r>
          </w:p>
        </w:tc>
        <w:tc>
          <w:tcPr>
            <w:tcW w:w="1417" w:type="dxa"/>
            <w:vAlign w:val="center"/>
          </w:tcPr>
          <w:p>
            <w:pPr>
              <w:jc w:val="center"/>
              <w:rPr>
                <w:rFonts w:ascii="Times New Roman"/>
                <w:kern w:val="2"/>
                <w:sz w:val="21"/>
                <w:szCs w:val="21"/>
              </w:rPr>
            </w:pPr>
            <w:r>
              <w:rPr>
                <w:rFonts w:hint="eastAsia" w:ascii="Times New Roman"/>
                <w:kern w:val="2"/>
                <w:sz w:val="21"/>
                <w:szCs w:val="21"/>
              </w:rPr>
              <w:t>招标人意见</w:t>
            </w:r>
          </w:p>
        </w:tc>
        <w:tc>
          <w:tcPr>
            <w:tcW w:w="4678" w:type="dxa"/>
            <w:vAlign w:val="center"/>
          </w:tcPr>
          <w:p>
            <w:pPr>
              <w:jc w:val="center"/>
              <w:rPr>
                <w:rFonts w:ascii="Times New Roman"/>
                <w:kern w:val="2"/>
                <w:sz w:val="21"/>
                <w:szCs w:val="21"/>
              </w:rPr>
            </w:pPr>
            <w:r>
              <w:rPr>
                <w:rFonts w:hint="eastAsia" w:ascii="Times New Roman"/>
                <w:kern w:val="2"/>
                <w:sz w:val="21"/>
                <w:szCs w:val="21"/>
                <w:lang w:eastAsia="zh-CN"/>
              </w:rPr>
              <w:t>招标人意见均为</w:t>
            </w:r>
            <w:r>
              <w:rPr>
                <w:rFonts w:hint="eastAsia" w:ascii="Times New Roman"/>
                <w:kern w:val="2"/>
                <w:sz w:val="21"/>
                <w:szCs w:val="21"/>
                <w:lang w:val="en-US" w:eastAsia="zh-CN"/>
              </w:rPr>
              <w:t>2分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≤2</w:t>
            </w:r>
            <w:r>
              <w:rPr>
                <w:rFonts w:hint="eastAsia" w:ascii="Times New Roman"/>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8668" w:type="dxa"/>
            <w:gridSpan w:val="4"/>
            <w:vAlign w:val="center"/>
          </w:tcPr>
          <w:p>
            <w:pPr>
              <w:jc w:val="center"/>
              <w:rPr>
                <w:rFonts w:ascii="Times New Roman"/>
                <w:kern w:val="2"/>
                <w:sz w:val="21"/>
                <w:szCs w:val="21"/>
              </w:rPr>
            </w:pPr>
            <w:r>
              <w:rPr>
                <w:rFonts w:hint="eastAsia" w:ascii="Times New Roman"/>
                <w:kern w:val="2"/>
                <w:sz w:val="21"/>
                <w:szCs w:val="21"/>
              </w:rPr>
              <w:t>以上各项评审内容缺项不得分</w:t>
            </w:r>
          </w:p>
        </w:tc>
      </w:tr>
    </w:tbl>
    <w:p>
      <w:pPr>
        <w:spacing w:line="360" w:lineRule="auto"/>
        <w:ind w:firstLine="480" w:firstLineChars="200"/>
        <w:rPr>
          <w:rFonts w:hint="eastAsia"/>
          <w:b/>
          <w:bCs/>
          <w:sz w:val="24"/>
          <w:szCs w:val="24"/>
        </w:rPr>
      </w:pPr>
    </w:p>
    <w:p>
      <w:pPr>
        <w:snapToGrid w:val="0"/>
        <w:spacing w:line="420" w:lineRule="exact"/>
        <w:ind w:firstLine="480" w:firstLineChars="200"/>
        <w:rPr>
          <w:rFonts w:hAnsi="宋体" w:cs="宋体"/>
          <w:b/>
          <w:bCs/>
          <w:color w:val="000000"/>
          <w:sz w:val="24"/>
          <w:szCs w:val="22"/>
        </w:rPr>
      </w:pPr>
      <w:r>
        <w:rPr>
          <w:rFonts w:hint="eastAsia" w:hAnsi="宋体" w:cs="宋体"/>
          <w:b/>
          <w:bCs/>
          <w:color w:val="000000"/>
          <w:sz w:val="24"/>
        </w:rPr>
        <w:t>注：</w:t>
      </w:r>
      <w:r>
        <w:rPr>
          <w:rFonts w:hint="eastAsia" w:hAnsi="宋体" w:cs="宋体"/>
          <w:b/>
          <w:bCs/>
          <w:color w:val="000000"/>
          <w:sz w:val="24"/>
          <w:szCs w:val="22"/>
        </w:rPr>
        <w:t>1）近年年份要求：2016年1月1日以来；</w:t>
      </w:r>
    </w:p>
    <w:p>
      <w:pPr>
        <w:snapToGrid w:val="0"/>
        <w:spacing w:line="420" w:lineRule="exact"/>
        <w:ind w:firstLine="960" w:firstLineChars="400"/>
        <w:rPr>
          <w:rFonts w:hAnsi="宋体" w:cs="宋体"/>
          <w:b/>
          <w:bCs/>
          <w:sz w:val="24"/>
          <w:szCs w:val="22"/>
          <w:highlight w:val="none"/>
        </w:rPr>
      </w:pPr>
      <w:r>
        <w:rPr>
          <w:rFonts w:hint="eastAsia" w:hAnsi="宋体" w:cs="宋体"/>
          <w:b/>
          <w:bCs/>
          <w:sz w:val="24"/>
          <w:szCs w:val="22"/>
        </w:rPr>
        <w:t>2）类似工程：指2016年1月1日</w:t>
      </w:r>
      <w:r>
        <w:rPr>
          <w:rFonts w:hint="eastAsia" w:hAnsi="宋体" w:cs="宋体"/>
          <w:b/>
          <w:bCs/>
          <w:color w:val="000000"/>
          <w:sz w:val="24"/>
          <w:szCs w:val="22"/>
          <w:highlight w:val="none"/>
        </w:rPr>
        <w:t>以来承建的合同金额不低于该项目招标控制价金额的园林绿化工程项目；</w:t>
      </w:r>
    </w:p>
    <w:p>
      <w:pPr>
        <w:snapToGrid w:val="0"/>
        <w:spacing w:line="420" w:lineRule="exact"/>
        <w:ind w:firstLine="960" w:firstLineChars="400"/>
        <w:rPr>
          <w:rFonts w:hint="eastAsia" w:hAnsi="宋体" w:cs="宋体"/>
          <w:b/>
          <w:bCs/>
          <w:color w:val="000000"/>
          <w:sz w:val="24"/>
          <w:szCs w:val="22"/>
        </w:rPr>
      </w:pPr>
      <w:r>
        <w:rPr>
          <w:rFonts w:hint="eastAsia" w:hAnsi="宋体" w:cs="宋体"/>
          <w:b/>
          <w:bCs/>
          <w:color w:val="000000"/>
          <w:sz w:val="24"/>
          <w:szCs w:val="22"/>
        </w:rPr>
        <w:t>3）业绩合同以合同签订日期为准；</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highlight w:val="none"/>
        </w:rPr>
        <w:t>4）企业业绩和建造师业绩不可累计使用。</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w:t>
      </w:r>
      <w:r>
        <w:rPr>
          <w:rFonts w:hint="eastAsia" w:hAnsi="宋体" w:cs="宋体"/>
          <w:b/>
          <w:bCs/>
          <w:color w:val="000000"/>
          <w:sz w:val="24"/>
          <w:szCs w:val="22"/>
          <w:lang w:val="en-US" w:eastAsia="zh-CN"/>
        </w:rPr>
        <w:t>四</w:t>
      </w:r>
      <w:r>
        <w:rPr>
          <w:rFonts w:hint="eastAsia" w:hAnsi="宋体" w:cs="宋体"/>
          <w:b/>
          <w:bCs/>
          <w:color w:val="000000"/>
          <w:sz w:val="24"/>
          <w:szCs w:val="22"/>
        </w:rPr>
        <w:t>）投标人综合得分按下列公式计算：</w:t>
      </w:r>
    </w:p>
    <w:p>
      <w:pPr>
        <w:snapToGrid w:val="0"/>
        <w:spacing w:line="420" w:lineRule="exact"/>
        <w:ind w:firstLine="960" w:firstLineChars="400"/>
        <w:rPr>
          <w:rFonts w:hAnsi="宋体" w:cs="宋体"/>
          <w:b/>
          <w:bCs/>
          <w:color w:val="000000"/>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w:t>
      </w:r>
      <w:r>
        <w:rPr>
          <w:rFonts w:hint="eastAsia" w:hAnsi="宋体" w:cs="宋体"/>
          <w:b/>
          <w:bCs/>
          <w:color w:val="000000"/>
          <w:sz w:val="24"/>
          <w:szCs w:val="22"/>
          <w:lang w:val="en-US" w:eastAsia="zh-CN"/>
        </w:rPr>
        <w:t>五</w:t>
      </w:r>
      <w:r>
        <w:rPr>
          <w:rFonts w:hint="eastAsia" w:hAnsi="宋体" w:cs="宋体"/>
          <w:b/>
          <w:bCs/>
          <w:color w:val="000000"/>
          <w:sz w:val="24"/>
          <w:szCs w:val="22"/>
        </w:rPr>
        <w:t>）投标人的最终得分及中标候选人排序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7"/>
        <w:keepNext w:val="0"/>
        <w:keepLines w:val="0"/>
        <w:snapToGrid w:val="0"/>
        <w:spacing w:line="336"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7"/>
        <w:keepNext w:val="0"/>
        <w:keepLines w:val="0"/>
        <w:snapToGrid w:val="0"/>
        <w:spacing w:line="336" w:lineRule="auto"/>
        <w:ind w:firstLine="480"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
      <w:pPr>
        <w:snapToGrid w:val="0"/>
        <w:spacing w:line="400" w:lineRule="exact"/>
        <w:rPr>
          <w:rFonts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0"/>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建安建工公字〔2019〕</w:t>
            </w:r>
            <w:r>
              <w:rPr>
                <w:rFonts w:hint="eastAsia" w:ascii="仿宋_GB2312" w:hAnsi="宋体" w:eastAsia="仿宋_GB2312" w:cs="宋体"/>
                <w:sz w:val="24"/>
                <w:szCs w:val="22"/>
                <w:lang w:val="en-US" w:eastAsia="zh-CN"/>
              </w:rPr>
              <w:t>151</w:t>
            </w:r>
            <w:r>
              <w:rPr>
                <w:rFonts w:hint="eastAsia" w:ascii="仿宋_GB2312" w:hAnsi="宋体" w:eastAsia="仿宋_GB2312" w:cs="宋体"/>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int="default" w:ascii="仿宋_GB2312" w:hAnsi="宋体" w:eastAsia="仿宋_GB2312" w:cs="宋体"/>
                <w:sz w:val="24"/>
                <w:lang w:val="en-US" w:eastAsia="zh-CN"/>
              </w:rPr>
            </w:pPr>
            <w:r>
              <w:rPr>
                <w:rFonts w:hint="eastAsia" w:ascii="仿宋_GB2312" w:hAnsi="宋体" w:eastAsia="仿宋_GB2312" w:cs="宋体"/>
                <w:sz w:val="24"/>
                <w:szCs w:val="22"/>
                <w:lang w:val="en-US" w:eastAsia="zh-CN"/>
              </w:rPr>
              <w:t>许昌市建安区三达湿地出水口提升改造工程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960" w:firstLineChars="400"/>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val="en-US" w:eastAsia="zh-CN"/>
              </w:rPr>
              <w:t>陆</w:t>
            </w:r>
            <w:r>
              <w:rPr>
                <w:rFonts w:hint="eastAsia" w:ascii="仿宋_GB2312" w:hAnsi="宋体" w:eastAsia="仿宋_GB2312" w:cs="宋体"/>
                <w:sz w:val="24"/>
                <w:szCs w:val="22"/>
              </w:rPr>
              <w:t>万元整（</w:t>
            </w:r>
            <w:r>
              <w:rPr>
                <w:rFonts w:hint="eastAsia" w:ascii="仿宋_GB2312" w:hAnsi="宋体" w:eastAsia="仿宋_GB2312" w:cs="宋体"/>
                <w:sz w:val="24"/>
                <w:szCs w:val="22"/>
                <w:lang w:val="en-US" w:eastAsia="zh-CN"/>
              </w:rPr>
              <w:t>6</w:t>
            </w:r>
            <w:r>
              <w:rPr>
                <w:rFonts w:hint="eastAsia" w:ascii="仿宋_GB2312" w:hAnsi="宋体" w:eastAsia="仿宋_GB2312" w:cs="宋体"/>
                <w:sz w:val="24"/>
                <w:szCs w:val="22"/>
              </w:rPr>
              <w:t>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6"/>
                <w:rFonts w:hint="eastAsia" w:ascii="仿宋_GB2312" w:hAnsi="宋体" w:eastAsia="仿宋_GB2312" w:cs="宋体"/>
                <w:sz w:val="24"/>
              </w:rPr>
              <w:t>http://221.14.6.70:8088/ggzy</w:t>
            </w:r>
            <w:r>
              <w:rPr>
                <w:rStyle w:val="36"/>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0"/>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widowControl/>
        <w:spacing w:line="520" w:lineRule="exact"/>
        <w:rPr>
          <w:rFonts w:ascii="仿宋_GB2312" w:hAnsi="Arial" w:eastAsia="仿宋_GB2312" w:cs="Arial"/>
          <w:b/>
          <w:bCs/>
          <w:color w:val="000000"/>
          <w:sz w:val="40"/>
          <w:szCs w:val="40"/>
        </w:rPr>
      </w:pPr>
    </w:p>
    <w:p>
      <w:pPr>
        <w:ind w:firstLine="2880" w:firstLineChars="800"/>
        <w:rPr>
          <w:rFonts w:hAnsi="宋体"/>
          <w:sz w:val="36"/>
          <w:szCs w:val="36"/>
        </w:rPr>
      </w:pPr>
      <w:r>
        <w:rPr>
          <w:rFonts w:hint="eastAsia" w:hAnsi="宋体"/>
          <w:sz w:val="36"/>
          <w:szCs w:val="36"/>
        </w:rPr>
        <w:t>履约保证金退还通知单</w:t>
      </w:r>
    </w:p>
    <w:tbl>
      <w:tblPr>
        <w:tblStyle w:val="30"/>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hAnsi="宋体"/>
                <w:sz w:val="24"/>
              </w:rPr>
            </w:pPr>
            <w:r>
              <w:rPr>
                <w:rFonts w:hint="eastAsia" w:hAnsi="宋体"/>
                <w:sz w:val="24"/>
              </w:rPr>
              <w:t>项目编号</w:t>
            </w:r>
          </w:p>
        </w:tc>
        <w:tc>
          <w:tcPr>
            <w:tcW w:w="4140" w:type="dxa"/>
            <w:gridSpan w:val="2"/>
            <w:vAlign w:val="center"/>
          </w:tcPr>
          <w:p>
            <w:pPr>
              <w:spacing w:line="360" w:lineRule="exact"/>
              <w:jc w:val="center"/>
              <w:rPr>
                <w:rFonts w:hAnsi="宋体"/>
                <w:sz w:val="24"/>
              </w:rPr>
            </w:pPr>
          </w:p>
        </w:tc>
        <w:tc>
          <w:tcPr>
            <w:tcW w:w="1440" w:type="dxa"/>
            <w:gridSpan w:val="2"/>
            <w:vAlign w:val="center"/>
          </w:tcPr>
          <w:p>
            <w:pPr>
              <w:spacing w:line="360" w:lineRule="exact"/>
              <w:jc w:val="center"/>
              <w:rPr>
                <w:rFonts w:hAnsi="宋体"/>
                <w:sz w:val="24"/>
              </w:rPr>
            </w:pPr>
            <w:r>
              <w:rPr>
                <w:rFonts w:hint="eastAsia" w:hAnsi="宋体"/>
                <w:sz w:val="24"/>
              </w:rPr>
              <w:t>是否完工</w:t>
            </w:r>
          </w:p>
        </w:tc>
        <w:tc>
          <w:tcPr>
            <w:tcW w:w="2162" w:type="dxa"/>
            <w:vAlign w:val="center"/>
          </w:tcPr>
          <w:p>
            <w:pPr>
              <w:spacing w:line="360" w:lineRule="exact"/>
              <w:ind w:firstLine="240" w:firstLineChars="100"/>
              <w:rPr>
                <w:rFonts w:hAnsi="宋体"/>
                <w:sz w:val="24"/>
              </w:rPr>
            </w:pPr>
            <w:r>
              <w:rPr>
                <w:rFonts w:hint="eastAsia"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hAnsi="宋体"/>
                <w:sz w:val="24"/>
              </w:rPr>
            </w:pPr>
            <w:r>
              <w:rPr>
                <w:rFonts w:hint="eastAsia" w:hAnsi="宋体"/>
                <w:sz w:val="24"/>
              </w:rPr>
              <w:t>中标企业名称</w:t>
            </w:r>
          </w:p>
        </w:tc>
        <w:tc>
          <w:tcPr>
            <w:tcW w:w="7742" w:type="dxa"/>
            <w:gridSpan w:val="5"/>
            <w:vAlign w:val="center"/>
          </w:tcPr>
          <w:p>
            <w:pPr>
              <w:spacing w:line="36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hAnsi="宋体"/>
                <w:sz w:val="24"/>
              </w:rPr>
            </w:pPr>
            <w:r>
              <w:rPr>
                <w:rFonts w:hint="eastAsia" w:hAnsi="宋体"/>
                <w:sz w:val="24"/>
              </w:rPr>
              <w:t>开户银行</w:t>
            </w:r>
          </w:p>
        </w:tc>
        <w:tc>
          <w:tcPr>
            <w:tcW w:w="3780" w:type="dxa"/>
            <w:vAlign w:val="center"/>
          </w:tcPr>
          <w:p>
            <w:pPr>
              <w:rPr>
                <w:rFonts w:hAnsi="宋体"/>
                <w:sz w:val="24"/>
              </w:rPr>
            </w:pPr>
          </w:p>
        </w:tc>
        <w:tc>
          <w:tcPr>
            <w:tcW w:w="722" w:type="dxa"/>
            <w:gridSpan w:val="2"/>
            <w:vAlign w:val="center"/>
          </w:tcPr>
          <w:p>
            <w:pPr>
              <w:spacing w:line="360" w:lineRule="exact"/>
              <w:rPr>
                <w:rFonts w:hAnsi="宋体"/>
                <w:sz w:val="24"/>
              </w:rPr>
            </w:pPr>
            <w:r>
              <w:rPr>
                <w:rFonts w:hint="eastAsia" w:hAnsi="宋体"/>
                <w:sz w:val="24"/>
              </w:rPr>
              <w:t>账号</w:t>
            </w:r>
          </w:p>
        </w:tc>
        <w:tc>
          <w:tcPr>
            <w:tcW w:w="3240"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hAnsi="宋体"/>
                <w:sz w:val="24"/>
              </w:rPr>
            </w:pPr>
            <w:r>
              <w:rPr>
                <w:rFonts w:hint="eastAsia" w:hAnsi="宋体"/>
                <w:sz w:val="24"/>
              </w:rPr>
              <w:t>金额</w:t>
            </w:r>
          </w:p>
        </w:tc>
        <w:tc>
          <w:tcPr>
            <w:tcW w:w="7742" w:type="dxa"/>
            <w:gridSpan w:val="5"/>
            <w:vAlign w:val="center"/>
          </w:tcPr>
          <w:p>
            <w:pPr>
              <w:spacing w:line="360" w:lineRule="exact"/>
              <w:rPr>
                <w:rFonts w:hAnsi="宋体"/>
                <w:sz w:val="24"/>
              </w:rPr>
            </w:pPr>
            <w:r>
              <w:rPr>
                <w:rFonts w:hint="eastAsia"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hAnsi="宋体"/>
                <w:sz w:val="24"/>
              </w:rPr>
            </w:pPr>
            <w:r>
              <w:rPr>
                <w:rFonts w:hint="eastAsia"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tcPr>
          <w:p>
            <w:pPr>
              <w:jc w:val="center"/>
              <w:rPr>
                <w:rFonts w:hAnsi="宋体"/>
                <w:sz w:val="24"/>
              </w:rPr>
            </w:pPr>
          </w:p>
          <w:p>
            <w:pPr>
              <w:jc w:val="center"/>
              <w:rPr>
                <w:rFonts w:hAnsi="宋体"/>
                <w:sz w:val="24"/>
              </w:rPr>
            </w:pPr>
          </w:p>
          <w:p>
            <w:pPr>
              <w:ind w:firstLine="840" w:firstLineChars="350"/>
              <w:rPr>
                <w:rFonts w:hAnsi="宋体"/>
                <w:sz w:val="24"/>
              </w:rPr>
            </w:pPr>
            <w:r>
              <w:rPr>
                <w:rFonts w:hint="eastAsia" w:hAnsi="宋体"/>
                <w:sz w:val="24"/>
              </w:rPr>
              <w:t>主要负责人签字 ：                           盖  章：</w:t>
            </w:r>
          </w:p>
          <w:p>
            <w:pPr>
              <w:jc w:val="center"/>
              <w:rPr>
                <w:rFonts w:hAnsi="宋体"/>
                <w:sz w:val="24"/>
              </w:rPr>
            </w:pPr>
          </w:p>
          <w:p>
            <w:pPr>
              <w:ind w:right="480" w:firstLine="5880" w:firstLineChars="2450"/>
              <w:rPr>
                <w:rFonts w:hAnsi="宋体"/>
                <w:sz w:val="24"/>
              </w:rPr>
            </w:pPr>
            <w:r>
              <w:rPr>
                <w:rFonts w:hint="eastAsia" w:hAnsi="宋体"/>
                <w:sz w:val="24"/>
              </w:rPr>
              <w:t>年   月   日</w:t>
            </w:r>
          </w:p>
        </w:tc>
      </w:tr>
    </w:tbl>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p>
    <w:p>
      <w:pPr>
        <w:pStyle w:val="8"/>
        <w:jc w:val="center"/>
        <w:rPr>
          <w:rFonts w:ascii="Times New Roman" w:eastAsia="华文中宋"/>
          <w:b w:val="0"/>
          <w:color w:val="000000"/>
          <w:sz w:val="44"/>
          <w:szCs w:val="44"/>
        </w:rPr>
      </w:pPr>
      <w:r>
        <w:rPr>
          <w:rFonts w:ascii="华文中宋" w:hAnsi="华文中宋" w:eastAsia="华文中宋"/>
          <w:sz w:val="44"/>
          <w:szCs w:val="44"/>
        </w:rPr>
        <w:t>第一部分 合同协议书</w:t>
      </w:r>
    </w:p>
    <w:p>
      <w:pPr>
        <w:spacing w:line="480" w:lineRule="exact"/>
        <w:rPr>
          <w:rFonts w:ascii="Times New Roman" w:eastAsia="仿宋_GB2312"/>
          <w:b/>
          <w:color w:val="000000"/>
          <w:sz w:val="24"/>
          <w:szCs w:val="24"/>
          <w:u w:val="single"/>
        </w:rPr>
      </w:pPr>
      <w:r>
        <w:rPr>
          <w:rFonts w:ascii="Times New Roman" w:eastAsia="仿宋_GB2312"/>
          <w:b/>
          <w:color w:val="000000"/>
          <w:sz w:val="24"/>
          <w:szCs w:val="24"/>
        </w:rPr>
        <w:t>发包人（全称）：</w:t>
      </w:r>
      <w:r>
        <w:rPr>
          <w:rFonts w:ascii="Times New Roman" w:eastAsia="仿宋_GB2312"/>
          <w:b/>
          <w:color w:val="000000"/>
          <w:sz w:val="24"/>
          <w:szCs w:val="24"/>
          <w:u w:val="single"/>
        </w:rPr>
        <w:t>         </w:t>
      </w:r>
    </w:p>
    <w:p>
      <w:pPr>
        <w:spacing w:line="480" w:lineRule="exact"/>
        <w:rPr>
          <w:rFonts w:ascii="Times New Roman" w:eastAsia="仿宋_GB2312"/>
          <w:b/>
          <w:color w:val="000000"/>
          <w:sz w:val="24"/>
          <w:szCs w:val="24"/>
          <w:u w:val="single"/>
        </w:rPr>
      </w:pPr>
      <w:r>
        <w:rPr>
          <w:rFonts w:ascii="Times New Roman" w:eastAsia="仿宋_GB2312"/>
          <w:b/>
          <w:color w:val="000000"/>
          <w:sz w:val="24"/>
          <w:szCs w:val="24"/>
        </w:rPr>
        <w:t>承包人（全称）：</w:t>
      </w:r>
      <w:r>
        <w:rPr>
          <w:rFonts w:ascii="Times New Roman" w:eastAsia="仿宋_GB2312"/>
          <w:b/>
          <w:color w:val="000000"/>
          <w:sz w:val="24"/>
          <w:szCs w:val="24"/>
          <w:u w:val="single"/>
        </w:rPr>
        <w:t>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根据《中华人民共和国合同法》、《中华人民共和国建筑法》及有关法律规定，遵循平等、自愿、公平和诚实信用的原则，双方就</w:t>
      </w:r>
    </w:p>
    <w:p>
      <w:pPr>
        <w:spacing w:line="480" w:lineRule="exact"/>
        <w:rPr>
          <w:rFonts w:ascii="Times New Roman" w:eastAsia="仿宋_GB2312"/>
          <w:color w:val="000000"/>
          <w:sz w:val="24"/>
          <w:szCs w:val="24"/>
        </w:rPr>
      </w:pPr>
      <w:r>
        <w:rPr>
          <w:rFonts w:ascii="Times New Roman" w:eastAsia="仿宋_GB2312"/>
          <w:color w:val="000000"/>
          <w:sz w:val="24"/>
          <w:szCs w:val="24"/>
        </w:rPr>
        <w:t>工程施工及有关事项协商一致</w:t>
      </w:r>
      <w:r>
        <w:rPr>
          <w:rFonts w:hint="eastAsia" w:ascii="Times New Roman" w:eastAsia="仿宋_GB2312"/>
          <w:color w:val="000000"/>
          <w:sz w:val="24"/>
          <w:szCs w:val="24"/>
        </w:rPr>
        <w:t>，</w:t>
      </w:r>
      <w:r>
        <w:rPr>
          <w:rFonts w:ascii="Times New Roman" w:eastAsia="仿宋_GB2312"/>
          <w:color w:val="000000"/>
          <w:sz w:val="24"/>
          <w:szCs w:val="24"/>
        </w:rPr>
        <w:t>共同达成如下协议：</w:t>
      </w:r>
    </w:p>
    <w:p>
      <w:pPr>
        <w:pStyle w:val="9"/>
        <w:spacing w:line="480" w:lineRule="exact"/>
        <w:rPr>
          <w:rFonts w:ascii="Times New Roman" w:hAnsi="Times New Roman" w:eastAsia="黑体"/>
          <w:bCs w:val="0"/>
          <w:color w:val="000000"/>
          <w:sz w:val="24"/>
          <w:szCs w:val="24"/>
        </w:rPr>
      </w:pPr>
      <w:bookmarkStart w:id="79" w:name="_Toc351203481"/>
      <w:r>
        <w:rPr>
          <w:rFonts w:ascii="Times New Roman" w:hAnsi="Times New Roman" w:eastAsia="黑体"/>
          <w:b w:val="0"/>
          <w:color w:val="000000"/>
          <w:sz w:val="24"/>
          <w:szCs w:val="24"/>
        </w:rPr>
        <w:t>一、工程概况</w:t>
      </w:r>
      <w:bookmarkEnd w:id="79"/>
    </w:p>
    <w:p>
      <w:pPr>
        <w:spacing w:line="480" w:lineRule="exact"/>
        <w:ind w:firstLine="470" w:firstLineChars="196"/>
        <w:rPr>
          <w:rFonts w:ascii="Times New Roman" w:eastAsia="仿宋_GB2312"/>
          <w:color w:val="000000"/>
          <w:sz w:val="24"/>
          <w:szCs w:val="24"/>
          <w:u w:val="single"/>
        </w:rPr>
      </w:pPr>
      <w:r>
        <w:rPr>
          <w:rFonts w:ascii="Times New Roman" w:eastAsia="仿宋_GB2312"/>
          <w:bCs/>
          <w:color w:val="000000"/>
          <w:sz w:val="24"/>
          <w:szCs w:val="24"/>
        </w:rPr>
        <w:t>1.工程名称</w:t>
      </w:r>
      <w:r>
        <w:rPr>
          <w:rFonts w:ascii="Times New Roman" w:eastAsia="仿宋_GB2312"/>
          <w:color w:val="000000"/>
          <w:sz w:val="24"/>
          <w:szCs w:val="24"/>
        </w:rPr>
        <w:t>：</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2.工程地点：</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3.工程立项批准文号：</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4.资金来源：</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hint="eastAsia" w:ascii="Times New Roman" w:eastAsia="仿宋_GB2312"/>
          <w:bCs/>
          <w:color w:val="000000"/>
          <w:sz w:val="24"/>
          <w:szCs w:val="24"/>
        </w:rPr>
        <w:t>5.工程内容：</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hint="eastAsia" w:ascii="Times New Roman" w:eastAsia="仿宋_GB2312"/>
          <w:color w:val="000000"/>
          <w:sz w:val="24"/>
          <w:szCs w:val="24"/>
        </w:rPr>
        <w:t>群体工程应附《</w:t>
      </w:r>
      <w:r>
        <w:rPr>
          <w:rFonts w:ascii="Times New Roman" w:eastAsia="仿宋_GB2312"/>
          <w:color w:val="000000"/>
          <w:sz w:val="24"/>
          <w:szCs w:val="24"/>
        </w:rPr>
        <w:t>承包人承揽工程项目一览表</w:t>
      </w:r>
      <w:r>
        <w:rPr>
          <w:rFonts w:hint="eastAsia" w:ascii="Times New Roman" w:eastAsia="仿宋_GB2312"/>
          <w:color w:val="000000"/>
          <w:sz w:val="24"/>
          <w:szCs w:val="24"/>
        </w:rPr>
        <w:t>》（附件1）。</w:t>
      </w:r>
    </w:p>
    <w:p>
      <w:pPr>
        <w:spacing w:line="480" w:lineRule="exact"/>
        <w:ind w:firstLine="470" w:firstLineChars="196"/>
        <w:rPr>
          <w:rFonts w:ascii="Times New Roman" w:eastAsia="仿宋_GB2312"/>
          <w:bCs/>
          <w:color w:val="000000"/>
          <w:sz w:val="24"/>
          <w:szCs w:val="24"/>
        </w:rPr>
      </w:pPr>
      <w:r>
        <w:rPr>
          <w:rFonts w:hint="eastAsia" w:ascii="Times New Roman" w:eastAsia="仿宋_GB2312"/>
          <w:bCs/>
          <w:color w:val="000000"/>
          <w:sz w:val="24"/>
          <w:szCs w:val="24"/>
        </w:rPr>
        <w:t>6</w:t>
      </w:r>
      <w:r>
        <w:rPr>
          <w:rFonts w:ascii="Times New Roman" w:eastAsia="仿宋_GB2312"/>
          <w:bCs/>
          <w:color w:val="000000"/>
          <w:sz w:val="24"/>
          <w:szCs w:val="24"/>
        </w:rPr>
        <w:t>.工程承包范围：</w:t>
      </w:r>
    </w:p>
    <w:p>
      <w:pPr>
        <w:spacing w:line="480" w:lineRule="exact"/>
        <w:ind w:firstLine="463" w:firstLineChars="193"/>
        <w:rPr>
          <w:rFonts w:ascii="Times New Roman" w:eastAsia="仿宋_GB2312"/>
          <w:color w:val="000000"/>
          <w:sz w:val="24"/>
          <w:szCs w:val="24"/>
        </w:rPr>
      </w:pP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80" w:name="_Toc351203482"/>
      <w:r>
        <w:rPr>
          <w:rFonts w:ascii="Times New Roman" w:hAnsi="Times New Roman" w:eastAsia="黑体"/>
          <w:b w:val="0"/>
          <w:color w:val="000000"/>
          <w:sz w:val="24"/>
          <w:szCs w:val="24"/>
        </w:rPr>
        <w:t>二、合同工期</w:t>
      </w:r>
      <w:bookmarkEnd w:id="80"/>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计划开工日期：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计划竣工日期：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工期总日历天数：</w:t>
      </w:r>
      <w:r>
        <w:rPr>
          <w:rFonts w:ascii="Times New Roman" w:eastAsia="仿宋_GB2312"/>
          <w:color w:val="000000"/>
          <w:sz w:val="24"/>
          <w:szCs w:val="24"/>
          <w:u w:val="single"/>
        </w:rPr>
        <w:t></w:t>
      </w:r>
      <w:r>
        <w:rPr>
          <w:rFonts w:ascii="Times New Roman" w:eastAsia="仿宋_GB2312"/>
          <w:color w:val="000000"/>
          <w:sz w:val="24"/>
          <w:szCs w:val="24"/>
        </w:rPr>
        <w:t>天。工期总日历天数与根据前述计划开竣工日期计算的工期天数不一致的，以工期总日历天数为准。</w:t>
      </w:r>
    </w:p>
    <w:p>
      <w:pPr>
        <w:pStyle w:val="9"/>
        <w:spacing w:line="480" w:lineRule="exact"/>
        <w:rPr>
          <w:rFonts w:ascii="Times New Roman" w:hAnsi="Times New Roman" w:eastAsia="黑体"/>
          <w:bCs w:val="0"/>
          <w:color w:val="000000"/>
          <w:sz w:val="24"/>
          <w:szCs w:val="24"/>
        </w:rPr>
      </w:pPr>
      <w:bookmarkStart w:id="81" w:name="_Toc351203483"/>
      <w:r>
        <w:rPr>
          <w:rFonts w:ascii="Times New Roman" w:hAnsi="Times New Roman" w:eastAsia="黑体"/>
          <w:b w:val="0"/>
          <w:color w:val="000000"/>
          <w:sz w:val="24"/>
          <w:szCs w:val="24"/>
        </w:rPr>
        <w:t>三、质量标准</w:t>
      </w:r>
      <w:bookmarkEnd w:id="81"/>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工程质量符合</w:t>
      </w:r>
      <w:r>
        <w:rPr>
          <w:rFonts w:ascii="Times New Roman" w:eastAsia="仿宋_GB2312"/>
          <w:color w:val="000000"/>
          <w:sz w:val="24"/>
          <w:szCs w:val="24"/>
          <w:u w:val="single"/>
        </w:rPr>
        <w:t></w:t>
      </w:r>
      <w:r>
        <w:rPr>
          <w:rFonts w:ascii="Times New Roman" w:eastAsia="仿宋_GB2312"/>
          <w:color w:val="000000"/>
          <w:sz w:val="24"/>
          <w:szCs w:val="24"/>
        </w:rPr>
        <w:t>标准。</w:t>
      </w:r>
    </w:p>
    <w:p>
      <w:pPr>
        <w:pStyle w:val="9"/>
        <w:spacing w:line="480" w:lineRule="exact"/>
        <w:rPr>
          <w:rFonts w:ascii="Times New Roman" w:hAnsi="Times New Roman" w:eastAsia="黑体"/>
          <w:bCs w:val="0"/>
          <w:color w:val="000000"/>
          <w:sz w:val="24"/>
          <w:szCs w:val="24"/>
        </w:rPr>
      </w:pPr>
      <w:bookmarkStart w:id="82" w:name="_Toc351203484"/>
      <w:r>
        <w:rPr>
          <w:rFonts w:ascii="Times New Roman" w:hAnsi="Times New Roman" w:eastAsia="黑体"/>
          <w:b w:val="0"/>
          <w:color w:val="000000"/>
          <w:sz w:val="24"/>
          <w:szCs w:val="24"/>
        </w:rPr>
        <w:t>四、签约合同价与合同价格形式</w:t>
      </w:r>
      <w:bookmarkEnd w:id="82"/>
      <w:r>
        <w:rPr>
          <w:rFonts w:ascii="Times New Roman" w:hAnsi="Times New Roman" w:eastAsia="黑体"/>
          <w:b w:val="0"/>
          <w:color w:val="000000"/>
          <w:sz w:val="24"/>
          <w:szCs w:val="24"/>
        </w:rPr>
        <w:tab/>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1.签约合同价为：</w:t>
      </w:r>
    </w:p>
    <w:p>
      <w:pPr>
        <w:spacing w:line="480" w:lineRule="exact"/>
        <w:ind w:firstLine="600" w:firstLineChars="250"/>
        <w:rPr>
          <w:rFonts w:ascii="Times New Roman" w:eastAsia="仿宋_GB2312"/>
          <w:color w:val="000000"/>
          <w:sz w:val="24"/>
          <w:szCs w:val="24"/>
        </w:rPr>
      </w:pPr>
      <w:r>
        <w:rPr>
          <w:rFonts w:ascii="Times New Roman" w:eastAsia="仿宋_GB2312"/>
          <w:color w:val="000000"/>
          <w:sz w:val="24"/>
          <w:szCs w:val="24"/>
        </w:rPr>
        <w:t>人民币（大写）(¥元)；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其中：</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（1）安全文明施工费：</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（2）材料和工程设备暂估价金额：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（3）专业工程暂估价金额：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（4）暂列金额：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2.合同价格形式：</w:t>
      </w:r>
      <w:r>
        <w:rPr>
          <w:rFonts w:ascii="Times New Roman" w:eastAsia="仿宋_GB2312"/>
          <w:color w:val="000000"/>
          <w:sz w:val="24"/>
          <w:szCs w:val="24"/>
          <w:u w:val="single"/>
        </w:rPr>
        <w:t>       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83" w:name="_Toc351203485"/>
      <w:r>
        <w:rPr>
          <w:rFonts w:ascii="Times New Roman" w:hAnsi="Times New Roman" w:eastAsia="黑体"/>
          <w:b w:val="0"/>
          <w:color w:val="000000"/>
          <w:sz w:val="24"/>
          <w:szCs w:val="24"/>
        </w:rPr>
        <w:t>五、</w:t>
      </w:r>
      <w:bookmarkEnd w:id="83"/>
      <w:r>
        <w:rPr>
          <w:rFonts w:hint="eastAsia" w:ascii="Times New Roman" w:hAnsi="Times New Roman" w:eastAsia="黑体"/>
          <w:b w:val="0"/>
          <w:color w:val="000000"/>
          <w:sz w:val="24"/>
          <w:szCs w:val="24"/>
        </w:rPr>
        <w:t>项目负责人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w:t>
      </w:r>
      <w:r>
        <w:rPr>
          <w:rFonts w:hint="eastAsia" w:ascii="Times New Roman" w:eastAsia="仿宋_GB2312"/>
          <w:color w:val="000000"/>
          <w:sz w:val="24"/>
          <w:szCs w:val="24"/>
        </w:rPr>
        <w:t>项目负责人</w:t>
      </w:r>
      <w:r>
        <w:rPr>
          <w:rFonts w:ascii="Times New Roman" w:eastAsia="仿宋_GB2312"/>
          <w:color w:val="000000"/>
          <w:sz w:val="24"/>
          <w:szCs w:val="24"/>
        </w:rPr>
        <w:t>：</w:t>
      </w:r>
      <w:r>
        <w:rPr>
          <w:rFonts w:ascii="Times New Roman" w:eastAsia="仿宋_GB2312"/>
          <w:color w:val="000000"/>
          <w:sz w:val="24"/>
          <w:szCs w:val="24"/>
          <w:u w:val="single"/>
        </w:rPr>
        <w:t>         </w:t>
      </w:r>
      <w:r>
        <w:rPr>
          <w:rFonts w:ascii="Times New Roman" w:eastAsia="仿宋_GB2312"/>
          <w:color w:val="000000"/>
          <w:sz w:val="24"/>
          <w:szCs w:val="24"/>
        </w:rPr>
        <w:t>。</w:t>
      </w:r>
    </w:p>
    <w:p>
      <w:pPr>
        <w:pStyle w:val="9"/>
        <w:spacing w:line="480" w:lineRule="exact"/>
        <w:rPr>
          <w:rFonts w:ascii="Times New Roman" w:hAnsi="Times New Roman" w:eastAsia="黑体"/>
          <w:bCs w:val="0"/>
          <w:color w:val="000000"/>
          <w:sz w:val="24"/>
          <w:szCs w:val="24"/>
        </w:rPr>
      </w:pPr>
      <w:bookmarkStart w:id="84" w:name="_Toc351203486"/>
      <w:r>
        <w:rPr>
          <w:rFonts w:ascii="Times New Roman" w:hAnsi="Times New Roman" w:eastAsia="黑体"/>
          <w:b w:val="0"/>
          <w:color w:val="000000"/>
          <w:sz w:val="24"/>
          <w:szCs w:val="24"/>
        </w:rPr>
        <w:t>六、合同文件构成</w:t>
      </w:r>
      <w:bookmarkEnd w:id="84"/>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本协议书与下列文件一起构成合同文件：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（1）中标通知书（如果有）；</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（2）投标函及其附录（如果有）； </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（3）专用合同条款及其附件；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（4）通用合同条款；</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（5）技术标准和要求；</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（6）图纸；</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（7）已标价工程量清单或预算书；</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（8）其他合同文件。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在合同订立及履行过程中形成的与合同有关的文件均构成合同文件组成部分。</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上述各项合同文件包括合同当事人就该项合同文件所作出的补充和修改，属于同一类内容的文件，应以最新签署的为准。</w:t>
      </w:r>
      <w:r>
        <w:rPr>
          <w:rFonts w:hint="eastAsia" w:ascii="Times New Roman" w:eastAsia="仿宋_GB2312"/>
          <w:color w:val="000000"/>
          <w:sz w:val="24"/>
          <w:szCs w:val="24"/>
        </w:rPr>
        <w:t>专用合同条款及其附件须经合同当事人签字或盖章。</w:t>
      </w:r>
    </w:p>
    <w:p>
      <w:pPr>
        <w:pStyle w:val="9"/>
        <w:spacing w:line="480" w:lineRule="exact"/>
        <w:rPr>
          <w:rFonts w:ascii="Times New Roman" w:hAnsi="Times New Roman" w:eastAsia="黑体"/>
          <w:b w:val="0"/>
          <w:bCs w:val="0"/>
          <w:color w:val="000000"/>
          <w:sz w:val="24"/>
          <w:szCs w:val="24"/>
        </w:rPr>
      </w:pPr>
      <w:bookmarkStart w:id="85" w:name="_Toc351203487"/>
      <w:r>
        <w:rPr>
          <w:rFonts w:ascii="Times New Roman" w:hAnsi="Times New Roman" w:eastAsia="黑体"/>
          <w:b w:val="0"/>
          <w:color w:val="000000"/>
          <w:sz w:val="24"/>
          <w:szCs w:val="24"/>
        </w:rPr>
        <w:t>七、承诺</w:t>
      </w:r>
      <w:bookmarkEnd w:id="85"/>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1.发包人承诺按照法律规定履行项目审批手续、筹集工程建设资金并按照合同约定的期限和方式支付合同价款。</w:t>
      </w:r>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2.承包人承诺按照法律规定及合同约定组织完成工程施工，确保工程质量和安全，不进行转包及违法分包，并在缺陷责任期及保修期内承担相应的工程维修责任。</w:t>
      </w:r>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3.发包人和承包人通过招投标形式签订合同的，双方理解并</w:t>
      </w:r>
      <w:r>
        <w:rPr>
          <w:rFonts w:hint="eastAsia" w:ascii="Times New Roman" w:eastAsia="仿宋_GB2312"/>
          <w:bCs/>
          <w:color w:val="000000"/>
          <w:sz w:val="24"/>
          <w:szCs w:val="24"/>
        </w:rPr>
        <w:t>承诺</w:t>
      </w:r>
      <w:r>
        <w:rPr>
          <w:rFonts w:ascii="Times New Roman" w:eastAsia="仿宋_GB2312"/>
          <w:bCs/>
          <w:color w:val="000000"/>
          <w:sz w:val="24"/>
          <w:szCs w:val="24"/>
        </w:rPr>
        <w:t>不再就同一工程另行签订与合同实质性内容相背离的协议。</w:t>
      </w:r>
    </w:p>
    <w:p>
      <w:pPr>
        <w:spacing w:line="480" w:lineRule="exact"/>
        <w:rPr>
          <w:rFonts w:ascii="Times New Roman" w:eastAsia="黑体"/>
          <w:bCs/>
          <w:color w:val="000000"/>
          <w:sz w:val="24"/>
          <w:szCs w:val="24"/>
        </w:rPr>
      </w:pPr>
      <w:bookmarkStart w:id="86" w:name="_Toc351203488"/>
      <w:r>
        <w:rPr>
          <w:rFonts w:ascii="Times New Roman" w:eastAsia="黑体"/>
          <w:b/>
          <w:color w:val="000000"/>
          <w:sz w:val="24"/>
          <w:szCs w:val="24"/>
        </w:rPr>
        <w:t>八、词语含义</w:t>
      </w:r>
      <w:bookmarkEnd w:id="86"/>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本协议书中词语含义与第二部分通用合同条款中赋予的含义相同。</w:t>
      </w:r>
    </w:p>
    <w:p>
      <w:pPr>
        <w:pStyle w:val="9"/>
        <w:spacing w:line="480" w:lineRule="exact"/>
        <w:rPr>
          <w:rFonts w:ascii="Times New Roman" w:hAnsi="Times New Roman" w:eastAsia="黑体"/>
          <w:bCs w:val="0"/>
          <w:color w:val="000000"/>
          <w:sz w:val="24"/>
          <w:szCs w:val="24"/>
        </w:rPr>
      </w:pPr>
      <w:bookmarkStart w:id="87" w:name="_Toc351203489"/>
      <w:r>
        <w:rPr>
          <w:rFonts w:ascii="Times New Roman" w:hAnsi="Times New Roman" w:eastAsia="黑体"/>
          <w:b w:val="0"/>
          <w:color w:val="000000"/>
          <w:sz w:val="24"/>
          <w:szCs w:val="24"/>
        </w:rPr>
        <w:t>九、签订时间</w:t>
      </w:r>
      <w:bookmarkEnd w:id="87"/>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本合同于年月日签订。</w:t>
      </w:r>
    </w:p>
    <w:p>
      <w:pPr>
        <w:pStyle w:val="9"/>
        <w:spacing w:line="480" w:lineRule="exact"/>
        <w:rPr>
          <w:rFonts w:ascii="Times New Roman" w:hAnsi="Times New Roman" w:eastAsia="黑体"/>
          <w:bCs w:val="0"/>
          <w:color w:val="000000"/>
          <w:sz w:val="24"/>
          <w:szCs w:val="24"/>
        </w:rPr>
      </w:pPr>
      <w:bookmarkStart w:id="88" w:name="_Toc351203490"/>
      <w:r>
        <w:rPr>
          <w:rFonts w:ascii="Times New Roman" w:hAnsi="Times New Roman" w:eastAsia="黑体"/>
          <w:b w:val="0"/>
          <w:color w:val="000000"/>
          <w:sz w:val="24"/>
          <w:szCs w:val="24"/>
        </w:rPr>
        <w:t>十、签订地点</w:t>
      </w:r>
      <w:bookmarkEnd w:id="88"/>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本合同在签订。</w:t>
      </w:r>
    </w:p>
    <w:p>
      <w:pPr>
        <w:pStyle w:val="9"/>
        <w:spacing w:line="480" w:lineRule="exact"/>
        <w:rPr>
          <w:rFonts w:ascii="Times New Roman" w:hAnsi="Times New Roman" w:eastAsia="黑体"/>
          <w:bCs w:val="0"/>
          <w:color w:val="000000"/>
          <w:sz w:val="24"/>
          <w:szCs w:val="24"/>
        </w:rPr>
      </w:pPr>
      <w:bookmarkStart w:id="89" w:name="_Toc351203491"/>
      <w:r>
        <w:rPr>
          <w:rFonts w:ascii="Times New Roman" w:hAnsi="Times New Roman" w:eastAsia="黑体"/>
          <w:b w:val="0"/>
          <w:color w:val="000000"/>
          <w:sz w:val="24"/>
          <w:szCs w:val="24"/>
        </w:rPr>
        <w:t>十一、补充协议</w:t>
      </w:r>
      <w:bookmarkEnd w:id="89"/>
    </w:p>
    <w:p>
      <w:pPr>
        <w:spacing w:line="480" w:lineRule="exact"/>
        <w:ind w:firstLine="480" w:firstLineChars="200"/>
        <w:rPr>
          <w:rFonts w:ascii="Times New Roman" w:eastAsia="仿宋_GB2312"/>
          <w:b/>
          <w:bCs/>
          <w:color w:val="000000"/>
          <w:sz w:val="24"/>
          <w:szCs w:val="24"/>
        </w:rPr>
      </w:pPr>
      <w:r>
        <w:rPr>
          <w:rFonts w:ascii="Times New Roman" w:eastAsia="仿宋_GB2312"/>
          <w:bCs/>
          <w:color w:val="000000"/>
          <w:sz w:val="24"/>
          <w:szCs w:val="24"/>
        </w:rPr>
        <w:t>合同未尽事宜，合同当事人另行签订补充协议</w:t>
      </w:r>
      <w:r>
        <w:rPr>
          <w:rFonts w:hint="eastAsia" w:ascii="Times New Roman" w:eastAsia="仿宋_GB2312"/>
          <w:bCs/>
          <w:color w:val="000000"/>
          <w:sz w:val="24"/>
          <w:szCs w:val="24"/>
        </w:rPr>
        <w:t>，</w:t>
      </w:r>
      <w:r>
        <w:rPr>
          <w:rFonts w:ascii="Times New Roman" w:eastAsia="仿宋_GB2312"/>
          <w:bCs/>
          <w:color w:val="000000"/>
          <w:sz w:val="24"/>
          <w:szCs w:val="24"/>
        </w:rPr>
        <w:t>补充协议是合同的组成部分。</w:t>
      </w:r>
    </w:p>
    <w:p>
      <w:pPr>
        <w:pStyle w:val="9"/>
        <w:spacing w:line="480" w:lineRule="exact"/>
        <w:rPr>
          <w:rFonts w:ascii="Times New Roman" w:hAnsi="Times New Roman" w:eastAsia="黑体"/>
          <w:bCs w:val="0"/>
          <w:color w:val="000000"/>
          <w:sz w:val="24"/>
          <w:szCs w:val="24"/>
        </w:rPr>
      </w:pPr>
      <w:bookmarkStart w:id="90" w:name="_Toc351203492"/>
      <w:r>
        <w:rPr>
          <w:rFonts w:ascii="Times New Roman" w:hAnsi="Times New Roman" w:eastAsia="黑体"/>
          <w:b w:val="0"/>
          <w:color w:val="000000"/>
          <w:sz w:val="24"/>
          <w:szCs w:val="24"/>
        </w:rPr>
        <w:t>十二、合同生效</w:t>
      </w:r>
      <w:bookmarkEnd w:id="90"/>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本合同自生效。</w:t>
      </w:r>
    </w:p>
    <w:p>
      <w:pPr>
        <w:pStyle w:val="9"/>
        <w:spacing w:line="480" w:lineRule="exact"/>
        <w:rPr>
          <w:rFonts w:ascii="Times New Roman" w:hAnsi="Times New Roman" w:eastAsia="黑体"/>
          <w:bCs w:val="0"/>
          <w:color w:val="000000"/>
          <w:sz w:val="24"/>
          <w:szCs w:val="24"/>
        </w:rPr>
      </w:pPr>
      <w:bookmarkStart w:id="91" w:name="_Toc351203493"/>
      <w:r>
        <w:rPr>
          <w:rFonts w:ascii="Times New Roman" w:hAnsi="Times New Roman" w:eastAsia="黑体"/>
          <w:b w:val="0"/>
          <w:color w:val="000000"/>
          <w:sz w:val="24"/>
          <w:szCs w:val="24"/>
        </w:rPr>
        <w:t>十三、合同份数</w:t>
      </w:r>
      <w:bookmarkEnd w:id="91"/>
    </w:p>
    <w:p>
      <w:pPr>
        <w:spacing w:line="480" w:lineRule="exact"/>
        <w:ind w:firstLine="480" w:firstLineChars="200"/>
        <w:rPr>
          <w:rFonts w:ascii="Times New Roman" w:eastAsia="仿宋_GB2312"/>
          <w:color w:val="000000"/>
          <w:sz w:val="24"/>
          <w:szCs w:val="24"/>
        </w:rPr>
      </w:pPr>
      <w:r>
        <w:rPr>
          <w:rFonts w:ascii="Times New Roman" w:eastAsia="仿宋_GB2312"/>
          <w:bCs/>
          <w:color w:val="000000"/>
          <w:sz w:val="24"/>
          <w:szCs w:val="24"/>
        </w:rPr>
        <w:t>本合同一式份，均具有同等法律效力，发包人执份，承包人执份。</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w:t>
      </w:r>
      <w:r>
        <w:rPr>
          <w:rFonts w:hint="eastAsia" w:ascii="Times New Roman" w:eastAsia="仿宋_GB2312"/>
          <w:color w:val="000000"/>
          <w:sz w:val="24"/>
          <w:szCs w:val="24"/>
        </w:rPr>
        <w:t xml:space="preserve">：  </w:t>
      </w:r>
      <w:r>
        <w:rPr>
          <w:rFonts w:ascii="Times New Roman" w:eastAsia="仿宋_GB2312"/>
          <w:color w:val="000000"/>
          <w:sz w:val="24"/>
          <w:szCs w:val="24"/>
        </w:rPr>
        <w:t>(公章)承包人</w:t>
      </w:r>
      <w:r>
        <w:rPr>
          <w:rFonts w:hint="eastAsia" w:ascii="Times New Roman" w:eastAsia="仿宋_GB2312"/>
          <w:color w:val="000000"/>
          <w:sz w:val="24"/>
          <w:szCs w:val="24"/>
        </w:rPr>
        <w:t xml:space="preserve">：  </w:t>
      </w:r>
      <w:r>
        <w:rPr>
          <w:rFonts w:ascii="Times New Roman" w:eastAsia="仿宋_GB2312"/>
          <w:color w:val="000000"/>
          <w:sz w:val="24"/>
          <w:szCs w:val="24"/>
        </w:rPr>
        <w:t>(公章)</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法定代表人或其委托代理人：  法定代表人或其委托代理人：</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（签字）                    （签字）</w:t>
      </w:r>
    </w:p>
    <w:p>
      <w:pPr>
        <w:tabs>
          <w:tab w:val="left" w:pos="4410"/>
        </w:tabs>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组织机构代码：</w:t>
      </w:r>
      <w:r>
        <w:rPr>
          <w:rFonts w:ascii="Times New Roman" w:eastAsia="仿宋_GB2312"/>
          <w:color w:val="000000"/>
          <w:sz w:val="24"/>
          <w:szCs w:val="24"/>
          <w:u w:val="single"/>
        </w:rPr>
        <w:t xml:space="preserve">      </w:t>
      </w:r>
      <w:r>
        <w:rPr>
          <w:rFonts w:hint="eastAsia" w:ascii="Times New Roman" w:eastAsia="仿宋_GB2312"/>
          <w:color w:val="000000"/>
          <w:sz w:val="24"/>
          <w:szCs w:val="24"/>
        </w:rPr>
        <w:t xml:space="preserve"> 组织机构代码：</w:t>
      </w:r>
      <w:r>
        <w:rPr>
          <w:rFonts w:ascii="Times New Roman" w:eastAsia="仿宋_GB2312"/>
          <w:color w:val="000000"/>
          <w:sz w:val="24"/>
          <w:szCs w:val="24"/>
          <w:u w:val="single"/>
        </w:rPr>
        <w:t xml:space="preserve"> 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地  址：</w:t>
      </w:r>
      <w:r>
        <w:rPr>
          <w:rFonts w:ascii="Times New Roman" w:eastAsia="仿宋_GB2312"/>
          <w:color w:val="000000"/>
          <w:sz w:val="24"/>
          <w:szCs w:val="24"/>
          <w:u w:val="single"/>
        </w:rPr>
        <w:t xml:space="preserve">     </w:t>
      </w:r>
      <w:r>
        <w:rPr>
          <w:rFonts w:ascii="Times New Roman" w:eastAsia="仿宋_GB2312"/>
          <w:color w:val="000000"/>
          <w:sz w:val="24"/>
          <w:szCs w:val="24"/>
        </w:rPr>
        <w:t>地  址：</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邮政编码：</w:t>
      </w:r>
      <w:r>
        <w:rPr>
          <w:rFonts w:ascii="Times New Roman" w:eastAsia="仿宋_GB2312"/>
          <w:color w:val="000000"/>
          <w:sz w:val="24"/>
          <w:szCs w:val="24"/>
          <w:u w:val="single"/>
        </w:rPr>
        <w:t xml:space="preserve">   </w:t>
      </w:r>
      <w:r>
        <w:rPr>
          <w:rFonts w:ascii="Times New Roman" w:eastAsia="仿宋_GB2312"/>
          <w:color w:val="000000"/>
          <w:sz w:val="24"/>
          <w:szCs w:val="24"/>
        </w:rPr>
        <w:t>邮政编码：</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法定代表人：</w:t>
      </w:r>
      <w:r>
        <w:rPr>
          <w:rFonts w:ascii="Times New Roman" w:eastAsia="仿宋_GB2312"/>
          <w:color w:val="000000"/>
          <w:sz w:val="24"/>
          <w:szCs w:val="24"/>
          <w:u w:val="single"/>
        </w:rPr>
        <w:t></w:t>
      </w:r>
      <w:r>
        <w:rPr>
          <w:rFonts w:ascii="Times New Roman" w:eastAsia="仿宋_GB2312"/>
          <w:color w:val="000000"/>
          <w:sz w:val="24"/>
          <w:szCs w:val="24"/>
        </w:rPr>
        <w:t>法定代表人：</w:t>
      </w: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  话：</w:t>
      </w:r>
      <w:r>
        <w:rPr>
          <w:rFonts w:ascii="Times New Roman" w:eastAsia="仿宋_GB2312"/>
          <w:color w:val="000000"/>
          <w:sz w:val="24"/>
          <w:szCs w:val="24"/>
          <w:u w:val="single"/>
        </w:rPr>
        <w:t></w:t>
      </w:r>
      <w:r>
        <w:rPr>
          <w:rFonts w:ascii="Times New Roman" w:eastAsia="仿宋_GB2312"/>
          <w:color w:val="000000"/>
          <w:sz w:val="24"/>
          <w:szCs w:val="24"/>
        </w:rPr>
        <w:t>电  话：</w:t>
      </w: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传  真：</w:t>
      </w:r>
      <w:r>
        <w:rPr>
          <w:rFonts w:ascii="Times New Roman" w:eastAsia="仿宋_GB2312"/>
          <w:color w:val="000000"/>
          <w:sz w:val="24"/>
          <w:szCs w:val="24"/>
          <w:u w:val="single"/>
        </w:rPr>
        <w:t xml:space="preserve"> </w:t>
      </w:r>
      <w:r>
        <w:rPr>
          <w:rFonts w:ascii="Times New Roman" w:eastAsia="仿宋_GB2312"/>
          <w:color w:val="000000"/>
          <w:sz w:val="24"/>
          <w:szCs w:val="24"/>
        </w:rPr>
        <w:t>传  真：</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电子信箱：电子信箱：</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开户银行：</w:t>
      </w:r>
      <w:r>
        <w:rPr>
          <w:rFonts w:ascii="Times New Roman" w:eastAsia="仿宋_GB2312"/>
          <w:color w:val="000000"/>
          <w:sz w:val="24"/>
          <w:szCs w:val="24"/>
          <w:u w:val="single"/>
        </w:rPr>
        <w:t xml:space="preserve">   </w:t>
      </w:r>
      <w:r>
        <w:rPr>
          <w:rFonts w:ascii="Times New Roman" w:eastAsia="仿宋_GB2312"/>
          <w:color w:val="000000"/>
          <w:sz w:val="24"/>
          <w:szCs w:val="24"/>
        </w:rPr>
        <w:t>开户银行：</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8"/>
          <w:szCs w:val="28"/>
        </w:rPr>
      </w:pPr>
      <w:r>
        <w:rPr>
          <w:rFonts w:ascii="Times New Roman" w:eastAsia="仿宋_GB2312"/>
          <w:color w:val="000000"/>
          <w:sz w:val="24"/>
          <w:szCs w:val="24"/>
        </w:rPr>
        <w:t>账  号：</w:t>
      </w:r>
      <w:r>
        <w:rPr>
          <w:rFonts w:ascii="Times New Roman" w:eastAsia="仿宋_GB2312"/>
          <w:color w:val="000000"/>
          <w:sz w:val="24"/>
          <w:szCs w:val="24"/>
          <w:u w:val="single"/>
        </w:rPr>
        <w:t xml:space="preserve">       </w:t>
      </w:r>
      <w:r>
        <w:rPr>
          <w:rFonts w:ascii="Times New Roman" w:eastAsia="仿宋_GB2312"/>
          <w:color w:val="000000"/>
          <w:sz w:val="24"/>
          <w:szCs w:val="24"/>
        </w:rPr>
        <w:t>账 号：</w:t>
      </w:r>
      <w:r>
        <w:rPr>
          <w:rFonts w:ascii="Times New Roman" w:eastAsia="仿宋_GB2312"/>
          <w:color w:val="000000"/>
          <w:sz w:val="24"/>
          <w:szCs w:val="24"/>
          <w:u w:val="single"/>
        </w:rPr>
        <w:t></w:t>
      </w:r>
    </w:p>
    <w:p>
      <w:pPr>
        <w:pStyle w:val="8"/>
        <w:jc w:val="center"/>
        <w:rPr>
          <w:rFonts w:ascii="华文中宋" w:hAnsi="华文中宋" w:eastAsia="华文中宋"/>
          <w:sz w:val="44"/>
          <w:szCs w:val="44"/>
        </w:rPr>
      </w:pPr>
      <w:r>
        <w:rPr>
          <w:rFonts w:eastAsia="仿宋_GB2312"/>
        </w:rPr>
        <w:br w:type="page"/>
      </w:r>
      <w:bookmarkStart w:id="92" w:name="_Toc351203494"/>
      <w:r>
        <w:rPr>
          <w:rFonts w:ascii="华文中宋" w:hAnsi="华文中宋" w:eastAsia="华文中宋"/>
          <w:sz w:val="44"/>
          <w:szCs w:val="44"/>
        </w:rPr>
        <w:t>第二部分 通用合同条款</w:t>
      </w:r>
      <w:bookmarkEnd w:id="92"/>
      <w:r>
        <w:rPr>
          <w:rFonts w:hint="eastAsia" w:ascii="华文中宋" w:hAnsi="华文中宋" w:eastAsia="华文中宋"/>
          <w:sz w:val="44"/>
          <w:szCs w:val="44"/>
        </w:rPr>
        <w:t>（略）</w:t>
      </w: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p>
    <w:p>
      <w:pPr>
        <w:pStyle w:val="9"/>
        <w:spacing w:line="480" w:lineRule="exact"/>
        <w:rPr>
          <w:rFonts w:ascii="Times New Roman" w:hAnsi="Times New Roman" w:eastAsia="黑体"/>
          <w:b w:val="0"/>
          <w:color w:val="000000"/>
          <w:sz w:val="24"/>
          <w:szCs w:val="24"/>
        </w:rPr>
      </w:pPr>
      <w:bookmarkStart w:id="93" w:name="_Toc351203633"/>
      <w:r>
        <w:rPr>
          <w:rFonts w:ascii="Times New Roman" w:hAnsi="Times New Roman" w:eastAsia="黑体"/>
          <w:b w:val="0"/>
          <w:color w:val="000000"/>
          <w:sz w:val="24"/>
          <w:szCs w:val="24"/>
        </w:rPr>
        <w:t>1</w:t>
      </w:r>
      <w:bookmarkStart w:id="94" w:name="_Toc292559361"/>
      <w:bookmarkStart w:id="95" w:name="_Toc296891196"/>
      <w:bookmarkStart w:id="96" w:name="_Toc297120456"/>
      <w:bookmarkStart w:id="97" w:name="_Toc296890984"/>
      <w:bookmarkStart w:id="98" w:name="_Toc296944495"/>
      <w:bookmarkStart w:id="99" w:name="_Toc296503156"/>
      <w:bookmarkStart w:id="100" w:name="_Toc297048342"/>
      <w:bookmarkStart w:id="101" w:name="_Toc292559866"/>
      <w:bookmarkStart w:id="102" w:name="_Toc296346657"/>
      <w:bookmarkStart w:id="103" w:name="_Toc296347155"/>
      <w:r>
        <w:rPr>
          <w:rFonts w:ascii="Times New Roman" w:hAnsi="Times New Roman" w:eastAsia="黑体"/>
          <w:b w:val="0"/>
          <w:color w:val="000000"/>
          <w:sz w:val="24"/>
          <w:szCs w:val="24"/>
        </w:rPr>
        <w:t>. 一般约定</w:t>
      </w:r>
      <w:bookmarkEnd w:id="93"/>
    </w:p>
    <w:bookmarkEnd w:id="94"/>
    <w:bookmarkEnd w:id="95"/>
    <w:bookmarkEnd w:id="96"/>
    <w:bookmarkEnd w:id="97"/>
    <w:bookmarkEnd w:id="98"/>
    <w:bookmarkEnd w:id="99"/>
    <w:bookmarkEnd w:id="100"/>
    <w:bookmarkEnd w:id="101"/>
    <w:bookmarkEnd w:id="102"/>
    <w:bookmarkEnd w:id="103"/>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 词语定义</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1.1.1合同</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1.1.1.10其他合同文件包括：</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 合同当事人及其他相关方</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1.1.2.4监理人：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名    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1.1.2.5 设计人：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名    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1.1.3 工程和设备</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1.1.3.7 作为施工现场组成部分的其他场所包括：</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1.1.3.9 永久占地包括：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1.1.3.10 临时占地包括：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 xml:space="preserve">1.3法律 </w:t>
      </w:r>
    </w:p>
    <w:p>
      <w:pPr>
        <w:autoSpaceDE w:val="0"/>
        <w:autoSpaceDN w:val="0"/>
        <w:adjustRightInd w:val="0"/>
        <w:spacing w:line="480" w:lineRule="exact"/>
        <w:ind w:left="965" w:leftChars="284"/>
        <w:jc w:val="left"/>
        <w:rPr>
          <w:rFonts w:ascii="Times New Roman" w:eastAsia="仿宋_GB2312"/>
          <w:color w:val="000000"/>
          <w:sz w:val="24"/>
          <w:szCs w:val="24"/>
          <w:u w:val="single"/>
        </w:rPr>
      </w:pPr>
      <w:r>
        <w:rPr>
          <w:rFonts w:ascii="Times New Roman" w:eastAsia="仿宋_GB2312"/>
          <w:color w:val="000000"/>
          <w:sz w:val="24"/>
          <w:szCs w:val="24"/>
        </w:rPr>
        <w:t>适用于合同的其他规范性文件：</w:t>
      </w:r>
      <w:r>
        <w:rPr>
          <w:rFonts w:ascii="Times New Roman" w:eastAsia="仿宋_GB2312"/>
          <w:color w:val="000000"/>
          <w:sz w:val="24"/>
          <w:szCs w:val="24"/>
          <w:u w:val="single"/>
        </w:rPr>
        <w:t></w:t>
      </w:r>
    </w:p>
    <w:p>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 标准和规范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1.4.1适用于工程的标准规范包括：</w:t>
      </w:r>
      <w:r>
        <w:rPr>
          <w:rFonts w:ascii="Times New Roman" w:eastAsia="仿宋_GB2312"/>
          <w:color w:val="000000"/>
          <w:sz w:val="24"/>
          <w:szCs w:val="24"/>
          <w:u w:val="single"/>
        </w:rPr>
        <w:t></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1.4.2 发包人提供国外标准、规范的名称：</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发包人提供国外标准、规范的份数：</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发包人提供国外标准、规范的名称：</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1.4.3发包人对工程的技术标准和功能要求的特殊要求：</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after="120"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1.5 合同文件的优先顺序</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合同文件组成及优先顺序为：</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 图纸和承包人文件</w:t>
      </w:r>
      <w:r>
        <w:rPr>
          <w:rFonts w:ascii="Times New Roman" w:eastAsia="黑体"/>
          <w:color w:val="000000"/>
          <w:sz w:val="24"/>
          <w:szCs w:val="24"/>
        </w:rPr>
        <w:tab/>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1.6.1 图纸的提供</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发包人向承包人提供图纸的期限：</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发包人向承包人提供图纸的数量：</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发包人向承包人提供图纸的内容：</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1.6.4 承包人文件</w:t>
      </w:r>
    </w:p>
    <w:p>
      <w:pPr>
        <w:spacing w:line="480" w:lineRule="exact"/>
        <w:ind w:left="965" w:leftChars="284"/>
        <w:jc w:val="left"/>
        <w:rPr>
          <w:rFonts w:ascii="Times New Roman" w:eastAsia="仿宋_GB2312"/>
          <w:color w:val="000000"/>
          <w:sz w:val="24"/>
          <w:szCs w:val="24"/>
          <w:u w:val="single"/>
        </w:rPr>
      </w:pPr>
      <w:r>
        <w:rPr>
          <w:rFonts w:ascii="Times New Roman" w:eastAsia="仿宋_GB2312"/>
          <w:color w:val="000000"/>
          <w:sz w:val="24"/>
          <w:szCs w:val="24"/>
        </w:rPr>
        <w:t>需要由承包人提供的文件，包括：</w:t>
      </w:r>
      <w:r>
        <w:rPr>
          <w:rFonts w:ascii="Times New Roman" w:eastAsia="仿宋_GB2312"/>
          <w:color w:val="000000"/>
          <w:sz w:val="24"/>
          <w:szCs w:val="24"/>
          <w:u w:val="single"/>
        </w:rPr>
        <w:t></w:t>
      </w:r>
    </w:p>
    <w:p>
      <w:pPr>
        <w:spacing w:line="480" w:lineRule="exact"/>
        <w:ind w:left="965" w:leftChars="284"/>
        <w:jc w:val="left"/>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承包人提供的文件的期限为：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承包人提供的文件的数量为：</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承包人提供的文件的形式为：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w:t>
      </w:r>
      <w:r>
        <w:rPr>
          <w:rFonts w:hint="eastAsia" w:ascii="Times New Roman" w:eastAsia="仿宋_GB2312"/>
          <w:color w:val="000000"/>
          <w:sz w:val="24"/>
          <w:szCs w:val="24"/>
        </w:rPr>
        <w:t>审批</w:t>
      </w:r>
      <w:r>
        <w:rPr>
          <w:rFonts w:ascii="Times New Roman" w:eastAsia="仿宋_GB2312"/>
          <w:color w:val="000000"/>
          <w:sz w:val="24"/>
          <w:szCs w:val="24"/>
        </w:rPr>
        <w:t>承包人文件的期限：</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1.6.5 现场图纸准备</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关于现场图纸准备的约定：</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1.7 联络</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1.7.1发包人和承包人应当在</w:t>
      </w:r>
      <w:r>
        <w:rPr>
          <w:rFonts w:ascii="Times New Roman" w:eastAsia="仿宋_GB2312"/>
          <w:color w:val="000000"/>
          <w:sz w:val="24"/>
          <w:szCs w:val="24"/>
          <w:u w:val="single"/>
        </w:rPr>
        <w:t></w:t>
      </w:r>
      <w:r>
        <w:rPr>
          <w:rFonts w:ascii="Times New Roman" w:eastAsia="仿宋_GB2312"/>
          <w:color w:val="000000"/>
          <w:sz w:val="24"/>
          <w:szCs w:val="24"/>
        </w:rPr>
        <w:t>天内将与合同有关的通知、批准、证明、证书、指示、指令、要求、请求、同意、意见、确定和决定等书面函件送达对方当事人</w:t>
      </w:r>
      <w:r>
        <w:rPr>
          <w:rFonts w:hint="eastAsia"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1.7.2 发包人接收文件的地点：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1.10 交通运输</w:t>
      </w:r>
    </w:p>
    <w:p>
      <w:pPr>
        <w:spacing w:line="480" w:lineRule="exact"/>
        <w:ind w:firstLine="480" w:firstLineChars="200"/>
        <w:outlineLvl w:val="0"/>
        <w:rPr>
          <w:rFonts w:ascii="Times New Roman" w:eastAsia="仿宋_GB2312"/>
          <w:sz w:val="24"/>
          <w:szCs w:val="24"/>
        </w:rPr>
      </w:pPr>
      <w:r>
        <w:rPr>
          <w:rFonts w:ascii="Times New Roman" w:eastAsia="仿宋_GB2312"/>
          <w:sz w:val="24"/>
          <w:szCs w:val="24"/>
        </w:rPr>
        <w:t>1</w:t>
      </w:r>
      <w:bookmarkStart w:id="104" w:name="_Toc304295521"/>
      <w:bookmarkStart w:id="105" w:name="_Toc318581155"/>
      <w:bookmarkStart w:id="106" w:name="_Toc300934943"/>
      <w:bookmarkStart w:id="107" w:name="_Toc303539100"/>
      <w:bookmarkStart w:id="108" w:name="_Toc312677986"/>
      <w:r>
        <w:rPr>
          <w:rFonts w:ascii="Times New Roman" w:eastAsia="仿宋_GB2312"/>
          <w:sz w:val="24"/>
          <w:szCs w:val="24"/>
        </w:rPr>
        <w:t>.10.1 出入现场的权利</w:t>
      </w:r>
    </w:p>
    <w:p>
      <w:pPr>
        <w:spacing w:line="480" w:lineRule="exact"/>
        <w:ind w:left="965" w:leftChars="284"/>
        <w:rPr>
          <w:rFonts w:ascii="Times New Roman" w:eastAsia="仿宋_GB2312"/>
          <w:color w:val="000000"/>
          <w:sz w:val="24"/>
          <w:szCs w:val="24"/>
          <w:u w:val="single"/>
        </w:rPr>
      </w:pPr>
      <w:r>
        <w:rPr>
          <w:rFonts w:ascii="Times New Roman" w:eastAsia="仿宋_GB2312"/>
          <w:sz w:val="24"/>
          <w:szCs w:val="24"/>
        </w:rPr>
        <w:t>关于出入现场的权利的约定：</w:t>
      </w:r>
      <w:r>
        <w:rPr>
          <w:rFonts w:ascii="Times New Roman" w:eastAsia="仿宋_GB2312"/>
          <w:color w:val="000000"/>
          <w:sz w:val="24"/>
          <w:szCs w:val="24"/>
          <w:u w:val="single"/>
        </w:rPr>
        <w:t> </w:t>
      </w:r>
    </w:p>
    <w:p>
      <w:pPr>
        <w:spacing w:line="480" w:lineRule="exact"/>
        <w:rPr>
          <w:rFonts w:ascii="Times New Roman" w:eastAsia="仿宋_GB2312"/>
          <w:sz w:val="24"/>
          <w:szCs w:val="24"/>
        </w:rPr>
      </w:pPr>
      <w:r>
        <w:rPr>
          <w:rFonts w:ascii="Times New Roman" w:eastAsia="仿宋_GB2312"/>
          <w:color w:val="000000"/>
          <w:sz w:val="24"/>
          <w:szCs w:val="24"/>
          <w:u w:val="single"/>
        </w:rPr>
        <w:t> </w:t>
      </w:r>
      <w:r>
        <w:rPr>
          <w:rFonts w:ascii="Times New Roman" w:eastAsia="仿宋_GB2312"/>
          <w:sz w:val="24"/>
          <w:szCs w:val="24"/>
        </w:rPr>
        <w:t>。</w:t>
      </w:r>
    </w:p>
    <w:bookmarkEnd w:id="104"/>
    <w:bookmarkEnd w:id="105"/>
    <w:bookmarkEnd w:id="106"/>
    <w:bookmarkEnd w:id="107"/>
    <w:bookmarkEnd w:id="108"/>
    <w:p>
      <w:pPr>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1</w:t>
      </w:r>
      <w:bookmarkStart w:id="109" w:name="_Toc303539101"/>
      <w:bookmarkStart w:id="110" w:name="_Toc300934944"/>
      <w:bookmarkStart w:id="111" w:name="_Toc318581156"/>
      <w:bookmarkStart w:id="112" w:name="_Toc312677987"/>
      <w:bookmarkStart w:id="113" w:name="_Toc304295522"/>
      <w:r>
        <w:rPr>
          <w:rFonts w:ascii="Times New Roman" w:eastAsia="仿宋_GB2312"/>
          <w:sz w:val="24"/>
          <w:szCs w:val="24"/>
        </w:rPr>
        <w:t>.10.3 场内交通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关于场外交通和场内交通的边界的约定：</w:t>
      </w:r>
      <w:r>
        <w:rPr>
          <w:rFonts w:ascii="Times New Roman" w:eastAsia="仿宋_GB2312"/>
          <w:color w:val="000000"/>
          <w:sz w:val="24"/>
          <w:szCs w:val="24"/>
          <w:u w:val="single"/>
        </w:rPr>
        <w:t>  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color w:val="000000"/>
          <w:sz w:val="24"/>
          <w:szCs w:val="24"/>
          <w:u w:val="single"/>
        </w:rPr>
        <w:t>             </w:t>
      </w:r>
      <w:r>
        <w:rPr>
          <w:rFonts w:ascii="Times New Roman" w:eastAsia="仿宋_GB2312"/>
          <w:sz w:val="24"/>
          <w:szCs w:val="24"/>
        </w:rPr>
        <w:t>。</w:t>
      </w:r>
      <w:bookmarkEnd w:id="109"/>
      <w:bookmarkEnd w:id="110"/>
      <w:bookmarkEnd w:id="111"/>
      <w:bookmarkEnd w:id="112"/>
      <w:bookmarkEnd w:id="113"/>
      <w:bookmarkStart w:id="114" w:name="_Toc318581157"/>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1.10.4超大件和超重件的运输</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4"/>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1.11 知识产权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left="965" w:leftChars="284"/>
        <w:rPr>
          <w:rFonts w:ascii="Times New Roman" w:eastAsia="仿宋_GB2312"/>
          <w:color w:val="000000"/>
          <w:sz w:val="24"/>
          <w:szCs w:val="24"/>
        </w:rPr>
      </w:pPr>
      <w:r>
        <w:rPr>
          <w:rFonts w:ascii="Times New Roman" w:eastAsia="仿宋_GB2312"/>
          <w:color w:val="000000"/>
          <w:sz w:val="24"/>
          <w:szCs w:val="24"/>
        </w:rPr>
        <w:t>关于发包人提供的上述文件的使用限制的要求：</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1.11.2 关于承包人为实施工程所编制文件的著作权的归属：</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1.11.3</w:t>
      </w:r>
      <w:r>
        <w:rPr>
          <w:rFonts w:ascii="Times New Roman" w:eastAsia="仿宋_GB2312"/>
          <w:color w:val="000000"/>
          <w:sz w:val="24"/>
          <w:szCs w:val="24"/>
        </w:rPr>
        <w:t>关于承包人提供的上述文件的使用限制的要求：</w:t>
      </w:r>
      <w:r>
        <w:rPr>
          <w:rFonts w:ascii="Times New Roman" w:eastAsia="仿宋_GB2312"/>
          <w:color w:val="000000"/>
          <w:sz w:val="24"/>
          <w:szCs w:val="24"/>
          <w:u w:val="single"/>
        </w:rPr>
        <w:t>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1.11.4 承包人在施工过程中所采用的专利、专有技术、技术秘密的使用费的承担方式：</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1.13工程量清单错误的修正</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出现工程量清单错误时，是否调整合同价格：</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允许调整合同价格的工程量偏差范围：</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115" w:name="_Toc351203634"/>
      <w:r>
        <w:rPr>
          <w:rFonts w:ascii="Times New Roman" w:hAnsi="Times New Roman" w:eastAsia="黑体"/>
          <w:b w:val="0"/>
          <w:color w:val="000000"/>
          <w:sz w:val="24"/>
          <w:szCs w:val="24"/>
        </w:rPr>
        <w:t>2</w:t>
      </w:r>
      <w:bookmarkStart w:id="116" w:name="_Toc292559362"/>
      <w:bookmarkStart w:id="117" w:name="_Toc296347156"/>
      <w:bookmarkStart w:id="118" w:name="_Toc292559867"/>
      <w:bookmarkStart w:id="119" w:name="_Toc296346658"/>
      <w:bookmarkStart w:id="120" w:name="_Toc297048343"/>
      <w:bookmarkStart w:id="121" w:name="_Toc297120457"/>
      <w:bookmarkStart w:id="122" w:name="_Toc296890985"/>
      <w:bookmarkStart w:id="123" w:name="_Toc296944496"/>
      <w:bookmarkStart w:id="124" w:name="_Toc296503157"/>
      <w:bookmarkStart w:id="125" w:name="_Toc296891197"/>
      <w:r>
        <w:rPr>
          <w:rFonts w:ascii="Times New Roman" w:hAnsi="Times New Roman" w:eastAsia="黑体"/>
          <w:b w:val="0"/>
          <w:color w:val="000000"/>
          <w:sz w:val="24"/>
          <w:szCs w:val="24"/>
        </w:rPr>
        <w:t>. 发包人</w:t>
      </w:r>
      <w:bookmarkEnd w:id="115"/>
    </w:p>
    <w:bookmarkEnd w:id="116"/>
    <w:bookmarkEnd w:id="117"/>
    <w:bookmarkEnd w:id="118"/>
    <w:bookmarkEnd w:id="119"/>
    <w:bookmarkEnd w:id="120"/>
    <w:bookmarkEnd w:id="121"/>
    <w:bookmarkEnd w:id="122"/>
    <w:bookmarkEnd w:id="123"/>
    <w:bookmarkEnd w:id="124"/>
    <w:bookmarkEnd w:id="125"/>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2.2 发包人代表</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发包人代表：</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职    务：</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发包人对发包人代表的授权范围如下：</w:t>
      </w:r>
      <w:r>
        <w:rPr>
          <w:rFonts w:ascii="Times New Roman" w:eastAsia="仿宋_GB2312"/>
          <w:color w:val="000000"/>
          <w:sz w:val="24"/>
          <w:szCs w:val="24"/>
          <w:u w:val="single"/>
        </w:rPr>
        <w:t>     </w:t>
      </w:r>
    </w:p>
    <w:p>
      <w:pPr>
        <w:spacing w:line="480" w:lineRule="exact"/>
        <w:rPr>
          <w:rFonts w:ascii="Times New Roman" w:eastAsia="仿宋_GB2312"/>
          <w:b/>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2.4 施工现场、施工条件和基础资料的提供</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2.4.1 提供施工现场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关于发包人移交施工现场的期限要求：</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2.4.2 提供施工条件</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关于发包人应负责提供施工</w:t>
      </w:r>
      <w:r>
        <w:rPr>
          <w:rFonts w:hint="eastAsia" w:ascii="Times New Roman" w:eastAsia="仿宋_GB2312"/>
          <w:color w:val="000000"/>
          <w:sz w:val="24"/>
          <w:szCs w:val="24"/>
        </w:rPr>
        <w:t>所需要的条件，</w:t>
      </w:r>
      <w:r>
        <w:rPr>
          <w:rFonts w:ascii="Times New Roman" w:eastAsia="仿宋_GB2312"/>
          <w:color w:val="000000"/>
          <w:sz w:val="24"/>
          <w:szCs w:val="24"/>
        </w:rPr>
        <w:t>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2.5 资金来源证明及支付担保</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发包人提供资金来源证明的期限要求：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发包人是否提供支付担保：</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发包人提供支付担保的形式：</w:t>
      </w:r>
      <w:r>
        <w:rPr>
          <w:rFonts w:ascii="Times New Roman" w:eastAsia="仿宋_GB2312"/>
          <w:color w:val="000000"/>
          <w:sz w:val="24"/>
          <w:szCs w:val="24"/>
          <w:u w:val="single"/>
        </w:rPr>
        <w:t>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126" w:name="_Toc351203635"/>
      <w:r>
        <w:rPr>
          <w:rFonts w:ascii="Times New Roman" w:hAnsi="Times New Roman" w:eastAsia="黑体"/>
          <w:b w:val="0"/>
          <w:color w:val="000000"/>
          <w:sz w:val="24"/>
          <w:szCs w:val="24"/>
        </w:rPr>
        <w:t>3</w:t>
      </w:r>
      <w:bookmarkStart w:id="127" w:name="_Toc296890986"/>
      <w:bookmarkStart w:id="128" w:name="_Toc292559868"/>
      <w:bookmarkStart w:id="129" w:name="_Toc292559363"/>
      <w:bookmarkStart w:id="130" w:name="_Toc297120458"/>
      <w:bookmarkStart w:id="131" w:name="_Toc296347157"/>
      <w:bookmarkStart w:id="132" w:name="_Toc296503158"/>
      <w:bookmarkStart w:id="133" w:name="_Toc296891198"/>
      <w:bookmarkStart w:id="134" w:name="_Toc296944497"/>
      <w:bookmarkStart w:id="135" w:name="_Toc296346659"/>
      <w:bookmarkStart w:id="136" w:name="_Toc297048344"/>
      <w:r>
        <w:rPr>
          <w:rFonts w:ascii="Times New Roman" w:hAnsi="Times New Roman" w:eastAsia="黑体"/>
          <w:b w:val="0"/>
          <w:color w:val="000000"/>
          <w:sz w:val="24"/>
          <w:szCs w:val="24"/>
        </w:rPr>
        <w:t>. 承包人</w:t>
      </w:r>
      <w:bookmarkEnd w:id="126"/>
    </w:p>
    <w:bookmarkEnd w:id="127"/>
    <w:bookmarkEnd w:id="128"/>
    <w:bookmarkEnd w:id="129"/>
    <w:bookmarkEnd w:id="130"/>
    <w:bookmarkEnd w:id="131"/>
    <w:bookmarkEnd w:id="132"/>
    <w:bookmarkEnd w:id="133"/>
    <w:bookmarkEnd w:id="134"/>
    <w:bookmarkEnd w:id="135"/>
    <w:bookmarkEnd w:id="136"/>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3.1 承包人的一般义务</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w:t>
      </w:r>
      <w:r>
        <w:rPr>
          <w:rFonts w:hint="eastAsia" w:ascii="Times New Roman" w:eastAsia="仿宋_GB2312"/>
          <w:color w:val="000000"/>
          <w:sz w:val="24"/>
          <w:szCs w:val="24"/>
        </w:rPr>
        <w:t>9</w:t>
      </w:r>
      <w:r>
        <w:rPr>
          <w:rFonts w:ascii="Times New Roman" w:eastAsia="仿宋_GB2312"/>
          <w:color w:val="000000"/>
          <w:sz w:val="24"/>
          <w:szCs w:val="24"/>
        </w:rPr>
        <w:t>）承包人提交的竣工资料的内容：。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承包人需要提交的竣工资料套数：。</w:t>
      </w:r>
    </w:p>
    <w:p>
      <w:pPr>
        <w:spacing w:line="480" w:lineRule="exact"/>
        <w:ind w:left="1033" w:leftChars="304"/>
        <w:jc w:val="left"/>
        <w:rPr>
          <w:rFonts w:ascii="Times New Roman" w:eastAsia="仿宋_GB2312"/>
          <w:color w:val="000000"/>
          <w:sz w:val="24"/>
          <w:szCs w:val="24"/>
        </w:rPr>
      </w:pPr>
      <w:r>
        <w:rPr>
          <w:rFonts w:ascii="Times New Roman" w:eastAsia="仿宋_GB2312"/>
          <w:color w:val="000000"/>
          <w:sz w:val="24"/>
          <w:szCs w:val="24"/>
        </w:rPr>
        <w:t>承包人提交的竣工资料的费用承担：。</w:t>
      </w:r>
    </w:p>
    <w:p>
      <w:pPr>
        <w:spacing w:line="480" w:lineRule="exact"/>
        <w:ind w:left="1033" w:leftChars="304"/>
        <w:jc w:val="left"/>
        <w:rPr>
          <w:rFonts w:ascii="Times New Roman" w:eastAsia="仿宋_GB2312"/>
          <w:color w:val="000000"/>
          <w:sz w:val="24"/>
          <w:szCs w:val="24"/>
        </w:rPr>
      </w:pPr>
      <w:r>
        <w:rPr>
          <w:rFonts w:ascii="Times New Roman" w:eastAsia="仿宋_GB2312"/>
          <w:color w:val="000000"/>
          <w:sz w:val="24"/>
          <w:szCs w:val="24"/>
        </w:rPr>
        <w:t>承包人提交的竣工资料移交时间：。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承包人提交的竣工资料形式要求：。</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w:t>
      </w:r>
      <w:r>
        <w:rPr>
          <w:rFonts w:hint="eastAsia" w:ascii="Times New Roman" w:eastAsia="仿宋_GB2312"/>
          <w:color w:val="000000"/>
          <w:sz w:val="24"/>
          <w:szCs w:val="24"/>
        </w:rPr>
        <w:t>10</w:t>
      </w:r>
      <w:r>
        <w:rPr>
          <w:rFonts w:ascii="Times New Roman" w:eastAsia="仿宋_GB2312"/>
          <w:color w:val="000000"/>
          <w:sz w:val="24"/>
          <w:szCs w:val="24"/>
        </w:rPr>
        <w:t>）承包人应履行的其他义务：</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 xml:space="preserve">3.2 </w:t>
      </w:r>
      <w:r>
        <w:rPr>
          <w:rFonts w:hint="eastAsia" w:ascii="Times New Roman" w:eastAsia="黑体"/>
          <w:color w:val="000000"/>
          <w:sz w:val="24"/>
          <w:szCs w:val="24"/>
        </w:rPr>
        <w:t>项目负责人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 xml:space="preserve">3.2.1 </w:t>
      </w:r>
      <w:r>
        <w:rPr>
          <w:rFonts w:hint="eastAsia" w:ascii="Times New Roman" w:eastAsia="仿宋_GB2312"/>
          <w:color w:val="000000"/>
          <w:sz w:val="24"/>
          <w:szCs w:val="24"/>
        </w:rPr>
        <w:t>项目负责人</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建造师执业资格等级：</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建造师注册证书号：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建造师执业印章号：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安全生产考核合格证书号：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承包人对</w:t>
      </w:r>
      <w:r>
        <w:rPr>
          <w:rFonts w:hint="eastAsia" w:ascii="Times New Roman" w:eastAsia="仿宋_GB2312"/>
          <w:color w:val="000000"/>
          <w:sz w:val="24"/>
          <w:szCs w:val="24"/>
        </w:rPr>
        <w:t>项目负责人</w:t>
      </w:r>
      <w:r>
        <w:rPr>
          <w:rFonts w:ascii="Times New Roman" w:eastAsia="仿宋_GB2312"/>
          <w:color w:val="000000"/>
          <w:sz w:val="24"/>
          <w:szCs w:val="24"/>
        </w:rPr>
        <w:t>的授权范围如下：</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w:t>
      </w:r>
      <w:r>
        <w:rPr>
          <w:rFonts w:hint="eastAsia" w:ascii="Times New Roman" w:eastAsia="仿宋_GB2312"/>
          <w:color w:val="000000"/>
          <w:sz w:val="24"/>
          <w:szCs w:val="24"/>
        </w:rPr>
        <w:t>项目负责人</w:t>
      </w:r>
      <w:r>
        <w:rPr>
          <w:rFonts w:ascii="Times New Roman" w:eastAsia="仿宋_GB2312"/>
          <w:color w:val="000000"/>
          <w:sz w:val="24"/>
          <w:szCs w:val="24"/>
        </w:rPr>
        <w:t>每月在施工现场的时间要求：</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承包人未提交劳动合同，以及没有为</w:t>
      </w:r>
      <w:r>
        <w:rPr>
          <w:rFonts w:hint="eastAsia" w:ascii="Times New Roman" w:eastAsia="仿宋_GB2312"/>
          <w:color w:val="000000"/>
          <w:sz w:val="24"/>
          <w:szCs w:val="24"/>
        </w:rPr>
        <w:t>项目负责人</w:t>
      </w:r>
      <w:r>
        <w:rPr>
          <w:rFonts w:ascii="Times New Roman" w:eastAsia="仿宋_GB2312"/>
          <w:color w:val="000000"/>
          <w:sz w:val="24"/>
          <w:szCs w:val="24"/>
        </w:rPr>
        <w:t>缴纳社会保险证明的违约责任：</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项目负责人</w:t>
      </w:r>
      <w:r>
        <w:rPr>
          <w:rFonts w:ascii="Times New Roman" w:eastAsia="仿宋_GB2312"/>
          <w:color w:val="000000"/>
          <w:sz w:val="24"/>
          <w:szCs w:val="24"/>
        </w:rPr>
        <w:t>未经批准，擅自离开施工现场的违约责任：</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3.2.3 承包人擅自更换</w:t>
      </w:r>
      <w:r>
        <w:rPr>
          <w:rFonts w:hint="eastAsia" w:ascii="Times New Roman" w:eastAsia="仿宋_GB2312"/>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         </w:t>
      </w:r>
      <w:r>
        <w:rPr>
          <w:rFonts w:ascii="Times New Roman" w:eastAsia="仿宋_GB2312"/>
          <w:color w:val="000000"/>
          <w:sz w:val="24"/>
          <w:szCs w:val="24"/>
        </w:rPr>
        <w:t>。</w:t>
      </w:r>
    </w:p>
    <w:p>
      <w:pPr>
        <w:spacing w:line="480" w:lineRule="exact"/>
        <w:outlineLvl w:val="0"/>
        <w:rPr>
          <w:rFonts w:ascii="Times New Roman" w:eastAsia="仿宋_GB2312"/>
          <w:color w:val="000000"/>
          <w:sz w:val="24"/>
          <w:szCs w:val="24"/>
        </w:rPr>
      </w:pPr>
      <w:r>
        <w:rPr>
          <w:rFonts w:ascii="Times New Roman" w:eastAsia="仿宋_GB2312"/>
          <w:color w:val="000000"/>
          <w:sz w:val="24"/>
          <w:szCs w:val="24"/>
        </w:rPr>
        <w:t xml:space="preserve">    3.2.4 承包人无正当理由拒绝更换</w:t>
      </w:r>
      <w:r>
        <w:rPr>
          <w:rFonts w:hint="eastAsia" w:ascii="Times New Roman" w:eastAsia="仿宋_GB2312"/>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after="120" w:line="480" w:lineRule="exact"/>
        <w:ind w:firstLine="480" w:firstLineChars="200"/>
        <w:rPr>
          <w:rFonts w:ascii="Times New Roman" w:eastAsia="黑体"/>
          <w:color w:val="000000"/>
          <w:sz w:val="24"/>
          <w:szCs w:val="24"/>
        </w:rPr>
      </w:pPr>
      <w:r>
        <w:rPr>
          <w:rFonts w:ascii="Times New Roman" w:eastAsia="黑体"/>
          <w:color w:val="000000"/>
          <w:sz w:val="24"/>
          <w:szCs w:val="24"/>
        </w:rPr>
        <w:t>3.3 承包人人员</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3.3.1 承包人提交项目管理机构及施工现场管理人员安排报告的期限：</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3.3.3 承包人无正当理由拒绝撤换主要施工管理人员的违约责任：</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 xml:space="preserve">3.3.4 承包人主要施工管理人员离开施工现场的批准要求：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3.3.5承包人擅自更换主要施工管理人员的违约责任：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承包人主要施工管理人员擅自离开施工现场的违约责任：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w:t>
      </w:r>
      <w:bookmarkStart w:id="137" w:name="_Toc297048345"/>
      <w:bookmarkStart w:id="138" w:name="_Toc304295523"/>
      <w:bookmarkStart w:id="139" w:name="_Toc303539102"/>
      <w:bookmarkStart w:id="140" w:name="_Toc296891199"/>
      <w:bookmarkStart w:id="141" w:name="_Toc296346660"/>
      <w:bookmarkStart w:id="142" w:name="_Toc296890987"/>
      <w:bookmarkStart w:id="143" w:name="_Toc297123492"/>
      <w:bookmarkStart w:id="144" w:name="_Toc297216151"/>
      <w:bookmarkStart w:id="145" w:name="_Toc312677988"/>
      <w:bookmarkStart w:id="146" w:name="_Toc292559869"/>
      <w:bookmarkStart w:id="147" w:name="_Toc296944498"/>
      <w:bookmarkStart w:id="148" w:name="_Toc292559364"/>
      <w:bookmarkStart w:id="149" w:name="_Toc296503159"/>
      <w:bookmarkStart w:id="150" w:name="_Toc297120459"/>
      <w:bookmarkStart w:id="151" w:name="_Toc296347158"/>
      <w:bookmarkStart w:id="152" w:name="_Toc300934945"/>
      <w:r>
        <w:rPr>
          <w:rFonts w:ascii="Times New Roman" w:eastAsia="黑体"/>
          <w:color w:val="000000"/>
          <w:sz w:val="24"/>
          <w:szCs w:val="24"/>
        </w:rPr>
        <w:t>.5 分包</w:t>
      </w:r>
    </w:p>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Pr>
        <w:spacing w:line="480" w:lineRule="exact"/>
        <w:ind w:firstLine="480" w:firstLineChars="200"/>
        <w:rPr>
          <w:rFonts w:ascii="Times New Roman" w:eastAsia="仿宋_GB2312"/>
          <w:sz w:val="24"/>
          <w:szCs w:val="24"/>
        </w:rPr>
      </w:pPr>
      <w:r>
        <w:rPr>
          <w:rFonts w:ascii="Times New Roman" w:eastAsia="仿宋_GB2312"/>
          <w:sz w:val="24"/>
          <w:szCs w:val="24"/>
        </w:rPr>
        <w:t>3</w:t>
      </w:r>
      <w:bookmarkStart w:id="153" w:name="_Toc292559365"/>
      <w:bookmarkStart w:id="154" w:name="_Toc300934946"/>
      <w:bookmarkStart w:id="155" w:name="_Toc297048346"/>
      <w:bookmarkStart w:id="156" w:name="_Toc304295524"/>
      <w:bookmarkStart w:id="157" w:name="_Toc296890988"/>
      <w:bookmarkStart w:id="158" w:name="_Toc297123493"/>
      <w:bookmarkStart w:id="159" w:name="_Toc292559870"/>
      <w:bookmarkStart w:id="160" w:name="_Toc297120460"/>
      <w:bookmarkStart w:id="161" w:name="_Toc296891200"/>
      <w:bookmarkStart w:id="162" w:name="_Toc303539103"/>
      <w:bookmarkStart w:id="163" w:name="_Toc297216152"/>
      <w:bookmarkStart w:id="164" w:name="_Toc296944499"/>
      <w:bookmarkStart w:id="165" w:name="_Toc296347159"/>
      <w:bookmarkStart w:id="166" w:name="_Toc296346661"/>
      <w:bookmarkStart w:id="167" w:name="_Toc296503160"/>
      <w:bookmarkStart w:id="168" w:name="_Toc312677989"/>
      <w:bookmarkStart w:id="169" w:name="_Toc318581158"/>
      <w:r>
        <w:rPr>
          <w:rFonts w:ascii="Times New Roman" w:eastAsia="仿宋_GB2312"/>
          <w:sz w:val="24"/>
          <w:szCs w:val="24"/>
        </w:rPr>
        <w:t>.5.1 分包的一般约定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sz w:val="24"/>
          <w:szCs w:val="24"/>
        </w:rPr>
        <w:t>主体结构、关键性工作的范围：</w:t>
      </w:r>
      <w:r>
        <w:rPr>
          <w:rFonts w:ascii="Times New Roman" w:eastAsia="仿宋_GB2312"/>
          <w:color w:val="000000"/>
          <w:sz w:val="24"/>
          <w:szCs w:val="24"/>
          <w:u w:val="single"/>
        </w:rPr>
        <w:t xml:space="preserve">               </w:t>
      </w:r>
      <w:r>
        <w:rPr>
          <w:rFonts w:ascii="Times New Roman" w:eastAsia="仿宋_GB2312"/>
          <w:color w:val="000000"/>
          <w:sz w:val="24"/>
          <w:szCs w:val="24"/>
        </w:rPr>
        <w:t>。</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Start w:id="170" w:name="_Toc296944500"/>
      <w:bookmarkStart w:id="171" w:name="_Toc297120461"/>
      <w:bookmarkStart w:id="172" w:name="_Toc304295525"/>
      <w:bookmarkStart w:id="173" w:name="_Toc297048347"/>
      <w:bookmarkStart w:id="174" w:name="_Toc296890989"/>
      <w:bookmarkStart w:id="175" w:name="_Toc297216153"/>
      <w:bookmarkStart w:id="176" w:name="_Toc296347160"/>
      <w:bookmarkStart w:id="177" w:name="_Toc296891201"/>
      <w:bookmarkStart w:id="178" w:name="_Toc296346662"/>
      <w:bookmarkStart w:id="179" w:name="_Toc300934947"/>
      <w:bookmarkStart w:id="180" w:name="_Toc296503161"/>
      <w:bookmarkStart w:id="181" w:name="_Toc303539104"/>
      <w:bookmarkStart w:id="182" w:name="_Toc297123494"/>
    </w:p>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Pr>
        <w:spacing w:line="480" w:lineRule="exact"/>
        <w:rPr>
          <w:rFonts w:ascii="Times New Roman" w:eastAsia="仿宋_GB2312"/>
          <w:sz w:val="24"/>
          <w:szCs w:val="24"/>
        </w:rPr>
      </w:pPr>
      <w:r>
        <w:rPr>
          <w:rFonts w:ascii="Times New Roman" w:eastAsia="仿宋_GB2312"/>
          <w:sz w:val="24"/>
          <w:szCs w:val="24"/>
        </w:rPr>
        <w:t xml:space="preserve">    3</w:t>
      </w:r>
      <w:bookmarkStart w:id="183" w:name="_Toc312677990"/>
      <w:bookmarkStart w:id="184" w:name="_Toc318581159"/>
      <w:r>
        <w:rPr>
          <w:rFonts w:ascii="Times New Roman" w:eastAsia="仿宋_GB2312"/>
          <w:sz w:val="24"/>
          <w:szCs w:val="24"/>
        </w:rPr>
        <w:t>.5.2分包的确定</w:t>
      </w:r>
    </w:p>
    <w:p>
      <w:pPr>
        <w:spacing w:line="480" w:lineRule="exact"/>
        <w:ind w:firstLine="480" w:firstLineChars="200"/>
        <w:rPr>
          <w:rFonts w:ascii="Times New Roman" w:eastAsia="仿宋_GB2312"/>
          <w:color w:val="000000"/>
          <w:sz w:val="24"/>
          <w:szCs w:val="24"/>
          <w:u w:val="single"/>
        </w:rPr>
      </w:pPr>
      <w:r>
        <w:rPr>
          <w:rFonts w:ascii="Times New Roman" w:eastAsia="仿宋_GB2312"/>
          <w:sz w:val="24"/>
          <w:szCs w:val="24"/>
        </w:rPr>
        <w:t>允许分包的专业工程包括：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sz w:val="24"/>
          <w:szCs w:val="24"/>
        </w:rPr>
      </w:pPr>
      <w:r>
        <w:rPr>
          <w:rFonts w:ascii="Times New Roman" w:eastAsia="仿宋_GB2312"/>
          <w:color w:val="000000"/>
          <w:sz w:val="24"/>
          <w:szCs w:val="24"/>
        </w:rPr>
        <w:t>其他关于分包的约定：。</w:t>
      </w:r>
    </w:p>
    <w:p>
      <w:pPr>
        <w:spacing w:line="480" w:lineRule="exact"/>
        <w:ind w:firstLine="480" w:firstLineChars="200"/>
        <w:rPr>
          <w:rFonts w:ascii="Times New Roman" w:eastAsia="仿宋_GB2312"/>
          <w:sz w:val="24"/>
          <w:szCs w:val="24"/>
        </w:rPr>
      </w:pPr>
      <w:r>
        <w:rPr>
          <w:rFonts w:ascii="Times New Roman" w:eastAsia="仿宋_GB2312"/>
          <w:sz w:val="24"/>
          <w:szCs w:val="24"/>
        </w:rPr>
        <w:t>3.5.4 分包合同价款</w:t>
      </w:r>
    </w:p>
    <w:p>
      <w:pPr>
        <w:spacing w:line="480" w:lineRule="exact"/>
        <w:ind w:firstLine="480" w:firstLineChars="20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183"/>
    <w:bookmarkEnd w:id="184"/>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3.6 工程照管与成品、半成品保护</w:t>
      </w:r>
    </w:p>
    <w:p>
      <w:pPr>
        <w:spacing w:before="120" w:after="120"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承包人负责照管工程及工程相关的材料、工程设备的起始时间：。</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3.7 履约担保</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承包人是否提供履约担保：</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承包人提供履约担保的形式</w:t>
      </w:r>
      <w:r>
        <w:rPr>
          <w:rFonts w:hint="eastAsia" w:ascii="Times New Roman" w:eastAsia="仿宋_GB2312"/>
          <w:color w:val="000000"/>
          <w:sz w:val="24"/>
          <w:szCs w:val="24"/>
        </w:rPr>
        <w:t>、金额及期限的</w:t>
      </w:r>
      <w:r>
        <w:rPr>
          <w:rFonts w:ascii="Times New Roman" w:eastAsia="仿宋_GB2312"/>
          <w:color w:val="000000"/>
          <w:sz w:val="24"/>
          <w:szCs w:val="24"/>
        </w:rPr>
        <w:t>：</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185" w:name="_Toc351203636"/>
      <w:r>
        <w:rPr>
          <w:rFonts w:ascii="Times New Roman" w:hAnsi="Times New Roman" w:eastAsia="黑体"/>
          <w:b w:val="0"/>
          <w:color w:val="000000"/>
          <w:sz w:val="24"/>
          <w:szCs w:val="24"/>
        </w:rPr>
        <w:t>4</w:t>
      </w:r>
      <w:bookmarkStart w:id="186" w:name="_Toc296346663"/>
      <w:bookmarkStart w:id="187" w:name="_Toc292559871"/>
      <w:bookmarkStart w:id="188" w:name="_Toc296944501"/>
      <w:bookmarkStart w:id="189" w:name="_Toc296890990"/>
      <w:bookmarkStart w:id="190" w:name="_Toc297120462"/>
      <w:bookmarkStart w:id="191" w:name="_Toc296503162"/>
      <w:bookmarkStart w:id="192" w:name="_Toc267251413"/>
      <w:bookmarkStart w:id="193" w:name="_Toc296347161"/>
      <w:bookmarkStart w:id="194" w:name="_Toc296891202"/>
      <w:bookmarkStart w:id="195" w:name="_Toc292559366"/>
      <w:bookmarkStart w:id="196" w:name="_Toc297048348"/>
      <w:r>
        <w:rPr>
          <w:rFonts w:ascii="Times New Roman" w:hAnsi="Times New Roman" w:eastAsia="黑体"/>
          <w:b w:val="0"/>
          <w:color w:val="000000"/>
          <w:sz w:val="24"/>
          <w:szCs w:val="24"/>
        </w:rPr>
        <w:t>. 监</w:t>
      </w:r>
      <w:bookmarkEnd w:id="186"/>
      <w:bookmarkEnd w:id="187"/>
      <w:bookmarkEnd w:id="188"/>
      <w:bookmarkEnd w:id="189"/>
      <w:bookmarkEnd w:id="190"/>
      <w:bookmarkEnd w:id="191"/>
      <w:bookmarkEnd w:id="192"/>
      <w:bookmarkEnd w:id="193"/>
      <w:bookmarkEnd w:id="194"/>
      <w:bookmarkEnd w:id="195"/>
      <w:bookmarkEnd w:id="196"/>
      <w:r>
        <w:rPr>
          <w:rFonts w:ascii="Times New Roman" w:hAnsi="Times New Roman" w:eastAsia="黑体"/>
          <w:b w:val="0"/>
          <w:color w:val="000000"/>
          <w:sz w:val="24"/>
          <w:szCs w:val="24"/>
        </w:rPr>
        <w:t>理人</w:t>
      </w:r>
      <w:bookmarkEnd w:id="185"/>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4.1监理人的一般规定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关于监理人的监理内容：。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关于监理人的监理权限：。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关于监理人在施工现场的办公场所、生活场所的提供和费用承担的约定：。</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4.2 监理人员</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总监理工程师：</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职    务：</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监理工程师执业资格证书号：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关于监理人的其他约定：</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4.4 商定或确定</w:t>
      </w:r>
    </w:p>
    <w:p>
      <w:pPr>
        <w:spacing w:line="480" w:lineRule="exact"/>
        <w:ind w:firstLine="480" w:firstLineChars="200"/>
        <w:rPr>
          <w:rFonts w:ascii="Times New Roman" w:eastAsia="仿宋_GB2312"/>
          <w:color w:val="000000"/>
          <w:sz w:val="24"/>
          <w:szCs w:val="24"/>
        </w:rPr>
      </w:pPr>
      <w:bookmarkStart w:id="197" w:name="_Toc267251418"/>
      <w:r>
        <w:rPr>
          <w:rFonts w:ascii="Times New Roman" w:eastAsia="仿宋_GB2312"/>
          <w:color w:val="000000"/>
          <w:sz w:val="24"/>
          <w:szCs w:val="24"/>
        </w:rPr>
        <w:t>在发包人和承包人不能通过协商达成一致意见时，发包人授权监理人对以下事项进行确定：</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w:t>
      </w:r>
    </w:p>
    <w:p>
      <w:pPr>
        <w:pStyle w:val="9"/>
        <w:spacing w:line="480" w:lineRule="exact"/>
        <w:rPr>
          <w:rFonts w:ascii="Times New Roman" w:hAnsi="Times New Roman" w:eastAsia="黑体"/>
          <w:b w:val="0"/>
          <w:color w:val="000000"/>
          <w:sz w:val="24"/>
          <w:szCs w:val="24"/>
        </w:rPr>
      </w:pPr>
      <w:bookmarkStart w:id="198" w:name="_Toc351203637"/>
      <w:r>
        <w:rPr>
          <w:rFonts w:ascii="Times New Roman" w:hAnsi="Times New Roman" w:eastAsia="黑体"/>
          <w:b w:val="0"/>
          <w:color w:val="000000"/>
          <w:sz w:val="24"/>
          <w:szCs w:val="24"/>
        </w:rPr>
        <w:t>5</w:t>
      </w:r>
      <w:bookmarkEnd w:id="197"/>
      <w:bookmarkStart w:id="199" w:name="_Toc296503163"/>
      <w:bookmarkStart w:id="200" w:name="_Toc296890991"/>
      <w:bookmarkStart w:id="201" w:name="_Toc296346664"/>
      <w:bookmarkStart w:id="202" w:name="_Toc297048349"/>
      <w:bookmarkStart w:id="203" w:name="_Toc296347162"/>
      <w:bookmarkStart w:id="204" w:name="_Toc292559367"/>
      <w:bookmarkStart w:id="205" w:name="_Toc296891203"/>
      <w:bookmarkStart w:id="206" w:name="_Toc296944502"/>
      <w:bookmarkStart w:id="207" w:name="_Toc297120463"/>
      <w:bookmarkStart w:id="208" w:name="_Toc292559872"/>
      <w:r>
        <w:rPr>
          <w:rFonts w:ascii="Times New Roman" w:hAnsi="Times New Roman" w:eastAsia="黑体"/>
          <w:b w:val="0"/>
          <w:color w:val="000000"/>
          <w:sz w:val="24"/>
          <w:szCs w:val="24"/>
        </w:rPr>
        <w:t>. 工程质量</w:t>
      </w:r>
      <w:bookmarkEnd w:id="198"/>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5.1 质量要求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w:t>
      </w:r>
      <w:bookmarkStart w:id="209" w:name="_Toc297216155"/>
      <w:bookmarkStart w:id="210" w:name="_Toc297123496"/>
      <w:bookmarkStart w:id="211" w:name="_Toc304295527"/>
      <w:bookmarkStart w:id="212" w:name="_Toc312677997"/>
      <w:bookmarkStart w:id="213" w:name="_Toc300934949"/>
      <w:bookmarkStart w:id="214" w:name="_Toc318581164"/>
      <w:bookmarkStart w:id="215" w:name="_Toc303539106"/>
      <w:r>
        <w:rPr>
          <w:rFonts w:ascii="Times New Roman" w:eastAsia="仿宋_GB2312"/>
          <w:sz w:val="24"/>
          <w:szCs w:val="24"/>
        </w:rPr>
        <w:t>.1.1 特殊质量标准和要求：。</w:t>
      </w:r>
    </w:p>
    <w:p>
      <w:pPr>
        <w:spacing w:line="480" w:lineRule="exact"/>
        <w:ind w:firstLine="480" w:firstLineChars="200"/>
        <w:jc w:val="left"/>
        <w:rPr>
          <w:rFonts w:ascii="Times New Roman" w:eastAsia="黑体"/>
          <w:color w:val="000000"/>
          <w:sz w:val="24"/>
          <w:szCs w:val="24"/>
        </w:rPr>
      </w:pPr>
      <w:r>
        <w:rPr>
          <w:rFonts w:ascii="Times New Roman" w:eastAsia="仿宋_GB2312"/>
          <w:sz w:val="24"/>
          <w:szCs w:val="24"/>
        </w:rPr>
        <w:t>关于工程奖项的约定：。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5.3 隐蔽工程检查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5.3.2承包人提前通知监理人隐蔽工程检查的期限的约定：。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关于延期最长不得超过：小时。</w:t>
      </w:r>
    </w:p>
    <w:p>
      <w:pPr>
        <w:pStyle w:val="9"/>
        <w:spacing w:line="480" w:lineRule="exact"/>
        <w:rPr>
          <w:rFonts w:ascii="Times New Roman" w:hAnsi="Times New Roman" w:eastAsia="黑体"/>
          <w:b w:val="0"/>
          <w:color w:val="000000"/>
          <w:sz w:val="24"/>
          <w:szCs w:val="24"/>
        </w:rPr>
      </w:pPr>
      <w:bookmarkStart w:id="216" w:name="_Toc351203638"/>
      <w:r>
        <w:rPr>
          <w:rFonts w:ascii="Times New Roman" w:hAnsi="Times New Roman" w:eastAsia="黑体"/>
          <w:b w:val="0"/>
          <w:color w:val="000000"/>
          <w:sz w:val="24"/>
          <w:szCs w:val="24"/>
        </w:rPr>
        <w:t>6. 安全文明施工与环境保护</w:t>
      </w:r>
      <w:bookmarkEnd w:id="216"/>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6.1安全文明施工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6.1.1</w:t>
      </w:r>
      <w:r>
        <w:rPr>
          <w:rFonts w:ascii="Times New Roman" w:eastAsia="仿宋_GB2312"/>
          <w:color w:val="000000"/>
          <w:sz w:val="24"/>
          <w:szCs w:val="24"/>
        </w:rPr>
        <w:t xml:space="preserve"> 项目安全生产的达标目标及相应事项的约定：</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6.1.4 关于治安保卫的特别约定：。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关于编制施工场地治安管理计划的约定：。</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6.1.5 文明施工</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合同当事人对文明施工的要求：。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6.1.6 关于安全文明施工费支付比例和支付期限的约定：。</w:t>
      </w:r>
    </w:p>
    <w:bookmarkEnd w:id="209"/>
    <w:bookmarkEnd w:id="210"/>
    <w:bookmarkEnd w:id="211"/>
    <w:bookmarkEnd w:id="212"/>
    <w:bookmarkEnd w:id="213"/>
    <w:bookmarkEnd w:id="214"/>
    <w:bookmarkEnd w:id="215"/>
    <w:p>
      <w:pPr>
        <w:pStyle w:val="9"/>
        <w:spacing w:line="480" w:lineRule="exact"/>
        <w:rPr>
          <w:rFonts w:ascii="Times New Roman" w:hAnsi="Times New Roman" w:eastAsia="黑体"/>
          <w:b w:val="0"/>
          <w:color w:val="000000"/>
          <w:sz w:val="24"/>
          <w:szCs w:val="24"/>
        </w:rPr>
      </w:pPr>
      <w:bookmarkStart w:id="217" w:name="_Toc351203639"/>
      <w:r>
        <w:rPr>
          <w:rFonts w:ascii="Times New Roman" w:hAnsi="Times New Roman" w:eastAsia="黑体"/>
          <w:b w:val="0"/>
          <w:color w:val="000000"/>
          <w:sz w:val="24"/>
          <w:szCs w:val="24"/>
        </w:rPr>
        <w:t>7. 工期和进度</w:t>
      </w:r>
      <w:bookmarkEnd w:id="217"/>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7.1 施工组织设计</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7.1.</w:t>
      </w:r>
      <w:r>
        <w:rPr>
          <w:rFonts w:hint="eastAsia" w:ascii="Times New Roman" w:eastAsia="仿宋_GB2312"/>
          <w:sz w:val="24"/>
          <w:szCs w:val="24"/>
        </w:rPr>
        <w:t xml:space="preserve">1 </w:t>
      </w:r>
      <w:r>
        <w:rPr>
          <w:rFonts w:hint="eastAsia" w:ascii="Times New Roman" w:eastAsia="仿宋_GB2312"/>
          <w:color w:val="000000"/>
          <w:sz w:val="24"/>
          <w:szCs w:val="24"/>
        </w:rPr>
        <w:t>合同当事人约定的</w:t>
      </w:r>
      <w:r>
        <w:rPr>
          <w:rFonts w:ascii="Times New Roman" w:eastAsia="仿宋_GB2312"/>
          <w:color w:val="000000"/>
          <w:sz w:val="24"/>
          <w:szCs w:val="24"/>
        </w:rPr>
        <w:t>施工组织设计</w:t>
      </w:r>
      <w:r>
        <w:rPr>
          <w:rFonts w:hint="eastAsia" w:ascii="Times New Roman" w:eastAsia="仿宋_GB2312"/>
          <w:color w:val="000000"/>
          <w:sz w:val="24"/>
          <w:szCs w:val="24"/>
        </w:rPr>
        <w:t>应包括的其他内容</w:t>
      </w:r>
      <w:r>
        <w:rPr>
          <w:rFonts w:ascii="Times New Roman" w:eastAsia="仿宋_GB2312"/>
          <w:color w:val="000000"/>
          <w:sz w:val="24"/>
          <w:szCs w:val="24"/>
        </w:rPr>
        <w:t>：</w:t>
      </w:r>
      <w:r>
        <w:rPr>
          <w:rFonts w:ascii="Times New Roman" w:eastAsia="仿宋_GB2312"/>
          <w:sz w:val="24"/>
          <w:szCs w:val="24"/>
        </w:rPr>
        <w:t>。</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7.1.2</w:t>
      </w:r>
      <w:r>
        <w:rPr>
          <w:rFonts w:ascii="Times New Roman" w:eastAsia="仿宋_GB2312"/>
          <w:color w:val="000000"/>
          <w:sz w:val="24"/>
          <w:szCs w:val="24"/>
        </w:rPr>
        <w:t>施工组织设计的提交和修改</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承包人提交详细施工组织设计的期限的约定：</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发包人和监理人在收到</w:t>
      </w:r>
      <w:r>
        <w:rPr>
          <w:rFonts w:hint="eastAsia" w:ascii="Times New Roman" w:eastAsia="仿宋_GB2312"/>
          <w:color w:val="000000"/>
          <w:sz w:val="24"/>
          <w:szCs w:val="24"/>
        </w:rPr>
        <w:t>详细的施工组织设计</w:t>
      </w:r>
      <w:r>
        <w:rPr>
          <w:rFonts w:ascii="Times New Roman" w:eastAsia="仿宋_GB2312"/>
          <w:color w:val="000000"/>
          <w:sz w:val="24"/>
          <w:szCs w:val="24"/>
        </w:rPr>
        <w:t>后确认或提出修改意见的期限：</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18" w:name="_Toc297123514"/>
      <w:bookmarkStart w:id="219" w:name="_Toc297216173"/>
      <w:bookmarkStart w:id="220" w:name="_Toc312678005"/>
      <w:bookmarkStart w:id="221" w:name="_Toc303539123"/>
      <w:bookmarkStart w:id="222" w:name="_Toc304295541"/>
      <w:bookmarkStart w:id="223" w:name="_Toc312677479"/>
      <w:bookmarkStart w:id="224" w:name="_Toc300934966"/>
      <w:r>
        <w:rPr>
          <w:rFonts w:ascii="Times New Roman" w:eastAsia="黑体"/>
          <w:color w:val="000000"/>
          <w:sz w:val="24"/>
          <w:szCs w:val="24"/>
        </w:rPr>
        <w:t>.2 施工进度计划</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7.2.2 施工进度计划的修订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发包人和监理人在收到修订的施工进度计划后确认或提出修改意见的期限：</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7.3 开工</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7.3.1 开工准备</w:t>
      </w:r>
    </w:p>
    <w:p>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关于承包人提交工程开工报审表的期限：</w:t>
      </w:r>
      <w:r>
        <w:rPr>
          <w:rFonts w:ascii="Times New Roman" w:eastAsia="仿宋_GB2312"/>
          <w:sz w:val="24"/>
          <w:szCs w:val="24"/>
        </w:rPr>
        <w:t>。</w:t>
      </w:r>
    </w:p>
    <w:p>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关于发包人应完成的其他开工准备工作及期限：</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关于承包人应完成的其他开工准备工作及期限：</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7.3.2开工通知</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因发包人原因造成监理人未能在计划开工日期之日起天内发出开工通知的，承包人有权提出价格调整要求，或者解除合同。</w:t>
      </w:r>
    </w:p>
    <w:bookmarkEnd w:id="218"/>
    <w:bookmarkEnd w:id="219"/>
    <w:bookmarkEnd w:id="220"/>
    <w:bookmarkEnd w:id="221"/>
    <w:bookmarkEnd w:id="222"/>
    <w:bookmarkEnd w:id="223"/>
    <w:bookmarkEnd w:id="224"/>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7.4 测量放线</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7.4.1发包人通过监理人向承包人提供测量基准点、基准线和水准点及其书面资料的期限：。</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25" w:name="_Toc312678010"/>
      <w:bookmarkStart w:id="226" w:name="_Toc312677484"/>
      <w:bookmarkStart w:id="227" w:name="_Toc303539125"/>
      <w:bookmarkStart w:id="228" w:name="_Toc300934968"/>
      <w:bookmarkStart w:id="229" w:name="_Toc304295546"/>
      <w:bookmarkStart w:id="230" w:name="_Toc297216175"/>
      <w:bookmarkStart w:id="231" w:name="_Toc297123516"/>
      <w:r>
        <w:rPr>
          <w:rFonts w:ascii="Times New Roman" w:eastAsia="黑体"/>
          <w:color w:val="000000"/>
          <w:sz w:val="24"/>
          <w:szCs w:val="24"/>
        </w:rPr>
        <w:t>.5 工期延误</w:t>
      </w:r>
    </w:p>
    <w:bookmarkEnd w:id="225"/>
    <w:bookmarkEnd w:id="226"/>
    <w:bookmarkEnd w:id="227"/>
    <w:bookmarkEnd w:id="228"/>
    <w:bookmarkEnd w:id="229"/>
    <w:bookmarkEnd w:id="230"/>
    <w:bookmarkEnd w:id="231"/>
    <w:p>
      <w:pPr>
        <w:spacing w:line="480" w:lineRule="exact"/>
        <w:ind w:firstLine="480" w:firstLineChars="200"/>
        <w:jc w:val="left"/>
        <w:rPr>
          <w:rFonts w:ascii="Times New Roman" w:eastAsia="仿宋_GB2312"/>
          <w:sz w:val="24"/>
          <w:szCs w:val="24"/>
        </w:rPr>
      </w:pPr>
      <w:r>
        <w:rPr>
          <w:rFonts w:ascii="Times New Roman" w:eastAsia="仿宋_GB2312"/>
          <w:sz w:val="24"/>
          <w:szCs w:val="24"/>
        </w:rPr>
        <w:t>7.5.1 因发包人原因导致工期延误</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（7）因发包人原因导致工期延误的其他情形：。</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w:t>
      </w:r>
      <w:bookmarkStart w:id="232" w:name="_Toc312678012"/>
      <w:bookmarkStart w:id="233" w:name="_Toc312677486"/>
      <w:bookmarkStart w:id="234" w:name="_Toc318581169"/>
      <w:bookmarkStart w:id="235" w:name="_Toc300934970"/>
      <w:bookmarkStart w:id="236" w:name="_Toc297123518"/>
      <w:bookmarkStart w:id="237" w:name="_Toc304295548"/>
      <w:bookmarkStart w:id="238" w:name="_Toc303539127"/>
      <w:bookmarkStart w:id="239" w:name="_Toc297216177"/>
      <w:r>
        <w:rPr>
          <w:rFonts w:ascii="Times New Roman" w:eastAsia="仿宋_GB2312"/>
          <w:sz w:val="24"/>
          <w:szCs w:val="24"/>
        </w:rPr>
        <w:t>.5.2 因承包人原因导致工期延误</w:t>
      </w:r>
    </w:p>
    <w:bookmarkEnd w:id="232"/>
    <w:bookmarkEnd w:id="233"/>
    <w:bookmarkEnd w:id="234"/>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w:t>
      </w:r>
      <w:bookmarkStart w:id="240" w:name="_Toc312677487"/>
      <w:bookmarkStart w:id="241" w:name="_Toc312678013"/>
      <w:bookmarkStart w:id="242" w:name="_Toc318581170"/>
      <w:r>
        <w:rPr>
          <w:rFonts w:ascii="Times New Roman" w:eastAsia="仿宋_GB2312"/>
          <w:sz w:val="24"/>
          <w:szCs w:val="24"/>
        </w:rPr>
        <w:t>承包人原因造成工期延误，逾期竣工违约金的计算方法为：。</w:t>
      </w:r>
      <w:bookmarkEnd w:id="235"/>
      <w:bookmarkEnd w:id="236"/>
      <w:bookmarkEnd w:id="237"/>
      <w:bookmarkEnd w:id="238"/>
      <w:bookmarkEnd w:id="239"/>
      <w:bookmarkEnd w:id="240"/>
      <w:bookmarkEnd w:id="241"/>
    </w:p>
    <w:bookmarkEnd w:id="242"/>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因承包人原因造成工期延误，逾</w:t>
      </w:r>
      <w:bookmarkStart w:id="243" w:name="_Toc318581171"/>
      <w:bookmarkStart w:id="244" w:name="_Toc312678014"/>
      <w:r>
        <w:rPr>
          <w:rFonts w:ascii="Times New Roman" w:eastAsia="仿宋_GB2312"/>
          <w:sz w:val="24"/>
          <w:szCs w:val="24"/>
        </w:rPr>
        <w:t>期竣工违约金的上限：。</w:t>
      </w:r>
    </w:p>
    <w:bookmarkEnd w:id="243"/>
    <w:bookmarkEnd w:id="244"/>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45" w:name="_Toc304295549"/>
      <w:bookmarkStart w:id="246" w:name="_Toc300934971"/>
      <w:bookmarkStart w:id="247" w:name="_Toc297216178"/>
      <w:bookmarkStart w:id="248" w:name="_Toc303539128"/>
      <w:bookmarkStart w:id="249" w:name="_Toc297123519"/>
      <w:bookmarkStart w:id="250" w:name="_Toc312678015"/>
      <w:r>
        <w:rPr>
          <w:rFonts w:ascii="Times New Roman" w:eastAsia="黑体"/>
          <w:color w:val="000000"/>
          <w:sz w:val="24"/>
          <w:szCs w:val="24"/>
        </w:rPr>
        <w:t>.6 不</w:t>
      </w:r>
      <w:bookmarkEnd w:id="245"/>
      <w:bookmarkEnd w:id="246"/>
      <w:bookmarkEnd w:id="247"/>
      <w:bookmarkEnd w:id="248"/>
      <w:bookmarkEnd w:id="249"/>
      <w:bookmarkEnd w:id="250"/>
      <w:r>
        <w:rPr>
          <w:rFonts w:ascii="Times New Roman" w:eastAsia="黑体"/>
          <w:color w:val="000000"/>
          <w:sz w:val="24"/>
          <w:szCs w:val="24"/>
        </w:rPr>
        <w:t>利物质条件</w:t>
      </w:r>
    </w:p>
    <w:p>
      <w:pPr>
        <w:spacing w:line="480" w:lineRule="exact"/>
        <w:ind w:firstLine="480" w:firstLineChars="200"/>
        <w:jc w:val="left"/>
        <w:rPr>
          <w:rFonts w:ascii="Times New Roman" w:eastAsia="仿宋_GB2312"/>
          <w:sz w:val="24"/>
          <w:szCs w:val="24"/>
        </w:rPr>
      </w:pPr>
      <w:bookmarkStart w:id="251" w:name="_Toc303539129"/>
      <w:bookmarkStart w:id="252" w:name="_Toc312678016"/>
      <w:bookmarkStart w:id="253" w:name="_Toc304295550"/>
      <w:bookmarkStart w:id="254" w:name="_Toc318581172"/>
      <w:bookmarkStart w:id="255" w:name="_Toc300934972"/>
      <w:bookmarkStart w:id="256" w:name="_Toc297216179"/>
      <w:bookmarkStart w:id="257" w:name="_Toc297123520"/>
      <w:r>
        <w:rPr>
          <w:rFonts w:ascii="Times New Roman" w:eastAsia="仿宋_GB2312"/>
          <w:sz w:val="24"/>
          <w:szCs w:val="24"/>
        </w:rPr>
        <w:t>不利物质条件的其他情形和有关约定：。</w:t>
      </w:r>
    </w:p>
    <w:bookmarkEnd w:id="251"/>
    <w:bookmarkEnd w:id="252"/>
    <w:bookmarkEnd w:id="253"/>
    <w:bookmarkEnd w:id="254"/>
    <w:bookmarkEnd w:id="255"/>
    <w:bookmarkEnd w:id="256"/>
    <w:bookmarkEnd w:id="257"/>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58" w:name="_Toc300934973"/>
      <w:bookmarkStart w:id="259" w:name="_Toc297216180"/>
      <w:bookmarkStart w:id="260" w:name="_Toc303539130"/>
      <w:bookmarkStart w:id="261" w:name="_Toc312678017"/>
      <w:bookmarkStart w:id="262" w:name="_Toc304295551"/>
      <w:bookmarkStart w:id="263" w:name="_Toc297123521"/>
      <w:r>
        <w:rPr>
          <w:rFonts w:ascii="Times New Roman" w:eastAsia="黑体"/>
          <w:color w:val="000000"/>
          <w:sz w:val="24"/>
          <w:szCs w:val="24"/>
        </w:rPr>
        <w:t>.7异常恶劣的气候条件</w:t>
      </w:r>
    </w:p>
    <w:bookmarkEnd w:id="258"/>
    <w:bookmarkEnd w:id="259"/>
    <w:bookmarkEnd w:id="260"/>
    <w:bookmarkEnd w:id="261"/>
    <w:bookmarkEnd w:id="262"/>
    <w:bookmarkEnd w:id="263"/>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（3）。</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7.9 提前竣工的奖励</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7.9.2提前竣工的奖励：。</w:t>
      </w:r>
    </w:p>
    <w:p>
      <w:pPr>
        <w:pStyle w:val="9"/>
        <w:spacing w:line="480" w:lineRule="exact"/>
        <w:rPr>
          <w:rFonts w:ascii="Times New Roman" w:hAnsi="Times New Roman" w:eastAsia="黑体"/>
          <w:b w:val="0"/>
          <w:color w:val="000000"/>
          <w:sz w:val="24"/>
          <w:szCs w:val="24"/>
        </w:rPr>
      </w:pPr>
      <w:bookmarkStart w:id="264" w:name="_Toc351203640"/>
      <w:r>
        <w:rPr>
          <w:rFonts w:ascii="Times New Roman" w:hAnsi="Times New Roman" w:eastAsia="黑体"/>
          <w:b w:val="0"/>
          <w:color w:val="000000"/>
          <w:sz w:val="24"/>
          <w:szCs w:val="24"/>
        </w:rPr>
        <w:t>8. 材料与设备</w:t>
      </w:r>
      <w:bookmarkEnd w:id="264"/>
    </w:p>
    <w:bookmarkEnd w:id="199"/>
    <w:bookmarkEnd w:id="200"/>
    <w:bookmarkEnd w:id="201"/>
    <w:bookmarkEnd w:id="202"/>
    <w:bookmarkEnd w:id="203"/>
    <w:bookmarkEnd w:id="204"/>
    <w:bookmarkEnd w:id="205"/>
    <w:bookmarkEnd w:id="206"/>
    <w:bookmarkEnd w:id="207"/>
    <w:bookmarkEnd w:id="208"/>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8</w:t>
      </w:r>
      <w:bookmarkStart w:id="265" w:name="_Toc296347166"/>
      <w:bookmarkStart w:id="266" w:name="_Toc303539136"/>
      <w:bookmarkStart w:id="267" w:name="_Toc296890995"/>
      <w:bookmarkStart w:id="268" w:name="_Toc297216186"/>
      <w:bookmarkStart w:id="269" w:name="_Toc292559877"/>
      <w:bookmarkStart w:id="270" w:name="_Toc297048353"/>
      <w:bookmarkStart w:id="271" w:name="_Toc297123527"/>
      <w:bookmarkStart w:id="272" w:name="_Toc296944506"/>
      <w:bookmarkStart w:id="273" w:name="_Toc312677493"/>
      <w:bookmarkStart w:id="274" w:name="_Toc296891207"/>
      <w:bookmarkStart w:id="275" w:name="_Toc292559372"/>
      <w:bookmarkStart w:id="276" w:name="_Toc296503167"/>
      <w:bookmarkStart w:id="277" w:name="_Toc300934979"/>
      <w:bookmarkStart w:id="278" w:name="_Toc304295556"/>
      <w:bookmarkStart w:id="279" w:name="_Toc312678019"/>
      <w:bookmarkStart w:id="280" w:name="_Toc280868654"/>
      <w:bookmarkStart w:id="281" w:name="_Toc297120467"/>
      <w:bookmarkStart w:id="282" w:name="_Toc296346668"/>
      <w:bookmarkStart w:id="283" w:name="_Toc267251424"/>
      <w:bookmarkStart w:id="284" w:name="_Toc280868656"/>
      <w:bookmarkStart w:id="285" w:name="_Toc280868655"/>
      <w:r>
        <w:rPr>
          <w:rFonts w:ascii="Times New Roman" w:eastAsia="黑体"/>
          <w:color w:val="000000"/>
          <w:sz w:val="24"/>
          <w:szCs w:val="24"/>
        </w:rPr>
        <w:t>.4材料与工程设备的保管与使用</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8</w:t>
      </w:r>
      <w:bookmarkStart w:id="286" w:name="_Toc292559878"/>
      <w:bookmarkStart w:id="287" w:name="_Toc292559373"/>
      <w:bookmarkStart w:id="288" w:name="_Toc297123528"/>
      <w:bookmarkStart w:id="289" w:name="_Toc296347167"/>
      <w:bookmarkStart w:id="290" w:name="_Toc296944507"/>
      <w:bookmarkStart w:id="291" w:name="_Toc303539137"/>
      <w:bookmarkStart w:id="292" w:name="_Toc296891208"/>
      <w:bookmarkStart w:id="293" w:name="_Toc296346669"/>
      <w:bookmarkStart w:id="294" w:name="_Toc304295557"/>
      <w:bookmarkStart w:id="295" w:name="_Toc312677494"/>
      <w:bookmarkStart w:id="296" w:name="_Toc312678020"/>
      <w:bookmarkStart w:id="297" w:name="_Toc297120468"/>
      <w:bookmarkStart w:id="298" w:name="_Toc300934980"/>
      <w:bookmarkStart w:id="299" w:name="_Toc296890996"/>
      <w:bookmarkStart w:id="300" w:name="_Toc297216187"/>
      <w:bookmarkStart w:id="301" w:name="_Toc296503168"/>
      <w:bookmarkStart w:id="302" w:name="_Toc297048354"/>
      <w:bookmarkStart w:id="303" w:name="_Toc318581173"/>
      <w:r>
        <w:rPr>
          <w:rFonts w:ascii="Times New Roman" w:eastAsia="仿宋_GB2312"/>
          <w:sz w:val="24"/>
          <w:szCs w:val="24"/>
        </w:rPr>
        <w:t>.4.1发包人供应的材料设备的保管费用的承担：</w:t>
      </w:r>
    </w:p>
    <w:p>
      <w:pPr>
        <w:spacing w:line="480" w:lineRule="exact"/>
        <w:jc w:val="left"/>
        <w:rPr>
          <w:rFonts w:ascii="Times New Roman" w:eastAsia="仿宋_GB2312"/>
          <w:sz w:val="24"/>
          <w:szCs w:val="24"/>
        </w:rPr>
      </w:pPr>
      <w:r>
        <w:rPr>
          <w:rFonts w:ascii="Times New Roman" w:eastAsia="仿宋_GB2312"/>
          <w:sz w:val="24"/>
          <w:szCs w:val="24"/>
        </w:rPr>
        <w:t>。</w:t>
      </w:r>
      <w:bookmarkEnd w:id="286"/>
      <w:bookmarkEnd w:id="287"/>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8.6 样品</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8.6.1</w:t>
      </w:r>
      <w:r>
        <w:rPr>
          <w:rFonts w:ascii="Times New Roman" w:eastAsia="仿宋_GB2312"/>
          <w:color w:val="000000"/>
          <w:sz w:val="24"/>
          <w:szCs w:val="24"/>
        </w:rPr>
        <w:tab/>
      </w:r>
      <w:r>
        <w:rPr>
          <w:rFonts w:ascii="Times New Roman" w:eastAsia="仿宋_GB2312"/>
          <w:color w:val="000000"/>
          <w:sz w:val="24"/>
          <w:szCs w:val="24"/>
        </w:rPr>
        <w:t>样品的报送</w:t>
      </w:r>
      <w:r>
        <w:rPr>
          <w:rFonts w:hint="eastAsia" w:ascii="Times New Roman" w:eastAsia="仿宋_GB2312"/>
          <w:color w:val="000000"/>
          <w:sz w:val="24"/>
          <w:szCs w:val="24"/>
        </w:rPr>
        <w:t>与封存</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需要承包人报送样品的材料或工程设备，样品的种类、名称、规格、数量要求：</w:t>
      </w:r>
      <w:r>
        <w:rPr>
          <w:rFonts w:ascii="Times New Roman" w:eastAsia="仿宋_GB2312"/>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8.8 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8.8.1 承包人提供的施工设备和临时设施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关于修建临时设施费用承担的约定：。</w:t>
      </w:r>
    </w:p>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Pr>
        <w:pStyle w:val="9"/>
        <w:spacing w:line="480" w:lineRule="exact"/>
        <w:rPr>
          <w:rFonts w:ascii="Times New Roman" w:hAnsi="Times New Roman" w:eastAsia="黑体"/>
          <w:b w:val="0"/>
          <w:color w:val="000000"/>
          <w:sz w:val="24"/>
          <w:szCs w:val="24"/>
        </w:rPr>
      </w:pPr>
      <w:bookmarkStart w:id="304" w:name="_Toc351203641"/>
      <w:r>
        <w:rPr>
          <w:rFonts w:ascii="Times New Roman" w:hAnsi="Times New Roman" w:eastAsia="黑体"/>
          <w:b w:val="0"/>
          <w:color w:val="000000"/>
          <w:sz w:val="24"/>
          <w:szCs w:val="24"/>
        </w:rPr>
        <w:t>9</w:t>
      </w:r>
      <w:bookmarkEnd w:id="283"/>
      <w:bookmarkEnd w:id="284"/>
      <w:bookmarkEnd w:id="285"/>
      <w:bookmarkStart w:id="305" w:name="_Toc312677495"/>
      <w:bookmarkStart w:id="306" w:name="_Toc312678021"/>
      <w:bookmarkStart w:id="307" w:name="_Toc303539139"/>
      <w:bookmarkStart w:id="308" w:name="_Toc300934982"/>
      <w:bookmarkStart w:id="309" w:name="_Toc304295559"/>
      <w:bookmarkStart w:id="310" w:name="_Toc297123533"/>
      <w:bookmarkStart w:id="311" w:name="_Toc297216192"/>
      <w:bookmarkStart w:id="312" w:name="_Toc296944512"/>
      <w:bookmarkStart w:id="313" w:name="_Toc267251427"/>
      <w:bookmarkStart w:id="314" w:name="_Toc292559883"/>
      <w:bookmarkStart w:id="315" w:name="_Toc296503173"/>
      <w:bookmarkStart w:id="316" w:name="_Toc296891213"/>
      <w:bookmarkStart w:id="317" w:name="_Toc267251428"/>
      <w:bookmarkStart w:id="318" w:name="_Toc296891001"/>
      <w:bookmarkStart w:id="319" w:name="_Toc296346674"/>
      <w:bookmarkStart w:id="320" w:name="_Toc296347172"/>
      <w:bookmarkStart w:id="321" w:name="_Toc292559378"/>
      <w:bookmarkStart w:id="322" w:name="_Toc297120473"/>
      <w:bookmarkStart w:id="323" w:name="_Toc297048359"/>
      <w:r>
        <w:rPr>
          <w:rFonts w:ascii="Times New Roman" w:hAnsi="Times New Roman" w:eastAsia="黑体"/>
          <w:b w:val="0"/>
          <w:color w:val="000000"/>
          <w:sz w:val="24"/>
          <w:szCs w:val="24"/>
        </w:rPr>
        <w:t>. 试验与检验</w:t>
      </w:r>
      <w:bookmarkEnd w:id="304"/>
    </w:p>
    <w:bookmarkEnd w:id="305"/>
    <w:bookmarkEnd w:id="306"/>
    <w:bookmarkEnd w:id="307"/>
    <w:bookmarkEnd w:id="308"/>
    <w:bookmarkEnd w:id="309"/>
    <w:bookmarkEnd w:id="310"/>
    <w:bookmarkEnd w:id="311"/>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9</w:t>
      </w:r>
      <w:bookmarkStart w:id="324" w:name="_Toc297123534"/>
      <w:bookmarkStart w:id="325" w:name="_Toc297216193"/>
      <w:bookmarkStart w:id="326" w:name="_Toc300934983"/>
      <w:bookmarkStart w:id="327" w:name="_Toc312677496"/>
      <w:bookmarkStart w:id="328" w:name="_Toc312678022"/>
      <w:bookmarkStart w:id="329" w:name="_Toc303539140"/>
      <w:bookmarkStart w:id="330" w:name="_Toc304295560"/>
      <w:r>
        <w:rPr>
          <w:rFonts w:ascii="Times New Roman" w:eastAsia="黑体"/>
          <w:color w:val="000000"/>
          <w:sz w:val="24"/>
          <w:szCs w:val="24"/>
        </w:rPr>
        <w:t>.1试验设备与试验人员</w:t>
      </w:r>
    </w:p>
    <w:bookmarkEnd w:id="324"/>
    <w:bookmarkEnd w:id="325"/>
    <w:bookmarkEnd w:id="326"/>
    <w:bookmarkEnd w:id="327"/>
    <w:bookmarkEnd w:id="328"/>
    <w:bookmarkEnd w:id="329"/>
    <w:bookmarkEnd w:id="330"/>
    <w:p>
      <w:pPr>
        <w:spacing w:line="480" w:lineRule="exact"/>
        <w:ind w:firstLine="480" w:firstLineChars="200"/>
        <w:jc w:val="left"/>
        <w:rPr>
          <w:rFonts w:ascii="Times New Roman" w:eastAsia="仿宋_GB2312"/>
          <w:sz w:val="24"/>
          <w:szCs w:val="24"/>
        </w:rPr>
      </w:pPr>
      <w:r>
        <w:rPr>
          <w:rFonts w:ascii="Times New Roman" w:eastAsia="仿宋_GB2312"/>
          <w:sz w:val="24"/>
          <w:szCs w:val="24"/>
        </w:rPr>
        <w:t>9</w:t>
      </w:r>
      <w:bookmarkStart w:id="331" w:name="_Toc297123535"/>
      <w:bookmarkStart w:id="332" w:name="_Toc303539141"/>
      <w:bookmarkStart w:id="333" w:name="_Toc312677497"/>
      <w:bookmarkStart w:id="334" w:name="_Toc312678023"/>
      <w:bookmarkStart w:id="335" w:name="_Toc297216194"/>
      <w:bookmarkStart w:id="336" w:name="_Toc300934984"/>
      <w:bookmarkStart w:id="337" w:name="_Toc304295561"/>
      <w:bookmarkStart w:id="338" w:name="_Toc318581174"/>
      <w:r>
        <w:rPr>
          <w:rFonts w:ascii="Times New Roman" w:eastAsia="仿宋_GB2312"/>
          <w:sz w:val="24"/>
          <w:szCs w:val="24"/>
        </w:rPr>
        <w:t>.1.2 试验设备</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施工现场需要配置的试验场所：</w:t>
      </w:r>
      <w:bookmarkEnd w:id="331"/>
      <w:bookmarkEnd w:id="332"/>
      <w:bookmarkEnd w:id="333"/>
      <w:bookmarkEnd w:id="334"/>
      <w:bookmarkEnd w:id="335"/>
      <w:bookmarkEnd w:id="336"/>
      <w:bookmarkEnd w:id="337"/>
      <w:bookmarkStart w:id="339" w:name="_Toc300934985"/>
      <w:bookmarkStart w:id="340" w:name="_Toc304295562"/>
      <w:bookmarkStart w:id="341" w:name="_Toc312678024"/>
      <w:bookmarkStart w:id="342" w:name="_Toc297216195"/>
      <w:bookmarkStart w:id="343" w:name="_Toc303539142"/>
      <w:bookmarkStart w:id="344" w:name="_Toc312677498"/>
      <w:bookmarkStart w:id="345" w:name="_Toc297123536"/>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施工现场需要配备的试验设备：。</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施工现场需要具备的其他试验条件：。</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9.4 现场工艺试验</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现场工艺试验的有关约定：。</w:t>
      </w:r>
    </w:p>
    <w:bookmarkEnd w:id="338"/>
    <w:bookmarkEnd w:id="339"/>
    <w:bookmarkEnd w:id="340"/>
    <w:bookmarkEnd w:id="341"/>
    <w:bookmarkEnd w:id="342"/>
    <w:bookmarkEnd w:id="343"/>
    <w:bookmarkEnd w:id="344"/>
    <w:bookmarkEnd w:id="345"/>
    <w:p>
      <w:pPr>
        <w:pStyle w:val="9"/>
        <w:spacing w:line="480" w:lineRule="exact"/>
        <w:rPr>
          <w:rFonts w:ascii="Times New Roman" w:hAnsi="Times New Roman" w:eastAsia="黑体"/>
          <w:b w:val="0"/>
          <w:color w:val="000000"/>
          <w:sz w:val="24"/>
          <w:szCs w:val="24"/>
        </w:rPr>
      </w:pPr>
      <w:bookmarkStart w:id="346" w:name="_Toc351203642"/>
      <w:r>
        <w:rPr>
          <w:rFonts w:ascii="Times New Roman" w:hAnsi="Times New Roman" w:eastAsia="黑体"/>
          <w:b w:val="0"/>
          <w:color w:val="000000"/>
          <w:sz w:val="24"/>
          <w:szCs w:val="24"/>
        </w:rPr>
        <w:t>1</w:t>
      </w:r>
      <w:bookmarkEnd w:id="312"/>
      <w:bookmarkEnd w:id="313"/>
      <w:bookmarkEnd w:id="314"/>
      <w:bookmarkEnd w:id="315"/>
      <w:bookmarkEnd w:id="316"/>
      <w:bookmarkEnd w:id="317"/>
      <w:bookmarkEnd w:id="318"/>
      <w:bookmarkEnd w:id="319"/>
      <w:bookmarkEnd w:id="320"/>
      <w:bookmarkEnd w:id="321"/>
      <w:bookmarkEnd w:id="322"/>
      <w:bookmarkEnd w:id="323"/>
      <w:bookmarkStart w:id="347" w:name="_Toc304295566"/>
      <w:bookmarkStart w:id="348" w:name="_Toc296503193"/>
      <w:bookmarkStart w:id="349" w:name="_Toc296347192"/>
      <w:bookmarkStart w:id="350" w:name="_Toc296346694"/>
      <w:bookmarkStart w:id="351" w:name="_Toc296891021"/>
      <w:bookmarkStart w:id="352" w:name="_Toc296944532"/>
      <w:bookmarkStart w:id="353" w:name="_Toc297120493"/>
      <w:bookmarkStart w:id="354" w:name="_Toc303539146"/>
      <w:bookmarkStart w:id="355" w:name="_Toc297048379"/>
      <w:bookmarkStart w:id="356" w:name="_Toc300934989"/>
      <w:bookmarkStart w:id="357" w:name="_Toc297123540"/>
      <w:bookmarkStart w:id="358" w:name="_Toc296891233"/>
      <w:bookmarkStart w:id="359" w:name="_Toc297216199"/>
      <w:bookmarkStart w:id="360" w:name="_Toc292559903"/>
      <w:bookmarkStart w:id="361" w:name="_Toc292559398"/>
      <w:bookmarkStart w:id="362" w:name="_Toc312677499"/>
      <w:bookmarkStart w:id="363" w:name="_Toc312678025"/>
      <w:bookmarkStart w:id="364" w:name="_Toc267251441"/>
      <w:bookmarkStart w:id="365" w:name="_Toc267251439"/>
      <w:bookmarkStart w:id="366" w:name="_Toc267251437"/>
      <w:bookmarkStart w:id="367" w:name="_Toc267251435"/>
      <w:bookmarkStart w:id="368" w:name="_Toc267251440"/>
      <w:bookmarkStart w:id="369" w:name="_Toc267251433"/>
      <w:bookmarkStart w:id="370" w:name="_Toc267251442"/>
      <w:r>
        <w:rPr>
          <w:rFonts w:ascii="Times New Roman" w:hAnsi="Times New Roman" w:eastAsia="黑体"/>
          <w:b w:val="0"/>
          <w:color w:val="000000"/>
          <w:sz w:val="24"/>
          <w:szCs w:val="24"/>
        </w:rPr>
        <w:t>0. 变更</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bookmarkEnd w:id="362"/>
    <w:bookmarkEnd w:id="363"/>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w:t>
      </w:r>
      <w:bookmarkStart w:id="371" w:name="_Toc303539147"/>
      <w:bookmarkStart w:id="372" w:name="_Toc297123541"/>
      <w:bookmarkStart w:id="373" w:name="_Toc297216200"/>
      <w:bookmarkStart w:id="374" w:name="_Toc297048380"/>
      <w:bookmarkStart w:id="375" w:name="_Toc296891022"/>
      <w:bookmarkStart w:id="376" w:name="_Toc292559904"/>
      <w:bookmarkStart w:id="377" w:name="_Toc296891234"/>
      <w:bookmarkStart w:id="378" w:name="_Toc300934990"/>
      <w:bookmarkStart w:id="379" w:name="_Toc296346695"/>
      <w:bookmarkStart w:id="380" w:name="_Toc296944533"/>
      <w:bookmarkStart w:id="381" w:name="_Toc297120494"/>
      <w:bookmarkStart w:id="382" w:name="_Toc292559399"/>
      <w:bookmarkStart w:id="383" w:name="_Toc304295567"/>
      <w:bookmarkStart w:id="384" w:name="_Toc296347193"/>
      <w:bookmarkStart w:id="385" w:name="_Toc296503194"/>
      <w:bookmarkStart w:id="386" w:name="_Toc312678026"/>
      <w:bookmarkStart w:id="387" w:name="_Toc312677500"/>
      <w:r>
        <w:rPr>
          <w:rFonts w:ascii="Times New Roman" w:eastAsia="黑体"/>
          <w:color w:val="000000"/>
          <w:sz w:val="24"/>
          <w:szCs w:val="24"/>
        </w:rPr>
        <w:t>0.1变更的范围</w:t>
      </w:r>
    </w:p>
    <w:p>
      <w:pPr>
        <w:spacing w:line="480" w:lineRule="exact"/>
        <w:ind w:firstLine="600"/>
        <w:jc w:val="left"/>
        <w:rPr>
          <w:rFonts w:ascii="Times New Roman" w:eastAsia="仿宋_GB2312"/>
          <w:color w:val="000000"/>
          <w:sz w:val="24"/>
          <w:szCs w:val="24"/>
        </w:rPr>
      </w:pPr>
      <w:r>
        <w:rPr>
          <w:rFonts w:ascii="Times New Roman" w:eastAsia="仿宋_GB2312"/>
          <w:color w:val="000000"/>
          <w:sz w:val="24"/>
          <w:szCs w:val="24"/>
        </w:rPr>
        <w:t>关于变更的范围的约定：。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10.4 变更估价</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10.4.1 变更估价原则</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关于变更估价的约定: 。</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Start w:id="388" w:name="_Toc296891237"/>
      <w:bookmarkStart w:id="389" w:name="_Toc292559907"/>
      <w:bookmarkStart w:id="390" w:name="_Toc296944536"/>
      <w:bookmarkStart w:id="391" w:name="_Toc300934993"/>
      <w:bookmarkStart w:id="392" w:name="_Toc297048383"/>
      <w:bookmarkStart w:id="393" w:name="_Toc296891025"/>
      <w:bookmarkStart w:id="394" w:name="_Toc296346698"/>
      <w:bookmarkStart w:id="395" w:name="_Toc296503197"/>
      <w:bookmarkStart w:id="396" w:name="_Toc303539150"/>
      <w:bookmarkStart w:id="397" w:name="_Toc296347196"/>
      <w:bookmarkStart w:id="398" w:name="_Toc297216203"/>
      <w:bookmarkStart w:id="399" w:name="_Toc297123544"/>
      <w:bookmarkStart w:id="400" w:name="_Toc297120497"/>
      <w:bookmarkStart w:id="401" w:name="_Toc292559402"/>
      <w:bookmarkStart w:id="402" w:name="_Toc312677503"/>
      <w:bookmarkStart w:id="403" w:name="_Toc312678029"/>
      <w:bookmarkStart w:id="404" w:name="_Toc304295570"/>
      <w:r>
        <w:rPr>
          <w:rFonts w:ascii="Times New Roman" w:eastAsia="黑体"/>
          <w:color w:val="000000"/>
          <w:sz w:val="24"/>
          <w:szCs w:val="24"/>
        </w:rPr>
        <w:t>0.5承</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Start w:id="405" w:name="_Toc296944542"/>
      <w:bookmarkStart w:id="406" w:name="_Toc296503203"/>
      <w:bookmarkStart w:id="407" w:name="_Toc297120503"/>
      <w:bookmarkStart w:id="408" w:name="_Toc297123545"/>
      <w:bookmarkStart w:id="409" w:name="_Toc297216204"/>
      <w:bookmarkStart w:id="410" w:name="_Toc296346704"/>
      <w:bookmarkStart w:id="411" w:name="_Toc292559408"/>
      <w:bookmarkStart w:id="412" w:name="_Toc297048389"/>
      <w:bookmarkStart w:id="413" w:name="_Toc296891243"/>
      <w:bookmarkStart w:id="414" w:name="_Toc292559913"/>
      <w:bookmarkStart w:id="415" w:name="_Toc296347202"/>
      <w:bookmarkStart w:id="416" w:name="_Toc300934994"/>
      <w:bookmarkStart w:id="417" w:name="_Toc303539151"/>
      <w:bookmarkStart w:id="418" w:name="_Toc296891031"/>
      <w:r>
        <w:rPr>
          <w:rFonts w:ascii="Times New Roman" w:eastAsia="黑体"/>
          <w:color w:val="000000"/>
          <w:sz w:val="24"/>
          <w:szCs w:val="24"/>
        </w:rPr>
        <w:t>包人的合理化建议</w:t>
      </w:r>
    </w:p>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监理人审查承包人合理化建议的期限：。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发包人审批承包人合理化建议的期限：。</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承</w:t>
      </w:r>
      <w:bookmarkStart w:id="419" w:name="_Toc297048390"/>
      <w:bookmarkStart w:id="420" w:name="_Toc303539152"/>
      <w:bookmarkStart w:id="421" w:name="_Toc296347203"/>
      <w:bookmarkStart w:id="422" w:name="_Toc296891244"/>
      <w:bookmarkStart w:id="423" w:name="_Toc296944543"/>
      <w:bookmarkStart w:id="424" w:name="_Toc296503204"/>
      <w:bookmarkStart w:id="425" w:name="_Toc312678030"/>
      <w:bookmarkStart w:id="426" w:name="_Toc318581175"/>
      <w:bookmarkStart w:id="427" w:name="_Toc297123546"/>
      <w:bookmarkStart w:id="428" w:name="_Toc292559409"/>
      <w:bookmarkStart w:id="429" w:name="_Toc300934995"/>
      <w:bookmarkStart w:id="430" w:name="_Toc296891032"/>
      <w:bookmarkStart w:id="431" w:name="_Toc312677504"/>
      <w:bookmarkStart w:id="432" w:name="_Toc296346705"/>
      <w:bookmarkStart w:id="433" w:name="_Toc297216205"/>
      <w:bookmarkStart w:id="434" w:name="_Toc292559914"/>
      <w:bookmarkStart w:id="435" w:name="_Toc297120504"/>
      <w:bookmarkStart w:id="436" w:name="_Toc304295571"/>
      <w:r>
        <w:rPr>
          <w:rFonts w:ascii="Times New Roman" w:eastAsia="仿宋_GB2312"/>
          <w:sz w:val="24"/>
          <w:szCs w:val="24"/>
        </w:rPr>
        <w:t>包人提出的合理化建议降低了合同价格或者提高了工程经济效益的奖励的方法和金额为：。</w:t>
      </w:r>
    </w:p>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w:t>
      </w:r>
      <w:bookmarkStart w:id="437" w:name="_Toc303539154"/>
      <w:bookmarkStart w:id="438" w:name="_Toc296891239"/>
      <w:bookmarkStart w:id="439" w:name="_Toc304295574"/>
      <w:bookmarkStart w:id="440" w:name="_Toc296944538"/>
      <w:bookmarkStart w:id="441" w:name="_Toc296891027"/>
      <w:bookmarkStart w:id="442" w:name="_Toc297216207"/>
      <w:bookmarkStart w:id="443" w:name="_Toc296346700"/>
      <w:bookmarkStart w:id="444" w:name="_Toc292559404"/>
      <w:bookmarkStart w:id="445" w:name="_Toc297123548"/>
      <w:bookmarkStart w:id="446" w:name="_Toc297048385"/>
      <w:bookmarkStart w:id="447" w:name="_Toc312678033"/>
      <w:bookmarkStart w:id="448" w:name="_Toc300934997"/>
      <w:bookmarkStart w:id="449" w:name="_Toc296503199"/>
      <w:bookmarkStart w:id="450" w:name="_Toc296347198"/>
      <w:bookmarkStart w:id="451" w:name="_Toc292559909"/>
      <w:bookmarkStart w:id="452" w:name="_Toc312677507"/>
      <w:bookmarkStart w:id="453" w:name="_Toc297120499"/>
      <w:r>
        <w:rPr>
          <w:rFonts w:ascii="Times New Roman" w:eastAsia="黑体"/>
          <w:color w:val="000000"/>
          <w:sz w:val="24"/>
          <w:szCs w:val="24"/>
        </w:rPr>
        <w:t>0.7 暂估价</w:t>
      </w:r>
    </w:p>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Pr>
        <w:spacing w:line="480" w:lineRule="exact"/>
        <w:ind w:firstLine="480" w:firstLineChars="200"/>
        <w:jc w:val="left"/>
        <w:rPr>
          <w:rFonts w:ascii="Times New Roman" w:eastAsia="仿宋_GB2312"/>
          <w:sz w:val="24"/>
          <w:szCs w:val="24"/>
        </w:rPr>
      </w:pPr>
      <w:r>
        <w:rPr>
          <w:rFonts w:ascii="Times New Roman" w:eastAsia="仿宋_GB2312"/>
          <w:sz w:val="24"/>
          <w:szCs w:val="24"/>
        </w:rPr>
        <w:t>暂</w:t>
      </w:r>
      <w:bookmarkStart w:id="454" w:name="_Toc318581176"/>
      <w:bookmarkStart w:id="455" w:name="_Toc312677508"/>
      <w:bookmarkStart w:id="456" w:name="_Toc312678034"/>
      <w:r>
        <w:rPr>
          <w:rFonts w:ascii="Times New Roman" w:eastAsia="仿宋_GB2312"/>
          <w:sz w:val="24"/>
          <w:szCs w:val="24"/>
        </w:rPr>
        <w:t>估价材料和工程设备的明细详见附件</w:t>
      </w:r>
      <w:r>
        <w:rPr>
          <w:rFonts w:hint="eastAsia" w:ascii="Times New Roman" w:eastAsia="仿宋_GB2312"/>
          <w:sz w:val="24"/>
          <w:szCs w:val="24"/>
        </w:rPr>
        <w:t>11：《</w:t>
      </w:r>
      <w:r>
        <w:rPr>
          <w:rFonts w:ascii="Times New Roman" w:eastAsia="仿宋_GB2312"/>
          <w:color w:val="000000"/>
          <w:sz w:val="24"/>
          <w:szCs w:val="24"/>
        </w:rPr>
        <w:t>暂估价一览表</w:t>
      </w:r>
      <w:r>
        <w:rPr>
          <w:rFonts w:hint="eastAsia" w:ascii="Times New Roman" w:eastAsia="仿宋_GB2312"/>
          <w:color w:val="000000"/>
          <w:sz w:val="24"/>
          <w:szCs w:val="24"/>
        </w:rPr>
        <w:t>》</w:t>
      </w:r>
      <w:r>
        <w:rPr>
          <w:rFonts w:hint="eastAsia" w:ascii="Times New Roman" w:eastAsia="仿宋_GB2312"/>
          <w:sz w:val="24"/>
          <w:szCs w:val="24"/>
        </w:rPr>
        <w:t>。</w:t>
      </w:r>
    </w:p>
    <w:bookmarkEnd w:id="454"/>
    <w:bookmarkEnd w:id="455"/>
    <w:bookmarkEnd w:id="456"/>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bookmarkStart w:id="457" w:name="_Toc312677509"/>
      <w:bookmarkStart w:id="458" w:name="_Toc318581177"/>
      <w:bookmarkStart w:id="459" w:name="_Toc312678035"/>
      <w:r>
        <w:rPr>
          <w:rFonts w:ascii="Times New Roman" w:eastAsia="仿宋_GB2312"/>
          <w:sz w:val="24"/>
          <w:szCs w:val="24"/>
        </w:rPr>
        <w:t>0.7.1 依法必须招标的暂估价项目</w:t>
      </w:r>
    </w:p>
    <w:bookmarkEnd w:id="457"/>
    <w:bookmarkEnd w:id="458"/>
    <w:bookmarkEnd w:id="459"/>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对于依法必须招标的暂估价项目的确认和批准采取第种方式确定。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10.7.2 不属于依法必须招标的暂估价项目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对于不属于依法必须招标的暂估价项目的确认和批准采取第 种方式确定。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第3种方式：承包人直接实施的暂估价项目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承包人直接实施的暂估价项目的约定：。</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10.8 暂列金额</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合同当事人关于暂列金额使用的约定：。</w:t>
      </w:r>
    </w:p>
    <w:p>
      <w:pPr>
        <w:pStyle w:val="9"/>
        <w:spacing w:line="480" w:lineRule="exact"/>
        <w:rPr>
          <w:rFonts w:ascii="Times New Roman" w:hAnsi="Times New Roman" w:eastAsia="黑体"/>
          <w:b w:val="0"/>
          <w:color w:val="000000"/>
          <w:sz w:val="24"/>
          <w:szCs w:val="24"/>
        </w:rPr>
      </w:pPr>
      <w:bookmarkStart w:id="460" w:name="_Toc351203643"/>
      <w:r>
        <w:rPr>
          <w:rFonts w:ascii="Times New Roman" w:hAnsi="Times New Roman" w:eastAsia="黑体"/>
          <w:b w:val="0"/>
          <w:color w:val="000000"/>
          <w:sz w:val="24"/>
          <w:szCs w:val="24"/>
        </w:rPr>
        <w:t>11. 价格调整</w:t>
      </w:r>
      <w:bookmarkEnd w:id="460"/>
    </w:p>
    <w:p>
      <w:pPr>
        <w:spacing w:line="480" w:lineRule="exact"/>
        <w:ind w:firstLine="480" w:firstLineChars="200"/>
        <w:rPr>
          <w:rFonts w:ascii="Times New Roman" w:eastAsia="黑体"/>
          <w:color w:val="000000"/>
          <w:sz w:val="24"/>
          <w:szCs w:val="24"/>
        </w:rPr>
      </w:pPr>
      <w:bookmarkStart w:id="461" w:name="_Toc296347200"/>
      <w:bookmarkStart w:id="462" w:name="_Toc297216209"/>
      <w:bookmarkStart w:id="463" w:name="_Toc292559911"/>
      <w:bookmarkStart w:id="464" w:name="_Toc312678039"/>
      <w:bookmarkStart w:id="465" w:name="_Toc297048387"/>
      <w:bookmarkStart w:id="466" w:name="_Toc296503201"/>
      <w:bookmarkStart w:id="467" w:name="_Toc303539157"/>
      <w:bookmarkStart w:id="468" w:name="_Toc300935000"/>
      <w:bookmarkStart w:id="469" w:name="_Toc292559406"/>
      <w:bookmarkStart w:id="470" w:name="_Toc297123550"/>
      <w:bookmarkStart w:id="471" w:name="_Toc296944540"/>
      <w:bookmarkStart w:id="472" w:name="_Toc296891029"/>
      <w:bookmarkStart w:id="473" w:name="_Toc296891241"/>
      <w:bookmarkStart w:id="474" w:name="_Toc297120501"/>
      <w:bookmarkStart w:id="475" w:name="_Toc296346702"/>
      <w:bookmarkStart w:id="476" w:name="_Toc304295577"/>
      <w:r>
        <w:rPr>
          <w:rFonts w:ascii="Times New Roman" w:eastAsia="黑体"/>
          <w:color w:val="000000"/>
          <w:sz w:val="24"/>
          <w:szCs w:val="24"/>
        </w:rPr>
        <w:t>11.1 市场价格波动引起的调整</w:t>
      </w:r>
    </w:p>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市场价格波动是否调整合同价格的约定：</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因市场价格波动调整合同价格，采用以下</w:t>
      </w:r>
      <w:r>
        <w:rPr>
          <w:rFonts w:ascii="Times New Roman" w:eastAsia="仿宋_GB2312"/>
          <w:sz w:val="24"/>
          <w:szCs w:val="24"/>
        </w:rPr>
        <w:t>第</w:t>
      </w:r>
      <w:r>
        <w:rPr>
          <w:rFonts w:ascii="Times New Roman" w:eastAsia="仿宋_GB2312"/>
          <w:color w:val="000000"/>
          <w:sz w:val="24"/>
          <w:szCs w:val="24"/>
        </w:rPr>
        <w:t>种方式对合同价格进行调整：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第1种方式：采用价格指数</w:t>
      </w:r>
      <w:r>
        <w:rPr>
          <w:rFonts w:hint="eastAsia" w:ascii="Times New Roman" w:eastAsia="仿宋_GB2312"/>
          <w:color w:val="000000"/>
          <w:sz w:val="24"/>
          <w:szCs w:val="24"/>
        </w:rPr>
        <w:t>进行价格</w:t>
      </w:r>
      <w:r>
        <w:rPr>
          <w:rFonts w:ascii="Times New Roman" w:eastAsia="仿宋_GB2312"/>
          <w:color w:val="000000"/>
          <w:sz w:val="24"/>
          <w:szCs w:val="24"/>
        </w:rPr>
        <w:t>调整。</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 xml:space="preserve">关于各可调因子、定值和变值权重，以及基本价格指数及其来源的约定：；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第2种方式：采用造价信息</w:t>
      </w:r>
      <w:r>
        <w:rPr>
          <w:rFonts w:hint="eastAsia" w:ascii="Times New Roman" w:eastAsia="仿宋_GB2312"/>
          <w:color w:val="000000"/>
          <w:sz w:val="24"/>
          <w:szCs w:val="24"/>
        </w:rPr>
        <w:t>进行价格</w:t>
      </w:r>
      <w:r>
        <w:rPr>
          <w:rFonts w:ascii="Times New Roman" w:eastAsia="仿宋_GB2312"/>
          <w:color w:val="000000"/>
          <w:sz w:val="24"/>
          <w:szCs w:val="24"/>
        </w:rPr>
        <w:t>调整。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（2）关于基准价格的约定：</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专用合同条款</w:t>
      </w:r>
      <w:r>
        <w:rPr>
          <w:rFonts w:hint="eastAsia" w:hAnsi="宋体" w:cs="宋体"/>
          <w:color w:val="000000"/>
          <w:sz w:val="24"/>
          <w:szCs w:val="24"/>
        </w:rPr>
        <w:t>①</w:t>
      </w:r>
      <w:r>
        <w:rPr>
          <w:rFonts w:ascii="Times New Roman" w:eastAsia="仿宋_GB2312"/>
          <w:color w:val="000000"/>
          <w:sz w:val="24"/>
          <w:szCs w:val="24"/>
        </w:rPr>
        <w:t>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spacing w:line="480" w:lineRule="exact"/>
        <w:ind w:firstLine="480" w:firstLineChars="200"/>
        <w:jc w:val="left"/>
        <w:rPr>
          <w:rFonts w:ascii="Times New Roman" w:eastAsia="仿宋_GB2312"/>
          <w:color w:val="000000"/>
          <w:sz w:val="24"/>
          <w:szCs w:val="24"/>
        </w:rPr>
      </w:pPr>
      <w:r>
        <w:rPr>
          <w:rFonts w:hint="eastAsia" w:hAnsi="宋体" w:cs="宋体"/>
          <w:color w:val="000000"/>
          <w:sz w:val="24"/>
          <w:szCs w:val="24"/>
        </w:rPr>
        <w:t>②</w:t>
      </w:r>
      <w:r>
        <w:rPr>
          <w:rFonts w:ascii="Times New Roman" w:eastAsia="仿宋_GB2312"/>
          <w:color w:val="000000"/>
          <w:sz w:val="24"/>
          <w:szCs w:val="24"/>
        </w:rPr>
        <w:t>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spacing w:line="480" w:lineRule="exact"/>
        <w:ind w:firstLine="645"/>
        <w:jc w:val="left"/>
        <w:rPr>
          <w:rFonts w:ascii="Times New Roman" w:eastAsia="仿宋_GB2312"/>
          <w:color w:val="000000"/>
          <w:sz w:val="24"/>
          <w:szCs w:val="24"/>
        </w:rPr>
      </w:pPr>
      <w:r>
        <w:rPr>
          <w:rFonts w:hint="eastAsia" w:hAnsi="宋体" w:cs="宋体"/>
          <w:color w:val="000000"/>
          <w:sz w:val="24"/>
          <w:szCs w:val="24"/>
        </w:rPr>
        <w:t>③</w:t>
      </w:r>
      <w:r>
        <w:rPr>
          <w:rFonts w:ascii="Times New Roman" w:eastAsia="仿宋_GB2312"/>
          <w:color w:val="000000"/>
          <w:sz w:val="24"/>
          <w:szCs w:val="24"/>
        </w:rPr>
        <w:t>承包人在已标价工程量清单或预算书中载明的材料单价等于基准单价的：专用合同条款合同履行期间材料单价涨跌幅以基准单价为基础超过±%时，其超过部分据实调整。</w:t>
      </w:r>
    </w:p>
    <w:p>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第3种方式：其他价格调整方式：。</w:t>
      </w:r>
    </w:p>
    <w:bookmarkEnd w:id="364"/>
    <w:bookmarkEnd w:id="365"/>
    <w:bookmarkEnd w:id="366"/>
    <w:bookmarkEnd w:id="367"/>
    <w:bookmarkEnd w:id="368"/>
    <w:bookmarkEnd w:id="369"/>
    <w:p>
      <w:pPr>
        <w:pStyle w:val="9"/>
        <w:spacing w:line="480" w:lineRule="exact"/>
        <w:rPr>
          <w:rFonts w:ascii="Times New Roman" w:hAnsi="Times New Roman" w:eastAsia="黑体"/>
          <w:b w:val="0"/>
          <w:color w:val="000000"/>
          <w:sz w:val="24"/>
          <w:szCs w:val="24"/>
        </w:rPr>
      </w:pPr>
      <w:bookmarkStart w:id="477" w:name="_Toc296891033"/>
      <w:bookmarkStart w:id="478" w:name="_Toc297120505"/>
      <w:bookmarkStart w:id="479" w:name="_Toc296891245"/>
      <w:bookmarkStart w:id="480" w:name="_Toc296944544"/>
      <w:bookmarkStart w:id="481" w:name="_Toc297048391"/>
      <w:bookmarkStart w:id="482" w:name="_Toc296503205"/>
      <w:bookmarkStart w:id="483" w:name="_Toc296347204"/>
      <w:bookmarkStart w:id="484" w:name="_Toc292559915"/>
      <w:bookmarkStart w:id="485" w:name="_Toc292559410"/>
      <w:bookmarkStart w:id="486" w:name="_Toc296346706"/>
      <w:bookmarkStart w:id="487" w:name="_Toc351203644"/>
      <w:bookmarkStart w:id="488" w:name="_Toc297123552"/>
      <w:bookmarkStart w:id="489" w:name="_Toc312678040"/>
      <w:bookmarkStart w:id="490" w:name="_Toc304295579"/>
      <w:bookmarkStart w:id="491" w:name="_Toc297216211"/>
      <w:bookmarkStart w:id="492" w:name="_Toc300935002"/>
      <w:bookmarkStart w:id="493" w:name="_Toc303539159"/>
      <w:r>
        <w:rPr>
          <w:rFonts w:ascii="Times New Roman" w:hAnsi="Times New Roman" w:eastAsia="黑体"/>
          <w:b w:val="0"/>
          <w:color w:val="000000"/>
          <w:sz w:val="24"/>
          <w:szCs w:val="24"/>
        </w:rPr>
        <w:t xml:space="preserve">12. </w:t>
      </w:r>
      <w:bookmarkEnd w:id="477"/>
      <w:bookmarkEnd w:id="478"/>
      <w:bookmarkEnd w:id="479"/>
      <w:bookmarkEnd w:id="480"/>
      <w:bookmarkEnd w:id="481"/>
      <w:bookmarkEnd w:id="482"/>
      <w:bookmarkEnd w:id="483"/>
      <w:bookmarkEnd w:id="484"/>
      <w:bookmarkEnd w:id="485"/>
      <w:bookmarkEnd w:id="486"/>
      <w:r>
        <w:rPr>
          <w:rFonts w:ascii="Times New Roman" w:hAnsi="Times New Roman" w:eastAsia="黑体"/>
          <w:b w:val="0"/>
          <w:color w:val="000000"/>
          <w:sz w:val="24"/>
          <w:szCs w:val="24"/>
        </w:rPr>
        <w:t>合同价格、计量与支付</w:t>
      </w:r>
      <w:bookmarkEnd w:id="487"/>
    </w:p>
    <w:bookmarkEnd w:id="488"/>
    <w:bookmarkEnd w:id="489"/>
    <w:bookmarkEnd w:id="490"/>
    <w:bookmarkEnd w:id="491"/>
    <w:bookmarkEnd w:id="492"/>
    <w:bookmarkEnd w:id="493"/>
    <w:p>
      <w:pPr>
        <w:spacing w:line="480" w:lineRule="exact"/>
        <w:ind w:firstLine="480" w:firstLineChars="200"/>
        <w:rPr>
          <w:rFonts w:ascii="Times New Roman" w:eastAsia="黑体"/>
          <w:color w:val="000000"/>
          <w:sz w:val="24"/>
          <w:szCs w:val="24"/>
        </w:rPr>
      </w:pPr>
      <w:bookmarkStart w:id="494" w:name="_Toc292559411"/>
      <w:bookmarkStart w:id="495" w:name="_Toc267251461"/>
      <w:bookmarkStart w:id="496" w:name="_Toc292559916"/>
      <w:bookmarkStart w:id="497" w:name="_Toc297120506"/>
      <w:bookmarkStart w:id="498" w:name="_Toc296891034"/>
      <w:bookmarkStart w:id="499" w:name="_Toc296944545"/>
      <w:bookmarkStart w:id="500" w:name="_Toc297048392"/>
      <w:bookmarkStart w:id="501" w:name="_Toc296346707"/>
      <w:bookmarkStart w:id="502" w:name="_Toc296347205"/>
      <w:bookmarkStart w:id="503" w:name="_Toc296503206"/>
      <w:bookmarkStart w:id="504" w:name="_Toc296891246"/>
      <w:bookmarkStart w:id="505" w:name="_Toc304295580"/>
      <w:bookmarkStart w:id="506" w:name="_Toc312678041"/>
      <w:bookmarkStart w:id="507" w:name="_Toc303539160"/>
      <w:bookmarkStart w:id="508" w:name="_Toc300935003"/>
      <w:bookmarkStart w:id="509" w:name="_Toc297123553"/>
      <w:bookmarkStart w:id="510" w:name="_Toc297216212"/>
      <w:r>
        <w:rPr>
          <w:rFonts w:ascii="Times New Roman" w:eastAsia="黑体"/>
          <w:color w:val="000000"/>
          <w:sz w:val="24"/>
          <w:szCs w:val="24"/>
        </w:rPr>
        <w:t>12.1 合</w:t>
      </w:r>
      <w:bookmarkEnd w:id="494"/>
      <w:bookmarkEnd w:id="495"/>
      <w:bookmarkEnd w:id="496"/>
      <w:r>
        <w:rPr>
          <w:rFonts w:ascii="Times New Roman" w:eastAsia="黑体"/>
          <w:color w:val="000000"/>
          <w:sz w:val="24"/>
          <w:szCs w:val="24"/>
        </w:rPr>
        <w:t>同价</w:t>
      </w:r>
      <w:bookmarkEnd w:id="497"/>
      <w:bookmarkEnd w:id="498"/>
      <w:bookmarkEnd w:id="499"/>
      <w:bookmarkEnd w:id="500"/>
      <w:bookmarkEnd w:id="501"/>
      <w:bookmarkEnd w:id="502"/>
      <w:bookmarkEnd w:id="503"/>
      <w:bookmarkEnd w:id="504"/>
      <w:r>
        <w:rPr>
          <w:rFonts w:ascii="Times New Roman" w:eastAsia="黑体"/>
          <w:color w:val="000000"/>
          <w:sz w:val="24"/>
          <w:szCs w:val="24"/>
        </w:rPr>
        <w:t>格形式</w:t>
      </w:r>
    </w:p>
    <w:bookmarkEnd w:id="505"/>
    <w:bookmarkEnd w:id="506"/>
    <w:bookmarkEnd w:id="507"/>
    <w:bookmarkEnd w:id="508"/>
    <w:bookmarkEnd w:id="509"/>
    <w:bookmarkEnd w:id="510"/>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1、单价合同。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综合单价包含的风险范围：。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风险费用的计算方法：。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总价包含的风险范围：。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风险费用的计算方法：。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pPr>
        <w:numPr>
          <w:ilvl w:val="0"/>
          <w:numId w:val="6"/>
        </w:numPr>
        <w:spacing w:line="480" w:lineRule="exact"/>
        <w:ind w:firstLine="481"/>
        <w:jc w:val="left"/>
        <w:rPr>
          <w:rFonts w:ascii="Times New Roman" w:eastAsia="仿宋_GB2312"/>
          <w:color w:val="000000"/>
          <w:sz w:val="24"/>
          <w:szCs w:val="24"/>
        </w:rPr>
      </w:pPr>
      <w:r>
        <w:rPr>
          <w:rFonts w:ascii="Times New Roman" w:eastAsia="仿宋_GB2312"/>
          <w:color w:val="000000"/>
          <w:sz w:val="24"/>
          <w:szCs w:val="24"/>
        </w:rPr>
        <w:t>其他价格方式：。</w:t>
      </w:r>
    </w:p>
    <w:p>
      <w:pPr>
        <w:spacing w:line="480" w:lineRule="exact"/>
        <w:ind w:firstLine="480" w:firstLineChars="200"/>
        <w:rPr>
          <w:rFonts w:ascii="Times New Roman" w:eastAsia="黑体"/>
          <w:color w:val="000000"/>
          <w:sz w:val="24"/>
          <w:szCs w:val="24"/>
        </w:rPr>
      </w:pPr>
      <w:bookmarkStart w:id="511" w:name="_Toc297123554"/>
      <w:bookmarkStart w:id="512" w:name="_Toc304295581"/>
      <w:bookmarkStart w:id="513" w:name="_Toc300935004"/>
      <w:bookmarkStart w:id="514" w:name="_Toc312678042"/>
      <w:bookmarkStart w:id="515" w:name="_Toc303539161"/>
      <w:bookmarkStart w:id="516" w:name="_Toc297216213"/>
      <w:bookmarkStart w:id="517" w:name="_Toc297120507"/>
      <w:bookmarkStart w:id="518" w:name="_Toc296944546"/>
      <w:bookmarkStart w:id="519" w:name="_Toc296347206"/>
      <w:bookmarkStart w:id="520" w:name="_Toc296891035"/>
      <w:bookmarkStart w:id="521" w:name="_Toc296891247"/>
      <w:bookmarkStart w:id="522" w:name="_Toc292559917"/>
      <w:bookmarkStart w:id="523" w:name="_Toc296503207"/>
      <w:bookmarkStart w:id="524" w:name="_Toc297048393"/>
      <w:bookmarkStart w:id="525" w:name="_Toc296346708"/>
      <w:bookmarkStart w:id="526" w:name="_Toc292559412"/>
      <w:r>
        <w:rPr>
          <w:rFonts w:ascii="Times New Roman" w:eastAsia="黑体"/>
          <w:color w:val="000000"/>
          <w:sz w:val="24"/>
          <w:szCs w:val="24"/>
        </w:rPr>
        <w:t>12.2 预付款</w:t>
      </w:r>
    </w:p>
    <w:bookmarkEnd w:id="511"/>
    <w:bookmarkEnd w:id="512"/>
    <w:bookmarkEnd w:id="513"/>
    <w:bookmarkEnd w:id="514"/>
    <w:bookmarkEnd w:id="515"/>
    <w:bookmarkEnd w:id="516"/>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12.2.1 预付款的支付</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预付款支付比例或金额：。</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预付款支付期限：。</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预付款扣回的方式：。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12.2.2 预付款担保</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承包人提交预付款担保的期限：。</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预付款担保的形式为：。</w:t>
      </w:r>
    </w:p>
    <w:bookmarkEnd w:id="517"/>
    <w:bookmarkEnd w:id="518"/>
    <w:bookmarkEnd w:id="519"/>
    <w:bookmarkEnd w:id="520"/>
    <w:bookmarkEnd w:id="521"/>
    <w:bookmarkEnd w:id="522"/>
    <w:bookmarkEnd w:id="523"/>
    <w:bookmarkEnd w:id="524"/>
    <w:bookmarkEnd w:id="525"/>
    <w:bookmarkEnd w:id="526"/>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12.3 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12.3.1 计量原则</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工程量计算规则：。</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12.3.2 计量周期</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关于计量周期的约定：。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12.3.3 单价合同的计量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关于单价合同计量的约定：。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12.3.4 总价合同的计量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关于总价合同计量的约定：。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12.3.5总价合同采用支付分解表计量支付的，是否适用第12.3.4 项</w:t>
      </w:r>
      <w:r>
        <w:rPr>
          <w:rFonts w:hint="eastAsia" w:ascii="Times New Roman" w:eastAsia="仿宋_GB2312"/>
          <w:color w:val="000000"/>
          <w:sz w:val="24"/>
          <w:szCs w:val="24"/>
        </w:rPr>
        <w:t>〔</w:t>
      </w:r>
      <w:r>
        <w:rPr>
          <w:rFonts w:ascii="Times New Roman" w:eastAsia="仿宋_GB2312"/>
          <w:color w:val="000000"/>
          <w:sz w:val="24"/>
          <w:szCs w:val="24"/>
        </w:rPr>
        <w:t>总价合同的计量</w:t>
      </w:r>
      <w:r>
        <w:rPr>
          <w:rFonts w:hint="eastAsia" w:ascii="Times New Roman" w:eastAsia="仿宋_GB2312"/>
          <w:color w:val="000000"/>
          <w:sz w:val="24"/>
          <w:szCs w:val="24"/>
        </w:rPr>
        <w:t>〕</w:t>
      </w:r>
      <w:r>
        <w:rPr>
          <w:rFonts w:ascii="Times New Roman" w:eastAsia="仿宋_GB2312"/>
          <w:color w:val="000000"/>
          <w:sz w:val="24"/>
          <w:szCs w:val="24"/>
        </w:rPr>
        <w:t>约定</w:t>
      </w:r>
      <w:r>
        <w:rPr>
          <w:rFonts w:hint="eastAsia" w:ascii="Times New Roman" w:eastAsia="仿宋_GB2312"/>
          <w:color w:val="000000"/>
          <w:sz w:val="24"/>
          <w:szCs w:val="24"/>
        </w:rPr>
        <w:t>进行计量：</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12.3.6 其他价格形式合同的计量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其他价格形式的计量方式和程序：</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12.4 工程进度款支付</w:t>
      </w:r>
    </w:p>
    <w:p>
      <w:pPr>
        <w:spacing w:line="480" w:lineRule="exact"/>
        <w:ind w:firstLine="480" w:firstLineChars="200"/>
        <w:jc w:val="left"/>
        <w:rPr>
          <w:rFonts w:ascii="Times New Roman" w:eastAsia="仿宋_GB2312"/>
          <w:color w:val="000000"/>
          <w:sz w:val="24"/>
          <w:szCs w:val="24"/>
        </w:rPr>
      </w:pPr>
      <w:bookmarkStart w:id="527" w:name="_Toc303539163"/>
      <w:bookmarkStart w:id="528" w:name="_Toc297216215"/>
      <w:bookmarkStart w:id="529" w:name="_Toc296944550"/>
      <w:bookmarkStart w:id="530" w:name="_Toc300935006"/>
      <w:bookmarkStart w:id="531" w:name="_Toc292559921"/>
      <w:bookmarkStart w:id="532" w:name="_Toc296347210"/>
      <w:bookmarkStart w:id="533" w:name="_Toc297120511"/>
      <w:bookmarkStart w:id="534" w:name="_Toc297123556"/>
      <w:bookmarkStart w:id="535" w:name="_Toc296891251"/>
      <w:bookmarkStart w:id="536" w:name="_Toc296503211"/>
      <w:bookmarkStart w:id="537" w:name="_Toc292559416"/>
      <w:bookmarkStart w:id="538" w:name="_Toc296346712"/>
      <w:bookmarkStart w:id="539" w:name="_Toc296891039"/>
      <w:bookmarkStart w:id="540" w:name="_Toc297048397"/>
      <w:r>
        <w:rPr>
          <w:rFonts w:ascii="Times New Roman" w:eastAsia="仿宋_GB2312"/>
          <w:color w:val="000000"/>
          <w:sz w:val="24"/>
          <w:szCs w:val="24"/>
        </w:rPr>
        <w:t>12.4.1 付款周期</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关于付款周期的约定：。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12.4.2 进度付款申请单的编制</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关于进度付款申请单编制的约定：。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Pr>
          <w:rFonts w:ascii="Times New Roman" w:eastAsia="仿宋_GB2312"/>
          <w:color w:val="000000"/>
          <w:sz w:val="24"/>
          <w:szCs w:val="24"/>
        </w:rPr>
        <w:t>2.4.3 进度付款申请单的提交</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（1）单价合同进度付款申请单提交的约定</w:t>
      </w:r>
      <w:r>
        <w:rPr>
          <w:rFonts w:hint="eastAsia" w:ascii="Times New Roman" w:eastAsia="仿宋_GB2312"/>
          <w:color w:val="000000"/>
          <w:sz w:val="24"/>
          <w:szCs w:val="24"/>
        </w:rPr>
        <w:t>：</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（2）总价合同进度付款申请单提交的约定</w:t>
      </w:r>
      <w:r>
        <w:rPr>
          <w:rFonts w:hint="eastAsia" w:ascii="Times New Roman" w:eastAsia="仿宋_GB2312"/>
          <w:color w:val="000000"/>
          <w:sz w:val="24"/>
          <w:szCs w:val="24"/>
        </w:rPr>
        <w:t>：</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（3）其他价格形式合同进度付款申请单提交的约定：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12.4.4 进度款审核和支付</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（1）监理人审查并报送发包人的期限：。</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发包人完成审批并签发进度款支付证书的期限：</w:t>
      </w:r>
    </w:p>
    <w:p>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（2）发包人支付进度款的期限：。</w:t>
      </w:r>
    </w:p>
    <w:p>
      <w:pPr>
        <w:spacing w:line="480" w:lineRule="exact"/>
        <w:ind w:firstLine="600" w:firstLineChars="250"/>
        <w:jc w:val="left"/>
        <w:rPr>
          <w:rFonts w:ascii="Times New Roman" w:eastAsia="仿宋_GB2312"/>
          <w:color w:val="000000"/>
          <w:sz w:val="24"/>
          <w:szCs w:val="24"/>
        </w:rPr>
      </w:pPr>
      <w:r>
        <w:rPr>
          <w:rFonts w:ascii="Times New Roman" w:eastAsia="仿宋_GB2312"/>
          <w:color w:val="000000"/>
          <w:sz w:val="24"/>
          <w:szCs w:val="24"/>
        </w:rPr>
        <w:t>发包人逾期支付进度款的违约金的计算方式：。</w:t>
      </w:r>
    </w:p>
    <w:p>
      <w:pPr>
        <w:spacing w:line="480" w:lineRule="exact"/>
        <w:ind w:firstLine="600" w:firstLineChars="250"/>
        <w:jc w:val="left"/>
        <w:rPr>
          <w:rFonts w:ascii="Times New Roman" w:eastAsia="仿宋_GB2312"/>
          <w:color w:val="000000"/>
          <w:sz w:val="24"/>
          <w:szCs w:val="24"/>
        </w:rPr>
      </w:pPr>
      <w:r>
        <w:rPr>
          <w:rFonts w:ascii="Times New Roman" w:eastAsia="仿宋_GB2312"/>
          <w:color w:val="000000"/>
          <w:sz w:val="24"/>
          <w:szCs w:val="24"/>
        </w:rPr>
        <w:t>12.4.6 支付分解表的编制</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2、总价合同支付分解表的编制与审批：。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3、单价合同的总价项目支付分解表的编制与审批：。</w:t>
      </w:r>
    </w:p>
    <w:bookmarkEnd w:id="370"/>
    <w:p>
      <w:pPr>
        <w:pStyle w:val="9"/>
        <w:spacing w:line="480" w:lineRule="exact"/>
        <w:rPr>
          <w:rFonts w:ascii="Times New Roman" w:hAnsi="Times New Roman" w:eastAsia="黑体"/>
          <w:b w:val="0"/>
          <w:color w:val="000000"/>
          <w:sz w:val="24"/>
          <w:szCs w:val="24"/>
        </w:rPr>
      </w:pPr>
      <w:bookmarkStart w:id="541" w:name="_Toc351203645"/>
      <w:bookmarkStart w:id="542" w:name="_Toc292559424"/>
      <w:bookmarkStart w:id="543" w:name="_Toc297123564"/>
      <w:bookmarkStart w:id="544" w:name="_Toc296346720"/>
      <w:bookmarkStart w:id="545" w:name="_Toc312678053"/>
      <w:bookmarkStart w:id="546" w:name="_Toc296891259"/>
      <w:bookmarkStart w:id="547" w:name="_Toc292559929"/>
      <w:bookmarkStart w:id="548" w:name="_Toc296891047"/>
      <w:bookmarkStart w:id="549" w:name="_Toc304295593"/>
      <w:bookmarkStart w:id="550" w:name="_Toc297216223"/>
      <w:bookmarkStart w:id="551" w:name="_Toc296944558"/>
      <w:bookmarkStart w:id="552" w:name="_Toc297048405"/>
      <w:bookmarkStart w:id="553" w:name="_Toc300935015"/>
      <w:bookmarkStart w:id="554" w:name="_Toc296347218"/>
      <w:bookmarkStart w:id="555" w:name="_Toc296503219"/>
      <w:bookmarkStart w:id="556" w:name="_Toc297120519"/>
      <w:bookmarkStart w:id="557" w:name="_Toc303539172"/>
      <w:r>
        <w:rPr>
          <w:rFonts w:ascii="Times New Roman" w:hAnsi="Times New Roman" w:eastAsia="黑体"/>
          <w:b w:val="0"/>
          <w:color w:val="000000"/>
          <w:sz w:val="24"/>
          <w:szCs w:val="24"/>
        </w:rPr>
        <w:t>13.验收和工程试车</w:t>
      </w:r>
      <w:bookmarkEnd w:id="541"/>
    </w:p>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13.1 分部分项工程验收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13.1.2监理人不能按时进行验收时，应提前小时提交书面延期要求。</w:t>
      </w:r>
    </w:p>
    <w:p>
      <w:pPr>
        <w:spacing w:line="480" w:lineRule="exact"/>
        <w:ind w:firstLine="480" w:firstLineChars="200"/>
        <w:jc w:val="left"/>
        <w:rPr>
          <w:rFonts w:ascii="Times New Roman" w:eastAsia="仿宋_GB2312"/>
          <w:b/>
          <w:color w:val="000000"/>
          <w:sz w:val="24"/>
          <w:szCs w:val="24"/>
        </w:rPr>
      </w:pPr>
      <w:r>
        <w:rPr>
          <w:rFonts w:ascii="Times New Roman" w:eastAsia="仿宋_GB2312"/>
          <w:sz w:val="24"/>
          <w:szCs w:val="24"/>
        </w:rPr>
        <w:t>关于延期最长不得超过：小时。</w:t>
      </w:r>
    </w:p>
    <w:p>
      <w:pPr>
        <w:spacing w:line="480" w:lineRule="exact"/>
        <w:ind w:firstLine="480" w:firstLineChars="200"/>
        <w:rPr>
          <w:rFonts w:ascii="Times New Roman" w:eastAsia="黑体"/>
          <w:color w:val="000000"/>
          <w:sz w:val="24"/>
          <w:szCs w:val="24"/>
        </w:rPr>
      </w:pPr>
      <w:bookmarkStart w:id="558" w:name="_Toc312678056"/>
      <w:bookmarkStart w:id="559" w:name="_Toc296346724"/>
      <w:bookmarkStart w:id="560" w:name="_Toc297048409"/>
      <w:bookmarkStart w:id="561" w:name="_Toc303539173"/>
      <w:bookmarkStart w:id="562" w:name="_Toc296347222"/>
      <w:bookmarkStart w:id="563" w:name="_Toc292559428"/>
      <w:bookmarkStart w:id="564" w:name="_Toc296891051"/>
      <w:bookmarkStart w:id="565" w:name="_Toc297120523"/>
      <w:bookmarkStart w:id="566" w:name="_Toc296891263"/>
      <w:bookmarkStart w:id="567" w:name="_Toc304295596"/>
      <w:bookmarkStart w:id="568" w:name="_Toc297123565"/>
      <w:bookmarkStart w:id="569" w:name="_Toc297216224"/>
      <w:bookmarkStart w:id="570" w:name="_Toc300935016"/>
      <w:bookmarkStart w:id="571" w:name="_Toc296503223"/>
      <w:bookmarkStart w:id="572" w:name="_Toc296944562"/>
      <w:bookmarkStart w:id="573" w:name="_Toc292559933"/>
      <w:bookmarkStart w:id="574" w:name="_Toc267251472"/>
      <w:bookmarkStart w:id="575" w:name="_Toc267251470"/>
      <w:bookmarkStart w:id="576" w:name="_Toc267251474"/>
      <w:bookmarkStart w:id="577" w:name="_Toc267251475"/>
      <w:bookmarkStart w:id="578" w:name="_Toc267251476"/>
      <w:bookmarkStart w:id="579" w:name="_Toc267251471"/>
      <w:bookmarkStart w:id="580" w:name="_Toc267251473"/>
      <w:r>
        <w:rPr>
          <w:rFonts w:ascii="Times New Roman" w:eastAsia="黑体"/>
          <w:color w:val="000000"/>
          <w:sz w:val="24"/>
          <w:szCs w:val="24"/>
        </w:rPr>
        <w:t>13.2 竣工验收</w:t>
      </w:r>
    </w:p>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Pr>
        <w:spacing w:line="480" w:lineRule="exact"/>
        <w:ind w:firstLine="480" w:firstLineChars="200"/>
        <w:jc w:val="left"/>
        <w:rPr>
          <w:rFonts w:ascii="Times New Roman" w:eastAsia="仿宋_GB2312"/>
          <w:color w:val="000000"/>
          <w:sz w:val="24"/>
          <w:szCs w:val="24"/>
        </w:rPr>
      </w:pPr>
      <w:bookmarkStart w:id="581" w:name="_Toc280868704"/>
      <w:bookmarkStart w:id="582" w:name="_Toc280868705"/>
      <w:bookmarkStart w:id="583" w:name="_Toc280868706"/>
      <w:bookmarkStart w:id="584" w:name="_Toc280868707"/>
      <w:bookmarkStart w:id="585" w:name="_Toc280868708"/>
      <w:bookmarkStart w:id="586" w:name="_Toc280868709"/>
      <w:r>
        <w:rPr>
          <w:rFonts w:ascii="Times New Roman" w:eastAsia="仿宋_GB2312"/>
          <w:color w:val="000000"/>
          <w:sz w:val="24"/>
          <w:szCs w:val="24"/>
        </w:rPr>
        <w:t>13.2.2竣工验收程序</w:t>
      </w:r>
    </w:p>
    <w:bookmarkEnd w:id="581"/>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关于竣工验收程序的约定：。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发包人不按照本项约定组织竣工验收、颁发工程接收证书的违约金的计算方法：。</w:t>
      </w:r>
    </w:p>
    <w:bookmarkEnd w:id="582"/>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13.2.5移交、接收全部与部分工程</w:t>
      </w:r>
    </w:p>
    <w:bookmarkEnd w:id="583"/>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承包人向发包人移交工程的期限：。</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发包人未按本合同约定接收全部或部分工程的，违约金的计算方法为：。</w:t>
      </w:r>
    </w:p>
    <w:bookmarkEnd w:id="584"/>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承包人未按时移交工程的，违约金的计算方法为：。</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13.3 工程试车</w:t>
      </w:r>
    </w:p>
    <w:bookmarkEnd w:id="585"/>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13.3.1 试车程序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工程试车内容：</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（1）单机无负荷试车费用由承担；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（2）无负荷联动试车费用由承担。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13.3.3 投料试车</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关于投料试车相关事项的约定：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13.6 竣工退场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13.6.1 竣工退场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承包人完成竣工退场的期限：</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587" w:name="_Toc351203646"/>
      <w:r>
        <w:rPr>
          <w:rFonts w:ascii="Times New Roman" w:hAnsi="Times New Roman" w:eastAsia="黑体"/>
          <w:b w:val="0"/>
          <w:color w:val="000000"/>
          <w:sz w:val="24"/>
          <w:szCs w:val="24"/>
        </w:rPr>
        <w:t>14. 竣工结算</w:t>
      </w:r>
      <w:bookmarkEnd w:id="587"/>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14.1 竣工</w:t>
      </w:r>
      <w:r>
        <w:rPr>
          <w:rFonts w:hint="eastAsia" w:ascii="Times New Roman" w:eastAsia="黑体"/>
          <w:color w:val="000000"/>
          <w:sz w:val="24"/>
          <w:szCs w:val="24"/>
        </w:rPr>
        <w:t>结算</w:t>
      </w:r>
      <w:r>
        <w:rPr>
          <w:rFonts w:ascii="Times New Roman" w:eastAsia="黑体"/>
          <w:color w:val="000000"/>
          <w:sz w:val="24"/>
          <w:szCs w:val="24"/>
        </w:rPr>
        <w:t>申请</w:t>
      </w:r>
    </w:p>
    <w:p>
      <w:pPr>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承包人提交竣工</w:t>
      </w:r>
      <w:r>
        <w:rPr>
          <w:rFonts w:hint="eastAsia" w:ascii="Times New Roman" w:eastAsia="仿宋_GB2312"/>
          <w:sz w:val="24"/>
          <w:szCs w:val="24"/>
        </w:rPr>
        <w:t>结算</w:t>
      </w:r>
      <w:r>
        <w:rPr>
          <w:rFonts w:ascii="Times New Roman" w:eastAsia="仿宋_GB2312"/>
          <w:sz w:val="24"/>
          <w:szCs w:val="24"/>
        </w:rPr>
        <w:t>申请单的期限：</w:t>
      </w:r>
      <w:r>
        <w:rPr>
          <w:rFonts w:hint="eastAsia" w:ascii="Times New Roman" w:eastAsia="仿宋_GB2312"/>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竣工</w:t>
      </w:r>
      <w:r>
        <w:rPr>
          <w:rFonts w:hint="eastAsia" w:ascii="Times New Roman" w:eastAsia="仿宋_GB2312"/>
          <w:color w:val="000000"/>
          <w:sz w:val="24"/>
          <w:szCs w:val="24"/>
        </w:rPr>
        <w:t>结算</w:t>
      </w:r>
      <w:r>
        <w:rPr>
          <w:rFonts w:ascii="Times New Roman" w:eastAsia="仿宋_GB2312"/>
          <w:color w:val="000000"/>
          <w:sz w:val="24"/>
          <w:szCs w:val="24"/>
        </w:rPr>
        <w:t>申请单应包括的内容：</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14.2 竣工结算审核</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w:t>
      </w:r>
      <w:r>
        <w:rPr>
          <w:rFonts w:hint="eastAsia" w:ascii="Times New Roman" w:eastAsia="仿宋_GB2312"/>
          <w:sz w:val="24"/>
          <w:szCs w:val="24"/>
        </w:rPr>
        <w:t>审批</w:t>
      </w:r>
      <w:r>
        <w:rPr>
          <w:rFonts w:ascii="Times New Roman" w:eastAsia="仿宋_GB2312"/>
          <w:sz w:val="24"/>
          <w:szCs w:val="24"/>
        </w:rPr>
        <w:t>竣工付款申请单的期限：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发包人完成竣工付款的期限：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关于竣工付款证书异议部分复核的方式和程序：</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14.4 最终结清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14.4.1 最终结清申请单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承包人提交最终结清申请单的份数：。</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承包人提交最终结算申请单的期限：。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14.4.2 最终结清证书和支付</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（1）发包人完成最终结清申请单的</w:t>
      </w:r>
      <w:r>
        <w:rPr>
          <w:rFonts w:hint="eastAsia" w:ascii="Times New Roman" w:eastAsia="仿宋_GB2312"/>
          <w:sz w:val="24"/>
          <w:szCs w:val="24"/>
        </w:rPr>
        <w:t>审批</w:t>
      </w:r>
      <w:r>
        <w:rPr>
          <w:rFonts w:ascii="Times New Roman" w:eastAsia="仿宋_GB2312"/>
          <w:sz w:val="24"/>
          <w:szCs w:val="24"/>
        </w:rPr>
        <w:t>并颁发最终结清证书的期限：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（2）发包人完成支付的期限：</w:t>
      </w:r>
      <w:r>
        <w:rPr>
          <w:rFonts w:ascii="Times New Roman" w:eastAsia="仿宋_GB2312"/>
          <w:color w:val="000000"/>
          <w:sz w:val="24"/>
          <w:szCs w:val="24"/>
        </w:rPr>
        <w:t>。</w:t>
      </w:r>
    </w:p>
    <w:bookmarkEnd w:id="574"/>
    <w:bookmarkEnd w:id="575"/>
    <w:bookmarkEnd w:id="576"/>
    <w:bookmarkEnd w:id="577"/>
    <w:bookmarkEnd w:id="578"/>
    <w:bookmarkEnd w:id="579"/>
    <w:bookmarkEnd w:id="580"/>
    <w:bookmarkEnd w:id="586"/>
    <w:p>
      <w:pPr>
        <w:pStyle w:val="9"/>
        <w:spacing w:line="480" w:lineRule="exact"/>
        <w:rPr>
          <w:rFonts w:ascii="Times New Roman" w:hAnsi="Times New Roman" w:eastAsia="黑体"/>
          <w:b w:val="0"/>
          <w:color w:val="000000"/>
          <w:sz w:val="24"/>
          <w:szCs w:val="24"/>
        </w:rPr>
      </w:pPr>
      <w:bookmarkStart w:id="588" w:name="_Toc351203647"/>
      <w:bookmarkStart w:id="589" w:name="_Toc267251483"/>
      <w:bookmarkStart w:id="590" w:name="_Toc267251484"/>
      <w:bookmarkStart w:id="591" w:name="_Toc267251482"/>
      <w:bookmarkStart w:id="592" w:name="_Toc267251485"/>
      <w:bookmarkStart w:id="593" w:name="_Toc267251489"/>
      <w:bookmarkStart w:id="594" w:name="_Toc267251486"/>
      <w:bookmarkStart w:id="595" w:name="_Toc267251488"/>
      <w:bookmarkStart w:id="596" w:name="_Toc267251490"/>
      <w:bookmarkStart w:id="597" w:name="_Toc267251491"/>
      <w:bookmarkStart w:id="598" w:name="_Toc267251493"/>
      <w:bookmarkStart w:id="599" w:name="_Toc267251495"/>
      <w:bookmarkStart w:id="600" w:name="_Toc267251499"/>
      <w:bookmarkStart w:id="601" w:name="_Toc267251492"/>
      <w:bookmarkStart w:id="602" w:name="_Toc267251503"/>
      <w:bookmarkStart w:id="603" w:name="_Toc267251497"/>
      <w:bookmarkStart w:id="604" w:name="_Toc267251494"/>
      <w:bookmarkStart w:id="605" w:name="_Toc267251502"/>
      <w:bookmarkStart w:id="606" w:name="_Toc267251501"/>
      <w:bookmarkStart w:id="607" w:name="_Toc267251496"/>
      <w:bookmarkStart w:id="608" w:name="_Toc267251498"/>
      <w:bookmarkStart w:id="609" w:name="_Toc267251504"/>
      <w:bookmarkStart w:id="610" w:name="_Toc267251506"/>
      <w:bookmarkStart w:id="611" w:name="_Toc267251507"/>
      <w:bookmarkStart w:id="612" w:name="_Toc267251508"/>
      <w:bookmarkStart w:id="613" w:name="_Toc267251510"/>
      <w:bookmarkStart w:id="614" w:name="_Toc267251511"/>
      <w:bookmarkStart w:id="615" w:name="_Toc267251509"/>
      <w:bookmarkStart w:id="616" w:name="_Toc267251514"/>
      <w:bookmarkStart w:id="617" w:name="_Toc267251515"/>
      <w:bookmarkStart w:id="618" w:name="_Toc267251513"/>
      <w:r>
        <w:rPr>
          <w:rFonts w:ascii="Times New Roman" w:hAnsi="Times New Roman" w:eastAsia="黑体"/>
          <w:b w:val="0"/>
          <w:color w:val="000000"/>
          <w:sz w:val="24"/>
          <w:szCs w:val="24"/>
        </w:rPr>
        <w:t>15. 缺陷责任期与保修</w:t>
      </w:r>
      <w:bookmarkEnd w:id="588"/>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15.2缺陷责任期</w:t>
      </w:r>
      <w:bookmarkEnd w:id="589"/>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缺陷责任期的具体期限：</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15.3 质量保证金</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关于是否扣留质量保证金的约定：</w:t>
      </w:r>
      <w:r>
        <w:rPr>
          <w:rFonts w:ascii="Times New Roman" w:eastAsia="仿宋_GB2312"/>
          <w:color w:val="000000"/>
          <w:sz w:val="24"/>
          <w:szCs w:val="24"/>
        </w:rPr>
        <w:t>。</w:t>
      </w:r>
      <w:r>
        <w:rPr>
          <w:rFonts w:hint="eastAsia" w:eastAsia="仿宋_GB2312"/>
          <w:color w:val="000000"/>
          <w:sz w:val="24"/>
          <w:szCs w:val="24"/>
        </w:rPr>
        <w:t>在工程项目竣工前，承包人按专用合同条款第3.7条提供履约担保的，发包人不得同时预留工程质量保证金。</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 xml:space="preserve">15.3.1 </w:t>
      </w:r>
      <w:r>
        <w:rPr>
          <w:rFonts w:hint="eastAsia" w:ascii="Times New Roman" w:eastAsia="仿宋_GB2312"/>
          <w:color w:val="000000"/>
          <w:sz w:val="24"/>
          <w:szCs w:val="24"/>
        </w:rPr>
        <w:t>承包人提供</w:t>
      </w:r>
      <w:r>
        <w:rPr>
          <w:rFonts w:ascii="Times New Roman" w:eastAsia="仿宋_GB2312"/>
          <w:color w:val="000000"/>
          <w:sz w:val="24"/>
          <w:szCs w:val="24"/>
        </w:rPr>
        <w:t>质量保证金的</w:t>
      </w:r>
      <w:r>
        <w:rPr>
          <w:rFonts w:hint="eastAsia" w:ascii="Times New Roman" w:eastAsia="仿宋_GB2312"/>
          <w:color w:val="000000"/>
          <w:sz w:val="24"/>
          <w:szCs w:val="24"/>
        </w:rPr>
        <w:t>方</w:t>
      </w:r>
      <w:r>
        <w:rPr>
          <w:rFonts w:ascii="Times New Roman" w:eastAsia="仿宋_GB2312"/>
          <w:color w:val="000000"/>
          <w:sz w:val="24"/>
          <w:szCs w:val="24"/>
        </w:rPr>
        <w:t>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质量保证金采用以下第种方式：</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（1）质量保证金保函，保证金额为：； </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（2）%的工程款；</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w:t>
      </w:r>
      <w:r>
        <w:rPr>
          <w:rFonts w:hint="eastAsia" w:ascii="Times New Roman" w:eastAsia="仿宋_GB2312"/>
          <w:color w:val="000000"/>
          <w:sz w:val="24"/>
          <w:szCs w:val="24"/>
        </w:rPr>
        <w:t>方</w:t>
      </w:r>
      <w:r>
        <w:rPr>
          <w:rFonts w:ascii="Times New Roman" w:eastAsia="仿宋_GB2312"/>
          <w:color w:val="000000"/>
          <w:sz w:val="24"/>
          <w:szCs w:val="24"/>
        </w:rPr>
        <w:t>式:。</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 xml:space="preserve">15.3.2 质量保证金的扣留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质量保证金的扣留采取以下第种方式：</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（1）在支付工程进度款时逐次扣留，在此情形下，质量保证金的计算基数不包括预付款的支付、扣回以及价格调整的金额；</w:t>
      </w:r>
    </w:p>
    <w:p>
      <w:pPr>
        <w:autoSpaceDE w:val="0"/>
        <w:autoSpaceDN w:val="0"/>
        <w:adjustRightInd w:val="0"/>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（2）工程竣工结算时一次性扣留质量保证金；</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（3）其他扣留方式:。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关于质量保证金的补充约定：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bookmarkEnd w:id="590"/>
    <w:bookmarkEnd w:id="591"/>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15.4保修</w:t>
      </w:r>
    </w:p>
    <w:bookmarkEnd w:id="592"/>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15.4.1 保修责任</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工程保修期为：</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15.4.3 修复通知</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承包人收到保修通知并到达工程现场的合理时间：</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bookmarkEnd w:id="593"/>
    <w:bookmarkEnd w:id="594"/>
    <w:bookmarkEnd w:id="595"/>
    <w:bookmarkEnd w:id="596"/>
    <w:p>
      <w:pPr>
        <w:pStyle w:val="9"/>
        <w:spacing w:line="480" w:lineRule="exact"/>
        <w:rPr>
          <w:rFonts w:ascii="Times New Roman" w:hAnsi="Times New Roman" w:eastAsia="黑体"/>
          <w:b w:val="0"/>
          <w:color w:val="000000"/>
          <w:sz w:val="24"/>
          <w:szCs w:val="24"/>
        </w:rPr>
      </w:pPr>
      <w:bookmarkStart w:id="619" w:name="_Toc351203648"/>
      <w:bookmarkStart w:id="620" w:name="_Toc280868717"/>
      <w:bookmarkStart w:id="621" w:name="_Toc280868718"/>
      <w:r>
        <w:rPr>
          <w:rFonts w:ascii="Times New Roman" w:hAnsi="Times New Roman" w:eastAsia="黑体"/>
          <w:b w:val="0"/>
          <w:color w:val="000000"/>
          <w:sz w:val="24"/>
          <w:szCs w:val="24"/>
        </w:rPr>
        <w:t>16. 违约</w:t>
      </w:r>
      <w:bookmarkEnd w:id="619"/>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16.1 发包人违约</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16.1.1发包人违约的情形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发包人违约的其他情形：</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left="1200" w:hanging="1200" w:hangingChars="500"/>
        <w:jc w:val="left"/>
        <w:rPr>
          <w:rFonts w:ascii="Times New Roman" w:eastAsia="仿宋_GB2312"/>
          <w:color w:val="000000"/>
          <w:sz w:val="24"/>
          <w:szCs w:val="24"/>
        </w:rPr>
      </w:pPr>
      <w:r>
        <w:rPr>
          <w:rFonts w:ascii="Times New Roman" w:eastAsia="仿宋_GB2312"/>
          <w:color w:val="000000"/>
          <w:sz w:val="24"/>
          <w:szCs w:val="24"/>
        </w:rPr>
        <w:t xml:space="preserve">    16.1.2 发包人违约的责任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发包人违约责任的承担方式和计算方法：</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（1）因发包人原因未能在计划开工日期前7天内下达开工通知的违约责任：。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（2）因发包人原因未能按合同约定支付合同价款的违约责任：。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（3）发包人违反第10.1款</w:t>
      </w:r>
      <w:r>
        <w:rPr>
          <w:rFonts w:hint="eastAsia" w:ascii="Times New Roman" w:eastAsia="仿宋_GB2312"/>
          <w:color w:val="000000"/>
          <w:sz w:val="24"/>
          <w:szCs w:val="24"/>
        </w:rPr>
        <w:t>〔</w:t>
      </w:r>
      <w:r>
        <w:rPr>
          <w:rFonts w:ascii="Times New Roman" w:eastAsia="仿宋_GB2312"/>
          <w:color w:val="000000"/>
          <w:sz w:val="24"/>
          <w:szCs w:val="24"/>
        </w:rPr>
        <w:t>变更的范围</w:t>
      </w:r>
      <w:r>
        <w:rPr>
          <w:rFonts w:hint="eastAsia" w:ascii="Times New Roman" w:eastAsia="仿宋_GB2312"/>
          <w:color w:val="000000"/>
          <w:sz w:val="24"/>
          <w:szCs w:val="24"/>
        </w:rPr>
        <w:t>〕</w:t>
      </w:r>
      <w:r>
        <w:rPr>
          <w:rFonts w:ascii="Times New Roman" w:eastAsia="仿宋_GB2312"/>
          <w:color w:val="000000"/>
          <w:sz w:val="24"/>
          <w:szCs w:val="24"/>
        </w:rPr>
        <w:t>第（2）项约定，自行实施被取消的工作或转由他人实施的违约责任：</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（4）发包人提供的材料、工程设备的规格、数量或质量不符合合同约定，或因发包人原因导致交货日期延误或交货地点变更等情况的违约责任：。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（5）因发包人违反合同约定造成暂停施工的违约责任：</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（6）发包人无正当理由没有在约定期限内发出复工指示，导致承包人无法复工的违约责任：。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w:t>
      </w:r>
      <w:r>
        <w:rPr>
          <w:rFonts w:hint="eastAsia" w:ascii="Times New Roman" w:eastAsia="仿宋_GB2312"/>
          <w:color w:val="000000"/>
          <w:sz w:val="24"/>
          <w:szCs w:val="24"/>
        </w:rPr>
        <w:t>其他：</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16.1.3 因发包人违约解除合同</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承包人按16.1.1项</w:t>
      </w:r>
      <w:r>
        <w:rPr>
          <w:rFonts w:hint="eastAsia" w:ascii="Times New Roman" w:eastAsia="仿宋_GB2312"/>
          <w:color w:val="000000"/>
          <w:sz w:val="24"/>
          <w:szCs w:val="24"/>
        </w:rPr>
        <w:t>〔</w:t>
      </w:r>
      <w:r>
        <w:rPr>
          <w:rFonts w:ascii="Times New Roman" w:eastAsia="仿宋_GB2312"/>
          <w:color w:val="000000"/>
          <w:sz w:val="24"/>
          <w:szCs w:val="24"/>
        </w:rPr>
        <w:t>发包人违约的情形</w:t>
      </w:r>
      <w:r>
        <w:rPr>
          <w:rFonts w:hint="eastAsia" w:ascii="Times New Roman" w:eastAsia="仿宋_GB2312"/>
          <w:color w:val="000000"/>
          <w:sz w:val="24"/>
          <w:szCs w:val="24"/>
        </w:rPr>
        <w:t>〕</w:t>
      </w:r>
      <w:r>
        <w:rPr>
          <w:rFonts w:ascii="Times New Roman" w:eastAsia="仿宋_GB2312"/>
          <w:color w:val="000000"/>
          <w:sz w:val="24"/>
          <w:szCs w:val="24"/>
        </w:rPr>
        <w:t>约定暂停施工满天后发包人仍不纠正其违约行为并致使合同目的不能实现的，承包人有权解除合同。</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16.2 承包人违约</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16.2.1 承包人违约的情形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承包人违约的其他情形：</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16.2.2承包人违约的责任</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承包人违约责任的承担方式和计算方法：</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16.2.3 因承包人违约解除合同</w:t>
      </w:r>
    </w:p>
    <w:p>
      <w:pPr>
        <w:spacing w:before="120" w:after="120"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关于承包人违约解除合同的特别约定：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before="120" w:after="120"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w:t>
      </w:r>
      <w:r>
        <w:rPr>
          <w:rFonts w:hint="eastAsia" w:ascii="Times New Roman" w:eastAsia="仿宋_GB2312"/>
          <w:color w:val="000000"/>
          <w:sz w:val="24"/>
          <w:szCs w:val="24"/>
        </w:rPr>
        <w:t>继续</w:t>
      </w:r>
      <w:r>
        <w:rPr>
          <w:rFonts w:ascii="Times New Roman" w:eastAsia="仿宋_GB2312"/>
          <w:color w:val="000000"/>
          <w:sz w:val="24"/>
          <w:szCs w:val="24"/>
        </w:rPr>
        <w:t>使用承包人在施工现场的材料、设备、临时工程、承包人文件和由承包人或以其名义编制的其他文件</w:t>
      </w:r>
      <w:r>
        <w:rPr>
          <w:rFonts w:hint="eastAsia" w:ascii="Times New Roman" w:eastAsia="仿宋_GB2312"/>
          <w:color w:val="000000"/>
          <w:sz w:val="24"/>
          <w:szCs w:val="24"/>
        </w:rPr>
        <w:t>的费用承担方式</w:t>
      </w:r>
      <w:r>
        <w:rPr>
          <w:rFonts w:ascii="Times New Roman" w:eastAsia="仿宋_GB2312"/>
          <w:color w:val="000000"/>
          <w:sz w:val="24"/>
          <w:szCs w:val="24"/>
        </w:rPr>
        <w:t>：</w:t>
      </w:r>
      <w:r>
        <w:rPr>
          <w:rFonts w:hint="eastAsia" w:ascii="Times New Roman" w:eastAsia="仿宋_GB2312"/>
          <w:color w:val="000000"/>
          <w:sz w:val="24"/>
          <w:szCs w:val="24"/>
          <w:lang w:val="en-US" w:eastAsia="zh-CN"/>
        </w:rPr>
        <w:t xml:space="preserve"> </w:t>
      </w:r>
      <w:r>
        <w:rPr>
          <w:rFonts w:hint="eastAsia"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622" w:name="_Toc351203649"/>
      <w:r>
        <w:rPr>
          <w:rFonts w:ascii="Times New Roman" w:hAnsi="Times New Roman" w:eastAsia="黑体"/>
          <w:b w:val="0"/>
          <w:color w:val="000000"/>
          <w:sz w:val="24"/>
          <w:szCs w:val="24"/>
        </w:rPr>
        <w:t>17. 不可抗力</w:t>
      </w:r>
      <w:bookmarkEnd w:id="620"/>
      <w:bookmarkEnd w:id="622"/>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17.1 不可抗力的确认</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除通用合同条款约定的不可抗力事件之外，视为不可抗力的其他情形： 。</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17.4 因不可抗力解除合同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合同解除后，发包人应在商定或确定发包人应支付款项后天内完成款项的支付。</w:t>
      </w:r>
    </w:p>
    <w:p>
      <w:pPr>
        <w:pStyle w:val="9"/>
        <w:spacing w:line="480" w:lineRule="exact"/>
        <w:rPr>
          <w:rFonts w:ascii="Times New Roman" w:hAnsi="Times New Roman" w:eastAsia="黑体"/>
          <w:b w:val="0"/>
          <w:color w:val="000000"/>
          <w:sz w:val="24"/>
          <w:szCs w:val="24"/>
        </w:rPr>
      </w:pPr>
      <w:bookmarkStart w:id="623" w:name="_Toc351203650"/>
      <w:r>
        <w:rPr>
          <w:rFonts w:ascii="Times New Roman" w:hAnsi="Times New Roman" w:eastAsia="黑体"/>
          <w:b w:val="0"/>
          <w:color w:val="000000"/>
          <w:sz w:val="24"/>
          <w:szCs w:val="24"/>
        </w:rPr>
        <w:t>18. 保险</w:t>
      </w:r>
      <w:bookmarkEnd w:id="623"/>
    </w:p>
    <w:bookmarkEnd w:id="621"/>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18.1 工程保险</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关于工程保险的特别约定：。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18.3 其他保险</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关于其他保险的约定：。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承包人是否应为其施工设备等办理财产保险：</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18.7 通知义务</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关于变更保险合同时的通知义务的约定：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bookmarkEnd w:id="597"/>
    <w:bookmarkEnd w:id="598"/>
    <w:bookmarkEnd w:id="599"/>
    <w:bookmarkEnd w:id="600"/>
    <w:bookmarkEnd w:id="601"/>
    <w:bookmarkEnd w:id="602"/>
    <w:bookmarkEnd w:id="603"/>
    <w:bookmarkEnd w:id="604"/>
    <w:bookmarkEnd w:id="605"/>
    <w:bookmarkEnd w:id="606"/>
    <w:bookmarkEnd w:id="607"/>
    <w:bookmarkEnd w:id="608"/>
    <w:p>
      <w:pPr>
        <w:pStyle w:val="9"/>
        <w:spacing w:line="480" w:lineRule="exact"/>
        <w:rPr>
          <w:rFonts w:ascii="Times New Roman" w:hAnsi="Times New Roman" w:eastAsia="黑体"/>
          <w:b w:val="0"/>
          <w:color w:val="000000"/>
          <w:sz w:val="24"/>
          <w:szCs w:val="24"/>
        </w:rPr>
      </w:pPr>
      <w:bookmarkStart w:id="624" w:name="_Toc351203651"/>
      <w:r>
        <w:rPr>
          <w:rFonts w:ascii="Times New Roman" w:hAnsi="Times New Roman" w:eastAsia="黑体"/>
          <w:b w:val="0"/>
          <w:color w:val="000000"/>
          <w:sz w:val="24"/>
          <w:szCs w:val="24"/>
        </w:rPr>
        <w:t>20. 争议解决</w:t>
      </w:r>
      <w:bookmarkEnd w:id="624"/>
    </w:p>
    <w:bookmarkEnd w:id="609"/>
    <w:bookmarkEnd w:id="610"/>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20.3 争</w:t>
      </w:r>
      <w:bookmarkEnd w:id="611"/>
      <w:r>
        <w:rPr>
          <w:rFonts w:ascii="Times New Roman" w:eastAsia="黑体"/>
          <w:color w:val="000000"/>
          <w:sz w:val="24"/>
          <w:szCs w:val="24"/>
        </w:rPr>
        <w:t>议评审</w:t>
      </w:r>
    </w:p>
    <w:p>
      <w:pPr>
        <w:spacing w:line="480" w:lineRule="exact"/>
        <w:ind w:left="241" w:leftChars="71" w:firstLine="360" w:firstLineChars="150"/>
        <w:jc w:val="left"/>
        <w:rPr>
          <w:rFonts w:ascii="Times New Roman" w:eastAsia="仿宋_GB2312"/>
          <w:color w:val="000000"/>
          <w:sz w:val="24"/>
          <w:szCs w:val="24"/>
        </w:rPr>
      </w:pPr>
      <w:r>
        <w:rPr>
          <w:rFonts w:ascii="Times New Roman" w:eastAsia="仿宋_GB2312"/>
          <w:color w:val="000000"/>
          <w:sz w:val="24"/>
          <w:szCs w:val="24"/>
        </w:rPr>
        <w:t>合同当事人是否同意将工程争议提交争议评审小组决</w:t>
      </w:r>
      <w:r>
        <w:rPr>
          <w:rFonts w:hint="eastAsia" w:ascii="Times New Roman" w:eastAsia="仿宋_GB2312"/>
          <w:color w:val="000000"/>
          <w:sz w:val="24"/>
          <w:szCs w:val="24"/>
        </w:rPr>
        <w:t>定：</w:t>
      </w:r>
      <w:r>
        <w:rPr>
          <w:rFonts w:hint="eastAsia" w:ascii="Times New Roman" w:eastAsia="仿宋_GB2312"/>
          <w:color w:val="000000"/>
          <w:sz w:val="24"/>
          <w:szCs w:val="24"/>
          <w:lang w:val="en-US" w:eastAsia="zh-CN"/>
        </w:rPr>
        <w:t xml:space="preserve"> </w:t>
      </w:r>
      <w:r>
        <w:rPr>
          <w:rFonts w:hint="eastAsia" w:ascii="Times New Roman" w:eastAsia="仿宋_GB2312"/>
          <w:color w:val="000000"/>
          <w:sz w:val="24"/>
          <w:szCs w:val="24"/>
        </w:rPr>
        <w:t xml:space="preserve">。  </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20.3.1 争议评审小组的确定</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争议评审小组成员的确定：。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选定争议评审员的期限：。</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争议评审小组成员的报酬承担方式：。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其他事项的约定：。</w:t>
      </w:r>
    </w:p>
    <w:p>
      <w:pPr>
        <w:autoSpaceDE w:val="0"/>
        <w:autoSpaceDN w:val="0"/>
        <w:adjustRightInd w:val="0"/>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20.3.2 争议评审小组的决定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合同当事人关于本项的约定：。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20.4仲裁或诉讼</w:t>
      </w:r>
      <w:bookmarkEnd w:id="612"/>
    </w:p>
    <w:p>
      <w:pPr>
        <w:spacing w:after="120" w:line="480" w:lineRule="exact"/>
        <w:ind w:firstLine="480" w:firstLineChars="200"/>
        <w:rPr>
          <w:rFonts w:ascii="Times New Roman" w:eastAsia="黑体"/>
          <w:color w:val="000000"/>
          <w:sz w:val="24"/>
          <w:szCs w:val="24"/>
        </w:rPr>
      </w:pPr>
      <w:r>
        <w:rPr>
          <w:rFonts w:ascii="Times New Roman" w:eastAsia="仿宋_GB2312"/>
          <w:color w:val="000000"/>
          <w:sz w:val="24"/>
          <w:szCs w:val="24"/>
        </w:rPr>
        <w:t>因合同及合同有关事项发生的争议，按下列第种方式</w:t>
      </w:r>
      <w:r>
        <w:rPr>
          <w:rFonts w:hint="eastAsia" w:ascii="Times New Roman" w:eastAsia="仿宋_GB2312"/>
          <w:color w:val="000000"/>
          <w:sz w:val="24"/>
          <w:szCs w:val="24"/>
        </w:rPr>
        <w:t>解</w:t>
      </w:r>
      <w:r>
        <w:rPr>
          <w:rFonts w:ascii="Times New Roman" w:eastAsia="仿宋_GB2312"/>
          <w:color w:val="000000"/>
          <w:sz w:val="24"/>
          <w:szCs w:val="24"/>
        </w:rPr>
        <w:t>决：</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（1）向仲裁委员会申请仲裁；</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（2）向人民法院起诉。</w:t>
      </w:r>
      <w:bookmarkEnd w:id="613"/>
      <w:bookmarkEnd w:id="614"/>
      <w:bookmarkEnd w:id="615"/>
      <w:bookmarkEnd w:id="616"/>
      <w:bookmarkEnd w:id="617"/>
      <w:bookmarkEnd w:id="618"/>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240" w:firstLineChars="100"/>
        <w:rPr>
          <w:rFonts w:ascii="新宋体" w:hAnsi="新宋体" w:eastAsia="新宋体"/>
          <w:sz w:val="24"/>
        </w:rPr>
      </w:pPr>
      <w:r>
        <w:rPr>
          <w:rFonts w:hint="eastAsia" w:hAnsi="宋体" w:cs="宋体"/>
          <w:sz w:val="24"/>
          <w:szCs w:val="22"/>
        </w:rPr>
        <w:t>（1） 本</w:t>
      </w:r>
      <w:r>
        <w:rPr>
          <w:rFonts w:hint="eastAsia" w:ascii="新宋体" w:hAnsi="新宋体" w:eastAsia="新宋体"/>
          <w:sz w:val="24"/>
        </w:rPr>
        <w:t>招标文件；</w:t>
      </w:r>
    </w:p>
    <w:p>
      <w:pPr>
        <w:spacing w:line="440" w:lineRule="exact"/>
        <w:ind w:firstLine="240" w:firstLineChars="100"/>
        <w:rPr>
          <w:rFonts w:hAnsi="宋体" w:cs="宋体"/>
          <w:sz w:val="24"/>
        </w:rPr>
      </w:pPr>
      <w:r>
        <w:rPr>
          <w:rFonts w:hint="eastAsia" w:hAnsi="宋体" w:cs="宋体"/>
          <w:sz w:val="24"/>
        </w:rPr>
        <w:t>（2）《建设工程工程量清单计价规范》GB 50500-2013、</w:t>
      </w:r>
      <w:r>
        <w:rPr>
          <w:rFonts w:hint="eastAsia" w:hAnsi="宋体" w:cs="宋体"/>
          <w:sz w:val="24"/>
          <w:lang w:eastAsia="zh-CN"/>
        </w:rPr>
        <w:t>《</w:t>
      </w:r>
      <w:r>
        <w:rPr>
          <w:rFonts w:hint="eastAsia" w:hAnsi="宋体" w:cs="宋体"/>
          <w:sz w:val="24"/>
          <w:lang w:val="en-US" w:eastAsia="zh-CN"/>
        </w:rPr>
        <w:t>河南省园林工程工程量清单综合单价（2008）</w:t>
      </w:r>
      <w:r>
        <w:rPr>
          <w:rFonts w:hint="eastAsia" w:hAnsi="宋体" w:cs="宋体"/>
          <w:sz w:val="24"/>
          <w:lang w:eastAsia="zh-CN"/>
        </w:rPr>
        <w:t>》</w:t>
      </w:r>
      <w:r>
        <w:rPr>
          <w:rFonts w:hint="eastAsia" w:hAnsi="宋体" w:cs="宋体"/>
          <w:sz w:val="24"/>
        </w:rPr>
        <w:t>及其有关配套文件；</w:t>
      </w:r>
    </w:p>
    <w:p>
      <w:pPr>
        <w:spacing w:line="440" w:lineRule="exact"/>
        <w:ind w:firstLine="240" w:firstLineChars="100"/>
        <w:rPr>
          <w:rFonts w:hAnsi="宋体" w:cs="宋体"/>
          <w:sz w:val="24"/>
        </w:rPr>
      </w:pPr>
      <w:r>
        <w:rPr>
          <w:rFonts w:hint="eastAsia" w:hAnsi="宋体" w:cs="宋体"/>
          <w:sz w:val="24"/>
        </w:rPr>
        <w:t>（3）材料价格参考2019年【许昌市工程造价信息】第2期</w:t>
      </w:r>
      <w:r>
        <w:rPr>
          <w:rFonts w:hint="eastAsia" w:hAnsi="宋体" w:cs="宋体"/>
          <w:sz w:val="24"/>
          <w:lang w:val="en-US" w:eastAsia="zh-CN"/>
        </w:rPr>
        <w:t>及4月份主材</w:t>
      </w:r>
      <w:r>
        <w:rPr>
          <w:rFonts w:hint="eastAsia" w:hAnsi="宋体" w:cs="宋体"/>
          <w:sz w:val="24"/>
        </w:rPr>
        <w:t>价格</w:t>
      </w:r>
      <w:r>
        <w:rPr>
          <w:rFonts w:hint="eastAsia" w:hAnsi="宋体" w:cs="宋体"/>
          <w:sz w:val="24"/>
          <w:lang w:eastAsia="zh-CN"/>
        </w:rPr>
        <w:t>，</w:t>
      </w:r>
      <w:r>
        <w:rPr>
          <w:rFonts w:hint="eastAsia" w:hAnsi="宋体" w:cs="宋体"/>
          <w:sz w:val="24"/>
          <w:lang w:val="en-US" w:eastAsia="zh-CN"/>
        </w:rPr>
        <w:t>部分材料按</w:t>
      </w:r>
      <w:r>
        <w:rPr>
          <w:rFonts w:hint="eastAsia" w:hAnsi="宋体" w:cs="宋体"/>
          <w:sz w:val="24"/>
        </w:rPr>
        <w:t>市场询价；</w:t>
      </w:r>
    </w:p>
    <w:p>
      <w:pPr>
        <w:spacing w:line="440" w:lineRule="exact"/>
        <w:ind w:firstLine="240" w:firstLineChars="100"/>
        <w:rPr>
          <w:rFonts w:hAnsi="宋体" w:cs="宋体"/>
          <w:sz w:val="24"/>
        </w:rPr>
      </w:pPr>
      <w:r>
        <w:rPr>
          <w:rFonts w:hint="eastAsia" w:hAnsi="宋体" w:cs="宋体"/>
          <w:sz w:val="24"/>
        </w:rPr>
        <w:t>（4）税金按</w:t>
      </w:r>
      <w:r>
        <w:rPr>
          <w:rFonts w:hint="eastAsia" w:hAnsi="宋体" w:cs="宋体"/>
          <w:sz w:val="24"/>
          <w:lang w:eastAsia="zh-CN"/>
        </w:rPr>
        <w:t>《</w:t>
      </w:r>
      <w:r>
        <w:rPr>
          <w:rFonts w:hint="eastAsia" w:hAnsi="宋体" w:cs="宋体"/>
          <w:sz w:val="24"/>
          <w:lang w:val="en-US" w:eastAsia="zh-CN"/>
        </w:rPr>
        <w:t>住建部办公厅关于重新调整建设工程计价依据增值税税率的通知</w:t>
      </w:r>
      <w:r>
        <w:rPr>
          <w:rFonts w:hint="eastAsia" w:hAnsi="宋体" w:cs="宋体"/>
          <w:sz w:val="24"/>
          <w:lang w:eastAsia="zh-CN"/>
        </w:rPr>
        <w:t>》</w:t>
      </w:r>
      <w:r>
        <w:rPr>
          <w:rFonts w:hint="eastAsia" w:hAnsi="宋体" w:cs="宋体"/>
          <w:sz w:val="24"/>
          <w:lang w:val="en-US" w:eastAsia="zh-CN"/>
        </w:rPr>
        <w:t>执行，按</w:t>
      </w:r>
      <w:r>
        <w:rPr>
          <w:rFonts w:hint="eastAsia" w:hAnsi="宋体" w:cs="宋体"/>
          <w:sz w:val="24"/>
        </w:rPr>
        <w:t>9%计入；</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2.9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rPr>
          <w:rFonts w:hint="eastAsia" w:hAnsi="宋体" w:cs="宋体"/>
          <w:sz w:val="24"/>
          <w:szCs w:val="24"/>
        </w:rPr>
        <w:t>http://ggzy.xuchang.gov.cn/</w:t>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bookmarkEnd w:id="78"/>
    <w:p>
      <w:pPr>
        <w:autoSpaceDE w:val="0"/>
        <w:autoSpaceDN w:val="0"/>
        <w:adjustRightInd w:val="0"/>
        <w:outlineLvl w:val="0"/>
        <w:rPr>
          <w:rFonts w:hAnsi="宋体" w:cs="黑体"/>
          <w:b/>
          <w:sz w:val="36"/>
          <w:szCs w:val="36"/>
        </w:rPr>
      </w:pPr>
      <w:bookmarkStart w:id="625" w:name="_Toc278443522"/>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第六章技术标准和要求</w:t>
      </w:r>
      <w:bookmarkEnd w:id="625"/>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626"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第七章投标文件格式</w:t>
      </w:r>
      <w:bookmarkEnd w:id="626"/>
    </w:p>
    <w:p>
      <w:pPr>
        <w:autoSpaceDE w:val="0"/>
        <w:autoSpaceDN w:val="0"/>
        <w:adjustRightInd w:val="0"/>
        <w:jc w:val="center"/>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建安建工公字〔2019〕</w:t>
      </w:r>
      <w:r>
        <w:rPr>
          <w:rFonts w:hint="eastAsia" w:hAnsi="宋体" w:cs="宋体"/>
          <w:bCs/>
          <w:color w:val="000000" w:themeColor="text1"/>
          <w:sz w:val="32"/>
          <w:szCs w:val="22"/>
          <w:lang w:val="en-US" w:eastAsia="zh-CN"/>
        </w:rPr>
        <w:t>151</w:t>
      </w:r>
      <w:r>
        <w:rPr>
          <w:rFonts w:hint="eastAsia" w:hAnsi="宋体" w:cs="宋体"/>
          <w:bCs/>
          <w:color w:val="000000" w:themeColor="text1"/>
          <w:sz w:val="32"/>
          <w:szCs w:val="22"/>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8"/>
        <w:jc w:val="center"/>
        <w:rPr>
          <w:rFonts w:hAnsi="宋体"/>
          <w:color w:val="auto"/>
          <w:sz w:val="23"/>
          <w:u w:val="single"/>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u w:val="single"/>
        </w:rPr>
      </w:pPr>
      <w:r>
        <w:rPr>
          <w:rFonts w:hint="eastAsia" w:hAnsi="宋体"/>
          <w:color w:val="auto"/>
          <w:sz w:val="23"/>
        </w:rPr>
        <w:t>投标人：（盖单位章）</w:t>
      </w:r>
    </w:p>
    <w:p>
      <w:pPr>
        <w:pStyle w:val="68"/>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法定代表人或其委托代理人：（签字）</w:t>
      </w:r>
    </w:p>
    <w:p>
      <w:pPr>
        <w:pStyle w:val="68"/>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ind w:firstLine="3410" w:firstLineChars="1100"/>
        <w:jc w:val="left"/>
        <w:rPr>
          <w:rFonts w:hint="eastAsia" w:hAnsi="宋体" w:cs="宋体"/>
          <w:sz w:val="31"/>
        </w:rPr>
      </w:pPr>
    </w:p>
    <w:p>
      <w:pPr>
        <w:autoSpaceDE w:val="0"/>
        <w:autoSpaceDN w:val="0"/>
        <w:adjustRightInd w:val="0"/>
        <w:ind w:firstLine="3410" w:firstLineChars="110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建安建工公字〔2019〕</w:t>
      </w:r>
      <w:r>
        <w:rPr>
          <w:rFonts w:hint="eastAsia" w:hAnsi="宋体" w:cs="宋体"/>
          <w:bCs/>
          <w:color w:val="000000" w:themeColor="text1"/>
          <w:sz w:val="32"/>
          <w:szCs w:val="22"/>
          <w:lang w:val="en-US" w:eastAsia="zh-CN"/>
        </w:rPr>
        <w:t>151</w:t>
      </w:r>
      <w:r>
        <w:rPr>
          <w:rFonts w:hint="eastAsia" w:hAnsi="宋体" w:cs="宋体"/>
          <w:bCs/>
          <w:color w:val="000000" w:themeColor="text1"/>
          <w:sz w:val="32"/>
          <w:szCs w:val="22"/>
        </w:rPr>
        <w:t>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8"/>
        <w:jc w:val="center"/>
        <w:rPr>
          <w:rFonts w:hAnsi="宋体"/>
          <w:color w:val="auto"/>
          <w:sz w:val="23"/>
          <w:u w:val="single"/>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u w:val="single"/>
        </w:rPr>
      </w:pPr>
      <w:r>
        <w:rPr>
          <w:rFonts w:hint="eastAsia" w:hAnsi="宋体"/>
          <w:color w:val="auto"/>
          <w:sz w:val="23"/>
        </w:rPr>
        <w:t>投标人：（盖单位章）</w:t>
      </w:r>
    </w:p>
    <w:p>
      <w:pPr>
        <w:pStyle w:val="68"/>
        <w:spacing w:line="400" w:lineRule="exact"/>
        <w:ind w:firstLine="2990" w:firstLineChars="1300"/>
        <w:rPr>
          <w:rFonts w:hAnsi="宋体"/>
          <w:color w:val="auto"/>
          <w:sz w:val="23"/>
          <w:u w:val="single"/>
        </w:rPr>
      </w:pPr>
      <w:r>
        <w:rPr>
          <w:rFonts w:hint="eastAsia" w:hAnsi="宋体"/>
          <w:color w:val="auto"/>
          <w:sz w:val="23"/>
        </w:rPr>
        <w:t>法定代表人或其委托代理人：（签字）</w:t>
      </w:r>
    </w:p>
    <w:p>
      <w:pPr>
        <w:pStyle w:val="68"/>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8"/>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8"/>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627" w:name="_Toc271787730"/>
      <w:r>
        <w:rPr>
          <w:rFonts w:hint="eastAsia" w:ascii="黑体" w:eastAsia="黑体"/>
          <w:sz w:val="28"/>
          <w:szCs w:val="28"/>
        </w:rPr>
        <w:t>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628" w:name="_Toc250616672"/>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628"/>
    </w:p>
    <w:tbl>
      <w:tblPr>
        <w:tblStyle w:val="30"/>
        <w:tblW w:w="9180"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9"/>
        <w:gridCol w:w="813"/>
        <w:gridCol w:w="610"/>
        <w:gridCol w:w="811"/>
        <w:gridCol w:w="813"/>
        <w:gridCol w:w="408"/>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51"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51"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13" w:type="dxa"/>
            <w:vAlign w:val="center"/>
          </w:tcPr>
          <w:p>
            <w:pPr>
              <w:jc w:val="center"/>
              <w:rPr>
                <w:rFonts w:ascii="新宋体" w:hAnsi="新宋体" w:eastAsia="新宋体"/>
                <w:sz w:val="24"/>
              </w:rPr>
            </w:pPr>
          </w:p>
        </w:tc>
        <w:tc>
          <w:tcPr>
            <w:tcW w:w="610" w:type="dxa"/>
            <w:vAlign w:val="center"/>
          </w:tcPr>
          <w:p>
            <w:pPr>
              <w:jc w:val="center"/>
              <w:rPr>
                <w:rFonts w:hint="default" w:ascii="新宋体" w:hAnsi="新宋体" w:eastAsia="新宋体"/>
                <w:sz w:val="24"/>
                <w:lang w:val="en-US" w:eastAsia="zh-CN"/>
              </w:rPr>
            </w:pPr>
            <w:r>
              <w:rPr>
                <w:rFonts w:hint="eastAsia" w:ascii="新宋体" w:hAnsi="新宋体" w:eastAsia="新宋体"/>
                <w:sz w:val="24"/>
                <w:lang w:val="en-US" w:eastAsia="zh-CN"/>
              </w:rPr>
              <w:t>级别</w:t>
            </w:r>
          </w:p>
        </w:tc>
        <w:tc>
          <w:tcPr>
            <w:tcW w:w="811" w:type="dxa"/>
            <w:vAlign w:val="center"/>
          </w:tcPr>
          <w:p>
            <w:pPr>
              <w:jc w:val="center"/>
              <w:rPr>
                <w:rFonts w:ascii="新宋体" w:hAnsi="新宋体" w:eastAsia="新宋体"/>
                <w:sz w:val="24"/>
              </w:rPr>
            </w:pPr>
          </w:p>
        </w:tc>
        <w:tc>
          <w:tcPr>
            <w:tcW w:w="813" w:type="dxa"/>
            <w:vAlign w:val="center"/>
          </w:tcPr>
          <w:p>
            <w:pPr>
              <w:jc w:val="center"/>
              <w:rPr>
                <w:rFonts w:hint="default" w:ascii="新宋体" w:hAnsi="新宋体" w:eastAsia="新宋体"/>
                <w:sz w:val="24"/>
                <w:lang w:val="en-US" w:eastAsia="zh-CN"/>
              </w:rPr>
            </w:pPr>
            <w:r>
              <w:rPr>
                <w:rFonts w:hint="eastAsia" w:ascii="新宋体" w:hAnsi="新宋体" w:eastAsia="新宋体"/>
                <w:sz w:val="24"/>
                <w:lang w:val="en-US" w:eastAsia="zh-CN"/>
              </w:rPr>
              <w:t>注册编号</w:t>
            </w:r>
          </w:p>
        </w:tc>
        <w:tc>
          <w:tcPr>
            <w:tcW w:w="3204"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2929" w:type="dxa"/>
            <w:vAlign w:val="center"/>
          </w:tcPr>
          <w:p>
            <w:pPr>
              <w:jc w:val="center"/>
              <w:rPr>
                <w:rFonts w:hint="default" w:ascii="新宋体" w:hAnsi="新宋体" w:eastAsia="新宋体"/>
                <w:sz w:val="24"/>
                <w:lang w:val="en-US" w:eastAsia="zh-CN"/>
              </w:rPr>
            </w:pPr>
            <w:r>
              <w:rPr>
                <w:rFonts w:hint="eastAsia" w:ascii="新宋体" w:hAnsi="新宋体" w:eastAsia="新宋体"/>
                <w:sz w:val="24"/>
                <w:lang w:val="en-US" w:eastAsia="zh-CN"/>
              </w:rPr>
              <w:t>技术负责人</w:t>
            </w:r>
          </w:p>
        </w:tc>
        <w:tc>
          <w:tcPr>
            <w:tcW w:w="813" w:type="dxa"/>
            <w:vAlign w:val="center"/>
          </w:tcPr>
          <w:p>
            <w:pPr>
              <w:jc w:val="center"/>
              <w:rPr>
                <w:rFonts w:ascii="新宋体" w:hAnsi="新宋体" w:eastAsia="新宋体"/>
                <w:sz w:val="24"/>
              </w:rPr>
            </w:pPr>
          </w:p>
        </w:tc>
        <w:tc>
          <w:tcPr>
            <w:tcW w:w="610" w:type="dxa"/>
            <w:vAlign w:val="center"/>
          </w:tcPr>
          <w:p>
            <w:pPr>
              <w:jc w:val="center"/>
              <w:rPr>
                <w:rFonts w:hint="eastAsia" w:ascii="新宋体" w:hAnsi="新宋体" w:eastAsia="新宋体"/>
                <w:sz w:val="24"/>
                <w:lang w:val="en-US" w:eastAsia="zh-CN"/>
              </w:rPr>
            </w:pPr>
            <w:r>
              <w:rPr>
                <w:rFonts w:hint="eastAsia" w:ascii="新宋体" w:hAnsi="新宋体" w:eastAsia="新宋体"/>
                <w:sz w:val="24"/>
                <w:lang w:val="en-US" w:eastAsia="zh-CN"/>
              </w:rPr>
              <w:t>职称</w:t>
            </w:r>
          </w:p>
        </w:tc>
        <w:tc>
          <w:tcPr>
            <w:tcW w:w="811" w:type="dxa"/>
            <w:vAlign w:val="center"/>
          </w:tcPr>
          <w:p>
            <w:pPr>
              <w:jc w:val="center"/>
              <w:rPr>
                <w:rFonts w:ascii="新宋体" w:hAnsi="新宋体" w:eastAsia="新宋体"/>
                <w:sz w:val="24"/>
              </w:rPr>
            </w:pPr>
          </w:p>
        </w:tc>
        <w:tc>
          <w:tcPr>
            <w:tcW w:w="813" w:type="dxa"/>
            <w:vAlign w:val="center"/>
          </w:tcPr>
          <w:p>
            <w:pPr>
              <w:jc w:val="center"/>
              <w:rPr>
                <w:rFonts w:hint="eastAsia" w:ascii="新宋体" w:hAnsi="新宋体" w:eastAsia="新宋体"/>
                <w:sz w:val="24"/>
                <w:lang w:val="en-US" w:eastAsia="zh-CN"/>
              </w:rPr>
            </w:pPr>
            <w:r>
              <w:rPr>
                <w:rFonts w:hint="eastAsia" w:ascii="新宋体" w:hAnsi="新宋体" w:eastAsia="新宋体"/>
                <w:sz w:val="24"/>
                <w:lang w:val="en-US" w:eastAsia="zh-CN"/>
              </w:rPr>
              <w:t>证书</w:t>
            </w:r>
            <w:r>
              <w:rPr>
                <w:rFonts w:hint="eastAsia" w:ascii="新宋体" w:hAnsi="新宋体" w:eastAsia="新宋体"/>
                <w:sz w:val="24"/>
              </w:rPr>
              <w:t>编号</w:t>
            </w:r>
          </w:p>
        </w:tc>
        <w:tc>
          <w:tcPr>
            <w:tcW w:w="3204"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2929"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55"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96"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6" w:hRule="atLeast"/>
        </w:trPr>
        <w:tc>
          <w:tcPr>
            <w:tcW w:w="2929" w:type="dxa"/>
            <w:vMerge w:val="continue"/>
            <w:vAlign w:val="center"/>
          </w:tcPr>
          <w:p>
            <w:pPr>
              <w:jc w:val="center"/>
              <w:rPr>
                <w:rFonts w:ascii="新宋体" w:hAnsi="新宋体" w:eastAsia="新宋体"/>
                <w:sz w:val="24"/>
              </w:rPr>
            </w:pPr>
          </w:p>
        </w:tc>
        <w:tc>
          <w:tcPr>
            <w:tcW w:w="6251"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51"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51"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51"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3" w:hRule="atLeast"/>
        </w:trPr>
        <w:tc>
          <w:tcPr>
            <w:tcW w:w="9180"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627"/>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629" w:name="_Toc271787731"/>
      <w:r>
        <w:rPr>
          <w:rFonts w:hint="eastAsia" w:ascii="黑体" w:hAnsi="新宋体" w:eastAsia="黑体" w:cs="黑体"/>
          <w:sz w:val="28"/>
          <w:szCs w:val="28"/>
        </w:rPr>
        <w:t>（一）法定代表人身份证明</w:t>
      </w:r>
      <w:bookmarkEnd w:id="629"/>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630" w:name="_Toc271787732"/>
      <w:r>
        <w:rPr>
          <w:rFonts w:hint="eastAsia" w:ascii="黑体" w:hAnsi="新宋体" w:eastAsia="黑体" w:cs="黑体"/>
          <w:sz w:val="28"/>
          <w:szCs w:val="28"/>
        </w:rPr>
        <w:t>（二）授权委托书</w:t>
      </w:r>
      <w:bookmarkEnd w:id="630"/>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b/>
          <w:sz w:val="32"/>
        </w:rPr>
      </w:pPr>
      <w:r>
        <w:rPr>
          <w:rFonts w:hint="eastAsia" w:hAnsi="宋体" w:cs="仿宋_GB2312"/>
          <w:sz w:val="24"/>
        </w:rPr>
        <w:t>年月日</w:t>
      </w:r>
    </w:p>
    <w:p>
      <w:pPr>
        <w:spacing w:line="360" w:lineRule="auto"/>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b/>
          <w:bCs/>
          <w:sz w:val="32"/>
          <w:szCs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bCs/>
          <w:sz w:val="32"/>
          <w:szCs w:val="32"/>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附投标保证金有效证明。</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0"/>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30"/>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0"/>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p>
            <w:pPr>
              <w:jc w:val="left"/>
              <w:rPr>
                <w:rFonts w:hAnsi="宋体"/>
                <w:sz w:val="24"/>
              </w:rPr>
            </w:pPr>
            <w:r>
              <w:rPr>
                <w:rFonts w:hint="eastAsia" w:hAnsi="宋体"/>
                <w:sz w:val="24"/>
              </w:rPr>
              <w:t>业绩</w:t>
            </w:r>
          </w:p>
          <w:p>
            <w:pPr>
              <w:jc w:val="left"/>
              <w:rPr>
                <w:rFonts w:hAnsi="宋体"/>
                <w:sz w:val="24"/>
              </w:rPr>
            </w:pPr>
            <w:r>
              <w:rPr>
                <w:rFonts w:hint="eastAsia" w:hAnsi="宋体"/>
                <w:sz w:val="24"/>
              </w:rPr>
              <w:t>及担</w:t>
            </w:r>
          </w:p>
          <w:p>
            <w:pPr>
              <w:jc w:val="left"/>
              <w:rPr>
                <w:rFonts w:hAnsi="宋体"/>
                <w:sz w:val="24"/>
              </w:rPr>
            </w:pPr>
            <w:r>
              <w:rPr>
                <w:rFonts w:hint="eastAsia" w:hAnsi="宋体"/>
                <w:sz w:val="24"/>
              </w:rPr>
              <w:t>任的</w:t>
            </w:r>
          </w:p>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0"/>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b/>
          <w:sz w:val="32"/>
          <w:szCs w:val="32"/>
        </w:rPr>
      </w:pPr>
    </w:p>
    <w:p>
      <w:pPr>
        <w:pStyle w:val="2"/>
        <w:ind w:firstLine="340"/>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0"/>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5"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1、近年完成的类似项目情况</w:t>
      </w:r>
    </w:p>
    <w:tbl>
      <w:tblPr>
        <w:tblStyle w:val="30"/>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3"/>
          <w:u w:val="single"/>
        </w:rPr>
      </w:pPr>
    </w:p>
    <w:p>
      <w:pPr>
        <w:autoSpaceDE w:val="0"/>
        <w:autoSpaceDN w:val="0"/>
        <w:adjustRightInd w:val="0"/>
        <w:ind w:firstLine="3720" w:firstLineChars="120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建安建工公字〔2019〕</w:t>
      </w:r>
      <w:r>
        <w:rPr>
          <w:rFonts w:hint="eastAsia" w:hAnsi="宋体" w:cs="宋体"/>
          <w:bCs/>
          <w:color w:val="000000" w:themeColor="text1"/>
          <w:sz w:val="32"/>
          <w:szCs w:val="22"/>
          <w:lang w:val="en-US" w:eastAsia="zh-CN"/>
        </w:rPr>
        <w:t>151</w:t>
      </w:r>
      <w:r>
        <w:rPr>
          <w:rFonts w:hint="eastAsia" w:hAnsi="宋体" w:cs="宋体"/>
          <w:bCs/>
          <w:color w:val="000000" w:themeColor="text1"/>
          <w:sz w:val="32"/>
          <w:szCs w:val="22"/>
        </w:rPr>
        <w:t>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8"/>
        <w:jc w:val="center"/>
        <w:rPr>
          <w:rFonts w:hAnsi="宋体"/>
          <w:color w:val="auto"/>
          <w:sz w:val="23"/>
          <w:u w:val="single"/>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u w:val="single"/>
        </w:rPr>
      </w:pPr>
      <w:r>
        <w:rPr>
          <w:rFonts w:hint="eastAsia" w:hAnsi="宋体"/>
          <w:color w:val="auto"/>
          <w:sz w:val="23"/>
        </w:rPr>
        <w:t>投标人：（盖单位章）</w:t>
      </w:r>
    </w:p>
    <w:p>
      <w:pPr>
        <w:pStyle w:val="68"/>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法定代表人或其委托代理人：（签字）</w:t>
      </w:r>
    </w:p>
    <w:p>
      <w:pPr>
        <w:pStyle w:val="68"/>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Ansi="宋体" w:cs="宋体"/>
          <w:sz w:val="24"/>
        </w:rPr>
      </w:pPr>
      <w:r>
        <w:rPr>
          <w:rFonts w:hint="eastAsia" w:hAnsi="宋体" w:cs="宋体"/>
          <w:sz w:val="24"/>
        </w:rPr>
        <w:t>（1）内容完整性；</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Ansi="宋体" w:cs="宋体"/>
          <w:sz w:val="24"/>
        </w:rPr>
      </w:pPr>
      <w:r>
        <w:rPr>
          <w:rFonts w:hint="eastAsia" w:hAnsi="宋体" w:cs="宋体"/>
          <w:sz w:val="24"/>
        </w:rPr>
        <w:t>（2）</w:t>
      </w:r>
      <w:r>
        <w:rPr>
          <w:rFonts w:hint="eastAsia" w:hAnsi="宋体" w:cs="宋体"/>
          <w:sz w:val="24"/>
          <w:lang w:val="en-US" w:eastAsia="zh-CN"/>
        </w:rPr>
        <w:t>主要</w:t>
      </w:r>
      <w:r>
        <w:rPr>
          <w:rFonts w:hint="eastAsia" w:hAnsi="宋体" w:cs="宋体"/>
          <w:sz w:val="24"/>
        </w:rPr>
        <w:t>施工方案</w:t>
      </w:r>
      <w:r>
        <w:rPr>
          <w:rFonts w:hint="eastAsia" w:hAnsi="宋体" w:cs="宋体"/>
          <w:sz w:val="24"/>
          <w:lang w:val="en-US" w:eastAsia="zh-CN"/>
        </w:rPr>
        <w:t>与</w:t>
      </w:r>
      <w:r>
        <w:rPr>
          <w:rFonts w:hint="eastAsia" w:hAnsi="宋体" w:cs="宋体"/>
          <w:sz w:val="24"/>
        </w:rPr>
        <w:t>技术措施；</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Ansi="宋体" w:cs="宋体"/>
          <w:sz w:val="24"/>
        </w:rPr>
      </w:pPr>
      <w:r>
        <w:rPr>
          <w:rFonts w:hint="eastAsia" w:hAnsi="宋体" w:cs="宋体"/>
          <w:sz w:val="24"/>
        </w:rPr>
        <w:t>（3）质量管理体系与措施；</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Ansi="宋体" w:cs="宋体"/>
          <w:sz w:val="24"/>
        </w:rPr>
      </w:pPr>
      <w:r>
        <w:rPr>
          <w:rFonts w:hint="eastAsia" w:hAnsi="宋体" w:cs="宋体"/>
          <w:sz w:val="24"/>
        </w:rPr>
        <w:t>（4）安全管理体系与措施；</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Ansi="宋体" w:cs="宋体"/>
          <w:sz w:val="24"/>
        </w:rPr>
      </w:pPr>
      <w:r>
        <w:rPr>
          <w:rFonts w:hint="eastAsia" w:hAnsi="宋体" w:cs="宋体"/>
          <w:sz w:val="24"/>
        </w:rPr>
        <w:t>（5）</w:t>
      </w:r>
      <w:r>
        <w:rPr>
          <w:rFonts w:hint="eastAsia" w:hAnsi="宋体" w:cs="宋体"/>
          <w:sz w:val="24"/>
          <w:lang w:val="en-US" w:eastAsia="zh-CN"/>
        </w:rPr>
        <w:t>文明施工、</w:t>
      </w:r>
      <w:r>
        <w:rPr>
          <w:rFonts w:hint="eastAsia" w:hAnsi="宋体" w:cs="宋体"/>
          <w:sz w:val="24"/>
        </w:rPr>
        <w:t>环境保护管理体系</w:t>
      </w:r>
      <w:r>
        <w:rPr>
          <w:rFonts w:hint="eastAsia" w:hAnsi="宋体" w:cs="宋体"/>
          <w:sz w:val="24"/>
          <w:lang w:val="en-US" w:eastAsia="zh-CN"/>
        </w:rPr>
        <w:t>及施工现场扬尘治理措施</w:t>
      </w:r>
      <w:r>
        <w:rPr>
          <w:rFonts w:hint="eastAsia" w:hAnsi="宋体" w:cs="宋体"/>
          <w:sz w:val="24"/>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int="default" w:hAnsi="宋体" w:eastAsia="宋体" w:cs="宋体"/>
          <w:sz w:val="24"/>
          <w:lang w:val="en-US" w:eastAsia="zh-CN"/>
        </w:rPr>
      </w:pPr>
      <w:r>
        <w:rPr>
          <w:rFonts w:hint="eastAsia" w:hAnsi="宋体" w:cs="宋体"/>
          <w:sz w:val="24"/>
        </w:rPr>
        <w:t>（6）</w:t>
      </w:r>
      <w:r>
        <w:rPr>
          <w:rFonts w:hint="eastAsia" w:hAnsi="宋体" w:cs="宋体"/>
          <w:sz w:val="24"/>
          <w:lang w:val="en-US" w:eastAsia="zh-CN"/>
        </w:rPr>
        <w:t>工期保证措施；</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Ansi="宋体" w:cs="宋体"/>
          <w:sz w:val="24"/>
        </w:rPr>
      </w:pPr>
      <w:r>
        <w:rPr>
          <w:rFonts w:hint="eastAsia" w:hAnsi="宋体" w:cs="宋体"/>
          <w:sz w:val="24"/>
        </w:rPr>
        <w:t>（7）拟投入资源配备计划；</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Ansi="宋体" w:cs="宋体"/>
          <w:sz w:val="24"/>
        </w:rPr>
      </w:pPr>
      <w:r>
        <w:rPr>
          <w:rFonts w:hint="eastAsia" w:hAnsi="宋体" w:cs="宋体"/>
          <w:sz w:val="24"/>
        </w:rPr>
        <w:t>（8）施工进度表</w:t>
      </w:r>
      <w:r>
        <w:rPr>
          <w:rFonts w:hint="eastAsia" w:hAnsi="宋体" w:cs="宋体"/>
          <w:sz w:val="24"/>
          <w:lang w:val="en-US" w:eastAsia="zh-CN"/>
        </w:rPr>
        <w:t>与</w:t>
      </w:r>
      <w:r>
        <w:rPr>
          <w:rFonts w:hint="eastAsia" w:hAnsi="宋体" w:cs="宋体"/>
          <w:sz w:val="24"/>
        </w:rPr>
        <w:t>网络</w:t>
      </w:r>
      <w:r>
        <w:rPr>
          <w:rFonts w:hint="eastAsia" w:hAnsi="宋体" w:cs="宋体"/>
          <w:sz w:val="24"/>
          <w:lang w:val="en-US" w:eastAsia="zh-CN"/>
        </w:rPr>
        <w:t>计划</w:t>
      </w:r>
      <w:r>
        <w:rPr>
          <w:rFonts w:hint="eastAsia" w:hAnsi="宋体" w:cs="宋体"/>
          <w:sz w:val="24"/>
        </w:rPr>
        <w:t>图；</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Ansi="宋体" w:cs="宋体"/>
          <w:sz w:val="24"/>
        </w:rPr>
      </w:pPr>
      <w:r>
        <w:rPr>
          <w:rFonts w:hint="eastAsia" w:hAnsi="宋体" w:cs="宋体"/>
          <w:sz w:val="24"/>
        </w:rPr>
        <w:t>（9）施工总平面图布置；</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int="default" w:hAnsi="宋体" w:eastAsia="宋体" w:cs="宋体"/>
          <w:sz w:val="24"/>
          <w:lang w:val="en-US" w:eastAsia="zh-CN"/>
        </w:rPr>
      </w:pPr>
      <w:r>
        <w:rPr>
          <w:rFonts w:hint="eastAsia" w:hAnsi="宋体" w:cs="宋体"/>
          <w:sz w:val="24"/>
        </w:rPr>
        <w:t>（10）</w:t>
      </w:r>
      <w:r>
        <w:rPr>
          <w:rFonts w:hint="eastAsia" w:hAnsi="宋体" w:cs="宋体"/>
          <w:sz w:val="24"/>
          <w:lang w:val="en-US" w:eastAsia="zh-CN"/>
        </w:rPr>
        <w:t>技术创新的应用实施措施；</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Ansi="宋体" w:cs="宋体"/>
          <w:sz w:val="24"/>
        </w:rPr>
      </w:pPr>
      <w:r>
        <w:rPr>
          <w:rFonts w:hint="eastAsia" w:hAnsi="宋体" w:cs="宋体"/>
          <w:sz w:val="24"/>
        </w:rPr>
        <w:t>（11）</w:t>
      </w:r>
      <w:r>
        <w:rPr>
          <w:rFonts w:hint="eastAsia" w:hAnsi="宋体" w:cs="宋体"/>
          <w:sz w:val="24"/>
          <w:lang w:val="en-US" w:eastAsia="zh-CN"/>
        </w:rPr>
        <w:t>采用</w:t>
      </w:r>
      <w:r>
        <w:rPr>
          <w:rFonts w:hint="eastAsia" w:hAnsi="宋体" w:cs="宋体"/>
          <w:sz w:val="24"/>
        </w:rPr>
        <w:t>新工艺、新技术、新设备、新材料</w:t>
      </w:r>
      <w:r>
        <w:rPr>
          <w:rFonts w:hint="eastAsia" w:hAnsi="宋体" w:cs="宋体"/>
          <w:sz w:val="24"/>
          <w:lang w:eastAsia="zh-CN"/>
        </w:rPr>
        <w:t>、</w:t>
      </w:r>
      <w:r>
        <w:rPr>
          <w:rFonts w:hint="eastAsia" w:hAnsi="宋体" w:cs="宋体"/>
          <w:sz w:val="24"/>
          <w:lang w:val="en-US" w:eastAsia="zh-CN"/>
        </w:rPr>
        <w:t>BIM等</w:t>
      </w:r>
      <w:r>
        <w:rPr>
          <w:rFonts w:hint="eastAsia" w:hAnsi="宋体" w:cs="宋体"/>
          <w:sz w:val="24"/>
        </w:rPr>
        <w:t>的程度；</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int="eastAsia" w:hAnsi="宋体" w:cs="宋体"/>
          <w:sz w:val="24"/>
          <w:lang w:eastAsia="zh-CN"/>
        </w:rPr>
      </w:pPr>
      <w:r>
        <w:rPr>
          <w:rFonts w:hint="eastAsia" w:hAnsi="宋体" w:cs="宋体"/>
          <w:sz w:val="24"/>
        </w:rPr>
        <w:t>（12）</w:t>
      </w:r>
      <w:r>
        <w:rPr>
          <w:rFonts w:hint="eastAsia" w:hAnsi="宋体" w:cs="宋体"/>
          <w:sz w:val="24"/>
          <w:lang w:val="en-US" w:eastAsia="zh-CN"/>
        </w:rPr>
        <w:t>施工</w:t>
      </w:r>
      <w:r>
        <w:rPr>
          <w:rFonts w:hint="eastAsia" w:hAnsi="宋体" w:cs="宋体"/>
          <w:sz w:val="24"/>
        </w:rPr>
        <w:t>现场实施</w:t>
      </w:r>
      <w:r>
        <w:rPr>
          <w:rFonts w:hint="eastAsia" w:hAnsi="宋体" w:cs="宋体"/>
          <w:sz w:val="24"/>
          <w:lang w:val="en-US" w:eastAsia="zh-CN"/>
        </w:rPr>
        <w:t>信息化</w:t>
      </w:r>
      <w:r>
        <w:rPr>
          <w:rFonts w:hint="eastAsia" w:hAnsi="宋体" w:cs="宋体"/>
          <w:sz w:val="24"/>
        </w:rPr>
        <w:t>监控和数据处理</w:t>
      </w:r>
      <w:r>
        <w:rPr>
          <w:rFonts w:hint="eastAsia" w:hAnsi="宋体" w:cs="宋体"/>
          <w:sz w:val="24"/>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int="default" w:hAnsi="宋体" w:eastAsia="宋体" w:cs="宋体"/>
          <w:sz w:val="24"/>
          <w:lang w:val="en-US" w:eastAsia="zh-CN"/>
        </w:rPr>
      </w:pPr>
      <w:r>
        <w:rPr>
          <w:rFonts w:hint="eastAsia" w:hAnsi="宋体" w:cs="宋体"/>
          <w:sz w:val="24"/>
          <w:lang w:eastAsia="zh-CN"/>
        </w:rPr>
        <w:t>（</w:t>
      </w:r>
      <w:r>
        <w:rPr>
          <w:rFonts w:hint="eastAsia" w:hAnsi="宋体" w:cs="宋体"/>
          <w:sz w:val="24"/>
          <w:lang w:val="en-US" w:eastAsia="zh-CN"/>
        </w:rPr>
        <w:t>13</w:t>
      </w:r>
      <w:r>
        <w:rPr>
          <w:rFonts w:hint="eastAsia" w:hAnsi="宋体" w:cs="宋体"/>
          <w:sz w:val="24"/>
          <w:lang w:eastAsia="zh-CN"/>
        </w:rPr>
        <w:t>）</w:t>
      </w:r>
      <w:r>
        <w:rPr>
          <w:rFonts w:hint="eastAsia" w:hAnsi="宋体" w:cs="宋体"/>
          <w:sz w:val="24"/>
          <w:lang w:val="en-US" w:eastAsia="zh-CN"/>
        </w:rPr>
        <w:t>风险管理措施。</w:t>
      </w:r>
    </w:p>
    <w:p>
      <w:pPr>
        <w:tabs>
          <w:tab w:val="center" w:pos="4739"/>
        </w:tabs>
        <w:ind w:left="180"/>
        <w:rPr>
          <w:rFonts w:hAnsi="宋体" w:cs="宋体"/>
          <w:b/>
          <w:sz w:val="26"/>
          <w:szCs w:val="26"/>
        </w:rPr>
      </w:pP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roman"/>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w:pict>
        <v:shape id="文本框 5" o:spid="_x0000_s2054"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path/>
          <v:fill on="f" focussize="0,0"/>
          <v:stroke on="f" weight="1.25pt"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文本框 1" o:spid="_x0000_s2055"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w:pict>
        <v:shape id="文本框 13"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2" o:spid="_x0000_s2052"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jc w:val="both"/>
      <w:rPr>
        <w:rFonts w:ascii="华文新魏" w:eastAsia="华文新魏"/>
        <w:b/>
      </w:rPr>
    </w:pP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4" w:space="0"/>
      </w:pBdr>
      <w:jc w:val="both"/>
      <w:rPr>
        <w:szCs w:val="21"/>
      </w:rPr>
    </w:pPr>
    <w:r>
      <w:rPr>
        <w:rFonts w:hint="eastAsia" w:ascii="华文新魏" w:eastAsia="华文新魏"/>
        <w:b/>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4CAAF2B"/>
    <w:multiLevelType w:val="singleLevel"/>
    <w:tmpl w:val="04CAAF2B"/>
    <w:lvl w:ilvl="0" w:tentative="0">
      <w:start w:val="1"/>
      <w:numFmt w:val="decimal"/>
      <w:suff w:val="nothing"/>
      <w:lvlText w:val="%1、"/>
      <w:lvlJc w:val="left"/>
    </w:lvl>
  </w:abstractNum>
  <w:abstractNum w:abstractNumId="2">
    <w:nsid w:val="2CC990DF"/>
    <w:multiLevelType w:val="singleLevel"/>
    <w:tmpl w:val="2CC990DF"/>
    <w:lvl w:ilvl="0" w:tentative="0">
      <w:start w:val="1"/>
      <w:numFmt w:val="decimal"/>
      <w:suff w:val="nothing"/>
      <w:lvlText w:val="%1、"/>
      <w:lvlJc w:val="left"/>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A73B3EB"/>
    <w:multiLevelType w:val="singleLevel"/>
    <w:tmpl w:val="5A73B3EB"/>
    <w:lvl w:ilvl="0" w:tentative="0">
      <w:start w:val="1"/>
      <w:numFmt w:val="chineseCounting"/>
      <w:suff w:val="nothing"/>
      <w:lvlText w:val="%1、"/>
      <w:lvlJc w:val="left"/>
    </w:lvl>
  </w:abstractNum>
  <w:abstractNum w:abstractNumId="6">
    <w:nsid w:val="5A9F875C"/>
    <w:multiLevelType w:val="singleLevel"/>
    <w:tmpl w:val="5A9F875C"/>
    <w:lvl w:ilvl="0" w:tentative="0">
      <w:start w:val="1"/>
      <w:numFmt w:val="chineseCounting"/>
      <w:suff w:val="space"/>
      <w:lvlText w:val="第%1章"/>
      <w:lvlJc w:val="left"/>
    </w:lvl>
  </w:abstractNum>
  <w:abstractNum w:abstractNumId="7">
    <w:nsid w:val="7A188572"/>
    <w:multiLevelType w:val="singleLevel"/>
    <w:tmpl w:val="7A188572"/>
    <w:lvl w:ilvl="0" w:tentative="0">
      <w:start w:val="1"/>
      <w:numFmt w:val="chineseCounting"/>
      <w:suff w:val="space"/>
      <w:lvlText w:val="第%1章"/>
      <w:lvlJc w:val="left"/>
      <w:rPr>
        <w:rFonts w:hint="eastAsia"/>
      </w:rPr>
    </w:lvl>
  </w:abstractNum>
  <w:num w:numId="1">
    <w:abstractNumId w:val="7"/>
  </w:num>
  <w:num w:numId="2">
    <w:abstractNumId w:val="6"/>
  </w:num>
  <w:num w:numId="3">
    <w:abstractNumId w:val="0"/>
  </w:num>
  <w:num w:numId="4">
    <w:abstractNumId w:val="1"/>
  </w:num>
  <w:num w:numId="5">
    <w:abstractNumId w:val="2"/>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76F7E"/>
    <w:rsid w:val="00190A8C"/>
    <w:rsid w:val="001912DC"/>
    <w:rsid w:val="001A030E"/>
    <w:rsid w:val="001C7AF9"/>
    <w:rsid w:val="001C7C8B"/>
    <w:rsid w:val="00205C6A"/>
    <w:rsid w:val="0021062E"/>
    <w:rsid w:val="002225A8"/>
    <w:rsid w:val="00223978"/>
    <w:rsid w:val="002330D7"/>
    <w:rsid w:val="00262141"/>
    <w:rsid w:val="002838F3"/>
    <w:rsid w:val="00285179"/>
    <w:rsid w:val="00290A21"/>
    <w:rsid w:val="002941A4"/>
    <w:rsid w:val="002A38DB"/>
    <w:rsid w:val="002B449E"/>
    <w:rsid w:val="002B6CFD"/>
    <w:rsid w:val="002C349A"/>
    <w:rsid w:val="002E4AC4"/>
    <w:rsid w:val="002E5D21"/>
    <w:rsid w:val="0032098B"/>
    <w:rsid w:val="00344459"/>
    <w:rsid w:val="003506AC"/>
    <w:rsid w:val="00352160"/>
    <w:rsid w:val="00354011"/>
    <w:rsid w:val="003666F0"/>
    <w:rsid w:val="00377806"/>
    <w:rsid w:val="00386B3C"/>
    <w:rsid w:val="00393239"/>
    <w:rsid w:val="003B04D0"/>
    <w:rsid w:val="003B483B"/>
    <w:rsid w:val="003E2B83"/>
    <w:rsid w:val="003E5FBF"/>
    <w:rsid w:val="003F06C8"/>
    <w:rsid w:val="003F16E6"/>
    <w:rsid w:val="003F292E"/>
    <w:rsid w:val="0041298A"/>
    <w:rsid w:val="00415BC0"/>
    <w:rsid w:val="00415F75"/>
    <w:rsid w:val="00416279"/>
    <w:rsid w:val="004200A1"/>
    <w:rsid w:val="00425C54"/>
    <w:rsid w:val="004501F4"/>
    <w:rsid w:val="00461496"/>
    <w:rsid w:val="004622E3"/>
    <w:rsid w:val="0047049E"/>
    <w:rsid w:val="00477253"/>
    <w:rsid w:val="00497640"/>
    <w:rsid w:val="004A662C"/>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B35F4"/>
    <w:rsid w:val="005B4B16"/>
    <w:rsid w:val="005C2FC1"/>
    <w:rsid w:val="005C7B38"/>
    <w:rsid w:val="005C7D89"/>
    <w:rsid w:val="005E1B1D"/>
    <w:rsid w:val="005F5DB4"/>
    <w:rsid w:val="0061138F"/>
    <w:rsid w:val="0061516E"/>
    <w:rsid w:val="006321AA"/>
    <w:rsid w:val="00661C56"/>
    <w:rsid w:val="00670388"/>
    <w:rsid w:val="006A3BD6"/>
    <w:rsid w:val="006C58EE"/>
    <w:rsid w:val="006D2897"/>
    <w:rsid w:val="006D5BAE"/>
    <w:rsid w:val="006E42B1"/>
    <w:rsid w:val="006F2F1D"/>
    <w:rsid w:val="00711825"/>
    <w:rsid w:val="00715420"/>
    <w:rsid w:val="00715CEE"/>
    <w:rsid w:val="007258B7"/>
    <w:rsid w:val="00751460"/>
    <w:rsid w:val="007545F3"/>
    <w:rsid w:val="00760E93"/>
    <w:rsid w:val="007675A2"/>
    <w:rsid w:val="007A249B"/>
    <w:rsid w:val="007C65BC"/>
    <w:rsid w:val="007E6E4C"/>
    <w:rsid w:val="007F00E2"/>
    <w:rsid w:val="008100C7"/>
    <w:rsid w:val="0081250A"/>
    <w:rsid w:val="0081767F"/>
    <w:rsid w:val="00827E47"/>
    <w:rsid w:val="008353F2"/>
    <w:rsid w:val="00837836"/>
    <w:rsid w:val="00843389"/>
    <w:rsid w:val="00855EAA"/>
    <w:rsid w:val="0086256C"/>
    <w:rsid w:val="008A6355"/>
    <w:rsid w:val="008B19B5"/>
    <w:rsid w:val="008D64E5"/>
    <w:rsid w:val="008D77C9"/>
    <w:rsid w:val="008F5961"/>
    <w:rsid w:val="00903E33"/>
    <w:rsid w:val="009046D3"/>
    <w:rsid w:val="00913652"/>
    <w:rsid w:val="00914023"/>
    <w:rsid w:val="00942D61"/>
    <w:rsid w:val="00953E1B"/>
    <w:rsid w:val="00960292"/>
    <w:rsid w:val="009702AD"/>
    <w:rsid w:val="00971BC1"/>
    <w:rsid w:val="00985D17"/>
    <w:rsid w:val="009A54C5"/>
    <w:rsid w:val="009B0078"/>
    <w:rsid w:val="009B413B"/>
    <w:rsid w:val="009C15B6"/>
    <w:rsid w:val="009E399B"/>
    <w:rsid w:val="009E474B"/>
    <w:rsid w:val="009E6D32"/>
    <w:rsid w:val="009F6862"/>
    <w:rsid w:val="00A02446"/>
    <w:rsid w:val="00A11DD3"/>
    <w:rsid w:val="00A11E71"/>
    <w:rsid w:val="00A20EE8"/>
    <w:rsid w:val="00A23EC7"/>
    <w:rsid w:val="00A272E1"/>
    <w:rsid w:val="00A320C6"/>
    <w:rsid w:val="00A500A7"/>
    <w:rsid w:val="00A5380D"/>
    <w:rsid w:val="00A728AE"/>
    <w:rsid w:val="00A74405"/>
    <w:rsid w:val="00A76DFE"/>
    <w:rsid w:val="00A82892"/>
    <w:rsid w:val="00A919DC"/>
    <w:rsid w:val="00A926DB"/>
    <w:rsid w:val="00A96183"/>
    <w:rsid w:val="00A976FA"/>
    <w:rsid w:val="00AA1746"/>
    <w:rsid w:val="00AC4975"/>
    <w:rsid w:val="00AD7AC3"/>
    <w:rsid w:val="00AE432D"/>
    <w:rsid w:val="00AF1EF9"/>
    <w:rsid w:val="00B309E0"/>
    <w:rsid w:val="00B3250C"/>
    <w:rsid w:val="00B33A32"/>
    <w:rsid w:val="00B6036D"/>
    <w:rsid w:val="00B6140C"/>
    <w:rsid w:val="00B64709"/>
    <w:rsid w:val="00B84440"/>
    <w:rsid w:val="00B97E45"/>
    <w:rsid w:val="00BA1328"/>
    <w:rsid w:val="00BC2BAE"/>
    <w:rsid w:val="00BE3E23"/>
    <w:rsid w:val="00BF3412"/>
    <w:rsid w:val="00BF64FD"/>
    <w:rsid w:val="00C179DF"/>
    <w:rsid w:val="00C40DF7"/>
    <w:rsid w:val="00C616A4"/>
    <w:rsid w:val="00C83852"/>
    <w:rsid w:val="00C840A3"/>
    <w:rsid w:val="00C94803"/>
    <w:rsid w:val="00C96F90"/>
    <w:rsid w:val="00CD7C23"/>
    <w:rsid w:val="00CF455D"/>
    <w:rsid w:val="00D14B49"/>
    <w:rsid w:val="00D23424"/>
    <w:rsid w:val="00D30BB3"/>
    <w:rsid w:val="00D763A0"/>
    <w:rsid w:val="00D76418"/>
    <w:rsid w:val="00DA20B7"/>
    <w:rsid w:val="00DA29A1"/>
    <w:rsid w:val="00DA2BDF"/>
    <w:rsid w:val="00DA3EDB"/>
    <w:rsid w:val="00DE66BC"/>
    <w:rsid w:val="00DF7149"/>
    <w:rsid w:val="00E1107C"/>
    <w:rsid w:val="00E26CD1"/>
    <w:rsid w:val="00E44B4D"/>
    <w:rsid w:val="00E52A0A"/>
    <w:rsid w:val="00E538F9"/>
    <w:rsid w:val="00E66398"/>
    <w:rsid w:val="00EA5008"/>
    <w:rsid w:val="00F03446"/>
    <w:rsid w:val="00F10827"/>
    <w:rsid w:val="00F43C2A"/>
    <w:rsid w:val="00F467A0"/>
    <w:rsid w:val="00F63C92"/>
    <w:rsid w:val="00F67CC6"/>
    <w:rsid w:val="00F70363"/>
    <w:rsid w:val="00F728FE"/>
    <w:rsid w:val="00F7314E"/>
    <w:rsid w:val="00F9261B"/>
    <w:rsid w:val="00FA19A9"/>
    <w:rsid w:val="00FA563C"/>
    <w:rsid w:val="00FB52C0"/>
    <w:rsid w:val="00FC0C1C"/>
    <w:rsid w:val="00FD2C2A"/>
    <w:rsid w:val="00FF206D"/>
    <w:rsid w:val="00FF29C1"/>
    <w:rsid w:val="00FF7975"/>
    <w:rsid w:val="010422EE"/>
    <w:rsid w:val="010E73C0"/>
    <w:rsid w:val="01110E06"/>
    <w:rsid w:val="011922C1"/>
    <w:rsid w:val="011A5453"/>
    <w:rsid w:val="011B5EC7"/>
    <w:rsid w:val="011C4FCB"/>
    <w:rsid w:val="011F41CF"/>
    <w:rsid w:val="01234E3E"/>
    <w:rsid w:val="01296C1F"/>
    <w:rsid w:val="01325959"/>
    <w:rsid w:val="01486A70"/>
    <w:rsid w:val="014C4E4F"/>
    <w:rsid w:val="0158740A"/>
    <w:rsid w:val="016962E4"/>
    <w:rsid w:val="017976CF"/>
    <w:rsid w:val="01865784"/>
    <w:rsid w:val="01916193"/>
    <w:rsid w:val="01961EEE"/>
    <w:rsid w:val="019C40A4"/>
    <w:rsid w:val="01A96207"/>
    <w:rsid w:val="01B47CC7"/>
    <w:rsid w:val="01B53613"/>
    <w:rsid w:val="01BC3552"/>
    <w:rsid w:val="01D00117"/>
    <w:rsid w:val="01D772A3"/>
    <w:rsid w:val="01D922A2"/>
    <w:rsid w:val="01DA1011"/>
    <w:rsid w:val="01DD27AE"/>
    <w:rsid w:val="01E215A1"/>
    <w:rsid w:val="01E82A2F"/>
    <w:rsid w:val="01F12922"/>
    <w:rsid w:val="01F27C77"/>
    <w:rsid w:val="01F50EF6"/>
    <w:rsid w:val="01FD58A9"/>
    <w:rsid w:val="01FF5E25"/>
    <w:rsid w:val="020A5E91"/>
    <w:rsid w:val="020C401D"/>
    <w:rsid w:val="0212636B"/>
    <w:rsid w:val="02183BB5"/>
    <w:rsid w:val="02201428"/>
    <w:rsid w:val="02247BED"/>
    <w:rsid w:val="0225032D"/>
    <w:rsid w:val="02397D55"/>
    <w:rsid w:val="023A3804"/>
    <w:rsid w:val="023B5027"/>
    <w:rsid w:val="023B7FBB"/>
    <w:rsid w:val="02431DC0"/>
    <w:rsid w:val="0248240F"/>
    <w:rsid w:val="02505855"/>
    <w:rsid w:val="02510E5A"/>
    <w:rsid w:val="02581F53"/>
    <w:rsid w:val="025C776F"/>
    <w:rsid w:val="025F2843"/>
    <w:rsid w:val="026223DF"/>
    <w:rsid w:val="02675512"/>
    <w:rsid w:val="026D004A"/>
    <w:rsid w:val="026D1F06"/>
    <w:rsid w:val="026E716C"/>
    <w:rsid w:val="027420B3"/>
    <w:rsid w:val="027C3B40"/>
    <w:rsid w:val="028277A1"/>
    <w:rsid w:val="029976FA"/>
    <w:rsid w:val="029F01C5"/>
    <w:rsid w:val="02A420A1"/>
    <w:rsid w:val="02B071B5"/>
    <w:rsid w:val="02B27D4B"/>
    <w:rsid w:val="02B31B9E"/>
    <w:rsid w:val="02BB15E3"/>
    <w:rsid w:val="02CD1577"/>
    <w:rsid w:val="02D1725A"/>
    <w:rsid w:val="02DD27BB"/>
    <w:rsid w:val="02E87DC4"/>
    <w:rsid w:val="02F679FE"/>
    <w:rsid w:val="02FD37F2"/>
    <w:rsid w:val="03156621"/>
    <w:rsid w:val="03163FAD"/>
    <w:rsid w:val="031A2A62"/>
    <w:rsid w:val="03213611"/>
    <w:rsid w:val="032248BA"/>
    <w:rsid w:val="032359AD"/>
    <w:rsid w:val="033B664C"/>
    <w:rsid w:val="033E4D02"/>
    <w:rsid w:val="034C0ABC"/>
    <w:rsid w:val="034E4787"/>
    <w:rsid w:val="03500B36"/>
    <w:rsid w:val="0364090D"/>
    <w:rsid w:val="036647A3"/>
    <w:rsid w:val="037039DE"/>
    <w:rsid w:val="037571BD"/>
    <w:rsid w:val="03770009"/>
    <w:rsid w:val="03771167"/>
    <w:rsid w:val="037C3E90"/>
    <w:rsid w:val="038E41B6"/>
    <w:rsid w:val="03966709"/>
    <w:rsid w:val="03971F22"/>
    <w:rsid w:val="0397597E"/>
    <w:rsid w:val="03985275"/>
    <w:rsid w:val="03AA4FC1"/>
    <w:rsid w:val="03B20F4F"/>
    <w:rsid w:val="03B676B0"/>
    <w:rsid w:val="03C069E5"/>
    <w:rsid w:val="03C10F03"/>
    <w:rsid w:val="03E8463F"/>
    <w:rsid w:val="03F04217"/>
    <w:rsid w:val="03F5780A"/>
    <w:rsid w:val="03F630D5"/>
    <w:rsid w:val="04054A2B"/>
    <w:rsid w:val="04064707"/>
    <w:rsid w:val="040934D0"/>
    <w:rsid w:val="040E2349"/>
    <w:rsid w:val="04122E14"/>
    <w:rsid w:val="04123476"/>
    <w:rsid w:val="0414519C"/>
    <w:rsid w:val="041461E1"/>
    <w:rsid w:val="041729A1"/>
    <w:rsid w:val="042275C0"/>
    <w:rsid w:val="042630B7"/>
    <w:rsid w:val="042B2101"/>
    <w:rsid w:val="04366698"/>
    <w:rsid w:val="043738DE"/>
    <w:rsid w:val="0438675C"/>
    <w:rsid w:val="043A1192"/>
    <w:rsid w:val="04433B28"/>
    <w:rsid w:val="04475344"/>
    <w:rsid w:val="044F5570"/>
    <w:rsid w:val="04605E2A"/>
    <w:rsid w:val="04663D13"/>
    <w:rsid w:val="046A0239"/>
    <w:rsid w:val="046C195A"/>
    <w:rsid w:val="046E1037"/>
    <w:rsid w:val="048266DA"/>
    <w:rsid w:val="04865B1C"/>
    <w:rsid w:val="049F4EFD"/>
    <w:rsid w:val="04B43CCA"/>
    <w:rsid w:val="04B44F23"/>
    <w:rsid w:val="04B6403B"/>
    <w:rsid w:val="04B90108"/>
    <w:rsid w:val="04BC69BA"/>
    <w:rsid w:val="04C25492"/>
    <w:rsid w:val="04C437A6"/>
    <w:rsid w:val="04C7430A"/>
    <w:rsid w:val="04C83562"/>
    <w:rsid w:val="04C92052"/>
    <w:rsid w:val="04CE4631"/>
    <w:rsid w:val="04DE4AAE"/>
    <w:rsid w:val="04DF1FE0"/>
    <w:rsid w:val="04DF3FCB"/>
    <w:rsid w:val="04E05700"/>
    <w:rsid w:val="04E172CD"/>
    <w:rsid w:val="04E41E41"/>
    <w:rsid w:val="04E43029"/>
    <w:rsid w:val="04EA3AA0"/>
    <w:rsid w:val="04F57CA3"/>
    <w:rsid w:val="04F61493"/>
    <w:rsid w:val="05166C6E"/>
    <w:rsid w:val="052A72E0"/>
    <w:rsid w:val="05336A3F"/>
    <w:rsid w:val="05397558"/>
    <w:rsid w:val="053D00B6"/>
    <w:rsid w:val="05521D85"/>
    <w:rsid w:val="05535D92"/>
    <w:rsid w:val="055E72FF"/>
    <w:rsid w:val="05674392"/>
    <w:rsid w:val="056C4502"/>
    <w:rsid w:val="056E2781"/>
    <w:rsid w:val="056E5C1A"/>
    <w:rsid w:val="057D235D"/>
    <w:rsid w:val="0596338A"/>
    <w:rsid w:val="05A07B6E"/>
    <w:rsid w:val="05B01A2F"/>
    <w:rsid w:val="05B2033B"/>
    <w:rsid w:val="05B2313E"/>
    <w:rsid w:val="05B47AC6"/>
    <w:rsid w:val="05C957DB"/>
    <w:rsid w:val="05D011E8"/>
    <w:rsid w:val="05D3476D"/>
    <w:rsid w:val="05D63571"/>
    <w:rsid w:val="05E655CF"/>
    <w:rsid w:val="05EC14DC"/>
    <w:rsid w:val="05F0226B"/>
    <w:rsid w:val="05F145CC"/>
    <w:rsid w:val="05F26614"/>
    <w:rsid w:val="05F810FA"/>
    <w:rsid w:val="06005707"/>
    <w:rsid w:val="06015AE4"/>
    <w:rsid w:val="06030411"/>
    <w:rsid w:val="060841B3"/>
    <w:rsid w:val="060C6CC9"/>
    <w:rsid w:val="0610252C"/>
    <w:rsid w:val="06150DBA"/>
    <w:rsid w:val="06363A09"/>
    <w:rsid w:val="063D0506"/>
    <w:rsid w:val="065B0E15"/>
    <w:rsid w:val="06672F0B"/>
    <w:rsid w:val="066D4902"/>
    <w:rsid w:val="066E53C9"/>
    <w:rsid w:val="06717DA2"/>
    <w:rsid w:val="06783059"/>
    <w:rsid w:val="067F7AA5"/>
    <w:rsid w:val="06855742"/>
    <w:rsid w:val="069C1423"/>
    <w:rsid w:val="069F291D"/>
    <w:rsid w:val="06A7610C"/>
    <w:rsid w:val="06AF012A"/>
    <w:rsid w:val="06B80933"/>
    <w:rsid w:val="06BC76FB"/>
    <w:rsid w:val="06C35BC3"/>
    <w:rsid w:val="06C942E0"/>
    <w:rsid w:val="06CA2DCC"/>
    <w:rsid w:val="06CB0E83"/>
    <w:rsid w:val="06D8271F"/>
    <w:rsid w:val="06DE05BF"/>
    <w:rsid w:val="06E767D9"/>
    <w:rsid w:val="06E90253"/>
    <w:rsid w:val="06EA7218"/>
    <w:rsid w:val="06F15DAF"/>
    <w:rsid w:val="06FD59D4"/>
    <w:rsid w:val="0702214E"/>
    <w:rsid w:val="07023B66"/>
    <w:rsid w:val="07134E1A"/>
    <w:rsid w:val="072221F1"/>
    <w:rsid w:val="07281AD5"/>
    <w:rsid w:val="07341714"/>
    <w:rsid w:val="07391A2B"/>
    <w:rsid w:val="073F684C"/>
    <w:rsid w:val="07407105"/>
    <w:rsid w:val="07430BA0"/>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66FE9"/>
    <w:rsid w:val="07CD0FB4"/>
    <w:rsid w:val="07D17C7C"/>
    <w:rsid w:val="07D461E0"/>
    <w:rsid w:val="07D97406"/>
    <w:rsid w:val="07E25662"/>
    <w:rsid w:val="07E50E7A"/>
    <w:rsid w:val="07EC3A71"/>
    <w:rsid w:val="07ED0064"/>
    <w:rsid w:val="07F72D8B"/>
    <w:rsid w:val="07FA1B0E"/>
    <w:rsid w:val="08115F74"/>
    <w:rsid w:val="081258F1"/>
    <w:rsid w:val="08165D36"/>
    <w:rsid w:val="082A30ED"/>
    <w:rsid w:val="082D0BA9"/>
    <w:rsid w:val="08376DBD"/>
    <w:rsid w:val="083A5177"/>
    <w:rsid w:val="083E562A"/>
    <w:rsid w:val="08406C12"/>
    <w:rsid w:val="08581DFD"/>
    <w:rsid w:val="08594F4C"/>
    <w:rsid w:val="085D7498"/>
    <w:rsid w:val="085F666B"/>
    <w:rsid w:val="08641845"/>
    <w:rsid w:val="086F58A5"/>
    <w:rsid w:val="087A2652"/>
    <w:rsid w:val="08812725"/>
    <w:rsid w:val="08894651"/>
    <w:rsid w:val="089B0FEE"/>
    <w:rsid w:val="089C4071"/>
    <w:rsid w:val="08A272BD"/>
    <w:rsid w:val="08A35A30"/>
    <w:rsid w:val="08AB7C23"/>
    <w:rsid w:val="08BA55B6"/>
    <w:rsid w:val="08BD0C5B"/>
    <w:rsid w:val="08BF5F8D"/>
    <w:rsid w:val="08C14C8E"/>
    <w:rsid w:val="08C6101C"/>
    <w:rsid w:val="08CD7F6B"/>
    <w:rsid w:val="08D82379"/>
    <w:rsid w:val="08E535C2"/>
    <w:rsid w:val="08E6490B"/>
    <w:rsid w:val="08E77B89"/>
    <w:rsid w:val="08ED341D"/>
    <w:rsid w:val="08F91555"/>
    <w:rsid w:val="09044296"/>
    <w:rsid w:val="090479FA"/>
    <w:rsid w:val="091017BD"/>
    <w:rsid w:val="09132DF8"/>
    <w:rsid w:val="09172DBC"/>
    <w:rsid w:val="09276536"/>
    <w:rsid w:val="092B3D47"/>
    <w:rsid w:val="09386FE4"/>
    <w:rsid w:val="093E67D4"/>
    <w:rsid w:val="093F0647"/>
    <w:rsid w:val="094165A9"/>
    <w:rsid w:val="095143AD"/>
    <w:rsid w:val="09545365"/>
    <w:rsid w:val="095A3F9A"/>
    <w:rsid w:val="09631DBD"/>
    <w:rsid w:val="09680FEA"/>
    <w:rsid w:val="0970682C"/>
    <w:rsid w:val="0977793F"/>
    <w:rsid w:val="09792BE7"/>
    <w:rsid w:val="09795606"/>
    <w:rsid w:val="097F7B39"/>
    <w:rsid w:val="09835313"/>
    <w:rsid w:val="09867DBC"/>
    <w:rsid w:val="09893804"/>
    <w:rsid w:val="09922ABE"/>
    <w:rsid w:val="09924611"/>
    <w:rsid w:val="09944D89"/>
    <w:rsid w:val="09982958"/>
    <w:rsid w:val="09B7116B"/>
    <w:rsid w:val="09BE29A7"/>
    <w:rsid w:val="09DB37A4"/>
    <w:rsid w:val="09E337AF"/>
    <w:rsid w:val="09F94093"/>
    <w:rsid w:val="09FD10FA"/>
    <w:rsid w:val="09FE2D36"/>
    <w:rsid w:val="0A0D690A"/>
    <w:rsid w:val="0A0F3C75"/>
    <w:rsid w:val="0A1A5383"/>
    <w:rsid w:val="0A3121BC"/>
    <w:rsid w:val="0A345174"/>
    <w:rsid w:val="0A5617C3"/>
    <w:rsid w:val="0A583F9A"/>
    <w:rsid w:val="0A612757"/>
    <w:rsid w:val="0A680F13"/>
    <w:rsid w:val="0A6A72D1"/>
    <w:rsid w:val="0A702524"/>
    <w:rsid w:val="0A731C56"/>
    <w:rsid w:val="0A9109E9"/>
    <w:rsid w:val="0A96082D"/>
    <w:rsid w:val="0A9A5D3D"/>
    <w:rsid w:val="0A9B67F9"/>
    <w:rsid w:val="0ABC5A61"/>
    <w:rsid w:val="0ABE5AFE"/>
    <w:rsid w:val="0ABF36A1"/>
    <w:rsid w:val="0AC709E5"/>
    <w:rsid w:val="0ACB45ED"/>
    <w:rsid w:val="0AD81CA6"/>
    <w:rsid w:val="0AD97181"/>
    <w:rsid w:val="0AE475BC"/>
    <w:rsid w:val="0AE9299A"/>
    <w:rsid w:val="0AF92D82"/>
    <w:rsid w:val="0AFD4675"/>
    <w:rsid w:val="0AFE4389"/>
    <w:rsid w:val="0AFF5621"/>
    <w:rsid w:val="0B036B82"/>
    <w:rsid w:val="0B0978FC"/>
    <w:rsid w:val="0B0D3507"/>
    <w:rsid w:val="0B0F6AB9"/>
    <w:rsid w:val="0B1109DE"/>
    <w:rsid w:val="0B15582D"/>
    <w:rsid w:val="0B2517FA"/>
    <w:rsid w:val="0B363484"/>
    <w:rsid w:val="0B394C11"/>
    <w:rsid w:val="0B405E34"/>
    <w:rsid w:val="0B422C4E"/>
    <w:rsid w:val="0B444D3C"/>
    <w:rsid w:val="0B495A95"/>
    <w:rsid w:val="0B4A0D9A"/>
    <w:rsid w:val="0B4A3D67"/>
    <w:rsid w:val="0B5F5790"/>
    <w:rsid w:val="0B6364EE"/>
    <w:rsid w:val="0B6539A0"/>
    <w:rsid w:val="0B6F76B9"/>
    <w:rsid w:val="0B8111F7"/>
    <w:rsid w:val="0B835D2D"/>
    <w:rsid w:val="0B893108"/>
    <w:rsid w:val="0B8D3B33"/>
    <w:rsid w:val="0B8F0F8E"/>
    <w:rsid w:val="0B924E63"/>
    <w:rsid w:val="0B935589"/>
    <w:rsid w:val="0B9D4A61"/>
    <w:rsid w:val="0BA0157F"/>
    <w:rsid w:val="0BAC4139"/>
    <w:rsid w:val="0BAE64FD"/>
    <w:rsid w:val="0BAF573C"/>
    <w:rsid w:val="0BBC52C8"/>
    <w:rsid w:val="0BBD6FE0"/>
    <w:rsid w:val="0BD306C1"/>
    <w:rsid w:val="0BD31DE1"/>
    <w:rsid w:val="0BD629CF"/>
    <w:rsid w:val="0BD63168"/>
    <w:rsid w:val="0BE926FE"/>
    <w:rsid w:val="0BF0362D"/>
    <w:rsid w:val="0BF15254"/>
    <w:rsid w:val="0BF607AA"/>
    <w:rsid w:val="0C057449"/>
    <w:rsid w:val="0C071F7A"/>
    <w:rsid w:val="0C123464"/>
    <w:rsid w:val="0C2F476E"/>
    <w:rsid w:val="0C355D3B"/>
    <w:rsid w:val="0C49492D"/>
    <w:rsid w:val="0C511332"/>
    <w:rsid w:val="0C5C550B"/>
    <w:rsid w:val="0C656A4B"/>
    <w:rsid w:val="0C71462B"/>
    <w:rsid w:val="0C75458E"/>
    <w:rsid w:val="0C934DB6"/>
    <w:rsid w:val="0C995BDF"/>
    <w:rsid w:val="0CA273F1"/>
    <w:rsid w:val="0CB11936"/>
    <w:rsid w:val="0CC27407"/>
    <w:rsid w:val="0CCC5C04"/>
    <w:rsid w:val="0CD2047B"/>
    <w:rsid w:val="0CDB2A0A"/>
    <w:rsid w:val="0CDB7DFA"/>
    <w:rsid w:val="0CDC66FE"/>
    <w:rsid w:val="0CE12681"/>
    <w:rsid w:val="0CEF24BA"/>
    <w:rsid w:val="0D032F9E"/>
    <w:rsid w:val="0D065361"/>
    <w:rsid w:val="0D0D6A84"/>
    <w:rsid w:val="0D0E21C5"/>
    <w:rsid w:val="0D245BED"/>
    <w:rsid w:val="0D2A3CB9"/>
    <w:rsid w:val="0D2E7CDE"/>
    <w:rsid w:val="0D347316"/>
    <w:rsid w:val="0D51347C"/>
    <w:rsid w:val="0D52544D"/>
    <w:rsid w:val="0D631BA2"/>
    <w:rsid w:val="0D761084"/>
    <w:rsid w:val="0D7A1D94"/>
    <w:rsid w:val="0D7B7B4A"/>
    <w:rsid w:val="0D851495"/>
    <w:rsid w:val="0D8F1F77"/>
    <w:rsid w:val="0D924CCC"/>
    <w:rsid w:val="0D98121C"/>
    <w:rsid w:val="0DA22EBD"/>
    <w:rsid w:val="0DB37422"/>
    <w:rsid w:val="0DC8678B"/>
    <w:rsid w:val="0DD31D8F"/>
    <w:rsid w:val="0DDE19E8"/>
    <w:rsid w:val="0DDF3681"/>
    <w:rsid w:val="0DE21B55"/>
    <w:rsid w:val="0DE8177F"/>
    <w:rsid w:val="0DEC2ADB"/>
    <w:rsid w:val="0DF45C0B"/>
    <w:rsid w:val="0E0C2AFD"/>
    <w:rsid w:val="0E0E47F0"/>
    <w:rsid w:val="0E0F5D1B"/>
    <w:rsid w:val="0E121D9A"/>
    <w:rsid w:val="0E1B2CC9"/>
    <w:rsid w:val="0E20453A"/>
    <w:rsid w:val="0E2E6AB6"/>
    <w:rsid w:val="0E2F217C"/>
    <w:rsid w:val="0E3761EB"/>
    <w:rsid w:val="0E3B7750"/>
    <w:rsid w:val="0E510D62"/>
    <w:rsid w:val="0E63199B"/>
    <w:rsid w:val="0E7A2736"/>
    <w:rsid w:val="0E7A66D6"/>
    <w:rsid w:val="0E8E60DC"/>
    <w:rsid w:val="0E8F739E"/>
    <w:rsid w:val="0E9C6D70"/>
    <w:rsid w:val="0E9F1C21"/>
    <w:rsid w:val="0EA14CDA"/>
    <w:rsid w:val="0EA744AE"/>
    <w:rsid w:val="0EA76951"/>
    <w:rsid w:val="0EAB77A0"/>
    <w:rsid w:val="0EB35AAD"/>
    <w:rsid w:val="0ED11811"/>
    <w:rsid w:val="0EDE27F8"/>
    <w:rsid w:val="0EE43019"/>
    <w:rsid w:val="0EE80E43"/>
    <w:rsid w:val="0EE911F1"/>
    <w:rsid w:val="0EF648C6"/>
    <w:rsid w:val="0EF949F2"/>
    <w:rsid w:val="0EFB25D1"/>
    <w:rsid w:val="0EFC7454"/>
    <w:rsid w:val="0EFD163F"/>
    <w:rsid w:val="0F0119F6"/>
    <w:rsid w:val="0F022EE4"/>
    <w:rsid w:val="0F0239DF"/>
    <w:rsid w:val="0F0361C8"/>
    <w:rsid w:val="0F097F32"/>
    <w:rsid w:val="0F1C38A1"/>
    <w:rsid w:val="0F1D044C"/>
    <w:rsid w:val="0F2F5FE6"/>
    <w:rsid w:val="0F367B25"/>
    <w:rsid w:val="0F3E5340"/>
    <w:rsid w:val="0F4D3FAB"/>
    <w:rsid w:val="0F4E38F5"/>
    <w:rsid w:val="0F540BFC"/>
    <w:rsid w:val="0F5B51AF"/>
    <w:rsid w:val="0F5C706E"/>
    <w:rsid w:val="0F5E193B"/>
    <w:rsid w:val="0F5E1E20"/>
    <w:rsid w:val="0F632069"/>
    <w:rsid w:val="0F650225"/>
    <w:rsid w:val="0F7125D5"/>
    <w:rsid w:val="0F794915"/>
    <w:rsid w:val="0F7E2308"/>
    <w:rsid w:val="0F854E6E"/>
    <w:rsid w:val="0F8D1D66"/>
    <w:rsid w:val="0F8E634C"/>
    <w:rsid w:val="0F923D51"/>
    <w:rsid w:val="0F960DE0"/>
    <w:rsid w:val="0FA16073"/>
    <w:rsid w:val="0FA55C6A"/>
    <w:rsid w:val="0FAC1D9A"/>
    <w:rsid w:val="0FB0737F"/>
    <w:rsid w:val="0FB35CCF"/>
    <w:rsid w:val="0FB407C9"/>
    <w:rsid w:val="0FCD2660"/>
    <w:rsid w:val="0FCE6FEC"/>
    <w:rsid w:val="0FE426F8"/>
    <w:rsid w:val="0FE47F4E"/>
    <w:rsid w:val="0FEA1AF9"/>
    <w:rsid w:val="0FEB6B2A"/>
    <w:rsid w:val="0FEC6591"/>
    <w:rsid w:val="10041DCD"/>
    <w:rsid w:val="10052AF4"/>
    <w:rsid w:val="100B7FAC"/>
    <w:rsid w:val="100C0C63"/>
    <w:rsid w:val="10211832"/>
    <w:rsid w:val="10215FFC"/>
    <w:rsid w:val="10251309"/>
    <w:rsid w:val="10261BAA"/>
    <w:rsid w:val="102B15CE"/>
    <w:rsid w:val="1039146F"/>
    <w:rsid w:val="103C6776"/>
    <w:rsid w:val="104A034A"/>
    <w:rsid w:val="106306D4"/>
    <w:rsid w:val="10645D4C"/>
    <w:rsid w:val="10660739"/>
    <w:rsid w:val="1069565E"/>
    <w:rsid w:val="106F11B4"/>
    <w:rsid w:val="10762B17"/>
    <w:rsid w:val="108B5B30"/>
    <w:rsid w:val="10957BCE"/>
    <w:rsid w:val="10965B95"/>
    <w:rsid w:val="109B7E33"/>
    <w:rsid w:val="10B06F61"/>
    <w:rsid w:val="10B477E1"/>
    <w:rsid w:val="10B70E7E"/>
    <w:rsid w:val="10B71C38"/>
    <w:rsid w:val="10B95554"/>
    <w:rsid w:val="10BE6DF1"/>
    <w:rsid w:val="10BF5AF0"/>
    <w:rsid w:val="10CC1D6A"/>
    <w:rsid w:val="10CE1D3C"/>
    <w:rsid w:val="10CF1CAA"/>
    <w:rsid w:val="10D8551E"/>
    <w:rsid w:val="10DC070D"/>
    <w:rsid w:val="10DC2540"/>
    <w:rsid w:val="10DF52B3"/>
    <w:rsid w:val="10F93E88"/>
    <w:rsid w:val="11053D0E"/>
    <w:rsid w:val="11067954"/>
    <w:rsid w:val="11113331"/>
    <w:rsid w:val="1112518B"/>
    <w:rsid w:val="11397FCC"/>
    <w:rsid w:val="114C2D3B"/>
    <w:rsid w:val="11596574"/>
    <w:rsid w:val="11691C7B"/>
    <w:rsid w:val="11963AC1"/>
    <w:rsid w:val="119951BA"/>
    <w:rsid w:val="11A83D45"/>
    <w:rsid w:val="11B10C92"/>
    <w:rsid w:val="11B14483"/>
    <w:rsid w:val="11B1770D"/>
    <w:rsid w:val="11B96845"/>
    <w:rsid w:val="11CE0716"/>
    <w:rsid w:val="11CF78D8"/>
    <w:rsid w:val="11D65CBA"/>
    <w:rsid w:val="11D7231C"/>
    <w:rsid w:val="11E70DCC"/>
    <w:rsid w:val="11E81077"/>
    <w:rsid w:val="11FE239A"/>
    <w:rsid w:val="12023388"/>
    <w:rsid w:val="12105780"/>
    <w:rsid w:val="12151C60"/>
    <w:rsid w:val="121E476A"/>
    <w:rsid w:val="122F1B99"/>
    <w:rsid w:val="123021D6"/>
    <w:rsid w:val="12392DAF"/>
    <w:rsid w:val="124567D1"/>
    <w:rsid w:val="124B3A99"/>
    <w:rsid w:val="1253458F"/>
    <w:rsid w:val="126111F8"/>
    <w:rsid w:val="126322CB"/>
    <w:rsid w:val="12691E05"/>
    <w:rsid w:val="12714F58"/>
    <w:rsid w:val="12735ED9"/>
    <w:rsid w:val="12766327"/>
    <w:rsid w:val="127C2CBD"/>
    <w:rsid w:val="128428CC"/>
    <w:rsid w:val="1287602C"/>
    <w:rsid w:val="129528F2"/>
    <w:rsid w:val="129B402D"/>
    <w:rsid w:val="129E1CBC"/>
    <w:rsid w:val="12A5368B"/>
    <w:rsid w:val="12A67371"/>
    <w:rsid w:val="12AC6B78"/>
    <w:rsid w:val="12C0600D"/>
    <w:rsid w:val="12C77051"/>
    <w:rsid w:val="12C95AA1"/>
    <w:rsid w:val="12D55ED5"/>
    <w:rsid w:val="12D644C8"/>
    <w:rsid w:val="12D928D1"/>
    <w:rsid w:val="12DF1D8A"/>
    <w:rsid w:val="12E073E8"/>
    <w:rsid w:val="12EE7D04"/>
    <w:rsid w:val="12F17637"/>
    <w:rsid w:val="13040A65"/>
    <w:rsid w:val="1306646C"/>
    <w:rsid w:val="132523FC"/>
    <w:rsid w:val="13396B15"/>
    <w:rsid w:val="1369407F"/>
    <w:rsid w:val="136A0D4C"/>
    <w:rsid w:val="136A43D4"/>
    <w:rsid w:val="136B4255"/>
    <w:rsid w:val="13701D45"/>
    <w:rsid w:val="13704865"/>
    <w:rsid w:val="137A15F9"/>
    <w:rsid w:val="13A65EBB"/>
    <w:rsid w:val="13AB2902"/>
    <w:rsid w:val="13B100AE"/>
    <w:rsid w:val="13BA5348"/>
    <w:rsid w:val="13BB084C"/>
    <w:rsid w:val="13D64384"/>
    <w:rsid w:val="13F46A94"/>
    <w:rsid w:val="13F6333A"/>
    <w:rsid w:val="14010277"/>
    <w:rsid w:val="14053D54"/>
    <w:rsid w:val="14066A71"/>
    <w:rsid w:val="141A56D9"/>
    <w:rsid w:val="141B4934"/>
    <w:rsid w:val="14216B57"/>
    <w:rsid w:val="14270630"/>
    <w:rsid w:val="143E0E51"/>
    <w:rsid w:val="143F5E76"/>
    <w:rsid w:val="14417A1E"/>
    <w:rsid w:val="14475CB7"/>
    <w:rsid w:val="146B646A"/>
    <w:rsid w:val="14772DD6"/>
    <w:rsid w:val="1477508C"/>
    <w:rsid w:val="148515B6"/>
    <w:rsid w:val="1487448F"/>
    <w:rsid w:val="14973195"/>
    <w:rsid w:val="14A23DCB"/>
    <w:rsid w:val="14A87F51"/>
    <w:rsid w:val="14A97462"/>
    <w:rsid w:val="14B15ED6"/>
    <w:rsid w:val="14B450AE"/>
    <w:rsid w:val="14B67BFC"/>
    <w:rsid w:val="14B7210E"/>
    <w:rsid w:val="14BD28E4"/>
    <w:rsid w:val="14C14B89"/>
    <w:rsid w:val="14C57506"/>
    <w:rsid w:val="14C6316A"/>
    <w:rsid w:val="14CC4744"/>
    <w:rsid w:val="14CF2805"/>
    <w:rsid w:val="14D7056E"/>
    <w:rsid w:val="14E4562D"/>
    <w:rsid w:val="14E56C94"/>
    <w:rsid w:val="14EF073D"/>
    <w:rsid w:val="14F36498"/>
    <w:rsid w:val="14F36FB6"/>
    <w:rsid w:val="14F87477"/>
    <w:rsid w:val="14FA7EF1"/>
    <w:rsid w:val="1509154F"/>
    <w:rsid w:val="150B34E4"/>
    <w:rsid w:val="15140CE6"/>
    <w:rsid w:val="15170A83"/>
    <w:rsid w:val="151E3969"/>
    <w:rsid w:val="15282B11"/>
    <w:rsid w:val="152A5B52"/>
    <w:rsid w:val="15303351"/>
    <w:rsid w:val="15343A2B"/>
    <w:rsid w:val="153D3AF3"/>
    <w:rsid w:val="153E0259"/>
    <w:rsid w:val="15432082"/>
    <w:rsid w:val="154A550F"/>
    <w:rsid w:val="154C5FD5"/>
    <w:rsid w:val="15523C6B"/>
    <w:rsid w:val="15532CCA"/>
    <w:rsid w:val="156311D8"/>
    <w:rsid w:val="15656850"/>
    <w:rsid w:val="15723C5B"/>
    <w:rsid w:val="157B5D24"/>
    <w:rsid w:val="157B72EF"/>
    <w:rsid w:val="158D4130"/>
    <w:rsid w:val="15911664"/>
    <w:rsid w:val="15993788"/>
    <w:rsid w:val="1599417E"/>
    <w:rsid w:val="159B180C"/>
    <w:rsid w:val="15B73BFA"/>
    <w:rsid w:val="15BE121B"/>
    <w:rsid w:val="15C6091E"/>
    <w:rsid w:val="15CD667A"/>
    <w:rsid w:val="15DE28B3"/>
    <w:rsid w:val="15EB0836"/>
    <w:rsid w:val="16063D42"/>
    <w:rsid w:val="1608380C"/>
    <w:rsid w:val="16135DC2"/>
    <w:rsid w:val="161530BC"/>
    <w:rsid w:val="16180A85"/>
    <w:rsid w:val="161E22D2"/>
    <w:rsid w:val="163248E1"/>
    <w:rsid w:val="16436DF1"/>
    <w:rsid w:val="164B320D"/>
    <w:rsid w:val="164C1EC6"/>
    <w:rsid w:val="164D5330"/>
    <w:rsid w:val="164E7E96"/>
    <w:rsid w:val="16532CB8"/>
    <w:rsid w:val="16577F5B"/>
    <w:rsid w:val="166507BD"/>
    <w:rsid w:val="1684632F"/>
    <w:rsid w:val="169F1E9B"/>
    <w:rsid w:val="16AA34E3"/>
    <w:rsid w:val="16B14473"/>
    <w:rsid w:val="16B76D7A"/>
    <w:rsid w:val="16BB0206"/>
    <w:rsid w:val="16BE75EA"/>
    <w:rsid w:val="16DA63EA"/>
    <w:rsid w:val="16E44891"/>
    <w:rsid w:val="16F75C6C"/>
    <w:rsid w:val="16FD68E3"/>
    <w:rsid w:val="170034BA"/>
    <w:rsid w:val="17040016"/>
    <w:rsid w:val="170E2DF2"/>
    <w:rsid w:val="170F2832"/>
    <w:rsid w:val="170F75FB"/>
    <w:rsid w:val="17212FDD"/>
    <w:rsid w:val="17256BD7"/>
    <w:rsid w:val="172E5971"/>
    <w:rsid w:val="17357DFC"/>
    <w:rsid w:val="17364AED"/>
    <w:rsid w:val="174342F4"/>
    <w:rsid w:val="174972AA"/>
    <w:rsid w:val="176150E8"/>
    <w:rsid w:val="177E7E5E"/>
    <w:rsid w:val="1790532E"/>
    <w:rsid w:val="17907896"/>
    <w:rsid w:val="17912484"/>
    <w:rsid w:val="17937A67"/>
    <w:rsid w:val="179A3C68"/>
    <w:rsid w:val="179C4C7B"/>
    <w:rsid w:val="17A44464"/>
    <w:rsid w:val="17A52561"/>
    <w:rsid w:val="17A72250"/>
    <w:rsid w:val="17C337B8"/>
    <w:rsid w:val="17CE0C4A"/>
    <w:rsid w:val="17D61088"/>
    <w:rsid w:val="17E04FBA"/>
    <w:rsid w:val="17F2486F"/>
    <w:rsid w:val="17F61E32"/>
    <w:rsid w:val="180462DC"/>
    <w:rsid w:val="181513AA"/>
    <w:rsid w:val="181A3C74"/>
    <w:rsid w:val="18375583"/>
    <w:rsid w:val="1839097D"/>
    <w:rsid w:val="184D386A"/>
    <w:rsid w:val="184F1307"/>
    <w:rsid w:val="18520930"/>
    <w:rsid w:val="18564AEC"/>
    <w:rsid w:val="185C2A97"/>
    <w:rsid w:val="18631BD8"/>
    <w:rsid w:val="189916D9"/>
    <w:rsid w:val="189D0AEC"/>
    <w:rsid w:val="18A80767"/>
    <w:rsid w:val="18AD14A5"/>
    <w:rsid w:val="18B6371F"/>
    <w:rsid w:val="18BB5B10"/>
    <w:rsid w:val="18D5153F"/>
    <w:rsid w:val="18DD6A2D"/>
    <w:rsid w:val="18E72DBC"/>
    <w:rsid w:val="18EE4A1B"/>
    <w:rsid w:val="18F616EF"/>
    <w:rsid w:val="18FF026F"/>
    <w:rsid w:val="190C3ACE"/>
    <w:rsid w:val="19112AB7"/>
    <w:rsid w:val="191A476F"/>
    <w:rsid w:val="19211BB6"/>
    <w:rsid w:val="192C22CA"/>
    <w:rsid w:val="19376D41"/>
    <w:rsid w:val="19392087"/>
    <w:rsid w:val="1945534D"/>
    <w:rsid w:val="194E7CED"/>
    <w:rsid w:val="19583B9C"/>
    <w:rsid w:val="195C774E"/>
    <w:rsid w:val="19607D44"/>
    <w:rsid w:val="196175B7"/>
    <w:rsid w:val="1962311B"/>
    <w:rsid w:val="196744DB"/>
    <w:rsid w:val="196D1BA8"/>
    <w:rsid w:val="196F32C4"/>
    <w:rsid w:val="198037EE"/>
    <w:rsid w:val="19855D16"/>
    <w:rsid w:val="19870DCB"/>
    <w:rsid w:val="198C0BF4"/>
    <w:rsid w:val="198C4E88"/>
    <w:rsid w:val="198E3A86"/>
    <w:rsid w:val="1992391C"/>
    <w:rsid w:val="1998712F"/>
    <w:rsid w:val="19992E8B"/>
    <w:rsid w:val="19A45E5C"/>
    <w:rsid w:val="19C309CE"/>
    <w:rsid w:val="19C373F7"/>
    <w:rsid w:val="19CB729E"/>
    <w:rsid w:val="19CD3561"/>
    <w:rsid w:val="19CE3B44"/>
    <w:rsid w:val="19DA4658"/>
    <w:rsid w:val="19DB7DF8"/>
    <w:rsid w:val="19DF239C"/>
    <w:rsid w:val="19ED6518"/>
    <w:rsid w:val="19F55C70"/>
    <w:rsid w:val="19FA7739"/>
    <w:rsid w:val="1A031C47"/>
    <w:rsid w:val="1A1148C1"/>
    <w:rsid w:val="1A1623AD"/>
    <w:rsid w:val="1A273344"/>
    <w:rsid w:val="1A30182C"/>
    <w:rsid w:val="1A361478"/>
    <w:rsid w:val="1A3C006F"/>
    <w:rsid w:val="1A444FAF"/>
    <w:rsid w:val="1A467EA1"/>
    <w:rsid w:val="1A4A02D3"/>
    <w:rsid w:val="1A552697"/>
    <w:rsid w:val="1A5C6ED4"/>
    <w:rsid w:val="1A6F7BF0"/>
    <w:rsid w:val="1A733F51"/>
    <w:rsid w:val="1A79456A"/>
    <w:rsid w:val="1AB96738"/>
    <w:rsid w:val="1ACE1D43"/>
    <w:rsid w:val="1AD663FE"/>
    <w:rsid w:val="1AD82CE0"/>
    <w:rsid w:val="1AD86972"/>
    <w:rsid w:val="1AE60DFC"/>
    <w:rsid w:val="1AEA6440"/>
    <w:rsid w:val="1AF2794D"/>
    <w:rsid w:val="1B04344D"/>
    <w:rsid w:val="1B0935F5"/>
    <w:rsid w:val="1B186FF4"/>
    <w:rsid w:val="1B193FEE"/>
    <w:rsid w:val="1B2120AC"/>
    <w:rsid w:val="1B2E1AD0"/>
    <w:rsid w:val="1B3B41D5"/>
    <w:rsid w:val="1B464F5B"/>
    <w:rsid w:val="1B6453EE"/>
    <w:rsid w:val="1B7A7EE5"/>
    <w:rsid w:val="1B8A146C"/>
    <w:rsid w:val="1B904B94"/>
    <w:rsid w:val="1B9B2B8B"/>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1124"/>
    <w:rsid w:val="1C1A1197"/>
    <w:rsid w:val="1C262C17"/>
    <w:rsid w:val="1C275CCA"/>
    <w:rsid w:val="1C291F47"/>
    <w:rsid w:val="1C2A0049"/>
    <w:rsid w:val="1C3155A1"/>
    <w:rsid w:val="1C394F6A"/>
    <w:rsid w:val="1C3A685C"/>
    <w:rsid w:val="1C414F4E"/>
    <w:rsid w:val="1C495D9A"/>
    <w:rsid w:val="1C4B07DE"/>
    <w:rsid w:val="1C4C7A56"/>
    <w:rsid w:val="1C4F1B55"/>
    <w:rsid w:val="1C5E0AF6"/>
    <w:rsid w:val="1C5F3259"/>
    <w:rsid w:val="1C667C91"/>
    <w:rsid w:val="1C6A08AC"/>
    <w:rsid w:val="1C6B0F54"/>
    <w:rsid w:val="1C702A13"/>
    <w:rsid w:val="1C724DAA"/>
    <w:rsid w:val="1C8708CB"/>
    <w:rsid w:val="1C8A2073"/>
    <w:rsid w:val="1C8A7A1D"/>
    <w:rsid w:val="1C8C66C0"/>
    <w:rsid w:val="1C982728"/>
    <w:rsid w:val="1C9D5B1D"/>
    <w:rsid w:val="1CA31BB6"/>
    <w:rsid w:val="1CB54D4E"/>
    <w:rsid w:val="1CBE3616"/>
    <w:rsid w:val="1CC44591"/>
    <w:rsid w:val="1CD03BB1"/>
    <w:rsid w:val="1CD2164D"/>
    <w:rsid w:val="1CD72AA3"/>
    <w:rsid w:val="1CDB7529"/>
    <w:rsid w:val="1CE144AD"/>
    <w:rsid w:val="1CE31762"/>
    <w:rsid w:val="1CE9775C"/>
    <w:rsid w:val="1CEC79F8"/>
    <w:rsid w:val="1CF35E70"/>
    <w:rsid w:val="1D00278C"/>
    <w:rsid w:val="1D135A95"/>
    <w:rsid w:val="1D140A55"/>
    <w:rsid w:val="1D1934A4"/>
    <w:rsid w:val="1D236B78"/>
    <w:rsid w:val="1D2A793C"/>
    <w:rsid w:val="1D3869FB"/>
    <w:rsid w:val="1D3C3646"/>
    <w:rsid w:val="1D44451B"/>
    <w:rsid w:val="1D5505BA"/>
    <w:rsid w:val="1D564F60"/>
    <w:rsid w:val="1D5F04A2"/>
    <w:rsid w:val="1D882E0F"/>
    <w:rsid w:val="1DA97E12"/>
    <w:rsid w:val="1DAE5B43"/>
    <w:rsid w:val="1DB95EDE"/>
    <w:rsid w:val="1DC102D2"/>
    <w:rsid w:val="1DC30883"/>
    <w:rsid w:val="1DC62049"/>
    <w:rsid w:val="1DCF3BA5"/>
    <w:rsid w:val="1DD90759"/>
    <w:rsid w:val="1DE44FE9"/>
    <w:rsid w:val="1DEB3B63"/>
    <w:rsid w:val="1DFB6858"/>
    <w:rsid w:val="1E102EB0"/>
    <w:rsid w:val="1E236EF6"/>
    <w:rsid w:val="1E366A51"/>
    <w:rsid w:val="1E3B54C6"/>
    <w:rsid w:val="1E3F29D1"/>
    <w:rsid w:val="1E481202"/>
    <w:rsid w:val="1E524C7C"/>
    <w:rsid w:val="1E5B424D"/>
    <w:rsid w:val="1E685A1E"/>
    <w:rsid w:val="1E706938"/>
    <w:rsid w:val="1E7E78B0"/>
    <w:rsid w:val="1E87142C"/>
    <w:rsid w:val="1E8A2FC9"/>
    <w:rsid w:val="1E99010B"/>
    <w:rsid w:val="1EA74562"/>
    <w:rsid w:val="1EAE5F28"/>
    <w:rsid w:val="1EB3536A"/>
    <w:rsid w:val="1EB35614"/>
    <w:rsid w:val="1EC834A7"/>
    <w:rsid w:val="1EF20664"/>
    <w:rsid w:val="1F015DC2"/>
    <w:rsid w:val="1F1E006F"/>
    <w:rsid w:val="1F2B290F"/>
    <w:rsid w:val="1F366C08"/>
    <w:rsid w:val="1F385699"/>
    <w:rsid w:val="1F3A315D"/>
    <w:rsid w:val="1F3A3294"/>
    <w:rsid w:val="1F4479BB"/>
    <w:rsid w:val="1F4A5920"/>
    <w:rsid w:val="1F591517"/>
    <w:rsid w:val="1F5C488D"/>
    <w:rsid w:val="1F66155A"/>
    <w:rsid w:val="1F7034ED"/>
    <w:rsid w:val="1F841DB6"/>
    <w:rsid w:val="1FA32B7B"/>
    <w:rsid w:val="1FB74F77"/>
    <w:rsid w:val="1FC05FD6"/>
    <w:rsid w:val="1FCC3593"/>
    <w:rsid w:val="1FEB50BE"/>
    <w:rsid w:val="1FEE261E"/>
    <w:rsid w:val="1FF82369"/>
    <w:rsid w:val="1FFB371A"/>
    <w:rsid w:val="1FFC521A"/>
    <w:rsid w:val="200D51E2"/>
    <w:rsid w:val="20151119"/>
    <w:rsid w:val="202366AA"/>
    <w:rsid w:val="202A7D3E"/>
    <w:rsid w:val="203C22F6"/>
    <w:rsid w:val="204614FA"/>
    <w:rsid w:val="20466DCB"/>
    <w:rsid w:val="204671D0"/>
    <w:rsid w:val="20497170"/>
    <w:rsid w:val="204A51CD"/>
    <w:rsid w:val="204D63F5"/>
    <w:rsid w:val="20506FFB"/>
    <w:rsid w:val="20537C02"/>
    <w:rsid w:val="206D114B"/>
    <w:rsid w:val="207037DB"/>
    <w:rsid w:val="2072643A"/>
    <w:rsid w:val="20772799"/>
    <w:rsid w:val="207E798A"/>
    <w:rsid w:val="2083429A"/>
    <w:rsid w:val="20A278EC"/>
    <w:rsid w:val="20AE2E6A"/>
    <w:rsid w:val="20AE37FE"/>
    <w:rsid w:val="20B14A46"/>
    <w:rsid w:val="20B75901"/>
    <w:rsid w:val="20D1397F"/>
    <w:rsid w:val="20D3484E"/>
    <w:rsid w:val="20D47DB9"/>
    <w:rsid w:val="20DD35B1"/>
    <w:rsid w:val="20E8638E"/>
    <w:rsid w:val="20F35474"/>
    <w:rsid w:val="20FA25EC"/>
    <w:rsid w:val="20FA52BF"/>
    <w:rsid w:val="21035CC4"/>
    <w:rsid w:val="211439E6"/>
    <w:rsid w:val="211C5EC9"/>
    <w:rsid w:val="212F6029"/>
    <w:rsid w:val="2155633D"/>
    <w:rsid w:val="21556DE0"/>
    <w:rsid w:val="21575A0E"/>
    <w:rsid w:val="216262F3"/>
    <w:rsid w:val="216350A7"/>
    <w:rsid w:val="21873316"/>
    <w:rsid w:val="2192795E"/>
    <w:rsid w:val="21940F51"/>
    <w:rsid w:val="219F1645"/>
    <w:rsid w:val="21A35923"/>
    <w:rsid w:val="21B8400D"/>
    <w:rsid w:val="21DF071A"/>
    <w:rsid w:val="21E57530"/>
    <w:rsid w:val="21E73D68"/>
    <w:rsid w:val="21ED699C"/>
    <w:rsid w:val="21F93AE4"/>
    <w:rsid w:val="2202624C"/>
    <w:rsid w:val="22074A6D"/>
    <w:rsid w:val="221F345A"/>
    <w:rsid w:val="22214561"/>
    <w:rsid w:val="2223235D"/>
    <w:rsid w:val="22286427"/>
    <w:rsid w:val="22397D8C"/>
    <w:rsid w:val="223C3819"/>
    <w:rsid w:val="224C0FD5"/>
    <w:rsid w:val="224D7197"/>
    <w:rsid w:val="22523CD8"/>
    <w:rsid w:val="22530AAC"/>
    <w:rsid w:val="226024E1"/>
    <w:rsid w:val="22654C58"/>
    <w:rsid w:val="228251F5"/>
    <w:rsid w:val="228B490B"/>
    <w:rsid w:val="228B4C9B"/>
    <w:rsid w:val="228C6115"/>
    <w:rsid w:val="22992C2A"/>
    <w:rsid w:val="229B6663"/>
    <w:rsid w:val="229D33E4"/>
    <w:rsid w:val="22A43600"/>
    <w:rsid w:val="22AC5A58"/>
    <w:rsid w:val="22B63E41"/>
    <w:rsid w:val="22BD0427"/>
    <w:rsid w:val="22C44303"/>
    <w:rsid w:val="22CA4193"/>
    <w:rsid w:val="22D06408"/>
    <w:rsid w:val="22D572D0"/>
    <w:rsid w:val="22DB4D64"/>
    <w:rsid w:val="22FD1612"/>
    <w:rsid w:val="2301622E"/>
    <w:rsid w:val="230F581C"/>
    <w:rsid w:val="23273BD2"/>
    <w:rsid w:val="23350AE4"/>
    <w:rsid w:val="23412A03"/>
    <w:rsid w:val="23457434"/>
    <w:rsid w:val="234C745B"/>
    <w:rsid w:val="235B7F38"/>
    <w:rsid w:val="23606E4D"/>
    <w:rsid w:val="236503B6"/>
    <w:rsid w:val="2382385E"/>
    <w:rsid w:val="23850B41"/>
    <w:rsid w:val="239F2CDA"/>
    <w:rsid w:val="23AA5BAD"/>
    <w:rsid w:val="23B15280"/>
    <w:rsid w:val="23B43BD2"/>
    <w:rsid w:val="23B74D20"/>
    <w:rsid w:val="23BA6F2A"/>
    <w:rsid w:val="23C0578B"/>
    <w:rsid w:val="23E63240"/>
    <w:rsid w:val="23ED5BF9"/>
    <w:rsid w:val="23FD080D"/>
    <w:rsid w:val="23FD3B1C"/>
    <w:rsid w:val="23FE4E88"/>
    <w:rsid w:val="23FE4EB2"/>
    <w:rsid w:val="240842B1"/>
    <w:rsid w:val="240C3267"/>
    <w:rsid w:val="24151319"/>
    <w:rsid w:val="24253A31"/>
    <w:rsid w:val="244C7F99"/>
    <w:rsid w:val="244F0613"/>
    <w:rsid w:val="245453D0"/>
    <w:rsid w:val="245625A7"/>
    <w:rsid w:val="245D5736"/>
    <w:rsid w:val="245F6AF8"/>
    <w:rsid w:val="24894FD6"/>
    <w:rsid w:val="248C7020"/>
    <w:rsid w:val="249C35F9"/>
    <w:rsid w:val="249E3D74"/>
    <w:rsid w:val="24A528B4"/>
    <w:rsid w:val="24AE1BC0"/>
    <w:rsid w:val="24B804FF"/>
    <w:rsid w:val="24C23897"/>
    <w:rsid w:val="24C343F9"/>
    <w:rsid w:val="24CA0360"/>
    <w:rsid w:val="24D90211"/>
    <w:rsid w:val="24DC0D82"/>
    <w:rsid w:val="24E10FDA"/>
    <w:rsid w:val="24ED5C2B"/>
    <w:rsid w:val="24EF3B68"/>
    <w:rsid w:val="24F36739"/>
    <w:rsid w:val="24F62D36"/>
    <w:rsid w:val="251329BB"/>
    <w:rsid w:val="2517331B"/>
    <w:rsid w:val="25173C39"/>
    <w:rsid w:val="25341659"/>
    <w:rsid w:val="254F243E"/>
    <w:rsid w:val="25523B88"/>
    <w:rsid w:val="2561798B"/>
    <w:rsid w:val="25792C4E"/>
    <w:rsid w:val="257B5775"/>
    <w:rsid w:val="25816168"/>
    <w:rsid w:val="258D5089"/>
    <w:rsid w:val="259B532E"/>
    <w:rsid w:val="25A502DE"/>
    <w:rsid w:val="25AB6CB7"/>
    <w:rsid w:val="25B7075E"/>
    <w:rsid w:val="25B81442"/>
    <w:rsid w:val="25C833D5"/>
    <w:rsid w:val="25CA1A5E"/>
    <w:rsid w:val="25D96974"/>
    <w:rsid w:val="25E47DA7"/>
    <w:rsid w:val="25E93DA5"/>
    <w:rsid w:val="26087595"/>
    <w:rsid w:val="26175924"/>
    <w:rsid w:val="26206288"/>
    <w:rsid w:val="26286BA8"/>
    <w:rsid w:val="262B336A"/>
    <w:rsid w:val="264D3C46"/>
    <w:rsid w:val="265C39F8"/>
    <w:rsid w:val="265D3A52"/>
    <w:rsid w:val="26657B0A"/>
    <w:rsid w:val="267A5B96"/>
    <w:rsid w:val="267D5D5F"/>
    <w:rsid w:val="267D5F5A"/>
    <w:rsid w:val="2683726B"/>
    <w:rsid w:val="2689690A"/>
    <w:rsid w:val="268E0AD7"/>
    <w:rsid w:val="26A402D7"/>
    <w:rsid w:val="26A61982"/>
    <w:rsid w:val="26A90B8D"/>
    <w:rsid w:val="26AC6103"/>
    <w:rsid w:val="26B47208"/>
    <w:rsid w:val="26DD3567"/>
    <w:rsid w:val="26E702C5"/>
    <w:rsid w:val="26FB070C"/>
    <w:rsid w:val="26FD2231"/>
    <w:rsid w:val="27075B1E"/>
    <w:rsid w:val="270E4D09"/>
    <w:rsid w:val="2713651F"/>
    <w:rsid w:val="271543AD"/>
    <w:rsid w:val="271D34AE"/>
    <w:rsid w:val="272750D6"/>
    <w:rsid w:val="272F6637"/>
    <w:rsid w:val="274134FB"/>
    <w:rsid w:val="2743510B"/>
    <w:rsid w:val="275128D9"/>
    <w:rsid w:val="27597D4F"/>
    <w:rsid w:val="2770629A"/>
    <w:rsid w:val="27754280"/>
    <w:rsid w:val="277E1B8C"/>
    <w:rsid w:val="279219D6"/>
    <w:rsid w:val="27946DDD"/>
    <w:rsid w:val="27995BD4"/>
    <w:rsid w:val="27A04ED3"/>
    <w:rsid w:val="27A263EF"/>
    <w:rsid w:val="27A516D7"/>
    <w:rsid w:val="27A54D07"/>
    <w:rsid w:val="27B7398D"/>
    <w:rsid w:val="27BD3038"/>
    <w:rsid w:val="27C424FA"/>
    <w:rsid w:val="27C45095"/>
    <w:rsid w:val="27C87524"/>
    <w:rsid w:val="27D21DCE"/>
    <w:rsid w:val="27E639D9"/>
    <w:rsid w:val="27F01DF4"/>
    <w:rsid w:val="27F53979"/>
    <w:rsid w:val="27FE0E3E"/>
    <w:rsid w:val="28066B2F"/>
    <w:rsid w:val="28073D44"/>
    <w:rsid w:val="28120868"/>
    <w:rsid w:val="281B6970"/>
    <w:rsid w:val="281E0FE5"/>
    <w:rsid w:val="28207292"/>
    <w:rsid w:val="28243DF2"/>
    <w:rsid w:val="28275824"/>
    <w:rsid w:val="282934CD"/>
    <w:rsid w:val="282A16A3"/>
    <w:rsid w:val="2835363B"/>
    <w:rsid w:val="283D569E"/>
    <w:rsid w:val="28434B2F"/>
    <w:rsid w:val="28466F3C"/>
    <w:rsid w:val="284827E2"/>
    <w:rsid w:val="284E25DA"/>
    <w:rsid w:val="28597731"/>
    <w:rsid w:val="285B0BE4"/>
    <w:rsid w:val="285C6EF8"/>
    <w:rsid w:val="287E7D01"/>
    <w:rsid w:val="287F5677"/>
    <w:rsid w:val="288524EF"/>
    <w:rsid w:val="288C5967"/>
    <w:rsid w:val="288F1EE2"/>
    <w:rsid w:val="289A661F"/>
    <w:rsid w:val="28AC3FE1"/>
    <w:rsid w:val="28AE707D"/>
    <w:rsid w:val="28B44B90"/>
    <w:rsid w:val="28B5571D"/>
    <w:rsid w:val="28BD7362"/>
    <w:rsid w:val="28BE7C77"/>
    <w:rsid w:val="28C078DB"/>
    <w:rsid w:val="28C73850"/>
    <w:rsid w:val="28EB0CDA"/>
    <w:rsid w:val="28F51407"/>
    <w:rsid w:val="290D2880"/>
    <w:rsid w:val="291C77ED"/>
    <w:rsid w:val="291D05F5"/>
    <w:rsid w:val="292B2876"/>
    <w:rsid w:val="29326EC8"/>
    <w:rsid w:val="29360B91"/>
    <w:rsid w:val="293A6D89"/>
    <w:rsid w:val="29592753"/>
    <w:rsid w:val="29682B59"/>
    <w:rsid w:val="29684BCA"/>
    <w:rsid w:val="296B0A15"/>
    <w:rsid w:val="296C0DB5"/>
    <w:rsid w:val="29716689"/>
    <w:rsid w:val="297341AF"/>
    <w:rsid w:val="2978045D"/>
    <w:rsid w:val="297E5F1B"/>
    <w:rsid w:val="298C1F0D"/>
    <w:rsid w:val="298F6D69"/>
    <w:rsid w:val="299A1F40"/>
    <w:rsid w:val="299B4CCE"/>
    <w:rsid w:val="29A10CA3"/>
    <w:rsid w:val="29A52ADA"/>
    <w:rsid w:val="29AB498E"/>
    <w:rsid w:val="29B51BCE"/>
    <w:rsid w:val="29C34847"/>
    <w:rsid w:val="29C35AF7"/>
    <w:rsid w:val="29D82573"/>
    <w:rsid w:val="29D827B0"/>
    <w:rsid w:val="29D90988"/>
    <w:rsid w:val="29EA52EF"/>
    <w:rsid w:val="29EA62C6"/>
    <w:rsid w:val="29EF08CA"/>
    <w:rsid w:val="29FF038E"/>
    <w:rsid w:val="2A011F67"/>
    <w:rsid w:val="2A082E16"/>
    <w:rsid w:val="2A1E78CA"/>
    <w:rsid w:val="2A220BA5"/>
    <w:rsid w:val="2A2437B5"/>
    <w:rsid w:val="2A2D6002"/>
    <w:rsid w:val="2A3C2B26"/>
    <w:rsid w:val="2A3F2FF8"/>
    <w:rsid w:val="2A447E1D"/>
    <w:rsid w:val="2A4F2715"/>
    <w:rsid w:val="2A5038D6"/>
    <w:rsid w:val="2A5100A0"/>
    <w:rsid w:val="2A6524FD"/>
    <w:rsid w:val="2A687735"/>
    <w:rsid w:val="2A6F245D"/>
    <w:rsid w:val="2A7300EC"/>
    <w:rsid w:val="2A755986"/>
    <w:rsid w:val="2A792D4F"/>
    <w:rsid w:val="2A7A4318"/>
    <w:rsid w:val="2A815035"/>
    <w:rsid w:val="2A881C54"/>
    <w:rsid w:val="2A8D6977"/>
    <w:rsid w:val="2A933AED"/>
    <w:rsid w:val="2A97216E"/>
    <w:rsid w:val="2A9A64F8"/>
    <w:rsid w:val="2A9C18D8"/>
    <w:rsid w:val="2AAA76E2"/>
    <w:rsid w:val="2AB94C2A"/>
    <w:rsid w:val="2ADE189C"/>
    <w:rsid w:val="2AEA1D81"/>
    <w:rsid w:val="2AEF66A5"/>
    <w:rsid w:val="2AF730EF"/>
    <w:rsid w:val="2B053E3F"/>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A0AC6"/>
    <w:rsid w:val="2B661A55"/>
    <w:rsid w:val="2B6645EF"/>
    <w:rsid w:val="2B6724FA"/>
    <w:rsid w:val="2B6C0A85"/>
    <w:rsid w:val="2B7001CA"/>
    <w:rsid w:val="2B8C1610"/>
    <w:rsid w:val="2B8F2F37"/>
    <w:rsid w:val="2B967A5F"/>
    <w:rsid w:val="2B9E4CEF"/>
    <w:rsid w:val="2BB84E97"/>
    <w:rsid w:val="2BC9015F"/>
    <w:rsid w:val="2BD72421"/>
    <w:rsid w:val="2BDB7F43"/>
    <w:rsid w:val="2BDD4B8C"/>
    <w:rsid w:val="2BE45464"/>
    <w:rsid w:val="2BE85CD5"/>
    <w:rsid w:val="2BF47537"/>
    <w:rsid w:val="2C032849"/>
    <w:rsid w:val="2C033E72"/>
    <w:rsid w:val="2C1B5F13"/>
    <w:rsid w:val="2C2B116D"/>
    <w:rsid w:val="2C336FD2"/>
    <w:rsid w:val="2C3711D5"/>
    <w:rsid w:val="2C41373D"/>
    <w:rsid w:val="2C4338B1"/>
    <w:rsid w:val="2C443D3B"/>
    <w:rsid w:val="2C5F36FC"/>
    <w:rsid w:val="2C626AE7"/>
    <w:rsid w:val="2C6732B9"/>
    <w:rsid w:val="2C775CEF"/>
    <w:rsid w:val="2C816614"/>
    <w:rsid w:val="2C865271"/>
    <w:rsid w:val="2C940DDF"/>
    <w:rsid w:val="2C9B1E2A"/>
    <w:rsid w:val="2CA32136"/>
    <w:rsid w:val="2CAA7B36"/>
    <w:rsid w:val="2CBD63FA"/>
    <w:rsid w:val="2CCA6885"/>
    <w:rsid w:val="2CCE1A70"/>
    <w:rsid w:val="2CD0431C"/>
    <w:rsid w:val="2CD83023"/>
    <w:rsid w:val="2CDC1FF2"/>
    <w:rsid w:val="2CE43AFB"/>
    <w:rsid w:val="2CED1B47"/>
    <w:rsid w:val="2CF17367"/>
    <w:rsid w:val="2CF7030B"/>
    <w:rsid w:val="2D0529D6"/>
    <w:rsid w:val="2D0852FA"/>
    <w:rsid w:val="2D0C2ACD"/>
    <w:rsid w:val="2D110A42"/>
    <w:rsid w:val="2D191BFC"/>
    <w:rsid w:val="2D1C41CB"/>
    <w:rsid w:val="2D277C67"/>
    <w:rsid w:val="2D2F04EF"/>
    <w:rsid w:val="2D3A170F"/>
    <w:rsid w:val="2D3D26C4"/>
    <w:rsid w:val="2D45096D"/>
    <w:rsid w:val="2D46765E"/>
    <w:rsid w:val="2D581AE2"/>
    <w:rsid w:val="2D81716B"/>
    <w:rsid w:val="2D8D5DBA"/>
    <w:rsid w:val="2D9804E1"/>
    <w:rsid w:val="2D9C0236"/>
    <w:rsid w:val="2DA53C82"/>
    <w:rsid w:val="2DB95849"/>
    <w:rsid w:val="2DBB3BC7"/>
    <w:rsid w:val="2DC44641"/>
    <w:rsid w:val="2DC76AB5"/>
    <w:rsid w:val="2DCA1E06"/>
    <w:rsid w:val="2DCF0C0B"/>
    <w:rsid w:val="2DE24E4E"/>
    <w:rsid w:val="2E011683"/>
    <w:rsid w:val="2E013850"/>
    <w:rsid w:val="2E1901D5"/>
    <w:rsid w:val="2E243782"/>
    <w:rsid w:val="2E272B04"/>
    <w:rsid w:val="2E31770C"/>
    <w:rsid w:val="2E4C12F6"/>
    <w:rsid w:val="2E544482"/>
    <w:rsid w:val="2E54560E"/>
    <w:rsid w:val="2E594F14"/>
    <w:rsid w:val="2E607D45"/>
    <w:rsid w:val="2E685BDF"/>
    <w:rsid w:val="2E7342D4"/>
    <w:rsid w:val="2E7841CC"/>
    <w:rsid w:val="2E7B37E9"/>
    <w:rsid w:val="2E83209F"/>
    <w:rsid w:val="2E9C2ACC"/>
    <w:rsid w:val="2E9E3FF0"/>
    <w:rsid w:val="2EAD42E7"/>
    <w:rsid w:val="2EB9479F"/>
    <w:rsid w:val="2ECC4378"/>
    <w:rsid w:val="2ED14AA3"/>
    <w:rsid w:val="2EDF2A3C"/>
    <w:rsid w:val="2EE42D97"/>
    <w:rsid w:val="2EFA7EAE"/>
    <w:rsid w:val="2F055CA7"/>
    <w:rsid w:val="2F0D4075"/>
    <w:rsid w:val="2F0D4BF4"/>
    <w:rsid w:val="2F1A008D"/>
    <w:rsid w:val="2F1E5DC6"/>
    <w:rsid w:val="2F23132D"/>
    <w:rsid w:val="2F250233"/>
    <w:rsid w:val="2F2D68C1"/>
    <w:rsid w:val="2F2E5819"/>
    <w:rsid w:val="2F315706"/>
    <w:rsid w:val="2F342845"/>
    <w:rsid w:val="2F421719"/>
    <w:rsid w:val="2F431769"/>
    <w:rsid w:val="2F4409DB"/>
    <w:rsid w:val="2F467BC3"/>
    <w:rsid w:val="2F4936A8"/>
    <w:rsid w:val="2F5475A7"/>
    <w:rsid w:val="2F5A7294"/>
    <w:rsid w:val="2F5E31C7"/>
    <w:rsid w:val="2F6556ED"/>
    <w:rsid w:val="2F893DD9"/>
    <w:rsid w:val="2F8B1FAF"/>
    <w:rsid w:val="2F8C1BAD"/>
    <w:rsid w:val="2F925B7F"/>
    <w:rsid w:val="2FA302D9"/>
    <w:rsid w:val="2FA4482C"/>
    <w:rsid w:val="2FAC21B4"/>
    <w:rsid w:val="2FB053ED"/>
    <w:rsid w:val="2FBE38BB"/>
    <w:rsid w:val="2FD1570F"/>
    <w:rsid w:val="2FE30EA0"/>
    <w:rsid w:val="2FE44C40"/>
    <w:rsid w:val="2FE80C2E"/>
    <w:rsid w:val="2FFC09BC"/>
    <w:rsid w:val="30033829"/>
    <w:rsid w:val="300A19BE"/>
    <w:rsid w:val="301559D3"/>
    <w:rsid w:val="30155E93"/>
    <w:rsid w:val="301C047E"/>
    <w:rsid w:val="301D385B"/>
    <w:rsid w:val="3026060C"/>
    <w:rsid w:val="302927B4"/>
    <w:rsid w:val="302D0111"/>
    <w:rsid w:val="303323D8"/>
    <w:rsid w:val="303542B7"/>
    <w:rsid w:val="303954A2"/>
    <w:rsid w:val="3045040E"/>
    <w:rsid w:val="30462EFD"/>
    <w:rsid w:val="30531075"/>
    <w:rsid w:val="3057653D"/>
    <w:rsid w:val="305D2A59"/>
    <w:rsid w:val="306E2D20"/>
    <w:rsid w:val="306F6E51"/>
    <w:rsid w:val="30721749"/>
    <w:rsid w:val="307675B4"/>
    <w:rsid w:val="308222E9"/>
    <w:rsid w:val="30837237"/>
    <w:rsid w:val="309040EF"/>
    <w:rsid w:val="309350DF"/>
    <w:rsid w:val="30944861"/>
    <w:rsid w:val="309843CA"/>
    <w:rsid w:val="309D6DED"/>
    <w:rsid w:val="30A3272D"/>
    <w:rsid w:val="30A95DB2"/>
    <w:rsid w:val="30AE5FFA"/>
    <w:rsid w:val="30B37BCC"/>
    <w:rsid w:val="30BB211F"/>
    <w:rsid w:val="30C51FAF"/>
    <w:rsid w:val="30CE33F7"/>
    <w:rsid w:val="30CF31E3"/>
    <w:rsid w:val="30E620E5"/>
    <w:rsid w:val="30EE5F87"/>
    <w:rsid w:val="30EE6E8E"/>
    <w:rsid w:val="30F34025"/>
    <w:rsid w:val="31006CF4"/>
    <w:rsid w:val="3102177B"/>
    <w:rsid w:val="31064FE4"/>
    <w:rsid w:val="310E5C94"/>
    <w:rsid w:val="310F08BA"/>
    <w:rsid w:val="311E3B79"/>
    <w:rsid w:val="312C43CB"/>
    <w:rsid w:val="312F60DE"/>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07AC1"/>
    <w:rsid w:val="31CA7244"/>
    <w:rsid w:val="31D315D8"/>
    <w:rsid w:val="31D51DB8"/>
    <w:rsid w:val="31E54AE7"/>
    <w:rsid w:val="31EE7AC2"/>
    <w:rsid w:val="31F17843"/>
    <w:rsid w:val="32001232"/>
    <w:rsid w:val="3209485F"/>
    <w:rsid w:val="320D00ED"/>
    <w:rsid w:val="321A7D0D"/>
    <w:rsid w:val="32240DA9"/>
    <w:rsid w:val="322435D5"/>
    <w:rsid w:val="322922F9"/>
    <w:rsid w:val="322B1A70"/>
    <w:rsid w:val="32304530"/>
    <w:rsid w:val="32427535"/>
    <w:rsid w:val="324313EB"/>
    <w:rsid w:val="3253513C"/>
    <w:rsid w:val="32547A8D"/>
    <w:rsid w:val="325F1436"/>
    <w:rsid w:val="326852F8"/>
    <w:rsid w:val="326C4966"/>
    <w:rsid w:val="327063E6"/>
    <w:rsid w:val="3272116A"/>
    <w:rsid w:val="327927E4"/>
    <w:rsid w:val="327A126E"/>
    <w:rsid w:val="327A550D"/>
    <w:rsid w:val="32812382"/>
    <w:rsid w:val="32875ACB"/>
    <w:rsid w:val="328B7E74"/>
    <w:rsid w:val="32986D8D"/>
    <w:rsid w:val="32A362BB"/>
    <w:rsid w:val="32B35085"/>
    <w:rsid w:val="32B402F8"/>
    <w:rsid w:val="32C768B9"/>
    <w:rsid w:val="32C9672E"/>
    <w:rsid w:val="32D977A7"/>
    <w:rsid w:val="32DC197F"/>
    <w:rsid w:val="32DC3B5D"/>
    <w:rsid w:val="32DE5A9D"/>
    <w:rsid w:val="32E25E1F"/>
    <w:rsid w:val="32E31088"/>
    <w:rsid w:val="32F9789E"/>
    <w:rsid w:val="33010D66"/>
    <w:rsid w:val="330316C9"/>
    <w:rsid w:val="33164755"/>
    <w:rsid w:val="332417BF"/>
    <w:rsid w:val="333767A2"/>
    <w:rsid w:val="334F0A3B"/>
    <w:rsid w:val="33526C43"/>
    <w:rsid w:val="335D58AD"/>
    <w:rsid w:val="33663A6F"/>
    <w:rsid w:val="336729E0"/>
    <w:rsid w:val="33755A20"/>
    <w:rsid w:val="337E24E4"/>
    <w:rsid w:val="338210C7"/>
    <w:rsid w:val="338A058A"/>
    <w:rsid w:val="338C545C"/>
    <w:rsid w:val="33A231C7"/>
    <w:rsid w:val="33AF11CD"/>
    <w:rsid w:val="33B71897"/>
    <w:rsid w:val="33B81DE3"/>
    <w:rsid w:val="33BA23C1"/>
    <w:rsid w:val="33BB050F"/>
    <w:rsid w:val="33BD483A"/>
    <w:rsid w:val="33C24013"/>
    <w:rsid w:val="33C91265"/>
    <w:rsid w:val="33CE5CA0"/>
    <w:rsid w:val="33D134FA"/>
    <w:rsid w:val="33DF0F3E"/>
    <w:rsid w:val="33E54E09"/>
    <w:rsid w:val="33F43B4D"/>
    <w:rsid w:val="33F63062"/>
    <w:rsid w:val="33F95E02"/>
    <w:rsid w:val="342E2586"/>
    <w:rsid w:val="343417B6"/>
    <w:rsid w:val="34345869"/>
    <w:rsid w:val="343D6A23"/>
    <w:rsid w:val="34415C50"/>
    <w:rsid w:val="344E57CE"/>
    <w:rsid w:val="346063F6"/>
    <w:rsid w:val="34614A70"/>
    <w:rsid w:val="34730383"/>
    <w:rsid w:val="347348CC"/>
    <w:rsid w:val="347B06D5"/>
    <w:rsid w:val="347E5E4E"/>
    <w:rsid w:val="347F428A"/>
    <w:rsid w:val="34B462E0"/>
    <w:rsid w:val="34C93E6E"/>
    <w:rsid w:val="34CF0EBB"/>
    <w:rsid w:val="34D3018A"/>
    <w:rsid w:val="34DB3478"/>
    <w:rsid w:val="34DB7451"/>
    <w:rsid w:val="34DE0455"/>
    <w:rsid w:val="34DE70CB"/>
    <w:rsid w:val="34EB34AC"/>
    <w:rsid w:val="350267A3"/>
    <w:rsid w:val="35202B7F"/>
    <w:rsid w:val="35291E25"/>
    <w:rsid w:val="352A4911"/>
    <w:rsid w:val="352E5990"/>
    <w:rsid w:val="35347E5E"/>
    <w:rsid w:val="3543129D"/>
    <w:rsid w:val="354541DE"/>
    <w:rsid w:val="354F464F"/>
    <w:rsid w:val="35662417"/>
    <w:rsid w:val="35675FFE"/>
    <w:rsid w:val="356E7DF2"/>
    <w:rsid w:val="357105D7"/>
    <w:rsid w:val="357120E6"/>
    <w:rsid w:val="35776D27"/>
    <w:rsid w:val="357A61BB"/>
    <w:rsid w:val="358302B3"/>
    <w:rsid w:val="358F2BB8"/>
    <w:rsid w:val="358F6F63"/>
    <w:rsid w:val="35914F63"/>
    <w:rsid w:val="35AB322A"/>
    <w:rsid w:val="35AD6B9C"/>
    <w:rsid w:val="35AF065E"/>
    <w:rsid w:val="35C3323B"/>
    <w:rsid w:val="35CC783D"/>
    <w:rsid w:val="35D04464"/>
    <w:rsid w:val="35EE4B3B"/>
    <w:rsid w:val="35F26A45"/>
    <w:rsid w:val="35F6773F"/>
    <w:rsid w:val="35FE439C"/>
    <w:rsid w:val="36087603"/>
    <w:rsid w:val="361E5551"/>
    <w:rsid w:val="362004FF"/>
    <w:rsid w:val="362066E9"/>
    <w:rsid w:val="364411F3"/>
    <w:rsid w:val="365114C5"/>
    <w:rsid w:val="36534A2B"/>
    <w:rsid w:val="365605AB"/>
    <w:rsid w:val="365737AE"/>
    <w:rsid w:val="3665213D"/>
    <w:rsid w:val="36652728"/>
    <w:rsid w:val="36664758"/>
    <w:rsid w:val="36707940"/>
    <w:rsid w:val="367B33FE"/>
    <w:rsid w:val="367C0C5C"/>
    <w:rsid w:val="36832176"/>
    <w:rsid w:val="36916911"/>
    <w:rsid w:val="36A80D1E"/>
    <w:rsid w:val="36B13142"/>
    <w:rsid w:val="36B932B8"/>
    <w:rsid w:val="36BE69F6"/>
    <w:rsid w:val="36CA473F"/>
    <w:rsid w:val="36CE0457"/>
    <w:rsid w:val="36CE3F14"/>
    <w:rsid w:val="36CF33EE"/>
    <w:rsid w:val="36CF3A06"/>
    <w:rsid w:val="36CF694F"/>
    <w:rsid w:val="36D014BD"/>
    <w:rsid w:val="36E357BF"/>
    <w:rsid w:val="36E432D2"/>
    <w:rsid w:val="36E45E61"/>
    <w:rsid w:val="36EB6EDA"/>
    <w:rsid w:val="36F07B74"/>
    <w:rsid w:val="36F157FC"/>
    <w:rsid w:val="370B7F8A"/>
    <w:rsid w:val="37142FA4"/>
    <w:rsid w:val="373C5234"/>
    <w:rsid w:val="373F129E"/>
    <w:rsid w:val="37481961"/>
    <w:rsid w:val="375D1E3E"/>
    <w:rsid w:val="3762597F"/>
    <w:rsid w:val="377320B8"/>
    <w:rsid w:val="377F2132"/>
    <w:rsid w:val="377F4F81"/>
    <w:rsid w:val="37854B5B"/>
    <w:rsid w:val="3786773A"/>
    <w:rsid w:val="37932AD8"/>
    <w:rsid w:val="3795431C"/>
    <w:rsid w:val="379B733A"/>
    <w:rsid w:val="37A06F15"/>
    <w:rsid w:val="37A27E43"/>
    <w:rsid w:val="37A47B03"/>
    <w:rsid w:val="37A9530D"/>
    <w:rsid w:val="37AF1E47"/>
    <w:rsid w:val="37B3163C"/>
    <w:rsid w:val="37C84EE8"/>
    <w:rsid w:val="37C85DE6"/>
    <w:rsid w:val="37C96628"/>
    <w:rsid w:val="37DA3234"/>
    <w:rsid w:val="37DE20C8"/>
    <w:rsid w:val="37ED6756"/>
    <w:rsid w:val="37EE7E8B"/>
    <w:rsid w:val="37FE503C"/>
    <w:rsid w:val="380C136C"/>
    <w:rsid w:val="3815162A"/>
    <w:rsid w:val="38180BCC"/>
    <w:rsid w:val="381B2FD0"/>
    <w:rsid w:val="381B7852"/>
    <w:rsid w:val="381F0F23"/>
    <w:rsid w:val="38246319"/>
    <w:rsid w:val="382F4F00"/>
    <w:rsid w:val="3834728A"/>
    <w:rsid w:val="383E625D"/>
    <w:rsid w:val="383F7F2E"/>
    <w:rsid w:val="38457B26"/>
    <w:rsid w:val="384905DE"/>
    <w:rsid w:val="384C4560"/>
    <w:rsid w:val="385023B1"/>
    <w:rsid w:val="3878042E"/>
    <w:rsid w:val="38784F89"/>
    <w:rsid w:val="38AE517B"/>
    <w:rsid w:val="38BC4707"/>
    <w:rsid w:val="38D63519"/>
    <w:rsid w:val="38E35F12"/>
    <w:rsid w:val="38E7265F"/>
    <w:rsid w:val="38F71600"/>
    <w:rsid w:val="38F81758"/>
    <w:rsid w:val="38FB486B"/>
    <w:rsid w:val="39056723"/>
    <w:rsid w:val="390C2820"/>
    <w:rsid w:val="391E2C91"/>
    <w:rsid w:val="39253746"/>
    <w:rsid w:val="3926422B"/>
    <w:rsid w:val="39331A89"/>
    <w:rsid w:val="39380910"/>
    <w:rsid w:val="3940391C"/>
    <w:rsid w:val="394B386E"/>
    <w:rsid w:val="394B5136"/>
    <w:rsid w:val="39567274"/>
    <w:rsid w:val="39627EB7"/>
    <w:rsid w:val="39705634"/>
    <w:rsid w:val="397E70D5"/>
    <w:rsid w:val="39871F4C"/>
    <w:rsid w:val="39906819"/>
    <w:rsid w:val="39935C42"/>
    <w:rsid w:val="399E3F57"/>
    <w:rsid w:val="399E6655"/>
    <w:rsid w:val="39BF1AE9"/>
    <w:rsid w:val="39C935EA"/>
    <w:rsid w:val="39CA20D6"/>
    <w:rsid w:val="39CF6562"/>
    <w:rsid w:val="39DA2C71"/>
    <w:rsid w:val="39DF3F96"/>
    <w:rsid w:val="39E94462"/>
    <w:rsid w:val="39F1790B"/>
    <w:rsid w:val="3A01323F"/>
    <w:rsid w:val="3A021774"/>
    <w:rsid w:val="3A1917B8"/>
    <w:rsid w:val="3A195548"/>
    <w:rsid w:val="3A1A2B85"/>
    <w:rsid w:val="3A1B55B0"/>
    <w:rsid w:val="3A372CE7"/>
    <w:rsid w:val="3A3F2FC0"/>
    <w:rsid w:val="3A426B31"/>
    <w:rsid w:val="3A4D18D7"/>
    <w:rsid w:val="3A56566D"/>
    <w:rsid w:val="3A5771CA"/>
    <w:rsid w:val="3A5F5373"/>
    <w:rsid w:val="3A60120E"/>
    <w:rsid w:val="3A803445"/>
    <w:rsid w:val="3A8457E9"/>
    <w:rsid w:val="3A952F9B"/>
    <w:rsid w:val="3AA45EAC"/>
    <w:rsid w:val="3ABD7B89"/>
    <w:rsid w:val="3AC50924"/>
    <w:rsid w:val="3ACF4766"/>
    <w:rsid w:val="3AD37D3F"/>
    <w:rsid w:val="3AE667A3"/>
    <w:rsid w:val="3AE96818"/>
    <w:rsid w:val="3AF2191D"/>
    <w:rsid w:val="3B0D6C43"/>
    <w:rsid w:val="3B303AA0"/>
    <w:rsid w:val="3B3C7DA5"/>
    <w:rsid w:val="3B41130E"/>
    <w:rsid w:val="3B4C3DB2"/>
    <w:rsid w:val="3B504B09"/>
    <w:rsid w:val="3B5102FE"/>
    <w:rsid w:val="3B651539"/>
    <w:rsid w:val="3B656DBF"/>
    <w:rsid w:val="3B6B5142"/>
    <w:rsid w:val="3B73751E"/>
    <w:rsid w:val="3B764496"/>
    <w:rsid w:val="3B792376"/>
    <w:rsid w:val="3B7C2DEA"/>
    <w:rsid w:val="3B81545F"/>
    <w:rsid w:val="3B8B47CF"/>
    <w:rsid w:val="3B9059FD"/>
    <w:rsid w:val="3BA052D2"/>
    <w:rsid w:val="3BA072A0"/>
    <w:rsid w:val="3BAA58B1"/>
    <w:rsid w:val="3BB829D4"/>
    <w:rsid w:val="3BB863FA"/>
    <w:rsid w:val="3BBF6814"/>
    <w:rsid w:val="3BC23A0E"/>
    <w:rsid w:val="3BCB1D59"/>
    <w:rsid w:val="3BD15A61"/>
    <w:rsid w:val="3BE6193C"/>
    <w:rsid w:val="3BEF2173"/>
    <w:rsid w:val="3BFC0F79"/>
    <w:rsid w:val="3BFF5BC2"/>
    <w:rsid w:val="3C04169E"/>
    <w:rsid w:val="3C043ACB"/>
    <w:rsid w:val="3C063E6F"/>
    <w:rsid w:val="3C07395E"/>
    <w:rsid w:val="3C0A747E"/>
    <w:rsid w:val="3C0F2C7B"/>
    <w:rsid w:val="3C1079DE"/>
    <w:rsid w:val="3C151B51"/>
    <w:rsid w:val="3C1975A9"/>
    <w:rsid w:val="3C1D26AB"/>
    <w:rsid w:val="3C416BDA"/>
    <w:rsid w:val="3C4444C3"/>
    <w:rsid w:val="3C4D305E"/>
    <w:rsid w:val="3C5649C0"/>
    <w:rsid w:val="3C60438C"/>
    <w:rsid w:val="3C6732A7"/>
    <w:rsid w:val="3C68401C"/>
    <w:rsid w:val="3C7E6FB3"/>
    <w:rsid w:val="3C8A45FC"/>
    <w:rsid w:val="3C953734"/>
    <w:rsid w:val="3CA33BCF"/>
    <w:rsid w:val="3CB17DFC"/>
    <w:rsid w:val="3CBB7816"/>
    <w:rsid w:val="3CBD72CF"/>
    <w:rsid w:val="3CC2265C"/>
    <w:rsid w:val="3CC54662"/>
    <w:rsid w:val="3CCE2163"/>
    <w:rsid w:val="3CD066AB"/>
    <w:rsid w:val="3CD23D60"/>
    <w:rsid w:val="3CD603FE"/>
    <w:rsid w:val="3CDB78F3"/>
    <w:rsid w:val="3CE70D6B"/>
    <w:rsid w:val="3CE90FFD"/>
    <w:rsid w:val="3CEB5F2A"/>
    <w:rsid w:val="3CF276C6"/>
    <w:rsid w:val="3D0326E7"/>
    <w:rsid w:val="3D0728FF"/>
    <w:rsid w:val="3D140CF3"/>
    <w:rsid w:val="3D154BA8"/>
    <w:rsid w:val="3D1F43C9"/>
    <w:rsid w:val="3D25676B"/>
    <w:rsid w:val="3D2E3B62"/>
    <w:rsid w:val="3D357BDB"/>
    <w:rsid w:val="3D3C3F6B"/>
    <w:rsid w:val="3D3F09DA"/>
    <w:rsid w:val="3D412AC6"/>
    <w:rsid w:val="3D624AB6"/>
    <w:rsid w:val="3D641CBD"/>
    <w:rsid w:val="3D757922"/>
    <w:rsid w:val="3D8149CD"/>
    <w:rsid w:val="3D871B71"/>
    <w:rsid w:val="3D8728DF"/>
    <w:rsid w:val="3DB27522"/>
    <w:rsid w:val="3DBA0DE7"/>
    <w:rsid w:val="3DD439B5"/>
    <w:rsid w:val="3DE610AB"/>
    <w:rsid w:val="3DE95942"/>
    <w:rsid w:val="3DFB53FC"/>
    <w:rsid w:val="3E05197D"/>
    <w:rsid w:val="3E074FBE"/>
    <w:rsid w:val="3E0811A4"/>
    <w:rsid w:val="3E0C41BF"/>
    <w:rsid w:val="3E16694F"/>
    <w:rsid w:val="3E1F0990"/>
    <w:rsid w:val="3E29681C"/>
    <w:rsid w:val="3E3A6C92"/>
    <w:rsid w:val="3E3C4BDD"/>
    <w:rsid w:val="3E5B03AA"/>
    <w:rsid w:val="3E65104A"/>
    <w:rsid w:val="3E6A7C72"/>
    <w:rsid w:val="3E72712D"/>
    <w:rsid w:val="3E991461"/>
    <w:rsid w:val="3E9D334D"/>
    <w:rsid w:val="3E9F43A0"/>
    <w:rsid w:val="3EA0125E"/>
    <w:rsid w:val="3EA12C1D"/>
    <w:rsid w:val="3EAC6066"/>
    <w:rsid w:val="3EC0764D"/>
    <w:rsid w:val="3EC84ED0"/>
    <w:rsid w:val="3EC9788D"/>
    <w:rsid w:val="3ECF71A6"/>
    <w:rsid w:val="3ED830C1"/>
    <w:rsid w:val="3ED94147"/>
    <w:rsid w:val="3EEA5FB7"/>
    <w:rsid w:val="3EEE7261"/>
    <w:rsid w:val="3EF04038"/>
    <w:rsid w:val="3F067E66"/>
    <w:rsid w:val="3F164BA2"/>
    <w:rsid w:val="3F1E4F89"/>
    <w:rsid w:val="3F2D158E"/>
    <w:rsid w:val="3F53502C"/>
    <w:rsid w:val="3F5F5B0A"/>
    <w:rsid w:val="3F63609E"/>
    <w:rsid w:val="3F6A351D"/>
    <w:rsid w:val="3F6E75BE"/>
    <w:rsid w:val="3F6F3B4F"/>
    <w:rsid w:val="3F7B0C3E"/>
    <w:rsid w:val="3F807242"/>
    <w:rsid w:val="3F812801"/>
    <w:rsid w:val="3F86163E"/>
    <w:rsid w:val="3F867AE0"/>
    <w:rsid w:val="3F8B4BC5"/>
    <w:rsid w:val="3F922F0E"/>
    <w:rsid w:val="3F942AE1"/>
    <w:rsid w:val="3FB803BC"/>
    <w:rsid w:val="3FBB7C2B"/>
    <w:rsid w:val="3FBC3651"/>
    <w:rsid w:val="3FD225D7"/>
    <w:rsid w:val="3FE301C3"/>
    <w:rsid w:val="3FE9328C"/>
    <w:rsid w:val="3FEB0156"/>
    <w:rsid w:val="3FED5807"/>
    <w:rsid w:val="3FEF10D8"/>
    <w:rsid w:val="3FF623EF"/>
    <w:rsid w:val="4004250A"/>
    <w:rsid w:val="401457BD"/>
    <w:rsid w:val="401E51CD"/>
    <w:rsid w:val="402F2E6D"/>
    <w:rsid w:val="40300D0E"/>
    <w:rsid w:val="40452EB0"/>
    <w:rsid w:val="40531097"/>
    <w:rsid w:val="405D28AF"/>
    <w:rsid w:val="40602524"/>
    <w:rsid w:val="40756BFA"/>
    <w:rsid w:val="40787A40"/>
    <w:rsid w:val="408234D9"/>
    <w:rsid w:val="40825FDC"/>
    <w:rsid w:val="40833C36"/>
    <w:rsid w:val="40874723"/>
    <w:rsid w:val="40953B7A"/>
    <w:rsid w:val="40981A85"/>
    <w:rsid w:val="409E301A"/>
    <w:rsid w:val="40A66A9E"/>
    <w:rsid w:val="40A76EF3"/>
    <w:rsid w:val="40AB5D79"/>
    <w:rsid w:val="40D87256"/>
    <w:rsid w:val="40D97543"/>
    <w:rsid w:val="40E67EF3"/>
    <w:rsid w:val="410B7871"/>
    <w:rsid w:val="410C4602"/>
    <w:rsid w:val="41373F3E"/>
    <w:rsid w:val="41380022"/>
    <w:rsid w:val="41396733"/>
    <w:rsid w:val="413A7595"/>
    <w:rsid w:val="413A779B"/>
    <w:rsid w:val="413D6CEB"/>
    <w:rsid w:val="414119BC"/>
    <w:rsid w:val="414B7C4E"/>
    <w:rsid w:val="415A2C94"/>
    <w:rsid w:val="41606074"/>
    <w:rsid w:val="41623147"/>
    <w:rsid w:val="416527F4"/>
    <w:rsid w:val="4171572A"/>
    <w:rsid w:val="41792E20"/>
    <w:rsid w:val="41851BD1"/>
    <w:rsid w:val="418E57A1"/>
    <w:rsid w:val="41937C94"/>
    <w:rsid w:val="419E3F5A"/>
    <w:rsid w:val="41AB68E1"/>
    <w:rsid w:val="41AF72C1"/>
    <w:rsid w:val="41C124F9"/>
    <w:rsid w:val="41D03CD9"/>
    <w:rsid w:val="41D20F6D"/>
    <w:rsid w:val="41D65682"/>
    <w:rsid w:val="41DD38CC"/>
    <w:rsid w:val="41EB0141"/>
    <w:rsid w:val="41F46F01"/>
    <w:rsid w:val="41F91632"/>
    <w:rsid w:val="41FA6DBD"/>
    <w:rsid w:val="420A6E21"/>
    <w:rsid w:val="420B640A"/>
    <w:rsid w:val="420E4C15"/>
    <w:rsid w:val="420F73FB"/>
    <w:rsid w:val="42115848"/>
    <w:rsid w:val="42271F26"/>
    <w:rsid w:val="42385A57"/>
    <w:rsid w:val="423B0C83"/>
    <w:rsid w:val="423E6CF6"/>
    <w:rsid w:val="423E710F"/>
    <w:rsid w:val="42453399"/>
    <w:rsid w:val="42545D27"/>
    <w:rsid w:val="42585005"/>
    <w:rsid w:val="4271157C"/>
    <w:rsid w:val="42756582"/>
    <w:rsid w:val="42800834"/>
    <w:rsid w:val="428845E4"/>
    <w:rsid w:val="42895E7D"/>
    <w:rsid w:val="428B3970"/>
    <w:rsid w:val="42931289"/>
    <w:rsid w:val="42947222"/>
    <w:rsid w:val="42962B02"/>
    <w:rsid w:val="4296310F"/>
    <w:rsid w:val="42974016"/>
    <w:rsid w:val="429806AD"/>
    <w:rsid w:val="42A41781"/>
    <w:rsid w:val="42AF6EAF"/>
    <w:rsid w:val="42BA127A"/>
    <w:rsid w:val="42C11694"/>
    <w:rsid w:val="42C7045F"/>
    <w:rsid w:val="42D15EE7"/>
    <w:rsid w:val="42D71245"/>
    <w:rsid w:val="42E07EA7"/>
    <w:rsid w:val="42E551A7"/>
    <w:rsid w:val="42E62140"/>
    <w:rsid w:val="42F249FC"/>
    <w:rsid w:val="43074B6B"/>
    <w:rsid w:val="43101E90"/>
    <w:rsid w:val="431369D2"/>
    <w:rsid w:val="43155376"/>
    <w:rsid w:val="431A04FB"/>
    <w:rsid w:val="431A322F"/>
    <w:rsid w:val="432145D6"/>
    <w:rsid w:val="43267C44"/>
    <w:rsid w:val="432B03E6"/>
    <w:rsid w:val="432B4E29"/>
    <w:rsid w:val="43342D02"/>
    <w:rsid w:val="43515855"/>
    <w:rsid w:val="43561C6E"/>
    <w:rsid w:val="43575876"/>
    <w:rsid w:val="4362032D"/>
    <w:rsid w:val="436922F9"/>
    <w:rsid w:val="437144B6"/>
    <w:rsid w:val="43785B1D"/>
    <w:rsid w:val="43814A52"/>
    <w:rsid w:val="43877EFB"/>
    <w:rsid w:val="438C24C3"/>
    <w:rsid w:val="43A92F20"/>
    <w:rsid w:val="43AC68B2"/>
    <w:rsid w:val="43AF3496"/>
    <w:rsid w:val="43B07C6D"/>
    <w:rsid w:val="43BD5341"/>
    <w:rsid w:val="43C37E5C"/>
    <w:rsid w:val="43D4154E"/>
    <w:rsid w:val="43EF3070"/>
    <w:rsid w:val="43F0750A"/>
    <w:rsid w:val="43FC4765"/>
    <w:rsid w:val="4413719D"/>
    <w:rsid w:val="44190BF7"/>
    <w:rsid w:val="441C3BED"/>
    <w:rsid w:val="44420C90"/>
    <w:rsid w:val="444314A3"/>
    <w:rsid w:val="44497A42"/>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AF1CB4"/>
    <w:rsid w:val="44C82EB7"/>
    <w:rsid w:val="44D14757"/>
    <w:rsid w:val="44E72C5B"/>
    <w:rsid w:val="44E86CB8"/>
    <w:rsid w:val="44EA4F9E"/>
    <w:rsid w:val="44EE6D8F"/>
    <w:rsid w:val="44FD16E5"/>
    <w:rsid w:val="45016584"/>
    <w:rsid w:val="451A62EE"/>
    <w:rsid w:val="45270417"/>
    <w:rsid w:val="45314EEE"/>
    <w:rsid w:val="454F2B92"/>
    <w:rsid w:val="45513178"/>
    <w:rsid w:val="45583629"/>
    <w:rsid w:val="455C770B"/>
    <w:rsid w:val="456A0E72"/>
    <w:rsid w:val="457734D8"/>
    <w:rsid w:val="45870C31"/>
    <w:rsid w:val="458B0F1B"/>
    <w:rsid w:val="458C013A"/>
    <w:rsid w:val="459267A0"/>
    <w:rsid w:val="45956D47"/>
    <w:rsid w:val="45A70E51"/>
    <w:rsid w:val="45B34E9E"/>
    <w:rsid w:val="45B97366"/>
    <w:rsid w:val="45E033B4"/>
    <w:rsid w:val="45E05619"/>
    <w:rsid w:val="45EA2A62"/>
    <w:rsid w:val="45EB6A74"/>
    <w:rsid w:val="45F329DC"/>
    <w:rsid w:val="45F3766A"/>
    <w:rsid w:val="460C76EA"/>
    <w:rsid w:val="462A0480"/>
    <w:rsid w:val="4634113C"/>
    <w:rsid w:val="464A3ADD"/>
    <w:rsid w:val="46597930"/>
    <w:rsid w:val="465C610C"/>
    <w:rsid w:val="465E1080"/>
    <w:rsid w:val="4666373F"/>
    <w:rsid w:val="4683561D"/>
    <w:rsid w:val="46891ADF"/>
    <w:rsid w:val="468A4033"/>
    <w:rsid w:val="468C526C"/>
    <w:rsid w:val="469D1377"/>
    <w:rsid w:val="46A20458"/>
    <w:rsid w:val="46A67B8E"/>
    <w:rsid w:val="46B12B71"/>
    <w:rsid w:val="46BB61D7"/>
    <w:rsid w:val="46C171E3"/>
    <w:rsid w:val="46C22401"/>
    <w:rsid w:val="46D701D5"/>
    <w:rsid w:val="46DA52EC"/>
    <w:rsid w:val="46DE4BE3"/>
    <w:rsid w:val="46E061F1"/>
    <w:rsid w:val="46E74935"/>
    <w:rsid w:val="46E813ED"/>
    <w:rsid w:val="46F07C37"/>
    <w:rsid w:val="46F378CE"/>
    <w:rsid w:val="46FF00EE"/>
    <w:rsid w:val="46FF3AD6"/>
    <w:rsid w:val="47017745"/>
    <w:rsid w:val="47041B32"/>
    <w:rsid w:val="470F6D4D"/>
    <w:rsid w:val="472170BD"/>
    <w:rsid w:val="47375F45"/>
    <w:rsid w:val="473E7703"/>
    <w:rsid w:val="47451DFC"/>
    <w:rsid w:val="47531DD7"/>
    <w:rsid w:val="47645B43"/>
    <w:rsid w:val="47672F66"/>
    <w:rsid w:val="477751EC"/>
    <w:rsid w:val="477A2088"/>
    <w:rsid w:val="479F6447"/>
    <w:rsid w:val="47A84DA9"/>
    <w:rsid w:val="47AC2DC1"/>
    <w:rsid w:val="47B54A8C"/>
    <w:rsid w:val="47B8584F"/>
    <w:rsid w:val="47B97715"/>
    <w:rsid w:val="47BD4A55"/>
    <w:rsid w:val="47BE1862"/>
    <w:rsid w:val="47C660BC"/>
    <w:rsid w:val="47C759B2"/>
    <w:rsid w:val="47C84C3C"/>
    <w:rsid w:val="47DF7B25"/>
    <w:rsid w:val="47E133F8"/>
    <w:rsid w:val="4804251B"/>
    <w:rsid w:val="48110298"/>
    <w:rsid w:val="48160AA7"/>
    <w:rsid w:val="4819425B"/>
    <w:rsid w:val="481B64AF"/>
    <w:rsid w:val="481D3C11"/>
    <w:rsid w:val="4833129C"/>
    <w:rsid w:val="483C21EA"/>
    <w:rsid w:val="48451DE2"/>
    <w:rsid w:val="48465E78"/>
    <w:rsid w:val="48535854"/>
    <w:rsid w:val="48541B38"/>
    <w:rsid w:val="485C33F6"/>
    <w:rsid w:val="48605458"/>
    <w:rsid w:val="48651BCD"/>
    <w:rsid w:val="486533E8"/>
    <w:rsid w:val="48745655"/>
    <w:rsid w:val="487E013D"/>
    <w:rsid w:val="487E3B6C"/>
    <w:rsid w:val="48802B60"/>
    <w:rsid w:val="48984749"/>
    <w:rsid w:val="48A16E39"/>
    <w:rsid w:val="48AD22AA"/>
    <w:rsid w:val="48BA7D6D"/>
    <w:rsid w:val="48BD43E0"/>
    <w:rsid w:val="48BE32E6"/>
    <w:rsid w:val="48BF0FEA"/>
    <w:rsid w:val="48C009C1"/>
    <w:rsid w:val="48C20D29"/>
    <w:rsid w:val="48C721B6"/>
    <w:rsid w:val="48D91582"/>
    <w:rsid w:val="48ED4530"/>
    <w:rsid w:val="48EE12C1"/>
    <w:rsid w:val="48F0581F"/>
    <w:rsid w:val="48F05A55"/>
    <w:rsid w:val="48F12B8B"/>
    <w:rsid w:val="48F13265"/>
    <w:rsid w:val="48F27BC5"/>
    <w:rsid w:val="49004013"/>
    <w:rsid w:val="490168F5"/>
    <w:rsid w:val="49032A86"/>
    <w:rsid w:val="49083DFD"/>
    <w:rsid w:val="491F4A2F"/>
    <w:rsid w:val="492A45DD"/>
    <w:rsid w:val="492B4677"/>
    <w:rsid w:val="493612BF"/>
    <w:rsid w:val="49365140"/>
    <w:rsid w:val="493F1D69"/>
    <w:rsid w:val="49455943"/>
    <w:rsid w:val="494855C1"/>
    <w:rsid w:val="49516A12"/>
    <w:rsid w:val="49594955"/>
    <w:rsid w:val="495C537B"/>
    <w:rsid w:val="495E7503"/>
    <w:rsid w:val="496144AA"/>
    <w:rsid w:val="49643F43"/>
    <w:rsid w:val="496654B4"/>
    <w:rsid w:val="497B2B11"/>
    <w:rsid w:val="4982553A"/>
    <w:rsid w:val="498E6E61"/>
    <w:rsid w:val="49A07A0C"/>
    <w:rsid w:val="49A75B36"/>
    <w:rsid w:val="49AA59B2"/>
    <w:rsid w:val="49BE4BF6"/>
    <w:rsid w:val="49C07148"/>
    <w:rsid w:val="49CD2A8D"/>
    <w:rsid w:val="49CF2911"/>
    <w:rsid w:val="49CF59B6"/>
    <w:rsid w:val="49D418B1"/>
    <w:rsid w:val="49E50628"/>
    <w:rsid w:val="49E93C46"/>
    <w:rsid w:val="49EB018C"/>
    <w:rsid w:val="49EC5AA5"/>
    <w:rsid w:val="49EF1699"/>
    <w:rsid w:val="49F149D7"/>
    <w:rsid w:val="49F30E9C"/>
    <w:rsid w:val="49FD0AA4"/>
    <w:rsid w:val="4A0C7F02"/>
    <w:rsid w:val="4A0F57C3"/>
    <w:rsid w:val="4A130855"/>
    <w:rsid w:val="4A156CA7"/>
    <w:rsid w:val="4A1A4CA7"/>
    <w:rsid w:val="4A275EAF"/>
    <w:rsid w:val="4A2D6303"/>
    <w:rsid w:val="4A363EB8"/>
    <w:rsid w:val="4A3B4BD8"/>
    <w:rsid w:val="4A3C0215"/>
    <w:rsid w:val="4A4907E5"/>
    <w:rsid w:val="4A505AB9"/>
    <w:rsid w:val="4A513344"/>
    <w:rsid w:val="4A552F8A"/>
    <w:rsid w:val="4A5E387A"/>
    <w:rsid w:val="4A7927AA"/>
    <w:rsid w:val="4A7B0D63"/>
    <w:rsid w:val="4A7D687D"/>
    <w:rsid w:val="4A8E7904"/>
    <w:rsid w:val="4A8F4094"/>
    <w:rsid w:val="4AA116D0"/>
    <w:rsid w:val="4AAF7853"/>
    <w:rsid w:val="4AB061E4"/>
    <w:rsid w:val="4AB07239"/>
    <w:rsid w:val="4AB11443"/>
    <w:rsid w:val="4ABB3920"/>
    <w:rsid w:val="4AC202BA"/>
    <w:rsid w:val="4AC859CA"/>
    <w:rsid w:val="4ADB3F9A"/>
    <w:rsid w:val="4ADD0CFA"/>
    <w:rsid w:val="4AF51500"/>
    <w:rsid w:val="4B002A20"/>
    <w:rsid w:val="4B022E6D"/>
    <w:rsid w:val="4B0629C6"/>
    <w:rsid w:val="4B07673F"/>
    <w:rsid w:val="4B09475D"/>
    <w:rsid w:val="4B0F4F3E"/>
    <w:rsid w:val="4B157C35"/>
    <w:rsid w:val="4B1C09F4"/>
    <w:rsid w:val="4B1F0707"/>
    <w:rsid w:val="4B2129EE"/>
    <w:rsid w:val="4B29342B"/>
    <w:rsid w:val="4B2E6623"/>
    <w:rsid w:val="4B3D17EB"/>
    <w:rsid w:val="4B410885"/>
    <w:rsid w:val="4B50375B"/>
    <w:rsid w:val="4B5140FD"/>
    <w:rsid w:val="4B514A9F"/>
    <w:rsid w:val="4B59231A"/>
    <w:rsid w:val="4B5D3849"/>
    <w:rsid w:val="4B6A1344"/>
    <w:rsid w:val="4B7756BC"/>
    <w:rsid w:val="4B8D7C37"/>
    <w:rsid w:val="4B91311E"/>
    <w:rsid w:val="4B980238"/>
    <w:rsid w:val="4BA6718C"/>
    <w:rsid w:val="4BB75820"/>
    <w:rsid w:val="4BCC521B"/>
    <w:rsid w:val="4BD00903"/>
    <w:rsid w:val="4BD6313B"/>
    <w:rsid w:val="4BDD46E0"/>
    <w:rsid w:val="4BDD56DC"/>
    <w:rsid w:val="4BDD5ABD"/>
    <w:rsid w:val="4BDE6987"/>
    <w:rsid w:val="4BE10C6B"/>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536ED"/>
    <w:rsid w:val="4C876F14"/>
    <w:rsid w:val="4C9301B2"/>
    <w:rsid w:val="4C9533A2"/>
    <w:rsid w:val="4C993927"/>
    <w:rsid w:val="4C9B12E7"/>
    <w:rsid w:val="4C9C6AB6"/>
    <w:rsid w:val="4CA14250"/>
    <w:rsid w:val="4CB15826"/>
    <w:rsid w:val="4CBA7F11"/>
    <w:rsid w:val="4CCC6AD8"/>
    <w:rsid w:val="4CDC5370"/>
    <w:rsid w:val="4CEF557E"/>
    <w:rsid w:val="4CF14A24"/>
    <w:rsid w:val="4D0101EC"/>
    <w:rsid w:val="4D03444C"/>
    <w:rsid w:val="4D0A02FA"/>
    <w:rsid w:val="4D0A1157"/>
    <w:rsid w:val="4D100485"/>
    <w:rsid w:val="4D11592D"/>
    <w:rsid w:val="4D153D64"/>
    <w:rsid w:val="4D2F59D2"/>
    <w:rsid w:val="4D363C0B"/>
    <w:rsid w:val="4D37685C"/>
    <w:rsid w:val="4D3B6DAA"/>
    <w:rsid w:val="4D41311F"/>
    <w:rsid w:val="4D5A18FE"/>
    <w:rsid w:val="4D687814"/>
    <w:rsid w:val="4D7F5C38"/>
    <w:rsid w:val="4D8E5F8B"/>
    <w:rsid w:val="4D93304A"/>
    <w:rsid w:val="4D955331"/>
    <w:rsid w:val="4D9705E7"/>
    <w:rsid w:val="4D9E2A66"/>
    <w:rsid w:val="4D9E716C"/>
    <w:rsid w:val="4DA023BB"/>
    <w:rsid w:val="4DA421BC"/>
    <w:rsid w:val="4DB23D18"/>
    <w:rsid w:val="4DB909AF"/>
    <w:rsid w:val="4DBC24D9"/>
    <w:rsid w:val="4DC539CD"/>
    <w:rsid w:val="4DC969E5"/>
    <w:rsid w:val="4DCE258F"/>
    <w:rsid w:val="4DD4508E"/>
    <w:rsid w:val="4DEF1903"/>
    <w:rsid w:val="4DFB0CA7"/>
    <w:rsid w:val="4DFD3A9D"/>
    <w:rsid w:val="4E0114DA"/>
    <w:rsid w:val="4E011D29"/>
    <w:rsid w:val="4E0F4B1C"/>
    <w:rsid w:val="4E345F2C"/>
    <w:rsid w:val="4E350611"/>
    <w:rsid w:val="4E42201F"/>
    <w:rsid w:val="4E4A07D9"/>
    <w:rsid w:val="4E59654F"/>
    <w:rsid w:val="4E5A5335"/>
    <w:rsid w:val="4E5D52F4"/>
    <w:rsid w:val="4E5E1C79"/>
    <w:rsid w:val="4E60303C"/>
    <w:rsid w:val="4E7757DA"/>
    <w:rsid w:val="4E810360"/>
    <w:rsid w:val="4E97377E"/>
    <w:rsid w:val="4EA04FCD"/>
    <w:rsid w:val="4EA500AC"/>
    <w:rsid w:val="4EA802E2"/>
    <w:rsid w:val="4EAF7AF8"/>
    <w:rsid w:val="4EB02A00"/>
    <w:rsid w:val="4EB02AFA"/>
    <w:rsid w:val="4ECC0A63"/>
    <w:rsid w:val="4ECD2B22"/>
    <w:rsid w:val="4ED11A46"/>
    <w:rsid w:val="4EDD509D"/>
    <w:rsid w:val="4EE52AC1"/>
    <w:rsid w:val="4EE601DB"/>
    <w:rsid w:val="4EE605D3"/>
    <w:rsid w:val="4EE77E17"/>
    <w:rsid w:val="4F033E62"/>
    <w:rsid w:val="4F036A55"/>
    <w:rsid w:val="4F0B4416"/>
    <w:rsid w:val="4F0E6AC9"/>
    <w:rsid w:val="4F1055C5"/>
    <w:rsid w:val="4F121B0B"/>
    <w:rsid w:val="4F143918"/>
    <w:rsid w:val="4F172E60"/>
    <w:rsid w:val="4F2159C0"/>
    <w:rsid w:val="4F2B024A"/>
    <w:rsid w:val="4F2F3D4F"/>
    <w:rsid w:val="4F39005A"/>
    <w:rsid w:val="4F680013"/>
    <w:rsid w:val="4F692200"/>
    <w:rsid w:val="4F6A3BA4"/>
    <w:rsid w:val="4F760AE0"/>
    <w:rsid w:val="4F7A4A12"/>
    <w:rsid w:val="4F7E4810"/>
    <w:rsid w:val="4F817B37"/>
    <w:rsid w:val="4F9F714F"/>
    <w:rsid w:val="4FB07C78"/>
    <w:rsid w:val="4FD018BC"/>
    <w:rsid w:val="500C177B"/>
    <w:rsid w:val="50100886"/>
    <w:rsid w:val="503D1C10"/>
    <w:rsid w:val="503F19CC"/>
    <w:rsid w:val="50506634"/>
    <w:rsid w:val="50543A73"/>
    <w:rsid w:val="50583DB2"/>
    <w:rsid w:val="50660E2A"/>
    <w:rsid w:val="50665A2B"/>
    <w:rsid w:val="50673B5C"/>
    <w:rsid w:val="50681DF5"/>
    <w:rsid w:val="506A4060"/>
    <w:rsid w:val="50760C36"/>
    <w:rsid w:val="507A0041"/>
    <w:rsid w:val="5082131A"/>
    <w:rsid w:val="508274F8"/>
    <w:rsid w:val="508B158A"/>
    <w:rsid w:val="50960658"/>
    <w:rsid w:val="50982913"/>
    <w:rsid w:val="50A335EC"/>
    <w:rsid w:val="50AA2150"/>
    <w:rsid w:val="50AB1BC0"/>
    <w:rsid w:val="50AD68AB"/>
    <w:rsid w:val="50BB28BF"/>
    <w:rsid w:val="50BF52A8"/>
    <w:rsid w:val="50C01B39"/>
    <w:rsid w:val="50C161BA"/>
    <w:rsid w:val="50C21833"/>
    <w:rsid w:val="50CB0142"/>
    <w:rsid w:val="50CE42A9"/>
    <w:rsid w:val="50D91C6D"/>
    <w:rsid w:val="50DD752B"/>
    <w:rsid w:val="50DE1A2C"/>
    <w:rsid w:val="50E3307A"/>
    <w:rsid w:val="50E878A3"/>
    <w:rsid w:val="50F1484B"/>
    <w:rsid w:val="50FD6417"/>
    <w:rsid w:val="510420F7"/>
    <w:rsid w:val="51107F2E"/>
    <w:rsid w:val="5112310D"/>
    <w:rsid w:val="5120133B"/>
    <w:rsid w:val="512821C5"/>
    <w:rsid w:val="512E43EE"/>
    <w:rsid w:val="513460FC"/>
    <w:rsid w:val="513C33D8"/>
    <w:rsid w:val="513D34B8"/>
    <w:rsid w:val="513F24F9"/>
    <w:rsid w:val="51402B46"/>
    <w:rsid w:val="5143219A"/>
    <w:rsid w:val="51445BCA"/>
    <w:rsid w:val="514B1EA6"/>
    <w:rsid w:val="514B43E3"/>
    <w:rsid w:val="51546E66"/>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272E9"/>
    <w:rsid w:val="51DA52E1"/>
    <w:rsid w:val="51DD5042"/>
    <w:rsid w:val="51DF2F38"/>
    <w:rsid w:val="51E60E87"/>
    <w:rsid w:val="51E87B8B"/>
    <w:rsid w:val="51F66CD0"/>
    <w:rsid w:val="520324A0"/>
    <w:rsid w:val="520C3AF0"/>
    <w:rsid w:val="520E5624"/>
    <w:rsid w:val="521D4E15"/>
    <w:rsid w:val="521F12B3"/>
    <w:rsid w:val="52291369"/>
    <w:rsid w:val="522B084B"/>
    <w:rsid w:val="52302EF8"/>
    <w:rsid w:val="523B4937"/>
    <w:rsid w:val="523E6488"/>
    <w:rsid w:val="52521258"/>
    <w:rsid w:val="525A455A"/>
    <w:rsid w:val="526577CA"/>
    <w:rsid w:val="52774857"/>
    <w:rsid w:val="52813BE7"/>
    <w:rsid w:val="52875DB5"/>
    <w:rsid w:val="529459A8"/>
    <w:rsid w:val="52A85A71"/>
    <w:rsid w:val="52AC49F5"/>
    <w:rsid w:val="52AD4347"/>
    <w:rsid w:val="52B0305C"/>
    <w:rsid w:val="52B353F4"/>
    <w:rsid w:val="52B95847"/>
    <w:rsid w:val="52C418ED"/>
    <w:rsid w:val="52C539EF"/>
    <w:rsid w:val="52C81E5C"/>
    <w:rsid w:val="52CA2BF0"/>
    <w:rsid w:val="52CD6BEF"/>
    <w:rsid w:val="52CE2E79"/>
    <w:rsid w:val="52D3439C"/>
    <w:rsid w:val="52D52FB2"/>
    <w:rsid w:val="52D815CE"/>
    <w:rsid w:val="52EB482F"/>
    <w:rsid w:val="52F11FBD"/>
    <w:rsid w:val="52F90701"/>
    <w:rsid w:val="53006DA6"/>
    <w:rsid w:val="53041ADB"/>
    <w:rsid w:val="53132328"/>
    <w:rsid w:val="531E6C37"/>
    <w:rsid w:val="53242CA4"/>
    <w:rsid w:val="532C5BCA"/>
    <w:rsid w:val="532D0D25"/>
    <w:rsid w:val="532D147E"/>
    <w:rsid w:val="533040AA"/>
    <w:rsid w:val="533446B1"/>
    <w:rsid w:val="535F5BDA"/>
    <w:rsid w:val="536207AD"/>
    <w:rsid w:val="536D7784"/>
    <w:rsid w:val="53705D5C"/>
    <w:rsid w:val="53773CBD"/>
    <w:rsid w:val="53783DC1"/>
    <w:rsid w:val="538F188D"/>
    <w:rsid w:val="53940B95"/>
    <w:rsid w:val="53975176"/>
    <w:rsid w:val="539A3AC9"/>
    <w:rsid w:val="539D34A5"/>
    <w:rsid w:val="53A02B1B"/>
    <w:rsid w:val="53A10DC4"/>
    <w:rsid w:val="53B11950"/>
    <w:rsid w:val="53BA04EF"/>
    <w:rsid w:val="53C13E8F"/>
    <w:rsid w:val="53D61F96"/>
    <w:rsid w:val="53D704E3"/>
    <w:rsid w:val="53E2517A"/>
    <w:rsid w:val="53F26FC1"/>
    <w:rsid w:val="53F6679C"/>
    <w:rsid w:val="53FC307D"/>
    <w:rsid w:val="53FD6839"/>
    <w:rsid w:val="53FE1486"/>
    <w:rsid w:val="54021BCD"/>
    <w:rsid w:val="540A3735"/>
    <w:rsid w:val="54113E11"/>
    <w:rsid w:val="54131042"/>
    <w:rsid w:val="54153A4D"/>
    <w:rsid w:val="54196AD5"/>
    <w:rsid w:val="541F23DB"/>
    <w:rsid w:val="541F323F"/>
    <w:rsid w:val="543040A5"/>
    <w:rsid w:val="544A6130"/>
    <w:rsid w:val="54532076"/>
    <w:rsid w:val="54563723"/>
    <w:rsid w:val="54592CE9"/>
    <w:rsid w:val="545A6794"/>
    <w:rsid w:val="54640B2F"/>
    <w:rsid w:val="54657C06"/>
    <w:rsid w:val="54665733"/>
    <w:rsid w:val="546D6DB6"/>
    <w:rsid w:val="54716B27"/>
    <w:rsid w:val="547E706C"/>
    <w:rsid w:val="54824034"/>
    <w:rsid w:val="548276A8"/>
    <w:rsid w:val="548B25B9"/>
    <w:rsid w:val="548B31D4"/>
    <w:rsid w:val="548F22BA"/>
    <w:rsid w:val="54984846"/>
    <w:rsid w:val="549A0AF6"/>
    <w:rsid w:val="54A473D2"/>
    <w:rsid w:val="54A93422"/>
    <w:rsid w:val="54B222BC"/>
    <w:rsid w:val="54B70268"/>
    <w:rsid w:val="54C00AB1"/>
    <w:rsid w:val="54C96D05"/>
    <w:rsid w:val="54CB6BA1"/>
    <w:rsid w:val="54E030F4"/>
    <w:rsid w:val="54E32C80"/>
    <w:rsid w:val="54E6138D"/>
    <w:rsid w:val="54E95BBC"/>
    <w:rsid w:val="54F121EA"/>
    <w:rsid w:val="550B0C09"/>
    <w:rsid w:val="5510246B"/>
    <w:rsid w:val="552C5EB3"/>
    <w:rsid w:val="5536348D"/>
    <w:rsid w:val="55382DAD"/>
    <w:rsid w:val="554A0ACF"/>
    <w:rsid w:val="55533529"/>
    <w:rsid w:val="55561496"/>
    <w:rsid w:val="555979C7"/>
    <w:rsid w:val="555C2BCF"/>
    <w:rsid w:val="556F26F3"/>
    <w:rsid w:val="557B2F88"/>
    <w:rsid w:val="557C712F"/>
    <w:rsid w:val="55810AD9"/>
    <w:rsid w:val="55A6717A"/>
    <w:rsid w:val="55A74E70"/>
    <w:rsid w:val="55A75B1E"/>
    <w:rsid w:val="55B202EF"/>
    <w:rsid w:val="55B51957"/>
    <w:rsid w:val="55C3006B"/>
    <w:rsid w:val="55C80C4F"/>
    <w:rsid w:val="55CB0D1D"/>
    <w:rsid w:val="55CD0C94"/>
    <w:rsid w:val="55D01BA6"/>
    <w:rsid w:val="55D55581"/>
    <w:rsid w:val="55DF5717"/>
    <w:rsid w:val="55E159A4"/>
    <w:rsid w:val="55E910B6"/>
    <w:rsid w:val="55F10D3B"/>
    <w:rsid w:val="55F113A2"/>
    <w:rsid w:val="55F877EC"/>
    <w:rsid w:val="55F93EBA"/>
    <w:rsid w:val="55F940B7"/>
    <w:rsid w:val="55FD2A54"/>
    <w:rsid w:val="55FD470E"/>
    <w:rsid w:val="56065100"/>
    <w:rsid w:val="561070CE"/>
    <w:rsid w:val="561A6B64"/>
    <w:rsid w:val="562B368C"/>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A17A26"/>
    <w:rsid w:val="56B82F30"/>
    <w:rsid w:val="56B94260"/>
    <w:rsid w:val="56CB030D"/>
    <w:rsid w:val="56D227CA"/>
    <w:rsid w:val="56D51AEF"/>
    <w:rsid w:val="56D93732"/>
    <w:rsid w:val="56EC26FD"/>
    <w:rsid w:val="57025219"/>
    <w:rsid w:val="570526CD"/>
    <w:rsid w:val="570F47BE"/>
    <w:rsid w:val="571A030C"/>
    <w:rsid w:val="571F35BD"/>
    <w:rsid w:val="57231F21"/>
    <w:rsid w:val="57330FE1"/>
    <w:rsid w:val="574040F3"/>
    <w:rsid w:val="57433831"/>
    <w:rsid w:val="5754051B"/>
    <w:rsid w:val="575E5C30"/>
    <w:rsid w:val="576431E7"/>
    <w:rsid w:val="57690E4F"/>
    <w:rsid w:val="576A7713"/>
    <w:rsid w:val="57774733"/>
    <w:rsid w:val="5781789E"/>
    <w:rsid w:val="578F3252"/>
    <w:rsid w:val="5791008B"/>
    <w:rsid w:val="57935A23"/>
    <w:rsid w:val="579920D9"/>
    <w:rsid w:val="579A2E34"/>
    <w:rsid w:val="57B02BD0"/>
    <w:rsid w:val="57B45167"/>
    <w:rsid w:val="57BF4305"/>
    <w:rsid w:val="57CA5074"/>
    <w:rsid w:val="57D769D6"/>
    <w:rsid w:val="57DA3005"/>
    <w:rsid w:val="57E74B54"/>
    <w:rsid w:val="57F1178B"/>
    <w:rsid w:val="57F1635C"/>
    <w:rsid w:val="57F44CAC"/>
    <w:rsid w:val="57F51D84"/>
    <w:rsid w:val="57F60E39"/>
    <w:rsid w:val="57FF0F4F"/>
    <w:rsid w:val="58042A56"/>
    <w:rsid w:val="58061023"/>
    <w:rsid w:val="58085C3D"/>
    <w:rsid w:val="580A6EDB"/>
    <w:rsid w:val="580C07FB"/>
    <w:rsid w:val="5821289C"/>
    <w:rsid w:val="582264BA"/>
    <w:rsid w:val="5830091C"/>
    <w:rsid w:val="5839077A"/>
    <w:rsid w:val="583B74D0"/>
    <w:rsid w:val="583E5434"/>
    <w:rsid w:val="5863420A"/>
    <w:rsid w:val="587C036F"/>
    <w:rsid w:val="587C4345"/>
    <w:rsid w:val="5890707C"/>
    <w:rsid w:val="58957B8C"/>
    <w:rsid w:val="589859D5"/>
    <w:rsid w:val="58B1106E"/>
    <w:rsid w:val="58BA3C16"/>
    <w:rsid w:val="58C462F4"/>
    <w:rsid w:val="58D44CF7"/>
    <w:rsid w:val="58DC7A23"/>
    <w:rsid w:val="58E120C2"/>
    <w:rsid w:val="58F87A38"/>
    <w:rsid w:val="58FC22F8"/>
    <w:rsid w:val="5929788E"/>
    <w:rsid w:val="59313B43"/>
    <w:rsid w:val="59351AA3"/>
    <w:rsid w:val="5938606F"/>
    <w:rsid w:val="593A75C5"/>
    <w:rsid w:val="593B05DA"/>
    <w:rsid w:val="5943699B"/>
    <w:rsid w:val="5948761B"/>
    <w:rsid w:val="594C242A"/>
    <w:rsid w:val="594E748C"/>
    <w:rsid w:val="59583D39"/>
    <w:rsid w:val="598B6C27"/>
    <w:rsid w:val="598E0D3B"/>
    <w:rsid w:val="598E5B13"/>
    <w:rsid w:val="59A35379"/>
    <w:rsid w:val="59AA7F0E"/>
    <w:rsid w:val="59B53395"/>
    <w:rsid w:val="59B718F9"/>
    <w:rsid w:val="59C30A60"/>
    <w:rsid w:val="59C43B2B"/>
    <w:rsid w:val="59CF6921"/>
    <w:rsid w:val="59DF69ED"/>
    <w:rsid w:val="59E60E2A"/>
    <w:rsid w:val="5A040B17"/>
    <w:rsid w:val="5A070F32"/>
    <w:rsid w:val="5A075673"/>
    <w:rsid w:val="5A0D04AE"/>
    <w:rsid w:val="5A103B90"/>
    <w:rsid w:val="5A1A2C4A"/>
    <w:rsid w:val="5A1E48C2"/>
    <w:rsid w:val="5A232EE3"/>
    <w:rsid w:val="5A246664"/>
    <w:rsid w:val="5A3728F0"/>
    <w:rsid w:val="5A434151"/>
    <w:rsid w:val="5A471F60"/>
    <w:rsid w:val="5A4907E4"/>
    <w:rsid w:val="5A4A12C4"/>
    <w:rsid w:val="5A4A6B51"/>
    <w:rsid w:val="5A5574BB"/>
    <w:rsid w:val="5A557EB5"/>
    <w:rsid w:val="5A5D411C"/>
    <w:rsid w:val="5A602845"/>
    <w:rsid w:val="5A664A8A"/>
    <w:rsid w:val="5A681BF1"/>
    <w:rsid w:val="5A6E398A"/>
    <w:rsid w:val="5A707004"/>
    <w:rsid w:val="5A8B344D"/>
    <w:rsid w:val="5A987FB9"/>
    <w:rsid w:val="5A9F3D40"/>
    <w:rsid w:val="5A9F7511"/>
    <w:rsid w:val="5AA862DB"/>
    <w:rsid w:val="5AAE46AA"/>
    <w:rsid w:val="5AB204D6"/>
    <w:rsid w:val="5ABA380B"/>
    <w:rsid w:val="5ACD0B07"/>
    <w:rsid w:val="5ADB55E3"/>
    <w:rsid w:val="5ADD68C2"/>
    <w:rsid w:val="5AE32AE6"/>
    <w:rsid w:val="5AE412C2"/>
    <w:rsid w:val="5AE83649"/>
    <w:rsid w:val="5AF01F35"/>
    <w:rsid w:val="5AF3320E"/>
    <w:rsid w:val="5B19529D"/>
    <w:rsid w:val="5B264F16"/>
    <w:rsid w:val="5B3E502A"/>
    <w:rsid w:val="5B3F06DB"/>
    <w:rsid w:val="5B4356DA"/>
    <w:rsid w:val="5B4D464F"/>
    <w:rsid w:val="5B565EED"/>
    <w:rsid w:val="5B6349B8"/>
    <w:rsid w:val="5B7149F1"/>
    <w:rsid w:val="5B793214"/>
    <w:rsid w:val="5B7D3D4C"/>
    <w:rsid w:val="5B801E98"/>
    <w:rsid w:val="5B930800"/>
    <w:rsid w:val="5BA0349A"/>
    <w:rsid w:val="5BA25E62"/>
    <w:rsid w:val="5BA46E39"/>
    <w:rsid w:val="5BA50AD1"/>
    <w:rsid w:val="5BA6289B"/>
    <w:rsid w:val="5BB30504"/>
    <w:rsid w:val="5BB31251"/>
    <w:rsid w:val="5BB61086"/>
    <w:rsid w:val="5BC04523"/>
    <w:rsid w:val="5BC97DE9"/>
    <w:rsid w:val="5BD514F1"/>
    <w:rsid w:val="5BE43AD3"/>
    <w:rsid w:val="5BE50576"/>
    <w:rsid w:val="5BE518DC"/>
    <w:rsid w:val="5BEF0E43"/>
    <w:rsid w:val="5BF279CB"/>
    <w:rsid w:val="5BFF0BB6"/>
    <w:rsid w:val="5C010172"/>
    <w:rsid w:val="5C03331D"/>
    <w:rsid w:val="5C047C0C"/>
    <w:rsid w:val="5C0800A1"/>
    <w:rsid w:val="5C0A6022"/>
    <w:rsid w:val="5C1E7FB5"/>
    <w:rsid w:val="5C226B2B"/>
    <w:rsid w:val="5C244811"/>
    <w:rsid w:val="5C306AB3"/>
    <w:rsid w:val="5C3122F7"/>
    <w:rsid w:val="5C341906"/>
    <w:rsid w:val="5C40175F"/>
    <w:rsid w:val="5C4A08CE"/>
    <w:rsid w:val="5C65146E"/>
    <w:rsid w:val="5C671D5D"/>
    <w:rsid w:val="5C764759"/>
    <w:rsid w:val="5C780D81"/>
    <w:rsid w:val="5C7A4359"/>
    <w:rsid w:val="5C7B0FC2"/>
    <w:rsid w:val="5C7E21C5"/>
    <w:rsid w:val="5CA2483B"/>
    <w:rsid w:val="5CAF3518"/>
    <w:rsid w:val="5CB010EE"/>
    <w:rsid w:val="5CB3331F"/>
    <w:rsid w:val="5CB50F68"/>
    <w:rsid w:val="5CB55472"/>
    <w:rsid w:val="5CBB4A10"/>
    <w:rsid w:val="5CBF2642"/>
    <w:rsid w:val="5CC231C7"/>
    <w:rsid w:val="5CD70A5F"/>
    <w:rsid w:val="5CDB4FC8"/>
    <w:rsid w:val="5CE444CA"/>
    <w:rsid w:val="5CEA3521"/>
    <w:rsid w:val="5CF81FF5"/>
    <w:rsid w:val="5D011A97"/>
    <w:rsid w:val="5D09133D"/>
    <w:rsid w:val="5D1405EA"/>
    <w:rsid w:val="5D163966"/>
    <w:rsid w:val="5D190519"/>
    <w:rsid w:val="5D2D3341"/>
    <w:rsid w:val="5D397725"/>
    <w:rsid w:val="5D3D435A"/>
    <w:rsid w:val="5D4E6909"/>
    <w:rsid w:val="5D4F5BC3"/>
    <w:rsid w:val="5D5B03C3"/>
    <w:rsid w:val="5D616801"/>
    <w:rsid w:val="5D624A8F"/>
    <w:rsid w:val="5D6E22AC"/>
    <w:rsid w:val="5D6E6800"/>
    <w:rsid w:val="5D7842D3"/>
    <w:rsid w:val="5D8164DD"/>
    <w:rsid w:val="5D886297"/>
    <w:rsid w:val="5DA40E8D"/>
    <w:rsid w:val="5DA8512A"/>
    <w:rsid w:val="5DCA24E7"/>
    <w:rsid w:val="5DDB710D"/>
    <w:rsid w:val="5DDD54BF"/>
    <w:rsid w:val="5DE01715"/>
    <w:rsid w:val="5DE03BCF"/>
    <w:rsid w:val="5DEE3AC0"/>
    <w:rsid w:val="5DF07B1E"/>
    <w:rsid w:val="5DF6271C"/>
    <w:rsid w:val="5DFA4F4B"/>
    <w:rsid w:val="5E0851AC"/>
    <w:rsid w:val="5E24120B"/>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9B2B21"/>
    <w:rsid w:val="5EA20588"/>
    <w:rsid w:val="5EA26A35"/>
    <w:rsid w:val="5EA309BC"/>
    <w:rsid w:val="5EB22BF1"/>
    <w:rsid w:val="5EB340EF"/>
    <w:rsid w:val="5EB36838"/>
    <w:rsid w:val="5EB71FAD"/>
    <w:rsid w:val="5EBC22A1"/>
    <w:rsid w:val="5EC97EE0"/>
    <w:rsid w:val="5ED43BD4"/>
    <w:rsid w:val="5ED60635"/>
    <w:rsid w:val="5ED7582B"/>
    <w:rsid w:val="5ED87066"/>
    <w:rsid w:val="5EE93B70"/>
    <w:rsid w:val="5EF069FA"/>
    <w:rsid w:val="5EF56606"/>
    <w:rsid w:val="5EFA1D84"/>
    <w:rsid w:val="5EFC3C5C"/>
    <w:rsid w:val="5F0345EF"/>
    <w:rsid w:val="5F0E591C"/>
    <w:rsid w:val="5F0E6504"/>
    <w:rsid w:val="5F1624A0"/>
    <w:rsid w:val="5F2464EA"/>
    <w:rsid w:val="5F2556F8"/>
    <w:rsid w:val="5F323E15"/>
    <w:rsid w:val="5F361247"/>
    <w:rsid w:val="5F3F7625"/>
    <w:rsid w:val="5F450A54"/>
    <w:rsid w:val="5F472817"/>
    <w:rsid w:val="5F4B6E17"/>
    <w:rsid w:val="5F4E3E35"/>
    <w:rsid w:val="5F65126D"/>
    <w:rsid w:val="5F7C76CB"/>
    <w:rsid w:val="5F8209F5"/>
    <w:rsid w:val="5F851A81"/>
    <w:rsid w:val="5F870CD7"/>
    <w:rsid w:val="5F934D13"/>
    <w:rsid w:val="5FA54418"/>
    <w:rsid w:val="5FAA70D6"/>
    <w:rsid w:val="5FAA7F21"/>
    <w:rsid w:val="5FAB2827"/>
    <w:rsid w:val="5FAB2CE3"/>
    <w:rsid w:val="5FAD7579"/>
    <w:rsid w:val="5FB634B8"/>
    <w:rsid w:val="5FBE3C12"/>
    <w:rsid w:val="5FC05838"/>
    <w:rsid w:val="5FCA3569"/>
    <w:rsid w:val="5FCB2E0F"/>
    <w:rsid w:val="5FCF0510"/>
    <w:rsid w:val="5FD24F28"/>
    <w:rsid w:val="5FD641A2"/>
    <w:rsid w:val="5FD95C28"/>
    <w:rsid w:val="5FE65A16"/>
    <w:rsid w:val="5FE922A4"/>
    <w:rsid w:val="5FEA7D16"/>
    <w:rsid w:val="5FEB396E"/>
    <w:rsid w:val="5FFC3ABA"/>
    <w:rsid w:val="600123DB"/>
    <w:rsid w:val="6004187C"/>
    <w:rsid w:val="60057BD0"/>
    <w:rsid w:val="600F2A24"/>
    <w:rsid w:val="6015568F"/>
    <w:rsid w:val="60182510"/>
    <w:rsid w:val="601B39F0"/>
    <w:rsid w:val="601D4356"/>
    <w:rsid w:val="602D3B2B"/>
    <w:rsid w:val="602E4ABD"/>
    <w:rsid w:val="602E7D42"/>
    <w:rsid w:val="60396726"/>
    <w:rsid w:val="60434110"/>
    <w:rsid w:val="60460EF4"/>
    <w:rsid w:val="6052100F"/>
    <w:rsid w:val="60527275"/>
    <w:rsid w:val="6053567B"/>
    <w:rsid w:val="6070725C"/>
    <w:rsid w:val="607238A5"/>
    <w:rsid w:val="60761768"/>
    <w:rsid w:val="608B51EA"/>
    <w:rsid w:val="60991B4F"/>
    <w:rsid w:val="609A3B85"/>
    <w:rsid w:val="60B400EC"/>
    <w:rsid w:val="60B905F3"/>
    <w:rsid w:val="60C345AA"/>
    <w:rsid w:val="60C45FFD"/>
    <w:rsid w:val="60C50406"/>
    <w:rsid w:val="60C818AE"/>
    <w:rsid w:val="60C90BD3"/>
    <w:rsid w:val="60D53DCF"/>
    <w:rsid w:val="60ED1F9C"/>
    <w:rsid w:val="60ED4C93"/>
    <w:rsid w:val="60FB6F62"/>
    <w:rsid w:val="610415BB"/>
    <w:rsid w:val="61110018"/>
    <w:rsid w:val="61114351"/>
    <w:rsid w:val="611E6DB7"/>
    <w:rsid w:val="61327616"/>
    <w:rsid w:val="61335E3E"/>
    <w:rsid w:val="613B24A1"/>
    <w:rsid w:val="613E591C"/>
    <w:rsid w:val="61584C85"/>
    <w:rsid w:val="615F388A"/>
    <w:rsid w:val="615F4317"/>
    <w:rsid w:val="61631D18"/>
    <w:rsid w:val="61702885"/>
    <w:rsid w:val="61725C54"/>
    <w:rsid w:val="6175595E"/>
    <w:rsid w:val="61786C61"/>
    <w:rsid w:val="6179504F"/>
    <w:rsid w:val="618D6B11"/>
    <w:rsid w:val="61947FDE"/>
    <w:rsid w:val="619D52EF"/>
    <w:rsid w:val="61A66F89"/>
    <w:rsid w:val="61B26E40"/>
    <w:rsid w:val="61B4342B"/>
    <w:rsid w:val="61B7146B"/>
    <w:rsid w:val="61C03A37"/>
    <w:rsid w:val="61CF38F8"/>
    <w:rsid w:val="61D52C52"/>
    <w:rsid w:val="61E251F3"/>
    <w:rsid w:val="61E44FFF"/>
    <w:rsid w:val="61E55E53"/>
    <w:rsid w:val="61E572CA"/>
    <w:rsid w:val="61E6165E"/>
    <w:rsid w:val="61EF3482"/>
    <w:rsid w:val="61F265D3"/>
    <w:rsid w:val="61F904BC"/>
    <w:rsid w:val="61FA24B9"/>
    <w:rsid w:val="62074F6D"/>
    <w:rsid w:val="620C3606"/>
    <w:rsid w:val="620E2701"/>
    <w:rsid w:val="62145A3E"/>
    <w:rsid w:val="62155E44"/>
    <w:rsid w:val="621F41A4"/>
    <w:rsid w:val="62263F49"/>
    <w:rsid w:val="6226504D"/>
    <w:rsid w:val="62322573"/>
    <w:rsid w:val="62335B90"/>
    <w:rsid w:val="62431761"/>
    <w:rsid w:val="624E0623"/>
    <w:rsid w:val="624F6627"/>
    <w:rsid w:val="62512AD5"/>
    <w:rsid w:val="62536463"/>
    <w:rsid w:val="6255136F"/>
    <w:rsid w:val="625611CE"/>
    <w:rsid w:val="625A1082"/>
    <w:rsid w:val="62620E6D"/>
    <w:rsid w:val="62664464"/>
    <w:rsid w:val="62673636"/>
    <w:rsid w:val="62681508"/>
    <w:rsid w:val="6272555A"/>
    <w:rsid w:val="62730367"/>
    <w:rsid w:val="627C640F"/>
    <w:rsid w:val="629B426B"/>
    <w:rsid w:val="629C6F7B"/>
    <w:rsid w:val="62A3339E"/>
    <w:rsid w:val="62AB23AE"/>
    <w:rsid w:val="62AF39C3"/>
    <w:rsid w:val="62B260A2"/>
    <w:rsid w:val="62B934ED"/>
    <w:rsid w:val="62BD1FE4"/>
    <w:rsid w:val="62C51493"/>
    <w:rsid w:val="62CA6F4A"/>
    <w:rsid w:val="62CC393B"/>
    <w:rsid w:val="62CE3AAD"/>
    <w:rsid w:val="62E06B83"/>
    <w:rsid w:val="62E719F2"/>
    <w:rsid w:val="62EA2907"/>
    <w:rsid w:val="62FD7ED4"/>
    <w:rsid w:val="62FF055C"/>
    <w:rsid w:val="62FF58E7"/>
    <w:rsid w:val="63033826"/>
    <w:rsid w:val="63046CD6"/>
    <w:rsid w:val="63067CDA"/>
    <w:rsid w:val="63101FC3"/>
    <w:rsid w:val="63110583"/>
    <w:rsid w:val="63110BD7"/>
    <w:rsid w:val="63112E82"/>
    <w:rsid w:val="631471BD"/>
    <w:rsid w:val="63193B3E"/>
    <w:rsid w:val="631F350B"/>
    <w:rsid w:val="6322141E"/>
    <w:rsid w:val="6324439E"/>
    <w:rsid w:val="6327291C"/>
    <w:rsid w:val="634A2117"/>
    <w:rsid w:val="63613B44"/>
    <w:rsid w:val="63617C3F"/>
    <w:rsid w:val="63663411"/>
    <w:rsid w:val="63693E52"/>
    <w:rsid w:val="636E5379"/>
    <w:rsid w:val="636E5C0D"/>
    <w:rsid w:val="63725411"/>
    <w:rsid w:val="63764367"/>
    <w:rsid w:val="638C029E"/>
    <w:rsid w:val="63A22241"/>
    <w:rsid w:val="63A824DA"/>
    <w:rsid w:val="63A931DA"/>
    <w:rsid w:val="63B01571"/>
    <w:rsid w:val="63BF2AA4"/>
    <w:rsid w:val="63D40918"/>
    <w:rsid w:val="63D430FA"/>
    <w:rsid w:val="63D873B3"/>
    <w:rsid w:val="63D91DAE"/>
    <w:rsid w:val="63EC778F"/>
    <w:rsid w:val="63F22584"/>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8C34AD"/>
    <w:rsid w:val="64940FF4"/>
    <w:rsid w:val="64980C6D"/>
    <w:rsid w:val="649D1428"/>
    <w:rsid w:val="64A36F8D"/>
    <w:rsid w:val="64A61E80"/>
    <w:rsid w:val="64BC309B"/>
    <w:rsid w:val="64D42B0D"/>
    <w:rsid w:val="64DE29BA"/>
    <w:rsid w:val="64DF0ED2"/>
    <w:rsid w:val="64E43804"/>
    <w:rsid w:val="64F46FD2"/>
    <w:rsid w:val="64F549AC"/>
    <w:rsid w:val="64F8178D"/>
    <w:rsid w:val="650B7D2C"/>
    <w:rsid w:val="65290E28"/>
    <w:rsid w:val="65295741"/>
    <w:rsid w:val="652E2E79"/>
    <w:rsid w:val="653D1103"/>
    <w:rsid w:val="65483DA3"/>
    <w:rsid w:val="65621FA1"/>
    <w:rsid w:val="656B693C"/>
    <w:rsid w:val="65727D75"/>
    <w:rsid w:val="65942986"/>
    <w:rsid w:val="65970A16"/>
    <w:rsid w:val="65A15117"/>
    <w:rsid w:val="65A2510B"/>
    <w:rsid w:val="65B33DA6"/>
    <w:rsid w:val="65BE45F7"/>
    <w:rsid w:val="65CF40BF"/>
    <w:rsid w:val="65DC2619"/>
    <w:rsid w:val="65E20DFE"/>
    <w:rsid w:val="65F723A4"/>
    <w:rsid w:val="660727F2"/>
    <w:rsid w:val="66165B24"/>
    <w:rsid w:val="661C16C8"/>
    <w:rsid w:val="661C3F47"/>
    <w:rsid w:val="66222AF8"/>
    <w:rsid w:val="6627079F"/>
    <w:rsid w:val="662E3479"/>
    <w:rsid w:val="66307915"/>
    <w:rsid w:val="66340CB0"/>
    <w:rsid w:val="6641289B"/>
    <w:rsid w:val="66442DB2"/>
    <w:rsid w:val="664A6CD2"/>
    <w:rsid w:val="664B794E"/>
    <w:rsid w:val="664C0962"/>
    <w:rsid w:val="664F5244"/>
    <w:rsid w:val="66597FF0"/>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6FC48AD"/>
    <w:rsid w:val="67007FBE"/>
    <w:rsid w:val="670D09EB"/>
    <w:rsid w:val="67184EF8"/>
    <w:rsid w:val="671948F5"/>
    <w:rsid w:val="671B52CA"/>
    <w:rsid w:val="671E32F5"/>
    <w:rsid w:val="6738785E"/>
    <w:rsid w:val="67455C80"/>
    <w:rsid w:val="674E70DC"/>
    <w:rsid w:val="67500D17"/>
    <w:rsid w:val="67580C06"/>
    <w:rsid w:val="675E7B94"/>
    <w:rsid w:val="67623859"/>
    <w:rsid w:val="67631224"/>
    <w:rsid w:val="677D2D55"/>
    <w:rsid w:val="67804BC2"/>
    <w:rsid w:val="67870B7B"/>
    <w:rsid w:val="678E07C6"/>
    <w:rsid w:val="678F3496"/>
    <w:rsid w:val="679D6FF4"/>
    <w:rsid w:val="67A105DD"/>
    <w:rsid w:val="67C31474"/>
    <w:rsid w:val="67C44765"/>
    <w:rsid w:val="67CC7664"/>
    <w:rsid w:val="67D67C1A"/>
    <w:rsid w:val="67DF1A8A"/>
    <w:rsid w:val="67ED67E7"/>
    <w:rsid w:val="67F12F74"/>
    <w:rsid w:val="680B3DE0"/>
    <w:rsid w:val="680B49A5"/>
    <w:rsid w:val="680E7CB8"/>
    <w:rsid w:val="68141A4C"/>
    <w:rsid w:val="681472ED"/>
    <w:rsid w:val="68194FBB"/>
    <w:rsid w:val="681E5881"/>
    <w:rsid w:val="68261ACF"/>
    <w:rsid w:val="683529F9"/>
    <w:rsid w:val="68371E87"/>
    <w:rsid w:val="68380A25"/>
    <w:rsid w:val="683932B3"/>
    <w:rsid w:val="68400078"/>
    <w:rsid w:val="685435DF"/>
    <w:rsid w:val="6868116F"/>
    <w:rsid w:val="6889395B"/>
    <w:rsid w:val="68961081"/>
    <w:rsid w:val="68A64A61"/>
    <w:rsid w:val="68B73C3E"/>
    <w:rsid w:val="68BA4D89"/>
    <w:rsid w:val="68CA7775"/>
    <w:rsid w:val="68DF75A8"/>
    <w:rsid w:val="68E9147C"/>
    <w:rsid w:val="68E958CC"/>
    <w:rsid w:val="68F04B77"/>
    <w:rsid w:val="68F80539"/>
    <w:rsid w:val="68FC26F7"/>
    <w:rsid w:val="69070A95"/>
    <w:rsid w:val="690F7BE4"/>
    <w:rsid w:val="69147C4F"/>
    <w:rsid w:val="6921109D"/>
    <w:rsid w:val="692C606C"/>
    <w:rsid w:val="693F2E17"/>
    <w:rsid w:val="694D7694"/>
    <w:rsid w:val="69517793"/>
    <w:rsid w:val="69541FA4"/>
    <w:rsid w:val="695C7531"/>
    <w:rsid w:val="69602EEE"/>
    <w:rsid w:val="69657E2E"/>
    <w:rsid w:val="69747D39"/>
    <w:rsid w:val="6989582D"/>
    <w:rsid w:val="698F58C5"/>
    <w:rsid w:val="699E641D"/>
    <w:rsid w:val="69A9357D"/>
    <w:rsid w:val="69B17D0A"/>
    <w:rsid w:val="69BF761B"/>
    <w:rsid w:val="69C97405"/>
    <w:rsid w:val="69CB57AB"/>
    <w:rsid w:val="69CB66E6"/>
    <w:rsid w:val="69DB27C0"/>
    <w:rsid w:val="69E57691"/>
    <w:rsid w:val="69F43BDC"/>
    <w:rsid w:val="69F513F8"/>
    <w:rsid w:val="6A002402"/>
    <w:rsid w:val="6A0D33C2"/>
    <w:rsid w:val="6A166966"/>
    <w:rsid w:val="6A250D38"/>
    <w:rsid w:val="6A2F4124"/>
    <w:rsid w:val="6A335E50"/>
    <w:rsid w:val="6A3B18E7"/>
    <w:rsid w:val="6A4508B0"/>
    <w:rsid w:val="6A454483"/>
    <w:rsid w:val="6A4C62B8"/>
    <w:rsid w:val="6A512860"/>
    <w:rsid w:val="6A6055DE"/>
    <w:rsid w:val="6A6108C4"/>
    <w:rsid w:val="6A664670"/>
    <w:rsid w:val="6A6A5430"/>
    <w:rsid w:val="6A837284"/>
    <w:rsid w:val="6A935230"/>
    <w:rsid w:val="6A996742"/>
    <w:rsid w:val="6AA44825"/>
    <w:rsid w:val="6AB401A2"/>
    <w:rsid w:val="6AB47997"/>
    <w:rsid w:val="6AC72E1A"/>
    <w:rsid w:val="6ACC4372"/>
    <w:rsid w:val="6AD55C0E"/>
    <w:rsid w:val="6AE400FF"/>
    <w:rsid w:val="6AE461AD"/>
    <w:rsid w:val="6AE65093"/>
    <w:rsid w:val="6AEC4F69"/>
    <w:rsid w:val="6AEF65E6"/>
    <w:rsid w:val="6AF43944"/>
    <w:rsid w:val="6B353C69"/>
    <w:rsid w:val="6B37755E"/>
    <w:rsid w:val="6B3B3514"/>
    <w:rsid w:val="6B3F08AE"/>
    <w:rsid w:val="6B4D5922"/>
    <w:rsid w:val="6B505405"/>
    <w:rsid w:val="6B521BD5"/>
    <w:rsid w:val="6B5427FA"/>
    <w:rsid w:val="6B563B97"/>
    <w:rsid w:val="6B564EBD"/>
    <w:rsid w:val="6B577377"/>
    <w:rsid w:val="6B69566B"/>
    <w:rsid w:val="6B69793A"/>
    <w:rsid w:val="6B6F790A"/>
    <w:rsid w:val="6B780A0C"/>
    <w:rsid w:val="6B7D18E3"/>
    <w:rsid w:val="6B8E15AC"/>
    <w:rsid w:val="6B9E2AD3"/>
    <w:rsid w:val="6BA10998"/>
    <w:rsid w:val="6BA854E8"/>
    <w:rsid w:val="6BA97EFD"/>
    <w:rsid w:val="6BAA5459"/>
    <w:rsid w:val="6BC81A9A"/>
    <w:rsid w:val="6BC8480E"/>
    <w:rsid w:val="6BD95B85"/>
    <w:rsid w:val="6BDD1068"/>
    <w:rsid w:val="6BDE7655"/>
    <w:rsid w:val="6BE74E05"/>
    <w:rsid w:val="6BF72F38"/>
    <w:rsid w:val="6BF77D6C"/>
    <w:rsid w:val="6BFA717B"/>
    <w:rsid w:val="6C065856"/>
    <w:rsid w:val="6C261D38"/>
    <w:rsid w:val="6C267397"/>
    <w:rsid w:val="6C2A74A4"/>
    <w:rsid w:val="6C354FB6"/>
    <w:rsid w:val="6C387ED8"/>
    <w:rsid w:val="6C437023"/>
    <w:rsid w:val="6C4718FB"/>
    <w:rsid w:val="6C5C2BAF"/>
    <w:rsid w:val="6C614735"/>
    <w:rsid w:val="6C625036"/>
    <w:rsid w:val="6C6D4A37"/>
    <w:rsid w:val="6C6D7262"/>
    <w:rsid w:val="6C6F0A37"/>
    <w:rsid w:val="6C86041B"/>
    <w:rsid w:val="6C8A45D5"/>
    <w:rsid w:val="6C8C49CF"/>
    <w:rsid w:val="6C9069CF"/>
    <w:rsid w:val="6C9D1787"/>
    <w:rsid w:val="6CA4216E"/>
    <w:rsid w:val="6CA44DB8"/>
    <w:rsid w:val="6CA75AA2"/>
    <w:rsid w:val="6CA95B15"/>
    <w:rsid w:val="6CB52B9E"/>
    <w:rsid w:val="6CC5455B"/>
    <w:rsid w:val="6CC62C2C"/>
    <w:rsid w:val="6CCD4A60"/>
    <w:rsid w:val="6CDC689C"/>
    <w:rsid w:val="6CE82177"/>
    <w:rsid w:val="6CEB2609"/>
    <w:rsid w:val="6CFC572F"/>
    <w:rsid w:val="6CFE37CA"/>
    <w:rsid w:val="6D13285A"/>
    <w:rsid w:val="6D1C0FED"/>
    <w:rsid w:val="6D214955"/>
    <w:rsid w:val="6D24131E"/>
    <w:rsid w:val="6D246680"/>
    <w:rsid w:val="6D261D0F"/>
    <w:rsid w:val="6D517BB9"/>
    <w:rsid w:val="6D530358"/>
    <w:rsid w:val="6D531591"/>
    <w:rsid w:val="6D583F1A"/>
    <w:rsid w:val="6D595250"/>
    <w:rsid w:val="6D606442"/>
    <w:rsid w:val="6D612FC0"/>
    <w:rsid w:val="6D65485E"/>
    <w:rsid w:val="6D696FA7"/>
    <w:rsid w:val="6D6C3FB3"/>
    <w:rsid w:val="6D6F583F"/>
    <w:rsid w:val="6D8E6DC2"/>
    <w:rsid w:val="6D9F0F57"/>
    <w:rsid w:val="6DA5515D"/>
    <w:rsid w:val="6DC31716"/>
    <w:rsid w:val="6DC67B27"/>
    <w:rsid w:val="6DC80BA1"/>
    <w:rsid w:val="6DD20A32"/>
    <w:rsid w:val="6DDD2215"/>
    <w:rsid w:val="6DF16741"/>
    <w:rsid w:val="6E047F0C"/>
    <w:rsid w:val="6E0E44AA"/>
    <w:rsid w:val="6E13664D"/>
    <w:rsid w:val="6E2A77E7"/>
    <w:rsid w:val="6E3762D4"/>
    <w:rsid w:val="6E386383"/>
    <w:rsid w:val="6E3B1B68"/>
    <w:rsid w:val="6E3C1CAB"/>
    <w:rsid w:val="6E5346EA"/>
    <w:rsid w:val="6E5374E4"/>
    <w:rsid w:val="6E5B351E"/>
    <w:rsid w:val="6E647E42"/>
    <w:rsid w:val="6E671920"/>
    <w:rsid w:val="6E801BEB"/>
    <w:rsid w:val="6E8221BD"/>
    <w:rsid w:val="6E8A099C"/>
    <w:rsid w:val="6EA612DF"/>
    <w:rsid w:val="6EA72D93"/>
    <w:rsid w:val="6EAA56F6"/>
    <w:rsid w:val="6EAC1F5E"/>
    <w:rsid w:val="6EAD3423"/>
    <w:rsid w:val="6EAD4200"/>
    <w:rsid w:val="6EB13C75"/>
    <w:rsid w:val="6ECB0CA3"/>
    <w:rsid w:val="6ECE0B27"/>
    <w:rsid w:val="6ED02623"/>
    <w:rsid w:val="6ED92856"/>
    <w:rsid w:val="6EDF1AD6"/>
    <w:rsid w:val="6EE05FAD"/>
    <w:rsid w:val="6EEB2A66"/>
    <w:rsid w:val="6EF77132"/>
    <w:rsid w:val="6EFC3A87"/>
    <w:rsid w:val="6F084036"/>
    <w:rsid w:val="6F0913AC"/>
    <w:rsid w:val="6F0A702E"/>
    <w:rsid w:val="6F1C28F9"/>
    <w:rsid w:val="6F1D4537"/>
    <w:rsid w:val="6F1E3281"/>
    <w:rsid w:val="6F206148"/>
    <w:rsid w:val="6F2464EF"/>
    <w:rsid w:val="6F25291A"/>
    <w:rsid w:val="6F2A63C0"/>
    <w:rsid w:val="6F2C3765"/>
    <w:rsid w:val="6F455670"/>
    <w:rsid w:val="6F493831"/>
    <w:rsid w:val="6F6531B8"/>
    <w:rsid w:val="6F6C1230"/>
    <w:rsid w:val="6F6C3DB3"/>
    <w:rsid w:val="6F6E605C"/>
    <w:rsid w:val="6F7C5BB2"/>
    <w:rsid w:val="6F8D4A4C"/>
    <w:rsid w:val="6F966872"/>
    <w:rsid w:val="6FAE1262"/>
    <w:rsid w:val="6FAF434E"/>
    <w:rsid w:val="6FB90805"/>
    <w:rsid w:val="6FBF25D3"/>
    <w:rsid w:val="6FC73915"/>
    <w:rsid w:val="6FC76CC4"/>
    <w:rsid w:val="6FD155F6"/>
    <w:rsid w:val="6FE67123"/>
    <w:rsid w:val="6FE87618"/>
    <w:rsid w:val="6FEE322F"/>
    <w:rsid w:val="6FEF1BB1"/>
    <w:rsid w:val="6FF6577E"/>
    <w:rsid w:val="6FFC0ADF"/>
    <w:rsid w:val="70035DA9"/>
    <w:rsid w:val="700434A9"/>
    <w:rsid w:val="700A54CD"/>
    <w:rsid w:val="700A7FC0"/>
    <w:rsid w:val="700D4B56"/>
    <w:rsid w:val="700E0962"/>
    <w:rsid w:val="70162C8F"/>
    <w:rsid w:val="701B4DB5"/>
    <w:rsid w:val="701F1EAD"/>
    <w:rsid w:val="702833D2"/>
    <w:rsid w:val="703C0CF7"/>
    <w:rsid w:val="703D225F"/>
    <w:rsid w:val="704558BD"/>
    <w:rsid w:val="70492B6A"/>
    <w:rsid w:val="7050763B"/>
    <w:rsid w:val="70530262"/>
    <w:rsid w:val="705E4EFE"/>
    <w:rsid w:val="70636245"/>
    <w:rsid w:val="708F44D3"/>
    <w:rsid w:val="709465EC"/>
    <w:rsid w:val="709F5322"/>
    <w:rsid w:val="70A214DF"/>
    <w:rsid w:val="70AB74CF"/>
    <w:rsid w:val="70AE4BE5"/>
    <w:rsid w:val="70AF4A04"/>
    <w:rsid w:val="70B210DD"/>
    <w:rsid w:val="70B53817"/>
    <w:rsid w:val="70C427A3"/>
    <w:rsid w:val="70CC52BC"/>
    <w:rsid w:val="70D45145"/>
    <w:rsid w:val="70DA1E5F"/>
    <w:rsid w:val="70DB7E7B"/>
    <w:rsid w:val="70DD4D9F"/>
    <w:rsid w:val="70E009E1"/>
    <w:rsid w:val="70E83A67"/>
    <w:rsid w:val="70F03B20"/>
    <w:rsid w:val="70F06557"/>
    <w:rsid w:val="70FB337F"/>
    <w:rsid w:val="710412A4"/>
    <w:rsid w:val="71092FED"/>
    <w:rsid w:val="710D6845"/>
    <w:rsid w:val="71182D07"/>
    <w:rsid w:val="711A09DD"/>
    <w:rsid w:val="711F2443"/>
    <w:rsid w:val="7131641D"/>
    <w:rsid w:val="71382257"/>
    <w:rsid w:val="71402DF4"/>
    <w:rsid w:val="714D5575"/>
    <w:rsid w:val="715044D6"/>
    <w:rsid w:val="71535003"/>
    <w:rsid w:val="715920CC"/>
    <w:rsid w:val="715F0DCB"/>
    <w:rsid w:val="7164108C"/>
    <w:rsid w:val="71667CB7"/>
    <w:rsid w:val="717D77B3"/>
    <w:rsid w:val="71863CBA"/>
    <w:rsid w:val="718A720D"/>
    <w:rsid w:val="71905E12"/>
    <w:rsid w:val="71935972"/>
    <w:rsid w:val="71940829"/>
    <w:rsid w:val="719D4006"/>
    <w:rsid w:val="719F3D15"/>
    <w:rsid w:val="71AE3FEB"/>
    <w:rsid w:val="71BE7204"/>
    <w:rsid w:val="71C15203"/>
    <w:rsid w:val="71D53C85"/>
    <w:rsid w:val="71D97B23"/>
    <w:rsid w:val="71DB65D7"/>
    <w:rsid w:val="71E11088"/>
    <w:rsid w:val="71EE363B"/>
    <w:rsid w:val="71F56317"/>
    <w:rsid w:val="71FF78F9"/>
    <w:rsid w:val="72084708"/>
    <w:rsid w:val="721C7C17"/>
    <w:rsid w:val="72261643"/>
    <w:rsid w:val="723407DD"/>
    <w:rsid w:val="7236698E"/>
    <w:rsid w:val="724C69F1"/>
    <w:rsid w:val="7254156F"/>
    <w:rsid w:val="7254789B"/>
    <w:rsid w:val="72596388"/>
    <w:rsid w:val="725A6A05"/>
    <w:rsid w:val="725C0D6D"/>
    <w:rsid w:val="726049E9"/>
    <w:rsid w:val="72671A98"/>
    <w:rsid w:val="728A320B"/>
    <w:rsid w:val="72A43286"/>
    <w:rsid w:val="72AA5C03"/>
    <w:rsid w:val="72BF2D59"/>
    <w:rsid w:val="72CC7471"/>
    <w:rsid w:val="72D01440"/>
    <w:rsid w:val="72D23D19"/>
    <w:rsid w:val="72D647BB"/>
    <w:rsid w:val="72EA66F6"/>
    <w:rsid w:val="72FA314C"/>
    <w:rsid w:val="72FB2114"/>
    <w:rsid w:val="72FE2838"/>
    <w:rsid w:val="730208D7"/>
    <w:rsid w:val="730E3A7E"/>
    <w:rsid w:val="73180030"/>
    <w:rsid w:val="733077BC"/>
    <w:rsid w:val="733D6593"/>
    <w:rsid w:val="734F7676"/>
    <w:rsid w:val="7355190C"/>
    <w:rsid w:val="735F1E39"/>
    <w:rsid w:val="73626EF3"/>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17141"/>
    <w:rsid w:val="74024309"/>
    <w:rsid w:val="740435E5"/>
    <w:rsid w:val="74046BA3"/>
    <w:rsid w:val="742568CA"/>
    <w:rsid w:val="742B7C21"/>
    <w:rsid w:val="743466AF"/>
    <w:rsid w:val="743C14C0"/>
    <w:rsid w:val="743C213A"/>
    <w:rsid w:val="743D795A"/>
    <w:rsid w:val="74400FAE"/>
    <w:rsid w:val="74411D22"/>
    <w:rsid w:val="744B3786"/>
    <w:rsid w:val="745867B8"/>
    <w:rsid w:val="74652872"/>
    <w:rsid w:val="746D1BD9"/>
    <w:rsid w:val="74713F3C"/>
    <w:rsid w:val="74737B99"/>
    <w:rsid w:val="747B4797"/>
    <w:rsid w:val="747B5FBA"/>
    <w:rsid w:val="748C1F9B"/>
    <w:rsid w:val="748E6151"/>
    <w:rsid w:val="74902572"/>
    <w:rsid w:val="749144FC"/>
    <w:rsid w:val="74967B49"/>
    <w:rsid w:val="749D6D7B"/>
    <w:rsid w:val="74A421EA"/>
    <w:rsid w:val="74B23D1A"/>
    <w:rsid w:val="74B71049"/>
    <w:rsid w:val="74C0259A"/>
    <w:rsid w:val="74CE02B7"/>
    <w:rsid w:val="74CE7718"/>
    <w:rsid w:val="74DA0662"/>
    <w:rsid w:val="74EA3579"/>
    <w:rsid w:val="74EE29C3"/>
    <w:rsid w:val="74EF64DE"/>
    <w:rsid w:val="74F157FA"/>
    <w:rsid w:val="74F60883"/>
    <w:rsid w:val="75015128"/>
    <w:rsid w:val="7508592C"/>
    <w:rsid w:val="750C260C"/>
    <w:rsid w:val="751125FC"/>
    <w:rsid w:val="7516627A"/>
    <w:rsid w:val="75183776"/>
    <w:rsid w:val="751F61E0"/>
    <w:rsid w:val="75224721"/>
    <w:rsid w:val="75285460"/>
    <w:rsid w:val="752D0846"/>
    <w:rsid w:val="753003AF"/>
    <w:rsid w:val="75325F00"/>
    <w:rsid w:val="753700FE"/>
    <w:rsid w:val="753719B9"/>
    <w:rsid w:val="753946E6"/>
    <w:rsid w:val="75401CFE"/>
    <w:rsid w:val="75440328"/>
    <w:rsid w:val="755C4181"/>
    <w:rsid w:val="756166D9"/>
    <w:rsid w:val="756D1C0C"/>
    <w:rsid w:val="75706610"/>
    <w:rsid w:val="75833722"/>
    <w:rsid w:val="758A6745"/>
    <w:rsid w:val="75A41183"/>
    <w:rsid w:val="75AB66E1"/>
    <w:rsid w:val="75B7596F"/>
    <w:rsid w:val="75BA0E35"/>
    <w:rsid w:val="75CA16A8"/>
    <w:rsid w:val="75D36BE9"/>
    <w:rsid w:val="75D82F94"/>
    <w:rsid w:val="75DC41A0"/>
    <w:rsid w:val="75DD5352"/>
    <w:rsid w:val="75DE7F2A"/>
    <w:rsid w:val="75E350FB"/>
    <w:rsid w:val="75E667B9"/>
    <w:rsid w:val="75EF4024"/>
    <w:rsid w:val="75F27FD0"/>
    <w:rsid w:val="760106CA"/>
    <w:rsid w:val="7604678A"/>
    <w:rsid w:val="76120049"/>
    <w:rsid w:val="761D01B7"/>
    <w:rsid w:val="7622448D"/>
    <w:rsid w:val="76251C4A"/>
    <w:rsid w:val="7628203F"/>
    <w:rsid w:val="762E031C"/>
    <w:rsid w:val="7648345E"/>
    <w:rsid w:val="764A5338"/>
    <w:rsid w:val="76611348"/>
    <w:rsid w:val="76634335"/>
    <w:rsid w:val="76661A2E"/>
    <w:rsid w:val="7668193E"/>
    <w:rsid w:val="767801D4"/>
    <w:rsid w:val="767D01C7"/>
    <w:rsid w:val="768A39B1"/>
    <w:rsid w:val="768A4847"/>
    <w:rsid w:val="768B52C6"/>
    <w:rsid w:val="768D1691"/>
    <w:rsid w:val="768D77BE"/>
    <w:rsid w:val="768F520A"/>
    <w:rsid w:val="769102CC"/>
    <w:rsid w:val="769179B7"/>
    <w:rsid w:val="76932D64"/>
    <w:rsid w:val="769812FD"/>
    <w:rsid w:val="76A47B43"/>
    <w:rsid w:val="76A907DA"/>
    <w:rsid w:val="76AD2CC9"/>
    <w:rsid w:val="76B10C5B"/>
    <w:rsid w:val="76B11FB5"/>
    <w:rsid w:val="76B17AB7"/>
    <w:rsid w:val="76B85F4E"/>
    <w:rsid w:val="76C10CF8"/>
    <w:rsid w:val="76C40C69"/>
    <w:rsid w:val="76C830A5"/>
    <w:rsid w:val="76DC63F8"/>
    <w:rsid w:val="76DE7AB3"/>
    <w:rsid w:val="76E8081C"/>
    <w:rsid w:val="76FE3C02"/>
    <w:rsid w:val="770B193F"/>
    <w:rsid w:val="771A4D86"/>
    <w:rsid w:val="771C533D"/>
    <w:rsid w:val="771D00D0"/>
    <w:rsid w:val="771F3FDE"/>
    <w:rsid w:val="77330784"/>
    <w:rsid w:val="77406F97"/>
    <w:rsid w:val="77486AE3"/>
    <w:rsid w:val="774C2ED9"/>
    <w:rsid w:val="77550D4B"/>
    <w:rsid w:val="77583604"/>
    <w:rsid w:val="77587D2E"/>
    <w:rsid w:val="77592527"/>
    <w:rsid w:val="7769365D"/>
    <w:rsid w:val="776C0B5A"/>
    <w:rsid w:val="77705083"/>
    <w:rsid w:val="7772175A"/>
    <w:rsid w:val="779E3786"/>
    <w:rsid w:val="77BA3908"/>
    <w:rsid w:val="77C11EE5"/>
    <w:rsid w:val="77CD498C"/>
    <w:rsid w:val="77DB7F41"/>
    <w:rsid w:val="77EB6576"/>
    <w:rsid w:val="77F447F0"/>
    <w:rsid w:val="77FF5915"/>
    <w:rsid w:val="78013EBF"/>
    <w:rsid w:val="7805190E"/>
    <w:rsid w:val="7809335A"/>
    <w:rsid w:val="780B61C0"/>
    <w:rsid w:val="780C7E0C"/>
    <w:rsid w:val="78185AD9"/>
    <w:rsid w:val="781D03F1"/>
    <w:rsid w:val="781E1935"/>
    <w:rsid w:val="781F3917"/>
    <w:rsid w:val="78293A6F"/>
    <w:rsid w:val="782D5E2E"/>
    <w:rsid w:val="78513111"/>
    <w:rsid w:val="78525B74"/>
    <w:rsid w:val="785C23A0"/>
    <w:rsid w:val="785C39A9"/>
    <w:rsid w:val="785F21D7"/>
    <w:rsid w:val="78624F42"/>
    <w:rsid w:val="78627B1D"/>
    <w:rsid w:val="786B4684"/>
    <w:rsid w:val="786F528C"/>
    <w:rsid w:val="7879271E"/>
    <w:rsid w:val="788E6C8E"/>
    <w:rsid w:val="789074A7"/>
    <w:rsid w:val="7898558E"/>
    <w:rsid w:val="78A64BE2"/>
    <w:rsid w:val="78A67000"/>
    <w:rsid w:val="78BF346B"/>
    <w:rsid w:val="78CA1D23"/>
    <w:rsid w:val="78D1228F"/>
    <w:rsid w:val="78D472E6"/>
    <w:rsid w:val="78D93125"/>
    <w:rsid w:val="78E12B75"/>
    <w:rsid w:val="78F5477B"/>
    <w:rsid w:val="78F553B7"/>
    <w:rsid w:val="78FA50E8"/>
    <w:rsid w:val="78FE3063"/>
    <w:rsid w:val="79032268"/>
    <w:rsid w:val="79210330"/>
    <w:rsid w:val="793A45C1"/>
    <w:rsid w:val="793B70EF"/>
    <w:rsid w:val="7949656C"/>
    <w:rsid w:val="795311B6"/>
    <w:rsid w:val="79533802"/>
    <w:rsid w:val="79684193"/>
    <w:rsid w:val="796D0D69"/>
    <w:rsid w:val="796E3E74"/>
    <w:rsid w:val="797268E2"/>
    <w:rsid w:val="79732D72"/>
    <w:rsid w:val="79743FEA"/>
    <w:rsid w:val="797B6990"/>
    <w:rsid w:val="79802C90"/>
    <w:rsid w:val="798323F8"/>
    <w:rsid w:val="7985514F"/>
    <w:rsid w:val="79870767"/>
    <w:rsid w:val="799553E2"/>
    <w:rsid w:val="799B08D3"/>
    <w:rsid w:val="799E03CF"/>
    <w:rsid w:val="79B20E02"/>
    <w:rsid w:val="79B50075"/>
    <w:rsid w:val="79C0064C"/>
    <w:rsid w:val="79C0220E"/>
    <w:rsid w:val="79C9060F"/>
    <w:rsid w:val="79D41DC3"/>
    <w:rsid w:val="79D544BA"/>
    <w:rsid w:val="79E7530B"/>
    <w:rsid w:val="79EC2957"/>
    <w:rsid w:val="79EF427F"/>
    <w:rsid w:val="79FB71AC"/>
    <w:rsid w:val="7A0254DE"/>
    <w:rsid w:val="7A0550F6"/>
    <w:rsid w:val="7A080F43"/>
    <w:rsid w:val="7A135E80"/>
    <w:rsid w:val="7A214813"/>
    <w:rsid w:val="7A2150CD"/>
    <w:rsid w:val="7A2213F0"/>
    <w:rsid w:val="7A3326FC"/>
    <w:rsid w:val="7A374022"/>
    <w:rsid w:val="7A380449"/>
    <w:rsid w:val="7A3C5AEC"/>
    <w:rsid w:val="7A452E08"/>
    <w:rsid w:val="7A4800B0"/>
    <w:rsid w:val="7A5605FF"/>
    <w:rsid w:val="7A657225"/>
    <w:rsid w:val="7A6967B4"/>
    <w:rsid w:val="7A743833"/>
    <w:rsid w:val="7A7B571D"/>
    <w:rsid w:val="7A7F15B6"/>
    <w:rsid w:val="7A84569A"/>
    <w:rsid w:val="7A845CC9"/>
    <w:rsid w:val="7A84797B"/>
    <w:rsid w:val="7A862C70"/>
    <w:rsid w:val="7A8F5629"/>
    <w:rsid w:val="7A9876D3"/>
    <w:rsid w:val="7AB36004"/>
    <w:rsid w:val="7AB377A7"/>
    <w:rsid w:val="7AB82515"/>
    <w:rsid w:val="7AB84296"/>
    <w:rsid w:val="7AB848D8"/>
    <w:rsid w:val="7AC343A4"/>
    <w:rsid w:val="7ACA7F25"/>
    <w:rsid w:val="7AEC1E9B"/>
    <w:rsid w:val="7AEC7422"/>
    <w:rsid w:val="7AED79A0"/>
    <w:rsid w:val="7AFF11C4"/>
    <w:rsid w:val="7B070F47"/>
    <w:rsid w:val="7B0B0016"/>
    <w:rsid w:val="7B0B4977"/>
    <w:rsid w:val="7B0E3CB5"/>
    <w:rsid w:val="7B0F26D6"/>
    <w:rsid w:val="7B143447"/>
    <w:rsid w:val="7B202ABE"/>
    <w:rsid w:val="7B291D9A"/>
    <w:rsid w:val="7B2A110A"/>
    <w:rsid w:val="7B2F7E3D"/>
    <w:rsid w:val="7B3B425B"/>
    <w:rsid w:val="7B3E4744"/>
    <w:rsid w:val="7B411A62"/>
    <w:rsid w:val="7B480220"/>
    <w:rsid w:val="7B4C4A7A"/>
    <w:rsid w:val="7B570C1A"/>
    <w:rsid w:val="7B574266"/>
    <w:rsid w:val="7B5B3F81"/>
    <w:rsid w:val="7B5D0D19"/>
    <w:rsid w:val="7B780220"/>
    <w:rsid w:val="7B7B0D20"/>
    <w:rsid w:val="7B8570C3"/>
    <w:rsid w:val="7B8B7ED8"/>
    <w:rsid w:val="7B8F31B2"/>
    <w:rsid w:val="7BA95364"/>
    <w:rsid w:val="7BAA57B2"/>
    <w:rsid w:val="7BAF52B1"/>
    <w:rsid w:val="7BB327A5"/>
    <w:rsid w:val="7BB76B8E"/>
    <w:rsid w:val="7BB92813"/>
    <w:rsid w:val="7BBD384A"/>
    <w:rsid w:val="7BC00391"/>
    <w:rsid w:val="7BC71FEC"/>
    <w:rsid w:val="7BC80383"/>
    <w:rsid w:val="7BD16595"/>
    <w:rsid w:val="7BD357BA"/>
    <w:rsid w:val="7BD83FC3"/>
    <w:rsid w:val="7BDE46F5"/>
    <w:rsid w:val="7BE85F13"/>
    <w:rsid w:val="7BED1CF4"/>
    <w:rsid w:val="7BF24AF9"/>
    <w:rsid w:val="7BFD0718"/>
    <w:rsid w:val="7C04013E"/>
    <w:rsid w:val="7C0522C7"/>
    <w:rsid w:val="7C14707B"/>
    <w:rsid w:val="7C33042E"/>
    <w:rsid w:val="7C337676"/>
    <w:rsid w:val="7C36271E"/>
    <w:rsid w:val="7C3E1F10"/>
    <w:rsid w:val="7C4B2809"/>
    <w:rsid w:val="7C4C2430"/>
    <w:rsid w:val="7C557D34"/>
    <w:rsid w:val="7C5F5B96"/>
    <w:rsid w:val="7C801FC8"/>
    <w:rsid w:val="7C852914"/>
    <w:rsid w:val="7C8B7EA7"/>
    <w:rsid w:val="7C8C57EF"/>
    <w:rsid w:val="7C920B2A"/>
    <w:rsid w:val="7C96018D"/>
    <w:rsid w:val="7CB832FA"/>
    <w:rsid w:val="7CBE6CB9"/>
    <w:rsid w:val="7CC3762D"/>
    <w:rsid w:val="7CC72AE3"/>
    <w:rsid w:val="7CCF74E3"/>
    <w:rsid w:val="7CD05408"/>
    <w:rsid w:val="7CD478AC"/>
    <w:rsid w:val="7CD671BF"/>
    <w:rsid w:val="7CDE0FCD"/>
    <w:rsid w:val="7CE23CCF"/>
    <w:rsid w:val="7CE44F32"/>
    <w:rsid w:val="7CEF7951"/>
    <w:rsid w:val="7CF02B44"/>
    <w:rsid w:val="7CF125B1"/>
    <w:rsid w:val="7CF30A0A"/>
    <w:rsid w:val="7CF36F5B"/>
    <w:rsid w:val="7CF40D3E"/>
    <w:rsid w:val="7CF613F9"/>
    <w:rsid w:val="7CF90AAA"/>
    <w:rsid w:val="7D0509A8"/>
    <w:rsid w:val="7D080696"/>
    <w:rsid w:val="7D131213"/>
    <w:rsid w:val="7D143198"/>
    <w:rsid w:val="7D233D17"/>
    <w:rsid w:val="7D311055"/>
    <w:rsid w:val="7D343AA8"/>
    <w:rsid w:val="7D3A05C1"/>
    <w:rsid w:val="7D437F94"/>
    <w:rsid w:val="7D51661E"/>
    <w:rsid w:val="7D5D01DD"/>
    <w:rsid w:val="7D641950"/>
    <w:rsid w:val="7D696952"/>
    <w:rsid w:val="7D79759A"/>
    <w:rsid w:val="7D7B4CC5"/>
    <w:rsid w:val="7D833A86"/>
    <w:rsid w:val="7D880EDF"/>
    <w:rsid w:val="7D8E049A"/>
    <w:rsid w:val="7DA47F91"/>
    <w:rsid w:val="7DAA3917"/>
    <w:rsid w:val="7DB0187C"/>
    <w:rsid w:val="7DBA3498"/>
    <w:rsid w:val="7DC033E3"/>
    <w:rsid w:val="7DD20BAB"/>
    <w:rsid w:val="7DD71768"/>
    <w:rsid w:val="7DDD74A3"/>
    <w:rsid w:val="7DDF4738"/>
    <w:rsid w:val="7DE56F9F"/>
    <w:rsid w:val="7DF007AE"/>
    <w:rsid w:val="7E084328"/>
    <w:rsid w:val="7E0D7CD7"/>
    <w:rsid w:val="7E2030CC"/>
    <w:rsid w:val="7E315B96"/>
    <w:rsid w:val="7E3172BF"/>
    <w:rsid w:val="7E320236"/>
    <w:rsid w:val="7E3261A0"/>
    <w:rsid w:val="7E485C46"/>
    <w:rsid w:val="7E540003"/>
    <w:rsid w:val="7E637970"/>
    <w:rsid w:val="7E653009"/>
    <w:rsid w:val="7E7154F5"/>
    <w:rsid w:val="7E7B05F3"/>
    <w:rsid w:val="7E830B8C"/>
    <w:rsid w:val="7E8C08F2"/>
    <w:rsid w:val="7E8D6272"/>
    <w:rsid w:val="7E94037B"/>
    <w:rsid w:val="7EA102C3"/>
    <w:rsid w:val="7EA212D2"/>
    <w:rsid w:val="7EAD5D01"/>
    <w:rsid w:val="7EB430A5"/>
    <w:rsid w:val="7EB94221"/>
    <w:rsid w:val="7EC70552"/>
    <w:rsid w:val="7ED5272B"/>
    <w:rsid w:val="7ED60B31"/>
    <w:rsid w:val="7EDD1569"/>
    <w:rsid w:val="7EE23BBA"/>
    <w:rsid w:val="7EE32EB1"/>
    <w:rsid w:val="7EE76A5E"/>
    <w:rsid w:val="7EEE4540"/>
    <w:rsid w:val="7EF030E0"/>
    <w:rsid w:val="7EFD1878"/>
    <w:rsid w:val="7F002510"/>
    <w:rsid w:val="7F125C1D"/>
    <w:rsid w:val="7F134D6B"/>
    <w:rsid w:val="7F2C695B"/>
    <w:rsid w:val="7F370F4F"/>
    <w:rsid w:val="7F4F6ADA"/>
    <w:rsid w:val="7F5235FC"/>
    <w:rsid w:val="7F5363F5"/>
    <w:rsid w:val="7F656973"/>
    <w:rsid w:val="7F69027F"/>
    <w:rsid w:val="7F6A19C9"/>
    <w:rsid w:val="7F722445"/>
    <w:rsid w:val="7F73792C"/>
    <w:rsid w:val="7F7867D8"/>
    <w:rsid w:val="7F7A454E"/>
    <w:rsid w:val="7F7E5012"/>
    <w:rsid w:val="7F8146A0"/>
    <w:rsid w:val="7F826B9A"/>
    <w:rsid w:val="7F89667C"/>
    <w:rsid w:val="7F991A6A"/>
    <w:rsid w:val="7F9D4939"/>
    <w:rsid w:val="7FC338D5"/>
    <w:rsid w:val="7FD22B8F"/>
    <w:rsid w:val="7FD327C3"/>
    <w:rsid w:val="7FD93C64"/>
    <w:rsid w:val="7FE23E0F"/>
    <w:rsid w:val="7FEF033A"/>
    <w:rsid w:val="7FF42D9D"/>
    <w:rsid w:val="7FF95C1C"/>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41"/>
    <w:qFormat/>
    <w:uiPriority w:val="0"/>
    <w:pPr>
      <w:keepNext/>
      <w:keepLines/>
      <w:spacing w:before="260" w:after="260" w:line="416" w:lineRule="auto"/>
      <w:outlineLvl w:val="1"/>
    </w:pPr>
    <w:rPr>
      <w:rFonts w:ascii="Arial" w:hAnsi="Arial" w:eastAsia="黑体"/>
      <w:b/>
      <w:bCs/>
      <w:kern w:val="2"/>
      <w:sz w:val="32"/>
      <w:szCs w:val="32"/>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line="360" w:lineRule="auto"/>
      <w:outlineLvl w:val="3"/>
    </w:pPr>
    <w:rPr>
      <w:rFonts w:ascii="Arial" w:hAnsi="Arial"/>
      <w:b/>
      <w:bCs/>
      <w:szCs w:val="28"/>
    </w:rPr>
  </w:style>
  <w:style w:type="paragraph" w:styleId="10">
    <w:name w:val="heading 5"/>
    <w:basedOn w:val="1"/>
    <w:next w:val="1"/>
    <w:qFormat/>
    <w:uiPriority w:val="0"/>
    <w:pPr>
      <w:keepNext/>
      <w:keepLines/>
      <w:spacing w:before="280" w:after="290" w:line="376" w:lineRule="auto"/>
      <w:outlineLvl w:val="4"/>
    </w:pPr>
    <w:rPr>
      <w:b/>
      <w:bCs/>
      <w:sz w:val="28"/>
      <w:szCs w:val="28"/>
    </w:rPr>
  </w:style>
  <w:style w:type="paragraph" w:styleId="11">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2">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3">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4">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1">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420" w:leftChars="200"/>
    </w:pPr>
  </w:style>
  <w:style w:type="paragraph" w:styleId="15">
    <w:name w:val="Normal Indent"/>
    <w:basedOn w:val="1"/>
    <w:qFormat/>
    <w:uiPriority w:val="0"/>
    <w:pPr>
      <w:ind w:firstLine="420" w:firstLineChars="200"/>
    </w:pPr>
  </w:style>
  <w:style w:type="paragraph" w:styleId="16">
    <w:name w:val="Document Map"/>
    <w:basedOn w:val="1"/>
    <w:semiHidden/>
    <w:qFormat/>
    <w:uiPriority w:val="0"/>
    <w:pPr>
      <w:shd w:val="clear" w:color="auto" w:fill="000080"/>
    </w:pPr>
  </w:style>
  <w:style w:type="paragraph" w:styleId="17">
    <w:name w:val="annotation text"/>
    <w:basedOn w:val="1"/>
    <w:qFormat/>
    <w:uiPriority w:val="0"/>
    <w:pPr>
      <w:jc w:val="left"/>
    </w:pPr>
  </w:style>
  <w:style w:type="paragraph" w:styleId="18">
    <w:name w:val="Body Text 3"/>
    <w:basedOn w:val="1"/>
    <w:qFormat/>
    <w:uiPriority w:val="0"/>
    <w:rPr>
      <w:sz w:val="24"/>
    </w:rPr>
  </w:style>
  <w:style w:type="paragraph" w:styleId="19">
    <w:name w:val="toc 3"/>
    <w:basedOn w:val="1"/>
    <w:next w:val="1"/>
    <w:semiHidden/>
    <w:qFormat/>
    <w:uiPriority w:val="0"/>
    <w:pPr>
      <w:ind w:left="840" w:leftChars="400"/>
    </w:pPr>
  </w:style>
  <w:style w:type="paragraph" w:styleId="20">
    <w:name w:val="Plain Text"/>
    <w:basedOn w:val="1"/>
    <w:link w:val="42"/>
    <w:qFormat/>
    <w:uiPriority w:val="0"/>
    <w:rPr>
      <w:rFonts w:hAnsi="Courier New" w:cs="Courier New"/>
      <w:kern w:val="2"/>
      <w:sz w:val="21"/>
      <w:szCs w:val="21"/>
    </w:rPr>
  </w:style>
  <w:style w:type="paragraph" w:styleId="21">
    <w:name w:val="Date"/>
    <w:basedOn w:val="1"/>
    <w:next w:val="1"/>
    <w:qFormat/>
    <w:uiPriority w:val="0"/>
    <w:pPr>
      <w:ind w:left="100" w:leftChars="2500"/>
    </w:pPr>
  </w:style>
  <w:style w:type="paragraph" w:styleId="22">
    <w:name w:val="Body Text Indent 2"/>
    <w:basedOn w:val="1"/>
    <w:qFormat/>
    <w:uiPriority w:val="0"/>
    <w:pPr>
      <w:spacing w:after="120" w:line="480" w:lineRule="auto"/>
      <w:ind w:left="420" w:leftChars="200"/>
    </w:pPr>
  </w:style>
  <w:style w:type="paragraph" w:styleId="23">
    <w:name w:val="Balloon Text"/>
    <w:basedOn w:val="1"/>
    <w:semiHidden/>
    <w:qFormat/>
    <w:uiPriority w:val="0"/>
    <w:rPr>
      <w:sz w:val="18"/>
      <w:szCs w:val="18"/>
    </w:rPr>
  </w:style>
  <w:style w:type="paragraph" w:styleId="24">
    <w:name w:val="footer"/>
    <w:basedOn w:val="1"/>
    <w:link w:val="51"/>
    <w:qFormat/>
    <w:uiPriority w:val="0"/>
    <w:pPr>
      <w:tabs>
        <w:tab w:val="center" w:pos="4153"/>
        <w:tab w:val="right" w:pos="8306"/>
      </w:tabs>
      <w:snapToGrid w:val="0"/>
      <w:jc w:val="left"/>
    </w:pPr>
    <w:rPr>
      <w:rFonts w:ascii="Times New Roman"/>
      <w:kern w:val="2"/>
      <w:sz w:val="18"/>
      <w:szCs w:val="18"/>
    </w:rPr>
  </w:style>
  <w:style w:type="paragraph" w:styleId="25">
    <w:name w:val="header"/>
    <w:basedOn w:val="1"/>
    <w:link w:val="83"/>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7">
    <w:name w:val="Body Text Indent 3"/>
    <w:basedOn w:val="1"/>
    <w:qFormat/>
    <w:uiPriority w:val="0"/>
    <w:pPr>
      <w:ind w:firstLine="420" w:firstLineChars="200"/>
    </w:pPr>
    <w:rPr>
      <w:rFonts w:hAnsi="宋体"/>
    </w:rPr>
  </w:style>
  <w:style w:type="paragraph" w:styleId="28">
    <w:name w:val="Normal (Web)"/>
    <w:basedOn w:val="1"/>
    <w:qFormat/>
    <w:uiPriority w:val="0"/>
    <w:pPr>
      <w:widowControl/>
      <w:spacing w:before="100" w:beforeAutospacing="1" w:after="100" w:afterAutospacing="1"/>
      <w:jc w:val="left"/>
    </w:pPr>
    <w:rPr>
      <w:rFonts w:hAnsi="宋体" w:cs="宋体"/>
      <w:sz w:val="24"/>
    </w:rPr>
  </w:style>
  <w:style w:type="paragraph" w:styleId="29">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2">
    <w:name w:val="Strong"/>
    <w:qFormat/>
    <w:uiPriority w:val="22"/>
    <w:rPr>
      <w:b/>
      <w:bCs/>
    </w:rPr>
  </w:style>
  <w:style w:type="character" w:styleId="33">
    <w:name w:val="page number"/>
    <w:basedOn w:val="31"/>
    <w:qFormat/>
    <w:uiPriority w:val="0"/>
  </w:style>
  <w:style w:type="character" w:styleId="34">
    <w:name w:val="FollowedHyperlink"/>
    <w:qFormat/>
    <w:uiPriority w:val="0"/>
    <w:rPr>
      <w:color w:val="000000"/>
      <w:u w:val="none"/>
    </w:rPr>
  </w:style>
  <w:style w:type="character" w:styleId="35">
    <w:name w:val="Emphasis"/>
    <w:basedOn w:val="31"/>
    <w:qFormat/>
    <w:uiPriority w:val="0"/>
  </w:style>
  <w:style w:type="character" w:styleId="36">
    <w:name w:val="Hyperlink"/>
    <w:basedOn w:val="31"/>
    <w:qFormat/>
    <w:uiPriority w:val="0"/>
    <w:rPr>
      <w:color w:val="000000"/>
      <w:u w:val="none"/>
    </w:rPr>
  </w:style>
  <w:style w:type="character" w:customStyle="1" w:styleId="37">
    <w:name w:val="hover3"/>
    <w:qFormat/>
    <w:uiPriority w:val="0"/>
    <w:rPr>
      <w:bdr w:val="single" w:color="FFCC33" w:sz="6" w:space="0"/>
    </w:rPr>
  </w:style>
  <w:style w:type="character" w:customStyle="1" w:styleId="38">
    <w:name w:val="tit1"/>
    <w:basedOn w:val="31"/>
    <w:qFormat/>
    <w:uiPriority w:val="0"/>
  </w:style>
  <w:style w:type="character" w:customStyle="1" w:styleId="39">
    <w:name w:val="textcontents"/>
    <w:basedOn w:val="31"/>
    <w:qFormat/>
    <w:uiPriority w:val="0"/>
  </w:style>
  <w:style w:type="character" w:customStyle="1" w:styleId="40">
    <w:name w:val="down"/>
    <w:qFormat/>
    <w:uiPriority w:val="0"/>
    <w:rPr>
      <w:shd w:val="clear" w:color="auto" w:fill="DAEEF9"/>
    </w:rPr>
  </w:style>
  <w:style w:type="character" w:customStyle="1" w:styleId="41">
    <w:name w:val="标题 2 Char"/>
    <w:link w:val="7"/>
    <w:qFormat/>
    <w:uiPriority w:val="0"/>
    <w:rPr>
      <w:rFonts w:ascii="Arial" w:hAnsi="Arial" w:eastAsia="黑体"/>
      <w:b/>
      <w:bCs/>
      <w:kern w:val="2"/>
      <w:sz w:val="32"/>
      <w:szCs w:val="32"/>
      <w:lang w:val="en-US" w:eastAsia="zh-CN" w:bidi="ar-SA"/>
    </w:rPr>
  </w:style>
  <w:style w:type="character" w:customStyle="1" w:styleId="42">
    <w:name w:val="纯文本 Char"/>
    <w:link w:val="20"/>
    <w:qFormat/>
    <w:uiPriority w:val="0"/>
    <w:rPr>
      <w:rFonts w:ascii="宋体" w:hAnsi="Courier New" w:eastAsia="宋体" w:cs="Courier New"/>
      <w:kern w:val="2"/>
      <w:sz w:val="21"/>
      <w:szCs w:val="21"/>
      <w:lang w:val="en-US" w:eastAsia="zh-CN" w:bidi="ar-SA"/>
    </w:rPr>
  </w:style>
  <w:style w:type="character" w:customStyle="1" w:styleId="43">
    <w:name w:val="lsl"/>
    <w:basedOn w:val="31"/>
    <w:qFormat/>
    <w:uiPriority w:val="0"/>
  </w:style>
  <w:style w:type="character" w:customStyle="1" w:styleId="44">
    <w:name w:val="tit"/>
    <w:basedOn w:val="31"/>
    <w:qFormat/>
    <w:uiPriority w:val="0"/>
  </w:style>
  <w:style w:type="character" w:customStyle="1" w:styleId="45">
    <w:name w:val="sl"/>
    <w:basedOn w:val="31"/>
    <w:qFormat/>
    <w:uiPriority w:val="0"/>
  </w:style>
  <w:style w:type="character" w:customStyle="1" w:styleId="46">
    <w:name w:val="up"/>
    <w:basedOn w:val="31"/>
    <w:qFormat/>
    <w:uiPriority w:val="0"/>
  </w:style>
  <w:style w:type="character" w:customStyle="1" w:styleId="47">
    <w:name w:val="lsr"/>
    <w:basedOn w:val="31"/>
    <w:qFormat/>
    <w:uiPriority w:val="0"/>
  </w:style>
  <w:style w:type="character" w:customStyle="1" w:styleId="48">
    <w:name w:val="cpb"/>
    <w:qFormat/>
    <w:uiPriority w:val="0"/>
    <w:rPr>
      <w:color w:val="FFFFFF"/>
    </w:rPr>
  </w:style>
  <w:style w:type="character" w:customStyle="1" w:styleId="49">
    <w:name w:val="sr"/>
    <w:basedOn w:val="31"/>
    <w:qFormat/>
    <w:uiPriority w:val="0"/>
  </w:style>
  <w:style w:type="character" w:customStyle="1" w:styleId="50">
    <w:name w:val="apple-converted-space"/>
    <w:basedOn w:val="31"/>
    <w:qFormat/>
    <w:uiPriority w:val="0"/>
  </w:style>
  <w:style w:type="character" w:customStyle="1" w:styleId="51">
    <w:name w:val="页脚 Char"/>
    <w:link w:val="24"/>
    <w:qFormat/>
    <w:uiPriority w:val="0"/>
    <w:rPr>
      <w:kern w:val="2"/>
      <w:sz w:val="18"/>
      <w:szCs w:val="18"/>
    </w:rPr>
  </w:style>
  <w:style w:type="character" w:customStyle="1" w:styleId="52">
    <w:name w:val="font161"/>
    <w:qFormat/>
    <w:uiPriority w:val="0"/>
    <w:rPr>
      <w:b/>
      <w:bCs/>
      <w:sz w:val="32"/>
      <w:szCs w:val="32"/>
    </w:rPr>
  </w:style>
  <w:style w:type="paragraph" w:customStyle="1" w:styleId="53">
    <w:name w:val="z-窗体顶端1"/>
    <w:basedOn w:val="1"/>
    <w:next w:val="1"/>
    <w:qFormat/>
    <w:uiPriority w:val="0"/>
    <w:pPr>
      <w:pBdr>
        <w:bottom w:val="single" w:color="auto" w:sz="6" w:space="1"/>
      </w:pBdr>
      <w:jc w:val="center"/>
    </w:pPr>
    <w:rPr>
      <w:rFonts w:ascii="Arial"/>
      <w:vanish/>
      <w:sz w:val="16"/>
    </w:rPr>
  </w:style>
  <w:style w:type="paragraph" w:customStyle="1" w:styleId="54">
    <w:name w:val="表格"/>
    <w:basedOn w:val="1"/>
    <w:qFormat/>
    <w:uiPriority w:val="0"/>
    <w:pPr>
      <w:jc w:val="center"/>
      <w:textAlignment w:val="center"/>
    </w:pPr>
    <w:rPr>
      <w:rFonts w:ascii="华文细黑" w:hAnsi="华文细黑"/>
    </w:rPr>
  </w:style>
  <w:style w:type="paragraph" w:customStyle="1" w:styleId="55">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6">
    <w:name w:val="样式 标题 1 + 黑体 三号 非加粗 居中 段前: 6 磅 段后: 6 磅 行距: 固定值 20 磅"/>
    <w:basedOn w:val="6"/>
    <w:qFormat/>
    <w:uiPriority w:val="0"/>
    <w:pPr>
      <w:spacing w:before="120" w:after="120" w:line="400" w:lineRule="exact"/>
      <w:jc w:val="center"/>
    </w:pPr>
    <w:rPr>
      <w:rFonts w:ascii="黑体" w:hAnsi="黑体" w:eastAsia="黑体" w:cs="宋体"/>
      <w:b w:val="0"/>
      <w:bCs w:val="0"/>
      <w:sz w:val="32"/>
      <w:szCs w:val="20"/>
    </w:rPr>
  </w:style>
  <w:style w:type="paragraph" w:customStyle="1" w:styleId="57">
    <w:name w:val="正文 + 自动设置"/>
    <w:basedOn w:val="6"/>
    <w:qFormat/>
    <w:uiPriority w:val="0"/>
    <w:pPr>
      <w:tabs>
        <w:tab w:val="left" w:pos="840"/>
      </w:tabs>
      <w:spacing w:before="360" w:after="360" w:line="480" w:lineRule="auto"/>
      <w:jc w:val="center"/>
    </w:pPr>
    <w:rPr>
      <w:rFonts w:eastAsia="黑体"/>
      <w:bCs w:val="0"/>
      <w:sz w:val="36"/>
      <w:szCs w:val="20"/>
    </w:rPr>
  </w:style>
  <w:style w:type="paragraph" w:customStyle="1" w:styleId="58">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5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0">
    <w:name w:val="Char1"/>
    <w:basedOn w:val="1"/>
    <w:qFormat/>
    <w:uiPriority w:val="0"/>
    <w:pPr>
      <w:adjustRightInd w:val="0"/>
      <w:spacing w:line="600" w:lineRule="exact"/>
      <w:ind w:firstLine="560" w:firstLineChars="200"/>
      <w:jc w:val="center"/>
    </w:pPr>
  </w:style>
  <w:style w:type="paragraph" w:customStyle="1" w:styleId="61">
    <w:name w:val="Char"/>
    <w:basedOn w:val="1"/>
    <w:qFormat/>
    <w:uiPriority w:val="0"/>
    <w:rPr>
      <w:rFonts w:ascii="仿宋_GB2312" w:eastAsia="仿宋_GB2312"/>
      <w:b/>
      <w:sz w:val="32"/>
      <w:szCs w:val="32"/>
    </w:rPr>
  </w:style>
  <w:style w:type="paragraph" w:customStyle="1" w:styleId="62">
    <w:name w:val="p0"/>
    <w:basedOn w:val="1"/>
    <w:qFormat/>
    <w:uiPriority w:val="0"/>
    <w:pPr>
      <w:widowControl/>
      <w:spacing w:line="408" w:lineRule="auto"/>
      <w:ind w:left="1"/>
      <w:textAlignment w:val="bottom"/>
    </w:pPr>
    <w:rPr>
      <w:color w:val="000000"/>
    </w:rPr>
  </w:style>
  <w:style w:type="paragraph" w:customStyle="1" w:styleId="63">
    <w:name w:val="1"/>
    <w:basedOn w:val="1"/>
    <w:next w:val="1"/>
    <w:qFormat/>
    <w:uiPriority w:val="0"/>
  </w:style>
  <w:style w:type="paragraph" w:customStyle="1" w:styleId="64">
    <w:name w:val="默认段落字体 Para Char Char Char Char Char Char Char"/>
    <w:basedOn w:val="1"/>
    <w:qFormat/>
    <w:uiPriority w:val="0"/>
    <w:rPr>
      <w:rFonts w:ascii="Tahoma" w:hAnsi="Tahoma"/>
      <w:sz w:val="24"/>
    </w:rPr>
  </w:style>
  <w:style w:type="paragraph" w:customStyle="1" w:styleId="65">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6">
    <w:name w:val="表格文字"/>
    <w:basedOn w:val="1"/>
    <w:qFormat/>
    <w:uiPriority w:val="0"/>
    <w:pPr>
      <w:adjustRightInd w:val="0"/>
      <w:spacing w:line="420" w:lineRule="atLeast"/>
      <w:jc w:val="left"/>
      <w:textAlignment w:val="baseline"/>
    </w:pPr>
  </w:style>
  <w:style w:type="paragraph" w:customStyle="1" w:styleId="67">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6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z-窗体底端1"/>
    <w:basedOn w:val="1"/>
    <w:next w:val="1"/>
    <w:qFormat/>
    <w:uiPriority w:val="0"/>
    <w:pPr>
      <w:pBdr>
        <w:top w:val="single" w:color="auto" w:sz="6" w:space="1"/>
      </w:pBdr>
      <w:jc w:val="center"/>
    </w:pPr>
    <w:rPr>
      <w:rFonts w:ascii="Arial"/>
      <w:vanish/>
      <w:sz w:val="16"/>
    </w:rPr>
  </w:style>
  <w:style w:type="paragraph" w:customStyle="1" w:styleId="70">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1">
    <w:name w:val="cjk"/>
    <w:basedOn w:val="1"/>
    <w:qFormat/>
    <w:uiPriority w:val="0"/>
    <w:pPr>
      <w:widowControl/>
      <w:jc w:val="left"/>
    </w:pPr>
    <w:rPr>
      <w:rFonts w:hAnsi="宋体" w:cs="宋体"/>
      <w:sz w:val="24"/>
      <w:szCs w:val="24"/>
    </w:rPr>
  </w:style>
  <w:style w:type="character" w:customStyle="1" w:styleId="72">
    <w:name w:val="15"/>
    <w:qFormat/>
    <w:uiPriority w:val="0"/>
    <w:rPr>
      <w:rFonts w:hint="default" w:ascii="Times New Roman" w:hAnsi="Times New Roman" w:cs="Times New Roman"/>
      <w:color w:val="0000FF"/>
      <w:u w:val="single"/>
    </w:rPr>
  </w:style>
  <w:style w:type="character" w:customStyle="1" w:styleId="73">
    <w:name w:val="blue"/>
    <w:basedOn w:val="31"/>
    <w:qFormat/>
    <w:uiPriority w:val="0"/>
    <w:rPr>
      <w:color w:val="0371C6"/>
      <w:sz w:val="21"/>
      <w:szCs w:val="21"/>
    </w:rPr>
  </w:style>
  <w:style w:type="character" w:customStyle="1" w:styleId="74">
    <w:name w:val="gb-jt"/>
    <w:basedOn w:val="31"/>
    <w:qFormat/>
    <w:uiPriority w:val="0"/>
  </w:style>
  <w:style w:type="character" w:customStyle="1" w:styleId="75">
    <w:name w:val="red"/>
    <w:basedOn w:val="31"/>
    <w:qFormat/>
    <w:uiPriority w:val="0"/>
    <w:rPr>
      <w:color w:val="FF0000"/>
      <w:sz w:val="18"/>
      <w:szCs w:val="18"/>
    </w:rPr>
  </w:style>
  <w:style w:type="character" w:customStyle="1" w:styleId="76">
    <w:name w:val="red1"/>
    <w:basedOn w:val="31"/>
    <w:qFormat/>
    <w:uiPriority w:val="0"/>
    <w:rPr>
      <w:color w:val="FF0000"/>
      <w:sz w:val="18"/>
      <w:szCs w:val="18"/>
    </w:rPr>
  </w:style>
  <w:style w:type="character" w:customStyle="1" w:styleId="77">
    <w:name w:val="red2"/>
    <w:basedOn w:val="31"/>
    <w:qFormat/>
    <w:uiPriority w:val="0"/>
    <w:rPr>
      <w:color w:val="FF0000"/>
    </w:rPr>
  </w:style>
  <w:style w:type="character" w:customStyle="1" w:styleId="78">
    <w:name w:val="green"/>
    <w:basedOn w:val="31"/>
    <w:qFormat/>
    <w:uiPriority w:val="0"/>
    <w:rPr>
      <w:color w:val="66AE00"/>
      <w:sz w:val="18"/>
      <w:szCs w:val="18"/>
    </w:rPr>
  </w:style>
  <w:style w:type="character" w:customStyle="1" w:styleId="79">
    <w:name w:val="green1"/>
    <w:basedOn w:val="31"/>
    <w:qFormat/>
    <w:uiPriority w:val="0"/>
    <w:rPr>
      <w:color w:val="66AE00"/>
      <w:sz w:val="18"/>
      <w:szCs w:val="18"/>
    </w:rPr>
  </w:style>
  <w:style w:type="character" w:customStyle="1" w:styleId="80">
    <w:name w:val="hover25"/>
    <w:basedOn w:val="31"/>
    <w:qFormat/>
    <w:uiPriority w:val="0"/>
  </w:style>
  <w:style w:type="character" w:customStyle="1" w:styleId="81">
    <w:name w:val="right"/>
    <w:basedOn w:val="31"/>
    <w:qFormat/>
    <w:uiPriority w:val="0"/>
    <w:rPr>
      <w:color w:val="999999"/>
      <w:sz w:val="18"/>
      <w:szCs w:val="18"/>
    </w:rPr>
  </w:style>
  <w:style w:type="character" w:customStyle="1" w:styleId="82">
    <w:name w:val="hover"/>
    <w:basedOn w:val="31"/>
    <w:qFormat/>
    <w:uiPriority w:val="0"/>
  </w:style>
  <w:style w:type="character" w:customStyle="1" w:styleId="83">
    <w:name w:val="页眉 Char"/>
    <w:basedOn w:val="31"/>
    <w:link w:val="25"/>
    <w:qFormat/>
    <w:uiPriority w:val="0"/>
    <w:rPr>
      <w:rFonts w:ascii="宋体"/>
      <w:sz w:val="18"/>
      <w:szCs w:val="18"/>
    </w:rPr>
  </w:style>
  <w:style w:type="character" w:customStyle="1" w:styleId="84">
    <w:name w:val="red3"/>
    <w:basedOn w:val="31"/>
    <w:qFormat/>
    <w:uiPriority w:val="0"/>
    <w:rPr>
      <w:color w:val="FF0000"/>
    </w:rPr>
  </w:style>
  <w:style w:type="character" w:customStyle="1" w:styleId="85">
    <w:name w:val="hover24"/>
    <w:basedOn w:val="3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5"/>
    <customShpInfo spid="_x0000_s2053"/>
    <customShpInfo spid="_x0000_s2052"/>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44609-8746-4A95-9FF7-B0FCD1ED1F1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79</Pages>
  <Words>34950</Words>
  <Characters>7840</Characters>
  <Lines>65</Lines>
  <Paragraphs>85</Paragraphs>
  <TotalTime>0</TotalTime>
  <ScaleCrop>false</ScaleCrop>
  <LinksUpToDate>false</LinksUpToDate>
  <CharactersWithSpaces>42705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╲_/戀煋兒╰</cp:lastModifiedBy>
  <cp:lastPrinted>2019-07-01T07:52:00Z</cp:lastPrinted>
  <dcterms:modified xsi:type="dcterms:W3CDTF">2019-09-11T03:25:49Z</dcterms:modified>
  <dc:title>魏武大道曹操饮马河桥工程</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