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华文中宋" w:hAnsi="华文中宋" w:eastAsia="华文中宋"/>
          <w:sz w:val="28"/>
          <w:szCs w:val="28"/>
        </w:rPr>
      </w:pPr>
    </w:p>
    <w:p>
      <w:pPr>
        <w:jc w:val="center"/>
        <w:rPr>
          <w:sz w:val="72"/>
          <w:szCs w:val="72"/>
        </w:rPr>
      </w:pPr>
      <w:r>
        <w:rPr>
          <w:rFonts w:hint="eastAsia" w:ascii="隶书" w:hAnsi="宋体" w:eastAsia="黑体"/>
          <w:b/>
          <w:bCs/>
          <w:sz w:val="48"/>
          <w:szCs w:val="48"/>
          <w:lang w:eastAsia="zh-CN"/>
        </w:rPr>
        <w:t>佛耳岗水库周庄北护岸险工护砌工程</w:t>
      </w:r>
    </w:p>
    <w:p>
      <w:pPr>
        <w:pStyle w:val="16"/>
      </w:pPr>
    </w:p>
    <w:p>
      <w:pPr>
        <w:adjustRightInd w:val="0"/>
        <w:snapToGrid w:val="0"/>
        <w:rPr>
          <w:rFonts w:ascii="楷体" w:hAnsi="楷体" w:eastAsia="楷体" w:cs="楷体"/>
          <w:b/>
          <w:sz w:val="72"/>
          <w:szCs w:val="96"/>
        </w:rPr>
      </w:pPr>
    </w:p>
    <w:p>
      <w:pPr>
        <w:adjustRightInd w:val="0"/>
        <w:snapToGrid w:val="0"/>
        <w:jc w:val="center"/>
        <w:rPr>
          <w:rFonts w:ascii="楷体" w:hAnsi="楷体" w:eastAsia="楷体"/>
          <w:b/>
          <w:bCs/>
          <w:sz w:val="96"/>
          <w:szCs w:val="96"/>
        </w:rPr>
      </w:pPr>
      <w:r>
        <w:rPr>
          <w:rFonts w:hint="eastAsia" w:ascii="楷体" w:hAnsi="楷体" w:eastAsia="楷体" w:cs="楷体"/>
          <w:b/>
          <w:bCs/>
          <w:sz w:val="96"/>
          <w:szCs w:val="96"/>
        </w:rPr>
        <w:t>竞争性谈判文件</w:t>
      </w:r>
    </w:p>
    <w:p/>
    <w:p/>
    <w:p>
      <w:pPr>
        <w:pStyle w:val="31"/>
        <w:ind w:firstLine="240"/>
      </w:pPr>
    </w:p>
    <w:p/>
    <w:p/>
    <w:p>
      <w:pPr>
        <w:adjustRightInd w:val="0"/>
        <w:snapToGrid w:val="0"/>
        <w:spacing w:line="300" w:lineRule="auto"/>
        <w:rPr>
          <w:rFonts w:ascii="隶书" w:eastAsia="隶书"/>
          <w:b/>
          <w:bCs/>
          <w:sz w:val="28"/>
        </w:rPr>
      </w:pPr>
    </w:p>
    <w:p>
      <w:pPr>
        <w:pStyle w:val="16"/>
      </w:pPr>
    </w:p>
    <w:p>
      <w:pPr>
        <w:adjustRightInd w:val="0"/>
        <w:snapToGrid w:val="0"/>
        <w:spacing w:line="360" w:lineRule="auto"/>
        <w:rPr>
          <w:rFonts w:asciiTheme="minorEastAsia" w:hAnsiTheme="minorEastAsia" w:eastAsiaTheme="minorEastAsia" w:cstheme="minorEastAsia"/>
          <w:b/>
          <w:bCs/>
          <w:sz w:val="28"/>
          <w:szCs w:val="28"/>
        </w:rPr>
      </w:pPr>
    </w:p>
    <w:p>
      <w:pPr>
        <w:adjustRightInd w:val="0"/>
        <w:snapToGrid w:val="0"/>
        <w:spacing w:line="360" w:lineRule="auto"/>
        <w:rPr>
          <w:rFonts w:asciiTheme="minorEastAsia" w:hAnsiTheme="minorEastAsia" w:eastAsiaTheme="minorEastAsia" w:cstheme="minorEastAsia"/>
          <w:b/>
          <w:bCs/>
          <w:sz w:val="28"/>
          <w:szCs w:val="28"/>
        </w:rPr>
      </w:pPr>
    </w:p>
    <w:p>
      <w:pPr>
        <w:adjustRightInd w:val="0"/>
        <w:snapToGrid w:val="0"/>
        <w:spacing w:line="360" w:lineRule="auto"/>
        <w:rPr>
          <w:rFonts w:asciiTheme="minorEastAsia" w:hAnsiTheme="minorEastAsia" w:eastAsiaTheme="minorEastAsia" w:cstheme="minorEastAsia"/>
          <w:b/>
          <w:bCs/>
          <w:sz w:val="28"/>
          <w:szCs w:val="28"/>
        </w:rPr>
      </w:pPr>
    </w:p>
    <w:p>
      <w:pPr>
        <w:adjustRightInd w:val="0"/>
        <w:snapToGrid w:val="0"/>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项目编号：长招采竞字【2019】08</w:t>
      </w:r>
      <w:r>
        <w:rPr>
          <w:rFonts w:hint="eastAsia" w:asciiTheme="minorEastAsia" w:hAnsiTheme="minorEastAsia" w:eastAsiaTheme="minorEastAsia" w:cstheme="minorEastAsia"/>
          <w:b/>
          <w:bCs/>
          <w:sz w:val="28"/>
          <w:szCs w:val="28"/>
          <w:lang w:val="en-US" w:eastAsia="zh-CN"/>
        </w:rPr>
        <w:t>6</w:t>
      </w:r>
      <w:r>
        <w:rPr>
          <w:rFonts w:hint="eastAsia" w:asciiTheme="minorEastAsia" w:hAnsiTheme="minorEastAsia" w:eastAsiaTheme="minorEastAsia" w:cstheme="minorEastAsia"/>
          <w:b/>
          <w:bCs/>
          <w:sz w:val="28"/>
          <w:szCs w:val="28"/>
        </w:rPr>
        <w:t>号</w:t>
      </w:r>
    </w:p>
    <w:p>
      <w:pPr>
        <w:adjustRightInd w:val="0"/>
        <w:snapToGrid w:val="0"/>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项目名称：</w:t>
      </w:r>
      <w:r>
        <w:rPr>
          <w:rFonts w:hint="eastAsia" w:asciiTheme="minorEastAsia" w:hAnsiTheme="minorEastAsia" w:eastAsiaTheme="minorEastAsia" w:cstheme="minorEastAsia"/>
          <w:b/>
          <w:bCs/>
          <w:sz w:val="28"/>
          <w:szCs w:val="28"/>
          <w:lang w:eastAsia="zh-CN"/>
        </w:rPr>
        <w:t>佛耳岗水库周庄北护岸险工护砌工程</w:t>
      </w:r>
    </w:p>
    <w:p>
      <w:pPr>
        <w:adjustRightInd w:val="0"/>
        <w:snapToGrid w:val="0"/>
        <w:spacing w:line="360" w:lineRule="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采 购 人：长葛市</w:t>
      </w:r>
      <w:r>
        <w:rPr>
          <w:rFonts w:hint="eastAsia" w:asciiTheme="minorEastAsia" w:hAnsiTheme="minorEastAsia" w:eastAsiaTheme="minorEastAsia" w:cstheme="minorEastAsia"/>
          <w:b/>
          <w:bCs/>
          <w:sz w:val="28"/>
          <w:szCs w:val="28"/>
          <w:lang w:eastAsia="zh-CN"/>
        </w:rPr>
        <w:t>佛耳岗水库管理所</w:t>
      </w:r>
    </w:p>
    <w:p>
      <w:pPr>
        <w:adjustRightInd w:val="0"/>
        <w:snapToGrid w:val="0"/>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集中采购机构：长葛市公共资源交易中心</w:t>
      </w: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p>
    <w:p>
      <w:pPr>
        <w:adjustRightInd w:val="0"/>
        <w:snapToGrid w:val="0"/>
        <w:spacing w:line="360" w:lineRule="auto"/>
        <w:ind w:firstLine="3233" w:firstLineChars="115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二〇一九年</w:t>
      </w:r>
      <w:r>
        <w:rPr>
          <w:rFonts w:hint="eastAsia" w:asciiTheme="minorEastAsia" w:hAnsiTheme="minorEastAsia" w:eastAsiaTheme="minorEastAsia" w:cstheme="minorEastAsia"/>
          <w:b/>
          <w:bCs/>
          <w:sz w:val="28"/>
          <w:szCs w:val="28"/>
          <w:lang w:eastAsia="zh-CN"/>
        </w:rPr>
        <w:t>九</w:t>
      </w:r>
      <w:r>
        <w:rPr>
          <w:rFonts w:hint="eastAsia" w:asciiTheme="minorEastAsia" w:hAnsiTheme="minorEastAsia" w:eastAsiaTheme="minorEastAsia" w:cstheme="minorEastAsia"/>
          <w:b/>
          <w:bCs/>
          <w:sz w:val="28"/>
          <w:szCs w:val="28"/>
        </w:rPr>
        <w:t>月</w:t>
      </w:r>
    </w:p>
    <w:p>
      <w:pPr>
        <w:spacing w:line="360" w:lineRule="auto"/>
        <w:rPr>
          <w:rFonts w:ascii="宋体"/>
        </w:rPr>
      </w:pPr>
    </w:p>
    <w:p>
      <w:pPr>
        <w:pStyle w:val="31"/>
        <w:ind w:firstLine="281"/>
        <w:rPr>
          <w:rFonts w:ascii="宋体" w:cs="宋体"/>
          <w:b/>
          <w:bCs/>
          <w:sz w:val="28"/>
          <w:szCs w:val="28"/>
        </w:rPr>
        <w:sectPr>
          <w:headerReference r:id="rId4" w:type="first"/>
          <w:headerReference r:id="rId3" w:type="default"/>
          <w:footerReference r:id="rId5" w:type="default"/>
          <w:pgSz w:w="11910" w:h="16840"/>
          <w:pgMar w:top="1440" w:right="1800" w:bottom="1440" w:left="1800" w:header="0" w:footer="894" w:gutter="0"/>
          <w:pgNumType w:start="1"/>
          <w:cols w:space="720" w:num="1"/>
          <w:titlePg/>
        </w:sectPr>
      </w:pPr>
    </w:p>
    <w:p>
      <w:pPr>
        <w:widowControl/>
        <w:jc w:val="left"/>
        <w:rPr>
          <w:rFonts w:ascii="华文中宋" w:hAnsi="华文中宋" w:eastAsia="华文中宋"/>
          <w:b/>
          <w:kern w:val="36"/>
          <w:sz w:val="44"/>
          <w:szCs w:val="44"/>
        </w:rPr>
      </w:pPr>
    </w:p>
    <w:p>
      <w:pPr>
        <w:widowControl/>
        <w:spacing w:line="480" w:lineRule="exact"/>
        <w:jc w:val="center"/>
        <w:rPr>
          <w:rFonts w:ascii="华文中宋" w:hAnsi="华文中宋" w:eastAsia="华文中宋"/>
          <w:b/>
          <w:kern w:val="36"/>
          <w:sz w:val="44"/>
          <w:szCs w:val="44"/>
        </w:rPr>
      </w:pPr>
    </w:p>
    <w:p>
      <w:pPr>
        <w:widowControl/>
        <w:spacing w:line="480" w:lineRule="exact"/>
        <w:jc w:val="center"/>
        <w:rPr>
          <w:rFonts w:asciiTheme="minorEastAsia" w:hAnsiTheme="minorEastAsia" w:eastAsiaTheme="minorEastAsia"/>
          <w:b/>
          <w:kern w:val="36"/>
          <w:sz w:val="44"/>
          <w:szCs w:val="44"/>
        </w:rPr>
      </w:pPr>
      <w:r>
        <w:rPr>
          <w:rFonts w:hint="eastAsia" w:asciiTheme="minorEastAsia" w:hAnsiTheme="minorEastAsia" w:eastAsiaTheme="minorEastAsia"/>
          <w:b/>
          <w:kern w:val="36"/>
          <w:sz w:val="44"/>
          <w:szCs w:val="44"/>
        </w:rPr>
        <w:t>目   录</w:t>
      </w:r>
    </w:p>
    <w:p>
      <w:pPr>
        <w:widowControl/>
        <w:spacing w:line="480" w:lineRule="exact"/>
        <w:ind w:firstLine="720" w:firstLineChars="224"/>
        <w:rPr>
          <w:rFonts w:asciiTheme="minorEastAsia" w:hAnsiTheme="minorEastAsia" w:eastAsiaTheme="minorEastAsia"/>
          <w:b/>
          <w:kern w:val="36"/>
          <w:sz w:val="32"/>
          <w:szCs w:val="32"/>
        </w:rPr>
      </w:pP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w:t>
      </w:r>
      <w:r>
        <w:rPr>
          <w:rFonts w:ascii="黑体" w:hAnsi="黑体" w:eastAsia="黑体"/>
          <w:b/>
          <w:kern w:val="36"/>
          <w:sz w:val="36"/>
          <w:szCs w:val="36"/>
        </w:rPr>
        <w:t>一章</w:t>
      </w:r>
      <w:r>
        <w:rPr>
          <w:rFonts w:hint="eastAsia" w:ascii="黑体" w:hAnsi="黑体" w:eastAsia="黑体"/>
          <w:b/>
          <w:kern w:val="36"/>
          <w:sz w:val="36"/>
          <w:szCs w:val="36"/>
        </w:rPr>
        <w:t xml:space="preserve">  竞争性谈判邀请函</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第二章  采购项目基本内容及要求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第三章  竞争性谈判响应文件内容</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第四章  采购项目需求及相关要求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第五章  评审方法及成交原则</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第六章  附</w:t>
      </w:r>
      <w:r>
        <w:rPr>
          <w:rFonts w:ascii="黑体" w:hAnsi="黑体" w:eastAsia="黑体"/>
          <w:b/>
          <w:kern w:val="36"/>
          <w:sz w:val="36"/>
          <w:szCs w:val="36"/>
        </w:rPr>
        <w:t>件</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1、供应商须知</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2、谈判响应文件格式</w:t>
      </w:r>
    </w:p>
    <w:p>
      <w:pPr>
        <w:widowControl/>
        <w:spacing w:line="360" w:lineRule="auto"/>
        <w:ind w:firstLine="810" w:firstLineChars="224"/>
        <w:rPr>
          <w:rFonts w:ascii="黑体" w:hAnsi="黑体" w:eastAsia="黑体"/>
          <w:b/>
          <w:kern w:val="36"/>
          <w:sz w:val="36"/>
          <w:szCs w:val="36"/>
        </w:rPr>
      </w:pPr>
    </w:p>
    <w:p>
      <w:pPr>
        <w:adjustRightInd w:val="0"/>
        <w:snapToGrid w:val="0"/>
        <w:spacing w:afterLines="50" w:line="320" w:lineRule="exact"/>
        <w:ind w:right="521" w:rightChars="248"/>
        <w:rPr>
          <w:rFonts w:ascii="楷体_GB2312" w:hAnsi="宋体" w:eastAsia="楷体_GB2312" w:cs="Arial"/>
          <w:sz w:val="30"/>
          <w:szCs w:val="30"/>
        </w:rPr>
      </w:pPr>
    </w:p>
    <w:p>
      <w:pPr>
        <w:adjustRightInd w:val="0"/>
        <w:snapToGrid w:val="0"/>
        <w:spacing w:afterLines="50" w:line="480" w:lineRule="exact"/>
        <w:ind w:right="-13" w:rightChars="-6" w:firstLine="720" w:firstLineChars="256"/>
        <w:rPr>
          <w:rFonts w:ascii="宋体" w:hAnsi="宋体" w:cs="Arial"/>
          <w:sz w:val="28"/>
          <w:szCs w:val="28"/>
        </w:rPr>
      </w:pPr>
      <w:r>
        <w:rPr>
          <w:rFonts w:hint="eastAsia" w:ascii="宋体" w:hAnsi="宋体" w:cs="Lucida Sans Unicode"/>
          <w:b/>
          <w:sz w:val="28"/>
          <w:szCs w:val="28"/>
        </w:rPr>
        <w:t>说明:</w:t>
      </w:r>
      <w:r>
        <w:rPr>
          <w:rFonts w:hint="eastAsia" w:ascii="宋体" w:hAnsi="宋体" w:cs="Lucida Sans Unicode"/>
          <w:sz w:val="28"/>
          <w:szCs w:val="28"/>
        </w:rPr>
        <w:t xml:space="preserve"> 采购文件由正文和附件组成，供应商应当完整地阅读、理解构成本采购文件的所有内容。正文和附件如有不一致的地方，须以正文为准。</w:t>
      </w:r>
    </w:p>
    <w:p>
      <w:pPr>
        <w:spacing w:afterLines="100"/>
        <w:jc w:val="center"/>
        <w:rPr>
          <w:rFonts w:cs="Arial" w:asciiTheme="minorEastAsia" w:hAnsiTheme="minorEastAsia" w:eastAsiaTheme="minorEastAsia"/>
          <w:sz w:val="32"/>
          <w:szCs w:val="28"/>
        </w:rPr>
      </w:pPr>
      <w:r>
        <w:rPr>
          <w:rFonts w:hint="eastAsia" w:ascii="宋体" w:hAnsi="宋体"/>
          <w:b/>
          <w:kern w:val="36"/>
          <w:sz w:val="24"/>
          <w:szCs w:val="24"/>
        </w:rPr>
        <w:br w:type="page"/>
      </w:r>
      <w:r>
        <w:rPr>
          <w:rFonts w:hint="eastAsia" w:asciiTheme="minorEastAsia" w:hAnsiTheme="minorEastAsia" w:eastAsiaTheme="minorEastAsia"/>
          <w:b/>
          <w:sz w:val="40"/>
          <w:szCs w:val="40"/>
        </w:rPr>
        <w:t>第</w:t>
      </w:r>
      <w:r>
        <w:rPr>
          <w:rFonts w:asciiTheme="minorEastAsia" w:hAnsiTheme="minorEastAsia" w:eastAsiaTheme="minorEastAsia"/>
          <w:b/>
          <w:sz w:val="40"/>
          <w:szCs w:val="40"/>
        </w:rPr>
        <w:t>一章</w:t>
      </w:r>
      <w:r>
        <w:rPr>
          <w:rFonts w:hint="eastAsia" w:asciiTheme="minorEastAsia" w:hAnsiTheme="minorEastAsia" w:eastAsiaTheme="minorEastAsia"/>
          <w:b/>
          <w:sz w:val="40"/>
          <w:szCs w:val="40"/>
        </w:rPr>
        <w:t xml:space="preserve">  竞争性谈判邀请函</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长葛市公共资源交易中心受长葛市</w:t>
      </w:r>
      <w:r>
        <w:rPr>
          <w:rFonts w:hint="eastAsia" w:ascii="宋体" w:hAnsi="宋体" w:cs="宋体"/>
          <w:kern w:val="0"/>
          <w:sz w:val="24"/>
          <w:szCs w:val="24"/>
          <w:lang w:eastAsia="zh-CN"/>
        </w:rPr>
        <w:t>佛耳岗水库管理所</w:t>
      </w:r>
      <w:r>
        <w:rPr>
          <w:rFonts w:hint="eastAsia" w:ascii="宋体" w:hAnsi="宋体" w:cs="宋体"/>
          <w:kern w:val="0"/>
          <w:sz w:val="24"/>
          <w:szCs w:val="24"/>
        </w:rPr>
        <w:t>的委托，根据委托协议委托的事项，就“</w:t>
      </w:r>
      <w:r>
        <w:rPr>
          <w:rFonts w:hint="eastAsia" w:ascii="宋体" w:hAnsi="宋体" w:cs="宋体"/>
          <w:kern w:val="0"/>
          <w:sz w:val="24"/>
          <w:szCs w:val="24"/>
          <w:lang w:eastAsia="zh-CN"/>
        </w:rPr>
        <w:t>佛耳岗水库周庄北护岸险工护砌工程</w:t>
      </w:r>
      <w:r>
        <w:rPr>
          <w:rFonts w:hint="eastAsia" w:ascii="宋体" w:hAnsi="宋体" w:cs="宋体"/>
          <w:kern w:val="0"/>
          <w:sz w:val="24"/>
          <w:szCs w:val="24"/>
        </w:rPr>
        <w:t>”项目进行竞争性谈判采购，欢迎合格的供应商参加谈判。</w:t>
      </w:r>
    </w:p>
    <w:p>
      <w:pPr>
        <w:pStyle w:val="29"/>
        <w:shd w:val="clear" w:color="auto" w:fill="FFFFFF"/>
        <w:spacing w:before="0" w:beforeAutospacing="0" w:after="0" w:afterAutospacing="0" w:line="360" w:lineRule="auto"/>
        <w:ind w:firstLine="556"/>
        <w:rPr>
          <w:b/>
          <w:bCs/>
        </w:rPr>
      </w:pPr>
      <w:r>
        <w:rPr>
          <w:rFonts w:hint="eastAsia"/>
          <w:b/>
          <w:bCs/>
          <w:shd w:val="clear" w:color="auto" w:fill="FFFFFF"/>
        </w:rPr>
        <w:t>一、项目基本情况</w:t>
      </w:r>
    </w:p>
    <w:p>
      <w:pPr>
        <w:pStyle w:val="29"/>
        <w:shd w:val="clear" w:color="auto" w:fill="FFFFFF"/>
        <w:spacing w:before="0" w:beforeAutospacing="0" w:after="0" w:afterAutospacing="0" w:line="360" w:lineRule="auto"/>
        <w:ind w:firstLine="556"/>
        <w:rPr>
          <w:rFonts w:hint="eastAsia" w:ascii="宋体" w:hAnsi="宋体" w:cs="宋体"/>
          <w:kern w:val="0"/>
          <w:sz w:val="24"/>
          <w:szCs w:val="24"/>
          <w:lang w:eastAsia="zh-CN"/>
        </w:rPr>
      </w:pPr>
      <w:r>
        <w:rPr>
          <w:rFonts w:hint="eastAsia"/>
          <w:shd w:val="clear" w:color="auto" w:fill="FFFFFF"/>
        </w:rPr>
        <w:t>（一）项目名称：</w:t>
      </w:r>
      <w:r>
        <w:rPr>
          <w:rFonts w:hint="eastAsia" w:ascii="宋体" w:hAnsi="宋体" w:cs="宋体"/>
          <w:kern w:val="0"/>
          <w:sz w:val="24"/>
          <w:szCs w:val="24"/>
          <w:lang w:eastAsia="zh-CN"/>
        </w:rPr>
        <w:t>佛耳岗水库周庄北护岸险工护砌工程</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（二）项目编号：长招采竞字【2019】08</w:t>
      </w:r>
      <w:r>
        <w:rPr>
          <w:rFonts w:hint="eastAsia"/>
          <w:shd w:val="clear" w:color="auto" w:fill="FFFFFF"/>
          <w:lang w:val="en-US" w:eastAsia="zh-CN"/>
        </w:rPr>
        <w:t>6</w:t>
      </w:r>
      <w:r>
        <w:rPr>
          <w:rFonts w:hint="eastAsia"/>
          <w:shd w:val="clear" w:color="auto" w:fill="FFFFFF"/>
        </w:rPr>
        <w:t>号</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（三）本项目标包划分及采购预算：</w:t>
      </w:r>
    </w:p>
    <w:p>
      <w:pPr>
        <w:pStyle w:val="29"/>
        <w:shd w:val="clear" w:color="auto" w:fill="FFFFFF"/>
        <w:spacing w:before="0" w:beforeAutospacing="0" w:after="0" w:afterAutospacing="0" w:line="360" w:lineRule="auto"/>
        <w:ind w:firstLine="600" w:firstLineChars="250"/>
        <w:rPr>
          <w:shd w:val="clear" w:color="auto" w:fill="FFFFFF"/>
        </w:rPr>
      </w:pPr>
      <w:r>
        <w:rPr>
          <w:rFonts w:hint="eastAsia" w:ascii="宋体" w:hAnsi="宋体" w:cs="宋体"/>
          <w:kern w:val="0"/>
          <w:sz w:val="24"/>
          <w:szCs w:val="24"/>
          <w:lang w:eastAsia="zh-CN"/>
        </w:rPr>
        <w:t>佛耳岗水库周庄北护岸险工护砌工程</w:t>
      </w:r>
      <w:r>
        <w:rPr>
          <w:rFonts w:hint="eastAsia"/>
          <w:shd w:val="clear" w:color="auto" w:fill="FFFFFF"/>
        </w:rPr>
        <w:t>；采购预算：</w:t>
      </w:r>
      <w:r>
        <w:rPr>
          <w:rFonts w:hint="eastAsia"/>
          <w:shd w:val="clear" w:color="auto" w:fill="FFFFFF"/>
          <w:lang w:val="en-US" w:eastAsia="zh-CN"/>
        </w:rPr>
        <w:t>379507.39</w:t>
      </w:r>
      <w:r>
        <w:rPr>
          <w:rFonts w:hint="eastAsia"/>
          <w:shd w:val="clear" w:color="auto" w:fill="FFFFFF"/>
        </w:rPr>
        <w:t>元；</w:t>
      </w:r>
    </w:p>
    <w:p>
      <w:pPr>
        <w:pStyle w:val="29"/>
        <w:shd w:val="clear" w:color="auto" w:fill="FFFFFF"/>
        <w:spacing w:before="0" w:beforeAutospacing="0" w:after="0" w:afterAutospacing="0" w:line="360" w:lineRule="auto"/>
        <w:ind w:firstLine="600" w:firstLineChars="250"/>
        <w:rPr>
          <w:shd w:val="clear" w:color="auto" w:fill="FFFFFF"/>
        </w:rPr>
      </w:pPr>
      <w:r>
        <w:rPr>
          <w:rFonts w:hint="eastAsia"/>
          <w:shd w:val="clear" w:color="auto" w:fill="FFFFFF"/>
        </w:rPr>
        <w:t>（超过此预算报价为无效报价）</w:t>
      </w:r>
    </w:p>
    <w:p>
      <w:pPr>
        <w:pStyle w:val="29"/>
        <w:shd w:val="clear" w:color="auto" w:fill="FFFFFF"/>
        <w:spacing w:before="0" w:beforeAutospacing="0" w:after="0" w:afterAutospacing="0" w:line="360" w:lineRule="auto"/>
        <w:ind w:firstLine="556"/>
      </w:pPr>
      <w:r>
        <w:rPr>
          <w:rFonts w:hint="eastAsia"/>
        </w:rPr>
        <w:t>（四）项目采购内容：</w:t>
      </w:r>
    </w:p>
    <w:p>
      <w:pPr>
        <w:pStyle w:val="29"/>
        <w:shd w:val="clear" w:color="auto" w:fill="FFFFFF"/>
        <w:spacing w:before="0" w:beforeAutospacing="0" w:after="0" w:afterAutospacing="0" w:line="360" w:lineRule="auto"/>
        <w:ind w:left="718" w:leftChars="342" w:firstLine="151" w:firstLineChars="63"/>
        <w:rPr>
          <w:shd w:val="clear" w:color="auto" w:fill="FFFFFF"/>
        </w:rPr>
      </w:pPr>
      <w:r>
        <w:rPr>
          <w:rFonts w:hint="eastAsia"/>
          <w:shd w:val="clear" w:color="auto" w:fill="FFFFFF"/>
          <w:lang w:eastAsia="zh-CN"/>
        </w:rPr>
        <w:t>工程内容包括土方开挖，土方弃运，土方回填，浆砌石护坡，围堰的砌筑与拆除等部分。</w:t>
      </w:r>
      <w:r>
        <w:rPr>
          <w:rFonts w:hint="eastAsia"/>
          <w:shd w:val="clear" w:color="auto" w:fill="FFFFFF"/>
        </w:rPr>
        <w:t>详见谈判文件及工程量清单；</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（五）工期：均为合同签订后</w:t>
      </w:r>
      <w:r>
        <w:rPr>
          <w:rFonts w:hint="eastAsia"/>
          <w:u w:val="single"/>
          <w:shd w:val="clear" w:color="auto" w:fill="FFFFFF"/>
        </w:rPr>
        <w:t>30</w:t>
      </w:r>
      <w:r>
        <w:rPr>
          <w:rFonts w:hint="eastAsia"/>
          <w:shd w:val="clear" w:color="auto" w:fill="FFFFFF"/>
        </w:rPr>
        <w:t>日历天内。</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（六）质量标准：合格（符合国家现行规范、规程、规定、标准的要求）。</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（七）资金来源:</w:t>
      </w:r>
      <w:r>
        <w:rPr>
          <w:rFonts w:hint="eastAsia"/>
          <w:b/>
          <w:shd w:val="clear" w:color="auto" w:fill="FFFFFF"/>
        </w:rPr>
        <w:t>财政</w:t>
      </w:r>
      <w:r>
        <w:rPr>
          <w:rFonts w:hint="eastAsia"/>
          <w:b/>
          <w:shd w:val="clear" w:color="auto" w:fill="FFFFFF"/>
          <w:lang w:eastAsia="zh-CN"/>
        </w:rPr>
        <w:t>规定付款</w:t>
      </w:r>
      <w:r>
        <w:rPr>
          <w:rFonts w:hint="eastAsia"/>
          <w:shd w:val="clear" w:color="auto" w:fill="FFFFFF"/>
        </w:rPr>
        <w:t>。</w:t>
      </w:r>
    </w:p>
    <w:p>
      <w:pPr>
        <w:pStyle w:val="29"/>
        <w:shd w:val="clear" w:color="auto" w:fill="FFFFFF"/>
        <w:spacing w:before="0" w:beforeAutospacing="0" w:after="0" w:afterAutospacing="0" w:line="360" w:lineRule="auto"/>
        <w:ind w:firstLine="562"/>
        <w:rPr>
          <w:b/>
          <w:bCs/>
        </w:rPr>
      </w:pPr>
      <w:r>
        <w:rPr>
          <w:rFonts w:hint="eastAsia"/>
          <w:b/>
          <w:bCs/>
        </w:rPr>
        <w:t>二、需要落实的政府采购政策</w:t>
      </w:r>
    </w:p>
    <w:p>
      <w:pPr>
        <w:pStyle w:val="29"/>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pPr>
        <w:pStyle w:val="29"/>
        <w:shd w:val="clear" w:color="auto" w:fill="FFFFFF"/>
        <w:spacing w:before="0" w:beforeAutospacing="0" w:after="0" w:afterAutospacing="0" w:line="360" w:lineRule="auto"/>
        <w:ind w:firstLine="556"/>
        <w:rPr>
          <w:b/>
          <w:bCs/>
        </w:rPr>
      </w:pPr>
      <w:r>
        <w:rPr>
          <w:rFonts w:hint="eastAsia"/>
          <w:b/>
          <w:bCs/>
          <w:shd w:val="clear" w:color="auto" w:fill="FFFFFF"/>
        </w:rPr>
        <w:t xml:space="preserve">三、供应商资格要求 </w:t>
      </w:r>
    </w:p>
    <w:p>
      <w:pPr>
        <w:pStyle w:val="29"/>
        <w:shd w:val="clear" w:color="auto" w:fill="FFFFFF"/>
        <w:spacing w:before="0" w:beforeAutospacing="0" w:after="0" w:afterAutospacing="0" w:line="360" w:lineRule="auto"/>
        <w:ind w:firstLine="562"/>
      </w:pPr>
      <w:r>
        <w:rPr>
          <w:rFonts w:hint="eastAsia"/>
        </w:rPr>
        <w:t>（一）符合《中华人民共和国政府采购法》第二十二条之规定；</w:t>
      </w:r>
    </w:p>
    <w:p>
      <w:pPr>
        <w:spacing w:line="360" w:lineRule="auto"/>
        <w:rPr>
          <w:rFonts w:ascii="宋体" w:hAnsi="宋体"/>
          <w:sz w:val="24"/>
          <w:szCs w:val="24"/>
        </w:rPr>
      </w:pPr>
      <w:r>
        <w:rPr>
          <w:rFonts w:hint="eastAsia" w:ascii="宋体" w:hAnsi="宋体" w:cs="宋体"/>
          <w:kern w:val="0"/>
          <w:sz w:val="24"/>
          <w:szCs w:val="24"/>
        </w:rPr>
        <w:t xml:space="preserve">     （二）</w:t>
      </w:r>
      <w:r>
        <w:rPr>
          <w:rFonts w:hint="eastAsia" w:ascii="宋体" w:hAnsi="宋体" w:cs="宋体"/>
          <w:sz w:val="24"/>
          <w:szCs w:val="24"/>
        </w:rPr>
        <w:t>供应商须具有</w:t>
      </w:r>
      <w:r>
        <w:rPr>
          <w:rFonts w:hint="eastAsia" w:ascii="宋体" w:hAnsi="宋体" w:cs="宋体"/>
          <w:color w:val="FF0000"/>
          <w:sz w:val="24"/>
          <w:szCs w:val="24"/>
          <w:lang w:eastAsia="zh-CN"/>
        </w:rPr>
        <w:t>水利水电</w:t>
      </w:r>
      <w:r>
        <w:rPr>
          <w:rFonts w:hint="eastAsia" w:ascii="宋体" w:hAnsi="宋体" w:cs="宋体"/>
          <w:sz w:val="24"/>
          <w:szCs w:val="24"/>
        </w:rPr>
        <w:t>工程施工总承包三级（含）以上资质，并且具有有效的安全生产许可证，具备独立法人资格，有良好的财务状况，良好的社会信誉，并在人员、设备、资金等方面具备相应的施工能力；拟任项目经理应具有</w:t>
      </w:r>
      <w:r>
        <w:rPr>
          <w:rFonts w:hint="eastAsia" w:ascii="宋体" w:hAnsi="宋体" w:cs="宋体"/>
          <w:color w:val="FF0000"/>
          <w:sz w:val="24"/>
          <w:szCs w:val="24"/>
          <w:lang w:eastAsia="zh-CN"/>
        </w:rPr>
        <w:t>水利水电</w:t>
      </w:r>
      <w:r>
        <w:rPr>
          <w:rFonts w:hint="eastAsia" w:ascii="宋体" w:hAnsi="宋体" w:cs="宋体"/>
          <w:sz w:val="24"/>
          <w:szCs w:val="24"/>
        </w:rPr>
        <w:t>工程专业贰级（含）以上注册建造师资格，取得有效的安全生产考核合格证，且未担任其他在施建设工程的项目经理。</w:t>
      </w:r>
    </w:p>
    <w:p>
      <w:pPr>
        <w:pStyle w:val="29"/>
        <w:shd w:val="clear" w:color="auto" w:fill="FFFFFF"/>
        <w:spacing w:before="0" w:beforeAutospacing="0" w:after="0" w:afterAutospacing="0" w:line="360" w:lineRule="auto"/>
        <w:ind w:firstLine="562"/>
      </w:pPr>
      <w:r>
        <w:rPr>
          <w:rFonts w:hint="eastAsia"/>
        </w:rPr>
        <w:t>（三）未被列入“信用中国”网站(www.creditchina.gov.cn)失信被执行人、重大税收违法案件当事人名单、政府采购严重违法失信名单的供应商；“中国政府采购网” (www.ccgp.gov.cn)政府采购严重违法失信行为记录名单的供应商。</w:t>
      </w:r>
    </w:p>
    <w:p>
      <w:pPr>
        <w:pStyle w:val="29"/>
        <w:shd w:val="clear" w:color="auto" w:fill="FFFFFF"/>
        <w:spacing w:before="0" w:beforeAutospacing="0" w:after="0" w:afterAutospacing="0" w:line="360" w:lineRule="auto"/>
        <w:ind w:firstLine="562"/>
      </w:pPr>
      <w:r>
        <w:rPr>
          <w:rFonts w:hint="eastAsia"/>
        </w:rPr>
        <w:t>（四）本项目不接受联合体参加谈判。</w:t>
      </w:r>
    </w:p>
    <w:p>
      <w:pPr>
        <w:pStyle w:val="29"/>
        <w:shd w:val="clear" w:color="auto" w:fill="FFFFFF"/>
        <w:spacing w:before="0" w:beforeAutospacing="0" w:after="0" w:afterAutospacing="0" w:line="360" w:lineRule="auto"/>
        <w:ind w:firstLine="556"/>
        <w:rPr>
          <w:b/>
          <w:bCs/>
        </w:rPr>
      </w:pPr>
      <w:r>
        <w:rPr>
          <w:rFonts w:hint="eastAsia"/>
          <w:b/>
          <w:bCs/>
          <w:shd w:val="clear" w:color="auto" w:fill="FFFFFF"/>
        </w:rPr>
        <w:t>四、获取谈判文件的时间、地点、方式</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（一）网上下载谈判文件</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2、在谈判截止时间前均可登录【全国公共资源交易平台（河南省·许昌市）】“投标人/供应商登录”入口（http://221.14.6.70:8088/ggzy/）自行下载谈判文件（详见“常见问题解答-交易系统操作手册”）。</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（二）未通过【全国公共资源交易平台（河南省·许昌市）】下载谈判文件的供应商,拒收其递交的谈判响应文件。</w:t>
      </w:r>
    </w:p>
    <w:p>
      <w:pPr>
        <w:pStyle w:val="29"/>
        <w:shd w:val="clear" w:color="auto" w:fill="FFFFFF"/>
        <w:spacing w:before="0" w:beforeAutospacing="0" w:after="0" w:afterAutospacing="0" w:line="360" w:lineRule="auto"/>
        <w:ind w:firstLine="482" w:firstLineChars="200"/>
        <w:rPr>
          <w:b/>
          <w:bCs/>
        </w:rPr>
      </w:pPr>
      <w:r>
        <w:rPr>
          <w:rFonts w:hint="eastAsia"/>
          <w:b/>
          <w:bCs/>
          <w:shd w:val="clear" w:color="auto" w:fill="FFFFFF"/>
        </w:rPr>
        <w:t>五、谈判文件接收截止时间、谈判时间及地点</w:t>
      </w:r>
    </w:p>
    <w:p>
      <w:pPr>
        <w:pStyle w:val="29"/>
        <w:shd w:val="clear" w:color="auto" w:fill="FFFFFF"/>
        <w:spacing w:before="0" w:beforeAutospacing="0" w:after="0" w:afterAutospacing="0" w:line="360" w:lineRule="auto"/>
        <w:ind w:firstLine="562"/>
      </w:pPr>
      <w:r>
        <w:rPr>
          <w:rFonts w:hint="eastAsia"/>
          <w:shd w:val="clear" w:color="auto" w:fill="FFFFFF"/>
        </w:rPr>
        <w:t>（一）</w:t>
      </w:r>
      <w:r>
        <w:rPr>
          <w:rFonts w:hint="eastAsia"/>
        </w:rPr>
        <w:t>谈判文件接收截止及谈判时间：2019年</w:t>
      </w:r>
      <w:r>
        <w:rPr>
          <w:rFonts w:hint="eastAsia"/>
          <w:lang w:val="en-US" w:eastAsia="zh-CN"/>
        </w:rPr>
        <w:t xml:space="preserve">9 </w:t>
      </w:r>
      <w:r>
        <w:rPr>
          <w:rFonts w:hint="eastAsia"/>
        </w:rPr>
        <w:t>月</w:t>
      </w:r>
      <w:r>
        <w:rPr>
          <w:rFonts w:hint="eastAsia"/>
          <w:lang w:val="en-US" w:eastAsia="zh-CN"/>
        </w:rPr>
        <w:t xml:space="preserve"> 23 </w:t>
      </w:r>
      <w:r>
        <w:rPr>
          <w:rFonts w:hint="eastAsia"/>
        </w:rPr>
        <w:t>日</w:t>
      </w:r>
      <w:r>
        <w:rPr>
          <w:rFonts w:hint="eastAsia"/>
          <w:lang w:val="en-US" w:eastAsia="zh-CN"/>
        </w:rPr>
        <w:t xml:space="preserve"> 9 </w:t>
      </w:r>
      <w:r>
        <w:rPr>
          <w:rFonts w:hint="eastAsia"/>
        </w:rPr>
        <w:t>时</w:t>
      </w:r>
      <w:r>
        <w:rPr>
          <w:rFonts w:hint="eastAsia"/>
          <w:lang w:val="en-US" w:eastAsia="zh-CN"/>
        </w:rPr>
        <w:t xml:space="preserve"> 30</w:t>
      </w:r>
      <w:r>
        <w:rPr>
          <w:rFonts w:hint="eastAsia"/>
        </w:rPr>
        <w:t>分（北京时间），逾期送达或不符合规定的响应文件不予接受。</w:t>
      </w:r>
    </w:p>
    <w:p>
      <w:pPr>
        <w:pStyle w:val="29"/>
        <w:shd w:val="clear" w:color="auto" w:fill="FFFFFF"/>
        <w:spacing w:before="0" w:beforeAutospacing="0" w:after="0" w:afterAutospacing="0" w:line="360" w:lineRule="auto"/>
      </w:pPr>
      <w:r>
        <w:rPr>
          <w:rFonts w:hint="eastAsia"/>
        </w:rPr>
        <w:t xml:space="preserve">    （二）谈判响应文件递交地点：长葛市公共资源交易中心楼</w:t>
      </w:r>
      <w:r>
        <w:rPr>
          <w:rFonts w:hint="eastAsia"/>
          <w:lang w:val="en-US" w:eastAsia="zh-CN"/>
        </w:rPr>
        <w:t xml:space="preserve"> 5 </w:t>
      </w:r>
      <w:r>
        <w:rPr>
          <w:rFonts w:hint="eastAsia"/>
        </w:rPr>
        <w:t>楼开标</w:t>
      </w:r>
      <w:bookmarkStart w:id="22" w:name="_GoBack"/>
      <w:bookmarkEnd w:id="22"/>
      <w:r>
        <w:rPr>
          <w:rFonts w:hint="eastAsia"/>
          <w:lang w:val="en-US" w:eastAsia="zh-CN"/>
        </w:rPr>
        <w:t>一</w:t>
      </w:r>
      <w:r>
        <w:rPr>
          <w:rFonts w:hint="eastAsia"/>
        </w:rPr>
        <w:t>室。</w:t>
      </w:r>
    </w:p>
    <w:p>
      <w:pPr>
        <w:pStyle w:val="29"/>
        <w:shd w:val="clear" w:color="auto" w:fill="FFFFFF"/>
        <w:spacing w:before="0" w:beforeAutospacing="0" w:after="0" w:afterAutospacing="0" w:line="360" w:lineRule="auto"/>
        <w:ind w:firstLine="465"/>
      </w:pPr>
      <w:r>
        <w:rPr>
          <w:rFonts w:hint="eastAsia"/>
        </w:rPr>
        <w:t>（三）谈判地点：长葛市公共资源交易中心楼</w:t>
      </w:r>
      <w:r>
        <w:rPr>
          <w:rFonts w:hint="eastAsia"/>
          <w:lang w:val="en-US" w:eastAsia="zh-CN"/>
        </w:rPr>
        <w:t>5</w:t>
      </w:r>
      <w:r>
        <w:rPr>
          <w:rFonts w:hint="eastAsia"/>
        </w:rPr>
        <w:t>楼评标</w:t>
      </w:r>
      <w:r>
        <w:rPr>
          <w:rFonts w:hint="eastAsia"/>
          <w:lang w:val="en-US" w:eastAsia="zh-CN"/>
        </w:rPr>
        <w:t>四</w:t>
      </w:r>
      <w:r>
        <w:rPr>
          <w:rFonts w:hint="eastAsia"/>
        </w:rPr>
        <w:t>室。</w:t>
      </w:r>
    </w:p>
    <w:p>
      <w:pPr>
        <w:pStyle w:val="29"/>
        <w:shd w:val="clear" w:color="auto" w:fill="FFFFFF"/>
        <w:spacing w:before="0" w:beforeAutospacing="0" w:after="0" w:afterAutospacing="0" w:line="360" w:lineRule="auto"/>
        <w:ind w:left="210" w:leftChars="100" w:firstLine="240" w:firstLineChars="100"/>
      </w:pPr>
      <w:r>
        <w:rPr>
          <w:rFonts w:hint="eastAsia"/>
        </w:rPr>
        <w:t>（四）本项目为全流程电子化交易项目，供应商须提交电子响应文件和纸质响应文件。</w:t>
      </w:r>
    </w:p>
    <w:p>
      <w:pPr>
        <w:pStyle w:val="29"/>
        <w:shd w:val="clear" w:color="auto" w:fill="FFFFFF"/>
        <w:spacing w:before="0" w:beforeAutospacing="0" w:after="0" w:afterAutospacing="0" w:line="360" w:lineRule="auto"/>
        <w:ind w:left="210" w:leftChars="100" w:firstLine="480" w:firstLineChars="200"/>
      </w:pPr>
      <w:r>
        <w:rPr>
          <w:rFonts w:hint="eastAsia"/>
        </w:rPr>
        <w:t>1、加密电子响应文件（.file格式）须在投标截止时间（开标时间）前通过《全国公共资源交易平台(河南省▪许昌市)》公共资源交易系统成功上传。</w:t>
      </w:r>
    </w:p>
    <w:p>
      <w:pPr>
        <w:pStyle w:val="29"/>
        <w:shd w:val="clear" w:color="auto" w:fill="FFFFFF"/>
        <w:spacing w:before="0" w:beforeAutospacing="0" w:after="0" w:afterAutospacing="0" w:line="360" w:lineRule="auto"/>
        <w:ind w:left="210" w:leftChars="100" w:firstLine="480" w:firstLineChars="200"/>
      </w:pPr>
      <w:r>
        <w:rPr>
          <w:rFonts w:hint="eastAsia"/>
        </w:rPr>
        <w:t>2、纸质响应文件（正本1份、副本1份）和备份文件1份（使用电子介质存储）在投标截止时间（开标时间）前递交至本项目开标地点。</w:t>
      </w:r>
    </w:p>
    <w:p>
      <w:pPr>
        <w:pStyle w:val="29"/>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六、本次谈判公告同时在《河南省政府采购网》、《许昌市政府采购网》、《全国公共资源交易平台（河南省·许昌市）》发布。</w:t>
      </w:r>
    </w:p>
    <w:p>
      <w:pPr>
        <w:pStyle w:val="29"/>
        <w:shd w:val="clear" w:color="auto" w:fill="FFFFFF"/>
        <w:spacing w:before="0" w:beforeAutospacing="0" w:after="0" w:afterAutospacing="0" w:line="360" w:lineRule="auto"/>
        <w:ind w:firstLine="482" w:firstLineChars="200"/>
        <w:rPr>
          <w:shd w:val="clear" w:color="auto" w:fill="FFFFFF"/>
        </w:rPr>
      </w:pPr>
      <w:r>
        <w:rPr>
          <w:rFonts w:hint="eastAsia"/>
          <w:b/>
          <w:bCs/>
          <w:shd w:val="clear" w:color="auto" w:fill="FFFFFF"/>
        </w:rPr>
        <w:t>七、公告期限：</w:t>
      </w:r>
      <w:r>
        <w:rPr>
          <w:rFonts w:hint="eastAsia"/>
          <w:shd w:val="clear" w:color="auto" w:fill="FFFFFF"/>
        </w:rPr>
        <w:t>自本公告发布之日起3个工作日。</w:t>
      </w:r>
    </w:p>
    <w:p>
      <w:pPr>
        <w:pStyle w:val="29"/>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八、联系方式</w:t>
      </w:r>
    </w:p>
    <w:p>
      <w:pPr>
        <w:pStyle w:val="29"/>
        <w:shd w:val="clear" w:color="auto" w:fill="FFFFFF"/>
        <w:spacing w:before="0" w:beforeAutospacing="0" w:after="0" w:afterAutospacing="0" w:line="360" w:lineRule="auto"/>
        <w:ind w:firstLine="480" w:firstLineChars="200"/>
        <w:rPr>
          <w:rFonts w:hint="eastAsia" w:eastAsia="宋体" w:cs="仿宋_GB2312"/>
          <w:lang w:eastAsia="zh-CN"/>
        </w:rPr>
      </w:pPr>
      <w:r>
        <w:rPr>
          <w:rFonts w:hint="eastAsia" w:cs="仿宋_GB2312"/>
        </w:rPr>
        <w:t>招 标 人：长葛市</w:t>
      </w:r>
      <w:r>
        <w:rPr>
          <w:rFonts w:hint="eastAsia" w:cs="仿宋_GB2312"/>
          <w:lang w:eastAsia="zh-CN"/>
        </w:rPr>
        <w:t>佛耳岗水库管理所</w:t>
      </w:r>
    </w:p>
    <w:p>
      <w:pPr>
        <w:pStyle w:val="29"/>
        <w:shd w:val="clear" w:color="auto" w:fill="FFFFFF"/>
        <w:spacing w:before="0" w:beforeAutospacing="0" w:after="0" w:afterAutospacing="0" w:line="360" w:lineRule="auto"/>
        <w:ind w:firstLine="480" w:firstLineChars="200"/>
        <w:rPr>
          <w:rFonts w:cs="仿宋_GB2312"/>
        </w:rPr>
      </w:pPr>
      <w:r>
        <w:rPr>
          <w:rFonts w:hint="eastAsia" w:cs="仿宋_GB2312"/>
        </w:rPr>
        <w:t>联 系 人：</w:t>
      </w:r>
      <w:r>
        <w:rPr>
          <w:rFonts w:hint="eastAsia" w:cs="仿宋_GB2312"/>
          <w:lang w:eastAsia="zh-CN"/>
        </w:rPr>
        <w:t>任主任</w:t>
      </w:r>
      <w:r>
        <w:rPr>
          <w:rFonts w:hint="eastAsia" w:cs="仿宋_GB2312"/>
        </w:rPr>
        <w:t xml:space="preserve">     联系电话：</w:t>
      </w:r>
      <w:r>
        <w:rPr>
          <w:rFonts w:hint="eastAsia" w:cs="仿宋_GB2312"/>
          <w:lang w:val="en-US" w:eastAsia="zh-CN"/>
        </w:rPr>
        <w:t>18567376196</w:t>
      </w:r>
      <w:r>
        <w:rPr>
          <w:rFonts w:hint="eastAsia" w:cs="仿宋_GB2312"/>
        </w:rPr>
        <w:t xml:space="preserve">   </w:t>
      </w:r>
    </w:p>
    <w:p>
      <w:pPr>
        <w:pStyle w:val="29"/>
        <w:shd w:val="clear" w:color="auto" w:fill="FFFFFF"/>
        <w:spacing w:before="0" w:beforeAutospacing="0" w:after="0" w:afterAutospacing="0" w:line="360" w:lineRule="auto"/>
        <w:ind w:firstLine="480" w:firstLineChars="200"/>
        <w:rPr>
          <w:rFonts w:cs="仿宋_GB2312"/>
        </w:rPr>
      </w:pPr>
      <w:r>
        <w:rPr>
          <w:rFonts w:hint="eastAsia" w:cs="仿宋_GB2312"/>
        </w:rPr>
        <w:t>集中采购机构：长葛市公共资源交易中心</w:t>
      </w:r>
    </w:p>
    <w:p>
      <w:pPr>
        <w:pStyle w:val="29"/>
        <w:shd w:val="clear" w:color="auto" w:fill="FFFFFF"/>
        <w:spacing w:before="0" w:beforeAutospacing="0" w:after="0" w:afterAutospacing="0" w:line="360" w:lineRule="auto"/>
        <w:ind w:firstLine="480" w:firstLineChars="200"/>
        <w:rPr>
          <w:rFonts w:cs="仿宋_GB2312"/>
        </w:rPr>
      </w:pPr>
      <w:r>
        <w:rPr>
          <w:rFonts w:hint="eastAsia" w:cs="仿宋_GB2312"/>
        </w:rPr>
        <w:t>地  址：长葛市葛天大道商务区6号楼</w:t>
      </w:r>
    </w:p>
    <w:p>
      <w:pPr>
        <w:pStyle w:val="29"/>
        <w:shd w:val="clear" w:color="auto" w:fill="FFFFFF"/>
        <w:spacing w:before="0" w:beforeAutospacing="0" w:after="0" w:afterAutospacing="0" w:line="360" w:lineRule="auto"/>
        <w:ind w:firstLine="480" w:firstLineChars="200"/>
        <w:rPr>
          <w:rFonts w:hint="default" w:eastAsia="宋体" w:cs="仿宋_GB2312"/>
          <w:lang w:val="en-US" w:eastAsia="zh-CN"/>
        </w:rPr>
      </w:pPr>
      <w:r>
        <w:rPr>
          <w:rFonts w:hint="eastAsia" w:cs="仿宋_GB2312"/>
        </w:rPr>
        <w:t>联系人：政府采购</w:t>
      </w:r>
      <w:r>
        <w:rPr>
          <w:rFonts w:hint="eastAsia" w:cs="仿宋_GB2312"/>
          <w:lang w:eastAsia="zh-CN"/>
        </w:rPr>
        <w:t>二</w:t>
      </w:r>
      <w:r>
        <w:rPr>
          <w:rFonts w:hint="eastAsia" w:cs="仿宋_GB2312"/>
        </w:rPr>
        <w:t>部    联系电话：0374</w:t>
      </w:r>
      <w:r>
        <w:rPr>
          <w:rFonts w:cs="仿宋_GB2312"/>
        </w:rPr>
        <w:t>-</w:t>
      </w:r>
      <w:r>
        <w:rPr>
          <w:rFonts w:hint="eastAsia" w:cs="仿宋_GB2312"/>
        </w:rPr>
        <w:t>6189</w:t>
      </w:r>
      <w:r>
        <w:rPr>
          <w:rFonts w:hint="eastAsia" w:cs="仿宋_GB2312"/>
          <w:lang w:val="en-US" w:eastAsia="zh-CN"/>
        </w:rPr>
        <w:t>667</w:t>
      </w:r>
    </w:p>
    <w:p>
      <w:pPr>
        <w:pStyle w:val="29"/>
        <w:shd w:val="clear" w:color="auto" w:fill="FFFFFF"/>
        <w:spacing w:before="0" w:beforeAutospacing="0" w:after="0" w:afterAutospacing="0" w:line="360" w:lineRule="auto"/>
        <w:ind w:firstLine="482" w:firstLineChars="200"/>
        <w:rPr>
          <w:b/>
          <w:bCs/>
        </w:rPr>
      </w:pPr>
      <w:r>
        <w:rPr>
          <w:rFonts w:hint="eastAsia"/>
          <w:b/>
          <w:shd w:val="clear" w:color="auto" w:fill="FFFFFF"/>
        </w:rPr>
        <w:t>温馨提示：本项目为全流程电子化交易项目，请认真阅读采购文件，并注意以下事项。</w:t>
      </w:r>
    </w:p>
    <w:p>
      <w:pPr>
        <w:pStyle w:val="29"/>
        <w:shd w:val="clear" w:color="auto" w:fill="FFFFFF"/>
        <w:spacing w:before="0" w:beforeAutospacing="0" w:after="0" w:afterAutospacing="0" w:line="360" w:lineRule="auto"/>
        <w:ind w:firstLine="321"/>
      </w:pPr>
      <w:r>
        <w:rPr>
          <w:rFonts w:hint="eastAsia"/>
          <w:b/>
          <w:shd w:val="clear" w:color="auto" w:fill="FFFFFF"/>
        </w:rPr>
        <w:t> 1.供应商应按采购文件规定编制、提交电子响应文件和纸质响应文件。开、评标现场不接受供应商递交的备份电子响应文件和纸质响应文件以外的其他资料。</w:t>
      </w:r>
    </w:p>
    <w:p>
      <w:pPr>
        <w:pStyle w:val="29"/>
        <w:shd w:val="clear" w:color="auto" w:fill="FFFFFF"/>
        <w:spacing w:before="0" w:beforeAutospacing="0" w:after="0" w:afterAutospacing="0" w:line="360" w:lineRule="auto"/>
        <w:ind w:firstLine="643"/>
      </w:pPr>
      <w:r>
        <w:rPr>
          <w:rFonts w:hint="eastAsia"/>
          <w:b/>
          <w:shd w:val="clear" w:color="auto" w:fill="FFFFFF"/>
        </w:rPr>
        <w:t>2.电子文件下载、制作、提交期间和开标（</w:t>
      </w:r>
      <w:r>
        <w:rPr>
          <w:rFonts w:hint="eastAsia"/>
          <w:shd w:val="clear" w:color="auto" w:fill="FFFFFF"/>
        </w:rPr>
        <w:t>电子响应文件的解密</w:t>
      </w:r>
      <w:r>
        <w:rPr>
          <w:rFonts w:hint="eastAsia"/>
          <w:b/>
          <w:shd w:val="clear" w:color="auto" w:fill="FFFFFF"/>
        </w:rPr>
        <w:t>）环节，供应商须使用CA数字证书（证书须在有效期内）。</w:t>
      </w:r>
    </w:p>
    <w:p>
      <w:pPr>
        <w:pStyle w:val="29"/>
        <w:shd w:val="clear" w:color="auto" w:fill="FFFFFF"/>
        <w:spacing w:before="0" w:beforeAutospacing="0" w:after="0" w:afterAutospacing="0" w:line="360" w:lineRule="auto"/>
        <w:ind w:firstLine="643"/>
      </w:pPr>
      <w:r>
        <w:rPr>
          <w:rFonts w:hint="eastAsia"/>
          <w:b/>
          <w:shd w:val="clear" w:color="auto" w:fill="FFFFFF"/>
        </w:rPr>
        <w:t>3.电子响应文件的制作</w:t>
      </w:r>
    </w:p>
    <w:p>
      <w:pPr>
        <w:pStyle w:val="29"/>
        <w:shd w:val="clear" w:color="auto" w:fill="FFFFFF"/>
        <w:spacing w:before="0" w:beforeAutospacing="0" w:after="0" w:afterAutospacing="0" w:line="360" w:lineRule="auto"/>
        <w:ind w:firstLine="640"/>
      </w:pPr>
      <w:r>
        <w:rPr>
          <w:rFonts w:hint="eastAsia"/>
          <w:shd w:val="clear" w:color="auto" w:fill="FFFFFF"/>
        </w:rPr>
        <w:t>3.1 供应商登录《全国公共资源交易平台(河南省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）下载“许昌响应文件制作系统SEARUN V1.1”，按采购文件要求制作电子响应文件。</w:t>
      </w:r>
    </w:p>
    <w:p>
      <w:pPr>
        <w:pStyle w:val="29"/>
        <w:shd w:val="clear" w:color="auto" w:fill="FFFFFF"/>
        <w:spacing w:before="0" w:beforeAutospacing="0" w:after="0" w:afterAutospacing="0" w:line="360" w:lineRule="auto"/>
        <w:ind w:firstLine="640"/>
      </w:pPr>
      <w:r>
        <w:rPr>
          <w:rFonts w:hint="eastAsia"/>
          <w:shd w:val="clear" w:color="auto" w:fill="FFFFFF"/>
        </w:rPr>
        <w:t>电子响应文件的制作，参考《全国公共资源交易平台(河南省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许昌市)》公共资源交易系统——组件下载——交易系统操作手册（供应商、供应商）。</w:t>
      </w:r>
    </w:p>
    <w:p>
      <w:pPr>
        <w:pStyle w:val="29"/>
        <w:shd w:val="clear" w:color="auto" w:fill="FFFFFF"/>
        <w:spacing w:before="0" w:beforeAutospacing="0" w:after="0" w:afterAutospacing="0" w:line="360" w:lineRule="auto"/>
        <w:ind w:firstLine="640"/>
      </w:pPr>
      <w:r>
        <w:rPr>
          <w:rFonts w:hint="eastAsia"/>
          <w:shd w:val="clear" w:color="auto" w:fill="FFFFFF"/>
        </w:rPr>
        <w:t>3.2 供应商须将采购文件要求的资质、业绩、荣誉及相关人员证明材料等资料原件扫描件（或图片）制作到所提交的电子响应文件中。</w:t>
      </w:r>
    </w:p>
    <w:p>
      <w:pPr>
        <w:pStyle w:val="29"/>
        <w:shd w:val="clear" w:color="auto" w:fill="FFFFFF"/>
        <w:spacing w:before="0" w:beforeAutospacing="0" w:after="0" w:afterAutospacing="0" w:line="360" w:lineRule="auto"/>
        <w:ind w:firstLine="640"/>
      </w:pPr>
      <w:r>
        <w:rPr>
          <w:rFonts w:hint="eastAsia"/>
          <w:shd w:val="clear" w:color="auto" w:fill="FFFFFF"/>
        </w:rPr>
        <w:t>3.3供应商对同一项目多个标段进行投标的，应分别下载所投标段的采购文件，按标段制作电子响应文件，并按采购文件要求在相应位置加盖供应商电子印章和法人电子印章。</w:t>
      </w:r>
    </w:p>
    <w:p>
      <w:pPr>
        <w:pStyle w:val="29"/>
        <w:shd w:val="clear" w:color="auto" w:fill="FFFFFF"/>
        <w:spacing w:before="0" w:beforeAutospacing="0" w:after="0" w:afterAutospacing="0" w:line="360" w:lineRule="auto"/>
        <w:ind w:left="105" w:firstLine="480"/>
      </w:pPr>
      <w:r>
        <w:rPr>
          <w:rFonts w:hint="eastAsia"/>
          <w:shd w:val="clear" w:color="auto" w:fill="FFFFFF"/>
        </w:rPr>
        <w:t>一个标段对应生成一个文件夹（xxxx项目xx标段）, 其中包含2个文件和1个文件夹。后缀名为“.file”的文件用于电子投标使用，后缀名为“.PDF”的文件用于打印纸质响应文件，名称为“备份”的文件夹使用电子介质存储，供开标现场备用。</w:t>
      </w:r>
    </w:p>
    <w:p>
      <w:pPr>
        <w:pStyle w:val="29"/>
        <w:shd w:val="clear" w:color="auto" w:fill="FFFFFF"/>
        <w:spacing w:before="0" w:beforeAutospacing="0" w:after="0" w:afterAutospacing="0" w:line="360" w:lineRule="auto"/>
        <w:ind w:firstLine="643"/>
      </w:pPr>
      <w:r>
        <w:rPr>
          <w:rFonts w:hint="eastAsia"/>
          <w:b/>
          <w:shd w:val="clear" w:color="auto" w:fill="FFFFFF"/>
        </w:rPr>
        <w:t>4.加密电子响应文件的提交</w:t>
      </w:r>
    </w:p>
    <w:p>
      <w:pPr>
        <w:pStyle w:val="29"/>
        <w:shd w:val="clear" w:color="auto" w:fill="FFFFFF"/>
        <w:spacing w:before="0" w:beforeAutospacing="0" w:after="0" w:afterAutospacing="0" w:line="360" w:lineRule="auto"/>
        <w:ind w:firstLine="634"/>
      </w:pPr>
      <w:r>
        <w:rPr>
          <w:rFonts w:hint="eastAsia"/>
          <w:shd w:val="clear" w:color="auto" w:fill="FFFFFF"/>
        </w:rPr>
        <w:t>4.1加密电子响应文件应在采购文件规定的投标截止时间（开标时间）之前成功提交至《全国公共资源交易平台(河南省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w:t>
      </w:r>
    </w:p>
    <w:p>
      <w:pPr>
        <w:pStyle w:val="29"/>
        <w:shd w:val="clear" w:color="auto" w:fill="FFFFFF"/>
        <w:spacing w:before="0" w:beforeAutospacing="0" w:after="0" w:afterAutospacing="0" w:line="360" w:lineRule="auto"/>
        <w:ind w:firstLine="640"/>
      </w:pPr>
      <w:r>
        <w:rPr>
          <w:rFonts w:hint="eastAsia"/>
          <w:shd w:val="clear" w:color="auto" w:fill="FFFFFF"/>
        </w:rPr>
        <w:t>供应商应充分考虑并预留技术处理和上传数据所需时间。</w:t>
      </w:r>
    </w:p>
    <w:p>
      <w:pPr>
        <w:pStyle w:val="29"/>
        <w:shd w:val="clear" w:color="auto" w:fill="FFFFFF"/>
        <w:spacing w:before="0" w:beforeAutospacing="0" w:after="0" w:afterAutospacing="0" w:line="360" w:lineRule="auto"/>
        <w:ind w:firstLine="640"/>
      </w:pPr>
      <w:r>
        <w:rPr>
          <w:rFonts w:hint="eastAsia"/>
          <w:shd w:val="clear" w:color="auto" w:fill="FFFFFF"/>
        </w:rPr>
        <w:t>4.2供应商对同一项目多个标段进行投标的，加密电子响应文件应按标段分别提交。</w:t>
      </w:r>
    </w:p>
    <w:p>
      <w:pPr>
        <w:pStyle w:val="29"/>
        <w:shd w:val="clear" w:color="auto" w:fill="FFFFFF"/>
        <w:spacing w:before="0" w:beforeAutospacing="0" w:after="0" w:afterAutospacing="0" w:line="360" w:lineRule="auto"/>
        <w:ind w:firstLine="640"/>
      </w:pPr>
      <w:r>
        <w:rPr>
          <w:rFonts w:hint="eastAsia"/>
          <w:shd w:val="clear" w:color="auto" w:fill="FFFFFF"/>
        </w:rPr>
        <w:t>4.3加密电子响应文件成功提交后，供应商应打印“响应文件提交回执单”供开标现场备查。</w:t>
      </w:r>
    </w:p>
    <w:p>
      <w:pPr>
        <w:pStyle w:val="29"/>
        <w:shd w:val="clear" w:color="auto" w:fill="FFFFFF"/>
        <w:spacing w:before="0" w:beforeAutospacing="0" w:after="0" w:afterAutospacing="0" w:line="360" w:lineRule="auto"/>
        <w:ind w:firstLine="643"/>
      </w:pPr>
      <w:r>
        <w:rPr>
          <w:rFonts w:hint="eastAsia"/>
          <w:b/>
          <w:shd w:val="clear" w:color="auto" w:fill="FFFFFF"/>
        </w:rPr>
        <w:t>5.评标依据</w:t>
      </w:r>
    </w:p>
    <w:p>
      <w:pPr>
        <w:ind w:firstLine="720" w:firstLineChars="300"/>
        <w:rPr>
          <w:rFonts w:ascii="宋体" w:hAnsi="宋体"/>
          <w:sz w:val="24"/>
          <w:szCs w:val="24"/>
          <w:shd w:val="clear" w:color="auto" w:fill="FFFFFF"/>
        </w:rPr>
      </w:pPr>
      <w:r>
        <w:rPr>
          <w:rFonts w:hint="eastAsia" w:ascii="宋体" w:hAnsi="宋体"/>
          <w:sz w:val="24"/>
          <w:szCs w:val="24"/>
          <w:shd w:val="clear" w:color="auto" w:fill="FFFFFF"/>
        </w:rPr>
        <w:t>本项目采用全流程电子化交易评标，谈判小组以电子响应文件为依据评标。</w:t>
      </w:r>
    </w:p>
    <w:p>
      <w:pPr>
        <w:widowControl/>
        <w:spacing w:line="360" w:lineRule="auto"/>
        <w:jc w:val="center"/>
        <w:rPr>
          <w:rFonts w:ascii="宋体" w:hAnsi="宋体" w:cs="仿宋_GB2312"/>
          <w:b/>
          <w:kern w:val="0"/>
          <w:sz w:val="24"/>
          <w:szCs w:val="24"/>
        </w:rPr>
      </w:pPr>
      <w:r>
        <w:rPr>
          <w:rFonts w:cs="仿宋_GB2312"/>
          <w:b/>
        </w:rPr>
        <w:br w:type="page"/>
      </w:r>
      <w:r>
        <w:rPr>
          <w:rFonts w:hint="eastAsia" w:asciiTheme="majorEastAsia" w:hAnsiTheme="majorEastAsia" w:eastAsiaTheme="majorEastAsia"/>
          <w:b/>
          <w:sz w:val="32"/>
          <w:szCs w:val="32"/>
        </w:rPr>
        <w:t>第二章  采购项目基本内容及要求</w:t>
      </w:r>
    </w:p>
    <w:p>
      <w:pPr>
        <w:widowControl/>
        <w:tabs>
          <w:tab w:val="left" w:pos="2161"/>
          <w:tab w:val="center" w:pos="4766"/>
        </w:tabs>
        <w:spacing w:line="400" w:lineRule="atLeast"/>
        <w:ind w:firstLine="422" w:firstLineChars="175"/>
        <w:jc w:val="left"/>
        <w:rPr>
          <w:rFonts w:ascii="宋体" w:hAnsi="宋体" w:cs="宋体"/>
          <w:b/>
          <w:sz w:val="24"/>
          <w:szCs w:val="24"/>
        </w:rPr>
      </w:pPr>
    </w:p>
    <w:p>
      <w:pPr>
        <w:widowControl/>
        <w:tabs>
          <w:tab w:val="left" w:pos="2161"/>
          <w:tab w:val="center" w:pos="4766"/>
        </w:tabs>
        <w:spacing w:line="400" w:lineRule="atLeast"/>
        <w:ind w:firstLine="422" w:firstLineChars="175"/>
        <w:jc w:val="left"/>
      </w:pPr>
      <w:r>
        <w:rPr>
          <w:rFonts w:hint="eastAsia" w:ascii="宋体" w:hAnsi="宋体" w:cs="宋体"/>
          <w:b/>
          <w:sz w:val="24"/>
          <w:szCs w:val="24"/>
        </w:rPr>
        <w:t>一、基本内容</w:t>
      </w:r>
    </w:p>
    <w:tbl>
      <w:tblPr>
        <w:tblStyle w:val="33"/>
        <w:tblW w:w="9787"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22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502" w:hRule="atLeast"/>
          <w:jc w:val="center"/>
        </w:trPr>
        <w:tc>
          <w:tcPr>
            <w:tcW w:w="15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分</w:t>
            </w:r>
            <w:r>
              <w:rPr>
                <w:rFonts w:ascii="宋体" w:hAnsi="宋体" w:cs="宋体"/>
                <w:bCs/>
                <w:kern w:val="0"/>
                <w:szCs w:val="21"/>
              </w:rPr>
              <w:t>项</w:t>
            </w:r>
            <w:r>
              <w:rPr>
                <w:rFonts w:hint="eastAsia" w:ascii="宋体" w:hAnsi="宋体" w:cs="宋体"/>
                <w:bCs/>
                <w:kern w:val="0"/>
                <w:szCs w:val="21"/>
              </w:rPr>
              <w:t>名称</w:t>
            </w:r>
          </w:p>
        </w:tc>
        <w:tc>
          <w:tcPr>
            <w:tcW w:w="8226"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采购人</w:t>
            </w:r>
          </w:p>
        </w:tc>
        <w:tc>
          <w:tcPr>
            <w:tcW w:w="8226" w:type="dxa"/>
            <w:vAlign w:val="center"/>
          </w:tcPr>
          <w:p>
            <w:pPr>
              <w:spacing w:line="300" w:lineRule="auto"/>
              <w:rPr>
                <w:rFonts w:ascii="宋体" w:hAnsi="宋体" w:cs="宋体"/>
                <w:bCs/>
                <w:szCs w:val="21"/>
              </w:rPr>
            </w:pPr>
            <w:r>
              <w:rPr>
                <w:rFonts w:hint="eastAsia" w:cs="仿宋_GB2312"/>
              </w:rPr>
              <w:t>长葛市</w:t>
            </w:r>
            <w:r>
              <w:rPr>
                <w:rFonts w:hint="eastAsia" w:cs="仿宋_GB2312"/>
                <w:lang w:eastAsia="zh-CN"/>
              </w:rPr>
              <w:t>佛耳岗水库管理所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5"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项目名称</w:t>
            </w:r>
          </w:p>
        </w:tc>
        <w:tc>
          <w:tcPr>
            <w:tcW w:w="8226" w:type="dxa"/>
            <w:vAlign w:val="center"/>
          </w:tcPr>
          <w:p>
            <w:pPr>
              <w:spacing w:line="300" w:lineRule="auto"/>
              <w:rPr>
                <w:rFonts w:ascii="宋体" w:hAnsi="宋体" w:cs="宋体"/>
                <w:bCs/>
                <w:szCs w:val="21"/>
              </w:rPr>
            </w:pPr>
            <w:r>
              <w:rPr>
                <w:rFonts w:hint="eastAsia" w:ascii="宋体" w:hAnsi="宋体" w:cs="宋体"/>
                <w:kern w:val="0"/>
                <w:sz w:val="24"/>
                <w:szCs w:val="24"/>
                <w:lang w:eastAsia="zh-CN"/>
              </w:rPr>
              <w:t>佛耳岗水库周庄北护岸险工护砌工程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项目编号</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长招采竞字【2019】08</w:t>
            </w:r>
            <w:r>
              <w:rPr>
                <w:rFonts w:hint="eastAsia" w:ascii="宋体" w:hAnsi="宋体" w:cs="宋体"/>
                <w:bCs/>
                <w:szCs w:val="21"/>
                <w:lang w:val="en-US" w:eastAsia="zh-CN"/>
              </w:rPr>
              <w:t>6</w:t>
            </w:r>
            <w:r>
              <w:rPr>
                <w:rFonts w:hint="eastAsia" w:ascii="宋体" w:hAnsi="宋体" w:cs="宋体"/>
                <w:bCs/>
                <w:szCs w:val="21"/>
              </w:rPr>
              <w:t>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集中采购机构</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长葛市公共资源交易中心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8"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w:t>
            </w:r>
            <w:r>
              <w:rPr>
                <w:rFonts w:ascii="宋体" w:hAnsi="宋体"/>
                <w:bCs/>
                <w:szCs w:val="21"/>
              </w:rPr>
              <w:t>购</w:t>
            </w:r>
            <w:r>
              <w:rPr>
                <w:rFonts w:hint="eastAsia" w:ascii="宋体" w:hAnsi="宋体"/>
                <w:bCs/>
                <w:szCs w:val="21"/>
              </w:rPr>
              <w:t>方式</w:t>
            </w:r>
          </w:p>
        </w:tc>
        <w:tc>
          <w:tcPr>
            <w:tcW w:w="8226" w:type="dxa"/>
            <w:vAlign w:val="center"/>
          </w:tcPr>
          <w:p>
            <w:pPr>
              <w:spacing w:line="300" w:lineRule="auto"/>
              <w:rPr>
                <w:rFonts w:ascii="宋体" w:hAnsi="宋体" w:cs="宋体"/>
                <w:bCs/>
                <w:szCs w:val="21"/>
              </w:rPr>
            </w:pPr>
            <w:r>
              <w:rPr>
                <w:rFonts w:hint="eastAsia" w:ascii="宋体" w:hAnsi="宋体" w:cs="宋体"/>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ascii="宋体" w:hAnsi="宋体"/>
                <w:bCs/>
                <w:szCs w:val="21"/>
              </w:rPr>
            </w:pPr>
            <w:r>
              <w:rPr>
                <w:rFonts w:hint="eastAsia" w:ascii="宋体" w:hAnsi="宋体"/>
                <w:bCs/>
                <w:szCs w:val="21"/>
              </w:rPr>
              <w:t>合格供应商</w:t>
            </w:r>
          </w:p>
          <w:p>
            <w:pPr>
              <w:widowControl/>
              <w:spacing w:line="300" w:lineRule="auto"/>
              <w:jc w:val="center"/>
              <w:rPr>
                <w:rFonts w:ascii="宋体" w:hAnsi="宋体" w:cs="宋体"/>
                <w:bCs/>
                <w:kern w:val="0"/>
                <w:szCs w:val="21"/>
              </w:rPr>
            </w:pPr>
            <w:r>
              <w:rPr>
                <w:rFonts w:hint="eastAsia" w:ascii="宋体" w:hAnsi="宋体"/>
                <w:bCs/>
                <w:szCs w:val="21"/>
              </w:rPr>
              <w:t>的</w:t>
            </w:r>
            <w:r>
              <w:rPr>
                <w:rFonts w:ascii="宋体" w:hAnsi="宋体"/>
                <w:bCs/>
                <w:szCs w:val="21"/>
              </w:rPr>
              <w:t>资</w:t>
            </w:r>
            <w:r>
              <w:rPr>
                <w:rFonts w:hint="eastAsia" w:ascii="宋体" w:hAnsi="宋体"/>
                <w:bCs/>
                <w:szCs w:val="21"/>
              </w:rPr>
              <w:t>格</w:t>
            </w:r>
            <w:r>
              <w:rPr>
                <w:rFonts w:ascii="宋体" w:hAnsi="宋体"/>
                <w:bCs/>
                <w:szCs w:val="21"/>
              </w:rPr>
              <w:t>条</w:t>
            </w:r>
            <w:r>
              <w:rPr>
                <w:rFonts w:hint="eastAsia" w:ascii="宋体" w:hAnsi="宋体"/>
                <w:bCs/>
                <w:szCs w:val="21"/>
              </w:rPr>
              <w:t>件</w:t>
            </w:r>
          </w:p>
        </w:tc>
        <w:tc>
          <w:tcPr>
            <w:tcW w:w="8226" w:type="dxa"/>
            <w:vAlign w:val="center"/>
          </w:tcPr>
          <w:p>
            <w:pPr>
              <w:spacing w:line="300" w:lineRule="auto"/>
              <w:rPr>
                <w:rFonts w:ascii="宋体" w:hAnsi="宋体" w:cs="宋体"/>
                <w:bCs/>
                <w:szCs w:val="21"/>
              </w:rPr>
            </w:pPr>
            <w:r>
              <w:rPr>
                <w:rFonts w:hint="eastAsia" w:ascii="宋体" w:hAnsi="宋体" w:cs="宋体"/>
                <w:bCs/>
                <w:szCs w:val="21"/>
              </w:rPr>
              <w:t>1.具备《中华人民共和国政府采购法》第二十二条规定的条件及其他特殊条件。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continue"/>
            <w:vAlign w:val="center"/>
          </w:tcPr>
          <w:p>
            <w:pPr>
              <w:widowControl/>
              <w:spacing w:line="300" w:lineRule="auto"/>
              <w:jc w:val="center"/>
              <w:rPr>
                <w:rFonts w:ascii="宋体" w:hAnsi="宋体"/>
                <w:bCs/>
                <w:szCs w:val="21"/>
              </w:rPr>
            </w:pPr>
          </w:p>
        </w:tc>
        <w:tc>
          <w:tcPr>
            <w:tcW w:w="8226" w:type="dxa"/>
            <w:vAlign w:val="center"/>
          </w:tcPr>
          <w:p>
            <w:pPr>
              <w:spacing w:line="360" w:lineRule="auto"/>
              <w:rPr>
                <w:rFonts w:ascii="宋体" w:hAnsi="宋体" w:cs="宋体"/>
                <w:bCs/>
                <w:szCs w:val="21"/>
              </w:rPr>
            </w:pPr>
            <w:r>
              <w:rPr>
                <w:rFonts w:hint="eastAsia" w:ascii="宋体" w:hAnsi="宋体" w:cs="宋体"/>
                <w:bCs/>
                <w:szCs w:val="21"/>
              </w:rPr>
              <w:t>2.供应商须具有</w:t>
            </w:r>
            <w:r>
              <w:rPr>
                <w:rFonts w:hint="eastAsia" w:ascii="宋体" w:hAnsi="宋体" w:cs="宋体"/>
                <w:bCs/>
                <w:color w:val="FF0000"/>
                <w:szCs w:val="21"/>
                <w:lang w:eastAsia="zh-CN"/>
              </w:rPr>
              <w:t>水利水电</w:t>
            </w:r>
            <w:r>
              <w:rPr>
                <w:rFonts w:hint="eastAsia" w:ascii="宋体" w:hAnsi="宋体" w:cs="宋体"/>
                <w:bCs/>
                <w:szCs w:val="21"/>
              </w:rPr>
              <w:t>工程施工总承包三级（含）以上资质，并且具有有效的安全生产许可证，具备独立法人资格，有良好的财务状况，良好的社会信誉，并在人员、设备、资金等方面具备相应的施工能力；拟任项目经理应具有</w:t>
            </w:r>
            <w:r>
              <w:rPr>
                <w:rFonts w:hint="eastAsia" w:ascii="宋体" w:hAnsi="宋体" w:cs="宋体"/>
                <w:bCs/>
                <w:color w:val="FF0000"/>
                <w:szCs w:val="21"/>
                <w:lang w:eastAsia="zh-CN"/>
              </w:rPr>
              <w:t>水利水电</w:t>
            </w:r>
            <w:r>
              <w:rPr>
                <w:rFonts w:hint="eastAsia" w:ascii="宋体" w:hAnsi="宋体" w:cs="宋体"/>
                <w:bCs/>
                <w:szCs w:val="21"/>
              </w:rPr>
              <w:t>工程专业贰级（含）以上注册建造师资格，取得有效的安全生产考核合格证，且未担任其他在施建设工程的项目经理。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rPr>
                <w:rFonts w:ascii="宋体" w:hAnsi="宋体" w:cs="宋体"/>
                <w:bCs/>
                <w:szCs w:val="21"/>
              </w:rPr>
            </w:pPr>
            <w:r>
              <w:rPr>
                <w:rFonts w:hint="eastAsia" w:ascii="宋体" w:hAnsi="宋体" w:cs="宋体"/>
                <w:bCs/>
                <w:szCs w:val="21"/>
              </w:rPr>
              <w:t>3.未被列入“信用中国”网站(www.creditchina.gov.cn)失信被执行人、重大税收违法案件当事人名单、政府采购严重违法失信名单的供应商；“中国政府采购网” (www.ccgp.gov.cn)政府采购严重违法失信行为记录名单的供应商。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ind w:left="315" w:hanging="315" w:hangingChars="150"/>
              <w:rPr>
                <w:rFonts w:ascii="宋体" w:hAnsi="宋体" w:cs="宋体"/>
                <w:bCs/>
                <w:szCs w:val="21"/>
              </w:rPr>
            </w:pPr>
            <w:r>
              <w:rPr>
                <w:rFonts w:hint="eastAsia" w:ascii="宋体" w:hAnsi="宋体" w:cs="宋体"/>
                <w:bCs/>
                <w:szCs w:val="21"/>
              </w:rPr>
              <w:t>4.满足本谈判文件的规定其他条件，完全响应谈判文件的实质性要求。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w:t>
            </w:r>
            <w:r>
              <w:rPr>
                <w:rFonts w:ascii="宋体" w:hAnsi="宋体"/>
                <w:bCs/>
                <w:szCs w:val="21"/>
              </w:rPr>
              <w:t>资</w:t>
            </w:r>
            <w:r>
              <w:rPr>
                <w:rFonts w:hint="eastAsia" w:ascii="宋体" w:hAnsi="宋体"/>
                <w:bCs/>
                <w:szCs w:val="21"/>
              </w:rPr>
              <w:t>金</w:t>
            </w:r>
          </w:p>
        </w:tc>
        <w:tc>
          <w:tcPr>
            <w:tcW w:w="8226" w:type="dxa"/>
            <w:vAlign w:val="center"/>
          </w:tcPr>
          <w:p>
            <w:pPr>
              <w:spacing w:line="300" w:lineRule="auto"/>
              <w:rPr>
                <w:rFonts w:ascii="宋体" w:hAnsi="宋体" w:cs="宋体"/>
                <w:bCs/>
                <w:szCs w:val="21"/>
              </w:rPr>
            </w:pPr>
            <w:r>
              <w:rPr>
                <w:rFonts w:hint="eastAsia" w:ascii="宋体" w:hAnsi="宋体" w:cs="宋体"/>
                <w:bCs/>
                <w:szCs w:val="21"/>
              </w:rPr>
              <w:t>1.财政专项资金。</w:t>
            </w:r>
          </w:p>
          <w:p>
            <w:pPr>
              <w:spacing w:line="300" w:lineRule="auto"/>
              <w:rPr>
                <w:rFonts w:ascii="宋体" w:hAnsi="宋体" w:cs="宋体"/>
                <w:szCs w:val="21"/>
              </w:rPr>
            </w:pPr>
            <w:r>
              <w:rPr>
                <w:rFonts w:hint="eastAsia" w:ascii="宋体" w:hAnsi="宋体" w:cs="宋体"/>
                <w:bCs/>
                <w:szCs w:val="21"/>
              </w:rPr>
              <w:t>2.</w:t>
            </w:r>
            <w:r>
              <w:rPr>
                <w:rFonts w:hint="eastAsia"/>
              </w:rPr>
              <w:t xml:space="preserve"> </w:t>
            </w:r>
            <w:r>
              <w:rPr>
                <w:rFonts w:hint="eastAsia" w:ascii="宋体" w:hAnsi="宋体" w:cs="宋体"/>
                <w:bCs/>
                <w:szCs w:val="21"/>
              </w:rPr>
              <w:t>采购预算：</w:t>
            </w:r>
            <w:r>
              <w:rPr>
                <w:rFonts w:hint="eastAsia" w:ascii="宋体" w:hAnsi="宋体" w:cs="宋体"/>
                <w:bCs/>
                <w:szCs w:val="21"/>
                <w:lang w:val="en-US" w:eastAsia="zh-CN"/>
              </w:rPr>
              <w:t>379507.39</w:t>
            </w:r>
            <w:r>
              <w:rPr>
                <w:rFonts w:hint="eastAsia" w:ascii="宋体" w:hAnsi="宋体" w:cs="宋体"/>
                <w:bCs/>
                <w:szCs w:val="21"/>
              </w:rPr>
              <w:t>（超过此预算报价为无效报价）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项目地点</w:t>
            </w:r>
          </w:p>
        </w:tc>
        <w:tc>
          <w:tcPr>
            <w:tcW w:w="8226" w:type="dxa"/>
            <w:vAlign w:val="center"/>
          </w:tcPr>
          <w:p>
            <w:pPr>
              <w:spacing w:line="300" w:lineRule="auto"/>
              <w:rPr>
                <w:rFonts w:ascii="宋体" w:hAnsi="宋体" w:cs="宋体"/>
                <w:szCs w:val="21"/>
              </w:rPr>
            </w:pPr>
            <w:r>
              <w:rPr>
                <w:rFonts w:hint="eastAsia" w:ascii="宋体" w:hAnsi="宋体" w:cs="仿宋_GB2312"/>
              </w:rPr>
              <w:t>长葛市和尚桥镇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bCs/>
                <w:szCs w:val="21"/>
              </w:rPr>
              <w:t>项目采购内容</w:t>
            </w:r>
          </w:p>
        </w:tc>
        <w:tc>
          <w:tcPr>
            <w:tcW w:w="8226" w:type="dxa"/>
            <w:vAlign w:val="center"/>
          </w:tcPr>
          <w:p>
            <w:pPr>
              <w:spacing w:line="300" w:lineRule="auto"/>
            </w:pPr>
            <w:r>
              <w:rPr>
                <w:rFonts w:hint="eastAsia"/>
                <w:lang w:eastAsia="zh-CN"/>
              </w:rPr>
              <w:t>土方开挖弃运</w:t>
            </w:r>
            <w:r>
              <w:rPr>
                <w:rFonts w:hint="eastAsia"/>
                <w:lang w:val="en-US" w:eastAsia="zh-CN"/>
              </w:rPr>
              <w:t>267立方米，一般土方开挖413立方米，土方回填350立方米，M7.5浆砌石448.2立方米，施工围堰填筑1925立方米，围堰拆除1925立方米。</w:t>
            </w:r>
            <w:r>
              <w:rPr>
                <w:rFonts w:hint="eastAsia"/>
              </w:rPr>
              <w:t>详见谈判文件及工程量清单；</w:t>
            </w:r>
          </w:p>
          <w:p>
            <w:pPr>
              <w:spacing w:line="300" w:lineRule="auto"/>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szCs w:val="21"/>
              </w:rPr>
              <w:t>工期</w:t>
            </w:r>
          </w:p>
        </w:tc>
        <w:tc>
          <w:tcPr>
            <w:tcW w:w="8226" w:type="dxa"/>
            <w:vAlign w:val="center"/>
          </w:tcPr>
          <w:p>
            <w:pPr>
              <w:spacing w:line="300" w:lineRule="auto"/>
              <w:rPr>
                <w:rFonts w:ascii="宋体" w:hAnsi="宋体" w:cs="宋体"/>
                <w:szCs w:val="21"/>
              </w:rPr>
            </w:pPr>
            <w:r>
              <w:rPr>
                <w:rFonts w:hint="eastAsia"/>
                <w:shd w:val="clear" w:color="auto" w:fill="FFFFFF"/>
              </w:rPr>
              <w:t>为合同签订后</w:t>
            </w:r>
            <w:r>
              <w:rPr>
                <w:rFonts w:hint="eastAsia"/>
                <w:u w:val="single"/>
                <w:shd w:val="clear" w:color="auto" w:fill="FFFFFF"/>
              </w:rPr>
              <w:t>30</w:t>
            </w:r>
            <w:r>
              <w:rPr>
                <w:rFonts w:hint="eastAsia"/>
                <w:shd w:val="clear" w:color="auto" w:fill="FFFFFF"/>
              </w:rPr>
              <w:t>日历天内。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质量要求</w:t>
            </w:r>
          </w:p>
        </w:tc>
        <w:tc>
          <w:tcPr>
            <w:tcW w:w="8226" w:type="dxa"/>
            <w:vAlign w:val="center"/>
          </w:tcPr>
          <w:p>
            <w:pPr>
              <w:spacing w:line="300" w:lineRule="auto"/>
              <w:rPr>
                <w:rFonts w:ascii="宋体" w:hAnsi="宋体" w:cs="宋体"/>
                <w:szCs w:val="21"/>
              </w:rPr>
            </w:pPr>
            <w:r>
              <w:rPr>
                <w:rFonts w:hint="eastAsia" w:ascii="宋体" w:hAnsi="宋体" w:cs="宋体"/>
                <w:szCs w:val="21"/>
              </w:rPr>
              <w:t>合格（符合国家现行规范、规程、规定、标准的要求）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谈判文件获取</w:t>
            </w:r>
          </w:p>
        </w:tc>
        <w:tc>
          <w:tcPr>
            <w:tcW w:w="8226" w:type="dxa"/>
            <w:vAlign w:val="center"/>
          </w:tcPr>
          <w:p>
            <w:pPr>
              <w:spacing w:line="300" w:lineRule="auto"/>
              <w:rPr>
                <w:rFonts w:ascii="宋体" w:hAnsi="宋体" w:cs="宋体"/>
                <w:bCs/>
                <w:szCs w:val="21"/>
              </w:rPr>
            </w:pPr>
            <w:r>
              <w:rPr>
                <w:rFonts w:hint="eastAsia" w:ascii="宋体" w:hAnsi="宋体" w:cs="宋体"/>
                <w:bCs/>
                <w:szCs w:val="21"/>
              </w:rPr>
              <w:t>（一）网上下载谈判文件</w:t>
            </w:r>
          </w:p>
          <w:p>
            <w:pPr>
              <w:spacing w:line="300" w:lineRule="auto"/>
              <w:rPr>
                <w:rFonts w:ascii="宋体" w:hAnsi="宋体" w:cs="宋体"/>
                <w:bCs/>
                <w:szCs w:val="21"/>
              </w:rPr>
            </w:pPr>
            <w:r>
              <w:rPr>
                <w:rFonts w:hint="eastAsia" w:ascii="宋体" w:hAnsi="宋体" w:cs="宋体"/>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ascii="宋体" w:hAnsi="宋体" w:cs="宋体"/>
                <w:bCs/>
                <w:szCs w:val="21"/>
              </w:rPr>
            </w:pPr>
            <w:r>
              <w:rPr>
                <w:rFonts w:hint="eastAsia" w:ascii="宋体" w:hAnsi="宋体" w:cs="宋体"/>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ascii="宋体" w:hAnsi="宋体" w:cs="宋体"/>
                <w:bCs/>
                <w:szCs w:val="21"/>
              </w:rPr>
            </w:pPr>
            <w:r>
              <w:rPr>
                <w:rFonts w:hint="eastAsia" w:ascii="宋体" w:hAnsi="宋体" w:cs="宋体"/>
                <w:bCs/>
                <w:szCs w:val="21"/>
              </w:rPr>
              <w:t>（二）未通过【全国公共资源交易平台（河南省·许昌市）】下载谈判文件的供应商,拒收其递交的谈判响应文件。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现场</w:t>
            </w:r>
            <w:r>
              <w:rPr>
                <w:rFonts w:ascii="宋体" w:hAnsi="宋体"/>
                <w:bCs/>
                <w:szCs w:val="21"/>
              </w:rPr>
              <w:t>勘查</w:t>
            </w:r>
          </w:p>
        </w:tc>
        <w:tc>
          <w:tcPr>
            <w:tcW w:w="8226" w:type="dxa"/>
            <w:vAlign w:val="center"/>
          </w:tcPr>
          <w:p>
            <w:pPr>
              <w:spacing w:line="300" w:lineRule="auto"/>
              <w:rPr>
                <w:rFonts w:ascii="宋体" w:hAnsi="宋体"/>
                <w:bCs/>
                <w:szCs w:val="21"/>
              </w:rPr>
            </w:pPr>
            <w:r>
              <w:rPr>
                <w:rFonts w:hint="eastAsia" w:ascii="宋体" w:hAnsi="宋体"/>
                <w:bCs/>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谈判响应文件</w:t>
            </w:r>
          </w:p>
        </w:tc>
        <w:tc>
          <w:tcPr>
            <w:tcW w:w="8226" w:type="dxa"/>
            <w:vAlign w:val="center"/>
          </w:tcPr>
          <w:p>
            <w:pPr>
              <w:spacing w:line="300" w:lineRule="auto"/>
              <w:rPr>
                <w:rFonts w:ascii="宋体" w:hAnsi="宋体"/>
                <w:bCs/>
                <w:szCs w:val="21"/>
              </w:rPr>
            </w:pPr>
            <w:r>
              <w:rPr>
                <w:rFonts w:hint="eastAsia" w:ascii="宋体" w:hAnsi="宋体"/>
                <w:bCs/>
                <w:szCs w:val="21"/>
              </w:rPr>
              <w:t>电子响应文件：成功上传至《全国公共资源交易平台（河南省·许昌市）》公共资源交易系统加密电子响应文件1份（文件格式为： XXX公司XXX项目编号.file）。使用电子介质存储的备份文件1份（文件格式为：名称为“备份”的文件夹）。</w:t>
            </w:r>
          </w:p>
          <w:p>
            <w:pPr>
              <w:spacing w:line="300" w:lineRule="auto"/>
              <w:rPr>
                <w:rFonts w:ascii="宋体" w:hAnsi="宋体"/>
                <w:bCs/>
                <w:szCs w:val="21"/>
              </w:rPr>
            </w:pPr>
            <w:r>
              <w:rPr>
                <w:rFonts w:hint="eastAsia" w:ascii="宋体" w:hAnsi="宋体"/>
                <w:bCs/>
                <w:szCs w:val="21"/>
              </w:rPr>
              <w:t>纸质响应文件：正本一份，副本一份。使用格式为“响应文件（供打印）.PDF”的文件。</w:t>
            </w:r>
          </w:p>
          <w:p>
            <w:pPr>
              <w:spacing w:line="300" w:lineRule="auto"/>
              <w:rPr>
                <w:rFonts w:ascii="宋体" w:hAnsi="宋体"/>
                <w:bCs/>
                <w:szCs w:val="21"/>
              </w:rPr>
            </w:pPr>
            <w:r>
              <w:rPr>
                <w:rFonts w:hint="eastAsia" w:ascii="宋体" w:hAnsi="宋体"/>
                <w:bCs/>
                <w:szCs w:val="21"/>
              </w:rPr>
              <w:t>电子响应文件和纸质响应文件的内容、格式、水印码、签章应一致。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20" w:lineRule="exact"/>
              <w:jc w:val="center"/>
              <w:rPr>
                <w:rFonts w:ascii="宋体" w:hAnsi="宋体"/>
                <w:bCs/>
                <w:szCs w:val="21"/>
              </w:rPr>
            </w:pPr>
            <w:r>
              <w:rPr>
                <w:rFonts w:hint="eastAsia" w:ascii="宋体" w:hAnsi="宋体"/>
                <w:bCs/>
                <w:szCs w:val="21"/>
              </w:rPr>
              <w:t>响应文件的</w:t>
            </w:r>
          </w:p>
          <w:p>
            <w:pPr>
              <w:spacing w:line="320" w:lineRule="exact"/>
              <w:jc w:val="center"/>
              <w:rPr>
                <w:rFonts w:ascii="宋体" w:hAnsi="宋体"/>
                <w:bCs/>
                <w:szCs w:val="21"/>
              </w:rPr>
            </w:pPr>
            <w:r>
              <w:rPr>
                <w:rFonts w:hint="eastAsia" w:ascii="宋体" w:hAnsi="宋体"/>
                <w:bCs/>
                <w:szCs w:val="21"/>
              </w:rPr>
              <w:t>签署盖章</w:t>
            </w:r>
          </w:p>
        </w:tc>
        <w:tc>
          <w:tcPr>
            <w:tcW w:w="8226" w:type="dxa"/>
            <w:vAlign w:val="center"/>
          </w:tcPr>
          <w:p>
            <w:pPr>
              <w:spacing w:line="320" w:lineRule="exact"/>
              <w:rPr>
                <w:rFonts w:ascii="宋体" w:hAnsi="宋体"/>
                <w:bCs/>
                <w:szCs w:val="21"/>
              </w:rPr>
            </w:pPr>
            <w:r>
              <w:rPr>
                <w:rFonts w:hint="eastAsia" w:ascii="宋体" w:hAnsi="宋体"/>
                <w:bCs/>
                <w:szCs w:val="21"/>
              </w:rPr>
              <w:t>电子响应文件：按采购文件要求加盖电子印章和法人电子印章。</w:t>
            </w:r>
          </w:p>
          <w:p>
            <w:pPr>
              <w:spacing w:line="320" w:lineRule="exact"/>
              <w:rPr>
                <w:rFonts w:ascii="宋体" w:hAnsi="宋体"/>
                <w:bCs/>
                <w:szCs w:val="21"/>
              </w:rPr>
            </w:pPr>
            <w:r>
              <w:rPr>
                <w:rFonts w:hint="eastAsia" w:ascii="宋体" w:hAnsi="宋体"/>
                <w:bCs/>
                <w:szCs w:val="21"/>
              </w:rPr>
              <w:t>纸质响应文件：响应文件封面加盖供应商公章（响应文件是指供应商电子响应文件制作完成后生成的后缀名为“.PDF”的文件打印的纸质响应文件）。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谈判响应文件递交地点</w:t>
            </w:r>
          </w:p>
        </w:tc>
        <w:tc>
          <w:tcPr>
            <w:tcW w:w="8226" w:type="dxa"/>
            <w:vAlign w:val="center"/>
          </w:tcPr>
          <w:p>
            <w:pPr>
              <w:spacing w:line="300" w:lineRule="auto"/>
              <w:rPr>
                <w:rFonts w:ascii="宋体" w:hAnsi="宋体"/>
                <w:bCs/>
                <w:color w:val="C00000"/>
                <w:szCs w:val="21"/>
              </w:rPr>
            </w:pPr>
            <w:r>
              <w:rPr>
                <w:rFonts w:hint="eastAsia" w:ascii="宋体" w:hAnsi="宋体"/>
                <w:bCs/>
                <w:color w:val="C00000"/>
                <w:szCs w:val="21"/>
              </w:rPr>
              <w:t>长葛市公共资源交易中心</w:t>
            </w:r>
            <w:r>
              <w:rPr>
                <w:rFonts w:hint="eastAsia" w:ascii="宋体" w:hAnsi="宋体"/>
                <w:bCs/>
                <w:color w:val="C00000"/>
                <w:szCs w:val="21"/>
                <w:lang w:val="en-US" w:eastAsia="zh-CN"/>
              </w:rPr>
              <w:t>5</w:t>
            </w:r>
            <w:r>
              <w:rPr>
                <w:rFonts w:hint="eastAsia" w:ascii="宋体" w:hAnsi="宋体"/>
                <w:bCs/>
                <w:color w:val="C00000"/>
                <w:szCs w:val="21"/>
              </w:rPr>
              <w:t>楼开标</w:t>
            </w:r>
            <w:r>
              <w:rPr>
                <w:rFonts w:hint="eastAsia" w:ascii="宋体" w:hAnsi="宋体"/>
                <w:bCs/>
                <w:color w:val="C00000"/>
                <w:szCs w:val="21"/>
                <w:lang w:val="en-US" w:eastAsia="zh-CN"/>
              </w:rPr>
              <w:t>一</w:t>
            </w:r>
            <w:r>
              <w:rPr>
                <w:rFonts w:hint="eastAsia" w:ascii="宋体" w:hAnsi="宋体"/>
                <w:bCs/>
                <w:color w:val="C00000"/>
                <w:szCs w:val="21"/>
              </w:rPr>
              <w:t>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谈判截止时间</w:t>
            </w:r>
          </w:p>
        </w:tc>
        <w:tc>
          <w:tcPr>
            <w:tcW w:w="8226" w:type="dxa"/>
            <w:vAlign w:val="center"/>
          </w:tcPr>
          <w:p>
            <w:pPr>
              <w:spacing w:line="300" w:lineRule="auto"/>
              <w:rPr>
                <w:rFonts w:ascii="宋体" w:hAnsi="宋体"/>
                <w:bCs/>
                <w:color w:val="C00000"/>
                <w:szCs w:val="21"/>
              </w:rPr>
            </w:pPr>
            <w:r>
              <w:rPr>
                <w:rFonts w:hint="eastAsia" w:ascii="宋体" w:hAnsi="宋体"/>
                <w:bCs/>
                <w:color w:val="C00000"/>
                <w:szCs w:val="21"/>
              </w:rPr>
              <w:t>谈判文件接收截止时间及谈判时间：</w:t>
            </w:r>
            <w:r>
              <w:rPr>
                <w:rFonts w:hint="eastAsia"/>
                <w:color w:val="C00000"/>
                <w:shd w:val="clear" w:color="auto" w:fill="FFFFFF"/>
              </w:rPr>
              <w:t>2019年</w:t>
            </w:r>
            <w:r>
              <w:rPr>
                <w:rFonts w:hint="eastAsia"/>
                <w:color w:val="C00000"/>
                <w:shd w:val="clear" w:color="auto" w:fill="FFFFFF"/>
                <w:lang w:val="en-US" w:eastAsia="zh-CN"/>
              </w:rPr>
              <w:t xml:space="preserve"> 9 </w:t>
            </w:r>
            <w:r>
              <w:rPr>
                <w:rFonts w:hint="eastAsia"/>
                <w:color w:val="C00000"/>
                <w:shd w:val="clear" w:color="auto" w:fill="FFFFFF"/>
              </w:rPr>
              <w:t>月</w:t>
            </w:r>
            <w:r>
              <w:rPr>
                <w:rFonts w:hint="eastAsia"/>
                <w:color w:val="C00000"/>
                <w:shd w:val="clear" w:color="auto" w:fill="FFFFFF"/>
                <w:lang w:val="en-US" w:eastAsia="zh-CN"/>
              </w:rPr>
              <w:t xml:space="preserve">23 </w:t>
            </w:r>
            <w:r>
              <w:rPr>
                <w:rFonts w:hint="eastAsia"/>
                <w:color w:val="C00000"/>
                <w:shd w:val="clear" w:color="auto" w:fill="FFFFFF"/>
              </w:rPr>
              <w:t>日</w:t>
            </w:r>
            <w:r>
              <w:rPr>
                <w:rFonts w:hint="eastAsia"/>
                <w:color w:val="C00000"/>
                <w:shd w:val="clear" w:color="auto" w:fill="FFFFFF"/>
                <w:lang w:val="en-US" w:eastAsia="zh-CN"/>
              </w:rPr>
              <w:t xml:space="preserve"> 9 </w:t>
            </w:r>
            <w:r>
              <w:rPr>
                <w:rFonts w:hint="eastAsia"/>
                <w:color w:val="C00000"/>
                <w:shd w:val="clear" w:color="auto" w:fill="FFFFFF"/>
              </w:rPr>
              <w:t>时</w:t>
            </w:r>
            <w:r>
              <w:rPr>
                <w:rFonts w:hint="eastAsia"/>
                <w:color w:val="C00000"/>
                <w:shd w:val="clear" w:color="auto" w:fill="FFFFFF"/>
                <w:lang w:val="en-US" w:eastAsia="zh-CN"/>
              </w:rPr>
              <w:t xml:space="preserve"> 30 </w:t>
            </w:r>
            <w:r>
              <w:rPr>
                <w:rFonts w:hint="eastAsia"/>
                <w:color w:val="C00000"/>
                <w:shd w:val="clear" w:color="auto" w:fill="FFFFFF"/>
              </w:rPr>
              <w:t>分</w:t>
            </w:r>
            <w:r>
              <w:rPr>
                <w:rFonts w:hint="eastAsia" w:ascii="宋体" w:hAnsi="宋体"/>
                <w:bCs/>
                <w:color w:val="C00000"/>
                <w:szCs w:val="21"/>
              </w:rPr>
              <w:t>(北京时间)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w:t>
            </w:r>
            <w:r>
              <w:rPr>
                <w:rFonts w:ascii="宋体" w:hAnsi="宋体"/>
                <w:bCs/>
                <w:szCs w:val="21"/>
              </w:rPr>
              <w:t>有</w:t>
            </w:r>
            <w:r>
              <w:rPr>
                <w:rFonts w:hint="eastAsia" w:ascii="宋体" w:hAnsi="宋体"/>
                <w:bCs/>
                <w:szCs w:val="21"/>
              </w:rPr>
              <w:t>效期</w:t>
            </w:r>
          </w:p>
        </w:tc>
        <w:tc>
          <w:tcPr>
            <w:tcW w:w="8226" w:type="dxa"/>
            <w:vAlign w:val="center"/>
          </w:tcPr>
          <w:p>
            <w:pPr>
              <w:spacing w:line="300" w:lineRule="auto"/>
              <w:rPr>
                <w:rFonts w:ascii="宋体" w:hAnsi="宋体"/>
                <w:bCs/>
                <w:szCs w:val="21"/>
              </w:rPr>
            </w:pPr>
            <w:r>
              <w:rPr>
                <w:rFonts w:hint="eastAsia" w:ascii="宋体" w:hAnsi="宋体"/>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投标承诺函</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不收取投标保证金，但投标人需出具《投标承诺函》（格式后附）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履</w:t>
            </w:r>
            <w:r>
              <w:rPr>
                <w:rFonts w:ascii="宋体" w:hAnsi="宋体"/>
                <w:bCs/>
                <w:szCs w:val="21"/>
              </w:rPr>
              <w:t>约</w:t>
            </w:r>
            <w:r>
              <w:rPr>
                <w:rFonts w:hint="eastAsia" w:ascii="宋体" w:hAnsi="宋体"/>
                <w:bCs/>
                <w:szCs w:val="21"/>
              </w:rPr>
              <w:t>保</w:t>
            </w:r>
            <w:r>
              <w:rPr>
                <w:rFonts w:ascii="宋体" w:hAnsi="宋体"/>
                <w:bCs/>
                <w:szCs w:val="21"/>
              </w:rPr>
              <w:t>证金</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开户行：河南长葛农村商业银行股份有限公司营业部</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户  名：长葛市公共资源交易中心</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账  号：13201001800000552</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履约保证金的形式：基本户转账，在中标人签订合同前办理。</w:t>
            </w:r>
          </w:p>
          <w:p>
            <w:pPr>
              <w:spacing w:line="300" w:lineRule="auto"/>
              <w:ind w:right="-88" w:rightChars="-42"/>
              <w:rPr>
                <w:rFonts w:ascii="宋体" w:hAnsi="宋体" w:cs="宋体"/>
                <w:bCs/>
                <w:szCs w:val="21"/>
              </w:rPr>
            </w:pPr>
            <w:r>
              <w:rPr>
                <w:rFonts w:hint="eastAsia" w:ascii="新宋体" w:hAnsi="新宋体" w:eastAsia="新宋体"/>
                <w:szCs w:val="21"/>
              </w:rPr>
              <w:t>履约保证金的金额：中标金额的10%。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特别说明</w:t>
            </w:r>
          </w:p>
        </w:tc>
        <w:tc>
          <w:tcPr>
            <w:tcW w:w="8226" w:type="dxa"/>
            <w:vAlign w:val="center"/>
          </w:tcPr>
          <w:p>
            <w:pPr>
              <w:tabs>
                <w:tab w:val="left" w:pos="312"/>
              </w:tabs>
              <w:spacing w:line="300" w:lineRule="auto"/>
              <w:rPr>
                <w:rFonts w:ascii="宋体" w:hAnsi="宋体" w:cs="Arial"/>
                <w:bCs/>
                <w:szCs w:val="21"/>
              </w:rPr>
            </w:pPr>
            <w:r>
              <w:rPr>
                <w:rFonts w:hint="eastAsia" w:ascii="宋体" w:hAnsi="宋体" w:cs="Arial"/>
                <w:bCs/>
                <w:szCs w:val="21"/>
              </w:rPr>
              <w:t>1.采购单位委派代表参加资格审查和评审委员会的，须向采购长葛市公共资源交易中心出具授权函。除授权代表外，采购单位委派纪检监察人员对评标过程实施监督的须进入四楼电子监督室，并向采购长葛市公共资源交易中心出具授权函，且不得超过2人。</w:t>
            </w:r>
          </w:p>
          <w:p>
            <w:pPr>
              <w:spacing w:line="300" w:lineRule="auto"/>
              <w:rPr>
                <w:rFonts w:ascii="宋体" w:hAnsi="宋体" w:cs="Arial"/>
                <w:bCs/>
                <w:szCs w:val="21"/>
              </w:rPr>
            </w:pPr>
            <w:r>
              <w:rPr>
                <w:rFonts w:hint="eastAsia" w:ascii="宋体" w:hAnsi="宋体" w:cs="Arial"/>
                <w:bCs/>
                <w:szCs w:val="21"/>
              </w:rPr>
              <w:t>2.不接受备选方案。</w:t>
            </w:r>
          </w:p>
          <w:p>
            <w:pPr>
              <w:spacing w:line="300" w:lineRule="auto"/>
              <w:rPr>
                <w:rFonts w:ascii="宋体" w:hAnsi="宋体" w:cs="Arial"/>
                <w:bCs/>
                <w:szCs w:val="21"/>
              </w:rPr>
            </w:pPr>
            <w:r>
              <w:rPr>
                <w:rFonts w:hint="eastAsia" w:ascii="宋体" w:hAnsi="宋体" w:cs="Arial"/>
                <w:bCs/>
                <w:szCs w:val="21"/>
              </w:rPr>
              <w:t>3.不接受进口产品投标</w:t>
            </w:r>
            <w:r>
              <w:rPr>
                <w:rFonts w:hint="eastAsia" w:ascii="宋体" w:hAnsi="宋体" w:cs="宋体"/>
                <w:szCs w:val="21"/>
              </w:rPr>
              <w:t>（谈判）</w:t>
            </w:r>
            <w:r>
              <w:rPr>
                <w:rFonts w:hint="eastAsia" w:ascii="宋体" w:hAnsi="宋体" w:cs="Arial"/>
                <w:bCs/>
                <w:szCs w:val="21"/>
              </w:rPr>
              <w:t>。</w:t>
            </w:r>
          </w:p>
          <w:p>
            <w:pPr>
              <w:spacing w:line="300" w:lineRule="auto"/>
              <w:rPr>
                <w:rFonts w:ascii="宋体" w:hAnsi="宋体" w:cs="Arial"/>
                <w:bCs/>
                <w:szCs w:val="21"/>
              </w:rPr>
            </w:pPr>
            <w:r>
              <w:rPr>
                <w:rFonts w:hint="eastAsia" w:ascii="宋体" w:hAnsi="宋体" w:cs="Arial"/>
                <w:bCs/>
                <w:szCs w:val="21"/>
              </w:rPr>
              <w:t>4.</w:t>
            </w:r>
            <w:r>
              <w:rPr>
                <w:rFonts w:hint="eastAsia"/>
              </w:rPr>
              <w:t>本项目不接受联合体参加谈判。</w:t>
            </w:r>
          </w:p>
          <w:p>
            <w:pPr>
              <w:spacing w:line="300" w:lineRule="auto"/>
              <w:rPr>
                <w:rFonts w:ascii="宋体" w:hAnsi="宋体" w:cs="Arial"/>
                <w:bCs/>
                <w:szCs w:val="21"/>
              </w:rPr>
            </w:pPr>
            <w:r>
              <w:rPr>
                <w:rFonts w:hint="eastAsia" w:ascii="宋体" w:hAnsi="宋体" w:cs="Arial"/>
                <w:bCs/>
                <w:szCs w:val="21"/>
              </w:rPr>
              <w:t>5</w:t>
            </w:r>
            <w:r>
              <w:rPr>
                <w:rFonts w:ascii="宋体" w:hAnsi="宋体" w:cs="Arial"/>
                <w:bCs/>
                <w:szCs w:val="21"/>
              </w:rPr>
              <w:t>.</w:t>
            </w:r>
            <w:r>
              <w:rPr>
                <w:rFonts w:hint="eastAsia" w:ascii="宋体" w:hAnsi="宋体" w:cs="Arial"/>
                <w:bCs/>
                <w:szCs w:val="21"/>
              </w:rPr>
              <w:t>本谈判</w:t>
            </w:r>
            <w:r>
              <w:rPr>
                <w:rFonts w:ascii="宋体" w:hAnsi="宋体" w:cs="Arial"/>
                <w:bCs/>
                <w:szCs w:val="21"/>
              </w:rPr>
              <w:t>文件的解释权归采购人</w:t>
            </w:r>
            <w:r>
              <w:rPr>
                <w:rFonts w:hint="eastAsia" w:ascii="宋体" w:hAnsi="宋体" w:cs="Arial"/>
                <w:bCs/>
                <w:szCs w:val="21"/>
              </w:rPr>
              <w:t>。</w:t>
            </w:r>
          </w:p>
        </w:tc>
      </w:tr>
    </w:tbl>
    <w:p>
      <w:pPr>
        <w:spacing w:afterLines="100"/>
        <w:jc w:val="center"/>
        <w:rPr>
          <w:rFonts w:asciiTheme="majorEastAsia" w:hAnsiTheme="majorEastAsia" w:eastAsiaTheme="majorEastAsia"/>
          <w:b/>
          <w:sz w:val="32"/>
          <w:szCs w:val="32"/>
        </w:rPr>
      </w:pPr>
      <w:r>
        <w:rPr>
          <w:rFonts w:hint="eastAsia" w:ascii="华文中宋" w:hAnsi="华文中宋" w:eastAsia="华文中宋"/>
          <w:b/>
          <w:sz w:val="32"/>
          <w:szCs w:val="32"/>
        </w:rPr>
        <w:br w:type="page"/>
      </w:r>
      <w:r>
        <w:rPr>
          <w:rFonts w:hint="eastAsia" w:asciiTheme="majorEastAsia" w:hAnsiTheme="majorEastAsia" w:eastAsiaTheme="majorEastAsia"/>
          <w:b/>
          <w:sz w:val="32"/>
          <w:szCs w:val="32"/>
        </w:rPr>
        <w:t>第三章  竞争性谈判响应文件内容</w:t>
      </w:r>
    </w:p>
    <w:tbl>
      <w:tblPr>
        <w:tblStyle w:val="33"/>
        <w:tblW w:w="9800" w:type="dxa"/>
        <w:jc w:val="righ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75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right"/>
        </w:trPr>
        <w:tc>
          <w:tcPr>
            <w:tcW w:w="2292"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项目</w:t>
            </w:r>
          </w:p>
        </w:tc>
        <w:tc>
          <w:tcPr>
            <w:tcW w:w="7508"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right"/>
        </w:trPr>
        <w:tc>
          <w:tcPr>
            <w:tcW w:w="2292"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谈判文件</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szCs w:val="21"/>
              </w:rPr>
            </w:pPr>
            <w:r>
              <w:rPr>
                <w:rFonts w:hint="eastAsia" w:ascii="宋体" w:hAnsi="宋体" w:cs="Arial"/>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pPr>
            <w:r>
              <w:rPr>
                <w:rFonts w:hint="eastAsia" w:ascii="宋体" w:hAnsi="宋体" w:cs="Arial"/>
                <w:b/>
                <w:szCs w:val="21"/>
              </w:rPr>
              <w:t>资格性审查材料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bookmarkStart w:id="0" w:name="定位_【循环符合性证明材料】_20122614258"/>
            <w:bookmarkEnd w:id="0"/>
            <w:bookmarkStart w:id="1" w:name="定位_【循环符合性证明材料】_20122314636"/>
            <w:bookmarkEnd w:id="1"/>
            <w:bookmarkStart w:id="2" w:name="定位_【循环符合性证明材料】_201244141212"/>
            <w:bookmarkEnd w:id="2"/>
            <w:r>
              <w:rPr>
                <w:rFonts w:hint="eastAsia" w:ascii="宋体" w:hAnsi="宋体" w:cs="Arial"/>
                <w:b/>
                <w:bCs/>
                <w:szCs w:val="21"/>
              </w:rPr>
              <w:t>1、</w:t>
            </w:r>
            <w:r>
              <w:rPr>
                <w:rFonts w:hint="eastAsia" w:ascii="宋体" w:hAnsi="宋体" w:cs="Arial"/>
                <w:b/>
                <w:bCs/>
                <w:szCs w:val="21"/>
                <w:lang w:val="zh-CN"/>
              </w:rPr>
              <w:t>法人或者其他组织的营业执照等证明文件，自然人的身份证明</w:t>
            </w:r>
          </w:p>
          <w:p>
            <w:pPr>
              <w:spacing w:line="360" w:lineRule="auto"/>
              <w:rPr>
                <w:rFonts w:ascii="宋体" w:hAnsi="宋体" w:cs="Arial"/>
                <w:szCs w:val="21"/>
                <w:lang w:val="zh-CN"/>
              </w:rPr>
            </w:pPr>
            <w:r>
              <w:rPr>
                <w:rFonts w:hint="eastAsia" w:ascii="宋体" w:hAnsi="宋体" w:cs="Arial"/>
                <w:szCs w:val="21"/>
                <w:lang w:val="zh-CN"/>
              </w:rPr>
              <w:t>（1）企业法人营业执照或营业执照。（企业投标提供）</w:t>
            </w:r>
          </w:p>
          <w:p>
            <w:pPr>
              <w:spacing w:line="360" w:lineRule="auto"/>
              <w:rPr>
                <w:rFonts w:ascii="宋体" w:hAnsi="宋体" w:cs="Arial"/>
                <w:szCs w:val="21"/>
                <w:lang w:val="zh-CN"/>
              </w:rPr>
            </w:pPr>
            <w:r>
              <w:rPr>
                <w:rFonts w:hint="eastAsia" w:ascii="宋体" w:hAnsi="宋体" w:cs="Arial"/>
                <w:szCs w:val="21"/>
                <w:lang w:val="zh-CN"/>
              </w:rPr>
              <w:t>（2）事业单位法人证书。（事业单位投标提供）</w:t>
            </w:r>
          </w:p>
          <w:p>
            <w:pPr>
              <w:spacing w:line="360" w:lineRule="auto"/>
              <w:rPr>
                <w:rFonts w:ascii="宋体" w:hAnsi="宋体" w:cs="Arial"/>
                <w:szCs w:val="21"/>
                <w:lang w:val="zh-CN"/>
              </w:rPr>
            </w:pPr>
            <w:r>
              <w:rPr>
                <w:rFonts w:hint="eastAsia" w:ascii="宋体" w:hAnsi="宋体" w:cs="Arial"/>
                <w:szCs w:val="21"/>
                <w:lang w:val="zh-CN"/>
              </w:rPr>
              <w:t>（3）执业许可证。（非专业服务机构投标提供）</w:t>
            </w:r>
          </w:p>
          <w:p>
            <w:pPr>
              <w:spacing w:line="360" w:lineRule="auto"/>
              <w:rPr>
                <w:rFonts w:ascii="宋体" w:hAnsi="宋体" w:cs="Arial"/>
                <w:szCs w:val="21"/>
                <w:lang w:val="zh-CN"/>
              </w:rPr>
            </w:pPr>
            <w:r>
              <w:rPr>
                <w:rFonts w:hint="eastAsia" w:ascii="宋体" w:hAnsi="宋体" w:cs="Arial"/>
                <w:szCs w:val="21"/>
                <w:lang w:val="zh-CN"/>
              </w:rPr>
              <w:t>（4）个体工商户营业执照。（个体工商户投标提供）</w:t>
            </w:r>
          </w:p>
          <w:p>
            <w:pPr>
              <w:spacing w:line="360" w:lineRule="auto"/>
              <w:rPr>
                <w:rFonts w:ascii="宋体" w:hAnsi="宋体" w:cs="Arial"/>
                <w:szCs w:val="21"/>
              </w:rPr>
            </w:pPr>
            <w:r>
              <w:rPr>
                <w:rFonts w:hint="eastAsia" w:ascii="宋体" w:hAnsi="宋体" w:cs="Arial"/>
                <w:szCs w:val="21"/>
                <w:lang w:val="zh-CN"/>
              </w:rPr>
              <w:t>（5）自然人身份证明。（自然人投标提供）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rPr>
            </w:pPr>
            <w:r>
              <w:rPr>
                <w:rFonts w:hint="eastAsia" w:ascii="宋体" w:hAnsi="宋体" w:cs="Arial"/>
                <w:b/>
                <w:bCs/>
                <w:szCs w:val="21"/>
              </w:rPr>
              <w:t>2、财务状况报告相关材料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Arial"/>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3</w:t>
            </w:r>
            <w:r>
              <w:rPr>
                <w:rFonts w:hint="eastAsia" w:ascii="宋体" w:hAnsi="宋体" w:cs="Arial"/>
                <w:b/>
                <w:bCs/>
                <w:szCs w:val="21"/>
                <w:lang w:val="zh-CN"/>
              </w:rPr>
              <w:t>、依法缴纳税收相关材料</w:t>
            </w:r>
          </w:p>
          <w:p>
            <w:pPr>
              <w:autoSpaceDE w:val="0"/>
              <w:autoSpaceDN w:val="0"/>
              <w:adjustRightInd w:val="0"/>
              <w:spacing w:line="360" w:lineRule="auto"/>
              <w:ind w:right="-11"/>
              <w:rPr>
                <w:rFonts w:ascii="宋体" w:hAnsi="宋体" w:cs="Arial"/>
                <w:szCs w:val="21"/>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cs="宋体" w:asciiTheme="minorEastAsia" w:hAnsiTheme="minorEastAsia"/>
                <w:bCs/>
                <w:szCs w:val="21"/>
              </w:rPr>
            </w:pPr>
            <w:r>
              <w:rPr>
                <w:rFonts w:hint="eastAsia" w:ascii="宋体" w:hAnsi="宋体" w:cs="Arial"/>
                <w:b/>
                <w:bCs/>
                <w:szCs w:val="21"/>
              </w:rPr>
              <w:t>4、投标承诺函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5、</w:t>
            </w:r>
            <w:r>
              <w:rPr>
                <w:rFonts w:hint="eastAsia"/>
                <w:b/>
                <w:bCs/>
              </w:rPr>
              <w:t>法定代表人资格证明书或法定代表人授权委托书原件和身份证复印件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6</w:t>
            </w:r>
            <w:r>
              <w:rPr>
                <w:rFonts w:hint="eastAsia" w:ascii="宋体" w:hAnsi="宋体" w:cs="Arial"/>
                <w:b/>
                <w:bCs/>
                <w:szCs w:val="21"/>
                <w:lang w:val="zh-CN"/>
              </w:rPr>
              <w:t>、参加政府采购活动前3年内在经营活动中没有重大违法记录的声明</w:t>
            </w:r>
          </w:p>
          <w:p>
            <w:pPr>
              <w:spacing w:line="360" w:lineRule="auto"/>
              <w:rPr>
                <w:rFonts w:ascii="宋体" w:hAnsi="宋体" w:cs="Arial"/>
                <w:szCs w:val="21"/>
              </w:rPr>
            </w:pPr>
            <w:r>
              <w:rPr>
                <w:rFonts w:hint="eastAsia" w:ascii="宋体" w:hAnsi="宋体" w:cs="Arial"/>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lang w:val="zh-CN"/>
              </w:rPr>
            </w:pPr>
            <w:r>
              <w:rPr>
                <w:rFonts w:hint="eastAsia" w:ascii="宋体" w:hAnsi="宋体" w:cs="Arial"/>
                <w:b/>
                <w:bCs/>
                <w:szCs w:val="21"/>
              </w:rPr>
              <w:t>7</w:t>
            </w:r>
            <w:r>
              <w:rPr>
                <w:rFonts w:hint="eastAsia" w:ascii="宋体" w:hAnsi="宋体" w:cs="Arial"/>
                <w:b/>
                <w:bCs/>
                <w:szCs w:val="21"/>
                <w:lang w:val="zh-CN"/>
              </w:rPr>
              <w:t>、履行合同所必须的设备和专业技术能力的证明材料</w:t>
            </w:r>
          </w:p>
          <w:p>
            <w:pPr>
              <w:spacing w:line="360" w:lineRule="auto"/>
              <w:rPr>
                <w:rFonts w:ascii="宋体" w:hAnsi="宋体" w:cs="Arial"/>
                <w:szCs w:val="21"/>
              </w:rPr>
            </w:pPr>
            <w:r>
              <w:rPr>
                <w:rFonts w:hint="eastAsia" w:ascii="宋体" w:hAnsi="宋体" w:cs="Arial"/>
                <w:szCs w:val="21"/>
                <w:lang w:val="zh-CN"/>
              </w:rPr>
              <w:t>专业技术人员职称证书、用工合同等或者附供应商相关承诺函或声明。（格式自拟）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8</w:t>
            </w:r>
            <w:r>
              <w:rPr>
                <w:rFonts w:hint="eastAsia" w:ascii="宋体" w:hAnsi="宋体" w:cs="Arial"/>
                <w:b/>
                <w:bCs/>
                <w:szCs w:val="21"/>
                <w:lang w:val="zh-CN"/>
              </w:rPr>
              <w:t>、未被列入</w:t>
            </w:r>
            <w:r>
              <w:rPr>
                <w:rFonts w:hint="eastAsia" w:ascii="宋体" w:hAnsi="宋体" w:cs="Arial"/>
                <w:b/>
                <w:bCs/>
                <w:szCs w:val="21"/>
              </w:rPr>
              <w:t>“</w:t>
            </w:r>
            <w:r>
              <w:rPr>
                <w:rFonts w:hint="eastAsia" w:ascii="宋体" w:hAnsi="宋体" w:cs="Arial"/>
                <w:b/>
                <w:bCs/>
                <w:szCs w:val="21"/>
                <w:lang w:val="zh-CN"/>
              </w:rPr>
              <w:t>信用中国</w:t>
            </w:r>
            <w:r>
              <w:rPr>
                <w:rFonts w:hint="eastAsia" w:ascii="宋体" w:hAnsi="宋体" w:cs="Arial"/>
                <w:b/>
                <w:bCs/>
                <w:szCs w:val="21"/>
              </w:rPr>
              <w:t>”</w:t>
            </w:r>
            <w:r>
              <w:rPr>
                <w:rFonts w:hint="eastAsia" w:ascii="宋体" w:hAnsi="宋体" w:cs="Arial"/>
                <w:b/>
                <w:bCs/>
                <w:szCs w:val="21"/>
                <w:lang w:val="zh-CN"/>
              </w:rPr>
              <w:t>网站</w:t>
            </w:r>
            <w:r>
              <w:rPr>
                <w:rFonts w:hint="eastAsia" w:ascii="宋体" w:hAnsi="宋体" w:cs="Arial"/>
                <w:b/>
                <w:bCs/>
                <w:szCs w:val="21"/>
              </w:rPr>
              <w:t>(www.creditchina.gov.cn)</w:t>
            </w:r>
            <w:r>
              <w:rPr>
                <w:rFonts w:hint="eastAsia" w:ascii="宋体" w:hAnsi="宋体" w:cs="Arial"/>
                <w:b/>
                <w:bCs/>
                <w:szCs w:val="21"/>
                <w:lang w:val="zh-CN"/>
              </w:rPr>
              <w:t>失信被执行人、重大税收违法案件当事人名单、政府采购严重违法失信名单的供应商</w:t>
            </w:r>
            <w:r>
              <w:rPr>
                <w:rFonts w:hint="eastAsia" w:ascii="宋体" w:hAnsi="宋体" w:cs="Arial"/>
                <w:b/>
                <w:bCs/>
                <w:szCs w:val="21"/>
              </w:rPr>
              <w:t>；“</w:t>
            </w:r>
            <w:r>
              <w:rPr>
                <w:rFonts w:hint="eastAsia" w:ascii="宋体" w:hAnsi="宋体" w:cs="Arial"/>
                <w:b/>
                <w:bCs/>
                <w:szCs w:val="21"/>
                <w:lang w:val="zh-CN"/>
              </w:rPr>
              <w:t>中国政府采购网</w:t>
            </w:r>
            <w:r>
              <w:rPr>
                <w:rFonts w:hint="eastAsia" w:ascii="宋体" w:hAnsi="宋体" w:cs="Arial"/>
                <w:b/>
                <w:bCs/>
                <w:szCs w:val="21"/>
              </w:rPr>
              <w:t>” (www.ccgp.gov.cn)</w:t>
            </w:r>
            <w:r>
              <w:rPr>
                <w:rFonts w:hint="eastAsia" w:ascii="宋体" w:hAnsi="宋体" w:cs="Arial"/>
                <w:b/>
                <w:bCs/>
                <w:szCs w:val="21"/>
                <w:lang w:val="zh-CN"/>
              </w:rPr>
              <w:t>政府采购严重违法失信行为记录名单的供应商。</w:t>
            </w:r>
          </w:p>
          <w:p>
            <w:pPr>
              <w:spacing w:line="360" w:lineRule="auto"/>
              <w:rPr>
                <w:rFonts w:ascii="宋体" w:hAnsi="宋体" w:cs="Arial"/>
                <w:szCs w:val="21"/>
              </w:rPr>
            </w:pPr>
            <w:r>
              <w:rPr>
                <w:rFonts w:hint="eastAsia" w:ascii="宋体" w:hAnsi="宋体" w:cs="Arial"/>
                <w:szCs w:val="21"/>
              </w:rPr>
              <w:t>（1）</w:t>
            </w:r>
            <w:r>
              <w:rPr>
                <w:rFonts w:hint="eastAsia" w:ascii="宋体" w:hAnsi="宋体" w:cs="Arial"/>
                <w:szCs w:val="21"/>
                <w:lang w:val="zh-CN"/>
              </w:rPr>
              <w:t>查询渠道</w:t>
            </w:r>
            <w:r>
              <w:rPr>
                <w:rFonts w:hint="eastAsia" w:ascii="宋体" w:hAnsi="宋体" w:cs="Arial"/>
                <w:szCs w:val="21"/>
              </w:rPr>
              <w:t>：“</w:t>
            </w:r>
            <w:r>
              <w:rPr>
                <w:rFonts w:hint="eastAsia" w:ascii="宋体" w:hAnsi="宋体" w:cs="Arial"/>
                <w:szCs w:val="21"/>
                <w:lang w:val="zh-CN"/>
              </w:rPr>
              <w:t>信用中国</w:t>
            </w:r>
            <w:r>
              <w:rPr>
                <w:rFonts w:hint="eastAsia" w:ascii="宋体" w:hAnsi="宋体" w:cs="Arial"/>
                <w:szCs w:val="21"/>
              </w:rPr>
              <w:t>”</w:t>
            </w:r>
            <w:r>
              <w:rPr>
                <w:rFonts w:hint="eastAsia" w:ascii="宋体" w:hAnsi="宋体" w:cs="Arial"/>
                <w:szCs w:val="21"/>
                <w:lang w:val="zh-CN"/>
              </w:rPr>
              <w:t>网站</w:t>
            </w:r>
            <w:r>
              <w:rPr>
                <w:rFonts w:hint="eastAsia" w:ascii="宋体" w:hAnsi="宋体" w:cs="Arial"/>
                <w:szCs w:val="21"/>
              </w:rPr>
              <w:t>（www.creditchina.gov.cn）</w:t>
            </w:r>
            <w:r>
              <w:rPr>
                <w:rFonts w:hint="eastAsia" w:ascii="宋体" w:hAnsi="宋体" w:cs="Arial"/>
                <w:szCs w:val="21"/>
                <w:lang w:val="zh-CN"/>
              </w:rPr>
              <w:t>和</w:t>
            </w:r>
            <w:r>
              <w:rPr>
                <w:rFonts w:hint="eastAsia" w:ascii="宋体" w:hAnsi="宋体" w:cs="Arial"/>
                <w:szCs w:val="21"/>
              </w:rPr>
              <w:t>“</w:t>
            </w:r>
            <w:r>
              <w:rPr>
                <w:rFonts w:hint="eastAsia" w:ascii="宋体" w:hAnsi="宋体" w:cs="Arial"/>
                <w:szCs w:val="21"/>
                <w:lang w:val="zh-CN"/>
              </w:rPr>
              <w:t>中国政府采购网</w:t>
            </w:r>
            <w:r>
              <w:rPr>
                <w:rFonts w:hint="eastAsia" w:ascii="宋体" w:hAnsi="宋体" w:cs="Arial"/>
                <w:szCs w:val="21"/>
              </w:rPr>
              <w:t>”（www.ccgp.gov.cn）；</w:t>
            </w:r>
          </w:p>
          <w:p>
            <w:pPr>
              <w:spacing w:line="360" w:lineRule="auto"/>
              <w:rPr>
                <w:rFonts w:ascii="宋体" w:hAnsi="宋体" w:cs="Arial"/>
                <w:szCs w:val="21"/>
                <w:lang w:val="zh-CN"/>
              </w:rPr>
            </w:pPr>
            <w:r>
              <w:rPr>
                <w:rFonts w:hint="eastAsia" w:ascii="宋体" w:hAnsi="宋体" w:cs="宋体"/>
                <w:kern w:val="0"/>
                <w:sz w:val="24"/>
                <w:szCs w:val="24"/>
              </w:rPr>
              <w:t>（2）</w:t>
            </w:r>
            <w:r>
              <w:rPr>
                <w:rFonts w:hint="eastAsia" w:ascii="宋体" w:hAnsi="宋体" w:cs="Arial"/>
                <w:szCs w:val="21"/>
                <w:lang w:val="zh-CN"/>
              </w:rPr>
              <w:t>截止时间：同投标截止时间；</w:t>
            </w:r>
          </w:p>
          <w:p>
            <w:pPr>
              <w:spacing w:line="360" w:lineRule="auto"/>
              <w:rPr>
                <w:rFonts w:ascii="宋体" w:hAnsi="宋体" w:cs="Arial"/>
                <w:szCs w:val="21"/>
                <w:lang w:val="zh-CN"/>
              </w:rPr>
            </w:pPr>
            <w:r>
              <w:rPr>
                <w:rFonts w:hint="eastAsia" w:ascii="宋体" w:hAnsi="宋体" w:cs="Arial"/>
                <w:szCs w:val="21"/>
                <w:lang w:val="zh-CN"/>
              </w:rPr>
              <w:t>（3）信用信息查询记录和证据留存具体方式：经采购人确认的查询结果网页截图作为查询记录和证据，与其他采购文件一并保存；</w:t>
            </w:r>
          </w:p>
          <w:p>
            <w:pPr>
              <w:spacing w:line="360" w:lineRule="auto"/>
              <w:rPr>
                <w:rFonts w:ascii="宋体" w:hAnsi="宋体" w:cs="宋体"/>
                <w:kern w:val="0"/>
                <w:sz w:val="24"/>
                <w:szCs w:val="24"/>
              </w:rPr>
            </w:pPr>
            <w:r>
              <w:rPr>
                <w:rFonts w:hint="eastAsia" w:ascii="宋体" w:hAnsi="宋体" w:cs="Arial"/>
                <w:szCs w:val="21"/>
                <w:lang w:val="zh-CN"/>
              </w:rPr>
              <w:t>（4）信用信息的使用原则：经采购人认定的被列入失信被执行人、重大税收违法案件当事人名单、政府采购严重违法失信行为记录名单，将拒绝其参与政府采购活</w:t>
            </w:r>
            <w:r>
              <w:rPr>
                <w:rFonts w:hint="eastAsia" w:ascii="宋体" w:hAnsi="宋体" w:cs="宋体"/>
                <w:kern w:val="0"/>
                <w:sz w:val="24"/>
                <w:szCs w:val="24"/>
              </w:rPr>
              <w:t>动。</w:t>
            </w:r>
          </w:p>
          <w:p>
            <w:pPr>
              <w:spacing w:line="360" w:lineRule="auto"/>
              <w:rPr>
                <w:rFonts w:ascii="宋体" w:hAnsi="宋体" w:cs="Arial"/>
                <w:b/>
                <w:bCs/>
                <w:szCs w:val="21"/>
              </w:rPr>
            </w:pPr>
            <w:r>
              <w:rPr>
                <w:rFonts w:hint="eastAsia" w:ascii="宋体" w:hAnsi="宋体" w:cs="宋体"/>
                <w:kern w:val="0"/>
                <w:sz w:val="24"/>
                <w:szCs w:val="24"/>
              </w:rPr>
              <w:t>（5）</w:t>
            </w:r>
            <w:r>
              <w:rPr>
                <w:rFonts w:hint="eastAsia" w:ascii="宋体" w:hAnsi="宋体" w:cs="Arial"/>
                <w:szCs w:val="21"/>
                <w:lang w:val="zh-CN"/>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宋体"/>
                <w:kern w:val="0"/>
                <w:szCs w:val="21"/>
              </w:rPr>
              <w:t>9、具有相应的业务经营范围。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b/>
                <w:bCs/>
                <w:szCs w:val="21"/>
              </w:rPr>
            </w:pPr>
            <w:r>
              <w:rPr>
                <w:rFonts w:hint="eastAsia" w:ascii="宋体" w:hAnsi="宋体" w:cs="宋体"/>
                <w:bCs/>
                <w:szCs w:val="21"/>
              </w:rPr>
              <w:t>10、投标函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符合性审查材料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bookmarkStart w:id="3" w:name="定位_【循环资格性证明材料】_2012261436"/>
            <w:bookmarkEnd w:id="3"/>
            <w:bookmarkStart w:id="4" w:name="定位_【循环资格性证明材料】_201244141223"/>
            <w:bookmarkEnd w:id="4"/>
            <w:bookmarkStart w:id="5" w:name="定位_【循环资格性证明材料】_20122314645"/>
            <w:bookmarkEnd w:id="5"/>
            <w:r>
              <w:rPr>
                <w:rFonts w:hint="eastAsia" w:ascii="宋体" w:hAnsi="宋体" w:cs="宋体"/>
                <w:bCs/>
                <w:kern w:val="0"/>
                <w:szCs w:val="21"/>
              </w:rPr>
              <w:t>1.</w:t>
            </w:r>
            <w:r>
              <w:rPr>
                <w:rFonts w:hint="eastAsia" w:ascii="宋体" w:hAnsi="宋体" w:cs="Arial"/>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2.售后服务承诺书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3.施工方案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4.响应文件实质响应情况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right"/>
        </w:trPr>
        <w:tc>
          <w:tcPr>
            <w:tcW w:w="2292" w:type="dxa"/>
            <w:tcBorders>
              <w:top w:val="single" w:color="auto" w:sz="4" w:space="0"/>
              <w:left w:val="double" w:color="auto" w:sz="4" w:space="0"/>
              <w:bottom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其他材料</w:t>
            </w:r>
          </w:p>
        </w:tc>
        <w:tc>
          <w:tcPr>
            <w:tcW w:w="7508" w:type="dxa"/>
            <w:tcBorders>
              <w:top w:val="single" w:color="auto" w:sz="4" w:space="0"/>
              <w:left w:val="single" w:color="auto" w:sz="4" w:space="0"/>
              <w:bottom w:val="doub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谈判供应商认为需要提供的其他相关数据和材料</w:t>
            </w:r>
          </w:p>
        </w:tc>
      </w:tr>
    </w:tbl>
    <w:p>
      <w:pPr>
        <w:spacing w:line="360" w:lineRule="auto"/>
        <w:ind w:firstLine="569" w:firstLineChars="236"/>
        <w:rPr>
          <w:rFonts w:ascii="宋体" w:hAnsi="宋体"/>
          <w:b/>
          <w:kern w:val="0"/>
          <w:sz w:val="24"/>
          <w:szCs w:val="24"/>
        </w:rPr>
      </w:pPr>
    </w:p>
    <w:p>
      <w:pPr>
        <w:spacing w:line="360" w:lineRule="auto"/>
        <w:ind w:firstLine="569" w:firstLineChars="236"/>
        <w:rPr>
          <w:rFonts w:ascii="宋体" w:hAnsi="宋体"/>
          <w:b/>
          <w:kern w:val="0"/>
          <w:sz w:val="24"/>
          <w:szCs w:val="24"/>
        </w:rPr>
      </w:pPr>
      <w:r>
        <w:rPr>
          <w:rFonts w:hint="eastAsia" w:ascii="宋体" w:hAnsi="宋体"/>
          <w:b/>
          <w:kern w:val="0"/>
          <w:sz w:val="24"/>
          <w:szCs w:val="24"/>
        </w:rPr>
        <w:t>一、特</w:t>
      </w:r>
      <w:r>
        <w:rPr>
          <w:rFonts w:ascii="宋体" w:hAnsi="宋体"/>
          <w:b/>
          <w:kern w:val="0"/>
          <w:sz w:val="24"/>
          <w:szCs w:val="24"/>
        </w:rPr>
        <w:t>别说明</w:t>
      </w:r>
    </w:p>
    <w:p>
      <w:pPr>
        <w:spacing w:line="440" w:lineRule="exact"/>
        <w:ind w:firstLine="480" w:firstLineChars="200"/>
        <w:rPr>
          <w:rFonts w:ascii="宋体" w:hAnsi="宋体" w:cs="Arial"/>
          <w:sz w:val="24"/>
        </w:rPr>
      </w:pPr>
      <w:r>
        <w:rPr>
          <w:rFonts w:hint="eastAsia" w:ascii="宋体" w:hAnsi="宋体" w:cs="Arial"/>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hint="eastAsia" w:ascii="宋体" w:hAnsi="宋体" w:cs="Arial"/>
          <w:sz w:val="24"/>
        </w:rPr>
        <w:t>。</w:t>
      </w:r>
    </w:p>
    <w:p>
      <w:pPr>
        <w:spacing w:line="440" w:lineRule="exact"/>
        <w:ind w:firstLine="480" w:firstLineChars="200"/>
        <w:rPr>
          <w:rFonts w:ascii="宋体" w:hAnsi="宋体" w:cs="Arial"/>
          <w:sz w:val="24"/>
        </w:rPr>
      </w:pPr>
      <w:r>
        <w:rPr>
          <w:rFonts w:hint="eastAsia" w:ascii="宋体" w:hAnsi="宋体" w:cs="Arial"/>
          <w:sz w:val="24"/>
        </w:rPr>
        <w:t>2.对于给定格式的，必须按照给定的格式进行填报；没有给定格式的，供应商可以自行设计。</w:t>
      </w:r>
    </w:p>
    <w:p>
      <w:pPr>
        <w:spacing w:line="440" w:lineRule="exact"/>
        <w:ind w:firstLine="480" w:firstLineChars="200"/>
        <w:rPr>
          <w:rFonts w:ascii="宋体" w:hAnsi="宋体" w:cs="Arial"/>
          <w:sz w:val="24"/>
        </w:rPr>
      </w:pPr>
      <w:r>
        <w:rPr>
          <w:rFonts w:hint="eastAsia" w:ascii="宋体" w:hAnsi="宋体" w:cs="Arial"/>
          <w:sz w:val="24"/>
        </w:rPr>
        <w:t>3.不具有独立运作并自负盈亏的企业法人的分公司没有企业法人授权的拒绝参加谈判。</w:t>
      </w:r>
    </w:p>
    <w:p>
      <w:pPr>
        <w:spacing w:line="440" w:lineRule="exact"/>
        <w:ind w:firstLine="480" w:firstLineChars="200"/>
        <w:rPr>
          <w:rFonts w:ascii="宋体" w:hAnsi="宋体" w:cs="Arial"/>
          <w:sz w:val="24"/>
        </w:rPr>
      </w:pPr>
      <w:r>
        <w:rPr>
          <w:rFonts w:hint="eastAsia" w:ascii="宋体" w:hAnsi="宋体" w:cs="Arial"/>
          <w:sz w:val="24"/>
        </w:rPr>
        <w:t>4.谈判响应文件依据谈判文件的要求提供的各类证明文件，须在谈判响应文件中提供加盖公章的复印件。</w:t>
      </w:r>
    </w:p>
    <w:p>
      <w:pPr>
        <w:spacing w:line="440" w:lineRule="exact"/>
        <w:ind w:firstLine="480" w:firstLineChars="200"/>
        <w:rPr>
          <w:rFonts w:ascii="宋体" w:hAnsi="宋体" w:cs="Arial"/>
          <w:sz w:val="24"/>
        </w:rPr>
      </w:pPr>
      <w:r>
        <w:rPr>
          <w:rFonts w:hint="eastAsia" w:ascii="宋体" w:hAnsi="宋体" w:cs="Arial"/>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ascii="宋体" w:hAnsi="宋体"/>
          <w:kern w:val="0"/>
          <w:sz w:val="24"/>
          <w:szCs w:val="24"/>
        </w:rPr>
      </w:pPr>
      <w:bookmarkStart w:id="6" w:name="定位_【采购人代理协议类型】_201042105219"/>
      <w:bookmarkEnd w:id="6"/>
      <w:r>
        <w:rPr>
          <w:rFonts w:hint="eastAsia" w:ascii="宋体" w:hAnsi="宋体"/>
          <w:b/>
          <w:bCs/>
          <w:kern w:val="0"/>
          <w:sz w:val="24"/>
          <w:szCs w:val="24"/>
        </w:rPr>
        <w:t>二、谈判响应文件有下列情形之一的，按照无效谈判（或拒</w:t>
      </w:r>
      <w:r>
        <w:rPr>
          <w:rFonts w:ascii="宋体" w:hAnsi="宋体"/>
          <w:b/>
          <w:bCs/>
          <w:kern w:val="0"/>
          <w:sz w:val="24"/>
          <w:szCs w:val="24"/>
        </w:rPr>
        <w:t>绝</w:t>
      </w:r>
      <w:r>
        <w:rPr>
          <w:rFonts w:hint="eastAsia" w:ascii="宋体" w:hAnsi="宋体"/>
          <w:b/>
          <w:bCs/>
          <w:kern w:val="0"/>
          <w:sz w:val="24"/>
          <w:szCs w:val="24"/>
        </w:rPr>
        <w:t>参</w:t>
      </w:r>
      <w:r>
        <w:rPr>
          <w:rFonts w:ascii="宋体" w:hAnsi="宋体"/>
          <w:b/>
          <w:bCs/>
          <w:kern w:val="0"/>
          <w:sz w:val="24"/>
          <w:szCs w:val="24"/>
        </w:rPr>
        <w:t>加谈判</w:t>
      </w:r>
      <w:r>
        <w:rPr>
          <w:rFonts w:hint="eastAsia" w:ascii="宋体" w:hAnsi="宋体"/>
          <w:b/>
          <w:bCs/>
          <w:kern w:val="0"/>
          <w:sz w:val="24"/>
          <w:szCs w:val="24"/>
        </w:rPr>
        <w:t>）处理：</w:t>
      </w:r>
    </w:p>
    <w:p>
      <w:pPr>
        <w:spacing w:line="400" w:lineRule="exact"/>
        <w:ind w:firstLine="540" w:firstLineChars="225"/>
        <w:rPr>
          <w:rFonts w:ascii="宋体" w:hAnsi="宋体"/>
          <w:kern w:val="0"/>
          <w:sz w:val="24"/>
          <w:szCs w:val="24"/>
        </w:rPr>
      </w:pPr>
      <w:r>
        <w:rPr>
          <w:rFonts w:hint="eastAsia" w:ascii="宋体" w:hAnsi="宋体"/>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ascii="宋体" w:hAnsi="宋体"/>
          <w:kern w:val="0"/>
          <w:sz w:val="24"/>
          <w:szCs w:val="24"/>
        </w:rPr>
      </w:pPr>
      <w:r>
        <w:rPr>
          <w:rFonts w:hint="eastAsia" w:ascii="宋体" w:hAnsi="宋体"/>
          <w:kern w:val="0"/>
          <w:sz w:val="24"/>
          <w:szCs w:val="24"/>
        </w:rPr>
        <w:t>2．谈判供应商的法定代表人（代表人）或其授权委托人未参加谈判会议且未在谈判参加记录上签字确认的；</w:t>
      </w:r>
    </w:p>
    <w:p>
      <w:pPr>
        <w:spacing w:line="400" w:lineRule="exact"/>
        <w:ind w:firstLine="540" w:firstLineChars="225"/>
        <w:rPr>
          <w:rFonts w:ascii="宋体" w:hAnsi="宋体"/>
          <w:kern w:val="0"/>
          <w:sz w:val="24"/>
          <w:szCs w:val="24"/>
        </w:rPr>
      </w:pPr>
      <w:r>
        <w:rPr>
          <w:rFonts w:hint="eastAsia" w:ascii="宋体" w:hAnsi="宋体"/>
          <w:kern w:val="0"/>
          <w:sz w:val="24"/>
          <w:szCs w:val="24"/>
        </w:rPr>
        <w:t>3．未满足谈判文件第四章“采购项目需求及相关要求”的；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4．未按谈判文件规定标明交货时间和交货地点的；</w:t>
      </w:r>
    </w:p>
    <w:p>
      <w:pPr>
        <w:spacing w:line="400" w:lineRule="exact"/>
        <w:ind w:firstLine="540" w:firstLineChars="225"/>
        <w:rPr>
          <w:rFonts w:ascii="宋体" w:hAnsi="宋体"/>
          <w:kern w:val="0"/>
          <w:sz w:val="24"/>
          <w:szCs w:val="24"/>
        </w:rPr>
      </w:pPr>
      <w:r>
        <w:rPr>
          <w:rFonts w:hint="eastAsia" w:ascii="宋体" w:hAnsi="宋体"/>
          <w:kern w:val="0"/>
          <w:sz w:val="24"/>
          <w:szCs w:val="24"/>
        </w:rPr>
        <w:t>5．谈判响应文件附有不能接受的条件的；</w:t>
      </w:r>
    </w:p>
    <w:p>
      <w:pPr>
        <w:spacing w:line="400" w:lineRule="exact"/>
        <w:ind w:firstLine="540" w:firstLineChars="225"/>
        <w:rPr>
          <w:rFonts w:ascii="宋体" w:hAnsi="宋体"/>
          <w:kern w:val="0"/>
          <w:sz w:val="24"/>
          <w:szCs w:val="24"/>
        </w:rPr>
      </w:pPr>
      <w:r>
        <w:rPr>
          <w:rFonts w:hint="eastAsia" w:ascii="宋体" w:hAnsi="宋体"/>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7．谈判响应文件未提供要求提供的相关证明文件复印件的；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8．谈判响应文件出现不符合法律、法规规定的其他实质性要求的；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9．出现影响采购公正的违法、违规行为的。</w:t>
      </w:r>
    </w:p>
    <w:p>
      <w:pPr>
        <w:spacing w:afterLine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br w:type="page"/>
      </w:r>
    </w:p>
    <w:p>
      <w:pPr>
        <w:spacing w:afterLines="100"/>
        <w:jc w:val="center"/>
        <w:rPr>
          <w:rFonts w:ascii="宋体" w:hAnsi="宋体"/>
          <w:b/>
          <w:sz w:val="24"/>
        </w:rPr>
      </w:pPr>
      <w:r>
        <w:rPr>
          <w:rFonts w:hint="eastAsia" w:asciiTheme="majorEastAsia" w:hAnsiTheme="majorEastAsia" w:eastAsiaTheme="majorEastAsia"/>
          <w:b/>
          <w:sz w:val="32"/>
          <w:szCs w:val="32"/>
        </w:rPr>
        <w:t>第四章  采购项目需求及相关要求</w:t>
      </w:r>
    </w:p>
    <w:p>
      <w:pPr>
        <w:spacing w:line="360" w:lineRule="auto"/>
        <w:ind w:firstLine="482" w:firstLineChars="200"/>
        <w:outlineLvl w:val="0"/>
        <w:rPr>
          <w:rFonts w:ascii="宋体" w:hAnsi="宋体" w:cs="宋体"/>
          <w:b/>
          <w:sz w:val="24"/>
          <w:szCs w:val="24"/>
        </w:rPr>
      </w:pPr>
      <w:r>
        <w:rPr>
          <w:rFonts w:hint="eastAsia" w:ascii="宋体" w:hAnsi="宋体" w:cs="宋体"/>
          <w:b/>
          <w:sz w:val="24"/>
          <w:szCs w:val="24"/>
        </w:rPr>
        <w:t>一、</w:t>
      </w:r>
      <w:r>
        <w:rPr>
          <w:rFonts w:hint="eastAsia" w:ascii="宋体" w:hAnsi="宋体" w:cs="宋体"/>
          <w:b/>
          <w:kern w:val="0"/>
          <w:sz w:val="24"/>
          <w:szCs w:val="24"/>
          <w:lang w:val="zh-CN"/>
        </w:rPr>
        <w:t>采购项目概况</w:t>
      </w:r>
    </w:p>
    <w:p>
      <w:pPr>
        <w:spacing w:line="360" w:lineRule="auto"/>
        <w:ind w:firstLine="480" w:firstLineChars="200"/>
        <w:outlineLvl w:val="0"/>
        <w:rPr>
          <w:rFonts w:hint="eastAsia" w:ascii="宋体" w:hAnsi="宋体" w:cs="宋体"/>
          <w:sz w:val="24"/>
          <w:szCs w:val="24"/>
          <w:lang w:val="en-US" w:eastAsia="zh-CN"/>
        </w:rPr>
      </w:pPr>
      <w:r>
        <w:rPr>
          <w:rFonts w:hint="eastAsia" w:ascii="宋体" w:hAnsi="宋体" w:cs="宋体"/>
          <w:sz w:val="24"/>
          <w:szCs w:val="24"/>
          <w:lang w:eastAsia="zh-CN"/>
        </w:rPr>
        <w:t>土方开挖弃运</w:t>
      </w:r>
      <w:r>
        <w:rPr>
          <w:rFonts w:hint="eastAsia" w:ascii="宋体" w:hAnsi="宋体" w:cs="宋体"/>
          <w:sz w:val="24"/>
          <w:szCs w:val="24"/>
          <w:lang w:val="en-US" w:eastAsia="zh-CN"/>
        </w:rPr>
        <w:t>267立方米，一般土方开挖413立方米，土方回填350立方米，M7.5浆砌石448.2立方米，施工围堰填筑1925立方米，围堰拆除1925立方米。</w:t>
      </w:r>
    </w:p>
    <w:p>
      <w:pPr>
        <w:spacing w:line="360" w:lineRule="auto"/>
        <w:ind w:firstLine="480" w:firstLineChars="200"/>
        <w:outlineLvl w:val="0"/>
        <w:rPr>
          <w:rFonts w:hint="eastAsia" w:ascii="宋体" w:hAnsi="宋体" w:eastAsia="宋体" w:cs="宋体"/>
          <w:sz w:val="24"/>
          <w:szCs w:val="24"/>
          <w:lang w:eastAsia="zh-CN"/>
        </w:rPr>
      </w:pPr>
      <w:r>
        <w:rPr>
          <w:rFonts w:hint="eastAsia" w:ascii="宋体" w:hAnsi="宋体" w:cs="宋体"/>
          <w:sz w:val="24"/>
          <w:szCs w:val="24"/>
          <w:lang w:val="en-US" w:eastAsia="zh-CN"/>
        </w:rPr>
        <w:t>参数：</w:t>
      </w:r>
    </w:p>
    <w:tbl>
      <w:tblPr>
        <w:tblStyle w:val="33"/>
        <w:tblW w:w="10665" w:type="dxa"/>
        <w:tblInd w:w="-15" w:type="dxa"/>
        <w:shd w:val="clear" w:color="auto" w:fill="auto"/>
        <w:tblLayout w:type="fixed"/>
        <w:tblCellMar>
          <w:top w:w="0" w:type="dxa"/>
          <w:left w:w="0" w:type="dxa"/>
          <w:bottom w:w="0" w:type="dxa"/>
          <w:right w:w="0" w:type="dxa"/>
        </w:tblCellMar>
      </w:tblPr>
      <w:tblGrid>
        <w:gridCol w:w="15"/>
        <w:gridCol w:w="855"/>
        <w:gridCol w:w="1230"/>
        <w:gridCol w:w="1710"/>
        <w:gridCol w:w="705"/>
        <w:gridCol w:w="15"/>
        <w:gridCol w:w="1920"/>
        <w:gridCol w:w="15"/>
        <w:gridCol w:w="870"/>
        <w:gridCol w:w="1020"/>
        <w:gridCol w:w="1230"/>
        <w:gridCol w:w="1080"/>
      </w:tblGrid>
      <w:tr>
        <w:tblPrEx>
          <w:shd w:val="clear" w:color="auto" w:fill="auto"/>
          <w:tblLayout w:type="fixed"/>
          <w:tblCellMar>
            <w:top w:w="0" w:type="dxa"/>
            <w:left w:w="0" w:type="dxa"/>
            <w:bottom w:w="0" w:type="dxa"/>
            <w:right w:w="0" w:type="dxa"/>
          </w:tblCellMar>
        </w:tblPrEx>
        <w:trPr>
          <w:gridBefore w:val="1"/>
          <w:gridAfter w:val="4"/>
          <w:wBefore w:w="15" w:type="dxa"/>
          <w:wAfter w:w="4200" w:type="dxa"/>
          <w:trHeight w:val="620" w:hRule="atLeast"/>
        </w:trPr>
        <w:tc>
          <w:tcPr>
            <w:tcW w:w="4515" w:type="dxa"/>
            <w:gridSpan w:val="5"/>
            <w:tcBorders>
              <w:top w:val="nil"/>
              <w:left w:val="nil"/>
              <w:bottom w:val="single" w:color="000000" w:sz="4" w:space="0"/>
              <w:right w:val="nil"/>
            </w:tcBorders>
            <w:shd w:val="clear" w:color="auto" w:fill="auto"/>
            <w:tcMar>
              <w:top w:w="15" w:type="dxa"/>
              <w:left w:w="15" w:type="dxa"/>
              <w:right w:w="15" w:type="dxa"/>
            </w:tcMar>
            <w:vAlign w:val="center"/>
          </w:tcPr>
          <w:p>
            <w:pPr>
              <w:spacing w:line="360" w:lineRule="auto"/>
              <w:ind w:firstLine="480" w:firstLineChars="200"/>
              <w:outlineLvl w:val="0"/>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工程名称:</w:t>
            </w:r>
            <w:r>
              <w:rPr>
                <w:rFonts w:hint="eastAsia" w:ascii="宋体" w:hAnsi="宋体" w:cs="宋体"/>
                <w:color w:val="FF0000"/>
                <w:sz w:val="21"/>
                <w:szCs w:val="21"/>
                <w:lang w:val="en-US" w:eastAsia="zh-CN"/>
              </w:rPr>
              <w:t>水库周庄北护岸险工护砌工程</w:t>
            </w:r>
          </w:p>
        </w:tc>
        <w:tc>
          <w:tcPr>
            <w:tcW w:w="1935" w:type="dxa"/>
            <w:gridSpan w:val="2"/>
            <w:tcBorders>
              <w:top w:val="nil"/>
              <w:left w:val="nil"/>
              <w:bottom w:val="single" w:color="000000" w:sz="4" w:space="0"/>
              <w:right w:val="nil"/>
            </w:tcBorders>
            <w:shd w:val="clear" w:color="auto" w:fill="auto"/>
            <w:tcMar>
              <w:top w:w="15" w:type="dxa"/>
              <w:left w:w="15" w:type="dxa"/>
              <w:right w:w="15" w:type="dxa"/>
            </w:tcMar>
            <w:vAlign w:val="center"/>
          </w:tcPr>
          <w:p>
            <w:pPr>
              <w:spacing w:line="360" w:lineRule="auto"/>
              <w:ind w:firstLine="480" w:firstLineChars="200"/>
              <w:outlineLvl w:val="0"/>
              <w:rPr>
                <w:rFonts w:hint="eastAsia" w:ascii="宋体" w:hAnsi="宋体" w:cs="宋体"/>
                <w:color w:val="FF000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870"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center"/>
              <w:rPr>
                <w:rFonts w:hint="eastAsia" w:ascii="宋体" w:hAnsi="宋体"/>
                <w:color w:val="FF0000"/>
                <w:sz w:val="18"/>
              </w:rPr>
            </w:pPr>
            <w:r>
              <w:rPr>
                <w:rFonts w:hint="eastAsia" w:ascii="宋体" w:hAnsi="宋体"/>
                <w:color w:val="FF0000"/>
                <w:sz w:val="18"/>
              </w:rPr>
              <w:t>序号</w:t>
            </w:r>
          </w:p>
        </w:tc>
        <w:tc>
          <w:tcPr>
            <w:tcW w:w="1230"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center"/>
              <w:rPr>
                <w:rFonts w:hint="eastAsia" w:ascii="宋体" w:hAnsi="宋体"/>
                <w:color w:val="FF0000"/>
                <w:sz w:val="18"/>
              </w:rPr>
            </w:pPr>
            <w:r>
              <w:rPr>
                <w:rFonts w:hint="eastAsia" w:ascii="宋体" w:hAnsi="宋体"/>
                <w:color w:val="FF0000"/>
                <w:sz w:val="18"/>
              </w:rPr>
              <w:t>项目编码</w:t>
            </w:r>
          </w:p>
        </w:tc>
        <w:tc>
          <w:tcPr>
            <w:tcW w:w="1710"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center"/>
              <w:rPr>
                <w:rFonts w:hint="eastAsia" w:ascii="宋体" w:hAnsi="宋体"/>
                <w:color w:val="FF0000"/>
                <w:sz w:val="18"/>
              </w:rPr>
            </w:pPr>
            <w:r>
              <w:rPr>
                <w:rFonts w:hint="eastAsia" w:ascii="宋体" w:hAnsi="宋体"/>
                <w:color w:val="FF0000"/>
                <w:sz w:val="18"/>
              </w:rPr>
              <w:t>项目名称</w:t>
            </w:r>
          </w:p>
        </w:tc>
        <w:tc>
          <w:tcPr>
            <w:tcW w:w="705"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center"/>
              <w:rPr>
                <w:rFonts w:hint="eastAsia" w:ascii="宋体" w:hAnsi="宋体"/>
                <w:color w:val="FF0000"/>
                <w:sz w:val="18"/>
              </w:rPr>
            </w:pPr>
            <w:r>
              <w:rPr>
                <w:rFonts w:hint="eastAsia" w:ascii="宋体" w:hAnsi="宋体"/>
                <w:color w:val="FF0000"/>
                <w:sz w:val="18"/>
              </w:rPr>
              <w:t>计量</w:t>
            </w:r>
          </w:p>
          <w:p>
            <w:pPr>
              <w:spacing w:beforeLines="0" w:afterLines="0"/>
              <w:jc w:val="center"/>
              <w:rPr>
                <w:rFonts w:hint="eastAsia" w:ascii="宋体" w:hAnsi="宋体"/>
                <w:color w:val="FF0000"/>
                <w:sz w:val="18"/>
              </w:rPr>
            </w:pPr>
            <w:r>
              <w:rPr>
                <w:rFonts w:hint="eastAsia" w:ascii="宋体" w:hAnsi="宋体"/>
                <w:color w:val="FF0000"/>
                <w:sz w:val="18"/>
              </w:rPr>
              <w:t>单位</w:t>
            </w:r>
          </w:p>
        </w:tc>
        <w:tc>
          <w:tcPr>
            <w:tcW w:w="193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center"/>
              <w:rPr>
                <w:rFonts w:hint="eastAsia" w:ascii="宋体" w:hAnsi="宋体"/>
                <w:color w:val="FF0000"/>
                <w:sz w:val="18"/>
              </w:rPr>
            </w:pPr>
            <w:r>
              <w:rPr>
                <w:rFonts w:hint="eastAsia" w:ascii="宋体" w:hAnsi="宋体"/>
                <w:color w:val="FF0000"/>
                <w:sz w:val="18"/>
              </w:rPr>
              <w:t>项目特征</w:t>
            </w:r>
          </w:p>
        </w:tc>
        <w:tc>
          <w:tcPr>
            <w:tcW w:w="88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center"/>
              <w:rPr>
                <w:rFonts w:hint="eastAsia" w:ascii="宋体" w:hAnsi="宋体"/>
                <w:color w:val="FF0000"/>
                <w:sz w:val="18"/>
              </w:rPr>
            </w:pPr>
            <w:r>
              <w:rPr>
                <w:rFonts w:hint="eastAsia" w:ascii="宋体" w:hAnsi="宋体"/>
                <w:color w:val="FF0000"/>
                <w:sz w:val="18"/>
              </w:rPr>
              <w:t>工程</w:t>
            </w:r>
          </w:p>
          <w:p>
            <w:pPr>
              <w:spacing w:beforeLines="0" w:afterLines="0"/>
              <w:jc w:val="center"/>
              <w:rPr>
                <w:rFonts w:hint="eastAsia" w:ascii="宋体" w:hAnsi="宋体"/>
                <w:color w:val="FF0000"/>
                <w:sz w:val="18"/>
              </w:rPr>
            </w:pPr>
            <w:r>
              <w:rPr>
                <w:rFonts w:hint="eastAsia" w:ascii="宋体" w:hAnsi="宋体"/>
                <w:color w:val="FF0000"/>
                <w:sz w:val="18"/>
              </w:rPr>
              <w:t>数量</w:t>
            </w:r>
          </w:p>
        </w:tc>
        <w:tc>
          <w:tcPr>
            <w:tcW w:w="1020"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center"/>
              <w:rPr>
                <w:rFonts w:hint="eastAsia" w:ascii="宋体" w:hAnsi="宋体" w:eastAsia="宋体"/>
                <w:color w:val="FF0000"/>
                <w:sz w:val="18"/>
                <w:lang w:val="en-US" w:eastAsia="zh-CN"/>
              </w:rPr>
            </w:pPr>
            <w:r>
              <w:rPr>
                <w:rFonts w:hint="eastAsia" w:ascii="宋体" w:hAnsi="宋体"/>
                <w:color w:val="FF0000"/>
                <w:sz w:val="18"/>
                <w:lang w:val="en-US" w:eastAsia="zh-CN"/>
              </w:rPr>
              <w:t xml:space="preserve"> </w:t>
            </w:r>
          </w:p>
        </w:tc>
        <w:tc>
          <w:tcPr>
            <w:tcW w:w="1230"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center"/>
              <w:rPr>
                <w:rFonts w:hint="eastAsia" w:ascii="宋体" w:hAnsi="宋体"/>
                <w:color w:val="FF0000"/>
                <w:sz w:val="18"/>
                <w:lang w:val="en-US"/>
              </w:rPr>
            </w:pPr>
          </w:p>
        </w:tc>
        <w:tc>
          <w:tcPr>
            <w:tcW w:w="1080" w:type="dxa"/>
            <w:tcBorders>
              <w:top w:val="nil"/>
              <w:left w:val="nil"/>
              <w:bottom w:val="nil"/>
              <w:right w:val="nil"/>
              <w:tl2br w:val="nil"/>
              <w:tr2bl w:val="nil"/>
            </w:tcBorders>
            <w:shd w:val="clear" w:color="auto" w:fill="auto"/>
            <w:vAlign w:val="top"/>
          </w:tcPr>
          <w:p>
            <w:pPr>
              <w:spacing w:beforeLines="0" w:afterLines="0"/>
              <w:jc w:val="right"/>
              <w:rPr>
                <w:rFonts w:hint="default" w:ascii="Arial" w:hAnsi="Arial"/>
                <w:color w:val="FF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870"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center"/>
              <w:rPr>
                <w:rFonts w:hint="eastAsia" w:ascii="宋体" w:hAnsi="宋体"/>
                <w:color w:val="FF0000"/>
                <w:sz w:val="18"/>
              </w:rPr>
            </w:pPr>
            <w:r>
              <w:rPr>
                <w:rFonts w:hint="eastAsia" w:ascii="宋体" w:hAnsi="宋体"/>
                <w:color w:val="FF0000"/>
                <w:sz w:val="18"/>
              </w:rPr>
              <w:t>1</w:t>
            </w:r>
          </w:p>
        </w:tc>
        <w:tc>
          <w:tcPr>
            <w:tcW w:w="1230"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center"/>
              <w:rPr>
                <w:rFonts w:hint="eastAsia" w:ascii="宋体" w:hAnsi="宋体"/>
                <w:color w:val="FF0000"/>
                <w:sz w:val="18"/>
              </w:rPr>
            </w:pPr>
            <w:r>
              <w:rPr>
                <w:rFonts w:hint="eastAsia" w:ascii="宋体" w:hAnsi="宋体"/>
                <w:color w:val="FF0000"/>
                <w:sz w:val="18"/>
              </w:rPr>
              <w:t>500101002</w:t>
            </w:r>
          </w:p>
        </w:tc>
        <w:tc>
          <w:tcPr>
            <w:tcW w:w="1710"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left"/>
              <w:rPr>
                <w:rFonts w:hint="eastAsia" w:ascii="宋体" w:hAnsi="宋体"/>
                <w:color w:val="FF0000"/>
                <w:sz w:val="18"/>
              </w:rPr>
            </w:pPr>
            <w:r>
              <w:rPr>
                <w:rFonts w:hint="eastAsia" w:ascii="宋体" w:hAnsi="宋体"/>
                <w:color w:val="FF0000"/>
                <w:sz w:val="18"/>
              </w:rPr>
              <w:t>土方开挖弃运</w:t>
            </w:r>
          </w:p>
        </w:tc>
        <w:tc>
          <w:tcPr>
            <w:tcW w:w="705"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center"/>
              <w:rPr>
                <w:rFonts w:hint="eastAsia" w:ascii="宋体" w:hAnsi="宋体"/>
                <w:color w:val="FF0000"/>
                <w:sz w:val="18"/>
              </w:rPr>
            </w:pPr>
            <w:r>
              <w:rPr>
                <w:rFonts w:hint="eastAsia" w:ascii="宋体" w:hAnsi="宋体"/>
                <w:color w:val="FF0000"/>
                <w:sz w:val="18"/>
              </w:rPr>
              <w:t>m3</w:t>
            </w:r>
          </w:p>
        </w:tc>
        <w:tc>
          <w:tcPr>
            <w:tcW w:w="1935" w:type="dxa"/>
            <w:gridSpan w:val="2"/>
            <w:tcBorders>
              <w:top w:val="single" w:color="000000" w:sz="6" w:space="0"/>
              <w:left w:val="single" w:color="000000" w:sz="6" w:space="0"/>
              <w:bottom w:val="single" w:color="000000" w:sz="6" w:space="0"/>
              <w:right w:val="single" w:color="auto" w:sz="6" w:space="0"/>
              <w:tl2br w:val="nil"/>
              <w:tr2bl w:val="nil"/>
            </w:tcBorders>
            <w:shd w:val="clear" w:color="auto" w:fill="auto"/>
            <w:vAlign w:val="top"/>
          </w:tcPr>
          <w:p>
            <w:pPr>
              <w:spacing w:beforeLines="0" w:afterLines="0"/>
              <w:jc w:val="left"/>
              <w:rPr>
                <w:rFonts w:hint="eastAsia" w:ascii="宋体" w:hAnsi="宋体"/>
                <w:color w:val="FF0000"/>
                <w:sz w:val="18"/>
              </w:rPr>
            </w:pPr>
            <w:r>
              <w:rPr>
                <w:rFonts w:hint="eastAsia" w:ascii="宋体" w:hAnsi="宋体"/>
                <w:color w:val="FF0000"/>
                <w:sz w:val="18"/>
              </w:rPr>
              <w:t>1.土壤类别：一二类  2.运距：自行考虑     3.具体详见图纸设计及实施方案</w:t>
            </w:r>
          </w:p>
        </w:tc>
        <w:tc>
          <w:tcPr>
            <w:tcW w:w="88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right"/>
              <w:rPr>
                <w:rFonts w:hint="eastAsia" w:ascii="宋体" w:hAnsi="宋体"/>
                <w:color w:val="FF0000"/>
                <w:sz w:val="18"/>
              </w:rPr>
            </w:pPr>
            <w:r>
              <w:rPr>
                <w:rFonts w:hint="eastAsia" w:ascii="宋体" w:hAnsi="宋体"/>
                <w:color w:val="FF0000"/>
                <w:sz w:val="18"/>
              </w:rPr>
              <w:t>267.00</w:t>
            </w:r>
          </w:p>
        </w:tc>
        <w:tc>
          <w:tcPr>
            <w:tcW w:w="1020"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right"/>
              <w:rPr>
                <w:rFonts w:hint="eastAsia" w:ascii="宋体" w:hAnsi="宋体" w:eastAsia="宋体"/>
                <w:color w:val="FF0000"/>
                <w:sz w:val="18"/>
                <w:lang w:val="en-US" w:eastAsia="zh-CN"/>
              </w:rPr>
            </w:pPr>
            <w:r>
              <w:rPr>
                <w:rFonts w:hint="eastAsia" w:ascii="宋体" w:hAnsi="宋体"/>
                <w:color w:val="FF0000"/>
                <w:sz w:val="18"/>
                <w:lang w:val="en-US" w:eastAsia="zh-CN"/>
              </w:rPr>
              <w:t xml:space="preserve"> </w:t>
            </w:r>
          </w:p>
        </w:tc>
        <w:tc>
          <w:tcPr>
            <w:tcW w:w="1230"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right"/>
              <w:rPr>
                <w:rFonts w:hint="eastAsia" w:ascii="宋体" w:hAnsi="宋体"/>
                <w:color w:val="FF0000"/>
                <w:sz w:val="18"/>
                <w:lang w:val="en-US"/>
              </w:rPr>
            </w:pPr>
          </w:p>
        </w:tc>
        <w:tc>
          <w:tcPr>
            <w:tcW w:w="1080" w:type="dxa"/>
            <w:tcBorders>
              <w:top w:val="nil"/>
              <w:left w:val="nil"/>
              <w:bottom w:val="nil"/>
              <w:right w:val="nil"/>
              <w:tl2br w:val="nil"/>
              <w:tr2bl w:val="nil"/>
            </w:tcBorders>
            <w:shd w:val="clear" w:color="auto" w:fill="auto"/>
            <w:vAlign w:val="top"/>
          </w:tcPr>
          <w:p>
            <w:pPr>
              <w:spacing w:beforeLines="0" w:afterLines="0"/>
              <w:jc w:val="right"/>
              <w:rPr>
                <w:rFonts w:hint="default" w:ascii="Arial" w:hAnsi="Arial"/>
                <w:color w:val="FF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870"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center"/>
              <w:rPr>
                <w:rFonts w:hint="eastAsia" w:ascii="宋体" w:hAnsi="宋体"/>
                <w:color w:val="FF0000"/>
                <w:sz w:val="18"/>
              </w:rPr>
            </w:pPr>
            <w:r>
              <w:rPr>
                <w:rFonts w:hint="eastAsia" w:ascii="宋体" w:hAnsi="宋体"/>
                <w:color w:val="FF0000"/>
                <w:sz w:val="18"/>
              </w:rPr>
              <w:t>2</w:t>
            </w:r>
          </w:p>
        </w:tc>
        <w:tc>
          <w:tcPr>
            <w:tcW w:w="1230"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center"/>
              <w:rPr>
                <w:rFonts w:hint="eastAsia" w:ascii="宋体" w:hAnsi="宋体"/>
                <w:color w:val="FF0000"/>
                <w:sz w:val="18"/>
              </w:rPr>
            </w:pPr>
            <w:r>
              <w:rPr>
                <w:rFonts w:hint="eastAsia" w:ascii="宋体" w:hAnsi="宋体"/>
                <w:color w:val="FF0000"/>
                <w:sz w:val="18"/>
              </w:rPr>
              <w:t>500101002</w:t>
            </w:r>
          </w:p>
        </w:tc>
        <w:tc>
          <w:tcPr>
            <w:tcW w:w="1710"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left"/>
              <w:rPr>
                <w:rFonts w:hint="eastAsia" w:ascii="宋体" w:hAnsi="宋体"/>
                <w:color w:val="FF0000"/>
                <w:sz w:val="18"/>
              </w:rPr>
            </w:pPr>
            <w:r>
              <w:rPr>
                <w:rFonts w:hint="eastAsia" w:ascii="宋体" w:hAnsi="宋体"/>
                <w:color w:val="FF0000"/>
                <w:sz w:val="18"/>
              </w:rPr>
              <w:t>一般土方开挖</w:t>
            </w:r>
          </w:p>
        </w:tc>
        <w:tc>
          <w:tcPr>
            <w:tcW w:w="705"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center"/>
              <w:rPr>
                <w:rFonts w:hint="eastAsia" w:ascii="宋体" w:hAnsi="宋体"/>
                <w:color w:val="FF0000"/>
                <w:sz w:val="18"/>
              </w:rPr>
            </w:pPr>
            <w:r>
              <w:rPr>
                <w:rFonts w:hint="eastAsia" w:ascii="宋体" w:hAnsi="宋体"/>
                <w:color w:val="FF0000"/>
                <w:sz w:val="18"/>
              </w:rPr>
              <w:t>m3</w:t>
            </w:r>
          </w:p>
        </w:tc>
        <w:tc>
          <w:tcPr>
            <w:tcW w:w="1935" w:type="dxa"/>
            <w:gridSpan w:val="2"/>
            <w:tcBorders>
              <w:top w:val="single" w:color="000000" w:sz="6" w:space="0"/>
              <w:left w:val="single" w:color="000000" w:sz="6" w:space="0"/>
              <w:bottom w:val="single" w:color="000000" w:sz="6" w:space="0"/>
              <w:right w:val="single" w:color="auto" w:sz="6" w:space="0"/>
              <w:tl2br w:val="nil"/>
              <w:tr2bl w:val="nil"/>
            </w:tcBorders>
            <w:shd w:val="clear" w:color="auto" w:fill="auto"/>
            <w:vAlign w:val="top"/>
          </w:tcPr>
          <w:p>
            <w:pPr>
              <w:spacing w:beforeLines="0" w:afterLines="0"/>
              <w:jc w:val="left"/>
              <w:rPr>
                <w:rFonts w:hint="eastAsia" w:ascii="宋体" w:hAnsi="宋体"/>
                <w:color w:val="FF0000"/>
                <w:sz w:val="18"/>
              </w:rPr>
            </w:pPr>
            <w:r>
              <w:rPr>
                <w:rFonts w:hint="eastAsia" w:ascii="宋体" w:hAnsi="宋体"/>
                <w:color w:val="FF0000"/>
                <w:sz w:val="18"/>
              </w:rPr>
              <w:t>1.土方开挖就近堆放，具体详见图纸设计及实施方案</w:t>
            </w:r>
          </w:p>
        </w:tc>
        <w:tc>
          <w:tcPr>
            <w:tcW w:w="88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right"/>
              <w:rPr>
                <w:rFonts w:hint="eastAsia" w:ascii="宋体" w:hAnsi="宋体"/>
                <w:color w:val="FF0000"/>
                <w:sz w:val="18"/>
              </w:rPr>
            </w:pPr>
            <w:r>
              <w:rPr>
                <w:rFonts w:hint="eastAsia" w:ascii="宋体" w:hAnsi="宋体"/>
                <w:color w:val="FF0000"/>
                <w:sz w:val="18"/>
              </w:rPr>
              <w:t>413.00</w:t>
            </w:r>
          </w:p>
        </w:tc>
        <w:tc>
          <w:tcPr>
            <w:tcW w:w="1020"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right"/>
              <w:rPr>
                <w:rFonts w:hint="eastAsia" w:ascii="宋体" w:hAnsi="宋体" w:eastAsia="宋体"/>
                <w:color w:val="FF0000"/>
                <w:sz w:val="18"/>
                <w:lang w:eastAsia="zh-CN"/>
              </w:rPr>
            </w:pPr>
            <w:r>
              <w:rPr>
                <w:rFonts w:hint="eastAsia" w:ascii="宋体" w:hAnsi="宋体"/>
                <w:color w:val="FF0000"/>
                <w:sz w:val="18"/>
                <w:lang w:eastAsia="zh-CN"/>
              </w:rPr>
              <w:t xml:space="preserve"> </w:t>
            </w:r>
          </w:p>
        </w:tc>
        <w:tc>
          <w:tcPr>
            <w:tcW w:w="1230"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right"/>
              <w:rPr>
                <w:rFonts w:hint="eastAsia" w:ascii="宋体" w:hAnsi="宋体"/>
                <w:color w:val="FF0000"/>
                <w:sz w:val="18"/>
              </w:rPr>
            </w:pPr>
          </w:p>
        </w:tc>
        <w:tc>
          <w:tcPr>
            <w:tcW w:w="1080" w:type="dxa"/>
            <w:tcBorders>
              <w:top w:val="nil"/>
              <w:left w:val="nil"/>
              <w:bottom w:val="nil"/>
              <w:right w:val="nil"/>
              <w:tl2br w:val="nil"/>
              <w:tr2bl w:val="nil"/>
            </w:tcBorders>
            <w:shd w:val="clear" w:color="auto" w:fill="auto"/>
            <w:vAlign w:val="top"/>
          </w:tcPr>
          <w:p>
            <w:pPr>
              <w:spacing w:beforeLines="0" w:afterLines="0"/>
              <w:jc w:val="right"/>
              <w:rPr>
                <w:rFonts w:hint="default" w:ascii="Arial" w:hAnsi="Arial"/>
                <w:color w:val="FF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870"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center"/>
              <w:rPr>
                <w:rFonts w:hint="eastAsia" w:ascii="宋体" w:hAnsi="宋体"/>
                <w:color w:val="FF0000"/>
                <w:sz w:val="18"/>
              </w:rPr>
            </w:pPr>
            <w:r>
              <w:rPr>
                <w:rFonts w:hint="eastAsia" w:ascii="宋体" w:hAnsi="宋体"/>
                <w:color w:val="FF0000"/>
                <w:sz w:val="18"/>
              </w:rPr>
              <w:t>3</w:t>
            </w:r>
          </w:p>
        </w:tc>
        <w:tc>
          <w:tcPr>
            <w:tcW w:w="1230"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center"/>
              <w:rPr>
                <w:rFonts w:hint="eastAsia" w:ascii="宋体" w:hAnsi="宋体"/>
                <w:color w:val="FF0000"/>
                <w:sz w:val="18"/>
              </w:rPr>
            </w:pPr>
            <w:r>
              <w:rPr>
                <w:rFonts w:hint="eastAsia" w:ascii="宋体" w:hAnsi="宋体"/>
                <w:color w:val="FF0000"/>
                <w:sz w:val="18"/>
              </w:rPr>
              <w:t>500103001</w:t>
            </w:r>
          </w:p>
        </w:tc>
        <w:tc>
          <w:tcPr>
            <w:tcW w:w="1710"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left"/>
              <w:rPr>
                <w:rFonts w:hint="eastAsia" w:ascii="宋体" w:hAnsi="宋体"/>
                <w:color w:val="FF0000"/>
                <w:sz w:val="18"/>
              </w:rPr>
            </w:pPr>
            <w:r>
              <w:rPr>
                <w:rFonts w:hint="eastAsia" w:ascii="宋体" w:hAnsi="宋体"/>
                <w:color w:val="FF0000"/>
                <w:sz w:val="18"/>
              </w:rPr>
              <w:t>土方回填</w:t>
            </w:r>
          </w:p>
        </w:tc>
        <w:tc>
          <w:tcPr>
            <w:tcW w:w="705"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center"/>
              <w:rPr>
                <w:rFonts w:hint="eastAsia" w:ascii="宋体" w:hAnsi="宋体"/>
                <w:color w:val="FF0000"/>
                <w:sz w:val="18"/>
              </w:rPr>
            </w:pPr>
            <w:r>
              <w:rPr>
                <w:rFonts w:hint="eastAsia" w:ascii="宋体" w:hAnsi="宋体"/>
                <w:color w:val="FF0000"/>
                <w:sz w:val="18"/>
              </w:rPr>
              <w:t>m3</w:t>
            </w:r>
          </w:p>
        </w:tc>
        <w:tc>
          <w:tcPr>
            <w:tcW w:w="1935" w:type="dxa"/>
            <w:gridSpan w:val="2"/>
            <w:tcBorders>
              <w:top w:val="single" w:color="000000" w:sz="6" w:space="0"/>
              <w:left w:val="single" w:color="000000" w:sz="6" w:space="0"/>
              <w:bottom w:val="single" w:color="000000" w:sz="6" w:space="0"/>
              <w:right w:val="single" w:color="auto" w:sz="6" w:space="0"/>
              <w:tl2br w:val="nil"/>
              <w:tr2bl w:val="nil"/>
            </w:tcBorders>
            <w:shd w:val="clear" w:color="auto" w:fill="auto"/>
            <w:vAlign w:val="top"/>
          </w:tcPr>
          <w:p>
            <w:pPr>
              <w:spacing w:beforeLines="0" w:afterLines="0"/>
              <w:jc w:val="left"/>
              <w:rPr>
                <w:rFonts w:hint="eastAsia" w:ascii="宋体" w:hAnsi="宋体"/>
                <w:color w:val="FF0000"/>
                <w:sz w:val="18"/>
              </w:rPr>
            </w:pPr>
            <w:r>
              <w:rPr>
                <w:rFonts w:hint="eastAsia" w:ascii="宋体" w:hAnsi="宋体"/>
                <w:color w:val="FF0000"/>
                <w:sz w:val="18"/>
              </w:rPr>
              <w:t>1.密实度：分层压实  2.具体详见图纸设计及实施方案</w:t>
            </w:r>
          </w:p>
        </w:tc>
        <w:tc>
          <w:tcPr>
            <w:tcW w:w="88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right"/>
              <w:rPr>
                <w:rFonts w:hint="eastAsia" w:ascii="宋体" w:hAnsi="宋体"/>
                <w:color w:val="FF0000"/>
                <w:sz w:val="18"/>
              </w:rPr>
            </w:pPr>
            <w:r>
              <w:rPr>
                <w:rFonts w:hint="eastAsia" w:ascii="宋体" w:hAnsi="宋体"/>
                <w:color w:val="FF0000"/>
                <w:sz w:val="18"/>
              </w:rPr>
              <w:t>350.00</w:t>
            </w:r>
          </w:p>
        </w:tc>
        <w:tc>
          <w:tcPr>
            <w:tcW w:w="1020"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right"/>
              <w:rPr>
                <w:rFonts w:hint="eastAsia" w:ascii="宋体" w:hAnsi="宋体" w:eastAsia="宋体"/>
                <w:color w:val="FF0000"/>
                <w:sz w:val="18"/>
                <w:lang w:val="en-US" w:eastAsia="zh-CN"/>
              </w:rPr>
            </w:pPr>
            <w:r>
              <w:rPr>
                <w:rFonts w:hint="eastAsia" w:ascii="宋体" w:hAnsi="宋体"/>
                <w:color w:val="FF0000"/>
                <w:sz w:val="18"/>
                <w:lang w:val="en-US" w:eastAsia="zh-CN"/>
              </w:rPr>
              <w:t xml:space="preserve"> </w:t>
            </w:r>
          </w:p>
        </w:tc>
        <w:tc>
          <w:tcPr>
            <w:tcW w:w="1230"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right"/>
              <w:rPr>
                <w:rFonts w:hint="eastAsia" w:ascii="宋体" w:hAnsi="宋体"/>
                <w:color w:val="FF0000"/>
                <w:sz w:val="18"/>
                <w:lang w:val="en-US"/>
              </w:rPr>
            </w:pPr>
          </w:p>
        </w:tc>
        <w:tc>
          <w:tcPr>
            <w:tcW w:w="1080" w:type="dxa"/>
            <w:tcBorders>
              <w:top w:val="nil"/>
              <w:left w:val="nil"/>
              <w:bottom w:val="nil"/>
              <w:right w:val="nil"/>
              <w:tl2br w:val="nil"/>
              <w:tr2bl w:val="nil"/>
            </w:tcBorders>
            <w:shd w:val="clear" w:color="auto" w:fill="auto"/>
            <w:vAlign w:val="top"/>
          </w:tcPr>
          <w:p>
            <w:pPr>
              <w:spacing w:beforeLines="0" w:afterLines="0"/>
              <w:jc w:val="right"/>
              <w:rPr>
                <w:rFonts w:hint="default" w:ascii="Arial" w:hAnsi="Arial"/>
                <w:color w:val="FF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870"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center"/>
              <w:rPr>
                <w:rFonts w:hint="eastAsia" w:ascii="宋体" w:hAnsi="宋体"/>
                <w:color w:val="FF0000"/>
                <w:sz w:val="18"/>
              </w:rPr>
            </w:pPr>
            <w:r>
              <w:rPr>
                <w:rFonts w:hint="eastAsia" w:ascii="宋体" w:hAnsi="宋体"/>
                <w:color w:val="FF0000"/>
                <w:sz w:val="18"/>
              </w:rPr>
              <w:t>4</w:t>
            </w:r>
          </w:p>
        </w:tc>
        <w:tc>
          <w:tcPr>
            <w:tcW w:w="1230"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center"/>
              <w:rPr>
                <w:rFonts w:hint="eastAsia" w:ascii="宋体" w:hAnsi="宋体"/>
                <w:color w:val="FF0000"/>
                <w:sz w:val="18"/>
              </w:rPr>
            </w:pPr>
            <w:r>
              <w:rPr>
                <w:rFonts w:hint="eastAsia" w:ascii="宋体" w:hAnsi="宋体"/>
                <w:color w:val="FF0000"/>
                <w:sz w:val="18"/>
              </w:rPr>
              <w:t>500105003</w:t>
            </w:r>
          </w:p>
        </w:tc>
        <w:tc>
          <w:tcPr>
            <w:tcW w:w="1710"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left"/>
              <w:rPr>
                <w:rFonts w:hint="eastAsia" w:ascii="宋体" w:hAnsi="宋体"/>
                <w:color w:val="FF0000"/>
                <w:sz w:val="18"/>
              </w:rPr>
            </w:pPr>
            <w:r>
              <w:rPr>
                <w:rFonts w:hint="eastAsia" w:ascii="宋体" w:hAnsi="宋体"/>
                <w:color w:val="FF0000"/>
                <w:sz w:val="18"/>
              </w:rPr>
              <w:t>浆砌块石</w:t>
            </w:r>
          </w:p>
        </w:tc>
        <w:tc>
          <w:tcPr>
            <w:tcW w:w="705"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center"/>
              <w:rPr>
                <w:rFonts w:hint="eastAsia" w:ascii="宋体" w:hAnsi="宋体"/>
                <w:color w:val="FF0000"/>
                <w:sz w:val="18"/>
              </w:rPr>
            </w:pPr>
            <w:r>
              <w:rPr>
                <w:rFonts w:hint="eastAsia" w:ascii="宋体" w:hAnsi="宋体"/>
                <w:color w:val="FF0000"/>
                <w:sz w:val="18"/>
              </w:rPr>
              <w:t>m3</w:t>
            </w:r>
          </w:p>
        </w:tc>
        <w:tc>
          <w:tcPr>
            <w:tcW w:w="1935" w:type="dxa"/>
            <w:gridSpan w:val="2"/>
            <w:tcBorders>
              <w:top w:val="single" w:color="000000" w:sz="6" w:space="0"/>
              <w:left w:val="single" w:color="000000" w:sz="6" w:space="0"/>
              <w:bottom w:val="single" w:color="000000" w:sz="6" w:space="0"/>
              <w:right w:val="single" w:color="auto" w:sz="6" w:space="0"/>
              <w:tl2br w:val="nil"/>
              <w:tr2bl w:val="nil"/>
            </w:tcBorders>
            <w:shd w:val="clear" w:color="auto" w:fill="auto"/>
            <w:vAlign w:val="top"/>
          </w:tcPr>
          <w:p>
            <w:pPr>
              <w:spacing w:beforeLines="0" w:afterLines="0"/>
              <w:jc w:val="left"/>
              <w:rPr>
                <w:rFonts w:hint="eastAsia" w:ascii="宋体" w:hAnsi="宋体"/>
                <w:color w:val="FF0000"/>
                <w:sz w:val="18"/>
              </w:rPr>
            </w:pPr>
            <w:r>
              <w:rPr>
                <w:rFonts w:hint="eastAsia" w:ascii="宋体" w:hAnsi="宋体"/>
                <w:color w:val="FF0000"/>
                <w:sz w:val="18"/>
              </w:rPr>
              <w:t>1.材质：块石        2.砂浆强度等级：M7.5水泥砂浆</w:t>
            </w:r>
          </w:p>
        </w:tc>
        <w:tc>
          <w:tcPr>
            <w:tcW w:w="88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right"/>
              <w:rPr>
                <w:rFonts w:hint="eastAsia" w:ascii="宋体" w:hAnsi="宋体"/>
                <w:color w:val="FF0000"/>
                <w:sz w:val="18"/>
              </w:rPr>
            </w:pPr>
            <w:r>
              <w:rPr>
                <w:rFonts w:hint="eastAsia" w:ascii="宋体" w:hAnsi="宋体"/>
                <w:color w:val="FF0000"/>
                <w:sz w:val="18"/>
              </w:rPr>
              <w:t>448.20</w:t>
            </w:r>
          </w:p>
        </w:tc>
        <w:tc>
          <w:tcPr>
            <w:tcW w:w="1020"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right"/>
              <w:rPr>
                <w:rFonts w:hint="eastAsia" w:ascii="宋体" w:hAnsi="宋体" w:eastAsia="宋体"/>
                <w:color w:val="FF0000"/>
                <w:sz w:val="18"/>
                <w:lang w:val="en-US" w:eastAsia="zh-CN"/>
              </w:rPr>
            </w:pPr>
            <w:r>
              <w:rPr>
                <w:rFonts w:hint="eastAsia" w:ascii="宋体" w:hAnsi="宋体"/>
                <w:color w:val="FF0000"/>
                <w:sz w:val="18"/>
                <w:lang w:val="en-US" w:eastAsia="zh-CN"/>
              </w:rPr>
              <w:t xml:space="preserve"> </w:t>
            </w:r>
          </w:p>
        </w:tc>
        <w:tc>
          <w:tcPr>
            <w:tcW w:w="1230"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right"/>
              <w:rPr>
                <w:rFonts w:hint="eastAsia" w:ascii="宋体" w:hAnsi="宋体"/>
                <w:color w:val="FF0000"/>
                <w:sz w:val="18"/>
                <w:lang w:val="en-US"/>
              </w:rPr>
            </w:pPr>
          </w:p>
        </w:tc>
        <w:tc>
          <w:tcPr>
            <w:tcW w:w="1080" w:type="dxa"/>
            <w:tcBorders>
              <w:top w:val="nil"/>
              <w:left w:val="nil"/>
              <w:bottom w:val="nil"/>
              <w:right w:val="nil"/>
              <w:tl2br w:val="nil"/>
              <w:tr2bl w:val="nil"/>
            </w:tcBorders>
            <w:shd w:val="clear" w:color="auto" w:fill="auto"/>
            <w:vAlign w:val="top"/>
          </w:tcPr>
          <w:p>
            <w:pPr>
              <w:spacing w:beforeLines="0" w:afterLines="0"/>
              <w:jc w:val="right"/>
              <w:rPr>
                <w:rFonts w:hint="default" w:ascii="Arial" w:hAnsi="Arial"/>
                <w:color w:val="FF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870"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center"/>
              <w:rPr>
                <w:rFonts w:hint="eastAsia" w:ascii="宋体" w:hAnsi="宋体"/>
                <w:color w:val="FF0000"/>
                <w:sz w:val="18"/>
              </w:rPr>
            </w:pPr>
            <w:r>
              <w:rPr>
                <w:rFonts w:hint="eastAsia" w:ascii="宋体" w:hAnsi="宋体"/>
                <w:color w:val="FF0000"/>
                <w:sz w:val="18"/>
              </w:rPr>
              <w:t>5</w:t>
            </w:r>
          </w:p>
        </w:tc>
        <w:tc>
          <w:tcPr>
            <w:tcW w:w="1230"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center"/>
              <w:rPr>
                <w:rFonts w:hint="eastAsia" w:ascii="宋体" w:hAnsi="宋体"/>
                <w:color w:val="FF0000"/>
                <w:sz w:val="18"/>
              </w:rPr>
            </w:pPr>
            <w:r>
              <w:rPr>
                <w:rFonts w:hint="eastAsia" w:ascii="宋体" w:hAnsi="宋体"/>
                <w:color w:val="FF0000"/>
                <w:sz w:val="18"/>
              </w:rPr>
              <w:t>500103001</w:t>
            </w:r>
          </w:p>
        </w:tc>
        <w:tc>
          <w:tcPr>
            <w:tcW w:w="1710"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left"/>
              <w:rPr>
                <w:rFonts w:hint="eastAsia" w:ascii="宋体" w:hAnsi="宋体"/>
                <w:color w:val="FF0000"/>
                <w:sz w:val="18"/>
              </w:rPr>
            </w:pPr>
            <w:r>
              <w:rPr>
                <w:rFonts w:hint="eastAsia" w:ascii="宋体" w:hAnsi="宋体"/>
                <w:color w:val="FF0000"/>
                <w:sz w:val="18"/>
              </w:rPr>
              <w:t>土围堰</w:t>
            </w:r>
          </w:p>
        </w:tc>
        <w:tc>
          <w:tcPr>
            <w:tcW w:w="705"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center"/>
              <w:rPr>
                <w:rFonts w:hint="eastAsia" w:ascii="宋体" w:hAnsi="宋体"/>
                <w:color w:val="FF0000"/>
                <w:sz w:val="18"/>
              </w:rPr>
            </w:pPr>
            <w:r>
              <w:rPr>
                <w:rFonts w:hint="eastAsia" w:ascii="宋体" w:hAnsi="宋体"/>
                <w:color w:val="FF0000"/>
                <w:sz w:val="18"/>
              </w:rPr>
              <w:t>m3</w:t>
            </w:r>
          </w:p>
        </w:tc>
        <w:tc>
          <w:tcPr>
            <w:tcW w:w="1935" w:type="dxa"/>
            <w:gridSpan w:val="2"/>
            <w:tcBorders>
              <w:top w:val="single" w:color="000000" w:sz="6" w:space="0"/>
              <w:left w:val="single" w:color="000000" w:sz="6" w:space="0"/>
              <w:bottom w:val="single" w:color="000000" w:sz="6" w:space="0"/>
              <w:right w:val="single" w:color="auto" w:sz="6" w:space="0"/>
              <w:tl2br w:val="nil"/>
              <w:tr2bl w:val="nil"/>
            </w:tcBorders>
            <w:shd w:val="clear" w:color="auto" w:fill="auto"/>
            <w:vAlign w:val="top"/>
          </w:tcPr>
          <w:p>
            <w:pPr>
              <w:spacing w:beforeLines="0" w:afterLines="0"/>
              <w:jc w:val="left"/>
              <w:rPr>
                <w:rFonts w:hint="eastAsia" w:ascii="宋体" w:hAnsi="宋体"/>
                <w:color w:val="FF0000"/>
                <w:sz w:val="18"/>
              </w:rPr>
            </w:pPr>
            <w:r>
              <w:rPr>
                <w:rFonts w:hint="eastAsia" w:ascii="宋体" w:hAnsi="宋体"/>
                <w:color w:val="FF0000"/>
                <w:sz w:val="18"/>
              </w:rPr>
              <w:t>1.围堰材质：土      2.具体详见图纸设计及实施方案</w:t>
            </w:r>
          </w:p>
        </w:tc>
        <w:tc>
          <w:tcPr>
            <w:tcW w:w="88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right"/>
              <w:rPr>
                <w:rFonts w:hint="eastAsia" w:ascii="宋体" w:hAnsi="宋体"/>
                <w:color w:val="FF0000"/>
                <w:sz w:val="18"/>
              </w:rPr>
            </w:pPr>
            <w:r>
              <w:rPr>
                <w:rFonts w:hint="eastAsia" w:ascii="宋体" w:hAnsi="宋体"/>
                <w:color w:val="FF0000"/>
                <w:sz w:val="18"/>
              </w:rPr>
              <w:t>1925.00</w:t>
            </w:r>
          </w:p>
        </w:tc>
        <w:tc>
          <w:tcPr>
            <w:tcW w:w="1020"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right"/>
              <w:rPr>
                <w:rFonts w:hint="eastAsia" w:ascii="宋体" w:hAnsi="宋体" w:eastAsia="宋体"/>
                <w:color w:val="FF0000"/>
                <w:sz w:val="18"/>
                <w:lang w:val="en-US" w:eastAsia="zh-CN"/>
              </w:rPr>
            </w:pPr>
            <w:r>
              <w:rPr>
                <w:rFonts w:hint="eastAsia" w:ascii="宋体" w:hAnsi="宋体"/>
                <w:color w:val="FF0000"/>
                <w:sz w:val="18"/>
                <w:lang w:val="en-US" w:eastAsia="zh-CN"/>
              </w:rPr>
              <w:t xml:space="preserve"> </w:t>
            </w:r>
          </w:p>
        </w:tc>
        <w:tc>
          <w:tcPr>
            <w:tcW w:w="1230"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right"/>
              <w:rPr>
                <w:rFonts w:hint="eastAsia" w:ascii="宋体" w:hAnsi="宋体"/>
                <w:color w:val="FF0000"/>
                <w:sz w:val="18"/>
                <w:lang w:val="en-US"/>
              </w:rPr>
            </w:pPr>
          </w:p>
        </w:tc>
        <w:tc>
          <w:tcPr>
            <w:tcW w:w="1080" w:type="dxa"/>
            <w:tcBorders>
              <w:top w:val="nil"/>
              <w:left w:val="nil"/>
              <w:bottom w:val="nil"/>
              <w:right w:val="nil"/>
              <w:tl2br w:val="nil"/>
              <w:tr2bl w:val="nil"/>
            </w:tcBorders>
            <w:shd w:val="clear" w:color="auto" w:fill="auto"/>
            <w:vAlign w:val="top"/>
          </w:tcPr>
          <w:p>
            <w:pPr>
              <w:spacing w:beforeLines="0" w:afterLines="0"/>
              <w:jc w:val="right"/>
              <w:rPr>
                <w:rFonts w:hint="default" w:ascii="Arial" w:hAnsi="Arial"/>
                <w:color w:val="FF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870"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center"/>
              <w:rPr>
                <w:rFonts w:hint="eastAsia" w:ascii="宋体" w:hAnsi="宋体"/>
                <w:color w:val="FF0000"/>
                <w:sz w:val="18"/>
              </w:rPr>
            </w:pPr>
            <w:r>
              <w:rPr>
                <w:rFonts w:hint="eastAsia" w:ascii="宋体" w:hAnsi="宋体"/>
                <w:color w:val="FF0000"/>
                <w:sz w:val="18"/>
              </w:rPr>
              <w:t>6</w:t>
            </w:r>
          </w:p>
        </w:tc>
        <w:tc>
          <w:tcPr>
            <w:tcW w:w="1230"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center"/>
              <w:rPr>
                <w:rFonts w:hint="eastAsia" w:ascii="宋体" w:hAnsi="宋体"/>
                <w:color w:val="FF0000"/>
                <w:sz w:val="18"/>
              </w:rPr>
            </w:pPr>
            <w:r>
              <w:rPr>
                <w:rFonts w:hint="eastAsia" w:ascii="宋体" w:hAnsi="宋体"/>
                <w:color w:val="FF0000"/>
                <w:sz w:val="18"/>
              </w:rPr>
              <w:t>500101002</w:t>
            </w:r>
          </w:p>
        </w:tc>
        <w:tc>
          <w:tcPr>
            <w:tcW w:w="1710"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left"/>
              <w:rPr>
                <w:rFonts w:hint="eastAsia" w:ascii="宋体" w:hAnsi="宋体"/>
                <w:color w:val="FF0000"/>
                <w:sz w:val="18"/>
              </w:rPr>
            </w:pPr>
            <w:r>
              <w:rPr>
                <w:rFonts w:hint="eastAsia" w:ascii="宋体" w:hAnsi="宋体"/>
                <w:color w:val="FF0000"/>
                <w:sz w:val="18"/>
              </w:rPr>
              <w:t>拆除围堰</w:t>
            </w:r>
          </w:p>
        </w:tc>
        <w:tc>
          <w:tcPr>
            <w:tcW w:w="705"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center"/>
              <w:rPr>
                <w:rFonts w:hint="eastAsia" w:ascii="宋体" w:hAnsi="宋体"/>
                <w:color w:val="FF0000"/>
                <w:sz w:val="18"/>
              </w:rPr>
            </w:pPr>
            <w:r>
              <w:rPr>
                <w:rFonts w:hint="eastAsia" w:ascii="宋体" w:hAnsi="宋体"/>
                <w:color w:val="FF0000"/>
                <w:sz w:val="18"/>
              </w:rPr>
              <w:t>m3</w:t>
            </w:r>
          </w:p>
        </w:tc>
        <w:tc>
          <w:tcPr>
            <w:tcW w:w="1935" w:type="dxa"/>
            <w:gridSpan w:val="2"/>
            <w:tcBorders>
              <w:top w:val="single" w:color="000000" w:sz="6" w:space="0"/>
              <w:left w:val="single" w:color="000000" w:sz="6" w:space="0"/>
              <w:bottom w:val="single" w:color="000000" w:sz="6" w:space="0"/>
              <w:right w:val="single" w:color="auto" w:sz="6" w:space="0"/>
              <w:tl2br w:val="nil"/>
              <w:tr2bl w:val="nil"/>
            </w:tcBorders>
            <w:shd w:val="clear" w:color="auto" w:fill="auto"/>
            <w:vAlign w:val="top"/>
          </w:tcPr>
          <w:p>
            <w:pPr>
              <w:spacing w:beforeLines="0" w:afterLines="0"/>
              <w:jc w:val="left"/>
              <w:rPr>
                <w:rFonts w:hint="eastAsia" w:ascii="宋体" w:hAnsi="宋体"/>
                <w:color w:val="FF0000"/>
                <w:sz w:val="18"/>
              </w:rPr>
            </w:pPr>
            <w:r>
              <w:rPr>
                <w:rFonts w:hint="eastAsia" w:ascii="宋体" w:hAnsi="宋体"/>
                <w:color w:val="FF0000"/>
                <w:sz w:val="18"/>
              </w:rPr>
              <w:t>1.围堰拆除          2.具体详见图纸设计及实施方案</w:t>
            </w:r>
          </w:p>
        </w:tc>
        <w:tc>
          <w:tcPr>
            <w:tcW w:w="88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right"/>
              <w:rPr>
                <w:rFonts w:hint="eastAsia" w:ascii="宋体" w:hAnsi="宋体"/>
                <w:color w:val="FF0000"/>
                <w:sz w:val="18"/>
              </w:rPr>
            </w:pPr>
            <w:r>
              <w:rPr>
                <w:rFonts w:hint="eastAsia" w:ascii="宋体" w:hAnsi="宋体"/>
                <w:color w:val="FF0000"/>
                <w:sz w:val="18"/>
              </w:rPr>
              <w:t>1925.00</w:t>
            </w:r>
          </w:p>
        </w:tc>
        <w:tc>
          <w:tcPr>
            <w:tcW w:w="1020"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right"/>
              <w:rPr>
                <w:rFonts w:hint="eastAsia" w:ascii="宋体" w:hAnsi="宋体" w:eastAsia="宋体"/>
                <w:color w:val="FF0000"/>
                <w:sz w:val="18"/>
                <w:lang w:val="en-US" w:eastAsia="zh-CN"/>
              </w:rPr>
            </w:pPr>
            <w:r>
              <w:rPr>
                <w:rFonts w:hint="eastAsia" w:ascii="宋体" w:hAnsi="宋体"/>
                <w:color w:val="FF0000"/>
                <w:sz w:val="18"/>
                <w:lang w:val="en-US" w:eastAsia="zh-CN"/>
              </w:rPr>
              <w:t xml:space="preserve"> </w:t>
            </w:r>
          </w:p>
        </w:tc>
        <w:tc>
          <w:tcPr>
            <w:tcW w:w="1230"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right"/>
              <w:rPr>
                <w:rFonts w:hint="eastAsia" w:ascii="宋体" w:hAnsi="宋体"/>
                <w:color w:val="FF0000"/>
                <w:sz w:val="18"/>
                <w:lang w:val="en-US"/>
              </w:rPr>
            </w:pPr>
          </w:p>
        </w:tc>
        <w:tc>
          <w:tcPr>
            <w:tcW w:w="1080" w:type="dxa"/>
            <w:tcBorders>
              <w:top w:val="nil"/>
              <w:left w:val="nil"/>
              <w:bottom w:val="nil"/>
              <w:right w:val="nil"/>
              <w:tl2br w:val="nil"/>
              <w:tr2bl w:val="nil"/>
            </w:tcBorders>
            <w:shd w:val="clear" w:color="auto" w:fill="auto"/>
            <w:vAlign w:val="top"/>
          </w:tcPr>
          <w:p>
            <w:pPr>
              <w:spacing w:beforeLines="0" w:afterLines="0"/>
              <w:jc w:val="right"/>
              <w:rPr>
                <w:rFonts w:hint="default" w:ascii="Arial" w:hAnsi="Arial"/>
                <w:color w:val="FF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870"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left"/>
              <w:rPr>
                <w:rFonts w:hint="eastAsia" w:ascii="宋体" w:hAnsi="宋体"/>
                <w:color w:val="FF0000"/>
                <w:sz w:val="18"/>
              </w:rPr>
            </w:pPr>
          </w:p>
        </w:tc>
        <w:tc>
          <w:tcPr>
            <w:tcW w:w="1230"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center"/>
              <w:rPr>
                <w:rFonts w:hint="eastAsia" w:ascii="宋体" w:hAnsi="宋体"/>
                <w:color w:val="FF0000"/>
                <w:sz w:val="18"/>
              </w:rPr>
            </w:pPr>
          </w:p>
        </w:tc>
        <w:tc>
          <w:tcPr>
            <w:tcW w:w="1710"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center"/>
              <w:rPr>
                <w:rFonts w:hint="eastAsia" w:ascii="宋体" w:hAnsi="宋体"/>
                <w:color w:val="FF0000"/>
                <w:sz w:val="18"/>
              </w:rPr>
            </w:pPr>
            <w:r>
              <w:rPr>
                <w:rFonts w:hint="eastAsia" w:ascii="宋体" w:hAnsi="宋体"/>
                <w:color w:val="FF0000"/>
                <w:sz w:val="18"/>
              </w:rPr>
              <w:t>合    计</w:t>
            </w:r>
          </w:p>
        </w:tc>
        <w:tc>
          <w:tcPr>
            <w:tcW w:w="705"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left"/>
              <w:rPr>
                <w:rFonts w:hint="eastAsia" w:ascii="宋体" w:hAnsi="宋体"/>
                <w:color w:val="FF0000"/>
                <w:sz w:val="18"/>
              </w:rPr>
            </w:pPr>
          </w:p>
        </w:tc>
        <w:tc>
          <w:tcPr>
            <w:tcW w:w="193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left"/>
              <w:rPr>
                <w:rFonts w:hint="eastAsia" w:ascii="宋体" w:hAnsi="宋体"/>
                <w:color w:val="FF0000"/>
                <w:sz w:val="18"/>
              </w:rPr>
            </w:pPr>
          </w:p>
        </w:tc>
        <w:tc>
          <w:tcPr>
            <w:tcW w:w="88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left"/>
              <w:rPr>
                <w:rFonts w:hint="eastAsia" w:ascii="宋体" w:hAnsi="宋体"/>
                <w:color w:val="FF0000"/>
                <w:sz w:val="18"/>
              </w:rPr>
            </w:pPr>
          </w:p>
        </w:tc>
        <w:tc>
          <w:tcPr>
            <w:tcW w:w="1020"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left"/>
              <w:rPr>
                <w:rFonts w:hint="eastAsia" w:ascii="宋体" w:hAnsi="宋体"/>
                <w:color w:val="FF0000"/>
                <w:sz w:val="18"/>
                <w:lang w:val="en-US"/>
              </w:rPr>
            </w:pPr>
          </w:p>
        </w:tc>
        <w:tc>
          <w:tcPr>
            <w:tcW w:w="1230" w:type="dxa"/>
            <w:tcBorders>
              <w:top w:val="single" w:color="auto" w:sz="6" w:space="0"/>
              <w:left w:val="single" w:color="auto" w:sz="6" w:space="0"/>
              <w:bottom w:val="single" w:color="auto" w:sz="6" w:space="0"/>
              <w:right w:val="single" w:color="auto" w:sz="6" w:space="0"/>
              <w:tl2br w:val="nil"/>
              <w:tr2bl w:val="nil"/>
            </w:tcBorders>
            <w:shd w:val="clear" w:color="auto" w:fill="auto"/>
            <w:vAlign w:val="top"/>
          </w:tcPr>
          <w:p>
            <w:pPr>
              <w:spacing w:beforeLines="0" w:afterLines="0"/>
              <w:jc w:val="right"/>
              <w:rPr>
                <w:rFonts w:hint="eastAsia" w:ascii="宋体" w:hAnsi="宋体" w:eastAsia="宋体"/>
                <w:color w:val="FF0000"/>
                <w:sz w:val="18"/>
                <w:lang w:val="en-US" w:eastAsia="zh-CN"/>
              </w:rPr>
            </w:pPr>
            <w:r>
              <w:rPr>
                <w:rFonts w:hint="eastAsia" w:ascii="宋体" w:hAnsi="宋体"/>
                <w:color w:val="FF0000"/>
                <w:sz w:val="18"/>
                <w:lang w:val="en-US" w:eastAsia="zh-CN"/>
              </w:rPr>
              <w:t xml:space="preserve"> </w:t>
            </w:r>
          </w:p>
        </w:tc>
        <w:tc>
          <w:tcPr>
            <w:tcW w:w="1080" w:type="dxa"/>
            <w:tcBorders>
              <w:top w:val="nil"/>
              <w:left w:val="nil"/>
              <w:bottom w:val="nil"/>
              <w:right w:val="nil"/>
              <w:tl2br w:val="nil"/>
              <w:tr2bl w:val="nil"/>
            </w:tcBorders>
            <w:shd w:val="clear" w:color="auto" w:fill="auto"/>
            <w:vAlign w:val="top"/>
          </w:tcPr>
          <w:p>
            <w:pPr>
              <w:spacing w:beforeLines="0" w:afterLines="0"/>
              <w:jc w:val="right"/>
              <w:rPr>
                <w:rFonts w:hint="default" w:ascii="Arial" w:hAnsi="Arial"/>
                <w:color w:val="FF0000"/>
                <w:sz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870" w:type="dxa"/>
            <w:gridSpan w:val="2"/>
            <w:tcBorders>
              <w:top w:val="single" w:color="auto" w:sz="6" w:space="0"/>
              <w:left w:val="nil"/>
              <w:bottom w:val="nil"/>
              <w:right w:val="nil"/>
              <w:tl2br w:val="nil"/>
              <w:tr2bl w:val="nil"/>
            </w:tcBorders>
            <w:shd w:val="clear" w:color="auto" w:fill="auto"/>
            <w:vAlign w:val="top"/>
          </w:tcPr>
          <w:p>
            <w:pPr>
              <w:spacing w:beforeLines="0" w:afterLines="0"/>
              <w:jc w:val="left"/>
              <w:rPr>
                <w:rFonts w:hint="eastAsia" w:ascii="宋体" w:hAnsi="宋体"/>
                <w:color w:val="FF0000"/>
                <w:sz w:val="18"/>
              </w:rPr>
            </w:pPr>
          </w:p>
        </w:tc>
        <w:tc>
          <w:tcPr>
            <w:tcW w:w="1230" w:type="dxa"/>
            <w:tcBorders>
              <w:top w:val="single" w:color="auto" w:sz="6" w:space="0"/>
              <w:left w:val="nil"/>
              <w:bottom w:val="nil"/>
              <w:right w:val="nil"/>
              <w:tl2br w:val="nil"/>
              <w:tr2bl w:val="nil"/>
            </w:tcBorders>
            <w:shd w:val="clear" w:color="auto" w:fill="auto"/>
            <w:vAlign w:val="top"/>
          </w:tcPr>
          <w:p>
            <w:pPr>
              <w:spacing w:beforeLines="0" w:afterLines="0"/>
              <w:jc w:val="left"/>
              <w:rPr>
                <w:rFonts w:hint="eastAsia" w:ascii="宋体" w:hAnsi="宋体"/>
                <w:color w:val="FF0000"/>
                <w:sz w:val="18"/>
              </w:rPr>
            </w:pPr>
          </w:p>
        </w:tc>
        <w:tc>
          <w:tcPr>
            <w:tcW w:w="1710" w:type="dxa"/>
            <w:tcBorders>
              <w:top w:val="single" w:color="auto" w:sz="6" w:space="0"/>
              <w:left w:val="nil"/>
              <w:bottom w:val="nil"/>
              <w:right w:val="nil"/>
              <w:tl2br w:val="nil"/>
              <w:tr2bl w:val="nil"/>
            </w:tcBorders>
            <w:shd w:val="clear" w:color="auto" w:fill="auto"/>
            <w:vAlign w:val="top"/>
          </w:tcPr>
          <w:p>
            <w:pPr>
              <w:spacing w:beforeLines="0" w:afterLines="0"/>
              <w:jc w:val="right"/>
              <w:rPr>
                <w:rFonts w:hint="eastAsia" w:ascii="宋体" w:hAnsi="宋体"/>
                <w:color w:val="FF0000"/>
                <w:sz w:val="18"/>
              </w:rPr>
            </w:pPr>
          </w:p>
        </w:tc>
        <w:tc>
          <w:tcPr>
            <w:tcW w:w="705" w:type="dxa"/>
            <w:tcBorders>
              <w:top w:val="single" w:color="auto" w:sz="6" w:space="0"/>
              <w:left w:val="nil"/>
              <w:bottom w:val="nil"/>
              <w:right w:val="nil"/>
              <w:tl2br w:val="nil"/>
              <w:tr2bl w:val="nil"/>
            </w:tcBorders>
            <w:shd w:val="clear" w:color="auto" w:fill="auto"/>
            <w:vAlign w:val="top"/>
          </w:tcPr>
          <w:p>
            <w:pPr>
              <w:spacing w:beforeLines="0" w:afterLines="0"/>
              <w:jc w:val="left"/>
              <w:rPr>
                <w:rFonts w:hint="eastAsia" w:ascii="宋体" w:hAnsi="宋体"/>
                <w:color w:val="FF0000"/>
                <w:sz w:val="18"/>
              </w:rPr>
            </w:pPr>
          </w:p>
        </w:tc>
        <w:tc>
          <w:tcPr>
            <w:tcW w:w="1935" w:type="dxa"/>
            <w:gridSpan w:val="2"/>
            <w:tcBorders>
              <w:top w:val="single" w:color="auto" w:sz="6" w:space="0"/>
              <w:left w:val="nil"/>
              <w:bottom w:val="nil"/>
              <w:right w:val="nil"/>
              <w:tl2br w:val="nil"/>
              <w:tr2bl w:val="nil"/>
            </w:tcBorders>
            <w:shd w:val="clear" w:color="auto" w:fill="auto"/>
            <w:vAlign w:val="top"/>
          </w:tcPr>
          <w:p>
            <w:pPr>
              <w:spacing w:beforeLines="0" w:afterLines="0"/>
              <w:jc w:val="left"/>
              <w:rPr>
                <w:rFonts w:hint="eastAsia" w:ascii="宋体" w:hAnsi="宋体"/>
                <w:color w:val="FF0000"/>
                <w:sz w:val="18"/>
              </w:rPr>
            </w:pPr>
          </w:p>
        </w:tc>
        <w:tc>
          <w:tcPr>
            <w:tcW w:w="885" w:type="dxa"/>
            <w:gridSpan w:val="2"/>
            <w:tcBorders>
              <w:top w:val="single" w:color="auto" w:sz="6" w:space="0"/>
              <w:left w:val="nil"/>
              <w:bottom w:val="nil"/>
              <w:right w:val="nil"/>
              <w:tl2br w:val="nil"/>
              <w:tr2bl w:val="nil"/>
            </w:tcBorders>
            <w:shd w:val="clear" w:color="auto" w:fill="auto"/>
            <w:vAlign w:val="top"/>
          </w:tcPr>
          <w:p>
            <w:pPr>
              <w:spacing w:beforeLines="0" w:afterLines="0"/>
              <w:jc w:val="right"/>
              <w:rPr>
                <w:rFonts w:hint="eastAsia" w:ascii="宋体" w:hAnsi="宋体"/>
                <w:color w:val="FF0000"/>
                <w:sz w:val="18"/>
              </w:rPr>
            </w:pPr>
          </w:p>
        </w:tc>
        <w:tc>
          <w:tcPr>
            <w:tcW w:w="1020" w:type="dxa"/>
            <w:tcBorders>
              <w:top w:val="single" w:color="auto" w:sz="6" w:space="0"/>
              <w:left w:val="nil"/>
              <w:bottom w:val="nil"/>
              <w:right w:val="nil"/>
              <w:tl2br w:val="nil"/>
              <w:tr2bl w:val="nil"/>
            </w:tcBorders>
            <w:shd w:val="clear" w:color="auto" w:fill="auto"/>
            <w:vAlign w:val="top"/>
          </w:tcPr>
          <w:p>
            <w:pPr>
              <w:spacing w:beforeLines="0" w:afterLines="0"/>
              <w:jc w:val="left"/>
              <w:rPr>
                <w:rFonts w:hint="eastAsia" w:ascii="宋体" w:hAnsi="宋体"/>
                <w:color w:val="FF0000"/>
                <w:sz w:val="18"/>
              </w:rPr>
            </w:pPr>
          </w:p>
        </w:tc>
        <w:tc>
          <w:tcPr>
            <w:tcW w:w="1230" w:type="dxa"/>
            <w:tcBorders>
              <w:top w:val="single" w:color="auto" w:sz="6" w:space="0"/>
              <w:left w:val="nil"/>
              <w:bottom w:val="nil"/>
              <w:right w:val="nil"/>
              <w:tl2br w:val="nil"/>
              <w:tr2bl w:val="nil"/>
            </w:tcBorders>
            <w:shd w:val="clear" w:color="auto" w:fill="auto"/>
            <w:vAlign w:val="top"/>
          </w:tcPr>
          <w:p>
            <w:pPr>
              <w:spacing w:beforeLines="0" w:afterLines="0"/>
              <w:jc w:val="right"/>
              <w:rPr>
                <w:rFonts w:hint="eastAsia" w:ascii="宋体" w:hAnsi="宋体"/>
                <w:color w:val="FF0000"/>
                <w:sz w:val="18"/>
              </w:rPr>
            </w:pPr>
          </w:p>
        </w:tc>
        <w:tc>
          <w:tcPr>
            <w:tcW w:w="1080" w:type="dxa"/>
            <w:tcBorders>
              <w:top w:val="nil"/>
              <w:left w:val="nil"/>
              <w:bottom w:val="nil"/>
              <w:right w:val="nil"/>
              <w:tl2br w:val="nil"/>
              <w:tr2bl w:val="nil"/>
            </w:tcBorders>
            <w:shd w:val="clear" w:color="auto" w:fill="auto"/>
            <w:vAlign w:val="top"/>
          </w:tcPr>
          <w:p>
            <w:pPr>
              <w:spacing w:beforeLines="0" w:afterLines="0"/>
              <w:jc w:val="right"/>
              <w:rPr>
                <w:rFonts w:hint="default" w:ascii="Arial" w:hAnsi="Arial"/>
                <w:color w:val="FF000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870" w:type="dxa"/>
            <w:gridSpan w:val="2"/>
            <w:tcBorders>
              <w:top w:val="nil"/>
              <w:left w:val="nil"/>
              <w:bottom w:val="nil"/>
              <w:right w:val="nil"/>
              <w:tl2br w:val="nil"/>
              <w:tr2bl w:val="nil"/>
            </w:tcBorders>
            <w:shd w:val="clear" w:color="auto" w:fill="auto"/>
            <w:vAlign w:val="top"/>
          </w:tcPr>
          <w:p>
            <w:pPr>
              <w:spacing w:beforeLines="0" w:afterLines="0"/>
              <w:jc w:val="left"/>
              <w:rPr>
                <w:rFonts w:hint="eastAsia" w:ascii="宋体" w:hAnsi="宋体"/>
                <w:color w:val="FF0000"/>
                <w:sz w:val="18"/>
              </w:rPr>
            </w:pPr>
          </w:p>
        </w:tc>
        <w:tc>
          <w:tcPr>
            <w:tcW w:w="1230" w:type="dxa"/>
            <w:tcBorders>
              <w:top w:val="nil"/>
              <w:left w:val="nil"/>
              <w:bottom w:val="nil"/>
              <w:right w:val="nil"/>
              <w:tl2br w:val="nil"/>
              <w:tr2bl w:val="nil"/>
            </w:tcBorders>
            <w:shd w:val="clear" w:color="auto" w:fill="auto"/>
            <w:vAlign w:val="top"/>
          </w:tcPr>
          <w:p>
            <w:pPr>
              <w:spacing w:beforeLines="0" w:afterLines="0"/>
              <w:jc w:val="left"/>
              <w:rPr>
                <w:rFonts w:hint="eastAsia" w:ascii="宋体" w:hAnsi="宋体"/>
                <w:color w:val="FF0000"/>
                <w:sz w:val="18"/>
              </w:rPr>
            </w:pPr>
          </w:p>
        </w:tc>
        <w:tc>
          <w:tcPr>
            <w:tcW w:w="1710" w:type="dxa"/>
            <w:tcBorders>
              <w:top w:val="nil"/>
              <w:left w:val="nil"/>
              <w:bottom w:val="nil"/>
              <w:right w:val="nil"/>
              <w:tl2br w:val="nil"/>
              <w:tr2bl w:val="nil"/>
            </w:tcBorders>
            <w:shd w:val="clear" w:color="auto" w:fill="auto"/>
            <w:vAlign w:val="top"/>
          </w:tcPr>
          <w:p>
            <w:pPr>
              <w:spacing w:beforeLines="0" w:afterLines="0"/>
              <w:jc w:val="right"/>
              <w:rPr>
                <w:rFonts w:hint="eastAsia" w:ascii="宋体" w:hAnsi="宋体"/>
                <w:color w:val="FF0000"/>
                <w:sz w:val="18"/>
              </w:rPr>
            </w:pPr>
          </w:p>
        </w:tc>
        <w:tc>
          <w:tcPr>
            <w:tcW w:w="705" w:type="dxa"/>
            <w:tcBorders>
              <w:top w:val="nil"/>
              <w:left w:val="nil"/>
              <w:bottom w:val="nil"/>
              <w:right w:val="nil"/>
              <w:tl2br w:val="nil"/>
              <w:tr2bl w:val="nil"/>
            </w:tcBorders>
            <w:shd w:val="clear" w:color="auto" w:fill="auto"/>
            <w:vAlign w:val="top"/>
          </w:tcPr>
          <w:p>
            <w:pPr>
              <w:spacing w:beforeLines="0" w:afterLines="0"/>
              <w:jc w:val="right"/>
              <w:rPr>
                <w:rFonts w:hint="eastAsia" w:ascii="宋体" w:hAnsi="宋体"/>
                <w:color w:val="FF0000"/>
                <w:sz w:val="18"/>
              </w:rPr>
            </w:pPr>
          </w:p>
        </w:tc>
        <w:tc>
          <w:tcPr>
            <w:tcW w:w="1935" w:type="dxa"/>
            <w:gridSpan w:val="2"/>
            <w:tcBorders>
              <w:top w:val="nil"/>
              <w:left w:val="nil"/>
              <w:bottom w:val="nil"/>
              <w:right w:val="nil"/>
              <w:tl2br w:val="nil"/>
              <w:tr2bl w:val="nil"/>
            </w:tcBorders>
            <w:shd w:val="clear" w:color="auto" w:fill="auto"/>
            <w:vAlign w:val="top"/>
          </w:tcPr>
          <w:p>
            <w:pPr>
              <w:spacing w:beforeLines="0" w:afterLines="0"/>
              <w:jc w:val="left"/>
              <w:rPr>
                <w:rFonts w:hint="eastAsia" w:ascii="宋体" w:hAnsi="宋体"/>
                <w:color w:val="FF0000"/>
                <w:sz w:val="18"/>
              </w:rPr>
            </w:pPr>
          </w:p>
        </w:tc>
        <w:tc>
          <w:tcPr>
            <w:tcW w:w="885" w:type="dxa"/>
            <w:gridSpan w:val="2"/>
            <w:tcBorders>
              <w:top w:val="nil"/>
              <w:left w:val="nil"/>
              <w:bottom w:val="nil"/>
              <w:right w:val="nil"/>
              <w:tl2br w:val="nil"/>
              <w:tr2bl w:val="nil"/>
            </w:tcBorders>
            <w:shd w:val="clear" w:color="auto" w:fill="auto"/>
            <w:vAlign w:val="top"/>
          </w:tcPr>
          <w:p>
            <w:pPr>
              <w:spacing w:beforeLines="0" w:afterLines="0"/>
              <w:jc w:val="right"/>
              <w:rPr>
                <w:rFonts w:hint="eastAsia" w:ascii="宋体" w:hAnsi="宋体"/>
                <w:color w:val="FF0000"/>
                <w:sz w:val="18"/>
              </w:rPr>
            </w:pPr>
          </w:p>
        </w:tc>
        <w:tc>
          <w:tcPr>
            <w:tcW w:w="1020" w:type="dxa"/>
            <w:tcBorders>
              <w:top w:val="nil"/>
              <w:left w:val="nil"/>
              <w:bottom w:val="nil"/>
              <w:right w:val="nil"/>
              <w:tl2br w:val="nil"/>
              <w:tr2bl w:val="nil"/>
            </w:tcBorders>
            <w:shd w:val="clear" w:color="auto" w:fill="auto"/>
            <w:vAlign w:val="top"/>
          </w:tcPr>
          <w:p>
            <w:pPr>
              <w:spacing w:beforeLines="0" w:afterLines="0"/>
              <w:jc w:val="center"/>
              <w:rPr>
                <w:rFonts w:hint="eastAsia" w:ascii="宋体" w:hAnsi="宋体"/>
                <w:color w:val="FF0000"/>
                <w:sz w:val="18"/>
              </w:rPr>
            </w:pPr>
          </w:p>
        </w:tc>
        <w:tc>
          <w:tcPr>
            <w:tcW w:w="1230" w:type="dxa"/>
            <w:tcBorders>
              <w:top w:val="nil"/>
              <w:left w:val="nil"/>
              <w:bottom w:val="nil"/>
              <w:right w:val="nil"/>
              <w:tl2br w:val="nil"/>
              <w:tr2bl w:val="nil"/>
            </w:tcBorders>
            <w:shd w:val="clear" w:color="auto" w:fill="auto"/>
            <w:vAlign w:val="top"/>
          </w:tcPr>
          <w:p>
            <w:pPr>
              <w:spacing w:beforeLines="0" w:afterLines="0"/>
              <w:jc w:val="center"/>
              <w:rPr>
                <w:rFonts w:hint="eastAsia" w:ascii="宋体" w:hAnsi="宋体"/>
                <w:color w:val="FF0000"/>
                <w:sz w:val="18"/>
              </w:rPr>
            </w:pPr>
          </w:p>
        </w:tc>
        <w:tc>
          <w:tcPr>
            <w:tcW w:w="1080" w:type="dxa"/>
            <w:tcBorders>
              <w:top w:val="nil"/>
              <w:left w:val="nil"/>
              <w:bottom w:val="nil"/>
              <w:right w:val="nil"/>
              <w:tl2br w:val="nil"/>
              <w:tr2bl w:val="nil"/>
            </w:tcBorders>
            <w:shd w:val="clear" w:color="auto" w:fill="auto"/>
            <w:vAlign w:val="top"/>
          </w:tcPr>
          <w:p>
            <w:pPr>
              <w:spacing w:beforeLines="0" w:afterLines="0"/>
              <w:jc w:val="right"/>
              <w:rPr>
                <w:rFonts w:hint="default" w:ascii="Arial" w:hAnsi="Arial"/>
                <w:color w:val="FF0000"/>
                <w:sz w:val="20"/>
              </w:rPr>
            </w:pPr>
          </w:p>
        </w:tc>
      </w:tr>
    </w:tbl>
    <w:p>
      <w:pPr>
        <w:spacing w:line="360" w:lineRule="auto"/>
        <w:ind w:firstLine="482" w:firstLineChars="200"/>
        <w:outlineLvl w:val="0"/>
        <w:rPr>
          <w:rFonts w:ascii="宋体" w:hAnsi="宋体" w:cs="宋体"/>
          <w:kern w:val="0"/>
          <w:sz w:val="28"/>
          <w:szCs w:val="28"/>
          <w:lang w:val="zh-CN"/>
        </w:rPr>
      </w:pPr>
      <w:r>
        <w:rPr>
          <w:rFonts w:hint="eastAsia" w:ascii="宋体" w:hAnsi="宋体" w:cs="宋体"/>
          <w:b/>
          <w:kern w:val="0"/>
          <w:sz w:val="24"/>
          <w:szCs w:val="24"/>
        </w:rPr>
        <w:t>二</w:t>
      </w:r>
      <w:r>
        <w:rPr>
          <w:rFonts w:hint="eastAsia" w:ascii="宋体" w:hAnsi="宋体" w:cs="宋体"/>
          <w:b/>
          <w:kern w:val="0"/>
          <w:sz w:val="24"/>
          <w:szCs w:val="24"/>
          <w:lang w:val="zh-CN"/>
        </w:rPr>
        <w:t>、采购标的执行标准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（需执行的国家相关标准、行业标准、地方标准或其他标准、规范）符合国家及相关行业规定达到合格标准。</w:t>
      </w:r>
    </w:p>
    <w:p>
      <w:pPr>
        <w:spacing w:line="360" w:lineRule="auto"/>
        <w:ind w:firstLine="482" w:firstLineChars="200"/>
        <w:outlineLvl w:val="0"/>
        <w:rPr>
          <w:rFonts w:hint="eastAsia" w:ascii="宋体" w:hAnsi="宋体" w:eastAsia="宋体" w:cs="宋体"/>
          <w:b/>
          <w:kern w:val="0"/>
          <w:sz w:val="24"/>
          <w:szCs w:val="24"/>
          <w:lang w:val="zh-CN" w:eastAsia="zh-CN"/>
        </w:rPr>
      </w:pPr>
      <w:r>
        <w:rPr>
          <w:rFonts w:hint="eastAsia" w:ascii="宋体" w:hAnsi="宋体" w:cs="宋体"/>
          <w:b/>
          <w:kern w:val="0"/>
          <w:sz w:val="24"/>
          <w:szCs w:val="24"/>
        </w:rPr>
        <w:t>三</w:t>
      </w:r>
      <w:r>
        <w:rPr>
          <w:rFonts w:hint="eastAsia" w:ascii="宋体" w:hAnsi="宋体" w:cs="宋体"/>
          <w:b/>
          <w:kern w:val="0"/>
          <w:sz w:val="24"/>
          <w:szCs w:val="24"/>
          <w:lang w:val="zh-CN"/>
        </w:rPr>
        <w:t>、投标报价依据说明</w:t>
      </w:r>
      <w:r>
        <w:rPr>
          <w:rFonts w:hint="eastAsia" w:ascii="宋体" w:hAnsi="宋体" w:cs="宋体"/>
          <w:b/>
          <w:kern w:val="0"/>
          <w:sz w:val="24"/>
          <w:szCs w:val="24"/>
          <w:lang w:val="en-US" w:eastAsia="zh-CN"/>
        </w:rPr>
        <w:t xml:space="preserve"> </w:t>
      </w:r>
    </w:p>
    <w:p>
      <w:pPr>
        <w:spacing w:line="360" w:lineRule="auto"/>
        <w:ind w:firstLine="480" w:firstLineChars="200"/>
        <w:rPr>
          <w:rFonts w:ascii="宋体" w:hAnsi="宋体"/>
          <w:kern w:val="0"/>
          <w:sz w:val="24"/>
          <w:szCs w:val="24"/>
        </w:rPr>
      </w:pPr>
      <w:r>
        <w:rPr>
          <w:rFonts w:hint="eastAsia" w:ascii="宋体" w:hAnsi="宋体"/>
          <w:kern w:val="0"/>
          <w:sz w:val="24"/>
          <w:szCs w:val="24"/>
        </w:rPr>
        <w:t>1、依据建设单位提供的施工图纸；</w:t>
      </w:r>
    </w:p>
    <w:p>
      <w:pPr>
        <w:spacing w:line="360" w:lineRule="auto"/>
        <w:ind w:firstLine="480" w:firstLineChars="200"/>
        <w:rPr>
          <w:rFonts w:ascii="宋体" w:hAnsi="宋体"/>
          <w:kern w:val="0"/>
          <w:sz w:val="24"/>
          <w:szCs w:val="24"/>
        </w:rPr>
      </w:pPr>
      <w:r>
        <w:rPr>
          <w:rFonts w:hint="eastAsia" w:ascii="宋体" w:hAnsi="宋体"/>
          <w:kern w:val="0"/>
          <w:sz w:val="24"/>
          <w:szCs w:val="24"/>
        </w:rPr>
        <w:t>2、清单依据《建设工程工程量清单计价规范》（2013）；</w:t>
      </w:r>
    </w:p>
    <w:p>
      <w:pPr>
        <w:spacing w:line="360" w:lineRule="auto"/>
        <w:ind w:firstLine="480" w:firstLineChars="200"/>
        <w:rPr>
          <w:rFonts w:ascii="宋体" w:hAnsi="宋体"/>
          <w:kern w:val="0"/>
          <w:sz w:val="24"/>
          <w:szCs w:val="24"/>
        </w:rPr>
      </w:pPr>
      <w:r>
        <w:rPr>
          <w:rFonts w:hint="eastAsia" w:ascii="宋体" w:hAnsi="宋体"/>
          <w:kern w:val="0"/>
          <w:sz w:val="24"/>
          <w:szCs w:val="24"/>
        </w:rPr>
        <w:t>3、定额依据《河南省</w:t>
      </w:r>
      <w:r>
        <w:rPr>
          <w:rFonts w:hint="eastAsia" w:ascii="宋体" w:hAnsi="宋体"/>
          <w:color w:val="FF0000"/>
          <w:kern w:val="0"/>
          <w:sz w:val="24"/>
          <w:szCs w:val="24"/>
          <w:lang w:eastAsia="zh-CN"/>
        </w:rPr>
        <w:t>水利水电</w:t>
      </w:r>
      <w:r>
        <w:rPr>
          <w:rFonts w:hint="eastAsia" w:ascii="宋体" w:hAnsi="宋体"/>
          <w:kern w:val="0"/>
          <w:sz w:val="24"/>
          <w:szCs w:val="24"/>
        </w:rPr>
        <w:t>工程预算定额》（HA A1-31-2016）；</w:t>
      </w:r>
    </w:p>
    <w:p>
      <w:pPr>
        <w:spacing w:line="360" w:lineRule="auto"/>
        <w:ind w:firstLine="480" w:firstLineChars="200"/>
        <w:rPr>
          <w:rFonts w:ascii="宋体" w:hAnsi="宋体"/>
          <w:kern w:val="0"/>
          <w:sz w:val="24"/>
          <w:szCs w:val="24"/>
        </w:rPr>
      </w:pPr>
      <w:r>
        <w:rPr>
          <w:rFonts w:hint="eastAsia" w:ascii="宋体" w:hAnsi="宋体"/>
          <w:kern w:val="0"/>
          <w:sz w:val="24"/>
          <w:szCs w:val="24"/>
        </w:rPr>
        <w:t>4、材料价格按2019年第3期《许昌工程造价信息》，未包含的材料价格参考市场价；</w:t>
      </w:r>
    </w:p>
    <w:p>
      <w:pPr>
        <w:spacing w:line="360" w:lineRule="auto"/>
        <w:ind w:firstLine="480" w:firstLineChars="200"/>
        <w:rPr>
          <w:rFonts w:ascii="宋体" w:hAnsi="宋体"/>
          <w:kern w:val="0"/>
          <w:sz w:val="24"/>
          <w:szCs w:val="24"/>
        </w:rPr>
      </w:pPr>
      <w:r>
        <w:rPr>
          <w:rFonts w:hint="eastAsia" w:ascii="宋体" w:hAnsi="宋体"/>
          <w:kern w:val="0"/>
          <w:sz w:val="24"/>
          <w:szCs w:val="24"/>
        </w:rPr>
        <w:t>5、税金调整依据建办标函【2019】193号文，按9%计入；</w:t>
      </w:r>
    </w:p>
    <w:p>
      <w:pPr>
        <w:spacing w:line="360" w:lineRule="auto"/>
        <w:ind w:firstLine="480" w:firstLineChars="200"/>
        <w:outlineLvl w:val="0"/>
        <w:rPr>
          <w:rFonts w:ascii="宋体" w:hAnsi="宋体"/>
          <w:kern w:val="0"/>
          <w:sz w:val="24"/>
          <w:szCs w:val="24"/>
        </w:rPr>
      </w:pPr>
      <w:r>
        <w:rPr>
          <w:rFonts w:hint="eastAsia" w:ascii="宋体" w:hAnsi="宋体"/>
          <w:kern w:val="0"/>
          <w:sz w:val="24"/>
          <w:szCs w:val="24"/>
        </w:rPr>
        <w:t>6、人工费依据按豫</w:t>
      </w:r>
      <w:r>
        <w:rPr>
          <w:rFonts w:hint="eastAsia" w:ascii="宋体" w:hAnsi="宋体"/>
          <w:kern w:val="0"/>
          <w:sz w:val="24"/>
          <w:szCs w:val="24"/>
          <w:lang w:eastAsia="zh-CN"/>
        </w:rPr>
        <w:t>水</w:t>
      </w:r>
      <w:r>
        <w:rPr>
          <w:rFonts w:hint="eastAsia" w:ascii="宋体" w:hAnsi="宋体"/>
          <w:kern w:val="0"/>
          <w:sz w:val="24"/>
          <w:szCs w:val="24"/>
        </w:rPr>
        <w:t>建标定【201</w:t>
      </w:r>
      <w:r>
        <w:rPr>
          <w:rFonts w:hint="eastAsia" w:ascii="宋体" w:hAnsi="宋体"/>
          <w:kern w:val="0"/>
          <w:sz w:val="24"/>
          <w:szCs w:val="24"/>
          <w:lang w:val="en-US" w:eastAsia="zh-CN"/>
        </w:rPr>
        <w:t>7</w:t>
      </w:r>
      <w:r>
        <w:rPr>
          <w:rFonts w:hint="eastAsia" w:ascii="宋体" w:hAnsi="宋体"/>
          <w:kern w:val="0"/>
          <w:sz w:val="24"/>
          <w:szCs w:val="24"/>
        </w:rPr>
        <w:t>】</w:t>
      </w:r>
      <w:r>
        <w:rPr>
          <w:rFonts w:hint="eastAsia" w:ascii="宋体" w:hAnsi="宋体"/>
          <w:kern w:val="0"/>
          <w:sz w:val="24"/>
          <w:szCs w:val="24"/>
          <w:lang w:val="en-US" w:eastAsia="zh-CN"/>
        </w:rPr>
        <w:t>1</w:t>
      </w:r>
      <w:r>
        <w:rPr>
          <w:rFonts w:hint="eastAsia" w:ascii="宋体" w:hAnsi="宋体"/>
          <w:kern w:val="0"/>
          <w:sz w:val="24"/>
          <w:szCs w:val="24"/>
        </w:rPr>
        <w:t>号文发布的人工费指数进行调整。</w:t>
      </w:r>
    </w:p>
    <w:p>
      <w:pPr>
        <w:spacing w:line="360" w:lineRule="auto"/>
        <w:ind w:firstLine="482" w:firstLineChars="200"/>
        <w:outlineLvl w:val="0"/>
        <w:rPr>
          <w:rFonts w:ascii="宋体" w:hAnsi="宋体" w:cs="宋体"/>
          <w:b/>
          <w:sz w:val="24"/>
          <w:szCs w:val="24"/>
          <w:lang w:val="zh-CN"/>
        </w:rPr>
      </w:pPr>
      <w:r>
        <w:rPr>
          <w:rFonts w:hint="eastAsia" w:ascii="宋体" w:hAnsi="宋体" w:cs="宋体"/>
          <w:b/>
          <w:sz w:val="24"/>
          <w:szCs w:val="24"/>
        </w:rPr>
        <w:t>四</w:t>
      </w:r>
      <w:r>
        <w:rPr>
          <w:rFonts w:hint="eastAsia" w:ascii="宋体" w:hAnsi="宋体" w:cs="宋体"/>
          <w:b/>
          <w:sz w:val="24"/>
          <w:szCs w:val="24"/>
          <w:lang w:val="zh-CN"/>
        </w:rPr>
        <w:t>、验收标准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32"/>
        <w:ind w:left="360" w:leftChars="0" w:firstLine="0" w:firstLineChars="0"/>
        <w:rPr>
          <w:rFonts w:hAnsi="宋体" w:cs="宋体"/>
          <w:szCs w:val="24"/>
        </w:rPr>
      </w:pPr>
      <w:r>
        <w:rPr>
          <w:rFonts w:hint="eastAsia" w:hAnsi="宋体" w:cs="宋体"/>
          <w:szCs w:val="24"/>
        </w:rPr>
        <w:t>1、按照国家相关标准、行业标准、地方标准或其他标准、规范验收。</w:t>
      </w:r>
    </w:p>
    <w:p>
      <w:pPr>
        <w:pStyle w:val="32"/>
        <w:ind w:left="360" w:leftChars="0" w:firstLine="0" w:firstLineChars="0"/>
        <w:rPr>
          <w:rFonts w:hAnsi="宋体" w:cs="宋体"/>
          <w:szCs w:val="24"/>
        </w:rPr>
      </w:pPr>
      <w:r>
        <w:rPr>
          <w:rFonts w:hint="eastAsia" w:hAnsi="宋体" w:cs="宋体"/>
          <w:szCs w:val="24"/>
        </w:rPr>
        <w:t>2、按照招标文件要求、投标文件响应和承诺验收。</w:t>
      </w:r>
    </w:p>
    <w:p>
      <w:pPr>
        <w:spacing w:line="360" w:lineRule="auto"/>
        <w:ind w:firstLine="482" w:firstLineChars="200"/>
        <w:outlineLvl w:val="0"/>
        <w:rPr>
          <w:rFonts w:ascii="宋体" w:hAnsi="宋体" w:cs="宋体"/>
          <w:b/>
          <w:sz w:val="24"/>
          <w:szCs w:val="24"/>
        </w:rPr>
      </w:pPr>
      <w:r>
        <w:rPr>
          <w:rFonts w:hint="eastAsia" w:ascii="宋体" w:hAnsi="宋体" w:cs="宋体"/>
          <w:b/>
          <w:sz w:val="24"/>
          <w:szCs w:val="24"/>
        </w:rPr>
        <w:t>五、其他要求</w:t>
      </w:r>
    </w:p>
    <w:p>
      <w:pPr>
        <w:pStyle w:val="32"/>
        <w:ind w:left="0" w:leftChars="0" w:firstLine="480"/>
      </w:pPr>
      <w:r>
        <w:rPr>
          <w:rFonts w:hint="eastAsia"/>
        </w:rPr>
        <w:t>1、供方在合同规定的工期内不能完工，应向需方支付全部合同金额5%的违约金，需方有权终止合同。</w:t>
      </w:r>
    </w:p>
    <w:p>
      <w:pPr>
        <w:pStyle w:val="32"/>
        <w:ind w:left="0" w:leftChars="0" w:firstLine="480"/>
      </w:pPr>
      <w:r>
        <w:rPr>
          <w:rFonts w:hint="eastAsia"/>
        </w:rPr>
        <w:t>2、因供方原因造成逾期付款，需方不承担责任。</w:t>
      </w:r>
    </w:p>
    <w:p>
      <w:pPr>
        <w:spacing w:line="430" w:lineRule="exact"/>
        <w:jc w:val="center"/>
        <w:rPr>
          <w:rFonts w:ascii="宋体" w:hAnsi="宋体"/>
          <w:b/>
          <w:kern w:val="0"/>
          <w:sz w:val="24"/>
          <w:szCs w:val="24"/>
        </w:rPr>
      </w:pPr>
      <w:r>
        <w:rPr>
          <w:rFonts w:hint="eastAsia" w:asciiTheme="majorEastAsia" w:hAnsiTheme="majorEastAsia" w:eastAsiaTheme="majorEastAsia"/>
          <w:b/>
          <w:sz w:val="32"/>
          <w:szCs w:val="32"/>
        </w:rPr>
        <w:t>第五章  评审方法及成交原则</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一、评审方法</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谈判小组应当从质量和服务均能满足采购文件实质性响应要求的供应商中，按照最后报价由低到高的顺序提出</w:t>
      </w:r>
      <w:r>
        <w:rPr>
          <w:rFonts w:ascii="宋体" w:hAnsi="宋体"/>
          <w:color w:val="000000"/>
          <w:kern w:val="0"/>
          <w:sz w:val="24"/>
          <w:szCs w:val="24"/>
        </w:rPr>
        <w:t>3</w:t>
      </w:r>
      <w:r>
        <w:rPr>
          <w:rFonts w:hint="eastAsia" w:ascii="宋体" w:hAnsi="宋体"/>
          <w:color w:val="000000"/>
          <w:kern w:val="0"/>
          <w:sz w:val="24"/>
          <w:szCs w:val="24"/>
        </w:rPr>
        <w:t>名以上成交候选人</w:t>
      </w:r>
      <w:r>
        <w:rPr>
          <w:rFonts w:ascii="宋体"/>
          <w:color w:val="000000"/>
          <w:kern w:val="0"/>
          <w:sz w:val="24"/>
          <w:szCs w:val="24"/>
        </w:rPr>
        <w:t>,</w:t>
      </w:r>
      <w:r>
        <w:rPr>
          <w:rFonts w:hint="eastAsia" w:ascii="宋体" w:hAnsi="宋体"/>
          <w:color w:val="000000"/>
          <w:kern w:val="0"/>
          <w:sz w:val="24"/>
          <w:szCs w:val="24"/>
        </w:rPr>
        <w:t>并编写评审报告。</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二、确定成交供应商的原则</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谈判结束后，谈判小组应当要求所有参加谈判的供应商在规定时间内进行最后报价，采购人从谈判小组提出的成交候选人中根据符合采购需求、质量和服务相等且报价最低的原则确定成交供应商。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．采购长葛市公共资源交易中心应当在评审结束后</w:t>
      </w:r>
      <w:r>
        <w:rPr>
          <w:color w:val="000000"/>
          <w:sz w:val="24"/>
          <w:szCs w:val="24"/>
        </w:rPr>
        <w:t>2</w:t>
      </w:r>
      <w:r>
        <w:rPr>
          <w:rFonts w:hint="eastAsia"/>
          <w:color w:val="000000"/>
          <w:sz w:val="24"/>
          <w:szCs w:val="24"/>
        </w:rPr>
        <w:t>个工作日内将评审报告送采购人确认。采购人应当在收到评审报告后</w:t>
      </w:r>
      <w:r>
        <w:rPr>
          <w:color w:val="000000"/>
          <w:sz w:val="24"/>
          <w:szCs w:val="24"/>
        </w:rPr>
        <w:t>5</w:t>
      </w:r>
      <w:r>
        <w:rPr>
          <w:rFonts w:hint="eastAsia"/>
          <w:color w:val="000000"/>
          <w:sz w:val="24"/>
          <w:szCs w:val="24"/>
        </w:rPr>
        <w:t>个工作日内，从评审报告提出的成交候选人中，根据质量和服务均能满足采购文件实质性响应要求且报价最低的原则确定成交供应商。采购人逾期未确定成交供应商的且不提出异议的视为确定评审报告</w:t>
      </w:r>
      <w:r>
        <w:rPr>
          <w:rFonts w:hint="eastAsia"/>
          <w:sz w:val="24"/>
          <w:szCs w:val="24"/>
        </w:rPr>
        <w:t>提出</w:t>
      </w:r>
      <w:r>
        <w:rPr>
          <w:rFonts w:hint="eastAsia"/>
          <w:color w:val="000000"/>
          <w:sz w:val="24"/>
          <w:szCs w:val="24"/>
        </w:rPr>
        <w:t>的最后报价最低的供应商为成交供应商。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．如果有</w:t>
      </w:r>
      <w:r>
        <w:rPr>
          <w:color w:val="000000"/>
          <w:sz w:val="24"/>
          <w:szCs w:val="24"/>
        </w:rPr>
        <w:t>2</w:t>
      </w:r>
      <w:r>
        <w:rPr>
          <w:rFonts w:hint="eastAsia"/>
          <w:color w:val="000000"/>
          <w:sz w:val="24"/>
          <w:szCs w:val="24"/>
        </w:rPr>
        <w:t>个或</w:t>
      </w:r>
      <w:r>
        <w:rPr>
          <w:color w:val="000000"/>
          <w:sz w:val="24"/>
          <w:szCs w:val="24"/>
        </w:rPr>
        <w:t>2</w:t>
      </w:r>
      <w:r>
        <w:rPr>
          <w:rFonts w:hint="eastAsia"/>
          <w:color w:val="000000"/>
          <w:sz w:val="24"/>
          <w:szCs w:val="24"/>
        </w:rPr>
        <w:t>个以上的供应商的最后报价相同，则以质量和服务优劣确定成交候选供应商排序；若质量和服务相同的，由谈判小组投票确定</w:t>
      </w:r>
      <w:r>
        <w:rPr>
          <w:rFonts w:hint="eastAsia"/>
          <w:sz w:val="24"/>
          <w:szCs w:val="24"/>
        </w:rPr>
        <w:t>成交候选</w:t>
      </w:r>
      <w:r>
        <w:rPr>
          <w:rFonts w:hint="eastAsia"/>
          <w:color w:val="000000"/>
          <w:sz w:val="24"/>
          <w:szCs w:val="24"/>
        </w:rPr>
        <w:t>供应商的排序。</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．评审中遇到的其他问题，由评审小组依法集体研究决定。</w:t>
      </w:r>
    </w:p>
    <w:p>
      <w:pPr>
        <w:spacing w:line="400" w:lineRule="exact"/>
        <w:ind w:firstLine="482" w:firstLineChars="200"/>
        <w:rPr>
          <w:b/>
          <w:color w:val="000000"/>
          <w:sz w:val="24"/>
          <w:szCs w:val="24"/>
        </w:rPr>
      </w:pPr>
      <w:r>
        <w:rPr>
          <w:rFonts w:hint="eastAsia"/>
          <w:b/>
          <w:color w:val="000000"/>
          <w:sz w:val="24"/>
          <w:szCs w:val="24"/>
        </w:rPr>
        <w:t>三、谈判程序</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．谈判小组对响应供应商进行资格性审查。依据法律法规和</w:t>
      </w:r>
      <w:r>
        <w:rPr>
          <w:rFonts w:hint="eastAsia"/>
          <w:sz w:val="24"/>
          <w:szCs w:val="24"/>
        </w:rPr>
        <w:t>谈判</w:t>
      </w:r>
      <w:r>
        <w:rPr>
          <w:rFonts w:hint="eastAsia"/>
          <w:color w:val="000000"/>
          <w:sz w:val="24"/>
          <w:szCs w:val="24"/>
        </w:rPr>
        <w:t>文件的规定，对响应文件中的资格证明进行审查，以确定谈判响应供应商是否具备谈判资格。资格审查不符合资格要求的供应商的响应文件按无效处理。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符合性审查，依据谈判文件的规定，从响应文件的有效性、完整性和对谈判采购文件的响应程度进行审查，以确定是否对谈判采购文件的实质性要求作出响应。未实质性响应谈判文件要求的响应文件按无效处理。</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．谈判小组应当对响应文件进行评审，并根据谈判文件规定程序，评定成交的标准等事项与实质性响应谈判文件要求的供应商进行谈判。</w:t>
      </w:r>
    </w:p>
    <w:p>
      <w:pPr>
        <w:spacing w:line="400" w:lineRule="exact"/>
        <w:ind w:firstLine="480" w:firstLineChars="200"/>
        <w:rPr>
          <w:color w:val="000000"/>
          <w:sz w:val="24"/>
          <w:szCs w:val="24"/>
        </w:rPr>
      </w:pPr>
      <w:r>
        <w:rPr>
          <w:color w:val="000000"/>
          <w:sz w:val="24"/>
          <w:szCs w:val="24"/>
        </w:rPr>
        <w:t>4</w:t>
      </w:r>
      <w:r>
        <w:rPr>
          <w:rFonts w:hint="eastAsia"/>
          <w:color w:val="000000"/>
          <w:sz w:val="24"/>
          <w:szCs w:val="24"/>
        </w:rPr>
        <w:t>．谈判小组所有成员应当集中与单一供应商分别进行谈判，并给予所有参加谈判的供应商平等的谈判机会。</w:t>
      </w:r>
    </w:p>
    <w:p>
      <w:pPr>
        <w:spacing w:line="400" w:lineRule="exact"/>
        <w:ind w:firstLine="480" w:firstLineChars="200"/>
        <w:rPr>
          <w:color w:val="000000"/>
          <w:sz w:val="24"/>
          <w:szCs w:val="24"/>
        </w:rPr>
      </w:pPr>
      <w:r>
        <w:rPr>
          <w:color w:val="000000"/>
          <w:sz w:val="24"/>
          <w:szCs w:val="24"/>
        </w:rPr>
        <w:t>5</w:t>
      </w:r>
      <w:r>
        <w:rPr>
          <w:rFonts w:hint="eastAsia"/>
          <w:color w:val="000000"/>
          <w:sz w:val="24"/>
          <w:szCs w:val="24"/>
        </w:rPr>
        <w:t>．谈判供应商应当按照谈判文件的变动情况和谈判小组的要求重新提交响应文件，并由其法定代表人或授权代表签字或者加盖公章。</w:t>
      </w:r>
    </w:p>
    <w:p>
      <w:pPr>
        <w:spacing w:line="400" w:lineRule="exact"/>
        <w:ind w:firstLine="480" w:firstLineChars="200"/>
        <w:rPr>
          <w:color w:val="000000"/>
          <w:sz w:val="24"/>
          <w:szCs w:val="24"/>
        </w:rPr>
      </w:pPr>
      <w:r>
        <w:rPr>
          <w:color w:val="000000"/>
          <w:sz w:val="24"/>
          <w:szCs w:val="24"/>
        </w:rPr>
        <w:t>6</w:t>
      </w:r>
      <w:r>
        <w:rPr>
          <w:rFonts w:hint="eastAsia"/>
          <w:color w:val="000000"/>
          <w:sz w:val="24"/>
          <w:szCs w:val="24"/>
        </w:rPr>
        <w:t>．谈判结束后，谈判小组应当要求所有继续参加谈判的供应商在规定时间内提交最后报价。最后报价是供应商响应文件的有效组成部分。</w:t>
      </w:r>
    </w:p>
    <w:p>
      <w:pPr>
        <w:spacing w:line="400" w:lineRule="exact"/>
        <w:ind w:firstLine="482" w:firstLineChars="200"/>
        <w:rPr>
          <w:rFonts w:ascii="宋体"/>
          <w:b/>
          <w:sz w:val="24"/>
          <w:szCs w:val="24"/>
        </w:rPr>
      </w:pPr>
      <w:r>
        <w:rPr>
          <w:rFonts w:hint="eastAsia" w:ascii="宋体" w:hAnsi="宋体" w:cs="Arial"/>
          <w:b/>
          <w:color w:val="000000"/>
          <w:sz w:val="24"/>
          <w:szCs w:val="20"/>
        </w:rPr>
        <w:t>四、</w:t>
      </w:r>
      <w:r>
        <w:rPr>
          <w:rFonts w:hint="eastAsia" w:ascii="宋体" w:hAnsi="宋体"/>
          <w:b/>
          <w:sz w:val="24"/>
          <w:szCs w:val="24"/>
        </w:rPr>
        <w:t>政府采购政策功能要求</w:t>
      </w:r>
    </w:p>
    <w:p>
      <w:pPr>
        <w:spacing w:line="40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根据《政府采购促进中小企业发展暂行办法》</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[2011]181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的规定，对于非专门面向中小企业的项目，对小型和微型企业产品的价格给予</w:t>
      </w:r>
      <w:r>
        <w:rPr>
          <w:rFonts w:ascii="宋体" w:hAnsi="宋体" w:cs="宋体"/>
          <w:color w:val="000000"/>
          <w:sz w:val="24"/>
          <w:szCs w:val="24"/>
        </w:rPr>
        <w:t>6%</w:t>
      </w:r>
      <w:r>
        <w:rPr>
          <w:rFonts w:hint="eastAsia" w:ascii="宋体" w:hAnsi="宋体" w:cs="宋体"/>
          <w:color w:val="000000"/>
          <w:sz w:val="24"/>
          <w:szCs w:val="24"/>
        </w:rPr>
        <w:t>的扣除，用扣除后的报价参与评审。对于中型企业产品的价格不予扣除。</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监狱企业（提供监狱企业证明文件复印件）、残疾人福利性单位视同小型、微型企业，所生产的产品参加投标比照上款执行。</w:t>
      </w:r>
    </w:p>
    <w:p>
      <w:pPr>
        <w:spacing w:line="400" w:lineRule="exact"/>
        <w:ind w:firstLine="480" w:firstLineChars="200"/>
        <w:rPr>
          <w:rFonts w:ascii="宋体" w:hAnsi="宋体" w:cs="宋体"/>
          <w:sz w:val="24"/>
          <w:szCs w:val="24"/>
        </w:rPr>
      </w:pPr>
      <w:r>
        <w:rPr>
          <w:rFonts w:hint="eastAsia" w:ascii="宋体" w:hAnsi="宋体" w:cs="宋体"/>
          <w:sz w:val="24"/>
          <w:szCs w:val="24"/>
        </w:rPr>
        <w:t>2.根据《财政部 发展改革委 生态环境部 市场监管总局关于调整优化节能产品 环境标志产品政府采购执行机制的通知》（财库〔2019〕9号）的规定，采购人拟采购的产品属于节能产品政府采购品目清单（财库〔2019〕19号）范围的，采购人及其委托的采购长葛市公共资源交易中心应当依据国家确定的认证机构出具的、处于有效期之内的节能产品认证证书，对获得证书的产品实施政府强制采购，投标文件中须提供有效的证明材料且加盖投标人公章，否则</w:t>
      </w:r>
      <w:r>
        <w:rPr>
          <w:rFonts w:hint="eastAsia" w:ascii="宋体" w:hAnsi="宋体" w:cs="宋体"/>
          <w:sz w:val="24"/>
          <w:szCs w:val="24"/>
          <w:lang w:val="zh-CN"/>
        </w:rPr>
        <w:t>为无效投标</w:t>
      </w:r>
      <w:r>
        <w:rPr>
          <w:rFonts w:hint="eastAsia" w:ascii="宋体" w:hAnsi="宋体" w:cs="宋体"/>
          <w:sz w:val="24"/>
          <w:szCs w:val="24"/>
        </w:rPr>
        <w:t>。</w:t>
      </w:r>
    </w:p>
    <w:p>
      <w:pPr>
        <w:spacing w:line="40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．根据《财政部 发展改革委 生态环境部 市场监管总局关于调整优化节能产品 环境标志产品政府采购执行机制的通知》（财库〔2019〕9号）的规定，采购人拟采购的产品属于环境标志产品、节能产品政府采购品目清单（财库〔2019〕18号、财库〔2019〕19号）范围的，采购人及其委托的采购长葛市公共资源交易中心应当依据国家确定的认证机构出具的、处于有效期之内的节能产品认证证书，对获得证书的产品实施政府优先采购，投标文件中须提供有效的证明材料且加盖投标人公章，否则</w:t>
      </w:r>
      <w:r>
        <w:rPr>
          <w:rFonts w:hint="eastAsia" w:ascii="宋体" w:hAnsi="宋体" w:cs="宋体"/>
          <w:sz w:val="24"/>
          <w:szCs w:val="24"/>
          <w:lang w:val="zh-CN"/>
        </w:rPr>
        <w:t>无法享受政策优惠待遇</w:t>
      </w:r>
      <w:r>
        <w:rPr>
          <w:rFonts w:hint="eastAsia" w:ascii="宋体" w:hAnsi="宋体" w:cs="宋体"/>
          <w:sz w:val="24"/>
          <w:szCs w:val="24"/>
        </w:rPr>
        <w:t>。</w:t>
      </w:r>
    </w:p>
    <w:p>
      <w:pPr>
        <w:spacing w:line="400" w:lineRule="exact"/>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．所投产品已列入国家强制性产品认证的产品，必须提供通过国家</w:t>
      </w:r>
      <w:r>
        <w:rPr>
          <w:rFonts w:ascii="宋体" w:hAnsi="宋体" w:cs="宋体"/>
          <w:color w:val="000000"/>
          <w:sz w:val="24"/>
          <w:szCs w:val="24"/>
        </w:rPr>
        <w:t>3C</w:t>
      </w:r>
      <w:r>
        <w:rPr>
          <w:rFonts w:hint="eastAsia" w:ascii="宋体" w:hAnsi="宋体" w:cs="宋体"/>
          <w:color w:val="000000"/>
          <w:sz w:val="24"/>
          <w:szCs w:val="24"/>
        </w:rPr>
        <w:t>认证的有关证明材料或承诺。（响应文件没有要求提供的产品，评审时不作强制审查）</w:t>
      </w:r>
    </w:p>
    <w:p>
      <w:pPr>
        <w:spacing w:line="40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本采购项目应当执行《河南省财政厅、河南省工业和信息化厅关于政府采购促进小微型企业发展实施意见》豫财购</w:t>
      </w:r>
      <w:r>
        <w:rPr>
          <w:rFonts w:ascii="宋体" w:hAnsi="宋体" w:cs="宋体"/>
          <w:color w:val="000000"/>
          <w:sz w:val="24"/>
          <w:szCs w:val="24"/>
        </w:rPr>
        <w:t>[2013]14</w:t>
      </w:r>
      <w:r>
        <w:rPr>
          <w:rFonts w:hint="eastAsia" w:ascii="宋体" w:hAnsi="宋体" w:cs="宋体"/>
          <w:color w:val="000000"/>
          <w:sz w:val="24"/>
          <w:szCs w:val="24"/>
        </w:rPr>
        <w:t>号文件规定的各项功能政策。</w:t>
      </w:r>
    </w:p>
    <w:p>
      <w:pPr>
        <w:spacing w:line="400" w:lineRule="exact"/>
        <w:ind w:firstLine="480" w:firstLineChars="200"/>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本采购项目应当执行《三部门联合发布关于促进残疾人就业政府采购政策的通知》</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2017141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文件规定的各项功能政策。</w:t>
      </w:r>
    </w:p>
    <w:p>
      <w:pPr>
        <w:spacing w:line="480" w:lineRule="exact"/>
        <w:jc w:val="center"/>
        <w:rPr>
          <w:rFonts w:ascii="宋体" w:hAnsi="宋体"/>
          <w:b/>
          <w:bCs/>
          <w:sz w:val="36"/>
          <w:szCs w:val="36"/>
        </w:rPr>
      </w:pPr>
    </w:p>
    <w:p>
      <w:pPr>
        <w:spacing w:line="480" w:lineRule="exact"/>
        <w:jc w:val="left"/>
        <w:rPr>
          <w:rFonts w:ascii="宋体" w:hAnsi="宋体"/>
          <w:b/>
          <w:bCs/>
          <w:sz w:val="24"/>
          <w:szCs w:val="24"/>
        </w:rPr>
      </w:pPr>
    </w:p>
    <w:p>
      <w:pPr>
        <w:jc w:val="left"/>
        <w:rPr>
          <w:rFonts w:ascii="宋体" w:hAnsi="宋体"/>
          <w:bCs/>
          <w:sz w:val="28"/>
          <w:szCs w:val="28"/>
        </w:rPr>
      </w:pPr>
    </w:p>
    <w:p>
      <w:pPr>
        <w:jc w:val="left"/>
        <w:rPr>
          <w:rFonts w:ascii="宋体" w:hAnsi="宋体"/>
          <w:bCs/>
          <w:sz w:val="28"/>
          <w:szCs w:val="28"/>
        </w:rPr>
      </w:pPr>
    </w:p>
    <w:p>
      <w:pPr>
        <w:pStyle w:val="31"/>
        <w:ind w:firstLine="240"/>
      </w:pPr>
    </w:p>
    <w:p>
      <w:pPr>
        <w:spacing w:line="440" w:lineRule="exact"/>
        <w:ind w:firstLine="480" w:firstLineChars="200"/>
        <w:jc w:val="center"/>
        <w:rPr>
          <w:rFonts w:asciiTheme="majorEastAsia" w:hAnsiTheme="majorEastAsia" w:eastAsiaTheme="majorEastAsia"/>
          <w:b/>
          <w:sz w:val="32"/>
          <w:szCs w:val="32"/>
        </w:rPr>
      </w:pPr>
      <w:r>
        <w:rPr>
          <w:rFonts w:hint="eastAsia" w:ascii="宋体" w:hAnsi="宋体"/>
          <w:kern w:val="0"/>
          <w:sz w:val="24"/>
          <w:szCs w:val="24"/>
        </w:rPr>
        <w:br w:type="page"/>
      </w:r>
      <w:r>
        <w:rPr>
          <w:rFonts w:asciiTheme="majorEastAsia" w:hAnsiTheme="majorEastAsia" w:eastAsiaTheme="majorEastAsia"/>
          <w:b/>
          <w:sz w:val="32"/>
          <w:szCs w:val="32"/>
        </w:rPr>
        <w:t xml:space="preserve"> </w:t>
      </w:r>
      <w:r>
        <w:rPr>
          <w:rFonts w:hint="eastAsia" w:asciiTheme="majorEastAsia" w:hAnsiTheme="majorEastAsia" w:eastAsiaTheme="majorEastAsia"/>
          <w:b/>
          <w:sz w:val="32"/>
          <w:szCs w:val="32"/>
        </w:rPr>
        <w:t>第六</w:t>
      </w:r>
      <w:r>
        <w:rPr>
          <w:rFonts w:asciiTheme="majorEastAsia" w:hAnsiTheme="majorEastAsia" w:eastAsiaTheme="majorEastAsia"/>
          <w:b/>
          <w:sz w:val="32"/>
          <w:szCs w:val="32"/>
        </w:rPr>
        <w:t>章</w:t>
      </w:r>
      <w:r>
        <w:rPr>
          <w:rFonts w:hint="eastAsia" w:asciiTheme="majorEastAsia" w:hAnsiTheme="majorEastAsia" w:eastAsiaTheme="majorEastAsia"/>
          <w:b/>
          <w:sz w:val="32"/>
          <w:szCs w:val="32"/>
        </w:rPr>
        <w:t xml:space="preserve"> 附</w:t>
      </w:r>
      <w:r>
        <w:rPr>
          <w:rFonts w:asciiTheme="majorEastAsia" w:hAnsiTheme="majorEastAsia" w:eastAsiaTheme="majorEastAsia"/>
          <w:b/>
          <w:sz w:val="32"/>
          <w:szCs w:val="32"/>
        </w:rPr>
        <w:t>件</w:t>
      </w:r>
    </w:p>
    <w:p>
      <w:pPr>
        <w:spacing w:after="50" w:line="320" w:lineRule="exact"/>
        <w:rPr>
          <w:rFonts w:asciiTheme="majorEastAsia" w:hAnsiTheme="majorEastAsia" w:eastAsiaTheme="majorEastAsia"/>
          <w:b/>
          <w:sz w:val="28"/>
          <w:szCs w:val="28"/>
        </w:rPr>
      </w:pPr>
    </w:p>
    <w:p>
      <w:pPr>
        <w:spacing w:after="50" w:line="320" w:lineRule="exact"/>
        <w:rPr>
          <w:rFonts w:asciiTheme="majorEastAsia" w:hAnsiTheme="majorEastAsia" w:eastAsiaTheme="majorEastAsia"/>
          <w:b/>
          <w:sz w:val="32"/>
          <w:szCs w:val="32"/>
        </w:rPr>
      </w:pPr>
      <w:r>
        <w:rPr>
          <w:rFonts w:hint="eastAsia" w:asciiTheme="majorEastAsia" w:hAnsiTheme="majorEastAsia" w:eastAsiaTheme="majorEastAsia"/>
          <w:b/>
          <w:sz w:val="28"/>
          <w:szCs w:val="28"/>
        </w:rPr>
        <w:t>附</w:t>
      </w:r>
      <w:r>
        <w:rPr>
          <w:rFonts w:asciiTheme="majorEastAsia" w:hAnsiTheme="majorEastAsia" w:eastAsiaTheme="majorEastAsia"/>
          <w:b/>
          <w:sz w:val="28"/>
          <w:szCs w:val="28"/>
        </w:rPr>
        <w:t>件</w:t>
      </w:r>
      <w:r>
        <w:rPr>
          <w:rFonts w:hint="eastAsia" w:asciiTheme="majorEastAsia" w:hAnsiTheme="majorEastAsia" w:eastAsiaTheme="majorEastAsia"/>
          <w:b/>
          <w:sz w:val="28"/>
          <w:szCs w:val="28"/>
        </w:rPr>
        <w:t>1</w:t>
      </w:r>
    </w:p>
    <w:p>
      <w:pPr>
        <w:spacing w:after="50" w:line="32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供应商须知</w:t>
      </w:r>
    </w:p>
    <w:p>
      <w:pPr>
        <w:tabs>
          <w:tab w:val="left" w:pos="3300"/>
          <w:tab w:val="center" w:pos="4776"/>
        </w:tabs>
        <w:spacing w:afterLines="50" w:line="320" w:lineRule="exact"/>
        <w:jc w:val="center"/>
        <w:outlineLvl w:val="0"/>
        <w:rPr>
          <w:b/>
          <w:sz w:val="24"/>
          <w:szCs w:val="24"/>
        </w:rPr>
      </w:pPr>
    </w:p>
    <w:p>
      <w:pPr>
        <w:tabs>
          <w:tab w:val="left" w:pos="3300"/>
          <w:tab w:val="center" w:pos="4776"/>
        </w:tabs>
        <w:spacing w:afterLines="50" w:line="320" w:lineRule="exact"/>
        <w:jc w:val="center"/>
        <w:outlineLvl w:val="0"/>
        <w:rPr>
          <w:b/>
          <w:sz w:val="24"/>
          <w:szCs w:val="24"/>
        </w:rPr>
      </w:pPr>
      <w:r>
        <w:rPr>
          <w:rFonts w:hint="eastAsia"/>
          <w:b/>
          <w:sz w:val="24"/>
          <w:szCs w:val="24"/>
        </w:rPr>
        <w:t>一、总则</w:t>
      </w:r>
    </w:p>
    <w:p>
      <w:pPr>
        <w:tabs>
          <w:tab w:val="left" w:pos="3300"/>
          <w:tab w:val="center" w:pos="4776"/>
        </w:tabs>
        <w:spacing w:afterLines="50" w:line="320" w:lineRule="exact"/>
        <w:ind w:firstLine="472" w:firstLineChars="196"/>
        <w:outlineLvl w:val="0"/>
        <w:rPr>
          <w:rFonts w:ascii="宋体" w:hAnsi="宋体" w:cs="宋体"/>
          <w:sz w:val="24"/>
          <w:szCs w:val="24"/>
        </w:rPr>
      </w:pPr>
      <w:r>
        <w:rPr>
          <w:rFonts w:hint="eastAsia" w:ascii="宋体" w:hAnsi="宋体" w:cs="宋体"/>
          <w:b/>
          <w:sz w:val="24"/>
          <w:szCs w:val="24"/>
        </w:rPr>
        <w:t>1. 适用范围：</w:t>
      </w:r>
      <w:r>
        <w:rPr>
          <w:rFonts w:hint="eastAsia" w:ascii="宋体" w:hAnsi="宋体" w:cs="宋体"/>
          <w:sz w:val="24"/>
          <w:szCs w:val="24"/>
        </w:rPr>
        <w:t>本须知适用于采购文件中所述相关服务的谈判。</w:t>
      </w:r>
    </w:p>
    <w:p>
      <w:pPr>
        <w:tabs>
          <w:tab w:val="left" w:pos="3300"/>
          <w:tab w:val="center" w:pos="4776"/>
        </w:tabs>
        <w:spacing w:afterLines="50" w:line="320" w:lineRule="exact"/>
        <w:ind w:firstLine="472" w:firstLineChars="196"/>
        <w:outlineLvl w:val="0"/>
        <w:rPr>
          <w:rFonts w:ascii="宋体" w:hAnsi="宋体" w:cs="宋体"/>
          <w:b/>
          <w:sz w:val="24"/>
          <w:szCs w:val="24"/>
        </w:rPr>
      </w:pPr>
      <w:r>
        <w:rPr>
          <w:rFonts w:hint="eastAsia" w:ascii="宋体" w:hAnsi="宋体" w:cs="宋体"/>
          <w:b/>
          <w:sz w:val="24"/>
          <w:szCs w:val="24"/>
        </w:rPr>
        <w:t>2. 定义：</w:t>
      </w:r>
    </w:p>
    <w:p>
      <w:pPr>
        <w:spacing w:line="440" w:lineRule="exact"/>
        <w:ind w:firstLine="480" w:firstLineChars="200"/>
        <w:rPr>
          <w:rFonts w:ascii="宋体" w:hAnsi="宋体" w:cs="宋体"/>
          <w:sz w:val="24"/>
          <w:szCs w:val="24"/>
        </w:rPr>
      </w:pPr>
      <w:r>
        <w:rPr>
          <w:rFonts w:hint="eastAsia" w:ascii="宋体" w:hAnsi="宋体" w:cs="宋体"/>
          <w:sz w:val="24"/>
          <w:szCs w:val="24"/>
        </w:rPr>
        <w:t>2.1 “采购长葛市公共资源交易中心”是指受采购单位的委托具体组织采购活动采购代理公司。</w:t>
      </w:r>
    </w:p>
    <w:p>
      <w:pPr>
        <w:spacing w:line="440" w:lineRule="exact"/>
        <w:ind w:firstLine="480" w:firstLineChars="200"/>
        <w:rPr>
          <w:rFonts w:ascii="宋体" w:hAnsi="宋体" w:cs="宋体"/>
          <w:sz w:val="24"/>
          <w:szCs w:val="24"/>
        </w:rPr>
      </w:pPr>
      <w:r>
        <w:rPr>
          <w:rFonts w:hint="eastAsia" w:ascii="宋体" w:hAnsi="宋体" w:cs="宋体"/>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ascii="宋体" w:hAnsi="宋体" w:cs="宋体"/>
          <w:sz w:val="24"/>
          <w:szCs w:val="24"/>
        </w:rPr>
      </w:pPr>
      <w:r>
        <w:rPr>
          <w:rFonts w:hint="eastAsia" w:ascii="宋体" w:hAnsi="宋体" w:cs="宋体"/>
          <w:sz w:val="24"/>
          <w:szCs w:val="24"/>
        </w:rPr>
        <w:t>2.3 “采购货物”是指采购文件中所述货物及相关服务。</w:t>
      </w:r>
    </w:p>
    <w:p>
      <w:pPr>
        <w:spacing w:line="440" w:lineRule="exact"/>
        <w:ind w:firstLine="480" w:firstLineChars="200"/>
        <w:rPr>
          <w:rFonts w:ascii="宋体" w:hAnsi="宋体" w:cs="宋体"/>
          <w:sz w:val="24"/>
          <w:szCs w:val="24"/>
        </w:rPr>
      </w:pPr>
      <w:r>
        <w:rPr>
          <w:rFonts w:hint="eastAsia" w:ascii="宋体" w:hAnsi="宋体" w:cs="宋体"/>
          <w:sz w:val="24"/>
          <w:szCs w:val="24"/>
        </w:rPr>
        <w:t>2.4 “供应商”是指向采购人提供货物或者服务的法人、其他组织或者自然人。</w:t>
      </w:r>
    </w:p>
    <w:p>
      <w:pPr>
        <w:spacing w:line="440" w:lineRule="exact"/>
        <w:ind w:firstLine="480" w:firstLineChars="200"/>
        <w:rPr>
          <w:rFonts w:ascii="宋体" w:hAnsi="宋体" w:cs="宋体"/>
          <w:sz w:val="24"/>
          <w:szCs w:val="24"/>
        </w:rPr>
      </w:pPr>
      <w:r>
        <w:rPr>
          <w:rFonts w:hint="eastAsia" w:ascii="宋体" w:hAnsi="宋体" w:cs="宋体"/>
          <w:sz w:val="24"/>
          <w:szCs w:val="24"/>
        </w:rPr>
        <w:t>2.5 “谈判响应供应商”指按竞争性谈判文件规定取得谈判文件并参加竞争性谈判活动的法人、其他组织或自然人。</w:t>
      </w:r>
    </w:p>
    <w:p>
      <w:pPr>
        <w:spacing w:line="440" w:lineRule="exact"/>
        <w:ind w:firstLine="472" w:firstLineChars="196"/>
        <w:rPr>
          <w:rFonts w:ascii="宋体" w:hAnsi="宋体" w:cs="宋体"/>
          <w:b/>
          <w:sz w:val="24"/>
          <w:szCs w:val="24"/>
        </w:rPr>
      </w:pPr>
      <w:r>
        <w:rPr>
          <w:rFonts w:hint="eastAsia" w:ascii="宋体" w:hAnsi="宋体" w:cs="宋体"/>
          <w:b/>
          <w:sz w:val="24"/>
          <w:szCs w:val="24"/>
        </w:rPr>
        <w:t>3. 合格供应商的资格条件</w:t>
      </w:r>
    </w:p>
    <w:p>
      <w:pPr>
        <w:spacing w:line="440" w:lineRule="exact"/>
        <w:ind w:firstLine="480" w:firstLineChars="200"/>
        <w:rPr>
          <w:rFonts w:ascii="宋体" w:hAnsi="宋体" w:cs="宋体"/>
          <w:sz w:val="24"/>
          <w:szCs w:val="24"/>
        </w:rPr>
      </w:pPr>
      <w:r>
        <w:rPr>
          <w:rFonts w:hint="eastAsia" w:ascii="宋体" w:hAnsi="宋体" w:cs="宋体"/>
          <w:sz w:val="24"/>
          <w:szCs w:val="24"/>
        </w:rPr>
        <w:t>凡符合下列条件的潜在供应商是合格的供应商，均可参加采购活动。</w:t>
      </w:r>
    </w:p>
    <w:p>
      <w:pPr>
        <w:spacing w:line="440" w:lineRule="exact"/>
        <w:ind w:firstLine="480" w:firstLineChars="200"/>
        <w:rPr>
          <w:rFonts w:ascii="宋体" w:hAnsi="宋体" w:cs="宋体"/>
          <w:sz w:val="24"/>
          <w:szCs w:val="24"/>
        </w:rPr>
      </w:pPr>
      <w:r>
        <w:rPr>
          <w:rFonts w:hint="eastAsia" w:ascii="宋体" w:hAnsi="宋体" w:cs="宋体"/>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ascii="宋体" w:hAnsi="宋体" w:cs="宋体"/>
          <w:sz w:val="24"/>
          <w:szCs w:val="24"/>
        </w:rPr>
      </w:pPr>
      <w:r>
        <w:rPr>
          <w:rFonts w:hint="eastAsia" w:ascii="宋体" w:hAnsi="宋体" w:cs="宋体"/>
          <w:sz w:val="24"/>
          <w:szCs w:val="24"/>
        </w:rPr>
        <w:t>3.2 遵守国家有关法律、法规、规章以及与采购有关的规章制度，具有良好的商业信誉和健全的财务会计制度。</w:t>
      </w:r>
    </w:p>
    <w:p>
      <w:pPr>
        <w:spacing w:line="440" w:lineRule="exact"/>
        <w:ind w:firstLine="480" w:firstLineChars="200"/>
        <w:rPr>
          <w:rFonts w:ascii="宋体" w:hAnsi="宋体" w:cs="宋体"/>
          <w:sz w:val="24"/>
          <w:szCs w:val="24"/>
        </w:rPr>
      </w:pPr>
      <w:r>
        <w:rPr>
          <w:rFonts w:hint="eastAsia" w:ascii="宋体" w:hAnsi="宋体" w:cs="宋体"/>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ascii="宋体" w:hAnsi="宋体" w:cs="宋体"/>
          <w:sz w:val="24"/>
          <w:szCs w:val="24"/>
        </w:rPr>
      </w:pPr>
      <w:r>
        <w:rPr>
          <w:rFonts w:hint="eastAsia" w:ascii="宋体" w:hAnsi="宋体" w:cs="宋体"/>
          <w:sz w:val="24"/>
          <w:szCs w:val="24"/>
        </w:rPr>
        <w:t>3.4 有依法交纳税收和社会保障资金的良好记录。</w:t>
      </w:r>
    </w:p>
    <w:p>
      <w:pPr>
        <w:spacing w:line="440" w:lineRule="exact"/>
        <w:ind w:firstLine="480" w:firstLineChars="200"/>
        <w:rPr>
          <w:rFonts w:ascii="宋体" w:hAnsi="宋体" w:cs="宋体"/>
          <w:sz w:val="24"/>
          <w:szCs w:val="24"/>
        </w:rPr>
      </w:pPr>
      <w:r>
        <w:rPr>
          <w:rFonts w:hint="eastAsia" w:ascii="宋体" w:hAnsi="宋体" w:cs="宋体"/>
          <w:sz w:val="24"/>
          <w:szCs w:val="24"/>
        </w:rPr>
        <w:t>3.5 参加采购活动前三年，在经营活动中没有重大违法记录。</w:t>
      </w:r>
    </w:p>
    <w:p>
      <w:pPr>
        <w:spacing w:line="440" w:lineRule="exact"/>
        <w:ind w:firstLine="480" w:firstLineChars="200"/>
        <w:rPr>
          <w:rFonts w:ascii="宋体" w:hAnsi="宋体" w:cs="宋体"/>
          <w:sz w:val="24"/>
          <w:szCs w:val="24"/>
        </w:rPr>
      </w:pPr>
      <w:r>
        <w:rPr>
          <w:rFonts w:hint="eastAsia" w:ascii="宋体" w:hAnsi="宋体" w:cs="宋体"/>
          <w:sz w:val="24"/>
          <w:szCs w:val="24"/>
        </w:rPr>
        <w:t>3.6 能够按照采购文件的要求编制响应文件，并对采购文件提出的要求和条件做出实质性响应。</w:t>
      </w:r>
    </w:p>
    <w:p>
      <w:pPr>
        <w:spacing w:line="440" w:lineRule="exact"/>
        <w:ind w:firstLine="480" w:firstLineChars="200"/>
        <w:rPr>
          <w:rFonts w:ascii="宋体" w:hAnsi="宋体" w:cs="宋体"/>
          <w:sz w:val="24"/>
          <w:szCs w:val="24"/>
        </w:rPr>
      </w:pPr>
      <w:r>
        <w:rPr>
          <w:rFonts w:hint="eastAsia" w:ascii="宋体" w:hAnsi="宋体" w:cs="宋体"/>
          <w:sz w:val="24"/>
          <w:szCs w:val="24"/>
        </w:rPr>
        <w:t>3.7 满足采购文件第二章“采购项目基本内容及要求”规定的其他条件。</w:t>
      </w:r>
    </w:p>
    <w:p>
      <w:pPr>
        <w:spacing w:line="400" w:lineRule="exact"/>
        <w:ind w:firstLine="482" w:firstLineChars="200"/>
        <w:rPr>
          <w:rFonts w:ascii="宋体" w:hAnsi="宋体" w:cs="宋体"/>
          <w:b/>
          <w:sz w:val="24"/>
          <w:szCs w:val="24"/>
        </w:rPr>
      </w:pPr>
      <w:r>
        <w:rPr>
          <w:rFonts w:hint="eastAsia" w:ascii="宋体" w:hAnsi="宋体" w:cs="宋体"/>
          <w:b/>
          <w:sz w:val="24"/>
          <w:szCs w:val="24"/>
        </w:rPr>
        <w:t>4. 货物及伴随服务</w:t>
      </w:r>
    </w:p>
    <w:p>
      <w:pPr>
        <w:spacing w:line="440" w:lineRule="exact"/>
        <w:ind w:firstLine="480" w:firstLineChars="200"/>
        <w:rPr>
          <w:rFonts w:ascii="宋体" w:hAnsi="宋体" w:cs="宋体"/>
          <w:sz w:val="24"/>
          <w:szCs w:val="24"/>
        </w:rPr>
      </w:pPr>
      <w:r>
        <w:rPr>
          <w:rFonts w:hint="eastAsia" w:ascii="宋体" w:hAnsi="宋体" w:cs="宋体"/>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ascii="宋体" w:hAnsi="宋体" w:cs="宋体"/>
          <w:sz w:val="24"/>
          <w:szCs w:val="24"/>
        </w:rPr>
      </w:pPr>
      <w:r>
        <w:rPr>
          <w:rFonts w:hint="eastAsia" w:ascii="宋体" w:hAnsi="宋体" w:cs="宋体"/>
          <w:sz w:val="24"/>
          <w:szCs w:val="24"/>
        </w:rPr>
        <w:t>4.2 如果采购文件没有明确规定，那么供应商应提供本国货物。</w:t>
      </w:r>
    </w:p>
    <w:p>
      <w:pPr>
        <w:spacing w:line="440" w:lineRule="exact"/>
        <w:ind w:firstLine="480" w:firstLineChars="200"/>
        <w:rPr>
          <w:rFonts w:ascii="宋体" w:hAnsi="宋体" w:cs="宋体"/>
          <w:sz w:val="24"/>
          <w:szCs w:val="24"/>
        </w:rPr>
      </w:pPr>
      <w:r>
        <w:rPr>
          <w:rFonts w:hint="eastAsia" w:ascii="宋体" w:hAnsi="宋体" w:cs="宋体"/>
          <w:sz w:val="24"/>
          <w:szCs w:val="24"/>
        </w:rPr>
        <w:t>4.3 如果供应商提供的是进口货物，则发生的一切中间费用都由供应商自行承担。</w:t>
      </w:r>
    </w:p>
    <w:p>
      <w:pPr>
        <w:spacing w:line="440" w:lineRule="exact"/>
        <w:ind w:firstLine="480" w:firstLineChars="200"/>
        <w:rPr>
          <w:rFonts w:ascii="宋体" w:hAnsi="宋体" w:cs="宋体"/>
          <w:sz w:val="24"/>
          <w:szCs w:val="24"/>
        </w:rPr>
      </w:pPr>
      <w:r>
        <w:rPr>
          <w:rFonts w:hint="eastAsia" w:ascii="宋体" w:hAnsi="宋体" w:cs="宋体"/>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ascii="宋体" w:hAnsi="宋体" w:cs="宋体"/>
          <w:sz w:val="24"/>
          <w:szCs w:val="24"/>
        </w:rPr>
      </w:pPr>
      <w:r>
        <w:rPr>
          <w:rFonts w:hint="eastAsia" w:ascii="宋体" w:hAnsi="宋体" w:cs="宋体"/>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ascii="宋体" w:hAnsi="宋体" w:cs="宋体"/>
          <w:b/>
          <w:sz w:val="24"/>
          <w:szCs w:val="24"/>
        </w:rPr>
      </w:pPr>
      <w:r>
        <w:rPr>
          <w:rFonts w:hint="eastAsia" w:ascii="宋体" w:hAnsi="宋体" w:cs="宋体"/>
          <w:b/>
          <w:sz w:val="24"/>
          <w:szCs w:val="24"/>
        </w:rPr>
        <w:t>5.参加谈判费用</w:t>
      </w:r>
    </w:p>
    <w:p>
      <w:pPr>
        <w:spacing w:line="440" w:lineRule="exact"/>
        <w:ind w:firstLine="480" w:firstLineChars="200"/>
        <w:rPr>
          <w:rFonts w:ascii="宋体" w:hAnsi="宋体" w:cs="宋体"/>
          <w:sz w:val="24"/>
          <w:szCs w:val="24"/>
        </w:rPr>
      </w:pPr>
      <w:r>
        <w:rPr>
          <w:rFonts w:hint="eastAsia" w:ascii="宋体" w:hAnsi="宋体" w:cs="宋体"/>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ascii="宋体" w:hAnsi="宋体" w:cs="宋体"/>
          <w:b/>
          <w:sz w:val="24"/>
          <w:szCs w:val="24"/>
        </w:rPr>
      </w:pPr>
      <w:r>
        <w:rPr>
          <w:rFonts w:hint="eastAsia" w:ascii="宋体" w:hAnsi="宋体" w:cs="宋体"/>
          <w:b/>
          <w:sz w:val="24"/>
          <w:szCs w:val="24"/>
        </w:rPr>
        <w:t>6.签订采购合同更改采购货物数量的权利</w:t>
      </w:r>
    </w:p>
    <w:p>
      <w:pPr>
        <w:spacing w:line="440" w:lineRule="exact"/>
        <w:ind w:firstLine="480" w:firstLineChars="200"/>
        <w:rPr>
          <w:rFonts w:ascii="宋体" w:hAnsi="宋体" w:cs="宋体"/>
          <w:sz w:val="24"/>
          <w:szCs w:val="24"/>
        </w:rPr>
      </w:pPr>
      <w:r>
        <w:rPr>
          <w:rFonts w:hint="eastAsia" w:ascii="宋体" w:hAnsi="宋体" w:cs="宋体"/>
          <w:sz w:val="24"/>
          <w:szCs w:val="24"/>
        </w:rPr>
        <w:t>采购人在授予采购合同时有权根据采购单位的实际情况，规定的货物数量和服务予以变更，但不得对单价或其他的条款和条件做任何改变。</w:t>
      </w:r>
    </w:p>
    <w:p>
      <w:pPr>
        <w:spacing w:line="440" w:lineRule="exact"/>
        <w:ind w:firstLine="482" w:firstLineChars="200"/>
        <w:rPr>
          <w:rFonts w:ascii="宋体" w:hAnsi="宋体" w:cs="宋体"/>
          <w:b/>
          <w:sz w:val="24"/>
          <w:szCs w:val="24"/>
        </w:rPr>
      </w:pPr>
      <w:r>
        <w:rPr>
          <w:rFonts w:hint="eastAsia" w:ascii="宋体" w:hAnsi="宋体" w:cs="宋体"/>
          <w:b/>
          <w:sz w:val="24"/>
          <w:szCs w:val="24"/>
        </w:rPr>
        <w:t>7.履约验收</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采购长葛市公共资源交易中心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spacing w:line="440" w:lineRule="exact"/>
        <w:ind w:firstLine="480" w:firstLineChars="200"/>
        <w:rPr>
          <w:rFonts w:ascii="宋体" w:hAnsi="宋体" w:cs="宋体"/>
          <w:sz w:val="24"/>
          <w:szCs w:val="24"/>
        </w:rPr>
      </w:pPr>
    </w:p>
    <w:p>
      <w:pPr>
        <w:widowControl/>
        <w:jc w:val="left"/>
        <w:rPr>
          <w:rFonts w:ascii="宋体" w:hAnsi="宋体"/>
          <w:b/>
          <w:sz w:val="24"/>
          <w:szCs w:val="24"/>
        </w:rPr>
      </w:pPr>
      <w:r>
        <w:rPr>
          <w:rFonts w:ascii="宋体" w:hAnsi="宋体"/>
          <w:b/>
          <w:sz w:val="24"/>
          <w:szCs w:val="24"/>
        </w:rPr>
        <w:br w:type="page"/>
      </w: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二、谈判采购文件</w:t>
      </w:r>
    </w:p>
    <w:p>
      <w:pPr>
        <w:spacing w:afterLines="50" w:line="320" w:lineRule="exact"/>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第一章  竞争</w:t>
      </w:r>
      <w:r>
        <w:rPr>
          <w:rFonts w:ascii="宋体" w:hAnsi="宋体" w:cs="Arial"/>
          <w:sz w:val="24"/>
          <w:szCs w:val="24"/>
        </w:rPr>
        <w:t>性谈判</w:t>
      </w:r>
      <w:r>
        <w:rPr>
          <w:rFonts w:hint="eastAsia" w:ascii="宋体" w:hAnsi="宋体" w:cs="Arial"/>
          <w:sz w:val="24"/>
          <w:szCs w:val="24"/>
        </w:rPr>
        <w:t>邀请函</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第二章  采购项目基本内容及要求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第三章  谈判文件内容</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第四章  采购项目需求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第五章  评审方法</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第六</w:t>
      </w:r>
      <w:r>
        <w:rPr>
          <w:rFonts w:ascii="宋体" w:hAnsi="宋体" w:cs="Arial"/>
          <w:sz w:val="24"/>
          <w:szCs w:val="24"/>
        </w:rPr>
        <w:t>章</w:t>
      </w:r>
      <w:r>
        <w:rPr>
          <w:rFonts w:hint="eastAsia" w:ascii="宋体" w:hAnsi="宋体" w:cs="Arial"/>
          <w:sz w:val="24"/>
          <w:szCs w:val="24"/>
        </w:rPr>
        <w:t xml:space="preserve">  附件</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一、供应商须知</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二、谈判响应文件格式</w:t>
      </w:r>
    </w:p>
    <w:p>
      <w:pPr>
        <w:spacing w:line="400" w:lineRule="exact"/>
        <w:ind w:firstLine="482" w:firstLineChars="200"/>
        <w:jc w:val="left"/>
        <w:rPr>
          <w:rFonts w:ascii="宋体" w:hAnsi="宋体"/>
          <w:b/>
          <w:sz w:val="24"/>
          <w:szCs w:val="24"/>
        </w:rPr>
      </w:pPr>
      <w:r>
        <w:rPr>
          <w:rFonts w:hint="eastAsia" w:ascii="宋体" w:hAnsi="宋体"/>
          <w:b/>
          <w:sz w:val="24"/>
          <w:szCs w:val="24"/>
        </w:rPr>
        <w:t>10. 采购文件的澄清或修改</w:t>
      </w:r>
    </w:p>
    <w:p>
      <w:pPr>
        <w:spacing w:line="440" w:lineRule="exact"/>
        <w:ind w:firstLine="480" w:firstLineChars="200"/>
        <w:rPr>
          <w:sz w:val="24"/>
          <w:szCs w:val="24"/>
        </w:rPr>
      </w:pPr>
      <w:r>
        <w:rPr>
          <w:rFonts w:hint="eastAsia"/>
          <w:sz w:val="24"/>
          <w:szCs w:val="24"/>
        </w:rPr>
        <w:t>10.1 任何要求对采购文件进行澄清的供应</w:t>
      </w:r>
      <w:r>
        <w:rPr>
          <w:sz w:val="24"/>
          <w:szCs w:val="24"/>
        </w:rPr>
        <w:t>商</w:t>
      </w:r>
      <w:r>
        <w:rPr>
          <w:rFonts w:hint="eastAsia"/>
          <w:sz w:val="24"/>
          <w:szCs w:val="24"/>
        </w:rPr>
        <w:t>，均应将需澄清的事项及依据</w:t>
      </w:r>
      <w:r>
        <w:rPr>
          <w:rFonts w:hint="eastAsia" w:ascii="宋体" w:hAnsi="宋体"/>
          <w:bCs/>
          <w:sz w:val="24"/>
        </w:rPr>
        <w:t>通过公共资源交易系统平台提出询问</w:t>
      </w:r>
      <w:r>
        <w:rPr>
          <w:rFonts w:hint="eastAsia"/>
          <w:sz w:val="24"/>
          <w:szCs w:val="24"/>
        </w:rPr>
        <w:t>。</w:t>
      </w:r>
    </w:p>
    <w:p>
      <w:pPr>
        <w:spacing w:line="440" w:lineRule="exact"/>
        <w:ind w:firstLine="480" w:firstLineChars="200"/>
        <w:rPr>
          <w:sz w:val="24"/>
          <w:szCs w:val="24"/>
        </w:rPr>
      </w:pPr>
      <w:r>
        <w:rPr>
          <w:rFonts w:hint="eastAsia"/>
          <w:sz w:val="24"/>
          <w:szCs w:val="24"/>
        </w:rPr>
        <w:t>10.2 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pPr>
        <w:spacing w:line="440" w:lineRule="exact"/>
        <w:ind w:firstLine="480" w:firstLineChars="200"/>
        <w:rPr>
          <w:sz w:val="24"/>
          <w:szCs w:val="24"/>
        </w:rPr>
      </w:pPr>
      <w:r>
        <w:rPr>
          <w:rFonts w:hint="eastAsia"/>
          <w:sz w:val="24"/>
          <w:szCs w:val="24"/>
        </w:rPr>
        <w:t>10.3 采购机构可以视采购项目具体情况，酌情延长谈判截止时间和开标时间，并将变更时间在指定的采购信息发布媒体上发布变更公告。</w:t>
      </w:r>
    </w:p>
    <w:p>
      <w:pPr>
        <w:spacing w:afterLines="50" w:line="320" w:lineRule="exact"/>
        <w:jc w:val="center"/>
        <w:outlineLvl w:val="0"/>
        <w:rPr>
          <w:rFonts w:ascii="宋体" w:hAnsi="宋体"/>
          <w:b/>
          <w:sz w:val="24"/>
          <w:szCs w:val="24"/>
        </w:rPr>
      </w:pPr>
    </w:p>
    <w:p>
      <w:pPr>
        <w:spacing w:afterLines="50" w:line="320" w:lineRule="exact"/>
        <w:jc w:val="center"/>
        <w:outlineLvl w:val="0"/>
        <w:rPr>
          <w:rFonts w:ascii="宋体" w:hAnsi="宋体"/>
          <w:b/>
          <w:sz w:val="24"/>
          <w:szCs w:val="24"/>
        </w:rPr>
      </w:pPr>
      <w:r>
        <w:rPr>
          <w:rFonts w:hint="eastAsia" w:ascii="宋体" w:hAnsi="宋体"/>
          <w:b/>
          <w:sz w:val="24"/>
          <w:szCs w:val="24"/>
        </w:rPr>
        <w:t>三、谈判</w:t>
      </w:r>
      <w:r>
        <w:rPr>
          <w:rFonts w:ascii="宋体" w:hAnsi="宋体"/>
          <w:b/>
          <w:sz w:val="24"/>
          <w:szCs w:val="24"/>
        </w:rPr>
        <w:t>响应</w:t>
      </w:r>
      <w:r>
        <w:rPr>
          <w:rFonts w:hint="eastAsia" w:ascii="宋体" w:hAnsi="宋体"/>
          <w:b/>
          <w:sz w:val="24"/>
          <w:szCs w:val="24"/>
        </w:rPr>
        <w:t>文件</w:t>
      </w:r>
    </w:p>
    <w:p>
      <w:pPr>
        <w:spacing w:afterLines="50" w:line="320" w:lineRule="exact"/>
        <w:ind w:firstLine="472" w:firstLineChars="196"/>
        <w:rPr>
          <w:rFonts w:ascii="宋体" w:hAnsi="宋体" w:cs="Arial"/>
          <w:sz w:val="24"/>
          <w:szCs w:val="24"/>
        </w:rPr>
      </w:pPr>
      <w:r>
        <w:rPr>
          <w:rFonts w:hint="eastAsia" w:ascii="宋体" w:hAnsi="宋体"/>
          <w:b/>
          <w:sz w:val="24"/>
          <w:szCs w:val="24"/>
        </w:rPr>
        <w:t>11. 谈判</w:t>
      </w:r>
      <w:r>
        <w:rPr>
          <w:rFonts w:ascii="宋体" w:hAnsi="宋体"/>
          <w:b/>
          <w:sz w:val="24"/>
          <w:szCs w:val="24"/>
        </w:rPr>
        <w:t>响应文件</w:t>
      </w:r>
      <w:r>
        <w:rPr>
          <w:rFonts w:hint="eastAsia" w:ascii="宋体" w:hAnsi="宋体"/>
          <w:b/>
          <w:sz w:val="24"/>
          <w:szCs w:val="24"/>
        </w:rPr>
        <w:t>语言及计量单位</w:t>
      </w:r>
    </w:p>
    <w:p>
      <w:pPr>
        <w:spacing w:line="440" w:lineRule="exact"/>
        <w:ind w:firstLine="480" w:firstLineChars="200"/>
        <w:rPr>
          <w:sz w:val="24"/>
          <w:szCs w:val="24"/>
        </w:rPr>
      </w:pPr>
      <w:r>
        <w:rPr>
          <w:rFonts w:hint="eastAsia"/>
          <w:sz w:val="24"/>
          <w:szCs w:val="24"/>
        </w:rPr>
        <w:t>11.1供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sz w:val="24"/>
          <w:szCs w:val="24"/>
        </w:rPr>
      </w:pPr>
      <w:r>
        <w:rPr>
          <w:rFonts w:hint="eastAsia"/>
          <w:sz w:val="24"/>
          <w:szCs w:val="24"/>
        </w:rPr>
        <w:t>11.2 谈判</w:t>
      </w:r>
      <w:r>
        <w:rPr>
          <w:sz w:val="24"/>
          <w:szCs w:val="24"/>
        </w:rPr>
        <w:t>响应</w:t>
      </w:r>
      <w:r>
        <w:rPr>
          <w:rFonts w:hint="eastAsia"/>
          <w:sz w:val="24"/>
          <w:szCs w:val="24"/>
        </w:rPr>
        <w:t>文件中所使用的计量单位，除谈判采购文件有特殊规定外，应使用中华人民共和国法定计量单位。</w:t>
      </w:r>
    </w:p>
    <w:p>
      <w:pPr>
        <w:spacing w:line="380" w:lineRule="exact"/>
        <w:ind w:firstLine="472" w:firstLineChars="196"/>
        <w:rPr>
          <w:rFonts w:ascii="宋体" w:hAnsi="宋体"/>
          <w:b/>
          <w:sz w:val="24"/>
          <w:szCs w:val="24"/>
        </w:rPr>
      </w:pPr>
      <w:r>
        <w:rPr>
          <w:rFonts w:hint="eastAsia" w:ascii="宋体" w:hAnsi="宋体"/>
          <w:b/>
          <w:sz w:val="24"/>
          <w:szCs w:val="24"/>
        </w:rPr>
        <w:t>12. 谈判</w:t>
      </w:r>
      <w:r>
        <w:rPr>
          <w:rFonts w:ascii="宋体" w:hAnsi="宋体"/>
          <w:b/>
          <w:sz w:val="24"/>
          <w:szCs w:val="24"/>
        </w:rPr>
        <w:t>响应</w:t>
      </w:r>
      <w:r>
        <w:rPr>
          <w:rFonts w:hint="eastAsia" w:ascii="宋体" w:hAnsi="宋体"/>
          <w:b/>
          <w:sz w:val="24"/>
          <w:szCs w:val="24"/>
        </w:rPr>
        <w:t>文件编制的要求</w:t>
      </w:r>
    </w:p>
    <w:p>
      <w:pPr>
        <w:spacing w:line="440" w:lineRule="exact"/>
        <w:ind w:firstLine="480" w:firstLineChars="200"/>
        <w:rPr>
          <w:sz w:val="24"/>
          <w:szCs w:val="24"/>
        </w:rPr>
      </w:pPr>
      <w:r>
        <w:rPr>
          <w:rFonts w:hint="eastAsia"/>
          <w:sz w:val="24"/>
          <w:szCs w:val="24"/>
        </w:rPr>
        <w:t>12.1 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pPr>
        <w:spacing w:line="440" w:lineRule="exact"/>
        <w:ind w:firstLine="480" w:firstLineChars="200"/>
        <w:rPr>
          <w:sz w:val="24"/>
          <w:szCs w:val="24"/>
        </w:rPr>
      </w:pPr>
      <w:r>
        <w:rPr>
          <w:rFonts w:hint="eastAsia"/>
          <w:sz w:val="24"/>
          <w:szCs w:val="24"/>
        </w:rPr>
        <w:t>12.2谈判文件应字迹清楚，内容齐全，不得涂改和增删。如有修改错漏处，必须由供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pPr>
        <w:spacing w:line="440" w:lineRule="exact"/>
        <w:ind w:firstLine="480" w:firstLineChars="200"/>
        <w:rPr>
          <w:sz w:val="24"/>
          <w:szCs w:val="24"/>
        </w:rPr>
      </w:pPr>
      <w:r>
        <w:rPr>
          <w:rFonts w:hint="eastAsia"/>
          <w:sz w:val="24"/>
          <w:szCs w:val="24"/>
        </w:rPr>
        <w:t>12.3 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pPr>
        <w:spacing w:line="440" w:lineRule="exact"/>
        <w:ind w:firstLine="480" w:firstLineChars="200"/>
        <w:rPr>
          <w:sz w:val="24"/>
          <w:szCs w:val="24"/>
        </w:rPr>
      </w:pPr>
      <w:r>
        <w:rPr>
          <w:rFonts w:hint="eastAsia"/>
          <w:sz w:val="24"/>
          <w:szCs w:val="24"/>
        </w:rPr>
        <w:t>12.4 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文件，以A4纸大小为标准胶装订成册（不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pPr>
        <w:spacing w:line="400" w:lineRule="exact"/>
        <w:ind w:firstLine="480" w:firstLineChars="200"/>
        <w:rPr>
          <w:sz w:val="24"/>
          <w:szCs w:val="24"/>
        </w:rPr>
      </w:pPr>
      <w:r>
        <w:rPr>
          <w:rFonts w:hint="eastAsia"/>
          <w:sz w:val="24"/>
          <w:szCs w:val="24"/>
        </w:rPr>
        <w:t>12.5 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b/>
          <w:sz w:val="24"/>
          <w:szCs w:val="24"/>
        </w:rPr>
      </w:pPr>
      <w:r>
        <w:rPr>
          <w:rFonts w:hint="eastAsia"/>
          <w:b/>
          <w:sz w:val="24"/>
          <w:szCs w:val="24"/>
        </w:rPr>
        <w:t>13.谈判</w:t>
      </w:r>
      <w:r>
        <w:rPr>
          <w:b/>
          <w:sz w:val="24"/>
          <w:szCs w:val="24"/>
        </w:rPr>
        <w:t>响应</w:t>
      </w:r>
      <w:r>
        <w:rPr>
          <w:rFonts w:hint="eastAsia"/>
          <w:b/>
          <w:sz w:val="24"/>
          <w:szCs w:val="24"/>
        </w:rPr>
        <w:t>文件的构成</w:t>
      </w:r>
    </w:p>
    <w:p>
      <w:pPr>
        <w:spacing w:line="440" w:lineRule="exact"/>
        <w:ind w:firstLine="480" w:firstLineChars="200"/>
        <w:rPr>
          <w:sz w:val="24"/>
          <w:szCs w:val="24"/>
        </w:rPr>
      </w:pPr>
      <w:r>
        <w:rPr>
          <w:rFonts w:hint="eastAsia"/>
          <w:sz w:val="24"/>
          <w:szCs w:val="24"/>
        </w:rPr>
        <w:t>13.1 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pPr>
        <w:spacing w:line="440" w:lineRule="exact"/>
        <w:ind w:firstLine="480" w:firstLineChars="200"/>
        <w:rPr>
          <w:sz w:val="24"/>
          <w:szCs w:val="24"/>
        </w:rPr>
      </w:pPr>
      <w:r>
        <w:rPr>
          <w:rFonts w:hint="eastAsia"/>
          <w:sz w:val="24"/>
          <w:szCs w:val="24"/>
        </w:rPr>
        <w:t>13.2 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 ）由评审小组负责，若供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pPr>
        <w:spacing w:line="440" w:lineRule="exact"/>
        <w:ind w:firstLine="482" w:firstLineChars="200"/>
        <w:rPr>
          <w:b/>
          <w:sz w:val="24"/>
          <w:szCs w:val="24"/>
        </w:rPr>
      </w:pPr>
      <w:r>
        <w:rPr>
          <w:rFonts w:hint="eastAsia"/>
          <w:b/>
          <w:sz w:val="24"/>
          <w:szCs w:val="24"/>
        </w:rPr>
        <w:t>14.谈判</w:t>
      </w:r>
      <w:r>
        <w:rPr>
          <w:b/>
          <w:sz w:val="24"/>
          <w:szCs w:val="24"/>
        </w:rPr>
        <w:t>响应</w:t>
      </w:r>
      <w:r>
        <w:rPr>
          <w:rFonts w:hint="eastAsia"/>
          <w:b/>
          <w:sz w:val="24"/>
          <w:szCs w:val="24"/>
        </w:rPr>
        <w:t>文件格式</w:t>
      </w:r>
    </w:p>
    <w:p>
      <w:pPr>
        <w:spacing w:line="440" w:lineRule="exact"/>
        <w:ind w:firstLine="480" w:firstLineChars="200"/>
        <w:rPr>
          <w:sz w:val="24"/>
          <w:szCs w:val="24"/>
        </w:rPr>
      </w:pPr>
      <w:r>
        <w:rPr>
          <w:rFonts w:hint="eastAsia"/>
          <w:sz w:val="24"/>
          <w:szCs w:val="24"/>
        </w:rPr>
        <w:t>14.1供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pPr>
        <w:spacing w:line="440" w:lineRule="exact"/>
        <w:ind w:firstLine="480" w:firstLineChars="200"/>
        <w:rPr>
          <w:sz w:val="24"/>
          <w:szCs w:val="24"/>
        </w:rPr>
      </w:pPr>
      <w:r>
        <w:rPr>
          <w:rFonts w:hint="eastAsia"/>
          <w:sz w:val="24"/>
          <w:szCs w:val="24"/>
        </w:rPr>
        <w:t>14.2供</w:t>
      </w:r>
      <w:r>
        <w:rPr>
          <w:sz w:val="24"/>
          <w:szCs w:val="24"/>
        </w:rPr>
        <w:t>应商</w:t>
      </w:r>
      <w:r>
        <w:rPr>
          <w:rFonts w:hint="eastAsia"/>
          <w:sz w:val="24"/>
          <w:szCs w:val="24"/>
        </w:rPr>
        <w:t>应完整地填写谈判响应函。</w:t>
      </w:r>
    </w:p>
    <w:p>
      <w:pPr>
        <w:spacing w:line="440" w:lineRule="exact"/>
        <w:ind w:firstLine="480" w:firstLineChars="200"/>
        <w:rPr>
          <w:sz w:val="24"/>
          <w:szCs w:val="24"/>
        </w:rPr>
      </w:pPr>
      <w:r>
        <w:rPr>
          <w:rFonts w:hint="eastAsia"/>
          <w:sz w:val="24"/>
          <w:szCs w:val="24"/>
        </w:rPr>
        <w:t>14.3 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”必须与价格明细表（已标价采购清单）中的“合计(总价)”保持一致。</w:t>
      </w:r>
    </w:p>
    <w:p>
      <w:pPr>
        <w:spacing w:line="440" w:lineRule="exact"/>
        <w:ind w:firstLine="480" w:firstLineChars="200"/>
        <w:rPr>
          <w:sz w:val="24"/>
          <w:szCs w:val="24"/>
        </w:rPr>
      </w:pPr>
      <w:r>
        <w:rPr>
          <w:rFonts w:hint="eastAsia"/>
          <w:sz w:val="24"/>
          <w:szCs w:val="24"/>
        </w:rPr>
        <w:t>14.4 供</w:t>
      </w:r>
      <w:r>
        <w:rPr>
          <w:sz w:val="24"/>
          <w:szCs w:val="24"/>
        </w:rPr>
        <w:t>应商</w:t>
      </w:r>
      <w:r>
        <w:rPr>
          <w:rFonts w:hint="eastAsia"/>
          <w:sz w:val="24"/>
          <w:szCs w:val="24"/>
        </w:rPr>
        <w:t>应完整地填写价格明细表（已标价采购清单），符合最新相关造价规范及规定。</w:t>
      </w:r>
    </w:p>
    <w:p>
      <w:pPr>
        <w:spacing w:line="440" w:lineRule="exact"/>
        <w:ind w:firstLine="480" w:firstLineChars="200"/>
        <w:rPr>
          <w:sz w:val="24"/>
          <w:szCs w:val="24"/>
        </w:rPr>
      </w:pPr>
      <w:r>
        <w:rPr>
          <w:rFonts w:hint="eastAsia"/>
          <w:sz w:val="24"/>
          <w:szCs w:val="24"/>
        </w:rPr>
        <w:t>14.5 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pPr>
        <w:spacing w:line="400" w:lineRule="exact"/>
        <w:ind w:firstLine="482" w:firstLineChars="200"/>
        <w:rPr>
          <w:rFonts w:ascii="宋体" w:hAnsi="宋体"/>
          <w:b/>
          <w:sz w:val="24"/>
          <w:szCs w:val="24"/>
        </w:rPr>
      </w:pPr>
      <w:r>
        <w:rPr>
          <w:rFonts w:hint="eastAsia" w:ascii="宋体" w:hAnsi="宋体"/>
          <w:b/>
          <w:sz w:val="24"/>
          <w:szCs w:val="24"/>
        </w:rPr>
        <w:t>15. 谈判报价</w:t>
      </w:r>
    </w:p>
    <w:p>
      <w:pPr>
        <w:spacing w:line="440" w:lineRule="exact"/>
        <w:ind w:firstLine="480" w:firstLineChars="200"/>
        <w:rPr>
          <w:sz w:val="24"/>
          <w:szCs w:val="24"/>
        </w:rPr>
      </w:pPr>
      <w:r>
        <w:rPr>
          <w:rFonts w:hint="eastAsia"/>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sz w:val="24"/>
          <w:szCs w:val="24"/>
        </w:rPr>
      </w:pPr>
      <w:r>
        <w:rPr>
          <w:rFonts w:hint="eastAsia"/>
          <w:sz w:val="24"/>
          <w:szCs w:val="24"/>
        </w:rPr>
        <w:t>15.2供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pPr>
        <w:spacing w:line="440" w:lineRule="exact"/>
        <w:ind w:firstLine="480" w:firstLineChars="200"/>
        <w:rPr>
          <w:sz w:val="24"/>
          <w:szCs w:val="24"/>
        </w:rPr>
      </w:pPr>
      <w:r>
        <w:rPr>
          <w:rFonts w:hint="eastAsia"/>
          <w:sz w:val="24"/>
          <w:szCs w:val="24"/>
        </w:rPr>
        <w:t>15.3最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pPr>
        <w:spacing w:line="440" w:lineRule="exact"/>
        <w:ind w:firstLine="480" w:firstLineChars="200"/>
        <w:rPr>
          <w:sz w:val="24"/>
          <w:szCs w:val="24"/>
        </w:rPr>
      </w:pPr>
      <w:r>
        <w:rPr>
          <w:rFonts w:hint="eastAsia"/>
          <w:sz w:val="24"/>
          <w:szCs w:val="24"/>
        </w:rPr>
        <w:t>15.4采购人</w:t>
      </w:r>
      <w:r>
        <w:rPr>
          <w:sz w:val="24"/>
          <w:szCs w:val="24"/>
        </w:rPr>
        <w:t>和</w:t>
      </w:r>
      <w:r>
        <w:rPr>
          <w:rFonts w:hint="eastAsia"/>
          <w:sz w:val="24"/>
          <w:szCs w:val="24"/>
        </w:rPr>
        <w:t>长葛市公共资源交易中心不接受可选择的谈判报价。</w:t>
      </w:r>
    </w:p>
    <w:p>
      <w:pPr>
        <w:spacing w:line="440" w:lineRule="exact"/>
        <w:ind w:firstLine="480" w:firstLineChars="200"/>
        <w:rPr>
          <w:sz w:val="24"/>
          <w:szCs w:val="24"/>
        </w:rPr>
      </w:pPr>
      <w:r>
        <w:rPr>
          <w:rFonts w:hint="eastAsia"/>
          <w:sz w:val="24"/>
          <w:szCs w:val="24"/>
        </w:rPr>
        <w:t>15.5对于有配件、耗材、选件和特殊工具的设备（如有），还应填报所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pPr>
        <w:spacing w:line="440" w:lineRule="exact"/>
        <w:ind w:firstLine="482" w:firstLineChars="200"/>
        <w:rPr>
          <w:rFonts w:ascii="宋体" w:hAnsi="宋体"/>
          <w:bCs/>
          <w:sz w:val="24"/>
          <w:szCs w:val="24"/>
        </w:rPr>
      </w:pPr>
      <w:r>
        <w:rPr>
          <w:rFonts w:hint="eastAsia" w:ascii="宋体" w:hAnsi="宋体"/>
          <w:b/>
          <w:sz w:val="24"/>
          <w:szCs w:val="24"/>
        </w:rPr>
        <w:t>16.谈判保证金：</w:t>
      </w:r>
      <w:r>
        <w:rPr>
          <w:rFonts w:hint="eastAsia" w:ascii="宋体" w:hAnsi="宋体"/>
          <w:bCs/>
          <w:sz w:val="24"/>
          <w:szCs w:val="24"/>
        </w:rPr>
        <w:t>不收取</w:t>
      </w:r>
    </w:p>
    <w:p>
      <w:pPr>
        <w:spacing w:line="400" w:lineRule="exact"/>
        <w:ind w:firstLine="482" w:firstLineChars="200"/>
        <w:rPr>
          <w:rFonts w:ascii="宋体" w:hAnsi="宋体"/>
          <w:b/>
          <w:sz w:val="24"/>
          <w:szCs w:val="24"/>
        </w:rPr>
      </w:pPr>
      <w:r>
        <w:rPr>
          <w:rFonts w:hint="eastAsia" w:ascii="宋体" w:hAnsi="宋体"/>
          <w:b/>
          <w:sz w:val="24"/>
          <w:szCs w:val="24"/>
        </w:rPr>
        <w:t>17. 谈判有效期</w:t>
      </w:r>
    </w:p>
    <w:p>
      <w:pPr>
        <w:spacing w:line="400" w:lineRule="exact"/>
        <w:ind w:firstLine="480" w:firstLineChars="200"/>
        <w:rPr>
          <w:sz w:val="24"/>
          <w:szCs w:val="24"/>
        </w:rPr>
      </w:pPr>
      <w:r>
        <w:rPr>
          <w:rFonts w:hint="eastAsia"/>
          <w:sz w:val="24"/>
          <w:szCs w:val="24"/>
        </w:rPr>
        <w:t>17.1 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pPr>
        <w:spacing w:line="440" w:lineRule="exact"/>
        <w:ind w:firstLine="480" w:firstLineChars="200"/>
        <w:rPr>
          <w:sz w:val="24"/>
          <w:szCs w:val="24"/>
        </w:rPr>
      </w:pPr>
      <w:r>
        <w:rPr>
          <w:rFonts w:hint="eastAsia"/>
          <w:sz w:val="24"/>
          <w:szCs w:val="24"/>
        </w:rPr>
        <w:t>17.2 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文件的有效期。这种要求和答复都应以书面形式进行。同意延长有效期的供</w:t>
      </w:r>
      <w:r>
        <w:rPr>
          <w:sz w:val="24"/>
          <w:szCs w:val="24"/>
        </w:rPr>
        <w:t>应商</w:t>
      </w:r>
      <w:r>
        <w:rPr>
          <w:rFonts w:hint="eastAsia"/>
          <w:sz w:val="24"/>
          <w:szCs w:val="24"/>
        </w:rPr>
        <w:t>除按照采购长葛市公共资源交易中心要求修改谈判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pPr>
        <w:spacing w:line="440" w:lineRule="exact"/>
        <w:ind w:firstLine="482" w:firstLineChars="200"/>
        <w:rPr>
          <w:rFonts w:ascii="宋体" w:hAnsi="宋体" w:cs="宋体"/>
          <w:b/>
          <w:sz w:val="24"/>
          <w:szCs w:val="24"/>
        </w:rPr>
      </w:pPr>
      <w:r>
        <w:rPr>
          <w:rFonts w:hint="eastAsia" w:ascii="宋体" w:hAnsi="宋体" w:cs="宋体"/>
          <w:b/>
          <w:sz w:val="24"/>
          <w:szCs w:val="24"/>
        </w:rPr>
        <w:t>18.谈判响应文件的式样和签署</w:t>
      </w:r>
    </w:p>
    <w:p>
      <w:pPr>
        <w:spacing w:line="440" w:lineRule="exact"/>
        <w:ind w:firstLine="480" w:firstLineChars="200"/>
        <w:rPr>
          <w:rFonts w:ascii="宋体" w:hAnsi="宋体" w:cs="宋体"/>
          <w:sz w:val="24"/>
          <w:szCs w:val="24"/>
        </w:rPr>
      </w:pPr>
      <w:r>
        <w:rPr>
          <w:rFonts w:hint="eastAsia" w:ascii="宋体" w:hAnsi="宋体" w:cs="宋体"/>
          <w:sz w:val="24"/>
          <w:szCs w:val="24"/>
        </w:rPr>
        <w:t>18.1 组成谈判响应文件的各种数据及资料（本须知第13条中所规定）均应遵守本条。</w:t>
      </w:r>
    </w:p>
    <w:p>
      <w:pPr>
        <w:spacing w:line="440" w:lineRule="exact"/>
        <w:ind w:firstLine="480" w:firstLineChars="200"/>
        <w:rPr>
          <w:rFonts w:ascii="宋体" w:hAnsi="宋体" w:cs="宋体"/>
          <w:sz w:val="24"/>
          <w:szCs w:val="24"/>
        </w:rPr>
      </w:pPr>
      <w:r>
        <w:rPr>
          <w:rFonts w:hint="eastAsia" w:ascii="宋体" w:hAnsi="宋体" w:cs="宋体"/>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ascii="宋体" w:hAnsi="宋体" w:cs="宋体"/>
          <w:sz w:val="24"/>
          <w:szCs w:val="24"/>
        </w:rPr>
      </w:pPr>
      <w:r>
        <w:rPr>
          <w:rFonts w:hint="eastAsia" w:ascii="宋体" w:hAnsi="宋体" w:cs="宋体"/>
          <w:sz w:val="24"/>
          <w:szCs w:val="24"/>
        </w:rPr>
        <w:t>18.3 谈判响应文件的“正本”必须用不退色的墨水书写或打印，注明“正本”字样。“副本”可以是“正本”的复印件。</w:t>
      </w:r>
    </w:p>
    <w:p>
      <w:pPr>
        <w:spacing w:line="440" w:lineRule="exact"/>
        <w:ind w:firstLine="480" w:firstLineChars="200"/>
        <w:rPr>
          <w:rFonts w:ascii="宋体" w:hAnsi="宋体" w:cs="宋体"/>
          <w:sz w:val="24"/>
          <w:szCs w:val="24"/>
        </w:rPr>
      </w:pPr>
      <w:r>
        <w:rPr>
          <w:rFonts w:hint="eastAsia" w:ascii="宋体" w:hAnsi="宋体" w:cs="宋体"/>
          <w:sz w:val="24"/>
          <w:szCs w:val="24"/>
        </w:rPr>
        <w:t>18.4 供应商名称应填写全称，不允许只填写简称。</w:t>
      </w:r>
    </w:p>
    <w:p>
      <w:pPr>
        <w:spacing w:line="440" w:lineRule="exact"/>
        <w:ind w:firstLine="480" w:firstLineChars="200"/>
        <w:rPr>
          <w:rFonts w:ascii="宋体" w:hAnsi="宋体" w:cs="宋体"/>
          <w:sz w:val="24"/>
          <w:szCs w:val="24"/>
        </w:rPr>
      </w:pPr>
      <w:r>
        <w:rPr>
          <w:rFonts w:hint="eastAsia" w:ascii="宋体" w:hAnsi="宋体" w:cs="宋体"/>
          <w:sz w:val="24"/>
          <w:szCs w:val="24"/>
        </w:rPr>
        <w:t>18.5 谈判响应文件正本必须由供应商的法定代表人（代表人）或其授权委托人签署并加盖谈判响应供应商公章。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sz w:val="24"/>
          <w:szCs w:val="24"/>
        </w:rPr>
      </w:pPr>
    </w:p>
    <w:p>
      <w:pPr>
        <w:spacing w:afterLines="50" w:line="320" w:lineRule="exact"/>
        <w:ind w:left="-105" w:leftChars="-50" w:firstLine="120" w:firstLineChars="50"/>
        <w:jc w:val="center"/>
        <w:outlineLvl w:val="0"/>
        <w:rPr>
          <w:rFonts w:ascii="宋体" w:hAnsi="宋体"/>
          <w:b/>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四、谈判</w:t>
      </w:r>
      <w:r>
        <w:rPr>
          <w:rFonts w:ascii="宋体" w:hAnsi="宋体"/>
          <w:b/>
          <w:sz w:val="24"/>
          <w:szCs w:val="24"/>
        </w:rPr>
        <w:t>响应</w:t>
      </w:r>
      <w:r>
        <w:rPr>
          <w:rFonts w:hint="eastAsia" w:ascii="宋体" w:hAnsi="宋体"/>
          <w:b/>
          <w:sz w:val="24"/>
          <w:szCs w:val="24"/>
        </w:rPr>
        <w:t>文件的递交</w:t>
      </w:r>
    </w:p>
    <w:p>
      <w:pPr>
        <w:spacing w:line="400" w:lineRule="exact"/>
        <w:ind w:firstLine="472" w:firstLineChars="196"/>
        <w:rPr>
          <w:rFonts w:ascii="宋体" w:hAnsi="宋体"/>
          <w:b/>
          <w:sz w:val="24"/>
          <w:szCs w:val="24"/>
        </w:rPr>
      </w:pPr>
      <w:r>
        <w:rPr>
          <w:rFonts w:hint="eastAsia" w:ascii="宋体" w:hAnsi="宋体"/>
          <w:b/>
          <w:sz w:val="24"/>
          <w:szCs w:val="24"/>
        </w:rPr>
        <w:t>19. 谈判</w:t>
      </w:r>
      <w:r>
        <w:rPr>
          <w:rFonts w:ascii="宋体" w:hAnsi="宋体"/>
          <w:b/>
          <w:sz w:val="24"/>
          <w:szCs w:val="24"/>
        </w:rPr>
        <w:t>响应</w:t>
      </w:r>
      <w:r>
        <w:rPr>
          <w:rFonts w:hint="eastAsia" w:ascii="宋体" w:hAnsi="宋体"/>
          <w:b/>
          <w:sz w:val="24"/>
          <w:szCs w:val="24"/>
        </w:rPr>
        <w:t>文件的密封和标记</w:t>
      </w:r>
    </w:p>
    <w:p>
      <w:pPr>
        <w:spacing w:line="440" w:lineRule="exact"/>
        <w:ind w:firstLine="480" w:firstLineChars="200"/>
        <w:rPr>
          <w:sz w:val="24"/>
          <w:szCs w:val="24"/>
        </w:rPr>
      </w:pPr>
      <w:r>
        <w:rPr>
          <w:rFonts w:hint="eastAsia"/>
          <w:sz w:val="24"/>
          <w:szCs w:val="24"/>
        </w:rPr>
        <w:t>19.1 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pPr>
        <w:spacing w:line="440" w:lineRule="exact"/>
        <w:ind w:firstLine="480" w:firstLineChars="200"/>
        <w:rPr>
          <w:sz w:val="24"/>
          <w:szCs w:val="24"/>
        </w:rPr>
      </w:pPr>
      <w:r>
        <w:rPr>
          <w:rFonts w:hint="eastAsia"/>
          <w:sz w:val="24"/>
          <w:szCs w:val="24"/>
        </w:rPr>
        <w:t>（1）如果要求供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pPr>
        <w:spacing w:line="440" w:lineRule="exact"/>
        <w:ind w:firstLine="480" w:firstLineChars="200"/>
        <w:rPr>
          <w:sz w:val="24"/>
          <w:szCs w:val="24"/>
        </w:rPr>
      </w:pPr>
      <w:r>
        <w:rPr>
          <w:rFonts w:hint="eastAsia"/>
          <w:sz w:val="24"/>
          <w:szCs w:val="24"/>
        </w:rPr>
        <w:t>（2）如果要求供</w:t>
      </w:r>
      <w:r>
        <w:rPr>
          <w:sz w:val="24"/>
          <w:szCs w:val="24"/>
        </w:rPr>
        <w:t>应商</w:t>
      </w:r>
      <w:r>
        <w:rPr>
          <w:rFonts w:hint="eastAsia"/>
          <w:sz w:val="24"/>
          <w:szCs w:val="24"/>
        </w:rPr>
        <w:t>提供如U盘等介质，则该介质必须作为响</w:t>
      </w:r>
      <w:r>
        <w:rPr>
          <w:sz w:val="24"/>
          <w:szCs w:val="24"/>
        </w:rPr>
        <w:t>应</w:t>
      </w:r>
      <w:r>
        <w:rPr>
          <w:rFonts w:hint="eastAsia"/>
          <w:sz w:val="24"/>
          <w:szCs w:val="24"/>
        </w:rPr>
        <w:t>文件的一部分单独密封并与谈判</w:t>
      </w:r>
      <w:r>
        <w:rPr>
          <w:sz w:val="24"/>
          <w:szCs w:val="24"/>
        </w:rPr>
        <w:t>响应</w:t>
      </w:r>
      <w:r>
        <w:rPr>
          <w:rFonts w:hint="eastAsia"/>
          <w:sz w:val="24"/>
          <w:szCs w:val="24"/>
        </w:rPr>
        <w:t>文件封装在一个包封中。</w:t>
      </w:r>
    </w:p>
    <w:p>
      <w:pPr>
        <w:spacing w:line="440" w:lineRule="exact"/>
        <w:ind w:firstLine="480" w:firstLineChars="200"/>
        <w:rPr>
          <w:sz w:val="24"/>
          <w:szCs w:val="24"/>
        </w:rPr>
      </w:pPr>
      <w:r>
        <w:rPr>
          <w:rFonts w:hint="eastAsia"/>
          <w:sz w:val="24"/>
          <w:szCs w:val="24"/>
        </w:rPr>
        <w:t>（3）如果供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pPr>
        <w:spacing w:line="400" w:lineRule="exact"/>
        <w:ind w:firstLine="480" w:firstLineChars="200"/>
        <w:rPr>
          <w:sz w:val="24"/>
          <w:szCs w:val="24"/>
        </w:rPr>
      </w:pPr>
      <w:r>
        <w:rPr>
          <w:rFonts w:hint="eastAsia"/>
          <w:sz w:val="24"/>
          <w:szCs w:val="24"/>
        </w:rPr>
        <w:t>19.2 包封的封装处应：</w:t>
      </w:r>
    </w:p>
    <w:p>
      <w:pPr>
        <w:spacing w:line="440" w:lineRule="exact"/>
        <w:ind w:firstLine="480" w:firstLineChars="200"/>
        <w:rPr>
          <w:sz w:val="24"/>
          <w:szCs w:val="24"/>
        </w:rPr>
      </w:pPr>
      <w:r>
        <w:rPr>
          <w:rFonts w:hint="eastAsia"/>
          <w:sz w:val="24"/>
          <w:szCs w:val="24"/>
        </w:rPr>
        <w:t>（1）注明下列识别标志：采购项目名称、采购项目编号和“北京时间××年××月××日××时××分之前不得启封”的字样（具体时间详见采购文件第二章“采购项目基本内容及要求”规定的提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pPr>
        <w:spacing w:line="440" w:lineRule="exact"/>
        <w:ind w:firstLine="480" w:firstLineChars="200"/>
        <w:rPr>
          <w:rFonts w:ascii="宋体" w:hAnsi="宋体" w:cs="宋体"/>
          <w:sz w:val="24"/>
          <w:szCs w:val="24"/>
        </w:rPr>
      </w:pPr>
      <w:r>
        <w:rPr>
          <w:rFonts w:hint="eastAsia" w:ascii="宋体" w:hAnsi="宋体" w:cs="宋体"/>
          <w:sz w:val="24"/>
          <w:szCs w:val="24"/>
        </w:rPr>
        <w:t>（2）加盖供应商公章。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19.3如果供应商未按第19.1条和19.2条要求密封和标记，采购长葛市公共资源交易中心对谈判响应文件的误投、错投或提前启封概不负责。对由此造成提前启封的谈判响应文件，采购机构将予以拒绝，并退回供应商。</w:t>
      </w:r>
    </w:p>
    <w:p>
      <w:pPr>
        <w:spacing w:line="440" w:lineRule="exact"/>
        <w:ind w:firstLine="472" w:firstLineChars="196"/>
        <w:rPr>
          <w:rFonts w:ascii="宋体" w:hAnsi="宋体"/>
          <w:b/>
          <w:sz w:val="24"/>
          <w:szCs w:val="24"/>
        </w:rPr>
      </w:pPr>
      <w:r>
        <w:rPr>
          <w:rFonts w:hint="eastAsia" w:ascii="宋体" w:hAnsi="宋体"/>
          <w:b/>
          <w:sz w:val="24"/>
          <w:szCs w:val="24"/>
        </w:rPr>
        <w:t>20.谈判</w:t>
      </w:r>
      <w:r>
        <w:rPr>
          <w:rFonts w:ascii="宋体" w:hAnsi="宋体"/>
          <w:b/>
          <w:sz w:val="24"/>
          <w:szCs w:val="24"/>
        </w:rPr>
        <w:t>响应文件递交</w:t>
      </w:r>
      <w:r>
        <w:rPr>
          <w:rFonts w:hint="eastAsia" w:ascii="宋体" w:hAnsi="宋体"/>
          <w:b/>
          <w:sz w:val="24"/>
          <w:szCs w:val="24"/>
        </w:rPr>
        <w:t>截止时间</w:t>
      </w:r>
    </w:p>
    <w:p>
      <w:pPr>
        <w:spacing w:line="440" w:lineRule="exact"/>
        <w:ind w:firstLine="480" w:firstLineChars="200"/>
        <w:rPr>
          <w:sz w:val="24"/>
          <w:szCs w:val="24"/>
        </w:rPr>
      </w:pPr>
      <w:r>
        <w:rPr>
          <w:rFonts w:hint="eastAsia"/>
          <w:sz w:val="24"/>
          <w:szCs w:val="24"/>
        </w:rPr>
        <w:t>20.1供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20.2采购机构可以延长响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pPr>
        <w:spacing w:line="440" w:lineRule="exact"/>
        <w:ind w:firstLine="480" w:firstLineChars="200"/>
        <w:rPr>
          <w:sz w:val="24"/>
          <w:szCs w:val="24"/>
        </w:rPr>
      </w:pPr>
      <w:r>
        <w:rPr>
          <w:rFonts w:hint="eastAsia"/>
          <w:sz w:val="24"/>
          <w:szCs w:val="24"/>
        </w:rPr>
        <w:t>20.3供</w:t>
      </w:r>
      <w:r>
        <w:rPr>
          <w:sz w:val="24"/>
          <w:szCs w:val="24"/>
        </w:rPr>
        <w:t>应商</w:t>
      </w:r>
      <w:r>
        <w:rPr>
          <w:rFonts w:hint="eastAsia"/>
          <w:sz w:val="24"/>
          <w:szCs w:val="24"/>
        </w:rPr>
        <w:t>在递交</w:t>
      </w:r>
      <w:r>
        <w:rPr>
          <w:sz w:val="24"/>
          <w:szCs w:val="24"/>
        </w:rPr>
        <w:t>时</w:t>
      </w:r>
      <w:r>
        <w:rPr>
          <w:rFonts w:hint="eastAsia"/>
          <w:sz w:val="24"/>
          <w:szCs w:val="24"/>
        </w:rPr>
        <w:t>有下列情形之一的，采购长葛市公共资源交易中心将拒绝接受其谈判响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pPr>
        <w:spacing w:line="440" w:lineRule="exact"/>
        <w:ind w:firstLine="480" w:firstLineChars="200"/>
        <w:rPr>
          <w:sz w:val="24"/>
          <w:szCs w:val="24"/>
        </w:rPr>
      </w:pPr>
      <w:r>
        <w:rPr>
          <w:rFonts w:hint="eastAsia"/>
          <w:sz w:val="24"/>
          <w:szCs w:val="24"/>
        </w:rPr>
        <w:t>（2）谈判</w:t>
      </w:r>
      <w:r>
        <w:rPr>
          <w:sz w:val="24"/>
          <w:szCs w:val="24"/>
        </w:rPr>
        <w:t>响应</w:t>
      </w:r>
      <w:r>
        <w:rPr>
          <w:rFonts w:hint="eastAsia"/>
          <w:sz w:val="24"/>
          <w:szCs w:val="24"/>
        </w:rPr>
        <w:t>文件未按采购文件规定密封的；</w:t>
      </w:r>
    </w:p>
    <w:p>
      <w:pPr>
        <w:spacing w:line="440" w:lineRule="exact"/>
        <w:ind w:firstLine="472" w:firstLineChars="196"/>
        <w:rPr>
          <w:rFonts w:ascii="宋体" w:hAnsi="宋体"/>
          <w:b/>
          <w:sz w:val="24"/>
          <w:szCs w:val="24"/>
        </w:rPr>
      </w:pPr>
      <w:r>
        <w:rPr>
          <w:rFonts w:hint="eastAsia" w:ascii="宋体" w:hAnsi="宋体"/>
          <w:b/>
          <w:sz w:val="24"/>
          <w:szCs w:val="24"/>
        </w:rPr>
        <w:t>21.谈判</w:t>
      </w:r>
      <w:r>
        <w:rPr>
          <w:rFonts w:ascii="宋体" w:hAnsi="宋体"/>
          <w:b/>
          <w:sz w:val="24"/>
          <w:szCs w:val="24"/>
        </w:rPr>
        <w:t>响应</w:t>
      </w:r>
      <w:r>
        <w:rPr>
          <w:rFonts w:hint="eastAsia" w:ascii="宋体" w:hAnsi="宋体"/>
          <w:b/>
          <w:sz w:val="24"/>
          <w:szCs w:val="24"/>
        </w:rPr>
        <w:t>文件的澄清、说明</w:t>
      </w:r>
      <w:r>
        <w:rPr>
          <w:rFonts w:ascii="宋体" w:hAnsi="宋体"/>
          <w:b/>
          <w:sz w:val="24"/>
          <w:szCs w:val="24"/>
        </w:rPr>
        <w:t>或者</w:t>
      </w:r>
      <w:r>
        <w:rPr>
          <w:rFonts w:hint="eastAsia" w:ascii="宋体" w:hAnsi="宋体"/>
          <w:b/>
          <w:sz w:val="24"/>
          <w:szCs w:val="24"/>
        </w:rPr>
        <w:t>更</w:t>
      </w:r>
      <w:r>
        <w:rPr>
          <w:rFonts w:ascii="宋体" w:hAnsi="宋体"/>
          <w:b/>
          <w:sz w:val="24"/>
          <w:szCs w:val="24"/>
        </w:rPr>
        <w:t>正</w:t>
      </w:r>
    </w:p>
    <w:p>
      <w:pPr>
        <w:spacing w:line="440" w:lineRule="exact"/>
        <w:ind w:firstLine="480" w:firstLineChars="200"/>
        <w:rPr>
          <w:sz w:val="24"/>
          <w:szCs w:val="24"/>
        </w:rPr>
      </w:pPr>
      <w:r>
        <w:rPr>
          <w:rFonts w:hint="eastAsia"/>
          <w:sz w:val="24"/>
          <w:szCs w:val="24"/>
        </w:rPr>
        <w:t>21.1谈判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pPr>
        <w:spacing w:line="440" w:lineRule="exact"/>
        <w:ind w:firstLine="480" w:firstLineChars="200"/>
        <w:rPr>
          <w:rFonts w:ascii="宋体" w:hAnsi="宋体"/>
          <w:b/>
          <w:sz w:val="24"/>
          <w:szCs w:val="24"/>
        </w:rPr>
      </w:pPr>
      <w:r>
        <w:rPr>
          <w:rFonts w:hint="eastAsia"/>
          <w:sz w:val="24"/>
          <w:szCs w:val="24"/>
        </w:rPr>
        <w:t>21.2谈判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pPr>
        <w:spacing w:line="400" w:lineRule="exact"/>
        <w:jc w:val="center"/>
        <w:outlineLvl w:val="0"/>
        <w:rPr>
          <w:rFonts w:ascii="宋体" w:hAnsi="宋体"/>
          <w:b/>
          <w:sz w:val="24"/>
          <w:szCs w:val="24"/>
        </w:rPr>
      </w:pPr>
    </w:p>
    <w:p>
      <w:pPr>
        <w:spacing w:line="400" w:lineRule="exact"/>
        <w:jc w:val="center"/>
        <w:outlineLvl w:val="0"/>
        <w:rPr>
          <w:rFonts w:ascii="宋体" w:hAnsi="宋体"/>
          <w:b/>
          <w:sz w:val="24"/>
          <w:szCs w:val="24"/>
        </w:rPr>
      </w:pPr>
      <w:r>
        <w:rPr>
          <w:rFonts w:hint="eastAsia" w:ascii="宋体" w:hAnsi="宋体"/>
          <w:b/>
          <w:sz w:val="24"/>
          <w:szCs w:val="24"/>
        </w:rPr>
        <w:t>五、谈判与评审</w:t>
      </w:r>
    </w:p>
    <w:p>
      <w:pPr>
        <w:spacing w:line="400" w:lineRule="exact"/>
        <w:ind w:firstLine="472" w:firstLineChars="196"/>
        <w:rPr>
          <w:rFonts w:ascii="宋体" w:hAnsi="宋体"/>
          <w:b/>
          <w:sz w:val="24"/>
          <w:szCs w:val="24"/>
        </w:rPr>
      </w:pPr>
      <w:r>
        <w:rPr>
          <w:rFonts w:hint="eastAsia" w:ascii="宋体" w:hAnsi="宋体"/>
          <w:b/>
          <w:sz w:val="24"/>
          <w:szCs w:val="24"/>
        </w:rPr>
        <w:t>22. 谈判</w:t>
      </w:r>
    </w:p>
    <w:p>
      <w:pPr>
        <w:spacing w:line="440" w:lineRule="exact"/>
        <w:ind w:firstLine="480" w:firstLineChars="200"/>
        <w:rPr>
          <w:sz w:val="24"/>
          <w:szCs w:val="24"/>
        </w:rPr>
      </w:pPr>
      <w:r>
        <w:rPr>
          <w:rFonts w:hint="eastAsia"/>
          <w:sz w:val="24"/>
          <w:szCs w:val="24"/>
        </w:rPr>
        <w:t>22.1采购机构按采购文件第二章“采购项目基本内容及要求”规定的时间和地点组织采购单位、响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pPr>
        <w:spacing w:line="400" w:lineRule="exact"/>
        <w:ind w:firstLine="480" w:firstLineChars="200"/>
        <w:rPr>
          <w:sz w:val="24"/>
          <w:szCs w:val="24"/>
        </w:rPr>
      </w:pPr>
      <w:r>
        <w:rPr>
          <w:rFonts w:hint="eastAsia"/>
          <w:sz w:val="24"/>
          <w:szCs w:val="24"/>
        </w:rPr>
        <w:t>22.2 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pPr>
        <w:spacing w:line="400" w:lineRule="exact"/>
        <w:ind w:firstLine="480" w:firstLineChars="200"/>
        <w:rPr>
          <w:sz w:val="24"/>
          <w:szCs w:val="24"/>
        </w:rPr>
      </w:pPr>
      <w:r>
        <w:rPr>
          <w:rFonts w:hint="eastAsia"/>
          <w:sz w:val="24"/>
          <w:szCs w:val="24"/>
        </w:rPr>
        <w:t>22.3谈判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pPr>
        <w:spacing w:line="400" w:lineRule="exact"/>
        <w:ind w:firstLine="480" w:firstLineChars="200"/>
        <w:rPr>
          <w:sz w:val="24"/>
          <w:szCs w:val="24"/>
        </w:rPr>
      </w:pPr>
      <w:r>
        <w:rPr>
          <w:rFonts w:hint="eastAsia"/>
          <w:sz w:val="24"/>
          <w:szCs w:val="24"/>
        </w:rPr>
        <w:t>22.4谈判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pPr>
        <w:spacing w:line="400" w:lineRule="exact"/>
        <w:ind w:firstLine="480" w:firstLineChars="200"/>
        <w:rPr>
          <w:sz w:val="24"/>
          <w:szCs w:val="24"/>
        </w:rPr>
      </w:pPr>
      <w:r>
        <w:rPr>
          <w:rFonts w:hint="eastAsia"/>
          <w:sz w:val="24"/>
          <w:szCs w:val="24"/>
        </w:rPr>
        <w:t>22.5在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pPr>
        <w:spacing w:line="400" w:lineRule="exact"/>
        <w:ind w:firstLine="480" w:firstLineChars="20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pPr>
        <w:spacing w:line="400" w:lineRule="exact"/>
        <w:ind w:firstLine="480" w:firstLineChars="20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pPr>
        <w:spacing w:line="400" w:lineRule="exact"/>
        <w:ind w:firstLine="480" w:firstLineChars="200"/>
        <w:rPr>
          <w:sz w:val="24"/>
          <w:szCs w:val="24"/>
        </w:rPr>
      </w:pPr>
      <w:r>
        <w:rPr>
          <w:rFonts w:hint="eastAsia"/>
          <w:sz w:val="24"/>
          <w:szCs w:val="24"/>
        </w:rPr>
        <w:t>22.6谈判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pPr>
        <w:spacing w:line="400" w:lineRule="exact"/>
        <w:ind w:firstLine="480" w:firstLineChars="200"/>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w:t>
      </w:r>
      <w:r>
        <w:rPr>
          <w:rFonts w:hint="eastAsia"/>
          <w:sz w:val="24"/>
          <w:szCs w:val="24"/>
        </w:rPr>
        <w:t>编制</w:t>
      </w:r>
      <w:r>
        <w:rPr>
          <w:sz w:val="24"/>
          <w:szCs w:val="24"/>
        </w:rPr>
        <w:t>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3家</w:t>
      </w:r>
      <w:r>
        <w:rPr>
          <w:sz w:val="24"/>
          <w:szCs w:val="24"/>
        </w:rPr>
        <w:t>以上供应商的</w:t>
      </w:r>
      <w:r>
        <w:rPr>
          <w:rFonts w:hint="eastAsia"/>
          <w:sz w:val="24"/>
          <w:szCs w:val="24"/>
        </w:rPr>
        <w:t>编制</w:t>
      </w:r>
      <w:r>
        <w:rPr>
          <w:sz w:val="24"/>
          <w:szCs w:val="24"/>
        </w:rPr>
        <w:t>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pPr>
        <w:spacing w:line="400" w:lineRule="exact"/>
        <w:ind w:left="720" w:leftChars="228" w:hanging="241" w:hangingChars="100"/>
        <w:rPr>
          <w:rFonts w:ascii="宋体" w:hAnsi="宋体"/>
          <w:b/>
          <w:sz w:val="24"/>
          <w:szCs w:val="24"/>
        </w:rPr>
      </w:pPr>
      <w:r>
        <w:rPr>
          <w:rFonts w:hint="eastAsia" w:ascii="宋体" w:hAnsi="宋体"/>
          <w:b/>
          <w:sz w:val="24"/>
          <w:szCs w:val="24"/>
        </w:rPr>
        <w:t>23. 谈判小组的组成</w:t>
      </w:r>
    </w:p>
    <w:p>
      <w:pPr>
        <w:spacing w:line="440" w:lineRule="exact"/>
        <w:ind w:firstLine="480" w:firstLineChars="200"/>
        <w:rPr>
          <w:sz w:val="24"/>
          <w:szCs w:val="24"/>
        </w:rPr>
      </w:pPr>
      <w:r>
        <w:rPr>
          <w:rFonts w:hint="eastAsia"/>
          <w:sz w:val="24"/>
          <w:szCs w:val="24"/>
        </w:rPr>
        <w:t>23.1 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rPr>
        <w:t>5人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。采购长葛市公共资源交易中心</w:t>
      </w:r>
      <w:r>
        <w:rPr>
          <w:sz w:val="24"/>
          <w:szCs w:val="24"/>
        </w:rPr>
        <w:t>人员不得参加本机构代理的采购项目的评审</w:t>
      </w:r>
      <w:r>
        <w:rPr>
          <w:rFonts w:hint="eastAsia"/>
          <w:sz w:val="24"/>
          <w:szCs w:val="24"/>
        </w:rPr>
        <w:t>。</w:t>
      </w:r>
    </w:p>
    <w:p>
      <w:pPr>
        <w:spacing w:line="440" w:lineRule="exact"/>
        <w:ind w:firstLine="480" w:firstLineChars="200"/>
        <w:rPr>
          <w:sz w:val="24"/>
          <w:szCs w:val="24"/>
        </w:rPr>
      </w:pPr>
      <w:r>
        <w:rPr>
          <w:rFonts w:hint="eastAsia"/>
          <w:sz w:val="24"/>
          <w:szCs w:val="24"/>
        </w:rPr>
        <w:t>23.2 与供</w:t>
      </w:r>
      <w:r>
        <w:rPr>
          <w:sz w:val="24"/>
          <w:szCs w:val="24"/>
        </w:rPr>
        <w:t>应商</w:t>
      </w:r>
      <w:r>
        <w:rPr>
          <w:rFonts w:hint="eastAsia"/>
          <w:sz w:val="24"/>
          <w:szCs w:val="24"/>
        </w:rPr>
        <w:t>有利害关系的人不得进入谈判小组，已经进入的必须退出。</w:t>
      </w:r>
    </w:p>
    <w:p>
      <w:pPr>
        <w:spacing w:line="440" w:lineRule="exact"/>
        <w:ind w:firstLine="480" w:firstLineChars="200"/>
        <w:rPr>
          <w:sz w:val="24"/>
          <w:szCs w:val="24"/>
        </w:rPr>
      </w:pPr>
      <w:r>
        <w:rPr>
          <w:rFonts w:hint="eastAsia"/>
          <w:sz w:val="24"/>
          <w:szCs w:val="24"/>
        </w:rPr>
        <w:t>23.3 谈判小组负责具体评审事务，根据有关法律法规和采购文件规定的谈判程序、评审方法及评审标准独立履行评审职责。</w:t>
      </w:r>
    </w:p>
    <w:p>
      <w:pPr>
        <w:spacing w:line="440" w:lineRule="exact"/>
        <w:ind w:firstLine="482" w:firstLineChars="200"/>
        <w:rPr>
          <w:b/>
          <w:sz w:val="24"/>
          <w:szCs w:val="24"/>
        </w:rPr>
      </w:pPr>
      <w:r>
        <w:rPr>
          <w:rFonts w:hint="eastAsia"/>
          <w:b/>
          <w:sz w:val="24"/>
          <w:szCs w:val="24"/>
        </w:rPr>
        <w:t>24. 谈判</w:t>
      </w:r>
      <w:r>
        <w:rPr>
          <w:b/>
          <w:sz w:val="24"/>
          <w:szCs w:val="24"/>
        </w:rPr>
        <w:t>响应</w:t>
      </w:r>
      <w:r>
        <w:rPr>
          <w:rFonts w:hint="eastAsia"/>
          <w:b/>
          <w:sz w:val="24"/>
          <w:szCs w:val="24"/>
        </w:rPr>
        <w:t>文件的初审</w:t>
      </w:r>
    </w:p>
    <w:p>
      <w:pPr>
        <w:spacing w:line="440" w:lineRule="exact"/>
        <w:ind w:firstLine="480" w:firstLineChars="200"/>
        <w:rPr>
          <w:sz w:val="24"/>
          <w:szCs w:val="24"/>
        </w:rPr>
      </w:pPr>
      <w:r>
        <w:rPr>
          <w:rFonts w:hint="eastAsia"/>
          <w:sz w:val="24"/>
          <w:szCs w:val="24"/>
        </w:rPr>
        <w:t>24.1 资格性审查。采购人或评审小组依据有关法律法规和采购文件的规定，审查每个供</w:t>
      </w:r>
      <w:r>
        <w:rPr>
          <w:sz w:val="24"/>
          <w:szCs w:val="24"/>
        </w:rPr>
        <w:t>应商</w:t>
      </w:r>
      <w:r>
        <w:rPr>
          <w:rFonts w:hint="eastAsia"/>
          <w:sz w:val="24"/>
          <w:szCs w:val="24"/>
        </w:rPr>
        <w:t>提交的资格证明文件是否齐全、完整、合法、有效。</w:t>
      </w:r>
    </w:p>
    <w:p>
      <w:pPr>
        <w:spacing w:line="440" w:lineRule="exact"/>
        <w:ind w:firstLine="480" w:firstLineChars="20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pPr>
        <w:spacing w:line="440" w:lineRule="exact"/>
        <w:ind w:firstLine="480" w:firstLineChars="200"/>
        <w:rPr>
          <w:sz w:val="24"/>
          <w:szCs w:val="24"/>
        </w:rPr>
      </w:pPr>
      <w:r>
        <w:rPr>
          <w:rFonts w:hint="eastAsia"/>
          <w:sz w:val="24"/>
          <w:szCs w:val="24"/>
        </w:rPr>
        <w:t>24.2 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pPr>
        <w:spacing w:line="440" w:lineRule="exact"/>
        <w:ind w:firstLine="480" w:firstLineChars="200"/>
        <w:rPr>
          <w:sz w:val="24"/>
          <w:szCs w:val="24"/>
        </w:rPr>
      </w:pPr>
      <w:r>
        <w:rPr>
          <w:rFonts w:hint="eastAsia"/>
          <w:sz w:val="24"/>
          <w:szCs w:val="24"/>
        </w:rPr>
        <w:t>24.3 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40" w:lineRule="exact"/>
        <w:ind w:firstLine="480" w:firstLineChars="200"/>
        <w:rPr>
          <w:sz w:val="24"/>
          <w:szCs w:val="24"/>
        </w:rPr>
      </w:pPr>
      <w:r>
        <w:rPr>
          <w:rFonts w:hint="eastAsia"/>
          <w:sz w:val="24"/>
          <w:szCs w:val="24"/>
        </w:rPr>
        <w:t>24.4 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pPr>
        <w:spacing w:line="440" w:lineRule="exact"/>
        <w:ind w:firstLine="480" w:firstLineChars="200"/>
        <w:rPr>
          <w:sz w:val="24"/>
          <w:szCs w:val="24"/>
        </w:rPr>
      </w:pPr>
      <w:r>
        <w:rPr>
          <w:rFonts w:hint="eastAsia"/>
          <w:sz w:val="24"/>
          <w:szCs w:val="24"/>
        </w:rPr>
        <w:t>24.5 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pPr>
        <w:spacing w:line="440" w:lineRule="exact"/>
        <w:ind w:firstLine="480" w:firstLineChars="200"/>
        <w:rPr>
          <w:sz w:val="24"/>
          <w:szCs w:val="24"/>
        </w:rPr>
      </w:pPr>
      <w:r>
        <w:rPr>
          <w:rFonts w:hint="eastAsia"/>
          <w:sz w:val="24"/>
          <w:szCs w:val="24"/>
        </w:rPr>
        <w:t>24.6 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pPr>
        <w:spacing w:line="440" w:lineRule="exact"/>
        <w:ind w:firstLine="480" w:firstLineChars="200"/>
        <w:rPr>
          <w:sz w:val="24"/>
          <w:szCs w:val="24"/>
        </w:rPr>
      </w:pPr>
      <w:r>
        <w:rPr>
          <w:rFonts w:hint="eastAsia"/>
          <w:sz w:val="24"/>
          <w:szCs w:val="24"/>
        </w:rPr>
        <w:t>24.7 谈判</w:t>
      </w:r>
      <w:r>
        <w:rPr>
          <w:sz w:val="24"/>
          <w:szCs w:val="24"/>
        </w:rPr>
        <w:t>响应</w:t>
      </w:r>
      <w:r>
        <w:rPr>
          <w:rFonts w:hint="eastAsia"/>
          <w:sz w:val="24"/>
          <w:szCs w:val="24"/>
        </w:rPr>
        <w:t>文件中明显的文字和计算错误，按下列规则修正：</w:t>
      </w:r>
    </w:p>
    <w:p>
      <w:pPr>
        <w:spacing w:line="440" w:lineRule="exact"/>
        <w:ind w:firstLine="480" w:firstLineChars="200"/>
        <w:rPr>
          <w:sz w:val="24"/>
          <w:szCs w:val="24"/>
        </w:rPr>
      </w:pPr>
      <w:r>
        <w:rPr>
          <w:rFonts w:hint="eastAsia"/>
          <w:sz w:val="24"/>
          <w:szCs w:val="24"/>
        </w:rPr>
        <w:t>（1）大写金额与小写金额不一致的，以大写金额为准；</w:t>
      </w:r>
    </w:p>
    <w:p>
      <w:pPr>
        <w:spacing w:line="440" w:lineRule="exact"/>
        <w:ind w:firstLine="480" w:firstLineChars="200"/>
        <w:rPr>
          <w:sz w:val="24"/>
          <w:szCs w:val="24"/>
        </w:rPr>
      </w:pPr>
      <w:r>
        <w:rPr>
          <w:rFonts w:hint="eastAsia"/>
          <w:sz w:val="24"/>
          <w:szCs w:val="24"/>
        </w:rPr>
        <w:t>（2）总价金额与按单价汇总金额不一致的，以单价金额计算结果为准；</w:t>
      </w:r>
    </w:p>
    <w:p>
      <w:pPr>
        <w:spacing w:line="440" w:lineRule="exact"/>
        <w:ind w:firstLine="480" w:firstLineChars="200"/>
        <w:rPr>
          <w:sz w:val="24"/>
          <w:szCs w:val="24"/>
        </w:rPr>
      </w:pPr>
      <w:r>
        <w:rPr>
          <w:rFonts w:hint="eastAsia"/>
          <w:sz w:val="24"/>
          <w:szCs w:val="24"/>
        </w:rPr>
        <w:t>（3）单价金额小数点有明显错位的，应以总价为准，并修改单价；</w:t>
      </w:r>
    </w:p>
    <w:p>
      <w:pPr>
        <w:spacing w:line="440" w:lineRule="exact"/>
        <w:ind w:firstLine="480" w:firstLineChars="200"/>
        <w:rPr>
          <w:sz w:val="24"/>
          <w:szCs w:val="24"/>
        </w:rPr>
      </w:pPr>
      <w:r>
        <w:rPr>
          <w:rFonts w:hint="eastAsia"/>
          <w:sz w:val="24"/>
          <w:szCs w:val="24"/>
        </w:rPr>
        <w:t>（4）按上述规则调整后的价格为评审价格，对供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w:t>
      </w:r>
    </w:p>
    <w:p>
      <w:pPr>
        <w:spacing w:line="440" w:lineRule="exact"/>
        <w:ind w:firstLine="482" w:firstLineChars="200"/>
        <w:rPr>
          <w:b/>
          <w:sz w:val="24"/>
          <w:szCs w:val="24"/>
        </w:rPr>
      </w:pPr>
      <w:r>
        <w:rPr>
          <w:rFonts w:hint="eastAsia"/>
          <w:b/>
          <w:sz w:val="24"/>
          <w:szCs w:val="24"/>
        </w:rPr>
        <w:t>25.谈判</w:t>
      </w:r>
      <w:r>
        <w:rPr>
          <w:b/>
          <w:sz w:val="24"/>
          <w:szCs w:val="24"/>
        </w:rPr>
        <w:t>响</w:t>
      </w:r>
      <w:r>
        <w:rPr>
          <w:rFonts w:hint="eastAsia"/>
          <w:b/>
          <w:sz w:val="24"/>
          <w:szCs w:val="24"/>
        </w:rPr>
        <w:t>应文件的澄清</w:t>
      </w:r>
    </w:p>
    <w:p>
      <w:pPr>
        <w:spacing w:line="440" w:lineRule="exact"/>
        <w:ind w:firstLine="480" w:firstLineChars="200"/>
        <w:rPr>
          <w:sz w:val="24"/>
          <w:szCs w:val="24"/>
        </w:rPr>
      </w:pPr>
      <w:r>
        <w:rPr>
          <w:rFonts w:hint="eastAsia"/>
          <w:sz w:val="24"/>
          <w:szCs w:val="24"/>
        </w:rPr>
        <w:t>25.1在评审期间，对响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pPr>
        <w:spacing w:line="440" w:lineRule="exact"/>
        <w:ind w:firstLine="480" w:firstLineChars="200"/>
        <w:rPr>
          <w:sz w:val="24"/>
          <w:szCs w:val="24"/>
        </w:rPr>
      </w:pPr>
      <w:r>
        <w:rPr>
          <w:rFonts w:hint="eastAsia"/>
          <w:sz w:val="24"/>
          <w:szCs w:val="24"/>
        </w:rPr>
        <w:t>25.2 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pPr>
        <w:spacing w:line="440" w:lineRule="exact"/>
        <w:ind w:firstLine="482" w:firstLineChars="200"/>
        <w:rPr>
          <w:b/>
          <w:sz w:val="24"/>
          <w:szCs w:val="24"/>
        </w:rPr>
      </w:pPr>
      <w:r>
        <w:rPr>
          <w:rFonts w:hint="eastAsia"/>
          <w:b/>
          <w:sz w:val="24"/>
          <w:szCs w:val="24"/>
        </w:rPr>
        <w:t>26. 评审方法及评审标准</w:t>
      </w:r>
    </w:p>
    <w:p>
      <w:pPr>
        <w:spacing w:line="440" w:lineRule="exact"/>
        <w:ind w:firstLine="480" w:firstLineChars="200"/>
        <w:rPr>
          <w:sz w:val="24"/>
          <w:szCs w:val="24"/>
        </w:rPr>
      </w:pPr>
      <w:r>
        <w:rPr>
          <w:rFonts w:hint="eastAsia"/>
          <w:sz w:val="24"/>
          <w:szCs w:val="24"/>
        </w:rPr>
        <w:t>详</w:t>
      </w:r>
      <w:r>
        <w:rPr>
          <w:sz w:val="24"/>
          <w:szCs w:val="24"/>
        </w:rPr>
        <w:t>见“</w:t>
      </w:r>
      <w:r>
        <w:rPr>
          <w:rFonts w:hint="eastAsia"/>
          <w:sz w:val="24"/>
          <w:szCs w:val="24"/>
        </w:rPr>
        <w:t>第五章评审方法及成交原则</w:t>
      </w:r>
      <w:r>
        <w:rPr>
          <w:sz w:val="24"/>
          <w:szCs w:val="24"/>
        </w:rPr>
        <w:t>”</w:t>
      </w:r>
      <w:r>
        <w:rPr>
          <w:rFonts w:hint="eastAsia"/>
          <w:sz w:val="24"/>
          <w:szCs w:val="24"/>
        </w:rPr>
        <w:t>。</w:t>
      </w:r>
    </w:p>
    <w:p>
      <w:pPr>
        <w:spacing w:line="440" w:lineRule="exact"/>
        <w:ind w:firstLine="472" w:firstLineChars="196"/>
        <w:rPr>
          <w:rFonts w:ascii="宋体" w:hAnsi="宋体"/>
          <w:b/>
          <w:sz w:val="24"/>
          <w:szCs w:val="24"/>
        </w:rPr>
      </w:pPr>
      <w:r>
        <w:rPr>
          <w:rFonts w:hint="eastAsia" w:ascii="宋体" w:hAnsi="宋体"/>
          <w:b/>
          <w:sz w:val="24"/>
          <w:szCs w:val="24"/>
        </w:rPr>
        <w:t>27. 评审过程的保密性</w:t>
      </w:r>
    </w:p>
    <w:p>
      <w:pPr>
        <w:spacing w:line="440" w:lineRule="exact"/>
        <w:ind w:firstLine="480" w:firstLineChars="200"/>
        <w:rPr>
          <w:sz w:val="24"/>
          <w:szCs w:val="24"/>
        </w:rPr>
      </w:pPr>
      <w:r>
        <w:rPr>
          <w:rFonts w:hint="eastAsia"/>
          <w:sz w:val="24"/>
          <w:szCs w:val="24"/>
        </w:rPr>
        <w:t>27.1 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pPr>
        <w:spacing w:line="440" w:lineRule="exact"/>
        <w:ind w:firstLine="480" w:firstLineChars="200"/>
        <w:rPr>
          <w:sz w:val="24"/>
          <w:szCs w:val="24"/>
        </w:rPr>
      </w:pPr>
      <w:r>
        <w:rPr>
          <w:rFonts w:hint="eastAsia"/>
          <w:sz w:val="24"/>
          <w:szCs w:val="24"/>
        </w:rPr>
        <w:t>27.2 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pPr>
        <w:spacing w:line="440" w:lineRule="exact"/>
        <w:ind w:firstLine="472" w:firstLineChars="196"/>
        <w:rPr>
          <w:rFonts w:ascii="宋体" w:hAnsi="宋体"/>
          <w:b/>
          <w:sz w:val="24"/>
          <w:szCs w:val="24"/>
        </w:rPr>
      </w:pPr>
      <w:r>
        <w:rPr>
          <w:rFonts w:hint="eastAsia" w:ascii="宋体" w:hAnsi="宋体"/>
          <w:b/>
          <w:sz w:val="24"/>
          <w:szCs w:val="24"/>
        </w:rPr>
        <w:t>28.响应文件报价出现前后不一致的修正</w:t>
      </w:r>
    </w:p>
    <w:p>
      <w:pPr>
        <w:autoSpaceDE w:val="0"/>
        <w:autoSpaceDN w:val="0"/>
        <w:spacing w:line="360" w:lineRule="auto"/>
        <w:ind w:left="420"/>
        <w:contextualSpacing/>
        <w:rPr>
          <w:sz w:val="24"/>
          <w:szCs w:val="24"/>
        </w:rPr>
      </w:pPr>
      <w:r>
        <w:rPr>
          <w:rFonts w:hint="eastAsia"/>
          <w:sz w:val="24"/>
          <w:szCs w:val="24"/>
        </w:rPr>
        <w:t>28.1大写金额和小写金额不一致的，以大写金额为准；</w:t>
      </w:r>
    </w:p>
    <w:p>
      <w:pPr>
        <w:autoSpaceDE w:val="0"/>
        <w:autoSpaceDN w:val="0"/>
        <w:spacing w:line="360" w:lineRule="auto"/>
        <w:ind w:firstLine="480" w:firstLineChars="200"/>
        <w:contextualSpacing/>
        <w:rPr>
          <w:sz w:val="24"/>
          <w:szCs w:val="24"/>
        </w:rPr>
      </w:pPr>
      <w:r>
        <w:rPr>
          <w:rFonts w:hint="eastAsia"/>
          <w:sz w:val="24"/>
          <w:szCs w:val="24"/>
        </w:rPr>
        <w:t>28.2单价金额小数点或者百分比有明显错位的，以报价一览表的总价为准，并修改单价；</w:t>
      </w:r>
    </w:p>
    <w:p>
      <w:pPr>
        <w:autoSpaceDE w:val="0"/>
        <w:autoSpaceDN w:val="0"/>
        <w:spacing w:line="360" w:lineRule="auto"/>
        <w:ind w:firstLine="480" w:firstLineChars="200"/>
        <w:contextualSpacing/>
        <w:rPr>
          <w:sz w:val="24"/>
          <w:szCs w:val="24"/>
        </w:rPr>
      </w:pPr>
      <w:r>
        <w:rPr>
          <w:rFonts w:hint="eastAsia"/>
          <w:sz w:val="24"/>
          <w:szCs w:val="24"/>
        </w:rPr>
        <w:t>28.3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29.响应无效情形</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29.1</w:t>
      </w:r>
      <w:r>
        <w:rPr>
          <w:rFonts w:hint="eastAsia" w:cs="宋体" w:asciiTheme="minorEastAsia" w:hAnsiTheme="minorEastAsia"/>
          <w:kern w:val="0"/>
          <w:sz w:val="24"/>
          <w:szCs w:val="21"/>
        </w:rPr>
        <w:t>响应文件属下列情况之一的，按照无效响应处理：</w:t>
      </w:r>
    </w:p>
    <w:p>
      <w:pPr>
        <w:pStyle w:val="32"/>
        <w:ind w:firstLine="480"/>
      </w:pPr>
      <w:r>
        <w:rPr>
          <w:rFonts w:hint="eastAsia" w:cs="宋体" w:asciiTheme="minorEastAsia" w:hAnsiTheme="minorEastAsia"/>
          <w:kern w:val="0"/>
          <w:szCs w:val="21"/>
        </w:rPr>
        <w:t>29.1.1 未按照谈判文件的规定提交《投标承诺函》的；</w:t>
      </w: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autoSpaceDE w:val="0"/>
        <w:autoSpaceDN w:val="0"/>
        <w:spacing w:line="360" w:lineRule="auto"/>
        <w:ind w:left="964"/>
        <w:contextualSpacing/>
        <w:rPr>
          <w:rFonts w:cs="宋体" w:asciiTheme="minorEastAsia" w:hAnsiTheme="minorEastAsia"/>
          <w:kern w:val="0"/>
          <w:sz w:val="24"/>
          <w:szCs w:val="21"/>
        </w:rPr>
      </w:pPr>
      <w:r>
        <w:rPr>
          <w:rFonts w:hint="eastAsia" w:cs="宋体" w:asciiTheme="minorEastAsia" w:hAnsiTheme="minorEastAsia"/>
          <w:kern w:val="0"/>
          <w:sz w:val="24"/>
          <w:szCs w:val="21"/>
        </w:rPr>
        <w:t>29.1.2 响应文件未按招标文件要求签署、盖章的；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29.1.3 不具备谈判文件中规定的资格要求的；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29.1.4 报价超过谈判文件中规定的预算金额的；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29.1.5 响应</w:t>
      </w:r>
      <w:r>
        <w:rPr>
          <w:rFonts w:eastAsia="宋体" w:cs="宋体" w:asciiTheme="minorEastAsia" w:hAnsiTheme="minorEastAsia"/>
          <w:kern w:val="0"/>
          <w:sz w:val="24"/>
          <w:szCs w:val="21"/>
        </w:rPr>
        <w:t>文件含有采购人不能接受的附加条件的</w:t>
      </w:r>
      <w:r>
        <w:rPr>
          <w:rFonts w:hint="eastAsia" w:eastAsia="宋体" w:cs="宋体" w:asciiTheme="minorEastAsia" w:hAnsiTheme="minorEastAsia"/>
          <w:kern w:val="0"/>
          <w:sz w:val="24"/>
          <w:szCs w:val="21"/>
        </w:rPr>
        <w:t>。</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29.2</w:t>
      </w:r>
      <w:r>
        <w:rPr>
          <w:rFonts w:hint="eastAsia" w:cs="宋体" w:asciiTheme="minorEastAsia" w:hAnsiTheme="minorEastAsia"/>
          <w:kern w:val="0"/>
          <w:sz w:val="24"/>
          <w:szCs w:val="21"/>
        </w:rPr>
        <w:t>有下列情形之一的，视为供应商串通谈判，其响应无效：</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29.2.1 不同供应商的响应文件由同一单位或者个人编制；</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29.2.2 不同供应商委托同一单位或者个人办理响应事宜；</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29.2.3 不同供应商的响应文件载明的项目管理成员或者联系人员为同一人；</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29.2.4 不同供应商的响应文件异常一致或者投标报价呈规律性差异；</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29.2.5 不同供应商的响应文件相互混装；</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29.3</w:t>
      </w:r>
      <w:r>
        <w:rPr>
          <w:rFonts w:hint="eastAsia" w:cs="宋体" w:asciiTheme="minorEastAsia" w:hAnsiTheme="minorEastAsia"/>
          <w:kern w:val="0"/>
          <w:sz w:val="24"/>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29.4</w:t>
      </w:r>
      <w:r>
        <w:rPr>
          <w:rFonts w:hint="eastAsia" w:cs="宋体" w:asciiTheme="minorEastAsia" w:hAnsiTheme="minorEastAsia"/>
          <w:kern w:val="0"/>
          <w:sz w:val="24"/>
          <w:szCs w:val="21"/>
        </w:rPr>
        <w:t>按照《关于推进全流程电子化交易和在线监管工作有关问题的通知》（许公管办[2019]3号）规定，不同供应商电子响应文件制作硬件特征码（网卡MAC地址、CPU序号、硬盘序列号等）雷同时，视为‘</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的</w:t>
      </w:r>
      <w:r>
        <w:rPr>
          <w:rFonts w:hint="eastAsia" w:cs="宋体" w:asciiTheme="minorEastAsia" w:hAnsiTheme="minorEastAsia"/>
          <w:kern w:val="0"/>
          <w:sz w:val="24"/>
          <w:szCs w:val="21"/>
        </w:rPr>
        <w:t>响应</w:t>
      </w:r>
      <w:r>
        <w:rPr>
          <w:rFonts w:cs="宋体" w:asciiTheme="minorEastAsia" w:hAnsiTheme="minorEastAsia"/>
          <w:kern w:val="0"/>
          <w:sz w:val="24"/>
          <w:szCs w:val="21"/>
        </w:rPr>
        <w:t>文件由同一单位或者个人编制</w:t>
      </w:r>
      <w:r>
        <w:rPr>
          <w:rFonts w:hint="eastAsia" w:cs="宋体" w:asciiTheme="minorEastAsia" w:hAnsiTheme="minorEastAsia"/>
          <w:kern w:val="0"/>
          <w:sz w:val="24"/>
          <w:szCs w:val="21"/>
        </w:rPr>
        <w:t>’或‘</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委托同一单位或者个人办理</w:t>
      </w:r>
      <w:r>
        <w:rPr>
          <w:rFonts w:hint="eastAsia" w:cs="宋体" w:asciiTheme="minorEastAsia" w:hAnsiTheme="minorEastAsia"/>
          <w:kern w:val="0"/>
          <w:sz w:val="24"/>
          <w:szCs w:val="21"/>
        </w:rPr>
        <w:t>响应</w:t>
      </w:r>
      <w:r>
        <w:rPr>
          <w:rFonts w:cs="宋体" w:asciiTheme="minorEastAsia" w:hAnsiTheme="minorEastAsia"/>
          <w:kern w:val="0"/>
          <w:sz w:val="24"/>
          <w:szCs w:val="21"/>
        </w:rPr>
        <w:t>事宜</w:t>
      </w:r>
      <w:r>
        <w:rPr>
          <w:rFonts w:hint="eastAsia" w:cs="宋体" w:asciiTheme="minorEastAsia" w:hAnsiTheme="minorEastAsia"/>
          <w:kern w:val="0"/>
          <w:sz w:val="24"/>
          <w:szCs w:val="21"/>
        </w:rPr>
        <w:t>’，其谈判响应无效。</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29.5</w:t>
      </w:r>
      <w:r>
        <w:rPr>
          <w:rFonts w:cs="宋体" w:asciiTheme="minorEastAsia" w:hAnsiTheme="minorEastAsia"/>
          <w:kern w:val="0"/>
          <w:sz w:val="24"/>
          <w:szCs w:val="21"/>
        </w:rPr>
        <w:t>法律、法规和</w:t>
      </w:r>
      <w:r>
        <w:rPr>
          <w:rFonts w:hint="eastAsia" w:cs="宋体" w:asciiTheme="minorEastAsia" w:hAnsiTheme="minorEastAsia"/>
          <w:kern w:val="0"/>
          <w:sz w:val="24"/>
          <w:szCs w:val="21"/>
        </w:rPr>
        <w:t>响应</w:t>
      </w:r>
      <w:r>
        <w:rPr>
          <w:rFonts w:cs="宋体" w:asciiTheme="minorEastAsia" w:hAnsiTheme="minorEastAsia"/>
          <w:kern w:val="0"/>
          <w:sz w:val="24"/>
          <w:szCs w:val="21"/>
        </w:rPr>
        <w:t>文件规定的其他无效情形。</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p>
    <w:p>
      <w:pPr>
        <w:pStyle w:val="32"/>
        <w:ind w:firstLine="480"/>
        <w:rPr>
          <w:rFonts w:cs="宋体" w:asciiTheme="minorEastAsia" w:hAnsiTheme="minorEastAsia"/>
          <w:kern w:val="0"/>
          <w:szCs w:val="21"/>
        </w:rPr>
      </w:pPr>
    </w:p>
    <w:p>
      <w:pPr>
        <w:pStyle w:val="32"/>
        <w:ind w:firstLine="480"/>
      </w:pPr>
    </w:p>
    <w:p>
      <w:pPr>
        <w:pStyle w:val="32"/>
        <w:ind w:firstLine="480"/>
      </w:pPr>
    </w:p>
    <w:p>
      <w:pPr>
        <w:spacing w:afterLines="50" w:line="320" w:lineRule="exact"/>
        <w:jc w:val="center"/>
        <w:rPr>
          <w:rFonts w:ascii="宋体" w:hAnsi="宋体"/>
          <w:b/>
          <w:sz w:val="24"/>
          <w:szCs w:val="24"/>
        </w:rPr>
      </w:pPr>
      <w:r>
        <w:rPr>
          <w:rFonts w:hint="eastAsia" w:ascii="宋体" w:hAnsi="宋体"/>
          <w:b/>
          <w:sz w:val="24"/>
          <w:szCs w:val="24"/>
        </w:rPr>
        <w:t>六、授予采购合同</w:t>
      </w:r>
    </w:p>
    <w:p>
      <w:pPr>
        <w:spacing w:afterLines="50" w:line="320" w:lineRule="exact"/>
        <w:ind w:firstLine="472" w:firstLineChars="196"/>
        <w:rPr>
          <w:rFonts w:ascii="宋体" w:hAnsi="宋体"/>
          <w:b/>
          <w:sz w:val="24"/>
          <w:szCs w:val="24"/>
        </w:rPr>
      </w:pPr>
      <w:r>
        <w:rPr>
          <w:rFonts w:hint="eastAsia" w:ascii="宋体" w:hAnsi="宋体"/>
          <w:b/>
          <w:sz w:val="24"/>
          <w:szCs w:val="24"/>
        </w:rPr>
        <w:t>30. 采购合同授予标准</w:t>
      </w:r>
    </w:p>
    <w:p>
      <w:pPr>
        <w:spacing w:line="400" w:lineRule="exact"/>
        <w:ind w:firstLine="470" w:firstLineChars="196"/>
        <w:rPr>
          <w:rFonts w:ascii="宋体" w:hAnsi="宋体"/>
          <w:sz w:val="24"/>
          <w:szCs w:val="24"/>
        </w:rPr>
      </w:pPr>
      <w:r>
        <w:rPr>
          <w:rFonts w:hint="eastAsia" w:ascii="宋体" w:hAnsi="宋体"/>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ascii="宋体" w:hAnsi="宋体"/>
          <w:b/>
          <w:sz w:val="24"/>
          <w:szCs w:val="24"/>
        </w:rPr>
      </w:pPr>
      <w:r>
        <w:rPr>
          <w:rFonts w:hint="eastAsia" w:ascii="宋体" w:hAnsi="宋体"/>
          <w:b/>
          <w:sz w:val="24"/>
          <w:szCs w:val="24"/>
        </w:rPr>
        <w:t>31. 资格后审</w:t>
      </w:r>
    </w:p>
    <w:p>
      <w:pPr>
        <w:spacing w:line="400" w:lineRule="exact"/>
        <w:ind w:firstLine="470" w:firstLineChars="196"/>
        <w:rPr>
          <w:rFonts w:ascii="宋体" w:hAnsi="宋体"/>
          <w:sz w:val="24"/>
          <w:szCs w:val="24"/>
        </w:rPr>
      </w:pPr>
      <w:r>
        <w:rPr>
          <w:rFonts w:hint="eastAsia" w:ascii="宋体" w:hAnsi="宋体"/>
          <w:sz w:val="24"/>
          <w:szCs w:val="24"/>
        </w:rPr>
        <w:t>31.1 采购单位有权通过资格后审，采取寻求外部证据的方式对供应</w:t>
      </w:r>
      <w:r>
        <w:rPr>
          <w:rFonts w:ascii="宋体" w:hAnsi="宋体"/>
          <w:sz w:val="24"/>
          <w:szCs w:val="24"/>
        </w:rPr>
        <w:t>商</w:t>
      </w:r>
      <w:r>
        <w:rPr>
          <w:rFonts w:hint="eastAsia" w:ascii="宋体" w:hAnsi="宋体"/>
          <w:sz w:val="24"/>
          <w:szCs w:val="24"/>
        </w:rPr>
        <w:t>履行采购合同的能力（即供</w:t>
      </w:r>
      <w:r>
        <w:rPr>
          <w:rFonts w:ascii="宋体" w:hAnsi="宋体"/>
          <w:sz w:val="24"/>
          <w:szCs w:val="24"/>
        </w:rPr>
        <w:t>应商</w:t>
      </w:r>
      <w:r>
        <w:rPr>
          <w:rFonts w:hint="eastAsia" w:ascii="宋体" w:hAnsi="宋体"/>
          <w:sz w:val="24"/>
          <w:szCs w:val="24"/>
        </w:rPr>
        <w:t>的财务和技术状况、资格、信誉、所</w:t>
      </w:r>
      <w:r>
        <w:rPr>
          <w:rFonts w:ascii="宋体" w:hAnsi="宋体"/>
          <w:sz w:val="24"/>
          <w:szCs w:val="24"/>
        </w:rPr>
        <w:t>报产品</w:t>
      </w:r>
      <w:r>
        <w:rPr>
          <w:rFonts w:hint="eastAsia" w:ascii="宋体" w:hAnsi="宋体"/>
          <w:sz w:val="24"/>
          <w:szCs w:val="24"/>
        </w:rPr>
        <w:t>等）以及其他有必要了解的方面做进一步的审查。</w:t>
      </w:r>
    </w:p>
    <w:p>
      <w:pPr>
        <w:spacing w:line="400" w:lineRule="exact"/>
        <w:ind w:firstLine="470" w:firstLineChars="196"/>
        <w:rPr>
          <w:rFonts w:ascii="宋体" w:hAnsi="宋体"/>
          <w:sz w:val="24"/>
          <w:szCs w:val="24"/>
        </w:rPr>
      </w:pPr>
      <w:r>
        <w:rPr>
          <w:rFonts w:hint="eastAsia" w:ascii="宋体" w:hAnsi="宋体"/>
          <w:sz w:val="24"/>
          <w:szCs w:val="24"/>
        </w:rPr>
        <w:t>32.2 审查将采取实地考察、抽样检验、审查谈判</w:t>
      </w:r>
      <w:r>
        <w:rPr>
          <w:rFonts w:ascii="宋体" w:hAnsi="宋体"/>
          <w:sz w:val="24"/>
          <w:szCs w:val="24"/>
        </w:rPr>
        <w:t>响应</w:t>
      </w:r>
      <w:r>
        <w:rPr>
          <w:rFonts w:hint="eastAsia" w:ascii="宋体" w:hAnsi="宋体"/>
          <w:sz w:val="24"/>
          <w:szCs w:val="24"/>
        </w:rPr>
        <w:t>文件原件（如资格、资信证明文件原件，经营业绩、合同原件等）以及采购单位认为必要的其他方式和内容。</w:t>
      </w:r>
    </w:p>
    <w:p>
      <w:pPr>
        <w:spacing w:line="400" w:lineRule="exact"/>
        <w:ind w:firstLine="472" w:firstLineChars="196"/>
        <w:rPr>
          <w:rFonts w:ascii="宋体" w:hAnsi="宋体"/>
          <w:b/>
          <w:sz w:val="24"/>
          <w:szCs w:val="24"/>
        </w:rPr>
      </w:pPr>
      <w:r>
        <w:rPr>
          <w:rFonts w:hint="eastAsia" w:ascii="宋体" w:hAnsi="宋体"/>
          <w:b/>
          <w:sz w:val="24"/>
          <w:szCs w:val="24"/>
        </w:rPr>
        <w:t>33. 采购</w:t>
      </w:r>
      <w:r>
        <w:rPr>
          <w:rFonts w:ascii="宋体" w:hAnsi="宋体"/>
          <w:b/>
          <w:sz w:val="24"/>
          <w:szCs w:val="24"/>
        </w:rPr>
        <w:t>人或者</w:t>
      </w:r>
      <w:r>
        <w:rPr>
          <w:rFonts w:hint="eastAsia" w:ascii="宋体" w:hAnsi="宋体"/>
          <w:b/>
          <w:sz w:val="24"/>
          <w:szCs w:val="24"/>
        </w:rPr>
        <w:t>采购长葛市公共资源交易中心终</w:t>
      </w:r>
      <w:r>
        <w:rPr>
          <w:rFonts w:ascii="宋体" w:hAnsi="宋体"/>
          <w:b/>
          <w:sz w:val="24"/>
          <w:szCs w:val="24"/>
        </w:rPr>
        <w:t>止竞争性谈判采购活动的</w:t>
      </w:r>
      <w:r>
        <w:rPr>
          <w:rFonts w:hint="eastAsia" w:ascii="宋体" w:hAnsi="宋体"/>
          <w:b/>
          <w:sz w:val="24"/>
          <w:szCs w:val="24"/>
        </w:rPr>
        <w:t>权利</w:t>
      </w:r>
    </w:p>
    <w:p>
      <w:pPr>
        <w:spacing w:line="400" w:lineRule="exact"/>
        <w:ind w:firstLine="470" w:firstLineChars="196"/>
        <w:rPr>
          <w:rFonts w:ascii="宋体" w:hAnsi="宋体"/>
          <w:sz w:val="24"/>
          <w:szCs w:val="24"/>
        </w:rPr>
      </w:pPr>
      <w:r>
        <w:rPr>
          <w:rFonts w:hint="eastAsia" w:ascii="宋体" w:hAnsi="宋体"/>
          <w:sz w:val="24"/>
          <w:szCs w:val="24"/>
        </w:rPr>
        <w:t>33.1 出现下列情况之一的，采购</w:t>
      </w:r>
      <w:r>
        <w:rPr>
          <w:rFonts w:ascii="宋体" w:hAnsi="宋体"/>
          <w:sz w:val="24"/>
          <w:szCs w:val="24"/>
        </w:rPr>
        <w:t>人或者</w:t>
      </w:r>
      <w:r>
        <w:rPr>
          <w:rFonts w:hint="eastAsia" w:ascii="宋体" w:hAnsi="宋体"/>
          <w:sz w:val="24"/>
          <w:szCs w:val="24"/>
        </w:rPr>
        <w:t>采购长葛市公共资源交易中心应</w:t>
      </w:r>
      <w:r>
        <w:rPr>
          <w:rFonts w:ascii="宋体" w:hAnsi="宋体"/>
          <w:sz w:val="24"/>
          <w:szCs w:val="24"/>
        </w:rPr>
        <w:t>当终止竞争性谈判采购活动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再符合竞争性谈判采购方式适用情形</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00" w:lineRule="exact"/>
        <w:ind w:firstLine="470" w:firstLineChars="196"/>
        <w:rPr>
          <w:rFonts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 xml:space="preserve">。 </w:t>
      </w:r>
    </w:p>
    <w:p>
      <w:pPr>
        <w:spacing w:line="400" w:lineRule="exact"/>
        <w:ind w:firstLine="472" w:firstLineChars="196"/>
        <w:rPr>
          <w:rFonts w:ascii="宋体" w:hAnsi="宋体"/>
          <w:b/>
          <w:sz w:val="24"/>
          <w:szCs w:val="24"/>
        </w:rPr>
      </w:pPr>
      <w:r>
        <w:rPr>
          <w:rFonts w:hint="eastAsia" w:ascii="宋体" w:hAnsi="宋体"/>
          <w:b/>
          <w:sz w:val="24"/>
          <w:szCs w:val="24"/>
        </w:rPr>
        <w:t>34.成交通知书</w:t>
      </w:r>
    </w:p>
    <w:p>
      <w:pPr>
        <w:spacing w:line="400" w:lineRule="exact"/>
        <w:ind w:firstLine="470" w:firstLineChars="196"/>
        <w:rPr>
          <w:rFonts w:ascii="宋体" w:hAnsi="宋体"/>
          <w:sz w:val="24"/>
          <w:szCs w:val="24"/>
        </w:rPr>
      </w:pPr>
      <w:r>
        <w:rPr>
          <w:rFonts w:hint="eastAsia" w:ascii="宋体" w:hAnsi="宋体"/>
          <w:sz w:val="24"/>
          <w:szCs w:val="24"/>
        </w:rPr>
        <w:t>34.1在评审小组确定成交供应商后，采购长葛市公共资源交易中心将在指定的采购信息发布媒体上予以公告，公告前采购人对成交候选人的行贿犯罪档案进行查询，有行贿犯罪档案记录的取消成交资格。成交供应商见此公告后可由法定代表人（代表人）或其授权委托人至采购长葛市公共资源交易中心处领取成交通知书。</w:t>
      </w:r>
    </w:p>
    <w:p>
      <w:pPr>
        <w:spacing w:line="400" w:lineRule="exact"/>
        <w:ind w:firstLine="470" w:firstLineChars="196"/>
        <w:rPr>
          <w:rFonts w:ascii="宋体" w:hAnsi="宋体"/>
          <w:sz w:val="24"/>
          <w:szCs w:val="24"/>
        </w:rPr>
      </w:pPr>
      <w:r>
        <w:rPr>
          <w:rFonts w:hint="eastAsia" w:ascii="宋体" w:hAnsi="宋体"/>
          <w:sz w:val="24"/>
          <w:szCs w:val="24"/>
        </w:rPr>
        <w:t>34.2该成交通知书将作为签订采购合同的重要依据，是采购合同的一个组成部分，对</w:t>
      </w:r>
      <w:r>
        <w:rPr>
          <w:rFonts w:ascii="宋体" w:hAnsi="宋体"/>
          <w:sz w:val="24"/>
          <w:szCs w:val="24"/>
        </w:rPr>
        <w:t>采购</w:t>
      </w:r>
      <w:r>
        <w:rPr>
          <w:rFonts w:hint="eastAsia" w:ascii="宋体" w:hAnsi="宋体"/>
          <w:sz w:val="24"/>
          <w:szCs w:val="24"/>
        </w:rPr>
        <w:t>长葛市公共资源交易中心、成交供应商和采购单位具有法律效力。采购人</w:t>
      </w:r>
      <w:r>
        <w:rPr>
          <w:rFonts w:ascii="宋体" w:hAnsi="宋体"/>
          <w:sz w:val="24"/>
          <w:szCs w:val="24"/>
        </w:rPr>
        <w:t>或者委托的采购</w:t>
      </w:r>
      <w:r>
        <w:rPr>
          <w:rFonts w:hint="eastAsia" w:ascii="宋体" w:hAnsi="宋体"/>
          <w:sz w:val="24"/>
          <w:szCs w:val="24"/>
        </w:rPr>
        <w:t>长葛市公共资源交易中心无故改变成交结果、成交供应商无故放弃成交资格或采购单位无正当理由拒签采购合同的都应承担法律责任。</w:t>
      </w:r>
    </w:p>
    <w:p>
      <w:pPr>
        <w:spacing w:line="400" w:lineRule="exact"/>
        <w:ind w:firstLine="470" w:firstLineChars="196"/>
        <w:rPr>
          <w:rFonts w:ascii="宋体" w:hAnsi="宋体"/>
          <w:sz w:val="24"/>
          <w:szCs w:val="24"/>
        </w:rPr>
      </w:pPr>
      <w:r>
        <w:rPr>
          <w:rFonts w:hint="eastAsia" w:ascii="宋体" w:hAnsi="宋体"/>
          <w:sz w:val="24"/>
          <w:szCs w:val="24"/>
        </w:rPr>
        <w:t>34.3 成交供应商不得向他人转让成交资格，也不得将成交项目肢解后分别向他人转让，否则将按成交供应商违约处理。</w:t>
      </w:r>
    </w:p>
    <w:p>
      <w:pPr>
        <w:spacing w:line="400" w:lineRule="exact"/>
        <w:ind w:firstLine="472" w:firstLineChars="196"/>
        <w:rPr>
          <w:rFonts w:ascii="宋体" w:hAnsi="宋体"/>
          <w:b/>
          <w:sz w:val="24"/>
          <w:szCs w:val="24"/>
        </w:rPr>
      </w:pPr>
      <w:r>
        <w:rPr>
          <w:rFonts w:hint="eastAsia" w:ascii="宋体" w:hAnsi="宋体"/>
          <w:b/>
          <w:sz w:val="24"/>
          <w:szCs w:val="24"/>
        </w:rPr>
        <w:t>35.签订采购合同</w:t>
      </w:r>
    </w:p>
    <w:p>
      <w:pPr>
        <w:spacing w:line="400" w:lineRule="exact"/>
        <w:ind w:firstLine="470" w:firstLineChars="196"/>
        <w:rPr>
          <w:rFonts w:ascii="宋体" w:hAnsi="宋体"/>
          <w:sz w:val="24"/>
          <w:szCs w:val="24"/>
        </w:rPr>
      </w:pPr>
      <w:r>
        <w:rPr>
          <w:rFonts w:hint="eastAsia" w:ascii="宋体" w:hAnsi="宋体"/>
          <w:sz w:val="24"/>
          <w:szCs w:val="24"/>
        </w:rPr>
        <w:t>35.1成交供应商在收到成交通知书后，应按成交通知书中规定的时间和地点由法定代表人（代表人）或其授权委托人持成交通知书与采购单位签订采购合同。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ascii="宋体" w:hAnsi="宋体"/>
          <w:sz w:val="24"/>
          <w:szCs w:val="24"/>
        </w:rPr>
      </w:pPr>
      <w:r>
        <w:rPr>
          <w:rFonts w:hint="eastAsia" w:ascii="宋体" w:hAnsi="宋体"/>
          <w:sz w:val="24"/>
          <w:szCs w:val="24"/>
        </w:rPr>
        <w:t>35.2 如果成交供应商不按成交通知书规定的时间和地点等要求签订或拒签采购合同，则按成交供应商违约处理。</w:t>
      </w:r>
    </w:p>
    <w:p>
      <w:pPr>
        <w:spacing w:line="400" w:lineRule="exact"/>
        <w:ind w:firstLine="470" w:firstLineChars="196"/>
        <w:rPr>
          <w:rFonts w:ascii="宋体" w:hAnsi="宋体"/>
          <w:sz w:val="24"/>
          <w:szCs w:val="24"/>
        </w:rPr>
      </w:pPr>
      <w:r>
        <w:rPr>
          <w:rFonts w:hint="eastAsia" w:ascii="宋体" w:hAnsi="宋体"/>
          <w:sz w:val="24"/>
          <w:szCs w:val="24"/>
        </w:rPr>
        <w:t>36.3 采购文件（含澄清、补遗、修改文件）、成交供应商的响</w:t>
      </w:r>
      <w:r>
        <w:rPr>
          <w:rFonts w:ascii="宋体" w:hAnsi="宋体"/>
          <w:sz w:val="24"/>
          <w:szCs w:val="24"/>
        </w:rPr>
        <w:t>应</w:t>
      </w:r>
      <w:r>
        <w:rPr>
          <w:rFonts w:hint="eastAsia" w:ascii="宋体" w:hAnsi="宋体"/>
          <w:sz w:val="24"/>
          <w:szCs w:val="24"/>
        </w:rPr>
        <w:t>文件（含澄清文件）、成交通知书等将作为签订采购合同的依据。所签订的采购合同不得对采购文件和成交供应商响</w:t>
      </w:r>
      <w:r>
        <w:rPr>
          <w:rFonts w:ascii="宋体" w:hAnsi="宋体"/>
          <w:sz w:val="24"/>
          <w:szCs w:val="24"/>
        </w:rPr>
        <w:t>应</w:t>
      </w:r>
      <w:r>
        <w:rPr>
          <w:rFonts w:hint="eastAsia" w:ascii="宋体" w:hAnsi="宋体"/>
          <w:sz w:val="24"/>
          <w:szCs w:val="24"/>
        </w:rPr>
        <w:t>文件做实质性改变。</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37.履约保证金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.1 投标成交供应商应在收到成交通知书5日内，按照规定比例（详见采购文件第二章“采购项目基本内容及要求” ）至采购长葛市公共资源交易中心财务部门交纳履约保证金，取消成交供应商的成交资格。</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2采购机构将在成交供应商完成采购合同，并经采购单位验收合格后，凭成交供应商提交的采购长葛市公共资源交易中心财务部门出具的已交纳履约保证金的有效证明，以转账方式无息退还成交供应商的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.3 履约保证金用于补偿采购单位因成交供应商不能履行采购合同义务而蒙受的损失。</w:t>
      </w:r>
    </w:p>
    <w:p>
      <w:pPr>
        <w:spacing w:afterLines="50" w:line="320" w:lineRule="exact"/>
        <w:ind w:firstLine="472" w:firstLineChars="196"/>
        <w:rPr>
          <w:rFonts w:ascii="宋体" w:hAnsi="宋体" w:cs="Arial"/>
          <w:b/>
          <w:sz w:val="24"/>
          <w:szCs w:val="24"/>
        </w:rPr>
      </w:pPr>
      <w:r>
        <w:rPr>
          <w:rFonts w:hint="eastAsia" w:ascii="宋体" w:hAnsi="宋体"/>
          <w:b/>
          <w:sz w:val="24"/>
          <w:szCs w:val="24"/>
        </w:rPr>
        <w:t>38.履约验收</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.1成交供应商应严格按照采购合同规定履约，并积极配合采购单位的相关验收工作。</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.2采购</w:t>
      </w:r>
      <w:r>
        <w:rPr>
          <w:rFonts w:ascii="宋体" w:hAnsi="宋体"/>
          <w:sz w:val="24"/>
          <w:szCs w:val="24"/>
        </w:rPr>
        <w:t>人或者采购</w:t>
      </w:r>
      <w:r>
        <w:rPr>
          <w:rFonts w:hint="eastAsia" w:ascii="宋体" w:hAnsi="宋体"/>
          <w:sz w:val="24"/>
          <w:szCs w:val="24"/>
        </w:rPr>
        <w:t>长葛市公共资源交易中心</w:t>
      </w:r>
      <w:r>
        <w:rPr>
          <w:rFonts w:ascii="宋体" w:hAnsi="宋体"/>
          <w:sz w:val="24"/>
          <w:szCs w:val="24"/>
        </w:rPr>
        <w:t>应当按照采购合同规定的技术</w:t>
      </w:r>
      <w:r>
        <w:rPr>
          <w:rFonts w:hint="eastAsia" w:ascii="宋体" w:hAnsi="宋体"/>
          <w:sz w:val="24"/>
          <w:szCs w:val="24"/>
        </w:rPr>
        <w:t>、服务</w:t>
      </w:r>
      <w:r>
        <w:rPr>
          <w:rFonts w:ascii="宋体" w:hAnsi="宋体"/>
          <w:sz w:val="24"/>
          <w:szCs w:val="24"/>
        </w:rPr>
        <w:t>等要素组织对供应商履约的验收</w:t>
      </w:r>
      <w:r>
        <w:rPr>
          <w:rFonts w:hint="eastAsia" w:ascii="宋体" w:hAnsi="宋体"/>
          <w:sz w:val="24"/>
          <w:szCs w:val="24"/>
        </w:rPr>
        <w:t>，并</w:t>
      </w:r>
      <w:r>
        <w:rPr>
          <w:rFonts w:ascii="宋体" w:hAnsi="宋体"/>
          <w:sz w:val="24"/>
          <w:szCs w:val="24"/>
        </w:rPr>
        <w:t>出具验收书</w:t>
      </w:r>
      <w:r>
        <w:rPr>
          <w:rFonts w:hint="eastAsia" w:ascii="宋体" w:hAnsi="宋体"/>
          <w:sz w:val="24"/>
          <w:szCs w:val="24"/>
        </w:rPr>
        <w:t>。验收</w:t>
      </w:r>
      <w:r>
        <w:rPr>
          <w:rFonts w:ascii="宋体" w:hAnsi="宋体"/>
          <w:sz w:val="24"/>
          <w:szCs w:val="24"/>
        </w:rPr>
        <w:t>书应当包括每一项技术</w:t>
      </w:r>
      <w:r>
        <w:rPr>
          <w:rFonts w:hint="eastAsia" w:ascii="宋体" w:hAnsi="宋体"/>
          <w:sz w:val="24"/>
          <w:szCs w:val="24"/>
        </w:rPr>
        <w:t>、服务</w:t>
      </w:r>
      <w:r>
        <w:rPr>
          <w:rFonts w:ascii="宋体" w:hAnsi="宋体"/>
          <w:sz w:val="24"/>
          <w:szCs w:val="24"/>
        </w:rPr>
        <w:t>等要求的履约情况</w:t>
      </w:r>
      <w:r>
        <w:rPr>
          <w:rFonts w:hint="eastAsia" w:ascii="宋体" w:hAnsi="宋体"/>
          <w:sz w:val="24"/>
          <w:szCs w:val="24"/>
        </w:rPr>
        <w:t>，大</w:t>
      </w:r>
      <w:r>
        <w:rPr>
          <w:rFonts w:ascii="宋体" w:hAnsi="宋体"/>
          <w:sz w:val="24"/>
          <w:szCs w:val="24"/>
        </w:rPr>
        <w:t>型或者复杂的项目</w:t>
      </w:r>
      <w:r>
        <w:rPr>
          <w:rFonts w:hint="eastAsia" w:ascii="宋体" w:hAnsi="宋体"/>
          <w:sz w:val="24"/>
          <w:szCs w:val="24"/>
        </w:rPr>
        <w:t>，应</w:t>
      </w:r>
      <w:r>
        <w:rPr>
          <w:rFonts w:ascii="宋体" w:hAnsi="宋体"/>
          <w:sz w:val="24"/>
          <w:szCs w:val="24"/>
        </w:rPr>
        <w:t>当邀请国家认可的质量检测机构参加验收</w:t>
      </w:r>
      <w:r>
        <w:rPr>
          <w:rFonts w:hint="eastAsia" w:ascii="宋体" w:hAnsi="宋体"/>
          <w:sz w:val="24"/>
          <w:szCs w:val="24"/>
        </w:rPr>
        <w:t>，验收</w:t>
      </w:r>
      <w:r>
        <w:rPr>
          <w:rFonts w:ascii="宋体" w:hAnsi="宋体"/>
          <w:sz w:val="24"/>
          <w:szCs w:val="24"/>
        </w:rPr>
        <w:t>方成员应当在验收书上签字</w:t>
      </w:r>
      <w:r>
        <w:rPr>
          <w:rFonts w:hint="eastAsia" w:ascii="宋体" w:hAnsi="宋体"/>
          <w:sz w:val="24"/>
          <w:szCs w:val="24"/>
        </w:rPr>
        <w:t>，并</w:t>
      </w:r>
      <w:r>
        <w:rPr>
          <w:rFonts w:ascii="宋体" w:hAnsi="宋体"/>
          <w:sz w:val="24"/>
          <w:szCs w:val="24"/>
        </w:rPr>
        <w:t>承担相应的法律责任</w:t>
      </w:r>
      <w:r>
        <w:rPr>
          <w:rFonts w:hint="eastAsia" w:ascii="宋体" w:hAnsi="宋体"/>
          <w:sz w:val="24"/>
          <w:szCs w:val="24"/>
        </w:rPr>
        <w:t>。</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39.其他</w:t>
      </w:r>
    </w:p>
    <w:p>
      <w:pPr>
        <w:spacing w:line="400" w:lineRule="exact"/>
        <w:ind w:firstLine="470" w:firstLineChars="196"/>
        <w:rPr>
          <w:rFonts w:ascii="宋体" w:hAnsi="宋体"/>
          <w:b/>
          <w:sz w:val="24"/>
          <w:szCs w:val="24"/>
        </w:rPr>
      </w:pPr>
      <w:r>
        <w:rPr>
          <w:rFonts w:hint="eastAsia" w:ascii="宋体" w:hAnsi="宋体"/>
          <w:sz w:val="24"/>
          <w:szCs w:val="24"/>
        </w:rPr>
        <w:t>其他未尽事宜按照相关法律、法规的有关规定执行。</w:t>
      </w:r>
    </w:p>
    <w:p>
      <w:pPr>
        <w:spacing w:line="480" w:lineRule="exact"/>
        <w:jc w:val="center"/>
        <w:rPr>
          <w:rFonts w:ascii="宋体" w:hAnsi="宋体"/>
          <w:b/>
          <w:sz w:val="24"/>
          <w:szCs w:val="24"/>
        </w:rPr>
      </w:pPr>
    </w:p>
    <w:p>
      <w:pPr>
        <w:spacing w:line="480" w:lineRule="exact"/>
        <w:jc w:val="center"/>
        <w:rPr>
          <w:rFonts w:ascii="宋体" w:hAnsi="宋体"/>
          <w:b/>
          <w:sz w:val="24"/>
          <w:szCs w:val="24"/>
        </w:rPr>
      </w:pPr>
      <w:r>
        <w:rPr>
          <w:rFonts w:hint="eastAsia" w:ascii="宋体" w:hAnsi="宋体"/>
          <w:b/>
          <w:sz w:val="24"/>
          <w:szCs w:val="24"/>
        </w:rPr>
        <w:t>七、采购合同条款</w:t>
      </w:r>
    </w:p>
    <w:p>
      <w:pPr>
        <w:spacing w:afterLines="50" w:line="320" w:lineRule="exact"/>
        <w:ind w:firstLine="472" w:firstLineChars="196"/>
        <w:rPr>
          <w:rFonts w:ascii="宋体" w:hAnsi="宋体"/>
          <w:b/>
          <w:sz w:val="24"/>
          <w:szCs w:val="24"/>
        </w:rPr>
      </w:pPr>
      <w:r>
        <w:rPr>
          <w:rFonts w:hint="eastAsia" w:ascii="宋体" w:hAnsi="宋体"/>
          <w:b/>
          <w:sz w:val="24"/>
          <w:szCs w:val="24"/>
        </w:rPr>
        <w:t>40.术语的定义</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（2）“合同价格”是指根据采购合同规定，卖方在正确地完全履行采购合同义务后买方应支付给卖方的货币数量。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（3）“货物”是指采购合同货物清单（同谈判文件中报价一览表及其附表，下同）中所规定的产品、数量、规格、文件资料内容。</w:t>
      </w:r>
    </w:p>
    <w:p>
      <w:pPr>
        <w:spacing w:line="400" w:lineRule="exact"/>
        <w:ind w:firstLine="470" w:firstLineChars="196"/>
        <w:rPr>
          <w:rFonts w:ascii="宋体" w:hAnsi="宋体"/>
          <w:sz w:val="24"/>
          <w:szCs w:val="24"/>
        </w:rPr>
      </w:pPr>
      <w:r>
        <w:rPr>
          <w:rFonts w:hint="eastAsia" w:ascii="宋体" w:hAnsi="宋体"/>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（6）“合同专用条款”是指采购文件第五章“采购合同专用条款”。</w:t>
      </w:r>
    </w:p>
    <w:p>
      <w:pPr>
        <w:spacing w:line="400" w:lineRule="exact"/>
        <w:ind w:firstLine="470" w:firstLineChars="196"/>
        <w:rPr>
          <w:rFonts w:ascii="宋体" w:hAnsi="宋体"/>
          <w:sz w:val="24"/>
          <w:szCs w:val="24"/>
        </w:rPr>
      </w:pPr>
      <w:r>
        <w:rPr>
          <w:rFonts w:hint="eastAsia" w:ascii="宋体" w:hAnsi="宋体"/>
          <w:sz w:val="24"/>
          <w:szCs w:val="24"/>
        </w:rPr>
        <w:t>（7）“买方”是指“竞争</w:t>
      </w:r>
      <w:r>
        <w:rPr>
          <w:rFonts w:ascii="宋体" w:hAnsi="宋体"/>
          <w:sz w:val="24"/>
          <w:szCs w:val="24"/>
        </w:rPr>
        <w:t>性谈判文件</w:t>
      </w:r>
      <w:r>
        <w:rPr>
          <w:rFonts w:hint="eastAsia" w:ascii="宋体" w:hAnsi="宋体"/>
          <w:sz w:val="24"/>
          <w:szCs w:val="24"/>
        </w:rPr>
        <w:t>”中所述购买货物和服务的单位。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（8）“卖方”是指通过采购确定的提供采购文件第四章“采购项目需求”中所述货物和服务的成交供应商。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（10）“验收”是指采购人或采购长葛市公共资源交易中心依据强制性的国家技术质量规范和采购合同规定，确认采购合同项下的货物符合采购合同规定的活动。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ascii="宋体" w:hAnsi="宋体"/>
          <w:sz w:val="24"/>
          <w:szCs w:val="24"/>
        </w:rPr>
      </w:pPr>
      <w:r>
        <w:rPr>
          <w:rFonts w:hint="eastAsia" w:ascii="宋体" w:hAnsi="宋体"/>
          <w:sz w:val="24"/>
          <w:szCs w:val="24"/>
        </w:rPr>
        <w:t>（16）“质量保证期”是指自“采购项目验收报告单”签署之日起，卖方以自担费用方式保证采购合同货物正常运行的期限。</w:t>
      </w:r>
    </w:p>
    <w:p>
      <w:pPr>
        <w:spacing w:line="400" w:lineRule="exact"/>
        <w:ind w:firstLine="470" w:firstLineChars="196"/>
        <w:rPr>
          <w:rFonts w:ascii="宋体" w:hAnsi="宋体"/>
          <w:sz w:val="24"/>
          <w:szCs w:val="24"/>
        </w:rPr>
      </w:pPr>
      <w:r>
        <w:rPr>
          <w:rFonts w:hint="eastAsia" w:ascii="宋体" w:hAnsi="宋体"/>
          <w:sz w:val="24"/>
          <w:szCs w:val="24"/>
        </w:rPr>
        <w:t>（17）“第三方”是指采购合同双方以外的任何中国境内、外的自然人、法人或其他经济组织。</w:t>
      </w:r>
    </w:p>
    <w:p>
      <w:pPr>
        <w:spacing w:line="400" w:lineRule="exact"/>
        <w:ind w:firstLine="470" w:firstLineChars="196"/>
        <w:rPr>
          <w:rFonts w:ascii="宋体" w:hAnsi="宋体"/>
          <w:sz w:val="24"/>
          <w:szCs w:val="24"/>
        </w:rPr>
      </w:pPr>
      <w:r>
        <w:rPr>
          <w:rFonts w:hint="eastAsia" w:ascii="宋体" w:hAnsi="宋体"/>
          <w:sz w:val="24"/>
          <w:szCs w:val="24"/>
        </w:rPr>
        <w:t>（18）“法律、法规”是指由中国各级及有关部门制定的法律、行政法规、地方性法规、规章及其他规范性文件。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（19）“采购文件”是指中采购</w:t>
      </w:r>
      <w:r>
        <w:rPr>
          <w:rFonts w:ascii="宋体" w:hAnsi="宋体"/>
          <w:sz w:val="24"/>
          <w:szCs w:val="24"/>
        </w:rPr>
        <w:t>人或者</w:t>
      </w:r>
      <w:r>
        <w:rPr>
          <w:rFonts w:hint="eastAsia" w:ascii="宋体" w:hAnsi="宋体"/>
          <w:sz w:val="24"/>
          <w:szCs w:val="24"/>
        </w:rPr>
        <w:t>采购长葛市公共资源交易中心发布的采购文本。</w:t>
      </w:r>
    </w:p>
    <w:p>
      <w:pPr>
        <w:spacing w:line="400" w:lineRule="exact"/>
        <w:ind w:firstLine="470" w:firstLineChars="196"/>
        <w:rPr>
          <w:rFonts w:ascii="宋体" w:hAnsi="宋体"/>
          <w:sz w:val="24"/>
          <w:szCs w:val="24"/>
        </w:rPr>
      </w:pPr>
      <w:r>
        <w:rPr>
          <w:rFonts w:hint="eastAsia" w:ascii="宋体" w:hAnsi="宋体"/>
          <w:sz w:val="24"/>
          <w:szCs w:val="24"/>
        </w:rPr>
        <w:t>（20）“竞争</w:t>
      </w:r>
      <w:r>
        <w:rPr>
          <w:rFonts w:ascii="宋体" w:hAnsi="宋体"/>
          <w:sz w:val="24"/>
          <w:szCs w:val="24"/>
        </w:rPr>
        <w:t>性谈判响应</w:t>
      </w:r>
      <w:r>
        <w:rPr>
          <w:rFonts w:hint="eastAsia" w:ascii="宋体" w:hAnsi="宋体"/>
          <w:sz w:val="24"/>
          <w:szCs w:val="24"/>
        </w:rPr>
        <w:t>文件”是指卖方按照采购机构发布的采购文件的要求编制、递交并最终被评审小组接受的响</w:t>
      </w:r>
      <w:r>
        <w:rPr>
          <w:rFonts w:ascii="宋体" w:hAnsi="宋体"/>
          <w:sz w:val="24"/>
          <w:szCs w:val="24"/>
        </w:rPr>
        <w:t>应文件</w:t>
      </w:r>
      <w:r>
        <w:rPr>
          <w:rFonts w:hint="eastAsia" w:ascii="宋体" w:hAnsi="宋体"/>
          <w:sz w:val="24"/>
          <w:szCs w:val="24"/>
        </w:rPr>
        <w:t>文本。</w:t>
      </w:r>
    </w:p>
    <w:p>
      <w:pPr>
        <w:pStyle w:val="22"/>
        <w:spacing w:after="0" w:line="400" w:lineRule="exact"/>
        <w:rPr>
          <w:rFonts w:ascii="宋体" w:hAnsi="宋体"/>
          <w:b/>
          <w:sz w:val="24"/>
          <w:szCs w:val="24"/>
        </w:rPr>
      </w:pPr>
      <w:r>
        <w:rPr>
          <w:rFonts w:hint="eastAsia" w:ascii="宋体" w:hAnsi="宋体"/>
          <w:b/>
          <w:sz w:val="24"/>
          <w:szCs w:val="24"/>
        </w:rPr>
        <w:t>41.来源地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22"/>
        <w:spacing w:after="0" w:line="400" w:lineRule="exact"/>
        <w:rPr>
          <w:rFonts w:ascii="宋体" w:hAnsi="宋体"/>
          <w:b/>
          <w:snapToGrid w:val="0"/>
          <w:kern w:val="0"/>
          <w:sz w:val="24"/>
          <w:szCs w:val="24"/>
        </w:rPr>
      </w:pPr>
      <w:r>
        <w:rPr>
          <w:rFonts w:hint="eastAsia" w:ascii="宋体" w:hAnsi="宋体"/>
          <w:b/>
          <w:snapToGrid w:val="0"/>
          <w:kern w:val="0"/>
          <w:sz w:val="24"/>
          <w:szCs w:val="24"/>
        </w:rPr>
        <w:t>42. 技术规范与技术规格</w:t>
      </w:r>
    </w:p>
    <w:p>
      <w:pPr>
        <w:spacing w:line="400" w:lineRule="exact"/>
        <w:ind w:firstLine="360" w:firstLineChars="150"/>
        <w:rPr>
          <w:rFonts w:ascii="宋体" w:hAnsi="宋体"/>
          <w:sz w:val="24"/>
          <w:szCs w:val="24"/>
        </w:rPr>
      </w:pPr>
      <w:r>
        <w:rPr>
          <w:rFonts w:hint="eastAsia" w:ascii="宋体" w:hAnsi="宋体"/>
          <w:sz w:val="24"/>
          <w:szCs w:val="24"/>
        </w:rPr>
        <w:t>42.1 所</w:t>
      </w:r>
      <w:r>
        <w:rPr>
          <w:rFonts w:ascii="宋体" w:hAnsi="宋体"/>
          <w:sz w:val="24"/>
          <w:szCs w:val="24"/>
        </w:rPr>
        <w:t>提供的</w:t>
      </w:r>
      <w:r>
        <w:rPr>
          <w:rFonts w:hint="eastAsia" w:ascii="宋体" w:hAnsi="宋体"/>
          <w:sz w:val="24"/>
          <w:szCs w:val="24"/>
        </w:rPr>
        <w:t>货物的技术规范应与采购文件规定的技术规范（如果有的话）相一致。若无相应说明，则以国家有关部门最新颁布的相应标准及规范为准。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42.2 所</w:t>
      </w:r>
      <w:r>
        <w:rPr>
          <w:rFonts w:ascii="宋体" w:hAnsi="宋体"/>
          <w:sz w:val="24"/>
          <w:szCs w:val="24"/>
        </w:rPr>
        <w:t>提供</w:t>
      </w:r>
      <w:r>
        <w:rPr>
          <w:rFonts w:hint="eastAsia" w:ascii="宋体" w:hAnsi="宋体"/>
          <w:sz w:val="24"/>
          <w:szCs w:val="24"/>
        </w:rPr>
        <w:t>货物的技术规格应与采购文件规定的技术规格及响</w:t>
      </w:r>
      <w:r>
        <w:rPr>
          <w:rFonts w:ascii="宋体" w:hAnsi="宋体"/>
          <w:sz w:val="24"/>
          <w:szCs w:val="24"/>
        </w:rPr>
        <w:t>应</w:t>
      </w:r>
      <w:r>
        <w:rPr>
          <w:rFonts w:hint="eastAsia" w:ascii="宋体" w:hAnsi="宋体"/>
          <w:sz w:val="24"/>
          <w:szCs w:val="24"/>
        </w:rPr>
        <w:t>文件中的技术指标响应表一致。</w:t>
      </w:r>
    </w:p>
    <w:p>
      <w:pPr>
        <w:spacing w:afterLines="50" w:line="320" w:lineRule="exact"/>
        <w:ind w:firstLine="472" w:firstLineChars="196"/>
        <w:rPr>
          <w:rFonts w:ascii="宋体" w:hAnsi="宋体"/>
          <w:b/>
          <w:sz w:val="24"/>
          <w:szCs w:val="24"/>
        </w:rPr>
      </w:pPr>
      <w:r>
        <w:rPr>
          <w:rFonts w:hint="eastAsia" w:ascii="宋体" w:hAnsi="宋体"/>
          <w:b/>
          <w:sz w:val="24"/>
          <w:szCs w:val="24"/>
        </w:rPr>
        <w:t>43.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2"/>
        <w:spacing w:after="0" w:line="400" w:lineRule="exact"/>
        <w:rPr>
          <w:rFonts w:ascii="宋体" w:hAnsi="宋体"/>
          <w:b/>
          <w:snapToGrid w:val="0"/>
          <w:kern w:val="0"/>
          <w:sz w:val="24"/>
          <w:szCs w:val="24"/>
        </w:rPr>
      </w:pPr>
      <w:r>
        <w:rPr>
          <w:rFonts w:hint="eastAsia" w:ascii="宋体" w:hAnsi="宋体"/>
          <w:b/>
          <w:snapToGrid w:val="0"/>
          <w:kern w:val="0"/>
          <w:sz w:val="24"/>
          <w:szCs w:val="24"/>
        </w:rPr>
        <w:t>44. 包装要求</w:t>
      </w:r>
    </w:p>
    <w:p>
      <w:pPr>
        <w:spacing w:line="400" w:lineRule="exact"/>
        <w:ind w:firstLine="360" w:firstLineChars="150"/>
        <w:rPr>
          <w:rFonts w:ascii="宋体" w:hAnsi="宋体"/>
          <w:sz w:val="24"/>
          <w:szCs w:val="24"/>
        </w:rPr>
      </w:pPr>
      <w:r>
        <w:rPr>
          <w:rFonts w:hint="eastAsia" w:ascii="宋体" w:hAnsi="宋体"/>
          <w:sz w:val="24"/>
          <w:szCs w:val="24"/>
        </w:rPr>
        <w:t>44.1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44.2每一个包装箱内应附一份详细装箱单和质量合格证书。</w:t>
      </w:r>
    </w:p>
    <w:p>
      <w:pPr>
        <w:spacing w:line="400" w:lineRule="exact"/>
        <w:ind w:firstLine="361" w:firstLineChars="150"/>
        <w:rPr>
          <w:rFonts w:ascii="宋体" w:hAnsi="宋体"/>
          <w:sz w:val="24"/>
          <w:szCs w:val="24"/>
        </w:rPr>
      </w:pPr>
      <w:r>
        <w:rPr>
          <w:rFonts w:hint="eastAsia" w:ascii="宋体" w:hAnsi="宋体"/>
          <w:b/>
          <w:sz w:val="24"/>
          <w:szCs w:val="24"/>
        </w:rPr>
        <w:t>45.交货方式</w:t>
      </w:r>
    </w:p>
    <w:p>
      <w:pPr>
        <w:spacing w:line="400" w:lineRule="exact"/>
        <w:ind w:firstLine="360" w:firstLineChars="150"/>
        <w:rPr>
          <w:rFonts w:ascii="宋体" w:hAnsi="宋体"/>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361" w:firstLineChars="150"/>
        <w:rPr>
          <w:rFonts w:ascii="宋体" w:hAnsi="宋体"/>
          <w:sz w:val="24"/>
          <w:szCs w:val="24"/>
        </w:rPr>
      </w:pPr>
      <w:r>
        <w:rPr>
          <w:rFonts w:hint="eastAsia" w:ascii="宋体" w:hAnsi="宋体"/>
          <w:b/>
          <w:sz w:val="24"/>
          <w:szCs w:val="24"/>
        </w:rPr>
        <w:t>46.装运通知</w:t>
      </w:r>
    </w:p>
    <w:p>
      <w:pPr>
        <w:spacing w:line="400" w:lineRule="exact"/>
        <w:ind w:firstLine="360" w:firstLineChars="150"/>
        <w:rPr>
          <w:rFonts w:ascii="宋体" w:hAnsi="宋体"/>
          <w:sz w:val="24"/>
          <w:szCs w:val="24"/>
        </w:rPr>
      </w:pPr>
      <w:r>
        <w:rPr>
          <w:rFonts w:hint="eastAsia" w:ascii="宋体" w:hAnsi="宋体"/>
          <w:sz w:val="24"/>
          <w:szCs w:val="24"/>
        </w:rPr>
        <w:t>46.1在将采购合同约定的货物备妥待运输后的24小时之内，卖方应将采购合同号、货号、数量、毛重、总体积（立方米）、发票金额、运输工具名称及装运日期，以书面形式通知买方。</w:t>
      </w:r>
    </w:p>
    <w:p>
      <w:pPr>
        <w:spacing w:line="400" w:lineRule="exact"/>
        <w:ind w:firstLine="360" w:firstLineChars="150"/>
        <w:rPr>
          <w:rFonts w:ascii="宋体" w:hAnsi="宋体"/>
          <w:sz w:val="24"/>
          <w:szCs w:val="24"/>
        </w:rPr>
      </w:pPr>
      <w:r>
        <w:rPr>
          <w:rFonts w:hint="eastAsia" w:ascii="宋体" w:hAnsi="宋体"/>
          <w:sz w:val="24"/>
          <w:szCs w:val="24"/>
        </w:rPr>
        <w:t>46.2 如因卖方延误通知，由此引起的一切后果损失应由卖方负责。</w:t>
      </w:r>
    </w:p>
    <w:p>
      <w:pPr>
        <w:spacing w:line="400" w:lineRule="exact"/>
        <w:ind w:firstLine="361" w:firstLineChars="150"/>
        <w:rPr>
          <w:rFonts w:ascii="宋体" w:hAnsi="宋体"/>
          <w:b/>
          <w:sz w:val="24"/>
          <w:szCs w:val="24"/>
        </w:rPr>
      </w:pPr>
      <w:r>
        <w:rPr>
          <w:rFonts w:hint="eastAsia" w:ascii="宋体" w:hAnsi="宋体"/>
          <w:b/>
          <w:sz w:val="24"/>
          <w:szCs w:val="24"/>
        </w:rPr>
        <w:t>47.付款</w:t>
      </w:r>
    </w:p>
    <w:p>
      <w:pPr>
        <w:spacing w:line="400" w:lineRule="exact"/>
        <w:ind w:firstLine="360" w:firstLineChars="150"/>
        <w:rPr>
          <w:rFonts w:ascii="宋体" w:hAnsi="宋体"/>
          <w:sz w:val="24"/>
          <w:szCs w:val="24"/>
        </w:rPr>
      </w:pPr>
      <w:r>
        <w:rPr>
          <w:rFonts w:hint="eastAsia" w:ascii="宋体" w:hAnsi="宋体"/>
          <w:sz w:val="24"/>
          <w:szCs w:val="24"/>
        </w:rPr>
        <w:t>47.1 采购合同以人民币付款。</w:t>
      </w:r>
    </w:p>
    <w:p>
      <w:pPr>
        <w:spacing w:line="400" w:lineRule="exact"/>
        <w:ind w:firstLine="360" w:firstLineChars="150"/>
        <w:rPr>
          <w:rFonts w:ascii="宋体" w:hAnsi="宋体"/>
          <w:sz w:val="24"/>
          <w:szCs w:val="24"/>
        </w:rPr>
      </w:pPr>
      <w:r>
        <w:rPr>
          <w:rFonts w:hint="eastAsia" w:ascii="宋体" w:hAnsi="宋体"/>
          <w:sz w:val="24"/>
          <w:szCs w:val="24"/>
        </w:rPr>
        <w:t>47.2 在卖方按照采购合同的规定交货后，将按照采购文件第六章“采购合同专用条款”规定的付款方式付款。</w:t>
      </w:r>
    </w:p>
    <w:p>
      <w:pPr>
        <w:spacing w:line="400" w:lineRule="exact"/>
        <w:ind w:firstLine="361" w:firstLineChars="150"/>
        <w:rPr>
          <w:rFonts w:ascii="宋体" w:hAnsi="宋体"/>
          <w:b/>
          <w:sz w:val="24"/>
          <w:szCs w:val="24"/>
        </w:rPr>
      </w:pPr>
      <w:r>
        <w:rPr>
          <w:rFonts w:hint="eastAsia" w:ascii="宋体" w:hAnsi="宋体"/>
          <w:b/>
          <w:sz w:val="24"/>
          <w:szCs w:val="24"/>
        </w:rPr>
        <w:t>48. 附带（伴随）服务</w:t>
      </w:r>
    </w:p>
    <w:p>
      <w:pPr>
        <w:spacing w:line="400" w:lineRule="exact"/>
        <w:ind w:firstLine="360" w:firstLineChars="150"/>
        <w:rPr>
          <w:rFonts w:ascii="宋体" w:hAnsi="宋体"/>
          <w:sz w:val="24"/>
          <w:szCs w:val="24"/>
        </w:rPr>
      </w:pPr>
      <w:r>
        <w:rPr>
          <w:rFonts w:hint="eastAsia" w:ascii="宋体" w:hAnsi="宋体"/>
          <w:sz w:val="24"/>
          <w:szCs w:val="24"/>
        </w:rPr>
        <w:t>48.1 附带（伴随）服务的费用应包括在合同价格中，买方不再单独地进行支付。</w:t>
      </w:r>
    </w:p>
    <w:p>
      <w:pPr>
        <w:spacing w:line="400" w:lineRule="exact"/>
        <w:ind w:firstLine="360" w:firstLineChars="150"/>
        <w:rPr>
          <w:rFonts w:ascii="宋体" w:hAnsi="宋体"/>
          <w:sz w:val="24"/>
          <w:szCs w:val="24"/>
        </w:rPr>
      </w:pPr>
      <w:r>
        <w:rPr>
          <w:rFonts w:hint="eastAsia" w:ascii="宋体" w:hAnsi="宋体"/>
          <w:sz w:val="24"/>
          <w:szCs w:val="24"/>
        </w:rPr>
        <w:t>48.2 附带（伴随）服务包括（但不限于）：</w:t>
      </w:r>
    </w:p>
    <w:p>
      <w:pPr>
        <w:spacing w:line="400" w:lineRule="exact"/>
        <w:ind w:firstLine="360" w:firstLineChars="150"/>
        <w:rPr>
          <w:rFonts w:ascii="宋体" w:hAnsi="宋体"/>
          <w:sz w:val="24"/>
          <w:szCs w:val="24"/>
        </w:rPr>
      </w:pPr>
      <w:r>
        <w:rPr>
          <w:rFonts w:hint="eastAsia" w:ascii="宋体" w:hAnsi="宋体"/>
          <w:sz w:val="24"/>
          <w:szCs w:val="24"/>
        </w:rPr>
        <w:t>（1）实施或监督所供货物的现场组装和/或启动；</w:t>
      </w:r>
    </w:p>
    <w:p>
      <w:pPr>
        <w:spacing w:line="400" w:lineRule="exact"/>
        <w:ind w:firstLine="360" w:firstLineChars="150"/>
        <w:rPr>
          <w:rFonts w:ascii="宋体" w:hAnsi="宋体"/>
          <w:sz w:val="24"/>
          <w:szCs w:val="24"/>
        </w:rPr>
      </w:pPr>
      <w:r>
        <w:rPr>
          <w:rFonts w:hint="eastAsia" w:ascii="宋体" w:hAnsi="宋体"/>
          <w:sz w:val="24"/>
          <w:szCs w:val="24"/>
        </w:rPr>
        <w:t>（2）提供货物组装和/或维修所需的工具；</w:t>
      </w:r>
    </w:p>
    <w:p>
      <w:pPr>
        <w:spacing w:line="400" w:lineRule="exact"/>
        <w:ind w:firstLine="360" w:firstLineChars="150"/>
        <w:rPr>
          <w:rFonts w:ascii="宋体" w:hAnsi="宋体"/>
          <w:sz w:val="24"/>
          <w:szCs w:val="24"/>
        </w:rPr>
      </w:pPr>
      <w:r>
        <w:rPr>
          <w:rFonts w:hint="eastAsia" w:ascii="宋体" w:hAnsi="宋体"/>
          <w:sz w:val="24"/>
          <w:szCs w:val="24"/>
        </w:rPr>
        <w:t>（3）为所供货物的每一单台设备提供详细的操作和维护手册；</w:t>
      </w:r>
    </w:p>
    <w:p>
      <w:pPr>
        <w:spacing w:line="400" w:lineRule="exact"/>
        <w:ind w:firstLine="360" w:firstLineChars="150"/>
        <w:rPr>
          <w:rFonts w:ascii="宋体" w:hAnsi="宋体"/>
          <w:sz w:val="24"/>
          <w:szCs w:val="24"/>
        </w:rPr>
      </w:pPr>
      <w:r>
        <w:rPr>
          <w:rFonts w:hint="eastAsia" w:ascii="宋体" w:hAnsi="宋体"/>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ascii="宋体" w:hAnsi="宋体"/>
          <w:sz w:val="24"/>
          <w:szCs w:val="24"/>
        </w:rPr>
      </w:pPr>
      <w:r>
        <w:rPr>
          <w:rFonts w:hint="eastAsia" w:ascii="宋体" w:hAnsi="宋体"/>
          <w:sz w:val="24"/>
          <w:szCs w:val="24"/>
        </w:rPr>
        <w:t>（5）在卖方厂家和/或在项目现场就所供货物的组装、启动，运行、维护和/或修理对买方人员进行培训。</w:t>
      </w:r>
    </w:p>
    <w:p>
      <w:pPr>
        <w:spacing w:line="400" w:lineRule="exact"/>
        <w:ind w:firstLine="472" w:firstLineChars="196"/>
        <w:rPr>
          <w:rFonts w:ascii="宋体" w:hAnsi="宋体"/>
          <w:b/>
          <w:sz w:val="24"/>
          <w:szCs w:val="24"/>
        </w:rPr>
      </w:pPr>
      <w:r>
        <w:rPr>
          <w:rFonts w:hint="eastAsia" w:ascii="宋体" w:hAnsi="宋体"/>
          <w:b/>
          <w:sz w:val="24"/>
          <w:szCs w:val="24"/>
        </w:rPr>
        <w:t>49. 质量保证期</w:t>
      </w:r>
    </w:p>
    <w:p>
      <w:pPr>
        <w:spacing w:line="400" w:lineRule="exact"/>
        <w:ind w:firstLine="470" w:firstLineChars="196"/>
        <w:rPr>
          <w:rFonts w:ascii="宋体" w:hAnsi="宋体"/>
          <w:sz w:val="24"/>
          <w:szCs w:val="24"/>
        </w:rPr>
      </w:pPr>
      <w:r>
        <w:rPr>
          <w:rFonts w:hint="eastAsia" w:ascii="宋体" w:hAnsi="宋体"/>
          <w:sz w:val="24"/>
          <w:szCs w:val="24"/>
        </w:rPr>
        <w:t>49.1 详见采购文件第六章“采购合同专用条款”的相关规定。</w:t>
      </w:r>
    </w:p>
    <w:p>
      <w:pPr>
        <w:spacing w:line="400" w:lineRule="exact"/>
        <w:ind w:firstLine="470" w:firstLineChars="196"/>
        <w:rPr>
          <w:rFonts w:ascii="宋体" w:hAnsi="宋体"/>
          <w:sz w:val="24"/>
          <w:szCs w:val="24"/>
        </w:rPr>
      </w:pPr>
      <w:r>
        <w:rPr>
          <w:rFonts w:hint="eastAsia" w:ascii="宋体" w:hAnsi="宋体"/>
          <w:sz w:val="24"/>
          <w:szCs w:val="24"/>
        </w:rPr>
        <w:t>49.2 如果采购文件没有特别要求，则以卖方在谈判</w:t>
      </w:r>
      <w:r>
        <w:rPr>
          <w:rFonts w:ascii="宋体" w:hAnsi="宋体"/>
          <w:sz w:val="24"/>
          <w:szCs w:val="24"/>
        </w:rPr>
        <w:t>响应</w:t>
      </w:r>
      <w:r>
        <w:rPr>
          <w:rFonts w:hint="eastAsia" w:ascii="宋体" w:hAnsi="宋体"/>
          <w:sz w:val="24"/>
          <w:szCs w:val="24"/>
        </w:rPr>
        <w:t>文件中提交货物产地的有关文件为准。如果在上述文件的规定中有不一致之处，则以对买方最有利的为准。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49.3 质量保证期自“采购项目验收报告单”签署之日起计算。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50.质量保证</w:t>
      </w:r>
    </w:p>
    <w:p>
      <w:pPr>
        <w:spacing w:line="400" w:lineRule="exact"/>
        <w:ind w:firstLine="470" w:firstLineChars="196"/>
        <w:rPr>
          <w:rFonts w:ascii="宋体" w:hAnsi="宋体"/>
          <w:sz w:val="24"/>
          <w:szCs w:val="24"/>
        </w:rPr>
      </w:pPr>
      <w:r>
        <w:rPr>
          <w:rFonts w:hint="eastAsia" w:ascii="宋体" w:hAnsi="宋体"/>
          <w:sz w:val="24"/>
          <w:szCs w:val="24"/>
        </w:rPr>
        <w:t>50.1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ascii="宋体" w:hAnsi="宋体"/>
          <w:sz w:val="24"/>
          <w:szCs w:val="24"/>
        </w:rPr>
      </w:pPr>
      <w:r>
        <w:rPr>
          <w:rFonts w:hint="eastAsia" w:ascii="宋体" w:hAnsi="宋体"/>
          <w:sz w:val="24"/>
          <w:szCs w:val="24"/>
        </w:rPr>
        <w:t>50.2 方应保证其所提供的货物在正确安装、正常使用和保养条件下，在其使用寿命期限内具有符合质量要求和产品说明书的令人满意的性能。在货物最终验收合格交付使用后在不少于本合同条款第45条规定的质量保证期内，卖方应对其交付的货物由于设计、工艺或材料的缺陷而产生的故障负责。</w:t>
      </w:r>
    </w:p>
    <w:p>
      <w:pPr>
        <w:spacing w:line="400" w:lineRule="exact"/>
        <w:ind w:firstLine="470" w:firstLineChars="196"/>
        <w:rPr>
          <w:rFonts w:ascii="宋体" w:hAnsi="宋体"/>
          <w:sz w:val="24"/>
          <w:szCs w:val="24"/>
        </w:rPr>
      </w:pPr>
      <w:r>
        <w:rPr>
          <w:rFonts w:hint="eastAsia" w:ascii="宋体" w:hAnsi="宋体"/>
          <w:sz w:val="24"/>
          <w:szCs w:val="24"/>
        </w:rPr>
        <w:t>50.3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ascii="宋体" w:hAnsi="宋体"/>
          <w:sz w:val="24"/>
          <w:szCs w:val="24"/>
        </w:rPr>
      </w:pPr>
      <w:r>
        <w:rPr>
          <w:rFonts w:hint="eastAsia" w:ascii="宋体" w:hAnsi="宋体"/>
          <w:sz w:val="24"/>
          <w:szCs w:val="24"/>
        </w:rPr>
        <w:t>50.4 如果卖方在收到通知后在采购合同规定时间内，没有弥补缺陷，买方可采取必要的补救措施，但由此引发的风险和费用将由卖方承担。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51.检验和验收</w:t>
      </w:r>
    </w:p>
    <w:p>
      <w:pPr>
        <w:spacing w:line="400" w:lineRule="exact"/>
        <w:ind w:firstLine="470" w:firstLineChars="196"/>
        <w:rPr>
          <w:rFonts w:ascii="宋体" w:hAnsi="宋体"/>
          <w:sz w:val="24"/>
          <w:szCs w:val="24"/>
        </w:rPr>
      </w:pPr>
      <w:r>
        <w:rPr>
          <w:rFonts w:hint="eastAsia" w:ascii="宋体" w:hAnsi="宋体"/>
          <w:sz w:val="24"/>
          <w:szCs w:val="24"/>
        </w:rPr>
        <w:t>51.1 在交货前，卖方应取得对货物的产地、质量、规格、数量等内容进行详细而全面的检验报告，并出具一份证明货物符合采购合同规定的检疫检验证书，但该文件不能作为有关质量、规格、数量等内容的最终检验。</w:t>
      </w:r>
    </w:p>
    <w:p>
      <w:pPr>
        <w:spacing w:line="400" w:lineRule="exact"/>
        <w:ind w:firstLine="470" w:firstLineChars="196"/>
        <w:rPr>
          <w:rFonts w:ascii="宋体" w:hAnsi="宋体"/>
          <w:sz w:val="24"/>
          <w:szCs w:val="24"/>
        </w:rPr>
      </w:pPr>
      <w:r>
        <w:rPr>
          <w:rFonts w:hint="eastAsia" w:ascii="宋体" w:hAnsi="宋体"/>
          <w:sz w:val="24"/>
          <w:szCs w:val="24"/>
        </w:rPr>
        <w:t>51.2货物运抵现场后，买方或采购长葛市公共资源交易中心应在采购合同规定的时间内组织验收，并在“采购项目验收报告单”上签字。“采购项目验收报告单”将作为申请付款文件的一部分。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51.3如果任何被检验或测试的货物不能满足采购文件规定的技术规格的要求，买方可以拒绝接受该货物，卖方应更换被拒绝的货物，或者免费进行必要的维修以满足采购文件规定的技术规格的要求。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51.4由买方或采购机构按照规定组织对货物进行检查验收。发生的相关费用由卖方承担。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52.索赔</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.1 如果货物的质量、规格、数量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44.2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53. 卖方履约延误和误期赔偿</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.1 如卖方无正当理由而拖延交货，买方有权提出误期赔偿或解除采购合同。</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3除本合同条款第50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ascii="宋体" w:hAnsi="宋体"/>
          <w:b/>
          <w:sz w:val="24"/>
          <w:szCs w:val="24"/>
        </w:rPr>
      </w:pPr>
      <w:r>
        <w:rPr>
          <w:rFonts w:hint="eastAsia" w:ascii="宋体" w:hAnsi="宋体"/>
          <w:b/>
          <w:sz w:val="24"/>
          <w:szCs w:val="24"/>
        </w:rPr>
        <w:t>54. 不可抗力</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.1 尽管有本合同条款第43条和第44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ascii="宋体" w:hAnsi="宋体"/>
          <w:b/>
          <w:sz w:val="24"/>
          <w:szCs w:val="24"/>
        </w:rPr>
      </w:pPr>
      <w:r>
        <w:rPr>
          <w:rFonts w:hint="eastAsia" w:ascii="宋体" w:hAnsi="宋体"/>
          <w:b/>
          <w:sz w:val="24"/>
          <w:szCs w:val="24"/>
        </w:rPr>
        <w:t>55.税费</w:t>
      </w:r>
    </w:p>
    <w:p>
      <w:pPr>
        <w:spacing w:line="400" w:lineRule="exact"/>
        <w:ind w:firstLine="470" w:firstLineChars="196"/>
        <w:rPr>
          <w:rFonts w:ascii="宋体" w:hAnsi="宋体"/>
          <w:sz w:val="24"/>
          <w:szCs w:val="24"/>
        </w:rPr>
      </w:pPr>
      <w:r>
        <w:rPr>
          <w:rFonts w:hint="eastAsia" w:ascii="宋体" w:hAnsi="宋体"/>
          <w:sz w:val="24"/>
          <w:szCs w:val="24"/>
        </w:rPr>
        <w:t>与采购合同有关的一切税费均适用中华人民共和国法律的相关规定。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56. 争议的解决</w:t>
      </w:r>
    </w:p>
    <w:p>
      <w:pPr>
        <w:spacing w:line="400" w:lineRule="exact"/>
        <w:ind w:firstLine="472" w:firstLineChars="196"/>
        <w:rPr>
          <w:rFonts w:ascii="宋体" w:hAnsi="宋体"/>
          <w:sz w:val="24"/>
          <w:szCs w:val="24"/>
        </w:rPr>
      </w:pPr>
      <w:bookmarkStart w:id="7" w:name="_Toc80458943"/>
      <w:bookmarkStart w:id="8" w:name="_Toc80502600"/>
      <w:r>
        <w:rPr>
          <w:rFonts w:hint="eastAsia" w:ascii="宋体" w:hAnsi="宋体"/>
          <w:b/>
          <w:sz w:val="24"/>
          <w:szCs w:val="24"/>
        </w:rPr>
        <w:t>56</w:t>
      </w:r>
      <w:r>
        <w:rPr>
          <w:rFonts w:hint="eastAsia" w:ascii="宋体" w:hAnsi="宋体"/>
          <w:sz w:val="24"/>
          <w:szCs w:val="24"/>
        </w:rPr>
        <w:t>.1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hint="eastAsia" w:ascii="宋体" w:hAnsi="宋体"/>
          <w:sz w:val="24"/>
          <w:szCs w:val="24"/>
        </w:rPr>
        <w:t>。调解不成的，将向买方所在地仲裁机构提起仲裁或者向买方所在地人民法院提起诉讼。</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.2 仲裁裁决为最终裁决，对双方均有约束力。当事人一方在规定时间内不履行仲裁机构裁决的，另一方可申请人民法院强制执行。</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.3 仲裁（或诉讼）费用除仲裁机关（或人民法院）另有裁决外，应由败诉方负担。</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.4 在仲裁（或诉讼）期间，除正在进行仲裁（或诉讼）的部分外，采购合同其他部分继续执行。</w:t>
      </w:r>
      <w:bookmarkEnd w:id="7"/>
      <w:bookmarkEnd w:id="8"/>
    </w:p>
    <w:p>
      <w:pPr>
        <w:spacing w:line="400" w:lineRule="exact"/>
        <w:ind w:firstLine="472" w:firstLineChars="196"/>
        <w:rPr>
          <w:rFonts w:ascii="宋体" w:hAnsi="宋体"/>
          <w:b/>
          <w:sz w:val="24"/>
          <w:szCs w:val="24"/>
        </w:rPr>
      </w:pPr>
      <w:r>
        <w:rPr>
          <w:rFonts w:hint="eastAsia" w:ascii="宋体" w:hAnsi="宋体"/>
          <w:b/>
          <w:sz w:val="24"/>
          <w:szCs w:val="24"/>
        </w:rPr>
        <w:t>57. 违约终止采购合同</w:t>
      </w:r>
    </w:p>
    <w:p>
      <w:pPr>
        <w:spacing w:line="400" w:lineRule="exact"/>
        <w:ind w:firstLine="472" w:firstLineChars="196"/>
        <w:rPr>
          <w:rFonts w:ascii="宋体" w:hAnsi="宋体"/>
          <w:sz w:val="24"/>
          <w:szCs w:val="24"/>
        </w:rPr>
      </w:pPr>
      <w:bookmarkStart w:id="9" w:name="_Toc80502601"/>
      <w:bookmarkStart w:id="10" w:name="_Toc80458944"/>
      <w:r>
        <w:rPr>
          <w:rFonts w:hint="eastAsia" w:ascii="宋体" w:hAnsi="宋体"/>
          <w:b/>
          <w:sz w:val="24"/>
          <w:szCs w:val="24"/>
        </w:rPr>
        <w:t>57</w:t>
      </w:r>
      <w:r>
        <w:rPr>
          <w:rFonts w:hint="eastAsia" w:ascii="宋体" w:hAnsi="宋体"/>
          <w:sz w:val="24"/>
          <w:szCs w:val="24"/>
        </w:rPr>
        <w:t>.1 在卖方违约的情况下，买方可向卖方发出书面通知书，提出终止部分或全部采购合同，同时保留向卖方追诉的权利。</w:t>
      </w:r>
    </w:p>
    <w:p>
      <w:pPr>
        <w:spacing w:line="400" w:lineRule="exact"/>
        <w:ind w:firstLine="472" w:firstLineChars="196"/>
        <w:rPr>
          <w:rFonts w:ascii="宋体" w:hAnsi="宋体"/>
          <w:sz w:val="24"/>
          <w:szCs w:val="24"/>
        </w:rPr>
      </w:pPr>
      <w:r>
        <w:rPr>
          <w:rFonts w:hint="eastAsia" w:ascii="宋体" w:hAnsi="宋体"/>
          <w:b/>
          <w:sz w:val="24"/>
          <w:szCs w:val="24"/>
        </w:rPr>
        <w:t>57</w:t>
      </w:r>
      <w:r>
        <w:rPr>
          <w:rFonts w:hint="eastAsia" w:ascii="宋体" w:hAnsi="宋体"/>
          <w:sz w:val="24"/>
          <w:szCs w:val="24"/>
        </w:rPr>
        <w:t>.2 如果在买方根据本合同条款第48.1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9"/>
      <w:bookmarkEnd w:id="10"/>
    </w:p>
    <w:p>
      <w:pPr>
        <w:spacing w:line="400" w:lineRule="exact"/>
        <w:ind w:firstLine="472" w:firstLineChars="196"/>
        <w:rPr>
          <w:rFonts w:ascii="宋体" w:hAnsi="宋体"/>
          <w:b/>
          <w:sz w:val="24"/>
          <w:szCs w:val="24"/>
        </w:rPr>
      </w:pPr>
      <w:r>
        <w:rPr>
          <w:rFonts w:hint="eastAsia" w:ascii="宋体" w:hAnsi="宋体"/>
          <w:b/>
          <w:sz w:val="24"/>
          <w:szCs w:val="24"/>
        </w:rPr>
        <w:t>58. 破产终止采购合同</w:t>
      </w:r>
    </w:p>
    <w:p>
      <w:pPr>
        <w:spacing w:line="400" w:lineRule="exact"/>
        <w:ind w:firstLine="470" w:firstLineChars="196"/>
        <w:rPr>
          <w:rFonts w:ascii="宋体" w:hAnsi="宋体"/>
          <w:sz w:val="24"/>
          <w:szCs w:val="24"/>
        </w:rPr>
      </w:pPr>
      <w:bookmarkStart w:id="11" w:name="_Toc80458945"/>
      <w:bookmarkStart w:id="12" w:name="_Toc80502602"/>
      <w:r>
        <w:rPr>
          <w:rFonts w:hint="eastAsia" w:ascii="宋体" w:hAnsi="宋体"/>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1"/>
      <w:bookmarkEnd w:id="12"/>
    </w:p>
    <w:p>
      <w:pPr>
        <w:spacing w:line="400" w:lineRule="exact"/>
        <w:ind w:firstLine="472" w:firstLineChars="196"/>
        <w:rPr>
          <w:rFonts w:ascii="宋体" w:hAnsi="宋体"/>
          <w:b/>
          <w:sz w:val="24"/>
          <w:szCs w:val="24"/>
        </w:rPr>
      </w:pPr>
      <w:r>
        <w:rPr>
          <w:rFonts w:hint="eastAsia" w:ascii="宋体" w:hAnsi="宋体"/>
          <w:b/>
          <w:sz w:val="24"/>
          <w:szCs w:val="24"/>
        </w:rPr>
        <w:t>59. 转让和分包</w:t>
      </w:r>
    </w:p>
    <w:p>
      <w:pPr>
        <w:spacing w:line="400" w:lineRule="exact"/>
        <w:ind w:firstLine="470" w:firstLineChars="196"/>
        <w:rPr>
          <w:rFonts w:ascii="宋体" w:hAnsi="宋体"/>
          <w:sz w:val="24"/>
          <w:szCs w:val="24"/>
        </w:rPr>
      </w:pPr>
      <w:bookmarkStart w:id="13" w:name="_Toc80458946"/>
      <w:bookmarkStart w:id="14" w:name="_Toc80502603"/>
      <w:r>
        <w:rPr>
          <w:rFonts w:hint="eastAsia" w:ascii="宋体" w:hAnsi="宋体"/>
          <w:sz w:val="24"/>
          <w:szCs w:val="24"/>
        </w:rPr>
        <w:t>59.1 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59.2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60.合同修改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ascii="宋体" w:hAnsi="宋体"/>
          <w:b/>
          <w:sz w:val="24"/>
          <w:szCs w:val="24"/>
        </w:rPr>
      </w:pPr>
      <w:r>
        <w:rPr>
          <w:rFonts w:hint="eastAsia" w:ascii="宋体" w:hAnsi="宋体"/>
          <w:b/>
          <w:sz w:val="24"/>
          <w:szCs w:val="24"/>
        </w:rPr>
        <w:t>61.通知</w:t>
      </w:r>
    </w:p>
    <w:p>
      <w:pPr>
        <w:spacing w:line="400" w:lineRule="exact"/>
        <w:ind w:firstLine="470" w:firstLineChars="196"/>
        <w:rPr>
          <w:rFonts w:ascii="宋体" w:hAnsi="宋体"/>
          <w:sz w:val="24"/>
          <w:szCs w:val="24"/>
        </w:rPr>
      </w:pPr>
      <w:r>
        <w:rPr>
          <w:rFonts w:hint="eastAsia" w:ascii="宋体" w:hAnsi="宋体"/>
          <w:sz w:val="24"/>
          <w:szCs w:val="24"/>
        </w:rPr>
        <w:t>采购合同一方给另一方的通知都应以书面形式发送至规定的对方地址。通知以送达日期或通知书规定的生效日期为生效日期，两者中以晚的一个日期为准。</w:t>
      </w:r>
      <w:bookmarkEnd w:id="13"/>
      <w:bookmarkEnd w:id="14"/>
    </w:p>
    <w:p>
      <w:pPr>
        <w:spacing w:line="400" w:lineRule="exact"/>
        <w:ind w:firstLine="472" w:firstLineChars="196"/>
        <w:rPr>
          <w:rFonts w:ascii="宋体" w:hAnsi="宋体"/>
          <w:b/>
          <w:sz w:val="24"/>
          <w:szCs w:val="24"/>
        </w:rPr>
      </w:pPr>
      <w:r>
        <w:rPr>
          <w:rFonts w:hint="eastAsia" w:ascii="宋体" w:hAnsi="宋体"/>
          <w:b/>
          <w:sz w:val="24"/>
          <w:szCs w:val="24"/>
        </w:rPr>
        <w:t>62.适用法律</w:t>
      </w:r>
    </w:p>
    <w:p>
      <w:pPr>
        <w:spacing w:line="400" w:lineRule="exact"/>
        <w:ind w:firstLine="470" w:firstLineChars="196"/>
        <w:rPr>
          <w:rFonts w:ascii="宋体" w:hAnsi="宋体"/>
          <w:sz w:val="24"/>
          <w:szCs w:val="24"/>
        </w:rPr>
      </w:pPr>
      <w:r>
        <w:rPr>
          <w:rFonts w:hint="eastAsia" w:ascii="宋体" w:hAnsi="宋体"/>
          <w:sz w:val="24"/>
          <w:szCs w:val="24"/>
        </w:rPr>
        <w:t>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63. 合同生效</w:t>
      </w:r>
    </w:p>
    <w:p>
      <w:pPr>
        <w:spacing w:line="400" w:lineRule="exact"/>
        <w:ind w:firstLine="470" w:firstLineChars="196"/>
        <w:rPr>
          <w:rFonts w:ascii="宋体" w:hAnsi="宋体"/>
          <w:sz w:val="24"/>
          <w:szCs w:val="24"/>
        </w:rPr>
      </w:pPr>
      <w:bookmarkStart w:id="15" w:name="_Toc80458948"/>
      <w:bookmarkStart w:id="16" w:name="_Toc80502605"/>
      <w:r>
        <w:rPr>
          <w:rFonts w:hint="eastAsia" w:ascii="宋体" w:hAnsi="宋体"/>
          <w:sz w:val="24"/>
          <w:szCs w:val="24"/>
        </w:rPr>
        <w:t>63.1 采购合同内容的确定应以采购文件和响</w:t>
      </w:r>
      <w:r>
        <w:rPr>
          <w:rFonts w:ascii="宋体" w:hAnsi="宋体"/>
          <w:sz w:val="24"/>
          <w:szCs w:val="24"/>
        </w:rPr>
        <w:t>应</w:t>
      </w:r>
      <w:r>
        <w:rPr>
          <w:rFonts w:hint="eastAsia" w:ascii="宋体" w:hAnsi="宋体"/>
          <w:sz w:val="24"/>
          <w:szCs w:val="24"/>
        </w:rPr>
        <w:t>文件为基础，不得违背其实质性内容。采购合同将在买卖双方签字盖章后开始生效。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63.2 采购合同一式三份，以中文书就，具同等法律效力。买卖双方、采购长葛市公共资源交易中心各执一份。</w:t>
      </w:r>
      <w:bookmarkEnd w:id="15"/>
      <w:bookmarkEnd w:id="16"/>
    </w:p>
    <w:p>
      <w:pPr>
        <w:spacing w:line="400" w:lineRule="exact"/>
        <w:ind w:firstLine="472" w:firstLineChars="196"/>
        <w:rPr>
          <w:rFonts w:ascii="宋体" w:hAnsi="宋体"/>
          <w:b/>
          <w:sz w:val="24"/>
          <w:szCs w:val="24"/>
        </w:rPr>
      </w:pPr>
      <w:r>
        <w:rPr>
          <w:rFonts w:hint="eastAsia" w:ascii="宋体" w:hAnsi="宋体"/>
          <w:b/>
          <w:sz w:val="24"/>
          <w:szCs w:val="24"/>
        </w:rPr>
        <w:t>64.补充条款</w:t>
      </w:r>
    </w:p>
    <w:p>
      <w:pPr>
        <w:spacing w:line="400" w:lineRule="exact"/>
        <w:ind w:firstLine="470" w:firstLineChars="196"/>
        <w:rPr>
          <w:rFonts w:ascii="宋体" w:hAnsi="宋体"/>
          <w:sz w:val="24"/>
          <w:szCs w:val="24"/>
        </w:rPr>
      </w:pPr>
      <w:r>
        <w:rPr>
          <w:rFonts w:hint="eastAsia" w:ascii="宋体" w:hAnsi="宋体"/>
          <w:sz w:val="24"/>
          <w:szCs w:val="24"/>
        </w:rPr>
        <w:t>如需修改或补充采购合同内容，经协商，双方可签署书面修改或补充协议，该协议将作为采购合同的一个组成部分。</w:t>
      </w:r>
    </w:p>
    <w:p>
      <w:pPr>
        <w:spacing w:line="380" w:lineRule="atLeast"/>
        <w:jc w:val="center"/>
        <w:rPr>
          <w:rFonts w:ascii="宋体" w:hAnsi="宋体"/>
          <w:b/>
          <w:sz w:val="24"/>
          <w:szCs w:val="24"/>
        </w:rPr>
      </w:pPr>
      <w:r>
        <w:rPr>
          <w:rFonts w:ascii="宋体" w:hAnsi="宋体"/>
          <w:b/>
          <w:sz w:val="24"/>
          <w:szCs w:val="24"/>
        </w:rPr>
        <w:br w:type="page"/>
      </w:r>
      <w:r>
        <w:rPr>
          <w:rFonts w:hint="eastAsia" w:ascii="宋体" w:hAnsi="宋体"/>
          <w:b/>
          <w:sz w:val="24"/>
          <w:szCs w:val="24"/>
        </w:rPr>
        <w:t>八、采购合同格式</w:t>
      </w:r>
    </w:p>
    <w:p>
      <w:pPr>
        <w:autoSpaceDE w:val="0"/>
        <w:autoSpaceDN w:val="0"/>
        <w:adjustRightInd w:val="0"/>
        <w:spacing w:afterLines="50" w:line="380" w:lineRule="atLeast"/>
        <w:jc w:val="center"/>
        <w:rPr>
          <w:rFonts w:ascii="宋体" w:hAnsi="宋体" w:cs="Arial"/>
          <w:kern w:val="0"/>
          <w:sz w:val="24"/>
          <w:szCs w:val="24"/>
        </w:rPr>
      </w:pPr>
      <w:r>
        <w:rPr>
          <w:rFonts w:hint="eastAsia" w:ascii="宋体" w:hAnsi="宋体" w:cs="Arial"/>
          <w:kern w:val="0"/>
          <w:sz w:val="24"/>
          <w:szCs w:val="24"/>
        </w:rPr>
        <w:t>（以实际签订采购合同为准）</w:t>
      </w:r>
    </w:p>
    <w:p>
      <w:pPr>
        <w:spacing w:line="380" w:lineRule="atLeast"/>
        <w:ind w:firstLine="472" w:firstLineChars="196"/>
        <w:jc w:val="left"/>
        <w:rPr>
          <w:rFonts w:ascii="宋体" w:hAnsi="宋体"/>
          <w:b/>
          <w:sz w:val="24"/>
        </w:rPr>
      </w:pPr>
      <w:r>
        <w:rPr>
          <w:rFonts w:hint="eastAsia" w:ascii="宋体" w:hAnsi="宋体"/>
          <w:b/>
          <w:sz w:val="24"/>
        </w:rPr>
        <w:t>采购合同编号：</w:t>
      </w:r>
    </w:p>
    <w:p>
      <w:pPr>
        <w:spacing w:line="380" w:lineRule="atLeast"/>
        <w:ind w:firstLine="472" w:firstLineChars="196"/>
        <w:jc w:val="left"/>
        <w:rPr>
          <w:rFonts w:ascii="宋体" w:hAnsi="宋体"/>
          <w:b/>
          <w:sz w:val="24"/>
        </w:rPr>
      </w:pPr>
      <w:r>
        <w:rPr>
          <w:rFonts w:hint="eastAsia" w:ascii="宋体" w:hAnsi="宋体"/>
          <w:b/>
          <w:sz w:val="24"/>
        </w:rPr>
        <w:t>签订地点：</w:t>
      </w:r>
    </w:p>
    <w:p>
      <w:pPr>
        <w:spacing w:line="380" w:lineRule="atLeast"/>
        <w:ind w:firstLine="470" w:firstLineChars="196"/>
        <w:jc w:val="left"/>
        <w:rPr>
          <w:rFonts w:ascii="宋体" w:hAnsi="宋体"/>
          <w:sz w:val="24"/>
        </w:rPr>
      </w:pPr>
      <w:r>
        <w:rPr>
          <w:rFonts w:hint="eastAsia" w:ascii="宋体" w:hAnsi="宋体"/>
          <w:sz w:val="24"/>
          <w:u w:val="single"/>
        </w:rPr>
        <w:t xml:space="preserve">    (买方名称)    </w:t>
      </w:r>
      <w:r>
        <w:rPr>
          <w:rFonts w:hint="eastAsia" w:ascii="宋体" w:hAnsi="宋体"/>
          <w:sz w:val="24"/>
        </w:rPr>
        <w:t>（以下简称买方）和</w:t>
      </w:r>
      <w:r>
        <w:rPr>
          <w:rFonts w:hint="eastAsia" w:ascii="宋体" w:hAnsi="宋体"/>
          <w:sz w:val="24"/>
          <w:u w:val="single"/>
        </w:rPr>
        <w:t xml:space="preserve">    (卖方名称)    </w:t>
      </w:r>
      <w:r>
        <w:rPr>
          <w:rFonts w:hint="eastAsia" w:ascii="宋体" w:hAnsi="宋体"/>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ascii="宋体" w:hAnsi="宋体"/>
          <w:b/>
          <w:sz w:val="24"/>
        </w:rPr>
      </w:pPr>
      <w:r>
        <w:rPr>
          <w:rFonts w:hint="eastAsia" w:ascii="宋体" w:hAnsi="宋体"/>
          <w:b/>
          <w:sz w:val="24"/>
        </w:rPr>
        <w:t>一、采购合同文件</w:t>
      </w:r>
    </w:p>
    <w:p>
      <w:pPr>
        <w:spacing w:line="360" w:lineRule="atLeast"/>
        <w:ind w:firstLine="470" w:firstLineChars="196"/>
        <w:jc w:val="left"/>
        <w:rPr>
          <w:rFonts w:ascii="宋体" w:hAnsi="宋体"/>
          <w:sz w:val="24"/>
        </w:rPr>
      </w:pPr>
      <w:r>
        <w:rPr>
          <w:rFonts w:hint="eastAsia" w:ascii="宋体" w:hAnsi="宋体"/>
          <w:sz w:val="24"/>
        </w:rPr>
        <w:t>本采购合同所附下列文件是构成本合同不可分割的部分：</w:t>
      </w:r>
    </w:p>
    <w:p>
      <w:pPr>
        <w:spacing w:line="360" w:lineRule="atLeast"/>
        <w:ind w:firstLine="470" w:firstLineChars="196"/>
        <w:jc w:val="left"/>
        <w:rPr>
          <w:rFonts w:ascii="宋体" w:hAnsi="宋体"/>
          <w:sz w:val="24"/>
        </w:rPr>
      </w:pPr>
      <w:r>
        <w:rPr>
          <w:rFonts w:hint="eastAsia" w:ascii="宋体" w:hAnsi="宋体"/>
          <w:sz w:val="24"/>
        </w:rPr>
        <w:t>1. 采购文件（采购文件编号）；</w:t>
      </w:r>
    </w:p>
    <w:p>
      <w:pPr>
        <w:spacing w:line="360" w:lineRule="atLeast"/>
        <w:ind w:firstLine="480" w:firstLineChars="200"/>
        <w:jc w:val="left"/>
        <w:rPr>
          <w:rFonts w:ascii="宋体" w:hAnsi="宋体"/>
          <w:sz w:val="24"/>
        </w:rPr>
      </w:pPr>
      <w:r>
        <w:rPr>
          <w:rFonts w:hint="eastAsia" w:ascii="宋体" w:hAnsi="宋体"/>
          <w:sz w:val="24"/>
        </w:rPr>
        <w:t xml:space="preserve">2. </w:t>
      </w:r>
      <w:r>
        <w:rPr>
          <w:rFonts w:hint="eastAsia" w:ascii="宋体" w:hAnsi="宋体" w:cs="Arial"/>
          <w:sz w:val="24"/>
          <w:szCs w:val="24"/>
        </w:rPr>
        <w:t>成交</w:t>
      </w:r>
      <w:r>
        <w:rPr>
          <w:rFonts w:hint="eastAsia" w:ascii="宋体" w:hAnsi="宋体"/>
          <w:sz w:val="24"/>
        </w:rPr>
        <w:t>供应商提交的谈判响应文件；</w:t>
      </w:r>
    </w:p>
    <w:p>
      <w:pPr>
        <w:spacing w:line="360" w:lineRule="atLeast"/>
        <w:ind w:firstLine="480" w:firstLineChars="200"/>
        <w:jc w:val="left"/>
        <w:rPr>
          <w:rFonts w:ascii="宋体" w:hAnsi="宋体"/>
          <w:sz w:val="24"/>
        </w:rPr>
      </w:pPr>
      <w:r>
        <w:rPr>
          <w:rFonts w:hint="eastAsia" w:ascii="宋体" w:hAnsi="宋体"/>
          <w:sz w:val="24"/>
        </w:rPr>
        <w:t>3. 采购合同专用条款；</w:t>
      </w:r>
    </w:p>
    <w:p>
      <w:pPr>
        <w:spacing w:line="360" w:lineRule="atLeast"/>
        <w:ind w:firstLine="480" w:firstLineChars="200"/>
        <w:jc w:val="left"/>
        <w:rPr>
          <w:rFonts w:ascii="宋体" w:hAnsi="宋体"/>
          <w:sz w:val="24"/>
        </w:rPr>
      </w:pPr>
      <w:r>
        <w:rPr>
          <w:rFonts w:hint="eastAsia" w:ascii="宋体" w:hAnsi="宋体"/>
          <w:sz w:val="24"/>
        </w:rPr>
        <w:t xml:space="preserve">4. </w:t>
      </w:r>
      <w:r>
        <w:rPr>
          <w:rFonts w:hint="eastAsia" w:ascii="宋体" w:hAnsi="宋体" w:cs="Arial"/>
          <w:sz w:val="24"/>
          <w:szCs w:val="24"/>
        </w:rPr>
        <w:t>成交</w:t>
      </w:r>
      <w:r>
        <w:rPr>
          <w:rFonts w:hint="eastAsia" w:ascii="宋体" w:hAnsi="宋体"/>
          <w:sz w:val="24"/>
        </w:rPr>
        <w:t>通知书。</w:t>
      </w:r>
    </w:p>
    <w:p>
      <w:pPr>
        <w:spacing w:line="360" w:lineRule="atLeast"/>
        <w:ind w:firstLine="480"/>
        <w:jc w:val="left"/>
        <w:outlineLvl w:val="0"/>
        <w:rPr>
          <w:rFonts w:ascii="宋体" w:hAnsi="宋体"/>
          <w:b/>
          <w:sz w:val="24"/>
        </w:rPr>
      </w:pPr>
      <w:r>
        <w:rPr>
          <w:rFonts w:hint="eastAsia" w:ascii="宋体" w:hAnsi="宋体"/>
          <w:b/>
          <w:sz w:val="24"/>
        </w:rPr>
        <w:t>二、采购合同范围和条件</w:t>
      </w:r>
    </w:p>
    <w:p>
      <w:pPr>
        <w:spacing w:line="360" w:lineRule="atLeast"/>
        <w:ind w:firstLine="470" w:firstLineChars="196"/>
        <w:jc w:val="left"/>
        <w:rPr>
          <w:rFonts w:ascii="宋体" w:hAnsi="宋体"/>
          <w:sz w:val="24"/>
        </w:rPr>
      </w:pPr>
      <w:r>
        <w:rPr>
          <w:rFonts w:hint="eastAsia" w:ascii="宋体" w:hAnsi="宋体"/>
          <w:sz w:val="24"/>
        </w:rPr>
        <w:t>本采购合同的范围和条件与上述采购合同文件的规定相一致。</w:t>
      </w:r>
    </w:p>
    <w:p>
      <w:pPr>
        <w:spacing w:line="360" w:lineRule="atLeast"/>
        <w:ind w:firstLine="480"/>
        <w:jc w:val="left"/>
        <w:outlineLvl w:val="0"/>
        <w:rPr>
          <w:rFonts w:ascii="宋体" w:hAnsi="宋体"/>
          <w:b/>
          <w:sz w:val="24"/>
        </w:rPr>
      </w:pPr>
      <w:r>
        <w:rPr>
          <w:rFonts w:hint="eastAsia" w:ascii="宋体" w:hAnsi="宋体"/>
          <w:b/>
          <w:sz w:val="24"/>
        </w:rPr>
        <w:t>三、采购合同标的</w:t>
      </w:r>
    </w:p>
    <w:p>
      <w:pPr>
        <w:spacing w:line="360" w:lineRule="atLeast"/>
        <w:ind w:firstLine="480" w:firstLineChars="200"/>
        <w:jc w:val="left"/>
        <w:rPr>
          <w:rFonts w:ascii="宋体" w:hAnsi="宋体"/>
          <w:sz w:val="24"/>
        </w:rPr>
      </w:pPr>
      <w:r>
        <w:rPr>
          <w:rFonts w:hint="eastAsia" w:ascii="宋体" w:hAnsi="宋体"/>
          <w:sz w:val="24"/>
        </w:rPr>
        <w:t>本采购合同的标的为采购合同货物清单中所列货物及相关服务。</w:t>
      </w:r>
    </w:p>
    <w:p>
      <w:pPr>
        <w:spacing w:line="360" w:lineRule="atLeast"/>
        <w:ind w:firstLine="480"/>
        <w:jc w:val="left"/>
        <w:outlineLvl w:val="0"/>
        <w:rPr>
          <w:rFonts w:ascii="宋体" w:hAnsi="宋体"/>
          <w:b/>
          <w:sz w:val="24"/>
        </w:rPr>
      </w:pPr>
      <w:r>
        <w:rPr>
          <w:rFonts w:hint="eastAsia" w:ascii="宋体" w:hAnsi="宋体"/>
          <w:b/>
          <w:sz w:val="24"/>
        </w:rPr>
        <w:t>四、采购合同金额</w:t>
      </w:r>
    </w:p>
    <w:p>
      <w:pPr>
        <w:spacing w:line="360" w:lineRule="atLeast"/>
        <w:ind w:firstLine="480"/>
        <w:jc w:val="left"/>
        <w:outlineLvl w:val="0"/>
        <w:rPr>
          <w:rFonts w:ascii="宋体" w:hAnsi="宋体"/>
          <w:sz w:val="24"/>
        </w:rPr>
      </w:pPr>
      <w:r>
        <w:rPr>
          <w:rFonts w:hint="eastAsia" w:ascii="宋体" w:hAnsi="宋体"/>
          <w:sz w:val="24"/>
        </w:rPr>
        <w:t>根据上述采购合同文件要求，采购合同的总金额为人民币（大写）元，（小写）￥：元。</w:t>
      </w:r>
    </w:p>
    <w:p>
      <w:pPr>
        <w:spacing w:line="360" w:lineRule="atLeast"/>
        <w:ind w:firstLine="482" w:firstLineChars="200"/>
        <w:jc w:val="left"/>
        <w:outlineLvl w:val="0"/>
        <w:rPr>
          <w:rFonts w:ascii="宋体" w:hAnsi="宋体"/>
          <w:b/>
          <w:sz w:val="24"/>
        </w:rPr>
      </w:pPr>
      <w:r>
        <w:rPr>
          <w:rFonts w:hint="eastAsia" w:ascii="宋体" w:hAnsi="宋体"/>
          <w:b/>
          <w:sz w:val="24"/>
        </w:rPr>
        <w:t>五、付款条件、交货时间和交货地点</w:t>
      </w:r>
    </w:p>
    <w:p>
      <w:pPr>
        <w:spacing w:line="360" w:lineRule="atLeast"/>
        <w:ind w:firstLine="480" w:firstLineChars="200"/>
        <w:jc w:val="left"/>
        <w:outlineLvl w:val="0"/>
        <w:rPr>
          <w:rFonts w:ascii="宋体" w:hAnsi="宋体"/>
          <w:sz w:val="24"/>
        </w:rPr>
      </w:pPr>
      <w:r>
        <w:rPr>
          <w:rFonts w:hint="eastAsia" w:ascii="宋体" w:hAnsi="宋体"/>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ascii="宋体" w:hAnsi="宋体"/>
          <w:b/>
          <w:sz w:val="24"/>
        </w:rPr>
      </w:pPr>
      <w:r>
        <w:rPr>
          <w:rFonts w:hint="eastAsia" w:ascii="宋体" w:hAnsi="宋体"/>
          <w:b/>
          <w:sz w:val="24"/>
        </w:rPr>
        <w:t>六、采购合同生效</w:t>
      </w:r>
    </w:p>
    <w:p>
      <w:pPr>
        <w:spacing w:line="360" w:lineRule="atLeast"/>
        <w:ind w:firstLine="480" w:firstLineChars="200"/>
        <w:jc w:val="left"/>
        <w:outlineLvl w:val="0"/>
        <w:rPr>
          <w:rFonts w:ascii="宋体" w:hAnsi="宋体"/>
          <w:sz w:val="24"/>
        </w:rPr>
      </w:pPr>
      <w:r>
        <w:rPr>
          <w:rFonts w:hint="eastAsia" w:ascii="宋体" w:hAnsi="宋体"/>
          <w:sz w:val="24"/>
        </w:rPr>
        <w:t>本采购合同经双方授权代表签字盖章后生效。</w:t>
      </w:r>
    </w:p>
    <w:p>
      <w:pPr>
        <w:spacing w:line="360" w:lineRule="atLeast"/>
        <w:ind w:firstLine="482" w:firstLineChars="200"/>
        <w:jc w:val="left"/>
        <w:outlineLvl w:val="0"/>
        <w:rPr>
          <w:rFonts w:ascii="宋体" w:hAnsi="宋体"/>
          <w:b/>
          <w:sz w:val="24"/>
        </w:rPr>
      </w:pPr>
      <w:r>
        <w:rPr>
          <w:rFonts w:hint="eastAsia" w:ascii="宋体" w:hAnsi="宋体"/>
          <w:b/>
          <w:sz w:val="24"/>
        </w:rPr>
        <w:t>七、采购合同份数</w:t>
      </w:r>
    </w:p>
    <w:p>
      <w:pPr>
        <w:spacing w:line="360" w:lineRule="atLeast"/>
        <w:ind w:firstLine="480" w:firstLineChars="200"/>
        <w:jc w:val="left"/>
        <w:outlineLvl w:val="0"/>
        <w:rPr>
          <w:rFonts w:ascii="宋体" w:hAnsi="宋体"/>
          <w:sz w:val="24"/>
        </w:rPr>
      </w:pPr>
      <w:r>
        <w:rPr>
          <w:rFonts w:hint="eastAsia" w:ascii="宋体" w:hAnsi="宋体"/>
          <w:sz w:val="24"/>
        </w:rPr>
        <w:t>本合同一式三份，以中文书就，具备同等法律效力。买卖双方、采购长葛市公共资源交易中心各执一份。</w:t>
      </w:r>
    </w:p>
    <w:p>
      <w:pPr>
        <w:spacing w:line="360" w:lineRule="atLeast"/>
        <w:ind w:firstLine="482" w:firstLineChars="200"/>
        <w:jc w:val="left"/>
        <w:rPr>
          <w:rFonts w:ascii="宋体" w:hAnsi="宋体"/>
          <w:b/>
          <w:sz w:val="24"/>
        </w:rPr>
      </w:pPr>
      <w:r>
        <w:rPr>
          <w:rFonts w:hint="eastAsia" w:ascii="宋体" w:hAnsi="宋体"/>
          <w:b/>
          <w:sz w:val="24"/>
        </w:rPr>
        <w:t>签约方：</w:t>
      </w:r>
    </w:p>
    <w:p>
      <w:pPr>
        <w:spacing w:line="360" w:lineRule="atLeast"/>
        <w:ind w:firstLine="480" w:firstLineChars="200"/>
        <w:jc w:val="left"/>
        <w:rPr>
          <w:rFonts w:ascii="宋体" w:hAnsi="宋体"/>
          <w:sz w:val="24"/>
        </w:rPr>
      </w:pPr>
      <w:r>
        <w:rPr>
          <w:rFonts w:hint="eastAsia" w:ascii="宋体" w:hAnsi="宋体"/>
          <w:sz w:val="24"/>
        </w:rPr>
        <w:t>买方（公章）：                         卖方(公章)：</w:t>
      </w:r>
    </w:p>
    <w:p>
      <w:pPr>
        <w:spacing w:line="360" w:lineRule="atLeast"/>
        <w:ind w:firstLine="480" w:firstLineChars="200"/>
        <w:jc w:val="left"/>
        <w:rPr>
          <w:rFonts w:ascii="宋体" w:hAnsi="宋体"/>
          <w:sz w:val="24"/>
        </w:rPr>
      </w:pPr>
      <w:r>
        <w:rPr>
          <w:rFonts w:hint="eastAsia" w:ascii="宋体" w:hAnsi="宋体"/>
          <w:sz w:val="24"/>
        </w:rPr>
        <w:t>法定代表人（代表人）或授权代表(签字)：  法定代表人（代表人）或授权代表(签字)：</w:t>
      </w:r>
    </w:p>
    <w:p>
      <w:pPr>
        <w:spacing w:line="360" w:lineRule="atLeast"/>
        <w:ind w:firstLine="480" w:firstLineChars="200"/>
        <w:rPr>
          <w:rFonts w:ascii="宋体" w:hAnsi="宋体"/>
          <w:sz w:val="24"/>
        </w:rPr>
      </w:pPr>
      <w:r>
        <w:rPr>
          <w:rFonts w:hint="eastAsia" w:ascii="宋体" w:hAnsi="宋体"/>
          <w:sz w:val="24"/>
        </w:rPr>
        <w:t>开户银行：                             开户银行：</w:t>
      </w:r>
    </w:p>
    <w:p>
      <w:pPr>
        <w:spacing w:line="360" w:lineRule="atLeast"/>
        <w:ind w:firstLine="480" w:firstLineChars="200"/>
        <w:rPr>
          <w:rFonts w:ascii="宋体" w:hAnsi="宋体"/>
          <w:sz w:val="24"/>
        </w:rPr>
      </w:pPr>
      <w:r>
        <w:rPr>
          <w:rFonts w:hint="eastAsia" w:ascii="宋体" w:hAnsi="宋体"/>
          <w:sz w:val="24"/>
        </w:rPr>
        <w:t>银行账号：                             银行账号：</w:t>
      </w:r>
    </w:p>
    <w:p>
      <w:pPr>
        <w:spacing w:line="360" w:lineRule="atLeast"/>
        <w:ind w:firstLine="600" w:firstLineChars="250"/>
        <w:rPr>
          <w:rFonts w:ascii="宋体" w:hAnsi="宋体"/>
          <w:sz w:val="24"/>
        </w:rPr>
      </w:pPr>
      <w:r>
        <w:rPr>
          <w:rFonts w:hint="eastAsia" w:ascii="宋体" w:hAnsi="宋体"/>
          <w:sz w:val="24"/>
        </w:rPr>
        <w:t xml:space="preserve">       年     月    日                        年    月    日</w:t>
      </w:r>
    </w:p>
    <w:p>
      <w:pPr>
        <w:spacing w:after="50" w:line="320" w:lineRule="exact"/>
        <w:jc w:val="left"/>
        <w:rPr>
          <w:rFonts w:asciiTheme="majorEastAsia" w:hAnsiTheme="majorEastAsia" w:eastAsiaTheme="majorEastAsia"/>
          <w:b/>
          <w:sz w:val="28"/>
          <w:szCs w:val="28"/>
        </w:rPr>
      </w:pPr>
      <w:r>
        <w:rPr>
          <w:rFonts w:ascii="宋体" w:hAnsi="宋体"/>
          <w:sz w:val="24"/>
        </w:rPr>
        <w:br w:type="page"/>
      </w:r>
      <w:r>
        <w:rPr>
          <w:rFonts w:hint="eastAsia" w:asciiTheme="majorEastAsia" w:hAnsiTheme="majorEastAsia" w:eastAsiaTheme="majorEastAsia"/>
          <w:b/>
          <w:sz w:val="28"/>
          <w:szCs w:val="28"/>
        </w:rPr>
        <w:t>附件2</w:t>
      </w:r>
    </w:p>
    <w:p>
      <w:pPr>
        <w:spacing w:after="50" w:line="320" w:lineRule="exact"/>
        <w:jc w:val="center"/>
        <w:rPr>
          <w:rFonts w:asciiTheme="majorEastAsia" w:hAnsiTheme="majorEastAsia" w:eastAsiaTheme="majorEastAsia"/>
          <w:b/>
          <w:kern w:val="0"/>
          <w:sz w:val="28"/>
          <w:szCs w:val="28"/>
        </w:rPr>
      </w:pPr>
      <w:r>
        <w:rPr>
          <w:rFonts w:hint="eastAsia" w:asciiTheme="majorEastAsia" w:hAnsiTheme="majorEastAsia" w:eastAsiaTheme="majorEastAsia"/>
          <w:b/>
          <w:sz w:val="28"/>
          <w:szCs w:val="28"/>
        </w:rPr>
        <w:t xml:space="preserve"> 谈判响应文件格式</w:t>
      </w:r>
    </w:p>
    <w:p>
      <w:pPr>
        <w:spacing w:line="480" w:lineRule="exact"/>
        <w:ind w:left="1"/>
        <w:rPr>
          <w:rFonts w:ascii="宋体" w:hAnsi="宋体"/>
          <w:kern w:val="0"/>
          <w:sz w:val="28"/>
          <w:szCs w:val="28"/>
        </w:rPr>
      </w:pPr>
      <w:r>
        <w:rPr>
          <w:rFonts w:hint="eastAsia" w:ascii="宋体" w:hAnsi="宋体"/>
          <w:kern w:val="0"/>
          <w:sz w:val="28"/>
          <w:szCs w:val="28"/>
        </w:rPr>
        <w:t>注：</w:t>
      </w:r>
    </w:p>
    <w:p>
      <w:pPr>
        <w:spacing w:line="480" w:lineRule="auto"/>
        <w:ind w:left="1" w:firstLine="537" w:firstLineChars="192"/>
        <w:rPr>
          <w:rFonts w:ascii="宋体" w:hAnsi="宋体"/>
          <w:kern w:val="0"/>
          <w:sz w:val="28"/>
          <w:szCs w:val="28"/>
        </w:rPr>
      </w:pPr>
      <w:r>
        <w:rPr>
          <w:rFonts w:hint="eastAsia" w:ascii="宋体" w:hAnsi="宋体"/>
          <w:kern w:val="0"/>
          <w:sz w:val="28"/>
          <w:szCs w:val="28"/>
        </w:rPr>
        <w:t>1.以下的谈判响应文件格式为通用的格式，供应商在制作谈判响应文件时应以“第三章谈判响应文件内容”的要求为准，选择相应的文件格式。</w:t>
      </w:r>
    </w:p>
    <w:p>
      <w:pPr>
        <w:widowControl/>
        <w:spacing w:line="480" w:lineRule="auto"/>
        <w:ind w:firstLine="560" w:firstLineChars="200"/>
        <w:jc w:val="left"/>
        <w:rPr>
          <w:rFonts w:ascii="宋体" w:hAnsi="宋体"/>
          <w:sz w:val="24"/>
        </w:rPr>
      </w:pPr>
      <w:r>
        <w:rPr>
          <w:rFonts w:hint="eastAsia" w:ascii="宋体" w:hAnsi="宋体"/>
          <w:kern w:val="0"/>
          <w:sz w:val="28"/>
          <w:szCs w:val="28"/>
        </w:rPr>
        <w:t>2.对于给定格式的，需按照给定的格式进行填报；没有给定格式的，供应商可以自行设计。</w:t>
      </w:r>
      <w:r>
        <w:rPr>
          <w:rFonts w:ascii="宋体" w:hAnsi="宋体"/>
          <w:sz w:val="24"/>
        </w:rPr>
        <w:br w:type="page"/>
      </w:r>
    </w:p>
    <w:p>
      <w:pPr>
        <w:spacing w:line="480" w:lineRule="exact"/>
        <w:rPr>
          <w:rFonts w:ascii="宋体" w:hAnsi="宋体"/>
          <w:b/>
          <w:kern w:val="0"/>
          <w:sz w:val="24"/>
          <w:szCs w:val="24"/>
        </w:rPr>
      </w:pPr>
      <w:r>
        <w:rPr>
          <w:rFonts w:hint="eastAsia" w:ascii="宋体" w:hAnsi="宋体"/>
          <w:b/>
          <w:kern w:val="0"/>
          <w:sz w:val="24"/>
          <w:szCs w:val="24"/>
        </w:rPr>
        <w:t>格式1</w:t>
      </w:r>
    </w:p>
    <w:p>
      <w:pPr>
        <w:spacing w:line="480" w:lineRule="exact"/>
        <w:jc w:val="left"/>
        <w:rPr>
          <w:rFonts w:ascii="Lucida Sans Unicode" w:hAnsi="Lucida Sans Unicode" w:cs="Lucida Sans Unicode"/>
          <w:b/>
        </w:rPr>
      </w:pPr>
      <w:r>
        <w:rPr>
          <w:rFonts w:hint="eastAsia" w:ascii="宋体" w:hAnsi="宋体"/>
          <w:b/>
          <w:kern w:val="0"/>
          <w:sz w:val="24"/>
          <w:szCs w:val="24"/>
        </w:rPr>
        <w:t>注：请供应商使用此页格式作为所编写谈判响应文件的封皮。</w:t>
      </w: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rPr>
          <w:rFonts w:ascii="Lucida Sans Unicode" w:hAnsi="Lucida Sans Unicode" w:cs="Lucida Sans Unicode"/>
          <w:b/>
        </w:rPr>
      </w:pPr>
    </w:p>
    <w:p>
      <w:pPr>
        <w:spacing w:line="360" w:lineRule="auto"/>
        <w:jc w:val="center"/>
        <w:rPr>
          <w:rFonts w:ascii="隶书" w:hAnsi="宋体" w:eastAsia="隶书"/>
          <w:b/>
          <w:sz w:val="52"/>
          <w:szCs w:val="52"/>
        </w:rPr>
      </w:pPr>
      <w:r>
        <w:rPr>
          <w:rFonts w:hint="eastAsia" w:ascii="隶书" w:hAnsi="宋体" w:eastAsia="隶书"/>
          <w:b/>
          <w:sz w:val="52"/>
          <w:szCs w:val="52"/>
          <w:u w:val="single"/>
        </w:rPr>
        <w:t xml:space="preserve">  （项目名称）/标包  </w:t>
      </w:r>
    </w:p>
    <w:p>
      <w:pPr>
        <w:spacing w:line="360" w:lineRule="auto"/>
        <w:jc w:val="center"/>
        <w:rPr>
          <w:rFonts w:ascii="隶书" w:hAnsi="宋体" w:eastAsia="隶书"/>
          <w:b/>
          <w:sz w:val="72"/>
          <w:szCs w:val="72"/>
        </w:rPr>
      </w:pPr>
    </w:p>
    <w:p>
      <w:pPr>
        <w:spacing w:line="360" w:lineRule="auto"/>
        <w:jc w:val="center"/>
        <w:rPr>
          <w:rFonts w:ascii="隶书" w:hAnsi="宋体" w:eastAsia="隶书"/>
          <w:b/>
          <w:sz w:val="72"/>
          <w:szCs w:val="72"/>
        </w:rPr>
      </w:pPr>
      <w:r>
        <w:rPr>
          <w:rFonts w:hint="eastAsia" w:ascii="隶书" w:hAnsi="宋体" w:eastAsia="隶书"/>
          <w:b/>
          <w:sz w:val="72"/>
          <w:szCs w:val="72"/>
        </w:rPr>
        <w:t>竞争性谈判响应文件</w:t>
      </w:r>
    </w:p>
    <w:p>
      <w:pPr>
        <w:spacing w:line="360" w:lineRule="auto"/>
        <w:jc w:val="center"/>
        <w:rPr>
          <w:rFonts w:ascii="Lucida Sans Unicode" w:hAnsi="Lucida Sans Unicode" w:cs="Lucida Sans Unicode"/>
          <w:b/>
          <w:sz w:val="30"/>
          <w:szCs w:val="30"/>
        </w:rPr>
      </w:pPr>
    </w:p>
    <w:p>
      <w:pPr>
        <w:spacing w:line="480" w:lineRule="exact"/>
        <w:rPr>
          <w:rFonts w:ascii="Lucida Sans Unicode" w:hAnsi="Lucida Sans Unicode" w:cs="Lucida Sans Unicode"/>
        </w:rPr>
      </w:pPr>
    </w:p>
    <w:p>
      <w:pPr>
        <w:spacing w:line="360" w:lineRule="auto"/>
        <w:ind w:firstLine="900" w:firstLineChars="249"/>
        <w:rPr>
          <w:rFonts w:ascii="宋体" w:hAnsi="宋体"/>
          <w:b/>
          <w:sz w:val="36"/>
          <w:szCs w:val="36"/>
        </w:rPr>
      </w:pP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项目名称：</w:t>
      </w: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项目编号：</w:t>
      </w: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供 应 商： （加盖公章）</w:t>
      </w:r>
    </w:p>
    <w:p>
      <w:pPr>
        <w:spacing w:line="360" w:lineRule="auto"/>
        <w:ind w:firstLine="900" w:firstLineChars="249"/>
        <w:rPr>
          <w:rFonts w:ascii="隶书" w:hAnsi="Lucida Sans Unicode" w:eastAsia="隶书" w:cs="Lucida Sans Unicode"/>
          <w:b/>
          <w:sz w:val="36"/>
          <w:szCs w:val="36"/>
        </w:rPr>
      </w:pPr>
      <w:r>
        <w:rPr>
          <w:rFonts w:hint="eastAsia" w:ascii="隶书" w:hAnsi="Lucida Sans Unicode" w:eastAsia="隶书" w:cs="Lucida Sans Unicode"/>
          <w:b/>
          <w:sz w:val="36"/>
          <w:szCs w:val="36"/>
        </w:rPr>
        <w:t>时    间：</w:t>
      </w:r>
    </w:p>
    <w:p>
      <w:pPr>
        <w:widowControl/>
        <w:jc w:val="left"/>
        <w:rPr>
          <w:rFonts w:ascii="宋体" w:hAnsi="宋体"/>
          <w:b/>
          <w:kern w:val="0"/>
          <w:sz w:val="24"/>
          <w:szCs w:val="24"/>
        </w:rPr>
      </w:pPr>
    </w:p>
    <w:p>
      <w:pPr>
        <w:widowControl/>
        <w:jc w:val="left"/>
        <w:rPr>
          <w:rFonts w:ascii="宋体" w:hAnsi="宋体"/>
          <w:b/>
          <w:kern w:val="0"/>
          <w:sz w:val="24"/>
          <w:szCs w:val="24"/>
        </w:rPr>
      </w:pPr>
    </w:p>
    <w:p>
      <w:pPr>
        <w:spacing w:line="480" w:lineRule="exact"/>
        <w:rPr>
          <w:rFonts w:ascii="宋体" w:hAnsi="宋体"/>
          <w:b/>
          <w:kern w:val="12"/>
          <w:sz w:val="24"/>
          <w:szCs w:val="24"/>
        </w:rPr>
      </w:pPr>
      <w:r>
        <w:rPr>
          <w:rFonts w:hint="eastAsia" w:ascii="宋体" w:hAnsi="宋体"/>
          <w:b/>
          <w:kern w:val="0"/>
          <w:sz w:val="24"/>
          <w:szCs w:val="24"/>
        </w:rPr>
        <w:t>格式2</w:t>
      </w:r>
    </w:p>
    <w:p>
      <w:pPr>
        <w:spacing w:line="480" w:lineRule="exact"/>
        <w:rPr>
          <w:rFonts w:ascii="宋体"/>
          <w:b/>
          <w:color w:val="000000"/>
          <w:kern w:val="12"/>
          <w:sz w:val="24"/>
          <w:szCs w:val="24"/>
        </w:rPr>
      </w:pPr>
    </w:p>
    <w:p>
      <w:pPr>
        <w:pStyle w:val="122"/>
        <w:tabs>
          <w:tab w:val="left" w:pos="660"/>
        </w:tabs>
        <w:snapToGrid w:val="0"/>
        <w:spacing w:before="0" w:line="400" w:lineRule="exact"/>
        <w:ind w:left="0" w:firstLine="0"/>
        <w:rPr>
          <w:rFonts w:cs="黑体"/>
          <w:color w:val="auto"/>
          <w:kern w:val="2"/>
          <w:sz w:val="28"/>
          <w:szCs w:val="28"/>
          <w:lang w:val="zh-CN"/>
        </w:rPr>
      </w:pPr>
      <w:r>
        <w:rPr>
          <w:rFonts w:hint="eastAsia" w:cs="黑体"/>
          <w:color w:val="auto"/>
          <w:kern w:val="2"/>
          <w:sz w:val="28"/>
          <w:szCs w:val="28"/>
          <w:lang w:val="zh-CN"/>
        </w:rPr>
        <w:t>一、供应商应答索引表（如涉及本项目的提供）</w:t>
      </w:r>
    </w:p>
    <w:tbl>
      <w:tblPr>
        <w:tblStyle w:val="3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3"/>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20"/>
              <w:kinsoku w:val="0"/>
              <w:overflowPunct w:val="0"/>
              <w:autoSpaceDE w:val="0"/>
              <w:autoSpaceDN w:val="0"/>
              <w:spacing w:line="320" w:lineRule="exact"/>
              <w:rPr>
                <w:rFonts w:hAnsi="宋体" w:cs="微软雅黑"/>
                <w:b/>
                <w:bCs/>
              </w:rPr>
            </w:pPr>
            <w:r>
              <w:rPr>
                <w:rFonts w:hint="eastAsia" w:hAnsi="宋体" w:cs="Courier New"/>
                <w:b/>
                <w:bCs/>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20"/>
              <w:kinsoku w:val="0"/>
              <w:overflowPunct w:val="0"/>
              <w:autoSpaceDE w:val="0"/>
              <w:autoSpaceDN w:val="0"/>
              <w:spacing w:line="320" w:lineRule="exact"/>
              <w:rPr>
                <w:rFonts w:hAnsi="宋体" w:cs="Courier New"/>
                <w:b/>
                <w:bCs/>
              </w:rPr>
            </w:pPr>
            <w:r>
              <w:rPr>
                <w:rFonts w:hint="eastAsia" w:hAnsi="宋体" w:cs="Courier New"/>
                <w:b/>
                <w:bCs/>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20"/>
              <w:kinsoku w:val="0"/>
              <w:overflowPunct w:val="0"/>
              <w:autoSpaceDE w:val="0"/>
              <w:autoSpaceDN w:val="0"/>
              <w:spacing w:line="320" w:lineRule="exact"/>
              <w:rPr>
                <w:rFonts w:hAnsi="宋体" w:cs="微软雅黑"/>
                <w:b/>
                <w:bCs/>
              </w:rPr>
            </w:pPr>
            <w:r>
              <w:rPr>
                <w:rFonts w:hint="eastAsia" w:hAnsi="宋体" w:cs="Courier New"/>
                <w:b/>
                <w:bCs/>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20"/>
              <w:kinsoku w:val="0"/>
              <w:overflowPunct w:val="0"/>
              <w:autoSpaceDE w:val="0"/>
              <w:autoSpaceDN w:val="0"/>
              <w:spacing w:line="320" w:lineRule="exact"/>
              <w:rPr>
                <w:rFonts w:hAnsi="宋体" w:cs="Courier New"/>
                <w:b/>
                <w:bCs/>
              </w:rPr>
            </w:pPr>
            <w:r>
              <w:rPr>
                <w:rFonts w:hint="eastAsia" w:hAnsi="宋体" w:cs="宋体"/>
                <w:b/>
                <w:bCs/>
                <w:kern w:val="2"/>
                <w:lang w:val="zh-CN"/>
              </w:rPr>
              <w:t>法定代表人（单位负责人）</w:t>
            </w:r>
            <w:r>
              <w:rPr>
                <w:rFonts w:hAnsi="宋体" w:cs="宋体"/>
                <w:b/>
                <w:bCs/>
                <w:kern w:val="2"/>
                <w:lang w:val="zh-CN"/>
              </w:rPr>
              <w:t>资</w:t>
            </w:r>
            <w:r>
              <w:rPr>
                <w:rFonts w:hint="eastAsia" w:hAnsi="宋体" w:cs="宋体"/>
                <w:b/>
                <w:bCs/>
                <w:kern w:val="2"/>
                <w:lang w:val="zh-CN"/>
              </w:rPr>
              <w:t>格</w:t>
            </w:r>
            <w:r>
              <w:rPr>
                <w:rFonts w:hAnsi="宋体" w:cs="宋体"/>
                <w:b/>
                <w:bCs/>
                <w:kern w:val="2"/>
                <w:lang w:val="zh-CN"/>
              </w:rPr>
              <w:t>证</w:t>
            </w:r>
            <w:r>
              <w:rPr>
                <w:rFonts w:hint="eastAsia" w:hAnsi="宋体" w:cs="宋体"/>
                <w:b/>
                <w:bCs/>
                <w:kern w:val="2"/>
                <w:lang w:val="zh-CN"/>
              </w:rPr>
              <w:t>明</w:t>
            </w:r>
            <w:r>
              <w:rPr>
                <w:rFonts w:hAnsi="宋体" w:cs="宋体"/>
                <w:b/>
                <w:bCs/>
                <w:kern w:val="2"/>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20"/>
              <w:kinsoku w:val="0"/>
              <w:overflowPunct w:val="0"/>
              <w:autoSpaceDE w:val="0"/>
              <w:autoSpaceDN w:val="0"/>
              <w:spacing w:line="320" w:lineRule="exact"/>
              <w:rPr>
                <w:rFonts w:hAnsi="宋体" w:cs="Courier New"/>
                <w:b/>
                <w:bCs/>
              </w:rPr>
            </w:pPr>
            <w:r>
              <w:rPr>
                <w:rFonts w:hint="eastAsia" w:hAnsi="宋体" w:cs="Courier New"/>
                <w:b/>
                <w:bCs/>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20"/>
              <w:kinsoku w:val="0"/>
              <w:overflowPunct w:val="0"/>
              <w:autoSpaceDE w:val="0"/>
              <w:autoSpaceDN w:val="0"/>
              <w:spacing w:line="320" w:lineRule="exact"/>
              <w:rPr>
                <w:rFonts w:hAnsi="宋体" w:cs="Courier New"/>
                <w:b/>
                <w:bCs/>
              </w:rPr>
            </w:pPr>
            <w:r>
              <w:rPr>
                <w:rFonts w:hint="eastAsia" w:hAnsi="宋体" w:cs="Courier New"/>
                <w:b/>
                <w:bCs/>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3"/>
            <w:vAlign w:val="center"/>
          </w:tcPr>
          <w:p>
            <w:pPr>
              <w:pStyle w:val="20"/>
              <w:kinsoku w:val="0"/>
              <w:overflowPunct w:val="0"/>
              <w:autoSpaceDE w:val="0"/>
              <w:autoSpaceDN w:val="0"/>
              <w:spacing w:line="320" w:lineRule="exact"/>
              <w:rPr>
                <w:rFonts w:hAnsi="宋体" w:cs="Courier New"/>
                <w:b/>
                <w:bCs/>
              </w:rPr>
            </w:pPr>
            <w:r>
              <w:rPr>
                <w:rFonts w:hint="eastAsia" w:hAnsi="宋体" w:cs="Courier New"/>
                <w:b/>
                <w:bCs/>
                <w:kern w:val="2"/>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0"/>
              <w:kinsoku w:val="0"/>
              <w:overflowPunct w:val="0"/>
              <w:autoSpaceDE w:val="0"/>
              <w:autoSpaceDN w:val="0"/>
              <w:spacing w:line="320" w:lineRule="exact"/>
              <w:rPr>
                <w:rFonts w:hAnsi="宋体" w:cs="微软雅黑"/>
                <w:kern w:val="2"/>
              </w:rPr>
            </w:pPr>
            <w:r>
              <w:rPr>
                <w:rFonts w:hint="eastAsia" w:hAnsi="宋体" w:cs="微软雅黑"/>
                <w:kern w:val="2"/>
              </w:rPr>
              <w:t>技术人员职称证书</w:t>
            </w:r>
          </w:p>
        </w:tc>
        <w:tc>
          <w:tcPr>
            <w:tcW w:w="1559" w:type="dxa"/>
            <w:vAlign w:val="center"/>
          </w:tcPr>
          <w:p>
            <w:pPr>
              <w:pStyle w:val="20"/>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0"/>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0"/>
              <w:kinsoku w:val="0"/>
              <w:overflowPunct w:val="0"/>
              <w:autoSpaceDE w:val="0"/>
              <w:autoSpaceDN w:val="0"/>
              <w:spacing w:line="320" w:lineRule="exact"/>
              <w:rPr>
                <w:rFonts w:hAnsi="宋体" w:cs="微软雅黑"/>
                <w:kern w:val="2"/>
              </w:rPr>
            </w:pPr>
            <w:r>
              <w:rPr>
                <w:rFonts w:hint="eastAsia" w:hAnsi="宋体" w:cs="微软雅黑"/>
                <w:kern w:val="2"/>
              </w:rPr>
              <w:t>用工合同</w:t>
            </w:r>
          </w:p>
        </w:tc>
        <w:tc>
          <w:tcPr>
            <w:tcW w:w="1559" w:type="dxa"/>
            <w:vAlign w:val="center"/>
          </w:tcPr>
          <w:p>
            <w:pPr>
              <w:pStyle w:val="20"/>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0"/>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2977" w:type="dxa"/>
            <w:gridSpan w:val="2"/>
            <w:tcBorders>
              <w:left w:val="single" w:color="auto" w:sz="6" w:space="0"/>
            </w:tcBorders>
            <w:vAlign w:val="center"/>
          </w:tcPr>
          <w:p>
            <w:pPr>
              <w:pStyle w:val="20"/>
              <w:kinsoku w:val="0"/>
              <w:overflowPunct w:val="0"/>
              <w:autoSpaceDE w:val="0"/>
              <w:autoSpaceDN w:val="0"/>
              <w:spacing w:line="320" w:lineRule="exact"/>
              <w:rPr>
                <w:rFonts w:hAnsi="宋体" w:cs="微软雅黑"/>
                <w:kern w:val="2"/>
              </w:rPr>
            </w:pPr>
            <w:r>
              <w:rPr>
                <w:rFonts w:hint="eastAsia" w:hAnsi="宋体" w:cs="微软雅黑"/>
                <w:kern w:val="2"/>
              </w:rPr>
              <w:t>供应商相关承诺函或声明</w:t>
            </w:r>
          </w:p>
        </w:tc>
        <w:tc>
          <w:tcPr>
            <w:tcW w:w="1559" w:type="dxa"/>
            <w:vAlign w:val="center"/>
          </w:tcPr>
          <w:p>
            <w:pPr>
              <w:pStyle w:val="20"/>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Courier New"/>
                <w:b/>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20"/>
              <w:kinsoku w:val="0"/>
              <w:overflowPunct w:val="0"/>
              <w:autoSpaceDE w:val="0"/>
              <w:autoSpaceDN w:val="0"/>
              <w:spacing w:line="320" w:lineRule="exact"/>
              <w:rPr>
                <w:rFonts w:hAnsi="宋体" w:cs="Courier New"/>
                <w:b/>
              </w:rPr>
            </w:pPr>
            <w:r>
              <w:rPr>
                <w:rFonts w:hint="eastAsia" w:hAnsi="宋体" w:cs="微软雅黑"/>
                <w:b/>
              </w:rPr>
              <w:t>供应商须具备的资质证书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宋体"/>
                <w:b/>
                <w:kern w:val="2"/>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3"/>
            <w:vAlign w:val="center"/>
          </w:tcPr>
          <w:p>
            <w:pPr>
              <w:pStyle w:val="20"/>
              <w:kinsoku w:val="0"/>
              <w:overflowPunct w:val="0"/>
              <w:autoSpaceDE w:val="0"/>
              <w:autoSpaceDN w:val="0"/>
              <w:spacing w:line="320" w:lineRule="exact"/>
              <w:rPr>
                <w:rFonts w:hAnsi="宋体" w:cs="宋体"/>
                <w:b/>
                <w:kern w:val="2"/>
                <w:lang w:val="zh-CN"/>
              </w:rPr>
            </w:pPr>
            <w:r>
              <w:rPr>
                <w:rFonts w:hint="eastAsia" w:hAnsi="宋体" w:cs="宋体"/>
                <w:b/>
                <w:kern w:val="2"/>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3"/>
            <w:vAlign w:val="center"/>
          </w:tcPr>
          <w:p>
            <w:pPr>
              <w:pStyle w:val="20"/>
              <w:kinsoku w:val="0"/>
              <w:overflowPunct w:val="0"/>
              <w:autoSpaceDE w:val="0"/>
              <w:autoSpaceDN w:val="0"/>
              <w:spacing w:line="320" w:lineRule="exact"/>
              <w:rPr>
                <w:rFonts w:hAnsi="宋体" w:cs="宋体"/>
                <w:b/>
                <w:kern w:val="2"/>
                <w:lang w:val="zh-CN"/>
              </w:rPr>
            </w:pPr>
            <w:r>
              <w:rPr>
                <w:rFonts w:hint="eastAsia" w:hAnsi="宋体" w:cs="宋体"/>
                <w:b/>
                <w:kern w:val="2"/>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16</w:t>
            </w:r>
          </w:p>
        </w:tc>
        <w:tc>
          <w:tcPr>
            <w:tcW w:w="3751" w:type="dxa"/>
            <w:gridSpan w:val="3"/>
            <w:vAlign w:val="center"/>
          </w:tcPr>
          <w:p>
            <w:pPr>
              <w:pStyle w:val="20"/>
              <w:kinsoku w:val="0"/>
              <w:overflowPunct w:val="0"/>
              <w:autoSpaceDE w:val="0"/>
              <w:autoSpaceDN w:val="0"/>
              <w:spacing w:line="320" w:lineRule="exact"/>
              <w:rPr>
                <w:rFonts w:hAnsi="宋体" w:cs="宋体"/>
                <w:b/>
                <w:kern w:val="2"/>
                <w:lang w:val="zh-CN"/>
              </w:rPr>
            </w:pPr>
            <w:r>
              <w:rPr>
                <w:rFonts w:hint="eastAsia" w:hAnsi="宋体" w:cs="仿宋_GB2312"/>
                <w:b/>
                <w:kern w:val="2"/>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tcBorders>
              <w:top w:val="double" w:color="auto" w:sz="4" w:space="0"/>
            </w:tcBorders>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已标价的工程量清单</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施工方案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项目管理机构配备情况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业绩情况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仿宋_GB2312"/>
                <w:b/>
                <w:kern w:val="2"/>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0"/>
              <w:kinsoku w:val="0"/>
              <w:overflowPunct w:val="0"/>
              <w:autoSpaceDE w:val="0"/>
              <w:autoSpaceDN w:val="0"/>
              <w:spacing w:line="320" w:lineRule="exact"/>
              <w:rPr>
                <w:rFonts w:hAnsi="宋体" w:cs="微软雅黑"/>
                <w:bCs/>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0"/>
              <w:kinsoku w:val="0"/>
              <w:overflowPunct w:val="0"/>
              <w:autoSpaceDE w:val="0"/>
              <w:autoSpaceDN w:val="0"/>
              <w:spacing w:line="320" w:lineRule="exact"/>
              <w:rPr>
                <w:rFonts w:hAnsi="宋体" w:cs="微软雅黑"/>
                <w:bCs/>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注：本表序号8请按照本谈判文件 “第三章竞争性谈判响应文件内容”资格审查表中序号2要求提供。</w:t>
      </w: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r>
        <w:rPr>
          <w:rFonts w:hint="eastAsia" w:hAnsi="宋体"/>
          <w:b/>
          <w:snapToGrid w:val="0"/>
          <w:sz w:val="36"/>
          <w:szCs w:val="36"/>
        </w:rPr>
        <w:t>二、报价一览表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3"/>
        <w:tblW w:w="9742" w:type="dxa"/>
        <w:tblInd w:w="0" w:type="dxa"/>
        <w:tblLayout w:type="fixed"/>
        <w:tblCellMar>
          <w:top w:w="0" w:type="dxa"/>
          <w:left w:w="108" w:type="dxa"/>
          <w:bottom w:w="0" w:type="dxa"/>
          <w:right w:w="108" w:type="dxa"/>
        </w:tblCellMar>
      </w:tblPr>
      <w:tblGrid>
        <w:gridCol w:w="1384"/>
        <w:gridCol w:w="1843"/>
        <w:gridCol w:w="2268"/>
        <w:gridCol w:w="1276"/>
        <w:gridCol w:w="1138"/>
        <w:gridCol w:w="705"/>
        <w:gridCol w:w="1128"/>
      </w:tblGrid>
      <w:tr>
        <w:tblPrEx>
          <w:tblLayout w:type="fixed"/>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226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工期</w:t>
            </w:r>
          </w:p>
        </w:tc>
        <w:tc>
          <w:tcPr>
            <w:tcW w:w="11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等线" w:hAnsi="等线" w:cs="宋体"/>
                <w:b/>
                <w:sz w:val="24"/>
                <w:szCs w:val="24"/>
              </w:rPr>
            </w:pPr>
            <w:r>
              <w:rPr>
                <w:rFonts w:hint="eastAsia" w:ascii="等线" w:hAnsi="等线" w:cs="宋体"/>
                <w:b/>
                <w:sz w:val="24"/>
                <w:szCs w:val="24"/>
              </w:rPr>
              <w:t>质量</w:t>
            </w:r>
          </w:p>
        </w:tc>
        <w:tc>
          <w:tcPr>
            <w:tcW w:w="70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等线" w:hAnsi="等线" w:cs="宋体"/>
                <w:b/>
                <w:sz w:val="24"/>
                <w:szCs w:val="24"/>
              </w:rPr>
            </w:pPr>
            <w:r>
              <w:rPr>
                <w:rFonts w:hint="eastAsia" w:ascii="等线" w:hAnsi="等线" w:cs="宋体"/>
                <w:b/>
                <w:sz w:val="24"/>
                <w:szCs w:val="24"/>
              </w:rPr>
              <w:t>项目经理</w:t>
            </w:r>
          </w:p>
        </w:tc>
        <w:tc>
          <w:tcPr>
            <w:tcW w:w="112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Layout w:type="fixed"/>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360" w:lineRule="auto"/>
        <w:rPr>
          <w:rFonts w:ascii="宋体" w:hAnsi="宋体" w:cs="宋体"/>
          <w:sz w:val="24"/>
          <w:szCs w:val="24"/>
          <w:lang w:val="zh-CN"/>
        </w:rPr>
      </w:pPr>
    </w:p>
    <w:p>
      <w:pPr>
        <w:pStyle w:val="16"/>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spacing w:line="480" w:lineRule="exact"/>
        <w:jc w:val="center"/>
        <w:rPr>
          <w:rFonts w:ascii="宋体" w:hAnsi="宋体"/>
          <w:b/>
          <w:bCs/>
          <w:sz w:val="36"/>
          <w:szCs w:val="36"/>
        </w:rPr>
      </w:pPr>
    </w:p>
    <w:p>
      <w:pPr>
        <w:pStyle w:val="20"/>
        <w:spacing w:line="360" w:lineRule="auto"/>
        <w:jc w:val="center"/>
        <w:rPr>
          <w:rFonts w:hAnsi="宋体"/>
          <w:b/>
          <w:snapToGrid w:val="0"/>
          <w:sz w:val="36"/>
          <w:szCs w:val="36"/>
        </w:rPr>
      </w:pPr>
      <w:r>
        <w:rPr>
          <w:rFonts w:hint="eastAsia" w:hAnsi="宋体"/>
          <w:b/>
          <w:snapToGrid w:val="0"/>
          <w:sz w:val="36"/>
          <w:szCs w:val="36"/>
        </w:rPr>
        <w:t>3.1 谈判响应函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根据贵方（项目名称、项目编号）采购的采购公告及谈判邀请，_______（姓名和职务）被正式授权并代表供应商（供应商名称、地址）提交。</w:t>
      </w:r>
    </w:p>
    <w:p>
      <w:pPr>
        <w:pStyle w:val="20"/>
        <w:spacing w:line="360" w:lineRule="auto"/>
        <w:ind w:firstLine="480" w:firstLineChars="200"/>
        <w:contextualSpacing/>
        <w:rPr>
          <w:rFonts w:hAnsi="宋体"/>
          <w:snapToGrid w:val="0"/>
          <w:sz w:val="24"/>
          <w:szCs w:val="24"/>
        </w:rPr>
      </w:pPr>
      <w:r>
        <w:rPr>
          <w:rFonts w:hint="eastAsia" w:hAnsi="宋体"/>
          <w:snapToGrid w:val="0"/>
          <w:sz w:val="24"/>
          <w:szCs w:val="24"/>
        </w:rPr>
        <w:t>我方确认收到贵方提供的（项目名称、项目编号）采购文件的全部内容。</w:t>
      </w:r>
    </w:p>
    <w:p>
      <w:pPr>
        <w:pStyle w:val="20"/>
        <w:spacing w:line="360" w:lineRule="auto"/>
        <w:ind w:firstLine="480" w:firstLineChars="200"/>
        <w:contextualSpacing/>
        <w:rPr>
          <w:rFonts w:hAnsi="宋体"/>
          <w:snapToGrid w:val="0"/>
          <w:sz w:val="24"/>
          <w:szCs w:val="24"/>
        </w:rPr>
      </w:pPr>
      <w:r>
        <w:rPr>
          <w:rFonts w:hint="eastAsia" w:hAnsi="宋体"/>
          <w:snapToGrid w:val="0"/>
          <w:sz w:val="24"/>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hAnsi="宋体"/>
          <w:sz w:val="24"/>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(供应商名称)     </w:t>
      </w:r>
      <w:r>
        <w:rPr>
          <w:rFonts w:hint="eastAsia" w:ascii="宋体" w:hAnsi="宋体"/>
          <w:snapToGrid w:val="0"/>
          <w:kern w:val="0"/>
          <w:sz w:val="24"/>
          <w:szCs w:val="24"/>
        </w:rPr>
        <w:t>作为供应商正式授权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在此提交的响应文件，正本一份，副本份,</w:t>
      </w:r>
      <w:r>
        <w:rPr>
          <w:rFonts w:hint="eastAsia" w:cs="Arial"/>
          <w:sz w:val="24"/>
          <w:szCs w:val="24"/>
        </w:rPr>
        <w:t xml:space="preserve"> 电子版文件份</w:t>
      </w:r>
      <w:r>
        <w:rPr>
          <w:rFonts w:hint="eastAsia" w:ascii="宋体" w:hAnsi="宋体"/>
          <w:snapToGrid w:val="0"/>
          <w:kern w:val="0"/>
          <w:sz w:val="24"/>
          <w:szCs w:val="24"/>
        </w:rPr>
        <w:t>。</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w:t>
      </w:r>
      <w:r>
        <w:rPr>
          <w:rFonts w:hint="eastAsia" w:cs="Arial"/>
          <w:sz w:val="24"/>
          <w:szCs w:val="24"/>
        </w:rPr>
        <w:t>大写</w:t>
      </w:r>
      <w:r>
        <w:rPr>
          <w:rFonts w:hint="eastAsia" w:ascii="宋体" w:hAnsi="宋体" w:cs="Courier New"/>
          <w:sz w:val="24"/>
          <w:szCs w:val="24"/>
        </w:rPr>
        <w:t>,小写。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响应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三、我方同意按照贵方可能提出的要求而提供与投标有关的任何其它数据、信息或资料。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四、我方理解贵方不一定接受最低投标价或任何贵方可能收到的投标。</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五、我方如果成交，将保证履行采购文件及其澄清、修改文件（如果有）中的全部责任和义务，按质、按量、按期完成《项目需求》及《合同书》中的全部任务。</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六、我方在此保证所提交的所有文件和全部说明是真实的和正确的,未提供虚假的资格证书及业绩证明材料谋取中标，若存在虚假证书或者业绩证明材料的违规违法行为，承担法律责任，接受财政部门的处罚。</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 xml:space="preserve">七、我方投标报价已包含应向知识产权所有权人支付的所有相关税费，并保证采购人在中国使用我方提供的货物时，如有第三方提出侵犯其知识产权主张的，责任由我方承担。 </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八、我方具备《政府采购法》第二十二条规定的条件；承诺如下：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（2）我方已依法缴纳了各项税费及社会保险费用，如有需要，可随时向采购人提供近四个月内的相关缴费证明，以便核查。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（3）我方已依法建立健全的财务会计制度，如有需要，可随时向采购人提供相关证明材料，以便核查。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（4）参加政府采购活动前三年内，在经营活动中没有重大违法记录。</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（5）符合法律、行政法规规定的其他条件。</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以上内容如有虚假或与事实不符的，评审委员会可将我方做无效投标处理，我方愿意承担相应的法律责任。</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九、我方具备履行合同所必需的设备和专业技术能力。</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十、我方对在本函及响应文件中所作的所有承诺承担法律责任。</w:t>
      </w:r>
    </w:p>
    <w:p>
      <w:pPr>
        <w:adjustRightInd w:val="0"/>
        <w:snapToGrid w:val="0"/>
        <w:spacing w:line="360" w:lineRule="auto"/>
        <w:rPr>
          <w:rFonts w:ascii="宋体" w:hAnsi="宋体" w:cs="宋体"/>
          <w:sz w:val="24"/>
          <w:szCs w:val="24"/>
        </w:rPr>
      </w:pPr>
      <w:r>
        <w:rPr>
          <w:rFonts w:hint="eastAsia" w:ascii="宋体" w:hAnsi="宋体" w:cs="宋体"/>
          <w:sz w:val="24"/>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宋体"/>
          <w:sz w:val="24"/>
          <w:szCs w:val="24"/>
        </w:rPr>
      </w:pPr>
      <w:r>
        <w:rPr>
          <w:rFonts w:hint="eastAsia" w:ascii="宋体" w:hAnsi="宋体" w:cs="宋体"/>
          <w:sz w:val="24"/>
          <w:szCs w:val="24"/>
        </w:rPr>
        <w:t>供应商法定代表人（或法定代表人授权代表）签字或盖章：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供应商名称（盖章）：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pStyle w:val="32"/>
        <w:ind w:firstLine="482"/>
        <w:rPr>
          <w:rFonts w:hAnsi="宋体"/>
          <w:b/>
          <w:bCs/>
          <w:szCs w:val="24"/>
        </w:rPr>
      </w:pPr>
    </w:p>
    <w:p>
      <w:pPr>
        <w:pStyle w:val="32"/>
        <w:ind w:firstLine="482"/>
        <w:rPr>
          <w:rFonts w:hAnsi="宋体"/>
          <w:b/>
          <w:bCs/>
          <w:szCs w:val="24"/>
        </w:rPr>
      </w:pPr>
    </w:p>
    <w:p>
      <w:pPr>
        <w:pStyle w:val="32"/>
        <w:ind w:firstLine="482"/>
        <w:rPr>
          <w:rFonts w:hAnsi="宋体"/>
          <w:b/>
          <w:bCs/>
          <w:szCs w:val="24"/>
        </w:rPr>
      </w:pPr>
    </w:p>
    <w:p>
      <w:pPr>
        <w:spacing w:line="480" w:lineRule="exact"/>
        <w:jc w:val="center"/>
        <w:rPr>
          <w:rFonts w:ascii="宋体" w:hAnsi="宋体"/>
          <w:b/>
          <w:bCs/>
          <w:sz w:val="24"/>
          <w:szCs w:val="24"/>
        </w:rPr>
      </w:pPr>
      <w:r>
        <w:rPr>
          <w:rFonts w:hint="eastAsia" w:ascii="宋体" w:hAnsi="宋体"/>
          <w:b/>
          <w:bCs/>
          <w:sz w:val="24"/>
          <w:szCs w:val="24"/>
        </w:rPr>
        <w:t>3.2 法定代表人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125"/>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地址：</w:t>
      </w:r>
    </w:p>
    <w:p>
      <w:pPr>
        <w:pStyle w:val="125"/>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w:t>
      </w:r>
    </w:p>
    <w:p>
      <w:pPr>
        <w:pStyle w:val="125"/>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25"/>
        <w:spacing w:line="480" w:lineRule="auto"/>
        <w:ind w:firstLine="540" w:firstLineChars="225"/>
        <w:jc w:val="left"/>
        <w:rPr>
          <w:rFonts w:hAnsi="宋体"/>
          <w:szCs w:val="24"/>
        </w:rPr>
      </w:pPr>
    </w:p>
    <w:p>
      <w:pPr>
        <w:pStyle w:val="125"/>
        <w:spacing w:line="480" w:lineRule="auto"/>
        <w:ind w:firstLine="540" w:firstLineChars="225"/>
        <w:jc w:val="left"/>
        <w:rPr>
          <w:rFonts w:hAnsi="宋体"/>
          <w:szCs w:val="24"/>
        </w:rPr>
      </w:pPr>
    </w:p>
    <w:p>
      <w:pPr>
        <w:pStyle w:val="125"/>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25"/>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124"/>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23"/>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 xml:space="preserve">法人姓名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供应商名称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 xml:space="preserve">姓名，职务  </w:t>
      </w:r>
      <w:r>
        <w:rPr>
          <w:rFonts w:hint="eastAsia" w:ascii="宋体" w:hAnsi="宋体" w:cs="Arial"/>
          <w:sz w:val="24"/>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供应商名称：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法定代表人授权代表：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17" w:name="_资格证明文件"/>
            <w:bookmarkEnd w:id="17"/>
            <w:bookmarkStart w:id="18" w:name="_Toc364329026"/>
            <w:r>
              <w:rPr>
                <w:rFonts w:hint="eastAsia" w:ascii="宋体" w:hAnsi="宋体"/>
                <w:sz w:val="24"/>
                <w:szCs w:val="24"/>
              </w:rPr>
              <w:t>法定代表人授权代表身份证（正面）</w:t>
            </w:r>
            <w:bookmarkEnd w:id="18"/>
          </w:p>
        </w:tc>
        <w:tc>
          <w:tcPr>
            <w:tcW w:w="4492" w:type="dxa"/>
            <w:gridSpan w:val="2"/>
            <w:vAlign w:val="center"/>
          </w:tcPr>
          <w:p>
            <w:pPr>
              <w:jc w:val="center"/>
              <w:rPr>
                <w:rFonts w:ascii="宋体" w:hAnsi="宋体"/>
                <w:sz w:val="24"/>
                <w:szCs w:val="24"/>
              </w:rPr>
            </w:pPr>
            <w:bookmarkStart w:id="19" w:name="_Toc364329027"/>
            <w:r>
              <w:rPr>
                <w:rFonts w:hint="eastAsia" w:ascii="宋体" w:hAnsi="宋体"/>
                <w:sz w:val="24"/>
                <w:szCs w:val="24"/>
              </w:rPr>
              <w:t>法定代表人授权代表身份证（反面）</w:t>
            </w:r>
            <w:bookmarkEnd w:id="19"/>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firstLine="482" w:firstLineChars="200"/>
        <w:jc w:val="center"/>
        <w:rPr>
          <w:rFonts w:ascii="宋体" w:hAnsi="宋体"/>
          <w:b/>
          <w:bCs/>
          <w:color w:val="000000"/>
          <w:sz w:val="24"/>
          <w:szCs w:val="24"/>
        </w:rPr>
      </w:pPr>
      <w:r>
        <w:rPr>
          <w:rFonts w:hint="eastAsia" w:ascii="宋体" w:hAnsi="宋体"/>
          <w:b/>
          <w:bCs/>
          <w:color w:val="000000"/>
          <w:sz w:val="24"/>
          <w:szCs w:val="24"/>
        </w:rPr>
        <w:t>3.5投标承诺函</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本企业郑重承诺：</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一、将遵循公开、公平、公正和诚实信用的原则参加</w:t>
      </w:r>
      <w:r>
        <w:rPr>
          <w:rFonts w:hint="eastAsia" w:ascii="等线" w:hAnsi="等线" w:cs="宋体"/>
          <w:sz w:val="24"/>
          <w:szCs w:val="24"/>
          <w:u w:val="single"/>
        </w:rPr>
        <w:t>(</w:t>
      </w:r>
      <w:r>
        <w:rPr>
          <w:rFonts w:hint="eastAsia" w:ascii="等线" w:hAnsi="等线" w:cs="宋体"/>
          <w:sz w:val="24"/>
          <w:szCs w:val="24"/>
          <w:u w:val="single"/>
          <w:lang w:val="zh-CN"/>
        </w:rPr>
        <w:t>具体政府采购项目名称）</w:t>
      </w:r>
      <w:r>
        <w:rPr>
          <w:rFonts w:hint="eastAsia" w:ascii="等线" w:hAnsi="等线" w:cs="宋体"/>
          <w:sz w:val="24"/>
          <w:szCs w:val="24"/>
          <w:lang w:val="zh-CN"/>
        </w:rPr>
        <w:t>的投标</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二、本次投标所提供的一切材料都是真实、有效、合法的</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三、不与其他投标人相互串通投标报价，不排挤其他投标人的公平竞争，不损害采购人或其他投标人的合法权益</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四、不与采购人或集中采购机构串通投标，不损害国家利益、社会公共利益或者他人的合法权益</w:t>
      </w:r>
      <w:r>
        <w:rPr>
          <w:rFonts w:hint="eastAsia" w:ascii="等线" w:hAnsi="等线" w:cs="宋体"/>
          <w:sz w:val="24"/>
          <w:szCs w:val="24"/>
        </w:rPr>
        <w:t>；</w:t>
      </w:r>
    </w:p>
    <w:p>
      <w:pPr>
        <w:spacing w:beforeLines="50" w:afterLines="50" w:line="360" w:lineRule="auto"/>
        <w:ind w:firstLine="480" w:firstLineChars="200"/>
        <w:rPr>
          <w:rFonts w:ascii="宋体" w:hAnsi="宋体" w:cs="宋体"/>
          <w:b/>
          <w:bCs/>
          <w:sz w:val="24"/>
          <w:szCs w:val="24"/>
        </w:rPr>
      </w:pPr>
      <w:r>
        <w:rPr>
          <w:rFonts w:hint="eastAsia" w:ascii="等线" w:hAnsi="等线" w:cs="宋体"/>
          <w:sz w:val="24"/>
          <w:szCs w:val="24"/>
          <w:lang w:val="zh-CN"/>
        </w:rPr>
        <w:t>五、不向采购人或者</w:t>
      </w:r>
      <w:r>
        <w:fldChar w:fldCharType="begin"/>
      </w:r>
      <w:r>
        <w:instrText xml:space="preserve"> HYPERLINK "http://www.cbi360.net/hyjd/1zt102.html" \t "https://www.cbi360.net/hyjd/20170619/_blank" </w:instrText>
      </w:r>
      <w:r>
        <w:fldChar w:fldCharType="separate"/>
      </w:r>
      <w:r>
        <w:rPr>
          <w:rStyle w:val="40"/>
          <w:rFonts w:hint="eastAsia" w:ascii="宋体" w:hAnsi="宋体" w:cs="宋体"/>
          <w:b/>
          <w:bCs/>
          <w:sz w:val="24"/>
          <w:szCs w:val="24"/>
        </w:rPr>
        <w:t>评标</w:t>
      </w:r>
      <w:r>
        <w:rPr>
          <w:rStyle w:val="40"/>
          <w:rFonts w:hint="eastAsia" w:ascii="宋体" w:hAnsi="宋体" w:cs="宋体"/>
          <w:b/>
          <w:bCs/>
          <w:sz w:val="24"/>
          <w:szCs w:val="24"/>
        </w:rPr>
        <w:fldChar w:fldCharType="end"/>
      </w:r>
      <w:r>
        <w:rPr>
          <w:rFonts w:hint="eastAsia" w:ascii="宋体" w:hAnsi="宋体" w:cs="宋体"/>
          <w:sz w:val="24"/>
          <w:szCs w:val="24"/>
          <w:lang w:val="zh-CN"/>
        </w:rPr>
        <w:t>委员会成员行贿以牟取</w:t>
      </w:r>
      <w:r>
        <w:fldChar w:fldCharType="begin"/>
      </w:r>
      <w:r>
        <w:instrText xml:space="preserve"> HYPERLINK "http://hhb.cbi360.net/TenderBangSoso.aspx" \t "https://www.cbi360.net/hyjd/20170619/_blank" </w:instrText>
      </w:r>
      <w:r>
        <w:fldChar w:fldCharType="separate"/>
      </w:r>
      <w:r>
        <w:rPr>
          <w:rStyle w:val="40"/>
          <w:rFonts w:hint="eastAsia" w:ascii="宋体" w:hAnsi="宋体" w:cs="宋体"/>
          <w:b/>
          <w:bCs/>
          <w:sz w:val="24"/>
          <w:szCs w:val="24"/>
        </w:rPr>
        <w:t>中标</w:t>
      </w:r>
      <w:r>
        <w:rPr>
          <w:rStyle w:val="40"/>
          <w:rFonts w:hint="eastAsia" w:ascii="宋体" w:hAnsi="宋体" w:cs="宋体"/>
          <w:b/>
          <w:bCs/>
          <w:sz w:val="24"/>
          <w:szCs w:val="24"/>
        </w:rPr>
        <w:fldChar w:fldCharType="end"/>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六、不以他人名义投标或者以其他方式弄虚作假，骗取中标</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七、不扰乱长葛市政府采购市场秩序</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八、不在</w:t>
      </w:r>
      <w:r>
        <w:fldChar w:fldCharType="begin"/>
      </w:r>
      <w:r>
        <w:instrText xml:space="preserve"> HYPERLINK "http://www.cbi360.net/hyjd/1zt99.html" \t "https://www.cbi360.net/hyjd/20170619/_blank" </w:instrText>
      </w:r>
      <w:r>
        <w:fldChar w:fldCharType="separate"/>
      </w:r>
      <w:r>
        <w:rPr>
          <w:rStyle w:val="40"/>
          <w:rFonts w:hint="eastAsia" w:ascii="宋体" w:hAnsi="宋体" w:cs="宋体"/>
          <w:b/>
          <w:bCs/>
          <w:sz w:val="24"/>
          <w:szCs w:val="24"/>
        </w:rPr>
        <w:t>开标</w:t>
      </w:r>
      <w:r>
        <w:rPr>
          <w:rStyle w:val="40"/>
          <w:rFonts w:hint="eastAsia" w:ascii="宋体" w:hAnsi="宋体" w:cs="宋体"/>
          <w:b/>
          <w:bCs/>
          <w:sz w:val="24"/>
          <w:szCs w:val="24"/>
        </w:rPr>
        <w:fldChar w:fldCharType="end"/>
      </w:r>
      <w:r>
        <w:rPr>
          <w:rFonts w:hint="eastAsia" w:ascii="宋体" w:hAnsi="宋体" w:cs="宋体"/>
          <w:sz w:val="24"/>
          <w:szCs w:val="24"/>
          <w:lang w:val="zh-CN"/>
        </w:rPr>
        <w:t>后进行虚假恶意投诉</w:t>
      </w:r>
      <w:r>
        <w:rPr>
          <w:rFonts w:hint="eastAsia" w:ascii="宋体" w:hAnsi="宋体"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宋体" w:hAnsi="宋体" w:cs="宋体"/>
          <w:sz w:val="24"/>
          <w:szCs w:val="24"/>
          <w:lang w:val="zh-CN"/>
        </w:rPr>
        <w:t>九、中标后不得将</w:t>
      </w:r>
      <w:r>
        <w:fldChar w:fldCharType="begin"/>
      </w:r>
      <w:r>
        <w:instrText xml:space="preserve"> HYPERLINK "http://www.cbi360.net/hyjd/1zt49.html" \t "https://www.cbi360.net/hyjd/20170619/_blank" </w:instrText>
      </w:r>
      <w:r>
        <w:fldChar w:fldCharType="separate"/>
      </w:r>
      <w:r>
        <w:rPr>
          <w:rStyle w:val="40"/>
          <w:rFonts w:hint="eastAsia" w:ascii="宋体" w:hAnsi="宋体" w:cs="宋体"/>
          <w:b/>
          <w:bCs/>
          <w:sz w:val="24"/>
          <w:szCs w:val="24"/>
        </w:rPr>
        <w:t>招标文件</w:t>
      </w:r>
      <w:r>
        <w:rPr>
          <w:rStyle w:val="40"/>
          <w:rFonts w:hint="eastAsia" w:ascii="宋体" w:hAnsi="宋体" w:cs="宋体"/>
          <w:b/>
          <w:bCs/>
          <w:sz w:val="24"/>
          <w:szCs w:val="24"/>
        </w:rPr>
        <w:fldChar w:fldCharType="end"/>
      </w:r>
      <w:r>
        <w:rPr>
          <w:rFonts w:hint="eastAsia" w:ascii="宋体" w:hAnsi="宋体" w:cs="宋体"/>
          <w:sz w:val="24"/>
          <w:szCs w:val="24"/>
          <w:lang w:val="zh-CN"/>
        </w:rPr>
        <w:t>规定不</w:t>
      </w:r>
      <w:r>
        <w:rPr>
          <w:rFonts w:hint="eastAsia" w:ascii="等线" w:hAnsi="等线" w:cs="宋体"/>
          <w:sz w:val="24"/>
          <w:szCs w:val="24"/>
          <w:lang w:val="zh-CN"/>
        </w:rPr>
        <w:t>予转包、分包的项目转包、分包于他人。</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Lines="50" w:afterLines="50" w:line="360" w:lineRule="auto"/>
        <w:ind w:firstLine="420" w:firstLineChars="200"/>
        <w:rPr>
          <w:rFonts w:hint="eastAsia" w:ascii="等线" w:hAnsi="等线" w:cs="宋体"/>
          <w:szCs w:val="21"/>
        </w:rPr>
      </w:pPr>
    </w:p>
    <w:p>
      <w:pPr>
        <w:spacing w:beforeLines="50" w:afterLines="50" w:line="360" w:lineRule="auto"/>
        <w:ind w:right="960" w:firstLine="480" w:firstLineChars="200"/>
        <w:jc w:val="center"/>
        <w:rPr>
          <w:rFonts w:hint="eastAsia" w:ascii="等线" w:hAnsi="等线" w:cs="宋体"/>
          <w:sz w:val="24"/>
          <w:szCs w:val="24"/>
        </w:rPr>
      </w:pPr>
      <w:r>
        <w:rPr>
          <w:rFonts w:hint="eastAsia" w:ascii="等线" w:hAnsi="等线" w:cs="宋体"/>
          <w:sz w:val="24"/>
          <w:szCs w:val="24"/>
          <w:lang w:val="zh-CN"/>
        </w:rPr>
        <w:t xml:space="preserve"> </w:t>
      </w:r>
      <w:r>
        <w:rPr>
          <w:rFonts w:ascii="等线" w:hAnsi="等线" w:cs="宋体"/>
          <w:sz w:val="24"/>
          <w:szCs w:val="24"/>
          <w:lang w:val="zh-CN"/>
        </w:rPr>
        <w:t xml:space="preserve">        </w:t>
      </w:r>
      <w:r>
        <w:rPr>
          <w:rFonts w:hint="eastAsia" w:ascii="等线" w:hAnsi="等线" w:cs="宋体"/>
          <w:sz w:val="24"/>
          <w:szCs w:val="24"/>
          <w:lang w:val="zh-CN"/>
        </w:rPr>
        <w:t>法定代表人或者被委托人（签字盖章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4560" w:firstLineChars="1900"/>
        <w:rPr>
          <w:rFonts w:hint="eastAsia" w:ascii="等线" w:hAnsi="等线" w:cs="宋体"/>
          <w:sz w:val="24"/>
          <w:szCs w:val="24"/>
        </w:rPr>
      </w:pPr>
      <w:r>
        <w:rPr>
          <w:rFonts w:hint="eastAsia" w:ascii="等线" w:hAnsi="等线" w:cs="宋体"/>
          <w:sz w:val="24"/>
          <w:szCs w:val="24"/>
          <w:lang w:val="zh-CN"/>
        </w:rPr>
        <w:t>投标商名称</w:t>
      </w:r>
      <w:r>
        <w:rPr>
          <w:rFonts w:hint="eastAsia" w:ascii="等线" w:hAnsi="等线" w:cs="宋体"/>
          <w:sz w:val="24"/>
          <w:szCs w:val="24"/>
        </w:rPr>
        <w:t>(</w:t>
      </w:r>
      <w:r>
        <w:rPr>
          <w:rFonts w:hint="eastAsia" w:ascii="等线" w:hAnsi="等线" w:cs="宋体"/>
          <w:sz w:val="24"/>
          <w:szCs w:val="24"/>
          <w:lang w:val="zh-CN"/>
        </w:rPr>
        <w:t>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5040" w:firstLineChars="2100"/>
        <w:rPr>
          <w:rFonts w:hint="eastAsia" w:ascii="等线" w:hAnsi="等线" w:cs="宋体"/>
          <w:sz w:val="24"/>
          <w:szCs w:val="24"/>
        </w:rPr>
      </w:pPr>
      <w:r>
        <w:rPr>
          <w:rFonts w:hint="eastAsia" w:ascii="等线" w:hAnsi="等线" w:cs="宋体"/>
          <w:sz w:val="24"/>
          <w:szCs w:val="24"/>
          <w:lang w:val="zh-CN"/>
        </w:rPr>
        <w:t>年</w:t>
      </w:r>
      <w:r>
        <w:rPr>
          <w:rFonts w:hint="eastAsia" w:ascii="等线" w:hAnsi="等线" w:cs="宋体"/>
          <w:sz w:val="24"/>
          <w:szCs w:val="24"/>
        </w:rPr>
        <w:t xml:space="preserve">  </w:t>
      </w:r>
      <w:r>
        <w:rPr>
          <w:rFonts w:hint="eastAsia" w:ascii="等线" w:hAnsi="等线" w:cs="宋体"/>
          <w:sz w:val="24"/>
          <w:szCs w:val="24"/>
          <w:lang w:val="zh-CN"/>
        </w:rPr>
        <w:t>月</w:t>
      </w:r>
      <w:r>
        <w:rPr>
          <w:rFonts w:hint="eastAsia" w:ascii="等线" w:hAnsi="等线" w:cs="宋体"/>
          <w:sz w:val="24"/>
          <w:szCs w:val="24"/>
        </w:rPr>
        <w:t xml:space="preserve">  </w:t>
      </w:r>
      <w:r>
        <w:rPr>
          <w:rFonts w:hint="eastAsia" w:ascii="等线" w:hAnsi="等线" w:cs="宋体"/>
          <w:sz w:val="24"/>
          <w:szCs w:val="24"/>
          <w:lang w:val="zh-CN"/>
        </w:rPr>
        <w:t>日</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widowControl/>
        <w:jc w:val="left"/>
        <w:rPr>
          <w:rFonts w:hAnsi="宋体"/>
          <w:b/>
          <w:snapToGrid w:val="0"/>
          <w:kern w:val="0"/>
          <w:sz w:val="36"/>
          <w:szCs w:val="36"/>
        </w:rPr>
      </w:pPr>
      <w:r>
        <w:rPr>
          <w:rFonts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spacing w:line="480" w:lineRule="exact"/>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r>
        <w:rPr>
          <w:rFonts w:hint="eastAsia" w:ascii="宋体" w:hAnsi="宋体"/>
          <w:b/>
          <w:bCs/>
          <w:sz w:val="36"/>
          <w:szCs w:val="36"/>
        </w:rPr>
        <w:t>4.1  已标价的工程量清单</w:t>
      </w: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r>
        <w:rPr>
          <w:rFonts w:hint="eastAsia" w:ascii="宋体" w:hAnsi="宋体"/>
          <w:b/>
          <w:bCs/>
          <w:sz w:val="36"/>
          <w:szCs w:val="36"/>
        </w:rPr>
        <w:t>4.2</w:t>
      </w:r>
      <w:r>
        <w:rPr>
          <w:rFonts w:hint="eastAsia" w:hAnsi="宋体"/>
          <w:b/>
          <w:snapToGrid w:val="0"/>
          <w:kern w:val="0"/>
          <w:sz w:val="36"/>
          <w:szCs w:val="36"/>
        </w:rPr>
        <w:t>施工方案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Cs w:val="21"/>
          <w:lang w:val="zh-CN"/>
        </w:rPr>
        <w:t>供应商根据谈判文件要求自行编制</w:t>
      </w:r>
      <w:r>
        <w:rPr>
          <w:rFonts w:hint="eastAsia" w:ascii="宋体" w:hAnsi="宋体" w:cs="宋体"/>
          <w:sz w:val="24"/>
          <w:szCs w:val="24"/>
          <w:lang w:val="zh-CN"/>
        </w:rPr>
        <w:t>）</w:t>
      </w: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widowControl/>
        <w:jc w:val="center"/>
        <w:rPr>
          <w:rFonts w:ascii="宋体" w:hAnsi="宋体"/>
          <w:b/>
          <w:bCs/>
          <w:sz w:val="36"/>
          <w:szCs w:val="36"/>
        </w:rPr>
      </w:pPr>
      <w:r>
        <w:rPr>
          <w:rFonts w:hint="eastAsia" w:ascii="宋体" w:hAnsi="宋体"/>
          <w:b/>
          <w:bCs/>
          <w:sz w:val="36"/>
          <w:szCs w:val="36"/>
        </w:rPr>
        <w:t>4.3项目管理机构配备情况</w:t>
      </w:r>
    </w:p>
    <w:p>
      <w:pPr>
        <w:spacing w:afterLines="100" w:line="420" w:lineRule="exact"/>
        <w:jc w:val="center"/>
        <w:rPr>
          <w:rFonts w:ascii="宋体" w:hAnsi="宋体" w:cs="宋体"/>
          <w:sz w:val="24"/>
          <w:szCs w:val="24"/>
        </w:rPr>
      </w:pPr>
      <w:r>
        <w:rPr>
          <w:rFonts w:hint="eastAsia" w:ascii="宋体" w:hAnsi="宋体" w:cs="宋体"/>
          <w:sz w:val="24"/>
          <w:szCs w:val="24"/>
        </w:rPr>
        <w:t>（一）项目管理机构组成表</w:t>
      </w:r>
    </w:p>
    <w:tbl>
      <w:tblPr>
        <w:tblStyle w:val="33"/>
        <w:tblW w:w="82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12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职务</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姓名</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职称</w:t>
            </w:r>
          </w:p>
        </w:tc>
        <w:tc>
          <w:tcPr>
            <w:tcW w:w="5200" w:type="dxa"/>
            <w:gridSpan w:val="5"/>
            <w:vAlign w:val="center"/>
          </w:tcPr>
          <w:p>
            <w:pPr>
              <w:spacing w:line="0" w:lineRule="atLeast"/>
              <w:jc w:val="center"/>
              <w:rPr>
                <w:rFonts w:ascii="宋体" w:hAnsi="宋体" w:cs="宋体"/>
                <w:szCs w:val="21"/>
              </w:rPr>
            </w:pPr>
            <w:r>
              <w:rPr>
                <w:rFonts w:hint="eastAsia" w:ascii="宋体" w:hAnsi="宋体" w:cs="宋体"/>
                <w:szCs w:val="21"/>
              </w:rPr>
              <w:t>执业或职业资格证明</w:t>
            </w:r>
          </w:p>
        </w:tc>
        <w:tc>
          <w:tcPr>
            <w:tcW w:w="720" w:type="dxa"/>
            <w:vMerge w:val="restart"/>
            <w:vAlign w:val="center"/>
          </w:tcPr>
          <w:p>
            <w:pPr>
              <w:spacing w:line="0" w:lineRule="atLeas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r>
              <w:rPr>
                <w:rFonts w:hint="eastAsia" w:ascii="宋体" w:hAnsi="宋体" w:cs="宋体"/>
                <w:szCs w:val="21"/>
              </w:rPr>
              <w:t>证书</w:t>
            </w:r>
          </w:p>
          <w:p>
            <w:pPr>
              <w:spacing w:line="0" w:lineRule="atLeast"/>
              <w:jc w:val="center"/>
              <w:rPr>
                <w:rFonts w:ascii="宋体" w:hAnsi="宋体" w:cs="宋体"/>
                <w:szCs w:val="21"/>
              </w:rPr>
            </w:pPr>
            <w:r>
              <w:rPr>
                <w:rFonts w:hint="eastAsia" w:ascii="宋体" w:hAnsi="宋体" w:cs="宋体"/>
                <w:szCs w:val="21"/>
              </w:rPr>
              <w:t>名称</w:t>
            </w:r>
          </w:p>
        </w:tc>
        <w:tc>
          <w:tcPr>
            <w:tcW w:w="849" w:type="dxa"/>
            <w:vAlign w:val="center"/>
          </w:tcPr>
          <w:p>
            <w:pPr>
              <w:spacing w:line="0" w:lineRule="atLeast"/>
              <w:jc w:val="center"/>
              <w:rPr>
                <w:rFonts w:ascii="宋体" w:hAnsi="宋体" w:cs="宋体"/>
                <w:szCs w:val="21"/>
              </w:rPr>
            </w:pPr>
            <w:r>
              <w:rPr>
                <w:rFonts w:hint="eastAsia" w:ascii="宋体" w:hAnsi="宋体" w:cs="宋体"/>
                <w:szCs w:val="21"/>
              </w:rPr>
              <w:t>级别</w:t>
            </w:r>
          </w:p>
        </w:tc>
        <w:tc>
          <w:tcPr>
            <w:tcW w:w="868" w:type="dxa"/>
            <w:vAlign w:val="center"/>
          </w:tcPr>
          <w:p>
            <w:pPr>
              <w:spacing w:line="0" w:lineRule="atLeast"/>
              <w:jc w:val="center"/>
              <w:rPr>
                <w:rFonts w:ascii="宋体" w:hAnsi="宋体" w:cs="宋体"/>
                <w:szCs w:val="21"/>
              </w:rPr>
            </w:pPr>
            <w:r>
              <w:rPr>
                <w:rFonts w:hint="eastAsia" w:ascii="宋体" w:hAnsi="宋体" w:cs="宋体"/>
                <w:szCs w:val="21"/>
              </w:rPr>
              <w:t>证号</w:t>
            </w:r>
          </w:p>
        </w:tc>
        <w:tc>
          <w:tcPr>
            <w:tcW w:w="936" w:type="dxa"/>
            <w:vAlign w:val="center"/>
          </w:tcPr>
          <w:p>
            <w:pPr>
              <w:spacing w:line="0" w:lineRule="atLeast"/>
              <w:jc w:val="center"/>
              <w:rPr>
                <w:rFonts w:ascii="宋体" w:hAnsi="宋体" w:cs="宋体"/>
                <w:szCs w:val="21"/>
              </w:rPr>
            </w:pPr>
            <w:r>
              <w:rPr>
                <w:rFonts w:hint="eastAsia" w:ascii="宋体" w:hAnsi="宋体" w:cs="宋体"/>
                <w:szCs w:val="21"/>
              </w:rPr>
              <w:t>专业</w:t>
            </w:r>
          </w:p>
        </w:tc>
        <w:tc>
          <w:tcPr>
            <w:tcW w:w="1298" w:type="dxa"/>
            <w:vAlign w:val="center"/>
          </w:tcPr>
          <w:p>
            <w:pPr>
              <w:spacing w:line="0" w:lineRule="atLeast"/>
              <w:jc w:val="center"/>
              <w:rPr>
                <w:rFonts w:ascii="宋体" w:hAnsi="宋体" w:cs="宋体"/>
                <w:szCs w:val="21"/>
              </w:rPr>
            </w:pPr>
            <w:r>
              <w:rPr>
                <w:rFonts w:hint="eastAsia" w:ascii="宋体" w:hAnsi="宋体" w:cs="宋体"/>
                <w:szCs w:val="21"/>
              </w:rPr>
              <w:t>养老保险</w:t>
            </w:r>
          </w:p>
        </w:tc>
        <w:tc>
          <w:tcPr>
            <w:tcW w:w="720" w:type="dxa"/>
            <w:vMerge w:val="continue"/>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p>
        </w:tc>
        <w:tc>
          <w:tcPr>
            <w:tcW w:w="849" w:type="dxa"/>
            <w:vAlign w:val="center"/>
          </w:tcPr>
          <w:p>
            <w:pPr>
              <w:spacing w:line="0" w:lineRule="atLeast"/>
              <w:jc w:val="center"/>
              <w:rPr>
                <w:rFonts w:ascii="宋体" w:hAnsi="宋体" w:cs="宋体"/>
                <w:szCs w:val="21"/>
              </w:rPr>
            </w:pPr>
          </w:p>
        </w:tc>
        <w:tc>
          <w:tcPr>
            <w:tcW w:w="868" w:type="dxa"/>
            <w:vAlign w:val="center"/>
          </w:tcPr>
          <w:p>
            <w:pPr>
              <w:spacing w:line="0" w:lineRule="atLeast"/>
              <w:jc w:val="center"/>
              <w:rPr>
                <w:rFonts w:ascii="宋体" w:hAnsi="宋体" w:cs="宋体"/>
                <w:szCs w:val="21"/>
              </w:rPr>
            </w:pPr>
          </w:p>
        </w:tc>
        <w:tc>
          <w:tcPr>
            <w:tcW w:w="936" w:type="dxa"/>
            <w:vAlign w:val="center"/>
          </w:tcPr>
          <w:p>
            <w:pPr>
              <w:spacing w:line="0" w:lineRule="atLeast"/>
              <w:jc w:val="center"/>
              <w:rPr>
                <w:rFonts w:ascii="宋体" w:hAnsi="宋体" w:cs="宋体"/>
                <w:szCs w:val="21"/>
              </w:rPr>
            </w:pPr>
          </w:p>
        </w:tc>
        <w:tc>
          <w:tcPr>
            <w:tcW w:w="1298" w:type="dxa"/>
            <w:vAlign w:val="center"/>
          </w:tcPr>
          <w:p>
            <w:pPr>
              <w:spacing w:line="0" w:lineRule="atLeast"/>
              <w:jc w:val="center"/>
              <w:rPr>
                <w:rFonts w:ascii="宋体" w:hAnsi="宋体" w:cs="宋体"/>
                <w:szCs w:val="21"/>
              </w:rPr>
            </w:pPr>
          </w:p>
        </w:tc>
        <w:tc>
          <w:tcPr>
            <w:tcW w:w="720" w:type="dxa"/>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bl>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spacing w:afterLines="100" w:line="420" w:lineRule="exact"/>
        <w:jc w:val="center"/>
        <w:rPr>
          <w:rFonts w:ascii="宋体" w:hAnsi="宋体" w:cs="宋体"/>
          <w:sz w:val="24"/>
          <w:szCs w:val="24"/>
        </w:rPr>
      </w:pPr>
      <w:r>
        <w:rPr>
          <w:rFonts w:hint="eastAsia" w:ascii="宋体" w:hAnsi="宋体" w:cs="宋体"/>
          <w:sz w:val="24"/>
          <w:szCs w:val="24"/>
        </w:rPr>
        <w:t>（二）主要人员简历表</w:t>
      </w:r>
    </w:p>
    <w:tbl>
      <w:tblPr>
        <w:tblStyle w:val="33"/>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2022"/>
        <w:gridCol w:w="176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2464" w:type="dxa"/>
          </w:tcPr>
          <w:p>
            <w:pPr>
              <w:jc w:val="center"/>
              <w:rPr>
                <w:rFonts w:ascii="宋体" w:hAnsi="宋体"/>
                <w:szCs w:val="21"/>
              </w:rPr>
            </w:pPr>
            <w:r>
              <w:rPr>
                <w:rFonts w:hint="eastAsia" w:ascii="宋体" w:hAnsi="宋体"/>
                <w:szCs w:val="21"/>
              </w:rPr>
              <w:t>岗位名称</w:t>
            </w:r>
          </w:p>
        </w:tc>
        <w:tc>
          <w:tcPr>
            <w:tcW w:w="5952" w:type="dxa"/>
            <w:gridSpan w:val="3"/>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姓    名</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年    龄</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464" w:type="dxa"/>
          </w:tcPr>
          <w:p>
            <w:pPr>
              <w:jc w:val="center"/>
              <w:rPr>
                <w:rFonts w:ascii="宋体" w:hAnsi="宋体"/>
                <w:szCs w:val="21"/>
              </w:rPr>
            </w:pPr>
            <w:r>
              <w:rPr>
                <w:rFonts w:hint="eastAsia" w:ascii="宋体" w:hAnsi="宋体"/>
                <w:szCs w:val="21"/>
              </w:rPr>
              <w:t>性    别</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毕业学校</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学历和专业</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毕业时间</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464" w:type="dxa"/>
          </w:tcPr>
          <w:p>
            <w:pPr>
              <w:jc w:val="center"/>
              <w:rPr>
                <w:rFonts w:ascii="宋体" w:hAnsi="宋体"/>
                <w:szCs w:val="21"/>
              </w:rPr>
            </w:pPr>
            <w:r>
              <w:rPr>
                <w:rFonts w:hint="eastAsia" w:ascii="宋体" w:hAnsi="宋体"/>
                <w:szCs w:val="21"/>
              </w:rPr>
              <w:t>专业职称</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工作年限</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2464" w:type="dxa"/>
            <w:vAlign w:val="center"/>
          </w:tcPr>
          <w:p>
            <w:pPr>
              <w:jc w:val="center"/>
              <w:rPr>
                <w:rFonts w:ascii="宋体" w:hAnsi="宋体"/>
                <w:szCs w:val="21"/>
              </w:rPr>
            </w:pPr>
            <w:r>
              <w:rPr>
                <w:rFonts w:hint="eastAsia" w:ascii="宋体" w:hAnsi="宋体"/>
                <w:szCs w:val="21"/>
              </w:rPr>
              <w:t>主要工作业绩</w:t>
            </w:r>
          </w:p>
          <w:p>
            <w:pPr>
              <w:jc w:val="center"/>
              <w:rPr>
                <w:rFonts w:ascii="宋体" w:hAnsi="宋体"/>
                <w:szCs w:val="21"/>
              </w:rPr>
            </w:pPr>
            <w:r>
              <w:rPr>
                <w:rFonts w:hint="eastAsia" w:ascii="宋体" w:hAnsi="宋体"/>
                <w:szCs w:val="21"/>
              </w:rPr>
              <w:t>及担任的主要工作</w:t>
            </w:r>
          </w:p>
          <w:p>
            <w:pPr>
              <w:jc w:val="center"/>
              <w:rPr>
                <w:rFonts w:ascii="宋体" w:hAnsi="宋体"/>
                <w:szCs w:val="21"/>
              </w:rPr>
            </w:pPr>
          </w:p>
        </w:tc>
        <w:tc>
          <w:tcPr>
            <w:tcW w:w="5952" w:type="dxa"/>
            <w:gridSpan w:val="3"/>
          </w:tcPr>
          <w:p>
            <w:pPr>
              <w:rPr>
                <w:rFonts w:ascii="宋体" w:hAnsi="宋体"/>
                <w:szCs w:val="21"/>
              </w:rPr>
            </w:pPr>
          </w:p>
        </w:tc>
      </w:tr>
    </w:tbl>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r>
        <w:rPr>
          <w:rFonts w:hint="eastAsia" w:ascii="宋体" w:hAnsi="宋体"/>
          <w:b/>
          <w:bCs/>
          <w:sz w:val="36"/>
          <w:szCs w:val="36"/>
        </w:rPr>
        <w:t>4.4</w:t>
      </w:r>
      <w:r>
        <w:rPr>
          <w:rFonts w:hint="eastAsia" w:hAnsi="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widowControl/>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4.5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2、如供应商为联合投标的，联合供应商需分别填写上述《中小企业声明函》。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20" w:name="OLE_LINK14"/>
      <w:bookmarkStart w:id="21" w:name="OLE_LINK13"/>
    </w:p>
    <w:p>
      <w:pPr>
        <w:spacing w:line="360" w:lineRule="auto"/>
        <w:jc w:val="center"/>
        <w:rPr>
          <w:rFonts w:ascii="宋体" w:hAnsi="宋体"/>
          <w:b/>
          <w:bCs/>
          <w:sz w:val="36"/>
          <w:szCs w:val="36"/>
        </w:rPr>
      </w:pPr>
      <w:r>
        <w:rPr>
          <w:rFonts w:hint="eastAsia" w:ascii="宋体" w:hAnsi="宋体"/>
          <w:b/>
          <w:bCs/>
          <w:sz w:val="36"/>
          <w:szCs w:val="36"/>
        </w:rPr>
        <w:t>4.6 残疾人福利性单位声明函</w:t>
      </w:r>
    </w:p>
    <w:bookmarkEnd w:id="20"/>
    <w:bookmarkEnd w:id="21"/>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rPr>
          <w:rFonts w:ascii="宋体" w:hAnsi="宋体" w:cs="黑体"/>
          <w:b/>
          <w:bCs/>
          <w:sz w:val="44"/>
          <w:szCs w:val="44"/>
          <w:lang w:val="zh-CN"/>
        </w:rPr>
      </w:pPr>
    </w:p>
    <w:p>
      <w:pPr>
        <w:pStyle w:val="16"/>
        <w:rPr>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480" w:lineRule="exact"/>
        <w:rPr>
          <w:rFonts w:ascii="Calibri" w:hAnsi="Calibri" w:cs="黑体"/>
          <w:color w:val="000000"/>
          <w:sz w:val="24"/>
          <w:szCs w:val="24"/>
        </w:rPr>
      </w:pPr>
    </w:p>
    <w:p>
      <w:pPr>
        <w:pStyle w:val="17"/>
        <w:spacing w:line="480" w:lineRule="exact"/>
        <w:ind w:firstLine="0" w:firstLineChars="0"/>
        <w:rPr>
          <w:rFonts w:hAnsi="宋体"/>
          <w:b/>
          <w:bCs/>
          <w:position w:val="6"/>
          <w:szCs w:val="24"/>
        </w:rPr>
      </w:pPr>
    </w:p>
    <w:p>
      <w:pPr>
        <w:pStyle w:val="16"/>
      </w:pPr>
    </w:p>
    <w:sectPr>
      <w:headerReference r:id="rId6" w:type="default"/>
      <w:footerReference r:id="rId7" w:type="default"/>
      <w:footerReference r:id="rId8" w:type="even"/>
      <w:pgSz w:w="11907" w:h="16840"/>
      <w:pgMar w:top="1474" w:right="1134" w:bottom="1474" w:left="1247" w:header="907" w:footer="907"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宋体"/>
    <w:panose1 w:val="02010600030101010101"/>
    <w:charset w:val="86"/>
    <w:family w:val="roman"/>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180" w:firstLineChars="100"/>
    </w:pPr>
    <w:r>
      <w:rPr>
        <w:rFonts w:hint="eastAsia" w:cs="宋体"/>
      </w:rPr>
      <w:t>长葛市公共资源交易中心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宋体" w:hAnsi="宋体"/>
        <w:szCs w:val="21"/>
        <w:u w:val="single"/>
      </w:rPr>
    </w:pPr>
  </w:p>
  <w:p>
    <w:pPr>
      <w:pStyle w:val="24"/>
      <w:rPr>
        <w:rFonts w:ascii="宋体" w:hAnsi="宋体"/>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12</w:t>
                          </w:r>
                          <w:r>
                            <w:rPr>
                              <w:rFonts w:ascii="宋体" w:hAnsi="宋体" w:cs="Arial"/>
                              <w:color w:val="000000"/>
                              <w:szCs w:val="21"/>
                            </w:rPr>
                            <w:fldChar w:fldCharType="end"/>
                          </w:r>
                          <w:r>
                            <w:rPr>
                              <w:rFonts w:ascii="宋体" w:hAnsi="宋体" w:cs="Arial"/>
                              <w:color w:val="000000"/>
                              <w:szCs w:val="21"/>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24"/>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12</w:t>
                    </w:r>
                    <w:r>
                      <w:rPr>
                        <w:rFonts w:ascii="宋体" w:hAnsi="宋体" w:cs="Arial"/>
                        <w:color w:val="000000"/>
                        <w:szCs w:val="21"/>
                      </w:rPr>
                      <w:fldChar w:fldCharType="end"/>
                    </w:r>
                    <w:r>
                      <w:rPr>
                        <w:rFonts w:ascii="宋体" w:hAnsi="宋体" w:cs="Arial"/>
                        <w:color w:val="000000"/>
                        <w:szCs w:val="21"/>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53</w:t>
    </w:r>
    <w: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p>
    <w:pPr>
      <w:pStyle w:val="25"/>
      <w:pBdr>
        <w:bottom w:val="none" w:color="auto" w:sz="0" w:space="0"/>
      </w:pBdr>
    </w:pPr>
  </w:p>
  <w:p>
    <w:pPr>
      <w:pStyle w:val="25"/>
      <w:pBdr>
        <w:bottom w:val="none" w:color="auto" w:sz="0" w:space="0"/>
      </w:pBdr>
    </w:pPr>
  </w:p>
  <w:p>
    <w:pPr>
      <w:pStyle w:val="25"/>
      <w:pBdr>
        <w:bottom w:val="none" w:color="auto" w:sz="0" w:space="0"/>
      </w:pBdr>
    </w:pPr>
  </w:p>
  <w:p>
    <w:pPr>
      <w:pStyle w:val="25"/>
      <w:pBdr>
        <w:bottom w:val="single" w:color="auto" w:sz="4" w:space="1"/>
      </w:pBdr>
    </w:pPr>
    <w:r>
      <w:rPr>
        <w:rFonts w:hint="eastAsia" w:cs="宋体"/>
      </w:rPr>
      <w:t>长葛市住房和城乡建设局 采购第三方合作机构项目竞争性谈判采购文件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9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C1E50C0"/>
    <w:multiLevelType w:val="multilevel"/>
    <w:tmpl w:val="1C1E50C0"/>
    <w:lvl w:ilvl="0" w:tentative="0">
      <w:start w:val="1"/>
      <w:numFmt w:val="decimal"/>
      <w:pStyle w:val="101"/>
      <w:lvlText w:val="%1"/>
      <w:lvlJc w:val="left"/>
      <w:pPr>
        <w:ind w:left="432" w:hanging="432"/>
      </w:pPr>
      <w:rPr>
        <w:b w:val="0"/>
      </w:rPr>
    </w:lvl>
    <w:lvl w:ilvl="1" w:tentative="0">
      <w:start w:val="1"/>
      <w:numFmt w:val="decimal"/>
      <w:pStyle w:val="117"/>
      <w:lvlText w:val="%1.%2"/>
      <w:lvlJc w:val="left"/>
      <w:pPr>
        <w:ind w:left="576" w:hanging="576"/>
      </w:pPr>
      <w:rPr>
        <w:rFonts w:ascii="黑体" w:hAnsi="黑体" w:eastAsia="黑体"/>
        <w:b w:val="0"/>
      </w:rPr>
    </w:lvl>
    <w:lvl w:ilvl="2" w:tentative="0">
      <w:start w:val="1"/>
      <w:numFmt w:val="decimal"/>
      <w:pStyle w:val="99"/>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4"/>
      <w:lvlText w:val="%1.%2.%3.%4.%5"/>
      <w:lvlJc w:val="left"/>
      <w:pPr>
        <w:ind w:left="1008" w:hanging="1008"/>
      </w:pPr>
      <w:rPr>
        <w:rFonts w:ascii="黑体" w:hAnsi="黑体" w:eastAsia="黑体"/>
        <w:b w:val="0"/>
      </w:rPr>
    </w:lvl>
    <w:lvl w:ilvl="5" w:tentative="0">
      <w:start w:val="1"/>
      <w:numFmt w:val="decimal"/>
      <w:pStyle w:val="96"/>
      <w:lvlText w:val="%1.%2.%3.%4.%5.%6"/>
      <w:lvlJc w:val="left"/>
      <w:pPr>
        <w:ind w:left="1152" w:hanging="1152"/>
      </w:pPr>
      <w:rPr>
        <w:rFonts w:ascii="黑体" w:hAnsi="黑体" w:eastAsia="黑体"/>
        <w:lang w:val="en-US"/>
      </w:rPr>
    </w:lvl>
    <w:lvl w:ilvl="6" w:tentative="0">
      <w:start w:val="1"/>
      <w:numFmt w:val="decimal"/>
      <w:pStyle w:val="107"/>
      <w:lvlText w:val="%1.%2.%3.%4.%5.%6.%7"/>
      <w:lvlJc w:val="left"/>
      <w:pPr>
        <w:ind w:left="1296" w:hanging="1296"/>
      </w:pPr>
      <w:rPr>
        <w:rFonts w:ascii="黑体" w:hAnsi="黑体" w:eastAsia="黑体"/>
        <w:b w:val="0"/>
      </w:rPr>
    </w:lvl>
    <w:lvl w:ilvl="7" w:tentative="0">
      <w:start w:val="1"/>
      <w:numFmt w:val="decimal"/>
      <w:pStyle w:val="115"/>
      <w:lvlText w:val="%1.%2.%3.%4.%5.%6.%7.%8"/>
      <w:lvlJc w:val="left"/>
      <w:pPr>
        <w:ind w:left="1440" w:hanging="1440"/>
      </w:pPr>
    </w:lvl>
    <w:lvl w:ilvl="8" w:tentative="0">
      <w:start w:val="1"/>
      <w:numFmt w:val="decimal"/>
      <w:pStyle w:val="104"/>
      <w:lvlText w:val="%1.%2.%3.%4.%5.%6.%7.%8.%9"/>
      <w:lvlJc w:val="left"/>
      <w:pPr>
        <w:ind w:left="1584" w:hanging="1584"/>
      </w:pPr>
    </w:lvl>
  </w:abstractNum>
  <w:abstractNum w:abstractNumId="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78"/>
    <w:rsid w:val="000027E3"/>
    <w:rsid w:val="0000280B"/>
    <w:rsid w:val="000040BC"/>
    <w:rsid w:val="000070BC"/>
    <w:rsid w:val="00010EC1"/>
    <w:rsid w:val="00012967"/>
    <w:rsid w:val="00024261"/>
    <w:rsid w:val="00024A54"/>
    <w:rsid w:val="00031BDF"/>
    <w:rsid w:val="00032F3E"/>
    <w:rsid w:val="00033B29"/>
    <w:rsid w:val="00036C15"/>
    <w:rsid w:val="00045F13"/>
    <w:rsid w:val="00052339"/>
    <w:rsid w:val="00054164"/>
    <w:rsid w:val="00064A63"/>
    <w:rsid w:val="00065CF8"/>
    <w:rsid w:val="00067E55"/>
    <w:rsid w:val="0007274D"/>
    <w:rsid w:val="000729D1"/>
    <w:rsid w:val="00073360"/>
    <w:rsid w:val="0007392C"/>
    <w:rsid w:val="000762A5"/>
    <w:rsid w:val="00083FF9"/>
    <w:rsid w:val="00084172"/>
    <w:rsid w:val="00090786"/>
    <w:rsid w:val="00090867"/>
    <w:rsid w:val="00092CE2"/>
    <w:rsid w:val="00093E40"/>
    <w:rsid w:val="0009527D"/>
    <w:rsid w:val="00095BB3"/>
    <w:rsid w:val="000A0E87"/>
    <w:rsid w:val="000A2791"/>
    <w:rsid w:val="000A307D"/>
    <w:rsid w:val="000A4DE2"/>
    <w:rsid w:val="000A6239"/>
    <w:rsid w:val="000B4E76"/>
    <w:rsid w:val="000C053D"/>
    <w:rsid w:val="000C05C3"/>
    <w:rsid w:val="000C4C8C"/>
    <w:rsid w:val="000C5049"/>
    <w:rsid w:val="000C7C7E"/>
    <w:rsid w:val="000D124A"/>
    <w:rsid w:val="000D15AB"/>
    <w:rsid w:val="000D2739"/>
    <w:rsid w:val="000E1D53"/>
    <w:rsid w:val="000E2FB6"/>
    <w:rsid w:val="000E6A62"/>
    <w:rsid w:val="000E6C81"/>
    <w:rsid w:val="000F2EF6"/>
    <w:rsid w:val="000F6460"/>
    <w:rsid w:val="000F72CE"/>
    <w:rsid w:val="001003C3"/>
    <w:rsid w:val="00104FA0"/>
    <w:rsid w:val="001105D0"/>
    <w:rsid w:val="00114F83"/>
    <w:rsid w:val="00116295"/>
    <w:rsid w:val="00117165"/>
    <w:rsid w:val="00124E55"/>
    <w:rsid w:val="00131EBE"/>
    <w:rsid w:val="00136777"/>
    <w:rsid w:val="00137DAE"/>
    <w:rsid w:val="00141345"/>
    <w:rsid w:val="00142DC8"/>
    <w:rsid w:val="00143E5C"/>
    <w:rsid w:val="0014521B"/>
    <w:rsid w:val="0014653C"/>
    <w:rsid w:val="00147B69"/>
    <w:rsid w:val="00150B02"/>
    <w:rsid w:val="0015421E"/>
    <w:rsid w:val="00154676"/>
    <w:rsid w:val="0015546D"/>
    <w:rsid w:val="0016206F"/>
    <w:rsid w:val="00163255"/>
    <w:rsid w:val="001638C0"/>
    <w:rsid w:val="001638F0"/>
    <w:rsid w:val="00172A27"/>
    <w:rsid w:val="00184AD5"/>
    <w:rsid w:val="00184F40"/>
    <w:rsid w:val="00185641"/>
    <w:rsid w:val="00191A32"/>
    <w:rsid w:val="00191E6E"/>
    <w:rsid w:val="00192DB7"/>
    <w:rsid w:val="00195776"/>
    <w:rsid w:val="001A1B03"/>
    <w:rsid w:val="001A7320"/>
    <w:rsid w:val="001B0374"/>
    <w:rsid w:val="001B3D09"/>
    <w:rsid w:val="001B4D1D"/>
    <w:rsid w:val="001B62BF"/>
    <w:rsid w:val="001C07B0"/>
    <w:rsid w:val="001C41E0"/>
    <w:rsid w:val="001C71C4"/>
    <w:rsid w:val="001D024F"/>
    <w:rsid w:val="001D0B80"/>
    <w:rsid w:val="001D1A11"/>
    <w:rsid w:val="001D3A7E"/>
    <w:rsid w:val="001D565C"/>
    <w:rsid w:val="001D630C"/>
    <w:rsid w:val="001E414C"/>
    <w:rsid w:val="001E4BD9"/>
    <w:rsid w:val="001E6A80"/>
    <w:rsid w:val="001F031B"/>
    <w:rsid w:val="001F2555"/>
    <w:rsid w:val="001F2690"/>
    <w:rsid w:val="001F5DC6"/>
    <w:rsid w:val="001F60DE"/>
    <w:rsid w:val="00200F57"/>
    <w:rsid w:val="0020101B"/>
    <w:rsid w:val="0020423A"/>
    <w:rsid w:val="0020567D"/>
    <w:rsid w:val="00207C68"/>
    <w:rsid w:val="002106A2"/>
    <w:rsid w:val="00210974"/>
    <w:rsid w:val="00210F0A"/>
    <w:rsid w:val="0021361F"/>
    <w:rsid w:val="0021507B"/>
    <w:rsid w:val="0021667D"/>
    <w:rsid w:val="002209B2"/>
    <w:rsid w:val="00233878"/>
    <w:rsid w:val="002366F0"/>
    <w:rsid w:val="002416F7"/>
    <w:rsid w:val="00241F18"/>
    <w:rsid w:val="00242B53"/>
    <w:rsid w:val="00243AC7"/>
    <w:rsid w:val="002518F7"/>
    <w:rsid w:val="00252A2B"/>
    <w:rsid w:val="00252CB8"/>
    <w:rsid w:val="00253722"/>
    <w:rsid w:val="00256356"/>
    <w:rsid w:val="002575D3"/>
    <w:rsid w:val="0026055F"/>
    <w:rsid w:val="002615A9"/>
    <w:rsid w:val="00263E7B"/>
    <w:rsid w:val="0026437B"/>
    <w:rsid w:val="00274F7D"/>
    <w:rsid w:val="00274FAB"/>
    <w:rsid w:val="00276101"/>
    <w:rsid w:val="002765EB"/>
    <w:rsid w:val="00280360"/>
    <w:rsid w:val="00284094"/>
    <w:rsid w:val="00285CBB"/>
    <w:rsid w:val="0028747D"/>
    <w:rsid w:val="002913F4"/>
    <w:rsid w:val="0029433C"/>
    <w:rsid w:val="00295072"/>
    <w:rsid w:val="002A5696"/>
    <w:rsid w:val="002A6901"/>
    <w:rsid w:val="002B0431"/>
    <w:rsid w:val="002B084C"/>
    <w:rsid w:val="002B0E47"/>
    <w:rsid w:val="002B51CA"/>
    <w:rsid w:val="002B5A17"/>
    <w:rsid w:val="002B75E0"/>
    <w:rsid w:val="002C1F02"/>
    <w:rsid w:val="002D472E"/>
    <w:rsid w:val="002E226E"/>
    <w:rsid w:val="002E3A88"/>
    <w:rsid w:val="002F0268"/>
    <w:rsid w:val="002F04B1"/>
    <w:rsid w:val="002F1DF1"/>
    <w:rsid w:val="002F6D2A"/>
    <w:rsid w:val="00301668"/>
    <w:rsid w:val="00304731"/>
    <w:rsid w:val="00310C40"/>
    <w:rsid w:val="00313F5C"/>
    <w:rsid w:val="00317C0D"/>
    <w:rsid w:val="00320404"/>
    <w:rsid w:val="00321448"/>
    <w:rsid w:val="003228B4"/>
    <w:rsid w:val="003273E6"/>
    <w:rsid w:val="00331B19"/>
    <w:rsid w:val="003320D0"/>
    <w:rsid w:val="00332AB6"/>
    <w:rsid w:val="00335CB3"/>
    <w:rsid w:val="00337111"/>
    <w:rsid w:val="00341131"/>
    <w:rsid w:val="0034373D"/>
    <w:rsid w:val="003437A6"/>
    <w:rsid w:val="00343B1C"/>
    <w:rsid w:val="00345B86"/>
    <w:rsid w:val="00350361"/>
    <w:rsid w:val="003509B3"/>
    <w:rsid w:val="00350DE3"/>
    <w:rsid w:val="003531F5"/>
    <w:rsid w:val="00353A2E"/>
    <w:rsid w:val="0036023B"/>
    <w:rsid w:val="00362299"/>
    <w:rsid w:val="00362D08"/>
    <w:rsid w:val="00364436"/>
    <w:rsid w:val="0036534F"/>
    <w:rsid w:val="00367822"/>
    <w:rsid w:val="0037424E"/>
    <w:rsid w:val="00374287"/>
    <w:rsid w:val="00380E8C"/>
    <w:rsid w:val="003820F9"/>
    <w:rsid w:val="003857D0"/>
    <w:rsid w:val="003901F3"/>
    <w:rsid w:val="00391AEF"/>
    <w:rsid w:val="00393F2C"/>
    <w:rsid w:val="0039672A"/>
    <w:rsid w:val="003A15FF"/>
    <w:rsid w:val="003A301A"/>
    <w:rsid w:val="003A6DE8"/>
    <w:rsid w:val="003B01E5"/>
    <w:rsid w:val="003B4DA3"/>
    <w:rsid w:val="003B67FF"/>
    <w:rsid w:val="003C0D27"/>
    <w:rsid w:val="003C61A8"/>
    <w:rsid w:val="003C66E7"/>
    <w:rsid w:val="003D07DB"/>
    <w:rsid w:val="003D3DA9"/>
    <w:rsid w:val="003D4A6E"/>
    <w:rsid w:val="003D4BDA"/>
    <w:rsid w:val="003D6AFD"/>
    <w:rsid w:val="003D74AC"/>
    <w:rsid w:val="003E2486"/>
    <w:rsid w:val="003E377B"/>
    <w:rsid w:val="003E41C3"/>
    <w:rsid w:val="003E5976"/>
    <w:rsid w:val="003E6BB5"/>
    <w:rsid w:val="003F01FE"/>
    <w:rsid w:val="003F1A28"/>
    <w:rsid w:val="003F2AD5"/>
    <w:rsid w:val="003F5BCA"/>
    <w:rsid w:val="003F6EEB"/>
    <w:rsid w:val="003F7688"/>
    <w:rsid w:val="00400EF4"/>
    <w:rsid w:val="00402988"/>
    <w:rsid w:val="00406F7D"/>
    <w:rsid w:val="004079E7"/>
    <w:rsid w:val="004163F5"/>
    <w:rsid w:val="004167A5"/>
    <w:rsid w:val="00416B53"/>
    <w:rsid w:val="00436846"/>
    <w:rsid w:val="00437FCC"/>
    <w:rsid w:val="00441AFD"/>
    <w:rsid w:val="00442BBA"/>
    <w:rsid w:val="0045152C"/>
    <w:rsid w:val="00451EF9"/>
    <w:rsid w:val="00455393"/>
    <w:rsid w:val="00457143"/>
    <w:rsid w:val="00473CF5"/>
    <w:rsid w:val="0047586B"/>
    <w:rsid w:val="00477864"/>
    <w:rsid w:val="004873F8"/>
    <w:rsid w:val="00487966"/>
    <w:rsid w:val="004958A8"/>
    <w:rsid w:val="004A1C0E"/>
    <w:rsid w:val="004A1FA0"/>
    <w:rsid w:val="004A316F"/>
    <w:rsid w:val="004B05CC"/>
    <w:rsid w:val="004B0F7E"/>
    <w:rsid w:val="004B58A3"/>
    <w:rsid w:val="004B71EA"/>
    <w:rsid w:val="004C0DC3"/>
    <w:rsid w:val="004C2D8C"/>
    <w:rsid w:val="004C449E"/>
    <w:rsid w:val="004C543E"/>
    <w:rsid w:val="004D09C9"/>
    <w:rsid w:val="004D33C3"/>
    <w:rsid w:val="004D718D"/>
    <w:rsid w:val="004E02F5"/>
    <w:rsid w:val="004E0A9C"/>
    <w:rsid w:val="004E0FFA"/>
    <w:rsid w:val="004E1F29"/>
    <w:rsid w:val="004E30E6"/>
    <w:rsid w:val="004E432C"/>
    <w:rsid w:val="004F4DE4"/>
    <w:rsid w:val="004F5519"/>
    <w:rsid w:val="004F72D1"/>
    <w:rsid w:val="00500747"/>
    <w:rsid w:val="0050206C"/>
    <w:rsid w:val="005036A2"/>
    <w:rsid w:val="00504449"/>
    <w:rsid w:val="00504AFC"/>
    <w:rsid w:val="00505210"/>
    <w:rsid w:val="00505F1C"/>
    <w:rsid w:val="00530277"/>
    <w:rsid w:val="005313D1"/>
    <w:rsid w:val="00531E09"/>
    <w:rsid w:val="0053268B"/>
    <w:rsid w:val="00533CC3"/>
    <w:rsid w:val="00533FF6"/>
    <w:rsid w:val="00540B52"/>
    <w:rsid w:val="00541B99"/>
    <w:rsid w:val="00542D9F"/>
    <w:rsid w:val="005432A0"/>
    <w:rsid w:val="00545619"/>
    <w:rsid w:val="00545D3F"/>
    <w:rsid w:val="00546557"/>
    <w:rsid w:val="00546C73"/>
    <w:rsid w:val="00552794"/>
    <w:rsid w:val="00554EF2"/>
    <w:rsid w:val="0055747C"/>
    <w:rsid w:val="00557B10"/>
    <w:rsid w:val="00560DC4"/>
    <w:rsid w:val="00561F20"/>
    <w:rsid w:val="005654C8"/>
    <w:rsid w:val="005665F0"/>
    <w:rsid w:val="00575E03"/>
    <w:rsid w:val="00576276"/>
    <w:rsid w:val="00576876"/>
    <w:rsid w:val="0057731C"/>
    <w:rsid w:val="00580D18"/>
    <w:rsid w:val="0058398A"/>
    <w:rsid w:val="00586B47"/>
    <w:rsid w:val="00587486"/>
    <w:rsid w:val="0059043F"/>
    <w:rsid w:val="00591666"/>
    <w:rsid w:val="00595F0F"/>
    <w:rsid w:val="005A2CC3"/>
    <w:rsid w:val="005B2B5A"/>
    <w:rsid w:val="005B472E"/>
    <w:rsid w:val="005B7D84"/>
    <w:rsid w:val="005C0BB0"/>
    <w:rsid w:val="005C2165"/>
    <w:rsid w:val="005C547A"/>
    <w:rsid w:val="005D2A8F"/>
    <w:rsid w:val="005E4196"/>
    <w:rsid w:val="005E657B"/>
    <w:rsid w:val="005F0D58"/>
    <w:rsid w:val="005F38F6"/>
    <w:rsid w:val="005F4CDB"/>
    <w:rsid w:val="00602A88"/>
    <w:rsid w:val="0060323B"/>
    <w:rsid w:val="00612492"/>
    <w:rsid w:val="00613350"/>
    <w:rsid w:val="00614DA9"/>
    <w:rsid w:val="00622051"/>
    <w:rsid w:val="00624266"/>
    <w:rsid w:val="00643135"/>
    <w:rsid w:val="00644C85"/>
    <w:rsid w:val="00646F11"/>
    <w:rsid w:val="00650AEE"/>
    <w:rsid w:val="00651A81"/>
    <w:rsid w:val="00652820"/>
    <w:rsid w:val="00657E5B"/>
    <w:rsid w:val="00661713"/>
    <w:rsid w:val="006644DD"/>
    <w:rsid w:val="00674153"/>
    <w:rsid w:val="00674930"/>
    <w:rsid w:val="00674B2C"/>
    <w:rsid w:val="00682472"/>
    <w:rsid w:val="006828D5"/>
    <w:rsid w:val="00682C70"/>
    <w:rsid w:val="0068359E"/>
    <w:rsid w:val="0068680D"/>
    <w:rsid w:val="00686F36"/>
    <w:rsid w:val="006901D0"/>
    <w:rsid w:val="00690EF7"/>
    <w:rsid w:val="00692498"/>
    <w:rsid w:val="0069292D"/>
    <w:rsid w:val="006964DE"/>
    <w:rsid w:val="006A5C26"/>
    <w:rsid w:val="006A6FC4"/>
    <w:rsid w:val="006B7940"/>
    <w:rsid w:val="006C03F2"/>
    <w:rsid w:val="006C0F3C"/>
    <w:rsid w:val="006C139A"/>
    <w:rsid w:val="006C2CE4"/>
    <w:rsid w:val="006C33D4"/>
    <w:rsid w:val="006C45BC"/>
    <w:rsid w:val="006C616B"/>
    <w:rsid w:val="006D5AF5"/>
    <w:rsid w:val="006E1086"/>
    <w:rsid w:val="006E2870"/>
    <w:rsid w:val="006E5CBD"/>
    <w:rsid w:val="006E7857"/>
    <w:rsid w:val="006F1DF5"/>
    <w:rsid w:val="006F2674"/>
    <w:rsid w:val="006F57DF"/>
    <w:rsid w:val="006F6B2C"/>
    <w:rsid w:val="006F73CD"/>
    <w:rsid w:val="00705530"/>
    <w:rsid w:val="0070739C"/>
    <w:rsid w:val="007105B8"/>
    <w:rsid w:val="00714654"/>
    <w:rsid w:val="0072480E"/>
    <w:rsid w:val="00727DB6"/>
    <w:rsid w:val="00731150"/>
    <w:rsid w:val="00734DFD"/>
    <w:rsid w:val="007353A1"/>
    <w:rsid w:val="007368ED"/>
    <w:rsid w:val="00741531"/>
    <w:rsid w:val="0074187F"/>
    <w:rsid w:val="00744113"/>
    <w:rsid w:val="007449CE"/>
    <w:rsid w:val="00745012"/>
    <w:rsid w:val="007477C8"/>
    <w:rsid w:val="00754570"/>
    <w:rsid w:val="00754707"/>
    <w:rsid w:val="00756ADD"/>
    <w:rsid w:val="007578EF"/>
    <w:rsid w:val="007606F2"/>
    <w:rsid w:val="00763F42"/>
    <w:rsid w:val="0077194D"/>
    <w:rsid w:val="00773B39"/>
    <w:rsid w:val="00773EF6"/>
    <w:rsid w:val="00776D20"/>
    <w:rsid w:val="00791E9B"/>
    <w:rsid w:val="00793015"/>
    <w:rsid w:val="00795F6B"/>
    <w:rsid w:val="007971B7"/>
    <w:rsid w:val="007975DB"/>
    <w:rsid w:val="007A2A40"/>
    <w:rsid w:val="007A5E53"/>
    <w:rsid w:val="007A6613"/>
    <w:rsid w:val="007A6797"/>
    <w:rsid w:val="007A7C6E"/>
    <w:rsid w:val="007A7DC9"/>
    <w:rsid w:val="007A7F77"/>
    <w:rsid w:val="007B19EE"/>
    <w:rsid w:val="007B55EB"/>
    <w:rsid w:val="007C42E6"/>
    <w:rsid w:val="007C467C"/>
    <w:rsid w:val="007C56B2"/>
    <w:rsid w:val="007D274F"/>
    <w:rsid w:val="007D3B08"/>
    <w:rsid w:val="007D3FA3"/>
    <w:rsid w:val="007D43AE"/>
    <w:rsid w:val="007D6744"/>
    <w:rsid w:val="007E0D72"/>
    <w:rsid w:val="007E2DD8"/>
    <w:rsid w:val="007E5345"/>
    <w:rsid w:val="007E5551"/>
    <w:rsid w:val="007E57AE"/>
    <w:rsid w:val="007E5C43"/>
    <w:rsid w:val="007E6DEF"/>
    <w:rsid w:val="00801885"/>
    <w:rsid w:val="008030E4"/>
    <w:rsid w:val="00806EF2"/>
    <w:rsid w:val="008120FF"/>
    <w:rsid w:val="008123F1"/>
    <w:rsid w:val="00812A0C"/>
    <w:rsid w:val="00813A85"/>
    <w:rsid w:val="00815899"/>
    <w:rsid w:val="00823775"/>
    <w:rsid w:val="00825764"/>
    <w:rsid w:val="00827452"/>
    <w:rsid w:val="0083094B"/>
    <w:rsid w:val="008330A0"/>
    <w:rsid w:val="00836A8F"/>
    <w:rsid w:val="0084695D"/>
    <w:rsid w:val="00847493"/>
    <w:rsid w:val="00852B92"/>
    <w:rsid w:val="00857B64"/>
    <w:rsid w:val="008605B7"/>
    <w:rsid w:val="00860EFE"/>
    <w:rsid w:val="008616E8"/>
    <w:rsid w:val="00875D86"/>
    <w:rsid w:val="008806AC"/>
    <w:rsid w:val="00881171"/>
    <w:rsid w:val="008820B8"/>
    <w:rsid w:val="00882EB2"/>
    <w:rsid w:val="00891F34"/>
    <w:rsid w:val="00895A5F"/>
    <w:rsid w:val="00896F34"/>
    <w:rsid w:val="008A02C2"/>
    <w:rsid w:val="008A3D41"/>
    <w:rsid w:val="008A41B8"/>
    <w:rsid w:val="008A4709"/>
    <w:rsid w:val="008B3583"/>
    <w:rsid w:val="008B3639"/>
    <w:rsid w:val="008B72D3"/>
    <w:rsid w:val="008C07F8"/>
    <w:rsid w:val="008C3D01"/>
    <w:rsid w:val="008C664F"/>
    <w:rsid w:val="008C7A71"/>
    <w:rsid w:val="008C7B76"/>
    <w:rsid w:val="008D4419"/>
    <w:rsid w:val="008D4718"/>
    <w:rsid w:val="008D4F27"/>
    <w:rsid w:val="008E181A"/>
    <w:rsid w:val="00901DF6"/>
    <w:rsid w:val="00905994"/>
    <w:rsid w:val="00907E24"/>
    <w:rsid w:val="00911748"/>
    <w:rsid w:val="0091212E"/>
    <w:rsid w:val="00913B39"/>
    <w:rsid w:val="0091549E"/>
    <w:rsid w:val="0091565F"/>
    <w:rsid w:val="00920D0C"/>
    <w:rsid w:val="00921376"/>
    <w:rsid w:val="00924F0B"/>
    <w:rsid w:val="00925A0E"/>
    <w:rsid w:val="00925ACC"/>
    <w:rsid w:val="00931677"/>
    <w:rsid w:val="009336E8"/>
    <w:rsid w:val="00934857"/>
    <w:rsid w:val="00940073"/>
    <w:rsid w:val="00943010"/>
    <w:rsid w:val="0094480C"/>
    <w:rsid w:val="0095398A"/>
    <w:rsid w:val="00955DA0"/>
    <w:rsid w:val="00957287"/>
    <w:rsid w:val="00962DE3"/>
    <w:rsid w:val="00965829"/>
    <w:rsid w:val="0096775A"/>
    <w:rsid w:val="00967ACA"/>
    <w:rsid w:val="0097175F"/>
    <w:rsid w:val="0097406B"/>
    <w:rsid w:val="009759C7"/>
    <w:rsid w:val="009767D6"/>
    <w:rsid w:val="00981FE4"/>
    <w:rsid w:val="0098430F"/>
    <w:rsid w:val="00984CFA"/>
    <w:rsid w:val="00990EFF"/>
    <w:rsid w:val="00995528"/>
    <w:rsid w:val="009A24A0"/>
    <w:rsid w:val="009A3135"/>
    <w:rsid w:val="009A4228"/>
    <w:rsid w:val="009A42DE"/>
    <w:rsid w:val="009A5572"/>
    <w:rsid w:val="009A6F4B"/>
    <w:rsid w:val="009B0BD4"/>
    <w:rsid w:val="009B13CD"/>
    <w:rsid w:val="009B5994"/>
    <w:rsid w:val="009C2215"/>
    <w:rsid w:val="009C4A64"/>
    <w:rsid w:val="009C6DD0"/>
    <w:rsid w:val="009C7029"/>
    <w:rsid w:val="009E3850"/>
    <w:rsid w:val="00A060C8"/>
    <w:rsid w:val="00A064D1"/>
    <w:rsid w:val="00A075BD"/>
    <w:rsid w:val="00A07A42"/>
    <w:rsid w:val="00A10427"/>
    <w:rsid w:val="00A11CBE"/>
    <w:rsid w:val="00A1549B"/>
    <w:rsid w:val="00A16C2D"/>
    <w:rsid w:val="00A245F8"/>
    <w:rsid w:val="00A27AB3"/>
    <w:rsid w:val="00A27D3C"/>
    <w:rsid w:val="00A456AB"/>
    <w:rsid w:val="00A45DF3"/>
    <w:rsid w:val="00A4772C"/>
    <w:rsid w:val="00A552FC"/>
    <w:rsid w:val="00A56AFA"/>
    <w:rsid w:val="00A579B6"/>
    <w:rsid w:val="00A63B81"/>
    <w:rsid w:val="00A65D66"/>
    <w:rsid w:val="00A65E74"/>
    <w:rsid w:val="00A6603F"/>
    <w:rsid w:val="00A66F84"/>
    <w:rsid w:val="00A85C24"/>
    <w:rsid w:val="00A865D4"/>
    <w:rsid w:val="00A91184"/>
    <w:rsid w:val="00AA10EC"/>
    <w:rsid w:val="00AA4C5B"/>
    <w:rsid w:val="00AA6E39"/>
    <w:rsid w:val="00AB2462"/>
    <w:rsid w:val="00AB24E6"/>
    <w:rsid w:val="00AB4CFC"/>
    <w:rsid w:val="00AB5AF5"/>
    <w:rsid w:val="00AB6D58"/>
    <w:rsid w:val="00AB767B"/>
    <w:rsid w:val="00AC2E75"/>
    <w:rsid w:val="00AC5796"/>
    <w:rsid w:val="00AC7586"/>
    <w:rsid w:val="00AD07D8"/>
    <w:rsid w:val="00AE1379"/>
    <w:rsid w:val="00AE28AD"/>
    <w:rsid w:val="00AE515D"/>
    <w:rsid w:val="00AF2375"/>
    <w:rsid w:val="00B01A74"/>
    <w:rsid w:val="00B01C49"/>
    <w:rsid w:val="00B0204A"/>
    <w:rsid w:val="00B02C1D"/>
    <w:rsid w:val="00B036F6"/>
    <w:rsid w:val="00B05CCE"/>
    <w:rsid w:val="00B20907"/>
    <w:rsid w:val="00B22057"/>
    <w:rsid w:val="00B26C70"/>
    <w:rsid w:val="00B4536D"/>
    <w:rsid w:val="00B47191"/>
    <w:rsid w:val="00B47F04"/>
    <w:rsid w:val="00B51081"/>
    <w:rsid w:val="00B51278"/>
    <w:rsid w:val="00B521FF"/>
    <w:rsid w:val="00B56054"/>
    <w:rsid w:val="00B57368"/>
    <w:rsid w:val="00B65BDE"/>
    <w:rsid w:val="00B715AC"/>
    <w:rsid w:val="00B73F3C"/>
    <w:rsid w:val="00B74200"/>
    <w:rsid w:val="00B8659A"/>
    <w:rsid w:val="00B90DD0"/>
    <w:rsid w:val="00B95D4B"/>
    <w:rsid w:val="00B96655"/>
    <w:rsid w:val="00B96CB3"/>
    <w:rsid w:val="00BA69DE"/>
    <w:rsid w:val="00BB1E0A"/>
    <w:rsid w:val="00BB205B"/>
    <w:rsid w:val="00BB3FAA"/>
    <w:rsid w:val="00BB6F3B"/>
    <w:rsid w:val="00BB7E1D"/>
    <w:rsid w:val="00BC1910"/>
    <w:rsid w:val="00BC1DA3"/>
    <w:rsid w:val="00BC45C4"/>
    <w:rsid w:val="00BC55C9"/>
    <w:rsid w:val="00BD1B1D"/>
    <w:rsid w:val="00BD5216"/>
    <w:rsid w:val="00BE0B61"/>
    <w:rsid w:val="00BE2D1D"/>
    <w:rsid w:val="00BE5447"/>
    <w:rsid w:val="00BE582C"/>
    <w:rsid w:val="00BE78CD"/>
    <w:rsid w:val="00BE7AB1"/>
    <w:rsid w:val="00BF48EE"/>
    <w:rsid w:val="00BF5CE0"/>
    <w:rsid w:val="00BF6399"/>
    <w:rsid w:val="00C031B5"/>
    <w:rsid w:val="00C03FCA"/>
    <w:rsid w:val="00C06901"/>
    <w:rsid w:val="00C17FD6"/>
    <w:rsid w:val="00C217CA"/>
    <w:rsid w:val="00C227D3"/>
    <w:rsid w:val="00C24895"/>
    <w:rsid w:val="00C25D2E"/>
    <w:rsid w:val="00C270EE"/>
    <w:rsid w:val="00C27911"/>
    <w:rsid w:val="00C27F71"/>
    <w:rsid w:val="00C33BD6"/>
    <w:rsid w:val="00C35723"/>
    <w:rsid w:val="00C41F0E"/>
    <w:rsid w:val="00C43A23"/>
    <w:rsid w:val="00C468CB"/>
    <w:rsid w:val="00C50713"/>
    <w:rsid w:val="00C52424"/>
    <w:rsid w:val="00C53764"/>
    <w:rsid w:val="00C537F0"/>
    <w:rsid w:val="00C64059"/>
    <w:rsid w:val="00C643BD"/>
    <w:rsid w:val="00C70254"/>
    <w:rsid w:val="00C70B89"/>
    <w:rsid w:val="00C70CEA"/>
    <w:rsid w:val="00C72439"/>
    <w:rsid w:val="00C7356B"/>
    <w:rsid w:val="00C73687"/>
    <w:rsid w:val="00C747B1"/>
    <w:rsid w:val="00C76453"/>
    <w:rsid w:val="00C77386"/>
    <w:rsid w:val="00C844CD"/>
    <w:rsid w:val="00C908A3"/>
    <w:rsid w:val="00C94938"/>
    <w:rsid w:val="00C95875"/>
    <w:rsid w:val="00C95DE7"/>
    <w:rsid w:val="00C96A27"/>
    <w:rsid w:val="00CA060E"/>
    <w:rsid w:val="00CA101A"/>
    <w:rsid w:val="00CA2AA2"/>
    <w:rsid w:val="00CA4171"/>
    <w:rsid w:val="00CA4C58"/>
    <w:rsid w:val="00CA5CD3"/>
    <w:rsid w:val="00CB2D76"/>
    <w:rsid w:val="00CB7C09"/>
    <w:rsid w:val="00CB7ED0"/>
    <w:rsid w:val="00CC3C3C"/>
    <w:rsid w:val="00CC3D3B"/>
    <w:rsid w:val="00CD054B"/>
    <w:rsid w:val="00CD33EC"/>
    <w:rsid w:val="00CD4D9B"/>
    <w:rsid w:val="00CD5568"/>
    <w:rsid w:val="00CD5BCB"/>
    <w:rsid w:val="00CD6F02"/>
    <w:rsid w:val="00CE127F"/>
    <w:rsid w:val="00CE2D86"/>
    <w:rsid w:val="00CE7DAC"/>
    <w:rsid w:val="00CF0C21"/>
    <w:rsid w:val="00CF3AAD"/>
    <w:rsid w:val="00CF6B5C"/>
    <w:rsid w:val="00D01969"/>
    <w:rsid w:val="00D11FCA"/>
    <w:rsid w:val="00D12A29"/>
    <w:rsid w:val="00D14148"/>
    <w:rsid w:val="00D147B8"/>
    <w:rsid w:val="00D15DCF"/>
    <w:rsid w:val="00D16DDB"/>
    <w:rsid w:val="00D17319"/>
    <w:rsid w:val="00D316DE"/>
    <w:rsid w:val="00D32F45"/>
    <w:rsid w:val="00D338F3"/>
    <w:rsid w:val="00D35770"/>
    <w:rsid w:val="00D36880"/>
    <w:rsid w:val="00D37E0D"/>
    <w:rsid w:val="00D37FDA"/>
    <w:rsid w:val="00D4001D"/>
    <w:rsid w:val="00D4205B"/>
    <w:rsid w:val="00D43060"/>
    <w:rsid w:val="00D54A32"/>
    <w:rsid w:val="00D54A47"/>
    <w:rsid w:val="00D55D2D"/>
    <w:rsid w:val="00D56115"/>
    <w:rsid w:val="00D649AC"/>
    <w:rsid w:val="00D70CE4"/>
    <w:rsid w:val="00D70D25"/>
    <w:rsid w:val="00D70E62"/>
    <w:rsid w:val="00D73238"/>
    <w:rsid w:val="00D7502D"/>
    <w:rsid w:val="00D7530C"/>
    <w:rsid w:val="00D8210D"/>
    <w:rsid w:val="00D8323B"/>
    <w:rsid w:val="00D83B8D"/>
    <w:rsid w:val="00D843D5"/>
    <w:rsid w:val="00D851E7"/>
    <w:rsid w:val="00D85E68"/>
    <w:rsid w:val="00D868D1"/>
    <w:rsid w:val="00D8700E"/>
    <w:rsid w:val="00D95B4E"/>
    <w:rsid w:val="00D96E80"/>
    <w:rsid w:val="00D97E4B"/>
    <w:rsid w:val="00DA15FF"/>
    <w:rsid w:val="00DA1923"/>
    <w:rsid w:val="00DA3B87"/>
    <w:rsid w:val="00DB397F"/>
    <w:rsid w:val="00DB77C6"/>
    <w:rsid w:val="00DB7E09"/>
    <w:rsid w:val="00DC0E66"/>
    <w:rsid w:val="00DC5662"/>
    <w:rsid w:val="00DC6B53"/>
    <w:rsid w:val="00DC78ED"/>
    <w:rsid w:val="00DC7957"/>
    <w:rsid w:val="00DD5BFC"/>
    <w:rsid w:val="00DD6706"/>
    <w:rsid w:val="00DD6845"/>
    <w:rsid w:val="00DD7788"/>
    <w:rsid w:val="00DE1AD7"/>
    <w:rsid w:val="00DF0304"/>
    <w:rsid w:val="00E00166"/>
    <w:rsid w:val="00E00B75"/>
    <w:rsid w:val="00E0271C"/>
    <w:rsid w:val="00E02DE5"/>
    <w:rsid w:val="00E0382A"/>
    <w:rsid w:val="00E0415C"/>
    <w:rsid w:val="00E04E4D"/>
    <w:rsid w:val="00E16E19"/>
    <w:rsid w:val="00E170AA"/>
    <w:rsid w:val="00E21505"/>
    <w:rsid w:val="00E25BFE"/>
    <w:rsid w:val="00E26F77"/>
    <w:rsid w:val="00E3097D"/>
    <w:rsid w:val="00E330FD"/>
    <w:rsid w:val="00E36CF2"/>
    <w:rsid w:val="00E425AB"/>
    <w:rsid w:val="00E43509"/>
    <w:rsid w:val="00E4745A"/>
    <w:rsid w:val="00E535A3"/>
    <w:rsid w:val="00E54EBB"/>
    <w:rsid w:val="00E553AE"/>
    <w:rsid w:val="00E5761E"/>
    <w:rsid w:val="00E616C1"/>
    <w:rsid w:val="00E72C19"/>
    <w:rsid w:val="00E76AA8"/>
    <w:rsid w:val="00E85073"/>
    <w:rsid w:val="00E86D71"/>
    <w:rsid w:val="00E872D5"/>
    <w:rsid w:val="00E904B5"/>
    <w:rsid w:val="00E92FE8"/>
    <w:rsid w:val="00E97309"/>
    <w:rsid w:val="00EA54F5"/>
    <w:rsid w:val="00EB1FCD"/>
    <w:rsid w:val="00EC24C8"/>
    <w:rsid w:val="00EC5FD2"/>
    <w:rsid w:val="00EC653B"/>
    <w:rsid w:val="00ED0869"/>
    <w:rsid w:val="00EE0196"/>
    <w:rsid w:val="00EE1B64"/>
    <w:rsid w:val="00EE5A08"/>
    <w:rsid w:val="00EF1E8A"/>
    <w:rsid w:val="00EF3C72"/>
    <w:rsid w:val="00EF56FC"/>
    <w:rsid w:val="00EF610A"/>
    <w:rsid w:val="00F00C5E"/>
    <w:rsid w:val="00F00FD7"/>
    <w:rsid w:val="00F0168F"/>
    <w:rsid w:val="00F02931"/>
    <w:rsid w:val="00F06652"/>
    <w:rsid w:val="00F06D3A"/>
    <w:rsid w:val="00F07A81"/>
    <w:rsid w:val="00F07CC7"/>
    <w:rsid w:val="00F10DD3"/>
    <w:rsid w:val="00F11483"/>
    <w:rsid w:val="00F13045"/>
    <w:rsid w:val="00F138F9"/>
    <w:rsid w:val="00F21949"/>
    <w:rsid w:val="00F22D06"/>
    <w:rsid w:val="00F25A10"/>
    <w:rsid w:val="00F31BF1"/>
    <w:rsid w:val="00F32A93"/>
    <w:rsid w:val="00F3381F"/>
    <w:rsid w:val="00F4162E"/>
    <w:rsid w:val="00F439D7"/>
    <w:rsid w:val="00F44DEA"/>
    <w:rsid w:val="00F4527A"/>
    <w:rsid w:val="00F45EC7"/>
    <w:rsid w:val="00F53CE3"/>
    <w:rsid w:val="00F552FC"/>
    <w:rsid w:val="00F5640E"/>
    <w:rsid w:val="00F56A27"/>
    <w:rsid w:val="00F56D81"/>
    <w:rsid w:val="00F57CAA"/>
    <w:rsid w:val="00F612A7"/>
    <w:rsid w:val="00F64399"/>
    <w:rsid w:val="00F70867"/>
    <w:rsid w:val="00F714C4"/>
    <w:rsid w:val="00F71A83"/>
    <w:rsid w:val="00F75594"/>
    <w:rsid w:val="00F820A8"/>
    <w:rsid w:val="00F826DE"/>
    <w:rsid w:val="00F82708"/>
    <w:rsid w:val="00F83E0D"/>
    <w:rsid w:val="00F83FD3"/>
    <w:rsid w:val="00F8672F"/>
    <w:rsid w:val="00F95A5A"/>
    <w:rsid w:val="00F962FE"/>
    <w:rsid w:val="00FA09D4"/>
    <w:rsid w:val="00FA4109"/>
    <w:rsid w:val="00FA4467"/>
    <w:rsid w:val="00FA46E1"/>
    <w:rsid w:val="00FA72F8"/>
    <w:rsid w:val="00FB3697"/>
    <w:rsid w:val="00FB440B"/>
    <w:rsid w:val="00FB5930"/>
    <w:rsid w:val="00FB61AE"/>
    <w:rsid w:val="00FC7C13"/>
    <w:rsid w:val="00FD05F2"/>
    <w:rsid w:val="00FD3695"/>
    <w:rsid w:val="00FD605F"/>
    <w:rsid w:val="00FE3142"/>
    <w:rsid w:val="00FE334F"/>
    <w:rsid w:val="00FE36AE"/>
    <w:rsid w:val="00FE3EBC"/>
    <w:rsid w:val="00FE5633"/>
    <w:rsid w:val="00FF0654"/>
    <w:rsid w:val="00FF10AE"/>
    <w:rsid w:val="00FF260D"/>
    <w:rsid w:val="01122119"/>
    <w:rsid w:val="012D0115"/>
    <w:rsid w:val="012E08FA"/>
    <w:rsid w:val="0167366E"/>
    <w:rsid w:val="016F7352"/>
    <w:rsid w:val="01A44B44"/>
    <w:rsid w:val="01B91BC1"/>
    <w:rsid w:val="01C5534A"/>
    <w:rsid w:val="022547A5"/>
    <w:rsid w:val="02656992"/>
    <w:rsid w:val="02834957"/>
    <w:rsid w:val="029F1E76"/>
    <w:rsid w:val="02AA226C"/>
    <w:rsid w:val="02D47D1E"/>
    <w:rsid w:val="032F2F41"/>
    <w:rsid w:val="0351778C"/>
    <w:rsid w:val="03597BB0"/>
    <w:rsid w:val="03697175"/>
    <w:rsid w:val="03960C45"/>
    <w:rsid w:val="03CD01C1"/>
    <w:rsid w:val="03F35D05"/>
    <w:rsid w:val="03FB46A9"/>
    <w:rsid w:val="05046BDC"/>
    <w:rsid w:val="0509798A"/>
    <w:rsid w:val="05493F08"/>
    <w:rsid w:val="054B6A7E"/>
    <w:rsid w:val="05650C0A"/>
    <w:rsid w:val="056D5FCF"/>
    <w:rsid w:val="05C843C9"/>
    <w:rsid w:val="063211C1"/>
    <w:rsid w:val="067C3307"/>
    <w:rsid w:val="07543619"/>
    <w:rsid w:val="07A45B36"/>
    <w:rsid w:val="083F7081"/>
    <w:rsid w:val="08507AC3"/>
    <w:rsid w:val="088B2AB6"/>
    <w:rsid w:val="08CF54DB"/>
    <w:rsid w:val="08D4680C"/>
    <w:rsid w:val="092E53B1"/>
    <w:rsid w:val="096D32A9"/>
    <w:rsid w:val="09A8079E"/>
    <w:rsid w:val="09E17638"/>
    <w:rsid w:val="09FB1B9F"/>
    <w:rsid w:val="0A21279D"/>
    <w:rsid w:val="0A236FF4"/>
    <w:rsid w:val="0A4128EE"/>
    <w:rsid w:val="0A53407A"/>
    <w:rsid w:val="0A57152F"/>
    <w:rsid w:val="0A825EB5"/>
    <w:rsid w:val="0A860FFB"/>
    <w:rsid w:val="0A8932C1"/>
    <w:rsid w:val="0A913948"/>
    <w:rsid w:val="0AD314F2"/>
    <w:rsid w:val="0ADF21C3"/>
    <w:rsid w:val="0B2D4B66"/>
    <w:rsid w:val="0B4A7F31"/>
    <w:rsid w:val="0B827BFF"/>
    <w:rsid w:val="0BAE7727"/>
    <w:rsid w:val="0BD62FE8"/>
    <w:rsid w:val="0C1F55C1"/>
    <w:rsid w:val="0C2F0136"/>
    <w:rsid w:val="0C4E66AA"/>
    <w:rsid w:val="0C631321"/>
    <w:rsid w:val="0C95499C"/>
    <w:rsid w:val="0CC13E98"/>
    <w:rsid w:val="0CC63F0A"/>
    <w:rsid w:val="0CD27F7B"/>
    <w:rsid w:val="0D327597"/>
    <w:rsid w:val="0DB83337"/>
    <w:rsid w:val="0E3F2BF8"/>
    <w:rsid w:val="0E8526DE"/>
    <w:rsid w:val="0E8A0B38"/>
    <w:rsid w:val="0FAA40BA"/>
    <w:rsid w:val="10772D1D"/>
    <w:rsid w:val="10780D82"/>
    <w:rsid w:val="107E416D"/>
    <w:rsid w:val="10D52198"/>
    <w:rsid w:val="11304488"/>
    <w:rsid w:val="113605B2"/>
    <w:rsid w:val="113C19D0"/>
    <w:rsid w:val="11451592"/>
    <w:rsid w:val="11A46367"/>
    <w:rsid w:val="11A73FC2"/>
    <w:rsid w:val="11F92BB1"/>
    <w:rsid w:val="120C7431"/>
    <w:rsid w:val="123D37EC"/>
    <w:rsid w:val="127B1065"/>
    <w:rsid w:val="12B65988"/>
    <w:rsid w:val="12F802BA"/>
    <w:rsid w:val="12F86756"/>
    <w:rsid w:val="1308275A"/>
    <w:rsid w:val="13343754"/>
    <w:rsid w:val="135925DF"/>
    <w:rsid w:val="136731DF"/>
    <w:rsid w:val="13851EEC"/>
    <w:rsid w:val="13B27C3E"/>
    <w:rsid w:val="13E253DB"/>
    <w:rsid w:val="141C2F08"/>
    <w:rsid w:val="151B0C2D"/>
    <w:rsid w:val="15267F9C"/>
    <w:rsid w:val="153F65E8"/>
    <w:rsid w:val="15591C45"/>
    <w:rsid w:val="15864884"/>
    <w:rsid w:val="15964577"/>
    <w:rsid w:val="159B7FB3"/>
    <w:rsid w:val="15BD1DD2"/>
    <w:rsid w:val="160B3E63"/>
    <w:rsid w:val="1653056C"/>
    <w:rsid w:val="1667328A"/>
    <w:rsid w:val="16EF655D"/>
    <w:rsid w:val="173B43F7"/>
    <w:rsid w:val="17653CBD"/>
    <w:rsid w:val="179740BF"/>
    <w:rsid w:val="17F507D1"/>
    <w:rsid w:val="17F872D1"/>
    <w:rsid w:val="180010FF"/>
    <w:rsid w:val="188B1EE8"/>
    <w:rsid w:val="18FA7659"/>
    <w:rsid w:val="19117150"/>
    <w:rsid w:val="191C7CEB"/>
    <w:rsid w:val="1935292C"/>
    <w:rsid w:val="19442542"/>
    <w:rsid w:val="19806EAA"/>
    <w:rsid w:val="19AA7D6A"/>
    <w:rsid w:val="1A290D6B"/>
    <w:rsid w:val="1A5943FB"/>
    <w:rsid w:val="1AC32709"/>
    <w:rsid w:val="1ACB042B"/>
    <w:rsid w:val="1ACB74F2"/>
    <w:rsid w:val="1AEC4D8D"/>
    <w:rsid w:val="1B6C4927"/>
    <w:rsid w:val="1B770DD3"/>
    <w:rsid w:val="1BAD3A92"/>
    <w:rsid w:val="1BB0202F"/>
    <w:rsid w:val="1BE65CC8"/>
    <w:rsid w:val="1BEA00D1"/>
    <w:rsid w:val="1C2D1DE9"/>
    <w:rsid w:val="1CB00BB2"/>
    <w:rsid w:val="1D5A5F68"/>
    <w:rsid w:val="1D704579"/>
    <w:rsid w:val="1E1E191D"/>
    <w:rsid w:val="1E9761E8"/>
    <w:rsid w:val="1EBA5ED6"/>
    <w:rsid w:val="1EBD273E"/>
    <w:rsid w:val="1F294332"/>
    <w:rsid w:val="1F3E54F1"/>
    <w:rsid w:val="1F8F306A"/>
    <w:rsid w:val="1FB766D1"/>
    <w:rsid w:val="20562A02"/>
    <w:rsid w:val="20784C7B"/>
    <w:rsid w:val="20B136DD"/>
    <w:rsid w:val="20BF2B7F"/>
    <w:rsid w:val="20E31259"/>
    <w:rsid w:val="20E92E2D"/>
    <w:rsid w:val="20E95E96"/>
    <w:rsid w:val="216F142E"/>
    <w:rsid w:val="217C3862"/>
    <w:rsid w:val="21F96BCC"/>
    <w:rsid w:val="221450AB"/>
    <w:rsid w:val="22255E18"/>
    <w:rsid w:val="22350A1A"/>
    <w:rsid w:val="22B01C18"/>
    <w:rsid w:val="23154DA9"/>
    <w:rsid w:val="233919BB"/>
    <w:rsid w:val="23A7190B"/>
    <w:rsid w:val="23D61F38"/>
    <w:rsid w:val="23FC24D8"/>
    <w:rsid w:val="24312922"/>
    <w:rsid w:val="247943E0"/>
    <w:rsid w:val="24822859"/>
    <w:rsid w:val="24EB00D9"/>
    <w:rsid w:val="2521507B"/>
    <w:rsid w:val="255A0B53"/>
    <w:rsid w:val="25A332DE"/>
    <w:rsid w:val="26373B7B"/>
    <w:rsid w:val="263F1C3A"/>
    <w:rsid w:val="2719221F"/>
    <w:rsid w:val="271E0072"/>
    <w:rsid w:val="27726A4E"/>
    <w:rsid w:val="27C44396"/>
    <w:rsid w:val="27C667CD"/>
    <w:rsid w:val="27DE7413"/>
    <w:rsid w:val="28563C31"/>
    <w:rsid w:val="2874223A"/>
    <w:rsid w:val="287B643B"/>
    <w:rsid w:val="289C0077"/>
    <w:rsid w:val="28A84234"/>
    <w:rsid w:val="28B67EBB"/>
    <w:rsid w:val="28D13EA4"/>
    <w:rsid w:val="28E36D76"/>
    <w:rsid w:val="29570A11"/>
    <w:rsid w:val="29845795"/>
    <w:rsid w:val="299D39D4"/>
    <w:rsid w:val="29CB45B7"/>
    <w:rsid w:val="29D36C55"/>
    <w:rsid w:val="29FF5201"/>
    <w:rsid w:val="2AB2778A"/>
    <w:rsid w:val="2ABC3520"/>
    <w:rsid w:val="2B2C0D2C"/>
    <w:rsid w:val="2BA25B80"/>
    <w:rsid w:val="2BB658F9"/>
    <w:rsid w:val="2BCE2ECD"/>
    <w:rsid w:val="2C1E0077"/>
    <w:rsid w:val="2C7A6B94"/>
    <w:rsid w:val="2CAD4518"/>
    <w:rsid w:val="2CD67175"/>
    <w:rsid w:val="2D417888"/>
    <w:rsid w:val="2D6362D3"/>
    <w:rsid w:val="2D937FF8"/>
    <w:rsid w:val="2E4F24A0"/>
    <w:rsid w:val="2EFC4487"/>
    <w:rsid w:val="2F0F3655"/>
    <w:rsid w:val="2F4F1DE1"/>
    <w:rsid w:val="2FB35F57"/>
    <w:rsid w:val="30482DAE"/>
    <w:rsid w:val="30EB3D78"/>
    <w:rsid w:val="30EE28D0"/>
    <w:rsid w:val="31021163"/>
    <w:rsid w:val="31405B68"/>
    <w:rsid w:val="31AA22DA"/>
    <w:rsid w:val="31FB7DDB"/>
    <w:rsid w:val="321B56DB"/>
    <w:rsid w:val="32436CE6"/>
    <w:rsid w:val="329B2BF7"/>
    <w:rsid w:val="32C21237"/>
    <w:rsid w:val="33732267"/>
    <w:rsid w:val="33C1433C"/>
    <w:rsid w:val="33CC19CE"/>
    <w:rsid w:val="33FA3703"/>
    <w:rsid w:val="340705DB"/>
    <w:rsid w:val="348914E4"/>
    <w:rsid w:val="348D5FF7"/>
    <w:rsid w:val="34C53782"/>
    <w:rsid w:val="35341B14"/>
    <w:rsid w:val="35494F7D"/>
    <w:rsid w:val="35D30274"/>
    <w:rsid w:val="35FC6D1A"/>
    <w:rsid w:val="366A5C4C"/>
    <w:rsid w:val="36F44449"/>
    <w:rsid w:val="37826D6C"/>
    <w:rsid w:val="37B81B52"/>
    <w:rsid w:val="37C416F7"/>
    <w:rsid w:val="37D903CC"/>
    <w:rsid w:val="3855531C"/>
    <w:rsid w:val="39CF104F"/>
    <w:rsid w:val="39FA5B2B"/>
    <w:rsid w:val="3C20303D"/>
    <w:rsid w:val="3C5B5E1C"/>
    <w:rsid w:val="3C837E1D"/>
    <w:rsid w:val="3C8662DA"/>
    <w:rsid w:val="3CB66F48"/>
    <w:rsid w:val="3DA76EFE"/>
    <w:rsid w:val="3DCD75E3"/>
    <w:rsid w:val="3DF63399"/>
    <w:rsid w:val="3E5F19E9"/>
    <w:rsid w:val="3E7C7F4D"/>
    <w:rsid w:val="3E9B2C01"/>
    <w:rsid w:val="3F140E9A"/>
    <w:rsid w:val="3F7457AF"/>
    <w:rsid w:val="3F751903"/>
    <w:rsid w:val="3F933318"/>
    <w:rsid w:val="3FB869B8"/>
    <w:rsid w:val="3FBD7529"/>
    <w:rsid w:val="403D36F4"/>
    <w:rsid w:val="40471266"/>
    <w:rsid w:val="40560D75"/>
    <w:rsid w:val="40621376"/>
    <w:rsid w:val="411323F3"/>
    <w:rsid w:val="41273207"/>
    <w:rsid w:val="41543EE9"/>
    <w:rsid w:val="41625951"/>
    <w:rsid w:val="416C1384"/>
    <w:rsid w:val="41B660BB"/>
    <w:rsid w:val="41E52593"/>
    <w:rsid w:val="423D4D75"/>
    <w:rsid w:val="428F78D3"/>
    <w:rsid w:val="42C54B18"/>
    <w:rsid w:val="43420C0E"/>
    <w:rsid w:val="43717460"/>
    <w:rsid w:val="43EA4668"/>
    <w:rsid w:val="43FC54AB"/>
    <w:rsid w:val="440304BA"/>
    <w:rsid w:val="4456107B"/>
    <w:rsid w:val="450D3E1C"/>
    <w:rsid w:val="45132963"/>
    <w:rsid w:val="455970FD"/>
    <w:rsid w:val="45AA691F"/>
    <w:rsid w:val="45B87217"/>
    <w:rsid w:val="45DA43EA"/>
    <w:rsid w:val="460322AD"/>
    <w:rsid w:val="460E5C70"/>
    <w:rsid w:val="464152AB"/>
    <w:rsid w:val="47036F6C"/>
    <w:rsid w:val="477830D2"/>
    <w:rsid w:val="47C73EC2"/>
    <w:rsid w:val="47F86F91"/>
    <w:rsid w:val="48391728"/>
    <w:rsid w:val="4864773D"/>
    <w:rsid w:val="486D17CE"/>
    <w:rsid w:val="4872481A"/>
    <w:rsid w:val="48C01F1D"/>
    <w:rsid w:val="48D945F2"/>
    <w:rsid w:val="49796E27"/>
    <w:rsid w:val="49C40DF6"/>
    <w:rsid w:val="49C837F9"/>
    <w:rsid w:val="4A2D0812"/>
    <w:rsid w:val="4A6B74F9"/>
    <w:rsid w:val="4A6D24FF"/>
    <w:rsid w:val="4B1A5880"/>
    <w:rsid w:val="4B71793A"/>
    <w:rsid w:val="4B923520"/>
    <w:rsid w:val="4BE05207"/>
    <w:rsid w:val="4C083B05"/>
    <w:rsid w:val="4C8706B6"/>
    <w:rsid w:val="4CA95CA7"/>
    <w:rsid w:val="4CEB2F56"/>
    <w:rsid w:val="4CF16D8A"/>
    <w:rsid w:val="4D25409B"/>
    <w:rsid w:val="4D2729A1"/>
    <w:rsid w:val="4D8209F2"/>
    <w:rsid w:val="4D896328"/>
    <w:rsid w:val="4DA3332E"/>
    <w:rsid w:val="4DD92CC9"/>
    <w:rsid w:val="4DF14440"/>
    <w:rsid w:val="4E570C2E"/>
    <w:rsid w:val="4E691682"/>
    <w:rsid w:val="4E741BBC"/>
    <w:rsid w:val="4E9149D5"/>
    <w:rsid w:val="4F004713"/>
    <w:rsid w:val="4F411E86"/>
    <w:rsid w:val="4F5C4B3F"/>
    <w:rsid w:val="4FD1347A"/>
    <w:rsid w:val="500E6070"/>
    <w:rsid w:val="504317A7"/>
    <w:rsid w:val="50A908CA"/>
    <w:rsid w:val="50F55889"/>
    <w:rsid w:val="514A5ED5"/>
    <w:rsid w:val="51E45484"/>
    <w:rsid w:val="52127757"/>
    <w:rsid w:val="529F4F80"/>
    <w:rsid w:val="53651314"/>
    <w:rsid w:val="536875F6"/>
    <w:rsid w:val="53BE0B3F"/>
    <w:rsid w:val="541D7038"/>
    <w:rsid w:val="54440277"/>
    <w:rsid w:val="544717E3"/>
    <w:rsid w:val="5451299D"/>
    <w:rsid w:val="546A6786"/>
    <w:rsid w:val="555722B0"/>
    <w:rsid w:val="559823B8"/>
    <w:rsid w:val="55AE23A0"/>
    <w:rsid w:val="55C60C46"/>
    <w:rsid w:val="55CE391A"/>
    <w:rsid w:val="55E90A4C"/>
    <w:rsid w:val="565C3D2E"/>
    <w:rsid w:val="56665AA9"/>
    <w:rsid w:val="56676289"/>
    <w:rsid w:val="56A32CC7"/>
    <w:rsid w:val="56B56ECE"/>
    <w:rsid w:val="573864B2"/>
    <w:rsid w:val="579656BA"/>
    <w:rsid w:val="57BC22EE"/>
    <w:rsid w:val="585C0B4D"/>
    <w:rsid w:val="587009B8"/>
    <w:rsid w:val="58A84444"/>
    <w:rsid w:val="596651B9"/>
    <w:rsid w:val="5A551D6A"/>
    <w:rsid w:val="5A5C3958"/>
    <w:rsid w:val="5A686AF3"/>
    <w:rsid w:val="5ADA4BD5"/>
    <w:rsid w:val="5B3777E2"/>
    <w:rsid w:val="5B3D2C5B"/>
    <w:rsid w:val="5B8F6B0D"/>
    <w:rsid w:val="5BA42C23"/>
    <w:rsid w:val="5C611FE0"/>
    <w:rsid w:val="5CB36E60"/>
    <w:rsid w:val="5D324280"/>
    <w:rsid w:val="5D7C7178"/>
    <w:rsid w:val="5DA5352D"/>
    <w:rsid w:val="5E5A12C4"/>
    <w:rsid w:val="5E88036F"/>
    <w:rsid w:val="5EBA127A"/>
    <w:rsid w:val="5EC823E0"/>
    <w:rsid w:val="5F2D0585"/>
    <w:rsid w:val="5F7F62DB"/>
    <w:rsid w:val="5F810DC4"/>
    <w:rsid w:val="5FAD16ED"/>
    <w:rsid w:val="60941165"/>
    <w:rsid w:val="60A66C3C"/>
    <w:rsid w:val="60DB5548"/>
    <w:rsid w:val="60F8047D"/>
    <w:rsid w:val="61481D34"/>
    <w:rsid w:val="62537A75"/>
    <w:rsid w:val="627153F8"/>
    <w:rsid w:val="62A34D91"/>
    <w:rsid w:val="62ED3579"/>
    <w:rsid w:val="63270485"/>
    <w:rsid w:val="63387204"/>
    <w:rsid w:val="63634AA9"/>
    <w:rsid w:val="63911B91"/>
    <w:rsid w:val="63D55D55"/>
    <w:rsid w:val="63E85DBB"/>
    <w:rsid w:val="64052471"/>
    <w:rsid w:val="642F3463"/>
    <w:rsid w:val="644957BC"/>
    <w:rsid w:val="644A79A7"/>
    <w:rsid w:val="654736FD"/>
    <w:rsid w:val="66495E90"/>
    <w:rsid w:val="665B21E1"/>
    <w:rsid w:val="667D7C35"/>
    <w:rsid w:val="66B137E9"/>
    <w:rsid w:val="66B540ED"/>
    <w:rsid w:val="66D519C9"/>
    <w:rsid w:val="675B3DD3"/>
    <w:rsid w:val="67AF2518"/>
    <w:rsid w:val="67C245FA"/>
    <w:rsid w:val="67E858EB"/>
    <w:rsid w:val="68075FA1"/>
    <w:rsid w:val="681A4E23"/>
    <w:rsid w:val="69077E9F"/>
    <w:rsid w:val="693D28E3"/>
    <w:rsid w:val="69C27B82"/>
    <w:rsid w:val="6A0E6A75"/>
    <w:rsid w:val="6A1C17E5"/>
    <w:rsid w:val="6ABA08C1"/>
    <w:rsid w:val="6AE9324E"/>
    <w:rsid w:val="6B5E4527"/>
    <w:rsid w:val="6BBB51C4"/>
    <w:rsid w:val="6C0A1C09"/>
    <w:rsid w:val="6C4B0F58"/>
    <w:rsid w:val="6C511995"/>
    <w:rsid w:val="6C71644E"/>
    <w:rsid w:val="6CDA5121"/>
    <w:rsid w:val="6D04469C"/>
    <w:rsid w:val="6D0B07B6"/>
    <w:rsid w:val="6D773602"/>
    <w:rsid w:val="6DA24987"/>
    <w:rsid w:val="6DE36C6F"/>
    <w:rsid w:val="6DE668DD"/>
    <w:rsid w:val="6E1F380D"/>
    <w:rsid w:val="6E7C1A7C"/>
    <w:rsid w:val="6E961609"/>
    <w:rsid w:val="6E9D6C43"/>
    <w:rsid w:val="6EB71A31"/>
    <w:rsid w:val="6EC56D4A"/>
    <w:rsid w:val="6F353E41"/>
    <w:rsid w:val="6F3F55F0"/>
    <w:rsid w:val="6F450411"/>
    <w:rsid w:val="6F646419"/>
    <w:rsid w:val="6F9B3A2C"/>
    <w:rsid w:val="6FC43A72"/>
    <w:rsid w:val="6FFE7454"/>
    <w:rsid w:val="70597661"/>
    <w:rsid w:val="7071477C"/>
    <w:rsid w:val="70F76A59"/>
    <w:rsid w:val="7192467D"/>
    <w:rsid w:val="719E3960"/>
    <w:rsid w:val="71A0304F"/>
    <w:rsid w:val="728B5D82"/>
    <w:rsid w:val="72AF27EE"/>
    <w:rsid w:val="72B33E38"/>
    <w:rsid w:val="72D17DE3"/>
    <w:rsid w:val="72DE19D9"/>
    <w:rsid w:val="731F65D2"/>
    <w:rsid w:val="735D08DE"/>
    <w:rsid w:val="736D29E1"/>
    <w:rsid w:val="73DB551B"/>
    <w:rsid w:val="74213957"/>
    <w:rsid w:val="745F66ED"/>
    <w:rsid w:val="74857FF0"/>
    <w:rsid w:val="748D53A3"/>
    <w:rsid w:val="74996878"/>
    <w:rsid w:val="74A40D07"/>
    <w:rsid w:val="74B07D3F"/>
    <w:rsid w:val="74CE35A7"/>
    <w:rsid w:val="74E90345"/>
    <w:rsid w:val="74FD1133"/>
    <w:rsid w:val="756532D7"/>
    <w:rsid w:val="75B7322A"/>
    <w:rsid w:val="75EB695D"/>
    <w:rsid w:val="765F7C55"/>
    <w:rsid w:val="76E6019F"/>
    <w:rsid w:val="77291BB9"/>
    <w:rsid w:val="778C25A1"/>
    <w:rsid w:val="77944E76"/>
    <w:rsid w:val="7809439C"/>
    <w:rsid w:val="787E4D80"/>
    <w:rsid w:val="78C114A6"/>
    <w:rsid w:val="78E443F3"/>
    <w:rsid w:val="78FC788A"/>
    <w:rsid w:val="79826C53"/>
    <w:rsid w:val="79D46A44"/>
    <w:rsid w:val="79F838F2"/>
    <w:rsid w:val="7A17238D"/>
    <w:rsid w:val="7A7F0DE9"/>
    <w:rsid w:val="7A7F26E4"/>
    <w:rsid w:val="7AB35E28"/>
    <w:rsid w:val="7ADB562F"/>
    <w:rsid w:val="7AF45559"/>
    <w:rsid w:val="7B472661"/>
    <w:rsid w:val="7B505A98"/>
    <w:rsid w:val="7B556ACF"/>
    <w:rsid w:val="7B7A24D1"/>
    <w:rsid w:val="7B8D20BF"/>
    <w:rsid w:val="7BBA04AD"/>
    <w:rsid w:val="7BBE296A"/>
    <w:rsid w:val="7C1C2800"/>
    <w:rsid w:val="7C8F2142"/>
    <w:rsid w:val="7C9F4D22"/>
    <w:rsid w:val="7CB01E5A"/>
    <w:rsid w:val="7CFA0A36"/>
    <w:rsid w:val="7CFF77E6"/>
    <w:rsid w:val="7D02404E"/>
    <w:rsid w:val="7D910386"/>
    <w:rsid w:val="7DB027D0"/>
    <w:rsid w:val="7EC34349"/>
    <w:rsid w:val="7F0F7C4D"/>
    <w:rsid w:val="7FB01993"/>
    <w:rsid w:val="7FF21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61"/>
    <w:qFormat/>
    <w:uiPriority w:val="9"/>
    <w:pPr>
      <w:keepNext/>
      <w:keepLines/>
      <w:spacing w:before="340" w:after="330" w:line="576" w:lineRule="auto"/>
      <w:outlineLvl w:val="0"/>
    </w:pPr>
    <w:rPr>
      <w:b/>
      <w:kern w:val="44"/>
      <w:sz w:val="44"/>
      <w:szCs w:val="20"/>
    </w:rPr>
  </w:style>
  <w:style w:type="paragraph" w:styleId="3">
    <w:name w:val="heading 2"/>
    <w:basedOn w:val="1"/>
    <w:next w:val="1"/>
    <w:link w:val="76"/>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58"/>
    <w:qFormat/>
    <w:uiPriority w:val="0"/>
    <w:pPr>
      <w:keepNext/>
      <w:keepLines/>
      <w:spacing w:before="260" w:after="260" w:line="415" w:lineRule="auto"/>
      <w:outlineLvl w:val="2"/>
    </w:pPr>
    <w:rPr>
      <w:b/>
      <w:sz w:val="32"/>
      <w:szCs w:val="20"/>
    </w:rPr>
  </w:style>
  <w:style w:type="paragraph" w:styleId="5">
    <w:name w:val="heading 4"/>
    <w:basedOn w:val="1"/>
    <w:next w:val="1"/>
    <w:link w:val="54"/>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59"/>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72"/>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8">
    <w:name w:val="heading 7"/>
    <w:basedOn w:val="1"/>
    <w:next w:val="1"/>
    <w:link w:val="42"/>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9">
    <w:name w:val="heading 8"/>
    <w:basedOn w:val="1"/>
    <w:next w:val="1"/>
    <w:link w:val="85"/>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0">
    <w:name w:val="heading 9"/>
    <w:basedOn w:val="1"/>
    <w:next w:val="1"/>
    <w:link w:val="44"/>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11">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2">
    <w:name w:val="caption"/>
    <w:basedOn w:val="1"/>
    <w:next w:val="1"/>
    <w:qFormat/>
    <w:uiPriority w:val="0"/>
    <w:rPr>
      <w:rFonts w:ascii="Arial" w:hAnsi="Arial" w:eastAsia="黑体" w:cs="Arial"/>
      <w:sz w:val="20"/>
      <w:szCs w:val="20"/>
    </w:rPr>
  </w:style>
  <w:style w:type="paragraph" w:styleId="13">
    <w:name w:val="Document Map"/>
    <w:basedOn w:val="1"/>
    <w:link w:val="69"/>
    <w:qFormat/>
    <w:uiPriority w:val="0"/>
    <w:rPr>
      <w:rFonts w:ascii="宋体"/>
      <w:kern w:val="0"/>
      <w:sz w:val="18"/>
      <w:szCs w:val="18"/>
    </w:rPr>
  </w:style>
  <w:style w:type="paragraph" w:styleId="14">
    <w:name w:val="annotation text"/>
    <w:basedOn w:val="1"/>
    <w:link w:val="60"/>
    <w:qFormat/>
    <w:uiPriority w:val="0"/>
    <w:pPr>
      <w:jc w:val="left"/>
    </w:pPr>
  </w:style>
  <w:style w:type="paragraph" w:styleId="15">
    <w:name w:val="Body Text 3"/>
    <w:basedOn w:val="1"/>
    <w:link w:val="49"/>
    <w:qFormat/>
    <w:uiPriority w:val="0"/>
    <w:pPr>
      <w:spacing w:after="120"/>
    </w:pPr>
    <w:rPr>
      <w:sz w:val="16"/>
      <w:szCs w:val="20"/>
    </w:rPr>
  </w:style>
  <w:style w:type="paragraph" w:styleId="16">
    <w:name w:val="Body Text"/>
    <w:basedOn w:val="1"/>
    <w:link w:val="65"/>
    <w:qFormat/>
    <w:uiPriority w:val="0"/>
    <w:pPr>
      <w:adjustRightInd w:val="0"/>
      <w:spacing w:after="120" w:line="360" w:lineRule="atLeast"/>
      <w:jc w:val="left"/>
      <w:textAlignment w:val="baseline"/>
    </w:pPr>
    <w:rPr>
      <w:kern w:val="0"/>
      <w:sz w:val="24"/>
      <w:szCs w:val="20"/>
    </w:rPr>
  </w:style>
  <w:style w:type="paragraph" w:styleId="17">
    <w:name w:val="Body Text Indent"/>
    <w:basedOn w:val="1"/>
    <w:link w:val="74"/>
    <w:qFormat/>
    <w:uiPriority w:val="0"/>
    <w:pPr>
      <w:spacing w:line="360" w:lineRule="auto"/>
      <w:ind w:firstLine="480" w:firstLineChars="200"/>
    </w:pPr>
    <w:rPr>
      <w:rFonts w:ascii="宋体"/>
      <w:sz w:val="24"/>
      <w:szCs w:val="20"/>
    </w:rPr>
  </w:style>
  <w:style w:type="paragraph" w:styleId="18">
    <w:name w:val="Block Text"/>
    <w:basedOn w:val="1"/>
    <w:qFormat/>
    <w:uiPriority w:val="0"/>
    <w:pPr>
      <w:spacing w:line="360" w:lineRule="auto"/>
      <w:ind w:left="1155" w:right="3840" w:firstLine="420"/>
    </w:pPr>
    <w:rPr>
      <w:sz w:val="24"/>
      <w:szCs w:val="20"/>
    </w:rPr>
  </w:style>
  <w:style w:type="paragraph" w:styleId="19">
    <w:name w:val="toc 3"/>
    <w:basedOn w:val="1"/>
    <w:next w:val="1"/>
    <w:qFormat/>
    <w:uiPriority w:val="0"/>
    <w:pPr>
      <w:spacing w:line="360" w:lineRule="auto"/>
      <w:jc w:val="center"/>
    </w:pPr>
    <w:rPr>
      <w:rFonts w:ascii="宋体" w:hAnsi="宋体"/>
      <w:iCs/>
      <w:sz w:val="32"/>
      <w:szCs w:val="24"/>
    </w:rPr>
  </w:style>
  <w:style w:type="paragraph" w:styleId="20">
    <w:name w:val="Plain Text"/>
    <w:basedOn w:val="1"/>
    <w:link w:val="55"/>
    <w:qFormat/>
    <w:uiPriority w:val="0"/>
    <w:pPr>
      <w:adjustRightInd w:val="0"/>
      <w:spacing w:line="360" w:lineRule="atLeast"/>
      <w:jc w:val="left"/>
      <w:textAlignment w:val="baseline"/>
    </w:pPr>
    <w:rPr>
      <w:rFonts w:ascii="宋体" w:hAnsi="Courier New"/>
      <w:kern w:val="0"/>
      <w:szCs w:val="21"/>
    </w:rPr>
  </w:style>
  <w:style w:type="paragraph" w:styleId="21">
    <w:name w:val="Date"/>
    <w:basedOn w:val="1"/>
    <w:next w:val="1"/>
    <w:link w:val="62"/>
    <w:qFormat/>
    <w:uiPriority w:val="0"/>
    <w:rPr>
      <w:sz w:val="24"/>
      <w:szCs w:val="20"/>
    </w:rPr>
  </w:style>
  <w:style w:type="paragraph" w:styleId="22">
    <w:name w:val="Body Text Indent 2"/>
    <w:basedOn w:val="1"/>
    <w:link w:val="87"/>
    <w:qFormat/>
    <w:uiPriority w:val="99"/>
    <w:pPr>
      <w:spacing w:after="120" w:line="480" w:lineRule="auto"/>
      <w:ind w:left="420" w:leftChars="200"/>
    </w:pPr>
    <w:rPr>
      <w:szCs w:val="20"/>
    </w:rPr>
  </w:style>
  <w:style w:type="paragraph" w:styleId="23">
    <w:name w:val="Balloon Text"/>
    <w:basedOn w:val="1"/>
    <w:link w:val="50"/>
    <w:qFormat/>
    <w:uiPriority w:val="0"/>
    <w:rPr>
      <w:kern w:val="0"/>
      <w:sz w:val="18"/>
      <w:szCs w:val="18"/>
    </w:rPr>
  </w:style>
  <w:style w:type="paragraph" w:styleId="24">
    <w:name w:val="footer"/>
    <w:basedOn w:val="1"/>
    <w:link w:val="86"/>
    <w:qFormat/>
    <w:uiPriority w:val="0"/>
    <w:pPr>
      <w:tabs>
        <w:tab w:val="center" w:pos="4153"/>
        <w:tab w:val="right" w:pos="8306"/>
      </w:tabs>
      <w:snapToGrid w:val="0"/>
      <w:jc w:val="left"/>
    </w:pPr>
    <w:rPr>
      <w:kern w:val="0"/>
      <w:sz w:val="18"/>
      <w:szCs w:val="18"/>
    </w:rPr>
  </w:style>
  <w:style w:type="paragraph" w:styleId="25">
    <w:name w:val="header"/>
    <w:basedOn w:val="1"/>
    <w:link w:val="73"/>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List"/>
    <w:basedOn w:val="1"/>
    <w:qFormat/>
    <w:uiPriority w:val="0"/>
    <w:pPr>
      <w:ind w:left="420" w:hanging="420"/>
    </w:pPr>
    <w:rPr>
      <w:rFonts w:eastAsia="楷体_GB2312"/>
      <w:sz w:val="32"/>
      <w:szCs w:val="20"/>
    </w:rPr>
  </w:style>
  <w:style w:type="paragraph" w:styleId="27">
    <w:name w:val="Body Text Indent 3"/>
    <w:basedOn w:val="1"/>
    <w:link w:val="46"/>
    <w:qFormat/>
    <w:uiPriority w:val="0"/>
    <w:pPr>
      <w:adjustRightInd w:val="0"/>
      <w:spacing w:after="120" w:line="360" w:lineRule="atLeast"/>
      <w:ind w:left="420" w:leftChars="200"/>
      <w:jc w:val="left"/>
      <w:textAlignment w:val="baseline"/>
    </w:pPr>
    <w:rPr>
      <w:kern w:val="0"/>
      <w:sz w:val="16"/>
      <w:szCs w:val="16"/>
    </w:rPr>
  </w:style>
  <w:style w:type="paragraph" w:styleId="28">
    <w:name w:val="Body Text 2"/>
    <w:basedOn w:val="1"/>
    <w:link w:val="43"/>
    <w:qFormat/>
    <w:uiPriority w:val="0"/>
    <w:pPr>
      <w:adjustRightInd w:val="0"/>
      <w:spacing w:after="120" w:line="480" w:lineRule="auto"/>
      <w:jc w:val="left"/>
      <w:textAlignment w:val="baseline"/>
    </w:pPr>
    <w:rPr>
      <w:kern w:val="0"/>
      <w:sz w:val="24"/>
      <w:szCs w:val="20"/>
    </w:rPr>
  </w:style>
  <w:style w:type="paragraph" w:styleId="2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0">
    <w:name w:val="annotation subject"/>
    <w:basedOn w:val="14"/>
    <w:next w:val="14"/>
    <w:link w:val="57"/>
    <w:qFormat/>
    <w:uiPriority w:val="0"/>
    <w:rPr>
      <w:b/>
      <w:bCs/>
    </w:rPr>
  </w:style>
  <w:style w:type="paragraph" w:styleId="31">
    <w:name w:val="Body Text First Indent"/>
    <w:basedOn w:val="16"/>
    <w:link w:val="53"/>
    <w:qFormat/>
    <w:uiPriority w:val="0"/>
    <w:pPr>
      <w:ind w:firstLine="420" w:firstLineChars="100"/>
    </w:pPr>
  </w:style>
  <w:style w:type="paragraph" w:styleId="32">
    <w:name w:val="Body Text First Indent 2"/>
    <w:basedOn w:val="17"/>
    <w:qFormat/>
    <w:uiPriority w:val="99"/>
    <w:pPr>
      <w:tabs>
        <w:tab w:val="left" w:pos="945"/>
        <w:tab w:val="left" w:pos="1155"/>
      </w:tabs>
      <w:spacing w:after="120"/>
      <w:ind w:left="420" w:leftChars="200" w:firstLine="420"/>
    </w:pPr>
  </w:style>
  <w:style w:type="table" w:styleId="34">
    <w:name w:val="Table Grid"/>
    <w:basedOn w:val="3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qFormat/>
    <w:uiPriority w:val="0"/>
    <w:rPr>
      <w:color w:val="444444"/>
      <w:u w:val="none"/>
    </w:rPr>
  </w:style>
  <w:style w:type="character" w:styleId="39">
    <w:name w:val="Emphasis"/>
    <w:qFormat/>
    <w:uiPriority w:val="0"/>
  </w:style>
  <w:style w:type="character" w:styleId="40">
    <w:name w:val="Hyperlink"/>
    <w:qFormat/>
    <w:uiPriority w:val="0"/>
    <w:rPr>
      <w:color w:val="444444"/>
      <w:u w:val="none"/>
    </w:rPr>
  </w:style>
  <w:style w:type="character" w:styleId="41">
    <w:name w:val="annotation reference"/>
    <w:qFormat/>
    <w:uiPriority w:val="0"/>
    <w:rPr>
      <w:sz w:val="21"/>
      <w:szCs w:val="21"/>
    </w:rPr>
  </w:style>
  <w:style w:type="character" w:customStyle="1" w:styleId="42">
    <w:name w:val="标题 7 Char"/>
    <w:link w:val="8"/>
    <w:qFormat/>
    <w:uiPriority w:val="0"/>
    <w:rPr>
      <w:rFonts w:ascii="Times New Roman" w:hAnsi="Times New Roman"/>
      <w:b/>
      <w:bCs/>
      <w:sz w:val="24"/>
      <w:szCs w:val="24"/>
    </w:rPr>
  </w:style>
  <w:style w:type="character" w:customStyle="1" w:styleId="43">
    <w:name w:val="正文文本 2 Char"/>
    <w:link w:val="28"/>
    <w:qFormat/>
    <w:uiPriority w:val="0"/>
    <w:rPr>
      <w:rFonts w:ascii="Times New Roman" w:hAnsi="Times New Roman"/>
      <w:sz w:val="24"/>
    </w:rPr>
  </w:style>
  <w:style w:type="character" w:customStyle="1" w:styleId="44">
    <w:name w:val="标题 9 Char"/>
    <w:link w:val="10"/>
    <w:qFormat/>
    <w:uiPriority w:val="0"/>
    <w:rPr>
      <w:rFonts w:ascii="Arial" w:hAnsi="Arial" w:eastAsia="黑体"/>
      <w:sz w:val="21"/>
      <w:szCs w:val="21"/>
    </w:rPr>
  </w:style>
  <w:style w:type="character" w:customStyle="1" w:styleId="45">
    <w:name w:val="red1"/>
    <w:qFormat/>
    <w:uiPriority w:val="0"/>
    <w:rPr>
      <w:color w:val="FF0000"/>
      <w:sz w:val="18"/>
      <w:szCs w:val="18"/>
    </w:rPr>
  </w:style>
  <w:style w:type="character" w:customStyle="1" w:styleId="46">
    <w:name w:val="正文文本缩进 3 Char"/>
    <w:link w:val="27"/>
    <w:qFormat/>
    <w:uiPriority w:val="0"/>
    <w:rPr>
      <w:rFonts w:ascii="Times New Roman" w:hAnsi="Times New Roman"/>
      <w:sz w:val="16"/>
      <w:szCs w:val="16"/>
    </w:rPr>
  </w:style>
  <w:style w:type="character" w:customStyle="1" w:styleId="47">
    <w:name w:val="hover25"/>
    <w:basedOn w:val="35"/>
    <w:qFormat/>
    <w:uiPriority w:val="0"/>
  </w:style>
  <w:style w:type="character" w:customStyle="1" w:styleId="48">
    <w:name w:val="页码1"/>
    <w:basedOn w:val="35"/>
    <w:qFormat/>
    <w:uiPriority w:val="0"/>
  </w:style>
  <w:style w:type="character" w:customStyle="1" w:styleId="49">
    <w:name w:val="正文文本 3 Char"/>
    <w:link w:val="15"/>
    <w:qFormat/>
    <w:uiPriority w:val="0"/>
    <w:rPr>
      <w:rFonts w:ascii="Times New Roman" w:hAnsi="Times New Roman"/>
      <w:kern w:val="2"/>
      <w:sz w:val="16"/>
    </w:rPr>
  </w:style>
  <w:style w:type="character" w:customStyle="1" w:styleId="50">
    <w:name w:val="批注框文本 Char"/>
    <w:link w:val="23"/>
    <w:qFormat/>
    <w:uiPriority w:val="0"/>
    <w:rPr>
      <w:sz w:val="18"/>
      <w:szCs w:val="18"/>
    </w:rPr>
  </w:style>
  <w:style w:type="character" w:customStyle="1" w:styleId="51">
    <w:name w:val="green1"/>
    <w:qFormat/>
    <w:uiPriority w:val="0"/>
    <w:rPr>
      <w:color w:val="66AE00"/>
      <w:sz w:val="18"/>
      <w:szCs w:val="18"/>
    </w:rPr>
  </w:style>
  <w:style w:type="character" w:customStyle="1" w:styleId="52">
    <w:name w:val="right"/>
    <w:qFormat/>
    <w:uiPriority w:val="0"/>
    <w:rPr>
      <w:color w:val="999999"/>
      <w:sz w:val="18"/>
      <w:szCs w:val="18"/>
    </w:rPr>
  </w:style>
  <w:style w:type="character" w:customStyle="1" w:styleId="53">
    <w:name w:val="正文首行缩进 Char"/>
    <w:link w:val="31"/>
    <w:qFormat/>
    <w:uiPriority w:val="0"/>
    <w:rPr>
      <w:sz w:val="24"/>
    </w:rPr>
  </w:style>
  <w:style w:type="character" w:customStyle="1" w:styleId="54">
    <w:name w:val="标题 4 Char"/>
    <w:link w:val="5"/>
    <w:qFormat/>
    <w:uiPriority w:val="0"/>
    <w:rPr>
      <w:rFonts w:ascii="Arial" w:hAnsi="Arial" w:eastAsia="黑体"/>
      <w:b/>
      <w:bCs/>
      <w:sz w:val="28"/>
      <w:szCs w:val="28"/>
    </w:rPr>
  </w:style>
  <w:style w:type="character" w:customStyle="1" w:styleId="55">
    <w:name w:val="纯文本 Char"/>
    <w:link w:val="20"/>
    <w:qFormat/>
    <w:uiPriority w:val="99"/>
    <w:rPr>
      <w:rFonts w:ascii="宋体" w:hAnsi="Courier New" w:cs="Courier New"/>
      <w:sz w:val="21"/>
      <w:szCs w:val="21"/>
    </w:rPr>
  </w:style>
  <w:style w:type="character" w:customStyle="1" w:styleId="56">
    <w:name w:val="green"/>
    <w:qFormat/>
    <w:uiPriority w:val="0"/>
    <w:rPr>
      <w:color w:val="66AE00"/>
      <w:sz w:val="18"/>
      <w:szCs w:val="18"/>
    </w:rPr>
  </w:style>
  <w:style w:type="character" w:customStyle="1" w:styleId="57">
    <w:name w:val="批注主题 Char"/>
    <w:link w:val="30"/>
    <w:qFormat/>
    <w:uiPriority w:val="0"/>
    <w:rPr>
      <w:b/>
      <w:bCs/>
      <w:kern w:val="2"/>
      <w:sz w:val="21"/>
      <w:szCs w:val="22"/>
    </w:rPr>
  </w:style>
  <w:style w:type="character" w:customStyle="1" w:styleId="58">
    <w:name w:val="标题 3 Char"/>
    <w:link w:val="4"/>
    <w:qFormat/>
    <w:uiPriority w:val="0"/>
    <w:rPr>
      <w:rFonts w:ascii="Times New Roman" w:hAnsi="Times New Roman"/>
      <w:b/>
      <w:kern w:val="2"/>
      <w:sz w:val="32"/>
    </w:rPr>
  </w:style>
  <w:style w:type="character" w:customStyle="1" w:styleId="59">
    <w:name w:val="标题 5 Char"/>
    <w:link w:val="6"/>
    <w:qFormat/>
    <w:uiPriority w:val="0"/>
    <w:rPr>
      <w:rFonts w:ascii="Times New Roman" w:hAnsi="Times New Roman"/>
      <w:b/>
      <w:bCs/>
      <w:sz w:val="28"/>
      <w:szCs w:val="28"/>
    </w:rPr>
  </w:style>
  <w:style w:type="character" w:customStyle="1" w:styleId="60">
    <w:name w:val="批注文字 Char"/>
    <w:link w:val="14"/>
    <w:qFormat/>
    <w:uiPriority w:val="0"/>
    <w:rPr>
      <w:kern w:val="2"/>
      <w:sz w:val="21"/>
      <w:szCs w:val="22"/>
    </w:rPr>
  </w:style>
  <w:style w:type="character" w:customStyle="1" w:styleId="61">
    <w:name w:val="标题 1 Char"/>
    <w:link w:val="2"/>
    <w:qFormat/>
    <w:uiPriority w:val="9"/>
    <w:rPr>
      <w:rFonts w:ascii="Times New Roman" w:hAnsi="Times New Roman"/>
      <w:b/>
      <w:kern w:val="44"/>
      <w:sz w:val="44"/>
    </w:rPr>
  </w:style>
  <w:style w:type="character" w:customStyle="1" w:styleId="62">
    <w:name w:val="日期 Char"/>
    <w:link w:val="21"/>
    <w:qFormat/>
    <w:uiPriority w:val="0"/>
    <w:rPr>
      <w:rFonts w:ascii="Times New Roman" w:hAnsi="Times New Roman"/>
      <w:kern w:val="2"/>
      <w:sz w:val="24"/>
    </w:rPr>
  </w:style>
  <w:style w:type="character" w:customStyle="1" w:styleId="63">
    <w:name w:val="lw_collapsiblearea_title1"/>
    <w:qFormat/>
    <w:uiPriority w:val="0"/>
    <w:rPr>
      <w:rFonts w:hint="default" w:ascii="Segoe UI" w:hAnsi="Segoe UI" w:cs="Segoe UI"/>
      <w:b/>
      <w:bCs/>
      <w:color w:val="3F529C"/>
      <w:sz w:val="37"/>
      <w:szCs w:val="37"/>
    </w:rPr>
  </w:style>
  <w:style w:type="character" w:customStyle="1" w:styleId="64">
    <w:name w:val="red2"/>
    <w:qFormat/>
    <w:uiPriority w:val="0"/>
    <w:rPr>
      <w:color w:val="FF0000"/>
      <w:sz w:val="18"/>
      <w:szCs w:val="18"/>
    </w:rPr>
  </w:style>
  <w:style w:type="character" w:customStyle="1" w:styleId="65">
    <w:name w:val="正文文本 Char"/>
    <w:link w:val="16"/>
    <w:qFormat/>
    <w:uiPriority w:val="0"/>
    <w:rPr>
      <w:rFonts w:ascii="Times New Roman" w:hAnsi="Times New Roman"/>
      <w:sz w:val="24"/>
    </w:rPr>
  </w:style>
  <w:style w:type="character" w:customStyle="1" w:styleId="66">
    <w:name w:val="parameter"/>
    <w:basedOn w:val="35"/>
    <w:qFormat/>
    <w:uiPriority w:val="0"/>
  </w:style>
  <w:style w:type="character" w:customStyle="1" w:styleId="67">
    <w:name w:val="input"/>
    <w:qFormat/>
    <w:uiPriority w:val="0"/>
    <w:rPr>
      <w:b/>
      <w:bCs/>
    </w:rPr>
  </w:style>
  <w:style w:type="character" w:customStyle="1" w:styleId="68">
    <w:name w:val="label"/>
    <w:qFormat/>
    <w:uiPriority w:val="0"/>
    <w:rPr>
      <w:b/>
      <w:bCs/>
    </w:rPr>
  </w:style>
  <w:style w:type="character" w:customStyle="1" w:styleId="69">
    <w:name w:val="文档结构图 Char"/>
    <w:link w:val="13"/>
    <w:qFormat/>
    <w:uiPriority w:val="0"/>
    <w:rPr>
      <w:rFonts w:ascii="宋体" w:eastAsia="宋体"/>
      <w:sz w:val="18"/>
      <w:szCs w:val="18"/>
    </w:rPr>
  </w:style>
  <w:style w:type="character" w:customStyle="1" w:styleId="70">
    <w:name w:val="form-textarea-print1"/>
    <w:qFormat/>
    <w:uiPriority w:val="0"/>
    <w:rPr>
      <w:sz w:val="18"/>
      <w:szCs w:val="18"/>
    </w:rPr>
  </w:style>
  <w:style w:type="character" w:customStyle="1" w:styleId="71">
    <w:name w:val="red"/>
    <w:qFormat/>
    <w:uiPriority w:val="0"/>
    <w:rPr>
      <w:color w:val="FF0000"/>
    </w:rPr>
  </w:style>
  <w:style w:type="character" w:customStyle="1" w:styleId="72">
    <w:name w:val="标题 6 Char"/>
    <w:link w:val="7"/>
    <w:qFormat/>
    <w:uiPriority w:val="0"/>
    <w:rPr>
      <w:rFonts w:ascii="Arial" w:hAnsi="Arial" w:eastAsia="黑体"/>
      <w:b/>
      <w:bCs/>
      <w:sz w:val="24"/>
      <w:szCs w:val="24"/>
    </w:rPr>
  </w:style>
  <w:style w:type="character" w:customStyle="1" w:styleId="73">
    <w:name w:val="页眉 Char"/>
    <w:link w:val="25"/>
    <w:qFormat/>
    <w:uiPriority w:val="0"/>
    <w:rPr>
      <w:sz w:val="18"/>
      <w:szCs w:val="18"/>
    </w:rPr>
  </w:style>
  <w:style w:type="character" w:customStyle="1" w:styleId="74">
    <w:name w:val="正文文本缩进 Char"/>
    <w:link w:val="17"/>
    <w:qFormat/>
    <w:uiPriority w:val="0"/>
    <w:rPr>
      <w:rFonts w:ascii="宋体" w:hAnsi="Times New Roman"/>
      <w:kern w:val="2"/>
      <w:sz w:val="24"/>
    </w:rPr>
  </w:style>
  <w:style w:type="character" w:customStyle="1" w:styleId="75">
    <w:name w:val="tgtsentence"/>
    <w:basedOn w:val="35"/>
    <w:qFormat/>
    <w:uiPriority w:val="0"/>
  </w:style>
  <w:style w:type="character" w:customStyle="1" w:styleId="76">
    <w:name w:val="标题 2 Char"/>
    <w:link w:val="3"/>
    <w:qFormat/>
    <w:uiPriority w:val="9"/>
    <w:rPr>
      <w:rFonts w:ascii="Arial" w:hAnsi="Arial" w:eastAsia="黑体"/>
      <w:b/>
      <w:bCs/>
      <w:sz w:val="32"/>
      <w:szCs w:val="32"/>
    </w:rPr>
  </w:style>
  <w:style w:type="character" w:customStyle="1" w:styleId="77">
    <w:name w:val="font81"/>
    <w:basedOn w:val="35"/>
    <w:qFormat/>
    <w:uiPriority w:val="0"/>
    <w:rPr>
      <w:rFonts w:hint="eastAsia" w:ascii="宋体" w:hAnsi="宋体" w:eastAsia="宋体" w:cs="宋体"/>
      <w:color w:val="000000"/>
      <w:sz w:val="18"/>
      <w:szCs w:val="18"/>
      <w:u w:val="none"/>
    </w:rPr>
  </w:style>
  <w:style w:type="character" w:customStyle="1" w:styleId="78">
    <w:name w:val="列出段落 Char"/>
    <w:link w:val="79"/>
    <w:qFormat/>
    <w:uiPriority w:val="0"/>
    <w:rPr>
      <w:bCs/>
      <w:kern w:val="2"/>
      <w:sz w:val="21"/>
    </w:rPr>
  </w:style>
  <w:style w:type="paragraph" w:customStyle="1" w:styleId="79">
    <w:name w:val="列出段落1"/>
    <w:basedOn w:val="1"/>
    <w:link w:val="78"/>
    <w:qFormat/>
    <w:uiPriority w:val="0"/>
    <w:pPr>
      <w:ind w:firstLine="420" w:firstLineChars="200"/>
    </w:pPr>
    <w:rPr>
      <w:bCs/>
      <w:szCs w:val="20"/>
    </w:rPr>
  </w:style>
  <w:style w:type="character" w:customStyle="1" w:styleId="80">
    <w:name w:val="gb-jt"/>
    <w:basedOn w:val="35"/>
    <w:qFormat/>
    <w:uiPriority w:val="0"/>
  </w:style>
  <w:style w:type="character" w:customStyle="1" w:styleId="81">
    <w:name w:val="blue"/>
    <w:qFormat/>
    <w:uiPriority w:val="0"/>
    <w:rPr>
      <w:color w:val="0371C6"/>
      <w:sz w:val="21"/>
      <w:szCs w:val="21"/>
    </w:rPr>
  </w:style>
  <w:style w:type="character" w:customStyle="1" w:styleId="82">
    <w:name w:val="hover"/>
    <w:basedOn w:val="35"/>
    <w:qFormat/>
    <w:uiPriority w:val="0"/>
  </w:style>
  <w:style w:type="character" w:customStyle="1" w:styleId="83">
    <w:name w:val="font11"/>
    <w:basedOn w:val="35"/>
    <w:qFormat/>
    <w:uiPriority w:val="0"/>
    <w:rPr>
      <w:rFonts w:hint="eastAsia" w:ascii="宋体" w:hAnsi="宋体" w:eastAsia="宋体" w:cs="宋体"/>
      <w:color w:val="000000"/>
      <w:sz w:val="21"/>
      <w:szCs w:val="21"/>
      <w:u w:val="none"/>
    </w:rPr>
  </w:style>
  <w:style w:type="character" w:customStyle="1" w:styleId="84">
    <w:name w:val="font91"/>
    <w:basedOn w:val="35"/>
    <w:qFormat/>
    <w:uiPriority w:val="0"/>
    <w:rPr>
      <w:rFonts w:hint="eastAsia" w:ascii="宋体" w:hAnsi="宋体" w:eastAsia="宋体" w:cs="宋体"/>
      <w:color w:val="000000"/>
      <w:sz w:val="18"/>
      <w:szCs w:val="18"/>
      <w:u w:val="none"/>
      <w:vertAlign w:val="superscript"/>
    </w:rPr>
  </w:style>
  <w:style w:type="character" w:customStyle="1" w:styleId="85">
    <w:name w:val="标题 8 Char"/>
    <w:link w:val="9"/>
    <w:qFormat/>
    <w:uiPriority w:val="0"/>
    <w:rPr>
      <w:rFonts w:ascii="Arial" w:hAnsi="Arial" w:eastAsia="黑体"/>
      <w:sz w:val="24"/>
      <w:szCs w:val="24"/>
    </w:rPr>
  </w:style>
  <w:style w:type="character" w:customStyle="1" w:styleId="86">
    <w:name w:val="页脚 Char"/>
    <w:link w:val="24"/>
    <w:qFormat/>
    <w:uiPriority w:val="0"/>
    <w:rPr>
      <w:sz w:val="18"/>
      <w:szCs w:val="18"/>
    </w:rPr>
  </w:style>
  <w:style w:type="character" w:customStyle="1" w:styleId="87">
    <w:name w:val="正文文本缩进 2 Char"/>
    <w:link w:val="22"/>
    <w:qFormat/>
    <w:uiPriority w:val="99"/>
    <w:rPr>
      <w:rFonts w:ascii="Times New Roman" w:hAnsi="Times New Roman"/>
      <w:kern w:val="2"/>
      <w:sz w:val="21"/>
    </w:rPr>
  </w:style>
  <w:style w:type="character" w:customStyle="1" w:styleId="88">
    <w:name w:val="Char Char8"/>
    <w:qFormat/>
    <w:uiPriority w:val="0"/>
    <w:rPr>
      <w:rFonts w:ascii="Arial" w:hAnsi="Arial" w:eastAsia="黑体"/>
      <w:b/>
      <w:bCs/>
      <w:kern w:val="2"/>
      <w:sz w:val="32"/>
      <w:szCs w:val="32"/>
      <w:lang w:val="en-US" w:eastAsia="zh-CN" w:bidi="ar-SA"/>
    </w:rPr>
  </w:style>
  <w:style w:type="character" w:customStyle="1" w:styleId="89">
    <w:name w:val="font01"/>
    <w:basedOn w:val="35"/>
    <w:qFormat/>
    <w:uiPriority w:val="0"/>
    <w:rPr>
      <w:rFonts w:hint="eastAsia" w:ascii="宋体" w:hAnsi="宋体" w:eastAsia="宋体" w:cs="宋体"/>
      <w:color w:val="000000"/>
      <w:sz w:val="21"/>
      <w:szCs w:val="21"/>
      <w:u w:val="none"/>
      <w:vertAlign w:val="superscript"/>
    </w:rPr>
  </w:style>
  <w:style w:type="character" w:customStyle="1" w:styleId="90">
    <w:name w:val="code"/>
    <w:basedOn w:val="35"/>
    <w:qFormat/>
    <w:uiPriority w:val="0"/>
  </w:style>
  <w:style w:type="paragraph" w:customStyle="1" w:styleId="91">
    <w:name w:val="样式 标题 2 + 宋体 五号 非加粗 黑色"/>
    <w:basedOn w:val="3"/>
    <w:qFormat/>
    <w:uiPriority w:val="0"/>
    <w:rPr>
      <w:rFonts w:ascii="宋体" w:hAnsi="宋体" w:eastAsia="宋体"/>
      <w:b w:val="0"/>
      <w:bCs w:val="0"/>
      <w:color w:val="000000"/>
      <w:sz w:val="21"/>
    </w:rPr>
  </w:style>
  <w:style w:type="paragraph" w:customStyle="1" w:styleId="92">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3">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4">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5">
    <w:name w:val="Char Char Char Char"/>
    <w:basedOn w:val="1"/>
    <w:qFormat/>
    <w:uiPriority w:val="0"/>
    <w:rPr>
      <w:rFonts w:ascii="Tahoma" w:hAnsi="Tahoma"/>
      <w:sz w:val="24"/>
      <w:szCs w:val="20"/>
    </w:rPr>
  </w:style>
  <w:style w:type="paragraph" w:customStyle="1" w:styleId="96">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7">
    <w:name w:val="Char1 Char Char Char Char Char Char Char"/>
    <w:basedOn w:val="1"/>
    <w:qFormat/>
    <w:uiPriority w:val="0"/>
    <w:rPr>
      <w:rFonts w:ascii="Tahoma" w:hAnsi="Tahoma"/>
      <w:sz w:val="24"/>
      <w:szCs w:val="30"/>
    </w:rPr>
  </w:style>
  <w:style w:type="paragraph" w:customStyle="1" w:styleId="98">
    <w:name w:val="PMstyle"/>
    <w:qFormat/>
    <w:uiPriority w:val="0"/>
    <w:rPr>
      <w:rFonts w:ascii="Tahoma" w:hAnsi="Tahoma" w:eastAsia="宋体" w:cs="Times New Roman"/>
      <w:sz w:val="22"/>
      <w:lang w:val="en-US" w:eastAsia="zh-CN" w:bidi="ar-SA"/>
    </w:rPr>
  </w:style>
  <w:style w:type="paragraph" w:customStyle="1" w:styleId="99">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100">
    <w:name w:val="p18"/>
    <w:basedOn w:val="1"/>
    <w:qFormat/>
    <w:uiPriority w:val="0"/>
    <w:pPr>
      <w:widowControl/>
      <w:spacing w:line="440" w:lineRule="atLeast"/>
    </w:pPr>
    <w:rPr>
      <w:rFonts w:ascii="宋体" w:hAnsi="宋体" w:cs="宋体"/>
      <w:kern w:val="0"/>
      <w:sz w:val="24"/>
      <w:szCs w:val="24"/>
    </w:rPr>
  </w:style>
  <w:style w:type="paragraph" w:customStyle="1" w:styleId="101">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102">
    <w:name w:val="Char Char1 Char Char Char Char Char Char"/>
    <w:basedOn w:val="1"/>
    <w:qFormat/>
    <w:uiPriority w:val="0"/>
    <w:pPr>
      <w:widowControl/>
      <w:spacing w:after="160" w:line="240" w:lineRule="exact"/>
      <w:jc w:val="left"/>
    </w:pPr>
    <w:rPr>
      <w:szCs w:val="20"/>
    </w:rPr>
  </w:style>
  <w:style w:type="paragraph" w:customStyle="1" w:styleId="103">
    <w:name w:val="Char Char1 Char Char Char Char Char Char1"/>
    <w:basedOn w:val="1"/>
    <w:qFormat/>
    <w:uiPriority w:val="0"/>
    <w:pPr>
      <w:widowControl/>
      <w:spacing w:after="160" w:line="240" w:lineRule="exact"/>
      <w:jc w:val="left"/>
    </w:pPr>
  </w:style>
  <w:style w:type="paragraph" w:customStyle="1" w:styleId="104">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5">
    <w:name w:val="标书正文文本"/>
    <w:basedOn w:val="1"/>
    <w:qFormat/>
    <w:uiPriority w:val="0"/>
    <w:pPr>
      <w:spacing w:line="360" w:lineRule="auto"/>
      <w:ind w:firstLine="420"/>
    </w:pPr>
    <w:rPr>
      <w:rFonts w:eastAsia="楷体_GB2312" w:cs="宋体"/>
      <w:bCs/>
      <w:sz w:val="28"/>
      <w:szCs w:val="20"/>
    </w:rPr>
  </w:style>
  <w:style w:type="paragraph" w:customStyle="1" w:styleId="106">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7">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8">
    <w:name w:val="p0"/>
    <w:basedOn w:val="1"/>
    <w:qFormat/>
    <w:uiPriority w:val="0"/>
    <w:pPr>
      <w:widowControl/>
    </w:pPr>
    <w:rPr>
      <w:kern w:val="0"/>
      <w:szCs w:val="21"/>
    </w:rPr>
  </w:style>
  <w:style w:type="paragraph" w:customStyle="1" w:styleId="109">
    <w:name w:val="p16"/>
    <w:basedOn w:val="1"/>
    <w:qFormat/>
    <w:uiPriority w:val="0"/>
    <w:pPr>
      <w:widowControl/>
      <w:spacing w:after="120"/>
      <w:ind w:firstLine="210"/>
      <w:jc w:val="left"/>
    </w:pPr>
    <w:rPr>
      <w:kern w:val="0"/>
      <w:sz w:val="20"/>
      <w:szCs w:val="20"/>
    </w:rPr>
  </w:style>
  <w:style w:type="paragraph" w:customStyle="1" w:styleId="110">
    <w:name w:val="p21"/>
    <w:basedOn w:val="1"/>
    <w:qFormat/>
    <w:uiPriority w:val="0"/>
    <w:pPr>
      <w:widowControl/>
      <w:spacing w:after="120"/>
    </w:pPr>
    <w:rPr>
      <w:kern w:val="0"/>
      <w:szCs w:val="21"/>
    </w:rPr>
  </w:style>
  <w:style w:type="paragraph" w:customStyle="1" w:styleId="111">
    <w:name w:val="样式 标题 1 + 四号 居中 段前: 12 磅 段后: 12 磅 行距: 单倍行距"/>
    <w:basedOn w:val="2"/>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12">
    <w:name w:val="样式 样式 标题 2 + 宋体 五号 非加粗 黑色 + 段前: 6 磅 段后: 0 磅 行距: 单倍行距"/>
    <w:basedOn w:val="91"/>
    <w:qFormat/>
    <w:uiPriority w:val="0"/>
  </w:style>
  <w:style w:type="paragraph" w:customStyle="1" w:styleId="113">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4">
    <w:name w:val="p19"/>
    <w:basedOn w:val="1"/>
    <w:qFormat/>
    <w:uiPriority w:val="0"/>
    <w:pPr>
      <w:widowControl/>
    </w:pPr>
    <w:rPr>
      <w:rFonts w:ascii="宋体" w:hAnsi="宋体" w:cs="宋体"/>
      <w:kern w:val="0"/>
      <w:szCs w:val="21"/>
    </w:rPr>
  </w:style>
  <w:style w:type="paragraph" w:customStyle="1" w:styleId="115">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6">
    <w:name w:val="Char1"/>
    <w:basedOn w:val="1"/>
    <w:qFormat/>
    <w:uiPriority w:val="0"/>
    <w:pPr>
      <w:adjustRightInd w:val="0"/>
      <w:spacing w:line="600" w:lineRule="exact"/>
      <w:ind w:firstLine="560" w:firstLineChars="200"/>
      <w:jc w:val="center"/>
    </w:pPr>
    <w:rPr>
      <w:szCs w:val="24"/>
    </w:rPr>
  </w:style>
  <w:style w:type="paragraph" w:customStyle="1" w:styleId="117">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8">
    <w:name w:val="font21"/>
    <w:basedOn w:val="35"/>
    <w:qFormat/>
    <w:uiPriority w:val="0"/>
    <w:rPr>
      <w:rFonts w:hint="eastAsia" w:ascii="宋体" w:hAnsi="宋体" w:eastAsia="宋体" w:cs="宋体"/>
      <w:color w:val="000000"/>
      <w:sz w:val="22"/>
      <w:szCs w:val="22"/>
      <w:u w:val="none"/>
    </w:rPr>
  </w:style>
  <w:style w:type="character" w:customStyle="1" w:styleId="119">
    <w:name w:val="font31"/>
    <w:basedOn w:val="35"/>
    <w:qFormat/>
    <w:uiPriority w:val="0"/>
    <w:rPr>
      <w:rFonts w:hint="eastAsia" w:ascii="宋体" w:hAnsi="宋体" w:eastAsia="宋体" w:cs="宋体"/>
      <w:color w:val="000000"/>
      <w:sz w:val="22"/>
      <w:szCs w:val="22"/>
      <w:u w:val="none"/>
    </w:rPr>
  </w:style>
  <w:style w:type="character" w:customStyle="1" w:styleId="120">
    <w:name w:val="red3"/>
    <w:basedOn w:val="35"/>
    <w:qFormat/>
    <w:uiPriority w:val="0"/>
    <w:rPr>
      <w:color w:val="FF0000"/>
    </w:rPr>
  </w:style>
  <w:style w:type="character" w:customStyle="1" w:styleId="121">
    <w:name w:val="hover24"/>
    <w:basedOn w:val="35"/>
    <w:qFormat/>
    <w:uiPriority w:val="0"/>
  </w:style>
  <w:style w:type="paragraph" w:customStyle="1" w:styleId="122">
    <w:name w:val="样式 样式 样式 样式 标题 2 + 宋体 五号 非加粗 黑色 + 段前: 6 磅 段后: 0 磅 行距: 单倍行距 + 段前:..."/>
    <w:basedOn w:val="1"/>
    <w:qFormat/>
    <w:uiPriority w:val="0"/>
    <w:pPr>
      <w:keepNext/>
      <w:keepLines/>
      <w:tabs>
        <w:tab w:val="left" w:pos="709"/>
      </w:tabs>
      <w:adjustRightInd w:val="0"/>
      <w:spacing w:before="240"/>
      <w:ind w:left="709" w:hanging="709"/>
      <w:jc w:val="left"/>
      <w:textAlignment w:val="baseline"/>
      <w:outlineLvl w:val="1"/>
    </w:pPr>
    <w:rPr>
      <w:rFonts w:ascii="宋体" w:hAnsi="宋体" w:cs="宋体"/>
      <w:b/>
      <w:bCs/>
      <w:color w:val="000000"/>
      <w:kern w:val="0"/>
      <w:szCs w:val="20"/>
    </w:rPr>
  </w:style>
  <w:style w:type="paragraph" w:customStyle="1" w:styleId="123">
    <w:name w:val="日期1"/>
    <w:basedOn w:val="1"/>
    <w:next w:val="1"/>
    <w:qFormat/>
    <w:uiPriority w:val="0"/>
    <w:rPr>
      <w:rFonts w:ascii="Calibri" w:hAnsi="Calibri"/>
      <w:sz w:val="24"/>
    </w:rPr>
  </w:style>
  <w:style w:type="paragraph" w:customStyle="1" w:styleId="124">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125">
    <w:name w:val="正文文本缩进1"/>
    <w:basedOn w:val="1"/>
    <w:qFormat/>
    <w:uiPriority w:val="0"/>
    <w:pPr>
      <w:spacing w:line="360" w:lineRule="auto"/>
      <w:ind w:firstLine="480" w:firstLineChars="200"/>
    </w:pPr>
    <w:rPr>
      <w:rFonts w:ascii="宋体" w:hAnsi="Calibri"/>
      <w:sz w:val="24"/>
    </w:rPr>
  </w:style>
  <w:style w:type="paragraph" w:customStyle="1" w:styleId="126">
    <w:name w:val="正文段落"/>
    <w:basedOn w:val="1"/>
    <w:qFormat/>
    <w:uiPriority w:val="99"/>
    <w:pPr>
      <w:tabs>
        <w:tab w:val="left" w:pos="0"/>
      </w:tabs>
      <w:spacing w:line="600" w:lineRule="exact"/>
      <w:ind w:firstLine="560" w:firstLineChars="200"/>
      <w:jc w:val="left"/>
    </w:pPr>
    <w:rPr>
      <w:kern w:val="0"/>
      <w:sz w:val="28"/>
      <w:szCs w:val="30"/>
    </w:rPr>
  </w:style>
  <w:style w:type="paragraph" w:styleId="127">
    <w:name w:val="List Paragraph"/>
    <w:basedOn w:val="1"/>
    <w:unhideWhenUsed/>
    <w:qFormat/>
    <w:uiPriority w:val="99"/>
    <w:pPr>
      <w:ind w:firstLine="420" w:firstLineChars="200"/>
    </w:pPr>
    <w:rPr>
      <w:rFonts w:asciiTheme="minorHAnsi" w:hAnsiTheme="minorHAnsi" w:eastAsiaTheme="minorEastAsia" w:cstheme="minorBidi"/>
    </w:rPr>
  </w:style>
  <w:style w:type="character" w:customStyle="1" w:styleId="128">
    <w:name w:val="纯文本 字符"/>
    <w:qFormat/>
    <w:uiPriority w:val="0"/>
    <w:rPr>
      <w:rFonts w:ascii="宋体" w:hAnsi="Courier New" w:eastAsia="仿宋_GB2312"/>
      <w:b/>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4647</Words>
  <Characters>26493</Characters>
  <Lines>220</Lines>
  <Paragraphs>62</Paragraphs>
  <TotalTime>63</TotalTime>
  <ScaleCrop>false</ScaleCrop>
  <LinksUpToDate>false</LinksUpToDate>
  <CharactersWithSpaces>31078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2018-11-22T00:37:00Z</dcterms:created>
  <dc:creator>USER</dc:creator>
  <cp:lastModifiedBy>长葛市公共资源交易中心:李田博</cp:lastModifiedBy>
  <cp:lastPrinted>2019-08-14T05:16:00Z</cp:lastPrinted>
  <dcterms:modified xsi:type="dcterms:W3CDTF">2019-09-10T02:45:37Z</dcterms:modified>
  <dc:title>许昌市市直政府采购项目</dc:title>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