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r>
        <w:rPr>
          <w:rFonts w:hint="eastAsia" w:ascii="黑体" w:hAnsi="黑体" w:eastAsia="黑体" w:cs="黑体"/>
          <w:b/>
          <w:bCs/>
          <w:sz w:val="48"/>
          <w:szCs w:val="48"/>
        </w:rPr>
        <w:t>禹州市第十一届钧瓷文化旅游节布展项目</w:t>
      </w: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YZCG-T2019222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采购单位：许昌市钧瓷产业发展办公室</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b/>
          <w:bCs/>
          <w:sz w:val="36"/>
          <w:szCs w:val="36"/>
        </w:rPr>
      </w:pPr>
      <w:r>
        <w:rPr>
          <w:rFonts w:hint="eastAsia"/>
          <w:b/>
          <w:bCs/>
          <w:sz w:val="36"/>
          <w:szCs w:val="36"/>
        </w:rPr>
        <w:t>禹州市第十一届钧瓷文化旅游节布展项目</w:t>
      </w:r>
    </w:p>
    <w:p>
      <w:pPr>
        <w:spacing w:line="600" w:lineRule="exact"/>
        <w:jc w:val="center"/>
        <w:rPr>
          <w:rFonts w:hint="eastAsia"/>
          <w:b/>
          <w:bCs/>
          <w:sz w:val="36"/>
          <w:szCs w:val="36"/>
        </w:rPr>
      </w:pPr>
      <w:r>
        <w:rPr>
          <w:rFonts w:hint="eastAsia"/>
          <w:b/>
          <w:bCs/>
          <w:sz w:val="36"/>
          <w:szCs w:val="36"/>
        </w:rPr>
        <w:t>竞争性谈判公告</w:t>
      </w:r>
    </w:p>
    <w:p>
      <w:pPr>
        <w:pStyle w:val="2"/>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禹州市政府采购中心受许昌市钧瓷产业发展办公室的委托，就“禹州市第十一届钧瓷文化旅游节布展项目”进行竞争性谈判，欢迎合格的投标人前来投标。</w:t>
      </w:r>
    </w:p>
    <w:p>
      <w:pPr>
        <w:widowControl/>
        <w:numPr>
          <w:ilvl w:val="0"/>
          <w:numId w:val="0"/>
        </w:numPr>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一、</w:t>
      </w:r>
      <w:r>
        <w:rPr>
          <w:rFonts w:ascii="黑体" w:hAnsi="黑体" w:eastAsia="黑体" w:cs="Arial"/>
          <w:b/>
          <w:color w:val="000000"/>
          <w:kern w:val="0"/>
          <w:sz w:val="32"/>
          <w:szCs w:val="32"/>
        </w:rPr>
        <w:t>项目基本情况</w:t>
      </w:r>
    </w:p>
    <w:p>
      <w:pPr>
        <w:widowControl/>
        <w:shd w:val="clear" w:color="auto" w:fill="FFFFFF"/>
        <w:spacing w:line="4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1、采购人：许昌市钧瓷产业发展办公室</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禹州市第十一届钧瓷文化旅游节布展项目</w:t>
      </w:r>
    </w:p>
    <w:p>
      <w:pPr>
        <w:widowControl/>
        <w:shd w:val="clear" w:color="auto" w:fill="FFFFFF"/>
        <w:tabs>
          <w:tab w:val="right" w:pos="8498"/>
        </w:tabs>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YZCG-T2019222</w:t>
      </w:r>
      <w:r>
        <w:rPr>
          <w:rFonts w:hint="eastAsia" w:ascii="仿宋" w:hAnsi="仿宋" w:eastAsia="仿宋" w:cs="仿宋_GB2312"/>
          <w:sz w:val="32"/>
          <w:szCs w:val="32"/>
        </w:rPr>
        <w:tab/>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第十一届钧瓷文化旅游节布展</w:t>
      </w:r>
      <w:r>
        <w:rPr>
          <w:rFonts w:hint="eastAsia" w:ascii="仿宋" w:hAnsi="仿宋" w:eastAsia="仿宋" w:cs="仿宋_GB2312"/>
          <w:sz w:val="32"/>
          <w:szCs w:val="32"/>
        </w:rPr>
        <w:t>（详见谈判文件）</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5、采购预算：35.7047万元</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numPr>
          <w:ilvl w:val="0"/>
          <w:numId w:val="0"/>
        </w:numPr>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p>
    <w:p>
      <w:pPr>
        <w:widowControl/>
        <w:numPr>
          <w:ilvl w:val="0"/>
          <w:numId w:val="5"/>
        </w:numPr>
        <w:shd w:val="clear" w:color="auto" w:fill="FFFFFF"/>
        <w:spacing w:line="44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2、被委托人须是本单位职工，须提供公司为本人缴纳社会保险证明；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9"/>
          <w:rFonts w:hint="eastAsia" w:ascii="仿宋" w:hAnsi="仿宋" w:eastAsia="仿宋" w:cs="宋体"/>
          <w:sz w:val="32"/>
          <w:szCs w:val="32"/>
        </w:rPr>
        <w:t>http://221.14.6.70:8088/ggzy/eps/public/RegistAllJcxx.html</w:t>
      </w:r>
      <w:r>
        <w:rPr>
          <w:rStyle w:val="29"/>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640" w:firstLineChars="200"/>
        <w:rPr>
          <w:rFonts w:ascii="楷体" w:hAnsi="楷体" w:eastAsia="楷体" w:cs="宋体"/>
          <w:sz w:val="32"/>
          <w:szCs w:val="32"/>
        </w:rPr>
      </w:pP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9"/>
          <w:rFonts w:hint="eastAsia" w:ascii="仿宋" w:hAnsi="仿宋" w:eastAsia="仿宋" w:cs="宋体"/>
          <w:sz w:val="32"/>
          <w:szCs w:val="32"/>
        </w:rPr>
        <w:t>http://ggzy.xuchang.gov.cn</w:t>
      </w:r>
      <w:r>
        <w:rPr>
          <w:rStyle w:val="29"/>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640" w:firstLineChars="200"/>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w:t>
      </w:r>
      <w:r>
        <w:rPr>
          <w:rFonts w:hint="eastAsia" w:ascii="仿宋" w:hAnsi="仿宋" w:eastAsia="仿宋" w:cs="Arial"/>
          <w:color w:val="000000"/>
          <w:kern w:val="0"/>
          <w:sz w:val="32"/>
          <w:szCs w:val="32"/>
        </w:rPr>
        <w:t>：00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许昌市钧瓷产业发展办公室</w:t>
      </w:r>
    </w:p>
    <w:p>
      <w:pPr>
        <w:widowControl/>
        <w:shd w:val="clear" w:color="auto" w:fill="FFFFFF"/>
        <w:spacing w:line="440" w:lineRule="exact"/>
        <w:ind w:left="481" w:firstLine="320" w:firstLineChars="100"/>
        <w:jc w:val="left"/>
        <w:rPr>
          <w:rFonts w:ascii="仿宋" w:hAnsi="仿宋" w:eastAsia="仿宋" w:cs="仿宋"/>
          <w:sz w:val="32"/>
          <w:szCs w:val="32"/>
        </w:rPr>
      </w:pPr>
      <w:r>
        <w:rPr>
          <w:rFonts w:hint="eastAsia" w:ascii="仿宋" w:hAnsi="仿宋" w:eastAsia="仿宋" w:cs="仿宋"/>
          <w:sz w:val="32"/>
          <w:szCs w:val="32"/>
        </w:rPr>
        <w:t>地址：禹州市禹王大道</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sz w:val="32"/>
          <w:szCs w:val="32"/>
        </w:rPr>
        <w:t xml:space="preserve">　联系人：康先生    联系电话：0374-8279368　  </w:t>
      </w:r>
    </w:p>
    <w:p>
      <w:pPr>
        <w:spacing w:line="44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3520" w:firstLineChars="1100"/>
        <w:rPr>
          <w:rFonts w:hint="eastAsia" w:ascii="仿宋" w:hAnsi="仿宋" w:eastAsia="仿宋" w:cs="仿宋"/>
          <w:sz w:val="32"/>
          <w:szCs w:val="32"/>
        </w:rPr>
      </w:pPr>
    </w:p>
    <w:p>
      <w:pPr>
        <w:spacing w:line="440" w:lineRule="exact"/>
        <w:ind w:firstLine="6400" w:firstLineChars="2000"/>
        <w:rPr>
          <w:rFonts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本项目为第十一届钧瓷文化旅游节布展项目。</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3"/>
        <w:tblW w:w="9193" w:type="dxa"/>
        <w:tblInd w:w="93" w:type="dxa"/>
        <w:tblLayout w:type="fixed"/>
        <w:tblCellMar>
          <w:top w:w="0" w:type="dxa"/>
          <w:left w:w="108" w:type="dxa"/>
          <w:bottom w:w="0" w:type="dxa"/>
          <w:right w:w="108" w:type="dxa"/>
        </w:tblCellMar>
      </w:tblPr>
      <w:tblGrid>
        <w:gridCol w:w="428"/>
        <w:gridCol w:w="946"/>
        <w:gridCol w:w="4191"/>
        <w:gridCol w:w="636"/>
        <w:gridCol w:w="686"/>
        <w:gridCol w:w="1099"/>
        <w:gridCol w:w="1207"/>
      </w:tblGrid>
      <w:tr>
        <w:tblPrEx>
          <w:tblLayout w:type="fixed"/>
          <w:tblCellMar>
            <w:top w:w="0" w:type="dxa"/>
            <w:left w:w="108" w:type="dxa"/>
            <w:bottom w:w="0" w:type="dxa"/>
            <w:right w:w="108" w:type="dxa"/>
          </w:tblCellMar>
        </w:tblPrEx>
        <w:trPr>
          <w:trHeight w:val="793" w:hRule="atLeast"/>
        </w:trPr>
        <w:tc>
          <w:tcPr>
            <w:tcW w:w="9193" w:type="dxa"/>
            <w:gridSpan w:val="7"/>
            <w:tcBorders>
              <w:top w:val="single" w:color="auto" w:sz="4" w:space="0"/>
              <w:left w:val="single" w:color="auto" w:sz="4" w:space="0"/>
              <w:bottom w:val="nil"/>
              <w:right w:val="single" w:color="000000" w:sz="4" w:space="0"/>
            </w:tcBorders>
            <w:shd w:val="clear" w:color="000000" w:fill="FFFFFF"/>
            <w:vAlign w:val="center"/>
          </w:tcPr>
          <w:p>
            <w:pPr>
              <w:widowControl/>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第十一届钧瓷文化旅游节布展项目制作预算表</w:t>
            </w:r>
          </w:p>
        </w:tc>
      </w:tr>
      <w:tr>
        <w:tblPrEx>
          <w:tblLayout w:type="fixed"/>
          <w:tblCellMar>
            <w:top w:w="0" w:type="dxa"/>
            <w:left w:w="108" w:type="dxa"/>
            <w:bottom w:w="0" w:type="dxa"/>
            <w:right w:w="108" w:type="dxa"/>
          </w:tblCellMar>
        </w:tblPrEx>
        <w:trPr>
          <w:trHeight w:val="799" w:hRule="atLeast"/>
        </w:trPr>
        <w:tc>
          <w:tcPr>
            <w:tcW w:w="4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9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项目种类</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Item</w:t>
            </w:r>
          </w:p>
        </w:tc>
        <w:tc>
          <w:tcPr>
            <w:tcW w:w="41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技术参数</w:t>
            </w:r>
            <w:r>
              <w:rPr>
                <w:rFonts w:hint="eastAsia" w:ascii="微软雅黑" w:hAnsi="微软雅黑" w:eastAsia="微软雅黑" w:cs="宋体"/>
                <w:b/>
                <w:bCs/>
                <w:kern w:val="0"/>
                <w:sz w:val="18"/>
                <w:szCs w:val="18"/>
              </w:rPr>
              <w:br w:type="textWrapping"/>
            </w:r>
            <w:r>
              <w:rPr>
                <w:rFonts w:hint="eastAsia" w:ascii="微软雅黑" w:hAnsi="微软雅黑" w:eastAsia="微软雅黑" w:cs="宋体"/>
                <w:b/>
                <w:bCs/>
                <w:kern w:val="0"/>
                <w:sz w:val="18"/>
                <w:szCs w:val="18"/>
              </w:rPr>
              <w:t>Tech. Parameter</w:t>
            </w:r>
          </w:p>
        </w:tc>
        <w:tc>
          <w:tcPr>
            <w:tcW w:w="6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 Qty</w:t>
            </w:r>
          </w:p>
        </w:tc>
        <w:tc>
          <w:tcPr>
            <w:tcW w:w="6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单位Unit</w:t>
            </w:r>
          </w:p>
        </w:tc>
        <w:tc>
          <w:tcPr>
            <w:tcW w:w="10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天/次数</w:t>
            </w:r>
            <w:r>
              <w:rPr>
                <w:rFonts w:hint="eastAsia" w:ascii="微软雅黑" w:hAnsi="微软雅黑" w:eastAsia="微软雅黑" w:cs="宋体"/>
                <w:b/>
                <w:bCs/>
                <w:kern w:val="0"/>
                <w:sz w:val="18"/>
                <w:szCs w:val="18"/>
              </w:rPr>
              <w:br w:type="textWrapping"/>
            </w:r>
            <w:r>
              <w:rPr>
                <w:rFonts w:hint="eastAsia" w:ascii="微软雅黑" w:hAnsi="微软雅黑" w:eastAsia="微软雅黑" w:cs="宋体"/>
                <w:b/>
                <w:bCs/>
                <w:kern w:val="0"/>
                <w:sz w:val="18"/>
                <w:szCs w:val="18"/>
              </w:rPr>
              <w:t>Day/Time</w:t>
            </w:r>
          </w:p>
        </w:tc>
        <w:tc>
          <w:tcPr>
            <w:tcW w:w="12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xml:space="preserve">   备注</w:t>
            </w:r>
          </w:p>
        </w:tc>
      </w:tr>
      <w:tr>
        <w:tblPrEx>
          <w:tblLayout w:type="fixed"/>
          <w:tblCellMar>
            <w:top w:w="0" w:type="dxa"/>
            <w:left w:w="108" w:type="dxa"/>
            <w:bottom w:w="0" w:type="dxa"/>
            <w:right w:w="108" w:type="dxa"/>
          </w:tblCellMar>
        </w:tblPrEx>
        <w:trPr>
          <w:trHeight w:val="603"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xml:space="preserve">一：会场外围部分布置   </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道旗-注水道旗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会会场外围通道5M高注水道旗-租赁15天（画面高3.5mX宽1mX40个）</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道旗-画面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户外双面旗帜布UV打印（画面高3.5mX宽1mX40个）</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绗架-租赁15天(5mX3m）3块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黑白布高清UV画面(5mX3m）3块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配重(5mX3m）3块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指示牌-架子</w:t>
            </w:r>
          </w:p>
        </w:tc>
        <w:tc>
          <w:tcPr>
            <w:tcW w:w="4191"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指示牌主结构架-租赁15天（2M＊0.8M）</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m2</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指示牌-画面</w:t>
            </w:r>
          </w:p>
        </w:tc>
        <w:tc>
          <w:tcPr>
            <w:tcW w:w="4191"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高清UV画面-写真冷裱板（2M＊0.8M）</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形象门-绗架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绗架-租赁15天(6mX5.5mX1m）</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形象门-画面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黑白布高清UV画面(6mX5.5mX1m）</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形象门-配重</w:t>
            </w:r>
          </w:p>
        </w:tc>
        <w:tc>
          <w:tcPr>
            <w:tcW w:w="4191" w:type="dxa"/>
            <w:tcBorders>
              <w:top w:val="nil"/>
              <w:left w:val="nil"/>
              <w:bottom w:val="nil"/>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配重(6mX5.5mX1m）</w:t>
            </w:r>
          </w:p>
        </w:tc>
        <w:tc>
          <w:tcPr>
            <w:tcW w:w="636" w:type="dxa"/>
            <w:tcBorders>
              <w:top w:val="nil"/>
              <w:left w:val="nil"/>
              <w:bottom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686" w:type="dxa"/>
            <w:tcBorders>
              <w:top w:val="nil"/>
              <w:left w:val="nil"/>
              <w:bottom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702" w:hRule="atLeast"/>
        </w:trPr>
        <w:tc>
          <w:tcPr>
            <w:tcW w:w="1374" w:type="dxa"/>
            <w:gridSpan w:val="2"/>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二：迎宾换场区</w:t>
            </w:r>
          </w:p>
        </w:tc>
        <w:tc>
          <w:tcPr>
            <w:tcW w:w="4191" w:type="dxa"/>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36" w:type="dxa"/>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展览推介墙-绗架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61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展览推介墙-木工板打底</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展示画面板-木工板基层(12mX3m）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展览推介墙-画面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展览推介墙-配重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展览导视图-绗架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4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展览导视图--木工板打底</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展示画面板-木工板基层(12mX3m）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展览导视图-画面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展览导视图-配重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配重(12mX3m）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文化节主题展览墙-绗架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绗架-租赁15天(13mX3m）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39</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1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文化节主题展览墙-画面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黑白布高清UV画面(13mX3m）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39</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文化节主题展览墙-配重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配重(13mX3m）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拐角形象背景-绗架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绗架-租赁15天(5.5mX3m）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17</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拐角形象背景-画面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黑白布高清UV画面(5.5mX3m）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17</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拐角形象背景-配重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配重(5.5mX3m）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xml:space="preserve"> 三：全国国家级工艺美术大师陶瓷作品展</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绗架-租赁15天(30mX3m）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黑白布高清UV画面(30mX3m）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配重(30mX3m）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绗架-租赁15天(4mX3m）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2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黑白布高清UV画面(4mX3m）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2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立体雕刻字(4mX3m）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宝丽布高清UV画面围档(宽1.2mX高0.8m）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展柜面板-木工板(宽1.2mX高0.8m）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外包装-仿麻布(宽1.2mX高0.8m）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吊旗-主结构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四：第五届河南省钧瓷壶设计大赛</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绗架基础支撑-租赁15天(27mX3m）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黑白布高清UV画面(27mX3m）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配重(27mX3m）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2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4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黑白布高清画面(4mX3m厚度60）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雕刻字(4mX3m厚度60）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五：郑州轻工业学院创作作品展</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绗架基础支撑-租赁15天(18mX3m）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黑白布高清UV画面(18mX3m）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配重(18mX3m）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4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8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雕刻字(4mX3m厚度60）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4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拉胚演示台</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地台定制-18厘多层夹板加工定制，外装地毯(1.2mX宽2mX高25cm）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六：中工美中青年委员会作品展</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绗架基础支撑-租赁15天(26mX3m）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黑白布高清UV画面(26mX3m）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配重(26mX3m）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雕刻字(4mX3m厚度60）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七：“大禹奖”钧瓷作品评比大赛</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6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4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55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雕刻字(4mX3m厚度60）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385</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八：第六届河南省钧瓷窑变艺术创新大赛</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配重(21mX3m）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2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区域形象展示-瓦</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仿真灰瓦(4mX3m厚度60）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20"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区域形象展示-立体字</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雕刻字(4mX3m厚度60）</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385</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192</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吊旗-结构</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吊杆(宽3mX高1.5m/每块）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根</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吊旗-画面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雪纺纱高清UV画面(宽3mX高1.5m/每块）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九：小展示区域（10个）</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67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绗架基础支撑-租赁15天(3mX3m双面X10个）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黑白布高清UV画面(3mX3m双面X10个）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配重(3mX3m双面X10个）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97</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5565" w:type="dxa"/>
            <w:gridSpan w:val="3"/>
            <w:tcBorders>
              <w:top w:val="single" w:color="auto" w:sz="4" w:space="0"/>
              <w:left w:val="single" w:color="auto" w:sz="4" w:space="0"/>
              <w:bottom w:val="single" w:color="auto" w:sz="4" w:space="0"/>
              <w:right w:val="nil"/>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十：其他部分</w:t>
            </w:r>
          </w:p>
        </w:tc>
        <w:tc>
          <w:tcPr>
            <w:tcW w:w="63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686"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099"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0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黑白布高清UV画面(8mX3m）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nil"/>
              <w:left w:val="nil"/>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展览背景-配重</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配重(8mX3m）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总展览展示工作区域面积3420平方米</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题词台-绗架</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绗架基础支撑-租赁15天(宽1.2mX高0.8m）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题词台-画面</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宝丽布高清UV画面(宽1.2mX高0.8m）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题词台-木工板</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木工板(宽1.2mX高0.8m）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题词台-仿麻布</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仿麻布(宽1.2mX高0.8m）</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演讲台</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成品烤漆板材质购买 0.9m*1.1米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柱子包装</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透明贴UV打印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平米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洽谈桌</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共7个区每区4套（1桌4椅）-租赁15天</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微软雅黑" w:hAnsi="微软雅黑" w:eastAsia="微软雅黑" w:cs="宋体"/>
                <w:b/>
                <w:bCs/>
                <w:kern w:val="0"/>
                <w:sz w:val="18"/>
                <w:szCs w:val="18"/>
              </w:rPr>
            </w:pPr>
          </w:p>
        </w:tc>
      </w:tr>
      <w:tr>
        <w:tblPrEx>
          <w:tblLayout w:type="fixed"/>
          <w:tblCellMar>
            <w:top w:w="0" w:type="dxa"/>
            <w:left w:w="108" w:type="dxa"/>
            <w:bottom w:w="0" w:type="dxa"/>
            <w:right w:w="108" w:type="dxa"/>
          </w:tblCellMar>
        </w:tblPrEx>
        <w:trPr>
          <w:trHeight w:val="702"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灯光-LED展示射灯</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盏</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07"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灯光-线路</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现场布线(铜线2.5)</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300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运费</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中巴货车</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车次</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w:t>
            </w:r>
          </w:p>
        </w:tc>
        <w:tc>
          <w:tcPr>
            <w:tcW w:w="1207"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499" w:hRule="atLeast"/>
        </w:trPr>
        <w:tc>
          <w:tcPr>
            <w:tcW w:w="4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4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拆装费</w:t>
            </w:r>
          </w:p>
        </w:tc>
        <w:tc>
          <w:tcPr>
            <w:tcW w:w="4191"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现场人工</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68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工</w:t>
            </w:r>
          </w:p>
        </w:tc>
        <w:tc>
          <w:tcPr>
            <w:tcW w:w="109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207"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bl>
    <w:p>
      <w:pPr>
        <w:widowControl/>
        <w:shd w:val="clear" w:color="auto" w:fill="FFFFFF"/>
        <w:spacing w:line="360" w:lineRule="auto"/>
        <w:ind w:firstLine="600"/>
        <w:jc w:val="left"/>
        <w:rPr>
          <w:rFonts w:ascii="仿宋" w:hAnsi="仿宋" w:eastAsia="仿宋" w:cs="宋体"/>
          <w:iCs/>
          <w:color w:val="000000"/>
          <w:kern w:val="0"/>
          <w:sz w:val="32"/>
          <w:szCs w:val="32"/>
        </w:rPr>
      </w:pPr>
      <w:r>
        <w:rPr>
          <w:rFonts w:hint="eastAsia" w:ascii="仿宋" w:hAnsi="仿宋" w:eastAsia="仿宋" w:cs="宋体"/>
          <w:color w:val="000000"/>
          <w:kern w:val="0"/>
          <w:sz w:val="32"/>
          <w:szCs w:val="32"/>
        </w:rPr>
        <w:t>（三）采购标的执行标准</w:t>
      </w:r>
    </w:p>
    <w:p>
      <w:pPr>
        <w:widowControl/>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iCs/>
          <w:color w:val="000000"/>
          <w:kern w:val="0"/>
          <w:sz w:val="32"/>
          <w:szCs w:val="32"/>
        </w:rPr>
        <w:t>执行国家相关标准、行业标准、地方标准或者其他标准、规范</w:t>
      </w:r>
      <w:r>
        <w:rPr>
          <w:rFonts w:hint="eastAsia" w:ascii="仿宋" w:hAnsi="仿宋" w:eastAsia="仿宋" w:cs="宋体"/>
          <w:color w:val="000000"/>
          <w:kern w:val="0"/>
          <w:sz w:val="32"/>
          <w:szCs w:val="32"/>
        </w:rPr>
        <w:t>。</w:t>
      </w:r>
    </w:p>
    <w:p>
      <w:pPr>
        <w:widowControl/>
        <w:numPr>
          <w:ilvl w:val="0"/>
          <w:numId w:val="7"/>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1、需满足本项目的服务标准、期限、效率等要求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2、中标供应商需按照采购内容、数量、质量、技术规格、文明施工、项目交付或者实施的时间和地点等要求满足工作需求，达到良好的使用状态。</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3、中标供应商需提供安装、调试及保修内免费维修服务。</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（六）采购标的其他技术、服务等要求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1、中标供应商需按照采购内容、数量、质量、技术规格、文明施工、项目交付或者实施的时间和地点等要求满足工作需求，达到良好的使用状态。</w:t>
      </w:r>
    </w:p>
    <w:p>
      <w:pPr>
        <w:widowControl/>
        <w:shd w:val="clear" w:color="auto" w:fill="FFFFFF"/>
        <w:spacing w:line="360" w:lineRule="auto"/>
        <w:ind w:firstLine="600"/>
        <w:jc w:val="left"/>
        <w:rPr>
          <w:rFonts w:hint="eastAsia" w:ascii="仿宋" w:hAnsi="仿宋" w:eastAsia="仿宋" w:cs="仿宋_GB2312"/>
          <w:b/>
          <w:sz w:val="24"/>
          <w:szCs w:val="24"/>
          <w:lang w:eastAsia="zh-CN"/>
        </w:rPr>
      </w:pPr>
      <w:r>
        <w:rPr>
          <w:rFonts w:hint="eastAsia" w:ascii="仿宋" w:hAnsi="仿宋" w:eastAsia="仿宋" w:cs="宋体"/>
          <w:color w:val="000000"/>
          <w:kern w:val="0"/>
          <w:sz w:val="32"/>
          <w:szCs w:val="32"/>
        </w:rPr>
        <w:t>2、中标供应商需提供安装、调试及保修内免费维修服务。</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9</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10</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项目名称：禹州市第十一届钧瓷文化旅游节布展项目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YZCG-T2019222</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名称：许昌市钧瓷产业发展办公室</w:t>
            </w:r>
            <w:bookmarkStart w:id="7" w:name="_GoBack"/>
            <w:bookmarkEnd w:id="7"/>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联系人：康先生    联系电话：0374-8279368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：艾先生</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35.7047</w:t>
            </w:r>
            <w:r>
              <w:rPr>
                <w:rFonts w:hint="eastAsia" w:cs="微软雅黑" w:asciiTheme="minorEastAsia" w:hAnsiTheme="minorEastAsia"/>
                <w:b/>
                <w:color w:val="FF0000"/>
                <w:szCs w:val="21"/>
                <w:lang w:val="en-US" w:eastAsia="zh-CN"/>
              </w:rPr>
              <w:t xml:space="preserve"> </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9</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18</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15</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color w:val="000000"/>
          <w:u w:val="single"/>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hint="eastAsia" w:asciiTheme="majorEastAsia" w:hAnsiTheme="majorEastAsia" w:eastAsiaTheme="majorEastAsia"/>
          <w:b/>
          <w:bCs/>
          <w:color w:val="000000"/>
          <w:sz w:val="24"/>
          <w:szCs w:val="24"/>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
          <w:bCs/>
          <w:color w:val="000000"/>
          <w:sz w:val="24"/>
          <w:szCs w:val="24"/>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4"/>
        <w:ind w:left="0" w:leftChars="0" w:firstLine="0" w:firstLineChars="0"/>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pStyle w:val="2"/>
        <w:ind w:left="0" w:leftChars="0" w:firstLine="0" w:firstLineChars="0"/>
      </w:pPr>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B72537F0"/>
    <w:multiLevelType w:val="singleLevel"/>
    <w:tmpl w:val="B72537F0"/>
    <w:lvl w:ilvl="0" w:tentative="0">
      <w:start w:val="4"/>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rPr>
        <w:rFonts w:hint="eastAsia"/>
      </w:rPr>
    </w:lvl>
  </w:abstractNum>
  <w:abstractNum w:abstractNumId="7">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807CAC4"/>
    <w:multiLevelType w:val="singleLevel"/>
    <w:tmpl w:val="3807CAC4"/>
    <w:lvl w:ilvl="0" w:tentative="0">
      <w:start w:val="1"/>
      <w:numFmt w:val="chineseCounting"/>
      <w:suff w:val="nothing"/>
      <w:lvlText w:val="%1、"/>
      <w:lvlJc w:val="left"/>
      <w:rPr>
        <w:rFonts w:hint="eastAsia"/>
      </w:rPr>
    </w:lvl>
  </w:abstractNum>
  <w:abstractNum w:abstractNumId="17">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F817E8"/>
    <w:multiLevelType w:val="singleLevel"/>
    <w:tmpl w:val="59F817E8"/>
    <w:lvl w:ilvl="0" w:tentative="0">
      <w:start w:val="1"/>
      <w:numFmt w:val="chineseCounting"/>
      <w:pStyle w:val="55"/>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8"/>
  </w:num>
  <w:num w:numId="4">
    <w:abstractNumId w:val="3"/>
  </w:num>
  <w:num w:numId="5">
    <w:abstractNumId w:val="2"/>
  </w:num>
  <w:num w:numId="6">
    <w:abstractNumId w:val="16"/>
  </w:num>
  <w:num w:numId="7">
    <w:abstractNumId w:val="1"/>
  </w:num>
  <w:num w:numId="8">
    <w:abstractNumId w:val="14"/>
  </w:num>
  <w:num w:numId="9">
    <w:abstractNumId w:val="19"/>
  </w:num>
  <w:num w:numId="10">
    <w:abstractNumId w:val="12"/>
  </w:num>
  <w:num w:numId="11">
    <w:abstractNumId w:val="7"/>
  </w:num>
  <w:num w:numId="12">
    <w:abstractNumId w:val="13"/>
  </w:num>
  <w:num w:numId="13">
    <w:abstractNumId w:val="15"/>
  </w:num>
  <w:num w:numId="14">
    <w:abstractNumId w:val="22"/>
  </w:num>
  <w:num w:numId="15">
    <w:abstractNumId w:val="11"/>
  </w:num>
  <w:num w:numId="16">
    <w:abstractNumId w:val="8"/>
  </w:num>
  <w:num w:numId="17">
    <w:abstractNumId w:val="20"/>
  </w:num>
  <w:num w:numId="18">
    <w:abstractNumId w:val="6"/>
  </w:num>
  <w:num w:numId="19">
    <w:abstractNumId w:val="17"/>
  </w:num>
  <w:num w:numId="20">
    <w:abstractNumId w:val="10"/>
  </w:num>
  <w:num w:numId="21">
    <w:abstractNumId w:val="21"/>
  </w:num>
  <w:num w:numId="22">
    <w:abstractNumId w:val="23"/>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36AAA"/>
    <w:rsid w:val="03B6440A"/>
    <w:rsid w:val="0434068F"/>
    <w:rsid w:val="04A6236A"/>
    <w:rsid w:val="053F5432"/>
    <w:rsid w:val="058E6CC0"/>
    <w:rsid w:val="064E7C45"/>
    <w:rsid w:val="07626F72"/>
    <w:rsid w:val="07BF5E31"/>
    <w:rsid w:val="07F96DEB"/>
    <w:rsid w:val="08D81C3A"/>
    <w:rsid w:val="08ED0258"/>
    <w:rsid w:val="08EF08AA"/>
    <w:rsid w:val="09097ED2"/>
    <w:rsid w:val="09611AE5"/>
    <w:rsid w:val="09B61E03"/>
    <w:rsid w:val="0A1E34A8"/>
    <w:rsid w:val="0A335D9D"/>
    <w:rsid w:val="0A962F1E"/>
    <w:rsid w:val="0AD81D4C"/>
    <w:rsid w:val="0AED524D"/>
    <w:rsid w:val="0B042130"/>
    <w:rsid w:val="0B391354"/>
    <w:rsid w:val="0B502FD2"/>
    <w:rsid w:val="0BCA6449"/>
    <w:rsid w:val="0C426624"/>
    <w:rsid w:val="0CAE7D79"/>
    <w:rsid w:val="0CE7384B"/>
    <w:rsid w:val="0DAC0795"/>
    <w:rsid w:val="0E1D453B"/>
    <w:rsid w:val="0E211F8B"/>
    <w:rsid w:val="0E7F2542"/>
    <w:rsid w:val="0EA30502"/>
    <w:rsid w:val="0F2E7448"/>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440530"/>
    <w:rsid w:val="16B051B6"/>
    <w:rsid w:val="175E24E1"/>
    <w:rsid w:val="17994F5A"/>
    <w:rsid w:val="17B078B6"/>
    <w:rsid w:val="18C216D0"/>
    <w:rsid w:val="197B011F"/>
    <w:rsid w:val="198F1D07"/>
    <w:rsid w:val="1A3B57AE"/>
    <w:rsid w:val="1A50262B"/>
    <w:rsid w:val="1A907281"/>
    <w:rsid w:val="1B1C3903"/>
    <w:rsid w:val="1B70335D"/>
    <w:rsid w:val="1B933962"/>
    <w:rsid w:val="1BBA3A6C"/>
    <w:rsid w:val="1BC27E34"/>
    <w:rsid w:val="1C317F37"/>
    <w:rsid w:val="1C527EEE"/>
    <w:rsid w:val="1CB36692"/>
    <w:rsid w:val="1CED5D81"/>
    <w:rsid w:val="1D90357B"/>
    <w:rsid w:val="1DA2450C"/>
    <w:rsid w:val="1E015958"/>
    <w:rsid w:val="1EAC0576"/>
    <w:rsid w:val="1F457DEB"/>
    <w:rsid w:val="1F4F76D7"/>
    <w:rsid w:val="1F5E25BF"/>
    <w:rsid w:val="204C3CC9"/>
    <w:rsid w:val="20ED0E50"/>
    <w:rsid w:val="20FF154F"/>
    <w:rsid w:val="21DF17AC"/>
    <w:rsid w:val="220C7298"/>
    <w:rsid w:val="22B643D4"/>
    <w:rsid w:val="2301785C"/>
    <w:rsid w:val="23177121"/>
    <w:rsid w:val="24326801"/>
    <w:rsid w:val="24461129"/>
    <w:rsid w:val="245B2BE4"/>
    <w:rsid w:val="2461458C"/>
    <w:rsid w:val="24655634"/>
    <w:rsid w:val="24AD6D38"/>
    <w:rsid w:val="24D83346"/>
    <w:rsid w:val="25720679"/>
    <w:rsid w:val="25DF5154"/>
    <w:rsid w:val="265B42DF"/>
    <w:rsid w:val="27553E85"/>
    <w:rsid w:val="27A229B2"/>
    <w:rsid w:val="27B5253B"/>
    <w:rsid w:val="283E3CD3"/>
    <w:rsid w:val="29D14A0E"/>
    <w:rsid w:val="2ADF01BD"/>
    <w:rsid w:val="2B3F5F01"/>
    <w:rsid w:val="2C0B7CF9"/>
    <w:rsid w:val="2C2E4C48"/>
    <w:rsid w:val="2D385B00"/>
    <w:rsid w:val="2D5F028F"/>
    <w:rsid w:val="2DA76800"/>
    <w:rsid w:val="2DD707ED"/>
    <w:rsid w:val="2E5D642A"/>
    <w:rsid w:val="2EC5794C"/>
    <w:rsid w:val="2F124B1C"/>
    <w:rsid w:val="2F45482D"/>
    <w:rsid w:val="2F477084"/>
    <w:rsid w:val="2F5E419A"/>
    <w:rsid w:val="2FF24A9E"/>
    <w:rsid w:val="305F0D15"/>
    <w:rsid w:val="307D673F"/>
    <w:rsid w:val="31324247"/>
    <w:rsid w:val="31C1427F"/>
    <w:rsid w:val="320D3218"/>
    <w:rsid w:val="32275076"/>
    <w:rsid w:val="32985053"/>
    <w:rsid w:val="32B20743"/>
    <w:rsid w:val="32E31462"/>
    <w:rsid w:val="32E81473"/>
    <w:rsid w:val="33011FDF"/>
    <w:rsid w:val="33817B10"/>
    <w:rsid w:val="33D56F13"/>
    <w:rsid w:val="34280373"/>
    <w:rsid w:val="3439458D"/>
    <w:rsid w:val="345D5D57"/>
    <w:rsid w:val="346E5D8F"/>
    <w:rsid w:val="350A079B"/>
    <w:rsid w:val="35306958"/>
    <w:rsid w:val="35316934"/>
    <w:rsid w:val="35C15576"/>
    <w:rsid w:val="35C46C85"/>
    <w:rsid w:val="364B0EC2"/>
    <w:rsid w:val="36C758E3"/>
    <w:rsid w:val="36D45DBC"/>
    <w:rsid w:val="37571F09"/>
    <w:rsid w:val="38014F46"/>
    <w:rsid w:val="38E97278"/>
    <w:rsid w:val="39073CCD"/>
    <w:rsid w:val="391E6950"/>
    <w:rsid w:val="3A1A525E"/>
    <w:rsid w:val="3B2A754D"/>
    <w:rsid w:val="3B380893"/>
    <w:rsid w:val="3C175755"/>
    <w:rsid w:val="3C725167"/>
    <w:rsid w:val="3C9839FA"/>
    <w:rsid w:val="3CB04E80"/>
    <w:rsid w:val="3CC07697"/>
    <w:rsid w:val="3CC67CD4"/>
    <w:rsid w:val="3D96637E"/>
    <w:rsid w:val="3DC372EE"/>
    <w:rsid w:val="3DEC2498"/>
    <w:rsid w:val="3E4F494F"/>
    <w:rsid w:val="3F922A95"/>
    <w:rsid w:val="3FAD3FCA"/>
    <w:rsid w:val="40BE3049"/>
    <w:rsid w:val="422721F4"/>
    <w:rsid w:val="424C20F5"/>
    <w:rsid w:val="42547D8B"/>
    <w:rsid w:val="42F23437"/>
    <w:rsid w:val="43663E29"/>
    <w:rsid w:val="44052193"/>
    <w:rsid w:val="444769AF"/>
    <w:rsid w:val="44EA4606"/>
    <w:rsid w:val="458C667A"/>
    <w:rsid w:val="460D286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E45808"/>
    <w:rsid w:val="4E9448CD"/>
    <w:rsid w:val="4F374C6E"/>
    <w:rsid w:val="4FF65309"/>
    <w:rsid w:val="50560813"/>
    <w:rsid w:val="505F0174"/>
    <w:rsid w:val="50A050A3"/>
    <w:rsid w:val="51352836"/>
    <w:rsid w:val="515C5FBB"/>
    <w:rsid w:val="518D6935"/>
    <w:rsid w:val="51A13899"/>
    <w:rsid w:val="520C2784"/>
    <w:rsid w:val="523B4164"/>
    <w:rsid w:val="52581E68"/>
    <w:rsid w:val="528771C6"/>
    <w:rsid w:val="531600B4"/>
    <w:rsid w:val="535A1FCB"/>
    <w:rsid w:val="536561B2"/>
    <w:rsid w:val="53BF14AD"/>
    <w:rsid w:val="53ED4DA2"/>
    <w:rsid w:val="53FA012A"/>
    <w:rsid w:val="54150FD2"/>
    <w:rsid w:val="544C0545"/>
    <w:rsid w:val="544C35ED"/>
    <w:rsid w:val="55684A64"/>
    <w:rsid w:val="557F3457"/>
    <w:rsid w:val="55BA027F"/>
    <w:rsid w:val="56626902"/>
    <w:rsid w:val="5669344E"/>
    <w:rsid w:val="56700294"/>
    <w:rsid w:val="57646F97"/>
    <w:rsid w:val="57D2139A"/>
    <w:rsid w:val="57DF4B76"/>
    <w:rsid w:val="586B1477"/>
    <w:rsid w:val="58A31F4C"/>
    <w:rsid w:val="58F740AE"/>
    <w:rsid w:val="59484EC2"/>
    <w:rsid w:val="5977007E"/>
    <w:rsid w:val="5A85418B"/>
    <w:rsid w:val="5AD651AF"/>
    <w:rsid w:val="5BAE2A99"/>
    <w:rsid w:val="5C1717D9"/>
    <w:rsid w:val="5C1A7007"/>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1C23AA9"/>
    <w:rsid w:val="62343767"/>
    <w:rsid w:val="624630C9"/>
    <w:rsid w:val="62F6410D"/>
    <w:rsid w:val="634675E2"/>
    <w:rsid w:val="63520B99"/>
    <w:rsid w:val="638962A8"/>
    <w:rsid w:val="63BF3CCD"/>
    <w:rsid w:val="63F4509F"/>
    <w:rsid w:val="6486046D"/>
    <w:rsid w:val="64BF36B4"/>
    <w:rsid w:val="64C76A4D"/>
    <w:rsid w:val="64FE6613"/>
    <w:rsid w:val="651654D0"/>
    <w:rsid w:val="651D7A65"/>
    <w:rsid w:val="657E21F9"/>
    <w:rsid w:val="665B3394"/>
    <w:rsid w:val="66980FBD"/>
    <w:rsid w:val="67341FB4"/>
    <w:rsid w:val="67F03A67"/>
    <w:rsid w:val="68D23C1D"/>
    <w:rsid w:val="68E73545"/>
    <w:rsid w:val="69294622"/>
    <w:rsid w:val="69995CD6"/>
    <w:rsid w:val="69AB4D81"/>
    <w:rsid w:val="69B4259C"/>
    <w:rsid w:val="69CA0494"/>
    <w:rsid w:val="69FB4D8B"/>
    <w:rsid w:val="6C2234CC"/>
    <w:rsid w:val="6D32159C"/>
    <w:rsid w:val="6D351CF7"/>
    <w:rsid w:val="6E383F8E"/>
    <w:rsid w:val="6EB746A7"/>
    <w:rsid w:val="6F13150B"/>
    <w:rsid w:val="6F34277B"/>
    <w:rsid w:val="6F832092"/>
    <w:rsid w:val="6FE8143A"/>
    <w:rsid w:val="7039129F"/>
    <w:rsid w:val="704D75D1"/>
    <w:rsid w:val="70506DB5"/>
    <w:rsid w:val="7072440C"/>
    <w:rsid w:val="7092622D"/>
    <w:rsid w:val="70D16D7B"/>
    <w:rsid w:val="71212C19"/>
    <w:rsid w:val="71CB356E"/>
    <w:rsid w:val="71EC2A56"/>
    <w:rsid w:val="737E090F"/>
    <w:rsid w:val="741756AE"/>
    <w:rsid w:val="741A563C"/>
    <w:rsid w:val="751414C1"/>
    <w:rsid w:val="752B718F"/>
    <w:rsid w:val="755446EC"/>
    <w:rsid w:val="755E1E93"/>
    <w:rsid w:val="75752706"/>
    <w:rsid w:val="75AB4839"/>
    <w:rsid w:val="76015A01"/>
    <w:rsid w:val="760431FB"/>
    <w:rsid w:val="76721B44"/>
    <w:rsid w:val="767C5E46"/>
    <w:rsid w:val="76B625A7"/>
    <w:rsid w:val="770C5354"/>
    <w:rsid w:val="78143BC7"/>
    <w:rsid w:val="787D7581"/>
    <w:rsid w:val="78A17827"/>
    <w:rsid w:val="78AF68A0"/>
    <w:rsid w:val="78C37659"/>
    <w:rsid w:val="790B56C3"/>
    <w:rsid w:val="79B528E3"/>
    <w:rsid w:val="7B0155BF"/>
    <w:rsid w:val="7BC16393"/>
    <w:rsid w:val="7C1D0C87"/>
    <w:rsid w:val="7D0543E8"/>
    <w:rsid w:val="7D426DE3"/>
    <w:rsid w:val="7DE1586C"/>
    <w:rsid w:val="7E4C7A10"/>
    <w:rsid w:val="7E4D2297"/>
    <w:rsid w:val="7E583278"/>
    <w:rsid w:val="7EB52D4A"/>
    <w:rsid w:val="7EC43622"/>
    <w:rsid w:val="7ECA7D27"/>
    <w:rsid w:val="7EEC1A19"/>
    <w:rsid w:val="7EF735F0"/>
    <w:rsid w:val="7F0A2998"/>
    <w:rsid w:val="7F0B0D76"/>
    <w:rsid w:val="7F130E11"/>
    <w:rsid w:val="7FF93B4F"/>
    <w:rsid w:val="7FFE6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29</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2019-09-11T04:26:43Z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