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许昌市公安局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2019年交通设施购置安装</w:t>
      </w:r>
      <w:r>
        <w:rPr>
          <w:rFonts w:hint="eastAsia" w:asciiTheme="majorEastAsia" w:hAnsiTheme="majorEastAsia" w:eastAsiaTheme="majorEastAsia" w:cstheme="majorEastAsia"/>
          <w:b/>
          <w:bCs/>
          <w:color w:val="000000"/>
          <w:sz w:val="44"/>
          <w:szCs w:val="44"/>
        </w:rPr>
        <w:t>”</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133</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许昌市公安局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olor w:val="000000"/>
          <w:sz w:val="21"/>
          <w:szCs w:val="21"/>
          <w:shd w:val="clear" w:color="auto" w:fill="FFFFFF"/>
        </w:rPr>
        <w:t>许昌市政府采购中</w:t>
      </w:r>
      <w:r>
        <w:rPr>
          <w:rFonts w:hint="eastAsia" w:cs="仿宋_GB2312" w:asciiTheme="minorEastAsia" w:hAnsiTheme="minorEastAsia" w:eastAsiaTheme="minorEastAsia"/>
          <w:color w:val="000000"/>
          <w:sz w:val="21"/>
          <w:szCs w:val="21"/>
          <w:shd w:val="clear" w:color="auto" w:fill="FFFFFF"/>
        </w:rPr>
        <w:t>心(以下简称采购中心) 受</w:t>
      </w:r>
      <w:r>
        <w:rPr>
          <w:rFonts w:hint="eastAsia" w:cs="仿宋_GB2312" w:asciiTheme="minorEastAsia" w:hAnsiTheme="minorEastAsia" w:eastAsiaTheme="minorEastAsia"/>
          <w:color w:val="000000"/>
          <w:sz w:val="21"/>
          <w:szCs w:val="21"/>
          <w:shd w:val="clear" w:color="auto" w:fill="FFFFFF"/>
          <w:lang w:val="en-US" w:eastAsia="zh-CN"/>
        </w:rPr>
        <w:t>许昌市公安局</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val="en-US" w:eastAsia="zh-CN"/>
        </w:rPr>
        <w:t>2019年交通设施购置安装</w:t>
      </w:r>
      <w:r>
        <w:rPr>
          <w:rFonts w:hint="eastAsia" w:cs="仿宋_GB2312" w:asciiTheme="minorEastAsia" w:hAnsiTheme="minorEastAsia" w:eastAsiaTheme="minorEastAsia"/>
          <w:color w:val="000000"/>
          <w:sz w:val="21"/>
          <w:szCs w:val="21"/>
          <w:shd w:val="clear" w:color="auto" w:fill="FFFFFF"/>
        </w:rPr>
        <w:t>”项目进行公开招标。现邀请符合本招标文件规定条件的</w:t>
      </w:r>
      <w:r>
        <w:rPr>
          <w:rFonts w:hint="eastAsia" w:cs="仿宋_GB2312" w:asciiTheme="minorEastAsia" w:hAnsiTheme="minorEastAsia" w:eastAsiaTheme="minorEastAsia"/>
          <w:color w:val="000000"/>
          <w:sz w:val="21"/>
          <w:szCs w:val="21"/>
          <w:shd w:val="clear" w:color="auto" w:fill="FFFFFF"/>
          <w:lang w:eastAsia="zh-CN"/>
        </w:rPr>
        <w:t>投标人</w:t>
      </w:r>
      <w:r>
        <w:rPr>
          <w:rFonts w:hint="eastAsia" w:cs="仿宋_GB2312" w:asciiTheme="minorEastAsia" w:hAnsiTheme="minorEastAsia" w:eastAsiaTheme="minorEastAsia"/>
          <w:color w:val="000000"/>
          <w:sz w:val="21"/>
          <w:szCs w:val="21"/>
          <w:shd w:val="clear" w:color="auto" w:fill="FFFFFF"/>
        </w:rPr>
        <w:t>前来投标。</w:t>
      </w:r>
    </w:p>
    <w:p>
      <w:pPr>
        <w:pStyle w:val="21"/>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2019年交通设施购置安装</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133</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wordWrap w:val="0"/>
        <w:spacing w:line="360" w:lineRule="auto"/>
        <w:ind w:firstLine="420"/>
        <w:contextualSpacing/>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（三）采购方式：公开招标                                                             （四）项目主要内容、数量及要求：</w:t>
      </w:r>
      <w:r>
        <w:rPr>
          <w:rFonts w:hint="eastAsia" w:cs="仿宋_GB2312" w:asciiTheme="minorEastAsia" w:hAnsiTheme="minorEastAsia" w:eastAsiaTheme="minorEastAsia"/>
          <w:color w:val="000000"/>
          <w:kern w:val="2"/>
          <w:sz w:val="21"/>
          <w:szCs w:val="21"/>
          <w:shd w:val="clear" w:color="auto" w:fill="FFFFFF"/>
          <w:lang w:val="en-US" w:eastAsia="zh-CN" w:bidi="ar-SA"/>
        </w:rPr>
        <w:t>A包交通标线;B包交通标志牌;C包交通信号灯自适应系统</w:t>
      </w:r>
      <w:r>
        <w:rPr>
          <w:rFonts w:hint="eastAsia" w:cs="仿宋_GB2312" w:asciiTheme="minorEastAsia" w:hAnsiTheme="minorEastAsia" w:eastAsiaTheme="minorEastAsia"/>
          <w:color w:val="000000"/>
          <w:sz w:val="21"/>
          <w:szCs w:val="21"/>
          <w:shd w:val="clear" w:color="auto" w:fill="FFFFFF"/>
          <w:lang w:val="en-US" w:eastAsia="zh-CN"/>
        </w:rPr>
        <w:t xml:space="preserve">  </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A包238.8362万元；B包305.6966万元；C包384.4802万元；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val="en-US" w:eastAsia="zh-CN"/>
        </w:rPr>
        <w:t>A包238.8362万元；B包305.6966万元；C包384.4802万元。</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r>
        <w:rPr>
          <w:rFonts w:hint="eastAsia" w:cs="仿宋_GB2312" w:asciiTheme="minorEastAsia" w:hAnsiTheme="minorEastAsia" w:eastAsiaTheme="minorEastAsia"/>
          <w:color w:val="000000"/>
          <w:sz w:val="21"/>
          <w:szCs w:val="21"/>
          <w:shd w:val="clear" w:color="auto" w:fill="FFFFFF"/>
          <w:lang w:val="en-US" w:eastAsia="zh-CN"/>
        </w:rPr>
        <w:t>A包交通标线：2020年5月31日前，接到通知后12小时内相应，在市政府规定时限前完成标线施划；B包交通标志牌：2019年12月20日前完成交通标志牌的安装，具备验收条件；C包交通信号灯自适应系统：2019年12月20日前完成所有设备的安装调试，具备验收条件。</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eastAsia="zh-CN"/>
        </w:rPr>
        <w:t>许昌市</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（九）分包：不允许。                                                           </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asciiTheme="minorEastAsia" w:hAnsiTheme="minorEastAsia" w:eastAsiaTheme="minorEastAsia"/>
          <w:color w:val="000000"/>
          <w:sz w:val="21"/>
          <w:szCs w:val="21"/>
          <w:lang w:eastAsia="zh-CN"/>
        </w:rPr>
        <w:t>二</w:t>
      </w:r>
      <w:r>
        <w:rPr>
          <w:rFonts w:hint="eastAsia"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szCs w:val="21"/>
        </w:rPr>
      </w:pPr>
      <w:r>
        <w:rPr>
          <w:rFonts w:hint="eastAsia" w:ascii="宋体" w:hAnsi="宋体"/>
          <w:b/>
          <w:szCs w:val="21"/>
        </w:rPr>
        <w:t>采购人</w:t>
      </w:r>
      <w:r>
        <w:rPr>
          <w:rFonts w:hint="eastAsia" w:ascii="宋体" w:hAnsi="宋体"/>
          <w:szCs w:val="21"/>
        </w:rPr>
        <w:t>：</w:t>
      </w:r>
      <w:r>
        <w:rPr>
          <w:rFonts w:hint="eastAsia" w:ascii="宋体" w:hAnsi="宋体"/>
          <w:szCs w:val="21"/>
          <w:lang w:val="en-US" w:eastAsia="zh-CN"/>
        </w:rPr>
        <w:t>许昌市公安局</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w:t>
      </w:r>
      <w:r>
        <w:rPr>
          <w:rFonts w:hint="eastAsia" w:ascii="宋体" w:hAnsi="宋体"/>
          <w:szCs w:val="21"/>
          <w:lang w:val="en-US" w:eastAsia="zh-CN"/>
        </w:rPr>
        <w:t>许昌市许由西路</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联系人：</w:t>
      </w:r>
      <w:r>
        <w:rPr>
          <w:rFonts w:hint="eastAsia" w:ascii="宋体" w:hAnsi="宋体"/>
          <w:szCs w:val="21"/>
          <w:lang w:val="en-US" w:eastAsia="zh-CN"/>
        </w:rPr>
        <w:t>娄文群</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联系电话：</w:t>
      </w:r>
      <w:r>
        <w:rPr>
          <w:rFonts w:hint="eastAsia" w:ascii="宋体" w:hAnsi="宋体"/>
          <w:szCs w:val="21"/>
          <w:lang w:val="en-US" w:eastAsia="zh-CN"/>
        </w:rPr>
        <w:t>0374-2908957</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numPr>
          <w:ilvl w:val="0"/>
          <w:numId w:val="5"/>
        </w:num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00" w:lineRule="atLeast"/>
        <w:ind w:left="0" w:right="0" w:firstLine="600"/>
        <w:jc w:val="left"/>
        <w:textAlignment w:val="auto"/>
        <w:rPr>
          <w:rFonts w:hint="eastAsia" w:asciiTheme="minorEastAsia" w:hAnsiTheme="minorEastAsia" w:eastAsiaTheme="minorEastAsia" w:cstheme="minorEastAsia"/>
          <w:b w:val="0"/>
          <w:i w:val="0"/>
          <w:color w:val="000000"/>
          <w:kern w:val="0"/>
          <w:sz w:val="24"/>
          <w:szCs w:val="24"/>
          <w:u w:val="none"/>
          <w:shd w:val="clear" w:color="auto" w:fill="FFFFFF"/>
          <w:lang w:val="en-US" w:eastAsia="zh-CN" w:bidi="ar"/>
        </w:rPr>
      </w:pPr>
      <w:r>
        <w:rPr>
          <w:rFonts w:hint="eastAsia" w:asciiTheme="minorEastAsia" w:hAnsiTheme="minorEastAsia" w:eastAsiaTheme="minorEastAsia" w:cstheme="minorEastAsia"/>
          <w:b w:val="0"/>
          <w:i w:val="0"/>
          <w:color w:val="000000"/>
          <w:kern w:val="0"/>
          <w:sz w:val="24"/>
          <w:szCs w:val="24"/>
          <w:u w:val="none"/>
          <w:shd w:val="clear" w:color="auto" w:fill="FFFFFF"/>
          <w:lang w:val="en-US" w:eastAsia="zh-CN" w:bidi="ar"/>
        </w:rPr>
        <w:t>本项目招标完成后至2020年5月31日，根据市公安局工作安排对市区交通设施进行改造或新建。本项目因是年度计划安排，根据实际工作需要，实际施工过程中，可能有具体交通设施的品种、数量与本次招标不一致的情况，投标人需承诺允许在中标总价范围内根据采购人实际需要、按照本项目中标各品种单价对设施的品种、数量进行调整。具体内容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00" w:lineRule="atLeast"/>
        <w:ind w:left="0" w:right="0" w:firstLine="600"/>
        <w:jc w:val="left"/>
        <w:textAlignment w:val="auto"/>
        <w:rPr>
          <w:rFonts w:hint="eastAsia" w:asciiTheme="minorEastAsia" w:hAnsiTheme="minorEastAsia" w:eastAsiaTheme="minorEastAsia" w:cstheme="minorEastAsia"/>
          <w:b w:val="0"/>
          <w:i w:val="0"/>
          <w:color w:val="000000"/>
          <w:kern w:val="0"/>
          <w:sz w:val="24"/>
          <w:szCs w:val="24"/>
          <w:u w:val="none"/>
          <w:shd w:val="clear" w:color="auto" w:fill="FFFFFF"/>
          <w:lang w:val="en-US" w:eastAsia="zh-CN" w:bidi="ar"/>
        </w:rPr>
      </w:pPr>
      <w:r>
        <w:rPr>
          <w:rFonts w:hint="eastAsia" w:asciiTheme="minorEastAsia" w:hAnsiTheme="minorEastAsia" w:eastAsiaTheme="minorEastAsia" w:cstheme="minorEastAsia"/>
          <w:b w:val="0"/>
          <w:i w:val="0"/>
          <w:color w:val="000000"/>
          <w:kern w:val="0"/>
          <w:sz w:val="24"/>
          <w:szCs w:val="24"/>
          <w:u w:val="none"/>
          <w:shd w:val="clear" w:color="auto" w:fill="FFFFFF"/>
          <w:lang w:val="zh-CN" w:eastAsia="zh-CN" w:bidi="ar"/>
        </w:rPr>
        <w:t>A包：</w:t>
      </w:r>
      <w:r>
        <w:rPr>
          <w:rFonts w:hint="eastAsia" w:asciiTheme="minorEastAsia" w:hAnsiTheme="minorEastAsia" w:eastAsiaTheme="minorEastAsia" w:cstheme="minorEastAsia"/>
          <w:b w:val="0"/>
          <w:i w:val="0"/>
          <w:color w:val="000000"/>
          <w:kern w:val="0"/>
          <w:sz w:val="24"/>
          <w:szCs w:val="24"/>
          <w:u w:val="none"/>
          <w:shd w:val="clear" w:color="auto" w:fill="FFFFFF"/>
          <w:lang w:val="en-US" w:eastAsia="zh-CN" w:bidi="ar"/>
        </w:rPr>
        <w:t>交通标线：本标段招标完成后至2020年5月31日，在市区刷新交通标线，（本项目含划线时路面护栏迁移费用，局部划线完毕后，护栏须在4小时内恢复原状），详情如下：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00" w:lineRule="atLeast"/>
        <w:ind w:right="0"/>
        <w:jc w:val="left"/>
        <w:textAlignment w:val="auto"/>
        <w:rPr>
          <w:rFonts w:hint="eastAsia" w:asciiTheme="minorEastAsia" w:hAnsiTheme="minorEastAsia" w:eastAsiaTheme="minorEastAsia" w:cstheme="minorEastAsia"/>
          <w:b w:val="0"/>
          <w:i w:val="0"/>
          <w:color w:val="000000"/>
          <w:kern w:val="0"/>
          <w:sz w:val="24"/>
          <w:szCs w:val="24"/>
          <w:u w:val="none"/>
          <w:shd w:val="clear" w:color="auto" w:fill="FFFFFF"/>
          <w:lang w:val="en-US" w:eastAsia="zh-CN" w:bidi="ar"/>
        </w:rPr>
      </w:pPr>
      <w:r>
        <w:rPr>
          <w:rFonts w:hint="eastAsia" w:asciiTheme="minorEastAsia" w:hAnsiTheme="minorEastAsia" w:eastAsiaTheme="minorEastAsia" w:cstheme="minorEastAsia"/>
          <w:b w:val="0"/>
          <w:i w:val="0"/>
          <w:color w:val="000000"/>
          <w:kern w:val="0"/>
          <w:sz w:val="24"/>
          <w:szCs w:val="24"/>
          <w:u w:val="none"/>
          <w:shd w:val="clear" w:color="auto" w:fill="FFFFFF"/>
          <w:lang w:val="en-US" w:eastAsia="zh-CN" w:bidi="ar"/>
        </w:rPr>
        <w:t>A包采购清单</w:t>
      </w:r>
    </w:p>
    <w:tbl>
      <w:tblPr>
        <w:tblStyle w:val="23"/>
        <w:tblW w:w="8596" w:type="dxa"/>
        <w:tblInd w:w="0" w:type="dxa"/>
        <w:tblLayout w:type="fixed"/>
        <w:tblCellMar>
          <w:top w:w="0" w:type="dxa"/>
          <w:left w:w="0" w:type="dxa"/>
          <w:bottom w:w="0" w:type="dxa"/>
          <w:right w:w="0" w:type="dxa"/>
        </w:tblCellMar>
      </w:tblPr>
      <w:tblGrid>
        <w:gridCol w:w="573"/>
        <w:gridCol w:w="1147"/>
        <w:gridCol w:w="3739"/>
        <w:gridCol w:w="806"/>
        <w:gridCol w:w="771"/>
        <w:gridCol w:w="1560"/>
      </w:tblGrid>
      <w:tr>
        <w:tblPrEx>
          <w:tblLayout w:type="fixed"/>
          <w:tblCellMar>
            <w:top w:w="0" w:type="dxa"/>
            <w:left w:w="0" w:type="dxa"/>
            <w:bottom w:w="0" w:type="dxa"/>
            <w:right w:w="0" w:type="dxa"/>
          </w:tblCellMar>
        </w:tblPrEx>
        <w:trPr>
          <w:trHeight w:val="712" w:hRule="atLeast"/>
        </w:trPr>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1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名称</w:t>
            </w:r>
          </w:p>
        </w:tc>
        <w:tc>
          <w:tcPr>
            <w:tcW w:w="3739"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规格型号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技术参数</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440"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道路标线清除</w:t>
            </w:r>
          </w:p>
        </w:tc>
        <w:tc>
          <w:tcPr>
            <w:tcW w:w="3739"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机械除掉道路标线</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宽150-200mm 厚度1.5mm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36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用灰漆涂掉道路标线</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厚度0.075mm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38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水除 </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否</w:t>
            </w:r>
          </w:p>
        </w:tc>
      </w:tr>
      <w:tr>
        <w:tblPrEx>
          <w:tblLayout w:type="fixed"/>
          <w:tblCellMar>
            <w:top w:w="0" w:type="dxa"/>
            <w:left w:w="0" w:type="dxa"/>
            <w:bottom w:w="0" w:type="dxa"/>
            <w:right w:w="0" w:type="dxa"/>
          </w:tblCellMar>
        </w:tblPrEx>
        <w:trPr>
          <w:trHeight w:val="1140" w:hRule="atLeast"/>
        </w:trPr>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减速振动标线</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热熔反光性型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非凸起部分厚度1.5-2mm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920"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道路标线</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热熔反光性型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厚度1.5-2mm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15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9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  厚度0.12-0.2mm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c>
          <w:tcPr>
            <w:tcW w:w="15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停车位   (含编号)</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宽： 2000-2500mm </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长：5000-6000mm</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热熔反光性型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厚度1.5-2mm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56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52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宽： 2000-2500mm </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长：5000-6000mm常温型  厚度0.12-0.2mm宽1.5</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15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27" w:hRule="atLeast"/>
        </w:trPr>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非机动车停车位</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   厚度0.12-0.2mm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1060"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导向标线</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热熔反光性型  直行箭头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厚度1.5-2mm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长6米宽0.9米</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66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   直行箭头     厚度0.12-0.2mm  长6米宽0.9米</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134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热熔反光性型 复合型箭头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厚度1.5-2mm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长6米宽1.5米</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707"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       复合型箭头     厚度0.12-0.2mm   长6米宽1.5米</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108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热熔反光性型 减速让行标识线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厚度1.5-2mm </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FF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9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  减速让行标识线    厚度0.12-0.2mm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FF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900"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预告标线</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热熔反光性型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厚度1.5-2mm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60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  厚度0.12-0.2mm 长宽：1*2米</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1380"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路面标记标线</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热熔反光性型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厚度1.5-2mm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非机动车图案0.8-1米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厚1.5-2mm </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560"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58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  非机动车图案0.8-1米厚0.12mm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w:t>
            </w:r>
          </w:p>
        </w:tc>
        <w:tc>
          <w:tcPr>
            <w:tcW w:w="1560"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108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热熔反光性型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厚度1.5-2mm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公交专用2*6米</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50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   公交专用字2*6米厚0.12mm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134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热熔反光性型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厚度1.5-2mm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非机、行人、左转等，等候字  1200*3000mm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68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  非机、行人、左转等，等候字   1200*3000mm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560"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56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  停车让行停字1*2.5米</w:t>
            </w:r>
          </w:p>
        </w:tc>
        <w:tc>
          <w:tcPr>
            <w:tcW w:w="80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500"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立体斑马线</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热熔反光性型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厚度1.5-2mm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白、蓝、黄三种颜色</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560"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980"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  白、蓝、黄三种颜色涂料白、蓝、黄三种颜色涂料宽0.6*长6m厚度0.12-0.2mm</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1140" w:hRule="atLeast"/>
        </w:trPr>
        <w:tc>
          <w:tcPr>
            <w:tcW w:w="573"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彩色防滑斑马线</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热熔反光性型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厚度1.5-2mm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树脂胶，陶瓷颗粒，红、白、蓝、黄等颜色</w:t>
            </w:r>
          </w:p>
        </w:tc>
        <w:tc>
          <w:tcPr>
            <w:tcW w:w="8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1120" w:hRule="atLeast"/>
        </w:trPr>
        <w:tc>
          <w:tcPr>
            <w:tcW w:w="57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减速让行停车线（双虚）</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热熔反光性型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玻璃珠含量:18 - 25%。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厚度1.5-2mm</w:t>
            </w:r>
          </w:p>
        </w:tc>
        <w:tc>
          <w:tcPr>
            <w:tcW w:w="8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520" w:hRule="atLeast"/>
        </w:trPr>
        <w:tc>
          <w:tcPr>
            <w:tcW w:w="57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常温型</w:t>
            </w:r>
          </w:p>
        </w:tc>
        <w:tc>
          <w:tcPr>
            <w:tcW w:w="8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1660" w:hRule="atLeast"/>
        </w:trPr>
        <w:tc>
          <w:tcPr>
            <w:tcW w:w="573"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4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双组份标线</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逆反射系数(白色):初始≥220mcd.m.lx，持续≥150mcd.m.lx 潮湿条件下结构雨夜型逆反射系数:≥ 35mcd.m.lx反光标线,厚度喷涂型(0.5-0.7mm)</w:t>
            </w:r>
          </w:p>
        </w:tc>
        <w:tc>
          <w:tcPr>
            <w:tcW w:w="8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tabs>
                <w:tab w:val="center" w:pos="1034"/>
              </w:tabs>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920" w:hRule="atLeast"/>
        </w:trPr>
        <w:tc>
          <w:tcPr>
            <w:tcW w:w="573"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4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水性标线</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白天反光值初始≥150mcd.m.lx 潮湿条件下≥ 35mcd.m.lx反光标线,厚度喷涂(0.6mm)</w:t>
            </w:r>
          </w:p>
        </w:tc>
        <w:tc>
          <w:tcPr>
            <w:tcW w:w="8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是</w:t>
            </w:r>
          </w:p>
        </w:tc>
      </w:tr>
      <w:tr>
        <w:tblPrEx>
          <w:tblLayout w:type="fixed"/>
          <w:tblCellMar>
            <w:top w:w="0" w:type="dxa"/>
            <w:left w:w="0" w:type="dxa"/>
            <w:bottom w:w="0" w:type="dxa"/>
            <w:right w:w="0" w:type="dxa"/>
          </w:tblCellMar>
        </w:tblPrEx>
        <w:trPr>
          <w:trHeight w:val="4280" w:hRule="atLeast"/>
        </w:trPr>
        <w:tc>
          <w:tcPr>
            <w:tcW w:w="573"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4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凸起路标</w:t>
            </w:r>
          </w:p>
        </w:tc>
        <w:tc>
          <w:tcPr>
            <w:tcW w:w="37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left="178" w:leftChars="85"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规格：</w:t>
            </w:r>
            <w:r>
              <w:rPr>
                <w:rFonts w:hint="eastAsia" w:ascii="宋体" w:hAnsi="宋体" w:eastAsia="宋体" w:cs="宋体"/>
                <w:i w:val="0"/>
                <w:color w:val="000000"/>
                <w:kern w:val="0"/>
                <w:sz w:val="18"/>
                <w:szCs w:val="18"/>
                <w:u w:val="none"/>
                <w:lang w:val="en-US" w:eastAsia="zh-CN" w:bidi="ar"/>
              </w:rPr>
              <w:t>104*122*24mm</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1．太阳能板: ≥单晶硅0.3w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2．储能器件：≥1.2V/800MAH NI-MH 耐高温电池;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3．工作时长：标准光强下工作≥80小时,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4．显示方式：闪烁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5．显示颜色：白、黄可选。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6．启控光强：400-500Lux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7．使用寿命：≥4年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8．工作环境：-20℃～+70℃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9．材质:铝合金外壳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10．防水及静态抗压能力：IP68，静态抗压大于20吨.</w:t>
            </w:r>
          </w:p>
        </w:tc>
        <w:tc>
          <w:tcPr>
            <w:tcW w:w="8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i w:val="0"/>
                <w:color w:val="000000"/>
                <w:sz w:val="18"/>
                <w:szCs w:val="18"/>
                <w:u w:val="none"/>
              </w:rPr>
            </w:pPr>
          </w:p>
          <w:p>
            <w:pPr>
              <w:bidi w:val="0"/>
              <w:jc w:val="center"/>
              <w:rPr>
                <w:rFonts w:hint="eastAsia" w:ascii="Calibri" w:hAnsi="Calibri" w:eastAsia="宋体" w:cs="Times New Roman"/>
                <w:kern w:val="2"/>
                <w:sz w:val="21"/>
                <w:szCs w:val="24"/>
                <w:lang w:val="en-US" w:eastAsia="zh-CN" w:bidi="ar-SA"/>
              </w:rPr>
            </w:pPr>
            <w:r>
              <w:rPr>
                <w:rFonts w:hint="eastAsia" w:ascii="宋体" w:hAnsi="宋体" w:cs="宋体"/>
                <w:i w:val="0"/>
                <w:color w:val="000000"/>
                <w:sz w:val="18"/>
                <w:szCs w:val="18"/>
                <w:u w:val="none"/>
                <w:lang w:val="en-US" w:eastAsia="zh-CN"/>
              </w:rPr>
              <w:t>否</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eastAsia" w:asciiTheme="minorEastAsia" w:hAnsiTheme="minorEastAsia" w:eastAsiaTheme="minorEastAsia" w:cstheme="minorEastAsia"/>
          <w:b w:val="0"/>
          <w:i w:val="0"/>
          <w:color w:val="000000"/>
          <w:kern w:val="0"/>
          <w:sz w:val="24"/>
          <w:szCs w:val="24"/>
          <w:u w:val="none"/>
          <w:shd w:val="clear" w:color="auto" w:fill="FFFFFF"/>
          <w:lang w:val="en-US" w:eastAsia="zh-CN" w:bidi="ar"/>
        </w:rPr>
      </w:pPr>
      <w:r>
        <w:rPr>
          <w:rFonts w:hint="eastAsia" w:asciiTheme="minorEastAsia" w:hAnsiTheme="minorEastAsia" w:eastAsiaTheme="minorEastAsia" w:cstheme="minorEastAsia"/>
          <w:b w:val="0"/>
          <w:i w:val="0"/>
          <w:color w:val="000000"/>
          <w:kern w:val="0"/>
          <w:sz w:val="24"/>
          <w:szCs w:val="24"/>
          <w:u w:val="none"/>
          <w:shd w:val="clear" w:color="auto" w:fill="FFFFFF"/>
          <w:lang w:val="zh-CN" w:eastAsia="zh-CN" w:bidi="ar"/>
        </w:rPr>
        <w:t>B包：交通标志，</w:t>
      </w:r>
      <w:r>
        <w:rPr>
          <w:rFonts w:hint="eastAsia" w:asciiTheme="minorEastAsia" w:hAnsiTheme="minorEastAsia" w:eastAsiaTheme="minorEastAsia" w:cstheme="minorEastAsia"/>
          <w:b w:val="0"/>
          <w:i w:val="0"/>
          <w:color w:val="000000"/>
          <w:kern w:val="0"/>
          <w:sz w:val="24"/>
          <w:szCs w:val="24"/>
          <w:u w:val="none"/>
          <w:shd w:val="clear" w:color="auto" w:fill="FFFFFF"/>
          <w:lang w:val="en-US" w:eastAsia="zh-CN" w:bidi="ar"/>
        </w:rPr>
        <w:t>本标段招标完成后至2019年12月31日，在市区新建部分交通标志及对部分老化交通标志进行更新改造（本项目含安装、施工费用），详情如下：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eastAsia" w:asciiTheme="minorEastAsia" w:hAnsiTheme="minorEastAsia" w:eastAsiaTheme="minorEastAsia" w:cstheme="minorEastAsia"/>
          <w:b w:val="0"/>
          <w:i w:val="0"/>
          <w:color w:val="000000"/>
          <w:kern w:val="0"/>
          <w:sz w:val="24"/>
          <w:szCs w:val="24"/>
          <w:u w:val="none"/>
          <w:shd w:val="clear" w:color="auto" w:fill="FFFFFF"/>
          <w:lang w:val="en-US" w:eastAsia="zh-CN" w:bidi="ar"/>
        </w:rPr>
      </w:pPr>
      <w:r>
        <w:rPr>
          <w:rFonts w:hint="eastAsia" w:asciiTheme="minorEastAsia" w:hAnsiTheme="minorEastAsia" w:eastAsiaTheme="minorEastAsia" w:cstheme="minorEastAsia"/>
          <w:b w:val="0"/>
          <w:i w:val="0"/>
          <w:color w:val="000000"/>
          <w:kern w:val="0"/>
          <w:sz w:val="24"/>
          <w:szCs w:val="24"/>
          <w:u w:val="none"/>
          <w:shd w:val="clear" w:color="auto" w:fill="FFFFFF"/>
          <w:lang w:val="en-US" w:eastAsia="zh-CN" w:bidi="ar"/>
        </w:rPr>
        <w:t>B包采购清单</w:t>
      </w:r>
    </w:p>
    <w:tbl>
      <w:tblPr>
        <w:tblStyle w:val="23"/>
        <w:tblW w:w="8579" w:type="dxa"/>
        <w:tblInd w:w="0" w:type="dxa"/>
        <w:tblLayout w:type="fixed"/>
        <w:tblCellMar>
          <w:top w:w="0" w:type="dxa"/>
          <w:left w:w="0" w:type="dxa"/>
          <w:bottom w:w="0" w:type="dxa"/>
          <w:right w:w="0" w:type="dxa"/>
        </w:tblCellMar>
      </w:tblPr>
      <w:tblGrid>
        <w:gridCol w:w="600"/>
        <w:gridCol w:w="968"/>
        <w:gridCol w:w="4577"/>
        <w:gridCol w:w="720"/>
        <w:gridCol w:w="754"/>
        <w:gridCol w:w="960"/>
      </w:tblGrid>
      <w:tr>
        <w:tblPrEx>
          <w:tblLayout w:type="fixed"/>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457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规格型号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技术参数</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是否为核心产品</w:t>
            </w:r>
          </w:p>
        </w:tc>
      </w:tr>
      <w:tr>
        <w:tblPrEx>
          <w:tblLayout w:type="fixed"/>
          <w:tblCellMar>
            <w:top w:w="0" w:type="dxa"/>
            <w:left w:w="0" w:type="dxa"/>
            <w:bottom w:w="0" w:type="dxa"/>
            <w:right w:w="0" w:type="dxa"/>
          </w:tblCellMar>
        </w:tblPrEx>
        <w:trPr>
          <w:trHeight w:val="939"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矩形标志牌</w:t>
            </w:r>
          </w:p>
        </w:tc>
        <w:tc>
          <w:tcPr>
            <w:tcW w:w="457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IV类反光膜 铝板厚度3MM 含滑动槽铝80*25*4，2根，抱箍，螺栓，铆钉，高空安装费用吊车台班、工程车台班等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117"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2平方米以下含2平方标志牌  </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IV类反光膜 铝板厚度3MM 含滑动槽铝80*25*4，2根，抱箍，螺栓，铆钉，高空安装费用高空安装费用吊车台班、工程车台班等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097"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荧光黄绿标志牌</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IV类全棱镜型反光膜铝板厚度3MM 含滑动槽铝80*25*4，2根，抱箍，螺栓，铆钉，高空安装费用高空安装费用吊车台班、工程车台班等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049"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圆形标志牌</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IV类反光膜 D1米以下，规格D800铝板厚度3MM 含滑动槽铝80*25*4，2根，抱箍，螺栓，铆钉，高空安装费用高空安装费用吊车台班、工程车台班等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512"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Ф377杆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立柱：厚16mm；法兰700*700*20mm；立杆加劲筋350*160*16；切割焊接加工，送外协热镀锌；拼装螺栓，吊车安装；横梁，考虑15-18平方米标志承风力。高空安装费用吊车台班、工程车台班用费等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Ф273杆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立柱：厚14mm；法兰600*600*20mm；立杆加劲筋350*160*16；切割焊接加工，送外协热镀锌；拼装螺栓，吊车安装；横梁，考虑8-12平方米标志承风力。高空安装费用吊车台班、工程车台班用费等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727"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Ф219杆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立柱：厚10mm；法兰500*500*20mm；立杆加劲筋350*160*16；切割焊接加工，送外协热镀锌；拼装螺栓，吊车安装；横梁，考虑3-8平方米标志承风力。高空安装费用吊车台班、工程车台班用费等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296"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Ф180杆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立柱：厚10mm；法兰380*380*20mm；立杆加劲筋350*160*16；切割焊接加工，送外协热镀锌；拼装螺栓，吊车安装；横梁，考虑3-8平方米标志承风力。</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512"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Ф165杆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立柱：厚6mm；法兰360*360*20mm；立杆加劲筋350*160*16；切割焊接加工，送外协热镀锌；拼装螺栓，吊车安装；横梁，考虑3-8平方米标志承风力。高空安装费用吊车台班、工程车台班用费等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2037"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Ф140杆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立柱：厚6mm；法兰360*360*20mm；立杆加劲筋350*160*16；切割焊接加工，送外协热镀锌；拼装螺栓，吊车安装；横梁，考虑2平方米标志承风力。高空安装费用吊车台班、工程车台班用费等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512"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Ф114杆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立柱：厚5mm；法兰300*300*20mm；立杆加劲筋350*160*16；切割焊接加工，送外协热镀锌；拼装螺栓，吊车安装；横梁，考虑2平方米标志承风力。高空安装费用吊车台班、工程车台班用费等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864"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Ф89杆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立柱：厚5mm；法兰300*300*16mm；立杆加劲筋200*100*10；切割焊接加工，送外协热镀锌；拼装螺栓，安装；</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472"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6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独立基础</w:t>
            </w:r>
          </w:p>
        </w:tc>
        <w:tc>
          <w:tcPr>
            <w:tcW w:w="4577"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C30混凝土；含垫层37土夯实；破除路面，人行道步砖；挖坑余土外运；地笼法兰20MM厚；地脚螺栓M30-M27;钢筋Ф12-Ф8；施工模板，安装；挖坑回填，路面恢复，垃圾清运。</w:t>
            </w:r>
          </w:p>
        </w:tc>
        <w:tc>
          <w:tcPr>
            <w:tcW w:w="720"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Verdana" w:hAnsi="Verdana" w:eastAsia="宋体" w:cs="Verdana"/>
                <w:i w:val="0"/>
                <w:color w:val="222222"/>
                <w:sz w:val="18"/>
                <w:szCs w:val="18"/>
                <w:u w:val="none"/>
              </w:rPr>
            </w:pPr>
            <w:r>
              <w:rPr>
                <w:rFonts w:hint="default" w:ascii="Verdana" w:hAnsi="Verdana" w:eastAsia="宋体" w:cs="Verdana"/>
                <w:i w:val="0"/>
                <w:color w:val="222222"/>
                <w:kern w:val="0"/>
                <w:sz w:val="18"/>
                <w:szCs w:val="18"/>
                <w:u w:val="none"/>
                <w:lang w:val="en-US" w:eastAsia="zh-CN" w:bidi="ar"/>
              </w:rPr>
              <w:t>m³</w:t>
            </w:r>
          </w:p>
        </w:tc>
        <w:tc>
          <w:tcPr>
            <w:tcW w:w="75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352" w:hRule="atLeast"/>
        </w:trPr>
        <w:tc>
          <w:tcPr>
            <w:tcW w:w="600"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发光标牌</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电源发光标志</w:t>
            </w:r>
            <w:r>
              <w:rPr>
                <w:rFonts w:hint="eastAsia" w:ascii="宋体" w:hAnsi="宋体" w:cs="宋体"/>
                <w:i w:val="0"/>
                <w:color w:val="000000"/>
                <w:kern w:val="0"/>
                <w:sz w:val="18"/>
                <w:szCs w:val="18"/>
                <w:u w:val="none"/>
                <w:lang w:val="en-US" w:eastAsia="zh-CN" w:bidi="ar"/>
              </w:rPr>
              <w:t>）</w:t>
            </w:r>
          </w:p>
        </w:tc>
        <w:tc>
          <w:tcPr>
            <w:tcW w:w="457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56"/>
                <w:lang w:val="en-US" w:eastAsia="zh-CN" w:bidi="ar"/>
              </w:rPr>
              <w:t>采用太阳能为能源其太阳能供电系统应具有过充保护、过放保护、防逆充保护，极性反接保护等安全防护功能，符合GB/T 24716规定的要求；太阳供电系统的蓄电池，额定容量正常工作</w:t>
            </w:r>
            <w:r>
              <w:rPr>
                <w:rStyle w:val="57"/>
                <w:rFonts w:eastAsia="宋体"/>
                <w:lang w:val="en-US" w:eastAsia="zh-CN" w:bidi="ar"/>
              </w:rPr>
              <w:t>120</w:t>
            </w:r>
            <w:r>
              <w:rPr>
                <w:rStyle w:val="56"/>
                <w:lang w:val="en-US" w:eastAsia="zh-CN" w:bidi="ar"/>
              </w:rPr>
              <w:t>小时。</w:t>
            </w:r>
          </w:p>
        </w:tc>
        <w:tc>
          <w:tcPr>
            <w:tcW w:w="72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6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电源接入</w:t>
            </w:r>
          </w:p>
        </w:tc>
        <w:tc>
          <w:tcPr>
            <w:tcW w:w="4577"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RVV2*2.5</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Ф80顶管、挖沟预埋、排线</w:t>
            </w:r>
          </w:p>
        </w:tc>
        <w:tc>
          <w:tcPr>
            <w:tcW w:w="720"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342"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交通诱导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显示屏</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LED诱导屏</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全彩交通诱导屏：在线可调的恒流控制方式；每平方米亮度: ≥5000cd/m2；红、绿、蓝发光管采用LED芯片；显示屏控制系统，显示屏户外铁箱，连接交管信息平台</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否</w:t>
            </w:r>
          </w:p>
        </w:tc>
      </w:tr>
    </w:tbl>
    <w:p>
      <w:pPr>
        <w:spacing w:line="360" w:lineRule="auto"/>
        <w:ind w:firstLine="480" w:firstLineChars="200"/>
        <w:contextualSpacing/>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C</w:t>
      </w:r>
      <w:r>
        <w:rPr>
          <w:rFonts w:hint="eastAsia" w:asciiTheme="minorEastAsia" w:hAnsiTheme="minorEastAsia" w:eastAsiaTheme="minorEastAsia" w:cstheme="minorEastAsia"/>
          <w:bCs/>
          <w:sz w:val="24"/>
          <w:szCs w:val="24"/>
        </w:rPr>
        <w:t>包：交通信号灯</w:t>
      </w:r>
      <w:r>
        <w:rPr>
          <w:rFonts w:hint="eastAsia" w:asciiTheme="minorEastAsia" w:hAnsiTheme="minorEastAsia" w:eastAsiaTheme="minorEastAsia" w:cstheme="minorEastAsia"/>
          <w:bCs/>
          <w:sz w:val="24"/>
          <w:szCs w:val="24"/>
          <w:lang w:eastAsia="zh-CN"/>
        </w:rPr>
        <w:t>自适应系统</w:t>
      </w:r>
      <w:r>
        <w:rPr>
          <w:rFonts w:hint="eastAsia" w:asciiTheme="minorEastAsia" w:hAnsiTheme="minorEastAsia" w:eastAsiaTheme="minorEastAsia" w:cstheme="minorEastAsia"/>
          <w:bCs/>
          <w:sz w:val="24"/>
          <w:szCs w:val="24"/>
        </w:rPr>
        <w:t>，本</w:t>
      </w:r>
      <w:r>
        <w:rPr>
          <w:rFonts w:hint="eastAsia" w:asciiTheme="minorEastAsia" w:hAnsiTheme="minorEastAsia" w:eastAsiaTheme="minorEastAsia" w:cstheme="minorEastAsia"/>
          <w:bCs/>
          <w:sz w:val="24"/>
          <w:szCs w:val="24"/>
          <w:lang w:eastAsia="zh-CN"/>
        </w:rPr>
        <w:t>标段</w:t>
      </w:r>
      <w:r>
        <w:rPr>
          <w:rFonts w:hint="eastAsia" w:asciiTheme="minorEastAsia" w:hAnsiTheme="minorEastAsia" w:eastAsiaTheme="minorEastAsia" w:cstheme="minorEastAsia"/>
          <w:bCs/>
          <w:sz w:val="24"/>
          <w:szCs w:val="24"/>
        </w:rPr>
        <w:t>招标完成后至20</w:t>
      </w:r>
      <w:r>
        <w:rPr>
          <w:rFonts w:hint="eastAsia" w:asciiTheme="minorEastAsia" w:hAnsiTheme="minorEastAsia" w:eastAsiaTheme="minorEastAsia" w:cstheme="minorEastAsia"/>
          <w:bCs/>
          <w:sz w:val="24"/>
          <w:szCs w:val="24"/>
          <w:lang w:val="en-US" w:eastAsia="zh-CN"/>
        </w:rPr>
        <w:t>19</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12</w:t>
      </w:r>
      <w:r>
        <w:rPr>
          <w:rFonts w:hint="eastAsia" w:asciiTheme="minorEastAsia" w:hAnsiTheme="minorEastAsia" w:eastAsiaTheme="minorEastAsia" w:cstheme="minorEastAsia"/>
          <w:bCs/>
          <w:sz w:val="24"/>
          <w:szCs w:val="24"/>
        </w:rPr>
        <w:t>月31日，</w:t>
      </w:r>
      <w:r>
        <w:rPr>
          <w:rFonts w:hint="eastAsia" w:asciiTheme="minorEastAsia" w:hAnsiTheme="minorEastAsia" w:eastAsiaTheme="minorEastAsia" w:cstheme="minorEastAsia"/>
          <w:bCs/>
          <w:sz w:val="24"/>
          <w:szCs w:val="24"/>
          <w:lang w:eastAsia="zh-CN"/>
        </w:rPr>
        <w:t>在</w:t>
      </w:r>
      <w:r>
        <w:rPr>
          <w:rFonts w:hint="eastAsia" w:asciiTheme="minorEastAsia" w:hAnsiTheme="minorEastAsia" w:eastAsiaTheme="minorEastAsia" w:cstheme="minorEastAsia"/>
          <w:bCs/>
          <w:sz w:val="24"/>
          <w:szCs w:val="24"/>
        </w:rPr>
        <w:t>部分市区交通信号灯</w:t>
      </w:r>
      <w:r>
        <w:rPr>
          <w:rFonts w:hint="eastAsia" w:asciiTheme="minorEastAsia" w:hAnsiTheme="minorEastAsia" w:eastAsiaTheme="minorEastAsia" w:cstheme="minorEastAsia"/>
          <w:bCs/>
          <w:sz w:val="24"/>
          <w:szCs w:val="24"/>
          <w:lang w:eastAsia="zh-CN"/>
        </w:rPr>
        <w:t>路口安装信号灯自使用系统</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该系统使用的流量相机</w:t>
      </w:r>
      <w:r>
        <w:rPr>
          <w:rFonts w:hint="eastAsia" w:asciiTheme="minorEastAsia" w:hAnsiTheme="minorEastAsia" w:eastAsiaTheme="minorEastAsia" w:cstheme="minorEastAsia"/>
          <w:i w:val="0"/>
          <w:color w:val="000000"/>
          <w:kern w:val="0"/>
          <w:sz w:val="24"/>
          <w:szCs w:val="24"/>
          <w:u w:val="none"/>
          <w:lang w:val="en-US" w:eastAsia="zh-CN" w:bidi="ar"/>
        </w:rPr>
        <w:t>须开放通讯协议，</w:t>
      </w:r>
      <w:r>
        <w:rPr>
          <w:rFonts w:hint="eastAsia" w:asciiTheme="minorEastAsia" w:hAnsiTheme="minorEastAsia" w:eastAsiaTheme="minorEastAsia" w:cstheme="minorEastAsia"/>
          <w:bCs/>
          <w:sz w:val="24"/>
          <w:szCs w:val="24"/>
          <w:lang w:val="en-US" w:eastAsia="zh-CN"/>
        </w:rPr>
        <w:t>可无缝接入市公安局现有信号机（开放通讯协议，通过RS485接口接入信号机）和现有视频专网（流量相机须开放通讯协议）</w:t>
      </w:r>
      <w:r>
        <w:rPr>
          <w:rFonts w:hint="eastAsia" w:asciiTheme="minorEastAsia" w:hAnsiTheme="minorEastAsia" w:eastAsiaTheme="minorEastAsia" w:cstheme="minorEastAsia"/>
          <w:bCs/>
          <w:sz w:val="24"/>
          <w:szCs w:val="24"/>
          <w:lang w:eastAsia="zh-CN"/>
        </w:rPr>
        <w:t>，该项目</w:t>
      </w:r>
      <w:r>
        <w:rPr>
          <w:rFonts w:hint="eastAsia" w:asciiTheme="minorEastAsia" w:hAnsiTheme="minorEastAsia" w:eastAsiaTheme="minorEastAsia" w:cstheme="minorEastAsia"/>
          <w:i w:val="0"/>
          <w:color w:val="000000"/>
          <w:kern w:val="0"/>
          <w:sz w:val="24"/>
          <w:szCs w:val="24"/>
          <w:u w:val="none"/>
          <w:lang w:val="en-US" w:eastAsia="zh-CN" w:bidi="ar"/>
        </w:rPr>
        <w:t>含2年免费质保运维服务和质保期满后5年运</w:t>
      </w:r>
      <w:r>
        <w:rPr>
          <w:rFonts w:hint="eastAsia" w:asciiTheme="minorEastAsia" w:hAnsiTheme="minorEastAsia" w:eastAsiaTheme="minorEastAsia" w:cstheme="minorEastAsia"/>
          <w:bCs/>
          <w:sz w:val="24"/>
          <w:szCs w:val="24"/>
          <w:lang w:val="en-US" w:eastAsia="zh-CN"/>
        </w:rPr>
        <w:t>维服务（无偿更换配件、升级系统、外观及附件清理维护等所有费用）</w:t>
      </w:r>
      <w:r>
        <w:rPr>
          <w:rFonts w:hint="eastAsia" w:asciiTheme="minorEastAsia" w:hAnsiTheme="minorEastAsia" w:eastAsiaTheme="minorEastAsia" w:cstheme="minorEastAsia"/>
          <w:bCs/>
          <w:sz w:val="24"/>
          <w:szCs w:val="24"/>
        </w:rPr>
        <w:t>详情如下：</w:t>
      </w:r>
    </w:p>
    <w:tbl>
      <w:tblPr>
        <w:tblStyle w:val="23"/>
        <w:tblW w:w="8976" w:type="dxa"/>
        <w:tblInd w:w="0" w:type="dxa"/>
        <w:tblLayout w:type="fixed"/>
        <w:tblCellMar>
          <w:top w:w="0" w:type="dxa"/>
          <w:left w:w="0" w:type="dxa"/>
          <w:bottom w:w="0" w:type="dxa"/>
          <w:right w:w="0" w:type="dxa"/>
        </w:tblCellMar>
      </w:tblPr>
      <w:tblGrid>
        <w:gridCol w:w="581"/>
        <w:gridCol w:w="1107"/>
        <w:gridCol w:w="4756"/>
        <w:gridCol w:w="594"/>
        <w:gridCol w:w="716"/>
        <w:gridCol w:w="1222"/>
      </w:tblGrid>
      <w:tr>
        <w:tblPrEx>
          <w:tblLayout w:type="fixed"/>
          <w:tblCellMar>
            <w:top w:w="0" w:type="dxa"/>
            <w:left w:w="0" w:type="dxa"/>
            <w:bottom w:w="0" w:type="dxa"/>
            <w:right w:w="0" w:type="dxa"/>
          </w:tblCellMar>
        </w:tblPrEx>
        <w:trPr>
          <w:trHeight w:val="887"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1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技术参数</w:t>
            </w:r>
          </w:p>
        </w:tc>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2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是否为核心产品</w:t>
            </w:r>
          </w:p>
        </w:tc>
      </w:tr>
      <w:tr>
        <w:tblPrEx>
          <w:tblLayout w:type="fixed"/>
          <w:tblCellMar>
            <w:top w:w="0" w:type="dxa"/>
            <w:left w:w="0" w:type="dxa"/>
            <w:bottom w:w="0" w:type="dxa"/>
            <w:right w:w="0" w:type="dxa"/>
          </w:tblCellMar>
        </w:tblPrEx>
        <w:trPr>
          <w:trHeight w:val="13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补光灯</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大功率暖光LED常亮灯，≥3</w:t>
            </w:r>
            <w:r>
              <w:rPr>
                <w:rFonts w:hint="eastAsia" w:ascii="宋体" w:hAnsi="宋体" w:cs="宋体"/>
                <w:i w:val="0"/>
                <w:color w:val="000000"/>
                <w:kern w:val="0"/>
                <w:sz w:val="20"/>
                <w:szCs w:val="20"/>
                <w:u w:val="none"/>
                <w:lang w:val="en-US" w:eastAsia="zh-CN" w:bidi="ar"/>
              </w:rPr>
              <w:t>车</w:t>
            </w:r>
            <w:r>
              <w:rPr>
                <w:rFonts w:hint="eastAsia" w:ascii="宋体" w:hAnsi="宋体" w:eastAsia="宋体" w:cs="宋体"/>
                <w:i w:val="0"/>
                <w:color w:val="000000"/>
                <w:kern w:val="0"/>
                <w:sz w:val="20"/>
                <w:szCs w:val="20"/>
                <w:u w:val="none"/>
                <w:lang w:val="en-US" w:eastAsia="zh-CN" w:bidi="ar"/>
              </w:rPr>
              <w:t>道环境补光灯；支持光敏控制，低照度下自动开启；≥防护等级IP66；输入电压支持AC220V±20%宽压变化；工作环境温度：-20～70℃。</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tblPrEx>
          <w:tblLayout w:type="fixed"/>
          <w:tblCellMar>
            <w:top w:w="0" w:type="dxa"/>
            <w:left w:w="0" w:type="dxa"/>
            <w:bottom w:w="0" w:type="dxa"/>
            <w:right w:w="0" w:type="dxa"/>
          </w:tblCellMar>
        </w:tblPrEx>
        <w:trPr>
          <w:trHeight w:val="3993"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流量相机</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b/>
                <w:i w:val="0"/>
                <w:color w:val="000000"/>
                <w:kern w:val="0"/>
                <w:sz w:val="32"/>
                <w:szCs w:val="32"/>
                <w:u w:val="none"/>
                <w:shd w:val="clear" w:color="auto" w:fill="FFFFFF"/>
                <w:lang w:val="en-US" w:eastAsia="zh-CN" w:bidi="ar"/>
              </w:rPr>
              <w:t>▲</w:t>
            </w:r>
            <w:r>
              <w:rPr>
                <w:rFonts w:hint="eastAsia" w:ascii="宋体" w:hAnsi="宋体" w:eastAsia="宋体" w:cs="宋体"/>
                <w:i w:val="0"/>
                <w:color w:val="000000"/>
                <w:kern w:val="0"/>
                <w:sz w:val="20"/>
                <w:szCs w:val="20"/>
                <w:u w:val="none"/>
                <w:lang w:val="en-US" w:eastAsia="zh-CN" w:bidi="ar"/>
              </w:rPr>
              <w:t>可无缝接入市公安局现有信号机</w:t>
            </w:r>
            <w:r>
              <w:rPr>
                <w:rFonts w:hint="eastAsia" w:ascii="宋体" w:hAnsi="宋体" w:cs="宋体"/>
                <w:i w:val="0"/>
                <w:color w:val="000000"/>
                <w:kern w:val="0"/>
                <w:sz w:val="20"/>
                <w:szCs w:val="20"/>
                <w:u w:val="none"/>
                <w:lang w:val="en-US" w:eastAsia="zh-CN" w:bidi="ar"/>
              </w:rPr>
              <w:t>和视频专网</w:t>
            </w:r>
            <w:r>
              <w:rPr>
                <w:rFonts w:hint="eastAsia" w:ascii="宋体" w:hAnsi="宋体" w:eastAsia="宋体" w:cs="宋体"/>
                <w:i w:val="0"/>
                <w:color w:val="000000"/>
                <w:kern w:val="0"/>
                <w:sz w:val="20"/>
                <w:szCs w:val="20"/>
                <w:u w:val="none"/>
                <w:lang w:val="en-US" w:eastAsia="zh-CN" w:bidi="ar"/>
              </w:rPr>
              <w:t>，须开放通讯协议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≥200万像素 ≥1/1.8英寸逐行扫描CMOS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支持H.264 High Profile编码,可输出Full HD 1080p@25fps实时图像, </w:t>
            </w:r>
          </w:p>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宋体" w:hAnsi="宋体" w:eastAsia="宋体" w:cs="宋体"/>
                <w:i w:val="0"/>
                <w:color w:val="000000"/>
                <w:sz w:val="20"/>
                <w:szCs w:val="20"/>
                <w:u w:val="none"/>
              </w:rPr>
            </w:pPr>
            <w:r>
              <w:rPr>
                <w:rFonts w:hint="eastAsia" w:ascii="仿宋" w:hAnsi="仿宋" w:eastAsia="仿宋" w:cs="仿宋"/>
                <w:b/>
                <w:i w:val="0"/>
                <w:color w:val="000000"/>
                <w:kern w:val="0"/>
                <w:sz w:val="32"/>
                <w:szCs w:val="32"/>
                <w:u w:val="none"/>
                <w:shd w:val="clear" w:color="auto" w:fill="FFFFFF"/>
                <w:lang w:val="en-US" w:eastAsia="zh-CN" w:bidi="ar"/>
              </w:rPr>
              <w:t>▲</w:t>
            </w:r>
            <w:r>
              <w:rPr>
                <w:rFonts w:hint="eastAsia" w:ascii="宋体" w:hAnsi="宋体" w:eastAsia="宋体" w:cs="宋体"/>
                <w:i w:val="0"/>
                <w:color w:val="000000"/>
                <w:kern w:val="0"/>
                <w:sz w:val="20"/>
                <w:szCs w:val="20"/>
                <w:u w:val="none"/>
                <w:lang w:val="en-US" w:eastAsia="zh-CN" w:bidi="ar"/>
              </w:rPr>
              <w:t>支持4个车道检测，RS485接口接入信号控制机；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支持智能识别功能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内置车道流量统计功能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内置平均车速统计功能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内置车头时距和间距统计功能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内置车道时间占有率和空间占有率统计功能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内置车道排队长度识别和统计功能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内置车辆类型识别和统计功能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内置车道通行状态识别和统计功能</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tblPrEx>
          <w:tblLayout w:type="fixed"/>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交换机</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工业级 5口</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70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光纤收发器</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单模单纤百兆（2电1光）</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9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7米杆件</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立杆八角直径220-280-5mm厚，横臂八角直径90-180-4mm厚，基础法兰直径500-16mm厚，横臂法兰方型350*350-16mm厚。杆件热镀锌（无电子警察路口使用）</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977"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抱杆机箱</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复合控制单元抱杆空机柜，含强电模板（空开，防雷）；尺寸480mm×230mm×580mm；防护等级IP55</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RVV3*1.5</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通讯线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屏蔽双绞线RVVSP2*1</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4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室外5类</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4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封闭线</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0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管内穿线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电源线、信号线、光纤、网线从杆子到机柜</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杆件基础浇筑</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基坑开挖、土方清除、园林赔偿、混凝土浇筑1.2*1.2*1.8米</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4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接线井砌筑</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600*600*800mm</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312"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顶管</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PE直径75mm</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辅助管道敷设</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PE直径75mm</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设备安装</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杆件安装</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接地工程</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配套杆件使用</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吊车台班</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15吨吊车台班</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工程车台班</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升降车台班</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3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运维服务</w:t>
            </w:r>
          </w:p>
        </w:tc>
        <w:tc>
          <w:tcPr>
            <w:tcW w:w="475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含无偿更换配件、升级系统、清理小广告、外观及附件清理维护等运行期间的所有费用</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w:t>
            </w:r>
            <w:r>
              <w:rPr>
                <w:rFonts w:hint="eastAsia" w:ascii="宋体" w:hAnsi="宋体" w:cs="宋体"/>
                <w:i w:val="0"/>
                <w:color w:val="000000"/>
                <w:sz w:val="16"/>
                <w:szCs w:val="16"/>
                <w:u w:val="none"/>
                <w:lang w:val="en-US" w:eastAsia="zh-CN"/>
              </w:rPr>
              <w:t>前2年免费质保运维服务和后5年运维服务</w:t>
            </w:r>
            <w:r>
              <w:rPr>
                <w:rFonts w:hint="eastAsia" w:ascii="宋体" w:hAnsi="宋体" w:cs="宋体"/>
                <w:i w:val="0"/>
                <w:color w:val="000000"/>
                <w:sz w:val="20"/>
                <w:szCs w:val="20"/>
                <w:u w:val="none"/>
                <w:lang w:val="en-US" w:eastAsia="zh-CN"/>
              </w:rPr>
              <w:t>）</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bl>
    <w:p>
      <w:pPr>
        <w:numPr>
          <w:ilvl w:val="0"/>
          <w:numId w:val="0"/>
        </w:num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《道路交通标志标线》（GB5768-2017）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《路面标线涂料》（JT/T280-2004）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313" w:rightChars="-149" w:firstLine="560" w:firstLineChars="200"/>
        <w:jc w:val="left"/>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《道路交通标线质量要求和检测方法》（GB/T16311-2009）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default"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《道路交通反光膜》(</w:t>
      </w:r>
      <w:r>
        <w:rPr>
          <w:rFonts w:hint="default" w:ascii="仿宋" w:hAnsi="仿宋" w:eastAsia="仿宋" w:cs="仿宋"/>
          <w:b w:val="0"/>
          <w:i w:val="0"/>
          <w:color w:val="000000"/>
          <w:kern w:val="0"/>
          <w:sz w:val="28"/>
          <w:szCs w:val="28"/>
          <w:u w:val="none"/>
          <w:shd w:val="clear" w:color="auto" w:fill="FFFFFF"/>
          <w:lang w:val="en-US" w:eastAsia="zh-CN" w:bidi="ar"/>
        </w:rPr>
        <w:t>GB/T18833—2012)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《城市道路交通标志和标线设置规范</w:t>
      </w:r>
      <w:r>
        <w:rPr>
          <w:rFonts w:hint="default" w:ascii="仿宋" w:hAnsi="仿宋" w:eastAsia="仿宋" w:cs="仿宋"/>
          <w:b w:val="0"/>
          <w:i w:val="0"/>
          <w:color w:val="000000"/>
          <w:kern w:val="0"/>
          <w:sz w:val="28"/>
          <w:szCs w:val="28"/>
          <w:u w:val="none"/>
          <w:shd w:val="clear" w:color="auto" w:fill="FFFFFF"/>
          <w:lang w:val="en-US" w:eastAsia="zh-CN" w:bidi="ar"/>
        </w:rPr>
        <w:t>》</w:t>
      </w:r>
      <w:r>
        <w:rPr>
          <w:rFonts w:hint="eastAsia" w:ascii="仿宋" w:hAnsi="仿宋" w:eastAsia="仿宋" w:cs="仿宋"/>
          <w:b w:val="0"/>
          <w:i w:val="0"/>
          <w:color w:val="000000"/>
          <w:kern w:val="0"/>
          <w:sz w:val="28"/>
          <w:szCs w:val="28"/>
          <w:u w:val="none"/>
          <w:shd w:val="clear" w:color="auto" w:fill="FFFFFF"/>
          <w:lang w:val="en-US" w:eastAsia="zh-CN" w:bidi="ar"/>
        </w:rPr>
        <w:t>（GB</w:t>
      </w:r>
      <w:r>
        <w:rPr>
          <w:rFonts w:hint="default" w:ascii="仿宋" w:hAnsi="仿宋" w:eastAsia="仿宋" w:cs="仿宋"/>
          <w:b w:val="0"/>
          <w:i w:val="0"/>
          <w:color w:val="000000"/>
          <w:kern w:val="0"/>
          <w:sz w:val="28"/>
          <w:szCs w:val="28"/>
          <w:u w:val="none"/>
          <w:shd w:val="clear" w:color="auto" w:fill="FFFFFF"/>
          <w:lang w:val="en-US" w:eastAsia="zh-CN" w:bidi="ar"/>
        </w:rPr>
        <w:t>51038-2015</w:t>
      </w:r>
      <w:r>
        <w:rPr>
          <w:rFonts w:hint="eastAsia" w:ascii="仿宋" w:hAnsi="仿宋" w:eastAsia="仿宋" w:cs="仿宋"/>
          <w:b w:val="0"/>
          <w:i w:val="0"/>
          <w:color w:val="000000"/>
          <w:kern w:val="0"/>
          <w:sz w:val="28"/>
          <w:szCs w:val="28"/>
          <w:u w:val="none"/>
          <w:shd w:val="clear" w:color="auto" w:fill="FFFFFF"/>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《交通监控设备运行维护规范》（GA/T 1043-2013）</w:t>
      </w:r>
    </w:p>
    <w:p>
      <w:pPr>
        <w:spacing w:line="400" w:lineRule="exact"/>
        <w:ind w:firstLine="560" w:firstLineChars="200"/>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 xml:space="preserve">《交通技术监控成像补光装置通用技术条件》GAT1202-2014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《风险等级和防护级别的规定》GA/T38-2004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《电力工程电缆设计规范》GB50217-2007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《电气装置安装工程电缆线路施工及验收规范》GB50168-2016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《安全防范工程程序与要求》GA/T75-94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《通用用电设备配电设计规范》GB50055-2011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《交流电气装置的接地设计规范》GB/T 50065-2011</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zh-CN"/>
        </w:rPr>
        <w:t>1、</w:t>
      </w:r>
      <w:r>
        <w:rPr>
          <w:rFonts w:hint="eastAsia" w:ascii="宋体" w:cs="宋体"/>
          <w:sz w:val="24"/>
          <w:lang w:val="en-US" w:eastAsia="zh-CN"/>
        </w:rPr>
        <w:t>投标人须明确下列投标产品的厂家、产地、品牌、型号、详细参数，</w:t>
      </w:r>
      <w:r>
        <w:rPr>
          <w:rFonts w:hint="eastAsia" w:ascii="宋体" w:cs="宋体"/>
          <w:b/>
          <w:bCs/>
          <w:sz w:val="24"/>
          <w:lang w:val="en-US" w:eastAsia="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A包第2、3、4、5、6、7、8、9、10、11、12、13项的标线涂料；B包第1、2、3、4、14项；C包第1、2项。</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2、投标人应就每包完整投标，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2、按照招标文件要求、投标文件响应和承诺验收；</w:t>
      </w:r>
    </w:p>
    <w:p>
      <w:pPr>
        <w:wordWrap w:val="0"/>
        <w:topLinePunct/>
        <w:spacing w:line="360" w:lineRule="auto"/>
        <w:ind w:firstLine="480" w:firstLineChars="200"/>
        <w:rPr>
          <w:b w:val="0"/>
          <w:i w:val="0"/>
        </w:rPr>
      </w:pPr>
      <w:r>
        <w:rPr>
          <w:rFonts w:hint="eastAsia" w:ascii="宋体" w:cs="宋体"/>
          <w:sz w:val="24"/>
          <w:lang w:val="en-US" w:eastAsia="zh-CN"/>
        </w:rPr>
        <w:t>3、按照国家相关标准、行业标准、地方标准或者其他标准、规范验收；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宋体" w:asciiTheme="minorEastAsia" w:hAnsiTheme="minorEastAsia" w:eastAsiaTheme="minorEastAsia"/>
          <w:b/>
          <w:color w:val="000000"/>
          <w:kern w:val="0"/>
          <w:lang w:val="en-US" w:eastAsia="zh-CN"/>
        </w:rPr>
        <w:t>A包238.8362万元；B包305.6966万元；C包384.4802万元</w:t>
      </w:r>
      <w:r>
        <w:rPr>
          <w:rFonts w:hint="eastAsia" w:cs="宋体" w:asciiTheme="minorEastAsia" w:hAnsiTheme="minorEastAsia" w:eastAsiaTheme="minorEastAsia"/>
          <w:b/>
          <w:color w:val="000000"/>
          <w:kern w:val="0"/>
          <w:lang w:val="zh-CN"/>
        </w:rPr>
        <w:t>。最高限价</w:t>
      </w:r>
      <w:r>
        <w:rPr>
          <w:rFonts w:hint="eastAsia" w:cs="宋体" w:asciiTheme="minorEastAsia" w:hAnsiTheme="minorEastAsia" w:eastAsiaTheme="minorEastAsia"/>
          <w:b/>
          <w:color w:val="000000"/>
          <w:kern w:val="0"/>
          <w:lang w:val="en-US" w:eastAsia="zh-CN"/>
        </w:rPr>
        <w:t>A包238.8362万元；B包305.6966万元；C包384.4802万元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1、支付方式：银行转账</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zh-CN" w:eastAsia="zh-CN"/>
        </w:rPr>
        <w:t>2、支付时间及条件：</w:t>
      </w:r>
      <w:r>
        <w:rPr>
          <w:rFonts w:hint="eastAsia" w:ascii="宋体" w:cs="宋体"/>
          <w:sz w:val="24"/>
          <w:lang w:val="en-US" w:eastAsia="zh-CN"/>
        </w:rPr>
        <w:t>A包交通标线、B包交通标志牌验收合格后预付合同价款的80%，剩余金额在项目决算完成后一次性支付。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en-US" w:eastAsia="zh-CN"/>
        </w:rPr>
        <w:t>C包交通信号灯自适应系统验收合格后预付合同价款的50%，剩余金额在项目决算完成、</w:t>
      </w:r>
      <w:r>
        <w:rPr>
          <w:rFonts w:hint="eastAsia" w:ascii="宋体" w:cs="宋体"/>
          <w:sz w:val="24"/>
          <w:lang w:val="zh-CN" w:eastAsia="zh-CN"/>
        </w:rPr>
        <w:t>验收合格后满1年支付</w:t>
      </w:r>
      <w:r>
        <w:rPr>
          <w:rFonts w:hint="eastAsia" w:ascii="宋体" w:cs="宋体"/>
          <w:sz w:val="24"/>
          <w:lang w:val="en-US" w:eastAsia="zh-CN"/>
        </w:rPr>
        <w:t>剩余金额的10</w:t>
      </w:r>
      <w:r>
        <w:rPr>
          <w:rFonts w:hint="eastAsia" w:ascii="宋体" w:cs="宋体"/>
          <w:sz w:val="24"/>
          <w:lang w:val="zh-CN" w:eastAsia="zh-CN"/>
        </w:rPr>
        <w:t>%，满2年支付</w:t>
      </w:r>
      <w:r>
        <w:rPr>
          <w:rFonts w:hint="eastAsia" w:ascii="宋体" w:cs="宋体"/>
          <w:sz w:val="24"/>
          <w:lang w:val="en-US" w:eastAsia="zh-CN"/>
        </w:rPr>
        <w:t>剩余金额的10</w:t>
      </w:r>
      <w:r>
        <w:rPr>
          <w:rFonts w:hint="eastAsia" w:ascii="宋体" w:cs="宋体"/>
          <w:sz w:val="24"/>
          <w:lang w:val="zh-CN" w:eastAsia="zh-CN"/>
        </w:rPr>
        <w:t>%，后</w:t>
      </w:r>
      <w:r>
        <w:rPr>
          <w:rFonts w:hint="eastAsia" w:ascii="宋体" w:cs="宋体"/>
          <w:sz w:val="24"/>
          <w:lang w:val="en-US" w:eastAsia="zh-CN"/>
        </w:rPr>
        <w:t>5</w:t>
      </w:r>
      <w:r>
        <w:rPr>
          <w:rFonts w:hint="eastAsia" w:ascii="宋体" w:cs="宋体"/>
          <w:sz w:val="24"/>
          <w:lang w:val="zh-CN" w:eastAsia="zh-CN"/>
        </w:rPr>
        <w:t>年运维期依次支付</w:t>
      </w:r>
      <w:r>
        <w:rPr>
          <w:rFonts w:hint="eastAsia" w:ascii="宋体" w:cs="宋体"/>
          <w:sz w:val="24"/>
          <w:lang w:val="en-US" w:eastAsia="zh-CN"/>
        </w:rPr>
        <w:t>剩余金额</w:t>
      </w:r>
      <w:r>
        <w:rPr>
          <w:rFonts w:hint="eastAsia" w:ascii="宋体" w:cs="宋体"/>
          <w:sz w:val="24"/>
          <w:lang w:val="zh-CN" w:eastAsia="zh-CN"/>
        </w:rPr>
        <w:t>的</w:t>
      </w:r>
      <w:r>
        <w:rPr>
          <w:rFonts w:hint="eastAsia" w:ascii="宋体" w:cs="宋体"/>
          <w:sz w:val="24"/>
          <w:lang w:val="en-US" w:eastAsia="zh-CN"/>
        </w:rPr>
        <w:t>10%</w:t>
      </w:r>
      <w:r>
        <w:rPr>
          <w:rFonts w:hint="eastAsia" w:ascii="宋体" w:cs="宋体"/>
          <w:sz w:val="24"/>
          <w:lang w:val="zh-CN" w:eastAsia="zh-CN"/>
        </w:rPr>
        <w:t>、</w:t>
      </w:r>
      <w:r>
        <w:rPr>
          <w:rFonts w:hint="eastAsia" w:ascii="宋体" w:cs="宋体"/>
          <w:sz w:val="24"/>
          <w:lang w:val="en-US" w:eastAsia="zh-CN"/>
        </w:rPr>
        <w:t>15</w:t>
      </w:r>
      <w:r>
        <w:rPr>
          <w:rFonts w:hint="eastAsia" w:ascii="宋体" w:cs="宋体"/>
          <w:sz w:val="24"/>
          <w:lang w:val="zh-CN" w:eastAsia="zh-CN"/>
        </w:rPr>
        <w:t>%、</w:t>
      </w:r>
      <w:r>
        <w:rPr>
          <w:rFonts w:hint="eastAsia" w:ascii="宋体" w:cs="宋体"/>
          <w:sz w:val="24"/>
          <w:lang w:val="en-US" w:eastAsia="zh-CN"/>
        </w:rPr>
        <w:t>15</w:t>
      </w:r>
      <w:r>
        <w:rPr>
          <w:rFonts w:hint="eastAsia" w:ascii="宋体" w:cs="宋体"/>
          <w:sz w:val="24"/>
          <w:lang w:val="zh-CN" w:eastAsia="zh-CN"/>
        </w:rPr>
        <w:t>%、</w:t>
      </w:r>
      <w:r>
        <w:rPr>
          <w:rFonts w:hint="eastAsia" w:ascii="宋体" w:cs="宋体"/>
          <w:sz w:val="24"/>
          <w:lang w:val="en-US" w:eastAsia="zh-CN"/>
        </w:rPr>
        <w:t>20</w:t>
      </w:r>
      <w:r>
        <w:rPr>
          <w:rFonts w:hint="eastAsia" w:ascii="宋体" w:cs="宋体"/>
          <w:sz w:val="24"/>
          <w:lang w:val="zh-CN" w:eastAsia="zh-CN"/>
        </w:rPr>
        <w:t>%、</w:t>
      </w:r>
      <w:r>
        <w:rPr>
          <w:rFonts w:hint="eastAsia" w:ascii="宋体" w:cs="宋体"/>
          <w:sz w:val="24"/>
          <w:lang w:val="en-US" w:eastAsia="zh-CN"/>
        </w:rPr>
        <w:t>2</w:t>
      </w:r>
      <w:r>
        <w:rPr>
          <w:rFonts w:hint="eastAsia" w:ascii="宋体" w:cs="宋体"/>
          <w:sz w:val="24"/>
          <w:lang w:val="zh-CN" w:eastAsia="zh-CN"/>
        </w:rPr>
        <w:t>0%。</w:t>
      </w:r>
    </w:p>
    <w:p>
      <w:pPr>
        <w:wordWrap w:val="0"/>
        <w:topLinePunct/>
        <w:spacing w:line="360" w:lineRule="auto"/>
        <w:ind w:firstLine="480" w:firstLineChars="200"/>
        <w:rPr>
          <w:rFonts w:hint="eastAsia" w:ascii="宋体" w:cs="宋体"/>
          <w:sz w:val="24"/>
          <w:lang w:val="en-US" w:eastAsia="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2019年交通设施购置安装</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133</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kern w:val="2"/>
                <w:sz w:val="21"/>
                <w:szCs w:val="21"/>
                <w:shd w:val="clear" w:color="auto" w:fill="FFFFFF"/>
                <w:lang w:val="en-US" w:eastAsia="zh-CN" w:bidi="ar-SA"/>
              </w:rPr>
              <w:t>A包交通标线、B包交通标志牌、C包交通信号灯自适应系统</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szCs w:val="21"/>
                <w:lang w:val="en-US" w:eastAsia="zh-CN"/>
              </w:rPr>
              <w:t>许昌市公安局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ascii="宋体" w:hAnsi="宋体"/>
                <w:szCs w:val="21"/>
                <w:lang w:val="en-US" w:eastAsia="zh-CN"/>
              </w:rPr>
              <w:t>许昌市许由西路</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ascii="宋体" w:hAnsi="宋体"/>
                <w:szCs w:val="21"/>
                <w:lang w:val="en-US" w:eastAsia="zh-CN"/>
              </w:rPr>
              <w:t>娄文群</w:t>
            </w:r>
            <w:r>
              <w:rPr>
                <w:rFonts w:hint="eastAsia" w:cs="仿宋_GB2312" w:asciiTheme="minorEastAsia" w:hAnsiTheme="minorEastAsia"/>
                <w:szCs w:val="21"/>
              </w:rPr>
              <w:t xml:space="preserve">                    电话：</w:t>
            </w:r>
            <w:r>
              <w:rPr>
                <w:rFonts w:hint="eastAsia" w:ascii="宋体" w:hAnsi="宋体"/>
                <w:szCs w:val="21"/>
                <w:lang w:val="en-US" w:eastAsia="zh-CN"/>
              </w:rPr>
              <w:t>0374-2908957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eastAsiaTheme="minorEastAsia"/>
                <w:color w:val="000000"/>
                <w:kern w:val="2"/>
                <w:sz w:val="21"/>
                <w:szCs w:val="21"/>
                <w:shd w:val="clear" w:color="auto" w:fill="FFFFFF"/>
                <w:lang w:val="en-US" w:eastAsia="zh-CN" w:bidi="ar-SA"/>
              </w:rPr>
              <w:t>A包238.8362万元；B包305.6966万元；C包384.4802万元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许昌市公共资源交易中心三楼开标二</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16</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14</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16</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b w:val="0"/>
                <w:i w:val="0"/>
                <w:color w:val="000000"/>
                <w:kern w:val="2"/>
                <w:sz w:val="21"/>
                <w:szCs w:val="21"/>
                <w:u w:val="none"/>
                <w:lang w:val="en-US" w:eastAsia="zh-CN" w:bidi="ar"/>
              </w:rPr>
              <w:t>投标人提供2016年1月1日以来类似项目</w:t>
            </w:r>
            <w:r>
              <w:rPr>
                <w:rFonts w:hint="eastAsia" w:ascii="宋体" w:hAnsi="宋体" w:cs="仿宋_GB2312"/>
                <w:b w:val="0"/>
                <w:i w:val="0"/>
                <w:color w:val="000000"/>
                <w:kern w:val="2"/>
                <w:sz w:val="21"/>
                <w:szCs w:val="21"/>
                <w:u w:val="none"/>
                <w:lang w:val="en-US" w:eastAsia="zh-CN" w:bidi="ar"/>
              </w:rPr>
              <w:t>中标信息网上截图、</w:t>
            </w:r>
            <w:r>
              <w:rPr>
                <w:rFonts w:hint="eastAsia" w:ascii="宋体" w:hAnsi="宋体" w:eastAsia="宋体" w:cs="仿宋_GB2312"/>
                <w:b w:val="0"/>
                <w:i w:val="0"/>
                <w:color w:val="000000"/>
                <w:kern w:val="2"/>
                <w:sz w:val="21"/>
                <w:szCs w:val="21"/>
                <w:u w:val="none"/>
                <w:lang w:val="en-US" w:eastAsia="zh-CN" w:bidi="ar"/>
              </w:rPr>
              <w:t>合同、中标通知书及验收报告齐全者，每提供1个得</w:t>
            </w:r>
            <w:r>
              <w:rPr>
                <w:rFonts w:hint="eastAsia" w:ascii="宋体" w:hAnsi="宋体" w:cs="仿宋_GB2312"/>
                <w:b w:val="0"/>
                <w:i w:val="0"/>
                <w:color w:val="000000"/>
                <w:kern w:val="2"/>
                <w:sz w:val="21"/>
                <w:szCs w:val="21"/>
                <w:u w:val="none"/>
                <w:lang w:val="en-US" w:eastAsia="zh-CN" w:bidi="ar"/>
              </w:rPr>
              <w:t>4</w:t>
            </w:r>
            <w:r>
              <w:rPr>
                <w:rFonts w:hint="eastAsia" w:ascii="宋体" w:hAnsi="宋体" w:eastAsia="宋体" w:cs="仿宋_GB2312"/>
                <w:b w:val="0"/>
                <w:i w:val="0"/>
                <w:color w:val="000000"/>
                <w:kern w:val="2"/>
                <w:sz w:val="21"/>
                <w:szCs w:val="21"/>
                <w:u w:val="none"/>
                <w:lang w:val="en-US" w:eastAsia="zh-CN" w:bidi="ar"/>
              </w:rPr>
              <w:t>分，最高得</w:t>
            </w:r>
            <w:r>
              <w:rPr>
                <w:rFonts w:hint="eastAsia" w:ascii="宋体" w:hAnsi="宋体" w:cs="仿宋_GB2312"/>
                <w:b w:val="0"/>
                <w:i w:val="0"/>
                <w:color w:val="000000"/>
                <w:kern w:val="2"/>
                <w:sz w:val="21"/>
                <w:szCs w:val="21"/>
                <w:u w:val="none"/>
                <w:lang w:val="en-US" w:eastAsia="zh-CN" w:bidi="ar"/>
              </w:rPr>
              <w:t>8</w:t>
            </w:r>
            <w:r>
              <w:rPr>
                <w:rFonts w:hint="eastAsia" w:ascii="宋体" w:hAnsi="宋体" w:eastAsia="宋体" w:cs="仿宋_GB2312"/>
                <w:b w:val="0"/>
                <w:i w:val="0"/>
                <w:color w:val="000000"/>
                <w:kern w:val="2"/>
                <w:sz w:val="21"/>
                <w:szCs w:val="21"/>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管理体系</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rPr>
                <w:rFonts w:hint="eastAsia"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w:t>
            </w:r>
            <w:r>
              <w:rPr>
                <w:rFonts w:hint="eastAsia" w:ascii="宋体" w:hAnsi="宋体" w:cs="宋体"/>
                <w:b w:val="0"/>
                <w:i w:val="0"/>
                <w:color w:val="FF0000"/>
                <w:kern w:val="0"/>
                <w:sz w:val="21"/>
                <w:szCs w:val="21"/>
                <w:u w:val="single"/>
                <w:lang w:val="en-US" w:eastAsia="zh-CN" w:bidi="ar"/>
              </w:rPr>
              <w:t xml:space="preserve"> 6</w:t>
            </w:r>
            <w:r>
              <w:rPr>
                <w:rFonts w:hint="eastAsia" w:ascii="宋体" w:hAnsi="宋体" w:eastAsia="宋体" w:cs="Times New Roman"/>
                <w:b w:val="0"/>
                <w:i w:val="0"/>
                <w:color w:val="000000"/>
                <w:kern w:val="2"/>
                <w:sz w:val="21"/>
                <w:szCs w:val="21"/>
                <w:u w:val="none"/>
                <w:lang w:val="en-US" w:eastAsia="zh-CN" w:bidi="ar"/>
              </w:rPr>
              <w:t>分）</w:t>
            </w:r>
          </w:p>
        </w:tc>
        <w:tc>
          <w:tcPr>
            <w:tcW w:w="60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left"/>
              <w:rPr>
                <w:rFonts w:hint="eastAsia" w:ascii="宋体" w:hAnsi="宋体" w:eastAsia="宋体" w:cs="仿宋_GB2312"/>
                <w:b w:val="0"/>
                <w:i w:val="0"/>
                <w:color w:val="000000"/>
                <w:kern w:val="2"/>
                <w:sz w:val="21"/>
                <w:szCs w:val="21"/>
                <w:u w:val="none"/>
                <w:lang w:val="en-US" w:eastAsia="zh-CN" w:bidi="ar"/>
              </w:rPr>
            </w:pPr>
            <w:r>
              <w:rPr>
                <w:rFonts w:hint="eastAsia"/>
                <w:lang w:val="en-US" w:eastAsia="zh-CN"/>
              </w:rPr>
              <w:t>1、供应商提供2016年1月以来信用评级机构出具的有效的企业信用报告，等级为AAA级</w:t>
            </w:r>
            <w:bookmarkStart w:id="16" w:name="_GoBack"/>
            <w:bookmarkEnd w:id="16"/>
            <w:r>
              <w:rPr>
                <w:rFonts w:hint="eastAsia"/>
                <w:lang w:val="en-US" w:eastAsia="zh-CN"/>
              </w:rPr>
              <w:t>的得3分；AA级的得2分；A级的得1分。                                                       2、投标人通过ISO9001质量管理体系认证的得3分。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2 </w:t>
            </w:r>
            <w:r>
              <w:rPr>
                <w:rFonts w:hint="eastAsia" w:ascii="宋体" w:hAnsi="宋体" w:eastAsia="宋体" w:cs="Times New Roman"/>
                <w:szCs w:val="21"/>
              </w:rPr>
              <w:t>分）</w:t>
            </w:r>
          </w:p>
        </w:tc>
        <w:tc>
          <w:tcPr>
            <w:tcW w:w="6095" w:type="dxa"/>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文件中提供具有国家确定的认证机构出具的、处于有效期之内的节能产品认证证书。每项0.5分，满分1分。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具有国家确定的认证机构出具的、处于有效期之内的节能产品认证证书</w:t>
            </w:r>
            <w:r>
              <w:rPr>
                <w:rFonts w:hint="eastAsia" w:cs="仿宋_GB2312" w:asciiTheme="minorEastAsia" w:hAnsiTheme="minorEastAsia"/>
                <w:szCs w:val="21"/>
                <w:lang w:val="zh-CN"/>
              </w:rPr>
              <w:t>。</w:t>
            </w:r>
            <w:r>
              <w:rPr>
                <w:rFonts w:hint="eastAsia" w:ascii="宋体" w:hAnsi="宋体"/>
                <w:color w:val="000000"/>
                <w:szCs w:val="21"/>
                <w:lang w:val="en-GB"/>
              </w:rPr>
              <w:t>每项0.5分，满分1分。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12</w:t>
            </w:r>
            <w:r>
              <w:rPr>
                <w:rFonts w:hint="eastAsia" w:ascii="宋体" w:hAnsi="宋体" w:eastAsia="宋体" w:cs="Times New Roman"/>
                <w:szCs w:val="21"/>
              </w:rPr>
              <w:t>分）</w:t>
            </w:r>
          </w:p>
        </w:tc>
        <w:tc>
          <w:tcPr>
            <w:tcW w:w="6095" w:type="dxa"/>
            <w:tcBorders>
              <w:right w:val="single" w:color="auto" w:sz="4" w:space="0"/>
            </w:tcBorders>
            <w:vAlign w:val="center"/>
          </w:tcPr>
          <w:p>
            <w:pPr>
              <w:snapToGrid w:val="0"/>
              <w:spacing w:line="360" w:lineRule="auto"/>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A包交通标线：</w:t>
            </w:r>
            <w:r>
              <w:rPr>
                <w:rFonts w:hint="eastAsia" w:ascii="宋体" w:hAnsi="宋体" w:eastAsia="宋体" w:cs="Times New Roman"/>
                <w:b w:val="0"/>
                <w:i w:val="0"/>
                <w:color w:val="000000"/>
                <w:kern w:val="2"/>
                <w:sz w:val="21"/>
                <w:szCs w:val="21"/>
                <w:u w:val="none"/>
                <w:lang w:val="en-US" w:eastAsia="zh-CN" w:bidi="ar"/>
              </w:rPr>
              <w:t>投标人具有公安部交通安全产品质量监督检测中心或国家交通安全设施质量监督检验中心出具的交通标线</w:t>
            </w:r>
            <w:r>
              <w:rPr>
                <w:rFonts w:hint="eastAsia" w:ascii="宋体" w:hAnsi="宋体" w:cs="Times New Roman"/>
                <w:b w:val="0"/>
                <w:i w:val="0"/>
                <w:color w:val="000000"/>
                <w:kern w:val="2"/>
                <w:sz w:val="21"/>
                <w:szCs w:val="21"/>
                <w:u w:val="none"/>
                <w:lang w:val="en-US" w:eastAsia="zh-CN" w:bidi="ar"/>
              </w:rPr>
              <w:t>涂料</w:t>
            </w:r>
            <w:r>
              <w:rPr>
                <w:rFonts w:hint="eastAsia" w:ascii="宋体" w:hAnsi="宋体" w:eastAsia="宋体" w:cs="Times New Roman"/>
                <w:b w:val="0"/>
                <w:i w:val="0"/>
                <w:color w:val="000000"/>
                <w:kern w:val="2"/>
                <w:sz w:val="21"/>
                <w:szCs w:val="21"/>
                <w:u w:val="none"/>
                <w:lang w:val="en-US" w:eastAsia="zh-CN" w:bidi="ar"/>
              </w:rPr>
              <w:t>的检测报告（</w:t>
            </w:r>
            <w:r>
              <w:rPr>
                <w:rFonts w:hint="eastAsia" w:ascii="宋体" w:hAnsi="宋体" w:eastAsia="宋体" w:cs="Times New Roman"/>
                <w:b w:val="0"/>
                <w:i w:val="0"/>
                <w:color w:val="000000"/>
                <w:kern w:val="2"/>
                <w:sz w:val="21"/>
                <w:szCs w:val="21"/>
                <w:u w:val="none"/>
                <w:lang w:val="en-US" w:eastAsia="zh-CN" w:bidi="ar"/>
              </w:rPr>
              <w:fldChar w:fldCharType="begin"/>
            </w:r>
            <w:r>
              <w:rPr>
                <w:rFonts w:hint="eastAsia" w:ascii="宋体" w:hAnsi="宋体" w:eastAsia="宋体" w:cs="Times New Roman"/>
                <w:b w:val="0"/>
                <w:i w:val="0"/>
                <w:color w:val="000000"/>
                <w:kern w:val="2"/>
                <w:sz w:val="21"/>
                <w:szCs w:val="21"/>
                <w:u w:val="none"/>
                <w:lang w:val="en-US" w:eastAsia="zh-CN" w:bidi="ar"/>
              </w:rPr>
              <w:instrText xml:space="preserve"> HYPERLINK "http://www.tmri.cn" </w:instrText>
            </w:r>
            <w:r>
              <w:rPr>
                <w:rFonts w:hint="eastAsia" w:ascii="宋体" w:hAnsi="宋体" w:eastAsia="宋体" w:cs="Times New Roman"/>
                <w:b w:val="0"/>
                <w:i w:val="0"/>
                <w:color w:val="000000"/>
                <w:kern w:val="2"/>
                <w:sz w:val="21"/>
                <w:szCs w:val="21"/>
                <w:u w:val="none"/>
                <w:lang w:val="en-US" w:eastAsia="zh-CN" w:bidi="ar"/>
              </w:rPr>
              <w:fldChar w:fldCharType="separate"/>
            </w:r>
            <w:r>
              <w:rPr>
                <w:rFonts w:hint="eastAsia" w:ascii="宋体" w:hAnsi="宋体" w:eastAsia="宋体" w:cs="Times New Roman"/>
                <w:b w:val="0"/>
                <w:i w:val="0"/>
                <w:color w:val="000000"/>
                <w:kern w:val="2"/>
                <w:sz w:val="21"/>
                <w:szCs w:val="21"/>
                <w:u w:val="none"/>
                <w:lang w:val="en-US" w:eastAsia="zh-CN" w:bidi="ar"/>
              </w:rPr>
              <w:t>www.tmri.cn</w:t>
            </w:r>
            <w:r>
              <w:rPr>
                <w:rFonts w:hint="eastAsia" w:ascii="宋体" w:hAnsi="宋体" w:eastAsia="宋体" w:cs="Times New Roman"/>
                <w:b w:val="0"/>
                <w:i w:val="0"/>
                <w:color w:val="000000"/>
                <w:kern w:val="2"/>
                <w:sz w:val="21"/>
                <w:szCs w:val="21"/>
                <w:u w:val="none"/>
                <w:lang w:val="en-US" w:eastAsia="zh-CN" w:bidi="ar"/>
              </w:rPr>
              <w:fldChar w:fldCharType="end"/>
            </w:r>
            <w:r>
              <w:rPr>
                <w:rFonts w:hint="eastAsia" w:ascii="宋体" w:hAnsi="宋体" w:eastAsia="宋体" w:cs="Times New Roman"/>
                <w:b w:val="0"/>
                <w:i w:val="0"/>
                <w:color w:val="000000"/>
                <w:kern w:val="2"/>
                <w:sz w:val="21"/>
                <w:szCs w:val="21"/>
                <w:u w:val="none"/>
                <w:lang w:val="en-US" w:eastAsia="zh-CN" w:bidi="ar"/>
              </w:rPr>
              <w:t>、www.testc.com.cn），</w:t>
            </w:r>
            <w:r>
              <w:rPr>
                <w:rFonts w:hint="eastAsia" w:ascii="宋体" w:hAnsi="宋体" w:cs="Times New Roman"/>
                <w:b w:val="0"/>
                <w:i w:val="0"/>
                <w:color w:val="000000"/>
                <w:kern w:val="2"/>
                <w:sz w:val="21"/>
                <w:szCs w:val="21"/>
                <w:u w:val="none"/>
                <w:lang w:val="en-US" w:eastAsia="zh-CN" w:bidi="ar"/>
              </w:rPr>
              <w:t>具备热熔型标线涂料检测报告的得6分，具备常温型标线涂料检测报告的得6分，满分12</w:t>
            </w:r>
            <w:r>
              <w:rPr>
                <w:rFonts w:hint="eastAsia" w:ascii="宋体" w:hAnsi="宋体" w:eastAsia="宋体" w:cs="Times New Roman"/>
                <w:b w:val="0"/>
                <w:i w:val="0"/>
                <w:color w:val="000000"/>
                <w:kern w:val="2"/>
                <w:sz w:val="21"/>
                <w:szCs w:val="21"/>
                <w:u w:val="none"/>
                <w:lang w:val="en-US" w:eastAsia="zh-CN" w:bidi="ar"/>
              </w:rPr>
              <w:t>分。</w:t>
            </w:r>
          </w:p>
          <w:p>
            <w:pPr>
              <w:spacing w:line="360" w:lineRule="auto"/>
              <w:jc w:val="left"/>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B包交通标志：</w:t>
            </w:r>
            <w:r>
              <w:rPr>
                <w:rFonts w:hint="eastAsia" w:ascii="宋体" w:hAnsi="宋体" w:eastAsia="宋体" w:cs="Times New Roman"/>
                <w:b w:val="0"/>
                <w:i w:val="0"/>
                <w:color w:val="000000"/>
                <w:kern w:val="2"/>
                <w:sz w:val="21"/>
                <w:szCs w:val="21"/>
                <w:u w:val="none"/>
                <w:lang w:val="en-US" w:eastAsia="zh-CN" w:bidi="ar"/>
              </w:rPr>
              <w:t>投标人具有公安部交通安全产品质量监督检测中心或国家交通安全设施质量监督检验中心出具的</w:t>
            </w:r>
            <w:r>
              <w:rPr>
                <w:rFonts w:hint="eastAsia" w:ascii="宋体" w:hAnsi="宋体" w:cs="Times New Roman"/>
                <w:b w:val="0"/>
                <w:i w:val="0"/>
                <w:color w:val="000000"/>
                <w:kern w:val="2"/>
                <w:sz w:val="21"/>
                <w:szCs w:val="21"/>
                <w:u w:val="none"/>
                <w:lang w:val="en-US" w:eastAsia="zh-CN" w:bidi="ar"/>
              </w:rPr>
              <w:t>类似</w:t>
            </w:r>
            <w:r>
              <w:rPr>
                <w:rFonts w:hint="eastAsia" w:ascii="宋体" w:hAnsi="宋体" w:eastAsia="宋体" w:cs="Times New Roman"/>
                <w:b w:val="0"/>
                <w:i w:val="0"/>
                <w:color w:val="000000"/>
                <w:kern w:val="2"/>
                <w:sz w:val="21"/>
                <w:szCs w:val="21"/>
                <w:u w:val="none"/>
                <w:lang w:val="en-US" w:eastAsia="zh-CN" w:bidi="ar"/>
              </w:rPr>
              <w:t>交通</w:t>
            </w:r>
            <w:r>
              <w:rPr>
                <w:rFonts w:hint="eastAsia" w:ascii="宋体" w:hAnsi="宋体" w:cs="Times New Roman"/>
                <w:b w:val="0"/>
                <w:i w:val="0"/>
                <w:color w:val="000000"/>
                <w:kern w:val="2"/>
                <w:sz w:val="21"/>
                <w:szCs w:val="21"/>
                <w:u w:val="none"/>
                <w:lang w:val="en-US" w:eastAsia="zh-CN" w:bidi="ar"/>
              </w:rPr>
              <w:t>标志板</w:t>
            </w:r>
            <w:r>
              <w:rPr>
                <w:rFonts w:hint="eastAsia" w:ascii="宋体" w:hAnsi="宋体" w:eastAsia="宋体" w:cs="Times New Roman"/>
                <w:b w:val="0"/>
                <w:i w:val="0"/>
                <w:color w:val="000000"/>
                <w:kern w:val="2"/>
                <w:sz w:val="21"/>
                <w:szCs w:val="21"/>
                <w:u w:val="none"/>
                <w:lang w:val="en-US" w:eastAsia="zh-CN" w:bidi="ar"/>
              </w:rPr>
              <w:t>的检测报告（</w:t>
            </w:r>
            <w:r>
              <w:rPr>
                <w:rFonts w:hint="eastAsia" w:ascii="宋体" w:hAnsi="宋体" w:eastAsia="宋体" w:cs="Times New Roman"/>
                <w:b w:val="0"/>
                <w:i w:val="0"/>
                <w:color w:val="000000"/>
                <w:kern w:val="2"/>
                <w:sz w:val="21"/>
                <w:szCs w:val="21"/>
                <w:u w:val="none"/>
                <w:lang w:val="en-US" w:eastAsia="zh-CN" w:bidi="ar"/>
              </w:rPr>
              <w:fldChar w:fldCharType="begin"/>
            </w:r>
            <w:r>
              <w:rPr>
                <w:rFonts w:hint="eastAsia" w:ascii="宋体" w:hAnsi="宋体" w:eastAsia="宋体" w:cs="Times New Roman"/>
                <w:b w:val="0"/>
                <w:i w:val="0"/>
                <w:color w:val="000000"/>
                <w:kern w:val="2"/>
                <w:sz w:val="21"/>
                <w:szCs w:val="21"/>
                <w:u w:val="none"/>
                <w:lang w:val="en-US" w:eastAsia="zh-CN" w:bidi="ar"/>
              </w:rPr>
              <w:instrText xml:space="preserve"> HYPERLINK "http://www.tmri.cn" </w:instrText>
            </w:r>
            <w:r>
              <w:rPr>
                <w:rFonts w:hint="eastAsia" w:ascii="宋体" w:hAnsi="宋体" w:eastAsia="宋体" w:cs="Times New Roman"/>
                <w:b w:val="0"/>
                <w:i w:val="0"/>
                <w:color w:val="000000"/>
                <w:kern w:val="2"/>
                <w:sz w:val="21"/>
                <w:szCs w:val="21"/>
                <w:u w:val="none"/>
                <w:lang w:val="en-US" w:eastAsia="zh-CN" w:bidi="ar"/>
              </w:rPr>
              <w:fldChar w:fldCharType="separate"/>
            </w:r>
            <w:r>
              <w:rPr>
                <w:rFonts w:hint="eastAsia" w:ascii="宋体" w:hAnsi="宋体" w:eastAsia="宋体" w:cs="Times New Roman"/>
                <w:b w:val="0"/>
                <w:i w:val="0"/>
                <w:color w:val="000000"/>
                <w:kern w:val="2"/>
                <w:sz w:val="21"/>
                <w:szCs w:val="21"/>
                <w:u w:val="none"/>
                <w:lang w:val="en-US" w:eastAsia="zh-CN" w:bidi="ar"/>
              </w:rPr>
              <w:t>www.tmri.cn</w:t>
            </w:r>
            <w:r>
              <w:rPr>
                <w:rFonts w:hint="eastAsia" w:ascii="宋体" w:hAnsi="宋体" w:eastAsia="宋体" w:cs="Times New Roman"/>
                <w:b w:val="0"/>
                <w:i w:val="0"/>
                <w:color w:val="000000"/>
                <w:kern w:val="2"/>
                <w:sz w:val="21"/>
                <w:szCs w:val="21"/>
                <w:u w:val="none"/>
                <w:lang w:val="en-US" w:eastAsia="zh-CN" w:bidi="ar"/>
              </w:rPr>
              <w:fldChar w:fldCharType="end"/>
            </w:r>
            <w:r>
              <w:rPr>
                <w:rFonts w:hint="eastAsia" w:ascii="宋体" w:hAnsi="宋体" w:eastAsia="宋体" w:cs="Times New Roman"/>
                <w:b w:val="0"/>
                <w:i w:val="0"/>
                <w:color w:val="000000"/>
                <w:kern w:val="2"/>
                <w:sz w:val="21"/>
                <w:szCs w:val="21"/>
                <w:u w:val="none"/>
                <w:lang w:val="en-US" w:eastAsia="zh-CN" w:bidi="ar"/>
              </w:rPr>
              <w:t>、www.testc.co</w:t>
            </w:r>
            <w:r>
              <w:rPr>
                <w:rFonts w:hint="eastAsia" w:ascii="宋体" w:hAnsi="宋体" w:cs="Times New Roman"/>
                <w:b w:val="0"/>
                <w:i w:val="0"/>
                <w:color w:val="000000"/>
                <w:kern w:val="2"/>
                <w:sz w:val="21"/>
                <w:szCs w:val="21"/>
                <w:u w:val="none"/>
                <w:lang w:val="en-US" w:eastAsia="zh-CN" w:bidi="ar"/>
              </w:rPr>
              <w:t xml:space="preserve">m.cn），每份检测报告6分，满分12分。 </w:t>
            </w:r>
          </w:p>
          <w:p>
            <w:pPr>
              <w:spacing w:line="360" w:lineRule="auto"/>
              <w:jc w:val="left"/>
              <w:rPr>
                <w:rFonts w:hint="default"/>
                <w:lang w:val="en-US" w:eastAsia="zh-CN"/>
              </w:rPr>
            </w:pPr>
            <w:r>
              <w:rPr>
                <w:rFonts w:hint="eastAsia" w:ascii="宋体" w:hAnsi="宋体" w:cs="Times New Roman"/>
                <w:b w:val="0"/>
                <w:i w:val="0"/>
                <w:color w:val="000000"/>
                <w:kern w:val="2"/>
                <w:sz w:val="21"/>
                <w:szCs w:val="21"/>
                <w:u w:val="none"/>
                <w:lang w:val="en-US" w:eastAsia="zh-CN" w:bidi="ar"/>
              </w:rPr>
              <w:t>C包交通信号灯自适应系统：可对检测区域内经过断面的车流量进行统计，白天的准确率≥95%，夜间的准确率≥90%。支持对单车道的平均速度进行统计，误差白天≤5%，夜间≤10%。支持对单车道的平均车头时距间隔进行统计，按设定的周期输出结果，车头时距统计准确率≥95%。检测范围≥车流方向15米-200米。满足上述要求的12分，否则不得分。（需要提供承诺函）</w:t>
            </w:r>
          </w:p>
          <w:p>
            <w:pPr>
              <w:spacing w:line="360" w:lineRule="auto"/>
              <w:rPr>
                <w:rFonts w:ascii="宋体" w:hAnsi="宋体" w:eastAsia="宋体" w:cs="Times New Roman"/>
                <w:szCs w:val="21"/>
              </w:rPr>
            </w:pPr>
            <w:r>
              <w:rPr>
                <w:rFonts w:hint="eastAsia" w:ascii="宋体" w:hAnsi="宋体" w:cs="Times New Roman"/>
                <w:b w:val="0"/>
                <w:i w:val="0"/>
                <w:color w:val="000000"/>
                <w:kern w:val="2"/>
                <w:sz w:val="21"/>
                <w:szCs w:val="21"/>
                <w:u w:val="none"/>
                <w:lang w:val="en-US" w:eastAsia="zh-CN" w:bidi="ar"/>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技术方案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US" w:eastAsia="zh-CN"/>
              </w:rPr>
              <w:t>1、提供供货进度计划、供货进度保证措施，得6分；                2、技术培训方案完善，得6分 ；                                 3、组织管理措施完善、可行，得6分；                                 4、技术质量保障措施完善、可行，得6分；                             5、文明施工保证措施完善，得4分；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14</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rPr>
                <w:rFonts w:hint="eastAsia" w:ascii="宋体" w:hAnsi="宋体" w:eastAsia="宋体" w:cs="宋体"/>
                <w:color w:val="auto"/>
                <w:sz w:val="21"/>
                <w:szCs w:val="21"/>
                <w:shd w:val="clear" w:color="auto" w:fill="FFFFFF"/>
              </w:rPr>
            </w:pPr>
            <w:r>
              <w:rPr>
                <w:rFonts w:hint="eastAsia" w:ascii="宋体" w:hAnsi="宋体" w:cs="Times New Roman"/>
                <w:b w:val="0"/>
                <w:i w:val="0"/>
                <w:color w:val="000000"/>
                <w:kern w:val="2"/>
                <w:sz w:val="21"/>
                <w:szCs w:val="21"/>
                <w:u w:val="none"/>
                <w:lang w:val="en-US" w:eastAsia="zh-CN" w:bidi="ar"/>
              </w:rPr>
              <w:t xml:space="preserve">1.A包交通标线 </w:t>
            </w:r>
            <w:r>
              <w:rPr>
                <w:rFonts w:hint="eastAsia" w:ascii="宋体" w:hAnsi="宋体" w:eastAsia="宋体" w:cs="宋体"/>
                <w:color w:val="auto"/>
                <w:sz w:val="21"/>
                <w:szCs w:val="21"/>
                <w:shd w:val="clear" w:color="auto" w:fill="FFFFFF"/>
              </w:rPr>
              <w:t>投标人</w:t>
            </w:r>
            <w:r>
              <w:rPr>
                <w:rFonts w:hint="eastAsia" w:ascii="宋体" w:hAnsi="宋体" w:cs="宋体"/>
                <w:color w:val="auto"/>
                <w:sz w:val="21"/>
                <w:szCs w:val="21"/>
                <w:shd w:val="clear" w:color="auto" w:fill="FFFFFF"/>
                <w:lang w:eastAsia="zh-CN"/>
              </w:rPr>
              <w:t>接到施工通知时起，施工</w:t>
            </w:r>
            <w:r>
              <w:rPr>
                <w:rFonts w:hint="eastAsia" w:ascii="宋体" w:hAnsi="宋体" w:eastAsia="宋体" w:cs="宋体"/>
                <w:color w:val="auto"/>
                <w:sz w:val="21"/>
                <w:szCs w:val="21"/>
                <w:shd w:val="clear" w:color="auto" w:fill="FFFFFF"/>
              </w:rPr>
              <w:t>时间≦</w:t>
            </w:r>
            <w:r>
              <w:rPr>
                <w:rFonts w:hint="eastAsia" w:ascii="宋体" w:hAnsi="宋体" w:cs="宋体"/>
                <w:color w:val="auto"/>
                <w:sz w:val="21"/>
                <w:szCs w:val="21"/>
                <w:shd w:val="clear" w:color="auto" w:fill="FFFFFF"/>
                <w:lang w:val="en-US" w:eastAsia="zh-CN"/>
              </w:rPr>
              <w:t>72</w:t>
            </w:r>
            <w:r>
              <w:rPr>
                <w:rFonts w:hint="eastAsia" w:ascii="宋体" w:hAnsi="宋体" w:eastAsia="宋体" w:cs="宋体"/>
                <w:color w:val="auto"/>
                <w:sz w:val="21"/>
                <w:szCs w:val="21"/>
                <w:shd w:val="clear" w:color="auto" w:fill="FFFFFF"/>
              </w:rPr>
              <w:t>小时得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w:t>
            </w:r>
            <w:r>
              <w:rPr>
                <w:rFonts w:hint="eastAsia" w:ascii="宋体" w:hAnsi="宋体" w:cs="宋体"/>
                <w:color w:val="auto"/>
                <w:sz w:val="21"/>
                <w:szCs w:val="21"/>
                <w:shd w:val="clear" w:color="auto" w:fill="FFFFFF"/>
                <w:lang w:val="en-US" w:eastAsia="zh-CN"/>
              </w:rPr>
              <w:t>120</w:t>
            </w:r>
            <w:r>
              <w:rPr>
                <w:rFonts w:hint="eastAsia" w:ascii="宋体" w:hAnsi="宋体" w:eastAsia="宋体" w:cs="宋体"/>
                <w:color w:val="auto"/>
                <w:sz w:val="21"/>
                <w:szCs w:val="21"/>
                <w:shd w:val="clear" w:color="auto" w:fill="FFFFFF"/>
              </w:rPr>
              <w:t>小时得</w:t>
            </w:r>
            <w:r>
              <w:rPr>
                <w:rFonts w:hint="eastAsia" w:ascii="宋体" w:hAnsi="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分，&gt;</w:t>
            </w:r>
            <w:r>
              <w:rPr>
                <w:rFonts w:hint="eastAsia" w:ascii="宋体" w:hAnsi="宋体" w:cs="宋体"/>
                <w:color w:val="auto"/>
                <w:sz w:val="21"/>
                <w:szCs w:val="21"/>
                <w:shd w:val="clear" w:color="auto" w:fill="FFFFFF"/>
                <w:lang w:val="en-US" w:eastAsia="zh-CN"/>
              </w:rPr>
              <w:t>120</w:t>
            </w:r>
            <w:r>
              <w:rPr>
                <w:rFonts w:hint="eastAsia" w:ascii="宋体" w:hAnsi="宋体" w:eastAsia="宋体" w:cs="宋体"/>
                <w:color w:val="auto"/>
                <w:sz w:val="21"/>
                <w:szCs w:val="21"/>
                <w:shd w:val="clear" w:color="auto" w:fill="FFFFFF"/>
              </w:rPr>
              <w:t>小时不得分（需要</w:t>
            </w:r>
            <w:r>
              <w:rPr>
                <w:rFonts w:hint="eastAsia" w:ascii="宋体" w:hAnsi="宋体" w:cs="宋体"/>
                <w:color w:val="auto"/>
                <w:sz w:val="21"/>
                <w:szCs w:val="21"/>
                <w:shd w:val="clear" w:color="auto" w:fill="FFFFFF"/>
                <w:lang w:eastAsia="zh-CN"/>
              </w:rPr>
              <w:t>提供承诺函</w:t>
            </w:r>
            <w:r>
              <w:rPr>
                <w:rFonts w:hint="eastAsia" w:ascii="宋体" w:hAnsi="宋体" w:eastAsia="宋体" w:cs="宋体"/>
                <w:color w:val="auto"/>
                <w:sz w:val="21"/>
                <w:szCs w:val="21"/>
                <w:shd w:val="clear" w:color="auto" w:fill="FFFFFF"/>
              </w:rPr>
              <w:t>）。</w:t>
            </w:r>
          </w:p>
          <w:p>
            <w:pPr>
              <w:numPr>
                <w:ilvl w:val="0"/>
                <w:numId w:val="0"/>
              </w:numPr>
              <w:spacing w:line="400" w:lineRule="exact"/>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2.B包交通标志：投标人自接到施工通知时起，施工时间≦50天得4分，≦60天得2分， ≦70天得1分；&gt;70天不得分（需要</w:t>
            </w:r>
            <w:r>
              <w:rPr>
                <w:rFonts w:hint="eastAsia" w:ascii="宋体" w:hAnsi="宋体" w:cs="宋体"/>
                <w:color w:val="auto"/>
                <w:sz w:val="21"/>
                <w:szCs w:val="21"/>
                <w:shd w:val="clear" w:color="auto" w:fill="FFFFFF"/>
                <w:lang w:eastAsia="zh-CN"/>
              </w:rPr>
              <w:t>提供承诺函</w:t>
            </w:r>
            <w:r>
              <w:rPr>
                <w:rFonts w:hint="eastAsia" w:ascii="宋体" w:hAnsi="宋体" w:cs="Times New Roman"/>
                <w:b w:val="0"/>
                <w:i w:val="0"/>
                <w:color w:val="000000"/>
                <w:kern w:val="2"/>
                <w:sz w:val="21"/>
                <w:szCs w:val="21"/>
                <w:u w:val="none"/>
                <w:lang w:val="en-US" w:eastAsia="zh-CN" w:bidi="ar"/>
              </w:rPr>
              <w:t xml:space="preserve">）。               </w:t>
            </w:r>
          </w:p>
          <w:p>
            <w:pPr>
              <w:numPr>
                <w:ilvl w:val="0"/>
                <w:numId w:val="0"/>
              </w:numPr>
              <w:spacing w:line="360" w:lineRule="exact"/>
              <w:rPr>
                <w:rFonts w:hint="eastAsia" w:ascii="宋体" w:hAnsi="宋体" w:eastAsia="宋体" w:cs="宋体"/>
                <w:color w:val="auto"/>
                <w:sz w:val="21"/>
                <w:szCs w:val="21"/>
                <w:shd w:val="clear" w:color="auto" w:fill="FFFFFF"/>
              </w:rPr>
            </w:pPr>
            <w:r>
              <w:rPr>
                <w:rFonts w:hint="eastAsia" w:ascii="宋体" w:hAnsi="宋体" w:cs="Times New Roman"/>
                <w:b w:val="0"/>
                <w:i w:val="0"/>
                <w:color w:val="000000"/>
                <w:kern w:val="2"/>
                <w:sz w:val="21"/>
                <w:szCs w:val="21"/>
                <w:u w:val="none"/>
                <w:lang w:val="en-US" w:eastAsia="zh-CN" w:bidi="ar"/>
              </w:rPr>
              <w:t>3.C包交通信号灯自适应系统：1.</w:t>
            </w:r>
            <w:r>
              <w:rPr>
                <w:rFonts w:hint="eastAsia" w:ascii="宋体" w:hAnsi="宋体" w:eastAsia="宋体" w:cs="宋体"/>
                <w:color w:val="auto"/>
                <w:sz w:val="21"/>
                <w:szCs w:val="21"/>
                <w:shd w:val="clear" w:color="auto" w:fill="FFFFFF"/>
              </w:rPr>
              <w:t>投标人需要根据</w:t>
            </w:r>
            <w:r>
              <w:rPr>
                <w:rFonts w:hint="eastAsia" w:ascii="宋体" w:hAnsi="宋体" w:cs="宋体"/>
                <w:color w:val="auto"/>
                <w:sz w:val="21"/>
                <w:szCs w:val="21"/>
                <w:shd w:val="clear" w:color="auto" w:fill="FFFFFF"/>
                <w:lang w:eastAsia="zh-CN"/>
              </w:rPr>
              <w:t>招标内容</w:t>
            </w:r>
            <w:r>
              <w:rPr>
                <w:rFonts w:hint="eastAsia" w:ascii="宋体" w:hAnsi="宋体" w:eastAsia="宋体" w:cs="宋体"/>
                <w:color w:val="auto"/>
                <w:sz w:val="21"/>
                <w:szCs w:val="21"/>
                <w:shd w:val="clear" w:color="auto" w:fill="FFFFFF"/>
              </w:rPr>
              <w:t>确定的运维区域、设备情况制定运维方案，提升运维服务效率，自故障发生时间起，解决时间≦4小时得</w:t>
            </w:r>
            <w:r>
              <w:rPr>
                <w:rFonts w:hint="eastAsia" w:ascii="宋体" w:hAnsi="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rPr>
              <w:t>分，≦8小时得</w:t>
            </w:r>
            <w:r>
              <w:rPr>
                <w:rFonts w:hint="eastAsia" w:ascii="宋体" w:hAnsi="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 ≦24小时得</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rPr>
              <w:t>分；&gt;48小时不得分（</w:t>
            </w:r>
            <w:r>
              <w:rPr>
                <w:rFonts w:hint="eastAsia" w:ascii="宋体" w:hAnsi="宋体" w:cs="Times New Roman"/>
                <w:b w:val="0"/>
                <w:i w:val="0"/>
                <w:color w:val="000000"/>
                <w:kern w:val="2"/>
                <w:sz w:val="21"/>
                <w:szCs w:val="21"/>
                <w:u w:val="none"/>
                <w:lang w:val="en-US" w:eastAsia="zh-CN" w:bidi="ar"/>
              </w:rPr>
              <w:t>需要</w:t>
            </w:r>
            <w:r>
              <w:rPr>
                <w:rFonts w:hint="eastAsia" w:ascii="宋体" w:hAnsi="宋体" w:cs="宋体"/>
                <w:color w:val="auto"/>
                <w:sz w:val="21"/>
                <w:szCs w:val="21"/>
                <w:shd w:val="clear" w:color="auto" w:fill="FFFFFF"/>
                <w:lang w:eastAsia="zh-CN"/>
              </w:rPr>
              <w:t>提供承诺函</w:t>
            </w:r>
            <w:r>
              <w:rPr>
                <w:rFonts w:hint="eastAsia" w:ascii="宋体" w:hAnsi="宋体" w:eastAsia="宋体" w:cs="宋体"/>
                <w:color w:val="auto"/>
                <w:sz w:val="21"/>
                <w:szCs w:val="21"/>
                <w:shd w:val="clear" w:color="auto" w:fill="FFFFFF"/>
              </w:rPr>
              <w:t>）。</w:t>
            </w:r>
          </w:p>
          <w:p>
            <w:pPr>
              <w:spacing w:line="360" w:lineRule="auto"/>
              <w:jc w:val="left"/>
              <w:rPr>
                <w:rFonts w:hint="eastAsia" w:ascii="宋体" w:hAnsi="宋体"/>
                <w:color w:val="000000"/>
                <w:szCs w:val="21"/>
                <w:lang w:val="en-GB"/>
              </w:rPr>
            </w:pPr>
            <w:r>
              <w:rPr>
                <w:rFonts w:hint="eastAsia" w:ascii="宋体" w:hAnsi="宋体" w:eastAsia="宋体" w:cs="宋体"/>
                <w:color w:val="auto"/>
                <w:sz w:val="21"/>
                <w:szCs w:val="21"/>
                <w:shd w:val="clear" w:color="auto" w:fill="FFFFFF"/>
              </w:rPr>
              <w:t>投标人应保证该项目视频</w:t>
            </w:r>
            <w:r>
              <w:rPr>
                <w:rFonts w:hint="eastAsia" w:ascii="宋体" w:hAnsi="宋体" w:cs="宋体"/>
                <w:color w:val="auto"/>
                <w:sz w:val="21"/>
                <w:szCs w:val="21"/>
                <w:shd w:val="clear" w:color="auto" w:fill="FFFFFF"/>
                <w:lang w:eastAsia="zh-CN"/>
              </w:rPr>
              <w:t>检测系统</w:t>
            </w:r>
            <w:r>
              <w:rPr>
                <w:rFonts w:hint="eastAsia" w:ascii="宋体" w:hAnsi="宋体" w:eastAsia="宋体" w:cs="宋体"/>
                <w:color w:val="auto"/>
                <w:sz w:val="21"/>
                <w:szCs w:val="21"/>
                <w:shd w:val="clear" w:color="auto" w:fill="FFFFFF"/>
              </w:rPr>
              <w:t>完好率，完好率由用户每天统计。投标人承诺完好率为98%</w:t>
            </w:r>
            <w:r>
              <w:rPr>
                <w:rFonts w:hint="eastAsia" w:ascii="宋体" w:hAnsi="宋体" w:cs="宋体"/>
                <w:color w:val="auto"/>
                <w:sz w:val="21"/>
                <w:szCs w:val="21"/>
                <w:shd w:val="clear" w:color="auto" w:fill="FFFFFF"/>
                <w:lang w:eastAsia="zh-CN"/>
              </w:rPr>
              <w:t>以上的</w:t>
            </w:r>
            <w:r>
              <w:rPr>
                <w:rFonts w:hint="eastAsia" w:ascii="宋体" w:hAnsi="宋体" w:eastAsia="宋体" w:cs="宋体"/>
                <w:color w:val="auto"/>
                <w:sz w:val="21"/>
                <w:szCs w:val="21"/>
                <w:shd w:val="clear" w:color="auto" w:fill="FFFFFF"/>
              </w:rPr>
              <w:t>得</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rPr>
              <w:t>分，完好率为95%</w:t>
            </w:r>
            <w:r>
              <w:rPr>
                <w:rFonts w:hint="eastAsia" w:ascii="宋体" w:hAnsi="宋体" w:cs="宋体"/>
                <w:color w:val="auto"/>
                <w:sz w:val="21"/>
                <w:szCs w:val="21"/>
                <w:shd w:val="clear" w:color="auto" w:fill="FFFFFF"/>
                <w:lang w:eastAsia="zh-CN"/>
              </w:rPr>
              <w:t>以上的</w:t>
            </w:r>
            <w:r>
              <w:rPr>
                <w:rFonts w:hint="eastAsia" w:ascii="宋体" w:hAnsi="宋体" w:eastAsia="宋体" w:cs="宋体"/>
                <w:color w:val="auto"/>
                <w:sz w:val="21"/>
                <w:szCs w:val="21"/>
                <w:shd w:val="clear" w:color="auto" w:fill="FFFFFF"/>
              </w:rPr>
              <w:t>得</w:t>
            </w:r>
            <w:r>
              <w:rPr>
                <w:rFonts w:hint="eastAsia" w:ascii="宋体" w:hAnsi="宋体" w:cs="宋体"/>
                <w:color w:val="auto"/>
                <w:sz w:val="21"/>
                <w:szCs w:val="21"/>
                <w:shd w:val="clear" w:color="auto" w:fill="FFFFFF"/>
                <w:lang w:val="en-US" w:eastAsia="zh-CN"/>
              </w:rPr>
              <w:t>0.5</w:t>
            </w:r>
            <w:r>
              <w:rPr>
                <w:rFonts w:hint="eastAsia" w:ascii="宋体" w:hAnsi="宋体" w:eastAsia="宋体" w:cs="宋体"/>
                <w:color w:val="auto"/>
                <w:sz w:val="21"/>
                <w:szCs w:val="21"/>
                <w:shd w:val="clear" w:color="auto" w:fill="FFFFFF"/>
              </w:rPr>
              <w:t>分，低于9</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rPr>
              <w:t>%不得分。</w:t>
            </w:r>
            <w:r>
              <w:rPr>
                <w:rFonts w:hint="eastAsia" w:ascii="宋体" w:hAnsi="宋体" w:cs="宋体"/>
                <w:color w:val="auto"/>
                <w:sz w:val="21"/>
                <w:szCs w:val="21"/>
                <w:shd w:val="clear" w:color="auto" w:fill="FFFFFF"/>
                <w:lang w:eastAsia="zh-CN"/>
              </w:rPr>
              <w:t>（</w:t>
            </w:r>
            <w:r>
              <w:rPr>
                <w:rFonts w:hint="eastAsia" w:ascii="宋体" w:hAnsi="宋体" w:cs="Times New Roman"/>
                <w:b w:val="0"/>
                <w:i w:val="0"/>
                <w:color w:val="000000"/>
                <w:kern w:val="2"/>
                <w:sz w:val="21"/>
                <w:szCs w:val="21"/>
                <w:u w:val="none"/>
                <w:lang w:val="en-US" w:eastAsia="zh-CN" w:bidi="ar"/>
              </w:rPr>
              <w:t>需要</w:t>
            </w:r>
            <w:r>
              <w:rPr>
                <w:rFonts w:hint="eastAsia" w:ascii="宋体" w:hAnsi="宋体" w:cs="宋体"/>
                <w:color w:val="auto"/>
                <w:sz w:val="21"/>
                <w:szCs w:val="21"/>
                <w:shd w:val="clear" w:color="auto" w:fill="FFFFFF"/>
                <w:lang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1"/>
              <w:tabs>
                <w:tab w:val="left" w:pos="600"/>
              </w:tabs>
              <w:snapToGrid w:val="0"/>
              <w:spacing w:beforeLines="50" w:after="0" w:line="240" w:lineRule="auto"/>
              <w:ind w:firstLine="422"/>
              <w:rPr>
                <w:rFonts w:ascii="宋体" w:hAnsi="宋体" w:eastAsia="宋体" w:cs="宋体"/>
                <w:sz w:val="21"/>
                <w:szCs w:val="21"/>
              </w:rPr>
            </w:pPr>
            <w:bookmarkStart w:id="6" w:name="_Hlk535157742"/>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bookmarkStart w:id="7" w:name="_Hlk535157663"/>
            <w:r>
              <w:rPr>
                <w:rFonts w:hint="eastAsia" w:ascii="宋体" w:hAnsi="宋体" w:eastAsia="宋体" w:cs="Times New Roman"/>
                <w:szCs w:val="21"/>
              </w:rPr>
              <w:t>项目实施团队</w:t>
            </w:r>
            <w:bookmarkEnd w:id="7"/>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jc w:val="both"/>
              <w:rPr>
                <w:rFonts w:hint="default"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A包交通标线：配备</w:t>
            </w:r>
            <w:r>
              <w:rPr>
                <w:rFonts w:hint="eastAsia" w:ascii="宋体" w:hAnsi="宋体" w:cs="Times New Roman"/>
                <w:b w:val="0"/>
                <w:i w:val="0"/>
                <w:color w:val="000000"/>
                <w:kern w:val="2"/>
                <w:sz w:val="21"/>
                <w:szCs w:val="21"/>
                <w:u w:val="none"/>
                <w:lang w:val="en-US" w:eastAsia="zh-CN" w:bidi="ar"/>
              </w:rPr>
              <w:t>交通或</w:t>
            </w:r>
            <w:r>
              <w:rPr>
                <w:rFonts w:hint="eastAsia" w:ascii="宋体" w:hAnsi="宋体" w:eastAsia="宋体" w:cs="Times New Roman"/>
                <w:b w:val="0"/>
                <w:i w:val="0"/>
                <w:color w:val="000000"/>
                <w:kern w:val="2"/>
                <w:sz w:val="21"/>
                <w:szCs w:val="21"/>
                <w:u w:val="none"/>
                <w:lang w:val="en-US" w:eastAsia="zh-CN" w:bidi="ar"/>
              </w:rPr>
              <w:t>公路工程专业中级及以上工程师（zscx.osta.org.cn），每个</w:t>
            </w:r>
            <w:r>
              <w:rPr>
                <w:rFonts w:hint="eastAsia" w:ascii="宋体" w:hAnsi="宋体" w:cs="Times New Roman"/>
                <w:b w:val="0"/>
                <w:i w:val="0"/>
                <w:color w:val="000000"/>
                <w:kern w:val="2"/>
                <w:sz w:val="21"/>
                <w:szCs w:val="21"/>
                <w:u w:val="none"/>
                <w:lang w:val="en-US" w:eastAsia="zh-CN" w:bidi="ar"/>
              </w:rPr>
              <w:t>4</w:t>
            </w:r>
            <w:r>
              <w:rPr>
                <w:rFonts w:hint="eastAsia" w:ascii="宋体" w:hAnsi="宋体" w:eastAsia="宋体" w:cs="Times New Roman"/>
                <w:b w:val="0"/>
                <w:i w:val="0"/>
                <w:color w:val="000000"/>
                <w:kern w:val="2"/>
                <w:sz w:val="21"/>
                <w:szCs w:val="21"/>
                <w:u w:val="none"/>
                <w:lang w:val="en-US" w:eastAsia="zh-CN" w:bidi="ar"/>
              </w:rPr>
              <w:t>分，最高</w:t>
            </w:r>
            <w:r>
              <w:rPr>
                <w:rFonts w:hint="eastAsia" w:ascii="宋体" w:hAnsi="宋体" w:cs="Times New Roman"/>
                <w:b w:val="0"/>
                <w:i w:val="0"/>
                <w:color w:val="000000"/>
                <w:kern w:val="2"/>
                <w:sz w:val="21"/>
                <w:szCs w:val="21"/>
                <w:u w:val="none"/>
                <w:lang w:val="en-US" w:eastAsia="zh-CN" w:bidi="ar"/>
              </w:rPr>
              <w:t>8</w:t>
            </w:r>
            <w:r>
              <w:rPr>
                <w:rFonts w:hint="eastAsia" w:ascii="宋体" w:hAnsi="宋体" w:eastAsia="宋体" w:cs="Times New Roman"/>
                <w:b w:val="0"/>
                <w:i w:val="0"/>
                <w:color w:val="000000"/>
                <w:kern w:val="2"/>
                <w:sz w:val="21"/>
                <w:szCs w:val="21"/>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B包 交通标志牌：配备</w:t>
            </w:r>
            <w:r>
              <w:rPr>
                <w:rFonts w:hint="eastAsia" w:ascii="宋体" w:hAnsi="宋体" w:cs="Times New Roman"/>
                <w:b w:val="0"/>
                <w:i w:val="0"/>
                <w:color w:val="000000"/>
                <w:kern w:val="2"/>
                <w:sz w:val="21"/>
                <w:szCs w:val="21"/>
                <w:u w:val="none"/>
                <w:lang w:val="en-US" w:eastAsia="zh-CN" w:bidi="ar"/>
              </w:rPr>
              <w:t>交通或</w:t>
            </w:r>
            <w:r>
              <w:rPr>
                <w:rFonts w:hint="eastAsia" w:ascii="宋体" w:hAnsi="宋体" w:eastAsia="宋体" w:cs="Times New Roman"/>
                <w:b w:val="0"/>
                <w:i w:val="0"/>
                <w:color w:val="000000"/>
                <w:kern w:val="2"/>
                <w:sz w:val="21"/>
                <w:szCs w:val="21"/>
                <w:u w:val="none"/>
                <w:lang w:val="en-US" w:eastAsia="zh-CN" w:bidi="ar"/>
              </w:rPr>
              <w:t>公路工程专业中级及以上工程师（zscx.osta.org.cn），每个</w:t>
            </w:r>
            <w:r>
              <w:rPr>
                <w:rFonts w:hint="eastAsia" w:ascii="宋体" w:hAnsi="宋体" w:cs="Times New Roman"/>
                <w:b w:val="0"/>
                <w:i w:val="0"/>
                <w:color w:val="000000"/>
                <w:kern w:val="2"/>
                <w:sz w:val="21"/>
                <w:szCs w:val="21"/>
                <w:u w:val="none"/>
                <w:lang w:val="en-US" w:eastAsia="zh-CN" w:bidi="ar"/>
              </w:rPr>
              <w:t>4</w:t>
            </w:r>
            <w:r>
              <w:rPr>
                <w:rFonts w:hint="eastAsia" w:ascii="宋体" w:hAnsi="宋体" w:eastAsia="宋体" w:cs="Times New Roman"/>
                <w:b w:val="0"/>
                <w:i w:val="0"/>
                <w:color w:val="000000"/>
                <w:kern w:val="2"/>
                <w:sz w:val="21"/>
                <w:szCs w:val="21"/>
                <w:u w:val="none"/>
                <w:lang w:val="en-US" w:eastAsia="zh-CN" w:bidi="ar"/>
              </w:rPr>
              <w:t>分，最高</w:t>
            </w:r>
            <w:r>
              <w:rPr>
                <w:rFonts w:hint="eastAsia" w:ascii="宋体" w:hAnsi="宋体" w:cs="Times New Roman"/>
                <w:b w:val="0"/>
                <w:i w:val="0"/>
                <w:color w:val="000000"/>
                <w:kern w:val="2"/>
                <w:sz w:val="21"/>
                <w:szCs w:val="21"/>
                <w:u w:val="none"/>
                <w:lang w:val="en-US" w:eastAsia="zh-CN" w:bidi="ar"/>
              </w:rPr>
              <w:t>8</w:t>
            </w:r>
            <w:r>
              <w:rPr>
                <w:rFonts w:hint="eastAsia" w:ascii="宋体" w:hAnsi="宋体" w:eastAsia="宋体" w:cs="Times New Roman"/>
                <w:b w:val="0"/>
                <w:i w:val="0"/>
                <w:color w:val="000000"/>
                <w:kern w:val="2"/>
                <w:sz w:val="21"/>
                <w:szCs w:val="21"/>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C包 交通信号灯自适应系统：配备机电工程专业中级及以上工程师（zscx.osta.org.cn），每个</w:t>
            </w:r>
            <w:r>
              <w:rPr>
                <w:rFonts w:hint="eastAsia" w:ascii="宋体" w:hAnsi="宋体" w:cs="Times New Roman"/>
                <w:b w:val="0"/>
                <w:i w:val="0"/>
                <w:color w:val="000000"/>
                <w:kern w:val="2"/>
                <w:sz w:val="21"/>
                <w:szCs w:val="21"/>
                <w:u w:val="none"/>
                <w:lang w:val="en-US" w:eastAsia="zh-CN" w:bidi="ar"/>
              </w:rPr>
              <w:t>4</w:t>
            </w:r>
            <w:r>
              <w:rPr>
                <w:rFonts w:hint="eastAsia" w:ascii="宋体" w:hAnsi="宋体" w:eastAsia="宋体" w:cs="Times New Roman"/>
                <w:b w:val="0"/>
                <w:i w:val="0"/>
                <w:color w:val="000000"/>
                <w:kern w:val="2"/>
                <w:sz w:val="21"/>
                <w:szCs w:val="21"/>
                <w:u w:val="none"/>
                <w:lang w:val="en-US" w:eastAsia="zh-CN" w:bidi="ar"/>
              </w:rPr>
              <w:t>分，最高</w:t>
            </w:r>
            <w:r>
              <w:rPr>
                <w:rFonts w:hint="eastAsia" w:ascii="宋体" w:hAnsi="宋体" w:cs="Times New Roman"/>
                <w:b w:val="0"/>
                <w:i w:val="0"/>
                <w:color w:val="000000"/>
                <w:kern w:val="2"/>
                <w:sz w:val="21"/>
                <w:szCs w:val="21"/>
                <w:u w:val="none"/>
                <w:lang w:val="en-US" w:eastAsia="zh-CN" w:bidi="ar"/>
              </w:rPr>
              <w:t>8</w:t>
            </w:r>
            <w:r>
              <w:rPr>
                <w:rFonts w:hint="eastAsia" w:ascii="宋体" w:hAnsi="宋体" w:eastAsia="宋体" w:cs="Times New Roman"/>
                <w:b w:val="0"/>
                <w:i w:val="0"/>
                <w:color w:val="000000"/>
                <w:kern w:val="2"/>
                <w:sz w:val="21"/>
                <w:szCs w:val="21"/>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以上人员需在投标人公司注册及签订劳动合同，且未承担其他在建工程，否则不得分。</w:t>
            </w:r>
            <w:r>
              <w:rPr>
                <w:rFonts w:hint="eastAsia" w:ascii="宋体" w:hAnsi="宋体" w:eastAsia="宋体" w:cs="Times New Roman"/>
                <w:b w:val="0"/>
                <w:i w:val="0"/>
                <w:color w:val="000000"/>
                <w:kern w:val="2"/>
                <w:sz w:val="21"/>
                <w:szCs w:val="21"/>
                <w:u w:val="none"/>
                <w:lang w:val="zh-CN" w:eastAsia="zh-CN" w:bidi="ar"/>
              </w:rPr>
              <w:t>技术人员仅限当次投标标段有效，不得重复替代使用。</w:t>
            </w:r>
          </w:p>
          <w:p>
            <w:pPr>
              <w:spacing w:line="360" w:lineRule="auto"/>
              <w:jc w:val="left"/>
              <w:rPr>
                <w:rFonts w:hint="eastAsia" w:ascii="宋体" w:hAnsi="宋体"/>
                <w:color w:val="000000"/>
                <w:szCs w:val="21"/>
                <w:lang w:val="en-GB"/>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1.装订规范、文字清晰、无差错1分；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both"/>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2.所提供资料准确完整1分</w:t>
            </w:r>
            <w:r>
              <w:rPr>
                <w:rFonts w:hint="eastAsia" w:ascii="宋体" w:hAnsi="宋体"/>
                <w:sz w:val="24"/>
              </w:rPr>
              <w:t>。</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8" w:name="_Toc174185203"/>
      <w:bookmarkStart w:id="9" w:name="_Toc186274126"/>
      <w:bookmarkStart w:id="10" w:name="_Toc184023138"/>
      <w:r>
        <w:rPr>
          <w:rFonts w:hint="eastAsia" w:cs="黑体" w:asciiTheme="minorEastAsia" w:hAnsiTheme="minorEastAsia" w:eastAsiaTheme="minorEastAsia"/>
          <w:color w:val="auto"/>
          <w:kern w:val="2"/>
          <w:sz w:val="28"/>
          <w:szCs w:val="28"/>
          <w:lang w:val="zh-CN"/>
        </w:rPr>
        <w:t>一、投标人应答索引表</w:t>
      </w:r>
      <w:bookmarkEnd w:id="8"/>
      <w:bookmarkEnd w:id="9"/>
      <w:bookmarkEnd w:id="10"/>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w:t>
      </w:r>
      <w:r>
        <w:rPr>
          <w:rFonts w:hint="eastAsia" w:asciiTheme="minorEastAsia" w:hAnsiTheme="minorEastAsia"/>
          <w:snapToGrid w:val="0"/>
          <w:kern w:val="0"/>
          <w:szCs w:val="21"/>
          <w:u w:val="none"/>
        </w:rPr>
        <w:t>份，副本一份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1" w:name="_资格证明文件"/>
            <w:bookmarkEnd w:id="11"/>
            <w:bookmarkStart w:id="12"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2"/>
          </w:p>
        </w:tc>
        <w:tc>
          <w:tcPr>
            <w:tcW w:w="4492" w:type="dxa"/>
            <w:gridSpan w:val="2"/>
            <w:vAlign w:val="center"/>
          </w:tcPr>
          <w:p>
            <w:pPr>
              <w:jc w:val="center"/>
              <w:rPr>
                <w:rFonts w:asciiTheme="minorEastAsia" w:hAnsiTheme="minorEastAsia"/>
                <w:szCs w:val="21"/>
              </w:rPr>
            </w:pPr>
            <w:bookmarkStart w:id="13"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4" w:name="OLE_LINK13"/>
      <w:bookmarkStart w:id="15" w:name="OLE_LINK14"/>
      <w:r>
        <w:rPr>
          <w:rFonts w:hint="eastAsia" w:ascii="宋体" w:hAnsi="宋体"/>
          <w:b/>
          <w:bCs/>
          <w:color w:val="000000"/>
          <w:sz w:val="24"/>
          <w:szCs w:val="24"/>
        </w:rPr>
        <w:t>4.10 残疾人福利性单位声明函</w:t>
      </w:r>
    </w:p>
    <w:bookmarkEnd w:id="14"/>
    <w:bookmarkEnd w:id="15"/>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F854F"/>
    <w:multiLevelType w:val="singleLevel"/>
    <w:tmpl w:val="DBFF854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D707D"/>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23A2D30"/>
    <w:rsid w:val="0255220D"/>
    <w:rsid w:val="088D4E4E"/>
    <w:rsid w:val="09EF5204"/>
    <w:rsid w:val="0ADA4519"/>
    <w:rsid w:val="0ADE7392"/>
    <w:rsid w:val="0F5B1E77"/>
    <w:rsid w:val="0F7B43F8"/>
    <w:rsid w:val="155F51AE"/>
    <w:rsid w:val="15986B96"/>
    <w:rsid w:val="17A3206E"/>
    <w:rsid w:val="1D3C0463"/>
    <w:rsid w:val="219F339F"/>
    <w:rsid w:val="2D3E3CC7"/>
    <w:rsid w:val="3156216B"/>
    <w:rsid w:val="32B67FF3"/>
    <w:rsid w:val="39516948"/>
    <w:rsid w:val="47481EA1"/>
    <w:rsid w:val="4E31322A"/>
    <w:rsid w:val="4F731EB8"/>
    <w:rsid w:val="53BA1A84"/>
    <w:rsid w:val="53F01EA7"/>
    <w:rsid w:val="56C3201C"/>
    <w:rsid w:val="581118B6"/>
    <w:rsid w:val="59CB49EA"/>
    <w:rsid w:val="5DAD6C18"/>
    <w:rsid w:val="68852A4C"/>
    <w:rsid w:val="68AC6820"/>
    <w:rsid w:val="6B84358B"/>
    <w:rsid w:val="73DE2628"/>
    <w:rsid w:val="7528551A"/>
    <w:rsid w:val="7815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semiHidden/>
    <w:unhideWhenUsed/>
    <w:qFormat/>
    <w:uiPriority w:val="99"/>
    <w:pPr>
      <w:spacing w:after="120"/>
    </w:pPr>
  </w:style>
  <w:style w:type="paragraph" w:styleId="11">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1"/>
    <w:qFormat/>
    <w:uiPriority w:val="0"/>
    <w:rPr>
      <w:rFonts w:eastAsia="宋体"/>
      <w:sz w:val="24"/>
    </w:rPr>
  </w:style>
  <w:style w:type="paragraph" w:styleId="15">
    <w:name w:val="Date"/>
    <w:basedOn w:val="1"/>
    <w:next w:val="1"/>
    <w:link w:val="32"/>
    <w:unhideWhenUsed/>
    <w:qFormat/>
    <w:uiPriority w:val="99"/>
    <w:pPr>
      <w:ind w:left="100" w:leftChars="2500"/>
    </w:pPr>
  </w:style>
  <w:style w:type="paragraph" w:styleId="16">
    <w:name w:val="Balloon Text"/>
    <w:basedOn w:val="1"/>
    <w:link w:val="55"/>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3"/>
    <w:qFormat/>
    <w:uiPriority w:val="0"/>
    <w:rPr>
      <w:rFonts w:ascii="Calibri" w:hAnsi="Calibri" w:eastAsia="宋体" w:cs="Times New Roman"/>
      <w:b/>
      <w:bCs/>
      <w:kern w:val="44"/>
      <w:sz w:val="44"/>
      <w:szCs w:val="44"/>
    </w:rPr>
  </w:style>
  <w:style w:type="character" w:customStyle="1" w:styleId="28">
    <w:name w:val="标题 2 Char"/>
    <w:basedOn w:val="24"/>
    <w:link w:val="4"/>
    <w:qFormat/>
    <w:uiPriority w:val="0"/>
    <w:rPr>
      <w:rFonts w:ascii="Arial" w:hAnsi="Arial" w:eastAsia="黑体" w:cs="Times New Roman"/>
      <w:b/>
      <w:bCs/>
      <w:kern w:val="0"/>
      <w:sz w:val="32"/>
      <w:szCs w:val="32"/>
    </w:rPr>
  </w:style>
  <w:style w:type="character" w:customStyle="1" w:styleId="29">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6"/>
    <w:qFormat/>
    <w:uiPriority w:val="0"/>
    <w:rPr>
      <w:rFonts w:ascii="Arial" w:hAnsi="Arial" w:eastAsia="黑体" w:cs="Times New Roman"/>
      <w:b/>
      <w:bCs/>
      <w:kern w:val="0"/>
      <w:sz w:val="28"/>
      <w:szCs w:val="28"/>
    </w:rPr>
  </w:style>
  <w:style w:type="character" w:customStyle="1" w:styleId="31">
    <w:name w:val="纯文本 Char"/>
    <w:basedOn w:val="24"/>
    <w:link w:val="14"/>
    <w:qFormat/>
    <w:uiPriority w:val="0"/>
    <w:rPr>
      <w:rFonts w:eastAsia="宋体"/>
      <w:sz w:val="24"/>
    </w:rPr>
  </w:style>
  <w:style w:type="character" w:customStyle="1" w:styleId="32">
    <w:name w:val="日期 Char"/>
    <w:basedOn w:val="24"/>
    <w:link w:val="15"/>
    <w:qFormat/>
    <w:uiPriority w:val="99"/>
  </w:style>
  <w:style w:type="character" w:customStyle="1" w:styleId="33">
    <w:name w:val="页脚 Char"/>
    <w:basedOn w:val="24"/>
    <w:link w:val="17"/>
    <w:qFormat/>
    <w:uiPriority w:val="99"/>
    <w:rPr>
      <w:sz w:val="18"/>
      <w:szCs w:val="18"/>
    </w:rPr>
  </w:style>
  <w:style w:type="character" w:customStyle="1" w:styleId="34">
    <w:name w:val="页眉 Char"/>
    <w:basedOn w:val="24"/>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9"/>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10"/>
    <w:semiHidden/>
    <w:qFormat/>
    <w:uiPriority w:val="99"/>
  </w:style>
  <w:style w:type="character" w:customStyle="1" w:styleId="51">
    <w:name w:val="正文首行缩进 Char"/>
    <w:basedOn w:val="50"/>
    <w:link w:val="22"/>
    <w:qFormat/>
    <w:uiPriority w:val="0"/>
    <w:rPr>
      <w:rFonts w:ascii="宋体" w:hAnsi="Times New Roman" w:eastAsia="宋体" w:cs="Times New Roman"/>
      <w:kern w:val="0"/>
      <w:sz w:val="34"/>
      <w:szCs w:val="20"/>
    </w:rPr>
  </w:style>
  <w:style w:type="character" w:customStyle="1" w:styleId="52">
    <w:name w:val="HTML 预设格式 Char"/>
    <w:basedOn w:val="24"/>
    <w:link w:val="20"/>
    <w:semiHidden/>
    <w:qFormat/>
    <w:uiPriority w:val="99"/>
    <w:rPr>
      <w:rFonts w:ascii="宋体" w:hAnsi="宋体" w:eastAsia="宋体" w:cs="宋体"/>
      <w:kern w:val="0"/>
      <w:sz w:val="24"/>
      <w:szCs w:val="24"/>
    </w:rPr>
  </w:style>
  <w:style w:type="character" w:customStyle="1" w:styleId="53">
    <w:name w:val="正文文本缩进 Char"/>
    <w:link w:val="11"/>
    <w:qFormat/>
    <w:uiPriority w:val="0"/>
    <w:rPr>
      <w:sz w:val="24"/>
    </w:rPr>
  </w:style>
  <w:style w:type="character" w:customStyle="1" w:styleId="54">
    <w:name w:val="正文文本缩进 Char1"/>
    <w:basedOn w:val="24"/>
    <w:link w:val="11"/>
    <w:semiHidden/>
    <w:qFormat/>
    <w:uiPriority w:val="99"/>
  </w:style>
  <w:style w:type="character" w:customStyle="1" w:styleId="55">
    <w:name w:val="批注框文本 Char"/>
    <w:basedOn w:val="24"/>
    <w:link w:val="16"/>
    <w:semiHidden/>
    <w:qFormat/>
    <w:uiPriority w:val="99"/>
    <w:rPr>
      <w:sz w:val="18"/>
      <w:szCs w:val="18"/>
    </w:rPr>
  </w:style>
  <w:style w:type="character" w:customStyle="1" w:styleId="56">
    <w:name w:val="font41"/>
    <w:basedOn w:val="24"/>
    <w:qFormat/>
    <w:uiPriority w:val="0"/>
    <w:rPr>
      <w:rFonts w:hint="eastAsia" w:ascii="宋体" w:hAnsi="宋体" w:eastAsia="宋体" w:cs="宋体"/>
      <w:color w:val="000000"/>
      <w:sz w:val="18"/>
      <w:szCs w:val="18"/>
      <w:u w:val="none"/>
    </w:rPr>
  </w:style>
  <w:style w:type="character" w:customStyle="1" w:styleId="57">
    <w:name w:val="font11"/>
    <w:basedOn w:val="24"/>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83</Pages>
  <Words>36705</Words>
  <Characters>39686</Characters>
  <Lines>270</Lines>
  <Paragraphs>76</Paragraphs>
  <TotalTime>24</TotalTime>
  <ScaleCrop>false</ScaleCrop>
  <LinksUpToDate>false</LinksUpToDate>
  <CharactersWithSpaces>41665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许昌市公共资源交易中心:杨丹丹（备用2）</cp:lastModifiedBy>
  <cp:lastPrinted>2019-08-02T09:19:00Z</cp:lastPrinted>
  <dcterms:modified xsi:type="dcterms:W3CDTF">2019-09-11T01:49:52Z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