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w:t>
      </w:r>
      <w:r>
        <w:rPr>
          <w:rFonts w:hint="eastAsia" w:asciiTheme="minorEastAsia" w:hAnsiTheme="minorEastAsia" w:eastAsiaTheme="minorEastAsia"/>
          <w:color w:val="auto"/>
          <w:sz w:val="32"/>
          <w:szCs w:val="32"/>
        </w:rPr>
        <w:t>19〕</w:t>
      </w:r>
      <w:r>
        <w:rPr>
          <w:rFonts w:hint="eastAsia" w:asciiTheme="minorEastAsia" w:hAnsiTheme="minorEastAsia" w:eastAsiaTheme="minorEastAsia"/>
          <w:color w:val="auto"/>
          <w:sz w:val="32"/>
          <w:szCs w:val="32"/>
          <w:lang w:val="en-US" w:eastAsia="zh-CN"/>
        </w:rPr>
        <w:t>140</w:t>
      </w:r>
      <w:r>
        <w:rPr>
          <w:rFonts w:hint="eastAsia" w:asciiTheme="minorEastAsia" w:hAnsiTheme="minorEastAsia" w:eastAsiaTheme="minorEastAsia"/>
          <w:color w:val="auto"/>
          <w:sz w:val="32"/>
          <w:szCs w:val="32"/>
        </w:rPr>
        <w:t>号</w:t>
      </w:r>
    </w:p>
    <w:p>
      <w:pPr>
        <w:ind w:firstLine="1920" w:firstLineChars="600"/>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项目名称：建安区跨境电商产业园发制品海关监管仓工程（消防、电梯）</w:t>
      </w:r>
      <w:r>
        <w:rPr>
          <w:rFonts w:hint="eastAsia" w:asciiTheme="minorEastAsia" w:hAnsiTheme="minorEastAsia" w:eastAsiaTheme="minorEastAsia"/>
          <w:sz w:val="32"/>
          <w:szCs w:val="32"/>
          <w:lang w:eastAsia="zh-CN"/>
        </w:rPr>
        <w:t>（二次）</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许昌市建安区商务局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color w:val="FF0000"/>
          <w:sz w:val="16"/>
        </w:rPr>
      </w:pPr>
      <w:r>
        <w:rPr>
          <w:rFonts w:hint="eastAsia" w:asciiTheme="minorEastAsia" w:hAnsiTheme="minorEastAsia" w:eastAsiaTheme="minorEastAsia"/>
          <w:sz w:val="32"/>
          <w:szCs w:val="32"/>
        </w:rPr>
        <w:t>二〇</w:t>
      </w:r>
      <w:r>
        <w:rPr>
          <w:rFonts w:hint="eastAsia" w:asciiTheme="minorEastAsia" w:hAnsiTheme="minorEastAsia" w:eastAsiaTheme="minorEastAsia"/>
          <w:color w:val="auto"/>
          <w:sz w:val="32"/>
          <w:szCs w:val="32"/>
        </w:rPr>
        <w:t>一九年</w:t>
      </w:r>
      <w:r>
        <w:rPr>
          <w:rFonts w:hint="eastAsia" w:asciiTheme="minorEastAsia" w:hAnsiTheme="minorEastAsia" w:eastAsiaTheme="minorEastAsia"/>
          <w:color w:val="auto"/>
          <w:sz w:val="32"/>
          <w:szCs w:val="32"/>
          <w:lang w:eastAsia="zh-CN"/>
        </w:rPr>
        <w:t>九</w:t>
      </w:r>
      <w:r>
        <w:rPr>
          <w:rFonts w:hint="eastAsia" w:asciiTheme="minorEastAsia" w:hAnsiTheme="minorEastAsia" w:eastAsiaTheme="minorEastAsia"/>
          <w:color w:val="auto"/>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bookmarkStart w:id="0" w:name="_Toc215282124"/>
    </w:p>
    <w:p>
      <w:pPr>
        <w:tabs>
          <w:tab w:val="left" w:pos="3185"/>
          <w:tab w:val="center" w:pos="5452"/>
        </w:tabs>
        <w:snapToGrid w:val="0"/>
        <w:spacing w:before="156"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color w:val="FF0000"/>
          <w:sz w:val="24"/>
          <w:szCs w:val="24"/>
        </w:rPr>
      </w:pPr>
      <w:r>
        <w:rPr>
          <w:rFonts w:hint="eastAsia" w:hAnsi="宋体" w:cs="宋体"/>
          <w:color w:val="auto"/>
          <w:sz w:val="24"/>
          <w:szCs w:val="24"/>
        </w:rPr>
        <w:t>建安建工公字〔2019〕</w:t>
      </w:r>
      <w:r>
        <w:rPr>
          <w:rFonts w:hint="eastAsia" w:hAnsi="宋体" w:cs="宋体"/>
          <w:color w:val="auto"/>
          <w:sz w:val="24"/>
          <w:szCs w:val="24"/>
          <w:lang w:val="en-US" w:eastAsia="zh-CN"/>
        </w:rPr>
        <w:t>140</w:t>
      </w:r>
      <w:r>
        <w:rPr>
          <w:rFonts w:hint="eastAsia" w:hAnsi="宋体" w:cs="宋体"/>
          <w:color w:val="auto"/>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许昌市建安区商务局</w:t>
      </w:r>
    </w:p>
    <w:p>
      <w:pPr>
        <w:autoSpaceDE w:val="0"/>
        <w:autoSpaceDN w:val="0"/>
        <w:adjustRightInd w:val="0"/>
        <w:spacing w:line="520" w:lineRule="exact"/>
        <w:ind w:firstLine="480" w:firstLineChars="200"/>
        <w:jc w:val="center"/>
        <w:outlineLvl w:val="0"/>
        <w:rPr>
          <w:rFonts w:hint="eastAsia" w:hAnsi="宋体" w:eastAsia="宋体" w:cs="宋体"/>
          <w:sz w:val="24"/>
          <w:szCs w:val="24"/>
          <w:lang w:eastAsia="zh-CN"/>
        </w:rPr>
      </w:pPr>
      <w:r>
        <w:rPr>
          <w:rFonts w:hint="eastAsia" w:hAnsi="宋体" w:cs="宋体"/>
          <w:sz w:val="24"/>
          <w:szCs w:val="24"/>
        </w:rPr>
        <w:t>建安区跨境电商产业园发制品海关监管仓工程（消防、电梯）</w:t>
      </w:r>
      <w:r>
        <w:rPr>
          <w:rFonts w:hint="eastAsia" w:hAnsi="宋体" w:cs="宋体"/>
          <w:sz w:val="24"/>
          <w:szCs w:val="24"/>
          <w:lang w:eastAsia="zh-CN"/>
        </w:rPr>
        <w:t>（二次）</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w:t>
      </w:r>
      <w:r>
        <w:rPr>
          <w:rFonts w:hint="eastAsia" w:hAnsi="宋体" w:cs="宋体"/>
          <w:color w:val="auto"/>
          <w:sz w:val="24"/>
          <w:szCs w:val="22"/>
        </w:rPr>
        <w:t>字〔2019〕</w:t>
      </w:r>
      <w:r>
        <w:rPr>
          <w:rFonts w:hint="eastAsia" w:hAnsi="宋体" w:cs="宋体"/>
          <w:color w:val="auto"/>
          <w:sz w:val="24"/>
          <w:szCs w:val="22"/>
          <w:lang w:val="en-US" w:eastAsia="zh-CN"/>
        </w:rPr>
        <w:t>140</w:t>
      </w:r>
      <w:r>
        <w:rPr>
          <w:rFonts w:hint="eastAsia" w:hAnsi="宋体" w:cs="宋体"/>
          <w:color w:val="auto"/>
          <w:sz w:val="24"/>
          <w:szCs w:val="22"/>
        </w:rPr>
        <w:t>号。</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2、</w:t>
      </w:r>
      <w:r>
        <w:rPr>
          <w:rFonts w:hAnsi="宋体" w:cs="宋体"/>
          <w:sz w:val="24"/>
          <w:szCs w:val="24"/>
        </w:rPr>
        <w:t>项目名称：</w:t>
      </w:r>
      <w:r>
        <w:rPr>
          <w:rFonts w:hint="eastAsia" w:hAnsi="宋体" w:cs="宋体"/>
          <w:sz w:val="24"/>
          <w:szCs w:val="22"/>
        </w:rPr>
        <w:t>建安区跨境电商产业园发制品海关监管仓工程（消防、电梯）</w:t>
      </w:r>
      <w:r>
        <w:rPr>
          <w:rFonts w:hint="eastAsia" w:hAnsi="宋体" w:cs="宋体"/>
          <w:sz w:val="24"/>
          <w:szCs w:val="22"/>
          <w:lang w:eastAsia="zh-CN"/>
        </w:rPr>
        <w:t>（二次）</w:t>
      </w:r>
      <w:r>
        <w:rPr>
          <w:rFonts w:hint="eastAsia" w:hAnsi="宋体" w:cs="宋体"/>
          <w:sz w:val="24"/>
          <w:szCs w:val="22"/>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3、招标单位：许昌市建安区商务局。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本项目为建安区跨境电商产业园发制品海关监管仓工程（消防、电梯），建设地点位于许昌市建安区昌盛路、三水路交叉口。建设内容包括建安区跨境电商产业园发制品海关监管仓工程（消防、电梯）。</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资金预算：1173668.78元。</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rPr>
        <w:t>40</w:t>
      </w:r>
      <w:r>
        <w:rPr>
          <w:rFonts w:hint="eastAsia" w:hAnsi="宋体" w:cs="宋体"/>
          <w:color w:val="auto"/>
          <w:sz w:val="24"/>
          <w:szCs w:val="22"/>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须具备建设行政主管部门核发的</w:t>
      </w:r>
      <w:r>
        <w:rPr>
          <w:rFonts w:hint="eastAsia" w:hAnsi="宋体" w:cs="宋体"/>
          <w:color w:val="auto"/>
          <w:sz w:val="24"/>
          <w:szCs w:val="24"/>
        </w:rPr>
        <w:t>建筑工程施工总承包叁级及以上资质</w:t>
      </w:r>
      <w:r>
        <w:rPr>
          <w:rFonts w:hint="eastAsia" w:hAnsi="宋体" w:cs="宋体"/>
          <w:color w:val="auto"/>
          <w:sz w:val="24"/>
          <w:szCs w:val="24"/>
          <w:lang w:val="en-US" w:eastAsia="zh-CN"/>
        </w:rPr>
        <w:t>，具有有效的安全生产许可证，并在人员、设备、资金等方面具备相应的施工能力</w:t>
      </w:r>
      <w:r>
        <w:rPr>
          <w:rFonts w:hint="eastAsia" w:hAnsi="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color w:val="auto"/>
          <w:sz w:val="24"/>
          <w:szCs w:val="24"/>
          <w:lang w:val="en-US" w:eastAsia="zh-CN"/>
        </w:rPr>
      </w:pPr>
      <w:r>
        <w:rPr>
          <w:rFonts w:hint="eastAsia" w:hAnsi="宋体" w:cs="宋体"/>
          <w:color w:val="auto"/>
          <w:sz w:val="24"/>
          <w:szCs w:val="24"/>
        </w:rPr>
        <w:t xml:space="preserve"> </w:t>
      </w:r>
      <w:r>
        <w:rPr>
          <w:rFonts w:hint="eastAsia" w:hAnsi="宋体" w:cs="宋体"/>
          <w:color w:val="auto"/>
          <w:sz w:val="24"/>
          <w:szCs w:val="24"/>
          <w:lang w:val="en-US" w:eastAsia="zh-CN"/>
        </w:rPr>
        <w:t xml:space="preserve"> 2</w:t>
      </w:r>
      <w:r>
        <w:rPr>
          <w:rFonts w:hint="eastAsia" w:hAnsi="宋体" w:cs="宋体"/>
          <w:color w:val="auto"/>
          <w:sz w:val="24"/>
          <w:szCs w:val="24"/>
        </w:rPr>
        <w:t>、</w:t>
      </w:r>
      <w:r>
        <w:rPr>
          <w:rFonts w:hint="eastAsia" w:hAnsi="宋体" w:cs="宋体"/>
          <w:color w:val="auto"/>
          <w:sz w:val="24"/>
          <w:szCs w:val="24"/>
          <w:lang w:val="en-US" w:eastAsia="zh-CN"/>
        </w:rPr>
        <w:t>拟派建造师须具备建筑工程专业贰级及以上注册建造师资格，且具有有效的安全生产考核合格证书，并未担任其他在建工程。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3、不接受被“信用中国”和“信用河南”网站信用信息栏列入黑名单，以及被“国家企业信用信息公示系统”列入经营异常名录或严重失信黑名单的投标人投标。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w:t>
      </w:r>
      <w:r>
        <w:rPr>
          <w:rFonts w:hint="eastAsia" w:hAnsi="宋体" w:cs="宋体"/>
          <w:sz w:val="24"/>
          <w:szCs w:val="24"/>
          <w:lang w:eastAsia="zh-CN"/>
        </w:rPr>
        <w:t>、</w:t>
      </w:r>
      <w:r>
        <w:rPr>
          <w:rFonts w:hint="eastAsia" w:hAnsi="宋体" w:cs="宋体"/>
          <w:sz w:val="24"/>
          <w:szCs w:val="24"/>
        </w:rPr>
        <w:t>工程量清单</w:t>
      </w:r>
      <w:r>
        <w:rPr>
          <w:rFonts w:hint="eastAsia" w:hAnsi="宋体" w:cs="宋体"/>
          <w:sz w:val="24"/>
          <w:szCs w:val="24"/>
          <w:lang w:eastAsia="zh-CN"/>
        </w:rPr>
        <w:t>和图纸</w:t>
      </w:r>
      <w:r>
        <w:rPr>
          <w:rFonts w:hint="eastAsia" w:hAnsi="宋体" w:cs="宋体"/>
          <w:sz w:val="24"/>
          <w:szCs w:val="24"/>
        </w:rPr>
        <w:t>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zCs w:val="24"/>
          <w:lang w:val="en-US" w:eastAsia="zh-CN"/>
        </w:rPr>
        <w:t>2份使用</w:t>
      </w:r>
      <w:r>
        <w:rPr>
          <w:rFonts w:hint="eastAsia" w:hAnsi="宋体" w:cs="宋体"/>
          <w:sz w:val="24"/>
          <w:szCs w:val="24"/>
          <w:lang w:eastAsia="zh-CN"/>
        </w:rPr>
        <w:t>电子介质存储的备份</w:t>
      </w:r>
      <w:r>
        <w:rPr>
          <w:rFonts w:hint="eastAsia" w:hAnsi="宋体" w:cs="宋体"/>
          <w:sz w:val="24"/>
          <w:szCs w:val="24"/>
        </w:rPr>
        <w:t>文件。</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color w:val="auto"/>
          <w:sz w:val="24"/>
          <w:szCs w:val="24"/>
        </w:rPr>
        <w:t>：2019年</w:t>
      </w:r>
      <w:r>
        <w:rPr>
          <w:rFonts w:hint="eastAsia" w:hAnsi="宋体" w:cs="宋体"/>
          <w:color w:val="auto"/>
          <w:sz w:val="24"/>
          <w:szCs w:val="24"/>
          <w:lang w:val="en-US" w:eastAsia="zh-CN"/>
        </w:rPr>
        <w:t>10</w:t>
      </w:r>
      <w:r>
        <w:rPr>
          <w:rFonts w:hint="eastAsia" w:hAnsi="宋体" w:cs="宋体"/>
          <w:color w:val="auto"/>
          <w:sz w:val="24"/>
          <w:szCs w:val="24"/>
        </w:rPr>
        <w:t>月</w:t>
      </w:r>
      <w:r>
        <w:rPr>
          <w:rFonts w:hint="eastAsia" w:hAnsi="宋体" w:cs="宋体"/>
          <w:color w:val="auto"/>
          <w:sz w:val="24"/>
          <w:szCs w:val="24"/>
          <w:lang w:val="en-US" w:eastAsia="zh-CN"/>
        </w:rPr>
        <w:t>9</w:t>
      </w:r>
      <w:r>
        <w:rPr>
          <w:rFonts w:hint="eastAsia" w:hAnsi="宋体" w:cs="宋体"/>
          <w:color w:val="auto"/>
          <w:sz w:val="24"/>
          <w:szCs w:val="24"/>
        </w:rPr>
        <w:t>日9时30分</w:t>
      </w:r>
      <w:r>
        <w:rPr>
          <w:rFonts w:hint="eastAsia" w:hAnsi="宋体" w:cs="宋体"/>
          <w:color w:val="auto"/>
          <w:sz w:val="24"/>
          <w:szCs w:val="24"/>
        </w:rPr>
        <w:t>。</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eastAsia="zh-CN"/>
        </w:rPr>
        <w:t>。</w:t>
      </w:r>
      <w:r>
        <w:rPr>
          <w:rFonts w:hint="eastAsia" w:hAnsi="宋体" w:cs="宋体"/>
          <w:sz w:val="24"/>
          <w:szCs w:val="24"/>
        </w:rPr>
        <w:t>并同时提交</w:t>
      </w:r>
      <w:r>
        <w:rPr>
          <w:rFonts w:hint="eastAsia" w:hAnsi="宋体" w:cs="宋体"/>
          <w:sz w:val="24"/>
          <w:szCs w:val="24"/>
          <w:lang w:val="en-US" w:eastAsia="zh-CN"/>
        </w:rPr>
        <w:t>2</w:t>
      </w:r>
      <w:r>
        <w:rPr>
          <w:rFonts w:hint="eastAsia" w:hAnsi="宋体" w:cs="宋体"/>
          <w:sz w:val="24"/>
          <w:szCs w:val="24"/>
        </w:rPr>
        <w:t>份电子介质存储</w:t>
      </w:r>
      <w:r>
        <w:rPr>
          <w:rFonts w:hint="eastAsia" w:hAnsi="宋体" w:cs="宋体"/>
          <w:sz w:val="24"/>
          <w:szCs w:val="24"/>
          <w:lang w:eastAsia="zh-CN"/>
        </w:rPr>
        <w:t>的备份文件</w:t>
      </w:r>
      <w:r>
        <w:rPr>
          <w:rFonts w:hint="eastAsia" w:hAnsi="宋体" w:cs="宋体"/>
          <w:sz w:val="24"/>
          <w:szCs w:val="24"/>
        </w:rPr>
        <w:t>（U盘）</w:t>
      </w:r>
      <w:r>
        <w:rPr>
          <w:rFonts w:hint="eastAsia" w:hAnsi="宋体" w:cs="宋体"/>
          <w:b w:val="0"/>
          <w:bCs w:val="0"/>
          <w:color w:val="auto"/>
          <w:sz w:val="24"/>
          <w:szCs w:val="24"/>
          <w:u w:val="none"/>
          <w:lang w:eastAsia="zh-CN"/>
        </w:rPr>
        <w:t>（注明：</w:t>
      </w:r>
      <w:r>
        <w:rPr>
          <w:rFonts w:hint="eastAsia" w:hAnsi="宋体" w:cs="宋体"/>
          <w:b w:val="0"/>
          <w:bCs w:val="0"/>
          <w:color w:val="auto"/>
          <w:sz w:val="24"/>
          <w:u w:val="none"/>
        </w:rPr>
        <w:t>投</w:t>
      </w:r>
      <w:r>
        <w:rPr>
          <w:rFonts w:hint="eastAsia" w:hAnsi="宋体" w:cs="宋体"/>
          <w:sz w:val="24"/>
        </w:rPr>
        <w:t>标人名称、项目名称、</w:t>
      </w:r>
      <w:r>
        <w:rPr>
          <w:rFonts w:hint="eastAsia" w:hAnsi="宋体" w:cs="宋体"/>
          <w:sz w:val="24"/>
          <w:lang w:eastAsia="zh-CN"/>
        </w:rPr>
        <w:t>项目编号、</w:t>
      </w:r>
      <w:r>
        <w:rPr>
          <w:rFonts w:hint="eastAsia" w:hAnsi="宋体" w:cs="宋体"/>
          <w:sz w:val="24"/>
        </w:rPr>
        <w:t>标段</w:t>
      </w:r>
      <w:r>
        <w:rPr>
          <w:rFonts w:hint="eastAsia" w:hAnsi="宋体" w:cs="宋体"/>
          <w:sz w:val="24"/>
          <w:lang w:eastAsia="zh-CN"/>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hAnsi="宋体" w:cs="宋体"/>
          <w:sz w:val="24"/>
          <w:szCs w:val="24"/>
          <w:lang w:eastAsia="zh-CN"/>
        </w:rPr>
        <w:t>电子介质存储的备份文件</w:t>
      </w:r>
      <w:r>
        <w:rPr>
          <w:rFonts w:hint="eastAsia" w:hAnsi="宋体" w:cs="宋体"/>
          <w:sz w:val="24"/>
          <w:szCs w:val="24"/>
        </w:rPr>
        <w:t>提交地点：许昌市建安区新元大道兴业大厦</w:t>
      </w:r>
      <w:r>
        <w:rPr>
          <w:rFonts w:hint="eastAsia" w:hAnsi="宋体" w:cs="宋体"/>
          <w:color w:val="auto"/>
          <w:sz w:val="24"/>
          <w:szCs w:val="24"/>
        </w:rPr>
        <w:t>4楼开标</w:t>
      </w:r>
      <w:r>
        <w:rPr>
          <w:rFonts w:hint="eastAsia" w:hAnsi="宋体" w:cs="宋体"/>
          <w:color w:val="auto"/>
          <w:sz w:val="24"/>
          <w:szCs w:val="24"/>
          <w:lang w:eastAsia="zh-CN"/>
        </w:rPr>
        <w:t>一</w:t>
      </w:r>
      <w:r>
        <w:rPr>
          <w:rFonts w:hint="eastAsia" w:hAnsi="宋体" w:cs="宋体"/>
          <w:color w:val="auto"/>
          <w:sz w:val="24"/>
          <w:szCs w:val="24"/>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w:t>
      </w:r>
      <w:r>
        <w:rPr>
          <w:rFonts w:hint="eastAsia" w:hAnsi="宋体" w:cs="宋体"/>
          <w:sz w:val="24"/>
          <w:szCs w:val="24"/>
          <w:lang w:eastAsia="zh-CN"/>
        </w:rPr>
        <w:t>电子介质存储的备份文件，</w:t>
      </w:r>
      <w:r>
        <w:rPr>
          <w:rFonts w:hint="eastAsia" w:hAnsi="宋体" w:cs="宋体"/>
          <w:sz w:val="24"/>
          <w:szCs w:val="24"/>
        </w:rPr>
        <w:t>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人：许昌市建安区商务局</w:t>
      </w:r>
    </w:p>
    <w:p>
      <w:pPr>
        <w:spacing w:line="440" w:lineRule="exact"/>
        <w:ind w:firstLine="480" w:firstLineChars="200"/>
        <w:jc w:val="left"/>
        <w:rPr>
          <w:rFonts w:hAnsi="宋体" w:cs="宋体"/>
          <w:sz w:val="24"/>
          <w:szCs w:val="24"/>
        </w:rPr>
      </w:pPr>
      <w:r>
        <w:rPr>
          <w:rFonts w:hint="eastAsia" w:hAnsi="宋体" w:cs="宋体"/>
          <w:sz w:val="24"/>
          <w:szCs w:val="24"/>
        </w:rPr>
        <w:t>项目负责人：徐启辉</w:t>
      </w:r>
    </w:p>
    <w:p>
      <w:pPr>
        <w:spacing w:line="440" w:lineRule="exact"/>
        <w:ind w:firstLine="480" w:firstLineChars="200"/>
        <w:jc w:val="left"/>
        <w:rPr>
          <w:rFonts w:hAnsi="宋体" w:cs="宋体"/>
          <w:sz w:val="24"/>
          <w:szCs w:val="24"/>
        </w:rPr>
      </w:pPr>
      <w:r>
        <w:rPr>
          <w:rFonts w:hint="eastAsia" w:hAnsi="宋体" w:cs="宋体"/>
          <w:sz w:val="24"/>
          <w:szCs w:val="24"/>
        </w:rPr>
        <w:t>电    话：15937439796</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 昕</w:t>
      </w:r>
    </w:p>
    <w:p>
      <w:pPr>
        <w:spacing w:line="440" w:lineRule="exact"/>
        <w:ind w:firstLine="480" w:firstLineChars="200"/>
        <w:jc w:val="left"/>
        <w:rPr>
          <w:rFonts w:hint="eastAsia" w:hAnsi="宋体" w:cs="宋体"/>
          <w:sz w:val="24"/>
          <w:szCs w:val="24"/>
        </w:rPr>
      </w:pPr>
      <w:r>
        <w:rPr>
          <w:rFonts w:hint="eastAsia" w:hAnsi="宋体" w:cs="宋体"/>
          <w:sz w:val="24"/>
          <w:szCs w:val="24"/>
        </w:rPr>
        <w:t>电</w:t>
      </w:r>
      <w:r>
        <w:rPr>
          <w:rFonts w:hint="eastAsia" w:hAnsi="宋体" w:cs="宋体"/>
          <w:sz w:val="24"/>
          <w:szCs w:val="24"/>
          <w:lang w:val="en-US" w:eastAsia="zh-CN"/>
        </w:rPr>
        <w:t xml:space="preserve">  </w:t>
      </w:r>
      <w:r>
        <w:rPr>
          <w:rFonts w:hint="eastAsia" w:hAnsi="宋体" w:cs="宋体"/>
          <w:sz w:val="24"/>
          <w:szCs w:val="24"/>
        </w:rPr>
        <w:t xml:space="preserve">  话：13903749177</w:t>
      </w:r>
    </w:p>
    <w:p>
      <w:pPr>
        <w:pStyle w:val="2"/>
      </w:pPr>
    </w:p>
    <w:p>
      <w:pPr>
        <w:pStyle w:val="2"/>
        <w:spacing w:after="0" w:line="400" w:lineRule="exact"/>
        <w:ind w:firstLine="0" w:firstLineChars="0"/>
        <w:rPr>
          <w:rFonts w:hAnsi="宋体" w:cs="宋体"/>
          <w:sz w:val="24"/>
          <w:szCs w:val="24"/>
        </w:rPr>
      </w:pPr>
    </w:p>
    <w:p>
      <w:pPr>
        <w:pStyle w:val="2"/>
        <w:ind w:firstLine="5520" w:firstLineChars="2300"/>
        <w:jc w:val="center"/>
        <w:rPr>
          <w:rFonts w:hAnsi="宋体" w:cs="宋体"/>
          <w:sz w:val="24"/>
          <w:szCs w:val="24"/>
        </w:rPr>
      </w:pPr>
      <w:r>
        <w:rPr>
          <w:rFonts w:hint="eastAsia" w:hAnsi="宋体" w:cs="宋体"/>
          <w:sz w:val="24"/>
          <w:szCs w:val="24"/>
        </w:rPr>
        <w:t>许昌市建安区商务局</w:t>
      </w:r>
    </w:p>
    <w:p>
      <w:pPr>
        <w:pStyle w:val="2"/>
        <w:ind w:firstLine="6720" w:firstLineChars="2800"/>
        <w:rPr>
          <w:rFonts w:hint="eastAsia" w:hAnsi="宋体" w:cs="宋体"/>
          <w:color w:val="auto"/>
          <w:sz w:val="24"/>
          <w:szCs w:val="24"/>
        </w:rPr>
      </w:pPr>
      <w:r>
        <w:rPr>
          <w:rFonts w:hint="eastAsia" w:hAnsi="宋体" w:cs="宋体"/>
          <w:color w:val="auto"/>
          <w:sz w:val="24"/>
          <w:szCs w:val="24"/>
        </w:rPr>
        <w:t>2019年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10</w:t>
      </w:r>
      <w:r>
        <w:rPr>
          <w:rFonts w:hint="eastAsia" w:hAnsi="宋体" w:cs="宋体"/>
          <w:color w:val="auto"/>
          <w:sz w:val="24"/>
          <w:szCs w:val="24"/>
        </w:rPr>
        <w:t xml:space="preserve">日 </w:t>
      </w:r>
    </w:p>
    <w:p>
      <w:pPr>
        <w:pStyle w:val="2"/>
        <w:ind w:firstLine="6720" w:firstLineChars="2800"/>
        <w:rPr>
          <w:rFonts w:hint="eastAsia" w:hAnsi="宋体" w:cs="宋体"/>
          <w:sz w:val="24"/>
          <w:szCs w:val="24"/>
        </w:rPr>
      </w:pPr>
    </w:p>
    <w:p>
      <w:pPr>
        <w:pStyle w:val="2"/>
        <w:ind w:firstLine="6720" w:firstLineChars="2800"/>
        <w:rPr>
          <w:rFonts w:hint="eastAsia" w:hAnsi="宋体" w:cs="宋体"/>
          <w:sz w:val="24"/>
          <w:szCs w:val="24"/>
        </w:rPr>
      </w:pPr>
    </w:p>
    <w:p>
      <w:pPr>
        <w:pStyle w:val="2"/>
        <w:ind w:firstLine="6720" w:firstLineChars="2800"/>
        <w:rPr>
          <w:rFonts w:hint="eastAsia" w:hAnsi="宋体" w:cs="宋体"/>
          <w:sz w:val="24"/>
          <w:szCs w:val="24"/>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s="宋体"/>
          <w:sz w:val="24"/>
          <w:szCs w:val="24"/>
          <w:lang w:eastAsia="zh-CN"/>
        </w:rPr>
        <w:t>电子介质存储的备份文件</w:t>
      </w:r>
      <w:r>
        <w:rPr>
          <w:rFonts w:hint="eastAsia" w:hAnsi="宋体" w:cs="宋体"/>
          <w:sz w:val="24"/>
          <w:szCs w:val="24"/>
        </w:rPr>
        <w:t>为</w:t>
      </w:r>
      <w:r>
        <w:rPr>
          <w:rFonts w:hint="eastAsia" w:hAnsi="宋体" w:cs="宋体"/>
          <w:sz w:val="24"/>
          <w:szCs w:val="24"/>
          <w:lang w:eastAsia="zh-CN"/>
        </w:rPr>
        <w:t>评标</w:t>
      </w:r>
      <w:r>
        <w:rPr>
          <w:rFonts w:hint="eastAsia" w:hAnsi="宋体" w:cs="宋体"/>
          <w:sz w:val="24"/>
          <w:szCs w:val="24"/>
        </w:rPr>
        <w:t>依据</w:t>
      </w:r>
      <w:r>
        <w:rPr>
          <w:rFonts w:hint="eastAsia" w:hAnsi="宋体" w:cs="宋体"/>
          <w:sz w:val="24"/>
          <w:szCs w:val="24"/>
          <w:lang w:eastAsia="zh-CN"/>
        </w:rPr>
        <w:t>评审</w:t>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780"/>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许昌市建安区商务局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w:t>
            </w:r>
          </w:p>
          <w:p>
            <w:pPr>
              <w:autoSpaceDE w:val="0"/>
              <w:autoSpaceDN w:val="0"/>
              <w:adjustRightInd w:val="0"/>
              <w:spacing w:line="320" w:lineRule="exact"/>
              <w:rPr>
                <w:rFonts w:hAnsi="宋体"/>
                <w:sz w:val="24"/>
                <w:szCs w:val="22"/>
              </w:rPr>
            </w:pPr>
            <w:r>
              <w:rPr>
                <w:rFonts w:hint="eastAsia" w:hAnsi="宋体"/>
                <w:sz w:val="24"/>
                <w:szCs w:val="22"/>
              </w:rPr>
              <w:t>联 系 人：徐启辉</w:t>
            </w:r>
          </w:p>
          <w:p>
            <w:pPr>
              <w:autoSpaceDE w:val="0"/>
              <w:autoSpaceDN w:val="0"/>
              <w:adjustRightInd w:val="0"/>
              <w:spacing w:line="320" w:lineRule="exact"/>
              <w:rPr>
                <w:rFonts w:hAnsi="宋体"/>
                <w:bCs/>
                <w:sz w:val="24"/>
              </w:rPr>
            </w:pPr>
            <w:r>
              <w:rPr>
                <w:rFonts w:hint="eastAsia" w:hAnsi="宋体"/>
                <w:sz w:val="24"/>
                <w:szCs w:val="22"/>
              </w:rPr>
              <w:t>联系电话：15937439796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人：刘 昕</w:t>
            </w:r>
          </w:p>
          <w:p>
            <w:pPr>
              <w:autoSpaceDE w:val="0"/>
              <w:autoSpaceDN w:val="0"/>
              <w:adjustRightInd w:val="0"/>
              <w:spacing w:line="320" w:lineRule="exact"/>
              <w:rPr>
                <w:rFonts w:hAnsi="宋体"/>
                <w:sz w:val="24"/>
              </w:rPr>
            </w:pPr>
            <w:r>
              <w:rPr>
                <w:rFonts w:hint="eastAsia" w:hAnsi="宋体"/>
                <w:sz w:val="24"/>
              </w:rPr>
              <w:t>联系电话：13903749177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cs="宋体"/>
                <w:sz w:val="24"/>
                <w:szCs w:val="24"/>
              </w:rPr>
              <w:t>建安区跨境电商产业园发制品海关监管仓工程（消防、电梯）</w:t>
            </w:r>
            <w:r>
              <w:rPr>
                <w:rFonts w:hint="eastAsia" w:hAnsi="宋体" w:cs="宋体"/>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2"/>
            <w:vAlign w:val="center"/>
          </w:tcPr>
          <w:p>
            <w:pPr>
              <w:autoSpaceDE w:val="0"/>
              <w:autoSpaceDN w:val="0"/>
              <w:adjustRightInd w:val="0"/>
              <w:spacing w:line="320" w:lineRule="exact"/>
              <w:jc w:val="center"/>
              <w:rPr>
                <w:rFonts w:hAnsi="宋体" w:cs="宋体"/>
                <w:sz w:val="24"/>
                <w:szCs w:val="24"/>
              </w:rPr>
            </w:pPr>
            <w:r>
              <w:rPr>
                <w:rFonts w:hint="eastAsia" w:hAnsi="宋体" w:cs="宋体"/>
                <w:sz w:val="24"/>
                <w:szCs w:val="24"/>
              </w:rPr>
              <w:t>建设地点</w:t>
            </w:r>
          </w:p>
        </w:tc>
        <w:tc>
          <w:tcPr>
            <w:tcW w:w="7017" w:type="dxa"/>
            <w:vAlign w:val="center"/>
          </w:tcPr>
          <w:p>
            <w:pPr>
              <w:autoSpaceDE w:val="0"/>
              <w:autoSpaceDN w:val="0"/>
              <w:adjustRightInd w:val="0"/>
              <w:spacing w:line="320" w:lineRule="exact"/>
              <w:jc w:val="left"/>
              <w:rPr>
                <w:rFonts w:hAnsi="宋体" w:cs="宋体"/>
                <w:sz w:val="24"/>
                <w:szCs w:val="24"/>
              </w:rPr>
            </w:pPr>
            <w:r>
              <w:rPr>
                <w:rFonts w:hint="eastAsia" w:hAnsi="宋体" w:cs="宋体"/>
                <w:sz w:val="24"/>
                <w:szCs w:val="24"/>
              </w:rPr>
              <w:t>许昌市建安区昌盛路、三水路交叉口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仿宋_GB2312"/>
                <w:sz w:val="24"/>
                <w:szCs w:val="22"/>
              </w:rPr>
            </w:pPr>
            <w:r>
              <w:rPr>
                <w:rFonts w:hint="eastAsia" w:hAnsi="宋体" w:cs="仿宋_GB2312"/>
                <w:color w:val="auto"/>
                <w:sz w:val="24"/>
                <w:szCs w:val="22"/>
                <w:lang w:val="en-US" w:eastAsia="zh-CN"/>
              </w:rPr>
              <w:t>40</w:t>
            </w:r>
            <w:r>
              <w:rPr>
                <w:rFonts w:hint="eastAsia" w:hAnsi="宋体" w:cs="仿宋_GB2312"/>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须具备建设行政主管部门核发的</w:t>
            </w:r>
            <w:r>
              <w:rPr>
                <w:rFonts w:hint="eastAsia" w:hAnsi="宋体" w:cs="宋体"/>
                <w:color w:val="auto"/>
                <w:sz w:val="24"/>
                <w:szCs w:val="24"/>
              </w:rPr>
              <w:t>建筑工程施工总承包叁级及以上资质</w:t>
            </w:r>
            <w:r>
              <w:rPr>
                <w:rFonts w:hint="eastAsia" w:hAnsi="宋体" w:cs="宋体"/>
                <w:color w:val="auto"/>
                <w:sz w:val="24"/>
                <w:szCs w:val="24"/>
                <w:lang w:val="en-US" w:eastAsia="zh-CN"/>
              </w:rPr>
              <w:t>，具有有效的安全生产许可证，并在人员、设备、资金等方面具备相应的施工能力</w:t>
            </w:r>
            <w:r>
              <w:rPr>
                <w:rFonts w:hint="eastAsia" w:hAnsi="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int="eastAsia" w:hAnsi="宋体" w:cs="宋体"/>
                <w:color w:val="0000FF"/>
                <w:sz w:val="24"/>
                <w:szCs w:val="24"/>
                <w:lang w:val="en-US" w:eastAsia="zh-CN"/>
              </w:rPr>
            </w:pPr>
            <w:r>
              <w:rPr>
                <w:rFonts w:hint="eastAsia" w:hAnsi="宋体" w:cs="宋体"/>
                <w:color w:val="auto"/>
                <w:sz w:val="24"/>
                <w:szCs w:val="24"/>
                <w:lang w:val="en-US" w:eastAsia="zh-CN"/>
              </w:rPr>
              <w:t>2</w:t>
            </w:r>
            <w:r>
              <w:rPr>
                <w:rFonts w:hint="eastAsia" w:hAnsi="宋体" w:cs="宋体"/>
                <w:color w:val="auto"/>
                <w:sz w:val="24"/>
                <w:szCs w:val="24"/>
              </w:rPr>
              <w:t>、</w:t>
            </w:r>
            <w:r>
              <w:rPr>
                <w:rFonts w:hint="eastAsia" w:hAnsi="宋体" w:cs="宋体"/>
                <w:color w:val="auto"/>
                <w:sz w:val="24"/>
                <w:szCs w:val="24"/>
                <w:lang w:val="en-US" w:eastAsia="zh-CN"/>
              </w:rPr>
              <w:t>拟派建造师须具备建筑工程专业贰级及以上注册建造师资格，且具有有效的安全生产考核合格证书，并未担任其他在建工程。</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宋体"/>
                <w:color w:val="000000" w:themeColor="text1"/>
                <w:sz w:val="24"/>
                <w:szCs w:val="24"/>
                <w14:textFill>
                  <w14:solidFill>
                    <w14:schemeClr w14:val="tx1"/>
                  </w14:solidFill>
                </w14:textFill>
              </w:rPr>
              <w:t>3、</w:t>
            </w:r>
            <w:r>
              <w:rPr>
                <w:rFonts w:hint="eastAsia" w:hAnsi="宋体" w:cs="仿宋_GB2312"/>
                <w:color w:val="000000" w:themeColor="text1"/>
                <w:kern w:val="2"/>
                <w:sz w:val="24"/>
                <w:szCs w:val="24"/>
                <w:shd w:val="clear" w:color="auto" w:fill="FFFFFF"/>
                <w14:textFill>
                  <w14:solidFill>
                    <w14:schemeClr w14:val="tx1"/>
                  </w14:solidFill>
                </w14:textFill>
              </w:rPr>
              <w:t>不接受被“信用中</w:t>
            </w:r>
            <w:r>
              <w:rPr>
                <w:rFonts w:hint="eastAsia" w:hAnsi="宋体" w:cs="仿宋_GB2312"/>
                <w:kern w:val="2"/>
                <w:sz w:val="24"/>
                <w:szCs w:val="24"/>
                <w:shd w:val="clear" w:color="auto" w:fill="FFFFFF"/>
              </w:rPr>
              <w:t>国”和“信用河南”网站信用信息栏列入黑名单，以及被“国家企业信用信息公示系统”列入经营异常名录或严重失信黑名单的</w:t>
            </w:r>
            <w:r>
              <w:rPr>
                <w:rFonts w:hint="eastAsia" w:hAnsi="宋体" w:cs="仿宋_GB2312"/>
                <w:color w:val="000000" w:themeColor="text1"/>
                <w:kern w:val="2"/>
                <w:sz w:val="24"/>
                <w:szCs w:val="24"/>
                <w:shd w:val="clear" w:color="auto" w:fill="FFFFFF"/>
                <w14:textFill>
                  <w14:solidFill>
                    <w14:schemeClr w14:val="tx1"/>
                  </w14:solidFill>
                </w14:textFill>
              </w:rPr>
              <w:t>投标人</w:t>
            </w:r>
            <w:r>
              <w:rPr>
                <w:rFonts w:hint="eastAsia" w:hAnsi="宋体" w:cs="仿宋_GB2312"/>
                <w:kern w:val="2"/>
                <w:sz w:val="24"/>
                <w:szCs w:val="24"/>
                <w:shd w:val="clear" w:color="auto" w:fill="FFFFFF"/>
              </w:rPr>
              <w:t>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vAlign w:val="center"/>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2"/>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2019年</w:t>
            </w:r>
            <w:r>
              <w:rPr>
                <w:rFonts w:hint="eastAsia" w:hAnsi="宋体"/>
                <w:bCs/>
                <w:color w:val="auto"/>
                <w:sz w:val="24"/>
                <w:szCs w:val="22"/>
                <w:lang w:val="en-US" w:eastAsia="zh-CN"/>
              </w:rPr>
              <w:t>10</w:t>
            </w:r>
            <w:r>
              <w:rPr>
                <w:rFonts w:hint="eastAsia" w:hAnsi="宋体"/>
                <w:bCs/>
                <w:color w:val="auto"/>
                <w:sz w:val="24"/>
                <w:szCs w:val="22"/>
              </w:rPr>
              <w:t>月</w:t>
            </w:r>
            <w:r>
              <w:rPr>
                <w:rFonts w:hint="eastAsia" w:hAnsi="宋体"/>
                <w:bCs/>
                <w:color w:val="auto"/>
                <w:sz w:val="24"/>
                <w:szCs w:val="22"/>
                <w:lang w:val="en-US" w:eastAsia="zh-CN"/>
              </w:rPr>
              <w:t>9</w:t>
            </w:r>
            <w:r>
              <w:rPr>
                <w:rFonts w:hint="eastAsia" w:hAnsi="宋体"/>
                <w:bCs/>
                <w:color w:val="auto"/>
                <w:sz w:val="24"/>
                <w:szCs w:val="22"/>
              </w:rPr>
              <w:t>日9时30分</w:t>
            </w:r>
            <w:r>
              <w:rPr>
                <w:rFonts w:hint="eastAsia" w:hAnsi="宋体"/>
                <w:bCs/>
                <w:color w:val="auto"/>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（2）使用电子介质存储的投标文件</w:t>
            </w:r>
            <w:r>
              <w:rPr>
                <w:rFonts w:hint="eastAsia" w:ascii="新宋体" w:hAnsi="新宋体" w:eastAsia="新宋体"/>
                <w:sz w:val="24"/>
                <w:szCs w:val="22"/>
                <w:lang w:val="en-US" w:eastAsia="zh-CN"/>
              </w:rPr>
              <w:t>2</w:t>
            </w:r>
            <w:r>
              <w:rPr>
                <w:rFonts w:hint="eastAsia" w:ascii="新宋体" w:hAnsi="新宋体" w:eastAsia="新宋体"/>
                <w:sz w:val="24"/>
                <w:szCs w:val="22"/>
                <w:lang w:val="zh-CN"/>
              </w:rPr>
              <w:t>份文件格式为：xxx公司XXX（项目编号）.bin）。</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hAnsi="宋体" w:cs="宋体"/>
                <w:color w:val="auto"/>
                <w:sz w:val="24"/>
                <w:u w:val="none"/>
              </w:rPr>
              <w:t>使用电子介质存储</w:t>
            </w:r>
            <w:r>
              <w:rPr>
                <w:rFonts w:hint="eastAsia" w:hAnsi="宋体" w:cs="宋体"/>
                <w:color w:val="auto"/>
                <w:sz w:val="24"/>
                <w:u w:val="none"/>
                <w:lang w:eastAsia="zh-CN"/>
              </w:rPr>
              <w:t>的备份文件</w:t>
            </w:r>
            <w:r>
              <w:rPr>
                <w:rFonts w:hint="eastAsia" w:hAnsi="宋体" w:cs="宋体"/>
                <w:color w:val="auto"/>
                <w:sz w:val="24"/>
                <w:u w:val="none"/>
              </w:rPr>
              <w:t>（u盘）</w:t>
            </w:r>
            <w:r>
              <w:rPr>
                <w:rFonts w:hint="eastAsia" w:hAnsi="宋体" w:cs="宋体"/>
                <w:color w:val="auto"/>
                <w:sz w:val="24"/>
                <w:u w:val="none"/>
                <w:lang w:val="en-US" w:eastAsia="zh-CN"/>
              </w:rPr>
              <w:t>2份，</w:t>
            </w:r>
            <w:r>
              <w:rPr>
                <w:rFonts w:hint="eastAsia" w:hAnsi="宋体" w:cs="宋体"/>
                <w:color w:val="auto"/>
                <w:sz w:val="24"/>
                <w:u w:val="none"/>
              </w:rPr>
              <w:t>应</w:t>
            </w:r>
            <w:r>
              <w:rPr>
                <w:rFonts w:hint="eastAsia" w:hAnsi="宋体" w:cs="宋体"/>
                <w:color w:val="auto"/>
                <w:sz w:val="24"/>
                <w:u w:val="none"/>
                <w:lang w:eastAsia="zh-CN"/>
              </w:rPr>
              <w:t>分开</w:t>
            </w:r>
            <w:r>
              <w:rPr>
                <w:rFonts w:hint="eastAsia" w:hAnsi="宋体" w:cs="宋体"/>
                <w:color w:val="auto"/>
                <w:sz w:val="24"/>
                <w:u w:val="none"/>
              </w:rPr>
              <w:t>单独密封</w:t>
            </w:r>
            <w:r>
              <w:rPr>
                <w:rFonts w:hint="eastAsia" w:hAnsi="宋体" w:cs="宋体"/>
                <w:color w:val="auto"/>
                <w:sz w:val="24"/>
                <w:u w:val="none"/>
                <w:lang w:eastAsia="zh-CN"/>
              </w:rPr>
              <w:t>、盖章</w:t>
            </w:r>
            <w:r>
              <w:rPr>
                <w:rFonts w:hint="eastAsia" w:hAnsi="宋体" w:cs="宋体"/>
                <w:color w:val="auto"/>
                <w:sz w:val="24"/>
                <w:u w:val="none"/>
              </w:rPr>
              <w:t>，封套上写明“投标人名称、项目名称、</w:t>
            </w:r>
            <w:r>
              <w:rPr>
                <w:rFonts w:hint="eastAsia" w:hAnsi="宋体" w:cs="宋体"/>
                <w:color w:val="auto"/>
                <w:sz w:val="24"/>
                <w:u w:val="none"/>
                <w:lang w:eastAsia="zh-CN"/>
              </w:rPr>
              <w:t>项目编号、</w:t>
            </w:r>
            <w:r>
              <w:rPr>
                <w:rFonts w:hint="eastAsia" w:hAnsi="宋体" w:cs="宋体"/>
                <w:color w:val="auto"/>
                <w:sz w:val="24"/>
                <w:u w:val="none"/>
              </w:rPr>
              <w:t>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color w:val="auto"/>
                <w:sz w:val="24"/>
                <w:szCs w:val="22"/>
              </w:rPr>
              <w:t>在2019年</w:t>
            </w:r>
            <w:r>
              <w:rPr>
                <w:rFonts w:hint="eastAsia"/>
                <w:color w:val="auto"/>
                <w:sz w:val="24"/>
                <w:szCs w:val="22"/>
                <w:lang w:val="en-US" w:eastAsia="zh-CN"/>
              </w:rPr>
              <w:t>10</w:t>
            </w:r>
            <w:r>
              <w:rPr>
                <w:rFonts w:hint="eastAsia"/>
                <w:color w:val="auto"/>
                <w:sz w:val="24"/>
                <w:szCs w:val="22"/>
              </w:rPr>
              <w:t>月</w:t>
            </w:r>
            <w:r>
              <w:rPr>
                <w:rFonts w:hint="eastAsia"/>
                <w:color w:val="auto"/>
                <w:sz w:val="24"/>
                <w:szCs w:val="22"/>
                <w:lang w:val="en-US" w:eastAsia="zh-CN"/>
              </w:rPr>
              <w:t>9</w:t>
            </w:r>
            <w:r>
              <w:rPr>
                <w:rFonts w:hint="eastAsia"/>
                <w:color w:val="auto"/>
                <w:sz w:val="24"/>
                <w:szCs w:val="22"/>
              </w:rPr>
              <w:t>日9时30分前</w:t>
            </w:r>
            <w:r>
              <w:rPr>
                <w:rFonts w:hint="eastAsia"/>
                <w:color w:val="auto"/>
                <w:sz w:val="24"/>
                <w:szCs w:val="22"/>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w:t>
            </w:r>
            <w:r>
              <w:rPr>
                <w:rFonts w:hint="eastAsia" w:hAnsi="宋体" w:cs="宋体"/>
                <w:color w:val="auto"/>
                <w:sz w:val="24"/>
                <w:szCs w:val="22"/>
              </w:rPr>
              <w:t>道兴业大厦4楼开标</w:t>
            </w:r>
            <w:r>
              <w:rPr>
                <w:rFonts w:hint="eastAsia" w:hAnsi="宋体" w:cs="宋体"/>
                <w:color w:val="auto"/>
                <w:sz w:val="24"/>
                <w:szCs w:val="22"/>
                <w:lang w:eastAsia="zh-CN"/>
              </w:rPr>
              <w:t>二</w:t>
            </w:r>
            <w:r>
              <w:rPr>
                <w:rFonts w:hint="eastAsia" w:hAnsi="宋体" w:cs="宋体"/>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w:t>
            </w:r>
            <w:r>
              <w:rPr>
                <w:rFonts w:hint="eastAsia" w:hAnsi="宋体" w:cs="仿宋_GB2312"/>
                <w:color w:val="auto"/>
                <w:sz w:val="24"/>
                <w:szCs w:val="22"/>
              </w:rPr>
              <w:t>道兴业大厦4楼开标</w:t>
            </w:r>
            <w:r>
              <w:rPr>
                <w:rFonts w:hint="eastAsia" w:hAnsi="宋体" w:cs="仿宋_GB2312"/>
                <w:color w:val="auto"/>
                <w:sz w:val="24"/>
                <w:szCs w:val="22"/>
                <w:lang w:eastAsia="zh-CN"/>
              </w:rPr>
              <w:t>二</w:t>
            </w:r>
            <w:bookmarkStart w:id="623" w:name="_GoBack"/>
            <w:bookmarkEnd w:id="623"/>
            <w:r>
              <w:rPr>
                <w:rFonts w:hint="eastAsia" w:hAnsi="宋体" w:cs="仿宋_GB2312"/>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w:t>
            </w:r>
            <w:r>
              <w:rPr>
                <w:rFonts w:hint="eastAsia" w:ascii="新宋体" w:hAnsi="新宋体" w:eastAsia="新宋体"/>
                <w:color w:val="auto"/>
                <w:sz w:val="24"/>
              </w:rPr>
              <w:t>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4"/>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4"/>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80"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017" w:type="dxa"/>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lang w:val="en-US" w:eastAsia="zh-CN"/>
              </w:rPr>
              <w:t>承接过的</w:t>
            </w:r>
            <w:r>
              <w:rPr>
                <w:rFonts w:hint="eastAsia" w:hAnsi="宋体" w:cs="仿宋_GB2312"/>
                <w:sz w:val="24"/>
                <w:szCs w:val="22"/>
                <w:lang w:eastAsia="zh-CN"/>
              </w:rPr>
              <w:t>建筑</w:t>
            </w:r>
            <w:r>
              <w:rPr>
                <w:rFonts w:hint="eastAsia" w:hAnsi="宋体" w:cs="仿宋_GB2312"/>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4"/>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大写：壹佰壹拾柒万叁仟陆佰陆拾捌元柒角捌分（含规费、税金、安全文明措施费）；</w:t>
                  </w:r>
                </w:p>
                <w:p>
                  <w:pPr>
                    <w:spacing w:line="440" w:lineRule="exact"/>
                    <w:jc w:val="left"/>
                    <w:rPr>
                      <w:rFonts w:hAnsi="宋体" w:cs="宋体"/>
                      <w:b/>
                      <w:bCs/>
                      <w:sz w:val="24"/>
                      <w:szCs w:val="24"/>
                    </w:rPr>
                  </w:pPr>
                  <w:r>
                    <w:rPr>
                      <w:rFonts w:hint="eastAsia" w:hAnsi="宋体" w:cs="宋体"/>
                      <w:b/>
                      <w:bCs/>
                      <w:sz w:val="24"/>
                      <w:szCs w:val="24"/>
                    </w:rPr>
                    <w:t>小写：1173668.78元。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3"/>
            <w:vAlign w:val="center"/>
          </w:tcPr>
          <w:p>
            <w:pPr>
              <w:numPr>
                <w:ilvl w:val="0"/>
                <w:numId w:val="4"/>
              </w:numPr>
              <w:spacing w:line="440" w:lineRule="exact"/>
              <w:rPr>
                <w:rFonts w:hint="eastAsia"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p>
            <w:pPr>
              <w:numPr>
                <w:ilvl w:val="0"/>
                <w:numId w:val="4"/>
              </w:numPr>
              <w:spacing w:line="440" w:lineRule="exact"/>
              <w:rPr>
                <w:rFonts w:ascii="新宋体" w:hAnsi="新宋体" w:eastAsia="新宋体"/>
                <w:b/>
                <w:sz w:val="24"/>
              </w:rPr>
            </w:pPr>
            <w:r>
              <w:rPr>
                <w:rFonts w:hint="eastAsia" w:ascii="新宋体" w:hAnsi="新宋体" w:eastAsia="新宋体"/>
                <w:b/>
                <w:sz w:val="24"/>
              </w:rPr>
              <w:t>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4"/>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4"/>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4"/>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ascii="新宋体" w:hAnsi="新宋体" w:eastAsia="新宋体"/>
                <w:sz w:val="24"/>
                <w:szCs w:val="22"/>
                <w:lang w:eastAsia="zh-CN"/>
              </w:rPr>
              <w:t>电</w:t>
            </w:r>
            <w:r>
              <w:rPr>
                <w:rFonts w:hint="eastAsia" w:ascii="新宋体" w:hAnsi="新宋体" w:eastAsia="新宋体"/>
                <w:color w:val="auto"/>
                <w:sz w:val="24"/>
                <w:szCs w:val="22"/>
                <w:lang w:eastAsia="zh-CN"/>
              </w:rPr>
              <w:t>子介质存储的</w:t>
            </w:r>
            <w:r>
              <w:rPr>
                <w:rFonts w:hint="eastAsia" w:ascii="新宋体" w:hAnsi="新宋体" w:eastAsia="新宋体"/>
                <w:sz w:val="24"/>
                <w:szCs w:val="22"/>
                <w:lang w:eastAsia="zh-CN"/>
              </w:rPr>
              <w:t>备份文件</w:t>
            </w:r>
            <w:r>
              <w:rPr>
                <w:rFonts w:hint="eastAsia" w:ascii="新宋体" w:hAnsi="新宋体" w:eastAsia="新宋体"/>
                <w:color w:val="auto"/>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2、电子介质存储的</w:t>
            </w:r>
            <w:r>
              <w:rPr>
                <w:rFonts w:hint="eastAsia" w:ascii="新宋体" w:hAnsi="新宋体" w:eastAsia="新宋体"/>
                <w:sz w:val="24"/>
                <w:szCs w:val="22"/>
                <w:lang w:eastAsia="zh-CN"/>
              </w:rPr>
              <w:t>备份文件</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spacing w:line="420" w:lineRule="exact"/>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w:t>
            </w:r>
            <w:r>
              <w:rPr>
                <w:rFonts w:hint="eastAsia" w:ascii="新宋体" w:hAnsi="新宋体" w:eastAsia="新宋体"/>
                <w:sz w:val="24"/>
                <w:szCs w:val="22"/>
                <w:lang w:eastAsia="zh-CN"/>
              </w:rPr>
              <w:t>公共资源</w:t>
            </w:r>
            <w:r>
              <w:rPr>
                <w:rFonts w:hint="eastAsia" w:ascii="新宋体" w:hAnsi="新宋体" w:eastAsia="新宋体"/>
                <w:sz w:val="24"/>
                <w:szCs w:val="22"/>
              </w:rPr>
              <w:t>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420" w:lineRule="exact"/>
              <w:rPr>
                <w:rFonts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w:t>
            </w:r>
            <w:r>
              <w:rPr>
                <w:rFonts w:hint="eastAsia" w:ascii="新宋体" w:hAnsi="新宋体" w:eastAsia="新宋体"/>
                <w:sz w:val="24"/>
                <w:szCs w:val="22"/>
                <w:lang w:eastAsia="zh-CN"/>
              </w:rPr>
              <w:t>公共资源</w:t>
            </w:r>
            <w:r>
              <w:rPr>
                <w:rFonts w:hint="eastAsia" w:ascii="新宋体" w:hAnsi="新宋体" w:eastAsia="新宋体"/>
                <w:sz w:val="24"/>
                <w:szCs w:val="22"/>
              </w:rPr>
              <w:t>交易系统中提出，以其他方式递交的异议不予接受。</w:t>
            </w:r>
          </w:p>
          <w:p>
            <w:pPr>
              <w:spacing w:line="420" w:lineRule="exact"/>
              <w:rPr>
                <w:rFonts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spacing w:line="420" w:lineRule="exact"/>
              <w:rPr>
                <w:rFonts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spacing w:line="420" w:lineRule="exact"/>
              <w:rPr>
                <w:rFonts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spacing w:line="420" w:lineRule="exact"/>
              <w:rPr>
                <w:rFonts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spacing w:line="420" w:lineRule="exact"/>
              <w:rPr>
                <w:rFonts w:ascii="新宋体" w:hAnsi="新宋体" w:eastAsia="新宋体"/>
                <w:sz w:val="24"/>
                <w:szCs w:val="22"/>
              </w:rPr>
            </w:pPr>
            <w:r>
              <w:rPr>
                <w:rFonts w:hint="eastAsia" w:ascii="新宋体" w:hAnsi="新宋体" w:eastAsia="新宋体"/>
                <w:sz w:val="24"/>
                <w:szCs w:val="22"/>
              </w:rPr>
              <w:t>7、商务标投标文件制作注意事项：</w:t>
            </w:r>
          </w:p>
          <w:p>
            <w:pPr>
              <w:spacing w:line="360" w:lineRule="auto"/>
              <w:rPr>
                <w:rFonts w:ascii="新宋体" w:hAnsi="新宋体" w:eastAsia="新宋体"/>
                <w:sz w:val="24"/>
                <w:szCs w:val="22"/>
              </w:rPr>
            </w:pPr>
            <w:r>
              <w:rPr>
                <w:rFonts w:hint="eastAsia" w:ascii="新宋体" w:hAnsi="新宋体" w:eastAsia="新宋体"/>
                <w:sz w:val="24"/>
                <w:szCs w:val="22"/>
              </w:rPr>
              <w:t>7.1 投标人登录《全国公共资源交易平台（河南省·许昌市）》</w:t>
            </w:r>
            <w:r>
              <w:rPr>
                <w:rFonts w:hint="eastAsia" w:ascii="新宋体" w:hAnsi="新宋体" w:eastAsia="新宋体"/>
                <w:sz w:val="24"/>
                <w:szCs w:val="22"/>
                <w:lang w:eastAsia="zh-CN"/>
              </w:rPr>
              <w:t>公共资源</w:t>
            </w:r>
            <w:r>
              <w:rPr>
                <w:rFonts w:hint="eastAsia" w:ascii="新宋体" w:hAnsi="新宋体" w:eastAsia="新宋体"/>
                <w:sz w:val="24"/>
                <w:szCs w:val="22"/>
              </w:rPr>
              <w:t>交易系统下载“许昌投标文件制作系统SEARUN V1.1” 和操作手册（工程项目），按招标文件要求制作商务标投标文件。</w:t>
            </w:r>
          </w:p>
          <w:p>
            <w:pPr>
              <w:spacing w:line="360" w:lineRule="auto"/>
              <w:rPr>
                <w:rFonts w:ascii="新宋体" w:hAnsi="新宋体" w:eastAsia="新宋体"/>
                <w:sz w:val="24"/>
                <w:szCs w:val="22"/>
              </w:rPr>
            </w:pPr>
            <w:r>
              <w:rPr>
                <w:rFonts w:hint="eastAsia" w:ascii="新宋体" w:hAnsi="新宋体" w:eastAsia="新宋体"/>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autoSpaceDE w:val="0"/>
        <w:autoSpaceDN w:val="0"/>
        <w:spacing w:line="420" w:lineRule="exact"/>
        <w:ind w:firstLine="480" w:firstLineChars="200"/>
        <w:jc w:val="left"/>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6"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7" w:name="_Toc144974521"/>
      <w:bookmarkStart w:id="38" w:name="_Toc179632571"/>
      <w:bookmarkStart w:id="39" w:name="_Toc152042329"/>
      <w:bookmarkStart w:id="40" w:name="_Toc152045553"/>
      <w:r>
        <w:rPr>
          <w:rFonts w:hint="eastAsia" w:hAnsi="宋体" w:cs="宋体"/>
          <w:b/>
          <w:sz w:val="24"/>
        </w:rPr>
        <w:t>备选投标方案</w:t>
      </w:r>
    </w:p>
    <w:bookmarkEnd w:id="37"/>
    <w:bookmarkEnd w:id="38"/>
    <w:bookmarkEnd w:id="39"/>
    <w:bookmarkEnd w:id="40"/>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1" w:name="_Toc283559961"/>
      <w:r>
        <w:rPr>
          <w:rFonts w:hint="eastAsia" w:hAnsi="宋体" w:cs="宋体"/>
          <w:b/>
          <w:sz w:val="24"/>
        </w:rPr>
        <w:t>3.7 投标文件的编制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3.7.2 投标文件应当对招标文件有关工期、投标有效期、质量要求、招标范围作出响应。</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3.7.3 投标人编制的投标文件应分为商务标、综合（信用）标和技术标。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3.7.4 投标人登录许昌公共资源交易系统下载“许昌投标文件制作系统SEARUN V1.1”，按招标文件要求制作电子投标文件（包括含工程量清单的商务标投标文件）。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3.7.5 使用电子介质存储的</w:t>
      </w:r>
      <w:r>
        <w:rPr>
          <w:rFonts w:hint="eastAsia" w:ascii="新宋体" w:hAnsi="新宋体" w:eastAsia="新宋体" w:cs="仿宋_GB2312"/>
          <w:sz w:val="24"/>
          <w:szCs w:val="22"/>
          <w:lang w:eastAsia="zh-CN"/>
        </w:rPr>
        <w:t>备份文件</w:t>
      </w:r>
      <w:r>
        <w:rPr>
          <w:rFonts w:hint="eastAsia" w:ascii="新宋体" w:hAnsi="新宋体" w:eastAsia="新宋体" w:cs="仿宋_GB2312"/>
          <w:sz w:val="24"/>
          <w:szCs w:val="22"/>
          <w:lang w:val="en-US" w:eastAsia="zh-CN"/>
        </w:rPr>
        <w:t>2</w:t>
      </w:r>
      <w:r>
        <w:rPr>
          <w:rFonts w:hint="eastAsia" w:ascii="新宋体" w:hAnsi="新宋体" w:eastAsia="新宋体" w:cs="仿宋_GB2312"/>
          <w:sz w:val="24"/>
          <w:szCs w:val="22"/>
        </w:rPr>
        <w:t>份</w:t>
      </w:r>
      <w:r>
        <w:rPr>
          <w:rFonts w:hint="eastAsia" w:ascii="新宋体" w:hAnsi="新宋体" w:eastAsia="新宋体" w:cs="仿宋_GB2312"/>
          <w:sz w:val="24"/>
          <w:szCs w:val="22"/>
          <w:lang w:eastAsia="zh-CN"/>
        </w:rPr>
        <w:t>（注明：</w:t>
      </w:r>
      <w:r>
        <w:rPr>
          <w:rFonts w:hint="eastAsia" w:hAnsi="宋体" w:cs="宋体"/>
          <w:sz w:val="24"/>
        </w:rPr>
        <w:t>投标人名称、项目名称、</w:t>
      </w:r>
      <w:r>
        <w:rPr>
          <w:rFonts w:hint="eastAsia" w:hAnsi="宋体" w:cs="宋体"/>
          <w:sz w:val="24"/>
          <w:lang w:eastAsia="zh-CN"/>
        </w:rPr>
        <w:t>项目编号、</w:t>
      </w:r>
      <w:r>
        <w:rPr>
          <w:rFonts w:hint="eastAsia" w:hAnsi="宋体" w:cs="宋体"/>
          <w:sz w:val="24"/>
        </w:rPr>
        <w:t>标段</w:t>
      </w:r>
      <w:r>
        <w:rPr>
          <w:rFonts w:hint="eastAsia" w:hAnsi="宋体" w:cs="宋体"/>
          <w:sz w:val="24"/>
          <w:lang w:eastAsia="zh-CN"/>
        </w:rPr>
        <w:t>）</w:t>
      </w:r>
      <w:r>
        <w:rPr>
          <w:rFonts w:hint="eastAsia" w:ascii="新宋体" w:hAnsi="新宋体" w:eastAsia="新宋体" w:cs="仿宋_GB2312"/>
          <w:sz w:val="24"/>
          <w:szCs w:val="22"/>
        </w:rPr>
        <w:t>。</w:t>
      </w:r>
    </w:p>
    <w:p>
      <w:pPr>
        <w:autoSpaceDE w:val="0"/>
        <w:autoSpaceDN w:val="0"/>
        <w:adjustRightInd w:val="0"/>
        <w:spacing w:line="460" w:lineRule="exact"/>
        <w:ind w:firstLine="480" w:firstLineChars="200"/>
        <w:jc w:val="left"/>
        <w:rPr>
          <w:rFonts w:hAnsi="宋体" w:cs="宋体"/>
          <w:b/>
          <w:sz w:val="24"/>
        </w:rPr>
      </w:pPr>
      <w:r>
        <w:rPr>
          <w:rFonts w:hint="eastAsia" w:hAnsi="宋体" w:cs="宋体"/>
          <w:sz w:val="24"/>
        </w:rPr>
        <w:t xml:space="preserve">3.7.6 </w:t>
      </w:r>
      <w:r>
        <w:rPr>
          <w:rFonts w:hint="eastAsia" w:hAnsi="宋体" w:cs="宋体"/>
          <w:b/>
          <w:sz w:val="24"/>
        </w:rPr>
        <w:t>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.2 商务标投标文件制作技术咨询：0374-2961598。</w:t>
      </w:r>
    </w:p>
    <w:p>
      <w:pPr>
        <w:pStyle w:val="69"/>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1"/>
    </w:p>
    <w:p>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int="eastAsia" w:hAnsi="宋体" w:cs="宋体"/>
          <w:b/>
          <w:sz w:val="24"/>
        </w:rPr>
        <w:t>投标文件的密封和标记</w:t>
      </w:r>
      <w:bookmarkEnd w:id="42"/>
    </w:p>
    <w:p>
      <w:pPr>
        <w:autoSpaceDE w:val="0"/>
        <w:autoSpaceDN w:val="0"/>
        <w:spacing w:line="440" w:lineRule="exact"/>
        <w:ind w:firstLine="480" w:firstLineChars="200"/>
        <w:jc w:val="left"/>
        <w:outlineLvl w:val="0"/>
        <w:rPr>
          <w:rFonts w:hAnsi="宋体" w:cs="宋体"/>
          <w:sz w:val="24"/>
        </w:rPr>
      </w:pPr>
      <w:bookmarkStart w:id="43" w:name="_Toc283559963"/>
      <w:r>
        <w:rPr>
          <w:rFonts w:hint="eastAsia" w:hAnsi="宋体" w:cs="宋体"/>
          <w:sz w:val="24"/>
        </w:rPr>
        <w:t>4.1.</w:t>
      </w:r>
      <w:r>
        <w:rPr>
          <w:rFonts w:hint="eastAsia" w:hAnsi="宋体" w:cs="宋体"/>
          <w:sz w:val="24"/>
          <w:lang w:val="en-US" w:eastAsia="zh-CN"/>
        </w:rPr>
        <w:t>1</w:t>
      </w:r>
      <w:r>
        <w:rPr>
          <w:rFonts w:hint="eastAsia" w:hAnsi="宋体" w:cs="宋体"/>
          <w:sz w:val="24"/>
        </w:rPr>
        <w:t xml:space="preserve"> 使用电子介质存储的</w:t>
      </w:r>
      <w:r>
        <w:rPr>
          <w:rFonts w:hint="eastAsia" w:hAnsi="宋体" w:cs="宋体"/>
          <w:sz w:val="24"/>
          <w:lang w:eastAsia="zh-CN"/>
        </w:rPr>
        <w:t>备份文件</w:t>
      </w:r>
      <w:r>
        <w:rPr>
          <w:rFonts w:hint="eastAsia" w:hAnsi="宋体" w:cs="宋体"/>
          <w:sz w:val="24"/>
        </w:rPr>
        <w:t>应单独密封，封套上写明“投标人名称、项目名称、</w:t>
      </w:r>
      <w:r>
        <w:rPr>
          <w:rFonts w:hint="eastAsia" w:hAnsi="宋体" w:cs="宋体"/>
          <w:sz w:val="24"/>
          <w:lang w:eastAsia="zh-CN"/>
        </w:rPr>
        <w:t>项目编号、</w:t>
      </w:r>
      <w:r>
        <w:rPr>
          <w:rFonts w:hint="eastAsia" w:hAnsi="宋体" w:cs="宋体"/>
          <w:sz w:val="24"/>
        </w:rPr>
        <w:t>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未按本章第4.1.1项要求密封和加写标记的</w:t>
      </w:r>
      <w:r>
        <w:rPr>
          <w:rFonts w:hint="eastAsia" w:hAnsi="宋体" w:cs="宋体"/>
          <w:sz w:val="24"/>
          <w:lang w:eastAsia="zh-CN"/>
        </w:rPr>
        <w:t>电子介质存储的备份文件，</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3"/>
    </w:p>
    <w:p>
      <w:pPr>
        <w:autoSpaceDE w:val="0"/>
        <w:autoSpaceDN w:val="0"/>
        <w:spacing w:line="440" w:lineRule="exact"/>
        <w:ind w:firstLine="480" w:firstLineChars="200"/>
        <w:jc w:val="left"/>
        <w:outlineLvl w:val="0"/>
        <w:rPr>
          <w:rFonts w:hAnsi="宋体" w:cs="宋体"/>
          <w:sz w:val="24"/>
        </w:rPr>
      </w:pPr>
      <w:bookmarkStart w:id="44" w:name="_Toc283559964"/>
      <w:r>
        <w:rPr>
          <w:rFonts w:hint="eastAsia" w:hAnsi="宋体" w:cs="宋体"/>
          <w:sz w:val="24"/>
        </w:rPr>
        <w:t>4.2.1 投标人应在投标人须知前附表中规定的投标截止时间前成功上传电子投标文件、电子介质存储的</w:t>
      </w:r>
      <w:r>
        <w:rPr>
          <w:rFonts w:hint="eastAsia" w:hAnsi="宋体" w:cs="宋体"/>
          <w:sz w:val="24"/>
          <w:lang w:eastAsia="zh-CN"/>
        </w:rPr>
        <w:t>备份文件</w:t>
      </w:r>
      <w:r>
        <w:rPr>
          <w:rFonts w:hint="eastAsia" w:hAnsi="宋体" w:cs="宋体"/>
          <w:sz w:val="24"/>
          <w:lang w:val="en-US" w:eastAsia="zh-CN"/>
        </w:rPr>
        <w:t>2份（注明：</w:t>
      </w:r>
      <w:r>
        <w:rPr>
          <w:rFonts w:hint="eastAsia" w:hAnsi="宋体" w:cs="宋体"/>
          <w:sz w:val="24"/>
        </w:rPr>
        <w:t>投标人名称、项目名称、</w:t>
      </w:r>
      <w:r>
        <w:rPr>
          <w:rFonts w:hint="eastAsia" w:hAnsi="宋体" w:cs="宋体"/>
          <w:sz w:val="24"/>
          <w:lang w:eastAsia="zh-CN"/>
        </w:rPr>
        <w:t>项目编号、</w:t>
      </w:r>
      <w:r>
        <w:rPr>
          <w:rFonts w:hint="eastAsia" w:hAnsi="宋体" w:cs="宋体"/>
          <w:sz w:val="24"/>
        </w:rPr>
        <w:t>标段</w:t>
      </w:r>
      <w:r>
        <w:rPr>
          <w:rFonts w:hint="eastAsia" w:hAnsi="宋体" w:cs="宋体"/>
          <w:sz w:val="24"/>
          <w:lang w:eastAsia="zh-CN"/>
        </w:rPr>
        <w:t>）</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4.2.2 </w:t>
      </w:r>
      <w:r>
        <w:rPr>
          <w:rFonts w:hint="eastAsia" w:hAnsi="宋体" w:cs="宋体"/>
          <w:sz w:val="24"/>
          <w:lang w:eastAsia="zh-CN"/>
        </w:rPr>
        <w:t>投标人提交</w:t>
      </w:r>
      <w:r>
        <w:rPr>
          <w:rFonts w:hint="eastAsia" w:hAnsi="宋体" w:cs="宋体"/>
          <w:sz w:val="24"/>
        </w:rPr>
        <w:t>电子介质存储的</w:t>
      </w:r>
      <w:r>
        <w:rPr>
          <w:rFonts w:hint="eastAsia" w:hAnsi="宋体" w:cs="宋体"/>
          <w:sz w:val="24"/>
          <w:lang w:eastAsia="zh-CN"/>
        </w:rPr>
        <w:t>备份文件</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w:t>
      </w:r>
      <w:r>
        <w:rPr>
          <w:rFonts w:hint="eastAsia" w:hAnsi="宋体" w:cs="宋体"/>
          <w:sz w:val="24"/>
          <w:lang w:eastAsia="zh-CN"/>
        </w:rPr>
        <w:t>备份文件</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w:t>
      </w:r>
      <w:r>
        <w:rPr>
          <w:rFonts w:hint="eastAsia" w:hAnsi="宋体" w:cs="宋体"/>
          <w:sz w:val="24"/>
          <w:lang w:eastAsia="zh-CN"/>
        </w:rPr>
        <w:t>备份文件</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5" w:name="_Toc283559967"/>
      <w:r>
        <w:rPr>
          <w:rFonts w:hAnsi="宋体"/>
          <w:b/>
          <w:color w:val="auto"/>
        </w:rPr>
        <w:t xml:space="preserve">5. </w:t>
      </w:r>
      <w:r>
        <w:rPr>
          <w:rFonts w:hint="eastAsia" w:hAnsi="宋体"/>
          <w:b/>
          <w:color w:val="auto"/>
        </w:rPr>
        <w:t>开标</w:t>
      </w:r>
      <w:bookmarkEnd w:id="45"/>
    </w:p>
    <w:p>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int="eastAsia" w:hAnsi="宋体" w:cs="宋体"/>
          <w:b/>
          <w:sz w:val="24"/>
        </w:rPr>
        <w:t>开标时间和地点</w:t>
      </w:r>
      <w:bookmarkEnd w:id="46"/>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7" w:name="_Toc283559970"/>
      <w:r>
        <w:rPr>
          <w:rFonts w:hint="eastAsia" w:hAnsi="宋体" w:cs="宋体"/>
          <w:b/>
          <w:sz w:val="24"/>
        </w:rPr>
        <w:t>5.2 开标、解密、唱标程序</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5.2.1主持人按下列程序进行开标：</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（1）宣布投标截止时间，并公布招标人、代理机构、监督部门名称；</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（2）宣布开标纪律；</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（3）公布在投标截止时间前递交投标文件的投标人名称和投标保证金缴纳情况。</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（4）电子投标文件解密</w:t>
      </w:r>
    </w:p>
    <w:p>
      <w:pPr>
        <w:spacing w:line="360" w:lineRule="auto"/>
        <w:ind w:firstLine="480" w:firstLineChars="200"/>
        <w:rPr>
          <w:rFonts w:hAnsi="宋体"/>
          <w:sz w:val="24"/>
          <w:szCs w:val="24"/>
        </w:rPr>
      </w:pPr>
      <w:r>
        <w:rPr>
          <w:rFonts w:hint="eastAsia" w:hAnsi="宋体" w:cs="宋体"/>
          <w:sz w:val="24"/>
          <w:szCs w:val="22"/>
        </w:rPr>
        <w:t>（5）宣布唱标顺序，按已定顺序唱标，唱标内容为：投标人名称、投标报价、质量目</w:t>
      </w:r>
      <w:r>
        <w:rPr>
          <w:rFonts w:hint="eastAsia" w:hAnsi="宋体"/>
          <w:sz w:val="24"/>
          <w:szCs w:val="24"/>
        </w:rPr>
        <w:t>标、工期及其他内容，并记录；</w:t>
      </w:r>
    </w:p>
    <w:p>
      <w:pPr>
        <w:spacing w:line="360" w:lineRule="auto"/>
        <w:ind w:firstLine="480" w:firstLineChars="200"/>
        <w:rPr>
          <w:rFonts w:hAnsi="宋体"/>
          <w:sz w:val="24"/>
          <w:szCs w:val="24"/>
        </w:rPr>
      </w:pPr>
      <w:r>
        <w:rPr>
          <w:rFonts w:hint="eastAsia" w:hAnsi="宋体"/>
          <w:sz w:val="24"/>
          <w:szCs w:val="24"/>
        </w:rPr>
        <w:t>（6）现场抽取参与计算评标基准价的K值并宣布，同时公布招标控制价；</w:t>
      </w:r>
    </w:p>
    <w:p>
      <w:pPr>
        <w:spacing w:line="360" w:lineRule="auto"/>
        <w:ind w:firstLine="480" w:firstLineChars="200"/>
        <w:rPr>
          <w:rFonts w:hAnsi="宋体"/>
          <w:sz w:val="24"/>
          <w:szCs w:val="24"/>
        </w:rPr>
      </w:pPr>
      <w:r>
        <w:rPr>
          <w:rFonts w:hint="eastAsia" w:hAnsi="宋体"/>
          <w:sz w:val="24"/>
          <w:szCs w:val="24"/>
        </w:rPr>
        <w:t>（7）投标人代表、招标人代表、监标人、记录人等有关人员在开标记录上签字确认；</w:t>
      </w:r>
    </w:p>
    <w:p>
      <w:pPr>
        <w:spacing w:line="360" w:lineRule="auto"/>
        <w:ind w:firstLine="480" w:firstLineChars="200"/>
        <w:rPr>
          <w:rFonts w:hAnsi="宋体"/>
          <w:sz w:val="24"/>
          <w:szCs w:val="24"/>
        </w:rPr>
      </w:pPr>
      <w:r>
        <w:rPr>
          <w:rFonts w:hint="eastAsia" w:hAnsi="宋体"/>
          <w:sz w:val="24"/>
          <w:szCs w:val="24"/>
        </w:rPr>
        <w:t>（8）开标结束。</w:t>
      </w:r>
    </w:p>
    <w:p>
      <w:pPr>
        <w:spacing w:line="360" w:lineRule="auto"/>
        <w:ind w:firstLine="480" w:firstLineChars="200"/>
        <w:rPr>
          <w:rFonts w:hAnsi="宋体"/>
          <w:sz w:val="24"/>
          <w:szCs w:val="24"/>
        </w:rPr>
      </w:pPr>
      <w:r>
        <w:rPr>
          <w:rFonts w:hint="eastAsia" w:hAnsi="宋体"/>
          <w:sz w:val="24"/>
          <w:szCs w:val="24"/>
        </w:rPr>
        <w:t>5.2.2 电子投标文件的解密</w:t>
      </w:r>
    </w:p>
    <w:p>
      <w:pPr>
        <w:spacing w:line="360" w:lineRule="auto"/>
        <w:ind w:firstLine="480" w:firstLineChars="200"/>
        <w:rPr>
          <w:rFonts w:hAnsi="宋体"/>
          <w:sz w:val="24"/>
          <w:szCs w:val="24"/>
        </w:rPr>
      </w:pPr>
      <w:r>
        <w:rPr>
          <w:rFonts w:hint="eastAsia" w:hAnsi="宋体"/>
          <w:sz w:val="24"/>
          <w:szCs w:val="24"/>
        </w:rPr>
        <w:t>5.2.2.1本项目为全流程电子化交易项目，电子投标文件采用双重加密。在投标截止时间到达后，分标段进行解密。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sz w:val="24"/>
          <w:szCs w:val="24"/>
          <w:lang w:eastAsia="zh-CN"/>
        </w:rPr>
        <w:t>电子介质存储的备份文件</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由系统技术人员协助投标人将（电子介质存储）</w:t>
      </w:r>
      <w:r>
        <w:rPr>
          <w:rFonts w:hint="eastAsia" w:hAnsi="宋体" w:cs="宋体"/>
          <w:sz w:val="24"/>
          <w:lang w:eastAsia="zh-CN"/>
        </w:rPr>
        <w:t>的</w:t>
      </w:r>
      <w:r>
        <w:rPr>
          <w:rFonts w:hint="eastAsia" w:hAnsi="宋体" w:cs="宋体"/>
          <w:sz w:val="24"/>
        </w:rPr>
        <w:t>备份文件导入系统。若（电子介质存储）</w:t>
      </w:r>
      <w:r>
        <w:rPr>
          <w:rFonts w:hint="eastAsia" w:hAnsi="宋体" w:cs="宋体"/>
          <w:sz w:val="24"/>
          <w:lang w:eastAsia="zh-CN"/>
        </w:rPr>
        <w:t>的</w:t>
      </w:r>
      <w:r>
        <w:rPr>
          <w:rFonts w:hint="eastAsia" w:hAnsi="宋体" w:cs="宋体"/>
          <w:sz w:val="24"/>
        </w:rPr>
        <w:t>备份文件无法导入系统或导入系统仍无法解密的，视为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7"/>
    </w:p>
    <w:p>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int="eastAsia" w:hAnsi="宋体" w:cs="宋体"/>
          <w:b/>
          <w:sz w:val="24"/>
        </w:rPr>
        <w:t>评标委员会</w:t>
      </w:r>
      <w:bookmarkEnd w:id="48"/>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int="eastAsia" w:hAnsi="宋体" w:cs="宋体"/>
          <w:b/>
          <w:sz w:val="24"/>
        </w:rPr>
        <w:t>评标原则</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int="eastAsia" w:hAnsi="宋体" w:cs="宋体"/>
          <w:b/>
          <w:sz w:val="24"/>
        </w:rPr>
        <w:t>评标</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1" w:name="_Toc283559974"/>
      <w:r>
        <w:rPr>
          <w:rFonts w:hAnsi="宋体"/>
          <w:b/>
          <w:color w:val="auto"/>
        </w:rPr>
        <w:t xml:space="preserve">7. </w:t>
      </w:r>
      <w:r>
        <w:rPr>
          <w:rFonts w:hint="eastAsia" w:hAnsi="宋体"/>
          <w:b/>
          <w:color w:val="auto"/>
        </w:rPr>
        <w:t>合同授予</w:t>
      </w:r>
      <w:bookmarkEnd w:id="51"/>
    </w:p>
    <w:p>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int="eastAsia" w:hAnsi="宋体" w:cs="宋体"/>
          <w:b/>
          <w:sz w:val="24"/>
        </w:rPr>
        <w:t>定标方式</w:t>
      </w:r>
      <w:bookmarkEnd w:id="52"/>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int="eastAsia" w:hAnsi="宋体" w:cs="宋体"/>
          <w:b/>
          <w:sz w:val="24"/>
        </w:rPr>
        <w:t>2中标通知</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4" w:name="_Toc152045569"/>
      <w:bookmarkStart w:id="55" w:name="_Toc179632587"/>
      <w:bookmarkStart w:id="56" w:name="_Toc152042345"/>
      <w:bookmarkStart w:id="57" w:name="_Toc144974537"/>
    </w:p>
    <w:bookmarkEnd w:id="54"/>
    <w:bookmarkEnd w:id="55"/>
    <w:bookmarkEnd w:id="56"/>
    <w:bookmarkEnd w:id="57"/>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7.4.</w:t>
      </w:r>
      <w:r>
        <w:rPr>
          <w:rFonts w:hint="eastAsia" w:hAnsi="宋体" w:cs="宋体"/>
          <w:sz w:val="24"/>
          <w:szCs w:val="22"/>
          <w:lang w:val="en-US" w:eastAsia="zh-CN"/>
        </w:rPr>
        <w:t xml:space="preserve">2 </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7.4.</w:t>
      </w:r>
      <w:r>
        <w:rPr>
          <w:rFonts w:hint="eastAsia" w:hAnsi="宋体" w:cs="宋体"/>
          <w:sz w:val="24"/>
          <w:szCs w:val="22"/>
          <w:lang w:val="en-US" w:eastAsia="zh-CN"/>
        </w:rPr>
        <w:t xml:space="preserve">3 </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int="eastAsia" w:hAnsi="宋体" w:cs="宋体"/>
          <w:b/>
          <w:sz w:val="24"/>
        </w:rPr>
        <w:t>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int="eastAsia" w:hAnsi="宋体" w:cs="宋体"/>
          <w:b/>
          <w:sz w:val="24"/>
        </w:rPr>
        <w:t>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1" w:name="_Toc283559981"/>
      <w:r>
        <w:rPr>
          <w:rFonts w:hAnsi="宋体"/>
          <w:b/>
          <w:color w:val="auto"/>
        </w:rPr>
        <w:t xml:space="preserve">9. </w:t>
      </w:r>
      <w:r>
        <w:rPr>
          <w:rFonts w:hint="eastAsia" w:hAnsi="宋体"/>
          <w:b/>
          <w:color w:val="auto"/>
        </w:rPr>
        <w:t>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int="eastAsia" w:hAnsi="宋体" w:cs="宋体"/>
          <w:b/>
          <w:sz w:val="24"/>
        </w:rPr>
        <w:t>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int="eastAsia" w:hAnsi="宋体" w:cs="宋体"/>
          <w:b/>
          <w:sz w:val="24"/>
        </w:rPr>
        <w:t>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int="eastAsia" w:hAnsi="宋体" w:cs="宋体"/>
          <w:b/>
          <w:sz w:val="24"/>
        </w:rPr>
        <w:t>对评标委员会成员的纪律要求</w:t>
      </w:r>
      <w:bookmarkEnd w:id="64"/>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int="eastAsia" w:hAnsi="宋体" w:cs="宋体"/>
          <w:b/>
          <w:sz w:val="24"/>
        </w:rPr>
        <w:t>对与评标活动有关的工作人员的纪律要求</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int="eastAsia" w:hAnsi="宋体" w:cs="宋体"/>
          <w:b/>
          <w:sz w:val="24"/>
        </w:rPr>
        <w:t>投诉</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7" w:name="_Toc283559987"/>
      <w:r>
        <w:rPr>
          <w:rFonts w:hAnsi="宋体"/>
          <w:b/>
          <w:color w:val="auto"/>
        </w:rPr>
        <w:t xml:space="preserve">10. </w:t>
      </w:r>
      <w:r>
        <w:rPr>
          <w:rFonts w:hint="eastAsia" w:hAnsi="宋体"/>
          <w:b/>
          <w:color w:val="auto"/>
        </w:rPr>
        <w:t>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8"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rPr>
          <w:rFonts w:hAnsi="宋体" w:cs="宋体"/>
          <w:b/>
          <w:bCs/>
          <w:sz w:val="24"/>
        </w:rPr>
      </w:pPr>
    </w:p>
    <w:p>
      <w:pPr>
        <w:pStyle w:val="4"/>
        <w:rPr>
          <w:rFonts w:hAnsi="宋体" w:cs="宋体"/>
          <w:b/>
          <w:bCs/>
          <w:sz w:val="24"/>
        </w:rPr>
      </w:pPr>
    </w:p>
    <w:p>
      <w:pPr>
        <w:pStyle w:val="4"/>
        <w:rPr>
          <w:rFonts w:hAnsi="宋体" w:cs="宋体"/>
          <w:b/>
          <w:bCs/>
          <w:sz w:val="24"/>
        </w:rPr>
      </w:pPr>
    </w:p>
    <w:p>
      <w:pPr>
        <w:pStyle w:val="4"/>
        <w:rPr>
          <w:rFonts w:hAnsi="宋体" w:cs="宋体"/>
          <w:b/>
          <w:bCs/>
          <w:sz w:val="24"/>
        </w:rPr>
      </w:pPr>
    </w:p>
    <w:p>
      <w:pPr>
        <w:pStyle w:val="4"/>
        <w:rPr>
          <w:rFonts w:hAnsi="宋体" w:cs="宋体"/>
          <w:b/>
          <w:bCs/>
          <w:sz w:val="24"/>
        </w:rPr>
      </w:pPr>
    </w:p>
    <w:p>
      <w:pPr>
        <w:pStyle w:val="2"/>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 年 月 日 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 月 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 月 日</w:t>
      </w:r>
    </w:p>
    <w:p>
      <w:pPr>
        <w:spacing w:line="480" w:lineRule="exact"/>
        <w:rPr>
          <w:sz w:val="24"/>
        </w:rPr>
      </w:pPr>
    </w:p>
    <w:p>
      <w:pPr>
        <w:spacing w:line="480" w:lineRule="exact"/>
        <w:rPr>
          <w:sz w:val="24"/>
        </w:rPr>
      </w:pPr>
    </w:p>
    <w:p>
      <w:pPr>
        <w:pStyle w:val="2"/>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hint="eastAsia"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w:t>
      </w:r>
      <w:r>
        <w:rPr>
          <w:rFonts w:hint="eastAsia" w:ascii="新宋体" w:hAnsi="新宋体" w:eastAsia="新宋体"/>
          <w:sz w:val="24"/>
          <w:lang w:val="en-US" w:eastAsia="zh-CN"/>
        </w:rPr>
        <w:t>评标</w:t>
      </w:r>
      <w:r>
        <w:rPr>
          <w:rFonts w:hint="eastAsia" w:ascii="新宋体" w:hAnsi="新宋体" w:eastAsia="新宋体"/>
          <w:sz w:val="24"/>
        </w:rPr>
        <w:t>法，是指评标委员会根据招标文件要求，应从技术标、商务标、综合（信用）标三部分进行综合评审。</w:t>
      </w:r>
    </w:p>
    <w:p>
      <w:pPr>
        <w:spacing w:line="360" w:lineRule="auto"/>
        <w:ind w:firstLine="480" w:firstLineChars="200"/>
        <w:rPr>
          <w:rFonts w:hint="eastAsia" w:ascii="新宋体" w:hAnsi="新宋体" w:eastAsia="新宋体" w:cs="新宋体"/>
          <w:sz w:val="24"/>
          <w:szCs w:val="22"/>
        </w:rPr>
      </w:pPr>
      <w:r>
        <w:rPr>
          <w:rFonts w:hint="eastAsia" w:ascii="新宋体" w:hAnsi="新宋体" w:eastAsia="新宋体" w:cs="新宋体"/>
          <w:sz w:val="24"/>
          <w:szCs w:val="22"/>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hint="eastAsia" w:ascii="新宋体" w:hAnsi="新宋体" w:eastAsia="新宋体" w:cs="新宋体"/>
          <w:sz w:val="24"/>
          <w:szCs w:val="22"/>
        </w:rPr>
      </w:pPr>
      <w:r>
        <w:rPr>
          <w:rFonts w:hint="eastAsia" w:ascii="新宋体" w:hAnsi="新宋体" w:eastAsia="新宋体" w:cs="新宋体"/>
          <w:sz w:val="24"/>
          <w:szCs w:val="22"/>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（3）规费和税金、安全文明施工费违</w:t>
      </w:r>
      <w:r>
        <w:rPr>
          <w:rFonts w:hint="eastAsia" w:ascii="新宋体" w:hAnsi="新宋体" w:eastAsia="新宋体"/>
          <w:bCs/>
          <w:sz w:val="24"/>
          <w:lang w:val="en-US" w:eastAsia="zh-CN"/>
        </w:rPr>
        <w:t>反工程造价计价有关</w:t>
      </w:r>
      <w:r>
        <w:rPr>
          <w:rFonts w:hint="eastAsia" w:ascii="新宋体" w:hAnsi="新宋体" w:eastAsia="新宋体"/>
          <w:bCs/>
          <w:sz w:val="24"/>
        </w:rPr>
        <w:t xml:space="preserve">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w:t>
      </w:r>
      <w:r>
        <w:rPr>
          <w:rFonts w:hint="eastAsia" w:ascii="新宋体" w:hAnsi="新宋体" w:eastAsia="新宋体"/>
          <w:bCs/>
          <w:sz w:val="24"/>
          <w:lang w:val="en-US" w:eastAsia="zh-CN"/>
        </w:rPr>
        <w:t>招标文件所列明的</w:t>
      </w:r>
      <w:r>
        <w:rPr>
          <w:rFonts w:hint="eastAsia" w:ascii="新宋体" w:hAnsi="新宋体" w:eastAsia="新宋体"/>
          <w:bCs/>
          <w:sz w:val="24"/>
        </w:rPr>
        <w:t>暂列金额</w:t>
      </w:r>
      <w:r>
        <w:rPr>
          <w:rFonts w:hint="eastAsia" w:ascii="新宋体" w:hAnsi="新宋体" w:eastAsia="新宋体"/>
          <w:bCs/>
          <w:sz w:val="24"/>
          <w:lang w:eastAsia="zh-CN"/>
        </w:rPr>
        <w:t>、</w:t>
      </w:r>
      <w:r>
        <w:rPr>
          <w:rFonts w:hint="eastAsia" w:ascii="新宋体" w:hAnsi="新宋体" w:eastAsia="新宋体"/>
          <w:bCs/>
          <w:sz w:val="24"/>
        </w:rPr>
        <w:t>暂估价编制投标报价的。</w:t>
      </w:r>
    </w:p>
    <w:p>
      <w:pPr>
        <w:spacing w:line="360" w:lineRule="auto"/>
        <w:ind w:firstLine="480" w:firstLineChars="200"/>
        <w:rPr>
          <w:rFonts w:hint="eastAsia"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default" w:ascii="新宋体" w:hAnsi="新宋体" w:eastAsia="宋体"/>
          <w:b/>
          <w:sz w:val="24"/>
          <w:lang w:val="en-US" w:eastAsia="zh-CN"/>
        </w:rPr>
      </w:pPr>
      <w:r>
        <w:rPr>
          <w:rFonts w:hint="eastAsia" w:hAnsi="宋体" w:cs="宋体"/>
          <w:b/>
          <w:bCs/>
          <w:sz w:val="24"/>
          <w:szCs w:val="24"/>
        </w:rPr>
        <w:t>备注：</w:t>
      </w:r>
      <w:r>
        <w:rPr>
          <w:rFonts w:hint="eastAsia" w:hAnsi="宋体" w:cs="宋体"/>
          <w:b/>
          <w:bCs/>
          <w:sz w:val="24"/>
          <w:szCs w:val="24"/>
          <w:lang w:val="en-US" w:eastAsia="zh-CN"/>
        </w:rPr>
        <w:t>按照《关于推进全流程电子化交易和在线监管工作有关问题的通知》（许公管办【2019】3号）规定：</w:t>
      </w:r>
      <w:r>
        <w:rPr>
          <w:rFonts w:hint="eastAsia" w:hAnsi="宋体" w:cs="宋体"/>
          <w:b/>
          <w:bCs/>
          <w:sz w:val="24"/>
          <w:szCs w:val="24"/>
        </w:rPr>
        <w:t>不同投标人电子投标文件</w:t>
      </w:r>
      <w:r>
        <w:rPr>
          <w:rFonts w:hint="eastAsia" w:hAnsi="宋体" w:cs="宋体"/>
          <w:b/>
          <w:bCs/>
          <w:sz w:val="24"/>
          <w:szCs w:val="24"/>
          <w:lang w:val="en-US" w:eastAsia="zh-CN"/>
        </w:rPr>
        <w:t>记录的</w:t>
      </w:r>
      <w:r>
        <w:rPr>
          <w:rFonts w:hint="eastAsia" w:hAnsi="宋体" w:cs="宋体"/>
          <w:b/>
          <w:bCs/>
          <w:sz w:val="24"/>
          <w:szCs w:val="24"/>
        </w:rPr>
        <w:t>网卡MAC地址、CPU序号、硬盘序列号等</w:t>
      </w:r>
      <w:r>
        <w:rPr>
          <w:rFonts w:hint="eastAsia" w:hAnsi="宋体" w:cs="宋体"/>
          <w:b/>
          <w:bCs/>
          <w:sz w:val="24"/>
          <w:szCs w:val="24"/>
          <w:lang w:val="en-US" w:eastAsia="zh-CN"/>
        </w:rPr>
        <w:t>硬件特征码均相</w:t>
      </w:r>
      <w:r>
        <w:rPr>
          <w:rFonts w:hint="eastAsia" w:hAnsi="宋体" w:cs="宋体"/>
          <w:b/>
          <w:bCs/>
          <w:sz w:val="24"/>
          <w:szCs w:val="24"/>
        </w:rPr>
        <w:t>同时，视为‘不同投标人的投标文件由同一单位或者个人编制’或‘不同投标人委托同一单位或者个人办理投标事宜’，其投标无效”</w:t>
      </w:r>
      <w:r>
        <w:rPr>
          <w:rFonts w:hint="eastAsia" w:hAnsi="宋体" w:cs="宋体"/>
          <w:b/>
          <w:bCs/>
          <w:sz w:val="24"/>
          <w:szCs w:val="24"/>
          <w:lang w:eastAsia="zh-CN"/>
        </w:rPr>
        <w:t>。</w:t>
      </w:r>
      <w:r>
        <w:rPr>
          <w:rFonts w:hint="eastAsia" w:hAnsi="宋体" w:cs="宋体"/>
          <w:b/>
          <w:bCs/>
          <w:sz w:val="24"/>
          <w:szCs w:val="24"/>
        </w:rPr>
        <w:t>评标专家应严格按照要求查看“硬件特征码”相关信息并进行评审</w:t>
      </w:r>
      <w:r>
        <w:rPr>
          <w:rFonts w:hint="eastAsia" w:hAnsi="宋体" w:cs="宋体"/>
          <w:b/>
          <w:bCs/>
          <w:sz w:val="24"/>
          <w:szCs w:val="24"/>
          <w:lang w:eastAsia="zh-CN"/>
        </w:rPr>
        <w:t>，</w:t>
      </w:r>
      <w:r>
        <w:rPr>
          <w:rFonts w:hint="eastAsia" w:hAnsi="宋体" w:cs="宋体"/>
          <w:b/>
          <w:bCs/>
          <w:sz w:val="24"/>
          <w:szCs w:val="24"/>
          <w:lang w:val="en-US" w:eastAsia="zh-CN"/>
        </w:rPr>
        <w:t>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w:t>
            </w:r>
            <w:r>
              <w:rPr>
                <w:rFonts w:hint="eastAsia" w:ascii="新宋体" w:hAnsi="新宋体" w:eastAsia="新宋体" w:cs="新宋体"/>
                <w:b/>
                <w:color w:val="auto"/>
                <w:sz w:val="21"/>
                <w:szCs w:val="21"/>
                <w:lang w:eastAsia="zh-CN"/>
              </w:rPr>
              <w:t>（</w:t>
            </w:r>
            <w:r>
              <w:rPr>
                <w:rFonts w:hint="eastAsia" w:ascii="新宋体" w:hAnsi="新宋体" w:eastAsia="新宋体" w:cs="新宋体"/>
                <w:b/>
                <w:color w:val="auto"/>
                <w:sz w:val="21"/>
                <w:szCs w:val="21"/>
                <w:lang w:val="en-US" w:eastAsia="zh-CN"/>
              </w:rPr>
              <w:t>含单价措施项目</w:t>
            </w:r>
            <w:r>
              <w:rPr>
                <w:rFonts w:hint="eastAsia" w:ascii="新宋体" w:hAnsi="新宋体" w:eastAsia="新宋体" w:cs="新宋体"/>
                <w:b/>
                <w:color w:val="auto"/>
                <w:sz w:val="21"/>
                <w:szCs w:val="21"/>
                <w:lang w:eastAsia="zh-CN"/>
              </w:rPr>
              <w:t>）</w:t>
            </w:r>
            <w:r>
              <w:rPr>
                <w:rFonts w:hint="eastAsia" w:ascii="新宋体" w:hAnsi="新宋体" w:eastAsia="新宋体" w:cs="新宋体"/>
                <w:b/>
                <w:color w:val="auto"/>
                <w:sz w:val="21"/>
                <w:szCs w:val="21"/>
              </w:rPr>
              <w:t>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w:t>
            </w:r>
            <w:r>
              <w:rPr>
                <w:rFonts w:hint="eastAsia" w:ascii="新宋体" w:hAnsi="新宋体" w:eastAsia="新宋体" w:cs="新宋体"/>
                <w:b/>
                <w:sz w:val="21"/>
                <w:szCs w:val="21"/>
                <w:lang w:val="en-US" w:eastAsia="zh-CN"/>
              </w:rPr>
              <w:t>施工</w:t>
            </w:r>
            <w:r>
              <w:rPr>
                <w:rFonts w:hint="eastAsia" w:ascii="新宋体" w:hAnsi="新宋体" w:eastAsia="新宋体" w:cs="新宋体"/>
                <w:b/>
                <w:sz w:val="21"/>
                <w:szCs w:val="21"/>
              </w:rPr>
              <w:t>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color w:val="auto"/>
                <w:sz w:val="21"/>
                <w:szCs w:val="21"/>
                <w:lang w:val="en-US" w:eastAsia="zh-CN"/>
              </w:rPr>
            </w:pPr>
            <w:r>
              <w:rPr>
                <w:rFonts w:hint="eastAsia" w:ascii="新宋体" w:hAnsi="新宋体" w:eastAsia="新宋体" w:cs="新宋体"/>
                <w:b/>
                <w:color w:val="auto"/>
                <w:sz w:val="21"/>
                <w:szCs w:val="21"/>
                <w:lang w:val="en-US" w:eastAsia="zh-CN"/>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rPr>
            </w:pPr>
            <w:r>
              <w:rPr>
                <w:rFonts w:hint="eastAsia" w:ascii="新宋体" w:hAnsi="新宋体" w:eastAsia="新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w:t>
            </w:r>
            <w:r>
              <w:rPr>
                <w:rFonts w:hint="eastAsia" w:ascii="新宋体" w:hAnsi="新宋体" w:eastAsia="新宋体" w:cs="新宋体"/>
                <w:b/>
                <w:sz w:val="21"/>
                <w:szCs w:val="21"/>
                <w:lang w:val="en-US" w:eastAsia="zh-CN"/>
              </w:rPr>
              <w:t>工程</w:t>
            </w:r>
            <w:r>
              <w:rPr>
                <w:rFonts w:hint="eastAsia" w:ascii="新宋体" w:hAnsi="新宋体" w:eastAsia="新宋体" w:cs="新宋体"/>
                <w:b/>
                <w:sz w:val="21"/>
                <w:szCs w:val="21"/>
              </w:rPr>
              <w:t>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hint="eastAsia" w:ascii="新宋体" w:hAnsi="新宋体" w:eastAsia="新宋体" w:cs="宋体"/>
          <w:bCs/>
          <w:sz w:val="24"/>
          <w:lang w:val="en-US" w:eastAsia="zh-CN"/>
        </w:rPr>
      </w:pPr>
      <w:r>
        <w:rPr>
          <w:rFonts w:hint="eastAsia" w:ascii="新宋体" w:hAnsi="新宋体" w:eastAsia="新宋体" w:cs="宋体"/>
          <w:bCs/>
          <w:sz w:val="24"/>
        </w:rPr>
        <w:t>评标委员会按招标文件</w:t>
      </w:r>
      <w:r>
        <w:rPr>
          <w:rFonts w:hint="eastAsia" w:ascii="新宋体" w:hAnsi="新宋体" w:eastAsia="新宋体" w:cs="宋体"/>
          <w:bCs/>
          <w:sz w:val="24"/>
          <w:lang w:val="en-US" w:eastAsia="zh-CN"/>
        </w:rPr>
        <w:t>及商务标清标内容要求</w:t>
      </w:r>
      <w:r>
        <w:rPr>
          <w:rFonts w:hint="eastAsia" w:ascii="新宋体" w:hAnsi="新宋体" w:eastAsia="新宋体" w:cs="宋体"/>
          <w:bCs/>
          <w:sz w:val="24"/>
        </w:rPr>
        <w:t>对投标文件</w:t>
      </w:r>
      <w:r>
        <w:rPr>
          <w:rFonts w:hint="eastAsia" w:ascii="新宋体" w:hAnsi="新宋体" w:eastAsia="新宋体" w:cs="宋体"/>
          <w:bCs/>
          <w:sz w:val="24"/>
          <w:lang w:val="en-US" w:eastAsia="zh-CN"/>
        </w:rPr>
        <w:t>的</w:t>
      </w:r>
      <w:r>
        <w:rPr>
          <w:rFonts w:hint="eastAsia" w:ascii="新宋体" w:hAnsi="新宋体" w:eastAsia="新宋体" w:cs="宋体"/>
          <w:bCs/>
          <w:sz w:val="24"/>
        </w:rPr>
        <w:t>符合性、响应性</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资格备件</w:t>
      </w:r>
      <w:r>
        <w:rPr>
          <w:rFonts w:hint="eastAsia" w:ascii="新宋体" w:hAnsi="新宋体" w:eastAsia="新宋体" w:cs="宋体"/>
          <w:bCs/>
          <w:sz w:val="24"/>
        </w:rPr>
        <w:t>和重大偏差</w:t>
      </w:r>
      <w:r>
        <w:rPr>
          <w:rFonts w:hint="eastAsia" w:ascii="新宋体" w:hAnsi="新宋体" w:eastAsia="新宋体" w:cs="宋体"/>
          <w:bCs/>
          <w:sz w:val="24"/>
          <w:lang w:val="en-US" w:eastAsia="zh-CN"/>
        </w:rPr>
        <w:t>等</w:t>
      </w:r>
      <w:r>
        <w:rPr>
          <w:rFonts w:hint="eastAsia" w:ascii="新宋体" w:hAnsi="新宋体" w:eastAsia="新宋体" w:cs="宋体"/>
          <w:bCs/>
          <w:sz w:val="24"/>
        </w:rPr>
        <w:t>逐一</w:t>
      </w:r>
      <w:r>
        <w:rPr>
          <w:rFonts w:hint="eastAsia" w:ascii="新宋体" w:hAnsi="新宋体" w:eastAsia="新宋体" w:cs="宋体"/>
          <w:bCs/>
          <w:sz w:val="24"/>
          <w:lang w:val="en-US" w:eastAsia="zh-CN"/>
        </w:rPr>
        <w:t>进行</w:t>
      </w:r>
      <w:r>
        <w:rPr>
          <w:rFonts w:hint="eastAsia" w:ascii="新宋体" w:hAnsi="新宋体" w:eastAsia="新宋体" w:cs="宋体"/>
          <w:bCs/>
          <w:sz w:val="24"/>
        </w:rPr>
        <w:t>评审，经审查不符合招标文件要求的，不再进入详细评审阶段</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sz w:val="24"/>
        </w:rPr>
        <w:t>评标委员会根据招标文件要求应从技术标、商务标、综合（信用）标三部分进行综合评审。</w:t>
      </w:r>
      <w:r>
        <w:rPr>
          <w:rFonts w:hint="eastAsia" w:ascii="新宋体" w:hAnsi="新宋体" w:eastAsia="新宋体" w:cs="宋体"/>
          <w:bCs/>
          <w:color w:val="auto"/>
          <w:sz w:val="24"/>
        </w:rPr>
        <w:t>技术标的权重占2</w:t>
      </w:r>
      <w:r>
        <w:rPr>
          <w:rFonts w:hint="eastAsia" w:ascii="新宋体" w:hAnsi="新宋体" w:eastAsia="新宋体" w:cs="宋体"/>
          <w:bCs/>
          <w:color w:val="auto"/>
          <w:sz w:val="24"/>
          <w:lang w:val="en-US" w:eastAsia="zh-CN"/>
        </w:rPr>
        <w:t>5</w:t>
      </w:r>
      <w:r>
        <w:rPr>
          <w:rFonts w:hint="eastAsia" w:ascii="新宋体" w:hAnsi="新宋体" w:eastAsia="新宋体" w:cs="宋体"/>
          <w:bCs/>
          <w:color w:val="auto"/>
          <w:sz w:val="24"/>
        </w:rPr>
        <w:t>%，商务标的权重占</w:t>
      </w:r>
      <w:r>
        <w:rPr>
          <w:rFonts w:hint="eastAsia" w:ascii="新宋体" w:hAnsi="新宋体" w:eastAsia="新宋体" w:cs="宋体"/>
          <w:bCs/>
          <w:color w:val="auto"/>
          <w:sz w:val="24"/>
          <w:lang w:val="en-US" w:eastAsia="zh-CN"/>
        </w:rPr>
        <w:t>5</w:t>
      </w:r>
      <w:r>
        <w:rPr>
          <w:rFonts w:hint="eastAsia" w:ascii="新宋体" w:hAnsi="新宋体" w:eastAsia="新宋体" w:cs="宋体"/>
          <w:bCs/>
          <w:color w:val="auto"/>
          <w:sz w:val="24"/>
        </w:rPr>
        <w:t>0%，综合（信用）标的权重占</w:t>
      </w:r>
      <w:r>
        <w:rPr>
          <w:rFonts w:hint="eastAsia" w:ascii="新宋体" w:hAnsi="新宋体" w:eastAsia="新宋体" w:cs="宋体"/>
          <w:bCs/>
          <w:color w:val="auto"/>
          <w:sz w:val="24"/>
          <w:lang w:val="en-US" w:eastAsia="zh-CN"/>
        </w:rPr>
        <w:t>25</w:t>
      </w:r>
      <w:r>
        <w:rPr>
          <w:rFonts w:hint="eastAsia" w:ascii="新宋体" w:hAnsi="新宋体" w:eastAsia="新宋体" w:cs="宋体"/>
          <w:bCs/>
          <w:color w:val="auto"/>
          <w:sz w:val="24"/>
        </w:rPr>
        <w:t>%。</w:t>
      </w:r>
    </w:p>
    <w:p>
      <w:pPr>
        <w:snapToGrid w:val="0"/>
        <w:spacing w:line="360" w:lineRule="auto"/>
        <w:rPr>
          <w:rFonts w:hAnsi="宋体" w:cs="宋体"/>
          <w:b/>
          <w:color w:val="auto"/>
          <w:sz w:val="24"/>
        </w:rPr>
      </w:pPr>
      <w:r>
        <w:rPr>
          <w:rFonts w:hint="eastAsia" w:hAnsi="宋体" w:cs="宋体"/>
          <w:b/>
          <w:color w:val="auto"/>
          <w:sz w:val="24"/>
        </w:rPr>
        <w:t>（</w:t>
      </w:r>
      <w:r>
        <w:rPr>
          <w:rFonts w:hint="eastAsia" w:hAnsi="宋体" w:cs="宋体"/>
          <w:b/>
          <w:color w:val="auto"/>
          <w:sz w:val="24"/>
          <w:lang w:val="en-US" w:eastAsia="zh-CN"/>
        </w:rPr>
        <w:t>一</w:t>
      </w:r>
      <w:r>
        <w:rPr>
          <w:rFonts w:hint="eastAsia" w:hAnsi="宋体" w:cs="宋体"/>
          <w:b/>
          <w:color w:val="auto"/>
          <w:sz w:val="24"/>
        </w:rPr>
        <w:t>）技术标（2</w:t>
      </w:r>
      <w:r>
        <w:rPr>
          <w:rFonts w:hint="eastAsia" w:hAnsi="宋体" w:cs="宋体"/>
          <w:b/>
          <w:color w:val="auto"/>
          <w:sz w:val="24"/>
          <w:lang w:val="en-US" w:eastAsia="zh-CN"/>
        </w:rPr>
        <w:t>5</w:t>
      </w:r>
      <w:r>
        <w:rPr>
          <w:rFonts w:hint="eastAsia" w:hAnsi="宋体" w:cs="宋体"/>
          <w:b/>
          <w:color w:val="auto"/>
          <w:sz w:val="24"/>
        </w:rPr>
        <w:t>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序号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内容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分值</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评审标准</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内容完整性</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0-0.5分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技术标的主要内容具有完整性，符合招标文件的要求。</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hint="eastAsia" w:ascii="新宋体" w:hAnsi="新宋体" w:eastAsia="新宋体"/>
                <w:color w:val="auto"/>
                <w:sz w:val="18"/>
                <w:szCs w:val="13"/>
                <w:lang w:val="en-US" w:eastAsia="zh-CN"/>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技术标不符合招标文件要求。</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主要施工方案与技术措施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施工方案（含工程特点、施工重点与难点及绿色施工）总体安排合理，运用先进、合理的施工工艺、施工机械；对施工难点有先进和合理的建议。</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施工方案（含工程特点、施工重点与难点及绿色施工）总体安排合理，施工工艺、施工机械合理、可行；对施工难点有合理的建议。</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质量管理体系与措施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组织机构形式基本合理，指挥系统、质量监控系统、联络协调系统，具体措施可行。主体结构质量保证措施经济、安全、基本可行。主体结构、装饰装修符合工程建设强制性标准，不得偷工减料。</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4</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安全管理体系与措施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5</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文明施工、环境保护管理体系及施工现场扬尘治理措施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6</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工期保证措施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工期承诺满足招标文件要求，工期保证措施合理且有针对性，有具体的违约责任承诺。</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工期承诺满足招标文件要求，工期保证措施基本合理，有具体的违约责任承诺。</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7</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拟投入资源配备计划</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0.5-2分</w:t>
            </w:r>
          </w:p>
        </w:tc>
        <w:tc>
          <w:tcPr>
            <w:tcW w:w="5091"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机械：投入计划与进度计划呼应，采用先进机械设备且配置合理、先进，满足安全技术规范和施工进度需要；PC构件运输、安装设备满足施工要求；</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劳动力：投入计划与进度计划呼应，较好满足施工需要，调配投入计划合理、准确；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3、主要物资计划：主要物资（含PC构件的供应需求）投入计划与进度计划呼应，较好满足施工需要，调配投入计划合理、准确。</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20" w:lineRule="exact"/>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机械：投入计划与进度计划呼应，机械设备配置基本合理，满足安全技术规范和施工进度需要；</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劳动力：投入计划与进度计划呼应，基本满足施工需要，调配投入计划基本合理；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3、主要物资计划：主要物资（含PC构件的供应需求）投入计划与进度计划呼应，基本满足施工需要，调配投入计划基本合理。</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8</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施工进度表与网络计划图</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关键线路清晰、准确、完整、计划编制合理、可行、满足招标文件对工期的要求。</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关键线路基本准确，计划编制基本可行。</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9</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施工总平面图布置</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0.5-1分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总体布置有针对性、合理、能较好满足施工需要，符合安全、文明施工要求；材料堆放有序。</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总体布置基本合理、基本满足施工需要。</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10</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技术创新的应用实施措施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节能减排、绿色施工、工艺创新、装配式建筑等技术创新的应用实施措施符合工程情况，具有针对性、可行性、经济适用性。</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节能减排、绿色施工、工艺创新、装配式建筑等技术创新的应用实施措施基本符合工程情况，具有针对性。</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采用新工艺、新技术、新设备、新材料、BIM等的程度</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采用新工艺、新技术、新设备、新材料、BIM等的程度满足设计要求，符合施工需要和相应技术标准等规定，经济适用。</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采用新工艺、新技术、新设备、新材料、BIM等的程度满足设计要求，基本符合施工要求和相应技术标准等规定。</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施工现场实施信息化监控和数据处理</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0.5-1.5分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施工现场实施信息化监控数据处理系统布置合理，满足需要。</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rPr>
            </w:pPr>
            <w:r>
              <w:rPr>
                <w:rFonts w:hint="eastAsia" w:ascii="新宋体" w:hAnsi="新宋体" w:eastAsia="新宋体"/>
                <w:color w:val="auto"/>
                <w:sz w:val="18"/>
                <w:szCs w:val="13"/>
                <w:lang w:val="en-US" w:eastAsia="zh-CN"/>
              </w:rPr>
              <w:t>施工现场实施信息化监控数据处理系统布置基本符合需要。</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风险管理措施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风险防控管理措施齐全，风险预控符合规范要求，风险控制要点定位准确 ，各阶段风险控制及应急措施得力。</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color w:val="auto"/>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color w:val="auto"/>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color w:val="auto"/>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color w:val="auto"/>
                <w:sz w:val="18"/>
                <w:szCs w:val="13"/>
              </w:rPr>
            </w:pPr>
            <w:r>
              <w:rPr>
                <w:rFonts w:hint="eastAsia" w:ascii="新宋体" w:hAnsi="新宋体" w:eastAsia="新宋体"/>
                <w:color w:val="auto"/>
                <w:sz w:val="18"/>
                <w:szCs w:val="13"/>
                <w:lang w:val="en-US" w:eastAsia="zh-CN"/>
              </w:rPr>
              <w:t>风险防控管理措施基本齐全，风险预控符合规范要求，风险控制要点定位基本准确 ，有各阶段风险控制及应急措施。</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color w:val="auto"/>
                <w:sz w:val="18"/>
                <w:szCs w:val="13"/>
                <w:lang w:val="en-US" w:eastAsia="zh-CN"/>
              </w:rPr>
            </w:pPr>
            <w:r>
              <w:rPr>
                <w:rFonts w:hint="eastAsia" w:ascii="新宋体" w:hAnsi="新宋体" w:eastAsia="新宋体"/>
                <w:color w:val="auto"/>
                <w:sz w:val="18"/>
                <w:szCs w:val="13"/>
                <w:lang w:val="en-US" w:eastAsia="zh-CN"/>
              </w:rPr>
              <w:t>1-1.5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w:t>
      </w:r>
      <w:r>
        <w:rPr>
          <w:rFonts w:hint="eastAsia" w:hAnsi="宋体" w:cs="宋体"/>
          <w:b/>
          <w:bCs/>
          <w:color w:val="auto"/>
          <w:sz w:val="24"/>
          <w:szCs w:val="24"/>
          <w:lang w:val="en-US" w:eastAsia="zh-CN"/>
        </w:rPr>
        <w:t>二</w:t>
      </w:r>
      <w:r>
        <w:rPr>
          <w:rFonts w:hint="eastAsia" w:hAnsi="宋体" w:cs="宋体"/>
          <w:b/>
          <w:bCs/>
          <w:color w:val="auto"/>
          <w:sz w:val="24"/>
          <w:szCs w:val="24"/>
        </w:rPr>
        <w:t>）商务标（</w:t>
      </w:r>
      <w:r>
        <w:rPr>
          <w:rFonts w:hint="eastAsia" w:hAnsi="宋体" w:cs="宋体"/>
          <w:b/>
          <w:bCs/>
          <w:color w:val="auto"/>
          <w:sz w:val="24"/>
          <w:szCs w:val="24"/>
          <w:lang w:val="en-US" w:eastAsia="zh-CN"/>
        </w:rPr>
        <w:t>5</w:t>
      </w:r>
      <w:r>
        <w:rPr>
          <w:rFonts w:hint="eastAsia" w:hAnsi="宋体" w:cs="宋体"/>
          <w:b/>
          <w:bCs/>
          <w:color w:val="auto"/>
          <w:sz w:val="24"/>
          <w:szCs w:val="24"/>
        </w:rPr>
        <w:t>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    ②K为招标控制价权重系</w:t>
      </w:r>
      <w:r>
        <w:rPr>
          <w:rFonts w:hint="eastAsia" w:ascii="新宋体" w:hAnsi="新宋体" w:eastAsia="新宋体"/>
          <w:color w:val="auto"/>
          <w:sz w:val="24"/>
        </w:rPr>
        <w:t>数，0.</w:t>
      </w:r>
      <w:r>
        <w:rPr>
          <w:rFonts w:hint="eastAsia" w:ascii="新宋体" w:hAnsi="新宋体" w:eastAsia="新宋体"/>
          <w:color w:val="auto"/>
          <w:sz w:val="24"/>
          <w:lang w:val="en-US" w:eastAsia="zh-CN"/>
        </w:rPr>
        <w:t>3</w:t>
      </w:r>
      <w:r>
        <w:rPr>
          <w:rFonts w:hint="eastAsia" w:ascii="新宋体" w:hAnsi="新宋体" w:eastAsia="新宋体"/>
          <w:color w:val="auto"/>
          <w:sz w:val="24"/>
        </w:rPr>
        <w:t>≤K≤0.5（K的取值：0.3、</w:t>
      </w:r>
      <w:r>
        <w:rPr>
          <w:rFonts w:hint="eastAsia" w:ascii="新宋体" w:hAnsi="新宋体" w:eastAsia="新宋体"/>
          <w:color w:val="auto"/>
          <w:sz w:val="24"/>
          <w:lang w:val="en-US" w:eastAsia="zh-CN"/>
        </w:rPr>
        <w:t>0.35、</w:t>
      </w:r>
      <w:r>
        <w:rPr>
          <w:rFonts w:hint="eastAsia" w:ascii="新宋体" w:hAnsi="新宋体" w:eastAsia="新宋体"/>
          <w:color w:val="auto"/>
          <w:sz w:val="24"/>
        </w:rPr>
        <w:t>0.4、</w:t>
      </w:r>
      <w:r>
        <w:rPr>
          <w:rFonts w:hint="eastAsia" w:ascii="新宋体" w:hAnsi="新宋体" w:eastAsia="新宋体"/>
          <w:color w:val="auto"/>
          <w:sz w:val="24"/>
          <w:lang w:val="en-US" w:eastAsia="zh-CN"/>
        </w:rPr>
        <w:t>0.45、</w:t>
      </w:r>
      <w:r>
        <w:rPr>
          <w:rFonts w:hint="eastAsia" w:ascii="新宋体" w:hAnsi="新宋体" w:eastAsia="新宋体"/>
          <w:color w:val="auto"/>
          <w:sz w:val="24"/>
        </w:rPr>
        <w:t>0.5），</w:t>
      </w:r>
      <w:r>
        <w:rPr>
          <w:rFonts w:hint="eastAsia" w:ascii="新宋体" w:hAnsi="新宋体" w:eastAsia="新宋体"/>
          <w:sz w:val="24"/>
        </w:rPr>
        <w:t>在开标现场随机抽取。</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s="宋体"/>
          <w:b/>
          <w:bCs/>
          <w:sz w:val="24"/>
          <w:szCs w:val="24"/>
        </w:rPr>
      </w:pPr>
      <w:r>
        <w:rPr>
          <w:rFonts w:hint="eastAsia" w:ascii="新宋体" w:hAnsi="新宋体" w:eastAsia="新宋体"/>
          <w:sz w:val="24"/>
          <w:szCs w:val="22"/>
          <w:lang w:val="en-US" w:eastAsia="zh-CN"/>
        </w:rPr>
        <w:fldChar w:fldCharType="begin"/>
      </w:r>
      <w:r>
        <w:rPr>
          <w:rFonts w:hint="eastAsia" w:ascii="新宋体" w:hAnsi="新宋体" w:eastAsia="新宋体"/>
          <w:sz w:val="24"/>
          <w:szCs w:val="22"/>
          <w:lang w:val="en-US" w:eastAsia="zh-CN"/>
        </w:rPr>
        <w:instrText xml:space="preserve"> = 3 \* GB3 \* MERGEFORMAT </w:instrText>
      </w:r>
      <w:r>
        <w:rPr>
          <w:rFonts w:hint="eastAsia" w:ascii="新宋体" w:hAnsi="新宋体" w:eastAsia="新宋体"/>
          <w:sz w:val="24"/>
          <w:szCs w:val="22"/>
          <w:lang w:val="en-US" w:eastAsia="zh-CN"/>
        </w:rPr>
        <w:fldChar w:fldCharType="separate"/>
      </w:r>
      <w:r>
        <w:rPr>
          <w:rFonts w:hint="eastAsia" w:ascii="新宋体" w:hAnsi="新宋体" w:eastAsia="新宋体"/>
          <w:sz w:val="24"/>
          <w:szCs w:val="22"/>
        </w:rPr>
        <w:t>③</w:t>
      </w:r>
      <w:r>
        <w:rPr>
          <w:rFonts w:hint="eastAsia" w:ascii="新宋体" w:hAnsi="新宋体" w:eastAsia="新宋体"/>
          <w:sz w:val="24"/>
          <w:szCs w:val="22"/>
          <w:lang w:val="en-US" w:eastAsia="zh-CN"/>
        </w:rPr>
        <w:fldChar w:fldCharType="end"/>
      </w:r>
      <w:r>
        <w:rPr>
          <w:rFonts w:hint="eastAsia" w:ascii="新宋体" w:hAnsi="新宋体" w:eastAsia="新宋体"/>
          <w:sz w:val="24"/>
          <w:szCs w:val="22"/>
          <w:lang w:val="en-US" w:eastAsia="zh-CN"/>
        </w:rPr>
        <w:t>上述招标控制价、投标报价、有效投标报价在参与评标基准价计算时，均不含：规费、安全文明施工措施费、</w:t>
      </w:r>
      <w:r>
        <w:rPr>
          <w:rFonts w:hint="eastAsia" w:ascii="新宋体" w:hAnsi="新宋体" w:eastAsia="新宋体"/>
          <w:color w:val="auto"/>
          <w:sz w:val="24"/>
          <w:szCs w:val="22"/>
          <w:lang w:val="en-US" w:eastAsia="zh-CN"/>
        </w:rPr>
        <w:t>暂列金额与专业暂估价、增值税。</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lang w:val="en-US" w:eastAsia="zh-CN"/>
        </w:rPr>
        <w:t>当</w:t>
      </w:r>
      <w:r>
        <w:rPr>
          <w:rFonts w:hint="eastAsia" w:hAnsi="宋体" w:cs="宋体"/>
          <w:sz w:val="24"/>
          <w:szCs w:val="24"/>
        </w:rPr>
        <w:t>投标报价与评标基准价相等</w:t>
      </w:r>
      <w:r>
        <w:rPr>
          <w:rFonts w:hint="eastAsia" w:hAnsi="宋体" w:cs="宋体"/>
          <w:sz w:val="24"/>
          <w:szCs w:val="24"/>
          <w:lang w:val="en-US" w:eastAsia="zh-CN"/>
        </w:rPr>
        <w:t>时，</w:t>
      </w:r>
      <w:r>
        <w:rPr>
          <w:rFonts w:hint="eastAsia" w:hAnsi="宋体" w:cs="宋体"/>
          <w:sz w:val="24"/>
          <w:szCs w:val="24"/>
        </w:rPr>
        <w:t>得基本分20分。当投标报价低于评标基准价时，每低1%</w:t>
      </w:r>
      <w:r>
        <w:rPr>
          <w:rFonts w:hint="eastAsia" w:hAnsi="宋体" w:cs="宋体"/>
          <w:sz w:val="24"/>
          <w:szCs w:val="24"/>
          <w:lang w:val="en-US" w:eastAsia="zh-CN"/>
        </w:rPr>
        <w:t>范围内</w:t>
      </w:r>
      <w:r>
        <w:rPr>
          <w:rFonts w:hint="eastAsia" w:hAnsi="宋体" w:cs="宋体"/>
          <w:sz w:val="24"/>
          <w:szCs w:val="24"/>
        </w:rPr>
        <w:t>在基本分20分的基础上加2分，最多加10分；当投标报价低于评标基准价5%以上（不含5%）时，每再低1%</w:t>
      </w:r>
      <w:r>
        <w:rPr>
          <w:rFonts w:hint="eastAsia" w:hAnsi="宋体" w:cs="宋体"/>
          <w:sz w:val="24"/>
          <w:szCs w:val="24"/>
          <w:lang w:val="en-US" w:eastAsia="zh-CN"/>
        </w:rPr>
        <w:t>范围内</w:t>
      </w:r>
      <w:r>
        <w:rPr>
          <w:rFonts w:hint="eastAsia" w:hAnsi="宋体" w:cs="宋体"/>
          <w:sz w:val="24"/>
          <w:szCs w:val="24"/>
        </w:rPr>
        <w:t>在满分30分的基础上扣3分，扣完为止；当投标报价高于评标基准价时，每高1%</w:t>
      </w:r>
      <w:r>
        <w:rPr>
          <w:rFonts w:hint="eastAsia" w:hAnsi="宋体" w:cs="宋体"/>
          <w:sz w:val="24"/>
          <w:szCs w:val="24"/>
          <w:lang w:val="en-US" w:eastAsia="zh-CN"/>
        </w:rPr>
        <w:t>范围内</w:t>
      </w:r>
      <w:r>
        <w:rPr>
          <w:rFonts w:hint="eastAsia" w:hAnsi="宋体" w:cs="宋体"/>
          <w:sz w:val="24"/>
          <w:szCs w:val="24"/>
        </w:rPr>
        <w:t xml:space="preserve">在基本分20分的基础上扣2分，扣完为止。 </w:t>
      </w:r>
    </w:p>
    <w:p>
      <w:pPr>
        <w:numPr>
          <w:ilvl w:val="0"/>
          <w:numId w:val="7"/>
        </w:numPr>
        <w:snapToGrid w:val="0"/>
        <w:spacing w:line="360" w:lineRule="auto"/>
        <w:ind w:firstLine="481"/>
        <w:rPr>
          <w:rFonts w:hAnsi="宋体" w:cs="宋体"/>
          <w:b/>
          <w:bCs/>
          <w:sz w:val="24"/>
          <w:szCs w:val="24"/>
        </w:rPr>
      </w:pPr>
      <w:r>
        <w:rPr>
          <w:rFonts w:hint="eastAsia" w:hAnsi="宋体" w:cs="宋体"/>
          <w:b/>
          <w:bCs/>
          <w:sz w:val="24"/>
          <w:szCs w:val="24"/>
        </w:rPr>
        <w:t>分部分项工程项目</w:t>
      </w:r>
      <w:r>
        <w:rPr>
          <w:rFonts w:hint="eastAsia" w:hAnsi="宋体" w:cs="宋体"/>
          <w:b/>
          <w:bCs/>
          <w:sz w:val="24"/>
          <w:szCs w:val="24"/>
          <w:lang w:val="en-US" w:eastAsia="zh-CN"/>
        </w:rPr>
        <w:t>清单</w:t>
      </w:r>
      <w:r>
        <w:rPr>
          <w:rFonts w:hint="eastAsia" w:hAnsi="宋体" w:cs="宋体"/>
          <w:b/>
          <w:bCs/>
          <w:sz w:val="24"/>
          <w:szCs w:val="24"/>
        </w:rPr>
        <w:t>单价（1</w:t>
      </w:r>
      <w:r>
        <w:rPr>
          <w:rFonts w:hint="eastAsia" w:hAnsi="宋体" w:cs="宋体"/>
          <w:b/>
          <w:bCs/>
          <w:sz w:val="24"/>
          <w:szCs w:val="24"/>
          <w:lang w:val="en-US" w:eastAsia="zh-CN"/>
        </w:rPr>
        <w:t>0</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sz w:val="24"/>
          <w:szCs w:val="24"/>
          <w:lang w:val="en-US" w:eastAsia="zh-CN"/>
        </w:rPr>
        <w:t>综合单价基准值是</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清单项目综合</w:t>
      </w:r>
      <w:r>
        <w:rPr>
          <w:rFonts w:hint="eastAsia" w:hAnsi="宋体" w:cs="宋体"/>
          <w:color w:val="auto"/>
          <w:sz w:val="24"/>
          <w:szCs w:val="24"/>
        </w:rPr>
        <w:t>单价的算术平均值。</w:t>
      </w:r>
      <w:r>
        <w:rPr>
          <w:rFonts w:hint="eastAsia" w:hAnsi="宋体" w:cs="宋体"/>
          <w:color w:val="auto"/>
          <w:sz w:val="24"/>
          <w:szCs w:val="24"/>
          <w:lang w:val="en-US" w:eastAsia="zh-CN"/>
        </w:rPr>
        <w:t>投标人报价</w:t>
      </w:r>
      <w:r>
        <w:rPr>
          <w:rFonts w:hint="eastAsia" w:hAnsi="宋体" w:cs="宋体"/>
          <w:color w:val="auto"/>
          <w:sz w:val="24"/>
          <w:szCs w:val="24"/>
        </w:rPr>
        <w:t>在综合单价基准值95%—103%范围内（不含95%和103%）</w:t>
      </w:r>
      <w:r>
        <w:rPr>
          <w:rFonts w:hint="eastAsia" w:hAnsi="宋体" w:cs="宋体"/>
          <w:color w:val="auto"/>
          <w:sz w:val="24"/>
          <w:szCs w:val="24"/>
          <w:lang w:val="en-US" w:eastAsia="zh-CN"/>
        </w:rPr>
        <w:t>的，</w:t>
      </w:r>
      <w:r>
        <w:rPr>
          <w:rFonts w:hint="eastAsia" w:hAnsi="宋体" w:cs="宋体"/>
          <w:color w:val="auto"/>
          <w:sz w:val="24"/>
          <w:szCs w:val="24"/>
        </w:rPr>
        <w:t>每项得</w:t>
      </w:r>
      <w:r>
        <w:rPr>
          <w:rFonts w:hint="eastAsia" w:hAnsi="宋体" w:cs="宋体"/>
          <w:color w:val="auto"/>
          <w:sz w:val="24"/>
          <w:szCs w:val="24"/>
          <w:lang w:val="en-US" w:eastAsia="zh-CN"/>
        </w:rPr>
        <w:t>0.5</w:t>
      </w:r>
      <w:r>
        <w:rPr>
          <w:rFonts w:hint="eastAsia" w:hAnsi="宋体" w:cs="宋体"/>
          <w:color w:val="auto"/>
          <w:sz w:val="24"/>
          <w:szCs w:val="24"/>
        </w:rPr>
        <w:t>分，在</w:t>
      </w:r>
      <w:r>
        <w:rPr>
          <w:rFonts w:hint="eastAsia" w:hAnsi="宋体" w:cs="宋体"/>
          <w:color w:val="auto"/>
          <w:sz w:val="24"/>
          <w:szCs w:val="24"/>
          <w:lang w:val="en-US" w:eastAsia="zh-CN"/>
        </w:rPr>
        <w:t>综合单价</w:t>
      </w:r>
      <w:r>
        <w:rPr>
          <w:rFonts w:hint="eastAsia" w:hAnsi="宋体" w:cs="宋体"/>
          <w:color w:val="auto"/>
          <w:sz w:val="24"/>
          <w:szCs w:val="24"/>
        </w:rPr>
        <w:t>基准值90%—95%范围内（含90%和95%）每项得0.</w:t>
      </w:r>
      <w:r>
        <w:rPr>
          <w:rFonts w:hint="eastAsia" w:hAnsi="宋体" w:cs="宋体"/>
          <w:color w:val="auto"/>
          <w:sz w:val="24"/>
          <w:szCs w:val="24"/>
          <w:lang w:val="en-US" w:eastAsia="zh-CN"/>
        </w:rPr>
        <w:t>25</w:t>
      </w:r>
      <w:r>
        <w:rPr>
          <w:rFonts w:hint="eastAsia" w:hAnsi="宋体" w:cs="宋体"/>
          <w:color w:val="auto"/>
          <w:sz w:val="24"/>
          <w:szCs w:val="24"/>
        </w:rPr>
        <w:t>分，满分共计1</w:t>
      </w:r>
      <w:r>
        <w:rPr>
          <w:rFonts w:hint="eastAsia" w:hAnsi="宋体" w:cs="宋体"/>
          <w:color w:val="auto"/>
          <w:sz w:val="24"/>
          <w:szCs w:val="24"/>
          <w:lang w:val="en-US" w:eastAsia="zh-CN"/>
        </w:rPr>
        <w:t>0</w:t>
      </w:r>
      <w:r>
        <w:rPr>
          <w:rFonts w:hint="eastAsia" w:hAnsi="宋体" w:cs="宋体"/>
          <w:color w:val="auto"/>
          <w:sz w:val="24"/>
          <w:szCs w:val="24"/>
        </w:rPr>
        <w:t>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w:t>
      </w:r>
      <w:r>
        <w:rPr>
          <w:rFonts w:hint="eastAsia" w:hAnsi="宋体" w:cs="宋体"/>
          <w:b/>
          <w:bCs/>
          <w:color w:val="auto"/>
          <w:sz w:val="24"/>
          <w:szCs w:val="24"/>
          <w:lang w:val="en-US" w:eastAsia="zh-CN"/>
        </w:rPr>
        <w:t>费（不含安全文明措施费）</w:t>
      </w:r>
      <w:r>
        <w:rPr>
          <w:rFonts w:hint="eastAsia" w:hAnsi="宋体" w:cs="宋体"/>
          <w:b/>
          <w:bCs/>
          <w:color w:val="auto"/>
          <w:sz w:val="24"/>
          <w:szCs w:val="24"/>
        </w:rPr>
        <w:t>（5分）</w:t>
      </w:r>
    </w:p>
    <w:p>
      <w:pPr>
        <w:snapToGrid w:val="0"/>
        <w:spacing w:line="360" w:lineRule="auto"/>
        <w:ind w:firstLine="484"/>
        <w:rPr>
          <w:rFonts w:hAnsi="宋体" w:cs="宋体"/>
          <w:color w:val="auto"/>
          <w:sz w:val="24"/>
          <w:szCs w:val="24"/>
        </w:rPr>
      </w:pPr>
      <w:r>
        <w:rPr>
          <w:rFonts w:hint="eastAsia" w:hAnsi="宋体" w:cs="宋体"/>
          <w:color w:val="auto"/>
          <w:sz w:val="24"/>
          <w:szCs w:val="24"/>
        </w:rPr>
        <w:t>措施项目</w:t>
      </w:r>
      <w:r>
        <w:rPr>
          <w:rFonts w:hint="eastAsia" w:hAnsi="宋体" w:cs="宋体"/>
          <w:color w:val="auto"/>
          <w:sz w:val="24"/>
          <w:szCs w:val="24"/>
          <w:lang w:val="en-US" w:eastAsia="zh-CN"/>
        </w:rPr>
        <w:t>费</w:t>
      </w:r>
      <w:r>
        <w:rPr>
          <w:rFonts w:hint="eastAsia" w:hAnsi="宋体" w:cs="宋体"/>
          <w:color w:val="auto"/>
          <w:sz w:val="24"/>
          <w:szCs w:val="24"/>
        </w:rPr>
        <w:t>基准值</w:t>
      </w:r>
      <w:r>
        <w:rPr>
          <w:rFonts w:hint="eastAsia" w:hAnsi="宋体" w:cs="宋体"/>
          <w:color w:val="auto"/>
          <w:sz w:val="24"/>
          <w:szCs w:val="24"/>
          <w:lang w:val="en-US" w:eastAsia="zh-CN"/>
        </w:rPr>
        <w:t>是在招标控制价中措施项目费用80%-110%范围之前的有效</w:t>
      </w:r>
      <w:r>
        <w:rPr>
          <w:rFonts w:hint="eastAsia" w:hAnsi="宋体" w:cs="宋体"/>
          <w:color w:val="auto"/>
          <w:sz w:val="24"/>
          <w:szCs w:val="24"/>
        </w:rPr>
        <w:t>投标人所报措施项目费算术平均值。投标所报措施费与措施项目基准值相等得基本分3分。当投标报价低于措施项目基准值时，每低1%在基本分3分的基础上加0.</w:t>
      </w:r>
      <w:r>
        <w:rPr>
          <w:rFonts w:hint="eastAsia" w:hAnsi="宋体" w:cs="宋体"/>
          <w:color w:val="auto"/>
          <w:sz w:val="24"/>
          <w:szCs w:val="24"/>
          <w:lang w:val="en-US" w:eastAsia="zh-CN"/>
        </w:rPr>
        <w:t>1</w:t>
      </w:r>
      <w:r>
        <w:rPr>
          <w:rFonts w:hint="eastAsia" w:hAnsi="宋体" w:cs="宋体"/>
          <w:color w:val="auto"/>
          <w:sz w:val="24"/>
          <w:szCs w:val="24"/>
        </w:rPr>
        <w:t>分</w:t>
      </w:r>
      <w:r>
        <w:rPr>
          <w:rFonts w:hint="eastAsia" w:hAnsi="宋体" w:cs="宋体"/>
          <w:color w:val="auto"/>
          <w:sz w:val="24"/>
          <w:szCs w:val="24"/>
          <w:lang w:eastAsia="zh-CN"/>
        </w:rPr>
        <w:t>，</w:t>
      </w:r>
      <w:r>
        <w:rPr>
          <w:rFonts w:hint="eastAsia" w:hAnsi="宋体" w:cs="宋体"/>
          <w:color w:val="auto"/>
          <w:sz w:val="24"/>
          <w:szCs w:val="24"/>
          <w:lang w:val="en-US" w:eastAsia="zh-CN"/>
        </w:rPr>
        <w:t>最多加至5分为止</w:t>
      </w:r>
      <w:r>
        <w:rPr>
          <w:rFonts w:hint="eastAsia" w:hAnsi="宋体" w:cs="宋体"/>
          <w:color w:val="auto"/>
          <w:sz w:val="24"/>
          <w:szCs w:val="24"/>
        </w:rPr>
        <w:t xml:space="preserve">；当高于措施项目基准值时，每高于1%时，在基本分3分的基础上扣0.2分，扣完为止。 </w:t>
      </w:r>
    </w:p>
    <w:p>
      <w:pPr>
        <w:numPr>
          <w:ilvl w:val="0"/>
          <w:numId w:val="8"/>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w:t>
      </w:r>
      <w:r>
        <w:rPr>
          <w:rFonts w:hint="eastAsia" w:hAnsi="宋体" w:cs="宋体"/>
          <w:b/>
          <w:bCs/>
          <w:color w:val="auto"/>
          <w:sz w:val="24"/>
          <w:szCs w:val="24"/>
          <w:lang w:val="en-US" w:eastAsia="zh-CN"/>
        </w:rPr>
        <w:t>5</w:t>
      </w:r>
      <w:r>
        <w:rPr>
          <w:rFonts w:hint="eastAsia" w:hAnsi="宋体" w:cs="宋体"/>
          <w:b/>
          <w:bCs/>
          <w:color w:val="auto"/>
          <w:sz w:val="24"/>
          <w:szCs w:val="24"/>
        </w:rPr>
        <w:t>分）</w:t>
      </w:r>
    </w:p>
    <w:p>
      <w:pPr>
        <w:snapToGrid w:val="0"/>
        <w:spacing w:line="360" w:lineRule="auto"/>
        <w:ind w:firstLine="484"/>
        <w:rPr>
          <w:rFonts w:hint="eastAsia" w:hAnsi="宋体" w:cs="宋体"/>
          <w:color w:val="auto"/>
          <w:sz w:val="24"/>
          <w:szCs w:val="24"/>
          <w:lang w:val="en-US" w:eastAsia="zh-CN"/>
        </w:rPr>
      </w:pPr>
      <w:r>
        <w:rPr>
          <w:rFonts w:hint="eastAsia" w:hAnsi="宋体" w:cs="宋体"/>
          <w:color w:val="auto"/>
          <w:sz w:val="24"/>
          <w:szCs w:val="24"/>
          <w:lang w:val="en-US" w:eastAsia="zh-CN"/>
        </w:rPr>
        <w:t>从招标控制价中材料总价权重最大的前10-20项材料中抽取6项，在剩余材料中抽取4项。</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rPr>
        <w:t>主要材料单价</w:t>
      </w:r>
      <w:r>
        <w:rPr>
          <w:rFonts w:hint="eastAsia" w:hAnsi="宋体" w:cs="宋体"/>
          <w:color w:val="auto"/>
          <w:sz w:val="24"/>
          <w:szCs w:val="24"/>
          <w:lang w:val="en-US" w:eastAsia="zh-CN"/>
        </w:rPr>
        <w:t>基准值</w:t>
      </w:r>
      <w:r>
        <w:rPr>
          <w:rFonts w:hint="eastAsia" w:hAnsi="宋体" w:cs="宋体"/>
          <w:color w:val="auto"/>
          <w:sz w:val="24"/>
          <w:szCs w:val="24"/>
        </w:rPr>
        <w:t>以各有效投标报价</w:t>
      </w:r>
      <w:r>
        <w:rPr>
          <w:rFonts w:hint="eastAsia" w:hAnsi="宋体" w:cs="宋体"/>
          <w:color w:val="auto"/>
          <w:sz w:val="24"/>
          <w:szCs w:val="24"/>
          <w:lang w:val="en-US" w:eastAsia="zh-CN"/>
        </w:rPr>
        <w:t>中</w:t>
      </w:r>
      <w:r>
        <w:rPr>
          <w:rFonts w:hint="eastAsia" w:hAnsi="宋体" w:cs="宋体"/>
          <w:color w:val="auto"/>
          <w:sz w:val="24"/>
          <w:szCs w:val="24"/>
        </w:rPr>
        <w:t>（当有效投标人5名及以上时，去掉1个最高、1个最低值）</w:t>
      </w:r>
      <w:r>
        <w:rPr>
          <w:rFonts w:hint="eastAsia" w:hAnsi="宋体" w:cs="宋体"/>
          <w:color w:val="auto"/>
          <w:sz w:val="24"/>
          <w:szCs w:val="24"/>
          <w:lang w:val="en-US" w:eastAsia="zh-CN"/>
        </w:rPr>
        <w:t>对应抽取</w:t>
      </w:r>
      <w:r>
        <w:rPr>
          <w:rFonts w:hint="eastAsia" w:hAnsi="宋体" w:cs="宋体"/>
          <w:color w:val="auto"/>
          <w:sz w:val="24"/>
          <w:szCs w:val="24"/>
        </w:rPr>
        <w:t>材料单价的算术平均值。</w:t>
      </w:r>
    </w:p>
    <w:p>
      <w:pPr>
        <w:snapToGrid w:val="0"/>
        <w:spacing w:line="360" w:lineRule="auto"/>
        <w:ind w:firstLine="484"/>
        <w:rPr>
          <w:rFonts w:hint="eastAsia" w:hAnsi="宋体" w:cs="宋体"/>
          <w:color w:val="auto"/>
          <w:sz w:val="24"/>
          <w:szCs w:val="24"/>
          <w:lang w:val="en-US" w:eastAsia="zh-CN"/>
        </w:rPr>
      </w:pPr>
      <w:r>
        <w:rPr>
          <w:rFonts w:hint="eastAsia" w:hAnsi="宋体" w:cs="宋体"/>
          <w:color w:val="auto"/>
          <w:sz w:val="24"/>
          <w:szCs w:val="24"/>
          <w:lang w:val="en-US" w:eastAsia="zh-CN"/>
        </w:rPr>
        <w:t>当投标人报价</w:t>
      </w:r>
      <w:r>
        <w:rPr>
          <w:rFonts w:hint="eastAsia" w:hAnsi="宋体" w:cs="宋体"/>
          <w:color w:val="auto"/>
          <w:sz w:val="24"/>
          <w:szCs w:val="24"/>
        </w:rPr>
        <w:t>在材料</w:t>
      </w:r>
      <w:r>
        <w:rPr>
          <w:rFonts w:hint="eastAsia" w:hAnsi="宋体" w:cs="宋体"/>
          <w:color w:val="auto"/>
          <w:sz w:val="24"/>
          <w:szCs w:val="24"/>
          <w:lang w:val="en-US" w:eastAsia="zh-CN"/>
        </w:rPr>
        <w:t>单价</w:t>
      </w:r>
      <w:r>
        <w:rPr>
          <w:rFonts w:hint="eastAsia" w:hAnsi="宋体" w:cs="宋体"/>
          <w:color w:val="auto"/>
          <w:sz w:val="24"/>
          <w:szCs w:val="24"/>
        </w:rPr>
        <w:t>基准值95%—103%范围内（不含95%和103%）每项得</w:t>
      </w:r>
      <w:r>
        <w:rPr>
          <w:rFonts w:hint="eastAsia" w:hAnsi="宋体" w:cs="宋体"/>
          <w:color w:val="auto"/>
          <w:sz w:val="24"/>
          <w:szCs w:val="24"/>
          <w:lang w:val="en-US" w:eastAsia="zh-CN"/>
        </w:rPr>
        <w:t>0.5</w:t>
      </w:r>
      <w:r>
        <w:rPr>
          <w:rFonts w:hint="eastAsia" w:hAnsi="宋体" w:cs="宋体"/>
          <w:color w:val="auto"/>
          <w:sz w:val="24"/>
          <w:szCs w:val="24"/>
        </w:rPr>
        <w:t>分，在材料基准值90%—95%范围内（含90%和95%）每项得0.</w:t>
      </w:r>
      <w:r>
        <w:rPr>
          <w:rFonts w:hint="eastAsia" w:hAnsi="宋体" w:cs="宋体"/>
          <w:color w:val="auto"/>
          <w:sz w:val="24"/>
          <w:szCs w:val="24"/>
          <w:lang w:val="en-US" w:eastAsia="zh-CN"/>
        </w:rPr>
        <w:t>25</w:t>
      </w:r>
      <w:r>
        <w:rPr>
          <w:rFonts w:hint="eastAsia" w:hAnsi="宋体" w:cs="宋体"/>
          <w:color w:val="auto"/>
          <w:sz w:val="24"/>
          <w:szCs w:val="24"/>
        </w:rPr>
        <w:t>分。超</w:t>
      </w:r>
      <w:r>
        <w:rPr>
          <w:rFonts w:hint="eastAsia" w:hAnsi="宋体" w:cs="宋体"/>
          <w:color w:val="auto"/>
          <w:sz w:val="24"/>
          <w:szCs w:val="24"/>
          <w:lang w:val="en-US" w:eastAsia="zh-CN"/>
        </w:rPr>
        <w:t>出该范围的不得分。材料单价与综合单价组成中价格不一致时该项为0分。</w:t>
      </w:r>
    </w:p>
    <w:p>
      <w:pPr>
        <w:snapToGrid w:val="0"/>
        <w:spacing w:line="360" w:lineRule="auto"/>
        <w:ind w:firstLine="484"/>
        <w:rPr>
          <w:rFonts w:hint="default" w:hAnsi="宋体" w:cs="宋体"/>
          <w:b/>
          <w:bCs/>
          <w:sz w:val="24"/>
          <w:szCs w:val="24"/>
          <w:lang w:val="en-US" w:eastAsia="zh-CN"/>
        </w:rPr>
      </w:pPr>
      <w:r>
        <w:rPr>
          <w:rFonts w:hint="eastAsia" w:hAnsi="宋体" w:cs="宋体"/>
          <w:b/>
          <w:bCs/>
          <w:color w:val="auto"/>
          <w:sz w:val="24"/>
          <w:szCs w:val="24"/>
          <w:lang w:val="en-US" w:eastAsia="zh-CN"/>
        </w:rPr>
        <w:t>注：针对上述2、4款项中部分分部分项工程项目数量较少、施工工艺简单、主材种类较少而不能满足最低抽项要求的，应将所有分部分项工程项目或主要材料项目纳入评审范围。</w:t>
      </w:r>
    </w:p>
    <w:p>
      <w:pPr>
        <w:numPr>
          <w:ilvl w:val="0"/>
          <w:numId w:val="0"/>
        </w:numPr>
        <w:spacing w:line="360" w:lineRule="auto"/>
        <w:rPr>
          <w:b/>
          <w:bCs/>
          <w:color w:val="auto"/>
          <w:sz w:val="24"/>
          <w:szCs w:val="24"/>
        </w:rPr>
      </w:pPr>
      <w:r>
        <w:rPr>
          <w:rFonts w:hint="eastAsia" w:cs="宋体"/>
          <w:b/>
          <w:bCs/>
          <w:sz w:val="24"/>
          <w:szCs w:val="24"/>
          <w:lang w:eastAsia="zh-CN"/>
        </w:rPr>
        <w:t>（</w:t>
      </w:r>
      <w:r>
        <w:rPr>
          <w:rFonts w:hint="eastAsia" w:cs="宋体"/>
          <w:b/>
          <w:bCs/>
          <w:sz w:val="24"/>
          <w:szCs w:val="24"/>
          <w:lang w:val="en-US" w:eastAsia="zh-CN"/>
        </w:rPr>
        <w:t>三</w:t>
      </w:r>
      <w:r>
        <w:rPr>
          <w:rFonts w:hint="eastAsia" w:cs="宋体"/>
          <w:b/>
          <w:bCs/>
          <w:sz w:val="24"/>
          <w:szCs w:val="24"/>
          <w:lang w:eastAsia="zh-CN"/>
        </w:rPr>
        <w:t>）</w:t>
      </w:r>
      <w:r>
        <w:rPr>
          <w:rFonts w:hint="eastAsia" w:cs="宋体"/>
          <w:b/>
          <w:bCs/>
          <w:sz w:val="24"/>
          <w:szCs w:val="24"/>
        </w:rPr>
        <w:t>综合（信用）标的评标分</w:t>
      </w:r>
      <w:r>
        <w:rPr>
          <w:rFonts w:hint="eastAsia" w:cs="宋体"/>
          <w:b/>
          <w:bCs/>
          <w:color w:val="auto"/>
          <w:sz w:val="24"/>
          <w:szCs w:val="24"/>
        </w:rPr>
        <w:t>值（2</w:t>
      </w:r>
      <w:r>
        <w:rPr>
          <w:rFonts w:hint="eastAsia" w:cs="宋体"/>
          <w:b/>
          <w:bCs/>
          <w:color w:val="auto"/>
          <w:sz w:val="24"/>
          <w:szCs w:val="24"/>
          <w:lang w:val="en-US" w:eastAsia="zh-CN"/>
        </w:rPr>
        <w:t>5</w:t>
      </w:r>
      <w:r>
        <w:rPr>
          <w:rFonts w:hint="eastAsia" w:cs="宋体"/>
          <w:b/>
          <w:bCs/>
          <w:color w:val="auto"/>
          <w:sz w:val="24"/>
          <w:szCs w:val="24"/>
        </w:rPr>
        <w:t>分）</w:t>
      </w:r>
    </w:p>
    <w:tbl>
      <w:tblPr>
        <w:tblStyle w:val="30"/>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w:t>
            </w:r>
            <w:r>
              <w:rPr>
                <w:rFonts w:hint="eastAsia"/>
                <w:sz w:val="21"/>
                <w:szCs w:val="21"/>
                <w:highlight w:val="none"/>
              </w:rPr>
              <w:t>得</w:t>
            </w:r>
            <w:r>
              <w:rPr>
                <w:rFonts w:hint="eastAsia"/>
                <w:sz w:val="21"/>
                <w:szCs w:val="21"/>
                <w:highlight w:val="none"/>
                <w:lang w:val="en-US" w:eastAsia="zh-CN"/>
              </w:rPr>
              <w:t>2</w:t>
            </w:r>
            <w:r>
              <w:rPr>
                <w:rFonts w:hint="eastAsia"/>
                <w:sz w:val="21"/>
                <w:szCs w:val="21"/>
                <w:highlight w:val="none"/>
              </w:rPr>
              <w:t>分，最高得</w:t>
            </w:r>
            <w:r>
              <w:rPr>
                <w:rFonts w:hint="eastAsia"/>
                <w:sz w:val="21"/>
                <w:szCs w:val="21"/>
                <w:highlight w:val="none"/>
                <w:lang w:val="en-US" w:eastAsia="zh-CN"/>
              </w:rPr>
              <w:t>4</w:t>
            </w:r>
            <w:r>
              <w:rPr>
                <w:rFonts w:hint="eastAsia"/>
                <w:sz w:val="21"/>
                <w:szCs w:val="21"/>
                <w:highlight w:val="none"/>
              </w:rPr>
              <w:t>分。</w:t>
            </w:r>
            <w:r>
              <w:rPr>
                <w:rFonts w:hint="eastAsia"/>
                <w:sz w:val="21"/>
                <w:szCs w:val="21"/>
              </w:rPr>
              <w:t>（以中标公示截图和中标通知书和施工合同为准，缺一不得分。）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hint="eastAsia" w:ascii="Times New Roman"/>
                <w:kern w:val="2"/>
                <w:sz w:val="21"/>
                <w:szCs w:val="21"/>
              </w:rPr>
            </w:pPr>
            <w:r>
              <w:rPr>
                <w:rFonts w:hint="eastAsia" w:ascii="Times New Roman"/>
                <w:kern w:val="2"/>
                <w:sz w:val="21"/>
                <w:szCs w:val="21"/>
              </w:rPr>
              <w:t>项目负责人业绩</w:t>
            </w:r>
          </w:p>
        </w:tc>
        <w:tc>
          <w:tcPr>
            <w:tcW w:w="4678" w:type="dxa"/>
            <w:vAlign w:val="center"/>
          </w:tcPr>
          <w:p>
            <w:pPr>
              <w:jc w:val="left"/>
              <w:rPr>
                <w:rFonts w:hint="default" w:ascii="Times New Roman"/>
                <w:kern w:val="2"/>
                <w:sz w:val="21"/>
                <w:szCs w:val="21"/>
                <w:lang w:val="en-US" w:eastAsia="zh-CN"/>
              </w:rPr>
            </w:pPr>
            <w:r>
              <w:rPr>
                <w:rFonts w:hint="eastAsia" w:ascii="Times New Roman"/>
                <w:kern w:val="2"/>
                <w:sz w:val="21"/>
                <w:szCs w:val="21"/>
              </w:rPr>
              <w:t>自2016年1月1日以来（以合同签订时间为准）：拟派项目负责人具有类似项目业绩者得2分，最高得</w:t>
            </w:r>
            <w:r>
              <w:rPr>
                <w:rFonts w:hint="eastAsia" w:ascii="Times New Roman"/>
                <w:kern w:val="2"/>
                <w:sz w:val="21"/>
                <w:szCs w:val="21"/>
                <w:lang w:val="en-US" w:eastAsia="zh-CN"/>
              </w:rPr>
              <w:t>6</w:t>
            </w:r>
            <w:r>
              <w:rPr>
                <w:rFonts w:hint="eastAsia" w:ascii="Times New Roman"/>
                <w:kern w:val="2"/>
                <w:sz w:val="21"/>
                <w:szCs w:val="21"/>
              </w:rPr>
              <w:t>分（以中标公示截图和中标通知书和施工合同为准，缺一不得分。）</w:t>
            </w:r>
          </w:p>
        </w:tc>
        <w:tc>
          <w:tcPr>
            <w:tcW w:w="1843" w:type="dxa"/>
            <w:vAlign w:val="center"/>
          </w:tcPr>
          <w:p>
            <w:pPr>
              <w:jc w:val="center"/>
              <w:rPr>
                <w:rFonts w:ascii="Times New Roman"/>
                <w:color w:val="0000FF"/>
                <w:kern w:val="2"/>
                <w:sz w:val="21"/>
                <w:szCs w:val="21"/>
              </w:rPr>
            </w:pPr>
            <w:r>
              <w:rPr>
                <w:rFonts w:ascii="Times New Roman"/>
                <w:color w:val="auto"/>
                <w:kern w:val="2"/>
                <w:sz w:val="21"/>
                <w:szCs w:val="21"/>
              </w:rPr>
              <w:t>0</w:t>
            </w:r>
            <w:r>
              <w:rPr>
                <w:rFonts w:hint="eastAsia" w:ascii="Times New Roman"/>
                <w:color w:val="auto"/>
                <w:kern w:val="2"/>
                <w:sz w:val="21"/>
                <w:szCs w:val="21"/>
              </w:rPr>
              <w:t>＜得分</w:t>
            </w:r>
            <w:r>
              <w:rPr>
                <w:rFonts w:ascii="Times New Roman"/>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自2016年1月1日以来投标人获得市级及以上安全管理先进企业或获得市级及以上质量管理先进企业者得2分，最高得4分。 （以获奖证书和文件为准）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center"/>
              <w:rPr>
                <w:rFonts w:hint="eastAsia" w:ascii="Times New Roman"/>
                <w:kern w:val="2"/>
                <w:sz w:val="21"/>
                <w:szCs w:val="21"/>
                <w:lang w:val="en-US" w:eastAsia="zh-CN"/>
              </w:rPr>
            </w:pPr>
            <w:r>
              <w:rPr>
                <w:rFonts w:hint="eastAsia" w:ascii="Times New Roman"/>
                <w:kern w:val="2"/>
                <w:sz w:val="21"/>
                <w:szCs w:val="21"/>
                <w:lang w:val="en-US" w:eastAsia="zh-CN"/>
              </w:rPr>
              <w:t>项目负责人信用</w:t>
            </w:r>
          </w:p>
        </w:tc>
        <w:tc>
          <w:tcPr>
            <w:tcW w:w="4678" w:type="dxa"/>
            <w:vAlign w:val="center"/>
          </w:tcPr>
          <w:p>
            <w:pPr>
              <w:numPr>
                <w:ilvl w:val="0"/>
                <w:numId w:val="9"/>
              </w:numPr>
              <w:spacing w:line="240" w:lineRule="exact"/>
              <w:jc w:val="left"/>
              <w:rPr>
                <w:rFonts w:hint="eastAsia" w:ascii="Times New Roman"/>
                <w:kern w:val="2"/>
                <w:sz w:val="21"/>
                <w:szCs w:val="21"/>
                <w:lang w:val="en-US" w:eastAsia="zh-CN"/>
              </w:rPr>
            </w:pPr>
            <w:r>
              <w:rPr>
                <w:rFonts w:hint="eastAsia" w:ascii="Times New Roman"/>
                <w:kern w:val="2"/>
                <w:sz w:val="21"/>
                <w:szCs w:val="21"/>
                <w:lang w:val="en-US" w:eastAsia="zh-CN"/>
              </w:rPr>
              <w:t>自2016年1月1日以来（以证书时间为准）：拟派项目负责人获得省级优秀项目经理的得1分，最高得1分。（提供获奖证书、文件和网上查询截图）</w:t>
            </w:r>
          </w:p>
          <w:p>
            <w:pPr>
              <w:numPr>
                <w:ilvl w:val="0"/>
                <w:numId w:val="9"/>
              </w:numPr>
              <w:spacing w:line="240" w:lineRule="exact"/>
              <w:jc w:val="left"/>
              <w:rPr>
                <w:rFonts w:hint="default" w:ascii="Times New Roman"/>
                <w:kern w:val="2"/>
                <w:sz w:val="21"/>
                <w:szCs w:val="21"/>
                <w:lang w:val="en-US" w:eastAsia="zh-CN"/>
              </w:rPr>
            </w:pPr>
            <w:r>
              <w:rPr>
                <w:rFonts w:hint="eastAsia" w:ascii="Times New Roman"/>
                <w:kern w:val="2"/>
                <w:sz w:val="21"/>
                <w:szCs w:val="21"/>
                <w:lang w:val="en-US" w:eastAsia="zh-CN"/>
              </w:rPr>
              <w:t>自2016年1月1日以来（以签订合同时间为准）获得市级以上优质工程的得1分，最高得1分。（提供网上查询公示、施工合同和竣工验收备案表或网上查询公示、施工合同和中标通知书）若上述资料不显示项目负责人姓名，还须同时提供相关证明文件。</w:t>
            </w:r>
          </w:p>
        </w:tc>
        <w:tc>
          <w:tcPr>
            <w:tcW w:w="1843" w:type="dxa"/>
            <w:vAlign w:val="center"/>
          </w:tcPr>
          <w:p>
            <w:pPr>
              <w:jc w:val="center"/>
              <w:rPr>
                <w:rFonts w:ascii="Times New Roman"/>
                <w:color w:val="0000FF"/>
                <w:kern w:val="2"/>
                <w:sz w:val="21"/>
                <w:szCs w:val="21"/>
              </w:rPr>
            </w:pPr>
            <w:r>
              <w:rPr>
                <w:rFonts w:hint="eastAsia" w:ascii="Times New Roman"/>
                <w:color w:val="auto"/>
                <w:kern w:val="2"/>
                <w:sz w:val="21"/>
                <w:szCs w:val="21"/>
              </w:rPr>
              <w:t>0</w:t>
            </w:r>
            <w:r>
              <w:rPr>
                <w:rFonts w:ascii="Times New Roman"/>
                <w:color w:val="auto"/>
                <w:kern w:val="2"/>
                <w:sz w:val="21"/>
                <w:szCs w:val="21"/>
              </w:rPr>
              <w:t>≤</w:t>
            </w:r>
            <w:r>
              <w:rPr>
                <w:rFonts w:hint="eastAsia" w:ascii="Times New Roman"/>
                <w:color w:val="auto"/>
                <w:kern w:val="2"/>
                <w:sz w:val="21"/>
                <w:szCs w:val="21"/>
              </w:rPr>
              <w:t>得分</w:t>
            </w:r>
            <w:r>
              <w:rPr>
                <w:rFonts w:ascii="Times New Roman"/>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rFonts w:hint="eastAsia"/>
          <w:b/>
          <w:bCs/>
          <w:sz w:val="24"/>
          <w:szCs w:val="24"/>
        </w:rPr>
      </w:pP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rPr>
        <w:t>2）类似工程：指2016年1月1日</w:t>
      </w:r>
      <w:r>
        <w:rPr>
          <w:rFonts w:hint="eastAsia" w:hAnsi="宋体" w:cs="宋体"/>
          <w:b/>
          <w:bCs/>
          <w:color w:val="000000"/>
          <w:sz w:val="24"/>
          <w:szCs w:val="22"/>
          <w:highlight w:val="none"/>
        </w:rPr>
        <w:t>以来</w:t>
      </w:r>
      <w:r>
        <w:rPr>
          <w:rFonts w:hint="eastAsia" w:hAnsi="宋体" w:cs="宋体"/>
          <w:b/>
          <w:bCs/>
          <w:sz w:val="24"/>
          <w:szCs w:val="22"/>
          <w:lang w:val="en-US" w:eastAsia="zh-CN"/>
        </w:rPr>
        <w:t>承接过的类似</w:t>
      </w:r>
      <w:r>
        <w:rPr>
          <w:rFonts w:hint="eastAsia" w:hAnsi="宋体" w:cs="宋体"/>
          <w:b/>
          <w:bCs/>
          <w:sz w:val="24"/>
          <w:szCs w:val="22"/>
          <w:lang w:eastAsia="zh-CN"/>
        </w:rPr>
        <w:t>建筑</w:t>
      </w:r>
      <w:r>
        <w:rPr>
          <w:rFonts w:hint="eastAsia" w:hAnsi="宋体" w:cs="宋体"/>
          <w:b/>
          <w:bCs/>
          <w:sz w:val="24"/>
          <w:szCs w:val="22"/>
        </w:rPr>
        <w:t>工程；</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四</w:t>
      </w:r>
      <w:r>
        <w:rPr>
          <w:rFonts w:hint="eastAsia" w:hAnsi="宋体" w:cs="宋体"/>
          <w:b/>
          <w:bCs/>
          <w:color w:val="000000"/>
          <w:sz w:val="24"/>
          <w:szCs w:val="22"/>
        </w:rPr>
        <w:t>）投标人综合得分按下列公式计算：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五</w:t>
      </w:r>
      <w:r>
        <w:rPr>
          <w:rFonts w:hint="eastAsia" w:hAnsi="宋体" w:cs="宋体"/>
          <w:b/>
          <w:bCs/>
          <w:color w:val="000000"/>
          <w:sz w:val="24"/>
          <w:szCs w:val="22"/>
        </w:rPr>
        <w:t>）投标人的最终得分及中标候选人排序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r>
        <w:rPr>
          <w:rFonts w:hint="eastAsia" w:ascii="新宋体" w:eastAsia="新宋体"/>
          <w:b/>
          <w:szCs w:val="24"/>
        </w:rPr>
        <w:t>九、评标报告</w:t>
      </w:r>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r>
        <w:rPr>
          <w:rFonts w:hint="eastAsia" w:ascii="新宋体" w:eastAsia="新宋体"/>
          <w:b/>
        </w:rPr>
        <w:t>十、</w:t>
      </w:r>
      <w:r>
        <w:rPr>
          <w:rFonts w:hint="eastAsia" w:ascii="新宋体" w:eastAsia="新宋体"/>
          <w:b/>
          <w:szCs w:val="24"/>
        </w:rPr>
        <w:t>公示</w:t>
      </w:r>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rFonts w:hint="eastAsia"/>
          <w:b/>
          <w:sz w:val="24"/>
        </w:rPr>
      </w:pPr>
      <w:r>
        <w:rPr>
          <w:rFonts w:hint="eastAsia"/>
          <w:b/>
          <w:sz w:val="24"/>
        </w:rPr>
        <w:t>11.5评标委员会对评标结果有异议的</w:t>
      </w:r>
    </w:p>
    <w:p>
      <w:pPr>
        <w:snapToGrid w:val="0"/>
        <w:spacing w:line="336" w:lineRule="auto"/>
        <w:ind w:firstLine="468" w:firstLineChars="200"/>
        <w:rPr>
          <w:rFonts w:hint="eastAsia"/>
          <w:spacing w:val="-3"/>
          <w:sz w:val="24"/>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pStyle w:val="4"/>
        <w:rPr>
          <w:rFonts w:hint="eastAsia"/>
          <w:spacing w:val="-3"/>
          <w:sz w:val="24"/>
        </w:rPr>
      </w:pPr>
    </w:p>
    <w:p>
      <w:pPr>
        <w:pStyle w:val="4"/>
        <w:rPr>
          <w:rFonts w:hint="eastAsia"/>
          <w:spacing w:val="-3"/>
          <w:sz w:val="24"/>
        </w:rPr>
      </w:pPr>
    </w:p>
    <w:p>
      <w:pPr>
        <w:pStyle w:val="4"/>
        <w:rPr>
          <w:rFonts w:hint="eastAsia"/>
          <w:spacing w:val="-3"/>
          <w:sz w:val="24"/>
        </w:rPr>
      </w:pPr>
    </w:p>
    <w:p>
      <w:pPr>
        <w:pStyle w:val="4"/>
        <w:rPr>
          <w:rFonts w:hint="eastAsia"/>
          <w:spacing w:val="-3"/>
          <w:sz w:val="24"/>
        </w:rPr>
      </w:pPr>
    </w:p>
    <w:p>
      <w:pPr>
        <w:pStyle w:val="4"/>
        <w:rPr>
          <w:rFonts w:hint="eastAsia"/>
          <w:spacing w:val="-3"/>
          <w:sz w:val="24"/>
        </w:rPr>
      </w:pPr>
    </w:p>
    <w:p>
      <w:pPr>
        <w:snapToGrid w:val="0"/>
        <w:spacing w:line="336" w:lineRule="auto"/>
        <w:ind w:firstLine="640" w:firstLineChars="200"/>
        <w:jc w:val="left"/>
        <w:rPr>
          <w:rFonts w:hint="eastAsia" w:ascii="方正小标宋简体" w:hAnsi="黑体" w:eastAsia="方正小标宋简体"/>
          <w:b/>
          <w:bCs/>
          <w:sz w:val="32"/>
          <w:szCs w:val="32"/>
        </w:rPr>
      </w:pPr>
    </w:p>
    <w:p>
      <w:pPr>
        <w:snapToGrid w:val="0"/>
        <w:spacing w:line="336" w:lineRule="auto"/>
        <w:ind w:firstLine="640" w:firstLineChars="200"/>
        <w:jc w:val="left"/>
        <w:rPr>
          <w:rFonts w:hint="eastAsia" w:ascii="方正小标宋简体" w:hAnsi="黑体" w:eastAsia="方正小标宋简体"/>
          <w:b/>
          <w:bCs/>
          <w:sz w:val="32"/>
          <w:szCs w:val="32"/>
        </w:rPr>
      </w:pPr>
    </w:p>
    <w:p>
      <w:pPr>
        <w:snapToGrid w:val="0"/>
        <w:spacing w:line="336" w:lineRule="auto"/>
        <w:ind w:firstLine="640" w:firstLineChars="200"/>
        <w:jc w:val="left"/>
        <w:rPr>
          <w:rFonts w:hint="eastAsia" w:ascii="方正小标宋简体" w:hAnsi="黑体" w:eastAsia="方正小标宋简体"/>
          <w:b/>
          <w:bCs/>
          <w:sz w:val="32"/>
          <w:szCs w:val="32"/>
        </w:rPr>
      </w:pPr>
    </w:p>
    <w:p>
      <w:pPr>
        <w:snapToGrid w:val="0"/>
        <w:spacing w:line="336" w:lineRule="auto"/>
        <w:ind w:firstLine="640" w:firstLineChars="200"/>
        <w:jc w:val="lef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color w:val="auto"/>
                <w:sz w:val="24"/>
                <w:szCs w:val="22"/>
              </w:rPr>
              <w:t>建安建工公字〔2019〕</w:t>
            </w:r>
            <w:r>
              <w:rPr>
                <w:rFonts w:hint="eastAsia" w:ascii="仿宋_GB2312" w:hAnsi="宋体" w:eastAsia="仿宋_GB2312" w:cs="宋体"/>
                <w:color w:val="auto"/>
                <w:sz w:val="24"/>
                <w:szCs w:val="22"/>
                <w:lang w:val="en-US" w:eastAsia="zh-CN"/>
              </w:rPr>
              <w:t>140</w:t>
            </w:r>
            <w:r>
              <w:rPr>
                <w:rFonts w:hint="eastAsia" w:ascii="仿宋_GB2312" w:hAnsi="宋体" w:eastAsia="仿宋_GB2312" w:cs="宋体"/>
                <w:color w:val="auto"/>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eastAsia="zh-CN"/>
              </w:rPr>
            </w:pPr>
            <w:r>
              <w:rPr>
                <w:rFonts w:hint="eastAsia" w:ascii="仿宋_GB2312" w:hAnsi="宋体" w:eastAsia="仿宋_GB2312" w:cs="宋体"/>
                <w:sz w:val="24"/>
                <w:szCs w:val="22"/>
              </w:rPr>
              <w:t>建安区跨境电商产业园发制品海关监管仓工程（消防、电梯）</w:t>
            </w:r>
            <w:r>
              <w:rPr>
                <w:rFonts w:hint="eastAsia" w:ascii="仿宋_GB2312" w:hAnsi="宋体" w:eastAsia="仿宋_GB2312" w:cs="宋体"/>
                <w:sz w:val="24"/>
                <w:szCs w:val="22"/>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w:t>
            </w:r>
            <w:r>
              <w:rPr>
                <w:rFonts w:hint="eastAsia" w:ascii="仿宋_GB2312" w:hAnsi="宋体" w:eastAsia="仿宋_GB2312" w:cs="宋体"/>
                <w:color w:val="auto"/>
                <w:sz w:val="24"/>
                <w:szCs w:val="22"/>
              </w:rPr>
              <w:t>人民币：贰万叁仟元整（23000.00元）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sz w:val="24"/>
              </w:rPr>
              <w:t>http://221.14.6.70:8088/ggzy</w:t>
            </w:r>
            <w:r>
              <w:rPr>
                <w:rStyle w:val="37"/>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8"/>
    </w:p>
    <w:p>
      <w:pPr>
        <w:tabs>
          <w:tab w:val="left" w:pos="5000"/>
        </w:tabs>
        <w:spacing w:line="360" w:lineRule="auto"/>
        <w:ind w:firstLine="490"/>
        <w:rPr>
          <w:rFonts w:hAnsi="宋体" w:cs="黑体"/>
          <w:b/>
          <w:sz w:val="32"/>
          <w:szCs w:val="32"/>
        </w:rPr>
      </w:pPr>
      <w:bookmarkStart w:id="69"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69"/>
      <w:bookmarkStart w:id="70"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1" w:name="_Toc351203481"/>
      <w:r>
        <w:rPr>
          <w:rFonts w:ascii="Times New Roman" w:hAnsi="Times New Roman" w:eastAsia="黑体"/>
          <w:b w:val="0"/>
          <w:color w:val="000000"/>
          <w:sz w:val="24"/>
          <w:szCs w:val="24"/>
        </w:rPr>
        <w:t>一、工程概况</w:t>
      </w:r>
      <w:bookmarkEnd w:id="71"/>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72" w:name="_Toc351203482"/>
      <w:r>
        <w:rPr>
          <w:rFonts w:ascii="Times New Roman" w:hAnsi="Times New Roman" w:eastAsia="黑体"/>
          <w:b w:val="0"/>
          <w:color w:val="000000"/>
          <w:sz w:val="24"/>
          <w:szCs w:val="24"/>
        </w:rPr>
        <w:t>二、合同工期</w:t>
      </w:r>
      <w:bookmarkEnd w:id="7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73" w:name="_Toc351203483"/>
      <w:r>
        <w:rPr>
          <w:rFonts w:ascii="Times New Roman" w:hAnsi="Times New Roman" w:eastAsia="黑体"/>
          <w:b w:val="0"/>
          <w:color w:val="000000"/>
          <w:sz w:val="24"/>
          <w:szCs w:val="24"/>
        </w:rPr>
        <w:t>三、质量标准</w:t>
      </w:r>
      <w:bookmarkEnd w:id="73"/>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4" w:name="_Toc351203484"/>
      <w:r>
        <w:rPr>
          <w:rFonts w:ascii="Times New Roman" w:hAnsi="Times New Roman" w:eastAsia="黑体"/>
          <w:b w:val="0"/>
          <w:color w:val="000000"/>
          <w:sz w:val="24"/>
          <w:szCs w:val="24"/>
        </w:rPr>
        <w:t>四、签约合同价与合同价格形式</w:t>
      </w:r>
      <w:bookmarkEnd w:id="74"/>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5" w:name="_Toc351203485"/>
      <w:r>
        <w:rPr>
          <w:rFonts w:ascii="Times New Roman" w:hAnsi="Times New Roman" w:eastAsia="黑体"/>
          <w:b w:val="0"/>
          <w:color w:val="000000"/>
          <w:sz w:val="24"/>
          <w:szCs w:val="24"/>
        </w:rPr>
        <w:t>五、</w:t>
      </w:r>
      <w:bookmarkEnd w:id="75"/>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6" w:name="_Toc351203486"/>
      <w:r>
        <w:rPr>
          <w:rFonts w:ascii="Times New Roman" w:hAnsi="Times New Roman" w:eastAsia="黑体"/>
          <w:b w:val="0"/>
          <w:color w:val="000000"/>
          <w:sz w:val="24"/>
          <w:szCs w:val="24"/>
        </w:rPr>
        <w:t>六、合同文件构成</w:t>
      </w:r>
      <w:bookmarkEnd w:id="7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77" w:name="_Toc351203487"/>
      <w:r>
        <w:rPr>
          <w:rFonts w:ascii="Times New Roman" w:hAnsi="Times New Roman" w:eastAsia="黑体"/>
          <w:b w:val="0"/>
          <w:color w:val="000000"/>
          <w:sz w:val="24"/>
          <w:szCs w:val="24"/>
        </w:rPr>
        <w:t>七、承诺</w:t>
      </w:r>
      <w:bookmarkEnd w:id="7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78" w:name="_Toc351203488"/>
      <w:r>
        <w:rPr>
          <w:rFonts w:hint="eastAsia" w:ascii="Times New Roman" w:eastAsia="黑体"/>
          <w:b/>
          <w:color w:val="000000"/>
          <w:sz w:val="24"/>
          <w:szCs w:val="24"/>
        </w:rPr>
        <w:t xml:space="preserve">    </w:t>
      </w:r>
      <w:r>
        <w:rPr>
          <w:rFonts w:ascii="Times New Roman" w:eastAsia="黑体"/>
          <w:b/>
          <w:color w:val="000000"/>
          <w:sz w:val="24"/>
          <w:szCs w:val="24"/>
        </w:rPr>
        <w:t>八、词语含义</w:t>
      </w:r>
      <w:bookmarkEnd w:id="7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9"/>
      <w:r>
        <w:rPr>
          <w:rFonts w:ascii="Times New Roman" w:hAnsi="Times New Roman" w:eastAsia="黑体"/>
          <w:b w:val="0"/>
          <w:color w:val="000000"/>
          <w:sz w:val="24"/>
          <w:szCs w:val="24"/>
        </w:rPr>
        <w:t>九、签订时间</w:t>
      </w:r>
      <w:bookmarkEnd w:id="7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w:t>
      </w:r>
      <w:r>
        <w:rPr>
          <w:rFonts w:ascii="Times New Roman" w:eastAsia="仿宋_GB2312"/>
          <w:bCs/>
          <w:color w:val="000000"/>
          <w:sz w:val="24"/>
          <w:szCs w:val="24"/>
          <w:u w:val="single"/>
        </w:rPr>
        <w:t xml:space="preserve">         </w:t>
      </w:r>
      <w:r>
        <w:rPr>
          <w:rFonts w:ascii="Times New Roman" w:eastAsia="仿宋_GB2312"/>
          <w:bCs/>
          <w:color w:val="000000"/>
          <w:sz w:val="24"/>
          <w:szCs w:val="24"/>
        </w:rPr>
        <w:t>年</w:t>
      </w:r>
      <w:r>
        <w:rPr>
          <w:rFonts w:ascii="Times New Roman" w:eastAsia="仿宋_GB2312"/>
          <w:bCs/>
          <w:color w:val="000000"/>
          <w:sz w:val="24"/>
          <w:szCs w:val="24"/>
          <w:u w:val="single"/>
        </w:rPr>
        <w:t xml:space="preserve">    </w:t>
      </w:r>
      <w:r>
        <w:rPr>
          <w:rFonts w:ascii="Times New Roman" w:eastAsia="仿宋_GB2312"/>
          <w:bCs/>
          <w:color w:val="000000"/>
          <w:sz w:val="24"/>
          <w:szCs w:val="24"/>
        </w:rPr>
        <w:t>月</w:t>
      </w:r>
      <w:r>
        <w:rPr>
          <w:rFonts w:ascii="Times New Roman" w:eastAsia="仿宋_GB2312"/>
          <w:bCs/>
          <w:color w:val="000000"/>
          <w:sz w:val="24"/>
          <w:szCs w:val="24"/>
          <w:u w:val="single"/>
        </w:rPr>
        <w:t xml:space="preserve">    </w:t>
      </w:r>
      <w:r>
        <w:rPr>
          <w:rFonts w:ascii="Times New Roman" w:eastAsia="仿宋_GB2312"/>
          <w:bCs/>
          <w:color w:val="000000"/>
          <w:sz w:val="24"/>
          <w:szCs w:val="24"/>
        </w:rPr>
        <w:t>日签订。</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0" w:name="_Toc351203490"/>
      <w:r>
        <w:rPr>
          <w:rFonts w:ascii="Times New Roman" w:hAnsi="Times New Roman" w:eastAsia="黑体"/>
          <w:b w:val="0"/>
          <w:color w:val="000000"/>
          <w:sz w:val="24"/>
          <w:szCs w:val="24"/>
        </w:rPr>
        <w:t>十、签订地点</w:t>
      </w:r>
      <w:bookmarkEnd w:id="80"/>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w:t>
      </w:r>
      <w:r>
        <w:rPr>
          <w:rFonts w:ascii="Times New Roman" w:eastAsia="仿宋_GB2312"/>
          <w:bCs/>
          <w:color w:val="000000"/>
          <w:sz w:val="24"/>
          <w:szCs w:val="24"/>
          <w:u w:val="single"/>
        </w:rPr>
        <w:t xml:space="preserve">                                    </w:t>
      </w:r>
      <w:r>
        <w:rPr>
          <w:rFonts w:ascii="Times New Roman" w:eastAsia="仿宋_GB2312"/>
          <w:bCs/>
          <w:color w:val="000000"/>
          <w:sz w:val="24"/>
          <w:szCs w:val="24"/>
        </w:rPr>
        <w:t>签订。</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91"/>
      <w:r>
        <w:rPr>
          <w:rFonts w:ascii="Times New Roman" w:hAnsi="Times New Roman" w:eastAsia="黑体"/>
          <w:b w:val="0"/>
          <w:color w:val="000000"/>
          <w:sz w:val="24"/>
          <w:szCs w:val="24"/>
        </w:rPr>
        <w:t>十一、补充协议</w:t>
      </w:r>
      <w:bookmarkEnd w:id="81"/>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92"/>
      <w:r>
        <w:rPr>
          <w:rFonts w:ascii="Times New Roman" w:hAnsi="Times New Roman" w:eastAsia="黑体"/>
          <w:b w:val="0"/>
          <w:color w:val="000000"/>
          <w:sz w:val="24"/>
          <w:szCs w:val="24"/>
        </w:rPr>
        <w:t>十二、合同生效</w:t>
      </w:r>
      <w:bookmarkEnd w:id="82"/>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w:t>
      </w:r>
      <w:r>
        <w:rPr>
          <w:rFonts w:ascii="Times New Roman" w:eastAsia="仿宋_GB2312"/>
          <w:bCs/>
          <w:color w:val="000000"/>
          <w:sz w:val="24"/>
          <w:szCs w:val="24"/>
          <w:u w:val="single"/>
        </w:rPr>
        <w:t xml:space="preserve">                                   </w:t>
      </w:r>
      <w:r>
        <w:rPr>
          <w:rFonts w:ascii="Times New Roman" w:eastAsia="仿宋_GB2312"/>
          <w:bCs/>
          <w:color w:val="000000"/>
          <w:sz w:val="24"/>
          <w:szCs w:val="24"/>
        </w:rPr>
        <w:t>生效。</w:t>
      </w:r>
    </w:p>
    <w:p>
      <w:pPr>
        <w:pStyle w:val="9"/>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3" w:name="_Toc351203493"/>
      <w:r>
        <w:rPr>
          <w:rFonts w:ascii="Times New Roman" w:hAnsi="Times New Roman" w:eastAsia="黑体"/>
          <w:b w:val="0"/>
          <w:color w:val="000000"/>
          <w:sz w:val="24"/>
          <w:szCs w:val="24"/>
        </w:rPr>
        <w:t>十三、合同份数</w:t>
      </w:r>
      <w:bookmarkEnd w:id="83"/>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份，均具有同等法律效力，发包人执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份，承包人执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r>
        <w:rPr>
          <w:rFonts w:ascii="Times New Roman" w:eastAsia="仿宋_GB2312"/>
          <w:color w:val="000000"/>
          <w:sz w:val="24"/>
          <w:szCs w:val="24"/>
        </w:rPr>
        <w:t>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地  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传  真：</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账</w:t>
      </w:r>
      <w:r>
        <w:rPr>
          <w:rFonts w:hint="eastAsia" w:ascii="Times New Roman" w:eastAsia="仿宋_GB2312"/>
          <w:color w:val="000000"/>
          <w:sz w:val="24"/>
          <w:szCs w:val="24"/>
        </w:rPr>
        <w:t xml:space="preserve"> </w:t>
      </w:r>
      <w:r>
        <w:rPr>
          <w:rFonts w:ascii="Times New Roman" w:eastAsia="仿宋_GB2312"/>
          <w:color w:val="000000"/>
          <w:sz w:val="24"/>
          <w:szCs w:val="24"/>
        </w:rPr>
        <w:t xml:space="preserve"> 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pStyle w:val="8"/>
        <w:jc w:val="center"/>
        <w:rPr>
          <w:rFonts w:ascii="华文中宋" w:hAnsi="华文中宋" w:eastAsia="华文中宋"/>
          <w:sz w:val="44"/>
          <w:szCs w:val="44"/>
        </w:rPr>
      </w:pPr>
      <w:r>
        <w:rPr>
          <w:rFonts w:eastAsia="仿宋_GB2312"/>
        </w:rPr>
        <w:br w:type="page"/>
      </w:r>
      <w:bookmarkStart w:id="84" w:name="_Toc351203494"/>
      <w:r>
        <w:rPr>
          <w:rFonts w:ascii="华文中宋" w:hAnsi="华文中宋" w:eastAsia="华文中宋"/>
          <w:sz w:val="44"/>
          <w:szCs w:val="44"/>
        </w:rPr>
        <w:t>第二部分 通用合同条款</w:t>
      </w:r>
      <w:bookmarkEnd w:id="84"/>
      <w:r>
        <w:rPr>
          <w:rFonts w:hint="eastAsia" w:ascii="华文中宋" w:hAnsi="华文中宋" w:eastAsia="华文中宋"/>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85" w:name="_Toc351203633"/>
      <w:r>
        <w:rPr>
          <w:rFonts w:ascii="Times New Roman" w:hAnsi="Times New Roman" w:eastAsia="黑体"/>
          <w:b w:val="0"/>
          <w:color w:val="000000"/>
          <w:sz w:val="24"/>
          <w:szCs w:val="24"/>
        </w:rPr>
        <w:t>1</w:t>
      </w:r>
      <w:bookmarkStart w:id="86" w:name="_Toc292559866"/>
      <w:bookmarkStart w:id="87" w:name="_Toc296891196"/>
      <w:bookmarkStart w:id="88" w:name="_Toc296503156"/>
      <w:bookmarkStart w:id="89" w:name="_Toc292559361"/>
      <w:bookmarkStart w:id="90" w:name="_Toc296944495"/>
      <w:bookmarkStart w:id="91" w:name="_Toc296347155"/>
      <w:bookmarkStart w:id="92" w:name="_Toc297120456"/>
      <w:bookmarkStart w:id="93" w:name="_Toc297048342"/>
      <w:bookmarkStart w:id="94" w:name="_Toc296890984"/>
      <w:bookmarkStart w:id="95" w:name="_Toc296346657"/>
      <w:r>
        <w:rPr>
          <w:rFonts w:ascii="Times New Roman" w:hAnsi="Times New Roman" w:eastAsia="黑体"/>
          <w:b w:val="0"/>
          <w:color w:val="000000"/>
          <w:sz w:val="24"/>
          <w:szCs w:val="24"/>
        </w:rPr>
        <w:t>. 一般约定</w:t>
      </w:r>
      <w:bookmarkEnd w:id="85"/>
    </w:p>
    <w:bookmarkEnd w:id="86"/>
    <w:bookmarkEnd w:id="87"/>
    <w:bookmarkEnd w:id="88"/>
    <w:bookmarkEnd w:id="89"/>
    <w:bookmarkEnd w:id="90"/>
    <w:bookmarkEnd w:id="91"/>
    <w:bookmarkEnd w:id="92"/>
    <w:bookmarkEnd w:id="93"/>
    <w:bookmarkEnd w:id="94"/>
    <w:bookmarkEnd w:id="9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u w:val="single"/>
        </w:rPr>
      </w:pPr>
      <w:r>
        <w:rPr>
          <w:rFonts w:ascii="Times New Roman" w:eastAsia="仿宋_GB2312"/>
          <w:color w:val="000000"/>
          <w:sz w:val="24"/>
          <w:szCs w:val="24"/>
        </w:rPr>
        <w:t>1.4.2 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96" w:name="_Toc318581155"/>
      <w:bookmarkStart w:id="97" w:name="_Toc312677986"/>
      <w:bookmarkStart w:id="98" w:name="_Toc300934943"/>
      <w:bookmarkStart w:id="99" w:name="_Toc303539100"/>
      <w:bookmarkStart w:id="100"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p>
    <w:bookmarkEnd w:id="96"/>
    <w:bookmarkEnd w:id="97"/>
    <w:bookmarkEnd w:id="98"/>
    <w:bookmarkEnd w:id="99"/>
    <w:bookmarkEnd w:id="100"/>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1" w:name="_Toc300934944"/>
      <w:bookmarkStart w:id="102" w:name="_Toc312677987"/>
      <w:bookmarkStart w:id="103" w:name="_Toc303539101"/>
      <w:bookmarkStart w:id="104" w:name="_Toc304295522"/>
      <w:bookmarkStart w:id="105" w:name="_Toc318581156"/>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End w:id="101"/>
      <w:bookmarkEnd w:id="102"/>
      <w:bookmarkEnd w:id="103"/>
      <w:bookmarkEnd w:id="104"/>
      <w:bookmarkEnd w:id="105"/>
      <w:r>
        <w:rPr>
          <w:rFonts w:ascii="Times New Roman" w:eastAsia="仿宋_GB2312"/>
          <w:sz w:val="24"/>
          <w:szCs w:val="24"/>
        </w:rPr>
        <w:t xml:space="preserve">  </w:t>
      </w:r>
      <w:bookmarkStart w:id="106"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w:t>
      </w:r>
      <w:r>
        <w:rPr>
          <w:rFonts w:ascii="Times New Roman" w:eastAsia="仿宋_GB2312"/>
          <w:sz w:val="24"/>
          <w:szCs w:val="24"/>
          <w:u w:val="single"/>
        </w:rPr>
        <w:t xml:space="preserve">              </w:t>
      </w:r>
      <w:r>
        <w:rPr>
          <w:rFonts w:ascii="Times New Roman" w:eastAsia="仿宋_GB2312"/>
          <w:sz w:val="24"/>
          <w:szCs w:val="24"/>
        </w:rPr>
        <w:t>承担。</w:t>
      </w:r>
    </w:p>
    <w:bookmarkEnd w:id="10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07" w:name="_Toc351203634"/>
      <w:r>
        <w:rPr>
          <w:rFonts w:ascii="Times New Roman" w:hAnsi="Times New Roman" w:eastAsia="黑体"/>
          <w:b w:val="0"/>
          <w:color w:val="000000"/>
          <w:sz w:val="24"/>
          <w:szCs w:val="24"/>
        </w:rPr>
        <w:t>2</w:t>
      </w:r>
      <w:bookmarkStart w:id="108" w:name="_Toc296891197"/>
      <w:bookmarkStart w:id="109" w:name="_Toc296503157"/>
      <w:bookmarkStart w:id="110" w:name="_Toc296890985"/>
      <w:bookmarkStart w:id="111" w:name="_Toc296346658"/>
      <w:bookmarkStart w:id="112" w:name="_Toc292559362"/>
      <w:bookmarkStart w:id="113" w:name="_Toc292559867"/>
      <w:bookmarkStart w:id="114" w:name="_Toc296944496"/>
      <w:bookmarkStart w:id="115" w:name="_Toc296347156"/>
      <w:bookmarkStart w:id="116" w:name="_Toc297048343"/>
      <w:bookmarkStart w:id="117" w:name="_Toc297120457"/>
      <w:r>
        <w:rPr>
          <w:rFonts w:ascii="Times New Roman" w:hAnsi="Times New Roman" w:eastAsia="黑体"/>
          <w:b w:val="0"/>
          <w:color w:val="000000"/>
          <w:sz w:val="24"/>
          <w:szCs w:val="24"/>
        </w:rPr>
        <w:t>. 发包人</w:t>
      </w:r>
      <w:bookmarkEnd w:id="107"/>
    </w:p>
    <w:bookmarkEnd w:id="108"/>
    <w:bookmarkEnd w:id="109"/>
    <w:bookmarkEnd w:id="110"/>
    <w:bookmarkEnd w:id="111"/>
    <w:bookmarkEnd w:id="112"/>
    <w:bookmarkEnd w:id="113"/>
    <w:bookmarkEnd w:id="114"/>
    <w:bookmarkEnd w:id="115"/>
    <w:bookmarkEnd w:id="116"/>
    <w:bookmarkEnd w:id="11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8" w:name="_Toc351203635"/>
      <w:r>
        <w:rPr>
          <w:rFonts w:ascii="Times New Roman" w:hAnsi="Times New Roman" w:eastAsia="黑体"/>
          <w:b w:val="0"/>
          <w:color w:val="000000"/>
          <w:sz w:val="24"/>
          <w:szCs w:val="24"/>
        </w:rPr>
        <w:t>3</w:t>
      </w:r>
      <w:bookmarkStart w:id="119" w:name="_Toc296890986"/>
      <w:bookmarkStart w:id="120" w:name="_Toc292559868"/>
      <w:bookmarkStart w:id="121" w:name="_Toc296503158"/>
      <w:bookmarkStart w:id="122" w:name="_Toc296347157"/>
      <w:bookmarkStart w:id="123" w:name="_Toc297120458"/>
      <w:bookmarkStart w:id="124" w:name="_Toc292559363"/>
      <w:bookmarkStart w:id="125" w:name="_Toc297048344"/>
      <w:bookmarkStart w:id="126" w:name="_Toc296944497"/>
      <w:bookmarkStart w:id="127" w:name="_Toc296891198"/>
      <w:bookmarkStart w:id="128" w:name="_Toc296346659"/>
      <w:r>
        <w:rPr>
          <w:rFonts w:ascii="Times New Roman" w:hAnsi="Times New Roman" w:eastAsia="黑体"/>
          <w:b w:val="0"/>
          <w:color w:val="000000"/>
          <w:sz w:val="24"/>
          <w:szCs w:val="24"/>
        </w:rPr>
        <w:t>. 承包人</w:t>
      </w:r>
      <w:bookmarkEnd w:id="118"/>
    </w:p>
    <w:bookmarkEnd w:id="119"/>
    <w:bookmarkEnd w:id="120"/>
    <w:bookmarkEnd w:id="121"/>
    <w:bookmarkEnd w:id="122"/>
    <w:bookmarkEnd w:id="123"/>
    <w:bookmarkEnd w:id="124"/>
    <w:bookmarkEnd w:id="125"/>
    <w:bookmarkEnd w:id="126"/>
    <w:bookmarkEnd w:id="127"/>
    <w:bookmarkEnd w:id="12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29" w:name="_Toc296347158"/>
      <w:bookmarkStart w:id="130" w:name="_Toc296891199"/>
      <w:bookmarkStart w:id="131" w:name="_Toc292559869"/>
      <w:bookmarkStart w:id="132" w:name="_Toc304295523"/>
      <w:bookmarkStart w:id="133" w:name="_Toc297048345"/>
      <w:bookmarkStart w:id="134" w:name="_Toc292559364"/>
      <w:bookmarkStart w:id="135" w:name="_Toc296503159"/>
      <w:bookmarkStart w:id="136" w:name="_Toc312677988"/>
      <w:bookmarkStart w:id="137" w:name="_Toc296944498"/>
      <w:bookmarkStart w:id="138" w:name="_Toc300934945"/>
      <w:bookmarkStart w:id="139" w:name="_Toc297120459"/>
      <w:bookmarkStart w:id="140" w:name="_Toc303539102"/>
      <w:bookmarkStart w:id="141" w:name="_Toc297123492"/>
      <w:bookmarkStart w:id="142" w:name="_Toc296890987"/>
      <w:bookmarkStart w:id="143" w:name="_Toc296346660"/>
      <w:bookmarkStart w:id="144" w:name="_Toc297216151"/>
      <w:r>
        <w:rPr>
          <w:rFonts w:ascii="Times New Roman" w:eastAsia="黑体"/>
          <w:color w:val="000000"/>
          <w:sz w:val="24"/>
          <w:szCs w:val="24"/>
        </w:rPr>
        <w:t>.5 分包</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45" w:name="_Toc296891200"/>
      <w:bookmarkStart w:id="146" w:name="_Toc296890988"/>
      <w:bookmarkStart w:id="147" w:name="_Toc296346661"/>
      <w:bookmarkStart w:id="148" w:name="_Toc296503160"/>
      <w:bookmarkStart w:id="149" w:name="_Toc297120460"/>
      <w:bookmarkStart w:id="150" w:name="_Toc296347159"/>
      <w:bookmarkStart w:id="151" w:name="_Toc297216152"/>
      <w:bookmarkStart w:id="152" w:name="_Toc292559870"/>
      <w:bookmarkStart w:id="153" w:name="_Toc296944499"/>
      <w:bookmarkStart w:id="154" w:name="_Toc297048346"/>
      <w:bookmarkStart w:id="155" w:name="_Toc304295524"/>
      <w:bookmarkStart w:id="156" w:name="_Toc292559365"/>
      <w:bookmarkStart w:id="157" w:name="_Toc297123493"/>
      <w:bookmarkStart w:id="158" w:name="_Toc300934946"/>
      <w:bookmarkStart w:id="159" w:name="_Toc303539103"/>
      <w:bookmarkStart w:id="160" w:name="_Toc312677989"/>
      <w:bookmarkStart w:id="161"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Start w:id="162" w:name="_Toc296347160"/>
      <w:bookmarkStart w:id="163" w:name="_Toc303539104"/>
      <w:bookmarkStart w:id="164" w:name="_Toc296891201"/>
      <w:bookmarkStart w:id="165" w:name="_Toc296944500"/>
      <w:bookmarkStart w:id="166" w:name="_Toc297216153"/>
      <w:bookmarkStart w:id="167" w:name="_Toc297120461"/>
      <w:bookmarkStart w:id="168" w:name="_Toc296346662"/>
      <w:bookmarkStart w:id="169" w:name="_Toc297048347"/>
      <w:bookmarkStart w:id="170" w:name="_Toc304295525"/>
      <w:bookmarkStart w:id="171" w:name="_Toc296890989"/>
      <w:bookmarkStart w:id="172" w:name="_Toc297123494"/>
      <w:bookmarkStart w:id="173" w:name="_Toc300934947"/>
      <w:bookmarkStart w:id="174" w:name="_Toc296503161"/>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Pr>
        <w:spacing w:line="480" w:lineRule="exact"/>
        <w:rPr>
          <w:rFonts w:ascii="Times New Roman" w:eastAsia="仿宋_GB2312"/>
          <w:sz w:val="24"/>
          <w:szCs w:val="24"/>
        </w:rPr>
      </w:pPr>
      <w:r>
        <w:rPr>
          <w:rFonts w:ascii="Times New Roman" w:eastAsia="仿宋_GB2312"/>
          <w:sz w:val="24"/>
          <w:szCs w:val="24"/>
        </w:rPr>
        <w:t xml:space="preserve">    3</w:t>
      </w:r>
      <w:bookmarkStart w:id="175" w:name="_Toc312677990"/>
      <w:bookmarkStart w:id="176"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其他关于分包的约定：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75"/>
    <w:bookmarkEnd w:id="17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77" w:name="_Toc351203636"/>
      <w:r>
        <w:rPr>
          <w:rFonts w:ascii="Times New Roman" w:hAnsi="Times New Roman" w:eastAsia="黑体"/>
          <w:b w:val="0"/>
          <w:color w:val="000000"/>
          <w:sz w:val="24"/>
          <w:szCs w:val="24"/>
        </w:rPr>
        <w:t>4</w:t>
      </w:r>
      <w:bookmarkStart w:id="178" w:name="_Toc297048348"/>
      <w:bookmarkStart w:id="179" w:name="_Toc292559366"/>
      <w:bookmarkStart w:id="180" w:name="_Toc292559871"/>
      <w:bookmarkStart w:id="181" w:name="_Toc296890990"/>
      <w:bookmarkStart w:id="182" w:name="_Toc296347161"/>
      <w:bookmarkStart w:id="183" w:name="_Toc297120462"/>
      <w:bookmarkStart w:id="184" w:name="_Toc267251413"/>
      <w:bookmarkStart w:id="185" w:name="_Toc296503162"/>
      <w:bookmarkStart w:id="186" w:name="_Toc296891202"/>
      <w:bookmarkStart w:id="187" w:name="_Toc296944501"/>
      <w:bookmarkStart w:id="188" w:name="_Toc296346663"/>
      <w:r>
        <w:rPr>
          <w:rFonts w:ascii="Times New Roman" w:hAnsi="Times New Roman" w:eastAsia="黑体"/>
          <w:b w:val="0"/>
          <w:color w:val="000000"/>
          <w:sz w:val="24"/>
          <w:szCs w:val="24"/>
        </w:rPr>
        <w:t>. 监</w:t>
      </w:r>
      <w:bookmarkEnd w:id="178"/>
      <w:bookmarkEnd w:id="179"/>
      <w:bookmarkEnd w:id="180"/>
      <w:bookmarkEnd w:id="181"/>
      <w:bookmarkEnd w:id="182"/>
      <w:bookmarkEnd w:id="183"/>
      <w:bookmarkEnd w:id="184"/>
      <w:bookmarkEnd w:id="185"/>
      <w:bookmarkEnd w:id="186"/>
      <w:bookmarkEnd w:id="187"/>
      <w:bookmarkEnd w:id="188"/>
      <w:r>
        <w:rPr>
          <w:rFonts w:ascii="Times New Roman" w:hAnsi="Times New Roman" w:eastAsia="黑体"/>
          <w:b w:val="0"/>
          <w:color w:val="000000"/>
          <w:sz w:val="24"/>
          <w:szCs w:val="24"/>
        </w:rPr>
        <w:t>理人</w:t>
      </w:r>
      <w:bookmarkEnd w:id="17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关于监理人在施工现场的办公场所、生活场所的提供和费用承担的约定：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89"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90" w:name="_Toc351203637"/>
      <w:r>
        <w:rPr>
          <w:rFonts w:ascii="Times New Roman" w:hAnsi="Times New Roman" w:eastAsia="黑体"/>
          <w:b w:val="0"/>
          <w:color w:val="000000"/>
          <w:sz w:val="24"/>
          <w:szCs w:val="24"/>
        </w:rPr>
        <w:t>5</w:t>
      </w:r>
      <w:bookmarkEnd w:id="189"/>
      <w:bookmarkStart w:id="191" w:name="_Toc292559367"/>
      <w:bookmarkStart w:id="192" w:name="_Toc297048349"/>
      <w:bookmarkStart w:id="193" w:name="_Toc296890991"/>
      <w:bookmarkStart w:id="194" w:name="_Toc296944502"/>
      <w:bookmarkStart w:id="195" w:name="_Toc296891203"/>
      <w:bookmarkStart w:id="196" w:name="_Toc296347162"/>
      <w:bookmarkStart w:id="197" w:name="_Toc297120463"/>
      <w:bookmarkStart w:id="198" w:name="_Toc292559872"/>
      <w:bookmarkStart w:id="199" w:name="_Toc296346664"/>
      <w:bookmarkStart w:id="200" w:name="_Toc296503163"/>
      <w:r>
        <w:rPr>
          <w:rFonts w:ascii="Times New Roman" w:hAnsi="Times New Roman" w:eastAsia="黑体"/>
          <w:b w:val="0"/>
          <w:color w:val="000000"/>
          <w:sz w:val="24"/>
          <w:szCs w:val="24"/>
        </w:rPr>
        <w:t>. 工程质量</w:t>
      </w:r>
      <w:bookmarkEnd w:id="19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w:t>
      </w:r>
      <w:bookmarkStart w:id="201" w:name="_Toc297216155"/>
      <w:bookmarkStart w:id="202" w:name="_Toc312677997"/>
      <w:bookmarkStart w:id="203" w:name="_Toc303539106"/>
      <w:bookmarkStart w:id="204" w:name="_Toc300934949"/>
      <w:bookmarkStart w:id="205" w:name="_Toc304295527"/>
      <w:bookmarkStart w:id="206" w:name="_Toc318581164"/>
      <w:bookmarkStart w:id="207" w:name="_Toc297123496"/>
      <w:r>
        <w:rPr>
          <w:rFonts w:ascii="Times New Roman" w:eastAsia="仿宋_GB2312"/>
          <w:sz w:val="24"/>
          <w:szCs w:val="24"/>
        </w:rPr>
        <w:t>.1.1 特殊质量标准和要求：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关于工程奖项的约定：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黑体"/>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5.3.2承包人提前通知监理人隐蔽工程检查的期限的约定：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pStyle w:val="9"/>
        <w:spacing w:line="480" w:lineRule="exact"/>
        <w:rPr>
          <w:rFonts w:ascii="Times New Roman" w:hAnsi="Times New Roman" w:eastAsia="黑体"/>
          <w:b w:val="0"/>
          <w:color w:val="000000"/>
          <w:sz w:val="24"/>
          <w:szCs w:val="24"/>
        </w:rPr>
      </w:pPr>
      <w:bookmarkStart w:id="208" w:name="_Toc351203638"/>
      <w:r>
        <w:rPr>
          <w:rFonts w:ascii="Times New Roman" w:hAnsi="Times New Roman" w:eastAsia="黑体"/>
          <w:b w:val="0"/>
          <w:color w:val="000000"/>
          <w:sz w:val="24"/>
          <w:szCs w:val="24"/>
        </w:rPr>
        <w:t>6. 安全文明施工与环境保护</w:t>
      </w:r>
      <w:bookmarkEnd w:id="20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6.1.4 关于治安保卫的特别约定：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t xml:space="preserve">                  </w:t>
      </w:r>
      <w:r>
        <w:rPr>
          <w:rFonts w:ascii="Times New Roman" w:eastAsia="仿宋_GB2312"/>
          <w:sz w:val="24"/>
          <w:szCs w:val="24"/>
          <w:u w:val="single"/>
        </w:rPr>
        <w:br w:type="textWrapping"/>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u w:val="single"/>
        </w:rPr>
      </w:pPr>
      <w:r>
        <w:rPr>
          <w:rFonts w:hint="eastAsia" w:ascii="Times New Roman" w:eastAsia="仿宋_GB2312"/>
          <w:sz w:val="24"/>
          <w:szCs w:val="24"/>
        </w:rPr>
        <w:t>合同当事人对文明施工的要求：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01"/>
    <w:bookmarkEnd w:id="202"/>
    <w:bookmarkEnd w:id="203"/>
    <w:bookmarkEnd w:id="204"/>
    <w:bookmarkEnd w:id="205"/>
    <w:bookmarkEnd w:id="206"/>
    <w:bookmarkEnd w:id="207"/>
    <w:p>
      <w:pPr>
        <w:pStyle w:val="9"/>
        <w:spacing w:line="480" w:lineRule="exact"/>
        <w:rPr>
          <w:rFonts w:ascii="Times New Roman" w:hAnsi="Times New Roman" w:eastAsia="黑体"/>
          <w:b w:val="0"/>
          <w:color w:val="000000"/>
          <w:sz w:val="24"/>
          <w:szCs w:val="24"/>
        </w:rPr>
      </w:pPr>
      <w:bookmarkStart w:id="209" w:name="_Toc351203639"/>
      <w:r>
        <w:rPr>
          <w:rFonts w:ascii="Times New Roman" w:hAnsi="Times New Roman" w:eastAsia="黑体"/>
          <w:b w:val="0"/>
          <w:color w:val="000000"/>
          <w:sz w:val="24"/>
          <w:szCs w:val="24"/>
        </w:rPr>
        <w:t>7. 工期和进度</w:t>
      </w:r>
      <w:bookmarkEnd w:id="20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0" w:name="_Toc303539123"/>
      <w:bookmarkStart w:id="211" w:name="_Toc312678005"/>
      <w:bookmarkStart w:id="212" w:name="_Toc312677479"/>
      <w:bookmarkStart w:id="213" w:name="_Toc297123514"/>
      <w:bookmarkStart w:id="214" w:name="_Toc300934966"/>
      <w:bookmarkStart w:id="215" w:name="_Toc297216173"/>
      <w:bookmarkStart w:id="216" w:name="_Toc304295541"/>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w:t>
      </w:r>
      <w:r>
        <w:rPr>
          <w:rFonts w:ascii="Times New Roman" w:eastAsia="仿宋_GB2312"/>
          <w:sz w:val="24"/>
          <w:szCs w:val="24"/>
          <w:u w:val="single"/>
        </w:rPr>
        <w:t xml:space="preserve">     </w:t>
      </w:r>
      <w:r>
        <w:rPr>
          <w:rFonts w:ascii="Times New Roman" w:eastAsia="仿宋_GB2312"/>
          <w:color w:val="000000"/>
          <w:sz w:val="24"/>
          <w:szCs w:val="24"/>
        </w:rPr>
        <w:t>天内发出开工通知的，承包人有权提出价格调整要求，或者解除合同。</w:t>
      </w:r>
    </w:p>
    <w:bookmarkEnd w:id="210"/>
    <w:bookmarkEnd w:id="211"/>
    <w:bookmarkEnd w:id="212"/>
    <w:bookmarkEnd w:id="213"/>
    <w:bookmarkEnd w:id="214"/>
    <w:bookmarkEnd w:id="215"/>
    <w:bookmarkEnd w:id="21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7" w:name="_Toc303539125"/>
      <w:bookmarkStart w:id="218" w:name="_Toc297216175"/>
      <w:bookmarkStart w:id="219" w:name="_Toc312677484"/>
      <w:bookmarkStart w:id="220" w:name="_Toc312678010"/>
      <w:bookmarkStart w:id="221" w:name="_Toc297123516"/>
      <w:bookmarkStart w:id="222" w:name="_Toc300934968"/>
      <w:bookmarkStart w:id="223" w:name="_Toc304295546"/>
      <w:r>
        <w:rPr>
          <w:rFonts w:ascii="Times New Roman" w:eastAsia="黑体"/>
          <w:color w:val="000000"/>
          <w:sz w:val="24"/>
          <w:szCs w:val="24"/>
        </w:rPr>
        <w:t>.5 工期延误</w:t>
      </w:r>
    </w:p>
    <w:bookmarkEnd w:id="217"/>
    <w:bookmarkEnd w:id="218"/>
    <w:bookmarkEnd w:id="219"/>
    <w:bookmarkEnd w:id="220"/>
    <w:bookmarkEnd w:id="221"/>
    <w:bookmarkEnd w:id="222"/>
    <w:bookmarkEnd w:id="223"/>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（7）因发包人原因导致工期延误的其他情形：</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24" w:name="_Toc318581169"/>
      <w:bookmarkStart w:id="225" w:name="_Toc312677486"/>
      <w:bookmarkStart w:id="226" w:name="_Toc312678012"/>
      <w:bookmarkStart w:id="227" w:name="_Toc300934970"/>
      <w:bookmarkStart w:id="228" w:name="_Toc304295548"/>
      <w:bookmarkStart w:id="229" w:name="_Toc297123518"/>
      <w:bookmarkStart w:id="230" w:name="_Toc303539127"/>
      <w:bookmarkStart w:id="231" w:name="_Toc297216177"/>
      <w:r>
        <w:rPr>
          <w:rFonts w:ascii="Times New Roman" w:eastAsia="仿宋_GB2312"/>
          <w:sz w:val="24"/>
          <w:szCs w:val="24"/>
        </w:rPr>
        <w:t>.5.2 因承包人原因导致工期延误</w:t>
      </w:r>
    </w:p>
    <w:bookmarkEnd w:id="224"/>
    <w:bookmarkEnd w:id="225"/>
    <w:bookmarkEnd w:id="226"/>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因</w:t>
      </w:r>
      <w:bookmarkStart w:id="232" w:name="_Toc312678013"/>
      <w:bookmarkStart w:id="233" w:name="_Toc312677487"/>
      <w:bookmarkStart w:id="234" w:name="_Toc318581170"/>
      <w:r>
        <w:rPr>
          <w:rFonts w:ascii="Times New Roman" w:eastAsia="仿宋_GB2312"/>
          <w:sz w:val="24"/>
          <w:szCs w:val="24"/>
        </w:rPr>
        <w:t>承包人原因造成工期延误，逾期竣工违约金的计算方法为：</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27"/>
      <w:bookmarkEnd w:id="228"/>
      <w:bookmarkEnd w:id="229"/>
      <w:bookmarkEnd w:id="230"/>
      <w:bookmarkEnd w:id="231"/>
      <w:bookmarkEnd w:id="232"/>
      <w:bookmarkEnd w:id="233"/>
    </w:p>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35" w:name="_Toc318581171"/>
      <w:bookmarkStart w:id="236" w:name="_Toc312678014"/>
      <w:r>
        <w:rPr>
          <w:rFonts w:ascii="Times New Roman" w:eastAsia="仿宋_GB2312"/>
          <w:sz w:val="24"/>
          <w:szCs w:val="24"/>
        </w:rPr>
        <w:t>期竣工违约金的上限：</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35"/>
    <w:bookmarkEnd w:id="23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37" w:name="_Toc297216178"/>
      <w:bookmarkStart w:id="238" w:name="_Toc297123519"/>
      <w:bookmarkStart w:id="239" w:name="_Toc312678015"/>
      <w:bookmarkStart w:id="240" w:name="_Toc300934971"/>
      <w:bookmarkStart w:id="241" w:name="_Toc303539128"/>
      <w:bookmarkStart w:id="242" w:name="_Toc304295549"/>
      <w:r>
        <w:rPr>
          <w:rFonts w:ascii="Times New Roman" w:eastAsia="黑体"/>
          <w:color w:val="000000"/>
          <w:sz w:val="24"/>
          <w:szCs w:val="24"/>
        </w:rPr>
        <w:t>.6 不</w:t>
      </w:r>
      <w:bookmarkEnd w:id="237"/>
      <w:bookmarkEnd w:id="238"/>
      <w:bookmarkEnd w:id="239"/>
      <w:bookmarkEnd w:id="240"/>
      <w:bookmarkEnd w:id="241"/>
      <w:bookmarkEnd w:id="242"/>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u w:val="single"/>
        </w:rPr>
      </w:pPr>
      <w:bookmarkStart w:id="243" w:name="_Toc303539129"/>
      <w:bookmarkStart w:id="244" w:name="_Toc297216179"/>
      <w:bookmarkStart w:id="245" w:name="_Toc304295550"/>
      <w:bookmarkStart w:id="246" w:name="_Toc318581172"/>
      <w:bookmarkStart w:id="247" w:name="_Toc312678016"/>
      <w:bookmarkStart w:id="248" w:name="_Toc297123520"/>
      <w:bookmarkStart w:id="249" w:name="_Toc300934972"/>
      <w:r>
        <w:rPr>
          <w:rFonts w:ascii="Times New Roman" w:eastAsia="仿宋_GB2312"/>
          <w:sz w:val="24"/>
          <w:szCs w:val="24"/>
        </w:rPr>
        <w:t>不利物质条件的其他情形和有关约定：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43"/>
    <w:bookmarkEnd w:id="244"/>
    <w:bookmarkEnd w:id="245"/>
    <w:bookmarkEnd w:id="246"/>
    <w:bookmarkEnd w:id="247"/>
    <w:bookmarkEnd w:id="248"/>
    <w:bookmarkEnd w:id="24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0" w:name="_Toc304295551"/>
      <w:bookmarkStart w:id="251" w:name="_Toc312678017"/>
      <w:bookmarkStart w:id="252" w:name="_Toc297216180"/>
      <w:bookmarkStart w:id="253" w:name="_Toc297123521"/>
      <w:bookmarkStart w:id="254" w:name="_Toc303539130"/>
      <w:bookmarkStart w:id="255" w:name="_Toc300934973"/>
      <w:r>
        <w:rPr>
          <w:rFonts w:ascii="Times New Roman" w:eastAsia="黑体"/>
          <w:color w:val="000000"/>
          <w:sz w:val="24"/>
          <w:szCs w:val="24"/>
        </w:rPr>
        <w:t>.7异常恶劣的气候条件</w:t>
      </w:r>
    </w:p>
    <w:bookmarkEnd w:id="250"/>
    <w:bookmarkEnd w:id="251"/>
    <w:bookmarkEnd w:id="252"/>
    <w:bookmarkEnd w:id="253"/>
    <w:bookmarkEnd w:id="254"/>
    <w:bookmarkEnd w:id="255"/>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pStyle w:val="9"/>
        <w:spacing w:line="480" w:lineRule="exact"/>
        <w:rPr>
          <w:rFonts w:ascii="Times New Roman" w:hAnsi="Times New Roman" w:eastAsia="黑体"/>
          <w:b w:val="0"/>
          <w:color w:val="000000"/>
          <w:sz w:val="24"/>
          <w:szCs w:val="24"/>
        </w:rPr>
      </w:pPr>
      <w:bookmarkStart w:id="256" w:name="_Toc351203640"/>
      <w:r>
        <w:rPr>
          <w:rFonts w:ascii="Times New Roman" w:hAnsi="Times New Roman" w:eastAsia="黑体"/>
          <w:b w:val="0"/>
          <w:color w:val="000000"/>
          <w:sz w:val="24"/>
          <w:szCs w:val="24"/>
        </w:rPr>
        <w:t>8. 材料与设备</w:t>
      </w:r>
      <w:bookmarkEnd w:id="256"/>
    </w:p>
    <w:bookmarkEnd w:id="191"/>
    <w:bookmarkEnd w:id="192"/>
    <w:bookmarkEnd w:id="193"/>
    <w:bookmarkEnd w:id="194"/>
    <w:bookmarkEnd w:id="195"/>
    <w:bookmarkEnd w:id="196"/>
    <w:bookmarkEnd w:id="197"/>
    <w:bookmarkEnd w:id="198"/>
    <w:bookmarkEnd w:id="199"/>
    <w:bookmarkEnd w:id="20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57" w:name="_Toc303539136"/>
      <w:bookmarkStart w:id="258" w:name="_Toc296347166"/>
      <w:bookmarkStart w:id="259" w:name="_Toc297123527"/>
      <w:bookmarkStart w:id="260" w:name="_Toc300934979"/>
      <w:bookmarkStart w:id="261" w:name="_Toc312678019"/>
      <w:bookmarkStart w:id="262" w:name="_Toc292559877"/>
      <w:bookmarkStart w:id="263" w:name="_Toc296890995"/>
      <w:bookmarkStart w:id="264" w:name="_Toc296944506"/>
      <w:bookmarkStart w:id="265" w:name="_Toc296346668"/>
      <w:bookmarkStart w:id="266" w:name="_Toc280868654"/>
      <w:bookmarkStart w:id="267" w:name="_Toc304295556"/>
      <w:bookmarkStart w:id="268" w:name="_Toc297216186"/>
      <w:bookmarkStart w:id="269" w:name="_Toc297120467"/>
      <w:bookmarkStart w:id="270" w:name="_Toc296503167"/>
      <w:bookmarkStart w:id="271" w:name="_Toc297048353"/>
      <w:bookmarkStart w:id="272" w:name="_Toc292559372"/>
      <w:bookmarkStart w:id="273" w:name="_Toc296891207"/>
      <w:bookmarkStart w:id="274" w:name="_Toc312677493"/>
      <w:bookmarkStart w:id="275" w:name="_Toc267251424"/>
      <w:bookmarkStart w:id="276" w:name="_Toc280868656"/>
      <w:bookmarkStart w:id="277" w:name="_Toc280868655"/>
      <w:r>
        <w:rPr>
          <w:rFonts w:ascii="Times New Roman" w:eastAsia="黑体"/>
          <w:color w:val="000000"/>
          <w:sz w:val="24"/>
          <w:szCs w:val="24"/>
        </w:rPr>
        <w:t>.4材料与工程设备的保管与使用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78" w:name="_Toc292559878"/>
      <w:bookmarkStart w:id="279" w:name="_Toc292559373"/>
      <w:bookmarkStart w:id="280" w:name="_Toc297123528"/>
      <w:bookmarkStart w:id="281" w:name="_Toc296890996"/>
      <w:bookmarkStart w:id="282" w:name="_Toc312678020"/>
      <w:bookmarkStart w:id="283" w:name="_Toc296346669"/>
      <w:bookmarkStart w:id="284" w:name="_Toc318581173"/>
      <w:bookmarkStart w:id="285" w:name="_Toc297216187"/>
      <w:bookmarkStart w:id="286" w:name="_Toc296891208"/>
      <w:bookmarkStart w:id="287" w:name="_Toc312677494"/>
      <w:bookmarkStart w:id="288" w:name="_Toc296944507"/>
      <w:bookmarkStart w:id="289" w:name="_Toc296347167"/>
      <w:bookmarkStart w:id="290" w:name="_Toc300934980"/>
      <w:bookmarkStart w:id="291" w:name="_Toc303539137"/>
      <w:bookmarkStart w:id="292" w:name="_Toc304295557"/>
      <w:bookmarkStart w:id="293" w:name="_Toc297120468"/>
      <w:bookmarkStart w:id="294" w:name="_Toc297048354"/>
      <w:bookmarkStart w:id="295" w:name="_Toc296503168"/>
      <w:r>
        <w:rPr>
          <w:rFonts w:ascii="Times New Roman" w:eastAsia="仿宋_GB2312"/>
          <w:sz w:val="24"/>
          <w:szCs w:val="24"/>
        </w:rPr>
        <w:t>.4.1发包人供应的材料设备的保管费用的承担：</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78"/>
      <w:bookmarkEnd w:id="27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关于修建临时设施费用承担的约定：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pStyle w:val="9"/>
        <w:spacing w:line="480" w:lineRule="exact"/>
        <w:rPr>
          <w:rFonts w:ascii="Times New Roman" w:hAnsi="Times New Roman" w:eastAsia="黑体"/>
          <w:b w:val="0"/>
          <w:color w:val="000000"/>
          <w:sz w:val="24"/>
          <w:szCs w:val="24"/>
        </w:rPr>
      </w:pPr>
      <w:bookmarkStart w:id="296" w:name="_Toc351203641"/>
      <w:r>
        <w:rPr>
          <w:rFonts w:ascii="Times New Roman" w:hAnsi="Times New Roman" w:eastAsia="黑体"/>
          <w:b w:val="0"/>
          <w:color w:val="000000"/>
          <w:sz w:val="24"/>
          <w:szCs w:val="24"/>
        </w:rPr>
        <w:t>9</w:t>
      </w:r>
      <w:bookmarkEnd w:id="275"/>
      <w:bookmarkEnd w:id="276"/>
      <w:bookmarkEnd w:id="277"/>
      <w:bookmarkStart w:id="297" w:name="_Toc312677495"/>
      <w:bookmarkStart w:id="298" w:name="_Toc304295559"/>
      <w:bookmarkStart w:id="299" w:name="_Toc303539139"/>
      <w:bookmarkStart w:id="300" w:name="_Toc312678021"/>
      <w:bookmarkStart w:id="301" w:name="_Toc300934982"/>
      <w:bookmarkStart w:id="302" w:name="_Toc297216192"/>
      <w:bookmarkStart w:id="303" w:name="_Toc297123533"/>
      <w:bookmarkStart w:id="304" w:name="_Toc267251428"/>
      <w:bookmarkStart w:id="305" w:name="_Toc296503173"/>
      <w:bookmarkStart w:id="306" w:name="_Toc267251427"/>
      <w:bookmarkStart w:id="307" w:name="_Toc292559883"/>
      <w:bookmarkStart w:id="308" w:name="_Toc296347172"/>
      <w:bookmarkStart w:id="309" w:name="_Toc296346674"/>
      <w:bookmarkStart w:id="310" w:name="_Toc296944512"/>
      <w:bookmarkStart w:id="311" w:name="_Toc297120473"/>
      <w:bookmarkStart w:id="312" w:name="_Toc297048359"/>
      <w:bookmarkStart w:id="313" w:name="_Toc296891001"/>
      <w:bookmarkStart w:id="314" w:name="_Toc296891213"/>
      <w:bookmarkStart w:id="315" w:name="_Toc292559378"/>
      <w:r>
        <w:rPr>
          <w:rFonts w:ascii="Times New Roman" w:hAnsi="Times New Roman" w:eastAsia="黑体"/>
          <w:b w:val="0"/>
          <w:color w:val="000000"/>
          <w:sz w:val="24"/>
          <w:szCs w:val="24"/>
        </w:rPr>
        <w:t>. 试验与检验</w:t>
      </w:r>
      <w:bookmarkEnd w:id="296"/>
    </w:p>
    <w:bookmarkEnd w:id="297"/>
    <w:bookmarkEnd w:id="298"/>
    <w:bookmarkEnd w:id="299"/>
    <w:bookmarkEnd w:id="300"/>
    <w:bookmarkEnd w:id="301"/>
    <w:bookmarkEnd w:id="302"/>
    <w:bookmarkEnd w:id="30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16" w:name="_Toc312678022"/>
      <w:bookmarkStart w:id="317" w:name="_Toc300934983"/>
      <w:bookmarkStart w:id="318" w:name="_Toc304295560"/>
      <w:bookmarkStart w:id="319" w:name="_Toc297216193"/>
      <w:bookmarkStart w:id="320" w:name="_Toc303539140"/>
      <w:bookmarkStart w:id="321" w:name="_Toc312677496"/>
      <w:bookmarkStart w:id="322" w:name="_Toc297123534"/>
      <w:r>
        <w:rPr>
          <w:rFonts w:ascii="Times New Roman" w:eastAsia="黑体"/>
          <w:color w:val="000000"/>
          <w:sz w:val="24"/>
          <w:szCs w:val="24"/>
        </w:rPr>
        <w:t>.1试验设备与试验人员</w:t>
      </w:r>
    </w:p>
    <w:bookmarkEnd w:id="316"/>
    <w:bookmarkEnd w:id="317"/>
    <w:bookmarkEnd w:id="318"/>
    <w:bookmarkEnd w:id="319"/>
    <w:bookmarkEnd w:id="320"/>
    <w:bookmarkEnd w:id="321"/>
    <w:bookmarkEnd w:id="322"/>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23" w:name="_Toc304295561"/>
      <w:bookmarkStart w:id="324" w:name="_Toc297216194"/>
      <w:bookmarkStart w:id="325" w:name="_Toc303539141"/>
      <w:bookmarkStart w:id="326" w:name="_Toc312677497"/>
      <w:bookmarkStart w:id="327" w:name="_Toc297123535"/>
      <w:bookmarkStart w:id="328" w:name="_Toc300934984"/>
      <w:bookmarkStart w:id="329" w:name="_Toc312678023"/>
      <w:bookmarkStart w:id="330"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施工现场需要配置的试验场所：</w:t>
      </w:r>
      <w:bookmarkEnd w:id="323"/>
      <w:bookmarkEnd w:id="324"/>
      <w:bookmarkEnd w:id="325"/>
      <w:bookmarkEnd w:id="326"/>
      <w:bookmarkEnd w:id="327"/>
      <w:bookmarkEnd w:id="328"/>
      <w:bookmarkEnd w:id="329"/>
      <w:bookmarkStart w:id="331" w:name="_Toc297216195"/>
      <w:bookmarkStart w:id="332" w:name="_Toc300934985"/>
      <w:bookmarkStart w:id="333" w:name="_Toc303539142"/>
      <w:bookmarkStart w:id="334" w:name="_Toc297123536"/>
      <w:bookmarkStart w:id="335" w:name="_Toc304295562"/>
      <w:bookmarkStart w:id="336" w:name="_Toc312678024"/>
      <w:bookmarkStart w:id="337" w:name="_Toc312677498"/>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r>
        <w:rPr>
          <w:rFonts w:hint="eastAsia" w:ascii="Times New Roman" w:eastAsia="仿宋_GB2312"/>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施工现场需要配备的试验设备：</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施工现场需要具备的其他试验条件：</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r>
        <w:rPr>
          <w:rFonts w:hint="eastAsia" w:ascii="Times New Roman" w:eastAsia="黑体"/>
          <w:color w:val="000000"/>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现场工艺试验的有关约定：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330"/>
    <w:bookmarkEnd w:id="331"/>
    <w:bookmarkEnd w:id="332"/>
    <w:bookmarkEnd w:id="333"/>
    <w:bookmarkEnd w:id="334"/>
    <w:bookmarkEnd w:id="335"/>
    <w:bookmarkEnd w:id="336"/>
    <w:bookmarkEnd w:id="337"/>
    <w:p>
      <w:pPr>
        <w:pStyle w:val="9"/>
        <w:spacing w:line="480" w:lineRule="exact"/>
        <w:rPr>
          <w:rFonts w:ascii="Times New Roman" w:hAnsi="Times New Roman" w:eastAsia="黑体"/>
          <w:b w:val="0"/>
          <w:color w:val="000000"/>
          <w:sz w:val="24"/>
          <w:szCs w:val="24"/>
        </w:rPr>
      </w:pPr>
      <w:bookmarkStart w:id="338" w:name="_Toc351203642"/>
      <w:r>
        <w:rPr>
          <w:rFonts w:ascii="Times New Roman" w:hAnsi="Times New Roman" w:eastAsia="黑体"/>
          <w:b w:val="0"/>
          <w:color w:val="000000"/>
          <w:sz w:val="24"/>
          <w:szCs w:val="24"/>
        </w:rPr>
        <w:t>1</w:t>
      </w:r>
      <w:bookmarkEnd w:id="304"/>
      <w:bookmarkEnd w:id="305"/>
      <w:bookmarkEnd w:id="306"/>
      <w:bookmarkEnd w:id="307"/>
      <w:bookmarkEnd w:id="308"/>
      <w:bookmarkEnd w:id="309"/>
      <w:bookmarkEnd w:id="310"/>
      <w:bookmarkEnd w:id="311"/>
      <w:bookmarkEnd w:id="312"/>
      <w:bookmarkEnd w:id="313"/>
      <w:bookmarkEnd w:id="314"/>
      <w:bookmarkEnd w:id="315"/>
      <w:bookmarkStart w:id="339" w:name="_Toc296503193"/>
      <w:bookmarkStart w:id="340" w:name="_Toc300934989"/>
      <w:bookmarkStart w:id="341" w:name="_Toc297120493"/>
      <w:bookmarkStart w:id="342" w:name="_Toc297123540"/>
      <w:bookmarkStart w:id="343" w:name="_Toc296346694"/>
      <w:bookmarkStart w:id="344" w:name="_Toc304295566"/>
      <w:bookmarkStart w:id="345" w:name="_Toc296891021"/>
      <w:bookmarkStart w:id="346" w:name="_Toc292559398"/>
      <w:bookmarkStart w:id="347" w:name="_Toc303539146"/>
      <w:bookmarkStart w:id="348" w:name="_Toc297048379"/>
      <w:bookmarkStart w:id="349" w:name="_Toc292559903"/>
      <w:bookmarkStart w:id="350" w:name="_Toc296347192"/>
      <w:bookmarkStart w:id="351" w:name="_Toc297216199"/>
      <w:bookmarkStart w:id="352" w:name="_Toc296891233"/>
      <w:bookmarkStart w:id="353" w:name="_Toc296944532"/>
      <w:bookmarkStart w:id="354" w:name="_Toc312677499"/>
      <w:bookmarkStart w:id="355" w:name="_Toc312678025"/>
      <w:bookmarkStart w:id="356" w:name="_Toc267251439"/>
      <w:bookmarkStart w:id="357" w:name="_Toc267251437"/>
      <w:bookmarkStart w:id="358" w:name="_Toc267251441"/>
      <w:bookmarkStart w:id="359" w:name="_Toc267251433"/>
      <w:bookmarkStart w:id="360" w:name="_Toc267251440"/>
      <w:bookmarkStart w:id="361" w:name="_Toc267251435"/>
      <w:bookmarkStart w:id="362" w:name="_Toc267251442"/>
      <w:r>
        <w:rPr>
          <w:rFonts w:ascii="Times New Roman" w:hAnsi="Times New Roman" w:eastAsia="黑体"/>
          <w:b w:val="0"/>
          <w:color w:val="000000"/>
          <w:sz w:val="24"/>
          <w:szCs w:val="24"/>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63" w:name="_Toc296891022"/>
      <w:bookmarkStart w:id="364" w:name="_Toc297120494"/>
      <w:bookmarkStart w:id="365" w:name="_Toc304295567"/>
      <w:bookmarkStart w:id="366" w:name="_Toc312678026"/>
      <w:bookmarkStart w:id="367" w:name="_Toc292559399"/>
      <w:bookmarkStart w:id="368" w:name="_Toc296347193"/>
      <w:bookmarkStart w:id="369" w:name="_Toc297048380"/>
      <w:bookmarkStart w:id="370" w:name="_Toc296891234"/>
      <w:bookmarkStart w:id="371" w:name="_Toc297123541"/>
      <w:bookmarkStart w:id="372" w:name="_Toc296503194"/>
      <w:bookmarkStart w:id="373" w:name="_Toc296346695"/>
      <w:bookmarkStart w:id="374" w:name="_Toc312677500"/>
      <w:bookmarkStart w:id="375" w:name="_Toc297216200"/>
      <w:bookmarkStart w:id="376" w:name="_Toc296944533"/>
      <w:bookmarkStart w:id="377" w:name="_Toc300934990"/>
      <w:bookmarkStart w:id="378" w:name="_Toc303539147"/>
      <w:bookmarkStart w:id="379" w:name="_Toc292559904"/>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300934993"/>
      <w:bookmarkStart w:id="381" w:name="_Toc296944536"/>
      <w:bookmarkStart w:id="382" w:name="_Toc303539150"/>
      <w:bookmarkStart w:id="383" w:name="_Toc292559907"/>
      <w:bookmarkStart w:id="384" w:name="_Toc296503197"/>
      <w:bookmarkStart w:id="385" w:name="_Toc297216203"/>
      <w:bookmarkStart w:id="386" w:name="_Toc297123544"/>
      <w:bookmarkStart w:id="387" w:name="_Toc296347196"/>
      <w:bookmarkStart w:id="388" w:name="_Toc297048383"/>
      <w:bookmarkStart w:id="389" w:name="_Toc292559402"/>
      <w:bookmarkStart w:id="390" w:name="_Toc296891237"/>
      <w:bookmarkStart w:id="391" w:name="_Toc297120497"/>
      <w:bookmarkStart w:id="392" w:name="_Toc296891025"/>
      <w:bookmarkStart w:id="393" w:name="_Toc296346698"/>
      <w:bookmarkStart w:id="394" w:name="_Toc304295570"/>
      <w:bookmarkStart w:id="395" w:name="_Toc312678029"/>
      <w:bookmarkStart w:id="396" w:name="_Toc312677503"/>
      <w:r>
        <w:rPr>
          <w:rFonts w:ascii="Times New Roman" w:eastAsia="黑体"/>
          <w:color w:val="000000"/>
          <w:sz w:val="24"/>
          <w:szCs w:val="24"/>
        </w:rPr>
        <w:t>0.5承</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7" w:name="_Toc296944542"/>
      <w:bookmarkStart w:id="398" w:name="_Toc303539151"/>
      <w:bookmarkStart w:id="399" w:name="_Toc292559408"/>
      <w:bookmarkStart w:id="400" w:name="_Toc292559913"/>
      <w:bookmarkStart w:id="401" w:name="_Toc296891243"/>
      <w:bookmarkStart w:id="402" w:name="_Toc296891031"/>
      <w:bookmarkStart w:id="403" w:name="_Toc297216204"/>
      <w:bookmarkStart w:id="404" w:name="_Toc300934994"/>
      <w:bookmarkStart w:id="405" w:name="_Toc296503203"/>
      <w:bookmarkStart w:id="406" w:name="_Toc297120503"/>
      <w:bookmarkStart w:id="407" w:name="_Toc297123545"/>
      <w:bookmarkStart w:id="408" w:name="_Toc296347202"/>
      <w:bookmarkStart w:id="409" w:name="_Toc296346704"/>
      <w:bookmarkStart w:id="410" w:name="_Toc297048389"/>
      <w:r>
        <w:rPr>
          <w:rFonts w:ascii="Times New Roman" w:eastAsia="黑体"/>
          <w:color w:val="000000"/>
          <w:sz w:val="24"/>
          <w:szCs w:val="24"/>
        </w:rPr>
        <w:t>包人的合理化建议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1" w:name="_Toc312678030"/>
      <w:bookmarkStart w:id="412" w:name="_Toc292559409"/>
      <w:bookmarkStart w:id="413" w:name="_Toc296346705"/>
      <w:bookmarkStart w:id="414" w:name="_Toc292559914"/>
      <w:bookmarkStart w:id="415" w:name="_Toc300934995"/>
      <w:bookmarkStart w:id="416" w:name="_Toc296347203"/>
      <w:bookmarkStart w:id="417" w:name="_Toc303539152"/>
      <w:bookmarkStart w:id="418" w:name="_Toc297216205"/>
      <w:bookmarkStart w:id="419" w:name="_Toc304295571"/>
      <w:bookmarkStart w:id="420" w:name="_Toc296503204"/>
      <w:bookmarkStart w:id="421" w:name="_Toc312677504"/>
      <w:bookmarkStart w:id="422" w:name="_Toc296944543"/>
      <w:bookmarkStart w:id="423" w:name="_Toc296891032"/>
      <w:bookmarkStart w:id="424" w:name="_Toc297123546"/>
      <w:bookmarkStart w:id="425" w:name="_Toc318581175"/>
      <w:bookmarkStart w:id="426" w:name="_Toc296891244"/>
      <w:bookmarkStart w:id="427" w:name="_Toc297120504"/>
      <w:bookmarkStart w:id="428" w:name="_Toc297048390"/>
      <w:r>
        <w:rPr>
          <w:rFonts w:ascii="Times New Roman" w:eastAsia="仿宋_GB2312"/>
          <w:sz w:val="24"/>
          <w:szCs w:val="24"/>
        </w:rPr>
        <w:t>包人提出的合理化建议降低了合同价格或者提高了工程经济效益的奖励的方法和金额为：</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u w:val="single"/>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29" w:name="_Toc296503199"/>
      <w:bookmarkStart w:id="430" w:name="_Toc300934997"/>
      <w:bookmarkStart w:id="431" w:name="_Toc297123548"/>
      <w:bookmarkStart w:id="432" w:name="_Toc297216207"/>
      <w:bookmarkStart w:id="433" w:name="_Toc292559404"/>
      <w:bookmarkStart w:id="434" w:name="_Toc297120499"/>
      <w:bookmarkStart w:id="435" w:name="_Toc292559909"/>
      <w:bookmarkStart w:id="436" w:name="_Toc304295574"/>
      <w:bookmarkStart w:id="437" w:name="_Toc303539154"/>
      <w:bookmarkStart w:id="438" w:name="_Toc297048385"/>
      <w:bookmarkStart w:id="439" w:name="_Toc296891027"/>
      <w:bookmarkStart w:id="440" w:name="_Toc296347198"/>
      <w:bookmarkStart w:id="441" w:name="_Toc296891239"/>
      <w:bookmarkStart w:id="442" w:name="_Toc296346700"/>
      <w:bookmarkStart w:id="443" w:name="_Toc296944538"/>
      <w:bookmarkStart w:id="444" w:name="_Toc312678033"/>
      <w:bookmarkStart w:id="445" w:name="_Toc312677507"/>
      <w:r>
        <w:rPr>
          <w:rFonts w:ascii="Times New Roman" w:eastAsia="黑体"/>
          <w:color w:val="000000"/>
          <w:sz w:val="24"/>
          <w:szCs w:val="24"/>
        </w:rPr>
        <w:t>0.7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46" w:name="_Toc318581176"/>
      <w:bookmarkStart w:id="447" w:name="_Toc312677508"/>
      <w:bookmarkStart w:id="448"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46"/>
    <w:bookmarkEnd w:id="447"/>
    <w:bookmarkEnd w:id="448"/>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49" w:name="_Toc312677509"/>
      <w:bookmarkStart w:id="450" w:name="_Toc318581177"/>
      <w:bookmarkStart w:id="451" w:name="_Toc312678035"/>
      <w:r>
        <w:rPr>
          <w:rFonts w:ascii="Times New Roman" w:eastAsia="仿宋_GB2312"/>
          <w:sz w:val="24"/>
          <w:szCs w:val="24"/>
        </w:rPr>
        <w:t>0.7.1 依法必须招标的暂估价项目</w:t>
      </w:r>
    </w:p>
    <w:bookmarkEnd w:id="449"/>
    <w:bookmarkEnd w:id="450"/>
    <w:bookmarkEnd w:id="451"/>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 xml:space="preserve">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hint="eastAsia" w:ascii="Times New Roman" w:eastAsia="仿宋_GB2312"/>
          <w:color w:val="000000"/>
          <w:sz w:val="24"/>
          <w:szCs w:val="24"/>
        </w:rPr>
        <w:t>合同当事人关于暂列金额使用的约定：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452" w:name="_Toc351203643"/>
      <w:r>
        <w:rPr>
          <w:rFonts w:ascii="Times New Roman" w:hAnsi="Times New Roman" w:eastAsia="黑体"/>
          <w:b w:val="0"/>
          <w:color w:val="000000"/>
          <w:sz w:val="24"/>
          <w:szCs w:val="24"/>
        </w:rPr>
        <w:t>11. 价格调整</w:t>
      </w:r>
      <w:bookmarkEnd w:id="452"/>
    </w:p>
    <w:p>
      <w:pPr>
        <w:spacing w:line="480" w:lineRule="exact"/>
        <w:ind w:firstLine="480" w:firstLineChars="200"/>
        <w:rPr>
          <w:rFonts w:ascii="Times New Roman" w:eastAsia="黑体"/>
          <w:color w:val="000000"/>
          <w:sz w:val="24"/>
          <w:szCs w:val="24"/>
        </w:rPr>
      </w:pPr>
      <w:bookmarkStart w:id="453" w:name="_Toc297120501"/>
      <w:bookmarkStart w:id="454" w:name="_Toc296503201"/>
      <w:bookmarkStart w:id="455" w:name="_Toc312678039"/>
      <w:bookmarkStart w:id="456" w:name="_Toc296891241"/>
      <w:bookmarkStart w:id="457" w:name="_Toc296944540"/>
      <w:bookmarkStart w:id="458" w:name="_Toc296346702"/>
      <w:bookmarkStart w:id="459" w:name="_Toc304295577"/>
      <w:bookmarkStart w:id="460" w:name="_Toc303539157"/>
      <w:bookmarkStart w:id="461" w:name="_Toc292559406"/>
      <w:bookmarkStart w:id="462" w:name="_Toc296891029"/>
      <w:bookmarkStart w:id="463" w:name="_Toc296347200"/>
      <w:bookmarkStart w:id="464" w:name="_Toc297123550"/>
      <w:bookmarkStart w:id="465" w:name="_Toc292559911"/>
      <w:bookmarkStart w:id="466" w:name="_Toc300935000"/>
      <w:bookmarkStart w:id="467" w:name="_Toc297048387"/>
      <w:bookmarkStart w:id="468" w:name="_Toc297216209"/>
      <w:r>
        <w:rPr>
          <w:rFonts w:ascii="Times New Roman" w:eastAsia="黑体"/>
          <w:color w:val="000000"/>
          <w:sz w:val="24"/>
          <w:szCs w:val="24"/>
        </w:rPr>
        <w:t>11.1 市场价格波动引起的调整</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sz w:val="24"/>
          <w:szCs w:val="24"/>
          <w:u w:val="single"/>
        </w:rPr>
        <w:t xml:space="preserve">    </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第3种方式：其他价格调整方式：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56"/>
    <w:bookmarkEnd w:id="357"/>
    <w:bookmarkEnd w:id="358"/>
    <w:bookmarkEnd w:id="359"/>
    <w:bookmarkEnd w:id="360"/>
    <w:bookmarkEnd w:id="361"/>
    <w:p>
      <w:pPr>
        <w:pStyle w:val="9"/>
        <w:spacing w:line="480" w:lineRule="exact"/>
        <w:rPr>
          <w:rFonts w:ascii="Times New Roman" w:hAnsi="Times New Roman" w:eastAsia="黑体"/>
          <w:b w:val="0"/>
          <w:color w:val="000000"/>
          <w:sz w:val="24"/>
          <w:szCs w:val="24"/>
        </w:rPr>
      </w:pPr>
      <w:bookmarkStart w:id="469" w:name="_Toc296891245"/>
      <w:bookmarkStart w:id="470" w:name="_Toc296347204"/>
      <w:bookmarkStart w:id="471" w:name="_Toc296503205"/>
      <w:bookmarkStart w:id="472" w:name="_Toc296346706"/>
      <w:bookmarkStart w:id="473" w:name="_Toc292559410"/>
      <w:bookmarkStart w:id="474" w:name="_Toc296944544"/>
      <w:bookmarkStart w:id="475" w:name="_Toc297048391"/>
      <w:bookmarkStart w:id="476" w:name="_Toc296891033"/>
      <w:bookmarkStart w:id="477" w:name="_Toc292559915"/>
      <w:bookmarkStart w:id="478" w:name="_Toc297120505"/>
      <w:bookmarkStart w:id="479" w:name="_Toc351203644"/>
      <w:bookmarkStart w:id="480" w:name="_Toc297216211"/>
      <w:bookmarkStart w:id="481" w:name="_Toc312678040"/>
      <w:bookmarkStart w:id="482" w:name="_Toc303539159"/>
      <w:bookmarkStart w:id="483" w:name="_Toc304295579"/>
      <w:bookmarkStart w:id="484" w:name="_Toc300935002"/>
      <w:bookmarkStart w:id="485" w:name="_Toc297123552"/>
      <w:r>
        <w:rPr>
          <w:rFonts w:ascii="Times New Roman" w:hAnsi="Times New Roman" w:eastAsia="黑体"/>
          <w:b w:val="0"/>
          <w:color w:val="000000"/>
          <w:sz w:val="24"/>
          <w:szCs w:val="24"/>
        </w:rPr>
        <w:t xml:space="preserve">12. </w:t>
      </w:r>
      <w:bookmarkEnd w:id="469"/>
      <w:bookmarkEnd w:id="470"/>
      <w:bookmarkEnd w:id="471"/>
      <w:bookmarkEnd w:id="472"/>
      <w:bookmarkEnd w:id="473"/>
      <w:bookmarkEnd w:id="474"/>
      <w:bookmarkEnd w:id="475"/>
      <w:bookmarkEnd w:id="476"/>
      <w:bookmarkEnd w:id="477"/>
      <w:bookmarkEnd w:id="478"/>
      <w:r>
        <w:rPr>
          <w:rFonts w:ascii="Times New Roman" w:hAnsi="Times New Roman" w:eastAsia="黑体"/>
          <w:b w:val="0"/>
          <w:color w:val="000000"/>
          <w:sz w:val="24"/>
          <w:szCs w:val="24"/>
        </w:rPr>
        <w:t>合同价格、计量与支付</w:t>
      </w:r>
      <w:bookmarkEnd w:id="479"/>
    </w:p>
    <w:bookmarkEnd w:id="480"/>
    <w:bookmarkEnd w:id="481"/>
    <w:bookmarkEnd w:id="482"/>
    <w:bookmarkEnd w:id="483"/>
    <w:bookmarkEnd w:id="484"/>
    <w:bookmarkEnd w:id="485"/>
    <w:p>
      <w:pPr>
        <w:spacing w:line="480" w:lineRule="exact"/>
        <w:ind w:firstLine="480" w:firstLineChars="200"/>
        <w:rPr>
          <w:rFonts w:ascii="Times New Roman" w:eastAsia="黑体"/>
          <w:color w:val="000000"/>
          <w:sz w:val="24"/>
          <w:szCs w:val="24"/>
        </w:rPr>
      </w:pPr>
      <w:bookmarkStart w:id="486" w:name="_Toc292559916"/>
      <w:bookmarkStart w:id="487" w:name="_Toc292559411"/>
      <w:bookmarkStart w:id="488" w:name="_Toc267251461"/>
      <w:bookmarkStart w:id="489" w:name="_Toc296944545"/>
      <w:bookmarkStart w:id="490" w:name="_Toc296346707"/>
      <w:bookmarkStart w:id="491" w:name="_Toc296891034"/>
      <w:bookmarkStart w:id="492" w:name="_Toc296503206"/>
      <w:bookmarkStart w:id="493" w:name="_Toc296891246"/>
      <w:bookmarkStart w:id="494" w:name="_Toc297048392"/>
      <w:bookmarkStart w:id="495" w:name="_Toc296347205"/>
      <w:bookmarkStart w:id="496" w:name="_Toc297120506"/>
      <w:bookmarkStart w:id="497" w:name="_Toc304295580"/>
      <w:bookmarkStart w:id="498" w:name="_Toc303539160"/>
      <w:bookmarkStart w:id="499" w:name="_Toc312678041"/>
      <w:bookmarkStart w:id="500" w:name="_Toc300935003"/>
      <w:bookmarkStart w:id="501" w:name="_Toc297123553"/>
      <w:bookmarkStart w:id="502" w:name="_Toc297216212"/>
      <w:r>
        <w:rPr>
          <w:rFonts w:ascii="Times New Roman" w:eastAsia="黑体"/>
          <w:color w:val="000000"/>
          <w:sz w:val="24"/>
          <w:szCs w:val="24"/>
        </w:rPr>
        <w:t>12.1 合</w:t>
      </w:r>
      <w:bookmarkEnd w:id="486"/>
      <w:bookmarkEnd w:id="487"/>
      <w:bookmarkEnd w:id="488"/>
      <w:r>
        <w:rPr>
          <w:rFonts w:ascii="Times New Roman" w:eastAsia="黑体"/>
          <w:color w:val="000000"/>
          <w:sz w:val="24"/>
          <w:szCs w:val="24"/>
        </w:rPr>
        <w:t>同价</w:t>
      </w:r>
      <w:bookmarkEnd w:id="489"/>
      <w:bookmarkEnd w:id="490"/>
      <w:bookmarkEnd w:id="491"/>
      <w:bookmarkEnd w:id="492"/>
      <w:bookmarkEnd w:id="493"/>
      <w:bookmarkEnd w:id="494"/>
      <w:bookmarkEnd w:id="495"/>
      <w:bookmarkEnd w:id="496"/>
      <w:r>
        <w:rPr>
          <w:rFonts w:ascii="Times New Roman" w:eastAsia="黑体"/>
          <w:color w:val="000000"/>
          <w:sz w:val="24"/>
          <w:szCs w:val="24"/>
        </w:rPr>
        <w:t>格形式</w:t>
      </w:r>
    </w:p>
    <w:bookmarkEnd w:id="497"/>
    <w:bookmarkEnd w:id="498"/>
    <w:bookmarkEnd w:id="499"/>
    <w:bookmarkEnd w:id="500"/>
    <w:bookmarkEnd w:id="501"/>
    <w:bookmarkEnd w:id="50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numPr>
          <w:ilvl w:val="0"/>
          <w:numId w:val="7"/>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03" w:name="_Toc297216213"/>
      <w:bookmarkStart w:id="504" w:name="_Toc312678042"/>
      <w:bookmarkStart w:id="505" w:name="_Toc304295581"/>
      <w:bookmarkStart w:id="506" w:name="_Toc297123554"/>
      <w:bookmarkStart w:id="507" w:name="_Toc303539161"/>
      <w:bookmarkStart w:id="508" w:name="_Toc300935004"/>
      <w:bookmarkStart w:id="509" w:name="_Toc292559917"/>
      <w:bookmarkStart w:id="510" w:name="_Toc296346708"/>
      <w:bookmarkStart w:id="511" w:name="_Toc296503207"/>
      <w:bookmarkStart w:id="512" w:name="_Toc296944546"/>
      <w:bookmarkStart w:id="513" w:name="_Toc297120507"/>
      <w:bookmarkStart w:id="514" w:name="_Toc297048393"/>
      <w:bookmarkStart w:id="515" w:name="_Toc292559412"/>
      <w:bookmarkStart w:id="516" w:name="_Toc296347206"/>
      <w:bookmarkStart w:id="517" w:name="_Toc296891035"/>
      <w:bookmarkStart w:id="518" w:name="_Toc296891247"/>
      <w:r>
        <w:rPr>
          <w:rFonts w:ascii="Times New Roman" w:eastAsia="黑体"/>
          <w:color w:val="000000"/>
          <w:sz w:val="24"/>
          <w:szCs w:val="24"/>
        </w:rPr>
        <w:t>12.2 预付款</w:t>
      </w:r>
    </w:p>
    <w:bookmarkEnd w:id="503"/>
    <w:bookmarkEnd w:id="504"/>
    <w:bookmarkEnd w:id="505"/>
    <w:bookmarkEnd w:id="506"/>
    <w:bookmarkEnd w:id="507"/>
    <w:bookmarkEnd w:id="508"/>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09"/>
    <w:bookmarkEnd w:id="510"/>
    <w:bookmarkEnd w:id="511"/>
    <w:bookmarkEnd w:id="512"/>
    <w:bookmarkEnd w:id="513"/>
    <w:bookmarkEnd w:id="514"/>
    <w:bookmarkEnd w:id="515"/>
    <w:bookmarkEnd w:id="516"/>
    <w:bookmarkEnd w:id="517"/>
    <w:bookmarkEnd w:id="51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19" w:name="_Toc296503211"/>
      <w:bookmarkStart w:id="520" w:name="_Toc303539163"/>
      <w:bookmarkStart w:id="521" w:name="_Toc292559416"/>
      <w:bookmarkStart w:id="522" w:name="_Toc296346712"/>
      <w:bookmarkStart w:id="523" w:name="_Toc297123556"/>
      <w:bookmarkStart w:id="524" w:name="_Toc297120511"/>
      <w:bookmarkStart w:id="525" w:name="_Toc296347210"/>
      <w:bookmarkStart w:id="526" w:name="_Toc292559921"/>
      <w:bookmarkStart w:id="527" w:name="_Toc297216215"/>
      <w:bookmarkStart w:id="528" w:name="_Toc296891251"/>
      <w:bookmarkStart w:id="529" w:name="_Toc296944550"/>
      <w:bookmarkStart w:id="530" w:name="_Toc297048397"/>
      <w:bookmarkStart w:id="531" w:name="_Toc296891039"/>
      <w:bookmarkStart w:id="532" w:name="_Toc300935006"/>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（3）其他价格形式合同进度付款申请单提交的约定：</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2、总价合同支付分解表的编制与审批：</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3、单价合同的总价项目支付分解表的编制与审批：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62"/>
    <w:p>
      <w:pPr>
        <w:pStyle w:val="9"/>
        <w:spacing w:line="480" w:lineRule="exact"/>
        <w:rPr>
          <w:rFonts w:ascii="Times New Roman" w:hAnsi="Times New Roman" w:eastAsia="黑体"/>
          <w:b w:val="0"/>
          <w:color w:val="000000"/>
          <w:sz w:val="24"/>
          <w:szCs w:val="24"/>
        </w:rPr>
      </w:pPr>
      <w:bookmarkStart w:id="533" w:name="_Toc351203645"/>
      <w:bookmarkStart w:id="534" w:name="_Toc300935015"/>
      <w:bookmarkStart w:id="535" w:name="_Toc304295593"/>
      <w:bookmarkStart w:id="536" w:name="_Toc292559424"/>
      <w:bookmarkStart w:id="537" w:name="_Toc296503219"/>
      <w:bookmarkStart w:id="538" w:name="_Toc296346720"/>
      <w:bookmarkStart w:id="539" w:name="_Toc296891259"/>
      <w:bookmarkStart w:id="540" w:name="_Toc297120519"/>
      <w:bookmarkStart w:id="541" w:name="_Toc296347218"/>
      <w:bookmarkStart w:id="542" w:name="_Toc297216223"/>
      <w:bookmarkStart w:id="543" w:name="_Toc292559929"/>
      <w:bookmarkStart w:id="544" w:name="_Toc303539172"/>
      <w:bookmarkStart w:id="545" w:name="_Toc297048405"/>
      <w:bookmarkStart w:id="546" w:name="_Toc296944558"/>
      <w:bookmarkStart w:id="547" w:name="_Toc312678053"/>
      <w:bookmarkStart w:id="548" w:name="_Toc296891047"/>
      <w:bookmarkStart w:id="549" w:name="_Toc297123564"/>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0" w:name="_Toc296944562"/>
      <w:bookmarkStart w:id="551" w:name="_Toc297123565"/>
      <w:bookmarkStart w:id="552" w:name="_Toc296347222"/>
      <w:bookmarkStart w:id="553" w:name="_Toc297216224"/>
      <w:bookmarkStart w:id="554" w:name="_Toc312678056"/>
      <w:bookmarkStart w:id="555" w:name="_Toc296891263"/>
      <w:bookmarkStart w:id="556" w:name="_Toc296891051"/>
      <w:bookmarkStart w:id="557" w:name="_Toc300935016"/>
      <w:bookmarkStart w:id="558" w:name="_Toc296503223"/>
      <w:bookmarkStart w:id="559" w:name="_Toc292559933"/>
      <w:bookmarkStart w:id="560" w:name="_Toc292559428"/>
      <w:bookmarkStart w:id="561" w:name="_Toc296346724"/>
      <w:bookmarkStart w:id="562" w:name="_Toc297048409"/>
      <w:bookmarkStart w:id="563" w:name="_Toc304295596"/>
      <w:bookmarkStart w:id="564" w:name="_Toc303539173"/>
      <w:bookmarkStart w:id="565" w:name="_Toc297120523"/>
      <w:bookmarkStart w:id="566" w:name="_Toc267251472"/>
      <w:bookmarkStart w:id="567" w:name="_Toc267251476"/>
      <w:bookmarkStart w:id="568" w:name="_Toc267251474"/>
      <w:bookmarkStart w:id="569" w:name="_Toc267251475"/>
      <w:bookmarkStart w:id="570" w:name="_Toc267251470"/>
      <w:bookmarkStart w:id="571" w:name="_Toc267251473"/>
      <w:bookmarkStart w:id="572" w:name="_Toc267251471"/>
      <w:r>
        <w:rPr>
          <w:rFonts w:ascii="Times New Roman" w:eastAsia="黑体"/>
          <w:color w:val="000000"/>
          <w:sz w:val="24"/>
          <w:szCs w:val="24"/>
        </w:rPr>
        <w:t>13.2 竣工验收</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spacing w:line="480" w:lineRule="exact"/>
        <w:ind w:firstLine="480" w:firstLineChars="200"/>
        <w:jc w:val="left"/>
        <w:rPr>
          <w:rFonts w:ascii="Times New Roman" w:eastAsia="仿宋_GB2312"/>
          <w:color w:val="000000"/>
          <w:sz w:val="24"/>
          <w:szCs w:val="24"/>
        </w:rPr>
      </w:pPr>
      <w:bookmarkStart w:id="573" w:name="_Toc280868704"/>
      <w:bookmarkStart w:id="574" w:name="_Toc280868705"/>
      <w:bookmarkStart w:id="575" w:name="_Toc280868706"/>
      <w:bookmarkStart w:id="576" w:name="_Toc280868707"/>
      <w:bookmarkStart w:id="577" w:name="_Toc280868708"/>
      <w:bookmarkStart w:id="578" w:name="_Toc280868709"/>
      <w:r>
        <w:rPr>
          <w:rFonts w:ascii="Times New Roman" w:eastAsia="仿宋_GB2312"/>
          <w:color w:val="000000"/>
          <w:sz w:val="24"/>
          <w:szCs w:val="24"/>
        </w:rPr>
        <w:t>13.2.2竣工验收程序</w:t>
      </w:r>
    </w:p>
    <w:bookmarkEnd w:id="573"/>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7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75"/>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76"/>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工程试车内容：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579" w:name="_Toc351203646"/>
      <w:r>
        <w:rPr>
          <w:rFonts w:ascii="Times New Roman" w:hAnsi="Times New Roman" w:eastAsia="黑体"/>
          <w:b w:val="0"/>
          <w:color w:val="000000"/>
          <w:sz w:val="24"/>
          <w:szCs w:val="24"/>
        </w:rPr>
        <w:t>14. 竣工结算</w:t>
      </w:r>
      <w:bookmarkEnd w:id="57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sz w:val="24"/>
          <w:szCs w:val="24"/>
        </w:rPr>
        <w:t xml:space="preserve"> </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66"/>
    <w:bookmarkEnd w:id="567"/>
    <w:bookmarkEnd w:id="568"/>
    <w:bookmarkEnd w:id="569"/>
    <w:bookmarkEnd w:id="570"/>
    <w:bookmarkEnd w:id="571"/>
    <w:bookmarkEnd w:id="572"/>
    <w:bookmarkEnd w:id="578"/>
    <w:p>
      <w:pPr>
        <w:pStyle w:val="9"/>
        <w:spacing w:line="480" w:lineRule="exact"/>
        <w:rPr>
          <w:rFonts w:ascii="Times New Roman" w:hAnsi="Times New Roman" w:eastAsia="黑体"/>
          <w:b w:val="0"/>
          <w:color w:val="000000"/>
          <w:sz w:val="24"/>
          <w:szCs w:val="24"/>
        </w:rPr>
      </w:pPr>
      <w:bookmarkStart w:id="580" w:name="_Toc351203647"/>
      <w:bookmarkStart w:id="581" w:name="_Toc267251483"/>
      <w:bookmarkStart w:id="582" w:name="_Toc267251482"/>
      <w:bookmarkStart w:id="583" w:name="_Toc267251484"/>
      <w:bookmarkStart w:id="584" w:name="_Toc267251485"/>
      <w:bookmarkStart w:id="585" w:name="_Toc267251486"/>
      <w:bookmarkStart w:id="586" w:name="_Toc267251489"/>
      <w:bookmarkStart w:id="587" w:name="_Toc267251488"/>
      <w:bookmarkStart w:id="588" w:name="_Toc267251490"/>
      <w:bookmarkStart w:id="589" w:name="_Toc267251499"/>
      <w:bookmarkStart w:id="590" w:name="_Toc267251496"/>
      <w:bookmarkStart w:id="591" w:name="_Toc267251498"/>
      <w:bookmarkStart w:id="592" w:name="_Toc267251501"/>
      <w:bookmarkStart w:id="593" w:name="_Toc267251494"/>
      <w:bookmarkStart w:id="594" w:name="_Toc267251497"/>
      <w:bookmarkStart w:id="595" w:name="_Toc267251503"/>
      <w:bookmarkStart w:id="596" w:name="_Toc267251492"/>
      <w:bookmarkStart w:id="597" w:name="_Toc267251493"/>
      <w:bookmarkStart w:id="598" w:name="_Toc267251495"/>
      <w:bookmarkStart w:id="599" w:name="_Toc267251502"/>
      <w:bookmarkStart w:id="600" w:name="_Toc267251491"/>
      <w:bookmarkStart w:id="601" w:name="_Toc267251506"/>
      <w:bookmarkStart w:id="602" w:name="_Toc267251504"/>
      <w:bookmarkStart w:id="603" w:name="_Toc267251507"/>
      <w:bookmarkStart w:id="604" w:name="_Toc267251508"/>
      <w:bookmarkStart w:id="605" w:name="_Toc267251511"/>
      <w:bookmarkStart w:id="606" w:name="_Toc267251515"/>
      <w:bookmarkStart w:id="607" w:name="_Toc267251513"/>
      <w:bookmarkStart w:id="608" w:name="_Toc267251510"/>
      <w:bookmarkStart w:id="609" w:name="_Toc267251514"/>
      <w:bookmarkStart w:id="610" w:name="_Toc267251509"/>
      <w:r>
        <w:rPr>
          <w:rFonts w:ascii="Times New Roman" w:hAnsi="Times New Roman" w:eastAsia="黑体"/>
          <w:b w:val="0"/>
          <w:color w:val="000000"/>
          <w:sz w:val="24"/>
          <w:szCs w:val="24"/>
        </w:rPr>
        <w:t>15. 缺陷责任期与保修</w:t>
      </w:r>
      <w:bookmarkEnd w:id="580"/>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1"/>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（1）质量保证金保函，保证金额为：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ascii="Times New Roman" w:eastAsia="仿宋_GB2312"/>
          <w:color w:val="000000"/>
          <w:sz w:val="24"/>
          <w:szCs w:val="24"/>
        </w:rPr>
        <w:t>%的工程款；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bookmarkEnd w:id="582"/>
    <w:bookmarkEnd w:id="58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84"/>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工程保修期为：</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5"/>
    <w:bookmarkEnd w:id="586"/>
    <w:bookmarkEnd w:id="587"/>
    <w:bookmarkEnd w:id="588"/>
    <w:p>
      <w:pPr>
        <w:pStyle w:val="9"/>
        <w:spacing w:line="480" w:lineRule="exact"/>
        <w:rPr>
          <w:rFonts w:ascii="Times New Roman" w:hAnsi="Times New Roman" w:eastAsia="黑体"/>
          <w:b w:val="0"/>
          <w:color w:val="000000"/>
          <w:sz w:val="24"/>
          <w:szCs w:val="24"/>
        </w:rPr>
      </w:pPr>
      <w:bookmarkStart w:id="611" w:name="_Toc351203648"/>
      <w:bookmarkStart w:id="612" w:name="_Toc280868717"/>
      <w:bookmarkStart w:id="613" w:name="_Toc280868718"/>
      <w:r>
        <w:rPr>
          <w:rFonts w:ascii="Times New Roman" w:hAnsi="Times New Roman" w:eastAsia="黑体"/>
          <w:b w:val="0"/>
          <w:color w:val="000000"/>
          <w:sz w:val="24"/>
          <w:szCs w:val="24"/>
        </w:rPr>
        <w:t>16. 违约</w:t>
      </w:r>
      <w:bookmarkEnd w:id="611"/>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（5）因发包人违反合同约定造成暂停施工的违约责任：</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w:t>
      </w:r>
      <w:r>
        <w:rPr>
          <w:rFonts w:ascii="Times New Roman" w:eastAsia="仿宋_GB2312"/>
          <w:color w:val="000000"/>
          <w:sz w:val="24"/>
          <w:szCs w:val="24"/>
          <w:u w:val="single"/>
        </w:rPr>
        <w:t xml:space="preserve">    </w:t>
      </w:r>
      <w:r>
        <w:rPr>
          <w:rFonts w:ascii="Times New Roman" w:eastAsia="仿宋_GB2312"/>
          <w:color w:val="000000"/>
          <w:sz w:val="24"/>
          <w:szCs w:val="24"/>
        </w:rPr>
        <w:t>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before="120" w:after="120"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14" w:name="_Toc351203649"/>
      <w:r>
        <w:rPr>
          <w:rFonts w:ascii="Times New Roman" w:hAnsi="Times New Roman" w:eastAsia="黑体"/>
          <w:b w:val="0"/>
          <w:color w:val="000000"/>
          <w:sz w:val="24"/>
          <w:szCs w:val="24"/>
        </w:rPr>
        <w:t>17. 不可抗力</w:t>
      </w:r>
      <w:bookmarkEnd w:id="614"/>
      <w:r>
        <w:rPr>
          <w:rFonts w:ascii="Times New Roman" w:hAnsi="Times New Roman" w:eastAsia="黑体"/>
          <w:b w:val="0"/>
          <w:color w:val="000000"/>
          <w:sz w:val="24"/>
          <w:szCs w:val="24"/>
        </w:rPr>
        <w:t xml:space="preserve"> </w:t>
      </w:r>
      <w:bookmarkEnd w:id="612"/>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除通用合同条款约定的不可抗力事件之外，视为不可抗力的其他情形：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w:t>
      </w:r>
      <w:r>
        <w:rPr>
          <w:rFonts w:ascii="Times New Roman" w:eastAsia="仿宋_GB2312"/>
          <w:color w:val="000000"/>
          <w:sz w:val="24"/>
          <w:szCs w:val="24"/>
          <w:u w:val="single"/>
        </w:rPr>
        <w:t xml:space="preserve">    </w:t>
      </w:r>
      <w:r>
        <w:rPr>
          <w:rFonts w:ascii="Times New Roman" w:eastAsia="仿宋_GB2312"/>
          <w:color w:val="000000"/>
          <w:sz w:val="24"/>
          <w:szCs w:val="24"/>
        </w:rPr>
        <w:t>天内完成款项的支付。</w:t>
      </w:r>
    </w:p>
    <w:p>
      <w:pPr>
        <w:pStyle w:val="9"/>
        <w:spacing w:line="480" w:lineRule="exact"/>
        <w:rPr>
          <w:rFonts w:ascii="Times New Roman" w:hAnsi="Times New Roman" w:eastAsia="黑体"/>
          <w:b w:val="0"/>
          <w:color w:val="000000"/>
          <w:sz w:val="24"/>
          <w:szCs w:val="24"/>
        </w:rPr>
      </w:pPr>
      <w:bookmarkStart w:id="615" w:name="_Toc351203650"/>
      <w:r>
        <w:rPr>
          <w:rFonts w:ascii="Times New Roman" w:hAnsi="Times New Roman" w:eastAsia="黑体"/>
          <w:b w:val="0"/>
          <w:color w:val="000000"/>
          <w:sz w:val="24"/>
          <w:szCs w:val="24"/>
        </w:rPr>
        <w:t>18. 保险</w:t>
      </w:r>
      <w:bookmarkEnd w:id="615"/>
    </w:p>
    <w:bookmarkEnd w:id="61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9"/>
    <w:bookmarkEnd w:id="590"/>
    <w:bookmarkEnd w:id="591"/>
    <w:bookmarkEnd w:id="592"/>
    <w:bookmarkEnd w:id="593"/>
    <w:bookmarkEnd w:id="594"/>
    <w:bookmarkEnd w:id="595"/>
    <w:bookmarkEnd w:id="596"/>
    <w:bookmarkEnd w:id="597"/>
    <w:bookmarkEnd w:id="598"/>
    <w:bookmarkEnd w:id="599"/>
    <w:bookmarkEnd w:id="600"/>
    <w:p>
      <w:pPr>
        <w:pStyle w:val="9"/>
        <w:spacing w:line="480" w:lineRule="exact"/>
        <w:rPr>
          <w:rFonts w:ascii="Times New Roman" w:hAnsi="Times New Roman" w:eastAsia="黑体"/>
          <w:b w:val="0"/>
          <w:color w:val="000000"/>
          <w:sz w:val="24"/>
          <w:szCs w:val="24"/>
        </w:rPr>
      </w:pPr>
      <w:bookmarkStart w:id="616" w:name="_Toc351203651"/>
      <w:r>
        <w:rPr>
          <w:rFonts w:ascii="Times New Roman" w:hAnsi="Times New Roman" w:eastAsia="黑体"/>
          <w:b w:val="0"/>
          <w:color w:val="000000"/>
          <w:sz w:val="24"/>
          <w:szCs w:val="24"/>
        </w:rPr>
        <w:t>20. 争议解决</w:t>
      </w:r>
      <w:bookmarkEnd w:id="616"/>
    </w:p>
    <w:bookmarkEnd w:id="601"/>
    <w:bookmarkEnd w:id="602"/>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03"/>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04"/>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w:t>
      </w:r>
      <w:r>
        <w:rPr>
          <w:rFonts w:ascii="Times New Roman" w:eastAsia="仿宋_GB2312"/>
          <w:color w:val="000000"/>
          <w:sz w:val="24"/>
          <w:szCs w:val="24"/>
          <w:u w:val="single"/>
        </w:rPr>
        <w:t xml:space="preserve">                     </w:t>
      </w:r>
      <w:r>
        <w:rPr>
          <w:rFonts w:ascii="Times New Roman" w:eastAsia="仿宋_GB2312"/>
          <w:color w:val="000000"/>
          <w:sz w:val="24"/>
          <w:szCs w:val="24"/>
        </w:rPr>
        <w:t>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w:t>
      </w:r>
      <w:r>
        <w:rPr>
          <w:rFonts w:ascii="Times New Roman" w:eastAsia="仿宋_GB2312"/>
          <w:color w:val="000000"/>
          <w:sz w:val="24"/>
          <w:szCs w:val="24"/>
          <w:u w:val="single"/>
        </w:rPr>
        <w:t xml:space="preserve">                     </w:t>
      </w:r>
      <w:r>
        <w:rPr>
          <w:rFonts w:ascii="Times New Roman" w:eastAsia="仿宋_GB2312"/>
          <w:color w:val="000000"/>
          <w:sz w:val="24"/>
          <w:szCs w:val="24"/>
        </w:rPr>
        <w:t>人民法院起诉。</w:t>
      </w:r>
      <w:bookmarkEnd w:id="605"/>
      <w:bookmarkEnd w:id="606"/>
      <w:bookmarkEnd w:id="607"/>
      <w:bookmarkEnd w:id="608"/>
      <w:bookmarkEnd w:id="609"/>
      <w:bookmarkEnd w:id="610"/>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w:t>
      </w:r>
    </w:p>
    <w:p>
      <w:pPr>
        <w:tabs>
          <w:tab w:val="left" w:pos="0"/>
        </w:tabs>
        <w:spacing w:line="440" w:lineRule="exact"/>
        <w:rPr>
          <w:rFonts w:ascii="新宋体" w:hAnsi="新宋体" w:eastAsia="新宋体"/>
          <w:sz w:val="24"/>
        </w:rPr>
      </w:pPr>
      <w:r>
        <w:rPr>
          <w:rFonts w:hint="eastAsia" w:ascii="新宋体" w:hAnsi="新宋体" w:eastAsia="新宋体"/>
          <w:sz w:val="24"/>
        </w:rPr>
        <w:t>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 50500-2013）、《河南省通用安装工程预算定额》（HA02-31-2016）以及相关造价文件等进行编制及相关文件资料；</w:t>
      </w:r>
    </w:p>
    <w:p>
      <w:pPr>
        <w:pStyle w:val="2"/>
        <w:ind w:firstLine="240"/>
        <w:rPr>
          <w:rFonts w:hAnsi="宋体" w:cs="宋体"/>
          <w:sz w:val="24"/>
        </w:rPr>
      </w:pPr>
      <w:r>
        <w:rPr>
          <w:rFonts w:hint="eastAsia" w:hAnsi="宋体" w:cs="宋体"/>
          <w:sz w:val="24"/>
        </w:rPr>
        <w:t>（3）增值税税率，依据“建办标函［2019］193号”，按9%计算；规费按规定计取；</w:t>
      </w:r>
    </w:p>
    <w:p>
      <w:pPr>
        <w:pStyle w:val="2"/>
        <w:ind w:firstLine="240"/>
        <w:rPr>
          <w:rFonts w:hAnsi="宋体" w:cs="宋体"/>
          <w:sz w:val="24"/>
        </w:rPr>
      </w:pPr>
      <w:r>
        <w:rPr>
          <w:rFonts w:hint="eastAsia" w:hAnsi="宋体" w:cs="宋体"/>
          <w:sz w:val="24"/>
        </w:rPr>
        <w:t>（4）人工费指数、机械类指数、管理类指类按豫建标定【2018】40号文件计入；</w:t>
      </w:r>
    </w:p>
    <w:p>
      <w:pPr>
        <w:pStyle w:val="2"/>
        <w:ind w:firstLine="240"/>
        <w:rPr>
          <w:rFonts w:hAnsi="宋体" w:cs="宋体"/>
          <w:sz w:val="24"/>
        </w:rPr>
      </w:pPr>
      <w:r>
        <w:rPr>
          <w:rFonts w:hint="eastAsia" w:hAnsi="宋体" w:cs="宋体"/>
          <w:sz w:val="24"/>
        </w:rPr>
        <w:t>（5）主要材料价格参考2019年《许昌信息价》第2期，及结合市场询价。</w:t>
      </w:r>
    </w:p>
    <w:p>
      <w:pPr>
        <w:spacing w:line="440" w:lineRule="exact"/>
        <w:ind w:firstLine="240" w:firstLineChars="100"/>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hint="eastAsia"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0"/>
    <w:p>
      <w:pPr>
        <w:autoSpaceDE w:val="0"/>
        <w:autoSpaceDN w:val="0"/>
        <w:adjustRightInd w:val="0"/>
        <w:outlineLvl w:val="0"/>
        <w:rPr>
          <w:rFonts w:hAnsi="宋体" w:cs="黑体"/>
          <w:b/>
          <w:sz w:val="36"/>
          <w:szCs w:val="36"/>
        </w:rPr>
      </w:pPr>
      <w:bookmarkStart w:id="617" w:name="_Toc278443522"/>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1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18" w:name="_Toc278443525"/>
    </w:p>
    <w:p>
      <w:pPr>
        <w:autoSpaceDE w:val="0"/>
        <w:autoSpaceDN w:val="0"/>
        <w:adjustRightInd w:val="0"/>
        <w:spacing w:before="312" w:beforeLines="100" w:after="312"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312" w:beforeLines="100" w:after="312" w:afterLines="100"/>
        <w:jc w:val="center"/>
        <w:outlineLvl w:val="0"/>
        <w:rPr>
          <w:rFonts w:hAnsi="宋体" w:cs="黑体"/>
          <w:b/>
          <w:sz w:val="44"/>
          <w:szCs w:val="44"/>
        </w:rPr>
      </w:pPr>
      <w:r>
        <w:rPr>
          <w:rFonts w:hint="eastAsia" w:hAnsi="宋体" w:cs="黑体"/>
          <w:b/>
          <w:sz w:val="44"/>
          <w:szCs w:val="44"/>
        </w:rPr>
        <w:t>第七章投标文件格式</w:t>
      </w:r>
      <w:bookmarkEnd w:id="618"/>
    </w:p>
    <w:p>
      <w:pPr>
        <w:autoSpaceDE w:val="0"/>
        <w:autoSpaceDN w:val="0"/>
        <w:adjustRightInd w:val="0"/>
        <w:jc w:val="right"/>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FF0000"/>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140</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FF0000"/>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140</w:t>
      </w:r>
      <w:r>
        <w:rPr>
          <w:rFonts w:hint="eastAsia" w:hAnsi="宋体" w:cs="宋体"/>
          <w:bCs/>
          <w:color w:val="auto"/>
          <w:sz w:val="32"/>
          <w:szCs w:val="22"/>
        </w:rPr>
        <w:t>号</w:t>
      </w:r>
    </w:p>
    <w:p>
      <w:pPr>
        <w:autoSpaceDE w:val="0"/>
        <w:autoSpaceDN w:val="0"/>
        <w:adjustRightInd w:val="0"/>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619"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0"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0"/>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1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1" w:name="_Toc271787731"/>
      <w:r>
        <w:rPr>
          <w:rFonts w:hint="eastAsia" w:ascii="黑体" w:hAnsi="新宋体" w:eastAsia="黑体" w:cs="黑体"/>
          <w:sz w:val="28"/>
          <w:szCs w:val="28"/>
        </w:rPr>
        <w:t>（一）法定代表人身份证明</w:t>
      </w:r>
      <w:bookmarkEnd w:id="62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22" w:name="_Toc271787732"/>
      <w:r>
        <w:rPr>
          <w:rFonts w:hint="eastAsia" w:ascii="黑体" w:hAnsi="新宋体" w:eastAsia="黑体" w:cs="黑体"/>
          <w:sz w:val="28"/>
          <w:szCs w:val="28"/>
        </w:rPr>
        <w:t>（二）授权委托书</w:t>
      </w:r>
      <w:bookmarkEnd w:id="62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FF0000"/>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140</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int="eastAsia" w:hAnsi="宋体" w:cs="宋体"/>
          <w:b/>
          <w:sz w:val="26"/>
          <w:szCs w:val="26"/>
        </w:rPr>
      </w:pPr>
      <w:r>
        <w:rPr>
          <w:rFonts w:hint="eastAsia" w:hAnsi="宋体" w:cs="宋体"/>
          <w:b/>
          <w:sz w:val="26"/>
          <w:szCs w:val="26"/>
        </w:rPr>
        <w:t>（1）内容完整性；</w:t>
      </w:r>
    </w:p>
    <w:p>
      <w:pPr>
        <w:tabs>
          <w:tab w:val="center" w:pos="4739"/>
        </w:tabs>
        <w:ind w:left="180"/>
        <w:rPr>
          <w:rFonts w:hint="eastAsia" w:hAnsi="宋体" w:cs="宋体"/>
          <w:b/>
          <w:sz w:val="26"/>
          <w:szCs w:val="26"/>
        </w:rPr>
      </w:pPr>
      <w:r>
        <w:rPr>
          <w:rFonts w:hint="eastAsia" w:hAnsi="宋体" w:cs="宋体"/>
          <w:b/>
          <w:sz w:val="26"/>
          <w:szCs w:val="26"/>
        </w:rPr>
        <w:t>（2）</w:t>
      </w:r>
      <w:r>
        <w:rPr>
          <w:rFonts w:hint="eastAsia" w:hAnsi="宋体" w:cs="宋体"/>
          <w:b/>
          <w:sz w:val="26"/>
          <w:szCs w:val="26"/>
          <w:lang w:val="en-US" w:eastAsia="zh-CN"/>
        </w:rPr>
        <w:t>主要</w:t>
      </w:r>
      <w:r>
        <w:rPr>
          <w:rFonts w:hint="eastAsia" w:hAnsi="宋体" w:cs="宋体"/>
          <w:b/>
          <w:sz w:val="26"/>
          <w:szCs w:val="26"/>
        </w:rPr>
        <w:t>施工方案</w:t>
      </w:r>
      <w:r>
        <w:rPr>
          <w:rFonts w:hint="eastAsia" w:hAnsi="宋体" w:cs="宋体"/>
          <w:b/>
          <w:sz w:val="26"/>
          <w:szCs w:val="26"/>
          <w:lang w:val="en-US" w:eastAsia="zh-CN"/>
        </w:rPr>
        <w:t>与</w:t>
      </w:r>
      <w:r>
        <w:rPr>
          <w:rFonts w:hint="eastAsia" w:hAnsi="宋体" w:cs="宋体"/>
          <w:b/>
          <w:sz w:val="26"/>
          <w:szCs w:val="26"/>
        </w:rPr>
        <w:t>技术措施；</w:t>
      </w:r>
    </w:p>
    <w:p>
      <w:pPr>
        <w:tabs>
          <w:tab w:val="center" w:pos="4739"/>
        </w:tabs>
        <w:ind w:left="180"/>
        <w:rPr>
          <w:rFonts w:hint="eastAsia" w:hAnsi="宋体" w:cs="宋体"/>
          <w:b/>
          <w:sz w:val="26"/>
          <w:szCs w:val="26"/>
        </w:rPr>
      </w:pPr>
      <w:r>
        <w:rPr>
          <w:rFonts w:hint="eastAsia" w:hAnsi="宋体" w:cs="宋体"/>
          <w:b/>
          <w:sz w:val="26"/>
          <w:szCs w:val="26"/>
        </w:rPr>
        <w:t>（3）质量管理体系与措施；</w:t>
      </w:r>
    </w:p>
    <w:p>
      <w:pPr>
        <w:tabs>
          <w:tab w:val="center" w:pos="4739"/>
        </w:tabs>
        <w:ind w:left="180"/>
        <w:rPr>
          <w:rFonts w:hint="eastAsia" w:hAnsi="宋体" w:cs="宋体"/>
          <w:b/>
          <w:sz w:val="26"/>
          <w:szCs w:val="26"/>
        </w:rPr>
      </w:pPr>
      <w:r>
        <w:rPr>
          <w:rFonts w:hint="eastAsia" w:hAnsi="宋体" w:cs="宋体"/>
          <w:b/>
          <w:sz w:val="26"/>
          <w:szCs w:val="26"/>
        </w:rPr>
        <w:t>（4）安全管理体系与措施；</w:t>
      </w:r>
    </w:p>
    <w:p>
      <w:pPr>
        <w:tabs>
          <w:tab w:val="center" w:pos="4739"/>
        </w:tabs>
        <w:ind w:left="180"/>
        <w:rPr>
          <w:rFonts w:hint="eastAsia" w:hAnsi="宋体" w:cs="宋体"/>
          <w:b/>
          <w:sz w:val="26"/>
          <w:szCs w:val="26"/>
        </w:rPr>
      </w:pPr>
      <w:r>
        <w:rPr>
          <w:rFonts w:hint="eastAsia" w:hAnsi="宋体" w:cs="宋体"/>
          <w:b/>
          <w:sz w:val="26"/>
          <w:szCs w:val="26"/>
        </w:rPr>
        <w:t>（5）</w:t>
      </w:r>
      <w:r>
        <w:rPr>
          <w:rFonts w:hint="eastAsia" w:hAnsi="宋体" w:cs="宋体"/>
          <w:b/>
          <w:sz w:val="26"/>
          <w:szCs w:val="26"/>
          <w:lang w:val="en-US" w:eastAsia="zh-CN"/>
        </w:rPr>
        <w:t>文明施工、</w:t>
      </w:r>
      <w:r>
        <w:rPr>
          <w:rFonts w:hint="eastAsia" w:hAnsi="宋体" w:cs="宋体"/>
          <w:b/>
          <w:sz w:val="26"/>
          <w:szCs w:val="26"/>
        </w:rPr>
        <w:t>环境保护管理体系</w:t>
      </w:r>
      <w:r>
        <w:rPr>
          <w:rFonts w:hint="eastAsia" w:hAnsi="宋体" w:cs="宋体"/>
          <w:b/>
          <w:sz w:val="26"/>
          <w:szCs w:val="26"/>
          <w:lang w:val="en-US" w:eastAsia="zh-CN"/>
        </w:rPr>
        <w:t>及施工现场扬尘治理措施</w:t>
      </w:r>
      <w:r>
        <w:rPr>
          <w:rFonts w:hint="eastAsia" w:hAnsi="宋体" w:cs="宋体"/>
          <w:b/>
          <w:sz w:val="26"/>
          <w:szCs w:val="26"/>
        </w:rPr>
        <w:t>；</w:t>
      </w:r>
    </w:p>
    <w:p>
      <w:pPr>
        <w:tabs>
          <w:tab w:val="center" w:pos="4739"/>
        </w:tabs>
        <w:ind w:left="180"/>
        <w:rPr>
          <w:rFonts w:hint="default" w:hAnsi="宋体" w:cs="宋体"/>
          <w:b/>
          <w:sz w:val="26"/>
          <w:szCs w:val="26"/>
          <w:lang w:val="en-US" w:eastAsia="zh-CN"/>
        </w:rPr>
      </w:pPr>
      <w:r>
        <w:rPr>
          <w:rFonts w:hint="eastAsia" w:hAnsi="宋体" w:cs="宋体"/>
          <w:b/>
          <w:sz w:val="26"/>
          <w:szCs w:val="26"/>
        </w:rPr>
        <w:t>（6）</w:t>
      </w:r>
      <w:r>
        <w:rPr>
          <w:rFonts w:hint="eastAsia" w:hAnsi="宋体" w:cs="宋体"/>
          <w:b/>
          <w:sz w:val="26"/>
          <w:szCs w:val="26"/>
          <w:lang w:val="en-US" w:eastAsia="zh-CN"/>
        </w:rPr>
        <w:t>工期保证措施；</w:t>
      </w:r>
    </w:p>
    <w:p>
      <w:pPr>
        <w:tabs>
          <w:tab w:val="center" w:pos="4739"/>
        </w:tabs>
        <w:ind w:left="180"/>
        <w:rPr>
          <w:rFonts w:hint="eastAsia" w:hAnsi="宋体" w:cs="宋体"/>
          <w:b/>
          <w:sz w:val="26"/>
          <w:szCs w:val="26"/>
        </w:rPr>
      </w:pPr>
      <w:r>
        <w:rPr>
          <w:rFonts w:hint="eastAsia" w:hAnsi="宋体" w:cs="宋体"/>
          <w:b/>
          <w:sz w:val="26"/>
          <w:szCs w:val="26"/>
        </w:rPr>
        <w:t>（7）拟投入资源配备计划；</w:t>
      </w:r>
    </w:p>
    <w:p>
      <w:pPr>
        <w:tabs>
          <w:tab w:val="center" w:pos="4739"/>
        </w:tabs>
        <w:ind w:left="180"/>
        <w:rPr>
          <w:rFonts w:hint="eastAsia" w:hAnsi="宋体" w:cs="宋体"/>
          <w:b/>
          <w:sz w:val="26"/>
          <w:szCs w:val="26"/>
        </w:rPr>
      </w:pPr>
      <w:r>
        <w:rPr>
          <w:rFonts w:hint="eastAsia" w:hAnsi="宋体" w:cs="宋体"/>
          <w:b/>
          <w:sz w:val="26"/>
          <w:szCs w:val="26"/>
        </w:rPr>
        <w:t>（8）施工进度表</w:t>
      </w:r>
      <w:r>
        <w:rPr>
          <w:rFonts w:hint="eastAsia" w:hAnsi="宋体" w:cs="宋体"/>
          <w:b/>
          <w:sz w:val="26"/>
          <w:szCs w:val="26"/>
          <w:lang w:val="en-US" w:eastAsia="zh-CN"/>
        </w:rPr>
        <w:t>与</w:t>
      </w:r>
      <w:r>
        <w:rPr>
          <w:rFonts w:hint="eastAsia" w:hAnsi="宋体" w:cs="宋体"/>
          <w:b/>
          <w:sz w:val="26"/>
          <w:szCs w:val="26"/>
        </w:rPr>
        <w:t>网络</w:t>
      </w:r>
      <w:r>
        <w:rPr>
          <w:rFonts w:hint="eastAsia" w:hAnsi="宋体" w:cs="宋体"/>
          <w:b/>
          <w:sz w:val="26"/>
          <w:szCs w:val="26"/>
          <w:lang w:val="en-US" w:eastAsia="zh-CN"/>
        </w:rPr>
        <w:t>计划</w:t>
      </w:r>
      <w:r>
        <w:rPr>
          <w:rFonts w:hint="eastAsia" w:hAnsi="宋体" w:cs="宋体"/>
          <w:b/>
          <w:sz w:val="26"/>
          <w:szCs w:val="26"/>
        </w:rPr>
        <w:t>图；</w:t>
      </w:r>
    </w:p>
    <w:p>
      <w:pPr>
        <w:tabs>
          <w:tab w:val="center" w:pos="4739"/>
        </w:tabs>
        <w:ind w:left="180"/>
        <w:rPr>
          <w:rFonts w:hint="eastAsia" w:hAnsi="宋体" w:cs="宋体"/>
          <w:b/>
          <w:sz w:val="26"/>
          <w:szCs w:val="26"/>
        </w:rPr>
      </w:pPr>
      <w:r>
        <w:rPr>
          <w:rFonts w:hint="eastAsia" w:hAnsi="宋体" w:cs="宋体"/>
          <w:b/>
          <w:sz w:val="26"/>
          <w:szCs w:val="26"/>
        </w:rPr>
        <w:t>（9）施工总平面图布置；</w:t>
      </w:r>
    </w:p>
    <w:p>
      <w:pPr>
        <w:tabs>
          <w:tab w:val="center" w:pos="4739"/>
        </w:tabs>
        <w:ind w:left="180"/>
        <w:rPr>
          <w:rFonts w:hint="default" w:hAnsi="宋体" w:cs="宋体"/>
          <w:b/>
          <w:sz w:val="26"/>
          <w:szCs w:val="26"/>
          <w:lang w:val="en-US" w:eastAsia="zh-CN"/>
        </w:rPr>
      </w:pPr>
      <w:r>
        <w:rPr>
          <w:rFonts w:hint="eastAsia" w:hAnsi="宋体" w:cs="宋体"/>
          <w:b/>
          <w:sz w:val="26"/>
          <w:szCs w:val="26"/>
        </w:rPr>
        <w:t>（10）</w:t>
      </w:r>
      <w:r>
        <w:rPr>
          <w:rFonts w:hint="eastAsia" w:hAnsi="宋体" w:cs="宋体"/>
          <w:b/>
          <w:sz w:val="26"/>
          <w:szCs w:val="26"/>
          <w:lang w:val="en-US" w:eastAsia="zh-CN"/>
        </w:rPr>
        <w:t>技术创新的应用实施措施；</w:t>
      </w:r>
    </w:p>
    <w:p>
      <w:pPr>
        <w:tabs>
          <w:tab w:val="center" w:pos="4739"/>
        </w:tabs>
        <w:ind w:left="180"/>
        <w:rPr>
          <w:rFonts w:hint="eastAsia" w:hAnsi="宋体" w:cs="宋体"/>
          <w:b/>
          <w:sz w:val="26"/>
          <w:szCs w:val="26"/>
        </w:rPr>
      </w:pPr>
      <w:r>
        <w:rPr>
          <w:rFonts w:hint="eastAsia" w:hAnsi="宋体" w:cs="宋体"/>
          <w:b/>
          <w:sz w:val="26"/>
          <w:szCs w:val="26"/>
        </w:rPr>
        <w:t>（11）</w:t>
      </w:r>
      <w:r>
        <w:rPr>
          <w:rFonts w:hint="eastAsia" w:hAnsi="宋体" w:cs="宋体"/>
          <w:b/>
          <w:sz w:val="26"/>
          <w:szCs w:val="26"/>
          <w:lang w:val="en-US" w:eastAsia="zh-CN"/>
        </w:rPr>
        <w:t>采用</w:t>
      </w:r>
      <w:r>
        <w:rPr>
          <w:rFonts w:hint="eastAsia" w:hAnsi="宋体" w:cs="宋体"/>
          <w:b/>
          <w:sz w:val="26"/>
          <w:szCs w:val="26"/>
        </w:rPr>
        <w:t>新工艺、新技术、新设备、新材料</w:t>
      </w:r>
      <w:r>
        <w:rPr>
          <w:rFonts w:hint="eastAsia" w:hAnsi="宋体" w:cs="宋体"/>
          <w:b/>
          <w:sz w:val="26"/>
          <w:szCs w:val="26"/>
          <w:lang w:eastAsia="zh-CN"/>
        </w:rPr>
        <w:t>、</w:t>
      </w:r>
      <w:r>
        <w:rPr>
          <w:rFonts w:hint="eastAsia" w:hAnsi="宋体" w:cs="宋体"/>
          <w:b/>
          <w:sz w:val="26"/>
          <w:szCs w:val="26"/>
          <w:lang w:val="en-US" w:eastAsia="zh-CN"/>
        </w:rPr>
        <w:t>BIM等</w:t>
      </w:r>
      <w:r>
        <w:rPr>
          <w:rFonts w:hint="eastAsia" w:hAnsi="宋体" w:cs="宋体"/>
          <w:b/>
          <w:sz w:val="26"/>
          <w:szCs w:val="26"/>
        </w:rPr>
        <w:t>的程度；</w:t>
      </w:r>
    </w:p>
    <w:p>
      <w:pPr>
        <w:tabs>
          <w:tab w:val="center" w:pos="4739"/>
        </w:tabs>
        <w:ind w:left="180"/>
        <w:rPr>
          <w:rFonts w:hint="eastAsia" w:hAnsi="宋体" w:cs="宋体"/>
          <w:b/>
          <w:sz w:val="26"/>
          <w:szCs w:val="26"/>
          <w:lang w:eastAsia="zh-CN"/>
        </w:rPr>
      </w:pPr>
      <w:r>
        <w:rPr>
          <w:rFonts w:hint="eastAsia" w:hAnsi="宋体" w:cs="宋体"/>
          <w:b/>
          <w:sz w:val="26"/>
          <w:szCs w:val="26"/>
        </w:rPr>
        <w:t>（12）</w:t>
      </w:r>
      <w:r>
        <w:rPr>
          <w:rFonts w:hint="eastAsia" w:hAnsi="宋体" w:cs="宋体"/>
          <w:b/>
          <w:sz w:val="26"/>
          <w:szCs w:val="26"/>
          <w:lang w:val="en-US" w:eastAsia="zh-CN"/>
        </w:rPr>
        <w:t>施工</w:t>
      </w:r>
      <w:r>
        <w:rPr>
          <w:rFonts w:hint="eastAsia" w:hAnsi="宋体" w:cs="宋体"/>
          <w:b/>
          <w:sz w:val="26"/>
          <w:szCs w:val="26"/>
        </w:rPr>
        <w:t>现场实施</w:t>
      </w:r>
      <w:r>
        <w:rPr>
          <w:rFonts w:hint="eastAsia" w:hAnsi="宋体" w:cs="宋体"/>
          <w:b/>
          <w:sz w:val="26"/>
          <w:szCs w:val="26"/>
          <w:lang w:val="en-US" w:eastAsia="zh-CN"/>
        </w:rPr>
        <w:t>信息化</w:t>
      </w:r>
      <w:r>
        <w:rPr>
          <w:rFonts w:hint="eastAsia" w:hAnsi="宋体" w:cs="宋体"/>
          <w:b/>
          <w:sz w:val="26"/>
          <w:szCs w:val="26"/>
        </w:rPr>
        <w:t>监控和数据处理</w:t>
      </w:r>
      <w:r>
        <w:rPr>
          <w:rFonts w:hint="eastAsia" w:hAnsi="宋体" w:cs="宋体"/>
          <w:b/>
          <w:sz w:val="26"/>
          <w:szCs w:val="26"/>
          <w:lang w:eastAsia="zh-CN"/>
        </w:rPr>
        <w:t>；</w:t>
      </w:r>
    </w:p>
    <w:p>
      <w:pPr>
        <w:tabs>
          <w:tab w:val="center" w:pos="4739"/>
        </w:tabs>
        <w:ind w:left="180"/>
        <w:rPr>
          <w:rFonts w:hint="default" w:hAnsi="宋体" w:cs="宋体"/>
          <w:b/>
          <w:sz w:val="26"/>
          <w:szCs w:val="26"/>
          <w:lang w:val="en-US" w:eastAsia="zh-CN"/>
        </w:rPr>
      </w:pPr>
      <w:r>
        <w:rPr>
          <w:rFonts w:hint="eastAsia" w:hAnsi="宋体" w:cs="宋体"/>
          <w:b/>
          <w:sz w:val="26"/>
          <w:szCs w:val="26"/>
          <w:lang w:eastAsia="zh-CN"/>
        </w:rPr>
        <w:t>（</w:t>
      </w:r>
      <w:r>
        <w:rPr>
          <w:rFonts w:hint="eastAsia" w:hAnsi="宋体" w:cs="宋体"/>
          <w:b/>
          <w:sz w:val="26"/>
          <w:szCs w:val="26"/>
          <w:lang w:val="en-US" w:eastAsia="zh-CN"/>
        </w:rPr>
        <w:t>13</w:t>
      </w:r>
      <w:r>
        <w:rPr>
          <w:rFonts w:hint="eastAsia" w:hAnsi="宋体" w:cs="宋体"/>
          <w:b/>
          <w:sz w:val="26"/>
          <w:szCs w:val="26"/>
          <w:lang w:eastAsia="zh-CN"/>
        </w:rPr>
        <w:t>）</w:t>
      </w:r>
      <w:r>
        <w:rPr>
          <w:rFonts w:hint="eastAsia" w:hAnsi="宋体" w:cs="宋体"/>
          <w:b/>
          <w:sz w:val="26"/>
          <w:szCs w:val="26"/>
          <w:lang w:val="en-US" w:eastAsia="zh-CN"/>
        </w:rPr>
        <w:t>风险管理措施。</w:t>
      </w:r>
    </w:p>
    <w:p>
      <w:pPr>
        <w:tabs>
          <w:tab w:val="center" w:pos="4739"/>
        </w:tabs>
        <w:ind w:left="180"/>
        <w:rPr>
          <w:rFonts w:hint="eastAsia" w:hAnsi="宋体" w:cs="宋体"/>
          <w:b/>
          <w:sz w:val="26"/>
          <w:szCs w:val="26"/>
        </w:rPr>
      </w:pPr>
    </w:p>
    <w:p>
      <w:pPr>
        <w:tabs>
          <w:tab w:val="center" w:pos="4739"/>
        </w:tabs>
        <w:ind w:left="180"/>
        <w:rPr>
          <w:rFonts w:hint="eastAsia" w:hAnsi="宋体" w:cs="宋体"/>
          <w:b/>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F30B2"/>
    <w:multiLevelType w:val="singleLevel"/>
    <w:tmpl w:val="871F30B2"/>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CAAF2B"/>
    <w:multiLevelType w:val="singleLevel"/>
    <w:tmpl w:val="04CAAF2B"/>
    <w:lvl w:ilvl="0" w:tentative="0">
      <w:start w:val="1"/>
      <w:numFmt w:val="decimal"/>
      <w:suff w:val="nothing"/>
      <w:lvlText w:val="%1、"/>
      <w:lvlJc w:val="left"/>
    </w:lvl>
  </w:abstractNum>
  <w:abstractNum w:abstractNumId="3">
    <w:nsid w:val="17F76BAB"/>
    <w:multiLevelType w:val="singleLevel"/>
    <w:tmpl w:val="17F76BAB"/>
    <w:lvl w:ilvl="0" w:tentative="0">
      <w:start w:val="1"/>
      <w:numFmt w:val="decimal"/>
      <w:suff w:val="nothing"/>
      <w:lvlText w:val="%1、"/>
      <w:lvlJc w:val="left"/>
    </w:lvl>
  </w:abstractNum>
  <w:abstractNum w:abstractNumId="4">
    <w:nsid w:val="2CC990DF"/>
    <w:multiLevelType w:val="singleLevel"/>
    <w:tmpl w:val="2CC990DF"/>
    <w:lvl w:ilvl="0" w:tentative="0">
      <w:start w:val="1"/>
      <w:numFmt w:val="decimal"/>
      <w:suff w:val="nothing"/>
      <w:lvlText w:val="%1、"/>
      <w:lvlJc w:val="left"/>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A73B3EB"/>
    <w:multiLevelType w:val="singleLevel"/>
    <w:tmpl w:val="5A73B3EB"/>
    <w:lvl w:ilvl="0" w:tentative="0">
      <w:start w:val="1"/>
      <w:numFmt w:val="chineseCounting"/>
      <w:suff w:val="nothing"/>
      <w:lvlText w:val="%1、"/>
      <w:lvlJc w:val="left"/>
    </w:lvl>
  </w:abstractNum>
  <w:abstractNum w:abstractNumId="8">
    <w:nsid w:val="5A9F875C"/>
    <w:multiLevelType w:val="singleLevel"/>
    <w:tmpl w:val="5A9F875C"/>
    <w:lvl w:ilvl="0" w:tentative="0">
      <w:start w:val="1"/>
      <w:numFmt w:val="chineseCounting"/>
      <w:suff w:val="space"/>
      <w:lvlText w:val="第%1章"/>
      <w:lvlJc w:val="left"/>
    </w:lvl>
  </w:abstractNum>
  <w:abstractNum w:abstractNumId="9">
    <w:nsid w:val="7A188572"/>
    <w:multiLevelType w:val="singleLevel"/>
    <w:tmpl w:val="7A188572"/>
    <w:lvl w:ilvl="0" w:tentative="0">
      <w:start w:val="1"/>
      <w:numFmt w:val="chineseCounting"/>
      <w:suff w:val="space"/>
      <w:lvlText w:val="第%1章"/>
      <w:lvlJc w:val="left"/>
      <w:rPr>
        <w:rFonts w:hint="eastAsia"/>
      </w:rPr>
    </w:lvl>
  </w:abstractNum>
  <w:num w:numId="1">
    <w:abstractNumId w:val="9"/>
  </w:num>
  <w:num w:numId="2">
    <w:abstractNumId w:val="8"/>
  </w:num>
  <w:num w:numId="3">
    <w:abstractNumId w:val="1"/>
  </w:num>
  <w:num w:numId="4">
    <w:abstractNumId w:val="0"/>
  </w:num>
  <w:num w:numId="5">
    <w:abstractNumId w:val="2"/>
  </w:num>
  <w:num w:numId="6">
    <w:abstractNumId w:val="4"/>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2B47"/>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176B"/>
    <w:rsid w:val="00903E33"/>
    <w:rsid w:val="009046D3"/>
    <w:rsid w:val="00913652"/>
    <w:rsid w:val="00914023"/>
    <w:rsid w:val="009174F8"/>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62707"/>
    <w:rsid w:val="00A728AE"/>
    <w:rsid w:val="00A72A87"/>
    <w:rsid w:val="00A74405"/>
    <w:rsid w:val="00A76DFE"/>
    <w:rsid w:val="00A82892"/>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C3472"/>
    <w:rsid w:val="00BE3E23"/>
    <w:rsid w:val="00BF3412"/>
    <w:rsid w:val="00BF64FD"/>
    <w:rsid w:val="00C179DF"/>
    <w:rsid w:val="00C40DF7"/>
    <w:rsid w:val="00C616A4"/>
    <w:rsid w:val="00C83852"/>
    <w:rsid w:val="00C840A3"/>
    <w:rsid w:val="00C94803"/>
    <w:rsid w:val="00C96F90"/>
    <w:rsid w:val="00CD7C23"/>
    <w:rsid w:val="00CF455D"/>
    <w:rsid w:val="00D0486B"/>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422EE"/>
    <w:rsid w:val="010E73C0"/>
    <w:rsid w:val="01110E06"/>
    <w:rsid w:val="011922C1"/>
    <w:rsid w:val="011B5EC7"/>
    <w:rsid w:val="011C4FCB"/>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AD5063"/>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C27CAB"/>
    <w:rsid w:val="03E8463F"/>
    <w:rsid w:val="03F04217"/>
    <w:rsid w:val="03F5780A"/>
    <w:rsid w:val="03F630D5"/>
    <w:rsid w:val="04054A2B"/>
    <w:rsid w:val="04064707"/>
    <w:rsid w:val="040934D0"/>
    <w:rsid w:val="04122E14"/>
    <w:rsid w:val="04123476"/>
    <w:rsid w:val="0414519C"/>
    <w:rsid w:val="041461E1"/>
    <w:rsid w:val="041729A1"/>
    <w:rsid w:val="042275C0"/>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E4AAE"/>
    <w:rsid w:val="04DF1FE0"/>
    <w:rsid w:val="04DF3FCB"/>
    <w:rsid w:val="04E05700"/>
    <w:rsid w:val="04E172CD"/>
    <w:rsid w:val="04EA3AA0"/>
    <w:rsid w:val="04F57CA3"/>
    <w:rsid w:val="04F61493"/>
    <w:rsid w:val="05166C6E"/>
    <w:rsid w:val="052A72E0"/>
    <w:rsid w:val="05336A3F"/>
    <w:rsid w:val="05397558"/>
    <w:rsid w:val="053D00B6"/>
    <w:rsid w:val="05466E43"/>
    <w:rsid w:val="0556554D"/>
    <w:rsid w:val="055E72FF"/>
    <w:rsid w:val="05674392"/>
    <w:rsid w:val="056C4502"/>
    <w:rsid w:val="057D235D"/>
    <w:rsid w:val="0596338A"/>
    <w:rsid w:val="05A07B6E"/>
    <w:rsid w:val="05B01A2F"/>
    <w:rsid w:val="05B2033B"/>
    <w:rsid w:val="05B2313E"/>
    <w:rsid w:val="05D011E8"/>
    <w:rsid w:val="05D3476D"/>
    <w:rsid w:val="05D63571"/>
    <w:rsid w:val="05E655CF"/>
    <w:rsid w:val="05F0226B"/>
    <w:rsid w:val="05F26614"/>
    <w:rsid w:val="05F810FA"/>
    <w:rsid w:val="06005707"/>
    <w:rsid w:val="06030411"/>
    <w:rsid w:val="060C6CC9"/>
    <w:rsid w:val="06150DBA"/>
    <w:rsid w:val="063D0506"/>
    <w:rsid w:val="065B0E15"/>
    <w:rsid w:val="06621415"/>
    <w:rsid w:val="06672F0B"/>
    <w:rsid w:val="066D4902"/>
    <w:rsid w:val="066E53C9"/>
    <w:rsid w:val="06717DA2"/>
    <w:rsid w:val="06783059"/>
    <w:rsid w:val="067F7AA5"/>
    <w:rsid w:val="06855742"/>
    <w:rsid w:val="069C1423"/>
    <w:rsid w:val="069F291D"/>
    <w:rsid w:val="06A7610C"/>
    <w:rsid w:val="06B80933"/>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D97406"/>
    <w:rsid w:val="07E50E7A"/>
    <w:rsid w:val="07ED0064"/>
    <w:rsid w:val="07FA1B0E"/>
    <w:rsid w:val="08115F74"/>
    <w:rsid w:val="081258F1"/>
    <w:rsid w:val="08165D36"/>
    <w:rsid w:val="082A30ED"/>
    <w:rsid w:val="082D0BA9"/>
    <w:rsid w:val="083A5177"/>
    <w:rsid w:val="083E562A"/>
    <w:rsid w:val="08581DFD"/>
    <w:rsid w:val="085D7498"/>
    <w:rsid w:val="085F666B"/>
    <w:rsid w:val="08641845"/>
    <w:rsid w:val="086F58A5"/>
    <w:rsid w:val="087A2652"/>
    <w:rsid w:val="08812725"/>
    <w:rsid w:val="08813CB5"/>
    <w:rsid w:val="08894651"/>
    <w:rsid w:val="089B0FEE"/>
    <w:rsid w:val="089C4071"/>
    <w:rsid w:val="08A272BD"/>
    <w:rsid w:val="08AB7C23"/>
    <w:rsid w:val="08BA55B6"/>
    <w:rsid w:val="08BD0C5B"/>
    <w:rsid w:val="08C14C8E"/>
    <w:rsid w:val="08CD7F6B"/>
    <w:rsid w:val="08E535C2"/>
    <w:rsid w:val="08E6490B"/>
    <w:rsid w:val="08E77B89"/>
    <w:rsid w:val="08ED341D"/>
    <w:rsid w:val="08F91555"/>
    <w:rsid w:val="09044296"/>
    <w:rsid w:val="090479FA"/>
    <w:rsid w:val="091017BD"/>
    <w:rsid w:val="09132DF8"/>
    <w:rsid w:val="09172DBC"/>
    <w:rsid w:val="09276536"/>
    <w:rsid w:val="092B3D47"/>
    <w:rsid w:val="093E67D4"/>
    <w:rsid w:val="094165A9"/>
    <w:rsid w:val="095143AD"/>
    <w:rsid w:val="09545365"/>
    <w:rsid w:val="095A3F9A"/>
    <w:rsid w:val="09630E14"/>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3121BC"/>
    <w:rsid w:val="0A583F9A"/>
    <w:rsid w:val="0A612757"/>
    <w:rsid w:val="0A680F13"/>
    <w:rsid w:val="0A6A72D1"/>
    <w:rsid w:val="0A702524"/>
    <w:rsid w:val="0A731C56"/>
    <w:rsid w:val="0A9109E9"/>
    <w:rsid w:val="0A96082D"/>
    <w:rsid w:val="0A9A5D3D"/>
    <w:rsid w:val="0A9B67F9"/>
    <w:rsid w:val="0ABE5AFE"/>
    <w:rsid w:val="0ABF36A1"/>
    <w:rsid w:val="0AC709E5"/>
    <w:rsid w:val="0ACB45ED"/>
    <w:rsid w:val="0AD81CA6"/>
    <w:rsid w:val="0AD97181"/>
    <w:rsid w:val="0AE9299A"/>
    <w:rsid w:val="0AF92D82"/>
    <w:rsid w:val="0AFD4675"/>
    <w:rsid w:val="0AFE4389"/>
    <w:rsid w:val="0B036B82"/>
    <w:rsid w:val="0B0978FC"/>
    <w:rsid w:val="0B0D3507"/>
    <w:rsid w:val="0B0F6AB9"/>
    <w:rsid w:val="0B1109DE"/>
    <w:rsid w:val="0B15582D"/>
    <w:rsid w:val="0B2517FA"/>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24E63"/>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2047B"/>
    <w:rsid w:val="0CDB2A0A"/>
    <w:rsid w:val="0CDB7DFA"/>
    <w:rsid w:val="0CE12681"/>
    <w:rsid w:val="0CEF24BA"/>
    <w:rsid w:val="0CFB3760"/>
    <w:rsid w:val="0D032F9E"/>
    <w:rsid w:val="0D065361"/>
    <w:rsid w:val="0D0D6A84"/>
    <w:rsid w:val="0D245BED"/>
    <w:rsid w:val="0D2E7CDE"/>
    <w:rsid w:val="0D52544D"/>
    <w:rsid w:val="0D631BA2"/>
    <w:rsid w:val="0D761084"/>
    <w:rsid w:val="0D7A1D9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0453A"/>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43019"/>
    <w:rsid w:val="0EE80E43"/>
    <w:rsid w:val="0EE911F1"/>
    <w:rsid w:val="0EF648C6"/>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632069"/>
    <w:rsid w:val="0F7125D5"/>
    <w:rsid w:val="0F794915"/>
    <w:rsid w:val="0F7E2308"/>
    <w:rsid w:val="0F854E6E"/>
    <w:rsid w:val="0F8D1D66"/>
    <w:rsid w:val="0F8E634C"/>
    <w:rsid w:val="0F923D51"/>
    <w:rsid w:val="0F960DE0"/>
    <w:rsid w:val="0FAC1D9A"/>
    <w:rsid w:val="0FB0737F"/>
    <w:rsid w:val="0FB35CCF"/>
    <w:rsid w:val="0FC97A04"/>
    <w:rsid w:val="0FCE6FEC"/>
    <w:rsid w:val="0FE426F8"/>
    <w:rsid w:val="0FE47F4E"/>
    <w:rsid w:val="0FEB6B2A"/>
    <w:rsid w:val="0FEC6591"/>
    <w:rsid w:val="10041DCD"/>
    <w:rsid w:val="100C0C63"/>
    <w:rsid w:val="10215FFC"/>
    <w:rsid w:val="10251309"/>
    <w:rsid w:val="10261BAA"/>
    <w:rsid w:val="102B15CE"/>
    <w:rsid w:val="103C6776"/>
    <w:rsid w:val="104A034A"/>
    <w:rsid w:val="106306D4"/>
    <w:rsid w:val="10645D4C"/>
    <w:rsid w:val="10660739"/>
    <w:rsid w:val="1069565E"/>
    <w:rsid w:val="106F11B4"/>
    <w:rsid w:val="10762B17"/>
    <w:rsid w:val="108B5B30"/>
    <w:rsid w:val="10957BCE"/>
    <w:rsid w:val="10965B95"/>
    <w:rsid w:val="109B7E33"/>
    <w:rsid w:val="109F2072"/>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4E2225"/>
    <w:rsid w:val="11596574"/>
    <w:rsid w:val="11691C7B"/>
    <w:rsid w:val="11904AFD"/>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34B33"/>
    <w:rsid w:val="129528F2"/>
    <w:rsid w:val="129B402D"/>
    <w:rsid w:val="129E1CBC"/>
    <w:rsid w:val="12A5368B"/>
    <w:rsid w:val="12A67371"/>
    <w:rsid w:val="12AC6B78"/>
    <w:rsid w:val="12C77051"/>
    <w:rsid w:val="12C95AA1"/>
    <w:rsid w:val="12D55ED5"/>
    <w:rsid w:val="12DF1D8A"/>
    <w:rsid w:val="12E073E8"/>
    <w:rsid w:val="12EE7D04"/>
    <w:rsid w:val="12F17637"/>
    <w:rsid w:val="13040A65"/>
    <w:rsid w:val="1306646C"/>
    <w:rsid w:val="132523FC"/>
    <w:rsid w:val="13396B15"/>
    <w:rsid w:val="136A0D4C"/>
    <w:rsid w:val="136B4255"/>
    <w:rsid w:val="13701D45"/>
    <w:rsid w:val="13A4469C"/>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75CB7"/>
    <w:rsid w:val="146B646A"/>
    <w:rsid w:val="14772DD6"/>
    <w:rsid w:val="1477508C"/>
    <w:rsid w:val="148515B6"/>
    <w:rsid w:val="1487448F"/>
    <w:rsid w:val="14973195"/>
    <w:rsid w:val="14A23DCB"/>
    <w:rsid w:val="14A87F51"/>
    <w:rsid w:val="14B15ED6"/>
    <w:rsid w:val="14B450AE"/>
    <w:rsid w:val="14B67BFC"/>
    <w:rsid w:val="14B7210E"/>
    <w:rsid w:val="14BD28E4"/>
    <w:rsid w:val="14C14B89"/>
    <w:rsid w:val="14C57506"/>
    <w:rsid w:val="14C6316A"/>
    <w:rsid w:val="14D7056E"/>
    <w:rsid w:val="14E4562D"/>
    <w:rsid w:val="14E56C94"/>
    <w:rsid w:val="14EF073D"/>
    <w:rsid w:val="14F36498"/>
    <w:rsid w:val="14F36FB6"/>
    <w:rsid w:val="14F87477"/>
    <w:rsid w:val="14FA7EF1"/>
    <w:rsid w:val="1509154F"/>
    <w:rsid w:val="150B34E4"/>
    <w:rsid w:val="151E3969"/>
    <w:rsid w:val="15282B11"/>
    <w:rsid w:val="15303351"/>
    <w:rsid w:val="15343A2B"/>
    <w:rsid w:val="153C3874"/>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9B6C90"/>
    <w:rsid w:val="15B73BFA"/>
    <w:rsid w:val="15BE121B"/>
    <w:rsid w:val="15CD667A"/>
    <w:rsid w:val="15DE28B3"/>
    <w:rsid w:val="15EB0836"/>
    <w:rsid w:val="1608380C"/>
    <w:rsid w:val="1615118A"/>
    <w:rsid w:val="161530BC"/>
    <w:rsid w:val="16180A85"/>
    <w:rsid w:val="161E22D2"/>
    <w:rsid w:val="16436DF1"/>
    <w:rsid w:val="164B320D"/>
    <w:rsid w:val="164D5330"/>
    <w:rsid w:val="164E7E96"/>
    <w:rsid w:val="16577F5B"/>
    <w:rsid w:val="1684632F"/>
    <w:rsid w:val="169F1E9B"/>
    <w:rsid w:val="16AA34E3"/>
    <w:rsid w:val="16B14473"/>
    <w:rsid w:val="16B76D7A"/>
    <w:rsid w:val="16BB0206"/>
    <w:rsid w:val="16BE75EA"/>
    <w:rsid w:val="16DA63EA"/>
    <w:rsid w:val="16E44891"/>
    <w:rsid w:val="16F40332"/>
    <w:rsid w:val="16F75C6C"/>
    <w:rsid w:val="16FD68E3"/>
    <w:rsid w:val="170034BA"/>
    <w:rsid w:val="17040016"/>
    <w:rsid w:val="170E2DF2"/>
    <w:rsid w:val="170F2832"/>
    <w:rsid w:val="170F75FB"/>
    <w:rsid w:val="17115AF8"/>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C22CA"/>
    <w:rsid w:val="19376D41"/>
    <w:rsid w:val="19392087"/>
    <w:rsid w:val="1945534D"/>
    <w:rsid w:val="194E7CE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0C3911"/>
    <w:rsid w:val="1B16503D"/>
    <w:rsid w:val="1B186FF4"/>
    <w:rsid w:val="1B19253B"/>
    <w:rsid w:val="1B193FEE"/>
    <w:rsid w:val="1B2120AC"/>
    <w:rsid w:val="1B2E1AD0"/>
    <w:rsid w:val="1B3B41D5"/>
    <w:rsid w:val="1B464F5B"/>
    <w:rsid w:val="1B6453EE"/>
    <w:rsid w:val="1B7A7EE5"/>
    <w:rsid w:val="1B8A146C"/>
    <w:rsid w:val="1B904B94"/>
    <w:rsid w:val="1B97138E"/>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54D4E"/>
    <w:rsid w:val="1CBE3616"/>
    <w:rsid w:val="1CD03BB1"/>
    <w:rsid w:val="1CDB7529"/>
    <w:rsid w:val="1CE31762"/>
    <w:rsid w:val="1CEC79F8"/>
    <w:rsid w:val="1CF35E70"/>
    <w:rsid w:val="1D00278C"/>
    <w:rsid w:val="1D051DC1"/>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05E6D"/>
    <w:rsid w:val="1DC102D2"/>
    <w:rsid w:val="1DC30883"/>
    <w:rsid w:val="1DC62049"/>
    <w:rsid w:val="1DCF3BA5"/>
    <w:rsid w:val="1DD83B1E"/>
    <w:rsid w:val="1DD90759"/>
    <w:rsid w:val="1DE44FE9"/>
    <w:rsid w:val="1DFB6858"/>
    <w:rsid w:val="1E102EB0"/>
    <w:rsid w:val="1E366A51"/>
    <w:rsid w:val="1E3B54C6"/>
    <w:rsid w:val="1E481202"/>
    <w:rsid w:val="1E524C7C"/>
    <w:rsid w:val="1E5B424D"/>
    <w:rsid w:val="1E685A1E"/>
    <w:rsid w:val="1E8A2FC9"/>
    <w:rsid w:val="1E99010B"/>
    <w:rsid w:val="1EAE5F28"/>
    <w:rsid w:val="1EAF2D0A"/>
    <w:rsid w:val="1EB35614"/>
    <w:rsid w:val="1EBE108A"/>
    <w:rsid w:val="1EC834A7"/>
    <w:rsid w:val="1EF20664"/>
    <w:rsid w:val="1F015DC2"/>
    <w:rsid w:val="1F2B290F"/>
    <w:rsid w:val="1F366C08"/>
    <w:rsid w:val="1F3A315D"/>
    <w:rsid w:val="1F3A3294"/>
    <w:rsid w:val="1F3B44F5"/>
    <w:rsid w:val="1F4479BB"/>
    <w:rsid w:val="1F4A5920"/>
    <w:rsid w:val="1F591517"/>
    <w:rsid w:val="1F5C488D"/>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75A0E"/>
    <w:rsid w:val="216350A7"/>
    <w:rsid w:val="2192795E"/>
    <w:rsid w:val="21940F51"/>
    <w:rsid w:val="219F1645"/>
    <w:rsid w:val="21A35923"/>
    <w:rsid w:val="21B8400D"/>
    <w:rsid w:val="21DF071A"/>
    <w:rsid w:val="21E57530"/>
    <w:rsid w:val="21E73D68"/>
    <w:rsid w:val="21F14276"/>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17C3E"/>
    <w:rsid w:val="22992C2A"/>
    <w:rsid w:val="229B6663"/>
    <w:rsid w:val="229D33E4"/>
    <w:rsid w:val="22A43600"/>
    <w:rsid w:val="22AC5A58"/>
    <w:rsid w:val="22BD0427"/>
    <w:rsid w:val="22D06408"/>
    <w:rsid w:val="22D572D0"/>
    <w:rsid w:val="22DB4D64"/>
    <w:rsid w:val="22FD1612"/>
    <w:rsid w:val="2301622E"/>
    <w:rsid w:val="230F581C"/>
    <w:rsid w:val="23273BD2"/>
    <w:rsid w:val="23350AE4"/>
    <w:rsid w:val="23457434"/>
    <w:rsid w:val="23496D76"/>
    <w:rsid w:val="234C745B"/>
    <w:rsid w:val="235B7F38"/>
    <w:rsid w:val="23606E4D"/>
    <w:rsid w:val="23647678"/>
    <w:rsid w:val="236503B6"/>
    <w:rsid w:val="23850B41"/>
    <w:rsid w:val="239F2CDA"/>
    <w:rsid w:val="23AA5BAD"/>
    <w:rsid w:val="23BA6F2A"/>
    <w:rsid w:val="23C0578B"/>
    <w:rsid w:val="23D64E27"/>
    <w:rsid w:val="23E63240"/>
    <w:rsid w:val="23ED5BF9"/>
    <w:rsid w:val="23FD080D"/>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10FDA"/>
    <w:rsid w:val="24ED5C2B"/>
    <w:rsid w:val="24EF3B68"/>
    <w:rsid w:val="24F36739"/>
    <w:rsid w:val="251329BB"/>
    <w:rsid w:val="2517331B"/>
    <w:rsid w:val="25173C39"/>
    <w:rsid w:val="25277F51"/>
    <w:rsid w:val="25341659"/>
    <w:rsid w:val="253E7911"/>
    <w:rsid w:val="254F243E"/>
    <w:rsid w:val="25523B88"/>
    <w:rsid w:val="2561798B"/>
    <w:rsid w:val="25792C4E"/>
    <w:rsid w:val="257B5775"/>
    <w:rsid w:val="25816168"/>
    <w:rsid w:val="258D5089"/>
    <w:rsid w:val="259B532E"/>
    <w:rsid w:val="25A502DE"/>
    <w:rsid w:val="25AB6CB7"/>
    <w:rsid w:val="25B7075E"/>
    <w:rsid w:val="25B81442"/>
    <w:rsid w:val="25C833D5"/>
    <w:rsid w:val="25CA1A5E"/>
    <w:rsid w:val="25CE5476"/>
    <w:rsid w:val="25D96974"/>
    <w:rsid w:val="25E93DA5"/>
    <w:rsid w:val="26087595"/>
    <w:rsid w:val="26175924"/>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E702C5"/>
    <w:rsid w:val="26FB070C"/>
    <w:rsid w:val="26FD2231"/>
    <w:rsid w:val="27075B1E"/>
    <w:rsid w:val="270E4D09"/>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D21DCE"/>
    <w:rsid w:val="27E639D9"/>
    <w:rsid w:val="27F01DF4"/>
    <w:rsid w:val="27F53979"/>
    <w:rsid w:val="27FE0E3E"/>
    <w:rsid w:val="28066B2F"/>
    <w:rsid w:val="28073D44"/>
    <w:rsid w:val="28120868"/>
    <w:rsid w:val="281E0FE5"/>
    <w:rsid w:val="28275824"/>
    <w:rsid w:val="282934CD"/>
    <w:rsid w:val="282A16A3"/>
    <w:rsid w:val="2835363B"/>
    <w:rsid w:val="283D569E"/>
    <w:rsid w:val="28434B2F"/>
    <w:rsid w:val="28466F3C"/>
    <w:rsid w:val="284E25DA"/>
    <w:rsid w:val="28597731"/>
    <w:rsid w:val="285B0BE4"/>
    <w:rsid w:val="285C6EF8"/>
    <w:rsid w:val="286A4340"/>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4751F"/>
    <w:rsid w:val="2B967A5F"/>
    <w:rsid w:val="2B9E4CE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5F36FC"/>
    <w:rsid w:val="2C626AE7"/>
    <w:rsid w:val="2C6732B9"/>
    <w:rsid w:val="2C675883"/>
    <w:rsid w:val="2C775CEF"/>
    <w:rsid w:val="2C816614"/>
    <w:rsid w:val="2C865271"/>
    <w:rsid w:val="2C940DDF"/>
    <w:rsid w:val="2C9B1E2A"/>
    <w:rsid w:val="2CA32136"/>
    <w:rsid w:val="2CAA7B36"/>
    <w:rsid w:val="2CAC6774"/>
    <w:rsid w:val="2CBD63FA"/>
    <w:rsid w:val="2CCE1A70"/>
    <w:rsid w:val="2CD83023"/>
    <w:rsid w:val="2CDC1FF2"/>
    <w:rsid w:val="2CE43AFB"/>
    <w:rsid w:val="2CED1B47"/>
    <w:rsid w:val="2CF17367"/>
    <w:rsid w:val="2CF7030B"/>
    <w:rsid w:val="2CFF798E"/>
    <w:rsid w:val="2D0529D6"/>
    <w:rsid w:val="2D110A42"/>
    <w:rsid w:val="2D191BFC"/>
    <w:rsid w:val="2D1C41CB"/>
    <w:rsid w:val="2D277C67"/>
    <w:rsid w:val="2D2F04EF"/>
    <w:rsid w:val="2D3A170F"/>
    <w:rsid w:val="2D3D26C4"/>
    <w:rsid w:val="2D45096D"/>
    <w:rsid w:val="2D581AE2"/>
    <w:rsid w:val="2D81716B"/>
    <w:rsid w:val="2D8D5DBA"/>
    <w:rsid w:val="2D9804E1"/>
    <w:rsid w:val="2DA53C82"/>
    <w:rsid w:val="2DA7178C"/>
    <w:rsid w:val="2DB95849"/>
    <w:rsid w:val="2DBB3BC7"/>
    <w:rsid w:val="2DC44641"/>
    <w:rsid w:val="2DC76AB5"/>
    <w:rsid w:val="2DCF0C0B"/>
    <w:rsid w:val="2DDD39BE"/>
    <w:rsid w:val="2DE24E4E"/>
    <w:rsid w:val="2E011683"/>
    <w:rsid w:val="2E013850"/>
    <w:rsid w:val="2E1901D5"/>
    <w:rsid w:val="2E243782"/>
    <w:rsid w:val="2E272B04"/>
    <w:rsid w:val="2E31770C"/>
    <w:rsid w:val="2E4C12F6"/>
    <w:rsid w:val="2E544482"/>
    <w:rsid w:val="2E54560E"/>
    <w:rsid w:val="2E594F14"/>
    <w:rsid w:val="2E607D45"/>
    <w:rsid w:val="2E7841CC"/>
    <w:rsid w:val="2E83209F"/>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7653D"/>
    <w:rsid w:val="305D279C"/>
    <w:rsid w:val="305D2A59"/>
    <w:rsid w:val="30606B2F"/>
    <w:rsid w:val="306F6E51"/>
    <w:rsid w:val="30721749"/>
    <w:rsid w:val="307675B4"/>
    <w:rsid w:val="308222E9"/>
    <w:rsid w:val="30837237"/>
    <w:rsid w:val="309040EF"/>
    <w:rsid w:val="30907AE7"/>
    <w:rsid w:val="309350DF"/>
    <w:rsid w:val="30944861"/>
    <w:rsid w:val="309843CA"/>
    <w:rsid w:val="309D6DED"/>
    <w:rsid w:val="30A95DB2"/>
    <w:rsid w:val="30AE5FFA"/>
    <w:rsid w:val="30B37BCC"/>
    <w:rsid w:val="30BB211F"/>
    <w:rsid w:val="30C51FAF"/>
    <w:rsid w:val="30CF31E3"/>
    <w:rsid w:val="30E620E5"/>
    <w:rsid w:val="30E725AD"/>
    <w:rsid w:val="30EE5F87"/>
    <w:rsid w:val="30EE6E8E"/>
    <w:rsid w:val="30F34025"/>
    <w:rsid w:val="31006CF4"/>
    <w:rsid w:val="31007227"/>
    <w:rsid w:val="3102177B"/>
    <w:rsid w:val="31064FE4"/>
    <w:rsid w:val="310E5C94"/>
    <w:rsid w:val="310F08BA"/>
    <w:rsid w:val="311E3B79"/>
    <w:rsid w:val="312C43CB"/>
    <w:rsid w:val="312F60DE"/>
    <w:rsid w:val="314C2934"/>
    <w:rsid w:val="31590B77"/>
    <w:rsid w:val="315C55CC"/>
    <w:rsid w:val="316164CB"/>
    <w:rsid w:val="31784FC1"/>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2116A"/>
    <w:rsid w:val="327927E4"/>
    <w:rsid w:val="32875ACB"/>
    <w:rsid w:val="328A67D8"/>
    <w:rsid w:val="328B7E74"/>
    <w:rsid w:val="32A362BB"/>
    <w:rsid w:val="32B35085"/>
    <w:rsid w:val="32B402F8"/>
    <w:rsid w:val="32C9672E"/>
    <w:rsid w:val="32D977A7"/>
    <w:rsid w:val="32DC197F"/>
    <w:rsid w:val="32DC3B5D"/>
    <w:rsid w:val="32DE5A9D"/>
    <w:rsid w:val="32E25E1F"/>
    <w:rsid w:val="32E31088"/>
    <w:rsid w:val="32F9789E"/>
    <w:rsid w:val="32FF4644"/>
    <w:rsid w:val="330316C9"/>
    <w:rsid w:val="33164755"/>
    <w:rsid w:val="332417BF"/>
    <w:rsid w:val="333767A2"/>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27F9C"/>
    <w:rsid w:val="343417B6"/>
    <w:rsid w:val="34345869"/>
    <w:rsid w:val="343D6A23"/>
    <w:rsid w:val="344E57CE"/>
    <w:rsid w:val="34614A70"/>
    <w:rsid w:val="347348CC"/>
    <w:rsid w:val="347B06D5"/>
    <w:rsid w:val="347E5E4E"/>
    <w:rsid w:val="34B462E0"/>
    <w:rsid w:val="34C93E6E"/>
    <w:rsid w:val="34CF0EBB"/>
    <w:rsid w:val="34D3018A"/>
    <w:rsid w:val="34DB3478"/>
    <w:rsid w:val="34DB7451"/>
    <w:rsid w:val="34DE0455"/>
    <w:rsid w:val="34DE70CB"/>
    <w:rsid w:val="34E83DEB"/>
    <w:rsid w:val="34EB34AC"/>
    <w:rsid w:val="350267A3"/>
    <w:rsid w:val="35202B7F"/>
    <w:rsid w:val="35291E25"/>
    <w:rsid w:val="352A4911"/>
    <w:rsid w:val="352E5990"/>
    <w:rsid w:val="35346431"/>
    <w:rsid w:val="35347E5E"/>
    <w:rsid w:val="3543129D"/>
    <w:rsid w:val="354541DE"/>
    <w:rsid w:val="35662417"/>
    <w:rsid w:val="35675FFE"/>
    <w:rsid w:val="356E7DF2"/>
    <w:rsid w:val="357120E6"/>
    <w:rsid w:val="35776D27"/>
    <w:rsid w:val="357A61BB"/>
    <w:rsid w:val="358302B3"/>
    <w:rsid w:val="358F2BB8"/>
    <w:rsid w:val="35914F63"/>
    <w:rsid w:val="35AB322A"/>
    <w:rsid w:val="35AD6B9C"/>
    <w:rsid w:val="35AF065E"/>
    <w:rsid w:val="35C3323B"/>
    <w:rsid w:val="35CC783D"/>
    <w:rsid w:val="35D04464"/>
    <w:rsid w:val="35EE4B3B"/>
    <w:rsid w:val="35EF5EAE"/>
    <w:rsid w:val="35F6773F"/>
    <w:rsid w:val="35FE439C"/>
    <w:rsid w:val="36087603"/>
    <w:rsid w:val="361E5551"/>
    <w:rsid w:val="362004FF"/>
    <w:rsid w:val="362066E9"/>
    <w:rsid w:val="364411F3"/>
    <w:rsid w:val="36534A2B"/>
    <w:rsid w:val="365605AB"/>
    <w:rsid w:val="3665213D"/>
    <w:rsid w:val="36652728"/>
    <w:rsid w:val="36664758"/>
    <w:rsid w:val="36707940"/>
    <w:rsid w:val="367B33FE"/>
    <w:rsid w:val="367C0C5C"/>
    <w:rsid w:val="36832176"/>
    <w:rsid w:val="36A437B5"/>
    <w:rsid w:val="36A80D1E"/>
    <w:rsid w:val="36B13142"/>
    <w:rsid w:val="36B932B8"/>
    <w:rsid w:val="36BE69F6"/>
    <w:rsid w:val="36CE3F14"/>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85775"/>
    <w:rsid w:val="37FE503C"/>
    <w:rsid w:val="380C136C"/>
    <w:rsid w:val="3815162A"/>
    <w:rsid w:val="38180BCC"/>
    <w:rsid w:val="381B2FD0"/>
    <w:rsid w:val="381B7852"/>
    <w:rsid w:val="381F0F23"/>
    <w:rsid w:val="38246319"/>
    <w:rsid w:val="382F4F00"/>
    <w:rsid w:val="3834728A"/>
    <w:rsid w:val="383F7F2E"/>
    <w:rsid w:val="38457B26"/>
    <w:rsid w:val="384905DE"/>
    <w:rsid w:val="385023B1"/>
    <w:rsid w:val="3878042E"/>
    <w:rsid w:val="38784F89"/>
    <w:rsid w:val="38786348"/>
    <w:rsid w:val="387B6B57"/>
    <w:rsid w:val="38AE517B"/>
    <w:rsid w:val="38D63519"/>
    <w:rsid w:val="38E35F12"/>
    <w:rsid w:val="38F71600"/>
    <w:rsid w:val="38F81758"/>
    <w:rsid w:val="38FB486B"/>
    <w:rsid w:val="39056723"/>
    <w:rsid w:val="391E2C91"/>
    <w:rsid w:val="3926422B"/>
    <w:rsid w:val="39331A89"/>
    <w:rsid w:val="393445C6"/>
    <w:rsid w:val="3940391C"/>
    <w:rsid w:val="394B386E"/>
    <w:rsid w:val="394B5136"/>
    <w:rsid w:val="39567274"/>
    <w:rsid w:val="39627EB7"/>
    <w:rsid w:val="39705634"/>
    <w:rsid w:val="39871F4C"/>
    <w:rsid w:val="39906819"/>
    <w:rsid w:val="39935C42"/>
    <w:rsid w:val="399E3F57"/>
    <w:rsid w:val="399E6655"/>
    <w:rsid w:val="39BF1AE9"/>
    <w:rsid w:val="39C935EA"/>
    <w:rsid w:val="39CA20D6"/>
    <w:rsid w:val="39CD3A71"/>
    <w:rsid w:val="39CF6562"/>
    <w:rsid w:val="39DA2C71"/>
    <w:rsid w:val="39DF3F96"/>
    <w:rsid w:val="39E94462"/>
    <w:rsid w:val="39F1790B"/>
    <w:rsid w:val="3A021774"/>
    <w:rsid w:val="3A0E5983"/>
    <w:rsid w:val="3A1917B8"/>
    <w:rsid w:val="3A195548"/>
    <w:rsid w:val="3A1A2B85"/>
    <w:rsid w:val="3A1B55B0"/>
    <w:rsid w:val="3A372CE7"/>
    <w:rsid w:val="3A3F2FC0"/>
    <w:rsid w:val="3A426B31"/>
    <w:rsid w:val="3A56566D"/>
    <w:rsid w:val="3A5771CA"/>
    <w:rsid w:val="3A5F5373"/>
    <w:rsid w:val="3A60120E"/>
    <w:rsid w:val="3A8457E9"/>
    <w:rsid w:val="3A952F9B"/>
    <w:rsid w:val="3AA45EAC"/>
    <w:rsid w:val="3ABD7B89"/>
    <w:rsid w:val="3AC50924"/>
    <w:rsid w:val="3ACF4766"/>
    <w:rsid w:val="3AD37D3F"/>
    <w:rsid w:val="3AE96818"/>
    <w:rsid w:val="3AF2191D"/>
    <w:rsid w:val="3AFC71FD"/>
    <w:rsid w:val="3B0D6C43"/>
    <w:rsid w:val="3B303AA0"/>
    <w:rsid w:val="3B3769F9"/>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FC0F79"/>
    <w:rsid w:val="3BFF5BC2"/>
    <w:rsid w:val="3C04169E"/>
    <w:rsid w:val="3C043ACB"/>
    <w:rsid w:val="3C07395E"/>
    <w:rsid w:val="3C0A747E"/>
    <w:rsid w:val="3C0F2C7B"/>
    <w:rsid w:val="3C1079DE"/>
    <w:rsid w:val="3C1975A9"/>
    <w:rsid w:val="3C416BDA"/>
    <w:rsid w:val="3C435589"/>
    <w:rsid w:val="3C4444C3"/>
    <w:rsid w:val="3C4C6D49"/>
    <w:rsid w:val="3C4D305E"/>
    <w:rsid w:val="3C4F110A"/>
    <w:rsid w:val="3C60438C"/>
    <w:rsid w:val="3C6732A7"/>
    <w:rsid w:val="3C68401C"/>
    <w:rsid w:val="3C7E6FB3"/>
    <w:rsid w:val="3C8A45FC"/>
    <w:rsid w:val="3C953734"/>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84AA6"/>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DF7EA7"/>
    <w:rsid w:val="3EEA5FB7"/>
    <w:rsid w:val="3EEE7261"/>
    <w:rsid w:val="3EF04038"/>
    <w:rsid w:val="3F067E66"/>
    <w:rsid w:val="3F1E4F89"/>
    <w:rsid w:val="3F2D158E"/>
    <w:rsid w:val="3F546EC5"/>
    <w:rsid w:val="3F5F5B0A"/>
    <w:rsid w:val="3F615AE0"/>
    <w:rsid w:val="3F6343B7"/>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3FF623EF"/>
    <w:rsid w:val="4004250A"/>
    <w:rsid w:val="401457BD"/>
    <w:rsid w:val="401E51CD"/>
    <w:rsid w:val="402F2E6D"/>
    <w:rsid w:val="40300D0E"/>
    <w:rsid w:val="40452EB0"/>
    <w:rsid w:val="40515C7D"/>
    <w:rsid w:val="40531097"/>
    <w:rsid w:val="405C723C"/>
    <w:rsid w:val="40602524"/>
    <w:rsid w:val="40756BFA"/>
    <w:rsid w:val="40825FDC"/>
    <w:rsid w:val="40833C36"/>
    <w:rsid w:val="40874723"/>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C2051"/>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BC6491"/>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86CB8"/>
    <w:rsid w:val="44EA4F9E"/>
    <w:rsid w:val="44FD16E5"/>
    <w:rsid w:val="45016584"/>
    <w:rsid w:val="45270417"/>
    <w:rsid w:val="45314EEE"/>
    <w:rsid w:val="454A1050"/>
    <w:rsid w:val="45583629"/>
    <w:rsid w:val="455C770B"/>
    <w:rsid w:val="456A0E72"/>
    <w:rsid w:val="457734D8"/>
    <w:rsid w:val="458C013A"/>
    <w:rsid w:val="459267A0"/>
    <w:rsid w:val="45A70E51"/>
    <w:rsid w:val="45B34E9E"/>
    <w:rsid w:val="45B97366"/>
    <w:rsid w:val="45E033B4"/>
    <w:rsid w:val="45E05619"/>
    <w:rsid w:val="45E35449"/>
    <w:rsid w:val="45EA2A62"/>
    <w:rsid w:val="45F329DC"/>
    <w:rsid w:val="45F3766A"/>
    <w:rsid w:val="460C76EA"/>
    <w:rsid w:val="462A0480"/>
    <w:rsid w:val="4634113C"/>
    <w:rsid w:val="464A3ADD"/>
    <w:rsid w:val="465455DB"/>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7715F"/>
    <w:rsid w:val="46FF00EE"/>
    <w:rsid w:val="46FF3AD6"/>
    <w:rsid w:val="47017745"/>
    <w:rsid w:val="47041B32"/>
    <w:rsid w:val="470F6D4D"/>
    <w:rsid w:val="472170BD"/>
    <w:rsid w:val="47375F45"/>
    <w:rsid w:val="473E7703"/>
    <w:rsid w:val="47451DFC"/>
    <w:rsid w:val="47531DD7"/>
    <w:rsid w:val="47645B43"/>
    <w:rsid w:val="476556F4"/>
    <w:rsid w:val="47672F66"/>
    <w:rsid w:val="477751EC"/>
    <w:rsid w:val="477A2088"/>
    <w:rsid w:val="479F6447"/>
    <w:rsid w:val="47A54881"/>
    <w:rsid w:val="47A84DA9"/>
    <w:rsid w:val="47AC2DC1"/>
    <w:rsid w:val="47B54A8C"/>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541B38"/>
    <w:rsid w:val="48605458"/>
    <w:rsid w:val="48651BCD"/>
    <w:rsid w:val="48745655"/>
    <w:rsid w:val="487E013D"/>
    <w:rsid w:val="487E3B6C"/>
    <w:rsid w:val="48A16E39"/>
    <w:rsid w:val="48AD22AA"/>
    <w:rsid w:val="48BA7D6D"/>
    <w:rsid w:val="48BE32E6"/>
    <w:rsid w:val="48BF0FEA"/>
    <w:rsid w:val="48C009C1"/>
    <w:rsid w:val="48C20D29"/>
    <w:rsid w:val="48C721B6"/>
    <w:rsid w:val="48D91582"/>
    <w:rsid w:val="48ED4530"/>
    <w:rsid w:val="48EE12C1"/>
    <w:rsid w:val="48F0581F"/>
    <w:rsid w:val="48F12B8B"/>
    <w:rsid w:val="48F13265"/>
    <w:rsid w:val="49004013"/>
    <w:rsid w:val="49032A86"/>
    <w:rsid w:val="491F4A2F"/>
    <w:rsid w:val="492B4677"/>
    <w:rsid w:val="493612BF"/>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D451BA"/>
    <w:rsid w:val="49E50628"/>
    <w:rsid w:val="49E93C46"/>
    <w:rsid w:val="49EB018C"/>
    <w:rsid w:val="49EC5AA5"/>
    <w:rsid w:val="49EF1699"/>
    <w:rsid w:val="49F30E9C"/>
    <w:rsid w:val="49FD0AA4"/>
    <w:rsid w:val="4A0C7F02"/>
    <w:rsid w:val="4A0F57C3"/>
    <w:rsid w:val="4A130855"/>
    <w:rsid w:val="4A156CA7"/>
    <w:rsid w:val="4A1A4CA7"/>
    <w:rsid w:val="4A2D6303"/>
    <w:rsid w:val="4A363EB8"/>
    <w:rsid w:val="4A3B4BD8"/>
    <w:rsid w:val="4A4907E5"/>
    <w:rsid w:val="4A513344"/>
    <w:rsid w:val="4A5E387A"/>
    <w:rsid w:val="4A5F2FA3"/>
    <w:rsid w:val="4A7927AA"/>
    <w:rsid w:val="4A7B0D63"/>
    <w:rsid w:val="4A7D687D"/>
    <w:rsid w:val="4A7E0907"/>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706BF"/>
    <w:rsid w:val="4B09475D"/>
    <w:rsid w:val="4B0F4F3E"/>
    <w:rsid w:val="4B12367A"/>
    <w:rsid w:val="4B157C35"/>
    <w:rsid w:val="4B1C09F4"/>
    <w:rsid w:val="4B1F0707"/>
    <w:rsid w:val="4B2129EE"/>
    <w:rsid w:val="4B29342B"/>
    <w:rsid w:val="4B2E6623"/>
    <w:rsid w:val="4B3D17EB"/>
    <w:rsid w:val="4B410885"/>
    <w:rsid w:val="4B50375B"/>
    <w:rsid w:val="4B5140FD"/>
    <w:rsid w:val="4B514A9F"/>
    <w:rsid w:val="4B59231A"/>
    <w:rsid w:val="4B595C4C"/>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600074"/>
    <w:rsid w:val="4C7A067A"/>
    <w:rsid w:val="4C876F14"/>
    <w:rsid w:val="4C9301B2"/>
    <w:rsid w:val="4CA14250"/>
    <w:rsid w:val="4CB15826"/>
    <w:rsid w:val="4CBA7F11"/>
    <w:rsid w:val="4CCC6AD8"/>
    <w:rsid w:val="4CDC5370"/>
    <w:rsid w:val="4CEF557E"/>
    <w:rsid w:val="4D0101EC"/>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E716C"/>
    <w:rsid w:val="4DA023BB"/>
    <w:rsid w:val="4DA421BC"/>
    <w:rsid w:val="4DB23D18"/>
    <w:rsid w:val="4DB909AF"/>
    <w:rsid w:val="4DB93FC9"/>
    <w:rsid w:val="4DBC24D9"/>
    <w:rsid w:val="4DC539CD"/>
    <w:rsid w:val="4DD4508E"/>
    <w:rsid w:val="4DEF1903"/>
    <w:rsid w:val="4DFA243E"/>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F7AF8"/>
    <w:rsid w:val="4EB02A00"/>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817B37"/>
    <w:rsid w:val="4FB07C78"/>
    <w:rsid w:val="50022CF7"/>
    <w:rsid w:val="50100886"/>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D561D"/>
    <w:rsid w:val="512E43EE"/>
    <w:rsid w:val="513460FC"/>
    <w:rsid w:val="513C33D8"/>
    <w:rsid w:val="513D34B8"/>
    <w:rsid w:val="513F24F9"/>
    <w:rsid w:val="51402B46"/>
    <w:rsid w:val="5143219A"/>
    <w:rsid w:val="514B1EA6"/>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DF2F38"/>
    <w:rsid w:val="51E60E87"/>
    <w:rsid w:val="51E87B8B"/>
    <w:rsid w:val="51F66CD0"/>
    <w:rsid w:val="520324A0"/>
    <w:rsid w:val="520C3AF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70CB6"/>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5F5BDA"/>
    <w:rsid w:val="536D7784"/>
    <w:rsid w:val="53705D5C"/>
    <w:rsid w:val="53773CBD"/>
    <w:rsid w:val="53783DC1"/>
    <w:rsid w:val="538F188D"/>
    <w:rsid w:val="53940B95"/>
    <w:rsid w:val="53975176"/>
    <w:rsid w:val="539D34A5"/>
    <w:rsid w:val="53A02B1B"/>
    <w:rsid w:val="53A11590"/>
    <w:rsid w:val="53BA04EF"/>
    <w:rsid w:val="53C13E8F"/>
    <w:rsid w:val="53D704E3"/>
    <w:rsid w:val="53E2517A"/>
    <w:rsid w:val="53F26FC1"/>
    <w:rsid w:val="53F6679C"/>
    <w:rsid w:val="53FC307D"/>
    <w:rsid w:val="53FE1486"/>
    <w:rsid w:val="54021BCD"/>
    <w:rsid w:val="540A3735"/>
    <w:rsid w:val="54113E11"/>
    <w:rsid w:val="54131042"/>
    <w:rsid w:val="54153A4D"/>
    <w:rsid w:val="541F323F"/>
    <w:rsid w:val="542B1EC5"/>
    <w:rsid w:val="543040A5"/>
    <w:rsid w:val="54532076"/>
    <w:rsid w:val="54563723"/>
    <w:rsid w:val="545A6794"/>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0C5688"/>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235796"/>
    <w:rsid w:val="5830091C"/>
    <w:rsid w:val="5839077A"/>
    <w:rsid w:val="583B74D0"/>
    <w:rsid w:val="583E5434"/>
    <w:rsid w:val="58427516"/>
    <w:rsid w:val="5863420A"/>
    <w:rsid w:val="586D7355"/>
    <w:rsid w:val="587C036F"/>
    <w:rsid w:val="5890707C"/>
    <w:rsid w:val="58957B8C"/>
    <w:rsid w:val="589859D5"/>
    <w:rsid w:val="58C462F4"/>
    <w:rsid w:val="58C75F1D"/>
    <w:rsid w:val="58D44CF7"/>
    <w:rsid w:val="58DC7A23"/>
    <w:rsid w:val="58E120C2"/>
    <w:rsid w:val="58ED7BBD"/>
    <w:rsid w:val="58F87A38"/>
    <w:rsid w:val="58FC22F8"/>
    <w:rsid w:val="5929788E"/>
    <w:rsid w:val="59313B43"/>
    <w:rsid w:val="59351AA3"/>
    <w:rsid w:val="5938606F"/>
    <w:rsid w:val="593A75C5"/>
    <w:rsid w:val="593B05DA"/>
    <w:rsid w:val="5943699B"/>
    <w:rsid w:val="59447E17"/>
    <w:rsid w:val="5948761B"/>
    <w:rsid w:val="594C242A"/>
    <w:rsid w:val="594E748C"/>
    <w:rsid w:val="59583D39"/>
    <w:rsid w:val="59892ABC"/>
    <w:rsid w:val="598B6C27"/>
    <w:rsid w:val="598E0D3B"/>
    <w:rsid w:val="59A35379"/>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AE46AA"/>
    <w:rsid w:val="5AB204D6"/>
    <w:rsid w:val="5ABA380B"/>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77A75"/>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CF17109"/>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DD2903"/>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95091"/>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65C2C"/>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D626D5"/>
    <w:rsid w:val="61E251F3"/>
    <w:rsid w:val="61E55E53"/>
    <w:rsid w:val="61E572CA"/>
    <w:rsid w:val="61E6165E"/>
    <w:rsid w:val="61F265D3"/>
    <w:rsid w:val="61F904BC"/>
    <w:rsid w:val="61FA24B9"/>
    <w:rsid w:val="62074F6D"/>
    <w:rsid w:val="620C3606"/>
    <w:rsid w:val="620E2701"/>
    <w:rsid w:val="62145A3E"/>
    <w:rsid w:val="621F41A4"/>
    <w:rsid w:val="62263F49"/>
    <w:rsid w:val="6226504D"/>
    <w:rsid w:val="62322573"/>
    <w:rsid w:val="62335B90"/>
    <w:rsid w:val="62431761"/>
    <w:rsid w:val="624E0623"/>
    <w:rsid w:val="62512AD5"/>
    <w:rsid w:val="62536463"/>
    <w:rsid w:val="6255136F"/>
    <w:rsid w:val="62620E6D"/>
    <w:rsid w:val="62664464"/>
    <w:rsid w:val="62673636"/>
    <w:rsid w:val="62681508"/>
    <w:rsid w:val="6272555A"/>
    <w:rsid w:val="62730367"/>
    <w:rsid w:val="627C640F"/>
    <w:rsid w:val="629B426B"/>
    <w:rsid w:val="62AB23AE"/>
    <w:rsid w:val="62AF39C3"/>
    <w:rsid w:val="62B260A2"/>
    <w:rsid w:val="62B934ED"/>
    <w:rsid w:val="62BD1FE4"/>
    <w:rsid w:val="62C51493"/>
    <w:rsid w:val="62CA6F4A"/>
    <w:rsid w:val="62CC393B"/>
    <w:rsid w:val="62CE3AAD"/>
    <w:rsid w:val="62E06B83"/>
    <w:rsid w:val="62E719F2"/>
    <w:rsid w:val="62FD7ED4"/>
    <w:rsid w:val="62FF055C"/>
    <w:rsid w:val="62FF58E7"/>
    <w:rsid w:val="63033826"/>
    <w:rsid w:val="63046CD6"/>
    <w:rsid w:val="63101FC3"/>
    <w:rsid w:val="63110BD7"/>
    <w:rsid w:val="63112E82"/>
    <w:rsid w:val="631471BD"/>
    <w:rsid w:val="63193B3E"/>
    <w:rsid w:val="631F350B"/>
    <w:rsid w:val="6322141E"/>
    <w:rsid w:val="6324439E"/>
    <w:rsid w:val="6327291C"/>
    <w:rsid w:val="632A4DA5"/>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483DA3"/>
    <w:rsid w:val="65621FA1"/>
    <w:rsid w:val="65727D75"/>
    <w:rsid w:val="65840ACD"/>
    <w:rsid w:val="65942986"/>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C3F73"/>
    <w:rsid w:val="674E70DC"/>
    <w:rsid w:val="67500D17"/>
    <w:rsid w:val="67580C06"/>
    <w:rsid w:val="675E7B94"/>
    <w:rsid w:val="67623859"/>
    <w:rsid w:val="67631224"/>
    <w:rsid w:val="677D2D55"/>
    <w:rsid w:val="67804BC2"/>
    <w:rsid w:val="67870B7B"/>
    <w:rsid w:val="678A2427"/>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134E6"/>
    <w:rsid w:val="68261ACF"/>
    <w:rsid w:val="68371E87"/>
    <w:rsid w:val="68380A25"/>
    <w:rsid w:val="68400078"/>
    <w:rsid w:val="685435DF"/>
    <w:rsid w:val="6868116F"/>
    <w:rsid w:val="6889395B"/>
    <w:rsid w:val="68961081"/>
    <w:rsid w:val="68A64A61"/>
    <w:rsid w:val="68B73C3E"/>
    <w:rsid w:val="68BA4D89"/>
    <w:rsid w:val="68CA7775"/>
    <w:rsid w:val="68D12EBB"/>
    <w:rsid w:val="68E9147C"/>
    <w:rsid w:val="68E958CC"/>
    <w:rsid w:val="68F80539"/>
    <w:rsid w:val="68FC26F7"/>
    <w:rsid w:val="69070A95"/>
    <w:rsid w:val="690F7BE4"/>
    <w:rsid w:val="69147C4F"/>
    <w:rsid w:val="692C606C"/>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00FF"/>
    <w:rsid w:val="6AE461AD"/>
    <w:rsid w:val="6AE65093"/>
    <w:rsid w:val="6AE7615C"/>
    <w:rsid w:val="6AEF65E6"/>
    <w:rsid w:val="6AF43944"/>
    <w:rsid w:val="6B353C69"/>
    <w:rsid w:val="6B37755E"/>
    <w:rsid w:val="6B3F08AE"/>
    <w:rsid w:val="6B521BD5"/>
    <w:rsid w:val="6B5427FA"/>
    <w:rsid w:val="6B563B97"/>
    <w:rsid w:val="6B69566B"/>
    <w:rsid w:val="6B780A0C"/>
    <w:rsid w:val="6B7D18E3"/>
    <w:rsid w:val="6B8E15AC"/>
    <w:rsid w:val="6B9E2AD3"/>
    <w:rsid w:val="6BA10998"/>
    <w:rsid w:val="6BA854E8"/>
    <w:rsid w:val="6BA97EFD"/>
    <w:rsid w:val="6BC81A9A"/>
    <w:rsid w:val="6BC8480E"/>
    <w:rsid w:val="6BD95B85"/>
    <w:rsid w:val="6BDD1068"/>
    <w:rsid w:val="6BDE7655"/>
    <w:rsid w:val="6BE74E05"/>
    <w:rsid w:val="6BED3DB3"/>
    <w:rsid w:val="6BF72F38"/>
    <w:rsid w:val="6BF77D6C"/>
    <w:rsid w:val="6BFA717B"/>
    <w:rsid w:val="6C065856"/>
    <w:rsid w:val="6C261D38"/>
    <w:rsid w:val="6C2A74A4"/>
    <w:rsid w:val="6C354FB6"/>
    <w:rsid w:val="6C387ED8"/>
    <w:rsid w:val="6C3E2864"/>
    <w:rsid w:val="6C4718FB"/>
    <w:rsid w:val="6C5C2BAF"/>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C31716"/>
    <w:rsid w:val="6DC67B27"/>
    <w:rsid w:val="6DC80BA1"/>
    <w:rsid w:val="6DC94747"/>
    <w:rsid w:val="6DD20A32"/>
    <w:rsid w:val="6DDD2215"/>
    <w:rsid w:val="6DF16741"/>
    <w:rsid w:val="6E047F0C"/>
    <w:rsid w:val="6E0E44AA"/>
    <w:rsid w:val="6E13664D"/>
    <w:rsid w:val="6E2A77E7"/>
    <w:rsid w:val="6E3762D4"/>
    <w:rsid w:val="6E381359"/>
    <w:rsid w:val="6E386383"/>
    <w:rsid w:val="6E3B1B68"/>
    <w:rsid w:val="6E3C1CAB"/>
    <w:rsid w:val="6E5346EA"/>
    <w:rsid w:val="6E5374E4"/>
    <w:rsid w:val="6E5B351E"/>
    <w:rsid w:val="6E647E42"/>
    <w:rsid w:val="6E671920"/>
    <w:rsid w:val="6E8221BD"/>
    <w:rsid w:val="6E8A099C"/>
    <w:rsid w:val="6EA72D93"/>
    <w:rsid w:val="6EAA56F6"/>
    <w:rsid w:val="6EAD4200"/>
    <w:rsid w:val="6EB13C75"/>
    <w:rsid w:val="6ECB0CA3"/>
    <w:rsid w:val="6ECE0B27"/>
    <w:rsid w:val="6ED02623"/>
    <w:rsid w:val="6ED92856"/>
    <w:rsid w:val="6EDF1AD6"/>
    <w:rsid w:val="6EEB2A66"/>
    <w:rsid w:val="6EF77132"/>
    <w:rsid w:val="6EFC3A87"/>
    <w:rsid w:val="6F084036"/>
    <w:rsid w:val="6F0913AC"/>
    <w:rsid w:val="6F0A702E"/>
    <w:rsid w:val="6F1C28F9"/>
    <w:rsid w:val="6F1D4537"/>
    <w:rsid w:val="6F206148"/>
    <w:rsid w:val="6F2464EF"/>
    <w:rsid w:val="6F25291A"/>
    <w:rsid w:val="6F2A63C0"/>
    <w:rsid w:val="6F2C3765"/>
    <w:rsid w:val="6F3B4827"/>
    <w:rsid w:val="6F493831"/>
    <w:rsid w:val="6F6531B8"/>
    <w:rsid w:val="6F6C3DB3"/>
    <w:rsid w:val="6F7C5BB2"/>
    <w:rsid w:val="6F8330B0"/>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A7FC0"/>
    <w:rsid w:val="700D4B56"/>
    <w:rsid w:val="700E0EA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0793"/>
    <w:rsid w:val="70DD4D9F"/>
    <w:rsid w:val="70E009E1"/>
    <w:rsid w:val="70F03B20"/>
    <w:rsid w:val="70F06557"/>
    <w:rsid w:val="70FB337F"/>
    <w:rsid w:val="710412A4"/>
    <w:rsid w:val="71092FED"/>
    <w:rsid w:val="710D6845"/>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CA709F"/>
    <w:rsid w:val="71D97B23"/>
    <w:rsid w:val="71DB65D7"/>
    <w:rsid w:val="71E11088"/>
    <w:rsid w:val="71F56317"/>
    <w:rsid w:val="71FF78F9"/>
    <w:rsid w:val="72084708"/>
    <w:rsid w:val="721C7C17"/>
    <w:rsid w:val="72261643"/>
    <w:rsid w:val="723407DD"/>
    <w:rsid w:val="7236698E"/>
    <w:rsid w:val="72444991"/>
    <w:rsid w:val="7254789B"/>
    <w:rsid w:val="725C0D6D"/>
    <w:rsid w:val="726049E9"/>
    <w:rsid w:val="72671A98"/>
    <w:rsid w:val="728A320B"/>
    <w:rsid w:val="72A43286"/>
    <w:rsid w:val="72CC7471"/>
    <w:rsid w:val="72CD7E30"/>
    <w:rsid w:val="72D01440"/>
    <w:rsid w:val="72D23D19"/>
    <w:rsid w:val="72D647BB"/>
    <w:rsid w:val="72FA314C"/>
    <w:rsid w:val="72FB2114"/>
    <w:rsid w:val="72FE2838"/>
    <w:rsid w:val="730208D7"/>
    <w:rsid w:val="730E3A7E"/>
    <w:rsid w:val="73180030"/>
    <w:rsid w:val="733077BC"/>
    <w:rsid w:val="733D6593"/>
    <w:rsid w:val="734F7676"/>
    <w:rsid w:val="736B1B21"/>
    <w:rsid w:val="73734CF6"/>
    <w:rsid w:val="73735E22"/>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156005"/>
    <w:rsid w:val="741B51E9"/>
    <w:rsid w:val="742568CA"/>
    <w:rsid w:val="743C14C0"/>
    <w:rsid w:val="743C213A"/>
    <w:rsid w:val="743D795A"/>
    <w:rsid w:val="74400FAE"/>
    <w:rsid w:val="74411D22"/>
    <w:rsid w:val="744B3786"/>
    <w:rsid w:val="746D1BD9"/>
    <w:rsid w:val="74713F3C"/>
    <w:rsid w:val="747B4797"/>
    <w:rsid w:val="747B5FBA"/>
    <w:rsid w:val="748C1F9B"/>
    <w:rsid w:val="748E6151"/>
    <w:rsid w:val="749144FC"/>
    <w:rsid w:val="74967B49"/>
    <w:rsid w:val="749D6D7B"/>
    <w:rsid w:val="74A16818"/>
    <w:rsid w:val="74A421EA"/>
    <w:rsid w:val="74C0259A"/>
    <w:rsid w:val="74CE02B7"/>
    <w:rsid w:val="74CE7718"/>
    <w:rsid w:val="74EA3579"/>
    <w:rsid w:val="74EE29C3"/>
    <w:rsid w:val="74EF64DE"/>
    <w:rsid w:val="74F157FA"/>
    <w:rsid w:val="74F24320"/>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342C8"/>
    <w:rsid w:val="758A6745"/>
    <w:rsid w:val="75A41183"/>
    <w:rsid w:val="75B7596F"/>
    <w:rsid w:val="75BA0E35"/>
    <w:rsid w:val="75DC41A0"/>
    <w:rsid w:val="75DE7F2A"/>
    <w:rsid w:val="75E350FB"/>
    <w:rsid w:val="75E667B9"/>
    <w:rsid w:val="75EB532F"/>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990735"/>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592527"/>
    <w:rsid w:val="7769365D"/>
    <w:rsid w:val="776C0B5A"/>
    <w:rsid w:val="77705083"/>
    <w:rsid w:val="7772175A"/>
    <w:rsid w:val="779E3786"/>
    <w:rsid w:val="77BA3908"/>
    <w:rsid w:val="77BD7202"/>
    <w:rsid w:val="77C11EE5"/>
    <w:rsid w:val="77CD498C"/>
    <w:rsid w:val="77DB7F41"/>
    <w:rsid w:val="77EB6576"/>
    <w:rsid w:val="77F447F0"/>
    <w:rsid w:val="77FF5915"/>
    <w:rsid w:val="7809335A"/>
    <w:rsid w:val="780B61C0"/>
    <w:rsid w:val="780C7E0C"/>
    <w:rsid w:val="781D03F1"/>
    <w:rsid w:val="781E1935"/>
    <w:rsid w:val="78293A6F"/>
    <w:rsid w:val="784B2550"/>
    <w:rsid w:val="78513111"/>
    <w:rsid w:val="78525B74"/>
    <w:rsid w:val="785C23A0"/>
    <w:rsid w:val="785C39A9"/>
    <w:rsid w:val="785F21D7"/>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B20E02"/>
    <w:rsid w:val="79B50075"/>
    <w:rsid w:val="79C0220E"/>
    <w:rsid w:val="79C9060F"/>
    <w:rsid w:val="79D41DC3"/>
    <w:rsid w:val="79D544BA"/>
    <w:rsid w:val="79D966E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5311F"/>
    <w:rsid w:val="7A5605FF"/>
    <w:rsid w:val="7A657225"/>
    <w:rsid w:val="7A6967B4"/>
    <w:rsid w:val="7A743833"/>
    <w:rsid w:val="7A7F15B6"/>
    <w:rsid w:val="7A845CC9"/>
    <w:rsid w:val="7A84797B"/>
    <w:rsid w:val="7A862C70"/>
    <w:rsid w:val="7AB36004"/>
    <w:rsid w:val="7AB377A7"/>
    <w:rsid w:val="7AB82515"/>
    <w:rsid w:val="7AB84296"/>
    <w:rsid w:val="7AB848D8"/>
    <w:rsid w:val="7ACA7F25"/>
    <w:rsid w:val="7AEC7422"/>
    <w:rsid w:val="7AED79A0"/>
    <w:rsid w:val="7AFC7A28"/>
    <w:rsid w:val="7AFF11C4"/>
    <w:rsid w:val="7B070F47"/>
    <w:rsid w:val="7B0B0016"/>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641E2"/>
    <w:rsid w:val="7B8B7ED8"/>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D0718"/>
    <w:rsid w:val="7C04013E"/>
    <w:rsid w:val="7C0522C7"/>
    <w:rsid w:val="7C14707B"/>
    <w:rsid w:val="7C337676"/>
    <w:rsid w:val="7C36271E"/>
    <w:rsid w:val="7C3E1F10"/>
    <w:rsid w:val="7C4B2809"/>
    <w:rsid w:val="7C4C2430"/>
    <w:rsid w:val="7C557D34"/>
    <w:rsid w:val="7C5F5B96"/>
    <w:rsid w:val="7C852914"/>
    <w:rsid w:val="7C8B7EA7"/>
    <w:rsid w:val="7C8C57EF"/>
    <w:rsid w:val="7C920B2A"/>
    <w:rsid w:val="7C96018D"/>
    <w:rsid w:val="7C9A6D2A"/>
    <w:rsid w:val="7CB832FA"/>
    <w:rsid w:val="7CBE6CB9"/>
    <w:rsid w:val="7CC3762D"/>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20BAB"/>
    <w:rsid w:val="7DD71768"/>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D6272"/>
    <w:rsid w:val="7E94037B"/>
    <w:rsid w:val="7EA102C3"/>
    <w:rsid w:val="7EA212D2"/>
    <w:rsid w:val="7EAD5D01"/>
    <w:rsid w:val="7EB430A5"/>
    <w:rsid w:val="7EB94221"/>
    <w:rsid w:val="7EC70552"/>
    <w:rsid w:val="7ED60B31"/>
    <w:rsid w:val="7EDD1569"/>
    <w:rsid w:val="7EE23BBA"/>
    <w:rsid w:val="7EE32EB1"/>
    <w:rsid w:val="7EF030E0"/>
    <w:rsid w:val="7EFD1878"/>
    <w:rsid w:val="7F002510"/>
    <w:rsid w:val="7F125C1D"/>
    <w:rsid w:val="7F134D6B"/>
    <w:rsid w:val="7F2C695B"/>
    <w:rsid w:val="7F370F4F"/>
    <w:rsid w:val="7F3D0F1F"/>
    <w:rsid w:val="7F4F6ADA"/>
    <w:rsid w:val="7F5235FC"/>
    <w:rsid w:val="7F5363F5"/>
    <w:rsid w:val="7F656973"/>
    <w:rsid w:val="7F69027F"/>
    <w:rsid w:val="7F6A19C9"/>
    <w:rsid w:val="7F722445"/>
    <w:rsid w:val="7F73792C"/>
    <w:rsid w:val="7F7867D8"/>
    <w:rsid w:val="7F7A454E"/>
    <w:rsid w:val="7F7E5012"/>
    <w:rsid w:val="7F7F0161"/>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字符"/>
    <w:link w:val="7"/>
    <w:qFormat/>
    <w:uiPriority w:val="0"/>
    <w:rPr>
      <w:rFonts w:ascii="Arial" w:hAnsi="Arial" w:eastAsia="黑体"/>
      <w:b/>
      <w:bCs/>
      <w:kern w:val="2"/>
      <w:sz w:val="32"/>
      <w:szCs w:val="32"/>
      <w:lang w:val="en-US" w:eastAsia="zh-CN" w:bidi="ar-SA"/>
    </w:rPr>
  </w:style>
  <w:style w:type="character" w:customStyle="1" w:styleId="43">
    <w:name w:val="纯文本 字符"/>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字符"/>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字符"/>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CE4C7-F27C-4385-B8DD-6067A3FEE6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7853</Words>
  <Characters>44766</Characters>
  <Lines>373</Lines>
  <Paragraphs>105</Paragraphs>
  <TotalTime>19</TotalTime>
  <ScaleCrop>false</ScaleCrop>
  <LinksUpToDate>false</LinksUpToDate>
  <CharactersWithSpaces>52514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2019-09-09T08:24:29Z</cp:lastPrinted>
  <dcterms:modified xsi:type="dcterms:W3CDTF">2019-09-09T08:29:03Z</dcterms:modified>
  <dc:title>魏武大道曹操饮马河桥工程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