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宋体" w:hAnsi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/>
          <w:sz w:val="21"/>
          <w:szCs w:val="21"/>
        </w:rPr>
        <w:t>分项报价表（货物类项目）</w:t>
      </w:r>
    </w:p>
    <w:p>
      <w:pPr>
        <w:spacing w:line="360" w:lineRule="auto"/>
        <w:rPr>
          <w:rFonts w:ascii="宋体" w:hAnsi="宋体" w:cs="宋体"/>
          <w:bCs/>
          <w:kern w:val="0"/>
          <w:szCs w:val="21"/>
          <w:u w:val="single"/>
        </w:rPr>
      </w:pPr>
      <w:r>
        <w:rPr>
          <w:rFonts w:hint="eastAsia" w:ascii="宋体" w:hAnsi="宋体" w:cs="宋体"/>
          <w:bCs/>
          <w:kern w:val="0"/>
          <w:szCs w:val="21"/>
        </w:rPr>
        <w:t>项目编号：</w:t>
      </w:r>
      <w:r>
        <w:rPr>
          <w:rFonts w:hint="eastAsia" w:ascii="宋体" w:hAnsi="宋体" w:cs="宋体"/>
          <w:bCs/>
          <w:kern w:val="0"/>
          <w:szCs w:val="21"/>
          <w:u w:val="single"/>
        </w:rPr>
        <w:t>长招采竞字【2019】068号</w:t>
      </w:r>
    </w:p>
    <w:p>
      <w:pPr>
        <w:spacing w:line="360" w:lineRule="auto"/>
        <w:rPr>
          <w:rFonts w:hint="eastAsia" w:ascii="宋体" w:hAnsi="宋体" w:cs="宋体"/>
          <w:bCs/>
          <w:kern w:val="0"/>
          <w:szCs w:val="21"/>
          <w:u w:val="single"/>
        </w:rPr>
      </w:pPr>
      <w:r>
        <w:rPr>
          <w:rFonts w:hint="eastAsia" w:ascii="宋体" w:hAnsi="宋体" w:cs="宋体"/>
          <w:bCs/>
          <w:kern w:val="0"/>
          <w:szCs w:val="21"/>
        </w:rPr>
        <w:t>项目名称：</w:t>
      </w:r>
      <w:r>
        <w:rPr>
          <w:rFonts w:hint="eastAsia" w:ascii="宋体" w:hAnsi="宋体" w:cs="宋体"/>
          <w:bCs/>
          <w:kern w:val="0"/>
          <w:szCs w:val="21"/>
          <w:u w:val="single"/>
        </w:rPr>
        <w:t>长葛市司法局“视频会议设备采购项目</w:t>
      </w:r>
      <w:r>
        <w:rPr>
          <w:rFonts w:ascii="宋体" w:hAnsi="宋体" w:cs="宋体"/>
          <w:bCs/>
          <w:kern w:val="0"/>
          <w:szCs w:val="21"/>
          <w:u w:val="single"/>
        </w:rPr>
        <w:t>”</w:t>
      </w:r>
      <w:r>
        <w:rPr>
          <w:rFonts w:hint="eastAsia" w:ascii="宋体" w:hAnsi="宋体" w:cs="宋体"/>
          <w:bCs/>
          <w:kern w:val="0"/>
          <w:szCs w:val="21"/>
          <w:u w:val="single"/>
        </w:rPr>
        <w:t>二次</w:t>
      </w:r>
    </w:p>
    <w:p>
      <w:pPr>
        <w:pStyle w:val="3"/>
        <w:spacing w:line="360" w:lineRule="auto"/>
        <w:rPr>
          <w:rFonts w:hAnsi="宋体"/>
          <w:szCs w:val="21"/>
        </w:rPr>
      </w:pPr>
      <w:r>
        <w:rPr>
          <w:rFonts w:hint="eastAsia" w:hAnsi="宋体"/>
          <w:sz w:val="21"/>
          <w:szCs w:val="21"/>
        </w:rPr>
        <w:t xml:space="preserve">   </w:t>
      </w:r>
    </w:p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916"/>
        <w:gridCol w:w="916"/>
        <w:gridCol w:w="6525"/>
        <w:gridCol w:w="896"/>
        <w:gridCol w:w="896"/>
        <w:gridCol w:w="1206"/>
        <w:gridCol w:w="1206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dxa"/>
            <w:vMerge w:val="restart"/>
            <w:shd w:val="clear" w:color="000000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16" w:type="dxa"/>
            <w:vMerge w:val="restart"/>
            <w:shd w:val="clear" w:color="000000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916" w:type="dxa"/>
            <w:vMerge w:val="restart"/>
            <w:shd w:val="clear" w:color="000000" w:fill="F1F1F1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6525" w:type="dxa"/>
            <w:shd w:val="clear" w:color="000000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896" w:type="dxa"/>
            <w:vMerge w:val="restart"/>
            <w:shd w:val="clear" w:color="000000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96" w:type="dxa"/>
            <w:vMerge w:val="restart"/>
            <w:shd w:val="clear" w:color="000000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06" w:type="dxa"/>
            <w:vMerge w:val="restart"/>
            <w:shd w:val="clear" w:color="000000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206" w:type="dxa"/>
            <w:vMerge w:val="restart"/>
            <w:shd w:val="clear" w:color="000000" w:fill="F1F1F1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902" w:type="dxa"/>
            <w:shd w:val="clear" w:color="000000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产地及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5" w:type="dxa"/>
            <w:shd w:val="clear" w:color="000000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参数</w:t>
            </w:r>
          </w:p>
        </w:tc>
        <w:tc>
          <w:tcPr>
            <w:tcW w:w="89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shd w:val="clear" w:color="000000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多点控制单元（MCU）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YMS1000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1.采用嵌入式操作系统，非Windows操作系统；MCU不得采用PC或工控机构架提供第三方权威机构检测报告证明。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2.支持ITU-T H.323、H.320、IETF SIP协议，满足H.323、SIP协议终端同时接入，具备良好的兼容性；支持ITU-T H.264、H.264 HP、H.263视频协议；支持ITU-T H.239、BFCP双流协议。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3.呼叫带宽支持128Kbps-4Mbps，支持1080p、720p、4CIF分辨率的活动视频。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 所投设备配置20路1080P30fps编解码会场接入，为保证系统良好的可扩容性，要求所投设备具有灵活扩展能力，单台设备最大支持32路1080P30硬件处理能力，支持可平滑扩容。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 所投设备支持全编全解技术，确保每个接入的会场均能以任意不同的协议、带宽、格式、帧率参加同一组会议，会议中任何一个参会终端出现丢包仅影 响该会场，不会议影响整个会议效果；提供第三方权威机构检测报告证明。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6.支持G.711、G.722、G.722.1、G.722.1C、G.729音频协议；支持三种20KHz的双声道宽频音频协议；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7.支持以并不同分辨率混合会议；提供第三方权威机构检测报告证明；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 支持辅流加入多画面，实现在多分屏中显示辅流内容，满足不支持双流的终端可正常接收内容共享；提供第三方权威机构检测报告证明。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9.支持辅流适配功能，辅流适配时不占用主流的端口资源；亿联：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10.支持等分、单方全屏、1+N的布局模式。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11.具备较强的抗丢包能力：20%丢包情况下下，语音依旧清晰连续，视频清晰流畅，无卡顿；提供第三方权威机构检测报告证明。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12.支持MCU资源池备份功能,当某台MCU发生故障时，管理平台自动将会议会议调度在其他MCU,无需断会及手动更改配置；备份切换时,会议中断的时间&lt;10S；提供第三方权威机构检测报告证明。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13.支持至少7*24小时连续正常工作；提供第三方权威机构检测报告证明。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14.支持SIP(TLS/SRTP)信令和媒体流加密、AES加密算法、H.235媒体流加密、H.235认证和信令完整性校验；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15.支持主叫呼集功能，实现从会场终端上发起多方会议，无须后台人工干预；提供第三方权威机构检测报告证明。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16.★提供所投设备的制造商盖章的电信入网证、3C证书、检测报告；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17.★因下面各单位视频会议设备已采购，提供经甲方测试的无缝对接证明文件。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311932.00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311932.00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厦门市 /厦门亿联网络技术股份有限公司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高清视频终端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VC200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1.所投产品与MCU同一品牌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2.所投产品自身编解码器应支持IETF SIP协议，具有良好的兼容性和开放性。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3.所投产品支持H.239和BFCP双流协议。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4.所投产品全高清摄像机，200万像素，支持1080P 30fps采集。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5.所投产品摄像机支持3倍变焦。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6.所投产品摄像机支持水平视角不小于85°。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7.所投产品视频应支持H.264、H.264 HP或更高级的图像编码协议。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8.所投产品音频支持G.722.1C，G.722等音频协议。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9.所投产品支持BFCP双流协议。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10.所投产品提供1路高清视频输入、1路高清视频输出。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11.所投产品提供1路音频输出。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12.所投产品支持1个10M/100M/1000M自适应网口。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13.所投产品支持1个USB 2.0 Host接口。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14.所投产品支持SRTP加密，保证会议安全。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15.所投设备支持0~40℃工作温度。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16.所投产品支持IPv4和IPv6双协议栈，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17.所投产品支持内置网络诊断工具，能够快速定位网络层数据包经过的主要节点，便于网络故障定位。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18.所投产品支持LDAP地址本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19. ★提供所投设备的检测报告、3C认证、入网许可证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19216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57648.00 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厦门市 /厦门亿联网络技术股份有限公司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547" w:type="dxa"/>
            <w:gridSpan w:val="7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大写：　叁拾陆万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玖仟伍佰捌拾元整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　小写：3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69580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</w:tr>
    </w:tbl>
    <w:p>
      <w:pPr>
        <w:pStyle w:val="3"/>
        <w:spacing w:line="360" w:lineRule="auto"/>
        <w:rPr>
          <w:rFonts w:hAnsi="宋体"/>
          <w:b/>
          <w:snapToGrid w:val="0"/>
          <w:sz w:val="21"/>
          <w:szCs w:val="21"/>
        </w:rPr>
      </w:pPr>
    </w:p>
    <w:p>
      <w:r>
        <w:rPr>
          <w:rFonts w:hint="eastAsia"/>
        </w:rPr>
        <w:t>供应商</w:t>
      </w:r>
      <w:r>
        <w:t>公章：河南道诚信息</w:t>
      </w:r>
      <w:r>
        <w:rPr>
          <w:rFonts w:hint="eastAsia"/>
        </w:rPr>
        <w:t>技术</w:t>
      </w:r>
      <w:r>
        <w:t>有限</w:t>
      </w:r>
      <w:r>
        <w:rPr>
          <w:rFonts w:hint="eastAsia"/>
        </w:rPr>
        <w:t>公司</w:t>
      </w:r>
    </w:p>
    <w:p>
      <w:pPr>
        <w:rPr>
          <w:rFonts w:hint="eastAsia"/>
        </w:rPr>
      </w:pPr>
      <w:r>
        <w:rPr>
          <w:rFonts w:hint="eastAsia"/>
        </w:rPr>
        <w:t>法人代表</w:t>
      </w:r>
      <w:r>
        <w:t>或法人授权人签字：王伟娜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B4"/>
    <w:rsid w:val="002B0266"/>
    <w:rsid w:val="003D6C80"/>
    <w:rsid w:val="003F6E3A"/>
    <w:rsid w:val="007079AF"/>
    <w:rsid w:val="008A5E46"/>
    <w:rsid w:val="00A445B4"/>
    <w:rsid w:val="00D50AA5"/>
    <w:rsid w:val="3EF3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unhideWhenUsed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nhideWhenUsed/>
    <w:qFormat/>
    <w:uiPriority w:val="0"/>
    <w:rPr>
      <w:rFonts w:ascii="宋体" w:hAnsi="Courier New"/>
      <w:kern w:val="0"/>
      <w:sz w:val="20"/>
      <w:szCs w:val="20"/>
      <w:lang w:val="zh-CN" w:eastAsia="zh-CN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纯文本 字符"/>
    <w:basedOn w:val="7"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12">
    <w:name w:val="纯文本 Char"/>
    <w:link w:val="3"/>
    <w:uiPriority w:val="0"/>
    <w:rPr>
      <w:rFonts w:ascii="宋体" w:hAnsi="Courier New" w:eastAsia="宋体" w:cs="Times New Roman"/>
      <w:kern w:val="0"/>
      <w:sz w:val="20"/>
      <w:szCs w:val="20"/>
      <w:lang w:val="zh-CN" w:eastAsia="zh-CN"/>
    </w:rPr>
  </w:style>
  <w:style w:type="character" w:customStyle="1" w:styleId="13">
    <w:name w:val="标题 2 Char"/>
    <w:link w:val="2"/>
    <w:qFormat/>
    <w:uiPriority w:val="9"/>
    <w:rPr>
      <w:rFonts w:ascii="Cambria" w:hAnsi="Cambria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273</Words>
  <Characters>1559</Characters>
  <Lines>12</Lines>
  <Paragraphs>3</Paragraphs>
  <TotalTime>9</TotalTime>
  <ScaleCrop>false</ScaleCrop>
  <LinksUpToDate>false</LinksUpToDate>
  <CharactersWithSpaces>1829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2019-09-10T02:21:00Z</dcterms:created>
  <dc:creator>Administrator</dc:creator>
  <cp:lastModifiedBy>长葛市公共资源交易中心:王丹丹</cp:lastModifiedBy>
  <dcterms:modified xsi:type="dcterms:W3CDTF">2019-09-10T04:14:42Z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