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 xml:space="preserve">JSGC-FJ2019157 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河南神垕古镇发展有限公司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神垕古镇研学中心和古镇主题酒店设计项目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ab/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8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814"/>
        <w:gridCol w:w="2577"/>
        <w:gridCol w:w="1282"/>
        <w:gridCol w:w="7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神垕古镇研学中心和古镇主题酒店设计项目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 xml:space="preserve">JSGC-FJ2019157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val="en-US" w:eastAsia="zh-CN"/>
              </w:rPr>
              <w:t>河南神垕古镇发展有限公司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419100.00元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2019年8月29日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禹州市神垕镇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陈留涛   吴红彬  高子谦  陈晓倩   桑福新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综合评估法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  <w:t>河南省顺驰建设集团有限公司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建筑装饰工程设计专项乙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  <w:t>410000.00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要求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符合国家现行设计规范、规程、规定、标准的要求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设计周期</w:t>
            </w: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周福全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中级工程师职称证书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C09902140901153）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周腾飞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中级工程师职称证书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C09902140901155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给排水设计人员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任亚戈（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中级工程师职称证书，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C04613140900054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电气设计人员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全（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中级工程师职称证书，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C05888110900279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资料员</w:t>
            </w:r>
          </w:p>
        </w:tc>
        <w:tc>
          <w:tcPr>
            <w:tcW w:w="623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白雪梅（证书编号：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41171140000027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247508DA"/>
    <w:rsid w:val="28902600"/>
    <w:rsid w:val="2A7C0ED4"/>
    <w:rsid w:val="2E3F792C"/>
    <w:rsid w:val="4279434F"/>
    <w:rsid w:val="4B3C5235"/>
    <w:rsid w:val="4C012A4E"/>
    <w:rsid w:val="4E8069DA"/>
    <w:rsid w:val="51E3794D"/>
    <w:rsid w:val="537A2161"/>
    <w:rsid w:val="5406418E"/>
    <w:rsid w:val="54B53A30"/>
    <w:rsid w:val="56153AAF"/>
    <w:rsid w:val="56D811A5"/>
    <w:rsid w:val="58A64E27"/>
    <w:rsid w:val="60095110"/>
    <w:rsid w:val="6B9F11A3"/>
    <w:rsid w:val="6E1E3C3B"/>
    <w:rsid w:val="6FE03916"/>
    <w:rsid w:val="701C14D4"/>
    <w:rsid w:val="71077820"/>
    <w:rsid w:val="75977408"/>
    <w:rsid w:val="78A9353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2019-09-09T00:38:00Z</cp:lastPrinted>
  <dcterms:modified xsi:type="dcterms:W3CDTF">2019-09-09T03:33:07Z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