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rPr>
          <w:rFonts w:hint="default"/>
          <w:color w:val="auto"/>
          <w:lang w:val="en-US" w:eastAsia="zh-CN"/>
        </w:rPr>
      </w:pPr>
      <w:bookmarkStart w:id="0" w:name="_Toc27632"/>
      <w:r>
        <w:rPr>
          <w:rFonts w:hint="eastAsia"/>
          <w:color w:val="auto"/>
          <w:lang w:val="en-US" w:eastAsia="zh-CN"/>
        </w:rPr>
        <w:t>5、售后服务方案</w:t>
      </w:r>
      <w:bookmarkEnd w:id="0"/>
    </w:p>
    <w:p>
      <w:pPr>
        <w:pStyle w:val="3"/>
        <w:bidi w:val="0"/>
        <w:rPr>
          <w:rFonts w:hint="eastAsia"/>
          <w:color w:val="auto"/>
          <w:lang w:val="en-US" w:eastAsia="zh-CN"/>
        </w:rPr>
      </w:pPr>
      <w:bookmarkStart w:id="1" w:name="_Toc13844"/>
      <w:r>
        <w:rPr>
          <w:rFonts w:hint="eastAsia"/>
          <w:color w:val="auto"/>
          <w:lang w:val="en-US" w:eastAsia="zh-CN"/>
        </w:rPr>
        <w:t>（1）售后服务承诺</w:t>
      </w:r>
      <w:bookmarkEnd w:id="1"/>
    </w:p>
    <w:p>
      <w:pPr>
        <w:keepNext w:val="0"/>
        <w:keepLines w:val="0"/>
        <w:pageBreakBefore w:val="0"/>
        <w:widowControl/>
        <w:numPr>
          <w:ilvl w:val="0"/>
          <w:numId w:val="0"/>
        </w:numPr>
        <w:kinsoku/>
        <w:wordWrap/>
        <w:overflowPunct/>
        <w:topLinePunct w:val="0"/>
        <w:autoSpaceDE/>
        <w:autoSpaceDN/>
        <w:bidi w:val="0"/>
        <w:adjustRightInd/>
        <w:snapToGrid/>
        <w:spacing w:line="360" w:lineRule="auto"/>
        <w:textAlignment w:val="auto"/>
        <w:rPr>
          <w:rFonts w:hint="eastAsia"/>
          <w:color w:val="auto"/>
          <w:sz w:val="24"/>
          <w:szCs w:val="24"/>
          <w:lang w:val="en-US" w:eastAsia="zh-CN"/>
        </w:rPr>
      </w:pPr>
      <w:r>
        <w:rPr>
          <w:rFonts w:hint="eastAsia"/>
          <w:color w:val="auto"/>
          <w:sz w:val="24"/>
          <w:szCs w:val="24"/>
        </w:rPr>
        <w:t>我公司山东省博兴县格瑞特厨业有限公司</w:t>
      </w:r>
      <w:r>
        <w:rPr>
          <w:rFonts w:hint="eastAsia"/>
          <w:color w:val="auto"/>
          <w:sz w:val="24"/>
          <w:szCs w:val="24"/>
          <w:lang w:val="en-US" w:eastAsia="zh-CN"/>
        </w:rPr>
        <w:t>承诺如下：</w:t>
      </w:r>
    </w:p>
    <w:p>
      <w:pPr>
        <w:pStyle w:val="6"/>
        <w:keepNext w:val="0"/>
        <w:keepLines w:val="0"/>
        <w:pageBreakBefore w:val="0"/>
        <w:widowControl/>
        <w:numPr>
          <w:ilvl w:val="0"/>
          <w:numId w:val="1"/>
        </w:numPr>
        <w:kinsoku/>
        <w:wordWrap/>
        <w:overflowPunct/>
        <w:topLinePunct w:val="0"/>
        <w:autoSpaceDE/>
        <w:autoSpaceDN/>
        <w:bidi w:val="0"/>
        <w:adjustRightInd/>
        <w:snapToGrid/>
        <w:spacing w:line="360" w:lineRule="auto"/>
        <w:ind w:left="0" w:leftChars="0" w:firstLine="398" w:firstLineChars="166"/>
        <w:textAlignment w:val="auto"/>
        <w:rPr>
          <w:rFonts w:hint="eastAsia" w:ascii="宋体" w:hAnsi="宋体" w:eastAsia="宋体" w:cs="宋体"/>
          <w:color w:val="auto"/>
          <w:sz w:val="24"/>
          <w:szCs w:val="24"/>
          <w:lang w:eastAsia="zh-CN"/>
        </w:rPr>
      </w:pPr>
      <w:r>
        <w:rPr>
          <w:rFonts w:hint="eastAsia"/>
          <w:color w:val="auto"/>
          <w:sz w:val="24"/>
          <w:szCs w:val="24"/>
          <w:lang w:val="en-US" w:eastAsia="zh-CN"/>
        </w:rPr>
        <w:t>我公司完全响应投标有效期90天，有幸在此次投标中中标，我公司将对所有</w:t>
      </w:r>
      <w:r>
        <w:rPr>
          <w:rFonts w:hint="eastAsia" w:ascii="宋体" w:hAnsi="宋体" w:eastAsia="宋体" w:cs="宋体"/>
          <w:color w:val="auto"/>
          <w:sz w:val="24"/>
          <w:szCs w:val="24"/>
        </w:rPr>
        <w:t>货物负责安装、调试、培训</w:t>
      </w:r>
      <w:r>
        <w:rPr>
          <w:rFonts w:hint="eastAsia" w:ascii="宋体" w:hAnsi="宋体" w:eastAsia="宋体" w:cs="宋体"/>
          <w:color w:val="auto"/>
          <w:sz w:val="24"/>
          <w:szCs w:val="24"/>
          <w:lang w:eastAsia="zh-CN"/>
        </w:rPr>
        <w:t>。</w:t>
      </w:r>
    </w:p>
    <w:p>
      <w:pPr>
        <w:pStyle w:val="6"/>
        <w:keepNext w:val="0"/>
        <w:keepLines w:val="0"/>
        <w:pageBreakBefore w:val="0"/>
        <w:widowControl/>
        <w:numPr>
          <w:ilvl w:val="0"/>
          <w:numId w:val="1"/>
        </w:numPr>
        <w:kinsoku/>
        <w:wordWrap/>
        <w:overflowPunct/>
        <w:topLinePunct w:val="0"/>
        <w:autoSpaceDE/>
        <w:autoSpaceDN/>
        <w:bidi w:val="0"/>
        <w:adjustRightInd/>
        <w:snapToGrid/>
        <w:spacing w:line="360" w:lineRule="auto"/>
        <w:ind w:left="0" w:leftChars="0" w:firstLine="398" w:firstLineChars="166"/>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我公司将</w:t>
      </w:r>
      <w:r>
        <w:rPr>
          <w:rFonts w:hint="eastAsia" w:ascii="宋体" w:hAnsi="宋体" w:eastAsia="宋体" w:cs="宋体"/>
          <w:color w:val="auto"/>
          <w:sz w:val="24"/>
          <w:szCs w:val="24"/>
        </w:rPr>
        <w:t>提供及时、迅速、优质服务的承诺，迅速快捷地提供货物的备品备件，保证招标人能够及时买到货物所需的备品备件和易损件</w:t>
      </w:r>
      <w:r>
        <w:rPr>
          <w:rFonts w:hint="eastAsia" w:ascii="宋体" w:hAnsi="宋体" w:eastAsia="宋体" w:cs="宋体"/>
          <w:color w:val="auto"/>
          <w:sz w:val="24"/>
          <w:szCs w:val="24"/>
          <w:lang w:eastAsia="zh-CN"/>
        </w:rPr>
        <w:t>。</w:t>
      </w:r>
    </w:p>
    <w:p>
      <w:pPr>
        <w:pStyle w:val="6"/>
        <w:keepNext w:val="0"/>
        <w:keepLines w:val="0"/>
        <w:pageBreakBefore w:val="0"/>
        <w:widowControl/>
        <w:numPr>
          <w:ilvl w:val="0"/>
          <w:numId w:val="1"/>
        </w:numPr>
        <w:kinsoku/>
        <w:wordWrap/>
        <w:overflowPunct/>
        <w:topLinePunct w:val="0"/>
        <w:autoSpaceDE/>
        <w:autoSpaceDN/>
        <w:bidi w:val="0"/>
        <w:adjustRightInd/>
        <w:snapToGrid/>
        <w:spacing w:line="360" w:lineRule="auto"/>
        <w:ind w:left="0" w:leftChars="0" w:firstLine="398" w:firstLineChars="166"/>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我公司将</w:t>
      </w:r>
      <w:r>
        <w:rPr>
          <w:rFonts w:hint="eastAsia" w:ascii="宋体" w:hAnsi="宋体" w:eastAsia="宋体" w:cs="宋体"/>
          <w:color w:val="auto"/>
          <w:sz w:val="24"/>
          <w:szCs w:val="24"/>
        </w:rPr>
        <w:t>提供中标货物齐全的资料（进口货物必须包括中文和英文的使用说明、安装手册、维修手册、专用工具和相应质检手续证明文件）</w:t>
      </w:r>
      <w:r>
        <w:rPr>
          <w:rFonts w:hint="eastAsia" w:ascii="宋体" w:hAnsi="宋体" w:eastAsia="宋体" w:cs="宋体"/>
          <w:color w:val="auto"/>
          <w:sz w:val="24"/>
          <w:szCs w:val="24"/>
          <w:lang w:eastAsia="zh-CN"/>
        </w:rPr>
        <w:t>。</w:t>
      </w:r>
    </w:p>
    <w:p>
      <w:pPr>
        <w:pStyle w:val="6"/>
        <w:keepNext w:val="0"/>
        <w:keepLines w:val="0"/>
        <w:pageBreakBefore w:val="0"/>
        <w:widowControl/>
        <w:numPr>
          <w:ilvl w:val="0"/>
          <w:numId w:val="1"/>
        </w:numPr>
        <w:kinsoku/>
        <w:wordWrap/>
        <w:overflowPunct/>
        <w:topLinePunct w:val="0"/>
        <w:autoSpaceDE/>
        <w:autoSpaceDN/>
        <w:bidi w:val="0"/>
        <w:adjustRightInd/>
        <w:snapToGrid/>
        <w:spacing w:line="360" w:lineRule="auto"/>
        <w:ind w:left="0" w:leftChars="0" w:firstLine="398" w:firstLineChars="166"/>
        <w:textAlignment w:val="auto"/>
        <w:rPr>
          <w:rFonts w:hint="eastAsia" w:ascii="宋体" w:hAnsi="宋体" w:eastAsia="宋体" w:cs="宋体"/>
          <w:color w:val="auto"/>
          <w:sz w:val="24"/>
          <w:szCs w:val="24"/>
          <w:highlight w:val="yellow"/>
          <w:u w:val="none"/>
          <w:lang w:val="en-US" w:eastAsia="zh-CN"/>
        </w:rPr>
      </w:pPr>
      <w:r>
        <w:rPr>
          <w:rFonts w:hint="eastAsia" w:ascii="宋体" w:hAnsi="宋体" w:eastAsia="宋体" w:cs="宋体"/>
          <w:color w:val="auto"/>
          <w:sz w:val="24"/>
          <w:szCs w:val="24"/>
          <w:lang w:val="en-US" w:eastAsia="zh-CN"/>
        </w:rPr>
        <w:t>我公司承诺所有的货物</w:t>
      </w:r>
      <w:r>
        <w:rPr>
          <w:rFonts w:hint="eastAsia" w:ascii="宋体" w:hAnsi="宋体" w:eastAsia="宋体" w:cs="宋体"/>
          <w:color w:val="auto"/>
          <w:sz w:val="24"/>
          <w:szCs w:val="24"/>
        </w:rPr>
        <w:t>质保期：</w:t>
      </w:r>
      <w:r>
        <w:rPr>
          <w:rFonts w:hint="eastAsia" w:ascii="宋体" w:hAnsi="宋体" w:cs="宋体"/>
          <w:b/>
          <w:bCs/>
          <w:color w:val="auto"/>
          <w:sz w:val="24"/>
          <w:szCs w:val="24"/>
          <w:highlight w:val="yellow"/>
          <w:u w:val="single"/>
          <w:lang w:val="en-US" w:eastAsia="zh-CN"/>
        </w:rPr>
        <w:t>五</w:t>
      </w:r>
      <w:r>
        <w:rPr>
          <w:rFonts w:hint="eastAsia" w:ascii="宋体" w:hAnsi="宋体" w:eastAsia="宋体" w:cs="宋体"/>
          <w:b/>
          <w:bCs/>
          <w:color w:val="auto"/>
          <w:sz w:val="24"/>
          <w:szCs w:val="24"/>
          <w:highlight w:val="yellow"/>
          <w:u w:val="single"/>
          <w:lang w:val="en-US" w:eastAsia="zh-CN"/>
        </w:rPr>
        <w:t>年。</w:t>
      </w:r>
      <w:r>
        <w:rPr>
          <w:rFonts w:hint="eastAsia" w:ascii="宋体" w:cs="宋体"/>
          <w:sz w:val="24"/>
          <w:highlight w:val="yellow"/>
          <w:lang w:val="zh-CN"/>
        </w:rPr>
        <w:t>并每年进行免费巡检，质保期内所有设备免费保修或更换。保修期结束后，仍负责提供维修服务，只能收取成本费。解决问题时间不得超过24小时。</w:t>
      </w:r>
    </w:p>
    <w:p>
      <w:pPr>
        <w:wordWrap w:val="0"/>
        <w:topLinePunct/>
        <w:spacing w:line="360" w:lineRule="auto"/>
        <w:ind w:firstLine="480" w:firstLineChars="200"/>
        <w:rPr>
          <w:rFonts w:hint="default" w:ascii="宋体" w:eastAsia="宋体" w:cs="宋体"/>
          <w:sz w:val="24"/>
          <w:highlight w:val="yellow"/>
          <w:lang w:val="en-US" w:eastAsia="zh-CN"/>
        </w:rPr>
      </w:pP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货物出现故障后</w:t>
      </w:r>
      <w:r>
        <w:rPr>
          <w:rFonts w:hint="eastAsia" w:ascii="宋体" w:hAnsi="宋体" w:eastAsia="宋体" w:cs="宋体"/>
          <w:color w:val="auto"/>
          <w:sz w:val="24"/>
          <w:szCs w:val="24"/>
          <w:lang w:eastAsia="zh-CN"/>
        </w:rPr>
        <w:t>，</w:t>
      </w:r>
      <w:r>
        <w:rPr>
          <w:rFonts w:hint="eastAsia" w:ascii="Times New Roman" w:hAnsi="Times New Roman"/>
          <w:color w:val="auto"/>
          <w:sz w:val="24"/>
          <w:szCs w:val="24"/>
        </w:rPr>
        <w:t>售后维修</w:t>
      </w:r>
      <w:r>
        <w:rPr>
          <w:rFonts w:hint="eastAsia" w:ascii="Times New Roman" w:hAnsi="Times New Roman"/>
          <w:color w:val="auto"/>
          <w:sz w:val="24"/>
          <w:szCs w:val="24"/>
          <w:lang w:val="en-US" w:eastAsia="zh-CN"/>
        </w:rPr>
        <w:t>部门将在</w:t>
      </w:r>
      <w:r>
        <w:rPr>
          <w:rFonts w:hint="eastAsia"/>
          <w:b/>
          <w:color w:val="auto"/>
          <w:sz w:val="24"/>
          <w:szCs w:val="24"/>
          <w:highlight w:val="yellow"/>
          <w:u w:val="single"/>
          <w:lang w:val="en-US" w:eastAsia="zh-CN"/>
        </w:rPr>
        <w:t>10分钟</w:t>
      </w:r>
      <w:r>
        <w:rPr>
          <w:rFonts w:hint="eastAsia" w:ascii="Times New Roman" w:hAnsi="Times New Roman"/>
          <w:b/>
          <w:color w:val="auto"/>
          <w:sz w:val="24"/>
          <w:szCs w:val="24"/>
          <w:highlight w:val="yellow"/>
          <w:u w:val="single"/>
        </w:rPr>
        <w:t>内进行有效响应，</w:t>
      </w:r>
      <w:r>
        <w:rPr>
          <w:rFonts w:hint="eastAsia" w:ascii="Times New Roman" w:hAnsi="Times New Roman"/>
          <w:color w:val="auto"/>
          <w:sz w:val="24"/>
          <w:szCs w:val="24"/>
        </w:rPr>
        <w:t>出现严重故障影响设备正常运行时，</w:t>
      </w:r>
      <w:r>
        <w:rPr>
          <w:rFonts w:hint="eastAsia" w:ascii="Times New Roman" w:hAnsi="Times New Roman"/>
          <w:b/>
          <w:bCs/>
          <w:color w:val="auto"/>
          <w:sz w:val="24"/>
          <w:szCs w:val="24"/>
          <w:highlight w:val="yellow"/>
          <w:u w:val="single"/>
          <w:lang w:val="en-US" w:eastAsia="zh-CN"/>
        </w:rPr>
        <w:t>2</w:t>
      </w:r>
      <w:r>
        <w:rPr>
          <w:rFonts w:hint="eastAsia" w:ascii="Times New Roman" w:hAnsi="Times New Roman"/>
          <w:b/>
          <w:bCs/>
          <w:color w:val="auto"/>
          <w:sz w:val="24"/>
          <w:szCs w:val="24"/>
          <w:highlight w:val="yellow"/>
          <w:u w:val="single"/>
        </w:rPr>
        <w:t>小时内到达现场；在质保期内，</w:t>
      </w:r>
      <w:r>
        <w:rPr>
          <w:rFonts w:hint="eastAsia" w:ascii="Times New Roman" w:hAnsi="Times New Roman"/>
          <w:b/>
          <w:bCs/>
          <w:color w:val="auto"/>
          <w:sz w:val="24"/>
          <w:szCs w:val="24"/>
          <w:highlight w:val="yellow"/>
          <w:u w:val="single"/>
          <w:lang w:val="en-US" w:eastAsia="zh-CN"/>
        </w:rPr>
        <w:t>12小时内解决问题。</w:t>
      </w:r>
      <w:r>
        <w:rPr>
          <w:rFonts w:hint="eastAsia" w:ascii="Times New Roman" w:hAnsi="Times New Roman"/>
          <w:b/>
          <w:bCs/>
          <w:color w:val="auto"/>
          <w:sz w:val="24"/>
          <w:szCs w:val="24"/>
          <w:highlight w:val="yellow"/>
          <w:u w:val="single"/>
        </w:rPr>
        <w:t>如</w:t>
      </w:r>
      <w:r>
        <w:rPr>
          <w:rFonts w:hint="eastAsia"/>
          <w:b/>
          <w:bCs/>
          <w:color w:val="auto"/>
          <w:sz w:val="24"/>
          <w:szCs w:val="24"/>
          <w:highlight w:val="yellow"/>
          <w:u w:val="single"/>
          <w:lang w:val="en-US" w:eastAsia="zh-CN"/>
        </w:rPr>
        <w:t>12</w:t>
      </w:r>
      <w:r>
        <w:rPr>
          <w:rFonts w:hint="eastAsia" w:ascii="Times New Roman" w:hAnsi="Times New Roman"/>
          <w:b/>
          <w:bCs/>
          <w:color w:val="auto"/>
          <w:sz w:val="24"/>
          <w:szCs w:val="24"/>
          <w:highlight w:val="yellow"/>
          <w:u w:val="single"/>
        </w:rPr>
        <w:t>小时内无法修复设备，我公司会提供替代设备给采购人使用，直到故障设备修复为止。在质保期内每年提供四次免费上门巡检服务。</w:t>
      </w:r>
      <w:r>
        <w:rPr>
          <w:rFonts w:hint="eastAsia" w:ascii="宋体" w:cs="宋体"/>
          <w:sz w:val="24"/>
          <w:highlight w:val="yellow"/>
          <w:lang w:val="zh-CN"/>
        </w:rPr>
        <w:t>保修期内提供24小时免费技术支持服务。自验收合格之日起，质保期内发生的相关一切费用由中标人承担，并且在保修范围内损坏而更换的部件质保期顺延。</w:t>
      </w:r>
      <w:r>
        <w:rPr>
          <w:rFonts w:hint="eastAsia" w:ascii="宋体" w:cs="宋体"/>
          <w:sz w:val="24"/>
          <w:highlight w:val="yellow"/>
          <w:lang w:val="en-US" w:eastAsia="zh-CN"/>
        </w:rPr>
        <w:t>交付地点：许昌市第六中学。</w:t>
      </w:r>
    </w:p>
    <w:p>
      <w:pPr>
        <w:keepNext w:val="0"/>
        <w:keepLines w:val="0"/>
        <w:pageBreakBefore w:val="0"/>
        <w:widowControl/>
        <w:kinsoku/>
        <w:wordWrap/>
        <w:overflowPunct/>
        <w:topLinePunct w:val="0"/>
        <w:autoSpaceDE/>
        <w:autoSpaceDN/>
        <w:bidi w:val="0"/>
        <w:adjustRightInd/>
        <w:snapToGrid/>
        <w:spacing w:line="360" w:lineRule="auto"/>
        <w:ind w:left="0" w:leftChars="0" w:firstLine="398" w:firstLineChars="166"/>
        <w:textAlignment w:val="auto"/>
        <w:rPr>
          <w:rFonts w:ascii="Times New Roman" w:hAnsi="Times New Roman"/>
          <w:color w:val="auto"/>
          <w:sz w:val="24"/>
          <w:szCs w:val="24"/>
        </w:rPr>
      </w:pPr>
      <w:r>
        <w:rPr>
          <w:rFonts w:hint="eastAsia" w:ascii="宋体" w:hAnsi="宋体" w:eastAsia="宋体" w:cs="宋体"/>
          <w:color w:val="auto"/>
          <w:sz w:val="24"/>
          <w:szCs w:val="24"/>
        </w:rPr>
        <w:t>质量保证期内，除人为因素损坏外</w:t>
      </w:r>
      <w:r>
        <w:rPr>
          <w:rFonts w:hint="eastAsia" w:ascii="宋体" w:hAnsi="宋体" w:eastAsia="宋体" w:cs="宋体"/>
          <w:color w:val="auto"/>
          <w:sz w:val="24"/>
          <w:szCs w:val="24"/>
          <w:lang w:eastAsia="zh-CN"/>
        </w:rPr>
        <w:t>，</w:t>
      </w:r>
      <w:r>
        <w:rPr>
          <w:rFonts w:hint="eastAsia" w:ascii="Times New Roman" w:hAnsi="Times New Roman"/>
          <w:color w:val="auto"/>
          <w:sz w:val="24"/>
          <w:szCs w:val="24"/>
        </w:rPr>
        <w:t>提供免费上门</w:t>
      </w:r>
      <w:r>
        <w:rPr>
          <w:rFonts w:hint="eastAsia" w:ascii="Times New Roman" w:hAnsi="Times New Roman"/>
          <w:color w:val="auto"/>
          <w:sz w:val="24"/>
          <w:szCs w:val="24"/>
          <w:highlight w:val="none"/>
        </w:rPr>
        <w:t>维修和技术支持的服务，保证长期优质服务，所需更换的零件部件均以成本价提供。保修期满后，公司将继续保持对货物的跟踪保养同质的服务，服务范围遵循质保期内范围，收费依据市场价低20%。中标人免费为招标人提供中文操作手册并培训操作人员，其中包括讲解产品的结构以及原理、产品的使用以及维护保养，直至操作人员能够独立的操作使用</w:t>
      </w:r>
      <w:r>
        <w:rPr>
          <w:rFonts w:hint="eastAsia" w:ascii="Times New Roman" w:hAnsi="Times New Roman"/>
          <w:color w:val="auto"/>
          <w:sz w:val="24"/>
          <w:szCs w:val="24"/>
        </w:rPr>
        <w:t>。</w:t>
      </w:r>
    </w:p>
    <w:p>
      <w:pPr>
        <w:pStyle w:val="6"/>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2"/>
          <w:sz w:val="24"/>
          <w:szCs w:val="24"/>
          <w:lang w:val="en-US" w:eastAsia="zh-CN" w:bidi="ar-SA"/>
        </w:rPr>
      </w:pPr>
      <w:r>
        <w:rPr>
          <w:rFonts w:hint="eastAsia" w:ascii="宋体" w:hAnsi="宋体" w:cs="宋体"/>
          <w:color w:val="auto"/>
          <w:kern w:val="2"/>
          <w:sz w:val="24"/>
          <w:szCs w:val="24"/>
          <w:lang w:val="en-US" w:eastAsia="zh-CN" w:bidi="ar-SA"/>
        </w:rPr>
        <w:t>6、我公司完全响应</w:t>
      </w:r>
      <w:r>
        <w:rPr>
          <w:rFonts w:hint="eastAsia" w:ascii="宋体" w:hAnsi="宋体" w:eastAsia="宋体" w:cs="宋体"/>
          <w:color w:val="auto"/>
          <w:kern w:val="2"/>
          <w:sz w:val="24"/>
          <w:szCs w:val="24"/>
          <w:lang w:val="en-US" w:eastAsia="zh-CN" w:bidi="ar-SA"/>
        </w:rPr>
        <w:t>资金支付</w:t>
      </w:r>
      <w:r>
        <w:rPr>
          <w:rFonts w:hint="eastAsia" w:ascii="宋体" w:hAnsi="宋体" w:cs="宋体"/>
          <w:color w:val="auto"/>
          <w:kern w:val="2"/>
          <w:sz w:val="24"/>
          <w:szCs w:val="24"/>
          <w:lang w:val="en-US" w:eastAsia="zh-CN" w:bidi="ar-SA"/>
        </w:rPr>
        <w:t>方式：</w:t>
      </w:r>
      <w:r>
        <w:rPr>
          <w:rFonts w:hint="eastAsia" w:ascii="宋体" w:hAnsi="宋体" w:eastAsia="宋体" w:cs="宋体"/>
          <w:color w:val="auto"/>
          <w:kern w:val="2"/>
          <w:sz w:val="24"/>
          <w:szCs w:val="24"/>
          <w:lang w:val="en-US" w:eastAsia="zh-CN" w:bidi="ar-SA"/>
        </w:rPr>
        <w:t>1、支付方式：银行转账</w:t>
      </w:r>
      <w:r>
        <w:rPr>
          <w:rFonts w:hint="eastAsia" w:ascii="宋体" w:hAnsi="宋体" w:cs="宋体"/>
          <w:color w:val="auto"/>
          <w:kern w:val="2"/>
          <w:sz w:val="24"/>
          <w:szCs w:val="24"/>
          <w:lang w:val="en-US" w:eastAsia="zh-CN" w:bidi="ar-SA"/>
        </w:rPr>
        <w:t>，</w:t>
      </w:r>
      <w:r>
        <w:rPr>
          <w:rFonts w:hint="eastAsia" w:ascii="宋体" w:hAnsi="宋体" w:eastAsia="宋体" w:cs="宋体"/>
          <w:color w:val="auto"/>
          <w:kern w:val="2"/>
          <w:sz w:val="24"/>
          <w:szCs w:val="24"/>
          <w:lang w:val="en-US" w:eastAsia="zh-CN" w:bidi="ar-SA"/>
        </w:rPr>
        <w:t>2、支付时间及条件：设备到货经安装调试验收合格，5个月后，付总价的80%，剩余20%满一年无质量问题一次付清。</w:t>
      </w:r>
    </w:p>
    <w:p>
      <w:pPr>
        <w:rPr>
          <w:rFonts w:hint="eastAsia"/>
          <w:lang w:val="en-US" w:eastAsia="zh-CN"/>
        </w:rPr>
      </w:pPr>
      <w:r>
        <w:rPr>
          <w:rFonts w:hint="eastAsia"/>
          <w:lang w:val="en-US" w:eastAsia="zh-CN"/>
        </w:rPr>
        <w:br w:type="page"/>
      </w:r>
    </w:p>
    <w:p>
      <w:pPr>
        <w:widowControl/>
        <w:shd w:val="clear" w:color="auto" w:fill="FFFFFF"/>
        <w:spacing w:line="360" w:lineRule="auto"/>
        <w:contextualSpacing/>
        <w:jc w:val="left"/>
        <w:rPr>
          <w:rFonts w:hint="eastAsia"/>
          <w:lang w:val="en-US" w:eastAsia="zh-CN"/>
        </w:rPr>
      </w:pPr>
      <w:r>
        <w:rPr>
          <w:rFonts w:hint="eastAsia"/>
          <w:lang w:val="en-US" w:eastAsia="zh-CN"/>
        </w:rPr>
        <w:t>7、我公司完全响应招标文件对验收的承诺如下：</w:t>
      </w:r>
    </w:p>
    <w:p>
      <w:pPr>
        <w:widowControl/>
        <w:shd w:val="clear" w:color="auto" w:fill="FFFFFF"/>
        <w:spacing w:line="360" w:lineRule="auto"/>
        <w:ind w:firstLine="361" w:firstLineChars="150"/>
        <w:contextualSpacing/>
        <w:jc w:val="left"/>
        <w:rPr>
          <w:rFonts w:ascii="楷体" w:hAnsi="楷体" w:eastAsia="楷体" w:cs="宋体"/>
          <w:color w:val="000000"/>
          <w:kern w:val="0"/>
          <w:szCs w:val="21"/>
          <w:lang w:val="zh-CN"/>
        </w:rPr>
      </w:pPr>
      <w:r>
        <w:rPr>
          <w:rFonts w:hint="eastAsia" w:cs="宋体" w:asciiTheme="minorEastAsia" w:hAnsiTheme="minorEastAsia"/>
          <w:b/>
          <w:color w:val="000000"/>
          <w:kern w:val="0"/>
          <w:sz w:val="24"/>
          <w:szCs w:val="24"/>
          <w:lang w:val="zh-CN"/>
        </w:rPr>
        <w:t>验收标准</w:t>
      </w:r>
    </w:p>
    <w:p>
      <w:pPr>
        <w:widowControl/>
        <w:shd w:val="clear" w:color="auto" w:fill="FFFFFF"/>
        <w:spacing w:line="360" w:lineRule="auto"/>
        <w:ind w:firstLine="480" w:firstLineChars="200"/>
        <w:contextualSpacing/>
        <w:jc w:val="left"/>
        <w:rPr>
          <w:rFonts w:cs="宋体" w:asciiTheme="minorEastAsia" w:hAnsiTheme="minorEastAsia"/>
          <w:color w:val="000000"/>
          <w:kern w:val="0"/>
          <w:sz w:val="24"/>
          <w:szCs w:val="24"/>
          <w:lang w:val="zh-CN"/>
        </w:rPr>
      </w:pPr>
      <w:r>
        <w:rPr>
          <w:rFonts w:hint="eastAsia" w:cs="宋体" w:asciiTheme="minorEastAsia" w:hAnsiTheme="minorEastAsia"/>
          <w:color w:val="000000"/>
          <w:kern w:val="0"/>
          <w:sz w:val="24"/>
          <w:szCs w:val="24"/>
          <w:lang w:val="zh-CN"/>
        </w:rPr>
        <w:t>1、由</w:t>
      </w:r>
      <w:r>
        <w:rPr>
          <w:rFonts w:cs="宋体" w:asciiTheme="minorEastAsia" w:hAnsiTheme="minorEastAsia"/>
          <w:color w:val="000000"/>
          <w:kern w:val="0"/>
          <w:sz w:val="24"/>
          <w:szCs w:val="24"/>
          <w:lang w:val="zh-CN"/>
        </w:rPr>
        <w:t>采购人成立验收小组,按照采购合同的约定对</w:t>
      </w:r>
      <w:r>
        <w:rPr>
          <w:rFonts w:hint="eastAsia" w:cs="宋体" w:asciiTheme="minorEastAsia" w:hAnsiTheme="minorEastAsia"/>
          <w:color w:val="000000"/>
          <w:kern w:val="0"/>
          <w:sz w:val="24"/>
          <w:szCs w:val="24"/>
          <w:lang w:val="zh-CN"/>
        </w:rPr>
        <w:t>中标人</w:t>
      </w:r>
      <w:r>
        <w:rPr>
          <w:rFonts w:cs="宋体" w:asciiTheme="minorEastAsia" w:hAnsiTheme="minorEastAsia"/>
          <w:color w:val="000000"/>
          <w:kern w:val="0"/>
          <w:sz w:val="24"/>
          <w:szCs w:val="24"/>
          <w:lang w:val="zh-CN"/>
        </w:rPr>
        <w:t>履约情况进行验收。验收时,按照采购合同的约定对每一项技术、服务、安全标准的履约情况进行确认。验收结束后,出具验收书,列明各项标准的验收情况及项目总体评价,由验收双方共同签署。</w:t>
      </w:r>
    </w:p>
    <w:p>
      <w:pPr>
        <w:widowControl/>
        <w:shd w:val="clear" w:color="auto" w:fill="FFFFFF"/>
        <w:spacing w:line="360" w:lineRule="auto"/>
        <w:ind w:firstLine="480" w:firstLineChars="200"/>
        <w:contextualSpacing/>
        <w:jc w:val="left"/>
        <w:rPr>
          <w:rFonts w:ascii="仿宋" w:hAnsi="仿宋" w:eastAsia="仿宋" w:cs="宋体"/>
          <w:color w:val="000000"/>
          <w:kern w:val="0"/>
          <w:sz w:val="24"/>
          <w:szCs w:val="24"/>
          <w:lang w:val="zh-CN"/>
        </w:rPr>
      </w:pPr>
      <w:r>
        <w:rPr>
          <w:rFonts w:hint="eastAsia" w:cs="宋体" w:asciiTheme="minorEastAsia" w:hAnsiTheme="minorEastAsia"/>
          <w:color w:val="000000"/>
          <w:kern w:val="0"/>
          <w:sz w:val="24"/>
          <w:szCs w:val="24"/>
          <w:lang w:val="zh-CN"/>
        </w:rPr>
        <w:t>2、按照招标文件要求、投标文件响应和承诺验收</w:t>
      </w:r>
      <w:r>
        <w:rPr>
          <w:rFonts w:hint="eastAsia" w:ascii="仿宋" w:hAnsi="仿宋" w:eastAsia="仿宋" w:cs="宋体"/>
          <w:color w:val="000000"/>
          <w:kern w:val="0"/>
          <w:sz w:val="24"/>
          <w:szCs w:val="24"/>
          <w:lang w:val="zh-CN"/>
        </w:rPr>
        <w:t>；</w:t>
      </w:r>
    </w:p>
    <w:p>
      <w:pPr>
        <w:widowControl/>
        <w:shd w:val="clear" w:color="auto" w:fill="FFFFFF"/>
        <w:spacing w:line="360" w:lineRule="auto"/>
        <w:ind w:firstLine="480" w:firstLineChars="200"/>
        <w:contextualSpacing/>
        <w:jc w:val="left"/>
        <w:rPr>
          <w:rFonts w:hint="eastAsia"/>
          <w:lang w:val="en-US" w:eastAsia="zh-CN"/>
        </w:rPr>
      </w:pPr>
      <w:r>
        <w:rPr>
          <w:rFonts w:hint="eastAsia" w:cs="宋体" w:asciiTheme="minorEastAsia" w:hAnsiTheme="minorEastAsia"/>
          <w:color w:val="000000"/>
          <w:kern w:val="0"/>
          <w:sz w:val="24"/>
          <w:szCs w:val="24"/>
          <w:lang w:val="zh-CN"/>
        </w:rPr>
        <w:t>3</w:t>
      </w:r>
      <w:r>
        <w:rPr>
          <w:rFonts w:hint="eastAsia" w:cs="宋体" w:asciiTheme="minorEastAsia" w:hAnsiTheme="minorEastAsia"/>
          <w:i/>
          <w:color w:val="000000"/>
          <w:kern w:val="0"/>
          <w:sz w:val="24"/>
          <w:szCs w:val="24"/>
          <w:lang w:val="zh-CN"/>
        </w:rPr>
        <w:t>、</w:t>
      </w:r>
      <w:r>
        <w:rPr>
          <w:rFonts w:hint="eastAsia" w:cs="宋体" w:asciiTheme="minorEastAsia" w:hAnsiTheme="minorEastAsia"/>
          <w:color w:val="000000"/>
          <w:kern w:val="0"/>
          <w:sz w:val="24"/>
          <w:szCs w:val="24"/>
          <w:lang w:val="zh-CN"/>
        </w:rPr>
        <w:t>按照合同约定的标准规范验收。</w:t>
      </w:r>
    </w:p>
    <w:p>
      <w:pPr>
        <w:pStyle w:val="7"/>
        <w:ind w:left="0" w:leftChars="0" w:firstLine="0" w:firstLineChars="0"/>
        <w:rPr>
          <w:rFonts w:hint="default"/>
          <w:color w:val="auto"/>
          <w:lang w:val="en-US" w:eastAsia="zh-CN"/>
        </w:rPr>
      </w:pPr>
      <w:r>
        <w:rPr>
          <w:rFonts w:hint="eastAsia" w:cs="宋体"/>
          <w:color w:val="auto"/>
          <w:kern w:val="2"/>
          <w:sz w:val="24"/>
          <w:szCs w:val="24"/>
          <w:lang w:val="en-US" w:eastAsia="zh-CN" w:bidi="ar-SA"/>
        </w:rPr>
        <w:t>8、我公司提供专业的技术支持和技术培训，保障用户的安全合理操作使用。</w:t>
      </w:r>
    </w:p>
    <w:p>
      <w:pPr>
        <w:pStyle w:val="4"/>
        <w:bidi w:val="0"/>
        <w:rPr>
          <w:rFonts w:hint="default"/>
          <w:color w:val="auto"/>
          <w:lang w:val="en-US" w:eastAsia="zh-CN"/>
        </w:rPr>
      </w:pPr>
      <w:bookmarkStart w:id="2" w:name="_Toc9886"/>
      <w:r>
        <w:rPr>
          <w:rFonts w:hint="eastAsia"/>
          <w:color w:val="auto"/>
          <w:lang w:val="en-US" w:eastAsia="zh-CN"/>
        </w:rPr>
        <w:t>1、本地化售后网点营业执照</w:t>
      </w:r>
      <w:bookmarkEnd w:id="2"/>
    </w:p>
    <w:p>
      <w:pPr>
        <w:rPr>
          <w:rFonts w:hint="default"/>
          <w:color w:val="auto"/>
          <w:lang w:val="en-US" w:eastAsia="zh-CN"/>
        </w:rPr>
      </w:pPr>
      <w:r>
        <w:rPr>
          <w:rFonts w:hint="eastAsia" w:eastAsia="宋体"/>
          <w:lang w:eastAsia="zh-CN"/>
        </w:rPr>
        <w:drawing>
          <wp:inline distT="0" distB="0" distL="114300" distR="114300">
            <wp:extent cx="5184140" cy="7528560"/>
            <wp:effectExtent l="0" t="0" r="16510" b="15240"/>
            <wp:docPr id="407" name="图片 407" descr="MX-M753N_20190614_171216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 name="图片 407" descr="MX-M753N_20190614_171216_001"/>
                    <pic:cNvPicPr>
                      <a:picLocks noChangeAspect="1"/>
                    </pic:cNvPicPr>
                  </pic:nvPicPr>
                  <pic:blipFill>
                    <a:blip r:embed="rId4"/>
                    <a:srcRect l="4978" t="3929" r="4074" b="2693"/>
                    <a:stretch>
                      <a:fillRect/>
                    </a:stretch>
                  </pic:blipFill>
                  <pic:spPr>
                    <a:xfrm>
                      <a:off x="0" y="0"/>
                      <a:ext cx="5184140" cy="7528560"/>
                    </a:xfrm>
                    <a:prstGeom prst="rect">
                      <a:avLst/>
                    </a:prstGeom>
                  </pic:spPr>
                </pic:pic>
              </a:graphicData>
            </a:graphic>
          </wp:inline>
        </w:drawing>
      </w:r>
    </w:p>
    <w:p>
      <w:pPr>
        <w:rPr>
          <w:rFonts w:hint="eastAsia"/>
          <w:color w:val="auto"/>
          <w:lang w:eastAsia="zh-CN"/>
        </w:rPr>
      </w:pPr>
      <w:r>
        <w:rPr>
          <w:rFonts w:hint="eastAsia"/>
          <w:color w:val="auto"/>
          <w:lang w:eastAsia="zh-CN"/>
        </w:rPr>
        <w:br w:type="page"/>
      </w:r>
    </w:p>
    <w:p>
      <w:pPr>
        <w:pStyle w:val="4"/>
        <w:bidi w:val="0"/>
        <w:rPr>
          <w:rFonts w:hint="default"/>
          <w:color w:val="auto"/>
          <w:lang w:val="en-US" w:eastAsia="zh-CN"/>
        </w:rPr>
      </w:pPr>
      <w:bookmarkStart w:id="3" w:name="_Toc29776"/>
      <w:r>
        <w:rPr>
          <w:rFonts w:hint="eastAsia"/>
          <w:color w:val="auto"/>
          <w:lang w:val="en-US" w:eastAsia="zh-CN"/>
        </w:rPr>
        <w:t>2、售后</w:t>
      </w:r>
      <w:r>
        <w:rPr>
          <w:rFonts w:hint="eastAsia"/>
          <w:color w:val="auto"/>
        </w:rPr>
        <w:t>服务</w:t>
      </w:r>
      <w:r>
        <w:rPr>
          <w:rFonts w:hint="eastAsia"/>
          <w:color w:val="auto"/>
          <w:lang w:val="en-US" w:eastAsia="zh-CN"/>
        </w:rPr>
        <w:t>人员配备及联系方式</w:t>
      </w:r>
      <w:bookmarkEnd w:id="3"/>
    </w:p>
    <w:p>
      <w:pPr>
        <w:spacing w:line="400" w:lineRule="exact"/>
        <w:jc w:val="left"/>
        <w:rPr>
          <w:rFonts w:hint="eastAsia" w:ascii="宋体" w:hAnsi="宋体"/>
          <w:b/>
          <w:color w:val="auto"/>
          <w:sz w:val="24"/>
          <w:szCs w:val="24"/>
        </w:rPr>
      </w:pPr>
      <w:r>
        <w:rPr>
          <w:rFonts w:hint="eastAsia" w:ascii="宋体" w:hAnsi="宋体"/>
          <w:b/>
          <w:color w:val="auto"/>
          <w:sz w:val="24"/>
          <w:szCs w:val="24"/>
        </w:rPr>
        <w:t>售后服务联系方式</w:t>
      </w:r>
    </w:p>
    <w:p>
      <w:pPr>
        <w:spacing w:line="400" w:lineRule="exact"/>
        <w:ind w:firstLine="480" w:firstLineChars="200"/>
        <w:jc w:val="left"/>
        <w:rPr>
          <w:rFonts w:ascii="宋体" w:hAnsi="宋体"/>
          <w:color w:val="auto"/>
          <w:sz w:val="24"/>
          <w:szCs w:val="24"/>
        </w:rPr>
      </w:pPr>
      <w:r>
        <w:rPr>
          <w:rFonts w:hint="eastAsia" w:ascii="宋体" w:hAnsi="宋体"/>
          <w:color w:val="auto"/>
          <w:sz w:val="24"/>
          <w:szCs w:val="24"/>
        </w:rPr>
        <w:t>总公司免费服务热线：</w:t>
      </w:r>
      <w:r>
        <w:rPr>
          <w:rFonts w:hint="eastAsia" w:ascii="宋体" w:hAnsi="宋体"/>
          <w:b/>
          <w:bCs/>
          <w:color w:val="auto"/>
          <w:sz w:val="24"/>
          <w:szCs w:val="24"/>
        </w:rPr>
        <w:t>400-0546-188</w:t>
      </w:r>
    </w:p>
    <w:p>
      <w:pPr>
        <w:tabs>
          <w:tab w:val="left" w:pos="540"/>
          <w:tab w:val="left" w:pos="1275"/>
        </w:tabs>
        <w:spacing w:line="400" w:lineRule="exact"/>
        <w:ind w:firstLine="482" w:firstLineChars="200"/>
        <w:jc w:val="left"/>
        <w:rPr>
          <w:rFonts w:hint="default" w:ascii="宋体" w:hAnsi="宋体" w:eastAsia="宋体"/>
          <w:b/>
          <w:bCs/>
          <w:color w:val="auto"/>
          <w:sz w:val="24"/>
          <w:szCs w:val="24"/>
          <w:highlight w:val="yellow"/>
          <w:lang w:val="en-US" w:eastAsia="zh-CN"/>
        </w:rPr>
      </w:pPr>
      <w:r>
        <w:rPr>
          <w:rFonts w:hint="eastAsia" w:ascii="宋体" w:hAnsi="宋体"/>
          <w:b/>
          <w:bCs/>
          <w:color w:val="auto"/>
          <w:sz w:val="24"/>
          <w:szCs w:val="24"/>
          <w:highlight w:val="yellow"/>
          <w:lang w:val="en-US" w:eastAsia="zh-CN"/>
        </w:rPr>
        <w:t>项目所在地</w:t>
      </w:r>
      <w:r>
        <w:rPr>
          <w:rFonts w:hint="eastAsia" w:ascii="宋体" w:hAnsi="宋体"/>
          <w:b/>
          <w:bCs/>
          <w:color w:val="auto"/>
          <w:sz w:val="24"/>
          <w:szCs w:val="24"/>
          <w:highlight w:val="yellow"/>
        </w:rPr>
        <w:t xml:space="preserve">24小时维修部电话： </w:t>
      </w:r>
      <w:r>
        <w:rPr>
          <w:rFonts w:hint="eastAsia" w:ascii="宋体" w:hAnsi="宋体"/>
          <w:b/>
          <w:bCs/>
          <w:color w:val="auto"/>
          <w:sz w:val="24"/>
          <w:szCs w:val="24"/>
          <w:highlight w:val="yellow"/>
          <w:lang w:val="en-US" w:eastAsia="zh-CN"/>
        </w:rPr>
        <w:t>李圈磊经理 ：15093332171</w:t>
      </w:r>
    </w:p>
    <w:p>
      <w:pPr>
        <w:tabs>
          <w:tab w:val="left" w:pos="540"/>
          <w:tab w:val="left" w:pos="1275"/>
        </w:tabs>
        <w:spacing w:line="400" w:lineRule="exact"/>
        <w:ind w:firstLine="480" w:firstLineChars="200"/>
        <w:jc w:val="left"/>
        <w:rPr>
          <w:rFonts w:hint="eastAsia" w:ascii="宋体" w:hAnsi="宋体"/>
          <w:color w:val="auto"/>
          <w:sz w:val="24"/>
          <w:szCs w:val="24"/>
        </w:rPr>
      </w:pPr>
      <w:r>
        <w:rPr>
          <w:rFonts w:hint="eastAsia" w:ascii="宋体" w:hAnsi="宋体"/>
          <w:color w:val="auto"/>
          <w:sz w:val="24"/>
          <w:szCs w:val="24"/>
        </w:rPr>
        <w:t xml:space="preserve">总公司投诉电话：    0543-2429017 </w:t>
      </w:r>
    </w:p>
    <w:p>
      <w:pPr>
        <w:tabs>
          <w:tab w:val="left" w:pos="540"/>
          <w:tab w:val="left" w:pos="1275"/>
        </w:tabs>
        <w:spacing w:line="400" w:lineRule="exact"/>
        <w:ind w:firstLine="480" w:firstLineChars="200"/>
        <w:jc w:val="left"/>
        <w:rPr>
          <w:rFonts w:hint="eastAsia" w:ascii="宋体" w:hAnsi="宋体"/>
          <w:color w:val="auto"/>
          <w:sz w:val="24"/>
          <w:szCs w:val="24"/>
        </w:rPr>
      </w:pPr>
      <w:r>
        <w:rPr>
          <w:rFonts w:hint="eastAsia" w:ascii="宋体" w:hAnsi="宋体"/>
          <w:color w:val="auto"/>
          <w:sz w:val="24"/>
          <w:szCs w:val="24"/>
        </w:rPr>
        <w:t>传          真：    0543-2769218</w:t>
      </w:r>
    </w:p>
    <w:p>
      <w:pPr>
        <w:rPr>
          <w:rFonts w:hint="eastAsia"/>
          <w:b/>
          <w:bCs/>
          <w:color w:val="auto"/>
          <w:sz w:val="24"/>
          <w:szCs w:val="24"/>
        </w:rPr>
      </w:pPr>
      <w:r>
        <w:rPr>
          <w:rFonts w:hint="eastAsia"/>
          <w:b/>
          <w:bCs/>
          <w:color w:val="auto"/>
          <w:sz w:val="24"/>
          <w:szCs w:val="24"/>
        </w:rPr>
        <w:t>服务人员配备</w:t>
      </w:r>
    </w:p>
    <w:p>
      <w:pPr>
        <w:rPr>
          <w:rFonts w:hint="eastAsia"/>
          <w:color w:val="auto"/>
        </w:rPr>
      </w:pPr>
      <w:r>
        <w:rPr>
          <w:color w:val="auto"/>
          <w:sz w:val="24"/>
          <w:szCs w:val="24"/>
        </w:rPr>
        <w:t>单位：人</w:t>
      </w:r>
      <w:r>
        <w:rPr>
          <w:color w:val="auto"/>
        </w:rPr>
        <w:drawing>
          <wp:inline distT="0" distB="0" distL="114300" distR="114300">
            <wp:extent cx="4248785" cy="3309620"/>
            <wp:effectExtent l="0" t="0" r="18415" b="5080"/>
            <wp:docPr id="10"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2"/>
                    <pic:cNvPicPr>
                      <a:picLocks noChangeAspect="1"/>
                    </pic:cNvPicPr>
                  </pic:nvPicPr>
                  <pic:blipFill>
                    <a:blip r:embed="rId5"/>
                    <a:srcRect t="7703"/>
                    <a:stretch>
                      <a:fillRect/>
                    </a:stretch>
                  </pic:blipFill>
                  <pic:spPr>
                    <a:xfrm>
                      <a:off x="0" y="0"/>
                      <a:ext cx="4248785" cy="3309620"/>
                    </a:xfrm>
                    <a:prstGeom prst="rect">
                      <a:avLst/>
                    </a:prstGeom>
                    <a:noFill/>
                    <a:ln>
                      <a:noFill/>
                    </a:ln>
                  </pic:spPr>
                </pic:pic>
              </a:graphicData>
            </a:graphic>
          </wp:inline>
        </w:drawing>
      </w:r>
    </w:p>
    <w:tbl>
      <w:tblPr>
        <w:tblStyle w:val="8"/>
        <w:tblW w:w="840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2"/>
        <w:gridCol w:w="1136"/>
        <w:gridCol w:w="933"/>
        <w:gridCol w:w="704"/>
        <w:gridCol w:w="938"/>
        <w:gridCol w:w="937"/>
        <w:gridCol w:w="703"/>
        <w:gridCol w:w="14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vMerge w:val="restart"/>
            <w:shd w:val="clear" w:color="auto" w:fill="99CCFF"/>
            <w:noWrap w:val="0"/>
            <w:vAlign w:val="center"/>
          </w:tcPr>
          <w:p>
            <w:pPr>
              <w:rPr>
                <w:b/>
                <w:color w:val="auto"/>
                <w:sz w:val="24"/>
                <w:szCs w:val="24"/>
              </w:rPr>
            </w:pPr>
            <w:r>
              <w:rPr>
                <w:b/>
                <w:color w:val="auto"/>
                <w:sz w:val="24"/>
                <w:szCs w:val="24"/>
              </w:rPr>
              <w:t>工种</w:t>
            </w:r>
          </w:p>
        </w:tc>
        <w:tc>
          <w:tcPr>
            <w:tcW w:w="6758" w:type="dxa"/>
            <w:gridSpan w:val="7"/>
            <w:shd w:val="clear" w:color="auto" w:fill="99CCFF"/>
            <w:noWrap w:val="0"/>
            <w:vAlign w:val="center"/>
          </w:tcPr>
          <w:p>
            <w:pPr>
              <w:rPr>
                <w:b/>
                <w:color w:val="auto"/>
                <w:sz w:val="24"/>
                <w:szCs w:val="24"/>
              </w:rPr>
            </w:pPr>
            <w:r>
              <w:rPr>
                <w:b/>
                <w:color w:val="auto"/>
                <w:sz w:val="24"/>
                <w:szCs w:val="24"/>
              </w:rPr>
              <w:t>按工程施工</w:t>
            </w:r>
            <w:r>
              <w:rPr>
                <w:rFonts w:hint="eastAsia"/>
                <w:b/>
                <w:color w:val="auto"/>
                <w:sz w:val="24"/>
                <w:szCs w:val="24"/>
              </w:rPr>
              <w:t>售后</w:t>
            </w:r>
            <w:r>
              <w:rPr>
                <w:b/>
                <w:color w:val="auto"/>
                <w:sz w:val="24"/>
                <w:szCs w:val="24"/>
              </w:rPr>
              <w:t>阶段投入劳动力情况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vMerge w:val="continue"/>
            <w:shd w:val="clear" w:color="auto" w:fill="99CCFF"/>
            <w:noWrap w:val="0"/>
            <w:vAlign w:val="center"/>
          </w:tcPr>
          <w:p>
            <w:pPr>
              <w:rPr>
                <w:b/>
                <w:color w:val="auto"/>
                <w:sz w:val="24"/>
                <w:szCs w:val="24"/>
              </w:rPr>
            </w:pPr>
          </w:p>
        </w:tc>
        <w:tc>
          <w:tcPr>
            <w:tcW w:w="1136" w:type="dxa"/>
            <w:shd w:val="clear" w:color="auto" w:fill="99CCFF"/>
            <w:noWrap w:val="0"/>
            <w:vAlign w:val="center"/>
          </w:tcPr>
          <w:p>
            <w:pPr>
              <w:rPr>
                <w:rFonts w:hint="eastAsia"/>
                <w:b/>
                <w:color w:val="auto"/>
                <w:sz w:val="24"/>
                <w:szCs w:val="24"/>
              </w:rPr>
            </w:pPr>
            <w:r>
              <w:rPr>
                <w:rFonts w:hint="eastAsia"/>
                <w:b/>
                <w:color w:val="auto"/>
                <w:sz w:val="24"/>
                <w:szCs w:val="24"/>
              </w:rPr>
              <w:t>初期</w:t>
            </w:r>
          </w:p>
        </w:tc>
        <w:tc>
          <w:tcPr>
            <w:tcW w:w="933" w:type="dxa"/>
            <w:shd w:val="clear" w:color="auto" w:fill="99CCFF"/>
            <w:noWrap w:val="0"/>
            <w:vAlign w:val="center"/>
          </w:tcPr>
          <w:p>
            <w:pPr>
              <w:rPr>
                <w:rFonts w:hint="eastAsia"/>
                <w:b/>
                <w:color w:val="auto"/>
                <w:sz w:val="24"/>
                <w:szCs w:val="24"/>
              </w:rPr>
            </w:pPr>
            <w:r>
              <w:rPr>
                <w:rFonts w:hint="eastAsia"/>
                <w:b/>
                <w:color w:val="auto"/>
                <w:sz w:val="24"/>
                <w:szCs w:val="24"/>
              </w:rPr>
              <w:t>中期</w:t>
            </w:r>
          </w:p>
        </w:tc>
        <w:tc>
          <w:tcPr>
            <w:tcW w:w="704" w:type="dxa"/>
            <w:shd w:val="clear" w:color="auto" w:fill="99CCFF"/>
            <w:noWrap w:val="0"/>
            <w:vAlign w:val="center"/>
          </w:tcPr>
          <w:p>
            <w:pPr>
              <w:rPr>
                <w:rFonts w:hint="eastAsia"/>
                <w:b/>
                <w:color w:val="auto"/>
                <w:sz w:val="24"/>
                <w:szCs w:val="24"/>
              </w:rPr>
            </w:pPr>
            <w:r>
              <w:rPr>
                <w:rFonts w:hint="eastAsia"/>
                <w:b/>
                <w:color w:val="auto"/>
                <w:sz w:val="24"/>
                <w:szCs w:val="24"/>
              </w:rPr>
              <w:t>收尾</w:t>
            </w:r>
          </w:p>
        </w:tc>
        <w:tc>
          <w:tcPr>
            <w:tcW w:w="938" w:type="dxa"/>
            <w:shd w:val="clear" w:color="auto" w:fill="99CCFF"/>
            <w:noWrap w:val="0"/>
            <w:vAlign w:val="center"/>
          </w:tcPr>
          <w:p>
            <w:pPr>
              <w:rPr>
                <w:rFonts w:hint="eastAsia"/>
                <w:b/>
                <w:color w:val="auto"/>
                <w:sz w:val="24"/>
                <w:szCs w:val="24"/>
              </w:rPr>
            </w:pPr>
            <w:r>
              <w:rPr>
                <w:rFonts w:hint="eastAsia"/>
                <w:b/>
                <w:color w:val="auto"/>
                <w:sz w:val="24"/>
                <w:szCs w:val="24"/>
              </w:rPr>
              <w:t>调试</w:t>
            </w:r>
          </w:p>
        </w:tc>
        <w:tc>
          <w:tcPr>
            <w:tcW w:w="937" w:type="dxa"/>
            <w:shd w:val="clear" w:color="auto" w:fill="99CCFF"/>
            <w:noWrap w:val="0"/>
            <w:vAlign w:val="center"/>
          </w:tcPr>
          <w:p>
            <w:pPr>
              <w:rPr>
                <w:rFonts w:hint="eastAsia"/>
                <w:b/>
                <w:color w:val="auto"/>
                <w:sz w:val="24"/>
                <w:szCs w:val="24"/>
              </w:rPr>
            </w:pPr>
            <w:r>
              <w:rPr>
                <w:rFonts w:hint="eastAsia"/>
                <w:b/>
                <w:color w:val="auto"/>
                <w:sz w:val="24"/>
                <w:szCs w:val="24"/>
              </w:rPr>
              <w:t>完工</w:t>
            </w:r>
          </w:p>
        </w:tc>
        <w:tc>
          <w:tcPr>
            <w:tcW w:w="703" w:type="dxa"/>
            <w:shd w:val="clear" w:color="auto" w:fill="99CCFF"/>
            <w:noWrap w:val="0"/>
            <w:vAlign w:val="center"/>
          </w:tcPr>
          <w:p>
            <w:pPr>
              <w:rPr>
                <w:b/>
                <w:color w:val="auto"/>
                <w:sz w:val="24"/>
                <w:szCs w:val="24"/>
              </w:rPr>
            </w:pPr>
          </w:p>
        </w:tc>
        <w:tc>
          <w:tcPr>
            <w:tcW w:w="1407" w:type="dxa"/>
            <w:shd w:val="clear" w:color="auto" w:fill="99CCFF"/>
            <w:noWrap w:val="0"/>
            <w:vAlign w:val="center"/>
          </w:tcPr>
          <w:p>
            <w:pPr>
              <w:rPr>
                <w:b/>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center"/>
          </w:tcPr>
          <w:p>
            <w:pPr>
              <w:rPr>
                <w:rFonts w:hint="eastAsia"/>
                <w:color w:val="auto"/>
                <w:sz w:val="24"/>
                <w:szCs w:val="24"/>
              </w:rPr>
            </w:pPr>
            <w:r>
              <w:rPr>
                <w:rFonts w:hint="eastAsia"/>
                <w:color w:val="auto"/>
                <w:sz w:val="24"/>
                <w:szCs w:val="24"/>
              </w:rPr>
              <w:t>电工</w:t>
            </w:r>
          </w:p>
        </w:tc>
        <w:tc>
          <w:tcPr>
            <w:tcW w:w="1136" w:type="dxa"/>
            <w:noWrap w:val="0"/>
            <w:vAlign w:val="center"/>
          </w:tcPr>
          <w:p>
            <w:pPr>
              <w:rPr>
                <w:rFonts w:hint="eastAsia"/>
                <w:color w:val="auto"/>
                <w:sz w:val="24"/>
                <w:szCs w:val="24"/>
              </w:rPr>
            </w:pPr>
            <w:r>
              <w:rPr>
                <w:rFonts w:hint="eastAsia"/>
                <w:color w:val="auto"/>
                <w:sz w:val="24"/>
                <w:szCs w:val="24"/>
              </w:rPr>
              <w:t>6</w:t>
            </w:r>
          </w:p>
        </w:tc>
        <w:tc>
          <w:tcPr>
            <w:tcW w:w="933" w:type="dxa"/>
            <w:noWrap w:val="0"/>
            <w:vAlign w:val="center"/>
          </w:tcPr>
          <w:p>
            <w:pPr>
              <w:rPr>
                <w:rFonts w:hint="eastAsia"/>
                <w:color w:val="auto"/>
                <w:sz w:val="24"/>
                <w:szCs w:val="24"/>
              </w:rPr>
            </w:pPr>
            <w:r>
              <w:rPr>
                <w:rFonts w:hint="eastAsia"/>
                <w:color w:val="auto"/>
                <w:sz w:val="24"/>
                <w:szCs w:val="24"/>
              </w:rPr>
              <w:t>6</w:t>
            </w:r>
          </w:p>
        </w:tc>
        <w:tc>
          <w:tcPr>
            <w:tcW w:w="704" w:type="dxa"/>
            <w:noWrap w:val="0"/>
            <w:vAlign w:val="center"/>
          </w:tcPr>
          <w:p>
            <w:pPr>
              <w:rPr>
                <w:rFonts w:hint="eastAsia"/>
                <w:color w:val="auto"/>
                <w:sz w:val="24"/>
                <w:szCs w:val="24"/>
              </w:rPr>
            </w:pPr>
            <w:r>
              <w:rPr>
                <w:rFonts w:hint="eastAsia"/>
                <w:color w:val="auto"/>
                <w:sz w:val="24"/>
                <w:szCs w:val="24"/>
              </w:rPr>
              <w:t>6</w:t>
            </w:r>
          </w:p>
        </w:tc>
        <w:tc>
          <w:tcPr>
            <w:tcW w:w="938" w:type="dxa"/>
            <w:noWrap w:val="0"/>
            <w:vAlign w:val="center"/>
          </w:tcPr>
          <w:p>
            <w:pPr>
              <w:rPr>
                <w:rFonts w:hint="eastAsia"/>
                <w:color w:val="auto"/>
                <w:sz w:val="24"/>
                <w:szCs w:val="24"/>
              </w:rPr>
            </w:pPr>
            <w:r>
              <w:rPr>
                <w:rFonts w:hint="eastAsia"/>
                <w:color w:val="auto"/>
                <w:sz w:val="24"/>
                <w:szCs w:val="24"/>
              </w:rPr>
              <w:t>6</w:t>
            </w:r>
          </w:p>
        </w:tc>
        <w:tc>
          <w:tcPr>
            <w:tcW w:w="937" w:type="dxa"/>
            <w:noWrap w:val="0"/>
            <w:vAlign w:val="center"/>
          </w:tcPr>
          <w:p>
            <w:pPr>
              <w:rPr>
                <w:rFonts w:hint="eastAsia"/>
                <w:color w:val="auto"/>
                <w:sz w:val="24"/>
                <w:szCs w:val="24"/>
              </w:rPr>
            </w:pPr>
            <w:r>
              <w:rPr>
                <w:rFonts w:hint="eastAsia"/>
                <w:color w:val="auto"/>
                <w:sz w:val="24"/>
                <w:szCs w:val="24"/>
              </w:rPr>
              <w:t>3</w:t>
            </w:r>
          </w:p>
        </w:tc>
        <w:tc>
          <w:tcPr>
            <w:tcW w:w="703" w:type="dxa"/>
            <w:noWrap w:val="0"/>
            <w:vAlign w:val="center"/>
          </w:tcPr>
          <w:p>
            <w:pPr>
              <w:rPr>
                <w:color w:val="auto"/>
                <w:sz w:val="24"/>
                <w:szCs w:val="24"/>
              </w:rPr>
            </w:pPr>
          </w:p>
        </w:tc>
        <w:tc>
          <w:tcPr>
            <w:tcW w:w="1407" w:type="dxa"/>
            <w:noWrap w:val="0"/>
            <w:vAlign w:val="center"/>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架子</w:t>
            </w:r>
          </w:p>
        </w:tc>
        <w:tc>
          <w:tcPr>
            <w:tcW w:w="1136" w:type="dxa"/>
            <w:noWrap w:val="0"/>
            <w:vAlign w:val="top"/>
          </w:tcPr>
          <w:p>
            <w:pPr>
              <w:rPr>
                <w:rFonts w:hint="eastAsia"/>
                <w:color w:val="auto"/>
                <w:sz w:val="24"/>
                <w:szCs w:val="24"/>
              </w:rPr>
            </w:pPr>
            <w:r>
              <w:rPr>
                <w:rFonts w:hint="eastAsia"/>
                <w:color w:val="auto"/>
                <w:sz w:val="24"/>
                <w:szCs w:val="24"/>
              </w:rPr>
              <w:t>6</w:t>
            </w:r>
          </w:p>
        </w:tc>
        <w:tc>
          <w:tcPr>
            <w:tcW w:w="933" w:type="dxa"/>
            <w:noWrap w:val="0"/>
            <w:vAlign w:val="top"/>
          </w:tcPr>
          <w:p>
            <w:pPr>
              <w:rPr>
                <w:rFonts w:hint="eastAsia"/>
                <w:color w:val="auto"/>
                <w:sz w:val="24"/>
                <w:szCs w:val="24"/>
              </w:rPr>
            </w:pPr>
            <w:r>
              <w:rPr>
                <w:rFonts w:hint="eastAsia"/>
                <w:color w:val="auto"/>
                <w:sz w:val="24"/>
                <w:szCs w:val="24"/>
              </w:rPr>
              <w:t>2</w:t>
            </w:r>
          </w:p>
        </w:tc>
        <w:tc>
          <w:tcPr>
            <w:tcW w:w="704" w:type="dxa"/>
            <w:noWrap w:val="0"/>
            <w:vAlign w:val="top"/>
          </w:tcPr>
          <w:p>
            <w:pPr>
              <w:rPr>
                <w:color w:val="auto"/>
                <w:sz w:val="24"/>
                <w:szCs w:val="24"/>
              </w:rPr>
            </w:pPr>
          </w:p>
        </w:tc>
        <w:tc>
          <w:tcPr>
            <w:tcW w:w="938" w:type="dxa"/>
            <w:noWrap w:val="0"/>
            <w:vAlign w:val="top"/>
          </w:tcPr>
          <w:p>
            <w:pPr>
              <w:rPr>
                <w:rFonts w:hint="eastAsia"/>
                <w:color w:val="auto"/>
                <w:sz w:val="24"/>
                <w:szCs w:val="24"/>
              </w:rPr>
            </w:pPr>
            <w:r>
              <w:rPr>
                <w:rFonts w:hint="eastAsia"/>
                <w:color w:val="auto"/>
                <w:sz w:val="24"/>
                <w:szCs w:val="24"/>
              </w:rPr>
              <w:t>4</w:t>
            </w:r>
          </w:p>
        </w:tc>
        <w:tc>
          <w:tcPr>
            <w:tcW w:w="937" w:type="dxa"/>
            <w:noWrap w:val="0"/>
            <w:vAlign w:val="top"/>
          </w:tcPr>
          <w:p>
            <w:pPr>
              <w:rPr>
                <w:color w:val="auto"/>
                <w:sz w:val="24"/>
                <w:szCs w:val="24"/>
              </w:rPr>
            </w:pP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焊工</w:t>
            </w:r>
          </w:p>
        </w:tc>
        <w:tc>
          <w:tcPr>
            <w:tcW w:w="1136" w:type="dxa"/>
            <w:noWrap w:val="0"/>
            <w:vAlign w:val="top"/>
          </w:tcPr>
          <w:p>
            <w:pPr>
              <w:rPr>
                <w:rFonts w:hint="eastAsia"/>
                <w:color w:val="auto"/>
                <w:sz w:val="24"/>
                <w:szCs w:val="24"/>
              </w:rPr>
            </w:pPr>
            <w:r>
              <w:rPr>
                <w:rFonts w:hint="eastAsia"/>
                <w:color w:val="auto"/>
                <w:sz w:val="24"/>
                <w:szCs w:val="24"/>
              </w:rPr>
              <w:t>2</w:t>
            </w:r>
          </w:p>
        </w:tc>
        <w:tc>
          <w:tcPr>
            <w:tcW w:w="933" w:type="dxa"/>
            <w:noWrap w:val="0"/>
            <w:vAlign w:val="top"/>
          </w:tcPr>
          <w:p>
            <w:pPr>
              <w:rPr>
                <w:rFonts w:hint="eastAsia"/>
                <w:color w:val="auto"/>
                <w:sz w:val="24"/>
                <w:szCs w:val="24"/>
              </w:rPr>
            </w:pPr>
            <w:r>
              <w:rPr>
                <w:rFonts w:hint="eastAsia"/>
                <w:color w:val="auto"/>
                <w:sz w:val="24"/>
                <w:szCs w:val="24"/>
              </w:rPr>
              <w:t>6</w:t>
            </w:r>
          </w:p>
        </w:tc>
        <w:tc>
          <w:tcPr>
            <w:tcW w:w="704" w:type="dxa"/>
            <w:noWrap w:val="0"/>
            <w:vAlign w:val="top"/>
          </w:tcPr>
          <w:p>
            <w:pPr>
              <w:rPr>
                <w:rFonts w:hint="eastAsia"/>
                <w:color w:val="auto"/>
                <w:sz w:val="24"/>
                <w:szCs w:val="24"/>
              </w:rPr>
            </w:pPr>
            <w:r>
              <w:rPr>
                <w:rFonts w:hint="eastAsia"/>
                <w:color w:val="auto"/>
                <w:sz w:val="24"/>
                <w:szCs w:val="24"/>
              </w:rPr>
              <w:t>4</w:t>
            </w:r>
          </w:p>
        </w:tc>
        <w:tc>
          <w:tcPr>
            <w:tcW w:w="938" w:type="dxa"/>
            <w:noWrap w:val="0"/>
            <w:vAlign w:val="top"/>
          </w:tcPr>
          <w:p>
            <w:pPr>
              <w:rPr>
                <w:rFonts w:hint="eastAsia"/>
                <w:color w:val="auto"/>
                <w:sz w:val="24"/>
                <w:szCs w:val="24"/>
              </w:rPr>
            </w:pPr>
            <w:r>
              <w:rPr>
                <w:rFonts w:hint="eastAsia"/>
                <w:color w:val="auto"/>
                <w:sz w:val="24"/>
                <w:szCs w:val="24"/>
              </w:rPr>
              <w:t>2</w:t>
            </w:r>
          </w:p>
        </w:tc>
        <w:tc>
          <w:tcPr>
            <w:tcW w:w="937" w:type="dxa"/>
            <w:noWrap w:val="0"/>
            <w:vAlign w:val="top"/>
          </w:tcPr>
          <w:p>
            <w:pPr>
              <w:rPr>
                <w:color w:val="auto"/>
                <w:sz w:val="24"/>
                <w:szCs w:val="24"/>
              </w:rPr>
            </w:pP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管道</w:t>
            </w:r>
          </w:p>
        </w:tc>
        <w:tc>
          <w:tcPr>
            <w:tcW w:w="1136" w:type="dxa"/>
            <w:noWrap w:val="0"/>
            <w:vAlign w:val="top"/>
          </w:tcPr>
          <w:p>
            <w:pPr>
              <w:rPr>
                <w:rFonts w:hint="eastAsia"/>
                <w:color w:val="auto"/>
                <w:sz w:val="24"/>
                <w:szCs w:val="24"/>
              </w:rPr>
            </w:pPr>
            <w:r>
              <w:rPr>
                <w:rFonts w:hint="eastAsia"/>
                <w:color w:val="auto"/>
                <w:sz w:val="24"/>
                <w:szCs w:val="24"/>
              </w:rPr>
              <w:t>2</w:t>
            </w:r>
          </w:p>
        </w:tc>
        <w:tc>
          <w:tcPr>
            <w:tcW w:w="933" w:type="dxa"/>
            <w:noWrap w:val="0"/>
            <w:vAlign w:val="top"/>
          </w:tcPr>
          <w:p>
            <w:pPr>
              <w:rPr>
                <w:rFonts w:hint="eastAsia"/>
                <w:color w:val="auto"/>
                <w:sz w:val="24"/>
                <w:szCs w:val="24"/>
              </w:rPr>
            </w:pPr>
            <w:r>
              <w:rPr>
                <w:rFonts w:hint="eastAsia"/>
                <w:color w:val="auto"/>
                <w:sz w:val="24"/>
                <w:szCs w:val="24"/>
              </w:rPr>
              <w:t>2</w:t>
            </w:r>
          </w:p>
        </w:tc>
        <w:tc>
          <w:tcPr>
            <w:tcW w:w="704" w:type="dxa"/>
            <w:noWrap w:val="0"/>
            <w:vAlign w:val="top"/>
          </w:tcPr>
          <w:p>
            <w:pPr>
              <w:rPr>
                <w:rFonts w:hint="eastAsia"/>
                <w:color w:val="auto"/>
                <w:sz w:val="24"/>
                <w:szCs w:val="24"/>
              </w:rPr>
            </w:pPr>
            <w:r>
              <w:rPr>
                <w:rFonts w:hint="eastAsia"/>
                <w:color w:val="auto"/>
                <w:sz w:val="24"/>
                <w:szCs w:val="24"/>
              </w:rPr>
              <w:t>12</w:t>
            </w:r>
          </w:p>
        </w:tc>
        <w:tc>
          <w:tcPr>
            <w:tcW w:w="938" w:type="dxa"/>
            <w:noWrap w:val="0"/>
            <w:vAlign w:val="top"/>
          </w:tcPr>
          <w:p>
            <w:pPr>
              <w:rPr>
                <w:rFonts w:hint="eastAsia"/>
                <w:color w:val="auto"/>
                <w:sz w:val="24"/>
                <w:szCs w:val="24"/>
              </w:rPr>
            </w:pPr>
            <w:r>
              <w:rPr>
                <w:rFonts w:hint="eastAsia"/>
                <w:color w:val="auto"/>
                <w:sz w:val="24"/>
                <w:szCs w:val="24"/>
              </w:rPr>
              <w:t>12</w:t>
            </w:r>
          </w:p>
        </w:tc>
        <w:tc>
          <w:tcPr>
            <w:tcW w:w="937" w:type="dxa"/>
            <w:noWrap w:val="0"/>
            <w:vAlign w:val="top"/>
          </w:tcPr>
          <w:p>
            <w:pPr>
              <w:rPr>
                <w:rFonts w:hint="eastAsia"/>
                <w:color w:val="auto"/>
                <w:sz w:val="24"/>
                <w:szCs w:val="24"/>
              </w:rPr>
            </w:pPr>
            <w:r>
              <w:rPr>
                <w:rFonts w:hint="eastAsia"/>
                <w:color w:val="auto"/>
                <w:sz w:val="24"/>
                <w:szCs w:val="24"/>
              </w:rPr>
              <w:t>3</w:t>
            </w: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拼接</w:t>
            </w:r>
          </w:p>
        </w:tc>
        <w:tc>
          <w:tcPr>
            <w:tcW w:w="1136" w:type="dxa"/>
            <w:noWrap w:val="0"/>
            <w:vAlign w:val="top"/>
          </w:tcPr>
          <w:p>
            <w:pPr>
              <w:rPr>
                <w:rFonts w:hint="eastAsia"/>
                <w:color w:val="auto"/>
                <w:sz w:val="24"/>
                <w:szCs w:val="24"/>
              </w:rPr>
            </w:pPr>
            <w:r>
              <w:rPr>
                <w:rFonts w:hint="eastAsia"/>
                <w:color w:val="auto"/>
                <w:sz w:val="24"/>
                <w:szCs w:val="24"/>
              </w:rPr>
              <w:t>12</w:t>
            </w:r>
          </w:p>
        </w:tc>
        <w:tc>
          <w:tcPr>
            <w:tcW w:w="933" w:type="dxa"/>
            <w:noWrap w:val="0"/>
            <w:vAlign w:val="top"/>
          </w:tcPr>
          <w:p>
            <w:pPr>
              <w:rPr>
                <w:rFonts w:hint="eastAsia"/>
                <w:color w:val="auto"/>
                <w:sz w:val="24"/>
                <w:szCs w:val="24"/>
              </w:rPr>
            </w:pPr>
            <w:r>
              <w:rPr>
                <w:rFonts w:hint="eastAsia"/>
                <w:color w:val="auto"/>
                <w:sz w:val="24"/>
                <w:szCs w:val="24"/>
              </w:rPr>
              <w:t>12</w:t>
            </w:r>
          </w:p>
        </w:tc>
        <w:tc>
          <w:tcPr>
            <w:tcW w:w="704" w:type="dxa"/>
            <w:noWrap w:val="0"/>
            <w:vAlign w:val="top"/>
          </w:tcPr>
          <w:p>
            <w:pPr>
              <w:rPr>
                <w:rFonts w:hint="eastAsia"/>
                <w:color w:val="auto"/>
                <w:sz w:val="24"/>
                <w:szCs w:val="24"/>
              </w:rPr>
            </w:pPr>
            <w:r>
              <w:rPr>
                <w:rFonts w:hint="eastAsia"/>
                <w:color w:val="auto"/>
                <w:sz w:val="24"/>
                <w:szCs w:val="24"/>
              </w:rPr>
              <w:t>8</w:t>
            </w:r>
          </w:p>
        </w:tc>
        <w:tc>
          <w:tcPr>
            <w:tcW w:w="938" w:type="dxa"/>
            <w:noWrap w:val="0"/>
            <w:vAlign w:val="top"/>
          </w:tcPr>
          <w:p>
            <w:pPr>
              <w:rPr>
                <w:rFonts w:hint="eastAsia"/>
                <w:color w:val="auto"/>
                <w:sz w:val="24"/>
                <w:szCs w:val="24"/>
              </w:rPr>
            </w:pPr>
            <w:r>
              <w:rPr>
                <w:rFonts w:hint="eastAsia"/>
                <w:color w:val="auto"/>
                <w:sz w:val="24"/>
                <w:szCs w:val="24"/>
              </w:rPr>
              <w:t>4</w:t>
            </w:r>
          </w:p>
        </w:tc>
        <w:tc>
          <w:tcPr>
            <w:tcW w:w="937" w:type="dxa"/>
            <w:noWrap w:val="0"/>
            <w:vAlign w:val="top"/>
          </w:tcPr>
          <w:p>
            <w:pPr>
              <w:rPr>
                <w:rFonts w:hint="eastAsia"/>
                <w:color w:val="auto"/>
                <w:sz w:val="24"/>
                <w:szCs w:val="24"/>
              </w:rPr>
            </w:pPr>
            <w:r>
              <w:rPr>
                <w:rFonts w:hint="eastAsia"/>
                <w:color w:val="auto"/>
                <w:sz w:val="24"/>
                <w:szCs w:val="24"/>
              </w:rPr>
              <w:t>1</w:t>
            </w: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抛光</w:t>
            </w:r>
          </w:p>
        </w:tc>
        <w:tc>
          <w:tcPr>
            <w:tcW w:w="1136" w:type="dxa"/>
            <w:noWrap w:val="0"/>
            <w:vAlign w:val="top"/>
          </w:tcPr>
          <w:p>
            <w:pPr>
              <w:rPr>
                <w:color w:val="auto"/>
                <w:sz w:val="24"/>
                <w:szCs w:val="24"/>
              </w:rPr>
            </w:pPr>
          </w:p>
        </w:tc>
        <w:tc>
          <w:tcPr>
            <w:tcW w:w="933" w:type="dxa"/>
            <w:noWrap w:val="0"/>
            <w:vAlign w:val="top"/>
          </w:tcPr>
          <w:p>
            <w:pPr>
              <w:rPr>
                <w:rFonts w:hint="eastAsia"/>
                <w:color w:val="auto"/>
                <w:sz w:val="24"/>
                <w:szCs w:val="24"/>
              </w:rPr>
            </w:pPr>
            <w:r>
              <w:rPr>
                <w:rFonts w:hint="eastAsia"/>
                <w:color w:val="auto"/>
                <w:sz w:val="24"/>
                <w:szCs w:val="24"/>
              </w:rPr>
              <w:t>3</w:t>
            </w:r>
          </w:p>
        </w:tc>
        <w:tc>
          <w:tcPr>
            <w:tcW w:w="704" w:type="dxa"/>
            <w:noWrap w:val="0"/>
            <w:vAlign w:val="top"/>
          </w:tcPr>
          <w:p>
            <w:pPr>
              <w:rPr>
                <w:rFonts w:hint="eastAsia"/>
                <w:color w:val="auto"/>
                <w:sz w:val="24"/>
                <w:szCs w:val="24"/>
              </w:rPr>
            </w:pPr>
            <w:r>
              <w:rPr>
                <w:rFonts w:hint="eastAsia"/>
                <w:color w:val="auto"/>
                <w:sz w:val="24"/>
                <w:szCs w:val="24"/>
              </w:rPr>
              <w:t>3</w:t>
            </w:r>
          </w:p>
        </w:tc>
        <w:tc>
          <w:tcPr>
            <w:tcW w:w="938" w:type="dxa"/>
            <w:noWrap w:val="0"/>
            <w:vAlign w:val="top"/>
          </w:tcPr>
          <w:p>
            <w:pPr>
              <w:rPr>
                <w:rFonts w:hint="eastAsia"/>
                <w:color w:val="auto"/>
                <w:sz w:val="24"/>
                <w:szCs w:val="24"/>
              </w:rPr>
            </w:pPr>
            <w:r>
              <w:rPr>
                <w:rFonts w:hint="eastAsia"/>
                <w:color w:val="auto"/>
                <w:sz w:val="24"/>
                <w:szCs w:val="24"/>
              </w:rPr>
              <w:t>6</w:t>
            </w:r>
          </w:p>
        </w:tc>
        <w:tc>
          <w:tcPr>
            <w:tcW w:w="937" w:type="dxa"/>
            <w:noWrap w:val="0"/>
            <w:vAlign w:val="top"/>
          </w:tcPr>
          <w:p>
            <w:pPr>
              <w:rPr>
                <w:rFonts w:hint="eastAsia"/>
                <w:color w:val="auto"/>
                <w:sz w:val="24"/>
                <w:szCs w:val="24"/>
              </w:rPr>
            </w:pPr>
            <w:r>
              <w:rPr>
                <w:rFonts w:hint="eastAsia"/>
                <w:color w:val="auto"/>
                <w:sz w:val="24"/>
                <w:szCs w:val="24"/>
              </w:rPr>
              <w:t>2</w:t>
            </w: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642" w:type="dxa"/>
            <w:noWrap w:val="0"/>
            <w:vAlign w:val="top"/>
          </w:tcPr>
          <w:p>
            <w:pPr>
              <w:rPr>
                <w:rFonts w:hint="eastAsia"/>
                <w:color w:val="auto"/>
                <w:sz w:val="24"/>
                <w:szCs w:val="24"/>
              </w:rPr>
            </w:pPr>
            <w:r>
              <w:rPr>
                <w:rFonts w:hint="eastAsia"/>
                <w:color w:val="auto"/>
                <w:sz w:val="24"/>
                <w:szCs w:val="24"/>
              </w:rPr>
              <w:t>清洁</w:t>
            </w:r>
          </w:p>
        </w:tc>
        <w:tc>
          <w:tcPr>
            <w:tcW w:w="1136" w:type="dxa"/>
            <w:noWrap w:val="0"/>
            <w:vAlign w:val="top"/>
          </w:tcPr>
          <w:p>
            <w:pPr>
              <w:rPr>
                <w:color w:val="auto"/>
                <w:sz w:val="24"/>
                <w:szCs w:val="24"/>
              </w:rPr>
            </w:pPr>
          </w:p>
        </w:tc>
        <w:tc>
          <w:tcPr>
            <w:tcW w:w="933" w:type="dxa"/>
            <w:noWrap w:val="0"/>
            <w:vAlign w:val="top"/>
          </w:tcPr>
          <w:p>
            <w:pPr>
              <w:rPr>
                <w:color w:val="auto"/>
                <w:sz w:val="24"/>
                <w:szCs w:val="24"/>
              </w:rPr>
            </w:pPr>
          </w:p>
        </w:tc>
        <w:tc>
          <w:tcPr>
            <w:tcW w:w="704" w:type="dxa"/>
            <w:noWrap w:val="0"/>
            <w:vAlign w:val="top"/>
          </w:tcPr>
          <w:p>
            <w:pPr>
              <w:rPr>
                <w:color w:val="auto"/>
                <w:sz w:val="24"/>
                <w:szCs w:val="24"/>
              </w:rPr>
            </w:pPr>
          </w:p>
        </w:tc>
        <w:tc>
          <w:tcPr>
            <w:tcW w:w="938" w:type="dxa"/>
            <w:noWrap w:val="0"/>
            <w:vAlign w:val="top"/>
          </w:tcPr>
          <w:p>
            <w:pPr>
              <w:rPr>
                <w:color w:val="auto"/>
                <w:sz w:val="24"/>
                <w:szCs w:val="24"/>
              </w:rPr>
            </w:pPr>
          </w:p>
        </w:tc>
        <w:tc>
          <w:tcPr>
            <w:tcW w:w="937" w:type="dxa"/>
            <w:noWrap w:val="0"/>
            <w:vAlign w:val="top"/>
          </w:tcPr>
          <w:p>
            <w:pPr>
              <w:rPr>
                <w:rFonts w:hint="eastAsia"/>
                <w:color w:val="auto"/>
                <w:sz w:val="24"/>
                <w:szCs w:val="24"/>
              </w:rPr>
            </w:pPr>
            <w:r>
              <w:rPr>
                <w:rFonts w:hint="eastAsia"/>
                <w:color w:val="auto"/>
                <w:sz w:val="24"/>
                <w:szCs w:val="24"/>
              </w:rPr>
              <w:t>12</w:t>
            </w: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9" w:hRule="atLeast"/>
          <w:jc w:val="center"/>
        </w:trPr>
        <w:tc>
          <w:tcPr>
            <w:tcW w:w="1642" w:type="dxa"/>
            <w:noWrap w:val="0"/>
            <w:vAlign w:val="top"/>
          </w:tcPr>
          <w:p>
            <w:pPr>
              <w:rPr>
                <w:color w:val="auto"/>
                <w:sz w:val="24"/>
                <w:szCs w:val="24"/>
              </w:rPr>
            </w:pPr>
            <w:r>
              <w:rPr>
                <w:rFonts w:hint="eastAsia"/>
                <w:color w:val="auto"/>
                <w:sz w:val="24"/>
                <w:szCs w:val="24"/>
              </w:rPr>
              <w:t>其他</w:t>
            </w:r>
          </w:p>
        </w:tc>
        <w:tc>
          <w:tcPr>
            <w:tcW w:w="1136" w:type="dxa"/>
            <w:noWrap w:val="0"/>
            <w:vAlign w:val="top"/>
          </w:tcPr>
          <w:p>
            <w:pPr>
              <w:rPr>
                <w:rFonts w:hint="eastAsia"/>
                <w:color w:val="auto"/>
                <w:sz w:val="24"/>
                <w:szCs w:val="24"/>
              </w:rPr>
            </w:pPr>
            <w:r>
              <w:rPr>
                <w:rFonts w:hint="eastAsia"/>
                <w:color w:val="auto"/>
                <w:sz w:val="24"/>
                <w:szCs w:val="24"/>
              </w:rPr>
              <w:t>暂定</w:t>
            </w:r>
          </w:p>
        </w:tc>
        <w:tc>
          <w:tcPr>
            <w:tcW w:w="933" w:type="dxa"/>
            <w:noWrap w:val="0"/>
            <w:vAlign w:val="top"/>
          </w:tcPr>
          <w:p>
            <w:pPr>
              <w:rPr>
                <w:color w:val="auto"/>
                <w:sz w:val="24"/>
                <w:szCs w:val="24"/>
              </w:rPr>
            </w:pPr>
            <w:r>
              <w:rPr>
                <w:rFonts w:hint="eastAsia"/>
                <w:color w:val="auto"/>
                <w:sz w:val="24"/>
                <w:szCs w:val="24"/>
              </w:rPr>
              <w:t>暂定</w:t>
            </w:r>
          </w:p>
        </w:tc>
        <w:tc>
          <w:tcPr>
            <w:tcW w:w="704" w:type="dxa"/>
            <w:noWrap w:val="0"/>
            <w:vAlign w:val="top"/>
          </w:tcPr>
          <w:p>
            <w:pPr>
              <w:rPr>
                <w:color w:val="auto"/>
                <w:sz w:val="24"/>
                <w:szCs w:val="24"/>
              </w:rPr>
            </w:pPr>
            <w:r>
              <w:rPr>
                <w:rFonts w:hint="eastAsia"/>
                <w:color w:val="auto"/>
                <w:sz w:val="24"/>
                <w:szCs w:val="24"/>
              </w:rPr>
              <w:t>暂定</w:t>
            </w:r>
          </w:p>
        </w:tc>
        <w:tc>
          <w:tcPr>
            <w:tcW w:w="938" w:type="dxa"/>
            <w:noWrap w:val="0"/>
            <w:vAlign w:val="top"/>
          </w:tcPr>
          <w:p>
            <w:pPr>
              <w:rPr>
                <w:color w:val="auto"/>
                <w:sz w:val="24"/>
                <w:szCs w:val="24"/>
              </w:rPr>
            </w:pPr>
            <w:r>
              <w:rPr>
                <w:rFonts w:hint="eastAsia"/>
                <w:color w:val="auto"/>
                <w:sz w:val="24"/>
                <w:szCs w:val="24"/>
              </w:rPr>
              <w:t>暂定</w:t>
            </w:r>
          </w:p>
        </w:tc>
        <w:tc>
          <w:tcPr>
            <w:tcW w:w="937" w:type="dxa"/>
            <w:noWrap w:val="0"/>
            <w:vAlign w:val="top"/>
          </w:tcPr>
          <w:p>
            <w:pPr>
              <w:rPr>
                <w:color w:val="auto"/>
                <w:sz w:val="24"/>
                <w:szCs w:val="24"/>
              </w:rPr>
            </w:pPr>
            <w:r>
              <w:rPr>
                <w:rFonts w:hint="eastAsia"/>
                <w:color w:val="auto"/>
                <w:sz w:val="24"/>
                <w:szCs w:val="24"/>
              </w:rPr>
              <w:t>暂定</w:t>
            </w:r>
          </w:p>
        </w:tc>
        <w:tc>
          <w:tcPr>
            <w:tcW w:w="703" w:type="dxa"/>
            <w:noWrap w:val="0"/>
            <w:vAlign w:val="top"/>
          </w:tcPr>
          <w:p>
            <w:pPr>
              <w:rPr>
                <w:color w:val="auto"/>
                <w:sz w:val="24"/>
                <w:szCs w:val="24"/>
              </w:rPr>
            </w:pPr>
          </w:p>
        </w:tc>
        <w:tc>
          <w:tcPr>
            <w:tcW w:w="1407" w:type="dxa"/>
            <w:noWrap w:val="0"/>
            <w:vAlign w:val="top"/>
          </w:tcPr>
          <w:p>
            <w:pPr>
              <w:rPr>
                <w:color w:val="auto"/>
                <w:sz w:val="24"/>
                <w:szCs w:val="24"/>
              </w:rPr>
            </w:pPr>
          </w:p>
        </w:tc>
      </w:tr>
    </w:tbl>
    <w:p>
      <w:pPr>
        <w:rPr>
          <w:rFonts w:hint="eastAsia"/>
          <w:b/>
          <w:color w:val="auto"/>
          <w:sz w:val="24"/>
          <w:szCs w:val="24"/>
        </w:rPr>
      </w:pPr>
      <w:r>
        <w:rPr>
          <w:rFonts w:hint="eastAsia"/>
          <w:b/>
          <w:color w:val="auto"/>
          <w:sz w:val="24"/>
          <w:szCs w:val="24"/>
        </w:rPr>
        <w:t>以上为暂定工程施工周期，合同签订后按甲方要求调整供货周期。</w:t>
      </w:r>
    </w:p>
    <w:p>
      <w:pPr>
        <w:rPr>
          <w:rFonts w:hint="eastAsia"/>
          <w:b/>
          <w:color w:val="auto"/>
        </w:rPr>
      </w:pPr>
      <w:r>
        <w:rPr>
          <w:rFonts w:hint="eastAsia"/>
          <w:b/>
          <w:color w:val="auto"/>
        </w:rPr>
        <w:br w:type="page"/>
      </w:r>
    </w:p>
    <w:tbl>
      <w:tblPr>
        <w:tblStyle w:val="8"/>
        <w:tblW w:w="8887" w:type="dxa"/>
        <w:jc w:val="center"/>
        <w:tblInd w:w="-36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6"/>
        <w:gridCol w:w="841"/>
        <w:gridCol w:w="840"/>
        <w:gridCol w:w="930"/>
        <w:gridCol w:w="870"/>
        <w:gridCol w:w="1077"/>
        <w:gridCol w:w="963"/>
        <w:gridCol w:w="1320"/>
        <w:gridCol w:w="9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restart"/>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类别</w:t>
            </w:r>
          </w:p>
        </w:tc>
        <w:tc>
          <w:tcPr>
            <w:tcW w:w="841" w:type="dxa"/>
            <w:vMerge w:val="restart"/>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职务</w:t>
            </w:r>
          </w:p>
        </w:tc>
        <w:tc>
          <w:tcPr>
            <w:tcW w:w="840" w:type="dxa"/>
            <w:vMerge w:val="restart"/>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姓名</w:t>
            </w:r>
          </w:p>
        </w:tc>
        <w:tc>
          <w:tcPr>
            <w:tcW w:w="930" w:type="dxa"/>
            <w:vMerge w:val="restart"/>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职称</w:t>
            </w:r>
          </w:p>
        </w:tc>
        <w:tc>
          <w:tcPr>
            <w:tcW w:w="870" w:type="dxa"/>
            <w:vMerge w:val="restart"/>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常住地</w:t>
            </w:r>
          </w:p>
        </w:tc>
        <w:tc>
          <w:tcPr>
            <w:tcW w:w="4320" w:type="dxa"/>
            <w:gridSpan w:val="4"/>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资格证明（附复印件）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8DB3E2"/>
            <w:noWrap w:val="0"/>
            <w:vAlign w:val="center"/>
          </w:tcPr>
          <w:p>
            <w:pPr>
              <w:jc w:val="center"/>
              <w:rPr>
                <w:rFonts w:hint="eastAsia" w:ascii="宋体" w:hAnsi="宋体"/>
                <w:color w:val="auto"/>
                <w:sz w:val="24"/>
                <w:szCs w:val="24"/>
              </w:rPr>
            </w:pPr>
          </w:p>
        </w:tc>
        <w:tc>
          <w:tcPr>
            <w:tcW w:w="841" w:type="dxa"/>
            <w:vMerge w:val="continue"/>
            <w:shd w:val="clear" w:color="auto" w:fill="8DB3E2"/>
            <w:noWrap w:val="0"/>
            <w:vAlign w:val="center"/>
          </w:tcPr>
          <w:p>
            <w:pPr>
              <w:jc w:val="center"/>
              <w:rPr>
                <w:rFonts w:hint="eastAsia" w:ascii="宋体" w:hAnsi="宋体"/>
                <w:color w:val="auto"/>
                <w:sz w:val="24"/>
                <w:szCs w:val="24"/>
              </w:rPr>
            </w:pPr>
          </w:p>
        </w:tc>
        <w:tc>
          <w:tcPr>
            <w:tcW w:w="840" w:type="dxa"/>
            <w:vMerge w:val="continue"/>
            <w:shd w:val="clear" w:color="auto" w:fill="8DB3E2"/>
            <w:noWrap w:val="0"/>
            <w:vAlign w:val="center"/>
          </w:tcPr>
          <w:p>
            <w:pPr>
              <w:jc w:val="center"/>
              <w:rPr>
                <w:rFonts w:hint="eastAsia" w:ascii="宋体" w:hAnsi="宋体"/>
                <w:color w:val="auto"/>
                <w:sz w:val="24"/>
                <w:szCs w:val="24"/>
              </w:rPr>
            </w:pPr>
          </w:p>
        </w:tc>
        <w:tc>
          <w:tcPr>
            <w:tcW w:w="930" w:type="dxa"/>
            <w:vMerge w:val="continue"/>
            <w:shd w:val="clear" w:color="auto" w:fill="8DB3E2"/>
            <w:noWrap w:val="0"/>
            <w:vAlign w:val="center"/>
          </w:tcPr>
          <w:p>
            <w:pPr>
              <w:jc w:val="center"/>
              <w:rPr>
                <w:rFonts w:hint="eastAsia" w:ascii="宋体" w:hAnsi="宋体"/>
                <w:color w:val="auto"/>
                <w:sz w:val="24"/>
                <w:szCs w:val="24"/>
              </w:rPr>
            </w:pPr>
          </w:p>
        </w:tc>
        <w:tc>
          <w:tcPr>
            <w:tcW w:w="870" w:type="dxa"/>
            <w:vMerge w:val="continue"/>
            <w:shd w:val="clear" w:color="auto" w:fill="8DB3E2"/>
            <w:noWrap w:val="0"/>
            <w:vAlign w:val="center"/>
          </w:tcPr>
          <w:p>
            <w:pPr>
              <w:jc w:val="center"/>
              <w:rPr>
                <w:rFonts w:hint="eastAsia" w:ascii="宋体" w:hAnsi="宋体"/>
                <w:color w:val="auto"/>
                <w:sz w:val="24"/>
                <w:szCs w:val="24"/>
              </w:rPr>
            </w:pPr>
          </w:p>
        </w:tc>
        <w:tc>
          <w:tcPr>
            <w:tcW w:w="1077" w:type="dxa"/>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证书名</w:t>
            </w:r>
          </w:p>
        </w:tc>
        <w:tc>
          <w:tcPr>
            <w:tcW w:w="963" w:type="dxa"/>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级别</w:t>
            </w:r>
          </w:p>
        </w:tc>
        <w:tc>
          <w:tcPr>
            <w:tcW w:w="1320" w:type="dxa"/>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证号</w:t>
            </w:r>
          </w:p>
        </w:tc>
        <w:tc>
          <w:tcPr>
            <w:tcW w:w="960" w:type="dxa"/>
            <w:shd w:val="clear" w:color="auto" w:fill="8DB3E2"/>
            <w:noWrap w:val="0"/>
            <w:vAlign w:val="center"/>
          </w:tcPr>
          <w:p>
            <w:pPr>
              <w:jc w:val="center"/>
              <w:rPr>
                <w:rFonts w:hint="eastAsia" w:ascii="宋体" w:hAnsi="宋体"/>
                <w:color w:val="auto"/>
                <w:sz w:val="24"/>
                <w:szCs w:val="24"/>
              </w:rPr>
            </w:pPr>
            <w:r>
              <w:rPr>
                <w:rFonts w:hint="eastAsia" w:ascii="宋体" w:hAnsi="宋体"/>
                <w:color w:val="auto"/>
                <w:sz w:val="24"/>
                <w:szCs w:val="24"/>
              </w:rPr>
              <w:t>专业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restart"/>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管理人员</w:t>
            </w: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总经理</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李树贵</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高级工程师</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人力资源管理</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高级工程师</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1302800172</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人力资源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eastAsia="宋体"/>
                <w:color w:val="auto"/>
                <w:sz w:val="24"/>
                <w:szCs w:val="24"/>
                <w:lang w:val="en-US" w:eastAsia="zh-CN"/>
              </w:rPr>
            </w:pPr>
            <w:r>
              <w:rPr>
                <w:rFonts w:hint="eastAsia" w:ascii="宋体" w:hAnsi="宋体"/>
                <w:color w:val="auto"/>
                <w:sz w:val="24"/>
                <w:szCs w:val="24"/>
                <w:lang w:val="en-US" w:eastAsia="zh-CN"/>
              </w:rPr>
              <w:t>项目经理</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王福亮</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工程师</w:t>
            </w:r>
          </w:p>
        </w:tc>
        <w:tc>
          <w:tcPr>
            <w:tcW w:w="87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李之峰</w:t>
            </w:r>
          </w:p>
        </w:tc>
        <w:tc>
          <w:tcPr>
            <w:tcW w:w="93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工程师</w:t>
            </w:r>
          </w:p>
        </w:tc>
        <w:tc>
          <w:tcPr>
            <w:tcW w:w="87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李亚鑫</w:t>
            </w:r>
          </w:p>
        </w:tc>
        <w:tc>
          <w:tcPr>
            <w:tcW w:w="93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工程师</w:t>
            </w:r>
          </w:p>
        </w:tc>
        <w:tc>
          <w:tcPr>
            <w:tcW w:w="87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郑明硕</w:t>
            </w:r>
          </w:p>
        </w:tc>
        <w:tc>
          <w:tcPr>
            <w:tcW w:w="93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工程师</w:t>
            </w:r>
          </w:p>
        </w:tc>
        <w:tc>
          <w:tcPr>
            <w:tcW w:w="870" w:type="dxa"/>
            <w:shd w:val="clear" w:color="auto" w:fill="auto"/>
            <w:noWrap w:val="0"/>
            <w:vAlign w:val="center"/>
          </w:tcPr>
          <w:p>
            <w:pPr>
              <w:jc w:val="center"/>
              <w:rPr>
                <w:rFonts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会计</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郝爱霞</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会计师</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会计从业资格证</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从业资格证书</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372328198907131522</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restart"/>
            <w:tcBorders>
              <w:left w:val="single" w:color="auto" w:sz="4" w:space="0"/>
            </w:tcBorders>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售后服务人员</w:t>
            </w: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焊工</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卞强</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技工</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特种作业操作证</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从业资格证书</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372328198802041512</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气焊、电焊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tcBorders>
              <w:left w:val="single" w:color="auto" w:sz="4" w:space="0"/>
            </w:tcBorders>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安装维修工</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卞强</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技工</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特种作业操作证</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从业资格证书</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372317100053</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安装维修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tcBorders>
              <w:left w:val="single" w:color="auto" w:sz="4" w:space="0"/>
            </w:tcBorders>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焊工</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齐茂辛</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技工</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特种作业操作证</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从业资格证书</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T372328198111292136</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焊接和热切割作业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1086" w:type="dxa"/>
            <w:vMerge w:val="continue"/>
            <w:tcBorders>
              <w:left w:val="single" w:color="auto" w:sz="4" w:space="0"/>
            </w:tcBorders>
            <w:shd w:val="clear" w:color="auto" w:fill="auto"/>
            <w:noWrap w:val="0"/>
            <w:vAlign w:val="center"/>
          </w:tcPr>
          <w:p>
            <w:pPr>
              <w:jc w:val="center"/>
              <w:rPr>
                <w:rFonts w:hint="eastAsia" w:ascii="宋体" w:hAnsi="宋体"/>
                <w:color w:val="auto"/>
                <w:sz w:val="24"/>
                <w:szCs w:val="24"/>
              </w:rPr>
            </w:pPr>
          </w:p>
        </w:tc>
        <w:tc>
          <w:tcPr>
            <w:tcW w:w="841"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安装维修工</w:t>
            </w:r>
          </w:p>
        </w:tc>
        <w:tc>
          <w:tcPr>
            <w:tcW w:w="84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付成浩</w:t>
            </w:r>
          </w:p>
        </w:tc>
        <w:tc>
          <w:tcPr>
            <w:tcW w:w="93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技工</w:t>
            </w:r>
          </w:p>
        </w:tc>
        <w:tc>
          <w:tcPr>
            <w:tcW w:w="87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山东滨州</w:t>
            </w:r>
          </w:p>
        </w:tc>
        <w:tc>
          <w:tcPr>
            <w:tcW w:w="1077"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职业技能岗位证书</w:t>
            </w:r>
          </w:p>
        </w:tc>
        <w:tc>
          <w:tcPr>
            <w:tcW w:w="963"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初级</w:t>
            </w:r>
          </w:p>
        </w:tc>
        <w:tc>
          <w:tcPr>
            <w:tcW w:w="132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37021700385</w:t>
            </w:r>
          </w:p>
        </w:tc>
        <w:tc>
          <w:tcPr>
            <w:tcW w:w="960" w:type="dxa"/>
            <w:shd w:val="clear" w:color="auto" w:fill="auto"/>
            <w:noWrap w:val="0"/>
            <w:vAlign w:val="center"/>
          </w:tcPr>
          <w:p>
            <w:pPr>
              <w:jc w:val="center"/>
              <w:rPr>
                <w:rFonts w:hint="eastAsia" w:ascii="宋体" w:hAnsi="宋体"/>
                <w:color w:val="auto"/>
                <w:sz w:val="24"/>
                <w:szCs w:val="24"/>
              </w:rPr>
            </w:pPr>
            <w:r>
              <w:rPr>
                <w:rFonts w:hint="eastAsia" w:ascii="宋体" w:hAnsi="宋体"/>
                <w:color w:val="auto"/>
                <w:sz w:val="24"/>
                <w:szCs w:val="24"/>
              </w:rPr>
              <w:t>安装维修</w:t>
            </w:r>
          </w:p>
        </w:tc>
      </w:tr>
    </w:tbl>
    <w:p>
      <w:pPr>
        <w:jc w:val="center"/>
        <w:rPr>
          <w:rFonts w:hint="eastAsia" w:hAnsi="宋体"/>
          <w:color w:val="auto"/>
        </w:rPr>
      </w:pPr>
    </w:p>
    <w:p>
      <w:pPr>
        <w:rPr>
          <w:rFonts w:hint="eastAsia" w:hAnsi="宋体"/>
          <w:color w:val="auto"/>
        </w:rPr>
      </w:pPr>
      <w:r>
        <w:rPr>
          <w:rFonts w:hint="eastAsia" w:hAnsi="宋体"/>
          <w:color w:val="auto"/>
        </w:rPr>
        <w:br w:type="page"/>
      </w:r>
    </w:p>
    <w:p>
      <w:pPr>
        <w:spacing w:line="360" w:lineRule="auto"/>
        <w:rPr>
          <w:rFonts w:hint="eastAsia" w:hAnsi="宋体"/>
          <w:color w:val="auto"/>
          <w:sz w:val="24"/>
        </w:rPr>
      </w:pPr>
      <w:r>
        <w:rPr>
          <w:rFonts w:hint="eastAsia" w:hAnsi="宋体"/>
          <w:color w:val="auto"/>
          <w:sz w:val="24"/>
        </w:rPr>
        <w:drawing>
          <wp:inline distT="0" distB="0" distL="114300" distR="114300">
            <wp:extent cx="5170805" cy="3550285"/>
            <wp:effectExtent l="0" t="0" r="10795" b="12065"/>
            <wp:docPr id="55" name="图片 7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75" descr="2"/>
                    <pic:cNvPicPr>
                      <a:picLocks noChangeAspect="1"/>
                    </pic:cNvPicPr>
                  </pic:nvPicPr>
                  <pic:blipFill>
                    <a:blip r:embed="rId6"/>
                    <a:stretch>
                      <a:fillRect/>
                    </a:stretch>
                  </pic:blipFill>
                  <pic:spPr>
                    <a:xfrm>
                      <a:off x="0" y="0"/>
                      <a:ext cx="5170805" cy="35502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eastAsia" w:ascii="宋体" w:hAnsi="宋体"/>
          <w:b/>
          <w:color w:val="auto"/>
          <w:sz w:val="24"/>
          <w:szCs w:val="24"/>
        </w:rPr>
      </w:pPr>
      <w:r>
        <w:rPr>
          <w:rFonts w:hint="eastAsia" w:hAnsi="宋体"/>
          <w:color w:val="auto"/>
          <w:sz w:val="24"/>
        </w:rPr>
        <w:drawing>
          <wp:inline distT="0" distB="0" distL="114300" distR="114300">
            <wp:extent cx="5175885" cy="3592195"/>
            <wp:effectExtent l="0" t="0" r="5715" b="8255"/>
            <wp:docPr id="56" name="图片 5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3"/>
                    <pic:cNvPicPr>
                      <a:picLocks noChangeAspect="1"/>
                    </pic:cNvPicPr>
                  </pic:nvPicPr>
                  <pic:blipFill>
                    <a:blip r:embed="rId7"/>
                    <a:stretch>
                      <a:fillRect/>
                    </a:stretch>
                  </pic:blipFill>
                  <pic:spPr>
                    <a:xfrm>
                      <a:off x="0" y="0"/>
                      <a:ext cx="5175885" cy="3592195"/>
                    </a:xfrm>
                    <a:prstGeom prst="rect">
                      <a:avLst/>
                    </a:prstGeom>
                    <a:noFill/>
                    <a:ln>
                      <a:noFill/>
                    </a:ln>
                  </pic:spPr>
                </pic:pic>
              </a:graphicData>
            </a:graphic>
          </wp:inline>
        </w:drawing>
      </w:r>
    </w:p>
    <w:p>
      <w:pPr>
        <w:jc w:val="center"/>
        <w:rPr>
          <w:rFonts w:hint="eastAsia" w:hAnsi="宋体"/>
          <w:color w:val="auto"/>
        </w:rPr>
      </w:pPr>
    </w:p>
    <w:p>
      <w:pPr>
        <w:rPr>
          <w:rFonts w:hint="eastAsia" w:hAnsi="宋体"/>
          <w:color w:val="auto"/>
        </w:rPr>
      </w:pPr>
    </w:p>
    <w:p>
      <w:pPr>
        <w:rPr>
          <w:rFonts w:hint="eastAsia" w:hAnsi="宋体"/>
          <w:color w:val="auto"/>
        </w:rPr>
      </w:pPr>
    </w:p>
    <w:p>
      <w:pPr>
        <w:rPr>
          <w:rFonts w:hint="eastAsia"/>
          <w:color w:val="auto"/>
        </w:rPr>
      </w:pPr>
      <w:r>
        <w:rPr>
          <w:color w:val="auto"/>
        </w:rPr>
        <w:br w:type="page"/>
      </w:r>
    </w:p>
    <w:p>
      <w:pPr>
        <w:spacing w:line="360" w:lineRule="auto"/>
        <w:rPr>
          <w:rFonts w:hint="eastAsia" w:hAnsi="宋体"/>
          <w:color w:val="auto"/>
          <w:sz w:val="24"/>
        </w:rPr>
      </w:pPr>
      <w:r>
        <w:rPr>
          <w:rFonts w:hint="eastAsia" w:hAnsi="宋体"/>
          <w:color w:val="auto"/>
          <w:sz w:val="24"/>
        </w:rPr>
        <w:drawing>
          <wp:inline distT="0" distB="0" distL="114300" distR="114300">
            <wp:extent cx="5253355" cy="2942590"/>
            <wp:effectExtent l="0" t="0" r="4445" b="10160"/>
            <wp:docPr id="47" name="图片 67" descr="CCI20160728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7" descr="CCI20160728_0004"/>
                    <pic:cNvPicPr>
                      <a:picLocks noChangeAspect="1"/>
                    </pic:cNvPicPr>
                  </pic:nvPicPr>
                  <pic:blipFill>
                    <a:blip r:embed="rId8"/>
                    <a:stretch>
                      <a:fillRect/>
                    </a:stretch>
                  </pic:blipFill>
                  <pic:spPr>
                    <a:xfrm>
                      <a:off x="0" y="0"/>
                      <a:ext cx="5253355" cy="2942590"/>
                    </a:xfrm>
                    <a:prstGeom prst="rect">
                      <a:avLst/>
                    </a:prstGeom>
                    <a:noFill/>
                    <a:ln>
                      <a:noFill/>
                    </a:ln>
                  </pic:spPr>
                </pic:pic>
              </a:graphicData>
            </a:graphic>
          </wp:inline>
        </w:drawing>
      </w:r>
      <w:r>
        <w:rPr>
          <w:rFonts w:hint="eastAsia" w:hAnsi="宋体"/>
          <w:color w:val="auto"/>
          <w:sz w:val="24"/>
        </w:rPr>
        <w:drawing>
          <wp:inline distT="0" distB="0" distL="114300" distR="114300">
            <wp:extent cx="5243830" cy="2888615"/>
            <wp:effectExtent l="0" t="0" r="13970" b="6985"/>
            <wp:docPr id="48" name="图片 68" descr="CCI20160728_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8" descr="CCI20160728_0005"/>
                    <pic:cNvPicPr>
                      <a:picLocks noChangeAspect="1"/>
                    </pic:cNvPicPr>
                  </pic:nvPicPr>
                  <pic:blipFill>
                    <a:blip r:embed="rId9"/>
                    <a:stretch>
                      <a:fillRect/>
                    </a:stretch>
                  </pic:blipFill>
                  <pic:spPr>
                    <a:xfrm>
                      <a:off x="0" y="0"/>
                      <a:ext cx="5243830" cy="2888615"/>
                    </a:xfrm>
                    <a:prstGeom prst="rect">
                      <a:avLst/>
                    </a:prstGeom>
                    <a:noFill/>
                    <a:ln>
                      <a:noFill/>
                    </a:ln>
                  </pic:spPr>
                </pic:pic>
              </a:graphicData>
            </a:graphic>
          </wp:inline>
        </w:drawing>
      </w:r>
      <w:r>
        <w:rPr>
          <w:rFonts w:hint="eastAsia" w:hAnsi="宋体"/>
          <w:color w:val="auto"/>
        </w:rPr>
        <w:drawing>
          <wp:inline distT="0" distB="0" distL="114300" distR="114300">
            <wp:extent cx="5208905" cy="2567940"/>
            <wp:effectExtent l="0" t="0" r="10795" b="3810"/>
            <wp:docPr id="17" name="图片 57" descr="卞强焊工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7" descr="卞强焊工证"/>
                    <pic:cNvPicPr>
                      <a:picLocks noChangeAspect="1"/>
                    </pic:cNvPicPr>
                  </pic:nvPicPr>
                  <pic:blipFill>
                    <a:blip r:embed="rId10"/>
                    <a:stretch>
                      <a:fillRect/>
                    </a:stretch>
                  </pic:blipFill>
                  <pic:spPr>
                    <a:xfrm>
                      <a:off x="0" y="0"/>
                      <a:ext cx="5208905" cy="2567940"/>
                    </a:xfrm>
                    <a:prstGeom prst="rect">
                      <a:avLst/>
                    </a:prstGeom>
                    <a:noFill/>
                    <a:ln>
                      <a:noFill/>
                    </a:ln>
                  </pic:spPr>
                </pic:pic>
              </a:graphicData>
            </a:graphic>
          </wp:inline>
        </w:drawing>
      </w:r>
    </w:p>
    <w:p>
      <w:pPr>
        <w:rPr>
          <w:rFonts w:hint="eastAsia"/>
          <w:color w:val="auto"/>
        </w:rPr>
      </w:pPr>
    </w:p>
    <w:p>
      <w:pPr>
        <w:rPr>
          <w:rFonts w:hint="eastAsia"/>
          <w:color w:val="auto"/>
          <w:lang w:val="en-US" w:eastAsia="zh-CN"/>
        </w:rPr>
      </w:pPr>
      <w:r>
        <w:rPr>
          <w:rFonts w:hint="eastAsia"/>
          <w:color w:val="auto"/>
          <w:lang w:val="en-US" w:eastAsia="zh-CN"/>
        </w:rPr>
        <w:br w:type="page"/>
      </w:r>
    </w:p>
    <w:p>
      <w:pPr>
        <w:pStyle w:val="4"/>
        <w:bidi w:val="0"/>
        <w:rPr>
          <w:rFonts w:hint="default"/>
          <w:color w:val="auto"/>
          <w:lang w:val="en-US" w:eastAsia="zh-CN"/>
        </w:rPr>
      </w:pPr>
      <w:bookmarkStart w:id="4" w:name="_Toc18617"/>
      <w:r>
        <w:rPr>
          <w:rFonts w:hint="eastAsia"/>
          <w:color w:val="auto"/>
          <w:lang w:val="en-US" w:eastAsia="zh-CN"/>
        </w:rPr>
        <w:t>3、售后服务车辆</w:t>
      </w:r>
      <w:bookmarkEnd w:id="4"/>
    </w:p>
    <w:p>
      <w:pPr>
        <w:rPr>
          <w:color w:val="auto"/>
        </w:rPr>
      </w:pPr>
      <w:r>
        <w:rPr>
          <w:rFonts w:hint="eastAsia"/>
          <w:color w:val="auto"/>
        </w:rPr>
        <w:drawing>
          <wp:inline distT="0" distB="0" distL="114300" distR="114300">
            <wp:extent cx="5269865" cy="3952240"/>
            <wp:effectExtent l="0" t="0" r="6985" b="10160"/>
            <wp:docPr id="79" name="图片 5" descr="IMG2016042111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5" descr="IMG20160421111308"/>
                    <pic:cNvPicPr>
                      <a:picLocks noChangeAspect="1"/>
                    </pic:cNvPicPr>
                  </pic:nvPicPr>
                  <pic:blipFill>
                    <a:blip r:embed="rId11"/>
                    <a:stretch>
                      <a:fillRect/>
                    </a:stretch>
                  </pic:blipFill>
                  <pic:spPr>
                    <a:xfrm>
                      <a:off x="0" y="0"/>
                      <a:ext cx="5269865" cy="3952240"/>
                    </a:xfrm>
                    <a:prstGeom prst="rect">
                      <a:avLst/>
                    </a:prstGeom>
                    <a:noFill/>
                    <a:ln>
                      <a:noFill/>
                    </a:ln>
                  </pic:spPr>
                </pic:pic>
              </a:graphicData>
            </a:graphic>
          </wp:inline>
        </w:drawing>
      </w:r>
      <w:r>
        <w:rPr>
          <w:rFonts w:hint="eastAsia"/>
          <w:color w:val="auto"/>
        </w:rPr>
        <w:drawing>
          <wp:inline distT="0" distB="0" distL="114300" distR="114300">
            <wp:extent cx="5266690" cy="3950335"/>
            <wp:effectExtent l="0" t="0" r="10160" b="12065"/>
            <wp:docPr id="80" name="图片 6" descr="mmexport1462930486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6" descr="mmexport1462930486302"/>
                    <pic:cNvPicPr>
                      <a:picLocks noChangeAspect="1"/>
                    </pic:cNvPicPr>
                  </pic:nvPicPr>
                  <pic:blipFill>
                    <a:blip r:embed="rId12"/>
                    <a:stretch>
                      <a:fillRect/>
                    </a:stretch>
                  </pic:blipFill>
                  <pic:spPr>
                    <a:xfrm>
                      <a:off x="0" y="0"/>
                      <a:ext cx="5266690" cy="3950335"/>
                    </a:xfrm>
                    <a:prstGeom prst="rect">
                      <a:avLst/>
                    </a:prstGeom>
                    <a:noFill/>
                    <a:ln>
                      <a:noFill/>
                    </a:ln>
                  </pic:spPr>
                </pic:pic>
              </a:graphicData>
            </a:graphic>
          </wp:inline>
        </w:drawing>
      </w:r>
    </w:p>
    <w:p>
      <w:pPr>
        <w:rPr>
          <w:rFonts w:hint="eastAsia"/>
          <w:color w:val="auto"/>
        </w:rPr>
      </w:pPr>
      <w:r>
        <w:rPr>
          <w:color w:val="auto"/>
        </w:rPr>
        <w:br w:type="page"/>
      </w:r>
      <w:r>
        <w:rPr>
          <w:color w:val="auto"/>
        </w:rPr>
        <w:drawing>
          <wp:inline distT="0" distB="0" distL="114300" distR="114300">
            <wp:extent cx="5111750" cy="1931670"/>
            <wp:effectExtent l="0" t="0" r="12700" b="11430"/>
            <wp:docPr id="81" name="图片 7" descr="IMG2016042111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7" descr="IMG20160421111203"/>
                    <pic:cNvPicPr>
                      <a:picLocks noChangeAspect="1"/>
                    </pic:cNvPicPr>
                  </pic:nvPicPr>
                  <pic:blipFill>
                    <a:blip r:embed="rId13"/>
                    <a:srcRect/>
                    <a:stretch>
                      <a:fillRect/>
                    </a:stretch>
                  </pic:blipFill>
                  <pic:spPr>
                    <a:xfrm>
                      <a:off x="0" y="0"/>
                      <a:ext cx="5111750" cy="1931670"/>
                    </a:xfrm>
                    <a:prstGeom prst="rect">
                      <a:avLst/>
                    </a:prstGeom>
                    <a:noFill/>
                    <a:ln>
                      <a:noFill/>
                    </a:ln>
                  </pic:spPr>
                </pic:pic>
              </a:graphicData>
            </a:graphic>
          </wp:inline>
        </w:drawing>
      </w:r>
      <w:r>
        <w:rPr>
          <w:color w:val="auto"/>
        </w:rPr>
        <w:drawing>
          <wp:inline distT="0" distB="0" distL="114300" distR="114300">
            <wp:extent cx="5335270" cy="2419985"/>
            <wp:effectExtent l="0" t="0" r="17780" b="18415"/>
            <wp:docPr id="82" name="图片 8" descr="mmexport1462930479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 descr="mmexport1462930479859"/>
                    <pic:cNvPicPr>
                      <a:picLocks noChangeAspect="1"/>
                    </pic:cNvPicPr>
                  </pic:nvPicPr>
                  <pic:blipFill>
                    <a:blip r:embed="rId14"/>
                    <a:srcRect/>
                    <a:stretch>
                      <a:fillRect/>
                    </a:stretch>
                  </pic:blipFill>
                  <pic:spPr>
                    <a:xfrm>
                      <a:off x="0" y="0"/>
                      <a:ext cx="5335270" cy="2419985"/>
                    </a:xfrm>
                    <a:prstGeom prst="rect">
                      <a:avLst/>
                    </a:prstGeom>
                    <a:noFill/>
                    <a:ln>
                      <a:noFill/>
                    </a:ln>
                  </pic:spPr>
                </pic:pic>
              </a:graphicData>
            </a:graphic>
          </wp:inline>
        </w:drawing>
      </w:r>
    </w:p>
    <w:p>
      <w:pPr>
        <w:rPr>
          <w:color w:val="auto"/>
        </w:rPr>
      </w:pPr>
      <w:r>
        <w:rPr>
          <w:color w:val="auto"/>
        </w:rPr>
        <w:drawing>
          <wp:inline distT="0" distB="0" distL="114300" distR="114300">
            <wp:extent cx="2614930" cy="1780540"/>
            <wp:effectExtent l="0" t="0" r="13970" b="10160"/>
            <wp:docPr id="8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9"/>
                    <pic:cNvPicPr>
                      <a:picLocks noChangeAspect="1"/>
                    </pic:cNvPicPr>
                  </pic:nvPicPr>
                  <pic:blipFill>
                    <a:blip r:embed="rId15"/>
                    <a:stretch>
                      <a:fillRect/>
                    </a:stretch>
                  </pic:blipFill>
                  <pic:spPr>
                    <a:xfrm>
                      <a:off x="0" y="0"/>
                      <a:ext cx="2614930" cy="1780540"/>
                    </a:xfrm>
                    <a:prstGeom prst="rect">
                      <a:avLst/>
                    </a:prstGeom>
                    <a:noFill/>
                    <a:ln>
                      <a:noFill/>
                    </a:ln>
                  </pic:spPr>
                </pic:pic>
              </a:graphicData>
            </a:graphic>
          </wp:inline>
        </w:drawing>
      </w:r>
      <w:r>
        <w:rPr>
          <w:color w:val="auto"/>
        </w:rPr>
        <w:t xml:space="preserve"> </w:t>
      </w:r>
      <w:r>
        <w:rPr>
          <w:color w:val="auto"/>
        </w:rPr>
        <w:drawing>
          <wp:inline distT="0" distB="0" distL="114300" distR="114300">
            <wp:extent cx="2536190" cy="1848485"/>
            <wp:effectExtent l="0" t="0" r="16510" b="18415"/>
            <wp:docPr id="8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0"/>
                    <pic:cNvPicPr>
                      <a:picLocks noChangeAspect="1"/>
                    </pic:cNvPicPr>
                  </pic:nvPicPr>
                  <pic:blipFill>
                    <a:blip r:embed="rId16"/>
                    <a:srcRect l="2180" r="1090"/>
                    <a:stretch>
                      <a:fillRect/>
                    </a:stretch>
                  </pic:blipFill>
                  <pic:spPr>
                    <a:xfrm>
                      <a:off x="0" y="0"/>
                      <a:ext cx="2536190" cy="1848485"/>
                    </a:xfrm>
                    <a:prstGeom prst="rect">
                      <a:avLst/>
                    </a:prstGeom>
                    <a:noFill/>
                    <a:ln>
                      <a:noFill/>
                    </a:ln>
                  </pic:spPr>
                </pic:pic>
              </a:graphicData>
            </a:graphic>
          </wp:inline>
        </w:drawing>
      </w:r>
    </w:p>
    <w:p>
      <w:pPr>
        <w:rPr>
          <w:color w:val="auto"/>
        </w:rPr>
      </w:pPr>
      <w:r>
        <w:rPr>
          <w:rFonts w:hint="eastAsia"/>
          <w:color w:val="auto"/>
        </w:rPr>
        <w:br w:type="page"/>
      </w:r>
    </w:p>
    <w:p>
      <w:pPr>
        <w:pStyle w:val="3"/>
        <w:bidi w:val="0"/>
        <w:rPr>
          <w:rFonts w:hint="default" w:eastAsia="宋体"/>
          <w:color w:val="auto"/>
          <w:lang w:val="en-US" w:eastAsia="zh-CN"/>
        </w:rPr>
      </w:pPr>
      <w:bookmarkStart w:id="5" w:name="_Toc175"/>
      <w:r>
        <w:rPr>
          <w:rFonts w:hint="eastAsia"/>
          <w:color w:val="auto"/>
          <w:lang w:eastAsia="zh-CN"/>
        </w:rPr>
        <w:t>（</w:t>
      </w:r>
      <w:r>
        <w:rPr>
          <w:rFonts w:hint="eastAsia"/>
          <w:color w:val="auto"/>
          <w:lang w:val="en-US" w:eastAsia="zh-CN"/>
        </w:rPr>
        <w:t>2</w:t>
      </w:r>
      <w:r>
        <w:rPr>
          <w:rFonts w:hint="eastAsia"/>
          <w:color w:val="auto"/>
          <w:lang w:eastAsia="zh-CN"/>
        </w:rPr>
        <w:t>）</w:t>
      </w:r>
      <w:r>
        <w:rPr>
          <w:rFonts w:hint="eastAsia"/>
          <w:color w:val="auto"/>
        </w:rPr>
        <w:t>售后服务保修应急响应方案</w:t>
      </w:r>
      <w:r>
        <w:rPr>
          <w:rFonts w:hint="eastAsia"/>
          <w:color w:val="auto"/>
          <w:lang w:val="en-US" w:eastAsia="zh-CN"/>
        </w:rPr>
        <w:t>及培训计划</w:t>
      </w:r>
      <w:bookmarkEnd w:id="5"/>
    </w:p>
    <w:p>
      <w:pPr>
        <w:spacing w:line="480" w:lineRule="auto"/>
        <w:rPr>
          <w:rFonts w:ascii="宋体" w:hAnsi="宋体"/>
          <w:b/>
          <w:color w:val="auto"/>
          <w:sz w:val="24"/>
          <w:szCs w:val="24"/>
        </w:rPr>
      </w:pPr>
      <w:r>
        <w:rPr>
          <w:rFonts w:hint="eastAsia" w:ascii="宋体" w:hAnsi="宋体"/>
          <w:color w:val="auto"/>
          <w:sz w:val="24"/>
          <w:szCs w:val="24"/>
        </w:rPr>
        <w:t>A、</w:t>
      </w:r>
      <w:r>
        <w:rPr>
          <w:rFonts w:hint="eastAsia" w:ascii="宋体" w:hAnsi="宋体"/>
          <w:b/>
          <w:color w:val="auto"/>
          <w:sz w:val="24"/>
          <w:szCs w:val="24"/>
        </w:rPr>
        <w:t>建立紧急响应组织机构、构建应急机制</w:t>
      </w:r>
    </w:p>
    <w:p>
      <w:pPr>
        <w:spacing w:before="156" w:beforeLines="50" w:line="480" w:lineRule="auto"/>
        <w:ind w:firstLine="480" w:firstLineChars="200"/>
        <w:rPr>
          <w:rFonts w:ascii="宋体" w:hAnsi="宋体"/>
          <w:color w:val="auto"/>
          <w:sz w:val="24"/>
          <w:szCs w:val="24"/>
        </w:rPr>
      </w:pPr>
      <w:r>
        <w:rPr>
          <w:rFonts w:hint="eastAsia" w:ascii="宋体" w:hAnsi="宋体"/>
          <w:color w:val="auto"/>
          <w:sz w:val="24"/>
          <w:szCs w:val="24"/>
        </w:rPr>
        <w:t>为加强设备运输、供货、安装保障，山东省博兴县格瑞特厨业有限公司应急工作采取统一领导、统一指挥和统一调度的方针策略，建立应急响应组织机构（应急办公室负责），负责组织、协调代维区域范围内的设备应急保障和通信工作。</w:t>
      </w:r>
    </w:p>
    <w:p>
      <w:pPr>
        <w:spacing w:before="156" w:beforeLines="50" w:line="480" w:lineRule="auto"/>
        <w:rPr>
          <w:rFonts w:ascii="宋体" w:hAnsi="宋体"/>
          <w:color w:val="auto"/>
          <w:sz w:val="24"/>
          <w:szCs w:val="24"/>
        </w:rPr>
      </w:pPr>
      <w:r>
        <w:rPr>
          <w:rFonts w:hint="eastAsia" w:ascii="宋体" w:hAnsi="宋体"/>
          <w:color w:val="auto"/>
          <w:sz w:val="24"/>
          <w:szCs w:val="24"/>
        </w:rPr>
        <w:t>B、</w:t>
      </w:r>
      <w:r>
        <w:rPr>
          <w:rFonts w:hint="eastAsia" w:ascii="宋体" w:hAnsi="宋体"/>
          <w:b/>
          <w:color w:val="auto"/>
          <w:sz w:val="24"/>
          <w:szCs w:val="24"/>
        </w:rPr>
        <w:t>紧急落地方案</w:t>
      </w:r>
    </w:p>
    <w:p>
      <w:pPr>
        <w:spacing w:before="100" w:beforeAutospacing="1" w:line="480" w:lineRule="auto"/>
        <w:ind w:firstLine="480" w:firstLineChars="200"/>
        <w:rPr>
          <w:rFonts w:ascii="宋体" w:hAnsi="宋体"/>
          <w:color w:val="auto"/>
          <w:sz w:val="24"/>
          <w:szCs w:val="24"/>
        </w:rPr>
      </w:pPr>
      <w:r>
        <w:rPr>
          <w:rFonts w:hint="eastAsia" w:ascii="宋体" w:hAnsi="宋体"/>
          <w:color w:val="auto"/>
          <w:sz w:val="24"/>
          <w:szCs w:val="24"/>
        </w:rPr>
        <w:t>保障应急总指挥由售后服务部部长担任，小组成员12人，统一协调部署整个甘肃地区送货及维修的设备售后工作。山东省博兴县格瑞特厨业有限公司各个办事处经理负责具体落实事宜，其职责如下：</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①负责组织</w:t>
      </w:r>
      <w:r>
        <w:rPr>
          <w:rFonts w:hint="eastAsia" w:ascii="宋体" w:hAnsi="宋体"/>
          <w:color w:val="auto"/>
          <w:kern w:val="0"/>
          <w:sz w:val="24"/>
          <w:szCs w:val="24"/>
        </w:rPr>
        <w:t>办事处</w:t>
      </w:r>
      <w:r>
        <w:rPr>
          <w:rFonts w:ascii="宋体" w:hAnsi="宋体"/>
          <w:color w:val="auto"/>
          <w:kern w:val="0"/>
          <w:sz w:val="24"/>
          <w:szCs w:val="24"/>
        </w:rPr>
        <w:t>制定应急</w:t>
      </w:r>
      <w:r>
        <w:rPr>
          <w:rFonts w:hint="eastAsia" w:ascii="宋体" w:hAnsi="宋体"/>
          <w:color w:val="auto"/>
          <w:kern w:val="0"/>
          <w:sz w:val="24"/>
          <w:szCs w:val="24"/>
        </w:rPr>
        <w:t>事件</w:t>
      </w:r>
      <w:r>
        <w:rPr>
          <w:rFonts w:ascii="宋体" w:hAnsi="宋体"/>
          <w:color w:val="auto"/>
          <w:kern w:val="0"/>
          <w:sz w:val="24"/>
          <w:szCs w:val="24"/>
        </w:rPr>
        <w:t>预案。</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②负责统一部署应急预案的实施工作，及紧急处理措施。</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③负责调用</w:t>
      </w:r>
      <w:r>
        <w:rPr>
          <w:rFonts w:hint="eastAsia" w:ascii="宋体" w:hAnsi="宋体"/>
          <w:color w:val="auto"/>
          <w:kern w:val="0"/>
          <w:sz w:val="24"/>
          <w:szCs w:val="24"/>
        </w:rPr>
        <w:t>总公司</w:t>
      </w:r>
      <w:r>
        <w:rPr>
          <w:rFonts w:ascii="宋体" w:hAnsi="宋体"/>
          <w:color w:val="auto"/>
          <w:kern w:val="0"/>
          <w:sz w:val="24"/>
          <w:szCs w:val="24"/>
        </w:rPr>
        <w:t>范围内各类物资、设备、人员和占用场地。</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④负责组织人员和</w:t>
      </w:r>
      <w:r>
        <w:rPr>
          <w:rFonts w:hint="eastAsia" w:ascii="宋体" w:hAnsi="宋体"/>
          <w:color w:val="auto"/>
          <w:kern w:val="0"/>
          <w:sz w:val="24"/>
          <w:szCs w:val="24"/>
        </w:rPr>
        <w:t>厨具设备维修、售后等相关</w:t>
      </w:r>
      <w:r>
        <w:rPr>
          <w:rFonts w:ascii="宋体" w:hAnsi="宋体"/>
          <w:color w:val="auto"/>
          <w:kern w:val="0"/>
          <w:sz w:val="24"/>
          <w:szCs w:val="24"/>
        </w:rPr>
        <w:t>工作。</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⑤负责配合</w:t>
      </w:r>
      <w:r>
        <w:rPr>
          <w:rFonts w:hint="eastAsia" w:ascii="宋体" w:hAnsi="宋体"/>
          <w:color w:val="auto"/>
          <w:kern w:val="0"/>
          <w:sz w:val="24"/>
          <w:szCs w:val="24"/>
        </w:rPr>
        <w:t>学校领导</w:t>
      </w:r>
      <w:r>
        <w:rPr>
          <w:rFonts w:ascii="宋体" w:hAnsi="宋体"/>
          <w:color w:val="auto"/>
          <w:kern w:val="0"/>
          <w:sz w:val="24"/>
          <w:szCs w:val="24"/>
        </w:rPr>
        <w:t>进行</w:t>
      </w:r>
      <w:r>
        <w:rPr>
          <w:rFonts w:hint="eastAsia" w:ascii="宋体" w:hAnsi="宋体"/>
          <w:color w:val="auto"/>
          <w:kern w:val="0"/>
          <w:sz w:val="24"/>
          <w:szCs w:val="24"/>
        </w:rPr>
        <w:t>应急事件</w:t>
      </w:r>
      <w:r>
        <w:rPr>
          <w:rFonts w:ascii="宋体" w:hAnsi="宋体"/>
          <w:color w:val="auto"/>
          <w:kern w:val="0"/>
          <w:sz w:val="24"/>
          <w:szCs w:val="24"/>
        </w:rPr>
        <w:t>调查处理工作。</w:t>
      </w:r>
    </w:p>
    <w:p>
      <w:pPr>
        <w:widowControl/>
        <w:spacing w:line="480" w:lineRule="auto"/>
        <w:ind w:firstLine="480" w:firstLineChars="200"/>
        <w:rPr>
          <w:rFonts w:ascii="宋体" w:hAnsi="宋体"/>
          <w:color w:val="auto"/>
          <w:kern w:val="0"/>
          <w:sz w:val="24"/>
          <w:szCs w:val="24"/>
        </w:rPr>
      </w:pPr>
      <w:r>
        <w:rPr>
          <w:rFonts w:ascii="宋体" w:hAnsi="宋体"/>
          <w:color w:val="auto"/>
          <w:kern w:val="0"/>
          <w:sz w:val="24"/>
          <w:szCs w:val="24"/>
        </w:rPr>
        <w:t>⑦负责组织预案的演练，及时对预案进行调整、修订和补充。</w:t>
      </w:r>
    </w:p>
    <w:p>
      <w:pPr>
        <w:spacing w:before="100" w:beforeAutospacing="1" w:line="480" w:lineRule="auto"/>
        <w:ind w:firstLine="480" w:firstLineChars="200"/>
        <w:rPr>
          <w:rFonts w:ascii="宋体" w:hAnsi="宋体"/>
          <w:color w:val="auto"/>
          <w:sz w:val="24"/>
          <w:szCs w:val="24"/>
        </w:rPr>
      </w:pPr>
      <w:r>
        <w:rPr>
          <w:rFonts w:hint="eastAsia" w:ascii="宋体" w:hAnsi="宋体"/>
          <w:color w:val="auto"/>
          <w:kern w:val="0"/>
          <w:sz w:val="24"/>
          <w:szCs w:val="24"/>
        </w:rPr>
        <w:t>总的来讲，负责落实整体采购范围内的所有厨具设备的保障工作；</w:t>
      </w:r>
    </w:p>
    <w:p>
      <w:pPr>
        <w:rPr>
          <w:rFonts w:hint="eastAsia"/>
          <w:color w:val="auto"/>
          <w:lang w:val="en-US" w:eastAsia="zh-CN"/>
        </w:rPr>
      </w:pPr>
      <w:r>
        <w:rPr>
          <w:rFonts w:hint="eastAsia" w:ascii="宋体" w:hAnsi="宋体"/>
          <w:color w:val="auto"/>
          <w:kern w:val="0"/>
          <w:sz w:val="24"/>
          <w:szCs w:val="24"/>
        </w:rPr>
        <w:t>遇重大突发事件（类不可抗力等因素除外），下达保障应急任务，领导、指挥和协调区域内保障应急工作，保证应急事件的顺利处理。</w:t>
      </w:r>
    </w:p>
    <w:p>
      <w:pPr>
        <w:rPr>
          <w:rFonts w:hint="eastAsia"/>
          <w:color w:val="auto"/>
          <w:lang w:val="en-US" w:eastAsia="zh-CN"/>
        </w:rPr>
      </w:pPr>
    </w:p>
    <w:p>
      <w:pPr>
        <w:pStyle w:val="6"/>
        <w:rPr>
          <w:rFonts w:hint="eastAsia"/>
          <w:color w:val="auto"/>
          <w:lang w:val="en-US" w:eastAsia="zh-CN"/>
        </w:rPr>
      </w:pPr>
    </w:p>
    <w:p>
      <w:pPr>
        <w:rPr>
          <w:rFonts w:hint="eastAsia"/>
          <w:lang w:val="en-US" w:eastAsia="zh-CN"/>
        </w:rPr>
      </w:pPr>
      <w:r>
        <w:rPr>
          <w:rFonts w:hint="eastAsia"/>
          <w:lang w:val="en-US" w:eastAsia="zh-CN"/>
        </w:rPr>
        <w:br w:type="page"/>
      </w:r>
    </w:p>
    <w:p>
      <w:pPr>
        <w:rPr>
          <w:rFonts w:hint="eastAsia"/>
          <w:b/>
          <w:bCs/>
          <w:sz w:val="30"/>
          <w:szCs w:val="30"/>
          <w:lang w:val="en-US" w:eastAsia="zh-CN"/>
        </w:rPr>
      </w:pPr>
      <w:r>
        <w:rPr>
          <w:rFonts w:hint="eastAsia"/>
          <w:b/>
          <w:bCs/>
          <w:sz w:val="30"/>
          <w:szCs w:val="30"/>
          <w:lang w:val="en-US" w:eastAsia="zh-CN"/>
        </w:rPr>
        <w:t>培训计划：</w:t>
      </w:r>
    </w:p>
    <w:p>
      <w:pPr>
        <w:spacing w:line="360" w:lineRule="auto"/>
        <w:ind w:left="31680" w:hanging="360" w:hangingChars="150"/>
        <w:rPr>
          <w:rFonts w:ascii="宋体" w:cs="宋体"/>
          <w:sz w:val="24"/>
          <w:szCs w:val="24"/>
        </w:rPr>
      </w:pPr>
      <w:r>
        <w:rPr>
          <w:rFonts w:ascii="宋体" w:hAnsi="宋体" w:cs="宋体"/>
          <w:sz w:val="24"/>
          <w:szCs w:val="24"/>
        </w:rPr>
        <w:t xml:space="preserve"> </w:t>
      </w:r>
      <w:r>
        <w:rPr>
          <w:rFonts w:hint="eastAsia" w:ascii="宋体" w:hAnsi="宋体" w:cs="宋体"/>
          <w:sz w:val="24"/>
          <w:szCs w:val="24"/>
        </w:rPr>
        <w:t>为了能让各厨房工作人员更熟练、更科学地操作使用各种相关厨房设备，在厨具设备安装完毕验收合格后，由我司安排专业人员有针对性地对厨房各区域操作人员进行设备技术性能及基本操作常识免费培训</w:t>
      </w:r>
      <w:r>
        <w:rPr>
          <w:rFonts w:ascii="宋体" w:cs="宋体"/>
          <w:sz w:val="24"/>
          <w:szCs w:val="24"/>
        </w:rPr>
        <w:t>,</w:t>
      </w:r>
      <w:r>
        <w:rPr>
          <w:rFonts w:hint="eastAsia" w:ascii="宋体" w:hAnsi="宋体" w:cs="宋体"/>
          <w:sz w:val="24"/>
          <w:szCs w:val="24"/>
        </w:rPr>
        <w:t>以便厨房工作人员能尽快适应新设备，掌握正确的操作方式和必要的设备保养知识、减少设备磨损、尽可能延长设备寿命，提高完好率和使用率，确保操作者人身安全，在厨具设备安装完毕验收合格后，由我司安排专业人员有针对性地对厨房各区域操作人员进行设备技术性能及基本操作常识免费培训。</w:t>
      </w:r>
    </w:p>
    <w:p>
      <w:pPr>
        <w:spacing w:line="360" w:lineRule="auto"/>
        <w:ind w:left="31680" w:hanging="361" w:hangingChars="150"/>
        <w:rPr>
          <w:rFonts w:ascii="宋体" w:cs="宋体"/>
          <w:b/>
          <w:bCs/>
          <w:sz w:val="24"/>
          <w:szCs w:val="24"/>
        </w:rPr>
      </w:pPr>
      <w:r>
        <w:rPr>
          <w:rFonts w:ascii="宋体" w:hAnsi="宋体" w:cs="宋体"/>
          <w:b/>
          <w:bCs/>
          <w:sz w:val="24"/>
          <w:szCs w:val="24"/>
        </w:rPr>
        <w:t>5.1</w:t>
      </w:r>
      <w:r>
        <w:rPr>
          <w:rFonts w:hint="eastAsia" w:ascii="宋体" w:hAnsi="宋体" w:cs="宋体"/>
          <w:b/>
          <w:bCs/>
          <w:sz w:val="24"/>
          <w:szCs w:val="24"/>
        </w:rPr>
        <w:t>培训目标：</w:t>
      </w:r>
    </w:p>
    <w:p>
      <w:pPr>
        <w:spacing w:line="360" w:lineRule="auto"/>
        <w:ind w:left="31680" w:hanging="360" w:hangingChars="150"/>
        <w:rPr>
          <w:rFonts w:ascii="宋体" w:cs="宋体"/>
          <w:sz w:val="24"/>
          <w:szCs w:val="24"/>
        </w:rPr>
      </w:pPr>
      <w:r>
        <w:rPr>
          <w:rFonts w:ascii="宋体" w:hAnsi="宋体" w:cs="宋体"/>
          <w:sz w:val="24"/>
          <w:szCs w:val="24"/>
        </w:rPr>
        <w:t xml:space="preserve"> </w:t>
      </w:r>
      <w:r>
        <w:rPr>
          <w:rFonts w:hint="eastAsia" w:ascii="宋体" w:hAnsi="宋体" w:cs="宋体"/>
          <w:sz w:val="24"/>
          <w:szCs w:val="24"/>
        </w:rPr>
        <w:t>使厨房工作人员能否尽快适应新设备，掌握正确的操作方式、必要的设备保养知识及简易故障处理技能，减少设备磨损、尽可能延长设备寿命，提高完好率和使用率，确保操作者人身安全。</w:t>
      </w:r>
    </w:p>
    <w:p>
      <w:pPr>
        <w:spacing w:line="360" w:lineRule="auto"/>
        <w:ind w:left="31680" w:hanging="361" w:hangingChars="150"/>
        <w:rPr>
          <w:rFonts w:ascii="宋体" w:cs="宋体"/>
          <w:b/>
          <w:bCs/>
          <w:sz w:val="24"/>
          <w:szCs w:val="24"/>
        </w:rPr>
      </w:pPr>
      <w:r>
        <w:rPr>
          <w:rFonts w:ascii="宋体" w:hAnsi="宋体" w:cs="宋体"/>
          <w:b/>
          <w:bCs/>
          <w:sz w:val="24"/>
          <w:szCs w:val="24"/>
        </w:rPr>
        <w:t>5.2</w:t>
      </w:r>
      <w:r>
        <w:rPr>
          <w:rFonts w:hint="eastAsia" w:ascii="宋体" w:hAnsi="宋体" w:cs="宋体"/>
          <w:b/>
          <w:bCs/>
          <w:sz w:val="24"/>
          <w:szCs w:val="24"/>
        </w:rPr>
        <w:t>培训内容：</w:t>
      </w:r>
    </w:p>
    <w:p>
      <w:pPr>
        <w:spacing w:line="360" w:lineRule="auto"/>
        <w:ind w:left="31680" w:hanging="360" w:hangingChars="150"/>
        <w:rPr>
          <w:rFonts w:ascii="宋体" w:cs="宋体"/>
          <w:sz w:val="24"/>
          <w:szCs w:val="24"/>
        </w:rPr>
      </w:pPr>
      <w:r>
        <w:rPr>
          <w:rFonts w:ascii="宋体" w:hAnsi="宋体" w:cs="宋体"/>
          <w:sz w:val="24"/>
          <w:szCs w:val="24"/>
        </w:rPr>
        <w:t>5.2.1</w:t>
      </w:r>
      <w:r>
        <w:rPr>
          <w:rFonts w:hint="eastAsia" w:ascii="宋体" w:hAnsi="宋体" w:cs="宋体"/>
          <w:sz w:val="24"/>
          <w:szCs w:val="24"/>
        </w:rPr>
        <w:t>设备安全使用的基本知识</w:t>
      </w:r>
      <w:r>
        <w:rPr>
          <w:rFonts w:ascii="宋体" w:hAnsi="宋体" w:cs="宋体"/>
          <w:sz w:val="24"/>
          <w:szCs w:val="24"/>
        </w:rPr>
        <w:t>;</w:t>
      </w:r>
    </w:p>
    <w:p>
      <w:pPr>
        <w:spacing w:line="360" w:lineRule="auto"/>
        <w:ind w:left="31680" w:hanging="360" w:hangingChars="150"/>
        <w:rPr>
          <w:rFonts w:ascii="宋体" w:cs="宋体"/>
          <w:sz w:val="24"/>
          <w:szCs w:val="24"/>
        </w:rPr>
      </w:pPr>
      <w:r>
        <w:rPr>
          <w:rFonts w:ascii="宋体" w:hAnsi="宋体" w:cs="宋体"/>
          <w:sz w:val="24"/>
          <w:szCs w:val="24"/>
        </w:rPr>
        <w:t>5.2.2</w:t>
      </w:r>
      <w:r>
        <w:rPr>
          <w:rFonts w:hint="eastAsia" w:ascii="宋体" w:hAnsi="宋体" w:cs="宋体"/>
          <w:sz w:val="24"/>
          <w:szCs w:val="24"/>
        </w:rPr>
        <w:t>设备操作程序的基本知识</w:t>
      </w:r>
      <w:r>
        <w:rPr>
          <w:rFonts w:ascii="宋体" w:hAnsi="宋体" w:cs="宋体"/>
          <w:sz w:val="24"/>
          <w:szCs w:val="24"/>
        </w:rPr>
        <w:t>;</w:t>
      </w:r>
    </w:p>
    <w:p>
      <w:pPr>
        <w:spacing w:line="360" w:lineRule="auto"/>
        <w:ind w:left="31680" w:hanging="360" w:hangingChars="150"/>
        <w:rPr>
          <w:rFonts w:ascii="宋体" w:cs="宋体"/>
          <w:sz w:val="24"/>
          <w:szCs w:val="24"/>
        </w:rPr>
      </w:pPr>
      <w:r>
        <w:rPr>
          <w:rFonts w:ascii="宋体" w:hAnsi="宋体" w:cs="宋体"/>
          <w:sz w:val="24"/>
          <w:szCs w:val="24"/>
        </w:rPr>
        <w:t>5.2.3</w:t>
      </w:r>
      <w:r>
        <w:rPr>
          <w:rFonts w:hint="eastAsia" w:ascii="宋体" w:hAnsi="宋体" w:cs="宋体"/>
          <w:sz w:val="24"/>
          <w:szCs w:val="24"/>
        </w:rPr>
        <w:t>设备日常维护保养的基本知识</w:t>
      </w:r>
      <w:r>
        <w:rPr>
          <w:rFonts w:ascii="宋体" w:hAnsi="宋体" w:cs="宋体"/>
          <w:sz w:val="24"/>
          <w:szCs w:val="24"/>
        </w:rPr>
        <w:t>;</w:t>
      </w:r>
    </w:p>
    <w:p>
      <w:pPr>
        <w:spacing w:line="360" w:lineRule="auto"/>
        <w:ind w:left="31680" w:hanging="360" w:hangingChars="150"/>
        <w:rPr>
          <w:rFonts w:ascii="宋体" w:cs="宋体"/>
          <w:sz w:val="24"/>
          <w:szCs w:val="24"/>
        </w:rPr>
      </w:pPr>
      <w:r>
        <w:rPr>
          <w:rFonts w:ascii="宋体" w:hAnsi="宋体" w:cs="宋体"/>
          <w:sz w:val="24"/>
          <w:szCs w:val="24"/>
        </w:rPr>
        <w:t>5.2.4</w:t>
      </w:r>
      <w:r>
        <w:rPr>
          <w:rFonts w:hint="eastAsia" w:ascii="宋体" w:hAnsi="宋体" w:cs="宋体"/>
          <w:sz w:val="24"/>
          <w:szCs w:val="24"/>
        </w:rPr>
        <w:t>设备简易故障处理的基本技能</w:t>
      </w:r>
      <w:r>
        <w:rPr>
          <w:rFonts w:ascii="宋体" w:hAnsi="宋体" w:cs="宋体"/>
          <w:sz w:val="24"/>
          <w:szCs w:val="24"/>
        </w:rPr>
        <w:t>;</w:t>
      </w:r>
    </w:p>
    <w:p>
      <w:pPr>
        <w:spacing w:line="360" w:lineRule="auto"/>
        <w:ind w:left="31680" w:hanging="360" w:hangingChars="150"/>
        <w:rPr>
          <w:rFonts w:ascii="宋体" w:cs="宋体"/>
          <w:sz w:val="24"/>
          <w:szCs w:val="24"/>
        </w:rPr>
      </w:pPr>
      <w:r>
        <w:rPr>
          <w:rFonts w:ascii="宋体" w:hAnsi="宋体" w:cs="宋体"/>
          <w:sz w:val="24"/>
          <w:szCs w:val="24"/>
        </w:rPr>
        <w:t>5.2.4</w:t>
      </w:r>
      <w:r>
        <w:rPr>
          <w:rFonts w:hint="eastAsia" w:ascii="宋体" w:hAnsi="宋体" w:cs="宋体"/>
          <w:sz w:val="24"/>
          <w:szCs w:val="24"/>
        </w:rPr>
        <w:t>设备突发事故应急处理的基本知识。</w:t>
      </w:r>
    </w:p>
    <w:p>
      <w:pPr>
        <w:spacing w:line="360" w:lineRule="auto"/>
        <w:ind w:left="31680" w:hanging="361" w:hangingChars="150"/>
        <w:rPr>
          <w:rFonts w:ascii="宋体" w:cs="宋体"/>
          <w:b/>
          <w:bCs/>
          <w:sz w:val="24"/>
          <w:szCs w:val="24"/>
        </w:rPr>
      </w:pPr>
      <w:r>
        <w:rPr>
          <w:rFonts w:ascii="宋体" w:hAnsi="宋体" w:cs="宋体"/>
          <w:b/>
          <w:bCs/>
          <w:sz w:val="24"/>
          <w:szCs w:val="24"/>
        </w:rPr>
        <w:t>5.3</w:t>
      </w:r>
      <w:r>
        <w:rPr>
          <w:rFonts w:hint="eastAsia" w:ascii="宋体" w:hAnsi="宋体" w:cs="宋体"/>
          <w:b/>
          <w:bCs/>
          <w:sz w:val="24"/>
          <w:szCs w:val="24"/>
        </w:rPr>
        <w:t>培训时间</w:t>
      </w:r>
      <w:r>
        <w:rPr>
          <w:rFonts w:ascii="宋体" w:hAnsi="宋体" w:cs="宋体"/>
          <w:b/>
          <w:bCs/>
          <w:sz w:val="24"/>
          <w:szCs w:val="24"/>
        </w:rPr>
        <w:t>:</w:t>
      </w:r>
    </w:p>
    <w:p>
      <w:pPr>
        <w:spacing w:line="360" w:lineRule="auto"/>
        <w:ind w:left="31680" w:hanging="360" w:hangingChars="150"/>
        <w:rPr>
          <w:rFonts w:ascii="宋体" w:cs="宋体"/>
          <w:sz w:val="24"/>
          <w:szCs w:val="24"/>
        </w:rPr>
      </w:pPr>
      <w:r>
        <w:rPr>
          <w:rFonts w:ascii="宋体" w:hAnsi="宋体" w:cs="宋体"/>
          <w:sz w:val="24"/>
          <w:szCs w:val="24"/>
        </w:rPr>
        <w:t xml:space="preserve"> </w:t>
      </w:r>
      <w:r>
        <w:rPr>
          <w:rFonts w:hint="eastAsia" w:ascii="宋体" w:hAnsi="宋体" w:cs="宋体"/>
          <w:sz w:val="24"/>
          <w:szCs w:val="24"/>
        </w:rPr>
        <w:t>设备安装调试完毕后</w:t>
      </w:r>
      <w:r>
        <w:rPr>
          <w:rFonts w:ascii="宋体" w:cs="宋体"/>
          <w:sz w:val="24"/>
          <w:szCs w:val="24"/>
        </w:rPr>
        <w:t>,</w:t>
      </w:r>
      <w:r>
        <w:rPr>
          <w:rFonts w:hint="eastAsia" w:ascii="宋体" w:hAnsi="宋体" w:cs="宋体"/>
          <w:sz w:val="24"/>
          <w:szCs w:val="24"/>
        </w:rPr>
        <w:t>由我司派专业工程师驻守工地最少十五天为业主方操作人员提供免费培训，对没有完全掌握人员，我司根据实际情况，延长培训时间，直到教会为止。</w:t>
      </w:r>
    </w:p>
    <w:p>
      <w:pPr>
        <w:spacing w:line="360" w:lineRule="auto"/>
        <w:ind w:left="31680" w:hanging="361" w:hangingChars="150"/>
        <w:rPr>
          <w:rFonts w:ascii="宋体" w:cs="宋体"/>
          <w:b/>
          <w:bCs/>
          <w:sz w:val="24"/>
          <w:szCs w:val="24"/>
        </w:rPr>
      </w:pPr>
      <w:r>
        <w:rPr>
          <w:rFonts w:ascii="宋体" w:hAnsi="宋体" w:cs="宋体"/>
          <w:b/>
          <w:bCs/>
          <w:sz w:val="24"/>
          <w:szCs w:val="24"/>
        </w:rPr>
        <w:t>5.4</w:t>
      </w:r>
      <w:r>
        <w:rPr>
          <w:rFonts w:hint="eastAsia" w:ascii="宋体" w:hAnsi="宋体" w:cs="宋体"/>
          <w:b/>
          <w:bCs/>
          <w:sz w:val="24"/>
          <w:szCs w:val="24"/>
        </w:rPr>
        <w:t>培训材料和文件：</w:t>
      </w:r>
    </w:p>
    <w:p>
      <w:pPr>
        <w:spacing w:line="360" w:lineRule="auto"/>
        <w:ind w:left="31680" w:hanging="360" w:hangingChars="150"/>
        <w:rPr>
          <w:rFonts w:ascii="宋体" w:cs="宋体"/>
          <w:sz w:val="24"/>
          <w:szCs w:val="24"/>
        </w:rPr>
      </w:pPr>
      <w:r>
        <w:rPr>
          <w:rFonts w:hint="eastAsia" w:ascii="宋体" w:hAnsi="宋体" w:cs="宋体"/>
          <w:sz w:val="24"/>
          <w:szCs w:val="24"/>
        </w:rPr>
        <w:t>机电手册、燃气热气手册部分复印件、设备使用说明书等。</w:t>
      </w:r>
    </w:p>
    <w:p>
      <w:pPr>
        <w:spacing w:line="360" w:lineRule="auto"/>
        <w:ind w:left="31680" w:hanging="361" w:hangingChars="150"/>
        <w:rPr>
          <w:rFonts w:ascii="宋体" w:cs="宋体"/>
          <w:b/>
          <w:bCs/>
          <w:sz w:val="24"/>
          <w:szCs w:val="24"/>
        </w:rPr>
      </w:pPr>
      <w:r>
        <w:rPr>
          <w:rFonts w:ascii="宋体" w:hAnsi="宋体" w:cs="宋体"/>
          <w:b/>
          <w:bCs/>
          <w:sz w:val="24"/>
          <w:szCs w:val="24"/>
        </w:rPr>
        <w:t>5.5</w:t>
      </w:r>
      <w:r>
        <w:rPr>
          <w:rFonts w:hint="eastAsia" w:ascii="宋体" w:hAnsi="宋体" w:cs="宋体"/>
          <w:b/>
          <w:bCs/>
          <w:sz w:val="24"/>
          <w:szCs w:val="24"/>
        </w:rPr>
        <w:t>培训人员的条件</w:t>
      </w:r>
    </w:p>
    <w:p>
      <w:pPr>
        <w:spacing w:line="360" w:lineRule="auto"/>
        <w:ind w:left="31680" w:hanging="360" w:hangingChars="150"/>
        <w:rPr>
          <w:rFonts w:ascii="宋体" w:cs="宋体"/>
          <w:sz w:val="24"/>
          <w:szCs w:val="24"/>
        </w:rPr>
      </w:pPr>
      <w:r>
        <w:rPr>
          <w:rFonts w:ascii="宋体" w:hAnsi="宋体" w:cs="宋体"/>
          <w:sz w:val="24"/>
          <w:szCs w:val="24"/>
        </w:rPr>
        <w:t xml:space="preserve">  </w:t>
      </w:r>
      <w:r>
        <w:rPr>
          <w:rFonts w:hint="eastAsia" w:ascii="宋体" w:hAnsi="宋体" w:cs="宋体"/>
          <w:sz w:val="24"/>
          <w:szCs w:val="24"/>
        </w:rPr>
        <w:t>大专及以上的文化程度，具有厨房设备维修和使用的上岗证，从业三年及以上。</w:t>
      </w:r>
    </w:p>
    <w:p>
      <w:pPr>
        <w:spacing w:line="360" w:lineRule="auto"/>
        <w:ind w:left="31680" w:hanging="361" w:hangingChars="150"/>
        <w:rPr>
          <w:rFonts w:ascii="宋体" w:cs="宋体"/>
          <w:b/>
          <w:bCs/>
          <w:sz w:val="24"/>
          <w:szCs w:val="24"/>
        </w:rPr>
      </w:pPr>
      <w:r>
        <w:rPr>
          <w:rFonts w:ascii="宋体" w:hAnsi="宋体" w:cs="宋体"/>
          <w:b/>
          <w:bCs/>
          <w:sz w:val="24"/>
          <w:szCs w:val="24"/>
        </w:rPr>
        <w:t>5.6</w:t>
      </w:r>
      <w:r>
        <w:rPr>
          <w:rFonts w:hint="eastAsia" w:ascii="宋体" w:hAnsi="宋体" w:cs="宋体"/>
          <w:b/>
          <w:bCs/>
          <w:sz w:val="24"/>
          <w:szCs w:val="24"/>
        </w:rPr>
        <w:t>受训人员的条件及名额：</w:t>
      </w:r>
    </w:p>
    <w:p>
      <w:pPr>
        <w:spacing w:line="360" w:lineRule="auto"/>
        <w:ind w:left="31680" w:hanging="360" w:hangingChars="150"/>
        <w:rPr>
          <w:rFonts w:ascii="宋体" w:cs="宋体"/>
          <w:color w:val="333333"/>
          <w:sz w:val="24"/>
          <w:szCs w:val="24"/>
        </w:rPr>
      </w:pPr>
      <w:r>
        <w:rPr>
          <w:rFonts w:hint="eastAsia" w:ascii="宋体" w:hAnsi="宋体" w:cs="宋体"/>
          <w:sz w:val="24"/>
          <w:szCs w:val="24"/>
        </w:rPr>
        <w:t>建议业主送往培训人员须具备初中以上文化程度，从事本职工作一年以上的工作经验，并</w:t>
      </w:r>
      <w:r>
        <w:rPr>
          <w:rFonts w:hint="eastAsia" w:ascii="宋体" w:hAnsi="宋体" w:cs="宋体"/>
          <w:color w:val="333333"/>
          <w:sz w:val="24"/>
          <w:szCs w:val="24"/>
        </w:rPr>
        <w:t>太过用力或是超过开门角度</w:t>
      </w:r>
      <w:r>
        <w:rPr>
          <w:rFonts w:ascii="宋体" w:hAnsi="宋体" w:cs="宋体"/>
          <w:color w:val="333333"/>
          <w:sz w:val="24"/>
          <w:szCs w:val="24"/>
        </w:rPr>
        <w:t>(110</w:t>
      </w:r>
      <w:r>
        <w:rPr>
          <w:rFonts w:hint="eastAsia" w:ascii="宋体" w:hAnsi="宋体" w:cs="宋体"/>
          <w:color w:val="333333"/>
          <w:sz w:val="24"/>
          <w:szCs w:val="24"/>
        </w:rPr>
        <w:t>度</w:t>
      </w:r>
      <w:r>
        <w:rPr>
          <w:rFonts w:ascii="宋体" w:hAnsi="宋体" w:cs="宋体"/>
          <w:color w:val="333333"/>
          <w:sz w:val="24"/>
          <w:szCs w:val="24"/>
        </w:rPr>
        <w:t>)</w:t>
      </w:r>
      <w:r>
        <w:rPr>
          <w:rFonts w:hint="eastAsia" w:ascii="宋体" w:hAnsi="宋体" w:cs="宋体"/>
          <w:color w:val="333333"/>
          <w:sz w:val="24"/>
          <w:szCs w:val="24"/>
        </w:rPr>
        <w:t>，铰链及其他金属部分，避免水渍长期积留。</w:t>
      </w:r>
    </w:p>
    <w:p>
      <w:pPr>
        <w:spacing w:line="360" w:lineRule="auto"/>
        <w:ind w:left="31680" w:hanging="361" w:hangingChars="150"/>
        <w:rPr>
          <w:rFonts w:ascii="宋体" w:cs="宋体"/>
          <w:b/>
          <w:bCs/>
          <w:sz w:val="24"/>
          <w:szCs w:val="24"/>
        </w:rPr>
      </w:pPr>
      <w:r>
        <w:rPr>
          <w:rFonts w:ascii="宋体" w:hAnsi="宋体" w:cs="宋体"/>
          <w:b/>
          <w:bCs/>
          <w:sz w:val="24"/>
          <w:szCs w:val="24"/>
        </w:rPr>
        <w:t>5.7</w:t>
      </w:r>
      <w:r>
        <w:rPr>
          <w:rFonts w:hint="eastAsia" w:ascii="宋体" w:hAnsi="宋体" w:cs="宋体"/>
          <w:b/>
          <w:bCs/>
          <w:sz w:val="24"/>
          <w:szCs w:val="24"/>
        </w:rPr>
        <w:t>培训地点：</w:t>
      </w:r>
    </w:p>
    <w:p>
      <w:pPr>
        <w:spacing w:line="360" w:lineRule="auto"/>
        <w:ind w:left="31680" w:hanging="360" w:hangingChars="150"/>
        <w:rPr>
          <w:rFonts w:ascii="宋体" w:cs="宋体"/>
          <w:sz w:val="24"/>
          <w:szCs w:val="24"/>
        </w:rPr>
      </w:pPr>
      <w:r>
        <w:rPr>
          <w:rFonts w:hint="eastAsia" w:ascii="宋体" w:hAnsi="宋体" w:cs="宋体"/>
          <w:sz w:val="24"/>
          <w:szCs w:val="24"/>
        </w:rPr>
        <w:t>业主作业现场。</w:t>
      </w:r>
    </w:p>
    <w:p>
      <w:pPr>
        <w:spacing w:line="360" w:lineRule="auto"/>
        <w:ind w:left="31680" w:hanging="361" w:hangingChars="150"/>
        <w:rPr>
          <w:rFonts w:ascii="宋体" w:cs="宋体"/>
          <w:b/>
          <w:bCs/>
          <w:sz w:val="24"/>
          <w:szCs w:val="24"/>
        </w:rPr>
      </w:pPr>
      <w:r>
        <w:rPr>
          <w:rFonts w:ascii="宋体" w:hAnsi="宋体" w:cs="宋体"/>
          <w:b/>
          <w:bCs/>
          <w:sz w:val="24"/>
          <w:szCs w:val="24"/>
        </w:rPr>
        <w:t>5.8</w:t>
      </w:r>
      <w:r>
        <w:rPr>
          <w:rFonts w:hint="eastAsia" w:ascii="宋体" w:hAnsi="宋体" w:cs="宋体"/>
          <w:b/>
          <w:bCs/>
          <w:sz w:val="24"/>
          <w:szCs w:val="24"/>
        </w:rPr>
        <w:t>培训效果的评估方法：</w:t>
      </w:r>
    </w:p>
    <w:p>
      <w:pPr>
        <w:pStyle w:val="6"/>
        <w:rPr>
          <w:rFonts w:hint="eastAsia"/>
          <w:lang w:val="en-US" w:eastAsia="zh-CN"/>
        </w:rPr>
      </w:pPr>
      <w:r>
        <w:rPr>
          <w:rFonts w:hint="eastAsia" w:ascii="宋体" w:hAnsi="宋体" w:cs="宋体"/>
          <w:sz w:val="24"/>
          <w:szCs w:val="24"/>
        </w:rPr>
        <w:t>通过理论教学和现场培训后，采用提问与笔试相结合的测试方法，设备操作采用现场独立操作测试方法结实合进行培训效果评估。</w:t>
      </w:r>
    </w:p>
    <w:tbl>
      <w:tblPr>
        <w:tblStyle w:val="8"/>
        <w:tblpPr w:leftFromText="180" w:rightFromText="180" w:vertAnchor="text" w:horzAnchor="page" w:tblpX="1210" w:tblpY="97"/>
        <w:tblOverlap w:val="never"/>
        <w:tblW w:w="9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785"/>
        <w:gridCol w:w="4815"/>
        <w:gridCol w:w="1056"/>
        <w:gridCol w:w="12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shd w:val="clear" w:color="auto" w:fill="DEEBF6" w:themeFill="accent1" w:themeFillTint="32"/>
            <w:vAlign w:val="center"/>
          </w:tcPr>
          <w:p>
            <w:pPr>
              <w:spacing w:line="360" w:lineRule="auto"/>
              <w:ind w:left="31680" w:hanging="270" w:hangingChars="150"/>
              <w:rPr>
                <w:rFonts w:ascii="宋体" w:cs="宋体"/>
                <w:sz w:val="18"/>
                <w:szCs w:val="18"/>
              </w:rPr>
            </w:pPr>
            <w:r>
              <w:rPr>
                <w:rFonts w:hint="eastAsia" w:ascii="宋体" w:hAnsi="宋体" w:cs="宋体"/>
                <w:sz w:val="18"/>
                <w:szCs w:val="18"/>
              </w:rPr>
              <w:t>序号</w:t>
            </w:r>
          </w:p>
        </w:tc>
        <w:tc>
          <w:tcPr>
            <w:tcW w:w="1785" w:type="dxa"/>
            <w:shd w:val="clear" w:color="auto" w:fill="DEEBF6" w:themeFill="accent1" w:themeFillTint="32"/>
            <w:vAlign w:val="center"/>
          </w:tcPr>
          <w:p>
            <w:pPr>
              <w:spacing w:line="360" w:lineRule="auto"/>
              <w:ind w:left="31680" w:hanging="270" w:hangingChars="150"/>
              <w:rPr>
                <w:rFonts w:ascii="宋体" w:cs="宋体"/>
                <w:sz w:val="18"/>
                <w:szCs w:val="18"/>
              </w:rPr>
            </w:pPr>
            <w:r>
              <w:rPr>
                <w:rFonts w:hint="eastAsia" w:ascii="宋体" w:hAnsi="宋体" w:cs="宋体"/>
                <w:sz w:val="18"/>
                <w:szCs w:val="18"/>
              </w:rPr>
              <w:t>受培人员</w:t>
            </w:r>
          </w:p>
        </w:tc>
        <w:tc>
          <w:tcPr>
            <w:tcW w:w="4815" w:type="dxa"/>
            <w:shd w:val="clear" w:color="auto" w:fill="DEEBF6" w:themeFill="accent1" w:themeFillTint="32"/>
            <w:vAlign w:val="center"/>
          </w:tcPr>
          <w:p>
            <w:pPr>
              <w:spacing w:line="360" w:lineRule="auto"/>
              <w:ind w:left="31680" w:hanging="270" w:hangingChars="150"/>
              <w:rPr>
                <w:rFonts w:ascii="宋体" w:cs="宋体"/>
                <w:sz w:val="18"/>
                <w:szCs w:val="18"/>
              </w:rPr>
            </w:pPr>
            <w:r>
              <w:rPr>
                <w:rFonts w:hint="eastAsia" w:ascii="宋体" w:hAnsi="宋体" w:cs="宋体"/>
                <w:sz w:val="18"/>
                <w:szCs w:val="18"/>
              </w:rPr>
              <w:t>培训内容</w:t>
            </w:r>
          </w:p>
        </w:tc>
        <w:tc>
          <w:tcPr>
            <w:tcW w:w="1056" w:type="dxa"/>
            <w:shd w:val="clear" w:color="auto" w:fill="DEEBF6" w:themeFill="accent1" w:themeFillTint="32"/>
            <w:vAlign w:val="center"/>
          </w:tcPr>
          <w:p>
            <w:pPr>
              <w:spacing w:line="360" w:lineRule="auto"/>
              <w:ind w:left="31680" w:hanging="270" w:hangingChars="150"/>
              <w:rPr>
                <w:rFonts w:ascii="宋体" w:cs="宋体"/>
                <w:sz w:val="18"/>
                <w:szCs w:val="18"/>
              </w:rPr>
            </w:pPr>
            <w:r>
              <w:rPr>
                <w:rFonts w:hint="eastAsia" w:ascii="宋体" w:hAnsi="宋体" w:cs="宋体"/>
                <w:sz w:val="18"/>
                <w:szCs w:val="18"/>
              </w:rPr>
              <w:t>时间</w:t>
            </w:r>
          </w:p>
        </w:tc>
        <w:tc>
          <w:tcPr>
            <w:tcW w:w="1284" w:type="dxa"/>
            <w:shd w:val="clear" w:color="auto" w:fill="DEEBF6" w:themeFill="accent1" w:themeFillTint="32"/>
            <w:vAlign w:val="center"/>
          </w:tcPr>
          <w:p>
            <w:pPr>
              <w:spacing w:line="360" w:lineRule="auto"/>
              <w:ind w:left="31680" w:hanging="270" w:hangingChars="150"/>
              <w:rPr>
                <w:rFonts w:ascii="宋体" w:cs="宋体"/>
                <w:sz w:val="18"/>
                <w:szCs w:val="18"/>
              </w:rPr>
            </w:pPr>
            <w:r>
              <w:rPr>
                <w:rFonts w:hint="eastAsia" w:ascii="宋体" w:hAnsi="宋体" w:cs="宋体"/>
                <w:sz w:val="18"/>
                <w:szCs w:val="18"/>
              </w:rPr>
              <w:t>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6.1</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受培全体人员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安全用电基本知识；使用燃气基本知识；使用蒸汽基本知识；设备传动与润滑基本知识。防烧伤、烫伤、漏电、煤气泄漏等知识。</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8</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6.2</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维修与炉灶操作人员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炉灶的结构与工作原理；炉灶的操作程序与安全注意事项、日常维护保养及故障排除。</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6</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6.3</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维修与电热设备操作人员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电热设备的结构与工作原理；电热设备的操作程序与安全注意事项、日常维护保养及故障排除。</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5</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6.4</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维修与制冷设备操作人员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制冷设备的结构与工作原理；制冷设备的操作程序与安全注意事项、日常维护保养及故障排除。</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5</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6.5</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维修与消洗设备操作人员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消毒洗涮设备的结构与工作原理；消毒洗涮设备的操作程序与安全注意事项和日常维护保养及故障排除。</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4</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80" w:type="dxa"/>
            <w:vAlign w:val="center"/>
          </w:tcPr>
          <w:p>
            <w:pPr>
              <w:spacing w:line="360" w:lineRule="auto"/>
              <w:ind w:left="31680" w:hanging="270" w:hangingChars="150"/>
              <w:rPr>
                <w:rFonts w:ascii="宋体" w:cs="宋体"/>
                <w:sz w:val="18"/>
                <w:szCs w:val="18"/>
              </w:rPr>
            </w:pPr>
            <w:r>
              <w:rPr>
                <w:rFonts w:ascii="宋体" w:hAnsi="宋体" w:cs="宋体"/>
                <w:sz w:val="18"/>
                <w:szCs w:val="18"/>
              </w:rPr>
              <w:t>6.6</w:t>
            </w:r>
          </w:p>
        </w:tc>
        <w:tc>
          <w:tcPr>
            <w:tcW w:w="178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维修与通风设备操作人员</w:t>
            </w:r>
          </w:p>
        </w:tc>
        <w:tc>
          <w:tcPr>
            <w:tcW w:w="4815"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通风设备的结构与工作原理；通风设备的操作程序与安全注意事项和日常维护保养及故障排除。</w:t>
            </w:r>
          </w:p>
        </w:tc>
        <w:tc>
          <w:tcPr>
            <w:tcW w:w="1056" w:type="dxa"/>
            <w:vAlign w:val="center"/>
          </w:tcPr>
          <w:p>
            <w:pPr>
              <w:spacing w:line="360" w:lineRule="auto"/>
              <w:ind w:left="31680" w:hanging="270" w:hangingChars="150"/>
              <w:rPr>
                <w:rFonts w:ascii="宋体" w:cs="宋体"/>
                <w:sz w:val="18"/>
                <w:szCs w:val="18"/>
              </w:rPr>
            </w:pPr>
            <w:r>
              <w:rPr>
                <w:rFonts w:ascii="宋体" w:hAnsi="宋体" w:cs="宋体"/>
                <w:sz w:val="18"/>
                <w:szCs w:val="18"/>
              </w:rPr>
              <w:t>6</w:t>
            </w:r>
            <w:r>
              <w:rPr>
                <w:rFonts w:hint="eastAsia" w:ascii="宋体" w:hAnsi="宋体" w:cs="宋体"/>
                <w:sz w:val="18"/>
                <w:szCs w:val="18"/>
              </w:rPr>
              <w:t>小时</w:t>
            </w:r>
          </w:p>
        </w:tc>
        <w:tc>
          <w:tcPr>
            <w:tcW w:w="1284" w:type="dxa"/>
            <w:vAlign w:val="center"/>
          </w:tcPr>
          <w:p>
            <w:pPr>
              <w:spacing w:line="360" w:lineRule="auto"/>
              <w:ind w:left="31680" w:hanging="270" w:hangingChars="150"/>
              <w:rPr>
                <w:rFonts w:ascii="宋体" w:cs="宋体"/>
                <w:sz w:val="18"/>
                <w:szCs w:val="18"/>
              </w:rPr>
            </w:pPr>
            <w:r>
              <w:rPr>
                <w:rFonts w:hint="eastAsia" w:ascii="宋体" w:hAnsi="宋体" w:cs="宋体"/>
                <w:sz w:val="18"/>
                <w:szCs w:val="18"/>
              </w:rPr>
              <w:t>作业现场</w:t>
            </w:r>
          </w:p>
        </w:tc>
      </w:tr>
    </w:tbl>
    <w:p>
      <w:pPr>
        <w:pStyle w:val="7"/>
        <w:rPr>
          <w:rFonts w:hint="default"/>
          <w:lang w:val="en-US" w:eastAsia="zh-CN"/>
        </w:rPr>
      </w:pPr>
    </w:p>
    <w:p>
      <w:bookmarkStart w:id="6" w:name="_GoBack"/>
      <w:bookmarkEnd w:id="6"/>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72112A"/>
    <w:multiLevelType w:val="singleLevel"/>
    <w:tmpl w:val="FE72112A"/>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A1D1454"/>
    <w:rsid w:val="4A1D14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0"/>
    <w:pPr>
      <w:keepNext/>
      <w:keepLines/>
      <w:widowControl w:val="0"/>
      <w:adjustRightInd w:val="0"/>
      <w:snapToGrid w:val="0"/>
      <w:spacing w:line="240" w:lineRule="auto"/>
      <w:jc w:val="center"/>
      <w:outlineLvl w:val="1"/>
    </w:pPr>
    <w:rPr>
      <w:rFonts w:ascii="宋体" w:hAnsi="宋体" w:cs="宋体"/>
      <w:b/>
      <w:bCs/>
      <w:kern w:val="2"/>
      <w:sz w:val="28"/>
      <w:szCs w:val="28"/>
    </w:rPr>
  </w:style>
  <w:style w:type="paragraph" w:styleId="3">
    <w:name w:val="heading 3"/>
    <w:basedOn w:val="1"/>
    <w:next w:val="1"/>
    <w:qFormat/>
    <w:uiPriority w:val="0"/>
    <w:pPr>
      <w:keepNext/>
      <w:keepLines/>
      <w:widowControl w:val="0"/>
      <w:adjustRightInd w:val="0"/>
      <w:snapToGrid w:val="0"/>
      <w:spacing w:line="240" w:lineRule="auto"/>
      <w:jc w:val="center"/>
      <w:outlineLvl w:val="2"/>
    </w:pPr>
    <w:rPr>
      <w:rFonts w:ascii="宋体" w:hAnsi="宋体" w:cs="宋体"/>
      <w:b/>
      <w:bCs/>
      <w:kern w:val="2"/>
      <w:sz w:val="28"/>
      <w:szCs w:val="28"/>
    </w:rPr>
  </w:style>
  <w:style w:type="paragraph" w:styleId="4">
    <w:name w:val="heading 4"/>
    <w:basedOn w:val="1"/>
    <w:next w:val="1"/>
    <w:unhideWhenUsed/>
    <w:qFormat/>
    <w:uiPriority w:val="0"/>
    <w:pPr>
      <w:keepNext/>
      <w:keepLines/>
      <w:adjustRightInd w:val="0"/>
      <w:snapToGrid w:val="0"/>
      <w:spacing w:beforeLines="0" w:beforeAutospacing="0" w:afterLines="0" w:afterAutospacing="0" w:line="240" w:lineRule="auto"/>
      <w:jc w:val="center"/>
      <w:outlineLvl w:val="3"/>
    </w:pPr>
    <w:rPr>
      <w:rFonts w:ascii="宋体" w:hAnsi="宋体" w:eastAsia="宋体" w:cs="宋体"/>
      <w:b/>
      <w:sz w:val="28"/>
      <w:szCs w:val="24"/>
    </w:rPr>
  </w:style>
  <w:style w:type="character" w:default="1" w:styleId="9">
    <w:name w:val="Default Paragraph Font"/>
    <w:semiHidden/>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5">
    <w:name w:val="Body Text Indent"/>
    <w:basedOn w:val="1"/>
    <w:next w:val="6"/>
    <w:qFormat/>
    <w:uiPriority w:val="0"/>
    <w:pPr>
      <w:spacing w:after="120"/>
      <w:ind w:left="420" w:leftChars="200"/>
    </w:pPr>
  </w:style>
  <w:style w:type="paragraph" w:styleId="6">
    <w:name w:val="Body Text First Indent 2"/>
    <w:basedOn w:val="5"/>
    <w:next w:val="7"/>
    <w:qFormat/>
    <w:uiPriority w:val="0"/>
    <w:pPr>
      <w:ind w:firstLine="420" w:firstLineChars="200"/>
    </w:pPr>
  </w:style>
  <w:style w:type="paragraph" w:styleId="7">
    <w:name w:val="toc 2"/>
    <w:basedOn w:val="1"/>
    <w:next w:val="1"/>
    <w:qFormat/>
    <w:uiPriority w:val="0"/>
    <w:pPr>
      <w:snapToGrid w:val="0"/>
      <w:spacing w:line="480" w:lineRule="exact"/>
      <w:ind w:left="420" w:leftChars="200"/>
    </w:pPr>
    <w:rPr>
      <w:rFonts w:ascii="宋体" w:hAnsi="宋体" w:eastAsia="宋体" w:cs="宋体"/>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2019-09-08T04:03:00Z</dcterms:created>
  <dc:creator>财富阿健²⁰¹⁷</dc:creator>
  <cp:lastModifiedBy>财富阿健²⁰¹⁷</cp:lastModifiedBy>
  <dcterms:modified xsi:type="dcterms:W3CDTF">2019-09-08T04:04:27Z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