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eastAsia="华文中宋"/>
          <w:b/>
          <w:bCs/>
          <w:sz w:val="52"/>
          <w:szCs w:val="52"/>
        </w:rPr>
      </w:pPr>
      <w:r>
        <w:rPr>
          <w:rFonts w:hint="eastAsia" w:hAnsi="华文中宋" w:eastAsia="华文中宋"/>
          <w:b/>
          <w:bCs/>
          <w:sz w:val="52"/>
          <w:szCs w:val="52"/>
        </w:rPr>
        <w:t>建安区</w:t>
      </w:r>
      <w:r>
        <w:rPr>
          <w:rFonts w:hAnsi="华文中宋" w:eastAsia="华文中宋"/>
          <w:b/>
          <w:bCs/>
          <w:sz w:val="52"/>
          <w:szCs w:val="52"/>
        </w:rPr>
        <w:t>建设工程</w:t>
      </w:r>
    </w:p>
    <w:p>
      <w:pPr>
        <w:jc w:val="center"/>
        <w:rPr>
          <w:rFonts w:eastAsia="华文中宋"/>
          <w:b/>
          <w:bCs/>
          <w:sz w:val="56"/>
          <w:szCs w:val="56"/>
        </w:rPr>
      </w:pPr>
    </w:p>
    <w:p>
      <w:pPr>
        <w:jc w:val="center"/>
        <w:rPr>
          <w:rFonts w:hAnsi="华文中宋" w:eastAsia="华文中宋"/>
          <w:b/>
          <w:bCs/>
          <w:sz w:val="52"/>
          <w:szCs w:val="52"/>
        </w:rPr>
      </w:pPr>
    </w:p>
    <w:p>
      <w:pPr>
        <w:jc w:val="center"/>
        <w:rPr>
          <w:rFonts w:hAnsi="华文中宋" w:eastAsia="华文中宋"/>
          <w:b/>
          <w:bCs/>
          <w:sz w:val="52"/>
          <w:szCs w:val="52"/>
        </w:rPr>
      </w:pPr>
    </w:p>
    <w:p>
      <w:pPr>
        <w:jc w:val="center"/>
        <w:rPr>
          <w:rFonts w:eastAsia="华文中宋"/>
          <w:b/>
          <w:bCs/>
          <w:sz w:val="52"/>
          <w:szCs w:val="52"/>
        </w:rPr>
      </w:pPr>
      <w:r>
        <w:rPr>
          <w:rFonts w:hAnsi="华文中宋" w:eastAsia="华文中宋"/>
          <w:b/>
          <w:bCs/>
          <w:sz w:val="52"/>
          <w:szCs w:val="52"/>
        </w:rPr>
        <w:t>招</w:t>
      </w:r>
    </w:p>
    <w:p>
      <w:pPr>
        <w:jc w:val="center"/>
        <w:rPr>
          <w:rFonts w:eastAsia="华文中宋"/>
          <w:b/>
          <w:bCs/>
          <w:sz w:val="52"/>
          <w:szCs w:val="52"/>
        </w:rPr>
      </w:pPr>
      <w:r>
        <w:rPr>
          <w:rFonts w:hAnsi="华文中宋" w:eastAsia="华文中宋"/>
          <w:b/>
          <w:bCs/>
          <w:sz w:val="52"/>
          <w:szCs w:val="52"/>
        </w:rPr>
        <w:t>标</w:t>
      </w:r>
    </w:p>
    <w:p>
      <w:pPr>
        <w:jc w:val="center"/>
        <w:rPr>
          <w:rFonts w:eastAsia="华文中宋"/>
          <w:b/>
          <w:bCs/>
          <w:sz w:val="52"/>
          <w:szCs w:val="52"/>
        </w:rPr>
      </w:pPr>
      <w:r>
        <w:rPr>
          <w:rFonts w:hAnsi="华文中宋" w:eastAsia="华文中宋"/>
          <w:b/>
          <w:bCs/>
          <w:sz w:val="52"/>
          <w:szCs w:val="52"/>
        </w:rPr>
        <w:t>文</w:t>
      </w:r>
    </w:p>
    <w:p>
      <w:pPr>
        <w:jc w:val="center"/>
        <w:rPr>
          <w:rFonts w:hAnsi="华文中宋" w:eastAsia="华文中宋"/>
          <w:b/>
          <w:bCs/>
          <w:sz w:val="52"/>
          <w:szCs w:val="52"/>
        </w:rPr>
      </w:pPr>
      <w:r>
        <w:rPr>
          <w:rFonts w:hAnsi="华文中宋" w:eastAsia="华文中宋"/>
          <w:b/>
          <w:bCs/>
          <w:sz w:val="52"/>
          <w:szCs w:val="52"/>
        </w:rPr>
        <w:t>件</w:t>
      </w:r>
    </w:p>
    <w:p>
      <w:pPr>
        <w:jc w:val="center"/>
        <w:rPr>
          <w:rFonts w:hAnsi="华文中宋" w:eastAsia="华文中宋"/>
          <w:sz w:val="32"/>
          <w:szCs w:val="32"/>
        </w:rPr>
      </w:pPr>
    </w:p>
    <w:p>
      <w:pPr>
        <w:jc w:val="center"/>
        <w:rPr>
          <w:rFonts w:hAnsi="华文中宋" w:eastAsia="华文中宋"/>
          <w:sz w:val="32"/>
          <w:szCs w:val="32"/>
        </w:rPr>
      </w:pPr>
    </w:p>
    <w:p/>
    <w:p/>
    <w:p>
      <w:pPr>
        <w:rPr>
          <w:rFonts w:hAnsi="华文中宋" w:eastAsia="华文中宋"/>
          <w:sz w:val="32"/>
          <w:szCs w:val="32"/>
        </w:rPr>
      </w:pPr>
    </w:p>
    <w:p>
      <w:pPr>
        <w:jc w:val="center"/>
        <w:rPr>
          <w:rFonts w:hAnsi="华文中宋" w:eastAsia="华文中宋"/>
          <w:sz w:val="32"/>
          <w:szCs w:val="32"/>
        </w:rPr>
      </w:pPr>
    </w:p>
    <w:p>
      <w:pPr>
        <w:spacing w:line="360" w:lineRule="auto"/>
        <w:ind w:firstLine="961" w:firstLineChars="300"/>
        <w:jc w:val="left"/>
        <w:rPr>
          <w:rFonts w:hAnsi="华文中宋" w:eastAsia="华文中宋"/>
          <w:b/>
          <w:bCs/>
          <w:sz w:val="32"/>
          <w:szCs w:val="32"/>
        </w:rPr>
      </w:pPr>
      <w:r>
        <w:rPr>
          <w:rFonts w:hAnsi="华文中宋" w:eastAsia="华文中宋"/>
          <w:b/>
          <w:bCs/>
          <w:sz w:val="32"/>
          <w:szCs w:val="32"/>
        </w:rPr>
        <w:t>项目编号：</w:t>
      </w:r>
      <w:r>
        <w:rPr>
          <w:rFonts w:hint="eastAsia" w:hAnsi="华文中宋" w:eastAsia="华文中宋"/>
          <w:b/>
          <w:bCs/>
          <w:sz w:val="32"/>
          <w:szCs w:val="32"/>
        </w:rPr>
        <w:t>建安建工公字</w:t>
      </w:r>
      <w:r>
        <w:rPr>
          <w:rFonts w:hint="eastAsia" w:ascii="楷体" w:hAnsi="楷体" w:eastAsia="楷体" w:cs="楷体"/>
          <w:b/>
          <w:bCs/>
          <w:sz w:val="32"/>
          <w:szCs w:val="32"/>
        </w:rPr>
        <w:t>〔2019〕152</w:t>
      </w:r>
      <w:r>
        <w:rPr>
          <w:rFonts w:hint="eastAsia" w:hAnsi="华文中宋" w:eastAsia="华文中宋"/>
          <w:b/>
          <w:bCs/>
          <w:sz w:val="32"/>
          <w:szCs w:val="32"/>
        </w:rPr>
        <w:t>号</w:t>
      </w:r>
    </w:p>
    <w:p>
      <w:pPr>
        <w:spacing w:line="360" w:lineRule="auto"/>
        <w:ind w:firstLine="961" w:firstLineChars="300"/>
        <w:jc w:val="left"/>
        <w:rPr>
          <w:rFonts w:hAnsi="华文中宋" w:eastAsia="华文中宋"/>
          <w:b/>
          <w:bCs/>
          <w:sz w:val="32"/>
          <w:szCs w:val="32"/>
        </w:rPr>
      </w:pPr>
      <w:r>
        <w:rPr>
          <w:rFonts w:hAnsi="华文中宋" w:eastAsia="华文中宋"/>
          <w:b/>
          <w:bCs/>
          <w:sz w:val="32"/>
          <w:szCs w:val="32"/>
        </w:rPr>
        <w:t>项目名称：</w:t>
      </w:r>
      <w:r>
        <w:rPr>
          <w:rFonts w:hint="eastAsia" w:hAnsi="华文中宋" w:eastAsia="华文中宋"/>
          <w:b/>
          <w:bCs/>
          <w:sz w:val="32"/>
          <w:szCs w:val="32"/>
        </w:rPr>
        <w:t>魏都区结对帮扶小召乡朱庄村项目</w:t>
      </w:r>
    </w:p>
    <w:p>
      <w:pPr>
        <w:spacing w:line="360" w:lineRule="auto"/>
        <w:ind w:firstLine="961" w:firstLineChars="300"/>
        <w:jc w:val="left"/>
        <w:rPr>
          <w:rFonts w:hAnsi="华文中宋" w:eastAsia="华文中宋"/>
          <w:b/>
          <w:bCs/>
          <w:sz w:val="32"/>
          <w:szCs w:val="32"/>
        </w:rPr>
      </w:pPr>
      <w:r>
        <w:rPr>
          <w:rFonts w:hAnsi="华文中宋" w:eastAsia="华文中宋"/>
          <w:b/>
          <w:bCs/>
          <w:sz w:val="32"/>
          <w:szCs w:val="32"/>
        </w:rPr>
        <w:t>招标人：</w:t>
      </w:r>
      <w:r>
        <w:rPr>
          <w:rFonts w:hint="eastAsia" w:hAnsi="华文中宋" w:eastAsia="华文中宋"/>
          <w:b/>
          <w:bCs/>
          <w:sz w:val="32"/>
          <w:szCs w:val="32"/>
          <w:lang w:val="zh-CN"/>
        </w:rPr>
        <w:t>许昌市建安区小召乡人民政府</w:t>
      </w:r>
    </w:p>
    <w:p>
      <w:pPr>
        <w:spacing w:line="360" w:lineRule="auto"/>
        <w:ind w:firstLine="961" w:firstLineChars="300"/>
        <w:jc w:val="left"/>
        <w:rPr>
          <w:rFonts w:eastAsia="华文中宋"/>
          <w:b/>
          <w:bCs/>
          <w:sz w:val="32"/>
          <w:szCs w:val="32"/>
        </w:rPr>
      </w:pPr>
      <w:r>
        <w:rPr>
          <w:rFonts w:hAnsi="华文中宋" w:eastAsia="华文中宋"/>
          <w:b/>
          <w:bCs/>
          <w:sz w:val="32"/>
          <w:szCs w:val="32"/>
        </w:rPr>
        <w:t>代理机构：</w:t>
      </w:r>
      <w:r>
        <w:rPr>
          <w:rFonts w:hint="eastAsia" w:hAnsi="华文中宋" w:eastAsia="华文中宋"/>
          <w:b/>
          <w:bCs/>
          <w:sz w:val="32"/>
          <w:szCs w:val="32"/>
          <w:lang w:val="zh-CN"/>
        </w:rPr>
        <w:t>河南天扬工程项目管理有限公司</w:t>
      </w:r>
    </w:p>
    <w:p>
      <w:pPr>
        <w:jc w:val="center"/>
        <w:rPr>
          <w:rFonts w:eastAsia="华文中宋"/>
          <w:b/>
          <w:bCs/>
          <w:sz w:val="32"/>
          <w:szCs w:val="32"/>
        </w:rPr>
      </w:pPr>
    </w:p>
    <w:p>
      <w:pPr>
        <w:jc w:val="center"/>
        <w:rPr>
          <w:b/>
          <w:bCs/>
          <w:sz w:val="16"/>
        </w:rPr>
      </w:pPr>
      <w:r>
        <w:rPr>
          <w:rFonts w:hint="eastAsia" w:eastAsia="华文中宋"/>
          <w:b/>
          <w:bCs/>
          <w:sz w:val="32"/>
          <w:szCs w:val="32"/>
        </w:rPr>
        <w:t>二〇一九年九月</w:t>
      </w:r>
    </w:p>
    <w:p>
      <w:pPr>
        <w:ind w:firstLine="4784" w:firstLineChars="1083"/>
        <w:rPr>
          <w:rFonts w:ascii="黑体" w:hAnsi="宋体" w:eastAsia="黑体"/>
          <w:b/>
          <w:sz w:val="44"/>
        </w:rPr>
        <w:sectPr>
          <w:headerReference r:id="rId4" w:type="first"/>
          <w:headerReference r:id="rId3" w:type="default"/>
          <w:footerReference r:id="rId5" w:type="default"/>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120" w:beforeLines="50"/>
        <w:rPr>
          <w:rFonts w:hAnsi="宋体" w:cs="黑体"/>
          <w:b/>
          <w:sz w:val="36"/>
          <w:szCs w:val="36"/>
        </w:rPr>
      </w:pPr>
    </w:p>
    <w:p>
      <w:pPr>
        <w:autoSpaceDE w:val="0"/>
        <w:autoSpaceDN w:val="0"/>
        <w:adjustRightInd w:val="0"/>
        <w:spacing w:line="420" w:lineRule="exact"/>
        <w:jc w:val="center"/>
        <w:rPr>
          <w:rFonts w:hAnsi="宋体" w:cs="宋体"/>
          <w:b/>
          <w:sz w:val="32"/>
          <w:szCs w:val="32"/>
        </w:rPr>
      </w:pPr>
      <w:r>
        <w:rPr>
          <w:rFonts w:hint="eastAsia" w:hAnsi="宋体" w:cs="宋体"/>
          <w:b/>
          <w:sz w:val="32"/>
          <w:szCs w:val="32"/>
        </w:rPr>
        <w:t xml:space="preserve"> </w:t>
      </w:r>
    </w:p>
    <w:p>
      <w:pPr>
        <w:autoSpaceDE w:val="0"/>
        <w:autoSpaceDN w:val="0"/>
        <w:adjustRightInd w:val="0"/>
        <w:spacing w:line="420" w:lineRule="exact"/>
        <w:jc w:val="center"/>
        <w:rPr>
          <w:rFonts w:hint="eastAsia" w:hAnsi="宋体" w:cs="宋体"/>
          <w:b/>
          <w:sz w:val="32"/>
          <w:szCs w:val="32"/>
        </w:rPr>
      </w:pPr>
    </w:p>
    <w:p>
      <w:pPr>
        <w:autoSpaceDE w:val="0"/>
        <w:autoSpaceDN w:val="0"/>
        <w:adjustRightInd w:val="0"/>
        <w:spacing w:line="420" w:lineRule="exact"/>
        <w:jc w:val="center"/>
        <w:rPr>
          <w:rFonts w:hAnsi="宋体" w:cs="宋体"/>
          <w:b/>
          <w:sz w:val="32"/>
          <w:szCs w:val="32"/>
        </w:rPr>
      </w:pPr>
      <w:r>
        <w:rPr>
          <w:rFonts w:hint="eastAsia" w:hAnsi="宋体" w:cs="宋体"/>
          <w:b/>
          <w:sz w:val="32"/>
          <w:szCs w:val="32"/>
        </w:rPr>
        <w:t>第一章 招标公告</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rPr>
        <w:t xml:space="preserve"> 建安建工公字〔2019〕152号</w:t>
      </w:r>
    </w:p>
    <w:p>
      <w:pPr>
        <w:autoSpaceDE w:val="0"/>
        <w:autoSpaceDN w:val="0"/>
        <w:adjustRightInd w:val="0"/>
        <w:spacing w:line="420" w:lineRule="exact"/>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许昌市建安区小召乡人民政府</w:t>
      </w:r>
    </w:p>
    <w:p>
      <w:pPr>
        <w:autoSpaceDE w:val="0"/>
        <w:autoSpaceDN w:val="0"/>
        <w:adjustRightInd w:val="0"/>
        <w:spacing w:line="420" w:lineRule="exact"/>
        <w:ind w:firstLine="562" w:firstLineChars="200"/>
        <w:jc w:val="center"/>
        <w:outlineLvl w:val="0"/>
        <w:rPr>
          <w:rFonts w:hAnsi="宋体" w:cs="宋体"/>
          <w:b/>
          <w:bCs/>
          <w:sz w:val="28"/>
          <w:szCs w:val="28"/>
        </w:rPr>
      </w:pPr>
      <w:r>
        <w:rPr>
          <w:rFonts w:hint="eastAsia" w:hAnsi="宋体" w:cs="宋体"/>
          <w:b/>
          <w:bCs/>
          <w:sz w:val="28"/>
          <w:szCs w:val="28"/>
        </w:rPr>
        <w:t>魏都区结对帮扶小召乡朱庄村项目</w:t>
      </w:r>
    </w:p>
    <w:p>
      <w:pPr>
        <w:autoSpaceDE w:val="0"/>
        <w:autoSpaceDN w:val="0"/>
        <w:adjustRightInd w:val="0"/>
        <w:spacing w:line="420" w:lineRule="exact"/>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建安建工公字〔2019〕152号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魏都区结对帮扶小召乡朱庄村项目</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许昌市建安区小召乡人民政府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lang w:val="zh-CN"/>
        </w:rPr>
        <w:t>魏都区结对帮扶小召乡朱庄村项目包含新建党建游园、休闲游园、对原有旧房屋进行拆除，安装高杆灯及绿化工程</w:t>
      </w:r>
      <w:r>
        <w:rPr>
          <w:rFonts w:hint="eastAsia" w:hAnsi="宋体" w:cs="宋体"/>
          <w:sz w:val="24"/>
          <w:szCs w:val="24"/>
        </w:rPr>
        <w:t>。</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566885.93元。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20日历天。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1、投标单位需具备建设行政主管部门颁发建筑工程施工总承包叁级及以上资质,具有有效的安全生产许可证，具有独立法人资格，并在人员、设备、资金等方面具有相应的施工能力。</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建筑</w:t>
      </w:r>
      <w:r>
        <w:rPr>
          <w:rFonts w:hAnsi="宋体" w:cs="宋体"/>
          <w:sz w:val="24"/>
          <w:szCs w:val="24"/>
        </w:rPr>
        <w:t>工程</w:t>
      </w:r>
      <w:r>
        <w:rPr>
          <w:rFonts w:hint="eastAsia" w:hAnsi="宋体"/>
          <w:sz w:val="24"/>
        </w:rPr>
        <w:t>专业贰级及以上注册建造师执业资格证和项目负责人安全生产考核合格证，且未承担其他在施建设工程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的</w:t>
      </w:r>
      <w:r>
        <w:rPr>
          <w:rFonts w:hAnsi="宋体" w:cs="宋体"/>
          <w:sz w:val="24"/>
          <w:szCs w:val="24"/>
        </w:rPr>
        <w:t>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1、招标文件及工程量清单下载：投标人于投标文件递交截止时间前均可在全国公共资源交易平台（河南省·许昌市）自行下载。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2、投标文件提交的截止时间及开标时间：2019年9月27日9时30分。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360" w:lineRule="auto"/>
        <w:jc w:val="left"/>
        <w:outlineLvl w:val="0"/>
        <w:rPr>
          <w:rFonts w:hAnsi="宋体" w:cs="宋体"/>
          <w:sz w:val="24"/>
          <w:szCs w:val="24"/>
          <w:highlight w:val="green"/>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许昌市建安区新元大道兴业大厦4楼开标一室。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招 标 人：</w:t>
      </w:r>
      <w:r>
        <w:rPr>
          <w:rFonts w:hint="eastAsia" w:hAnsi="宋体" w:cs="宋体"/>
          <w:sz w:val="24"/>
          <w:szCs w:val="24"/>
          <w:lang w:val="zh-CN"/>
        </w:rPr>
        <w:t>许昌市建安区小召乡人民政府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朱少杰</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13849860766</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河南天扬工程项目管理有限公司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项目负责人：齐小换</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话：15617252001</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ind w:firstLine="5760" w:firstLineChars="2400"/>
        <w:rPr>
          <w:rFonts w:hAnsi="宋体" w:cs="宋体"/>
          <w:sz w:val="24"/>
          <w:szCs w:val="24"/>
          <w:lang w:val="zh-CN"/>
        </w:rPr>
      </w:pPr>
    </w:p>
    <w:p>
      <w:pPr>
        <w:pStyle w:val="2"/>
        <w:ind w:firstLine="5520" w:firstLineChars="2300"/>
        <w:rPr>
          <w:rFonts w:hAnsi="宋体" w:cs="宋体"/>
          <w:sz w:val="24"/>
          <w:szCs w:val="24"/>
          <w:lang w:val="zh-CN"/>
        </w:rPr>
      </w:pPr>
      <w:r>
        <w:rPr>
          <w:rFonts w:hint="eastAsia" w:hAnsi="宋体" w:cs="宋体"/>
          <w:sz w:val="24"/>
          <w:szCs w:val="24"/>
          <w:lang w:val="zh-CN"/>
        </w:rPr>
        <w:t>许昌市建安区小召乡</w:t>
      </w:r>
      <w:bookmarkStart w:id="218" w:name="_GoBack"/>
      <w:bookmarkEnd w:id="218"/>
      <w:r>
        <w:rPr>
          <w:rFonts w:hint="eastAsia" w:hAnsi="宋体" w:cs="宋体"/>
          <w:sz w:val="24"/>
          <w:szCs w:val="24"/>
          <w:lang w:val="zh-CN"/>
        </w:rPr>
        <w:t>人民政府</w:t>
      </w:r>
    </w:p>
    <w:p>
      <w:pPr>
        <w:pStyle w:val="2"/>
        <w:ind w:firstLine="6240" w:firstLineChars="2600"/>
        <w:rPr>
          <w:rFonts w:hAnsi="宋体" w:cs="宋体"/>
          <w:sz w:val="24"/>
          <w:szCs w:val="24"/>
        </w:rPr>
      </w:pPr>
      <w:r>
        <w:rPr>
          <w:rFonts w:hint="eastAsia" w:hAnsi="宋体" w:cs="宋体"/>
          <w:sz w:val="24"/>
          <w:szCs w:val="24"/>
        </w:rPr>
        <w:t>2019年9月</w:t>
      </w:r>
      <w:r>
        <w:rPr>
          <w:rFonts w:hint="eastAsia" w:hAnsi="宋体" w:cs="宋体"/>
          <w:sz w:val="24"/>
          <w:szCs w:val="24"/>
          <w:lang w:val="en-US" w:eastAsia="zh-CN"/>
        </w:rPr>
        <w:t>6</w:t>
      </w:r>
      <w:r>
        <w:rPr>
          <w:rFonts w:hint="eastAsia" w:hAnsi="宋体" w:cs="宋体"/>
          <w:sz w:val="24"/>
          <w:szCs w:val="24"/>
        </w:rPr>
        <w:t>日</w:t>
      </w:r>
    </w:p>
    <w:p>
      <w:pPr>
        <w:pStyle w:val="2"/>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2"/>
          <w:rFonts w:ascii="Times New Roman" w:hAnsi="宋体"/>
          <w:color w:val="auto"/>
          <w:sz w:val="24"/>
        </w:rPr>
        <w:t>http://221.14.6.70:8088/ggzy/</w:t>
      </w:r>
      <w:r>
        <w:rPr>
          <w:rStyle w:val="32"/>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ascii="Times New Roman" w:hAnsi="宋体"/>
          <w:color w:val="auto"/>
          <w:sz w:val="24"/>
        </w:rPr>
        <w:t>http://221.14.6.70:8088/ggzy/</w:t>
      </w:r>
      <w:r>
        <w:rPr>
          <w:rStyle w:val="32"/>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7"/>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320" w:lineRule="exact"/>
              <w:rPr>
                <w:rFonts w:hAnsi="宋体"/>
                <w:sz w:val="24"/>
              </w:rPr>
            </w:pPr>
            <w:r>
              <w:rPr>
                <w:rFonts w:hint="eastAsia" w:hAnsi="宋体"/>
                <w:sz w:val="24"/>
              </w:rPr>
              <w:t>招  标 人：</w:t>
            </w:r>
            <w:r>
              <w:rPr>
                <w:rFonts w:hint="eastAsia" w:hAnsi="宋体"/>
                <w:sz w:val="24"/>
                <w:lang w:val="zh-CN"/>
              </w:rPr>
              <w:t>许昌市建安区小召乡人民政府</w:t>
            </w:r>
          </w:p>
          <w:p>
            <w:pPr>
              <w:autoSpaceDE w:val="0"/>
              <w:autoSpaceDN w:val="0"/>
              <w:adjustRightInd w:val="0"/>
              <w:spacing w:line="320" w:lineRule="exact"/>
              <w:rPr>
                <w:rFonts w:hAnsi="宋体"/>
                <w:sz w:val="24"/>
              </w:rPr>
            </w:pPr>
            <w:r>
              <w:rPr>
                <w:rFonts w:hint="eastAsia" w:hAnsi="宋体"/>
                <w:sz w:val="24"/>
              </w:rPr>
              <w:t>项目负责人：朱少杰</w:t>
            </w:r>
          </w:p>
          <w:p>
            <w:pPr>
              <w:autoSpaceDE w:val="0"/>
              <w:autoSpaceDN w:val="0"/>
              <w:adjustRightInd w:val="0"/>
              <w:spacing w:line="320" w:lineRule="exact"/>
              <w:rPr>
                <w:rFonts w:hAnsi="宋体"/>
                <w:sz w:val="24"/>
              </w:rPr>
            </w:pPr>
            <w:r>
              <w:rPr>
                <w:rFonts w:hAnsi="宋体" w:cs="宋体"/>
                <w:sz w:val="24"/>
                <w:szCs w:val="24"/>
              </w:rPr>
              <w:t>电    话：</w:t>
            </w:r>
            <w:r>
              <w:rPr>
                <w:rFonts w:hint="eastAsia" w:hAnsi="宋体" w:cs="宋体"/>
                <w:sz w:val="24"/>
                <w:szCs w:val="24"/>
              </w:rPr>
              <w:t>13849860766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360" w:lineRule="exact"/>
              <w:rPr>
                <w:rFonts w:hAnsi="宋体"/>
                <w:sz w:val="24"/>
              </w:rPr>
            </w:pPr>
            <w:r>
              <w:rPr>
                <w:rFonts w:hint="eastAsia" w:hAnsi="宋体"/>
                <w:sz w:val="24"/>
              </w:rPr>
              <w:t>招标代理机构名称：河南天扬工程项目管理有限公司</w:t>
            </w:r>
          </w:p>
          <w:p>
            <w:pPr>
              <w:autoSpaceDE w:val="0"/>
              <w:autoSpaceDN w:val="0"/>
              <w:adjustRightInd w:val="0"/>
              <w:spacing w:line="360" w:lineRule="exact"/>
              <w:rPr>
                <w:rFonts w:hAnsi="宋体"/>
                <w:sz w:val="24"/>
              </w:rPr>
            </w:pPr>
            <w:r>
              <w:rPr>
                <w:rFonts w:hint="eastAsia" w:hAnsi="宋体"/>
                <w:sz w:val="24"/>
              </w:rPr>
              <w:t>项目负责人：齐小换</w:t>
            </w:r>
          </w:p>
          <w:p>
            <w:pPr>
              <w:tabs>
                <w:tab w:val="left" w:pos="4140"/>
                <w:tab w:val="left" w:pos="4260"/>
              </w:tabs>
              <w:spacing w:line="360" w:lineRule="auto"/>
              <w:ind w:right="-578" w:rightChars="-170"/>
              <w:rPr>
                <w:rFonts w:hAnsi="宋体" w:cs="黑体"/>
                <w:b/>
                <w:sz w:val="24"/>
                <w:szCs w:val="24"/>
                <w:highlight w:val="yellow"/>
              </w:rPr>
            </w:pPr>
            <w:r>
              <w:rPr>
                <w:rFonts w:hint="eastAsia" w:hAnsi="宋体"/>
                <w:sz w:val="24"/>
              </w:rPr>
              <w:t>电    话：15617252001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魏都区结对帮扶小召乡朱庄村项目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许昌市建安区小召乡朱庄村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outlineLvl w:val="0"/>
              <w:rPr>
                <w:rFonts w:hAnsi="宋体" w:cs="宋体"/>
                <w:sz w:val="24"/>
                <w:szCs w:val="24"/>
              </w:rPr>
            </w:pPr>
            <w:r>
              <w:rPr>
                <w:rFonts w:hint="eastAsia" w:hAnsi="宋体" w:cs="宋体"/>
                <w:sz w:val="24"/>
                <w:szCs w:val="24"/>
              </w:rPr>
              <w:t>1、投标单位需具备建设行政主管部门颁发建筑工程施工总承包叁级及以上资质,具有有效的安全生产许可证，具有独立法人资格，并在人员、设备、资金等方面具有相应的施工能力。</w:t>
            </w:r>
          </w:p>
          <w:p>
            <w:pPr>
              <w:autoSpaceDE w:val="0"/>
              <w:autoSpaceDN w:val="0"/>
              <w:adjustRightInd w:val="0"/>
              <w:outlineLvl w:val="0"/>
              <w:rPr>
                <w:rFonts w:hAnsi="宋体" w:cs="宋体"/>
                <w:sz w:val="24"/>
                <w:szCs w:val="24"/>
              </w:rPr>
            </w:pPr>
            <w:r>
              <w:rPr>
                <w:rFonts w:hint="eastAsia" w:hAnsi="宋体" w:cs="宋体"/>
                <w:sz w:val="24"/>
                <w:szCs w:val="24"/>
              </w:rPr>
              <w:t>2、拟派项目负责人应具备建筑工程专业贰级及以上注册建造师执业资格证和项目负责人安全生产考核合格证，且未承担其他在施建设工程。</w:t>
            </w:r>
          </w:p>
          <w:p>
            <w:pPr>
              <w:autoSpaceDE w:val="0"/>
              <w:autoSpaceDN w:val="0"/>
              <w:adjustRightInd w:val="0"/>
              <w:outlineLvl w:val="0"/>
              <w:rPr>
                <w:rFonts w:hAnsi="宋体" w:cs="宋体"/>
                <w:sz w:val="24"/>
                <w:szCs w:val="24"/>
              </w:rPr>
            </w:pPr>
            <w:r>
              <w:rPr>
                <w:rFonts w:hint="eastAsia" w:hAnsi="宋体" w:cs="宋体"/>
                <w:sz w:val="24"/>
                <w:szCs w:val="24"/>
              </w:rPr>
              <w:t>3、不接受失信被执行人的投标；</w:t>
            </w:r>
          </w:p>
          <w:p>
            <w:pPr>
              <w:autoSpaceDE w:val="0"/>
              <w:autoSpaceDN w:val="0"/>
              <w:adjustRightInd w:val="0"/>
              <w:outlineLvl w:val="0"/>
              <w:rPr>
                <w:rFonts w:hAnsi="宋体" w:cs="宋体"/>
                <w:sz w:val="24"/>
                <w:szCs w:val="24"/>
              </w:rPr>
            </w:pPr>
            <w:r>
              <w:rPr>
                <w:rFonts w:hint="eastAsia" w:hAnsi="宋体" w:cs="宋体"/>
                <w:sz w:val="24"/>
                <w:szCs w:val="24"/>
              </w:rPr>
              <w:t>4、不接受投标人被“信用中国”和“信用河南”网站信用信息栏列入黑名单，以及被“国家企业信用信息公示系统”列入经营异常名录或严重失信黑名单的投标。</w:t>
            </w:r>
          </w:p>
          <w:p>
            <w:pPr>
              <w:autoSpaceDE w:val="0"/>
              <w:autoSpaceDN w:val="0"/>
              <w:adjustRightInd w:val="0"/>
              <w:outlineLvl w:val="0"/>
              <w:rPr>
                <w:rFonts w:hAnsi="宋体" w:cs="宋体"/>
                <w:sz w:val="24"/>
                <w:szCs w:val="24"/>
              </w:rPr>
            </w:pPr>
            <w:r>
              <w:rPr>
                <w:rFonts w:hint="eastAsia" w:hAnsi="宋体" w:cs="宋体"/>
                <w:sz w:val="24"/>
                <w:szCs w:val="24"/>
              </w:rPr>
              <w:t>5、不接受联合体投标。</w:t>
            </w:r>
          </w:p>
          <w:p>
            <w:pPr>
              <w:autoSpaceDE w:val="0"/>
              <w:autoSpaceDN w:val="0"/>
              <w:adjustRightInd w:val="0"/>
              <w:outlineLvl w:val="0"/>
              <w:rPr>
                <w:rFonts w:hAnsi="宋体"/>
                <w:b/>
                <w:bCs/>
                <w:sz w:val="24"/>
              </w:rPr>
            </w:pPr>
            <w:r>
              <w:rPr>
                <w:rFonts w:hint="eastAsia" w:hAnsi="宋体" w:cs="宋体"/>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jc w:val="left"/>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bCs/>
                <w:sz w:val="24"/>
              </w:rPr>
              <w:t>2019年9月27日9时30分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3" w:colFirst="0" w:colLast="2"/>
            <w:bookmarkStart w:id="4" w:name="OLE_LINK4"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exact"/>
              <w:jc w:val="left"/>
              <w:rPr>
                <w:rFonts w:hAnsi="宋体" w:cs="仿宋_GB2312"/>
                <w:sz w:val="24"/>
              </w:rPr>
            </w:pPr>
            <w:r>
              <w:rPr>
                <w:rFonts w:hint="eastAsia" w:hAnsi="宋体" w:cs="仿宋_GB2312"/>
                <w:sz w:val="24"/>
              </w:rPr>
              <w:t>项目编号：</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r>
              <w:rPr>
                <w:rFonts w:hint="eastAsia" w:hAnsi="宋体"/>
                <w:sz w:val="24"/>
              </w:rPr>
              <w:t>　</w:t>
            </w:r>
          </w:p>
          <w:p>
            <w:pPr>
              <w:autoSpaceDE w:val="0"/>
              <w:autoSpaceDN w:val="0"/>
              <w:adjustRightInd w:val="0"/>
              <w:spacing w:line="420" w:lineRule="exact"/>
              <w:jc w:val="left"/>
              <w:rPr>
                <w:rFonts w:hAnsi="宋体" w:cs="仿宋_GB2312"/>
                <w:sz w:val="24"/>
              </w:rPr>
            </w:pPr>
            <w:r>
              <w:rPr>
                <w:rFonts w:hint="eastAsia"/>
                <w:sz w:val="24"/>
                <w:u w:val="single"/>
              </w:rPr>
              <w:t xml:space="preserve">         （工程名称/标段）     </w:t>
            </w:r>
            <w:r>
              <w:rPr>
                <w:rFonts w:hint="eastAsia" w:hAnsi="宋体" w:cs="仿宋_GB2312"/>
                <w:sz w:val="24"/>
              </w:rPr>
              <w:t>投标文件</w:t>
            </w:r>
          </w:p>
          <w:p>
            <w:pPr>
              <w:autoSpaceDE w:val="0"/>
              <w:autoSpaceDN w:val="0"/>
              <w:adjustRightInd w:val="0"/>
              <w:spacing w:line="420" w:lineRule="exact"/>
              <w:jc w:val="left"/>
              <w:rPr>
                <w:rFonts w:hAnsi="宋体" w:cs="黑体"/>
                <w:sz w:val="24"/>
              </w:rPr>
            </w:pP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开标时间：同投标截止时间</w:t>
            </w:r>
          </w:p>
          <w:p>
            <w:pPr>
              <w:autoSpaceDE w:val="0"/>
              <w:autoSpaceDN w:val="0"/>
              <w:adjustRightInd w:val="0"/>
              <w:spacing w:line="420" w:lineRule="exact"/>
              <w:jc w:val="left"/>
              <w:rPr>
                <w:sz w:val="24"/>
                <w:u w:val="single"/>
              </w:rPr>
            </w:pPr>
            <w:r>
              <w:rPr>
                <w:rFonts w:hint="eastAsia" w:hAnsi="宋体" w:cs="宋体"/>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spacing w:line="288" w:lineRule="auto"/>
              <w:rPr>
                <w:rFonts w:ascii="新宋体" w:hAnsi="新宋体" w:eastAsia="新宋体"/>
                <w:sz w:val="24"/>
              </w:rPr>
            </w:pPr>
            <w:r>
              <w:rPr>
                <w:rFonts w:hint="eastAsia" w:ascii="新宋体" w:hAnsi="新宋体" w:eastAsia="新宋体"/>
                <w:sz w:val="24"/>
              </w:rPr>
              <w:t>评标委员会构成：由评标专家4人和招标人代表1人组成，其中注册造价工程师不少于五分之二。</w:t>
            </w:r>
          </w:p>
          <w:p>
            <w:pPr>
              <w:spacing w:line="288" w:lineRule="auto"/>
              <w:rPr>
                <w:rFonts w:ascii="新宋体" w:hAnsi="新宋体" w:eastAsia="新宋体"/>
                <w:sz w:val="24"/>
              </w:rPr>
            </w:pPr>
            <w:r>
              <w:rPr>
                <w:rFonts w:hint="eastAsia" w:ascii="新宋体" w:hAnsi="新宋体" w:eastAsia="新宋体"/>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szCs w:val="22"/>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sz w:val="24"/>
              </w:rPr>
              <w:t>指2016年1月1日以来承建过的合同金额不低于本次招标控制价以上类似的建筑工程。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本工程设招标控制价：</w:t>
            </w:r>
          </w:p>
          <w:p>
            <w:pPr>
              <w:keepNext/>
              <w:spacing w:line="360" w:lineRule="auto"/>
              <w:rPr>
                <w:b/>
                <w:bCs/>
                <w:sz w:val="24"/>
              </w:rPr>
            </w:pPr>
            <w:r>
              <w:rPr>
                <w:rFonts w:hint="eastAsia"/>
                <w:b/>
                <w:bCs/>
                <w:sz w:val="24"/>
              </w:rPr>
              <w:t>大写：伍拾陆万陆仟捌佰捌拾伍圆玖角叁分</w:t>
            </w:r>
          </w:p>
          <w:p>
            <w:pPr>
              <w:keepNext/>
              <w:spacing w:line="360" w:lineRule="auto"/>
              <w:rPr>
                <w:b/>
                <w:bCs/>
                <w:sz w:val="24"/>
              </w:rPr>
            </w:pPr>
            <w:r>
              <w:rPr>
                <w:rFonts w:hint="eastAsia"/>
                <w:b/>
                <w:bCs/>
                <w:sz w:val="24"/>
              </w:rPr>
              <w:t>小写：566885.93元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1、在中标通知书发出前，招标人将中标候选人的情况在《全国公共资源交易平台（河南省·许昌市）》和《河南省电子招标投标公共服务平台》予以公示，公示期不少于3日。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hAnsi="宋体" w:cs="仿宋_GB2312"/>
                <w:sz w:val="24"/>
              </w:rPr>
              <w:t>构</w:t>
            </w:r>
            <w:r>
              <w:rPr>
                <w:rFonts w:hint="eastAsia" w:ascii="新宋体" w:hAnsi="新宋体" w:eastAsia="新宋体"/>
                <w:sz w:val="24"/>
              </w:rPr>
              <w:t>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hAnsi="宋体" w:cs="仿宋_GB2312"/>
                <w:sz w:val="24"/>
              </w:rPr>
            </w:pPr>
            <w:r>
              <w:rPr>
                <w:rFonts w:hint="eastAsia" w:hAnsi="宋体" w:cs="仿宋_GB2312"/>
                <w:sz w:val="24"/>
              </w:rPr>
              <w:t>1、逾期送达的或者未送达指定地点的电子介质存储的投标文件；</w:t>
            </w:r>
          </w:p>
          <w:p>
            <w:pPr>
              <w:spacing w:line="276" w:lineRule="auto"/>
              <w:rPr>
                <w:rFonts w:hAnsi="宋体" w:cs="仿宋_GB2312"/>
                <w:sz w:val="24"/>
              </w:rPr>
            </w:pPr>
            <w:r>
              <w:rPr>
                <w:rFonts w:hint="eastAsia" w:hAnsi="宋体" w:cs="仿宋_GB2312"/>
                <w:sz w:val="24"/>
              </w:rPr>
              <w:t>2、电子介质存储的投标文件未按招标文件要求密封的；</w:t>
            </w:r>
          </w:p>
          <w:p>
            <w:pPr>
              <w:spacing w:line="276" w:lineRule="auto"/>
              <w:rPr>
                <w:rFonts w:hAnsi="宋体" w:cs="仿宋_GB2312"/>
                <w:sz w:val="24"/>
              </w:rPr>
            </w:pPr>
            <w:r>
              <w:rPr>
                <w:rFonts w:hint="eastAsia" w:hAnsi="宋体" w:cs="仿宋_GB2312"/>
                <w:sz w:val="24"/>
              </w:rPr>
              <w:t>3、未按招标文件要求缴纳投标保证金的；</w:t>
            </w:r>
          </w:p>
          <w:p>
            <w:pPr>
              <w:spacing w:line="276" w:lineRule="auto"/>
              <w:rPr>
                <w:rFonts w:hAnsi="宋体" w:cs="仿宋_GB2312"/>
                <w:sz w:val="24"/>
              </w:rPr>
            </w:pPr>
            <w:r>
              <w:rPr>
                <w:rFonts w:hint="eastAsia" w:hAnsi="宋体" w:cs="仿宋_GB2312"/>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spacing w:line="360" w:lineRule="auto"/>
              <w:contextualSpacing/>
              <w:rPr>
                <w:rFonts w:hAnsi="宋体" w:cs="仿宋_GB2312"/>
                <w:b/>
                <w:sz w:val="24"/>
                <w:szCs w:val="24"/>
                <w:lang w:val="zh-CN"/>
              </w:rPr>
            </w:pPr>
            <w:r>
              <w:rPr>
                <w:rFonts w:hint="eastAsia" w:hAnsi="宋体" w:cs="仿宋_GB2312"/>
                <w:b/>
                <w:sz w:val="24"/>
                <w:szCs w:val="24"/>
              </w:rPr>
              <w:t>8、</w:t>
            </w:r>
            <w:r>
              <w:rPr>
                <w:rFonts w:hint="eastAsia" w:hAnsi="宋体" w:cs="仿宋_GB2312"/>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60" w:lineRule="auto"/>
              <w:contextualSpacing/>
              <w:rPr>
                <w:rFonts w:hAnsi="宋体" w:cs="仿宋_GB2312"/>
                <w:b/>
                <w:sz w:val="24"/>
                <w:szCs w:val="24"/>
                <w:lang w:val="zh-CN"/>
              </w:rPr>
            </w:pPr>
            <w:r>
              <w:rPr>
                <w:rFonts w:hint="eastAsia" w:hAnsi="宋体" w:cs="仿宋_GB2312"/>
                <w:b/>
                <w:sz w:val="24"/>
                <w:szCs w:val="24"/>
                <w:lang w:val="zh-CN"/>
              </w:rPr>
              <w:t>评审专家应严格按照要求查看“硬件特征码” 相关信息并进行评审，在评审报告中显示“不同投标人电子投标文件制作硬件特征码”是否雷同的分析及判定结果。</w:t>
            </w:r>
          </w:p>
          <w:p>
            <w:pPr>
              <w:pStyle w:val="2"/>
              <w:ind w:firstLine="0" w:firstLineChars="0"/>
              <w:rPr>
                <w:lang w:val="zh-CN"/>
              </w:rPr>
            </w:pPr>
            <w:r>
              <w:rPr>
                <w:rFonts w:hint="eastAsia"/>
                <w:lang w:val="zh-CN"/>
              </w:rPr>
              <w:t>9、</w:t>
            </w:r>
            <w:r>
              <w:rPr>
                <w:rFonts w:hint="eastAsia"/>
                <w:b/>
                <w:bCs/>
                <w:color w:val="FF0000"/>
                <w:lang w:val="zh-CN"/>
              </w:rPr>
              <w:t>因该项目涉及08（园林绿化）定额及16定额，为满足清标系统要求，故将两种定额清单分为两个标段进行制作，请各潜在投标人对两个标段分别进行应答，请务必保证两个标段除商务标之外的综合信用标及技术标内容完全一致。两个标段的备份文件请潜在投标人储存在一个电子介质内。</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2"/>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ind w:firstLine="480" w:firstLineChars="200"/>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44974521"/>
      <w:bookmarkStart w:id="40" w:name="_Toc152042329"/>
      <w:bookmarkStart w:id="41" w:name="_Toc152045553"/>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pStyle w:val="2"/>
        <w:ind w:firstLine="341"/>
        <w:rPr>
          <w:b/>
          <w:bCs/>
          <w:lang w:val="zh-CN"/>
        </w:rPr>
      </w:pPr>
      <w:r>
        <w:rPr>
          <w:rFonts w:hint="eastAsia"/>
          <w:b/>
          <w:bCs/>
          <w:lang w:val="zh-CN"/>
        </w:rPr>
        <w:t>3.7.9因该项目涉及08（园林绿化）定额及16定额，为满足清标系统要求，故将两种定额清单分为两个标段进行制作，请各潜在投标人对两个标段分别进行应答，请务必保证两个标段除商务标之外的综合信用标及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2"/>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2"/>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2"/>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2"/>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2"/>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hint="eastAsia" w:ascii="新宋体" w:hAnsi="新宋体" w:eastAsia="新宋体"/>
          <w:sz w:val="24"/>
        </w:rPr>
      </w:pPr>
    </w:p>
    <w:p>
      <w:pPr>
        <w:spacing w:line="400" w:lineRule="exact"/>
        <w:ind w:firstLine="480" w:firstLineChars="200"/>
        <w:rPr>
          <w:rFonts w:ascii="新宋体" w:hAnsi="新宋体" w:eastAsia="新宋体"/>
          <w:sz w:val="24"/>
        </w:rPr>
      </w:pPr>
      <w:r>
        <w:rPr>
          <w:rFonts w:hint="eastAsia" w:ascii="新宋体" w:hAnsi="新宋体" w:eastAsia="新宋体"/>
          <w:sz w:val="24"/>
        </w:rPr>
        <w:t>附表一：问题澄清通知</w:t>
      </w:r>
    </w:p>
    <w:p>
      <w:pPr>
        <w:spacing w:before="240" w:beforeLines="100" w:after="24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r>
        <w:rPr>
          <w:rFonts w:hint="eastAsia" w:ascii="新宋体" w:hAnsi="新宋体" w:eastAsia="新宋体"/>
          <w:sz w:val="24"/>
        </w:rPr>
        <w:t>附表二：问题的澄清</w:t>
      </w:r>
    </w:p>
    <w:p>
      <w:pPr>
        <w:spacing w:before="240" w:beforeLines="100" w:after="24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20" w:beforeLines="50" w:after="12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pStyle w:val="4"/>
        <w:ind w:left="0" w:leftChars="0" w:firstLine="0" w:firstLineChars="0"/>
        <w:rPr>
          <w:rFonts w:hint="default"/>
          <w:lang w:eastAsia="zh-CN"/>
        </w:rPr>
      </w:pPr>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一、评标办法依据“豫建〔2018〕161号 关于印发《河南省建设工程工程量清单招标评标办法》的通知”，评标应遵循公正、公平、择优的原则严格按照招标文件进行。</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二、评标由招标人依法组建的评标委员会负责，评标委员会成员从河南省综合评标专家库中随机抽取4人和招标人代表1人组成，其中注册造价工程师不少于2人。</w:t>
      </w:r>
      <w:r>
        <w:rPr>
          <w:rFonts w:hint="eastAsia" w:hAnsi="宋体" w:cs="宋体"/>
          <w:sz w:val="24"/>
        </w:rPr>
        <w:t>评标委员会主任从4名随机抽取的评标专家中产生，与投标人有利害关系的专家不得进入评标委员会。</w:t>
      </w:r>
    </w:p>
    <w:p>
      <w:pPr>
        <w:snapToGrid w:val="0"/>
        <w:spacing w:line="360" w:lineRule="auto"/>
        <w:rPr>
          <w:rFonts w:ascii="新宋体" w:hAnsi="新宋体" w:eastAsia="新宋体" w:cs="新宋体"/>
          <w:sz w:val="24"/>
        </w:rPr>
      </w:pPr>
      <w:r>
        <w:rPr>
          <w:rFonts w:hint="eastAsia" w:ascii="新宋体" w:hAnsi="新宋体" w:eastAsia="新宋体" w:cs="新宋体"/>
          <w:sz w:val="24"/>
        </w:rPr>
        <w:t xml:space="preserve">     三、评标采用综合</w:t>
      </w:r>
      <w:r>
        <w:rPr>
          <w:rFonts w:hint="eastAsia" w:ascii="新宋体" w:hAnsi="新宋体" w:eastAsia="新宋体" w:cs="新宋体"/>
          <w:sz w:val="24"/>
          <w:lang w:val="en-US" w:eastAsia="zh-CN"/>
        </w:rPr>
        <w:t>评标</w:t>
      </w:r>
      <w:r>
        <w:rPr>
          <w:rFonts w:hint="eastAsia" w:ascii="新宋体" w:hAnsi="新宋体" w:eastAsia="新宋体" w:cs="新宋体"/>
          <w:sz w:val="24"/>
        </w:rPr>
        <w:t>法，是指评标委员会根据招标文件要求应从技术标、商务标、综合（信用）标三部分进行综合评审。</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rPr>
          <w:rFonts w:ascii="新宋体" w:hAnsi="新宋体" w:eastAsia="新宋体"/>
          <w:b/>
          <w:bCs/>
          <w:sz w:val="24"/>
        </w:rPr>
      </w:pPr>
      <w:r>
        <w:rPr>
          <w:rFonts w:hint="eastAsia" w:ascii="新宋体" w:hAnsi="新宋体" w:eastAsia="新宋体"/>
          <w:b/>
          <w:bCs/>
          <w:sz w:val="24"/>
        </w:rPr>
        <w:t>五、清标</w:t>
      </w:r>
    </w:p>
    <w:p>
      <w:pPr>
        <w:snapToGrid w:val="0"/>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先由评标委员会在商务标清标系统的辅助下对投标文件进行基础性数据分析和整理（清标内容见下表），形成清标成果。</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投标文件存在下列情形之一的，按废标处理：</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1.未按招标文件规定编制各项报价的；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3.规费和税金、安全文明施工措施费违背工程造价管理规定的；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5.未按照暂列金额或者暂估价编制投标报价的。</w:t>
      </w:r>
    </w:p>
    <w:p>
      <w:pPr>
        <w:snapToGrid w:val="0"/>
        <w:spacing w:line="360" w:lineRule="auto"/>
        <w:ind w:firstLine="480" w:firstLineChars="200"/>
        <w:rPr>
          <w:rFonts w:hint="eastAsia" w:ascii="新宋体" w:hAnsi="新宋体" w:eastAsia="新宋体" w:cs="新宋体"/>
          <w:sz w:val="24"/>
          <w:szCs w:val="22"/>
        </w:rPr>
      </w:pPr>
      <w:r>
        <w:rPr>
          <w:rFonts w:hint="eastAsia" w:ascii="新宋体" w:hAnsi="新宋体" w:eastAsia="新宋体" w:cs="新宋体"/>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2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p>
            <w:pPr>
              <w:jc w:val="center"/>
              <w:rPr>
                <w:rFonts w:ascii="新宋体" w:hAnsi="新宋体" w:eastAsia="新宋体" w:cs="新宋体"/>
                <w:sz w:val="21"/>
                <w:szCs w:val="21"/>
              </w:rPr>
            </w:pPr>
            <w:r>
              <w:rPr>
                <w:rFonts w:hint="eastAsia" w:ascii="新宋体" w:hAnsi="新宋体" w:eastAsia="新宋体" w:cs="新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spacing w:line="440" w:lineRule="exact"/>
        <w:rPr>
          <w:rFonts w:ascii="新宋体" w:hAnsi="新宋体" w:eastAsia="新宋体" w:cs="新宋体"/>
          <w:b/>
          <w:bCs/>
          <w:sz w:val="24"/>
        </w:rPr>
      </w:pPr>
      <w:r>
        <w:rPr>
          <w:rFonts w:hint="eastAsia" w:ascii="新宋体" w:hAnsi="新宋体" w:eastAsia="新宋体" w:cs="新宋体"/>
          <w:b/>
          <w:bCs/>
          <w:sz w:val="24"/>
        </w:rPr>
        <w:t>六、初步评审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初步评审是指评标委员会按招标文件要求对所有投标文件真实性、符合性、响应性和重大偏差逐一评审，经审查不符合招标文件要求的，不再进入详细评审阶段。初步评审主要包括以下内容：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1.投标文件未按前附表要求签字盖章；</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2.投标联合体没有提交共同投标协议；（允许联合体投标的）</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3.投标人不符合国家或者招标文件规定的资格条件；注册建造师注册单位与投标人不一致的；</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4.同一投标人提交两个以上不同的投标文件或者投标报价，但招标文件要求提交备选投标的除外；</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5.投标报价高于招标文件设定的最高投标限价；</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6.投标范围、工期、工程质量、投标有效期、付款方式不符合招标文件规定；</w:t>
      </w:r>
    </w:p>
    <w:p>
      <w:pPr>
        <w:snapToGrid w:val="0"/>
        <w:spacing w:line="360" w:lineRule="auto"/>
        <w:ind w:firstLine="480" w:firstLineChars="200"/>
        <w:rPr>
          <w:rFonts w:ascii="新宋体" w:hAnsi="新宋体" w:eastAsia="新宋体" w:cs="新宋体"/>
          <w:sz w:val="24"/>
          <w:szCs w:val="22"/>
        </w:rPr>
      </w:pPr>
      <w:r>
        <w:rPr>
          <w:rFonts w:hint="eastAsia" w:ascii="新宋体" w:hAnsi="新宋体" w:eastAsia="新宋体" w:cs="新宋体"/>
          <w:sz w:val="24"/>
        </w:rPr>
        <w:t>7.投标人有串通投标、弄虚作假、行贿等违法行为。</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经审查后应写出评审意见。</w:t>
      </w:r>
    </w:p>
    <w:p>
      <w:pPr>
        <w:snapToGrid w:val="0"/>
        <w:spacing w:line="360" w:lineRule="auto"/>
        <w:rPr>
          <w:rFonts w:ascii="新宋体" w:hAnsi="新宋体" w:eastAsia="新宋体" w:cs="宋体"/>
          <w:b/>
          <w:sz w:val="24"/>
        </w:rPr>
      </w:pPr>
      <w:r>
        <w:rPr>
          <w:rFonts w:hint="eastAsia" w:ascii="新宋体" w:hAnsi="新宋体" w:eastAsia="新宋体" w:cs="宋体"/>
          <w:b/>
          <w:sz w:val="24"/>
          <w:lang w:val="en-US" w:eastAsia="zh-CN"/>
        </w:rPr>
        <w:t>七</w:t>
      </w:r>
      <w:r>
        <w:rPr>
          <w:rFonts w:hint="eastAsia" w:ascii="新宋体" w:hAnsi="新宋体" w:eastAsia="新宋体" w:cs="宋体"/>
          <w:b/>
          <w:sz w:val="24"/>
        </w:rPr>
        <w:t>、详细评审</w:t>
      </w:r>
    </w:p>
    <w:p>
      <w:pPr>
        <w:snapToGrid w:val="0"/>
        <w:spacing w:line="360" w:lineRule="auto"/>
        <w:rPr>
          <w:rFonts w:ascii="仿宋_GB2312" w:hAnsi="仿宋_GB2312" w:eastAsia="仿宋_GB2312" w:cs="仿宋_GB2312"/>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②K为招标控制价权重系数，0.3≤K≤0.5（K的取值： 0.3、0.35、0.4、0.45、0.5），在开标现场由随机选定的两名投标人代表随机抽取。</w:t>
      </w:r>
    </w:p>
    <w:p>
      <w:pPr>
        <w:snapToGrid w:val="0"/>
        <w:spacing w:line="360" w:lineRule="auto"/>
        <w:rPr>
          <w:rFonts w:hAnsi="宋体" w:cs="宋体"/>
          <w:b/>
          <w:bCs/>
          <w:sz w:val="24"/>
          <w:szCs w:val="24"/>
        </w:rPr>
      </w:pPr>
      <w:r>
        <w:rPr>
          <w:rFonts w:hint="eastAsia" w:hAnsi="宋体" w:cs="宋体"/>
          <w:b/>
          <w:bCs/>
          <w:sz w:val="24"/>
          <w:szCs w:val="24"/>
        </w:rPr>
        <w:t>（二）商务标（50分）</w:t>
      </w:r>
    </w:p>
    <w:p>
      <w:pPr>
        <w:numPr>
          <w:ilvl w:val="0"/>
          <w:numId w:val="3"/>
        </w:numPr>
        <w:snapToGrid w:val="0"/>
        <w:spacing w:line="360" w:lineRule="auto"/>
        <w:rPr>
          <w:rFonts w:hAnsi="宋体" w:cs="宋体"/>
          <w:b/>
          <w:bCs/>
          <w:sz w:val="24"/>
          <w:szCs w:val="24"/>
        </w:rPr>
      </w:pPr>
      <w:r>
        <w:rPr>
          <w:rFonts w:hint="eastAsia" w:hAnsi="宋体" w:cs="宋体"/>
          <w:b/>
          <w:bCs/>
          <w:sz w:val="24"/>
          <w:szCs w:val="24"/>
        </w:rPr>
        <w:t xml:space="preserve">投标报价（30分） </w:t>
      </w:r>
    </w:p>
    <w:p>
      <w:pPr>
        <w:adjustRightInd w:val="0"/>
        <w:snapToGrid w:val="0"/>
        <w:spacing w:line="460" w:lineRule="exact"/>
        <w:ind w:firstLine="480" w:firstLineChars="200"/>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60" w:lineRule="exact"/>
        <w:rPr>
          <w:rFonts w:hAnsi="宋体" w:cs="宋体"/>
          <w:b/>
          <w:bCs/>
          <w:sz w:val="24"/>
          <w:szCs w:val="24"/>
        </w:rPr>
      </w:pPr>
      <w:r>
        <w:rPr>
          <w:rFonts w:hint="eastAsia" w:hAnsi="宋体" w:cs="宋体"/>
          <w:b/>
          <w:bCs/>
          <w:sz w:val="24"/>
          <w:szCs w:val="24"/>
        </w:rPr>
        <w:t>2、分部分项工程项目综合单价（10分）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adjustRightInd w:val="0"/>
        <w:snapToGrid w:val="0"/>
        <w:spacing w:line="460" w:lineRule="exact"/>
        <w:rPr>
          <w:rFonts w:hAnsi="宋体" w:cs="宋体"/>
          <w:sz w:val="24"/>
          <w:szCs w:val="24"/>
        </w:rPr>
      </w:pPr>
      <w:r>
        <w:rPr>
          <w:rFonts w:hint="eastAsia" w:hAnsi="宋体" w:cs="宋体"/>
          <w:b/>
          <w:bCs/>
          <w:sz w:val="24"/>
          <w:szCs w:val="24"/>
        </w:rPr>
        <w:t>3、措施项目（5分）</w:t>
      </w:r>
    </w:p>
    <w:p>
      <w:pPr>
        <w:adjustRightInd w:val="0"/>
        <w:snapToGrid w:val="0"/>
        <w:spacing w:line="460" w:lineRule="exact"/>
        <w:ind w:firstLine="484"/>
        <w:rPr>
          <w:rFonts w:hAnsi="宋体" w:cs="宋体"/>
          <w:sz w:val="24"/>
          <w:szCs w:val="24"/>
        </w:rPr>
      </w:pPr>
      <w:r>
        <w:rPr>
          <w:rFonts w:hint="eastAsia" w:hAnsi="宋体" w:cs="宋体"/>
          <w:sz w:val="24"/>
          <w:szCs w:val="24"/>
        </w:rPr>
        <w:t xml:space="preserve">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adjustRightInd w:val="0"/>
        <w:snapToGrid w:val="0"/>
        <w:spacing w:line="360" w:lineRule="auto"/>
        <w:ind w:left="484"/>
        <w:rPr>
          <w:rFonts w:hAnsi="宋体" w:cs="宋体"/>
          <w:b/>
          <w:bCs/>
          <w:sz w:val="24"/>
          <w:szCs w:val="24"/>
        </w:rPr>
      </w:pPr>
      <w:r>
        <w:rPr>
          <w:rFonts w:hint="eastAsia" w:hAnsi="宋体" w:cs="宋体"/>
          <w:b/>
          <w:bCs/>
          <w:sz w:val="24"/>
          <w:szCs w:val="24"/>
        </w:rPr>
        <w:t>4、主要材料单价（5分）</w:t>
      </w:r>
    </w:p>
    <w:p>
      <w:pPr>
        <w:adjustRightInd w:val="0"/>
        <w:snapToGrid w:val="0"/>
        <w:spacing w:line="460" w:lineRule="exact"/>
        <w:ind w:firstLine="484"/>
        <w:rPr>
          <w:rFonts w:hAnsi="宋体" w:cs="宋体"/>
          <w:sz w:val="24"/>
          <w:szCs w:val="24"/>
        </w:rPr>
      </w:pPr>
      <w:r>
        <w:rPr>
          <w:rFonts w:hint="eastAsia" w:hAnsi="宋体" w:cs="宋体"/>
          <w:sz w:val="24"/>
          <w:szCs w:val="24"/>
        </w:rPr>
        <w:t>从最高投标限价中材料总价权重最大的前10-20项材料中抽取6项，在剩余材料中抽取4项。主要材料单价基准值是以各有效投标报价中（当有效投标人5名及以上时，去掉1个最高、1个最低值）对应抽取材料单价的算术平均值。当投标人报价在材料单价基准值95%–103%范围内（不含95%和103%）每项得0.5分，在材料单价基准值90%–95%范围内（含90%和95%）每项得0.25分。超出该范围的不得分。材料单价与综合单价组成中价格不一致时该项为0分。</w:t>
      </w:r>
    </w:p>
    <w:p>
      <w:pPr>
        <w:pStyle w:val="2"/>
        <w:ind w:firstLine="340"/>
      </w:pPr>
      <w:r>
        <w:rPr>
          <w:rFonts w:hint="eastAsia"/>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（三）技术标（25分）</w:t>
      </w:r>
    </w:p>
    <w:tbl>
      <w:tblPr>
        <w:tblStyle w:val="2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center"/>
          </w:tcPr>
          <w:p>
            <w:pPr>
              <w:jc w:val="center"/>
              <w:rPr>
                <w:rFonts w:ascii="Times New Roman"/>
                <w:kern w:val="2"/>
                <w:sz w:val="21"/>
                <w:szCs w:val="21"/>
              </w:rPr>
            </w:pPr>
            <w:r>
              <w:rPr>
                <w:rFonts w:hint="eastAsia" w:ascii="Times New Roman"/>
                <w:kern w:val="2"/>
                <w:sz w:val="21"/>
                <w:szCs w:val="21"/>
              </w:rPr>
              <w:t>序号</w:t>
            </w:r>
          </w:p>
        </w:tc>
        <w:tc>
          <w:tcPr>
            <w:tcW w:w="1276" w:type="dxa"/>
            <w:vAlign w:val="center"/>
          </w:tcPr>
          <w:p>
            <w:pPr>
              <w:jc w:val="center"/>
              <w:rPr>
                <w:rFonts w:ascii="Times New Roman"/>
                <w:kern w:val="2"/>
                <w:sz w:val="21"/>
                <w:szCs w:val="21"/>
              </w:rPr>
            </w:pPr>
            <w:r>
              <w:rPr>
                <w:rFonts w:hint="eastAsia" w:ascii="Times New Roman"/>
                <w:kern w:val="2"/>
                <w:sz w:val="21"/>
                <w:szCs w:val="21"/>
              </w:rPr>
              <w:t>内容</w:t>
            </w:r>
          </w:p>
        </w:tc>
        <w:tc>
          <w:tcPr>
            <w:tcW w:w="851" w:type="dxa"/>
            <w:vAlign w:val="center"/>
          </w:tcPr>
          <w:p>
            <w:pPr>
              <w:jc w:val="center"/>
              <w:rPr>
                <w:rFonts w:ascii="Times New Roman"/>
                <w:kern w:val="2"/>
                <w:sz w:val="21"/>
                <w:szCs w:val="21"/>
              </w:rPr>
            </w:pPr>
            <w:r>
              <w:rPr>
                <w:rFonts w:hint="eastAsia" w:ascii="Times New Roman"/>
                <w:kern w:val="2"/>
                <w:sz w:val="21"/>
                <w:szCs w:val="21"/>
              </w:rPr>
              <w:t>分值</w:t>
            </w:r>
          </w:p>
        </w:tc>
        <w:tc>
          <w:tcPr>
            <w:tcW w:w="5528" w:type="dxa"/>
            <w:vAlign w:val="center"/>
          </w:tcPr>
          <w:p>
            <w:pPr>
              <w:jc w:val="center"/>
              <w:rPr>
                <w:rFonts w:ascii="Times New Roman"/>
                <w:kern w:val="2"/>
                <w:sz w:val="21"/>
                <w:szCs w:val="21"/>
              </w:rPr>
            </w:pPr>
            <w:r>
              <w:rPr>
                <w:rFonts w:hint="eastAsia" w:ascii="Times New Roman"/>
                <w:kern w:val="2"/>
                <w:sz w:val="21"/>
                <w:szCs w:val="21"/>
              </w:rPr>
              <w:t>评审标准</w:t>
            </w:r>
          </w:p>
        </w:tc>
        <w:tc>
          <w:tcPr>
            <w:tcW w:w="1276" w:type="dxa"/>
            <w:vAlign w:val="center"/>
          </w:tcPr>
          <w:p>
            <w:pPr>
              <w:jc w:val="center"/>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内容完整性</w:t>
            </w:r>
          </w:p>
        </w:tc>
        <w:tc>
          <w:tcPr>
            <w:tcW w:w="851" w:type="dxa"/>
            <w:vMerge w:val="restart"/>
            <w:vAlign w:val="center"/>
          </w:tcPr>
          <w:p>
            <w:pPr>
              <w:jc w:val="center"/>
              <w:rPr>
                <w:rFonts w:ascii="Times New Roman"/>
                <w:kern w:val="2"/>
                <w:sz w:val="21"/>
                <w:szCs w:val="21"/>
              </w:rPr>
            </w:pPr>
            <w:r>
              <w:rPr>
                <w:rFonts w:ascii="Times New Roman"/>
                <w:kern w:val="2"/>
                <w:sz w:val="21"/>
                <w:szCs w:val="21"/>
              </w:rPr>
              <w:t>0-0.5</w:t>
            </w:r>
            <w:r>
              <w:rPr>
                <w:rFonts w:hint="eastAsia" w:ascii="Times New Roman"/>
                <w:kern w:val="2"/>
                <w:sz w:val="21"/>
                <w:szCs w:val="21"/>
              </w:rPr>
              <w:t>分</w:t>
            </w:r>
          </w:p>
        </w:tc>
        <w:tc>
          <w:tcPr>
            <w:tcW w:w="5528" w:type="dxa"/>
            <w:vAlign w:val="center"/>
          </w:tcPr>
          <w:p>
            <w:pPr>
              <w:jc w:val="center"/>
              <w:rPr>
                <w:rFonts w:ascii="Times New Roman"/>
                <w:kern w:val="2"/>
                <w:sz w:val="21"/>
                <w:szCs w:val="21"/>
              </w:rPr>
            </w:pPr>
            <w:r>
              <w:rPr>
                <w:rFonts w:hint="eastAsia" w:ascii="Times New Roman"/>
                <w:kern w:val="2"/>
                <w:sz w:val="21"/>
                <w:szCs w:val="21"/>
              </w:rPr>
              <w:t>技术标的主要内容具有完整性，符合招标文件的要求。</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jc w:val="center"/>
              <w:rPr>
                <w:rFonts w:ascii="Times New Roman"/>
                <w:kern w:val="2"/>
                <w:sz w:val="21"/>
                <w:szCs w:val="21"/>
              </w:rPr>
            </w:pPr>
            <w:r>
              <w:rPr>
                <w:rFonts w:hint="eastAsia" w:ascii="Times New Roman"/>
                <w:kern w:val="2"/>
                <w:sz w:val="21"/>
                <w:szCs w:val="21"/>
              </w:rPr>
              <w:t>技术标不符合招标文件要求。</w:t>
            </w:r>
          </w:p>
        </w:tc>
        <w:tc>
          <w:tcPr>
            <w:tcW w:w="1276" w:type="dxa"/>
            <w:vAlign w:val="center"/>
          </w:tcPr>
          <w:p>
            <w:pPr>
              <w:jc w:val="center"/>
              <w:rPr>
                <w:rFonts w:ascii="Times New Roman"/>
                <w:kern w:val="2"/>
                <w:sz w:val="21"/>
                <w:szCs w:val="21"/>
              </w:rPr>
            </w:pPr>
            <w:r>
              <w:rPr>
                <w:rFonts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2</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主要施工方案与技术措施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1-3</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276" w:type="dxa"/>
            <w:vAlign w:val="center"/>
          </w:tcPr>
          <w:p>
            <w:pPr>
              <w:jc w:val="center"/>
              <w:rPr>
                <w:rFonts w:ascii="Times New Roman"/>
                <w:kern w:val="2"/>
                <w:sz w:val="21"/>
                <w:szCs w:val="21"/>
              </w:rPr>
            </w:pPr>
            <w:r>
              <w:rPr>
                <w:rFonts w:ascii="Times New Roman"/>
                <w:kern w:val="2"/>
                <w:sz w:val="21"/>
                <w:szCs w:val="21"/>
              </w:rPr>
              <w:t xml:space="preserve"> 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3</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质量管理体系与措施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4</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安全管理体系与措施</w:t>
            </w:r>
          </w:p>
        </w:tc>
        <w:tc>
          <w:tcPr>
            <w:tcW w:w="851" w:type="dxa"/>
            <w:vMerge w:val="restart"/>
            <w:vAlign w:val="center"/>
          </w:tcPr>
          <w:p>
            <w:pPr>
              <w:jc w:val="center"/>
              <w:rPr>
                <w:rFonts w:ascii="Times New Roman"/>
                <w:kern w:val="2"/>
                <w:sz w:val="21"/>
                <w:szCs w:val="21"/>
              </w:rPr>
            </w:pPr>
            <w:r>
              <w:rPr>
                <w:rFonts w:ascii="Times New Roman"/>
                <w:kern w:val="2"/>
                <w:sz w:val="21"/>
                <w:szCs w:val="21"/>
              </w:rPr>
              <w:t xml:space="preserve"> 1-2</w:t>
            </w:r>
            <w:r>
              <w:rPr>
                <w:rFonts w:hint="eastAsia" w:ascii="Times New Roman"/>
                <w:kern w:val="2"/>
                <w:sz w:val="21"/>
                <w:szCs w:val="21"/>
              </w:rPr>
              <w:t>分</w:t>
            </w:r>
          </w:p>
        </w:tc>
        <w:tc>
          <w:tcPr>
            <w:tcW w:w="5528" w:type="dxa"/>
            <w:vAlign w:val="center"/>
          </w:tcPr>
          <w:p>
            <w:pPr>
              <w:spacing w:line="360" w:lineRule="exac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40" w:lineRule="exac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5</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文明施工、环境保护管理体系及施工现场扬尘治理措施</w:t>
            </w:r>
            <w:r>
              <w:rPr>
                <w:rFonts w:ascii="Times New Roman"/>
                <w:sz w:val="21"/>
                <w:szCs w:val="21"/>
              </w:rPr>
              <w:t xml:space="preserve">  </w:t>
            </w:r>
          </w:p>
        </w:tc>
        <w:tc>
          <w:tcPr>
            <w:tcW w:w="851" w:type="dxa"/>
            <w:vMerge w:val="restart"/>
            <w:vAlign w:val="center"/>
          </w:tcPr>
          <w:p>
            <w:pPr>
              <w:jc w:val="center"/>
              <w:rPr>
                <w:rFonts w:ascii="Times New Roman"/>
                <w:kern w:val="2"/>
                <w:sz w:val="21"/>
                <w:szCs w:val="21"/>
              </w:rPr>
            </w:pPr>
            <w:r>
              <w:rPr>
                <w:rFonts w:ascii="Times New Roman"/>
                <w:kern w:val="2"/>
                <w:sz w:val="21"/>
                <w:szCs w:val="21"/>
              </w:rPr>
              <w:t>1-3</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）的规定，防治方案科学、先进。</w:t>
            </w:r>
          </w:p>
        </w:tc>
        <w:tc>
          <w:tcPr>
            <w:tcW w:w="1276"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imes New Roman"/>
                <w:kern w:val="2"/>
                <w:sz w:val="21"/>
                <w:szCs w:val="21"/>
              </w:rPr>
              <w:t>DBJ41/174</w:t>
            </w:r>
            <w:r>
              <w:rPr>
                <w:rFonts w:hint="eastAsia" w:ascii="Times New Roman"/>
                <w:kern w:val="2"/>
                <w:sz w:val="21"/>
                <w:szCs w:val="21"/>
              </w:rPr>
              <w:t>）的规定，有防治方案。</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6</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工期保证措施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7</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拟投入资源配备计划</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机械：投入计划与进度计划呼应，采用先进机械设备且配置合理、先进，满足安全技术规范和施工进度需要；</w:t>
            </w:r>
            <w:r>
              <w:rPr>
                <w:rFonts w:ascii="Times New Roman"/>
                <w:kern w:val="2"/>
                <w:sz w:val="21"/>
                <w:szCs w:val="21"/>
              </w:rPr>
              <w:t>PC</w:t>
            </w:r>
            <w:r>
              <w:rPr>
                <w:rFonts w:hint="eastAsia" w:ascii="Times New Roman"/>
                <w:kern w:val="2"/>
                <w:sz w:val="21"/>
                <w:szCs w:val="21"/>
              </w:rPr>
              <w:t>构件运输、安装设备满足施工要求；</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劳动力：投入计划与进度计划呼应，较好满足施工需要，调配投入计划合理、准确；</w:t>
            </w:r>
          </w:p>
          <w:p>
            <w:pPr>
              <w:spacing w:line="300" w:lineRule="exact"/>
              <w:rPr>
                <w:rFonts w:ascii="Times New Roman"/>
                <w:kern w:val="2"/>
                <w:sz w:val="21"/>
                <w:szCs w:val="21"/>
              </w:rPr>
            </w:pPr>
            <w:r>
              <w:rPr>
                <w:rFonts w:ascii="Times New Roman"/>
                <w:kern w:val="2"/>
                <w:sz w:val="21"/>
                <w:szCs w:val="21"/>
              </w:rPr>
              <w:t>3.</w:t>
            </w:r>
            <w:r>
              <w:rPr>
                <w:rFonts w:hint="eastAsia" w:ascii="Times New Roman"/>
                <w:kern w:val="2"/>
                <w:sz w:val="21"/>
                <w:szCs w:val="21"/>
              </w:rPr>
              <w:t>主要物资计划：主要物资（含</w:t>
            </w:r>
            <w:r>
              <w:rPr>
                <w:rFonts w:ascii="Times New Roman"/>
                <w:kern w:val="2"/>
                <w:sz w:val="21"/>
                <w:szCs w:val="21"/>
              </w:rPr>
              <w:t>PC</w:t>
            </w:r>
            <w:r>
              <w:rPr>
                <w:rFonts w:hint="eastAsia" w:ascii="Times New Roman"/>
                <w:kern w:val="2"/>
                <w:sz w:val="21"/>
                <w:szCs w:val="21"/>
              </w:rPr>
              <w:t>构件的供应需求）投入计划与进度计划呼应，较好满足施工需要，调配投入计划合理、准确。</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ascii="Times New Roman"/>
                <w:kern w:val="2"/>
                <w:sz w:val="21"/>
                <w:szCs w:val="21"/>
              </w:rPr>
              <w:t>1.</w:t>
            </w:r>
            <w:r>
              <w:rPr>
                <w:rFonts w:hint="eastAsia" w:ascii="Times New Roman"/>
                <w:kern w:val="2"/>
                <w:sz w:val="21"/>
                <w:szCs w:val="21"/>
              </w:rPr>
              <w:t>机械：投入计划与进度计划呼应，机械设备配置基本合理，满足安全技术规范和施工进度需要；</w:t>
            </w:r>
          </w:p>
          <w:p>
            <w:pPr>
              <w:spacing w:line="300" w:lineRule="exact"/>
              <w:rPr>
                <w:rFonts w:ascii="Times New Roman"/>
                <w:kern w:val="2"/>
                <w:sz w:val="21"/>
                <w:szCs w:val="21"/>
              </w:rPr>
            </w:pPr>
            <w:r>
              <w:rPr>
                <w:rFonts w:ascii="Times New Roman"/>
                <w:kern w:val="2"/>
                <w:sz w:val="21"/>
                <w:szCs w:val="21"/>
              </w:rPr>
              <w:t>2.</w:t>
            </w:r>
            <w:r>
              <w:rPr>
                <w:rFonts w:hint="eastAsia" w:ascii="Times New Roman"/>
                <w:kern w:val="2"/>
                <w:sz w:val="21"/>
                <w:szCs w:val="21"/>
              </w:rPr>
              <w:t>劳动力：投入计划与进度计划呼应，基本满足施工需要，调配投入计划基本合理；</w:t>
            </w:r>
          </w:p>
          <w:p>
            <w:pPr>
              <w:spacing w:line="300" w:lineRule="exact"/>
              <w:rPr>
                <w:rFonts w:ascii="Times New Roman"/>
                <w:spacing w:val="-4"/>
                <w:kern w:val="2"/>
                <w:sz w:val="21"/>
                <w:szCs w:val="21"/>
              </w:rPr>
            </w:pPr>
            <w:r>
              <w:rPr>
                <w:rFonts w:ascii="Times New Roman"/>
                <w:spacing w:val="-4"/>
                <w:kern w:val="2"/>
                <w:sz w:val="21"/>
                <w:szCs w:val="21"/>
              </w:rPr>
              <w:t>3.</w:t>
            </w:r>
            <w:r>
              <w:rPr>
                <w:rFonts w:hint="eastAsia" w:ascii="Times New Roman"/>
                <w:spacing w:val="-4"/>
                <w:kern w:val="2"/>
                <w:sz w:val="21"/>
                <w:szCs w:val="21"/>
              </w:rPr>
              <w:t>主要物资计划：主要物资（含</w:t>
            </w:r>
            <w:r>
              <w:rPr>
                <w:rFonts w:ascii="Times New Roman"/>
                <w:spacing w:val="-4"/>
                <w:kern w:val="2"/>
                <w:sz w:val="21"/>
                <w:szCs w:val="21"/>
              </w:rPr>
              <w:t>PC</w:t>
            </w:r>
            <w:r>
              <w:rPr>
                <w:rFonts w:hint="eastAsia" w:ascii="Times New Roman"/>
                <w:spacing w:val="-4"/>
                <w:kern w:val="2"/>
                <w:sz w:val="21"/>
                <w:szCs w:val="21"/>
              </w:rPr>
              <w:t>构件的供应需求）投入计划与进度计划呼应，基本满足施工需要，调配投入计划基本合理。</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8</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施工进度表与网络计划图</w:t>
            </w:r>
          </w:p>
        </w:tc>
        <w:tc>
          <w:tcPr>
            <w:tcW w:w="851" w:type="dxa"/>
            <w:vMerge w:val="restart"/>
            <w:vAlign w:val="center"/>
          </w:tcPr>
          <w:p>
            <w:pPr>
              <w:jc w:val="center"/>
              <w:rPr>
                <w:rFonts w:ascii="Times New Roman"/>
                <w:kern w:val="2"/>
                <w:sz w:val="21"/>
                <w:szCs w:val="21"/>
              </w:rPr>
            </w:pPr>
            <w:r>
              <w:rPr>
                <w:rFonts w:ascii="Times New Roman"/>
                <w:kern w:val="2"/>
                <w:sz w:val="21"/>
                <w:szCs w:val="21"/>
              </w:rPr>
              <w:t>0.5-2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关键线路基本准确，计划编制基本可行。</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9</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施工总平面图布置</w:t>
            </w:r>
          </w:p>
        </w:tc>
        <w:tc>
          <w:tcPr>
            <w:tcW w:w="851" w:type="dxa"/>
            <w:vMerge w:val="restart"/>
            <w:vAlign w:val="center"/>
          </w:tcPr>
          <w:p>
            <w:pPr>
              <w:jc w:val="center"/>
              <w:rPr>
                <w:rFonts w:ascii="Times New Roman"/>
                <w:kern w:val="2"/>
                <w:sz w:val="21"/>
                <w:szCs w:val="21"/>
              </w:rPr>
            </w:pPr>
            <w:r>
              <w:rPr>
                <w:rFonts w:ascii="Times New Roman"/>
                <w:kern w:val="2"/>
                <w:sz w:val="21"/>
                <w:szCs w:val="21"/>
              </w:rPr>
              <w:t>0.5-1</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276" w:type="dxa"/>
            <w:vAlign w:val="center"/>
          </w:tcPr>
          <w:p>
            <w:pPr>
              <w:jc w:val="center"/>
              <w:rPr>
                <w:rFonts w:ascii="Times New Roman"/>
                <w:kern w:val="2"/>
                <w:sz w:val="21"/>
                <w:szCs w:val="21"/>
              </w:rPr>
            </w:pPr>
            <w:r>
              <w:rPr>
                <w:rFonts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总体布置基本合理、基本满足施工需要。</w:t>
            </w:r>
          </w:p>
        </w:tc>
        <w:tc>
          <w:tcPr>
            <w:tcW w:w="1276" w:type="dxa"/>
            <w:vAlign w:val="center"/>
          </w:tcPr>
          <w:p>
            <w:pPr>
              <w:jc w:val="center"/>
              <w:rPr>
                <w:rFonts w:ascii="Times New Roman"/>
                <w:kern w:val="2"/>
                <w:sz w:val="21"/>
                <w:szCs w:val="21"/>
              </w:rPr>
            </w:pPr>
            <w:r>
              <w:rPr>
                <w:rFonts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10</w:t>
            </w:r>
          </w:p>
        </w:tc>
        <w:tc>
          <w:tcPr>
            <w:tcW w:w="1276" w:type="dxa"/>
            <w:vMerge w:val="restart"/>
            <w:vAlign w:val="center"/>
          </w:tcPr>
          <w:p>
            <w:pPr>
              <w:jc w:val="left"/>
              <w:rPr>
                <w:rFonts w:ascii="Times New Roman"/>
                <w:kern w:val="2"/>
                <w:sz w:val="21"/>
                <w:szCs w:val="21"/>
              </w:rPr>
            </w:pPr>
            <w:r>
              <w:rPr>
                <w:rFonts w:hint="eastAsia" w:ascii="Times New Roman"/>
                <w:kern w:val="2"/>
                <w:sz w:val="21"/>
                <w:szCs w:val="21"/>
              </w:rPr>
              <w:t>技术创新的应用实施措施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spacing w:line="300" w:lineRule="exact"/>
              <w:rPr>
                <w:rFonts w:ascii="Times New Roman"/>
                <w:kern w:val="2"/>
                <w:sz w:val="21"/>
                <w:szCs w:val="21"/>
              </w:rPr>
            </w:pPr>
            <w:r>
              <w:rPr>
                <w:rFonts w:hint="eastAsia" w:ascii="Times New Roman"/>
                <w:kern w:val="2"/>
                <w:sz w:val="21"/>
                <w:szCs w:val="21"/>
              </w:rPr>
              <w:t>（</w:t>
            </w:r>
            <w:r>
              <w:rPr>
                <w:rFonts w:ascii="Times New Roman"/>
                <w:kern w:val="2"/>
                <w:sz w:val="21"/>
                <w:szCs w:val="21"/>
              </w:rPr>
              <w:t>1</w:t>
            </w:r>
            <w:r>
              <w:rPr>
                <w:rFonts w:hint="eastAsia" w:ascii="Times New Roman"/>
                <w:kern w:val="2"/>
                <w:sz w:val="21"/>
                <w:szCs w:val="21"/>
              </w:rPr>
              <w:t>）节能减排、（</w:t>
            </w:r>
            <w:r>
              <w:rPr>
                <w:rFonts w:ascii="Times New Roman"/>
                <w:kern w:val="2"/>
                <w:sz w:val="21"/>
                <w:szCs w:val="21"/>
              </w:rPr>
              <w:t>2</w:t>
            </w:r>
            <w:r>
              <w:rPr>
                <w:rFonts w:hint="eastAsia" w:ascii="Times New Roman"/>
                <w:kern w:val="2"/>
                <w:sz w:val="21"/>
                <w:szCs w:val="21"/>
              </w:rPr>
              <w:t>）绿色施工、（</w:t>
            </w:r>
            <w:r>
              <w:rPr>
                <w:rFonts w:ascii="Times New Roman"/>
                <w:kern w:val="2"/>
                <w:sz w:val="21"/>
                <w:szCs w:val="21"/>
              </w:rPr>
              <w:t>3</w:t>
            </w:r>
            <w:r>
              <w:rPr>
                <w:rFonts w:hint="eastAsia" w:ascii="Times New Roman"/>
                <w:kern w:val="2"/>
                <w:sz w:val="21"/>
                <w:szCs w:val="21"/>
              </w:rPr>
              <w:t>）工艺创新、（</w:t>
            </w:r>
            <w:r>
              <w:rPr>
                <w:rFonts w:ascii="Times New Roman"/>
                <w:kern w:val="2"/>
                <w:sz w:val="21"/>
                <w:szCs w:val="21"/>
              </w:rPr>
              <w:t>4</w:t>
            </w:r>
            <w:r>
              <w:rPr>
                <w:rFonts w:hint="eastAsia" w:ascii="Times New Roman"/>
                <w:kern w:val="2"/>
                <w:sz w:val="21"/>
                <w:szCs w:val="21"/>
              </w:rPr>
              <w:t>）装配式建筑等技术创新的应用实施措施符合工程情况，具有针对性、可行性、经济适用性。</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spacing w:line="300" w:lineRule="exact"/>
              <w:rPr>
                <w:rFonts w:ascii="Times New Roman"/>
                <w:kern w:val="2"/>
                <w:sz w:val="21"/>
                <w:szCs w:val="21"/>
              </w:rPr>
            </w:pPr>
            <w:r>
              <w:rPr>
                <w:rFonts w:hint="eastAsia" w:ascii="Times New Roman"/>
                <w:spacing w:val="-8"/>
                <w:kern w:val="2"/>
                <w:sz w:val="21"/>
                <w:szCs w:val="21"/>
              </w:rPr>
              <w:t>（</w:t>
            </w:r>
            <w:r>
              <w:rPr>
                <w:rFonts w:ascii="Times New Roman"/>
                <w:spacing w:val="-8"/>
                <w:kern w:val="2"/>
                <w:sz w:val="21"/>
                <w:szCs w:val="21"/>
              </w:rPr>
              <w:t>1</w:t>
            </w:r>
            <w:r>
              <w:rPr>
                <w:rFonts w:hint="eastAsia" w:ascii="Times New Roman"/>
                <w:spacing w:val="-8"/>
                <w:kern w:val="2"/>
                <w:sz w:val="21"/>
                <w:szCs w:val="21"/>
              </w:rPr>
              <w:t>）节能减排、（</w:t>
            </w:r>
            <w:r>
              <w:rPr>
                <w:rFonts w:ascii="Times New Roman"/>
                <w:spacing w:val="-8"/>
                <w:kern w:val="2"/>
                <w:sz w:val="21"/>
                <w:szCs w:val="21"/>
              </w:rPr>
              <w:t>2</w:t>
            </w:r>
            <w:r>
              <w:rPr>
                <w:rFonts w:hint="eastAsia" w:ascii="Times New Roman"/>
                <w:spacing w:val="-8"/>
                <w:kern w:val="2"/>
                <w:sz w:val="21"/>
                <w:szCs w:val="21"/>
              </w:rPr>
              <w:t>）绿色施工、（</w:t>
            </w:r>
            <w:r>
              <w:rPr>
                <w:rFonts w:ascii="Times New Roman"/>
                <w:spacing w:val="-8"/>
                <w:kern w:val="2"/>
                <w:sz w:val="21"/>
                <w:szCs w:val="21"/>
              </w:rPr>
              <w:t>3</w:t>
            </w:r>
            <w:r>
              <w:rPr>
                <w:rFonts w:hint="eastAsia" w:ascii="Times New Roman"/>
                <w:spacing w:val="-8"/>
                <w:kern w:val="2"/>
                <w:sz w:val="21"/>
                <w:szCs w:val="21"/>
              </w:rPr>
              <w:t>）工艺创新、（</w:t>
            </w:r>
            <w:r>
              <w:rPr>
                <w:rFonts w:ascii="Times New Roman"/>
                <w:spacing w:val="-8"/>
                <w:kern w:val="2"/>
                <w:sz w:val="21"/>
                <w:szCs w:val="21"/>
              </w:rPr>
              <w:t>4</w:t>
            </w:r>
            <w:r>
              <w:rPr>
                <w:rFonts w:hint="eastAsia" w:ascii="Times New Roman"/>
                <w:spacing w:val="-8"/>
                <w:kern w:val="2"/>
                <w:sz w:val="21"/>
                <w:szCs w:val="21"/>
              </w:rPr>
              <w:t>）装配式建筑等技术创新的应用实施措施基本符合工程情况，具有针</w:t>
            </w:r>
            <w:r>
              <w:rPr>
                <w:rFonts w:hint="eastAsia" w:ascii="Times New Roman"/>
                <w:kern w:val="2"/>
                <w:sz w:val="21"/>
                <w:szCs w:val="21"/>
              </w:rPr>
              <w:t>对性。</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11</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等的程度满足设计要求，符合施工需要和相应技术标准等规定，经济适用。</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采用新工艺、新技术、新设备、新材料、</w:t>
            </w:r>
            <w:r>
              <w:rPr>
                <w:rFonts w:ascii="Times New Roman"/>
                <w:kern w:val="2"/>
                <w:sz w:val="21"/>
                <w:szCs w:val="21"/>
              </w:rPr>
              <w:t>BIM</w:t>
            </w:r>
            <w:r>
              <w:rPr>
                <w:rFonts w:hint="eastAsia" w:ascii="Times New Roman"/>
                <w:kern w:val="2"/>
                <w:sz w:val="21"/>
                <w:szCs w:val="21"/>
              </w:rPr>
              <w:t>等的程度满足设计要求，</w:t>
            </w:r>
            <w:r>
              <w:rPr>
                <w:rFonts w:ascii="Times New Roman"/>
                <w:kern w:val="2"/>
                <w:sz w:val="21"/>
                <w:szCs w:val="21"/>
              </w:rPr>
              <w:t xml:space="preserve"> </w:t>
            </w:r>
            <w:r>
              <w:rPr>
                <w:rFonts w:hint="eastAsia" w:ascii="Times New Roman"/>
                <w:kern w:val="2"/>
                <w:sz w:val="21"/>
                <w:szCs w:val="21"/>
              </w:rPr>
              <w:t>基本符合施工要求和相应技术标准等规定。</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12</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施工现场实施信息化监控和数据处理</w:t>
            </w:r>
          </w:p>
        </w:tc>
        <w:tc>
          <w:tcPr>
            <w:tcW w:w="851" w:type="dxa"/>
            <w:vMerge w:val="restart"/>
            <w:vAlign w:val="center"/>
          </w:tcPr>
          <w:p>
            <w:pPr>
              <w:jc w:val="center"/>
              <w:rPr>
                <w:rFonts w:ascii="Times New Roman"/>
                <w:kern w:val="2"/>
                <w:sz w:val="21"/>
                <w:szCs w:val="21"/>
              </w:rPr>
            </w:pPr>
            <w:r>
              <w:rPr>
                <w:rFonts w:ascii="Times New Roman"/>
                <w:kern w:val="2"/>
                <w:sz w:val="21"/>
                <w:szCs w:val="21"/>
              </w:rPr>
              <w:t>0.5-1.5</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施工现场实施信息化监控和数据处理系统布置合理，满足需要。</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施工现场实施信息化监控和数据处理系统布置基本符合需要。</w:t>
            </w:r>
          </w:p>
        </w:tc>
        <w:tc>
          <w:tcPr>
            <w:tcW w:w="1276" w:type="dxa"/>
            <w:vAlign w:val="center"/>
          </w:tcPr>
          <w:p>
            <w:pPr>
              <w:jc w:val="center"/>
              <w:rPr>
                <w:rFonts w:ascii="Times New Roman"/>
                <w:kern w:val="2"/>
                <w:sz w:val="21"/>
                <w:szCs w:val="21"/>
              </w:rPr>
            </w:pPr>
            <w:r>
              <w:rPr>
                <w:rFonts w:ascii="Times New Roman"/>
                <w:kern w:val="2"/>
                <w:sz w:val="21"/>
                <w:szCs w:val="21"/>
              </w:rPr>
              <w:t>0.5</w:t>
            </w:r>
            <w:r>
              <w:rPr>
                <w:rFonts w:hint="eastAsia" w:ascii="Times New Roman"/>
                <w:kern w:val="2"/>
                <w:sz w:val="21"/>
                <w:szCs w:val="21"/>
              </w:rPr>
              <w:t>＜得分</w:t>
            </w:r>
            <w:r>
              <w:rPr>
                <w:rFonts w:ascii="Times New Roman"/>
                <w:kern w:val="2"/>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ascii="Times New Roman"/>
                <w:kern w:val="2"/>
                <w:sz w:val="21"/>
                <w:szCs w:val="21"/>
              </w:rPr>
            </w:pPr>
            <w:r>
              <w:rPr>
                <w:rFonts w:ascii="Times New Roman"/>
                <w:kern w:val="2"/>
                <w:sz w:val="21"/>
                <w:szCs w:val="21"/>
              </w:rPr>
              <w:t>13</w:t>
            </w:r>
          </w:p>
        </w:tc>
        <w:tc>
          <w:tcPr>
            <w:tcW w:w="1276" w:type="dxa"/>
            <w:vMerge w:val="restart"/>
            <w:vAlign w:val="center"/>
          </w:tcPr>
          <w:p>
            <w:pPr>
              <w:jc w:val="center"/>
              <w:rPr>
                <w:rFonts w:ascii="Times New Roman"/>
                <w:kern w:val="2"/>
                <w:sz w:val="21"/>
                <w:szCs w:val="21"/>
              </w:rPr>
            </w:pPr>
            <w:r>
              <w:rPr>
                <w:rFonts w:hint="eastAsia" w:ascii="Times New Roman"/>
                <w:kern w:val="2"/>
                <w:sz w:val="21"/>
                <w:szCs w:val="21"/>
              </w:rPr>
              <w:t>风险管理措施</w:t>
            </w:r>
          </w:p>
        </w:tc>
        <w:tc>
          <w:tcPr>
            <w:tcW w:w="851" w:type="dxa"/>
            <w:vMerge w:val="restart"/>
            <w:vAlign w:val="center"/>
          </w:tcPr>
          <w:p>
            <w:pPr>
              <w:jc w:val="center"/>
              <w:rPr>
                <w:rFonts w:ascii="Times New Roman"/>
                <w:kern w:val="2"/>
                <w:sz w:val="21"/>
                <w:szCs w:val="21"/>
              </w:rPr>
            </w:pPr>
            <w:r>
              <w:rPr>
                <w:rFonts w:ascii="Times New Roman"/>
                <w:kern w:val="2"/>
                <w:sz w:val="21"/>
                <w:szCs w:val="21"/>
              </w:rPr>
              <w:t>1-2</w:t>
            </w:r>
            <w:r>
              <w:rPr>
                <w:rFonts w:hint="eastAsia" w:ascii="Times New Roman"/>
                <w:kern w:val="2"/>
                <w:sz w:val="21"/>
                <w:szCs w:val="21"/>
              </w:rPr>
              <w:t>分</w:t>
            </w:r>
          </w:p>
        </w:tc>
        <w:tc>
          <w:tcPr>
            <w:tcW w:w="5528" w:type="dxa"/>
            <w:vAlign w:val="center"/>
          </w:tcPr>
          <w:p>
            <w:pPr>
              <w:rPr>
                <w:rFonts w:ascii="Times New Roman"/>
                <w:kern w:val="2"/>
                <w:sz w:val="21"/>
                <w:szCs w:val="21"/>
              </w:rPr>
            </w:pPr>
            <w:r>
              <w:rPr>
                <w:rFonts w:hint="eastAsia" w:ascii="Times New Roman"/>
                <w:kern w:val="2"/>
                <w:sz w:val="21"/>
                <w:szCs w:val="21"/>
              </w:rPr>
              <w:t>风险防控管理措施齐全，风险预控符合规范要求，风险控制要点定位准确，各阶段风险控制及应急措施得力。</w:t>
            </w:r>
          </w:p>
        </w:tc>
        <w:tc>
          <w:tcPr>
            <w:tcW w:w="1276" w:type="dxa"/>
            <w:vAlign w:val="center"/>
          </w:tcPr>
          <w:p>
            <w:pPr>
              <w:jc w:val="center"/>
              <w:rPr>
                <w:rFonts w:ascii="Times New Roman"/>
                <w:kern w:val="2"/>
                <w:sz w:val="21"/>
                <w:szCs w:val="21"/>
              </w:rPr>
            </w:pPr>
            <w:r>
              <w:rPr>
                <w:rFonts w:ascii="Times New Roman"/>
                <w:kern w:val="2"/>
                <w:sz w:val="21"/>
                <w:szCs w:val="21"/>
              </w:rPr>
              <w:t>1.5</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ascii="Times New Roman"/>
                <w:kern w:val="2"/>
                <w:sz w:val="21"/>
                <w:szCs w:val="21"/>
              </w:rPr>
            </w:pPr>
          </w:p>
        </w:tc>
        <w:tc>
          <w:tcPr>
            <w:tcW w:w="1276" w:type="dxa"/>
            <w:vMerge w:val="continue"/>
            <w:vAlign w:val="center"/>
          </w:tcPr>
          <w:p>
            <w:pPr>
              <w:jc w:val="left"/>
              <w:rPr>
                <w:rFonts w:ascii="Times New Roman"/>
                <w:kern w:val="2"/>
                <w:sz w:val="21"/>
                <w:szCs w:val="21"/>
              </w:rPr>
            </w:pPr>
          </w:p>
        </w:tc>
        <w:tc>
          <w:tcPr>
            <w:tcW w:w="851" w:type="dxa"/>
            <w:vMerge w:val="continue"/>
            <w:vAlign w:val="center"/>
          </w:tcPr>
          <w:p>
            <w:pPr>
              <w:jc w:val="left"/>
              <w:rPr>
                <w:rFonts w:ascii="Times New Roman"/>
                <w:kern w:val="2"/>
                <w:sz w:val="21"/>
                <w:szCs w:val="21"/>
              </w:rPr>
            </w:pPr>
          </w:p>
        </w:tc>
        <w:tc>
          <w:tcPr>
            <w:tcW w:w="5528" w:type="dxa"/>
            <w:vAlign w:val="center"/>
          </w:tcPr>
          <w:p>
            <w:pPr>
              <w:rPr>
                <w:rFonts w:ascii="Times New Roman"/>
                <w:kern w:val="2"/>
                <w:sz w:val="21"/>
                <w:szCs w:val="21"/>
              </w:rPr>
            </w:pPr>
            <w:r>
              <w:rPr>
                <w:rFonts w:hint="eastAsia" w:ascii="Times New Roman"/>
                <w:kern w:val="2"/>
                <w:sz w:val="21"/>
                <w:szCs w:val="21"/>
              </w:rPr>
              <w:t>风险防控管理措施基本齐全，风险预控符合规范要求，风险控制要点定位基本准确，有各阶段风险控制及应急措施。</w:t>
            </w:r>
          </w:p>
        </w:tc>
        <w:tc>
          <w:tcPr>
            <w:tcW w:w="1276"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gridSpan w:val="2"/>
            <w:vAlign w:val="center"/>
          </w:tcPr>
          <w:p>
            <w:pPr>
              <w:jc w:val="center"/>
              <w:rPr>
                <w:rFonts w:ascii="Times New Roman"/>
                <w:kern w:val="2"/>
                <w:sz w:val="21"/>
                <w:szCs w:val="21"/>
              </w:rPr>
            </w:pPr>
            <w:r>
              <w:rPr>
                <w:rFonts w:hint="eastAsia" w:ascii="Times New Roman"/>
                <w:kern w:val="2"/>
                <w:sz w:val="21"/>
                <w:szCs w:val="21"/>
              </w:rPr>
              <w:t>合计</w:t>
            </w:r>
          </w:p>
        </w:tc>
        <w:tc>
          <w:tcPr>
            <w:tcW w:w="851" w:type="dxa"/>
            <w:vAlign w:val="center"/>
          </w:tcPr>
          <w:p>
            <w:pPr>
              <w:jc w:val="center"/>
              <w:rPr>
                <w:rFonts w:ascii="Times New Roman"/>
                <w:kern w:val="2"/>
                <w:sz w:val="21"/>
                <w:szCs w:val="21"/>
              </w:rPr>
            </w:pPr>
            <w:r>
              <w:rPr>
                <w:rFonts w:ascii="Times New Roman"/>
                <w:kern w:val="2"/>
                <w:sz w:val="21"/>
                <w:szCs w:val="21"/>
              </w:rPr>
              <w:t>10-25</w:t>
            </w:r>
            <w:r>
              <w:rPr>
                <w:rFonts w:hint="eastAsia" w:ascii="Times New Roman"/>
                <w:kern w:val="2"/>
                <w:sz w:val="21"/>
                <w:szCs w:val="21"/>
              </w:rPr>
              <w:t>分</w:t>
            </w:r>
          </w:p>
        </w:tc>
        <w:tc>
          <w:tcPr>
            <w:tcW w:w="5528" w:type="dxa"/>
            <w:vAlign w:val="center"/>
          </w:tcPr>
          <w:p>
            <w:pPr>
              <w:rPr>
                <w:rFonts w:ascii="Times New Roman"/>
                <w:kern w:val="2"/>
                <w:sz w:val="21"/>
                <w:szCs w:val="21"/>
              </w:rPr>
            </w:pPr>
          </w:p>
        </w:tc>
        <w:tc>
          <w:tcPr>
            <w:tcW w:w="1276" w:type="dxa"/>
            <w:vAlign w:val="center"/>
          </w:tcPr>
          <w:p>
            <w:pPr>
              <w:jc w:val="center"/>
              <w:rPr>
                <w:rFonts w:ascii="Times New Roman"/>
                <w:kern w:val="2"/>
                <w:sz w:val="21"/>
                <w:szCs w:val="21"/>
              </w:rPr>
            </w:pPr>
            <w:r>
              <w:rPr>
                <w:rFonts w:ascii="Times New Roman"/>
                <w:kern w:val="2"/>
                <w:sz w:val="21"/>
                <w:szCs w:val="21"/>
              </w:rPr>
              <w:t>10≤</w:t>
            </w:r>
            <w:r>
              <w:rPr>
                <w:rFonts w:hint="eastAsia" w:ascii="Times New Roman"/>
                <w:kern w:val="2"/>
                <w:sz w:val="21"/>
                <w:szCs w:val="21"/>
              </w:rPr>
              <w:t>得分</w:t>
            </w:r>
            <w:r>
              <w:rPr>
                <w:rFonts w:ascii="Times New Roman"/>
                <w:kern w:val="2"/>
                <w:sz w:val="21"/>
                <w:szCs w:val="21"/>
              </w:rPr>
              <w:t>≤25</w:t>
            </w:r>
          </w:p>
        </w:tc>
      </w:tr>
    </w:tbl>
    <w:p>
      <w:pPr>
        <w:adjustRightInd w:val="0"/>
        <w:snapToGrid w:val="0"/>
        <w:spacing w:line="460" w:lineRule="exact"/>
        <w:rPr>
          <w:rFonts w:hAnsi="宋体" w:cs="宋体"/>
          <w:b/>
          <w:bCs/>
          <w:sz w:val="24"/>
          <w:szCs w:val="24"/>
        </w:rPr>
      </w:pPr>
      <w:r>
        <w:rPr>
          <w:rFonts w:hint="eastAsia" w:hAnsi="宋体" w:cs="宋体"/>
          <w:b/>
          <w:bCs/>
          <w:sz w:val="24"/>
          <w:szCs w:val="24"/>
        </w:rPr>
        <w:t>（四）综合（信用）标（25分）</w:t>
      </w:r>
    </w:p>
    <w:tbl>
      <w:tblPr>
        <w:tblStyle w:val="27"/>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企业近年来承建过类似项目者每项得2分，本项最高得4分。提供中标公示网页截图、施工合同和竣工验收备案表或中标公示网页截图、施工合同和中标通知书（三项缺一项不得分）。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近年来拟派建造师承建过类似项目者每项得3分，本项最高得6分。提供中标公示网页截图、施工合同和竣工验收备案表或中标公示网页截图、施工合同和中标通知书（三项缺一项不得分），若上述资料不显示项目负责人姓名，还须同时提供建设单位出具的相关证明文件。</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jc w:val="left"/>
              <w:rPr>
                <w:rFonts w:ascii="Times New Roman"/>
                <w:kern w:val="2"/>
                <w:sz w:val="21"/>
                <w:szCs w:val="21"/>
              </w:rPr>
            </w:pPr>
            <w:r>
              <w:rPr>
                <w:rFonts w:hint="eastAsia" w:ascii="Times New Roman"/>
                <w:kern w:val="2"/>
                <w:sz w:val="21"/>
                <w:szCs w:val="21"/>
              </w:rPr>
              <w:t>企业近年获得省级“安全文明工地荣誉称号”得4分，市级得2分。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jc w:val="left"/>
              <w:rPr>
                <w:rFonts w:ascii="Times New Roman"/>
                <w:kern w:val="2"/>
                <w:sz w:val="21"/>
                <w:szCs w:val="21"/>
              </w:rPr>
            </w:pPr>
            <w:r>
              <w:rPr>
                <w:rFonts w:hint="eastAsia" w:ascii="Times New Roman"/>
                <w:kern w:val="2"/>
                <w:sz w:val="21"/>
                <w:szCs w:val="21"/>
              </w:rPr>
              <w:t>拟派项目负责人近年参与项目获得省级“安全文明标准化工地”奖项得2分，市级得1分。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460" w:lineRule="exact"/>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2)</w:t>
      </w:r>
      <w:r>
        <w:rPr>
          <w:rFonts w:hint="eastAsia" w:hAnsi="宋体" w:cs="宋体"/>
          <w:b/>
          <w:sz w:val="24"/>
        </w:rPr>
        <w:t xml:space="preserve"> 凡评标办法里涉及到的证书、证件及业绩材料等，均应在投标文件中附其原件扫描件（或图片），否则该项得分应作0分处理。</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Ansi="宋体" w:cs="宋体"/>
          <w:b/>
          <w:bCs/>
          <w:sz w:val="24"/>
          <w:szCs w:val="24"/>
        </w:rPr>
      </w:pPr>
      <w:r>
        <w:rPr>
          <w:rFonts w:hint="eastAsia" w:hAnsi="宋体" w:cs="宋体"/>
          <w:b/>
          <w:bCs/>
          <w:sz w:val="24"/>
          <w:szCs w:val="24"/>
        </w:rPr>
        <w:t>五）</w:t>
      </w:r>
      <w:r>
        <w:rPr>
          <w:rFonts w:hAnsi="宋体" w:cs="宋体"/>
          <w:b/>
          <w:bCs/>
          <w:sz w:val="24"/>
          <w:szCs w:val="24"/>
        </w:rPr>
        <w:t>投标人最终得分</w:t>
      </w:r>
      <w:bookmarkStart w:id="71" w:name="_Toc272833453"/>
      <w:bookmarkStart w:id="72" w:name="_Toc270931534"/>
      <w:bookmarkStart w:id="73" w:name="_Toc295572535"/>
      <w:bookmarkStart w:id="74" w:name="_Toc273546398"/>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pStyle w:val="2"/>
        <w:ind w:firstLine="482" w:firstLineChars="200"/>
        <w:rPr>
          <w:rFonts w:hAnsi="宋体" w:cs="宋体"/>
          <w:b/>
          <w:bCs/>
          <w:sz w:val="24"/>
          <w:szCs w:val="24"/>
        </w:rPr>
      </w:pPr>
      <w:r>
        <w:rPr>
          <w:rFonts w:hint="eastAsia" w:hAnsi="宋体" w:cs="宋体"/>
          <w:b/>
          <w:bCs/>
          <w:sz w:val="24"/>
          <w:szCs w:val="24"/>
        </w:rPr>
        <w:t>因该项目涉及08（园林绿化）定额及16定额，为满足清标系统要求，故将两种定额清单分为两个标段进行制作，评标委员会完成对两个标段的评审后，请手动对各投标人的得分进行汇总。</w:t>
      </w:r>
    </w:p>
    <w:p>
      <w:pPr>
        <w:snapToGrid w:val="0"/>
        <w:spacing w:line="360" w:lineRule="auto"/>
        <w:ind w:firstLine="480"/>
        <w:rPr>
          <w:rFonts w:hAnsi="宋体" w:cs="宋体"/>
          <w:sz w:val="24"/>
          <w:szCs w:val="24"/>
        </w:rPr>
      </w:pPr>
      <w:r>
        <w:rPr>
          <w:rFonts w:hint="eastAsia" w:hAnsi="宋体" w:cs="宋体"/>
          <w:sz w:val="24"/>
          <w:szCs w:val="24"/>
        </w:rPr>
        <w:t>投标人得分=08定额部分商务标得分*0.5+16定额部分商务标得分*0.5+任一部分技术标得分+任一部分综合信用标得分</w:t>
      </w:r>
    </w:p>
    <w:p>
      <w:pPr>
        <w:snapToGrid w:val="0"/>
        <w:spacing w:line="360" w:lineRule="auto"/>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lang w:val="en-US" w:eastAsia="zh-CN"/>
        </w:rPr>
        <w:t>九</w:t>
      </w:r>
      <w:r>
        <w:rPr>
          <w:rFonts w:hint="eastAsia" w:ascii="新宋体" w:hAns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w:t>
      </w:r>
      <w:r>
        <w:rPr>
          <w:rFonts w:hint="eastAsia" w:ascii="新宋体" w:hAnsi="新宋体" w:eastAsia="新宋体" w:cs="宋体"/>
          <w:b/>
          <w:sz w:val="24"/>
        </w:rPr>
        <w:t>、定标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lang w:val="en-US" w:eastAsia="zh-CN"/>
        </w:rPr>
        <w:t>十一</w:t>
      </w:r>
      <w:r>
        <w:rPr>
          <w:rFonts w:hint="eastAsia" w:ascii="新宋体" w:hAnsi="新宋体" w:eastAsia="新宋体" w:cs="宋体"/>
          <w:b/>
          <w:sz w:val="24"/>
        </w:rPr>
        <w:t>、评标报告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w:t>
      </w:r>
      <w:r>
        <w:rPr>
          <w:rFonts w:hint="eastAsia" w:ascii="新宋体" w:hAnsi="新宋体" w:eastAsia="新宋体" w:cs="宋体"/>
          <w:b/>
          <w:sz w:val="24"/>
          <w:lang w:val="en-US" w:eastAsia="zh-CN"/>
        </w:rPr>
        <w:t>二</w:t>
      </w:r>
      <w:r>
        <w:rPr>
          <w:rFonts w:hint="eastAsia" w:ascii="新宋体" w:hAnsi="新宋体" w:eastAsia="新宋体" w:cs="宋体"/>
          <w:b/>
          <w:sz w:val="24"/>
        </w:rPr>
        <w:t>、公示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w:t>
      </w:r>
      <w:r>
        <w:rPr>
          <w:rFonts w:hint="eastAsia" w:ascii="新宋体" w:hAnsi="新宋体" w:eastAsia="新宋体"/>
          <w:b/>
          <w:sz w:val="24"/>
          <w:lang w:val="en-US" w:eastAsia="zh-CN"/>
        </w:rPr>
        <w:t>三</w:t>
      </w:r>
      <w:r>
        <w:rPr>
          <w:rFonts w:hint="eastAsia" w:ascii="新宋体" w:hAnsi="新宋体" w:eastAsia="新宋体"/>
          <w:b/>
          <w:sz w:val="24"/>
        </w:rPr>
        <w:t>、特殊情况的处置程序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3</w:t>
      </w:r>
      <w:r>
        <w:rPr>
          <w:rFonts w:hint="eastAsia" w:ascii="新宋体" w:hAnsi="新宋体" w:eastAsia="新宋体"/>
          <w:sz w:val="24"/>
        </w:rPr>
        <w:t>.3.2退出评标的评标委员会成员，其已完成的评标行为无效。由招标人根据本招标文件规定的评标委员会成员产生方式另行确定替代者进行评标。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w:t>
      </w:r>
      <w:r>
        <w:rPr>
          <w:rFonts w:hint="eastAsia" w:ascii="新宋体" w:hAnsi="新宋体" w:eastAsia="新宋体"/>
          <w:b/>
          <w:sz w:val="24"/>
          <w:lang w:val="en-US" w:eastAsia="zh-CN"/>
        </w:rPr>
        <w:t>3</w:t>
      </w:r>
      <w:r>
        <w:rPr>
          <w:rFonts w:hint="eastAsia" w:ascii="新宋体" w:hAnsi="新宋体" w:eastAsia="新宋体"/>
          <w:b/>
          <w:sz w:val="24"/>
        </w:rPr>
        <w:t>.4记名投票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w:t>
      </w:r>
      <w:r>
        <w:rPr>
          <w:rFonts w:hint="eastAsia"/>
          <w:b/>
          <w:sz w:val="24"/>
          <w:lang w:val="en-US" w:eastAsia="zh-CN"/>
        </w:rPr>
        <w:t>3</w:t>
      </w:r>
      <w:r>
        <w:rPr>
          <w:rFonts w:hint="eastAsia"/>
          <w:b/>
          <w:sz w:val="24"/>
        </w:rPr>
        <w:t>.5评标委员会对评标结果有异议的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ascii="华文中宋" w:hAnsi="华文中宋" w:eastAsia="华文中宋"/>
          <w:b/>
          <w:bCs/>
          <w:sz w:val="32"/>
          <w:szCs w:val="32"/>
        </w:rPr>
      </w:pPr>
      <w:bookmarkStart w:id="75" w:name="_Toc283559990"/>
      <w:r>
        <w:rPr>
          <w:rFonts w:hAnsi="宋体" w:cs="黑体"/>
          <w:b/>
          <w:sz w:val="36"/>
          <w:szCs w:val="36"/>
        </w:rPr>
        <w:br w:type="page"/>
      </w:r>
      <w:r>
        <w:rPr>
          <w:rFonts w:hint="eastAsia" w:ascii="华文中宋" w:hAnsi="华文中宋" w:eastAsia="华文中宋"/>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 xml:space="preserve">魏都区结对帮扶小召乡朱庄村项目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金额：16定额部分人民币：陆仟元整（6000.00 元）</w:t>
            </w:r>
          </w:p>
          <w:p>
            <w:pPr>
              <w:pStyle w:val="2"/>
              <w:ind w:firstLine="720" w:firstLineChars="300"/>
              <w:rPr>
                <w:rFonts w:hint="eastAsia"/>
              </w:rPr>
            </w:pPr>
            <w:r>
              <w:rPr>
                <w:rFonts w:hint="eastAsia" w:hAnsi="宋体" w:cs="宋体"/>
                <w:sz w:val="24"/>
              </w:rPr>
              <w:t>08定额部分人民币：肆仟元整（4000.00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2"/>
                <w:rFonts w:hint="eastAsia" w:hAnsi="宋体" w:cs="宋体"/>
                <w:color w:val="auto"/>
                <w:sz w:val="24"/>
                <w:szCs w:val="24"/>
              </w:rPr>
              <w:t>http://221.14.6.70:8088/ggzy</w:t>
            </w:r>
            <w:r>
              <w:rPr>
                <w:rStyle w:val="32"/>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pStyle w:val="2"/>
        <w:ind w:firstLine="360"/>
        <w:rPr>
          <w:rFonts w:hAnsi="宋体"/>
          <w:sz w:val="36"/>
          <w:szCs w:val="36"/>
        </w:rPr>
      </w:pPr>
    </w:p>
    <w:p>
      <w:pPr>
        <w:ind w:firstLine="2880" w:firstLineChars="800"/>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jc w:val="center"/>
        <w:outlineLvl w:val="0"/>
        <w:rPr>
          <w:rFonts w:hAnsi="宋体" w:cs="宋体"/>
          <w:b/>
          <w:bCs/>
          <w:kern w:val="44"/>
          <w:sz w:val="44"/>
          <w:szCs w:val="44"/>
        </w:rPr>
      </w:pPr>
      <w:bookmarkStart w:id="76" w:name="_Toc26082"/>
      <w:bookmarkStart w:id="77" w:name="_Toc15330"/>
      <w:bookmarkStart w:id="78" w:name="_Toc401323967"/>
      <w:r>
        <w:rPr>
          <w:rFonts w:hint="eastAsia" w:ascii="黑体" w:eastAsia="黑体"/>
          <w:b/>
          <w:sz w:val="44"/>
          <w:szCs w:val="44"/>
        </w:rPr>
        <w:t>第四章  合同条款及格式</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312420</wp:posOffset>
                </wp:positionV>
                <wp:extent cx="723900" cy="457200"/>
                <wp:effectExtent l="10160" t="10160" r="8890"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4"/>
        <w:spacing w:before="0" w:after="0" w:line="360" w:lineRule="auto"/>
        <w:jc w:val="center"/>
        <w:rPr>
          <w:rFonts w:ascii="宋体" w:hAnsi="宋体" w:cs="宋体"/>
          <w:sz w:val="24"/>
          <w:szCs w:val="24"/>
          <w:lang w:val="zh-CN"/>
        </w:rPr>
      </w:pPr>
      <w:r>
        <w:rPr>
          <w:rFonts w:hint="eastAsia" w:ascii="宋体" w:hAnsi="宋体"/>
          <w:b w:val="0"/>
          <w:sz w:val="24"/>
          <w:szCs w:val="24"/>
        </w:rPr>
        <w:br w:type="page"/>
      </w:r>
      <w:bookmarkEnd w:id="79"/>
      <w:bookmarkStart w:id="80" w:name="_Toc296503025"/>
      <w:bookmarkStart w:id="81" w:name="_Toc296890982"/>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7" w:type="first"/>
          <w:footerReference r:id="rId6"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发包人：  (公章)             承包人：  (公章)</w:t>
      </w: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u w:val="single"/>
        </w:rPr>
      </w:pPr>
    </w:p>
    <w:p>
      <w:pPr>
        <w:spacing w:line="360" w:lineRule="auto"/>
        <w:rPr>
          <w:rFonts w:hAnsi="宋体" w:cs="宋体"/>
          <w:sz w:val="24"/>
          <w:szCs w:val="24"/>
        </w:rPr>
      </w:pPr>
      <w:r>
        <w:rPr>
          <w:rFonts w:hint="eastAsia" w:hAnsi="宋体" w:cs="宋体"/>
          <w:sz w:val="24"/>
          <w:szCs w:val="24"/>
        </w:rPr>
        <w:t>法定代表人或其委托代理人：  法定代表人或其委托代理人：</w:t>
      </w:r>
    </w:p>
    <w:p>
      <w:pPr>
        <w:spacing w:line="360" w:lineRule="auto"/>
        <w:rPr>
          <w:rFonts w:hAnsi="宋体" w:cs="宋体"/>
          <w:sz w:val="24"/>
          <w:szCs w:val="24"/>
        </w:rPr>
      </w:pPr>
      <w:r>
        <w:rPr>
          <w:rFonts w:hint="eastAsia" w:hAnsi="宋体" w:cs="宋体"/>
          <w:sz w:val="24"/>
          <w:szCs w:val="24"/>
        </w:rPr>
        <w:t>（签字）                    （签字）</w:t>
      </w:r>
    </w:p>
    <w:p>
      <w:pPr>
        <w:spacing w:line="360" w:lineRule="auto"/>
        <w:rPr>
          <w:rFonts w:hAnsi="宋体" w:cs="宋体"/>
          <w:sz w:val="24"/>
          <w:szCs w:val="24"/>
          <w:u w:val="single"/>
        </w:rPr>
      </w:pP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  电子信箱：</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rPr>
        <w:t>账  号：</w:t>
      </w:r>
      <w:r>
        <w:rPr>
          <w:rFonts w:hint="eastAsia" w:hAnsi="宋体" w:cs="宋体"/>
          <w:sz w:val="24"/>
          <w:szCs w:val="24"/>
          <w:u w:val="single"/>
        </w:rPr>
        <w:t xml:space="preserve">     </w:t>
      </w:r>
    </w:p>
    <w:p>
      <w:pPr>
        <w:pStyle w:val="8"/>
        <w:spacing w:before="0" w:after="0" w:line="360" w:lineRule="auto"/>
        <w:jc w:val="center"/>
        <w:rPr>
          <w:rFonts w:hAnsi="宋体" w:cs="宋体"/>
          <w:sz w:val="24"/>
          <w:szCs w:val="24"/>
        </w:rPr>
      </w:pPr>
      <w:bookmarkStart w:id="96" w:name="_Toc351203494"/>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8819"/>
      <w:bookmarkStart w:id="99" w:name="_Toc225587132"/>
      <w:bookmarkStart w:id="100" w:name="_Toc246929345"/>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6891196"/>
      <w:bookmarkStart w:id="103" w:name="_Toc297120456"/>
      <w:bookmarkStart w:id="104" w:name="_Toc296944495"/>
      <w:bookmarkStart w:id="105" w:name="_Toc296347155"/>
      <w:bookmarkStart w:id="106" w:name="_Toc296346657"/>
      <w:bookmarkStart w:id="107" w:name="_Toc292559866"/>
      <w:bookmarkStart w:id="108" w:name="_Toc292559361"/>
      <w:bookmarkStart w:id="109" w:name="_Toc297048342"/>
      <w:bookmarkStart w:id="110" w:name="_Toc296890984"/>
      <w:bookmarkStart w:id="111" w:name="_Toc296503156"/>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12677986"/>
      <w:bookmarkStart w:id="113" w:name="_Toc318581155"/>
      <w:bookmarkStart w:id="114" w:name="_Toc303539100"/>
      <w:bookmarkStart w:id="115" w:name="_Toc300934943"/>
      <w:bookmarkStart w:id="116" w:name="_Toc304295521"/>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03539101"/>
      <w:bookmarkStart w:id="118" w:name="_Toc312677987"/>
      <w:bookmarkStart w:id="119" w:name="_Toc300934944"/>
      <w:bookmarkStart w:id="120" w:name="_Toc318581156"/>
      <w:bookmarkStart w:id="121" w:name="_Toc304295522"/>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6346658"/>
      <w:bookmarkStart w:id="125" w:name="_Toc292559867"/>
      <w:bookmarkStart w:id="126" w:name="_Toc296944496"/>
      <w:bookmarkStart w:id="127" w:name="_Toc296347156"/>
      <w:bookmarkStart w:id="128" w:name="_Toc296890985"/>
      <w:bookmarkStart w:id="129" w:name="_Toc297120457"/>
      <w:bookmarkStart w:id="130" w:name="_Toc292559362"/>
      <w:bookmarkStart w:id="131" w:name="_Toc297048343"/>
      <w:bookmarkStart w:id="132" w:name="_Toc296503157"/>
      <w:bookmarkStart w:id="133" w:name="_Toc296891197"/>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2559363"/>
      <w:bookmarkStart w:id="136" w:name="_Toc297048344"/>
      <w:bookmarkStart w:id="137" w:name="_Toc296944497"/>
      <w:bookmarkStart w:id="138" w:name="_Toc296891198"/>
      <w:bookmarkStart w:id="139" w:name="_Toc296346659"/>
      <w:bookmarkStart w:id="140" w:name="_Toc296503158"/>
      <w:bookmarkStart w:id="141" w:name="_Toc296890986"/>
      <w:bookmarkStart w:id="142" w:name="_Toc296347157"/>
      <w:bookmarkStart w:id="143" w:name="_Toc297120458"/>
      <w:bookmarkStart w:id="144" w:name="_Toc292559868"/>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296346660"/>
      <w:bookmarkStart w:id="146" w:name="_Toc297216151"/>
      <w:bookmarkStart w:id="147" w:name="_Toc296890987"/>
      <w:bookmarkStart w:id="148" w:name="_Toc297120459"/>
      <w:bookmarkStart w:id="149" w:name="_Toc300934945"/>
      <w:bookmarkStart w:id="150" w:name="_Toc304295523"/>
      <w:bookmarkStart w:id="151" w:name="_Toc297123492"/>
      <w:bookmarkStart w:id="152" w:name="_Toc296891199"/>
      <w:bookmarkStart w:id="153" w:name="_Toc292559364"/>
      <w:bookmarkStart w:id="154" w:name="_Toc292559869"/>
      <w:bookmarkStart w:id="155" w:name="_Toc303539102"/>
      <w:bookmarkStart w:id="156" w:name="_Toc312677988"/>
      <w:bookmarkStart w:id="157" w:name="_Toc296944498"/>
      <w:bookmarkStart w:id="158" w:name="_Toc296347158"/>
      <w:bookmarkStart w:id="159" w:name="_Toc296503159"/>
      <w:bookmarkStart w:id="160" w:name="_Toc297048345"/>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312677989"/>
      <w:bookmarkStart w:id="162" w:name="_Toc296347159"/>
      <w:bookmarkStart w:id="163" w:name="_Toc297216152"/>
      <w:bookmarkStart w:id="164" w:name="_Toc296944499"/>
      <w:bookmarkStart w:id="165" w:name="_Toc296890988"/>
      <w:bookmarkStart w:id="166" w:name="_Toc296891200"/>
      <w:bookmarkStart w:id="167" w:name="_Toc297123493"/>
      <w:bookmarkStart w:id="168" w:name="_Toc297048346"/>
      <w:bookmarkStart w:id="169" w:name="_Toc292559365"/>
      <w:bookmarkStart w:id="170" w:name="_Toc292559870"/>
      <w:bookmarkStart w:id="171" w:name="_Toc318581158"/>
      <w:bookmarkStart w:id="172" w:name="_Toc304295524"/>
      <w:bookmarkStart w:id="173" w:name="_Toc300934946"/>
      <w:bookmarkStart w:id="174" w:name="_Toc296503160"/>
      <w:bookmarkStart w:id="175" w:name="_Toc303539103"/>
      <w:bookmarkStart w:id="176" w:name="_Toc297120460"/>
      <w:bookmarkStart w:id="177" w:name="_Toc296346661"/>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6944501"/>
      <w:bookmarkStart w:id="182" w:name="_Toc267251413"/>
      <w:bookmarkStart w:id="183" w:name="_Toc296346663"/>
      <w:bookmarkStart w:id="184" w:name="_Toc296891202"/>
      <w:bookmarkStart w:id="185" w:name="_Toc292559871"/>
      <w:bookmarkStart w:id="186" w:name="_Toc292559366"/>
      <w:bookmarkStart w:id="187" w:name="_Toc297120462"/>
      <w:bookmarkStart w:id="188" w:name="_Toc296890990"/>
      <w:bookmarkStart w:id="189" w:name="_Toc296503162"/>
      <w:bookmarkStart w:id="190" w:name="_Toc297048348"/>
      <w:bookmarkStart w:id="191" w:name="_Toc296347161"/>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6891203"/>
      <w:bookmarkStart w:id="195" w:name="_Toc296347162"/>
      <w:bookmarkStart w:id="196" w:name="_Toc296890991"/>
      <w:bookmarkStart w:id="197" w:name="_Toc297048349"/>
      <w:bookmarkStart w:id="198" w:name="_Toc296346664"/>
      <w:bookmarkStart w:id="199" w:name="_Toc296944502"/>
      <w:bookmarkStart w:id="200" w:name="_Toc292559872"/>
      <w:bookmarkStart w:id="201" w:name="_Toc296503163"/>
      <w:bookmarkStart w:id="202" w:name="_Toc292559367"/>
      <w:bookmarkStart w:id="203" w:name="_Toc297120463"/>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318581164"/>
      <w:bookmarkStart w:id="205" w:name="_Toc297216155"/>
      <w:bookmarkStart w:id="206" w:name="_Toc304295527"/>
      <w:bookmarkStart w:id="207" w:name="_Toc303539106"/>
      <w:bookmarkStart w:id="208" w:name="_Toc300934949"/>
      <w:bookmarkStart w:id="209" w:name="_Toc312677997"/>
      <w:bookmarkStart w:id="210" w:name="_Toc297123496"/>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29"/>
          <w:rFonts w:hAnsi="宋体" w:cs="宋体"/>
          <w:sz w:val="24"/>
          <w:szCs w:val="24"/>
        </w:rPr>
      </w:pPr>
      <w:r>
        <w:rPr>
          <w:rFonts w:hint="eastAsia" w:hAnsi="宋体" w:cs="宋体"/>
          <w:sz w:val="24"/>
          <w:szCs w:val="24"/>
        </w:rPr>
        <w:t>6.1.3建筑工程安全防护、文明施工措施费用及使用管理规定</w:t>
      </w:r>
    </w:p>
    <w:p>
      <w:pPr>
        <w:numPr>
          <w:ilvl w:val="0"/>
          <w:numId w:val="4"/>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4"/>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4"/>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4"/>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5"/>
        <w:numPr>
          <w:ilvl w:val="0"/>
          <w:numId w:val="4"/>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5"/>
        <w:numPr>
          <w:ilvl w:val="0"/>
          <w:numId w:val="4"/>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5"/>
        <w:numPr>
          <w:ilvl w:val="0"/>
          <w:numId w:val="4"/>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5"/>
        <w:numPr>
          <w:ilvl w:val="0"/>
          <w:numId w:val="4"/>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5"/>
        <w:numPr>
          <w:ilvl w:val="0"/>
          <w:numId w:val="4"/>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5"/>
        <w:numPr>
          <w:ilvl w:val="0"/>
          <w:numId w:val="4"/>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5"/>
        <w:numPr>
          <w:ilvl w:val="0"/>
          <w:numId w:val="4"/>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5"/>
        <w:numPr>
          <w:ilvl w:val="0"/>
          <w:numId w:val="4"/>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5"/>
        <w:numPr>
          <w:ilvl w:val="0"/>
          <w:numId w:val="4"/>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5"/>
        <w:numPr>
          <w:ilvl w:val="0"/>
          <w:numId w:val="4"/>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5"/>
        <w:numPr>
          <w:ilvl w:val="0"/>
          <w:numId w:val="4"/>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5"/>
        <w:numPr>
          <w:ilvl w:val="0"/>
          <w:numId w:val="5"/>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5"/>
        <w:numPr>
          <w:ilvl w:val="0"/>
          <w:numId w:val="5"/>
        </w:numPr>
        <w:spacing w:line="360" w:lineRule="atLeast"/>
        <w:ind w:left="680" w:leftChars="200"/>
        <w:rPr>
          <w:kern w:val="2"/>
          <w:szCs w:val="24"/>
        </w:rPr>
      </w:pPr>
      <w:r>
        <w:rPr>
          <w:rFonts w:hint="eastAsia"/>
          <w:kern w:val="2"/>
          <w:szCs w:val="24"/>
        </w:rPr>
        <w:t>发现违法行为不予查处的；</w:t>
      </w:r>
    </w:p>
    <w:p>
      <w:pPr>
        <w:pStyle w:val="25"/>
        <w:numPr>
          <w:ilvl w:val="0"/>
          <w:numId w:val="5"/>
        </w:numPr>
        <w:spacing w:line="360" w:lineRule="atLeast"/>
        <w:ind w:left="680" w:leftChars="200"/>
        <w:rPr>
          <w:kern w:val="2"/>
          <w:szCs w:val="24"/>
        </w:rPr>
      </w:pPr>
      <w:r>
        <w:rPr>
          <w:rFonts w:hint="eastAsia"/>
          <w:kern w:val="2"/>
          <w:szCs w:val="24"/>
        </w:rPr>
        <w:t xml:space="preserve">不依法履行监督管理职责的其他行为。 </w:t>
      </w:r>
    </w:p>
    <w:p>
      <w:pPr>
        <w:pStyle w:val="25"/>
        <w:numPr>
          <w:ilvl w:val="0"/>
          <w:numId w:val="4"/>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5"/>
        <w:numPr>
          <w:ilvl w:val="0"/>
          <w:numId w:val="4"/>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5"/>
        <w:numPr>
          <w:ilvl w:val="0"/>
          <w:numId w:val="4"/>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5"/>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7</w:t>
      </w:r>
      <w:r>
        <w:rPr>
          <w:rFonts w:hint="eastAsia" w:ascii="新宋体" w:hAnsi="新宋体" w:eastAsia="新宋体"/>
          <w:sz w:val="24"/>
        </w:rPr>
        <w:t>)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 材料价格按许昌市《许昌工程造价信息》及市场调查价执行；</w:t>
      </w:r>
    </w:p>
    <w:p>
      <w:pPr>
        <w:spacing w:line="440" w:lineRule="exact"/>
        <w:ind w:firstLine="48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9</w:t>
      </w:r>
      <w:r>
        <w:rPr>
          <w:rFonts w:hint="eastAsia" w:ascii="新宋体" w:hAnsi="新宋体" w:eastAsia="新宋体"/>
          <w:sz w:val="24"/>
        </w:rPr>
        <w:t>)</w:t>
      </w:r>
      <w:r>
        <w:rPr>
          <w:rFonts w:hint="eastAsia" w:ascii="新宋体" w:hAnsi="新宋体" w:eastAsia="新宋体"/>
          <w:sz w:val="24"/>
          <w:lang w:val="en-US" w:eastAsia="zh-CN"/>
        </w:rPr>
        <w:t xml:space="preserve"> </w:t>
      </w:r>
      <w:r>
        <w:rPr>
          <w:rFonts w:hint="eastAsia" w:ascii="新宋体" w:hAnsi="新宋体" w:eastAsia="新宋体"/>
          <w:sz w:val="24"/>
        </w:rPr>
        <w:t>税金按</w:t>
      </w:r>
      <w:r>
        <w:rPr>
          <w:rFonts w:hint="eastAsia" w:ascii="新宋体" w:hAnsi="新宋体" w:eastAsia="新宋体"/>
          <w:sz w:val="24"/>
          <w:lang w:val="en-US" w:eastAsia="zh-CN"/>
        </w:rPr>
        <w:t>9</w:t>
      </w:r>
      <w:r>
        <w:rPr>
          <w:rFonts w:hint="eastAsia" w:ascii="新宋体" w:hAnsi="新宋体" w:eastAsia="新宋体"/>
          <w:sz w:val="24"/>
        </w:rPr>
        <w:t>%计入。</w:t>
      </w:r>
    </w:p>
    <w:p>
      <w:pPr>
        <w:spacing w:line="440" w:lineRule="exact"/>
        <w:ind w:firstLine="480"/>
        <w:rPr>
          <w:rFonts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10</w:t>
      </w:r>
      <w:r>
        <w:rPr>
          <w:rFonts w:hint="eastAsia" w:ascii="新宋体" w:hAnsi="新宋体" w:eastAsia="新宋体"/>
          <w:sz w:val="24"/>
        </w:rPr>
        <w:t>）其他的相关资料：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 xml:space="preserve">第六章 </w:t>
      </w:r>
      <w:r>
        <w:rPr>
          <w:rFonts w:hAnsi="宋体" w:cs="黑体"/>
          <w:b/>
          <w:sz w:val="36"/>
          <w:szCs w:val="36"/>
        </w:rPr>
        <w:t xml:space="preserve"> </w:t>
      </w:r>
      <w:r>
        <w:rPr>
          <w:rFonts w:hint="eastAsia" w:hAnsi="宋体" w:cs="黑体"/>
          <w:b/>
          <w:sz w:val="36"/>
          <w:szCs w:val="36"/>
        </w:rPr>
        <w:t>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213" w:name="_Toc278443525"/>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 xml:space="preserve">第七章 </w:t>
      </w:r>
      <w:r>
        <w:rPr>
          <w:rFonts w:hAnsi="宋体" w:cs="黑体"/>
          <w:b/>
          <w:sz w:val="44"/>
          <w:szCs w:val="44"/>
        </w:rPr>
        <w:t xml:space="preserve"> </w:t>
      </w:r>
      <w:r>
        <w:rPr>
          <w:rFonts w:hint="eastAsia" w:hAnsi="宋体" w:cs="黑体"/>
          <w:b/>
          <w:sz w:val="44"/>
          <w:szCs w:val="44"/>
        </w:rPr>
        <w:t>投标文件格式</w:t>
      </w:r>
      <w:bookmarkEnd w:id="213"/>
    </w:p>
    <w:p>
      <w:pPr>
        <w:tabs>
          <w:tab w:val="center" w:pos="4739"/>
        </w:tabs>
        <w:wordWrap w:val="0"/>
        <w:spacing w:before="312" w:beforeLines="100" w:after="312" w:afterLines="100"/>
        <w:jc w:val="right"/>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sz w:val="24"/>
        </w:rPr>
      </w:pPr>
      <w:r>
        <w:rPr>
          <w:rFonts w:hint="eastAsia"/>
          <w:b/>
          <w:sz w:val="32"/>
          <w:szCs w:val="32"/>
        </w:rPr>
        <w:t xml:space="preserve">               项目编号：建安建工公字〔2019〕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wordWrap w:val="0"/>
        <w:spacing w:before="312" w:beforeLines="100" w:after="312" w:afterLines="100"/>
        <w:jc w:val="right"/>
        <w:rPr>
          <w:sz w:val="32"/>
          <w:szCs w:val="32"/>
        </w:rPr>
      </w:pPr>
      <w:r>
        <w:rPr>
          <w:rFonts w:hint="eastAsia"/>
          <w:sz w:val="32"/>
          <w:szCs w:val="32"/>
        </w:rPr>
        <w:t xml:space="preserve"> </w:t>
      </w:r>
    </w:p>
    <w:p>
      <w:pPr>
        <w:autoSpaceDE w:val="0"/>
        <w:autoSpaceDN w:val="0"/>
        <w:adjustRightInd w:val="0"/>
        <w:jc w:val="center"/>
        <w:rPr>
          <w:rFonts w:hAnsi="宋体" w:cs="黑体"/>
          <w:b/>
          <w:spacing w:val="60"/>
          <w:sz w:val="52"/>
          <w:szCs w:val="52"/>
          <w:u w:val="single"/>
        </w:rPr>
      </w:pPr>
      <w:r>
        <w:rPr>
          <w:rFonts w:hint="eastAsia" w:hAnsi="宋体" w:cs="黑体"/>
          <w:b/>
          <w:spacing w:val="60"/>
          <w:sz w:val="52"/>
          <w:szCs w:val="52"/>
          <w:u w:val="single"/>
        </w:rPr>
        <w:t xml:space="preserve">           （工程名称）</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sz w:val="24"/>
        </w:rPr>
      </w:pPr>
      <w:r>
        <w:rPr>
          <w:rFonts w:hint="eastAsia"/>
          <w:b/>
          <w:sz w:val="32"/>
          <w:szCs w:val="32"/>
        </w:rPr>
        <w:t xml:space="preserve">               项目编号：建安建工公字〔2019〕号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tabs>
          <w:tab w:val="center" w:pos="4739"/>
        </w:tabs>
        <w:ind w:left="180" w:firstLine="1200" w:firstLineChars="500"/>
        <w:rPr>
          <w:rFonts w:hAnsi="宋体"/>
          <w:b/>
          <w:sz w:val="32"/>
        </w:rPr>
      </w:pPr>
      <w:r>
        <w:rPr>
          <w:rFonts w:hint="eastAsia" w:ascii="新宋体" w:hAnsi="新宋体" w:eastAsia="新宋体"/>
          <w:b/>
          <w:sz w:val="24"/>
        </w:rPr>
        <w:t>如有本章未提供的格式，投标人可自行编制。</w:t>
      </w:r>
      <w:r>
        <w:rPr>
          <w:rFonts w:hAnsi="宋体"/>
          <w:b/>
          <w:sz w:val="32"/>
        </w:rPr>
        <w:br w:type="page"/>
      </w:r>
      <w:r>
        <w:rPr>
          <w:rFonts w:hint="eastAsia" w:hAnsi="宋体"/>
          <w:b/>
          <w:sz w:val="32"/>
        </w:rPr>
        <w:t xml:space="preserve">                 一、投标函及投标函附录</w:t>
      </w:r>
    </w:p>
    <w:p>
      <w:pPr>
        <w:spacing w:before="312" w:beforeLines="100" w:after="156" w:afterLines="50" w:line="510" w:lineRule="exact"/>
        <w:jc w:val="center"/>
        <w:rPr>
          <w:rFonts w:ascii="黑体" w:eastAsia="黑体"/>
          <w:sz w:val="28"/>
          <w:szCs w:val="28"/>
        </w:rPr>
      </w:pPr>
      <w:bookmarkStart w:id="214"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在考察现场并充分研究（项目名称）（以下简称“本工程”）施工招标文件的全部内容后，我方兹以：</w:t>
      </w:r>
    </w:p>
    <w:p>
      <w:pPr>
        <w:spacing w:line="480" w:lineRule="exact"/>
        <w:ind w:firstLine="943" w:firstLineChars="393"/>
        <w:rPr>
          <w:rFonts w:ascii="新宋体" w:hAnsi="新宋体" w:eastAsia="新宋体"/>
          <w:sz w:val="24"/>
        </w:rPr>
      </w:pPr>
      <w:r>
        <w:rPr>
          <w:rFonts w:hint="eastAsia" w:ascii="新宋体" w:hAnsi="新宋体" w:eastAsia="新宋体"/>
          <w:sz w:val="24"/>
        </w:rPr>
        <w:t>人民币（大写）：元</w:t>
      </w:r>
    </w:p>
    <w:p>
      <w:pPr>
        <w:spacing w:line="480" w:lineRule="exact"/>
        <w:ind w:firstLine="943" w:firstLineChars="393"/>
        <w:rPr>
          <w:rFonts w:ascii="新宋体" w:hAnsi="新宋体" w:eastAsia="新宋体"/>
          <w:sz w:val="24"/>
        </w:rPr>
      </w:pPr>
      <w:r>
        <w:rPr>
          <w:rFonts w:hint="eastAsia" w:ascii="新宋体" w:hAnsi="新宋体" w:eastAsia="新宋体"/>
          <w:sz w:val="24"/>
        </w:rPr>
        <w:t>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1048" w:firstLineChars="437"/>
        <w:rPr>
          <w:rFonts w:ascii="新宋体" w:hAnsi="新宋体" w:eastAsia="新宋体"/>
          <w:sz w:val="24"/>
        </w:rPr>
      </w:pPr>
      <w:r>
        <w:rPr>
          <w:rFonts w:hint="eastAsia" w:ascii="新宋体" w:hAnsi="新宋体" w:eastAsia="新宋体"/>
          <w:sz w:val="24"/>
        </w:rPr>
        <w:t>规费RMB￥：元</w:t>
      </w:r>
    </w:p>
    <w:p>
      <w:pPr>
        <w:spacing w:line="480" w:lineRule="exact"/>
        <w:ind w:firstLine="1048" w:firstLineChars="437"/>
        <w:rPr>
          <w:rFonts w:ascii="新宋体" w:hAnsi="新宋体" w:eastAsia="新宋体"/>
          <w:sz w:val="24"/>
        </w:rPr>
      </w:pPr>
      <w:r>
        <w:rPr>
          <w:rFonts w:hint="eastAsia" w:ascii="新宋体" w:hAnsi="新宋体" w:eastAsia="新宋体"/>
          <w:sz w:val="24"/>
        </w:rPr>
        <w:t>税金RMB￥：元</w:t>
      </w:r>
    </w:p>
    <w:p>
      <w:pPr>
        <w:spacing w:line="480" w:lineRule="exact"/>
        <w:ind w:firstLine="1048" w:firstLineChars="437"/>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法定代表人或委托代理人（签字）：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outlineLvl w:val="0"/>
        <w:rPr>
          <w:rFonts w:ascii="新宋体" w:hAnsi="新宋体" w:eastAsia="新宋体" w:cs="黑体"/>
          <w:b/>
          <w:sz w:val="24"/>
        </w:rPr>
      </w:pPr>
    </w:p>
    <w:p>
      <w:pPr>
        <w:autoSpaceDE w:val="0"/>
        <w:autoSpaceDN w:val="0"/>
        <w:adjustRightInd w:val="0"/>
        <w:jc w:val="center"/>
        <w:outlineLvl w:val="0"/>
        <w:rPr>
          <w:rFonts w:ascii="黑体" w:hAnsi="新宋体" w:eastAsia="黑体" w:cs="黑体"/>
          <w:sz w:val="28"/>
          <w:szCs w:val="28"/>
        </w:rPr>
      </w:pPr>
      <w:bookmarkStart w:id="215" w:name="_Toc250616672"/>
      <w:r>
        <w:rPr>
          <w:rFonts w:ascii="黑体" w:hAnsi="新宋体" w:eastAsia="黑体" w:cs="黑体"/>
          <w:sz w:val="28"/>
          <w:szCs w:val="28"/>
        </w:rPr>
        <w:br w:type="page"/>
      </w:r>
      <w:r>
        <w:rPr>
          <w:rFonts w:hint="eastAsia" w:ascii="黑体" w:hAnsi="新宋体" w:eastAsia="黑体" w:cs="黑体"/>
          <w:sz w:val="28"/>
          <w:szCs w:val="28"/>
        </w:rPr>
        <w:t>（二）投标函附录</w:t>
      </w:r>
      <w:bookmarkEnd w:id="215"/>
    </w:p>
    <w:p>
      <w:pPr>
        <w:rPr>
          <w:rFonts w:ascii="新宋体" w:hAnsi="新宋体" w:eastAsia="新宋体"/>
        </w:rPr>
      </w:pPr>
    </w:p>
    <w:tbl>
      <w:tblPr>
        <w:tblStyle w:val="27"/>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1464"/>
        <w:gridCol w:w="548"/>
        <w:gridCol w:w="1209"/>
        <w:gridCol w:w="76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1464" w:type="dxa"/>
            <w:vAlign w:val="center"/>
          </w:tcPr>
          <w:p>
            <w:pPr>
              <w:jc w:val="center"/>
              <w:rPr>
                <w:rFonts w:ascii="新宋体" w:hAnsi="新宋体" w:eastAsia="新宋体"/>
                <w:sz w:val="24"/>
              </w:rPr>
            </w:pPr>
          </w:p>
        </w:tc>
        <w:tc>
          <w:tcPr>
            <w:tcW w:w="548" w:type="dxa"/>
            <w:vAlign w:val="center"/>
          </w:tcPr>
          <w:p>
            <w:pPr>
              <w:jc w:val="center"/>
              <w:rPr>
                <w:rFonts w:ascii="新宋体" w:hAnsi="新宋体" w:eastAsia="新宋体"/>
                <w:sz w:val="24"/>
              </w:rPr>
            </w:pPr>
            <w:r>
              <w:rPr>
                <w:rFonts w:hint="eastAsia" w:ascii="新宋体" w:hAnsi="新宋体" w:eastAsia="新宋体"/>
                <w:sz w:val="24"/>
              </w:rPr>
              <w:t>级别</w:t>
            </w:r>
          </w:p>
        </w:tc>
        <w:tc>
          <w:tcPr>
            <w:tcW w:w="1209" w:type="dxa"/>
            <w:vAlign w:val="center"/>
          </w:tcPr>
          <w:p>
            <w:pPr>
              <w:jc w:val="center"/>
              <w:rPr>
                <w:rFonts w:ascii="新宋体" w:hAnsi="新宋体" w:eastAsia="新宋体"/>
                <w:sz w:val="24"/>
              </w:rPr>
            </w:pPr>
          </w:p>
        </w:tc>
        <w:tc>
          <w:tcPr>
            <w:tcW w:w="767"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1847"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投标总报价</w:t>
            </w:r>
          </w:p>
        </w:tc>
        <w:tc>
          <w:tcPr>
            <w:tcW w:w="3221" w:type="dxa"/>
            <w:gridSpan w:val="3"/>
            <w:vAlign w:val="center"/>
          </w:tcPr>
          <w:p>
            <w:pPr>
              <w:rPr>
                <w:rFonts w:ascii="新宋体" w:hAnsi="新宋体" w:eastAsia="新宋体"/>
                <w:sz w:val="24"/>
              </w:rPr>
            </w:pPr>
            <w:r>
              <w:rPr>
                <w:rFonts w:hint="eastAsia" w:ascii="新宋体" w:hAnsi="新宋体" w:eastAsia="新宋体"/>
                <w:sz w:val="24"/>
              </w:rPr>
              <w:t>（大写）:</w:t>
            </w:r>
          </w:p>
        </w:tc>
        <w:tc>
          <w:tcPr>
            <w:tcW w:w="2614" w:type="dxa"/>
            <w:gridSpan w:val="2"/>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583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5835" w:type="dxa"/>
            <w:gridSpan w:val="5"/>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3145"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5835" w:type="dxa"/>
            <w:gridSpan w:val="5"/>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8980" w:type="dxa"/>
            <w:gridSpan w:val="6"/>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47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wordWrap w:val="0"/>
        <w:spacing w:line="360" w:lineRule="auto"/>
        <w:ind w:right="1110"/>
        <w:jc w:val="right"/>
        <w:rPr>
          <w:rFonts w:ascii="新宋体" w:hAnsi="新宋体" w:eastAsia="新宋体"/>
          <w:sz w:val="24"/>
        </w:rPr>
      </w:pPr>
      <w:r>
        <w:rPr>
          <w:rFonts w:hint="eastAsia" w:ascii="新宋体" w:hAnsi="新宋体" w:eastAsia="新宋体"/>
          <w:sz w:val="24"/>
        </w:rPr>
        <w:t>年   月    日</w:t>
      </w: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autoSpaceDE w:val="0"/>
        <w:autoSpaceDN w:val="0"/>
        <w:adjustRightInd w:val="0"/>
        <w:spacing w:before="312" w:beforeLines="100" w:after="312" w:afterLines="100" w:line="420" w:lineRule="exact"/>
        <w:jc w:val="center"/>
        <w:outlineLvl w:val="0"/>
        <w:rPr>
          <w:rFonts w:hint="eastAsia" w:ascii="黑体" w:hAnsi="新宋体" w:eastAsia="黑体" w:cs="黑体"/>
          <w:sz w:val="28"/>
          <w:szCs w:val="28"/>
        </w:rPr>
      </w:pPr>
    </w:p>
    <w:p>
      <w:pPr>
        <w:autoSpaceDE w:val="0"/>
        <w:autoSpaceDN w:val="0"/>
        <w:adjustRightInd w:val="0"/>
        <w:spacing w:before="312" w:beforeLines="100" w:after="312" w:afterLines="100" w:line="420" w:lineRule="exact"/>
        <w:jc w:val="center"/>
        <w:outlineLvl w:val="0"/>
        <w:rPr>
          <w:rFonts w:hAnsi="宋体" w:cs="仿宋_GB2312"/>
          <w:b/>
          <w:sz w:val="28"/>
          <w:szCs w:val="28"/>
        </w:rPr>
      </w:pPr>
      <w:r>
        <w:rPr>
          <w:rFonts w:hint="eastAsia" w:ascii="黑体" w:hAnsi="新宋体" w:eastAsia="黑体" w:cs="黑体"/>
          <w:sz w:val="28"/>
          <w:szCs w:val="28"/>
        </w:rPr>
        <w:t>二、</w:t>
      </w:r>
      <w:bookmarkEnd w:id="214"/>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216" w:name="_Toc271787731"/>
      <w:r>
        <w:rPr>
          <w:rFonts w:hint="eastAsia" w:ascii="黑体" w:hAnsi="新宋体" w:eastAsia="黑体" w:cs="黑体"/>
          <w:sz w:val="28"/>
          <w:szCs w:val="28"/>
        </w:rPr>
        <w:t>（一）法定代表人身份证明</w:t>
      </w:r>
      <w:bookmarkEnd w:id="216"/>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217" w:name="_Toc271787732"/>
      <w:r>
        <w:rPr>
          <w:rFonts w:hint="eastAsia" w:ascii="黑体" w:hAnsi="新宋体" w:eastAsia="黑体" w:cs="黑体"/>
          <w:sz w:val="28"/>
          <w:szCs w:val="28"/>
        </w:rPr>
        <w:t>（二）授权委托书</w:t>
      </w:r>
      <w:bookmarkEnd w:id="217"/>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autoSpaceDE w:val="0"/>
        <w:autoSpaceDN w:val="0"/>
        <w:adjustRightInd w:val="0"/>
        <w:spacing w:line="420" w:lineRule="exact"/>
        <w:outlineLvl w:val="0"/>
        <w:rPr>
          <w:rFonts w:hAnsi="宋体" w:cs="宋体"/>
          <w:b/>
          <w:bCs/>
          <w:sz w:val="28"/>
          <w:szCs w:val="21"/>
        </w:rPr>
      </w:pPr>
    </w:p>
    <w:p>
      <w:pPr>
        <w:autoSpaceDE w:val="0"/>
        <w:autoSpaceDN w:val="0"/>
        <w:adjustRightInd w:val="0"/>
        <w:spacing w:line="420" w:lineRule="exact"/>
        <w:jc w:val="center"/>
        <w:outlineLvl w:val="0"/>
        <w:rPr>
          <w:rFonts w:hAnsi="宋体" w:cs="宋体"/>
          <w:b/>
          <w:bCs/>
          <w:sz w:val="28"/>
          <w:szCs w:val="21"/>
        </w:rPr>
      </w:pPr>
    </w:p>
    <w:p>
      <w:pPr>
        <w:autoSpaceDE w:val="0"/>
        <w:autoSpaceDN w:val="0"/>
        <w:adjustRightInd w:val="0"/>
        <w:spacing w:line="420" w:lineRule="exact"/>
        <w:jc w:val="center"/>
        <w:outlineLvl w:val="0"/>
        <w:rPr>
          <w:rFonts w:ascii="华文中宋" w:hAnsi="华文中宋" w:eastAsia="华文中宋"/>
          <w:b/>
          <w:bCs/>
          <w:sz w:val="36"/>
          <w:szCs w:val="36"/>
        </w:rPr>
      </w:pPr>
      <w:r>
        <w:rPr>
          <w:rFonts w:hint="eastAsia" w:hAnsi="宋体" w:cs="宋体"/>
          <w:b/>
          <w:bCs/>
          <w:sz w:val="28"/>
          <w:szCs w:val="21"/>
        </w:rPr>
        <w:t>（三）承诺书</w:t>
      </w:r>
    </w:p>
    <w:tbl>
      <w:tblPr>
        <w:tblStyle w:val="27"/>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序号</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1</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拟派项目负责人系本公司正式职工，现阶段没有担任任何在施建设工程项目的项目负责人。我公司承诺该项目负责人在本工程的施工期间能及时到位和履行项目负责人职责。我方保证上述信息的真实和准确，并愿意承担因我方就此弄虚作假所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2</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我公司近三年内，未受到建设行政主管部门行政处罚或受行政处罚已整改完毕。如声明不实，我公司承担由此产生的全部责任。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3</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我公司近三年内，无履约司法纠纷或司法纠纷无过错。如声明不实，我公司承担由此产生的全部责任。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4</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农民工工资保障金承诺：1、我公司以前所承建的工程均能按时足额支付农民工工资，截至开标之日止，不存在拖欠或克扣农民工工资的行为。2、我公司承诺中标后及时、足额存入农民工工资保障金。3、我公司承诺：一旦其承包的工程项目中出现拖欠职工工资情况的，可由建设行政主管部门从工资保障金中先予划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5</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质量承诺：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6</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7</w:t>
            </w:r>
          </w:p>
        </w:tc>
        <w:tc>
          <w:tcPr>
            <w:tcW w:w="75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hAnsi="宋体" w:cs="仿宋_GB2312"/>
                <w:sz w:val="24"/>
                <w:szCs w:val="24"/>
              </w:rPr>
            </w:pPr>
            <w:r>
              <w:rPr>
                <w:rFonts w:hint="eastAsia" w:hAnsi="宋体" w:cs="仿宋_GB2312"/>
                <w:sz w:val="24"/>
                <w:szCs w:val="24"/>
              </w:rPr>
              <w:t>其他承诺：</w:t>
            </w:r>
          </w:p>
        </w:tc>
      </w:tr>
    </w:tbl>
    <w:p>
      <w:pPr>
        <w:spacing w:line="440" w:lineRule="exact"/>
        <w:jc w:val="right"/>
        <w:rPr>
          <w:rFonts w:hAnsi="宋体"/>
          <w:sz w:val="24"/>
        </w:rPr>
      </w:pP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spacing w:line="360" w:lineRule="auto"/>
        <w:jc w:val="center"/>
        <w:rPr>
          <w:rFonts w:hAnsi="宋体"/>
          <w:b/>
          <w:sz w:val="32"/>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jc w:val="center"/>
        <w:rPr>
          <w:rFonts w:hAnsi="宋体"/>
          <w:b/>
          <w:sz w:val="36"/>
          <w:szCs w:val="36"/>
        </w:rPr>
      </w:pPr>
    </w:p>
    <w:p>
      <w:pPr>
        <w:spacing w:line="360" w:lineRule="auto"/>
        <w:jc w:val="center"/>
        <w:rPr>
          <w:rFonts w:hAnsi="宋体"/>
          <w:b/>
          <w:sz w:val="36"/>
          <w:szCs w:val="36"/>
        </w:rPr>
      </w:pPr>
      <w:r>
        <w:rPr>
          <w:rFonts w:hAnsi="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r>
        <w:rPr>
          <w:rFonts w:hint="eastAsia" w:hAnsi="宋体"/>
          <w:b/>
          <w:sz w:val="36"/>
          <w:szCs w:val="36"/>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请将两个定额部分投标保证金绑定回执一并附上</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职务</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姓名</w:t>
            </w:r>
          </w:p>
        </w:tc>
        <w:tc>
          <w:tcPr>
            <w:tcW w:w="914" w:type="dxa"/>
            <w:vMerge w:val="restart"/>
            <w:vAlign w:val="center"/>
          </w:tcPr>
          <w:p>
            <w:pPr>
              <w:autoSpaceDE w:val="0"/>
              <w:autoSpaceDN w:val="0"/>
              <w:adjustRightInd w:val="0"/>
              <w:spacing w:line="360" w:lineRule="auto"/>
              <w:ind w:right="215"/>
              <w:rPr>
                <w:rFonts w:hAnsi="宋体"/>
                <w:sz w:val="24"/>
              </w:rPr>
            </w:pPr>
            <w:r>
              <w:rPr>
                <w:rFonts w:hint="eastAsia" w:hAnsi="宋体"/>
                <w:sz w:val="24"/>
              </w:rPr>
              <w:t>职称</w:t>
            </w:r>
          </w:p>
        </w:tc>
        <w:tc>
          <w:tcPr>
            <w:tcW w:w="571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103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914" w:type="dxa"/>
            <w:vMerge w:val="continue"/>
            <w:vAlign w:val="center"/>
          </w:tcPr>
          <w:p>
            <w:pPr>
              <w:autoSpaceDE w:val="0"/>
              <w:autoSpaceDN w:val="0"/>
              <w:adjustRightInd w:val="0"/>
              <w:spacing w:line="360" w:lineRule="auto"/>
              <w:ind w:right="215"/>
              <w:jc w:val="center"/>
              <w:rPr>
                <w:rFonts w:hAnsi="宋体"/>
                <w:sz w:val="24"/>
              </w:rPr>
            </w:pPr>
          </w:p>
        </w:tc>
        <w:tc>
          <w:tcPr>
            <w:tcW w:w="1405"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45"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70"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103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sz w:val="24"/>
              </w:rPr>
            </w:pPr>
          </w:p>
        </w:tc>
        <w:tc>
          <w:tcPr>
            <w:tcW w:w="914" w:type="dxa"/>
          </w:tcPr>
          <w:p>
            <w:pPr>
              <w:autoSpaceDE w:val="0"/>
              <w:autoSpaceDN w:val="0"/>
              <w:adjustRightInd w:val="0"/>
              <w:spacing w:line="360" w:lineRule="auto"/>
              <w:ind w:right="215"/>
              <w:jc w:val="center"/>
              <w:rPr>
                <w:rFonts w:hAnsi="宋体"/>
                <w:sz w:val="24"/>
              </w:rPr>
            </w:pPr>
            <w:r>
              <w:rPr>
                <w:rFonts w:hint="eastAsia" w:hAnsi="宋体"/>
                <w:sz w:val="24"/>
              </w:rPr>
              <w:t>……</w:t>
            </w:r>
          </w:p>
        </w:tc>
        <w:tc>
          <w:tcPr>
            <w:tcW w:w="914" w:type="dxa"/>
          </w:tcPr>
          <w:p>
            <w:pPr>
              <w:autoSpaceDE w:val="0"/>
              <w:autoSpaceDN w:val="0"/>
              <w:adjustRightInd w:val="0"/>
              <w:spacing w:line="360" w:lineRule="auto"/>
              <w:ind w:right="215"/>
              <w:jc w:val="center"/>
              <w:rPr>
                <w:rFonts w:hAnsi="宋体"/>
                <w:sz w:val="24"/>
              </w:rPr>
            </w:pPr>
          </w:p>
        </w:tc>
        <w:tc>
          <w:tcPr>
            <w:tcW w:w="140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945" w:type="dxa"/>
          </w:tcPr>
          <w:p>
            <w:pPr>
              <w:autoSpaceDE w:val="0"/>
              <w:autoSpaceDN w:val="0"/>
              <w:adjustRightInd w:val="0"/>
              <w:spacing w:line="360" w:lineRule="auto"/>
              <w:ind w:right="215"/>
              <w:jc w:val="center"/>
              <w:rPr>
                <w:rFonts w:hAnsi="宋体"/>
                <w:sz w:val="24"/>
              </w:rPr>
            </w:pPr>
          </w:p>
        </w:tc>
        <w:tc>
          <w:tcPr>
            <w:tcW w:w="1470" w:type="dxa"/>
          </w:tcPr>
          <w:p>
            <w:pPr>
              <w:autoSpaceDE w:val="0"/>
              <w:autoSpaceDN w:val="0"/>
              <w:adjustRightInd w:val="0"/>
              <w:spacing w:line="360" w:lineRule="auto"/>
              <w:ind w:right="215"/>
              <w:jc w:val="center"/>
              <w:rPr>
                <w:rFonts w:hAnsi="宋体"/>
                <w:sz w:val="24"/>
              </w:rPr>
            </w:pPr>
          </w:p>
        </w:tc>
        <w:tc>
          <w:tcPr>
            <w:tcW w:w="1036" w:type="dxa"/>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rPr>
          <w:rFonts w:hAnsi="宋体"/>
        </w:rPr>
      </w:pPr>
    </w:p>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ind w:firstLine="480" w:firstLineChars="200"/>
        <w:rPr>
          <w:rFonts w:ascii="黑体" w:hAnsi="宋体" w:eastAsia="黑体"/>
          <w:sz w:val="24"/>
          <w:szCs w:val="24"/>
        </w:rPr>
      </w:pPr>
      <w:r>
        <w:rPr>
          <w:rFonts w:hint="eastAsia" w:hAnsi="宋体"/>
          <w:sz w:val="24"/>
          <w:szCs w:val="24"/>
        </w:rPr>
        <w:t>项目负责人应附注册证书、安全生产考核合格证书、身份证、职称证、学历证、养老保险复印件及未担任其他在施建设工程项目项目负责人的承诺书，管理过的项目业绩须附合同协议书和竣工验收备案登记表</w:t>
      </w:r>
      <w:r>
        <w:rPr>
          <w:rFonts w:hint="eastAsia"/>
          <w:bCs/>
          <w:sz w:val="24"/>
          <w:szCs w:val="24"/>
        </w:rPr>
        <w:t>（或施工合同和中标通知书）</w:t>
      </w:r>
      <w:r>
        <w:rPr>
          <w:rFonts w:hint="eastAsia" w:hAnsi="宋体"/>
          <w:sz w:val="24"/>
          <w:szCs w:val="24"/>
        </w:rPr>
        <w:t>复印件。类似项目限于以项目负责人身份参与的项目。</w:t>
      </w:r>
    </w:p>
    <w:p>
      <w:pPr>
        <w:spacing w:line="420" w:lineRule="exact"/>
        <w:rPr>
          <w:rFonts w:ascii="黑体" w:hAnsi="宋体" w:eastAsia="黑体"/>
          <w:sz w:val="24"/>
        </w:rPr>
      </w:pPr>
    </w:p>
    <w:tbl>
      <w:tblPr>
        <w:tblStyle w:val="2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姓  名</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年  龄</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学历</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职  称</w:t>
            </w:r>
          </w:p>
        </w:tc>
        <w:tc>
          <w:tcPr>
            <w:tcW w:w="1101" w:type="dxa"/>
            <w:vAlign w:val="center"/>
          </w:tcPr>
          <w:p>
            <w:pPr>
              <w:jc w:val="center"/>
              <w:rPr>
                <w:rFonts w:hAnsi="宋体"/>
                <w:sz w:val="24"/>
              </w:rPr>
            </w:pPr>
          </w:p>
        </w:tc>
        <w:tc>
          <w:tcPr>
            <w:tcW w:w="1204" w:type="dxa"/>
            <w:vAlign w:val="center"/>
          </w:tcPr>
          <w:p>
            <w:pPr>
              <w:jc w:val="center"/>
              <w:rPr>
                <w:rFonts w:hAnsi="宋体"/>
                <w:sz w:val="24"/>
              </w:rPr>
            </w:pPr>
            <w:r>
              <w:rPr>
                <w:rFonts w:hint="eastAsia" w:hAnsi="宋体"/>
                <w:sz w:val="24"/>
              </w:rPr>
              <w:t>职  务</w:t>
            </w:r>
          </w:p>
        </w:tc>
        <w:tc>
          <w:tcPr>
            <w:tcW w:w="1355" w:type="dxa"/>
            <w:vAlign w:val="center"/>
          </w:tcPr>
          <w:p>
            <w:pPr>
              <w:jc w:val="center"/>
              <w:rPr>
                <w:rFonts w:hAnsi="宋体"/>
                <w:sz w:val="24"/>
              </w:rPr>
            </w:pPr>
          </w:p>
        </w:tc>
        <w:tc>
          <w:tcPr>
            <w:tcW w:w="1959" w:type="dxa"/>
            <w:vAlign w:val="center"/>
          </w:tcPr>
          <w:p>
            <w:pPr>
              <w:jc w:val="center"/>
              <w:rPr>
                <w:rFonts w:hAnsi="宋体"/>
                <w:sz w:val="24"/>
              </w:rPr>
            </w:pPr>
            <w:r>
              <w:rPr>
                <w:rFonts w:hint="eastAsia" w:hAnsi="宋体"/>
                <w:sz w:val="24"/>
              </w:rPr>
              <w:t>拟在本工程任职</w:t>
            </w:r>
          </w:p>
        </w:tc>
        <w:tc>
          <w:tcPr>
            <w:tcW w:w="2259"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注册建造师执业资格等级</w:t>
            </w:r>
          </w:p>
        </w:tc>
        <w:tc>
          <w:tcPr>
            <w:tcW w:w="1355" w:type="dxa"/>
            <w:vAlign w:val="center"/>
          </w:tcPr>
          <w:p>
            <w:pPr>
              <w:jc w:val="center"/>
              <w:rPr>
                <w:rFonts w:hAnsi="宋体"/>
                <w:sz w:val="24"/>
              </w:rPr>
            </w:pPr>
            <w:r>
              <w:rPr>
                <w:rFonts w:hint="eastAsia" w:hAnsi="宋体"/>
                <w:sz w:val="24"/>
              </w:rPr>
              <w:t xml:space="preserve">      级</w:t>
            </w:r>
          </w:p>
        </w:tc>
        <w:tc>
          <w:tcPr>
            <w:tcW w:w="1959" w:type="dxa"/>
            <w:vAlign w:val="center"/>
          </w:tcPr>
          <w:p>
            <w:pPr>
              <w:jc w:val="center"/>
              <w:rPr>
                <w:rFonts w:hAnsi="宋体"/>
                <w:sz w:val="24"/>
              </w:rPr>
            </w:pPr>
            <w:r>
              <w:rPr>
                <w:rFonts w:hint="eastAsia" w:hAnsi="宋体"/>
                <w:sz w:val="24"/>
              </w:rPr>
              <w:t>建造师专业</w:t>
            </w: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sz w:val="24"/>
              </w:rPr>
            </w:pPr>
            <w:r>
              <w:rPr>
                <w:rFonts w:hint="eastAsia" w:hAnsi="宋体"/>
                <w:sz w:val="24"/>
              </w:rPr>
              <w:t>安全生产考核合格证书</w:t>
            </w:r>
          </w:p>
        </w:tc>
        <w:tc>
          <w:tcPr>
            <w:tcW w:w="5573"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毕业学校</w:t>
            </w:r>
          </w:p>
        </w:tc>
        <w:tc>
          <w:tcPr>
            <w:tcW w:w="7878"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r>
              <w:rPr>
                <w:rFonts w:hint="eastAsia" w:hAnsi="宋体"/>
                <w:sz w:val="24"/>
              </w:rPr>
              <w:t>时  间</w:t>
            </w:r>
          </w:p>
        </w:tc>
        <w:tc>
          <w:tcPr>
            <w:tcW w:w="3660" w:type="dxa"/>
            <w:gridSpan w:val="3"/>
            <w:vAlign w:val="center"/>
          </w:tcPr>
          <w:p>
            <w:pPr>
              <w:jc w:val="center"/>
              <w:rPr>
                <w:rFonts w:hAnsi="宋体"/>
                <w:sz w:val="24"/>
              </w:rPr>
            </w:pPr>
            <w:r>
              <w:rPr>
                <w:rFonts w:hint="eastAsia" w:hAnsi="宋体"/>
                <w:sz w:val="24"/>
              </w:rPr>
              <w:t>参加过的类似项目名称</w:t>
            </w:r>
          </w:p>
        </w:tc>
        <w:tc>
          <w:tcPr>
            <w:tcW w:w="1959" w:type="dxa"/>
            <w:vAlign w:val="center"/>
          </w:tcPr>
          <w:p>
            <w:pPr>
              <w:jc w:val="center"/>
              <w:rPr>
                <w:rFonts w:hAnsi="宋体"/>
                <w:sz w:val="24"/>
              </w:rPr>
            </w:pPr>
            <w:r>
              <w:rPr>
                <w:rFonts w:hint="eastAsia" w:hAnsi="宋体"/>
                <w:sz w:val="24"/>
              </w:rPr>
              <w:t>工程概况说明</w:t>
            </w:r>
          </w:p>
        </w:tc>
        <w:tc>
          <w:tcPr>
            <w:tcW w:w="225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sz w:val="24"/>
              </w:rPr>
            </w:pPr>
          </w:p>
        </w:tc>
        <w:tc>
          <w:tcPr>
            <w:tcW w:w="3660" w:type="dxa"/>
            <w:gridSpan w:val="3"/>
            <w:vAlign w:val="center"/>
          </w:tcPr>
          <w:p>
            <w:pPr>
              <w:jc w:val="center"/>
              <w:rPr>
                <w:rFonts w:hAnsi="宋体"/>
                <w:sz w:val="24"/>
              </w:rPr>
            </w:pPr>
          </w:p>
        </w:tc>
        <w:tc>
          <w:tcPr>
            <w:tcW w:w="1959" w:type="dxa"/>
            <w:vAlign w:val="center"/>
          </w:tcPr>
          <w:p>
            <w:pPr>
              <w:jc w:val="center"/>
              <w:rPr>
                <w:rFonts w:hAnsi="宋体"/>
                <w:sz w:val="24"/>
              </w:rPr>
            </w:pPr>
          </w:p>
        </w:tc>
        <w:tc>
          <w:tcPr>
            <w:tcW w:w="225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pStyle w:val="2"/>
        <w:ind w:firstLine="340"/>
      </w:pPr>
    </w:p>
    <w:tbl>
      <w:tblPr>
        <w:tblStyle w:val="2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458"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性    别</w:t>
            </w:r>
          </w:p>
        </w:tc>
        <w:tc>
          <w:tcPr>
            <w:tcW w:w="4458"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sz w:val="24"/>
              </w:rPr>
            </w:pPr>
            <w:r>
              <w:rPr>
                <w:rFonts w:hint="eastAsia" w:hAnsi="宋体"/>
                <w:sz w:val="24"/>
              </w:rPr>
              <w:t>学历和专业</w:t>
            </w:r>
          </w:p>
        </w:tc>
        <w:tc>
          <w:tcPr>
            <w:tcW w:w="4458"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sz w:val="24"/>
              </w:rPr>
            </w:pPr>
            <w:r>
              <w:rPr>
                <w:rFonts w:hint="eastAsia" w:hAnsi="宋体"/>
                <w:sz w:val="24"/>
              </w:rPr>
              <w:t>拥有的执业资格</w:t>
            </w:r>
          </w:p>
        </w:tc>
        <w:tc>
          <w:tcPr>
            <w:tcW w:w="4458"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sz w:val="24"/>
              </w:rPr>
            </w:pPr>
            <w:r>
              <w:rPr>
                <w:rFonts w:hint="eastAsia" w:hAnsi="宋体"/>
                <w:sz w:val="24"/>
              </w:rPr>
              <w:t>执业资格证书编号</w:t>
            </w:r>
          </w:p>
        </w:tc>
        <w:tc>
          <w:tcPr>
            <w:tcW w:w="4458"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7586" w:type="dxa"/>
            <w:gridSpan w:val="2"/>
          </w:tcPr>
          <w:p>
            <w:pPr>
              <w:rPr>
                <w:rFonts w:hAnsi="宋体"/>
                <w:sz w:val="24"/>
              </w:rPr>
            </w:pPr>
          </w:p>
        </w:tc>
      </w:tr>
    </w:tbl>
    <w:p>
      <w:pPr>
        <w:rPr>
          <w:rFonts w:ascii="黑体" w:hAnsi="宋体" w:eastAsia="黑体"/>
          <w:szCs w:val="21"/>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Ansi="宋体"/>
          <w:b/>
          <w:sz w:val="32"/>
        </w:rPr>
        <w:br w:type="page"/>
      </w: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2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注册建造师</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1205" w:type="dxa"/>
            <w:vMerge w:val="continue"/>
            <w:vAlign w:val="center"/>
          </w:tcPr>
          <w:p>
            <w:pPr>
              <w:autoSpaceDE w:val="0"/>
              <w:autoSpaceDN w:val="0"/>
              <w:adjustRightInd w:val="0"/>
              <w:spacing w:line="360" w:lineRule="auto"/>
              <w:ind w:right="215"/>
              <w:jc w:val="center"/>
              <w:rPr>
                <w:rFonts w:hAnsi="宋体"/>
                <w:sz w:val="24"/>
              </w:rPr>
            </w:pPr>
          </w:p>
        </w:tc>
        <w:tc>
          <w:tcPr>
            <w:tcW w:w="2614"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b/>
          <w:sz w:val="28"/>
        </w:rPr>
      </w:pPr>
      <w:r>
        <w:rPr>
          <w:rFonts w:hAnsi="宋体"/>
          <w:sz w:val="24"/>
        </w:rPr>
        <w:br w:type="page"/>
      </w: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numPr>
          <w:ilvl w:val="0"/>
          <w:numId w:val="6"/>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2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rPr>
        <w:t>其它材料</w:t>
      </w:r>
    </w:p>
    <w:p>
      <w:pPr>
        <w:tabs>
          <w:tab w:val="center" w:pos="4739"/>
        </w:tabs>
        <w:ind w:left="180"/>
        <w:jc w:val="right"/>
        <w:rPr>
          <w:sz w:val="24"/>
        </w:rPr>
      </w:pPr>
    </w:p>
    <w:p>
      <w:pPr>
        <w:tabs>
          <w:tab w:val="center" w:pos="4739"/>
        </w:tabs>
        <w:ind w:left="180"/>
        <w:jc w:val="right"/>
        <w:rPr>
          <w:sz w:val="24"/>
        </w:rPr>
      </w:pPr>
    </w:p>
    <w:p>
      <w:pPr>
        <w:tabs>
          <w:tab w:val="center" w:pos="4739"/>
        </w:tabs>
        <w:wordWrap w:val="0"/>
        <w:ind w:left="180"/>
        <w:jc w:val="right"/>
        <w:rPr>
          <w:sz w:val="32"/>
          <w:szCs w:val="32"/>
        </w:rPr>
      </w:pPr>
      <w:r>
        <w:rPr>
          <w:rFonts w:hint="eastAsia"/>
          <w:sz w:val="32"/>
          <w:szCs w:val="32"/>
        </w:rPr>
        <w:t xml:space="preserve"> </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int="eastAsia" w:eastAsia="宋体"/>
          <w:lang w:eastAsia="zh-CN"/>
        </w:rPr>
      </w:pPr>
      <w:r>
        <w:rPr>
          <w:rFonts w:hint="eastAsia" w:hAnsi="宋体" w:cs="宋体"/>
          <w:b/>
          <w:sz w:val="26"/>
          <w:szCs w:val="26"/>
        </w:rPr>
        <w:t>（13）风险管理措施</w:t>
      </w:r>
      <w:r>
        <w:rPr>
          <w:rFonts w:hint="eastAsia" w:hAnsi="宋体" w:cs="宋体"/>
          <w:b/>
          <w:sz w:val="26"/>
          <w:szCs w:val="26"/>
          <w:lang w:eastAsia="zh-CN"/>
        </w:rPr>
        <w:t>。</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220984"/>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jc w:val="center"/>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787273"/>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4445"/>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CD16"/>
    <w:multiLevelType w:val="singleLevel"/>
    <w:tmpl w:val="0290CD16"/>
    <w:lvl w:ilvl="0" w:tentative="0">
      <w:start w:val="1"/>
      <w:numFmt w:val="chineseCounting"/>
      <w:suff w:val="nothing"/>
      <w:lvlText w:val="第%1条　"/>
      <w:lvlJc w:val="left"/>
      <w:rPr>
        <w:rFonts w:hint="eastAsia"/>
      </w:rPr>
    </w:lvl>
  </w:abstractNum>
  <w:abstractNum w:abstractNumId="1">
    <w:nsid w:val="598A62BE"/>
    <w:multiLevelType w:val="singleLevel"/>
    <w:tmpl w:val="598A62BE"/>
    <w:lvl w:ilvl="0" w:tentative="0">
      <w:start w:val="7"/>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abstractNum w:abstractNumId="4">
    <w:nsid w:val="66B873BE"/>
    <w:multiLevelType w:val="singleLevel"/>
    <w:tmpl w:val="66B873BE"/>
    <w:lvl w:ilvl="0" w:tentative="0">
      <w:start w:val="1"/>
      <w:numFmt w:val="chineseCounting"/>
      <w:suff w:val="nothing"/>
      <w:lvlText w:val="（%1）"/>
      <w:lvlJc w:val="left"/>
      <w:rPr>
        <w:rFonts w:hint="eastAsia"/>
      </w:rPr>
    </w:lvl>
  </w:abstractNum>
  <w:abstractNum w:abstractNumId="5">
    <w:nsid w:val="6B5A251D"/>
    <w:multiLevelType w:val="multilevel"/>
    <w:tmpl w:val="6B5A25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37"/>
    <w:rsid w:val="00021BDD"/>
    <w:rsid w:val="000B261D"/>
    <w:rsid w:val="0017168A"/>
    <w:rsid w:val="001A2836"/>
    <w:rsid w:val="00232FB8"/>
    <w:rsid w:val="002446E0"/>
    <w:rsid w:val="00254BFB"/>
    <w:rsid w:val="00271972"/>
    <w:rsid w:val="00276664"/>
    <w:rsid w:val="002869FC"/>
    <w:rsid w:val="002B153F"/>
    <w:rsid w:val="002B7A80"/>
    <w:rsid w:val="002C3BF8"/>
    <w:rsid w:val="0034416C"/>
    <w:rsid w:val="00347180"/>
    <w:rsid w:val="0037054B"/>
    <w:rsid w:val="00393752"/>
    <w:rsid w:val="003B1F1E"/>
    <w:rsid w:val="003B5432"/>
    <w:rsid w:val="003E1B6B"/>
    <w:rsid w:val="0042683A"/>
    <w:rsid w:val="00430715"/>
    <w:rsid w:val="00463CC3"/>
    <w:rsid w:val="00475E3A"/>
    <w:rsid w:val="004B53B9"/>
    <w:rsid w:val="0054177C"/>
    <w:rsid w:val="00560C1E"/>
    <w:rsid w:val="00594B8D"/>
    <w:rsid w:val="005F029A"/>
    <w:rsid w:val="00641CC2"/>
    <w:rsid w:val="00645CE4"/>
    <w:rsid w:val="006719CA"/>
    <w:rsid w:val="00673372"/>
    <w:rsid w:val="006C351D"/>
    <w:rsid w:val="00763C63"/>
    <w:rsid w:val="007E2B93"/>
    <w:rsid w:val="007F18FF"/>
    <w:rsid w:val="00831E0F"/>
    <w:rsid w:val="00846A37"/>
    <w:rsid w:val="008B7E27"/>
    <w:rsid w:val="009122CA"/>
    <w:rsid w:val="00914908"/>
    <w:rsid w:val="00932C7B"/>
    <w:rsid w:val="009C1B57"/>
    <w:rsid w:val="009C441D"/>
    <w:rsid w:val="009F1263"/>
    <w:rsid w:val="00A92A08"/>
    <w:rsid w:val="00AC3FA2"/>
    <w:rsid w:val="00AD52AA"/>
    <w:rsid w:val="00AF72E7"/>
    <w:rsid w:val="00B27F4B"/>
    <w:rsid w:val="00B42E04"/>
    <w:rsid w:val="00B97A9F"/>
    <w:rsid w:val="00BC6327"/>
    <w:rsid w:val="00C63578"/>
    <w:rsid w:val="00C87B5F"/>
    <w:rsid w:val="00D077D1"/>
    <w:rsid w:val="00D121FC"/>
    <w:rsid w:val="00D167A8"/>
    <w:rsid w:val="00D4577A"/>
    <w:rsid w:val="00DB1B1E"/>
    <w:rsid w:val="00DC15AF"/>
    <w:rsid w:val="00DD48A7"/>
    <w:rsid w:val="00DE15B4"/>
    <w:rsid w:val="00E15866"/>
    <w:rsid w:val="00E20AEC"/>
    <w:rsid w:val="00E50D9A"/>
    <w:rsid w:val="00EB5ABD"/>
    <w:rsid w:val="00EF790C"/>
    <w:rsid w:val="00F768A1"/>
    <w:rsid w:val="00FC09C2"/>
    <w:rsid w:val="01465A4E"/>
    <w:rsid w:val="015504BF"/>
    <w:rsid w:val="017237E6"/>
    <w:rsid w:val="01FB3616"/>
    <w:rsid w:val="029E7345"/>
    <w:rsid w:val="0332011C"/>
    <w:rsid w:val="035150D4"/>
    <w:rsid w:val="0369426B"/>
    <w:rsid w:val="03A42F70"/>
    <w:rsid w:val="03E72AB1"/>
    <w:rsid w:val="03F75042"/>
    <w:rsid w:val="04B41378"/>
    <w:rsid w:val="05006FC9"/>
    <w:rsid w:val="05254B7A"/>
    <w:rsid w:val="0603121F"/>
    <w:rsid w:val="0696151D"/>
    <w:rsid w:val="075F5872"/>
    <w:rsid w:val="0773625F"/>
    <w:rsid w:val="07C33011"/>
    <w:rsid w:val="08D92A57"/>
    <w:rsid w:val="09B0231D"/>
    <w:rsid w:val="09D60FD5"/>
    <w:rsid w:val="0AAC6188"/>
    <w:rsid w:val="0C052B04"/>
    <w:rsid w:val="0C242A58"/>
    <w:rsid w:val="0C3A03CF"/>
    <w:rsid w:val="0C455ADE"/>
    <w:rsid w:val="0C710E6E"/>
    <w:rsid w:val="0CF94A04"/>
    <w:rsid w:val="0D14265D"/>
    <w:rsid w:val="0D51038F"/>
    <w:rsid w:val="0D6526B0"/>
    <w:rsid w:val="0DAC042D"/>
    <w:rsid w:val="0DEB32F0"/>
    <w:rsid w:val="0F1677AE"/>
    <w:rsid w:val="103413E5"/>
    <w:rsid w:val="103C31F3"/>
    <w:rsid w:val="106C1AB6"/>
    <w:rsid w:val="10984E72"/>
    <w:rsid w:val="10A3474C"/>
    <w:rsid w:val="10C92E2B"/>
    <w:rsid w:val="11112838"/>
    <w:rsid w:val="119B311C"/>
    <w:rsid w:val="11FD208D"/>
    <w:rsid w:val="12FF71D7"/>
    <w:rsid w:val="13652DAC"/>
    <w:rsid w:val="13D86F05"/>
    <w:rsid w:val="143906F3"/>
    <w:rsid w:val="143E4EBE"/>
    <w:rsid w:val="14546D73"/>
    <w:rsid w:val="14BA2233"/>
    <w:rsid w:val="157068A2"/>
    <w:rsid w:val="15B96571"/>
    <w:rsid w:val="15C24447"/>
    <w:rsid w:val="160C613A"/>
    <w:rsid w:val="1658799E"/>
    <w:rsid w:val="16D36DB4"/>
    <w:rsid w:val="16E64BB2"/>
    <w:rsid w:val="17204A24"/>
    <w:rsid w:val="175C528C"/>
    <w:rsid w:val="17607D0B"/>
    <w:rsid w:val="17BF77DE"/>
    <w:rsid w:val="17F13650"/>
    <w:rsid w:val="185D4D81"/>
    <w:rsid w:val="187A28D5"/>
    <w:rsid w:val="192D5980"/>
    <w:rsid w:val="197B02B7"/>
    <w:rsid w:val="19960B8A"/>
    <w:rsid w:val="1B441D2C"/>
    <w:rsid w:val="1B720E9F"/>
    <w:rsid w:val="1B7528A1"/>
    <w:rsid w:val="1BB0666E"/>
    <w:rsid w:val="1BE41D3D"/>
    <w:rsid w:val="1C9C63DC"/>
    <w:rsid w:val="1CC9393C"/>
    <w:rsid w:val="1DAA2641"/>
    <w:rsid w:val="1DAF44CA"/>
    <w:rsid w:val="1F743226"/>
    <w:rsid w:val="1F947027"/>
    <w:rsid w:val="20866D52"/>
    <w:rsid w:val="20C867D0"/>
    <w:rsid w:val="211B7E7E"/>
    <w:rsid w:val="214521DD"/>
    <w:rsid w:val="21A428B6"/>
    <w:rsid w:val="221D5061"/>
    <w:rsid w:val="227F3384"/>
    <w:rsid w:val="22D849DE"/>
    <w:rsid w:val="230320DF"/>
    <w:rsid w:val="236F6828"/>
    <w:rsid w:val="23AE28DC"/>
    <w:rsid w:val="23B35C62"/>
    <w:rsid w:val="23D90B28"/>
    <w:rsid w:val="24EE0BD3"/>
    <w:rsid w:val="273B559B"/>
    <w:rsid w:val="283A3AEF"/>
    <w:rsid w:val="28440429"/>
    <w:rsid w:val="289F453C"/>
    <w:rsid w:val="2A7351D0"/>
    <w:rsid w:val="2B367100"/>
    <w:rsid w:val="2B3E7444"/>
    <w:rsid w:val="2BB76E82"/>
    <w:rsid w:val="2C114498"/>
    <w:rsid w:val="2C850D23"/>
    <w:rsid w:val="2CCA71D0"/>
    <w:rsid w:val="2CEC4968"/>
    <w:rsid w:val="2D3871FC"/>
    <w:rsid w:val="2D3F33DC"/>
    <w:rsid w:val="2DCB76ED"/>
    <w:rsid w:val="2E064D0C"/>
    <w:rsid w:val="2EB92E47"/>
    <w:rsid w:val="2F0A1F92"/>
    <w:rsid w:val="2FDD462B"/>
    <w:rsid w:val="30107178"/>
    <w:rsid w:val="30762FF8"/>
    <w:rsid w:val="31D0317D"/>
    <w:rsid w:val="32227ED8"/>
    <w:rsid w:val="32322F53"/>
    <w:rsid w:val="324D063C"/>
    <w:rsid w:val="32DD0533"/>
    <w:rsid w:val="330C68D6"/>
    <w:rsid w:val="34075C1F"/>
    <w:rsid w:val="34292884"/>
    <w:rsid w:val="345A00E8"/>
    <w:rsid w:val="34E401D5"/>
    <w:rsid w:val="34F97D77"/>
    <w:rsid w:val="353D69B9"/>
    <w:rsid w:val="35C33DAE"/>
    <w:rsid w:val="36442C25"/>
    <w:rsid w:val="36712BAC"/>
    <w:rsid w:val="368E0A09"/>
    <w:rsid w:val="36AF5C66"/>
    <w:rsid w:val="36C5414C"/>
    <w:rsid w:val="36ED25AC"/>
    <w:rsid w:val="370754AC"/>
    <w:rsid w:val="371D1722"/>
    <w:rsid w:val="37D670EF"/>
    <w:rsid w:val="38370A92"/>
    <w:rsid w:val="39232827"/>
    <w:rsid w:val="399D6D31"/>
    <w:rsid w:val="3AC76E2C"/>
    <w:rsid w:val="3B3F1EB5"/>
    <w:rsid w:val="3B756681"/>
    <w:rsid w:val="3BA84BE7"/>
    <w:rsid w:val="3C5E7FE9"/>
    <w:rsid w:val="3E147DF1"/>
    <w:rsid w:val="3E56112D"/>
    <w:rsid w:val="3F215AC4"/>
    <w:rsid w:val="3FF47CF9"/>
    <w:rsid w:val="4052113F"/>
    <w:rsid w:val="407270D1"/>
    <w:rsid w:val="410C524C"/>
    <w:rsid w:val="41591859"/>
    <w:rsid w:val="417E40E8"/>
    <w:rsid w:val="420145B0"/>
    <w:rsid w:val="42B145A0"/>
    <w:rsid w:val="42C01889"/>
    <w:rsid w:val="42CF1C6C"/>
    <w:rsid w:val="42FD69E4"/>
    <w:rsid w:val="439A4B34"/>
    <w:rsid w:val="43A25BBA"/>
    <w:rsid w:val="43DD38FB"/>
    <w:rsid w:val="44170F16"/>
    <w:rsid w:val="441B4A5F"/>
    <w:rsid w:val="446F157F"/>
    <w:rsid w:val="44CC2B4E"/>
    <w:rsid w:val="44E131D5"/>
    <w:rsid w:val="44E2100D"/>
    <w:rsid w:val="453E637F"/>
    <w:rsid w:val="455F7CE1"/>
    <w:rsid w:val="45954076"/>
    <w:rsid w:val="45CA34CC"/>
    <w:rsid w:val="463D643C"/>
    <w:rsid w:val="46411670"/>
    <w:rsid w:val="46717A94"/>
    <w:rsid w:val="46947D89"/>
    <w:rsid w:val="469D6150"/>
    <w:rsid w:val="479B3574"/>
    <w:rsid w:val="47F16E16"/>
    <w:rsid w:val="48A870A7"/>
    <w:rsid w:val="4A617628"/>
    <w:rsid w:val="4AF63389"/>
    <w:rsid w:val="4B170271"/>
    <w:rsid w:val="4B1941EA"/>
    <w:rsid w:val="4B200C64"/>
    <w:rsid w:val="4BE14197"/>
    <w:rsid w:val="4BF826DD"/>
    <w:rsid w:val="4CDA5F56"/>
    <w:rsid w:val="4D553A2E"/>
    <w:rsid w:val="4E887D1A"/>
    <w:rsid w:val="4F574569"/>
    <w:rsid w:val="505E397B"/>
    <w:rsid w:val="51562468"/>
    <w:rsid w:val="524528FF"/>
    <w:rsid w:val="525151D8"/>
    <w:rsid w:val="52A07AC7"/>
    <w:rsid w:val="52BC5BC0"/>
    <w:rsid w:val="53244A2B"/>
    <w:rsid w:val="53886EDC"/>
    <w:rsid w:val="53CA1088"/>
    <w:rsid w:val="53E54CEA"/>
    <w:rsid w:val="548B3399"/>
    <w:rsid w:val="55D4573F"/>
    <w:rsid w:val="55E00968"/>
    <w:rsid w:val="56B15E6F"/>
    <w:rsid w:val="56FB0959"/>
    <w:rsid w:val="571901FC"/>
    <w:rsid w:val="573D2416"/>
    <w:rsid w:val="574B5A36"/>
    <w:rsid w:val="57E02922"/>
    <w:rsid w:val="57FB5DC4"/>
    <w:rsid w:val="58465062"/>
    <w:rsid w:val="59C40FE6"/>
    <w:rsid w:val="59DD6B60"/>
    <w:rsid w:val="5A390187"/>
    <w:rsid w:val="5A464BCF"/>
    <w:rsid w:val="5B0F1249"/>
    <w:rsid w:val="5B1325F1"/>
    <w:rsid w:val="5B214A77"/>
    <w:rsid w:val="5B3B62F4"/>
    <w:rsid w:val="5CE53A1C"/>
    <w:rsid w:val="5D5B5F47"/>
    <w:rsid w:val="5D6E1177"/>
    <w:rsid w:val="5D922D53"/>
    <w:rsid w:val="5ED17479"/>
    <w:rsid w:val="5ED92465"/>
    <w:rsid w:val="5EFD774F"/>
    <w:rsid w:val="5F1A504B"/>
    <w:rsid w:val="5F285343"/>
    <w:rsid w:val="5FAD2E94"/>
    <w:rsid w:val="60081C4C"/>
    <w:rsid w:val="6061193B"/>
    <w:rsid w:val="6095025E"/>
    <w:rsid w:val="60F05F1B"/>
    <w:rsid w:val="61A7676B"/>
    <w:rsid w:val="61BE3088"/>
    <w:rsid w:val="62365C36"/>
    <w:rsid w:val="62DD71D2"/>
    <w:rsid w:val="62F34DDB"/>
    <w:rsid w:val="63297495"/>
    <w:rsid w:val="642920A3"/>
    <w:rsid w:val="645B3DE9"/>
    <w:rsid w:val="647A6F8B"/>
    <w:rsid w:val="662366B6"/>
    <w:rsid w:val="665D2277"/>
    <w:rsid w:val="67064E6D"/>
    <w:rsid w:val="67BA2385"/>
    <w:rsid w:val="67BE0ED4"/>
    <w:rsid w:val="67C4422B"/>
    <w:rsid w:val="67C9648F"/>
    <w:rsid w:val="68957BEC"/>
    <w:rsid w:val="68C66A7D"/>
    <w:rsid w:val="69526567"/>
    <w:rsid w:val="69875EC8"/>
    <w:rsid w:val="69C14D79"/>
    <w:rsid w:val="6A0135FC"/>
    <w:rsid w:val="6A9879DA"/>
    <w:rsid w:val="6AA14D5E"/>
    <w:rsid w:val="6AA20A34"/>
    <w:rsid w:val="6AAB3721"/>
    <w:rsid w:val="6AC61FC6"/>
    <w:rsid w:val="6B7139B9"/>
    <w:rsid w:val="6B723A81"/>
    <w:rsid w:val="6B9725D5"/>
    <w:rsid w:val="6BA51FAB"/>
    <w:rsid w:val="6BCC75D5"/>
    <w:rsid w:val="6BEA12C8"/>
    <w:rsid w:val="6C1F2184"/>
    <w:rsid w:val="6C584AF3"/>
    <w:rsid w:val="6C9918CC"/>
    <w:rsid w:val="6C9B53A8"/>
    <w:rsid w:val="6D0A5779"/>
    <w:rsid w:val="6D0D7C8E"/>
    <w:rsid w:val="6D43796E"/>
    <w:rsid w:val="6D5A3CA6"/>
    <w:rsid w:val="6E8701FE"/>
    <w:rsid w:val="6ECF5302"/>
    <w:rsid w:val="6EFB7D94"/>
    <w:rsid w:val="6FE0057E"/>
    <w:rsid w:val="701E4349"/>
    <w:rsid w:val="70CE17CC"/>
    <w:rsid w:val="70EC03E9"/>
    <w:rsid w:val="70FA51CC"/>
    <w:rsid w:val="713441FF"/>
    <w:rsid w:val="7197050C"/>
    <w:rsid w:val="72EE3025"/>
    <w:rsid w:val="73FC79B3"/>
    <w:rsid w:val="74242F8F"/>
    <w:rsid w:val="74DE4CA5"/>
    <w:rsid w:val="74DF3E23"/>
    <w:rsid w:val="7571099F"/>
    <w:rsid w:val="75881148"/>
    <w:rsid w:val="75E30C7B"/>
    <w:rsid w:val="76A11097"/>
    <w:rsid w:val="77DF4B49"/>
    <w:rsid w:val="78651A17"/>
    <w:rsid w:val="79EF0BCB"/>
    <w:rsid w:val="7C035CC0"/>
    <w:rsid w:val="7C3A43FA"/>
    <w:rsid w:val="7D5E732F"/>
    <w:rsid w:val="7D71365E"/>
    <w:rsid w:val="7E513836"/>
    <w:rsid w:val="7E836841"/>
    <w:rsid w:val="7EB74122"/>
    <w:rsid w:val="7F3510E7"/>
    <w:rsid w:val="7F996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0" w:semiHidden="0" w:name="Body Text First Indent"/>
    <w:lsdException w:qFormat="1" w:unhideWhenUsed="0" w:uiPriority="0" w:semiHidden="0"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7"/>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0"/>
    <w:qFormat/>
    <w:uiPriority w:val="0"/>
    <w:pPr>
      <w:keepNext/>
      <w:keepLines/>
      <w:spacing w:before="260" w:after="260" w:line="416" w:lineRule="auto"/>
      <w:outlineLvl w:val="2"/>
    </w:pPr>
    <w:rPr>
      <w:b/>
      <w:bCs/>
      <w:sz w:val="32"/>
      <w:szCs w:val="32"/>
    </w:rPr>
  </w:style>
  <w:style w:type="paragraph" w:styleId="9">
    <w:name w:val="heading 4"/>
    <w:basedOn w:val="1"/>
    <w:next w:val="1"/>
    <w:link w:val="35"/>
    <w:qFormat/>
    <w:uiPriority w:val="0"/>
    <w:pPr>
      <w:keepNext/>
      <w:keepLines/>
      <w:spacing w:line="360" w:lineRule="auto"/>
      <w:outlineLvl w:val="3"/>
    </w:pPr>
    <w:rPr>
      <w:rFonts w:ascii="Arial" w:hAnsi="Arial"/>
      <w:b/>
      <w:bCs/>
      <w:szCs w:val="28"/>
    </w:rPr>
  </w:style>
  <w:style w:type="paragraph" w:styleId="10">
    <w:name w:val="heading 5"/>
    <w:basedOn w:val="1"/>
    <w:next w:val="1"/>
    <w:link w:val="51"/>
    <w:qFormat/>
    <w:uiPriority w:val="0"/>
    <w:pPr>
      <w:keepNext/>
      <w:keepLines/>
      <w:spacing w:before="280" w:after="290" w:line="376" w:lineRule="auto"/>
      <w:outlineLvl w:val="4"/>
    </w:pPr>
    <w:rPr>
      <w:b/>
      <w:bCs/>
      <w:sz w:val="28"/>
      <w:szCs w:val="28"/>
    </w:rPr>
  </w:style>
  <w:style w:type="paragraph" w:styleId="11">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next w:val="4"/>
    <w:link w:val="60"/>
    <w:unhideWhenUsed/>
    <w:uiPriority w:val="0"/>
    <w:pPr>
      <w:ind w:firstLine="420" w:firstLineChars="100"/>
    </w:pPr>
  </w:style>
  <w:style w:type="paragraph" w:styleId="3">
    <w:name w:val="Body Text"/>
    <w:basedOn w:val="1"/>
    <w:link w:val="42"/>
    <w:unhideWhenUsed/>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0"/>
    <w:uiPriority w:val="0"/>
    <w:pPr>
      <w:spacing w:after="120"/>
      <w:ind w:left="420" w:leftChars="200"/>
    </w:pPr>
  </w:style>
  <w:style w:type="paragraph" w:styleId="15">
    <w:name w:val="Normal Indent"/>
    <w:basedOn w:val="1"/>
    <w:uiPriority w:val="0"/>
    <w:pPr>
      <w:ind w:firstLine="420" w:firstLineChars="200"/>
    </w:pPr>
  </w:style>
  <w:style w:type="paragraph" w:styleId="16">
    <w:name w:val="Document Map"/>
    <w:basedOn w:val="1"/>
    <w:link w:val="52"/>
    <w:semiHidden/>
    <w:qFormat/>
    <w:uiPriority w:val="0"/>
    <w:pPr>
      <w:shd w:val="clear" w:color="auto" w:fill="000080"/>
    </w:pPr>
  </w:style>
  <w:style w:type="paragraph" w:styleId="17">
    <w:name w:val="Body Text 3"/>
    <w:basedOn w:val="1"/>
    <w:link w:val="41"/>
    <w:uiPriority w:val="0"/>
    <w:rPr>
      <w:sz w:val="24"/>
    </w:rPr>
  </w:style>
  <w:style w:type="paragraph" w:styleId="18">
    <w:name w:val="Plain Text"/>
    <w:basedOn w:val="1"/>
    <w:link w:val="49"/>
    <w:uiPriority w:val="0"/>
    <w:rPr>
      <w:rFonts w:hAnsi="Courier New"/>
      <w:sz w:val="20"/>
      <w:szCs w:val="21"/>
    </w:rPr>
  </w:style>
  <w:style w:type="paragraph" w:styleId="19">
    <w:name w:val="Date"/>
    <w:basedOn w:val="1"/>
    <w:next w:val="1"/>
    <w:link w:val="65"/>
    <w:uiPriority w:val="0"/>
    <w:pPr>
      <w:ind w:left="100" w:leftChars="2500"/>
    </w:pPr>
  </w:style>
  <w:style w:type="paragraph" w:styleId="20">
    <w:name w:val="Body Text Indent 2"/>
    <w:basedOn w:val="1"/>
    <w:link w:val="48"/>
    <w:qFormat/>
    <w:uiPriority w:val="0"/>
    <w:pPr>
      <w:spacing w:after="120" w:line="480" w:lineRule="auto"/>
      <w:ind w:left="420" w:leftChars="200"/>
    </w:pPr>
  </w:style>
  <w:style w:type="paragraph" w:styleId="21">
    <w:name w:val="Balloon Text"/>
    <w:basedOn w:val="1"/>
    <w:link w:val="54"/>
    <w:semiHidden/>
    <w:uiPriority w:val="0"/>
    <w:rPr>
      <w:sz w:val="18"/>
      <w:szCs w:val="18"/>
    </w:rPr>
  </w:style>
  <w:style w:type="paragraph" w:styleId="22">
    <w:name w:val="footer"/>
    <w:basedOn w:val="1"/>
    <w:link w:val="59"/>
    <w:uiPriority w:val="99"/>
    <w:pPr>
      <w:tabs>
        <w:tab w:val="center" w:pos="4153"/>
        <w:tab w:val="right" w:pos="8306"/>
      </w:tabs>
      <w:snapToGrid w:val="0"/>
      <w:jc w:val="left"/>
    </w:pPr>
    <w:rPr>
      <w:rFonts w:ascii="Calibri" w:hAnsi="Calibri"/>
      <w:sz w:val="18"/>
      <w:szCs w:val="18"/>
    </w:rPr>
  </w:style>
  <w:style w:type="paragraph" w:styleId="23">
    <w:name w:val="header"/>
    <w:basedOn w:val="1"/>
    <w:link w:val="46"/>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4"/>
    <w:uiPriority w:val="0"/>
    <w:pPr>
      <w:ind w:firstLine="420" w:firstLineChars="200"/>
    </w:pPr>
    <w:rPr>
      <w:rFonts w:hAnsi="宋体"/>
    </w:rPr>
  </w:style>
  <w:style w:type="paragraph" w:styleId="25">
    <w:name w:val="Normal (Web)"/>
    <w:basedOn w:val="1"/>
    <w:uiPriority w:val="0"/>
    <w:pPr>
      <w:widowControl/>
      <w:spacing w:before="100" w:beforeAutospacing="1" w:after="100" w:afterAutospacing="1"/>
      <w:jc w:val="left"/>
    </w:pPr>
    <w:rPr>
      <w:rFonts w:hAnsi="宋体" w:cs="宋体"/>
      <w:sz w:val="24"/>
    </w:rPr>
  </w:style>
  <w:style w:type="paragraph" w:styleId="26">
    <w:name w:val="Title"/>
    <w:basedOn w:val="1"/>
    <w:link w:val="55"/>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iPriority w:val="0"/>
    <w:rPr>
      <w:color w:val="000000"/>
      <w:u w:val="none"/>
    </w:rPr>
  </w:style>
  <w:style w:type="character" w:styleId="32">
    <w:name w:val="Hyperlink"/>
    <w:uiPriority w:val="0"/>
    <w:rPr>
      <w:color w:val="000000"/>
      <w:u w:val="none"/>
    </w:rPr>
  </w:style>
  <w:style w:type="character" w:customStyle="1" w:styleId="33">
    <w:name w:val="sl"/>
    <w:basedOn w:val="28"/>
    <w:qFormat/>
    <w:uiPriority w:val="0"/>
  </w:style>
  <w:style w:type="character" w:customStyle="1" w:styleId="34">
    <w:name w:val="tit1"/>
    <w:basedOn w:val="28"/>
    <w:qFormat/>
    <w:uiPriority w:val="0"/>
  </w:style>
  <w:style w:type="character" w:customStyle="1" w:styleId="35">
    <w:name w:val="标题 4 字符"/>
    <w:link w:val="9"/>
    <w:uiPriority w:val="0"/>
    <w:rPr>
      <w:rFonts w:ascii="Arial" w:hAnsi="Arial" w:eastAsia="宋体" w:cs="Times New Roman"/>
      <w:b/>
      <w:bCs/>
      <w:kern w:val="0"/>
      <w:sz w:val="34"/>
      <w:szCs w:val="28"/>
    </w:rPr>
  </w:style>
  <w:style w:type="character" w:customStyle="1" w:styleId="36">
    <w:name w:val="lsl"/>
    <w:basedOn w:val="28"/>
    <w:uiPriority w:val="0"/>
  </w:style>
  <w:style w:type="character" w:customStyle="1" w:styleId="37">
    <w:name w:val="textcontents"/>
    <w:basedOn w:val="28"/>
    <w:uiPriority w:val="0"/>
  </w:style>
  <w:style w:type="character" w:customStyle="1" w:styleId="38">
    <w:name w:val="lsr"/>
    <w:basedOn w:val="28"/>
    <w:uiPriority w:val="0"/>
  </w:style>
  <w:style w:type="character" w:customStyle="1" w:styleId="39">
    <w:name w:val="apple-converted-space"/>
    <w:basedOn w:val="28"/>
    <w:qFormat/>
    <w:uiPriority w:val="0"/>
  </w:style>
  <w:style w:type="character" w:customStyle="1" w:styleId="40">
    <w:name w:val="标题 3 字符"/>
    <w:link w:val="8"/>
    <w:qFormat/>
    <w:uiPriority w:val="0"/>
    <w:rPr>
      <w:rFonts w:ascii="宋体" w:hAnsi="Times New Roman" w:eastAsia="宋体" w:cs="Times New Roman"/>
      <w:b/>
      <w:bCs/>
      <w:kern w:val="0"/>
      <w:sz w:val="32"/>
      <w:szCs w:val="32"/>
    </w:rPr>
  </w:style>
  <w:style w:type="character" w:customStyle="1" w:styleId="41">
    <w:name w:val="正文文本 3 字符"/>
    <w:link w:val="17"/>
    <w:uiPriority w:val="0"/>
    <w:rPr>
      <w:rFonts w:ascii="宋体" w:hAnsi="Times New Roman" w:eastAsia="宋体" w:cs="Times New Roman"/>
      <w:kern w:val="0"/>
      <w:sz w:val="24"/>
      <w:szCs w:val="20"/>
    </w:rPr>
  </w:style>
  <w:style w:type="character" w:customStyle="1" w:styleId="42">
    <w:name w:val="正文文本 字符"/>
    <w:link w:val="3"/>
    <w:semiHidden/>
    <w:qFormat/>
    <w:uiPriority w:val="99"/>
    <w:rPr>
      <w:rFonts w:ascii="宋体" w:hAnsi="Times New Roman" w:eastAsia="宋体" w:cs="Times New Roman"/>
      <w:kern w:val="0"/>
      <w:sz w:val="34"/>
      <w:szCs w:val="20"/>
    </w:rPr>
  </w:style>
  <w:style w:type="character" w:customStyle="1" w:styleId="43">
    <w:name w:val="纯文本 Char1"/>
    <w:semiHidden/>
    <w:qFormat/>
    <w:uiPriority w:val="99"/>
    <w:rPr>
      <w:rFonts w:ascii="宋体" w:hAnsi="Courier New" w:eastAsia="宋体" w:cs="Courier New"/>
      <w:kern w:val="0"/>
      <w:szCs w:val="21"/>
    </w:rPr>
  </w:style>
  <w:style w:type="character" w:customStyle="1" w:styleId="44">
    <w:name w:val="正文文本缩进 3 字符"/>
    <w:link w:val="24"/>
    <w:uiPriority w:val="0"/>
    <w:rPr>
      <w:rFonts w:ascii="宋体" w:hAnsi="宋体" w:eastAsia="宋体" w:cs="Times New Roman"/>
      <w:kern w:val="0"/>
      <w:sz w:val="34"/>
      <w:szCs w:val="20"/>
    </w:rPr>
  </w:style>
  <w:style w:type="character" w:customStyle="1" w:styleId="45">
    <w:name w:val="标题 9 字符"/>
    <w:link w:val="14"/>
    <w:uiPriority w:val="0"/>
    <w:rPr>
      <w:rFonts w:ascii="Arial" w:hAnsi="Arial" w:eastAsia="黑体" w:cs="Times New Roman"/>
      <w:kern w:val="0"/>
      <w:sz w:val="34"/>
      <w:szCs w:val="21"/>
    </w:rPr>
  </w:style>
  <w:style w:type="character" w:customStyle="1" w:styleId="46">
    <w:name w:val="页眉 字符"/>
    <w:link w:val="23"/>
    <w:uiPriority w:val="0"/>
    <w:rPr>
      <w:rFonts w:ascii="宋体" w:hAnsi="Times New Roman" w:eastAsia="宋体" w:cs="Times New Roman"/>
      <w:kern w:val="0"/>
      <w:sz w:val="18"/>
      <w:szCs w:val="18"/>
    </w:rPr>
  </w:style>
  <w:style w:type="character" w:customStyle="1" w:styleId="47">
    <w:name w:val="标题 2 字符"/>
    <w:link w:val="7"/>
    <w:uiPriority w:val="0"/>
    <w:rPr>
      <w:rFonts w:ascii="Arial" w:hAnsi="Arial" w:eastAsia="黑体" w:cs="Times New Roman"/>
      <w:b/>
      <w:bCs/>
      <w:sz w:val="32"/>
      <w:szCs w:val="32"/>
    </w:rPr>
  </w:style>
  <w:style w:type="character" w:customStyle="1" w:styleId="48">
    <w:name w:val="正文文本缩进 2 字符"/>
    <w:link w:val="20"/>
    <w:uiPriority w:val="0"/>
    <w:rPr>
      <w:rFonts w:ascii="宋体" w:hAnsi="Times New Roman" w:eastAsia="宋体" w:cs="Times New Roman"/>
      <w:kern w:val="0"/>
      <w:sz w:val="34"/>
      <w:szCs w:val="20"/>
    </w:rPr>
  </w:style>
  <w:style w:type="character" w:customStyle="1" w:styleId="49">
    <w:name w:val="纯文本 字符"/>
    <w:link w:val="18"/>
    <w:qFormat/>
    <w:uiPriority w:val="0"/>
    <w:rPr>
      <w:rFonts w:ascii="宋体" w:hAnsi="Courier New" w:eastAsia="宋体" w:cs="Courier New"/>
      <w:szCs w:val="21"/>
    </w:rPr>
  </w:style>
  <w:style w:type="character" w:customStyle="1" w:styleId="50">
    <w:name w:val="正文文本缩进 字符"/>
    <w:link w:val="5"/>
    <w:qFormat/>
    <w:uiPriority w:val="0"/>
    <w:rPr>
      <w:rFonts w:ascii="宋体" w:hAnsi="Times New Roman" w:eastAsia="宋体" w:cs="Times New Roman"/>
      <w:kern w:val="0"/>
      <w:sz w:val="34"/>
      <w:szCs w:val="20"/>
    </w:rPr>
  </w:style>
  <w:style w:type="character" w:customStyle="1" w:styleId="51">
    <w:name w:val="标题 5 字符"/>
    <w:link w:val="10"/>
    <w:uiPriority w:val="0"/>
    <w:rPr>
      <w:rFonts w:ascii="宋体" w:hAnsi="Times New Roman" w:eastAsia="宋体" w:cs="Times New Roman"/>
      <w:b/>
      <w:bCs/>
      <w:kern w:val="0"/>
      <w:sz w:val="28"/>
      <w:szCs w:val="28"/>
    </w:rPr>
  </w:style>
  <w:style w:type="character" w:customStyle="1" w:styleId="52">
    <w:name w:val="文档结构图 字符"/>
    <w:link w:val="16"/>
    <w:semiHidden/>
    <w:uiPriority w:val="0"/>
    <w:rPr>
      <w:rFonts w:ascii="宋体" w:hAnsi="Times New Roman" w:eastAsia="宋体" w:cs="Times New Roman"/>
      <w:kern w:val="0"/>
      <w:sz w:val="34"/>
      <w:szCs w:val="20"/>
      <w:shd w:val="clear" w:color="auto" w:fill="000080"/>
    </w:rPr>
  </w:style>
  <w:style w:type="character" w:customStyle="1" w:styleId="53">
    <w:name w:val="标题 6 字符"/>
    <w:link w:val="11"/>
    <w:uiPriority w:val="0"/>
    <w:rPr>
      <w:rFonts w:ascii="Arial" w:hAnsi="Arial" w:eastAsia="黑体" w:cs="Times New Roman"/>
      <w:b/>
      <w:bCs/>
      <w:kern w:val="0"/>
      <w:sz w:val="24"/>
      <w:szCs w:val="20"/>
    </w:rPr>
  </w:style>
  <w:style w:type="character" w:customStyle="1" w:styleId="54">
    <w:name w:val="批注框文本 字符"/>
    <w:link w:val="21"/>
    <w:semiHidden/>
    <w:uiPriority w:val="0"/>
    <w:rPr>
      <w:rFonts w:ascii="宋体" w:hAnsi="Times New Roman" w:eastAsia="宋体" w:cs="Times New Roman"/>
      <w:kern w:val="0"/>
      <w:sz w:val="18"/>
      <w:szCs w:val="18"/>
    </w:rPr>
  </w:style>
  <w:style w:type="character" w:customStyle="1" w:styleId="55">
    <w:name w:val="标题 字符"/>
    <w:link w:val="26"/>
    <w:uiPriority w:val="0"/>
    <w:rPr>
      <w:rFonts w:ascii="Arial" w:hAnsi="Arial" w:eastAsia="宋体" w:cs="Times New Roman"/>
      <w:b/>
      <w:kern w:val="0"/>
      <w:sz w:val="32"/>
      <w:szCs w:val="20"/>
    </w:rPr>
  </w:style>
  <w:style w:type="character" w:customStyle="1" w:styleId="56">
    <w:name w:val="页脚 Char1"/>
    <w:semiHidden/>
    <w:uiPriority w:val="99"/>
    <w:rPr>
      <w:rFonts w:ascii="宋体" w:hAnsi="Times New Roman" w:eastAsia="宋体" w:cs="Times New Roman"/>
      <w:kern w:val="0"/>
      <w:sz w:val="18"/>
      <w:szCs w:val="18"/>
    </w:rPr>
  </w:style>
  <w:style w:type="character" w:customStyle="1" w:styleId="57">
    <w:name w:val="tit"/>
    <w:basedOn w:val="28"/>
    <w:uiPriority w:val="0"/>
  </w:style>
  <w:style w:type="character" w:customStyle="1" w:styleId="58">
    <w:name w:val="标题 1 字符"/>
    <w:link w:val="6"/>
    <w:uiPriority w:val="0"/>
    <w:rPr>
      <w:rFonts w:ascii="宋体" w:hAnsi="Times New Roman" w:eastAsia="宋体" w:cs="Times New Roman"/>
      <w:b/>
      <w:bCs/>
      <w:kern w:val="44"/>
      <w:sz w:val="44"/>
      <w:szCs w:val="44"/>
    </w:rPr>
  </w:style>
  <w:style w:type="character" w:customStyle="1" w:styleId="59">
    <w:name w:val="页脚 字符"/>
    <w:link w:val="22"/>
    <w:uiPriority w:val="99"/>
    <w:rPr>
      <w:sz w:val="18"/>
      <w:szCs w:val="18"/>
    </w:rPr>
  </w:style>
  <w:style w:type="character" w:customStyle="1" w:styleId="60">
    <w:name w:val="正文文本首行缩进 字符"/>
    <w:link w:val="2"/>
    <w:semiHidden/>
    <w:uiPriority w:val="99"/>
    <w:rPr>
      <w:rFonts w:ascii="宋体" w:hAnsi="Times New Roman" w:eastAsia="宋体" w:cs="Times New Roman"/>
      <w:kern w:val="0"/>
      <w:sz w:val="34"/>
      <w:szCs w:val="20"/>
    </w:rPr>
  </w:style>
  <w:style w:type="character" w:customStyle="1" w:styleId="61">
    <w:name w:val="down"/>
    <w:uiPriority w:val="0"/>
    <w:rPr>
      <w:shd w:val="clear" w:color="auto" w:fill="DAEEF9"/>
    </w:rPr>
  </w:style>
  <w:style w:type="character" w:customStyle="1" w:styleId="62">
    <w:name w:val="font161"/>
    <w:uiPriority w:val="0"/>
    <w:rPr>
      <w:b/>
      <w:bCs/>
      <w:sz w:val="32"/>
      <w:szCs w:val="32"/>
    </w:rPr>
  </w:style>
  <w:style w:type="character" w:customStyle="1" w:styleId="63">
    <w:name w:val="标题 8 字符"/>
    <w:link w:val="13"/>
    <w:uiPriority w:val="0"/>
    <w:rPr>
      <w:rFonts w:ascii="Arial" w:hAnsi="Arial" w:eastAsia="黑体" w:cs="Times New Roman"/>
      <w:kern w:val="0"/>
      <w:sz w:val="24"/>
      <w:szCs w:val="20"/>
    </w:rPr>
  </w:style>
  <w:style w:type="character" w:customStyle="1" w:styleId="64">
    <w:name w:val="标题 7 字符"/>
    <w:link w:val="12"/>
    <w:uiPriority w:val="0"/>
    <w:rPr>
      <w:rFonts w:ascii="宋体" w:hAnsi="Times New Roman" w:eastAsia="宋体" w:cs="Times New Roman"/>
      <w:b/>
      <w:bCs/>
      <w:kern w:val="0"/>
      <w:sz w:val="24"/>
      <w:szCs w:val="20"/>
    </w:rPr>
  </w:style>
  <w:style w:type="character" w:customStyle="1" w:styleId="65">
    <w:name w:val="日期 字符"/>
    <w:link w:val="19"/>
    <w:uiPriority w:val="0"/>
    <w:rPr>
      <w:rFonts w:ascii="宋体" w:hAnsi="Times New Roman" w:eastAsia="宋体" w:cs="Times New Roman"/>
      <w:kern w:val="0"/>
      <w:sz w:val="34"/>
      <w:szCs w:val="20"/>
    </w:rPr>
  </w:style>
  <w:style w:type="character" w:customStyle="1" w:styleId="66">
    <w:name w:val="sr"/>
    <w:basedOn w:val="28"/>
    <w:qFormat/>
    <w:uiPriority w:val="0"/>
  </w:style>
  <w:style w:type="paragraph" w:customStyle="1" w:styleId="67">
    <w:name w:val="样式 标题 2 + Times New Roman 四号 非加粗 段前: 5 磅 段后: 0 磅 行距: 固定值 20..."/>
    <w:basedOn w:val="7"/>
    <w:uiPriority w:val="0"/>
    <w:pPr>
      <w:spacing w:before="100" w:after="0" w:line="400" w:lineRule="exact"/>
    </w:pPr>
    <w:rPr>
      <w:rFonts w:ascii="Times New Roman" w:hAnsi="Times New Roman" w:cs="宋体"/>
      <w:b w:val="0"/>
      <w:bCs w:val="0"/>
      <w:sz w:val="28"/>
      <w:szCs w:val="20"/>
    </w:rPr>
  </w:style>
  <w:style w:type="paragraph" w:customStyle="1" w:styleId="68">
    <w:name w:val="默认段落字体 Para Char Char Char Char Char Char Char"/>
    <w:basedOn w:val="1"/>
    <w:qFormat/>
    <w:uiPriority w:val="0"/>
    <w:rPr>
      <w:rFonts w:ascii="Tahoma" w:hAnsi="Tahoma"/>
      <w:sz w:val="24"/>
    </w:rPr>
  </w:style>
  <w:style w:type="paragraph" w:customStyle="1" w:styleId="69">
    <w:name w:val="样式 标题 3 + (中文) 黑体 小四 非加粗 段前: 7.8 磅 段后: 0 磅 行距: 固定值 20 磅"/>
    <w:basedOn w:val="8"/>
    <w:uiPriority w:val="0"/>
    <w:pPr>
      <w:spacing w:before="0" w:after="0" w:line="400" w:lineRule="exact"/>
    </w:pPr>
    <w:rPr>
      <w:rFonts w:eastAsia="黑体" w:cs="宋体"/>
      <w:b w:val="0"/>
      <w:bCs w:val="0"/>
      <w:sz w:val="24"/>
      <w:szCs w:val="20"/>
    </w:rPr>
  </w:style>
  <w:style w:type="paragraph" w:customStyle="1" w:styleId="70">
    <w:name w:val="表格文字"/>
    <w:basedOn w:val="1"/>
    <w:qFormat/>
    <w:uiPriority w:val="0"/>
    <w:pPr>
      <w:adjustRightInd w:val="0"/>
      <w:spacing w:line="420" w:lineRule="atLeast"/>
      <w:jc w:val="left"/>
      <w:textAlignment w:val="baseline"/>
    </w:pPr>
  </w:style>
  <w:style w:type="paragraph" w:styleId="71">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2">
    <w:name w:val="p0"/>
    <w:basedOn w:val="1"/>
    <w:uiPriority w:val="0"/>
    <w:pPr>
      <w:widowControl/>
      <w:spacing w:line="408" w:lineRule="auto"/>
      <w:ind w:left="1"/>
      <w:textAlignment w:val="bottom"/>
    </w:pPr>
    <w:rPr>
      <w:color w:val="000000"/>
    </w:rPr>
  </w:style>
  <w:style w:type="paragraph" w:customStyle="1" w:styleId="73">
    <w:name w:val="_Style 6"/>
    <w:basedOn w:val="6"/>
    <w:next w:val="1"/>
    <w:qFormat/>
    <w:uiPriority w:val="0"/>
    <w:pPr>
      <w:spacing w:line="576" w:lineRule="auto"/>
      <w:outlineLvl w:val="9"/>
    </w:pPr>
    <w:rPr>
      <w:rFonts w:ascii="Calibri" w:hAnsi="Calibri"/>
    </w:rPr>
  </w:style>
  <w:style w:type="paragraph" w:customStyle="1" w:styleId="74">
    <w:name w:val="样式 标题 1 + 黑体 三号 非加粗 居中 段前: 6 磅 段后: 6 磅 行距: 固定值 20 磅"/>
    <w:basedOn w:val="6"/>
    <w:uiPriority w:val="0"/>
    <w:pPr>
      <w:spacing w:before="120" w:after="120" w:line="400" w:lineRule="exact"/>
      <w:jc w:val="center"/>
    </w:pPr>
    <w:rPr>
      <w:rFonts w:ascii="黑体" w:hAnsi="黑体" w:eastAsia="黑体" w:cs="宋体"/>
      <w:b w:val="0"/>
      <w:bCs w:val="0"/>
      <w:sz w:val="32"/>
      <w:szCs w:val="20"/>
    </w:rPr>
  </w:style>
  <w:style w:type="paragraph" w:customStyle="1" w:styleId="75">
    <w:name w:val="Char Char Char Char Char Char Char Char Char Char Char Char Char Char Char Char"/>
    <w:basedOn w:val="1"/>
    <w:uiPriority w:val="0"/>
    <w:pPr>
      <w:snapToGrid w:val="0"/>
      <w:spacing w:line="360" w:lineRule="auto"/>
      <w:ind w:firstLine="200" w:firstLineChars="200"/>
    </w:pPr>
    <w:rPr>
      <w:rFonts w:ascii="Times New Roman"/>
      <w:kern w:val="2"/>
      <w:sz w:val="21"/>
      <w:szCs w:val="24"/>
    </w:rPr>
  </w:style>
  <w:style w:type="paragraph" w:customStyle="1" w:styleId="76">
    <w:name w:val="Char"/>
    <w:basedOn w:val="1"/>
    <w:uiPriority w:val="0"/>
    <w:rPr>
      <w:rFonts w:ascii="仿宋_GB2312" w:eastAsia="仿宋_GB2312"/>
      <w:b/>
      <w:sz w:val="32"/>
      <w:szCs w:val="32"/>
    </w:rPr>
  </w:style>
  <w:style w:type="paragraph" w:customStyle="1" w:styleId="77">
    <w:name w:val="_Style 9"/>
    <w:basedOn w:val="6"/>
    <w:next w:val="1"/>
    <w:qFormat/>
    <w:uiPriority w:val="0"/>
    <w:pPr>
      <w:spacing w:line="576" w:lineRule="auto"/>
      <w:outlineLvl w:val="9"/>
    </w:pPr>
    <w:rPr>
      <w:rFonts w:ascii="Calibri" w:hAnsi="Calibri"/>
    </w:rPr>
  </w:style>
  <w:style w:type="paragraph" w:customStyle="1" w:styleId="78">
    <w:name w:val="6'"/>
    <w:basedOn w:val="1"/>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0">
    <w:name w:val="表格"/>
    <w:basedOn w:val="1"/>
    <w:uiPriority w:val="0"/>
    <w:pPr>
      <w:jc w:val="center"/>
      <w:textAlignment w:val="center"/>
    </w:pPr>
    <w:rPr>
      <w:rFonts w:ascii="华文细黑" w:hAnsi="华文细黑"/>
    </w:rPr>
  </w:style>
  <w:style w:type="paragraph" w:customStyle="1" w:styleId="81">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Char1"/>
    <w:basedOn w:val="1"/>
    <w:uiPriority w:val="0"/>
    <w:pPr>
      <w:adjustRightInd w:val="0"/>
      <w:spacing w:line="600" w:lineRule="exact"/>
      <w:ind w:firstLine="560" w:firstLineChars="200"/>
      <w:jc w:val="center"/>
    </w:pPr>
  </w:style>
  <w:style w:type="paragraph" w:customStyle="1" w:styleId="84">
    <w:name w:val="TOC Heading"/>
    <w:basedOn w:val="6"/>
    <w:next w:val="1"/>
    <w:qFormat/>
    <w:uiPriority w:val="0"/>
    <w:pPr>
      <w:spacing w:line="576" w:lineRule="auto"/>
      <w:outlineLvl w:val="9"/>
    </w:pPr>
    <w:rPr>
      <w:rFonts w:ascii="Calibri" w:hAnsi="Calibri"/>
    </w:rPr>
  </w:style>
  <w:style w:type="paragraph" w:customStyle="1" w:styleId="85">
    <w:name w:val="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6580</Words>
  <Characters>37509</Characters>
  <Lines>312</Lines>
  <Paragraphs>88</Paragraphs>
  <TotalTime>150</TotalTime>
  <ScaleCrop>false</ScaleCrop>
  <LinksUpToDate>false</LinksUpToDate>
  <CharactersWithSpaces>44001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╲_/戀煋兒╰</cp:lastModifiedBy>
  <cp:lastPrinted>2019-09-05T05:34:00Z</cp:lastPrinted>
  <dcterms:modified xsi:type="dcterms:W3CDTF">2019-09-05T07:26:50Z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