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p>
    <w:p>
      <w:pPr>
        <w:ind w:firstLine="440" w:firstLineChars="100"/>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禹州市广播电视台高标清播出系统采购项目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禹州市广播电视台高标清播出系统采购项目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禹州市政府采购中心受禹州市文化广电和旅游局的委托，就“禹州市广播电视台高标清播出系统采购项目”进行公开招标，欢迎合格的投标人前来投标。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禹州市广播电视台高标清播出系统采购项目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201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项目需求：广播级主备视频服务器、广播级二级存储、广播级双通道上载审片工作站、16*4分控矩阵、4选1倒换器、多画面等（详见招标文件）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431.186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431.186</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1、投标人须符合《政府采购法》二十二条规定，具有独立法人资格及相应经营范围（营业执照经营范围须包含广播电视设备）；</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20 </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7"/>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rPr>
          <w:b/>
          <w:sz w:val="28"/>
          <w:szCs w:val="28"/>
        </w:rPr>
      </w:pPr>
      <w:r>
        <w:rPr>
          <w:rFonts w:hint="eastAsia"/>
          <w:b/>
          <w:sz w:val="28"/>
          <w:szCs w:val="28"/>
        </w:rPr>
        <w:t>需求概述</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按照规划，本次建设项目要求能够</w:t>
      </w:r>
      <w:r>
        <w:rPr>
          <w:rFonts w:hint="eastAsia" w:cs="宋体" w:asciiTheme="minorEastAsia" w:hAnsiTheme="minorEastAsia"/>
          <w:sz w:val="24"/>
          <w:szCs w:val="24"/>
          <w:lang w:eastAsia="zh-CN"/>
        </w:rPr>
        <w:t>实现</w:t>
      </w:r>
      <w:r>
        <w:rPr>
          <w:rFonts w:cs="宋体" w:asciiTheme="minorEastAsia" w:hAnsiTheme="minorEastAsia"/>
          <w:sz w:val="24"/>
          <w:szCs w:val="24"/>
        </w:rPr>
        <w:t>3</w:t>
      </w:r>
      <w:r>
        <w:rPr>
          <w:rFonts w:hint="eastAsia" w:cs="宋体" w:asciiTheme="minorEastAsia" w:hAnsiTheme="minorEastAsia"/>
          <w:sz w:val="24"/>
          <w:szCs w:val="24"/>
          <w:lang w:eastAsia="zh-CN"/>
        </w:rPr>
        <w:t>个频道</w:t>
      </w:r>
      <w:r>
        <w:rPr>
          <w:rFonts w:hint="eastAsia" w:cs="宋体" w:asciiTheme="minorEastAsia" w:hAnsiTheme="minorEastAsia"/>
          <w:sz w:val="24"/>
          <w:szCs w:val="24"/>
        </w:rPr>
        <w:t>高</w:t>
      </w:r>
      <w:r>
        <w:rPr>
          <w:rFonts w:hint="eastAsia" w:cs="宋体" w:asciiTheme="minorEastAsia" w:hAnsiTheme="minorEastAsia"/>
          <w:sz w:val="24"/>
          <w:szCs w:val="24"/>
          <w:lang w:eastAsia="zh-CN"/>
        </w:rPr>
        <w:t>标</w:t>
      </w:r>
      <w:r>
        <w:rPr>
          <w:rFonts w:hint="eastAsia" w:cs="宋体" w:asciiTheme="minorEastAsia" w:hAnsiTheme="minorEastAsia"/>
          <w:sz w:val="24"/>
          <w:szCs w:val="24"/>
        </w:rPr>
        <w:t>清</w:t>
      </w:r>
      <w:r>
        <w:rPr>
          <w:rFonts w:hint="eastAsia" w:cs="宋体" w:asciiTheme="minorEastAsia" w:hAnsiTheme="minorEastAsia"/>
          <w:sz w:val="24"/>
          <w:szCs w:val="24"/>
          <w:lang w:eastAsia="zh-CN"/>
        </w:rPr>
        <w:t>节目共同</w:t>
      </w:r>
      <w:r>
        <w:rPr>
          <w:rFonts w:hint="eastAsia" w:cs="宋体" w:asciiTheme="minorEastAsia" w:hAnsiTheme="minorEastAsia"/>
          <w:sz w:val="24"/>
          <w:szCs w:val="24"/>
        </w:rPr>
        <w:t>播出。</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本系统是由播出服务器系统、播出内容管理系统、播出控制系统、同步系统、时钟系统、切换系统、播出周边等组成。</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主要系统有：播出上载视频服务器系统、相关播出控制的计算机系统、播出管理计算机系统、视音频系统、播出切换系统等。</w:t>
      </w:r>
    </w:p>
    <w:p>
      <w:pPr>
        <w:adjustRightInd w:val="0"/>
        <w:snapToGrid w:val="0"/>
        <w:spacing w:line="360" w:lineRule="auto"/>
        <w:rPr>
          <w:rFonts w:cs="宋体" w:asciiTheme="minorEastAsia" w:hAnsiTheme="minorEastAsia"/>
          <w:b/>
          <w:bCs/>
          <w:color w:val="000000"/>
          <w:sz w:val="24"/>
          <w:szCs w:val="24"/>
        </w:rPr>
      </w:pPr>
      <w:r>
        <w:rPr>
          <w:rFonts w:hint="eastAsia" w:cs="宋体" w:asciiTheme="minorEastAsia" w:hAnsiTheme="minorEastAsia"/>
          <w:sz w:val="24"/>
          <w:szCs w:val="24"/>
        </w:rPr>
        <w:t>主要应用软件有：播控软件、应急上载软件、技审平台软件、播出内容管理软件等。</w:t>
      </w:r>
    </w:p>
    <w:p>
      <w:pPr>
        <w:rPr>
          <w:b/>
          <w:sz w:val="28"/>
          <w:szCs w:val="28"/>
        </w:rPr>
      </w:pPr>
      <w:r>
        <w:rPr>
          <w:rFonts w:hint="eastAsia"/>
          <w:b/>
          <w:sz w:val="28"/>
          <w:szCs w:val="28"/>
        </w:rPr>
        <w:t>项目建设要求分析</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本次项目要建设成为满足一下设计要求的系统：</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安全可靠性要求：系统的硬件设备与应用软件必须能满足</w:t>
      </w:r>
      <w:r>
        <w:rPr>
          <w:rFonts w:cs="宋体" w:asciiTheme="minorEastAsia" w:hAnsiTheme="minorEastAsia"/>
          <w:sz w:val="24"/>
          <w:szCs w:val="24"/>
        </w:rPr>
        <w:t>7</w:t>
      </w:r>
      <w:r>
        <w:rPr>
          <w:rFonts w:hint="eastAsia" w:cs="宋体" w:asciiTheme="minorEastAsia" w:hAnsiTheme="minorEastAsia"/>
          <w:sz w:val="24"/>
          <w:szCs w:val="24"/>
        </w:rPr>
        <w:t>×</w:t>
      </w:r>
      <w:r>
        <w:rPr>
          <w:rFonts w:cs="宋体" w:asciiTheme="minorEastAsia" w:hAnsiTheme="minorEastAsia"/>
          <w:sz w:val="24"/>
          <w:szCs w:val="24"/>
        </w:rPr>
        <w:t>24</w:t>
      </w:r>
      <w:r>
        <w:rPr>
          <w:rFonts w:hint="eastAsia" w:cs="宋体" w:asciiTheme="minorEastAsia" w:hAnsiTheme="minorEastAsia"/>
          <w:sz w:val="24"/>
          <w:szCs w:val="24"/>
        </w:rPr>
        <w:t>小时稳定运行要求，必须具有完善的硬件热备，自动数据热备份以及节目播出热备份，无单一崩溃点。系统应具有方便、有效、完善的应急方案和措施，能够在线维护系统设备，提供实时的系统状态监测与报警。</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开放性要求：系统要提供开放式和标准接口，可充分满足与全台媒资管理系统与生产网络业务支撑平台和基础网络平台无缝衔接的需求。</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可扩展升级要求：播出节目迁移管理及控制软件应采用开放式和模块化结构，易于升级。</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便于维护便于操作性要求：播出节目迁移调度灵活、高效。播出节目迁移管理与控制软件的界面要简单清晰，易学易用。系统总体布局合理有效，系统设备硬件的连接直观简单，便于维护。</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系统的组成及设计应科学合理，并从实际情况出发，整个系统无单一崩溃点，组网安全合理。</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系统技术方案完全达到招标文件规定的技术规范和要求，所有设备可在线升级扩展、冗余，系统文件、信号格式可共享。</w:t>
      </w:r>
    </w:p>
    <w:p>
      <w:pPr>
        <w:rPr>
          <w:b/>
          <w:sz w:val="28"/>
          <w:szCs w:val="28"/>
        </w:rPr>
      </w:pPr>
      <w:r>
        <w:rPr>
          <w:rFonts w:hint="eastAsia"/>
          <w:b/>
          <w:sz w:val="28"/>
          <w:szCs w:val="28"/>
        </w:rPr>
        <w:t>建设范围</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应该涵盖从方案需求调研、设计直至成功上线运行的整体建设。满足用户需求的交钥匙工程。</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主要包含</w:t>
      </w:r>
      <w:r>
        <w:rPr>
          <w:rFonts w:cs="宋体" w:asciiTheme="minorEastAsia" w:hAnsiTheme="minorEastAsia"/>
          <w:sz w:val="24"/>
          <w:szCs w:val="24"/>
        </w:rPr>
        <w:t>3</w:t>
      </w:r>
      <w:r>
        <w:rPr>
          <w:rFonts w:hint="eastAsia" w:cs="宋体" w:asciiTheme="minorEastAsia" w:hAnsiTheme="minorEastAsia"/>
          <w:sz w:val="24"/>
          <w:szCs w:val="24"/>
        </w:rPr>
        <w:t>个高清频道的硬盘播出系统方案的需求调研、方案详细设计、相关硬件设备的提供、软件应用及定制开发、系统软硬件集成与设备安装调试、试运行、测试验收、运行维护及售后服务。</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高标清播出系统是本次建设的核心部分，负责高标清播出频道的高清信号和标清信号播出。</w:t>
      </w:r>
      <w:r>
        <w:rPr>
          <w:rFonts w:cs="宋体" w:asciiTheme="minorEastAsia" w:hAnsiTheme="minorEastAsia"/>
          <w:color w:val="000000"/>
          <w:sz w:val="24"/>
          <w:szCs w:val="24"/>
        </w:rPr>
        <w:t xml:space="preserve"> </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播出编单系统：完成节目单编排任务，包括实现远程编单；</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播出二级存储系统：接收来自节目生产库的媒体文件，作为节目缓存，并按播出时间要求完成向视频服务器的文件迁移；</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应用处理集群：对播出二级存储系统的节目文件进行文件技审、迁移等各类处理；</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上载系统：将磁带等节目上载到二级存储中；</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硬盘播出系统：接收来自播出二级存储系统的文件，完成各个频道播出任务；</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播出信源调度系统：完成播出系统所有信号源的调度、总体处理功能；</w:t>
      </w:r>
    </w:p>
    <w:p>
      <w:pPr>
        <w:rPr>
          <w:b/>
          <w:sz w:val="28"/>
          <w:szCs w:val="28"/>
        </w:rPr>
      </w:pPr>
      <w:r>
        <w:rPr>
          <w:rFonts w:hint="eastAsia"/>
          <w:b/>
          <w:sz w:val="28"/>
          <w:szCs w:val="28"/>
        </w:rPr>
        <w:t>业务流程</w:t>
      </w:r>
    </w:p>
    <w:p>
      <w:pPr>
        <w:adjustRightInd w:val="0"/>
        <w:snapToGri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整个业务体系由节目单编排系统、节目素材准备系统、节目播出系统以及台标字幕系统组成。</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节目单编排系统：完成播出节目单的制作和编排；</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节目素材准备系统：完成待播出节目的上载、审核、及迁移任务；</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节目播出系统：根据制订好的节目单，根据节目单有计划地播出，在播出的过程中，对节目单进行修改、细化以及播控的应急操作等；</w:t>
      </w:r>
    </w:p>
    <w:p>
      <w:pPr>
        <w:adjustRightInd w:val="0"/>
        <w:snapToGrid w:val="0"/>
        <w:spacing w:line="360" w:lineRule="auto"/>
        <w:ind w:firstLine="480" w:firstLineChars="200"/>
        <w:rPr>
          <w:rFonts w:cs="宋体" w:asciiTheme="minorEastAsia" w:hAnsiTheme="minorEastAsia"/>
          <w:b/>
          <w:bCs/>
          <w:color w:val="000000"/>
          <w:sz w:val="24"/>
          <w:szCs w:val="24"/>
        </w:rPr>
      </w:pPr>
      <w:r>
        <w:rPr>
          <w:rFonts w:hint="eastAsia" w:cs="宋体" w:asciiTheme="minorEastAsia" w:hAnsiTheme="minorEastAsia"/>
          <w:color w:val="000000"/>
          <w:sz w:val="24"/>
          <w:szCs w:val="24"/>
        </w:rPr>
        <w:t>硬盘播出系统结构采取分级、分层次的分布式设计。系统设计时将功能独立的系统进行隔离，使得访问简单直接，以提高系统的可靠性。按照设备功能特点，将功能进行分类。划分为数据库网络、控制网络，视频服务器网络，外部传输网络等。每种网络工作于不同的网络环境，相互独立，互不干扰。对每一种应用，在工作站和服务器中有相应的网卡与之对应，设置到相应的网络中。</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系统内电缆走线使用桥架，电缆走线整齐美观，不同功能电缆，应留足间距，除光纤外其他线缆必须牢固帮扎在捆线杆上。</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设备布局合理，主备路设备分布于不同机箱，双电源设备分别使用双母线供电，设备散热与空调通风系统配合良好。</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对设备区内机柜机架进行合理命名和功能划分。</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以太网交换机等路由设备接口朝向必须方便状态查看与操作，不得隐藏在机柜内部。</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服务器安装必须方便更换冷备设备，服务器所有状态显示窗口必须方便查看。</w:t>
      </w:r>
    </w:p>
    <w:p>
      <w:pPr>
        <w:adjustRightInd w:val="0"/>
        <w:ind w:firstLine="480"/>
        <w:jc w:val="left"/>
        <w:rPr>
          <w:rFonts w:ascii="微软雅黑" w:hAnsi="微软雅黑"/>
          <w:b/>
          <w:sz w:val="28"/>
          <w:szCs w:val="28"/>
        </w:rPr>
      </w:pPr>
      <w:r>
        <w:rPr>
          <w:rFonts w:hint="eastAsia" w:ascii="微软雅黑" w:hAnsi="微软雅黑"/>
          <w:b/>
          <w:sz w:val="28"/>
          <w:szCs w:val="28"/>
        </w:rPr>
        <w:t>本次系统设计遵循以下技术标准及协议</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ITU-R  BT.601-2数字电视编码标准；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SMPTE 供10比特4:2:2分量使用的串行数字接口SDI，及工作在4:2:2 601推荐级别下的625行电视数字分量，即SMPTE 125M 规定的数据电气接口标准；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GB/T14857-1993演播室数字电视编码参数规范；</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GB/T17953－2000，4:2:2数字分量图像信号的接口标准；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ITU-R  BT.711供分量数字演播室使用的同步基准信号标准；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SMPTE RP168为实现同步视频切换，关于场消隐切换点的规定标准；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158-2000演播室数字音频信号接口；</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160-2000 数字分量演播室接口中的附属数据信号格式；</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161-2000数字电视附属数据空间内数字音频和辅助数据的传输规范；</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162-2000高清晰度电视串行接口中附属数据信号的24比特数字音频格式；</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163-2000数字电视附属数据空间内时间码和控制码的传输格式；</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AES3数字伴音AES/EBU数据的串行传输格式标准；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AES11数字伴音设备的同步格式标准；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ITU-R BT.624对模拟输出监视的规定及SMPTE170M规定的数据电气接口标准；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压缩视频信号的4:2:2级规范；</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167-2000数字分量演播室的同步基准信号；</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164-2000演播室串行数字光纤传输系统；</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165-2000电视中心播控系统数字播出通路技术指标和测量方法；</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模拟分量、模拟复合视频格式及相关的接口及电气特性要求；</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平衡式模拟音频格式及相关的接口及电气特性要求；</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国家广播电影电视总局其他有关数字电视设备系统的标准；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国家广播电影电视总局其他有关省级电视台建设的标准；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国家关于电器设备使用的其他有关标准。</w:t>
      </w:r>
    </w:p>
    <w:p>
      <w:pPr>
        <w:pStyle w:val="2"/>
        <w:rPr>
          <w:rFonts w:hint="eastAsia"/>
          <w:lang w:val="en-US" w:eastAsia="zh-CN"/>
        </w:rPr>
      </w:pPr>
    </w:p>
    <w:p>
      <w:pPr>
        <w:keepNext w:val="0"/>
        <w:keepLines w:val="0"/>
        <w:pageBreakBefore w:val="0"/>
        <w:widowControl/>
        <w:numPr>
          <w:ilvl w:val="0"/>
          <w:numId w:val="7"/>
        </w:numPr>
        <w:shd w:val="clear" w:color="auto" w:fill="FFFFFF"/>
        <w:kinsoku/>
        <w:overflowPunct/>
        <w:bidi w:val="0"/>
        <w:snapToGrid/>
        <w:spacing w:line="360" w:lineRule="auto"/>
        <w:ind w:left="0" w:leftChars="0" w:firstLine="0" w:firstLineChars="0"/>
        <w:jc w:val="left"/>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rPr>
        <w:t>采购清单：</w:t>
      </w:r>
    </w:p>
    <w:tbl>
      <w:tblPr>
        <w:tblStyle w:val="23"/>
        <w:tblW w:w="9235" w:type="dxa"/>
        <w:jc w:val="center"/>
        <w:tblInd w:w="0" w:type="dxa"/>
        <w:tblLayout w:type="fixed"/>
        <w:tblCellMar>
          <w:top w:w="0" w:type="dxa"/>
          <w:left w:w="108" w:type="dxa"/>
          <w:bottom w:w="0" w:type="dxa"/>
          <w:right w:w="108" w:type="dxa"/>
        </w:tblCellMar>
      </w:tblPr>
      <w:tblGrid>
        <w:gridCol w:w="698"/>
        <w:gridCol w:w="1966"/>
        <w:gridCol w:w="4100"/>
        <w:gridCol w:w="681"/>
        <w:gridCol w:w="895"/>
        <w:gridCol w:w="895"/>
      </w:tblGrid>
      <w:tr>
        <w:tblPrEx>
          <w:tblLayout w:type="fixed"/>
          <w:tblCellMar>
            <w:top w:w="0" w:type="dxa"/>
            <w:left w:w="108" w:type="dxa"/>
            <w:bottom w:w="0" w:type="dxa"/>
            <w:right w:w="108" w:type="dxa"/>
          </w:tblCellMar>
        </w:tblPrEx>
        <w:trPr>
          <w:trHeight w:val="1537" w:hRule="atLeast"/>
          <w:jc w:val="center"/>
        </w:trPr>
        <w:tc>
          <w:tcPr>
            <w:tcW w:w="698"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1966"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产品名称</w:t>
            </w:r>
          </w:p>
        </w:tc>
        <w:tc>
          <w:tcPr>
            <w:tcW w:w="4100"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技术规格及主要参数</w:t>
            </w:r>
          </w:p>
        </w:tc>
        <w:tc>
          <w:tcPr>
            <w:tcW w:w="681"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89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89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是否为核心产品</w:t>
            </w:r>
          </w:p>
        </w:tc>
      </w:tr>
      <w:tr>
        <w:tblPrEx>
          <w:tblLayout w:type="fixed"/>
          <w:tblCellMar>
            <w:top w:w="0" w:type="dxa"/>
            <w:left w:w="108" w:type="dxa"/>
            <w:bottom w:w="0" w:type="dxa"/>
            <w:right w:w="108" w:type="dxa"/>
          </w:tblCellMar>
        </w:tblPrEx>
        <w:trPr>
          <w:trHeight w:val="4036" w:hRule="atLeast"/>
          <w:jc w:val="center"/>
        </w:trPr>
        <w:tc>
          <w:tcPr>
            <w:tcW w:w="698"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196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广播级主备视频服务器</w:t>
            </w:r>
          </w:p>
        </w:tc>
        <w:tc>
          <w:tcPr>
            <w:tcW w:w="41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包含系统管理软件包</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提供双千兆FTP上载接口，</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★实时FTP上传速率不低于7</w:t>
            </w:r>
            <w:r>
              <w:rPr>
                <w:rFonts w:cs="宋体" w:asciiTheme="minorEastAsia" w:hAnsiTheme="minorEastAsia"/>
                <w:kern w:val="0"/>
                <w:sz w:val="24"/>
                <w:szCs w:val="24"/>
              </w:rPr>
              <w:t>5</w:t>
            </w:r>
            <w:r>
              <w:rPr>
                <w:rFonts w:hint="eastAsia" w:cs="宋体" w:asciiTheme="minorEastAsia" w:hAnsiTheme="minorEastAsia"/>
                <w:kern w:val="0"/>
                <w:sz w:val="24"/>
                <w:szCs w:val="24"/>
              </w:rPr>
              <w:t>MB/s,</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★必须采用嵌入式Linux操作系统操作系统固化在版芯片，</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★采用硬件编解码，支持高标清播出。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 2个编码/解码通道, 支持高清/标清Mpeg-2格式，支持播放和录制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支持2个解码通道, 支持高清/标清Mpeg-2格式，支持播放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有效容量不低于6TB</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提供彩页</w:t>
            </w:r>
          </w:p>
        </w:tc>
        <w:tc>
          <w:tcPr>
            <w:tcW w:w="681"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是</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196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播出数据库系统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配置要求：</w:t>
            </w:r>
          </w:p>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不低于2颗六核至强 E5-2620 CPU/16GB DDR4 内存/DVD光驱/4口集成千兆网卡/PERC H330 RAID卡(支持RAID0/1/5)/6块 300GB 2.5”SAS硬盘 10krpm/6 PCIe x8 + 1 PCIe x16/2个495W 热插拔冗余交流电源</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提供播控系统运行的相关服务</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支持系统配置工具、消息服务、网络校时服务、接口服务、日志管理、用户配置，及权限管理辅助模块。</w:t>
            </w:r>
          </w:p>
        </w:tc>
        <w:tc>
          <w:tcPr>
            <w:tcW w:w="68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trHeight w:val="2771"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播出同步迁移系统</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配置要求：</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color w:val="000000"/>
                <w:kern w:val="0"/>
                <w:sz w:val="24"/>
                <w:szCs w:val="24"/>
              </w:rPr>
              <w:t>不低于</w:t>
            </w:r>
            <w:r>
              <w:rPr>
                <w:rFonts w:hint="eastAsia" w:cs="宋体" w:asciiTheme="minorEastAsia" w:hAnsiTheme="minorEastAsia"/>
                <w:kern w:val="0"/>
                <w:sz w:val="24"/>
                <w:szCs w:val="24"/>
              </w:rPr>
              <w:t>2颗六核至强 E5-2609 v3  CPU/8GB DDR4 内存/DVD光驱/4口集成千兆网卡/PERC H330 RAID卡(支持RAID0/1/5)/2块 300GB 2.5”SAS硬盘 10krpm/6 PCIe x8 + 1 PCIe x16/2个495W 热插拔冗余交流电源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★支持系统同步迁移管理，实现对素材管理任务的统一分发和管理。</w:t>
            </w:r>
          </w:p>
        </w:tc>
        <w:tc>
          <w:tcPr>
            <w:tcW w:w="6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trHeight w:val="3403"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播出自动技审服务系统</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配置要求：</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不低于2颗六核至强 E5-2609 v3 1.9 GHZ CPU/8GB (2*4GB) DDR4 内存/DVD光驱/4口集成千兆网卡/PERC H330 RAID卡(支持RAID0/1/5)/2块 300GB 2.5”SAS硬盘 10krpm/6 PCIe x8 + 1 PCIe x16/2个495W 热插拔冗余交流电源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★支持自动技审管理，实现对自动技审管理任务的统一分发和管理。（提供相关软件截图）</w:t>
            </w:r>
          </w:p>
        </w:tc>
        <w:tc>
          <w:tcPr>
            <w:tcW w:w="681"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播出接口转码系统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配置要求：</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不低于2颗六核至强 E5-2609 v3 1.9 GHZ CPU/8GB (2*4GB) DDR4 内存/DVD光驱/4口集成千兆网卡/PERC H330 RAID卡(支持RAID0/1/5)/2块 300GB 2.5”SAS硬盘 10krpm/6 PCIe x8 + 1 PCIe x16/2个495W 热插拔冗余交流电源</w:t>
            </w:r>
          </w:p>
        </w:tc>
        <w:tc>
          <w:tcPr>
            <w:tcW w:w="68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vMerge w:val="restart"/>
            <w:tcBorders>
              <w:top w:val="nil"/>
              <w:left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★实现节目单与广告单的编排、审核、以及模板管理；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支持节目代码的申请、审核，及绑定；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提供总编室与播出、媒资、制作等多个外部系统的接口服务。 </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★支持根据策略自动加载节目单，实现备播任务的统一分发和管理；（提供相关软件截图）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★支持与其他系统互联时，由备播管理软 件生成迁移、转码任务；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★提供存储区、备播策略、互联接口、关门时间的配置和管理。（提供相关软件截图）</w:t>
            </w:r>
            <w:r>
              <w:rPr>
                <w:rFonts w:hint="eastAsia" w:cs="宋体" w:asciiTheme="minorEastAsia" w:hAnsiTheme="minorEastAsia"/>
                <w:color w:val="000000"/>
                <w:kern w:val="0"/>
                <w:sz w:val="24"/>
                <w:szCs w:val="24"/>
              </w:rPr>
              <w:t xml:space="preserve">          </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restart"/>
            <w:tcBorders>
              <w:top w:val="nil"/>
              <w:left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★支持对整个备播流程进行展现，集成素材管理器、垃圾素材管理等。 </w:t>
            </w:r>
            <w:r>
              <w:rPr>
                <w:rFonts w:hint="eastAsia" w:cs="宋体" w:asciiTheme="minorEastAsia" w:hAnsiTheme="minorEastAsia"/>
                <w:color w:val="000000"/>
                <w:kern w:val="0"/>
                <w:sz w:val="24"/>
                <w:szCs w:val="24"/>
              </w:rPr>
              <w:t xml:space="preserve">            </w:t>
            </w: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广播级高性能二级存储系统</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1、硬件参数要求：广电智能存储系统，Intel 多核高性能处理器，机架式，配置不低于：</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1）8G 高速缓存，16个可热插拔磁盘，支持SAS/SATA/SSD硬盘，支持全局热备磁盘，本次配置要求：16块 </w:t>
            </w:r>
            <w:r>
              <w:rPr>
                <w:rFonts w:cs="宋体" w:asciiTheme="minorEastAsia" w:hAnsiTheme="minorEastAsia"/>
                <w:kern w:val="0"/>
                <w:sz w:val="24"/>
                <w:szCs w:val="24"/>
              </w:rPr>
              <w:t>4</w:t>
            </w:r>
            <w:r>
              <w:rPr>
                <w:rFonts w:hint="eastAsia" w:cs="宋体" w:asciiTheme="minorEastAsia" w:hAnsiTheme="minorEastAsia"/>
                <w:kern w:val="0"/>
                <w:sz w:val="24"/>
                <w:szCs w:val="24"/>
              </w:rPr>
              <w:t>T企业硬盘；</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2）自适应1+1冗余电源，多冗余热交换PWM 风扇；</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3）4个千兆以太网接口、支持网络接口聚合；</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4）支持RAID级别：RAID 0、1、1E、5、6、10、50、60、JBOD提供NAS存储的基本访问功能，支持CIFS、NFS、FTP、HTTP共享；</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★2、媒体专用存储，可以用于制作、媒资、采集、播出、新媒体等等媒体应用环境，读写机制可以针对大文件、小文件不同应用环境的优化操作。（优化操作需提供软件功能截图）</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★3、支持绿色节能特性，自调节风扇、CPU变频和磁盘休眠等技术，降低功耗和磁盘使用寿命。该监控控制软件需提供国家版权局颁发的绿色节能软件著作权证书。</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★4、存储端支持QOS流量控制，可以实现站点的读写带宽限制，针对每个访问IP设定读带宽和写带宽，提供Qos服务质量控制软件著作权证书。</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★5、支持桌面数据同步，在本地可设定目录与后台虚拟盘数据实时同步，可提供多个副本（依赖于虚拟客户端），数据收集功能提供国家版权局颁发的数据收集软件著作权证书。</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6、存储自带数据复制和数据灾难恢复功能，提供基于策略的数据复制备份和恢复（可以制定全局、目录、文件类型、大小、时间、增量等策略），该功能需要提供国家版权局颁发的云复制及灾难恢复软件著作权证书。</w:t>
            </w:r>
          </w:p>
        </w:tc>
        <w:tc>
          <w:tcPr>
            <w:tcW w:w="681" w:type="dxa"/>
            <w:tcBorders>
              <w:top w:val="single" w:color="auto" w:sz="4" w:space="0"/>
              <w:left w:val="nil"/>
              <w:bottom w:val="single" w:color="auto" w:sz="4" w:space="0"/>
              <w:right w:val="single" w:color="auto" w:sz="4" w:space="0"/>
            </w:tcBorders>
            <w:shd w:val="clear" w:color="000000" w:fill="FFFFFF"/>
            <w:vAlign w:val="center"/>
          </w:tcPr>
          <w:p>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台</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是</w:t>
            </w:r>
          </w:p>
        </w:tc>
      </w:tr>
      <w:tr>
        <w:tblPrEx>
          <w:tblLayout w:type="fixed"/>
          <w:tblCellMar>
            <w:top w:w="0" w:type="dxa"/>
            <w:left w:w="108" w:type="dxa"/>
            <w:bottom w:w="0" w:type="dxa"/>
            <w:right w:w="108" w:type="dxa"/>
          </w:tblCellMar>
        </w:tblPrEx>
        <w:trPr>
          <w:trHeight w:val="1546" w:hRule="atLeast"/>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196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业务接入交换机</w:t>
            </w:r>
          </w:p>
        </w:tc>
        <w:tc>
          <w:tcPr>
            <w:tcW w:w="4100" w:type="dxa"/>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支持组合配置48个10/100/1000Base-T以太网端口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支持4个万兆SFP+,单子卡槽位,含2个150W交流电源)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包含万兆LC接口模块*4</w:t>
            </w:r>
          </w:p>
        </w:tc>
        <w:tc>
          <w:tcPr>
            <w:tcW w:w="681" w:type="dxa"/>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键鼠切换器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四合一USB&amp;PS/2控制台,带KVMP功能,可操作八台电脑,机架带LCD,OSD菜单选择（17"）</w:t>
            </w:r>
          </w:p>
        </w:tc>
        <w:tc>
          <w:tcPr>
            <w:tcW w:w="681"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自动播出控制机</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支持度低于8个RS422控制端口，安装GPI控制卡；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通过标配的自动播出控制软件，依据播出节目单控制视频服务器、切换矩阵、应急录像机、键控器等设备进行帧精度播出，提供完善的报警机制和详细的日志记录；</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作为备机通过GPI控制422倒换器进行自动或手动倒换。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硬件配置不低于：Intel Xeon E5-1603V3 /8G内存/500G SATA系统盘/500G SATA*2数据盘/DVD-ROM/串口/键盘鼠标、 </w:t>
            </w:r>
            <w:r>
              <w:rPr>
                <w:rFonts w:cs="宋体" w:asciiTheme="minorEastAsia" w:hAnsiTheme="minorEastAsia"/>
                <w:kern w:val="0"/>
                <w:sz w:val="24"/>
                <w:szCs w:val="24"/>
              </w:rPr>
              <w:t>2</w:t>
            </w:r>
            <w:r>
              <w:rPr>
                <w:rFonts w:hint="eastAsia" w:cs="宋体" w:asciiTheme="minorEastAsia" w:hAnsiTheme="minorEastAsia"/>
                <w:kern w:val="0"/>
                <w:sz w:val="24"/>
                <w:szCs w:val="24"/>
              </w:rPr>
              <w:t>GB显卡、 8端口控制卡及辫子线、DVD-ROM</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RedBridge-Sync V1.0-RH同步卡</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预装Windows 7  64bit 操作系统</w:t>
            </w:r>
          </w:p>
        </w:tc>
        <w:tc>
          <w:tcPr>
            <w:tcW w:w="6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8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广播级422-8倒换器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★支持多达8个输入输出通道，兼容RS232和RS422协议。</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支持主备通道通过高性能的继电器进行切换，主通道具有掉电直通功能。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★支持本地手动控制和自动远程控制、上位机串口控制三种控制方式，具有双冗余电源，看门狗，掉电记忆等多种安全功能措施。</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广播级节目单编辑系统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★支持节目单编排、外部节目单导入、广告单合并、节目单逻辑校验，及节目单审核。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Core i5  CPU、 8GB内存、 1TB硬盘、 1GB显卡、 DVD-ROM、 PC 电源、8端口422控制卡、 7250卡、同步卡，</w:t>
            </w:r>
          </w:p>
        </w:tc>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vMerge w:val="restart"/>
            <w:tcBorders>
              <w:top w:val="nil"/>
              <w:left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支持人工复检</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广播级双通道上载审片工作站</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★支持双通道信号采集和文件导入。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提供4个RS422控制端口；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★不低于RedBridge6专业广播级视音频板卡（需提供国家广电总局检测报告）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对录像机/线路信号的节目采集，边上载边技审，实时响度调整、AFD嵌入等功能；同时还配有文件导入功能，能够实现对物理素材和蓝光盘节目的导入，导入过程中能够实现转码功能；对上载完成的素材还可进行各种审片功能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4U短款机箱、 Xeon E5-2609 V3 1.9GHz*2、 16G、 500G、 1T、 RedBridge6B-2X2O-N套卡、 4端口控制卡、 1GB、 DVD-ROM、 500W PC电源</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6"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支持人工复检</w:t>
            </w: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restart"/>
            <w:tcBorders>
              <w:top w:val="single" w:color="auto" w:sz="4" w:space="0"/>
              <w:left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.屏幕尺寸：21.5”，6RU，屏幕宽高比：16：9， 分辨率：1920×1080， 色彩：16.2M，视角：160°H×140°V，背光：WLED</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★支持面板的自动色彩校正功能，支持双画面显示PBP/PIP，波形、矢量表显示，16通道音频表显示(VU &amp; PPM)（提供原厂证明材料并加盖公章）</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HDMI信号支持嵌入音频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支持Scan，Native，Aspect Ratio，Marker，Blue Only/MoNo，H/V Delay，I/P Mode Select，CC，支持IMD功能和三色TALLY显示</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13</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总控矩阵</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不低于32路HD/SD-SDI数字视频矩阵， 输入(带线缆均衡)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不低于32路输出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4RU机箱、冗余电源、单控制、支持网口及2个串口控制；冗余电源，可编程控制面板</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14</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高标清帧同步</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支持时钟再生、线缆均衡；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支持行场相位自动对齐；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BB和Tri-level同步锁相自适应;</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主路输出支持BY-PASS</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15</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高清视频分配器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3G/HD/SD-SDI数字视频电缆均衡、时钟再生分配放大器（双1分4）</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支持双路断电直通</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A/D+加嵌</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★支持2路SD-SDI输出、1路CVBS输出)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CVBS／YC/YUV和模拟立体声音频转换到SD-SDI视频加嵌器(12bit)，带复合视频监视输出和帧同步功能</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上变换</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支持1路HD/SD-SDI信号输入；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支持3路3G/HD-SDI信号输出及1路SD-SDI环出；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支持手动/自动ARC变换；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支持辅助数据（CC/LTC/VITC/AUDIO/AFD等）透传；输入信号异常时支持静帧输出；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支持帧同步，BB / Tri-level自适应；支持行场相位调节；支持固件升级;支持本地操控;支持web管理</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trHeight w:val="1235" w:hRule="atLeast"/>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18</w:t>
            </w:r>
          </w:p>
        </w:tc>
        <w:tc>
          <w:tcPr>
            <w:tcW w:w="196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周边机箱</w:t>
            </w:r>
          </w:p>
        </w:tc>
        <w:tc>
          <w:tcPr>
            <w:tcW w:w="4100" w:type="dxa"/>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支持10个槽位，带1个电源，带双以太网口控制卡，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支持被监控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包含冗余电源*2</w:t>
            </w:r>
          </w:p>
        </w:tc>
        <w:tc>
          <w:tcPr>
            <w:tcW w:w="681"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19</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广播级垫片录放机</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支持输入输出HD/SD-SDI 信号，支持 1080p、1080i、720p、625i、525i等多种高标清格式</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支持外同步信号输入，具备以太网存储功能，可直接通过IE/VDCP 实现多种方式的播出控制和便捷素材管理，带外同步输入，面板自带液晶监看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存储空间：不低于240GB SSD硬盘</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高清延时器</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HD/SD-SDI高/标清兼容带备份通道应急切换视频延时器，</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高清信号最长延时60秒，标清信号最长延时300秒，主/备共两路SDI输入，备份通道应急切换，主路延时旁通，主路帧同步功能，主路延时支持DOLBY嵌入音频。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主路延时前及延时后输出（可供监看），备路环通输出（可供监看）。双电源，调电旁通至主路，甲级指标。可选配异常打点到时切换功能，最简捷方式阻断异常信号输出。异常打点到时切换参数可配置，带遥控面板</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21</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总控监视器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.屏幕尺寸：21.5”，6RU，屏幕宽高比：16：9， 分辨率：1920×1080， 色彩：16.2M，视角：160°H×140°V，背光：WLED</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支持面板的自动色彩校正功能，支持双画面显示PBP/PIP，波形、矢量表显示，16通道音频表显示(VU &amp; PPM)</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HDMI信号支持嵌入音频</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22</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技监监听仪</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1RU，HD/SD-SDI嵌入音频、平衡/非平衡AES音频、模拟音频监听系统。</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支持两路SDI输入，一路SDI输出，一路平衡AES输入，一路非平衡AES输入，两路模拟音频输入，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支持平衡/非平衡AES音频及模拟音频监听输出，带两个UV/PPM表显示，监听音频相位/极性指示，带音频监听功能和耳机插口。</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16*4分控矩阵</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★支持16路SD/HD/3G-SDI自适应输入。每路SDI内嵌16声道音频输入。</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（需提供提供广电总局检测报告）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★支持2路PGM输出，PGM输出支持净静切换功能。第二路可作为独立输出。</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支持2路PST输出，第二路可作为独立输出。（提供广电总局相关检测报告）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HD-SDI接口信号指标，在高清情况下，10HZ和100KHZ高通滤波抖动值分别小于0.2UI和0.05UI。在标清情况下，1KHZ和10KHZ高通滤波抖动值小于0.06UI。在3G情况下，10HZ和100KHZ高通滤波抖动值分别小于2UI和0.3UI。（提供广电总局相关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PGM输出支持静/净切换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带有信号切换保护功能，丢失信号不允许切换输出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支持2路独立的Bypass输入，内置2×1倒换器，支持断电直通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3个RS-232串口（DB9），2个RS-422串口（RJ45）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带本地控制面板，冗余电源、1U机箱</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是</w:t>
            </w: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支持对矩阵的远程控制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标准1RU高，标配主备电源，带有双串口</w:t>
            </w: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4选1倒换器</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★支持4路SD/HD/3G-SDI自适应输入。支持每路SDI内嵌16声道音频输入。支持1对REF环通接口。（提供广电总局相关检测报告并加盖生产商公章）</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★支持2路PGM输出，PGM输出支持净静切换功能。（提供广电总局检测报告）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★支持三级切换逻辑控制。支持4选1自动检测到换功能。支持手动控制切换功能。支持GPIO控制切换功能。（提供广电总局检测报告）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★支持声道复制功能，可根据音频静音、强制复制声道等形式实现声道复制。（提供广电总局检测报告）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二路为主输出（相同），支持静净切换。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另外两路作为备输出（相同），可选为主输出的备份（复制静净切换功能）或者作为任何一路输入的re-clocking输出。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对每路输入均支持信号丢失、静帧、黑场及静音检测。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每组的主路信号均支持继电器保护，掉电时主输入自动环出到主输出上。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支持两组独立的GPIO控制。</w:t>
            </w:r>
          </w:p>
        </w:tc>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vMerge w:val="restart"/>
            <w:tcBorders>
              <w:top w:val="nil"/>
              <w:left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是</w:t>
            </w: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GPIO控制面板</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25</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高标清数字台标键控一体机</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★支持内置4个键控器及2Gb存储，内置行同步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★支持4路输入，2路节目信号，及1对Key/Fill外键输入，4路内键，可进行A/B母线混合FTB等简单特技，具有GPI外部控制接口，继电器断电旁通，可进行主通路主备信号倒换，4路输出，4宽背板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带遥控面板</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26</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高标清网络字幕机</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★采用广播级高清视音频板卡，不低于RedBridge6；2入4出，第二路输出支持高标清切换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支持三维图文制作播出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硬件配置不低于：</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4U长款机箱、  Xeon E5-2609 *2CPU、 8G内存、 51TB SATA硬盘、 2GB显卡， DVD-ROM、 PC电源、   </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27</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高清视频分配器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3G/HD/SD-SDI数字视频电缆均衡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支持时钟再生分配放大器（双1分4）</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支持双路断电直通</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28</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DA+解嵌</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支持嵌入音频的HD/SD-SDI信号到HD/SD-SDI和四声道模拟音频解嵌器</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支持时钟再生、线缆均衡；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解嵌模式和通道可选（3路HD/SD-SDI输出，4路模拟音频输出，主路输出支持BY-PASS）</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29</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下变换</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支持HD/SD-SDI 下变换模块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支持帧同步功能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支持光纤输入/输出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支持1路HD/SD-SDI输入，2路广播级SD-SDI输出及1路CVBS监看输出；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支持2路模拟音频输出；</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30</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高标清帧同步</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支持时钟再生、线缆均衡；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支持行场相位自动对齐；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BB和Tri-level同步锁相自适应;</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主路输出支持BY-PASS</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31</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图卡发生器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★支持4路3G/HD/SD-SDI输出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★支持LTC / NTP 校时；支持叠加显示时间和日期</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支持BB / Tri-level自适应，行场相位调节；</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内置SD卡，可存储不低于8张JPG/PNG/BMP等格式的图片作为测试图卡信号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支持AFD插入；支持WEB管理；支持固件升级；可本地操控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可存储16路静止图像，支持外同步锁相</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trHeight w:val="923" w:hRule="atLeast"/>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32</w:t>
            </w:r>
          </w:p>
        </w:tc>
        <w:tc>
          <w:tcPr>
            <w:tcW w:w="196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周边机箱</w:t>
            </w:r>
          </w:p>
        </w:tc>
        <w:tc>
          <w:tcPr>
            <w:tcW w:w="4100" w:type="dxa"/>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支持10个槽位，带1个电源，带双以太网口控制卡，支持被监控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包含冗余电源*2</w:t>
            </w:r>
          </w:p>
        </w:tc>
        <w:tc>
          <w:tcPr>
            <w:tcW w:w="681"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33</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分控监听</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1RU，HD/SD-SDI嵌入音频、平衡/非平衡AES音频、模拟音频监听系统。</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★支持两路SDI输入，一路SDI输出，一路平衡AES输入，一路非平衡AES输入，两路模拟音频输入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支持平衡/非平衡AES音频及模拟音频监听输出，带两个UV/PPM表显示，监听音频相位/极性指示，带音频监听功能和耳机插口。</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34</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主备倒换同步信号发生器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1U机箱，主备发生器板，双电源。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支持16个BB黑场同步输出，1KHz测试音频输出，模拟彩条输出，带2选1手动倒换器，双电源</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35</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GPS卫星校时钟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卫星校时钟</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36</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时码到换器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时码选择器。EBU接口</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37</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时码分配器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时码分配中继器（EBU）。</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38</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显示日期、时间子钟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5寸日历时钟，带EBU接口。</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39</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55寸拼接屏</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原装正品A+级DID液晶面板，工业级超窄边液晶拼接单元</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最佳分辨率支持1920*1080；</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显示色彩：全彩16.7M色</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可视角度：不低于178°(横向和纵向全视角)</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响应时间：≤8ms</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使用寿命：60000小时以上（7*24 h）</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40</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多画面</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★支持16路SD/HD/3G-SDI自适应输入，前4路支持CVBS信号自适应输入。</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（提供广电总局检测报告并加盖生产商公章）</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★支持2路HDMI多画面输出，输出画面可一致或不同，输出信号1080p50、1080p59可选，输出颜色格式RGB、YUV可选。</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★必须基于FPGA纯硬件架构，采用嵌入式系统，7X24安全稳定运行，整机满载功耗不超过37W。（提供广电总局检测报告）</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高级运动补偿算法，画质清晰，在视频去隔行、降噪、增强、高标清上下变换等方面性能优越。，设备输出静态图像清晰、稳定，色彩还原准确，动态图像边缘平滑，无闪烁感，杂波不易察觉。（提供广电总局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★支持PC软件、PC键盘、控制面板、iPad控制，切换控制延时小于1.2s。（提供广电总局检测报告）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支持2声道模拟监听音频输出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支持36个GPI/O， 1路LTC输入，1路Reference输入，1个以太网口，2个RS-422串口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支持多种显示元素，支持TSL4.0协议，支持NTP及LTC自动授时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支持视音频检测报警，支持SNMP，支持日志记录，并支持语音报警</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双通道SDI到HDMI转换器，冗余电源（110~220V，50~60Hz），1RU机箱</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是</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41</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一体化安全网关</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双电源，1U上架设备</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包含8个千兆端口（2光6电），1个扩展槽（可扩展4GE电/4GE光)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大包吞吐8G，并发300万，新建60K， VPN吞吐性能1.8Gbps（无需单独付费购买license）</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默认质保期（三年）内免费维修</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配有IPS特征库、病毒库</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42</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两层直型电视墙</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钢板用料厚度为常规料后（1.2-2.0mm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包含电视墙所有配件</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43</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加深机柜</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参数规格：600×1000×2000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每台机柜标准配置为： 6付托架、1块托板、2-4个静音风扇、钢化玻璃门或网孔门任选）、横向绑线棍5根、竖向帮线板1块、1U盲板10块、PDU国标8孔专用电源2套。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（机柜材料料厚：1.2-2.0mm ）</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44</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操作控制台</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每联操作台标准配置为： 3U通风板2块、4U通风板2块、2付托架、1块托板、1U盲板3块、23U盲板3块、后插拨门1套（冲百页窗门）、专用控制台机柜1套、台面板一块、木质装饰板一套、6孔国标专用电源一套、窗口开孔板一套。</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45</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卫星接收机</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支持输入1路ASI/IP码流信号或RF信号，解码输出1路HD/SD-SDI/AV信号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支持解码格式：MPEG-2/H.264/H.264</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支持解扰；视频信号接口：BNC75欧姆，音频接口：XLA卡侬，网络接口：RJ45，网管接口：RJ45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19英寸1U标准机箱，内置电源，带LED液晶显示。</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46</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4路编码器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支持输入4路HD/SD-SDI标清数字视频(支持1路外来ASI码流再复用输入）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支持编码格式：H.264/MPEG-2，输出1路ASI和1路IP码流信号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支持视频信号接口：BNC75欧姆，网络接口：RJ45，网管接口：RJ45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19英寸1U标准机箱，内置电源。</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47</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光端机</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支持单向传输1路HD/SD-SDI高标清数字视频（支持嵌入式音频）或DVB-ASI码流</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视频接口：75欧姆BNC，光纤类型：单模光纤，光纤数量：1根，光纤接口：FC/PC</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传输距离：0-40公里</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19英寸1U标准机箱，内置双电源</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48</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微波传输编码器</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支持4路HD/SD-SDI/HDMI/YPbPr音视频输入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支持全硬件IP输出(TS over IP),支持ASI输出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输出码率连续可调，使用灵活方便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丰富的输出输入接口，实现自由接入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可本地和远程控制网管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液晶显示，操作方便灵活</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49</w:t>
            </w:r>
          </w:p>
        </w:tc>
        <w:tc>
          <w:tcPr>
            <w:tcW w:w="19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数字微波主机</w:t>
            </w:r>
          </w:p>
        </w:tc>
        <w:tc>
          <w:tcPr>
            <w:tcW w:w="4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5.8G外置天线接口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5.8G公共免申请频段，设备POE网线供电，施工简单方便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自动频率侦测选择无干扰频道，无需人工干预。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无障碍不低于30公里，配POE电源适配器</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50</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高增益天线</w:t>
            </w:r>
          </w:p>
        </w:tc>
        <w:tc>
          <w:tcPr>
            <w:tcW w:w="41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0.6米直径高增益5.8GHz  30dBi双极化天线,增益高传输距离远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安装固定杆直径要求40mm~50mm</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51</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线材线缆及辅助材料</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需采用国际知名品牌线材，26路视频跳线器、视频跳线1M、压线钳、剥线钳、BELDEN -5视频电缆、Belden电缆 BNC连接器75-5、75欧终结电阻、BELDEN 音频电缆、</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52</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机房环境优化服务</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根据房间进行隔断，定制形象墙，值班室环境优化</w:t>
            </w:r>
            <w:r>
              <w:rPr>
                <w:rFonts w:cs="宋体" w:asciiTheme="minorEastAsia" w:hAnsiTheme="minorEastAsia"/>
                <w:kern w:val="0"/>
                <w:sz w:val="24"/>
                <w:szCs w:val="24"/>
              </w:rPr>
              <w:t xml:space="preserve"> </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r>
              <w:rPr>
                <w:rFonts w:cs="宋体" w:asciiTheme="minorEastAsia" w:hAnsiTheme="minorEastAsia"/>
                <w:color w:val="000000"/>
                <w:kern w:val="0"/>
                <w:sz w:val="24"/>
                <w:szCs w:val="24"/>
              </w:rPr>
              <w:t>3</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钢化玻璃电磁感应门</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1500mm*2000mm钢化玻璃+电机+不锈钢门口、含动态人脸识别门禁系统。</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r>
              <w:rPr>
                <w:rFonts w:cs="宋体" w:asciiTheme="minorEastAsia" w:hAnsiTheme="minorEastAsia"/>
                <w:color w:val="000000"/>
                <w:kern w:val="0"/>
                <w:sz w:val="24"/>
                <w:szCs w:val="24"/>
              </w:rPr>
              <w:t>4</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空调</w:t>
            </w:r>
          </w:p>
        </w:tc>
        <w:tc>
          <w:tcPr>
            <w:tcW w:w="41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P</w:t>
            </w:r>
            <w:r>
              <w:rPr>
                <w:rFonts w:hint="eastAsia" w:cs="宋体" w:asciiTheme="minorEastAsia" w:hAnsiTheme="minorEastAsia"/>
                <w:kern w:val="0"/>
                <w:sz w:val="24"/>
                <w:szCs w:val="24"/>
              </w:rPr>
              <w:t>柜机冷暖空调</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r>
              <w:rPr>
                <w:rFonts w:cs="宋体" w:asciiTheme="minorEastAsia" w:hAnsiTheme="minorEastAsia"/>
                <w:color w:val="000000"/>
                <w:kern w:val="0"/>
                <w:sz w:val="24"/>
                <w:szCs w:val="24"/>
              </w:rPr>
              <w:t>5</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系统集成服务</w:t>
            </w:r>
          </w:p>
        </w:tc>
        <w:tc>
          <w:tcPr>
            <w:tcW w:w="41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包含系统搭建调试，培训，及售后服务</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r>
              <w:rPr>
                <w:sz w:val="19"/>
              </w:rPr>
              <w:t>否</w:t>
            </w:r>
          </w:p>
        </w:tc>
      </w:tr>
    </w:tbl>
    <w:p>
      <w:pPr>
        <w:widowControl/>
        <w:shd w:val="clear" w:color="auto" w:fill="FFFFFF"/>
        <w:spacing w:line="360" w:lineRule="auto"/>
        <w:jc w:val="left"/>
        <w:rPr>
          <w:rFonts w:cs="宋体" w:asciiTheme="minorEastAsia" w:hAnsiTheme="minorEastAsia"/>
          <w:color w:val="000000"/>
          <w:kern w:val="0"/>
          <w:sz w:val="24"/>
          <w:szCs w:val="24"/>
        </w:rPr>
      </w:pPr>
    </w:p>
    <w:p>
      <w:pPr>
        <w:widowControl/>
        <w:numPr>
          <w:ilvl w:val="0"/>
          <w:numId w:val="9"/>
        </w:numPr>
        <w:shd w:val="clear" w:color="auto" w:fill="FFFFFF"/>
        <w:spacing w:line="360" w:lineRule="auto"/>
        <w:ind w:firstLine="6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采购标的执行标准</w:t>
      </w:r>
    </w:p>
    <w:p>
      <w:pPr>
        <w:pStyle w:val="11"/>
        <w:tabs>
          <w:tab w:val="left" w:pos="0"/>
        </w:tabs>
        <w:spacing w:line="480" w:lineRule="exact"/>
        <w:ind w:left="0" w:leftChars="0" w:firstLine="371" w:firstLineChars="177"/>
        <w:rPr>
          <w:rFonts w:ascii="宋体" w:hAnsi="宋体" w:cs="仿宋"/>
        </w:rPr>
      </w:pPr>
      <w:bookmarkStart w:id="0" w:name="_Toc476652997"/>
      <w:r>
        <w:rPr>
          <w:rFonts w:hint="eastAsia" w:ascii="宋体" w:hAnsi="宋体" w:cs="仿宋"/>
        </w:rPr>
        <w:t>本次设计主要依据有关的国际标准如ITU-RBT.601，SMPTE259M数字演播室视频信号有关标准及AES/EBU数字演播室伴音标准进行建设。</w:t>
      </w:r>
      <w:bookmarkStart w:id="1" w:name="_Toc482640392"/>
    </w:p>
    <w:p>
      <w:pPr>
        <w:pStyle w:val="11"/>
        <w:tabs>
          <w:tab w:val="left" w:pos="0"/>
        </w:tabs>
        <w:adjustRightInd w:val="0"/>
        <w:snapToGrid w:val="0"/>
        <w:spacing w:after="0"/>
        <w:ind w:left="0" w:leftChars="0" w:firstLine="775" w:firstLineChars="277"/>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asciiTheme="minorEastAsia" w:hAnsiTheme="minorEastAsia" w:eastAsiaTheme="minorEastAsia"/>
          <w:sz w:val="28"/>
          <w:szCs w:val="28"/>
        </w:rPr>
        <w:t>视音频编码及复用标准</w:t>
      </w:r>
      <w:bookmarkEnd w:id="0"/>
      <w:bookmarkEnd w:id="1"/>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bookmarkStart w:id="2" w:name="_Toc476652998"/>
      <w:r>
        <w:rPr>
          <w:rFonts w:hint="eastAsia" w:cs="仿宋" w:asciiTheme="minorEastAsia" w:hAnsiTheme="minorEastAsia" w:eastAsiaTheme="minorEastAsia"/>
        </w:rPr>
        <w:t>GB/T17975.2 信息技术——运动图象及其伴音信号的通用编码</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TU-R BT.601数字电视编码标准。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SMPTE 10 比特4:2:2 分量使用的串行数字接口SDI，及工作在4:2:2 601推荐级别下的625 行电视数字分量，即SMPTE 125M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BT.656-4（eqv. GB/T 17953-2000）工作在4:2:2 601推荐级别下的625 行电视数字分量，即SMPTE 125M 及EBU Tech 3267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BT.711 供分量数字演播室使用的同步基准信号。</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SMPTE RP 168 为实现同步视频切换，关于场消隐切换点的规定。</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AES3供数字伴音工程线性表示的数字伴音数据的串行传输格式。</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AES11供数字伴音工程在演播中使用的数字伴音设备的同步格式。</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压缩视频信号的4:2:2 级规范。</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BT.624 对模拟符合输出监视的规定，及SMPTE170M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MPEG-2 视频标准在数字（高清晰度）电视广播中的实施准则（征求意见稿）</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MPEG-2 系统标准在数字（高清晰度）电视广播中的实施准则（征求意见稿）</w:t>
      </w:r>
      <w:bookmarkStart w:id="3" w:name="_Toc482640393"/>
    </w:p>
    <w:p>
      <w:pPr>
        <w:pStyle w:val="11"/>
        <w:numPr>
          <w:ilvl w:val="0"/>
          <w:numId w:val="10"/>
        </w:numPr>
        <w:tabs>
          <w:tab w:val="left" w:pos="0"/>
        </w:tabs>
        <w:adjustRightInd w:val="0"/>
        <w:snapToGrid w:val="0"/>
        <w:spacing w:after="0"/>
        <w:ind w:leftChars="0" w:firstLineChars="0"/>
        <w:rPr>
          <w:rFonts w:cs="仿宋" w:asciiTheme="minorEastAsia" w:hAnsiTheme="minorEastAsia" w:eastAsiaTheme="minorEastAsia"/>
          <w:sz w:val="28"/>
          <w:szCs w:val="28"/>
        </w:rPr>
      </w:pPr>
      <w:r>
        <w:rPr>
          <w:rFonts w:hint="eastAsia" w:asciiTheme="minorEastAsia" w:hAnsiTheme="minorEastAsia" w:eastAsiaTheme="minorEastAsia"/>
          <w:sz w:val="28"/>
          <w:szCs w:val="28"/>
        </w:rPr>
        <w:t>数字电视基础标准类</w:t>
      </w:r>
      <w:bookmarkEnd w:id="2"/>
      <w:bookmarkEnd w:id="3"/>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4" w:name="_Toc476652999"/>
      <w:r>
        <w:rPr>
          <w:rFonts w:hint="eastAsia" w:cs="仿宋" w:asciiTheme="minorEastAsia" w:hAnsiTheme="minorEastAsia" w:eastAsiaTheme="minorEastAsia"/>
        </w:rPr>
        <w:t>GB/T7400.11 数字电视术语</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GY/T134 数字电视图象质量主观评价方法</w:t>
      </w:r>
      <w:r>
        <w:rPr>
          <w:rFonts w:cs="仿宋" w:asciiTheme="minorEastAsia" w:hAnsiTheme="minorEastAsia" w:eastAsiaTheme="minorEastAsia"/>
        </w:rPr>
        <w:tab/>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GY/T144 广播电视SDH干线网管理接口协议</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GY/T145 广播电视SDH干线网网元管理信息模型规范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GY/Z174 数字电视广播业务信息（SI）规范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GY/Z175 数字电视广播条件接收系统（CA）规范</w:t>
      </w:r>
      <w:bookmarkStart w:id="5" w:name="_Toc482640394"/>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信道编码及调制标准</w:t>
      </w:r>
      <w:bookmarkEnd w:id="4"/>
      <w:bookmarkEnd w:id="5"/>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6" w:name="_Toc476653000"/>
      <w:r>
        <w:rPr>
          <w:rFonts w:hint="eastAsia" w:cs="仿宋" w:asciiTheme="minorEastAsia" w:hAnsiTheme="minorEastAsia" w:eastAsiaTheme="minorEastAsia"/>
        </w:rPr>
        <w:t>GB/T17700-1999 数字电视广播信道编码及调制标准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GY/T170-2001 有线数字电视广播系统信道编码及调制规范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GY/T143 有线电视系统调幅激光器发送机和接收机入网技术条件和测量方法</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GY/T146 数字电视上行站通用规范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GY/T147 数字电视接收站通用技术要求    </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GY/T148 数字电视接收机技术要求</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GY/T149 数字电视接收站测量方法——系统测量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GY/T150数字电视接收站测量方法——室内单元测量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GY/T151数字电视接收站测量方法——室外单元测量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GY/T198—2003【有线数字电视广播QAM调制器技术要求和测量方法】</w:t>
      </w:r>
      <w:bookmarkStart w:id="7" w:name="_Toc482640395"/>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计算机网络综合布线类</w:t>
      </w:r>
      <w:bookmarkEnd w:id="6"/>
      <w:bookmarkEnd w:id="7"/>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8" w:name="_Toc476653001"/>
      <w:r>
        <w:rPr>
          <w:rFonts w:hint="eastAsia" w:cs="仿宋" w:asciiTheme="minorEastAsia" w:hAnsiTheme="minorEastAsia" w:eastAsiaTheme="minorEastAsia"/>
        </w:rPr>
        <w:t>【ISO/IEC 11801】商业建筑物综合布线系统国际标准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【EIA/TIA 568A】商业建筑物综合布线系统美国标准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【EIA/TIA 569】通信布线管线和空间设计施工标准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【建筑与建筑群综合布线工程设计规范】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【建筑与建筑群综合布线工程施工及验收规范】</w:t>
      </w:r>
      <w:bookmarkStart w:id="9" w:name="_Toc482640396"/>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、MPEG-2标准</w:t>
      </w:r>
      <w:bookmarkEnd w:id="8"/>
      <w:bookmarkEnd w:id="9"/>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GB/T 17975.1-2000 信息技术运动图像及其伴音信息的通用编码第一部分：系统 </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GB/T 17975.2-2000 信息技术运动图像及其伴音信息的通用编码第二部分：视频</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GB/T 17975.3-2002 信息技术运动图像及其伴音信息的通用编码第三部分：音频</w:t>
      </w:r>
    </w:p>
    <w:p>
      <w:pPr>
        <w:pStyle w:val="2"/>
        <w:rPr>
          <w:rFonts w:hint="eastAsia"/>
          <w:lang w:val="en-US" w:eastAsia="zh-CN"/>
        </w:rPr>
      </w:pPr>
      <w:r>
        <w:rPr>
          <w:rFonts w:hint="eastAsia" w:cs="宋体" w:asciiTheme="minorEastAsia" w:hAnsiTheme="minorEastAsia"/>
          <w:color w:val="000000"/>
          <w:kern w:val="0"/>
          <w:sz w:val="24"/>
          <w:szCs w:val="24"/>
        </w:rPr>
        <w:t>（</w:t>
      </w:r>
      <w:r>
        <w:rPr>
          <w:rFonts w:hint="eastAsia" w:cs="宋体" w:asciiTheme="minorEastAsia" w:hAnsiTheme="minorEastAsia"/>
          <w:iCs/>
          <w:color w:val="000000"/>
          <w:kern w:val="0"/>
          <w:sz w:val="24"/>
          <w:szCs w:val="24"/>
        </w:rPr>
        <w:t>需执行的国家相关标准、行业标准、地方标准或者其他标准、规范</w:t>
      </w:r>
      <w:r>
        <w:rPr>
          <w:rFonts w:hint="eastAsia" w:cs="宋体" w:asciiTheme="minorEastAsia" w:hAnsiTheme="minorEastAsia"/>
          <w:color w:val="000000"/>
          <w:kern w:val="0"/>
          <w:sz w:val="24"/>
          <w:szCs w:val="24"/>
        </w:rPr>
        <w:t>）</w:t>
      </w:r>
    </w:p>
    <w:p>
      <w:pPr>
        <w:spacing w:line="480" w:lineRule="exact"/>
        <w:ind w:left="420"/>
        <w:jc w:val="left"/>
        <w:outlineLvl w:val="2"/>
        <w:rPr>
          <w:rFonts w:ascii="宋体" w:hAnsi="宋体"/>
          <w:b/>
          <w:bCs/>
          <w:sz w:val="24"/>
          <w:szCs w:val="24"/>
        </w:rPr>
      </w:pPr>
      <w:r>
        <w:rPr>
          <w:rFonts w:hint="eastAsia" w:ascii="宋体" w:hAnsi="宋体"/>
          <w:b/>
          <w:bCs/>
          <w:sz w:val="24"/>
          <w:szCs w:val="24"/>
        </w:rPr>
        <w:t>1.质量保证：</w:t>
      </w:r>
    </w:p>
    <w:p>
      <w:pPr>
        <w:spacing w:line="480" w:lineRule="exact"/>
        <w:ind w:left="420"/>
        <w:jc w:val="left"/>
        <w:outlineLvl w:val="2"/>
        <w:rPr>
          <w:rFonts w:ascii="宋体" w:hAnsi="宋体"/>
          <w:sz w:val="24"/>
          <w:szCs w:val="24"/>
        </w:rPr>
      </w:pPr>
      <w:r>
        <w:rPr>
          <w:rFonts w:hint="eastAsia" w:ascii="宋体" w:hAnsi="宋体"/>
          <w:sz w:val="24"/>
          <w:szCs w:val="24"/>
        </w:rPr>
        <w:t>1.1质保期为</w:t>
      </w:r>
      <w:r>
        <w:rPr>
          <w:rFonts w:hint="eastAsia" w:ascii="宋体" w:hAnsi="宋体"/>
          <w:iCs/>
          <w:color w:val="2A2A2A"/>
          <w:sz w:val="24"/>
          <w:szCs w:val="24"/>
        </w:rPr>
        <w:t>设备安装调试验收合格后</w:t>
      </w:r>
      <w:r>
        <w:rPr>
          <w:rFonts w:hint="eastAsia" w:ascii="宋体" w:hAnsi="宋体"/>
          <w:color w:val="2A2A2A"/>
          <w:sz w:val="24"/>
          <w:szCs w:val="24"/>
        </w:rPr>
        <w:t>1年</w:t>
      </w:r>
      <w:r>
        <w:rPr>
          <w:rFonts w:hint="eastAsia" w:ascii="宋体" w:hAnsi="宋体"/>
          <w:sz w:val="24"/>
          <w:szCs w:val="24"/>
        </w:rPr>
        <w:t>，质保期内由于投标人原因设备出现缺陷和损坏时，投标人应自费到现场免费修理或更换。</w:t>
      </w:r>
    </w:p>
    <w:p>
      <w:pPr>
        <w:spacing w:line="480" w:lineRule="exact"/>
        <w:ind w:left="420"/>
        <w:jc w:val="left"/>
        <w:outlineLvl w:val="2"/>
        <w:rPr>
          <w:rFonts w:ascii="宋体" w:hAnsi="宋体"/>
          <w:sz w:val="24"/>
          <w:szCs w:val="24"/>
        </w:rPr>
      </w:pPr>
      <w:r>
        <w:rPr>
          <w:rFonts w:hint="eastAsia" w:ascii="宋体" w:hAnsi="宋体"/>
          <w:sz w:val="24"/>
          <w:szCs w:val="24"/>
        </w:rPr>
        <w:t>1.2投标人保证其提供的产品是全新的、未使用过的，并在各个方面符合招标文件规定的质量、规格和性能。</w:t>
      </w:r>
    </w:p>
    <w:p>
      <w:pPr>
        <w:spacing w:line="480" w:lineRule="exact"/>
        <w:ind w:left="420"/>
        <w:jc w:val="left"/>
        <w:outlineLvl w:val="2"/>
        <w:rPr>
          <w:rFonts w:ascii="宋体" w:hAnsi="宋体"/>
          <w:b/>
          <w:bCs/>
          <w:sz w:val="24"/>
          <w:szCs w:val="24"/>
        </w:rPr>
      </w:pPr>
      <w:r>
        <w:rPr>
          <w:rFonts w:hint="eastAsia" w:ascii="宋体" w:hAnsi="宋体"/>
          <w:b/>
          <w:bCs/>
          <w:sz w:val="24"/>
          <w:szCs w:val="24"/>
        </w:rPr>
        <w:t>2.技术及售后服务</w:t>
      </w:r>
    </w:p>
    <w:p>
      <w:pPr>
        <w:spacing w:line="480" w:lineRule="exact"/>
        <w:ind w:left="42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2.1卖方应负责进行所供设备的调试直至验收合格、交付使用等费用应包括在设备价款内。</w:t>
      </w:r>
    </w:p>
    <w:p>
      <w:pPr>
        <w:spacing w:line="480" w:lineRule="exact"/>
        <w:ind w:left="42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2.2卖方应负责对买方操作人员进行使用培训，使其能够独立操作，并可以进行简单的维护和保养。</w:t>
      </w:r>
    </w:p>
    <w:p>
      <w:pPr>
        <w:spacing w:line="480" w:lineRule="exact"/>
        <w:ind w:left="42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2.3在质保期期间，如发生故障或质量问题，卖方在接用户通知后1小时内进行响应，</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小时内到达，</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小时内处理问题</w:t>
      </w:r>
      <w:r>
        <w:rPr>
          <w:rFonts w:hint="eastAsia" w:asciiTheme="minorEastAsia" w:hAnsiTheme="minorEastAsia" w:eastAsiaTheme="minorEastAsia" w:cstheme="minorEastAsia"/>
          <w:sz w:val="24"/>
          <w:szCs w:val="24"/>
          <w:lang w:eastAsia="zh-CN"/>
        </w:rPr>
        <w:t>完毕</w:t>
      </w:r>
      <w:r>
        <w:rPr>
          <w:rFonts w:hint="eastAsia" w:asciiTheme="minorEastAsia" w:hAnsiTheme="minorEastAsia" w:eastAsiaTheme="minorEastAsia" w:cstheme="minorEastAsia"/>
          <w:sz w:val="24"/>
          <w:szCs w:val="24"/>
        </w:rPr>
        <w:t>，否则需提供备机直至原设备修好为止。</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（五）验收标准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iCs/>
          <w:kern w:val="0"/>
          <w:sz w:val="24"/>
          <w:szCs w:val="24"/>
        </w:rPr>
        <w:t>按照国家相关标准、行业标准</w:t>
      </w:r>
      <w:r>
        <w:rPr>
          <w:rFonts w:hint="eastAsia" w:asciiTheme="minorEastAsia" w:hAnsiTheme="minorEastAsia" w:eastAsiaTheme="minorEastAsia" w:cstheme="minorEastAsia"/>
          <w:iCs/>
          <w:sz w:val="24"/>
          <w:szCs w:val="24"/>
        </w:rPr>
        <w:t>、</w:t>
      </w:r>
      <w:r>
        <w:rPr>
          <w:rFonts w:hint="eastAsia" w:asciiTheme="minorEastAsia" w:hAnsiTheme="minorEastAsia" w:eastAsiaTheme="minorEastAsia" w:cstheme="minorEastAsia"/>
          <w:iCs/>
          <w:kern w:val="0"/>
          <w:sz w:val="24"/>
          <w:szCs w:val="24"/>
        </w:rPr>
        <w:t>规范验收；</w:t>
      </w:r>
    </w:p>
    <w:p>
      <w:pPr>
        <w:widowControl/>
        <w:shd w:val="clear" w:color="auto" w:fill="FFFFFF"/>
        <w:spacing w:line="360" w:lineRule="auto"/>
        <w:ind w:firstLine="6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2、按照招标文件要求、投标文件响应和承诺验收；</w:t>
      </w:r>
    </w:p>
    <w:p>
      <w:pPr>
        <w:widowControl/>
        <w:shd w:val="clear" w:color="auto" w:fill="FFFFFF"/>
        <w:spacing w:line="360" w:lineRule="auto"/>
        <w:ind w:firstLine="6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3、按照双方签订的合同验收。</w:t>
      </w:r>
    </w:p>
    <w:p>
      <w:pPr>
        <w:keepNext w:val="0"/>
        <w:keepLines w:val="0"/>
        <w:pageBreakBefore w:val="0"/>
        <w:widowControl/>
        <w:shd w:val="clear" w:color="auto" w:fill="FFFFFF"/>
        <w:kinsoku/>
        <w:overflowPunct/>
        <w:bidi w:val="0"/>
        <w:snapToGrid/>
        <w:spacing w:line="360" w:lineRule="auto"/>
        <w:contextualSpacing/>
        <w:jc w:val="left"/>
        <w:rPr>
          <w:rFonts w:hint="eastAsia" w:ascii="新宋体" w:hAnsi="新宋体" w:eastAsia="新宋体" w:cs="新宋体"/>
          <w:sz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color w:val="FF0000"/>
          <w:sz w:val="24"/>
          <w:szCs w:val="24"/>
        </w:rPr>
        <w:t>1、供应商须明确所投产品的厂家、产地、品牌、型号、详细参数（序号</w:t>
      </w:r>
      <w:r>
        <w:rPr>
          <w:rFonts w:hint="eastAsia" w:ascii="新宋体" w:hAnsi="新宋体" w:eastAsia="新宋体" w:cs="新宋体"/>
          <w:color w:val="FF0000"/>
          <w:sz w:val="24"/>
          <w:szCs w:val="24"/>
          <w:lang w:val="en-US" w:eastAsia="zh-CN"/>
        </w:rPr>
        <w:t>50、51、53、55</w:t>
      </w:r>
      <w:r>
        <w:rPr>
          <w:rFonts w:hint="eastAsia" w:ascii="新宋体" w:hAnsi="新宋体" w:eastAsia="新宋体" w:cs="新宋体"/>
          <w:color w:val="FF0000"/>
          <w:sz w:val="24"/>
          <w:szCs w:val="24"/>
        </w:rPr>
        <w:t>除外），否则为无效投标。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2</w:t>
      </w:r>
      <w:r>
        <w:rPr>
          <w:rFonts w:hint="eastAsia" w:ascii="新宋体" w:hAnsi="新宋体" w:eastAsia="新宋体" w:cs="新宋体"/>
          <w:sz w:val="24"/>
          <w:lang w:val="zh-CN"/>
        </w:rPr>
        <w:t>、投标人应就该项目完整投标（报价含运输费、税费等综合费用），否则为无效投标。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zh-CN" w:eastAsia="zh-CN" w:bidi="ar-SA"/>
        </w:rPr>
      </w:pPr>
      <w:r>
        <w:rPr>
          <w:rFonts w:hint="eastAsia" w:ascii="新宋体" w:hAnsi="新宋体" w:eastAsia="新宋体" w:cs="新宋体"/>
          <w:kern w:val="2"/>
          <w:sz w:val="24"/>
          <w:szCs w:val="22"/>
          <w:lang w:val="en-US" w:eastAsia="zh-CN" w:bidi="ar-SA"/>
        </w:rPr>
        <w:t>3.</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en-US" w:eastAsia="zh-CN" w:bidi="ar-SA"/>
        </w:rPr>
      </w:pPr>
      <w:r>
        <w:rPr>
          <w:rFonts w:hint="eastAsia" w:ascii="新宋体" w:hAnsi="新宋体" w:eastAsia="新宋体" w:cs="新宋体"/>
          <w:kern w:val="2"/>
          <w:sz w:val="24"/>
          <w:szCs w:val="22"/>
          <w:lang w:val="en-US" w:eastAsia="zh-CN" w:bidi="ar-SA"/>
        </w:rPr>
        <w:t>4、投标人须明确免费包修期，同时应提出故障响应时间，在免费包修期内，同一质量问题连续两次维修仍无法正常使用，投标人必须予以更换同品牌、同型号的全新产品并安装到采购人指定单位。</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5、</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10"/>
        <w:keepNext w:val="0"/>
        <w:keepLines w:val="0"/>
        <w:pageBreakBefore w:val="0"/>
        <w:kinsoku/>
        <w:overflowPunct/>
        <w:bidi w:val="0"/>
        <w:snapToGrid/>
        <w:spacing w:line="360" w:lineRule="auto"/>
        <w:ind w:firstLine="482" w:firstLineChars="200"/>
        <w:rPr>
          <w:rFonts w:hint="eastAsia" w:ascii="新宋体" w:hAnsi="新宋体" w:cs="新宋体" w:eastAsiaTheme="minorEastAsia"/>
          <w:b/>
          <w:kern w:val="0"/>
          <w:sz w:val="36"/>
          <w:szCs w:val="36"/>
          <w:lang w:eastAsia="zh-CN"/>
        </w:rPr>
      </w:pPr>
      <w:r>
        <w:rPr>
          <w:rFonts w:hint="eastAsia" w:ascii="新宋体" w:hAnsi="新宋体" w:eastAsia="新宋体" w:cs="新宋体"/>
          <w:b/>
          <w:color w:val="000000"/>
          <w:kern w:val="0"/>
          <w:sz w:val="24"/>
          <w:szCs w:val="24"/>
          <w:lang w:val="zh-CN" w:eastAsia="zh-CN" w:bidi="ar-SA"/>
        </w:rPr>
        <w:t>（七）付款方式：</w:t>
      </w:r>
      <w:r>
        <w:rPr>
          <w:rFonts w:hint="eastAsia" w:cs="宋体" w:asciiTheme="minorEastAsia" w:hAnsiTheme="minorEastAsia"/>
          <w:kern w:val="0"/>
          <w:sz w:val="24"/>
          <w:szCs w:val="24"/>
        </w:rPr>
        <w:t>投标人在采购人验收合格后，一次性向采购人开具全额发票。</w:t>
      </w:r>
      <w:r>
        <w:rPr>
          <w:rFonts w:hint="eastAsia" w:cs="宋体" w:asciiTheme="minorEastAsia" w:hAnsiTheme="minorEastAsia"/>
          <w:color w:val="000000"/>
          <w:kern w:val="0"/>
          <w:sz w:val="24"/>
          <w:szCs w:val="24"/>
        </w:rPr>
        <w:t>设备验收合格后支付9</w:t>
      </w:r>
      <w:r>
        <w:rPr>
          <w:rFonts w:cs="宋体" w:asciiTheme="minorEastAsia" w:hAnsiTheme="minorEastAsia"/>
          <w:color w:val="000000"/>
          <w:kern w:val="0"/>
          <w:sz w:val="24"/>
          <w:szCs w:val="24"/>
        </w:rPr>
        <w:t>5</w:t>
      </w:r>
      <w:r>
        <w:rPr>
          <w:rFonts w:hint="eastAsia" w:cs="宋体" w:asciiTheme="minorEastAsia" w:hAnsiTheme="minorEastAsia"/>
          <w:color w:val="000000"/>
          <w:kern w:val="0"/>
          <w:sz w:val="24"/>
          <w:szCs w:val="24"/>
        </w:rPr>
        <w:t>%，剩余5%满1年无质量问题后无息支付</w:t>
      </w:r>
      <w:r>
        <w:rPr>
          <w:rFonts w:hint="eastAsia" w:cs="宋体" w:asciiTheme="minorEastAsia" w:hAnsiTheme="minorEastAsia"/>
          <w:color w:val="000000"/>
          <w:kern w:val="0"/>
          <w:sz w:val="24"/>
          <w:szCs w:val="24"/>
          <w:lang w:eastAsia="zh-CN"/>
        </w:rPr>
        <w:t>。</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 禹州市广播电视台高标清播出系统</w:t>
            </w:r>
            <w:r>
              <w:rPr>
                <w:rFonts w:hint="eastAsia" w:cs="仿宋_GB2312" w:asciiTheme="minorEastAsia" w:hAnsiTheme="minorEastAsia"/>
                <w:szCs w:val="21"/>
                <w:lang w:eastAsia="zh-CN"/>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名称：禹州市文化广电和旅游局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郑先生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431.186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s="宋体" w:asciiTheme="minorEastAsia" w:hAnsiTheme="minorEastAsia"/>
                <w:bCs/>
                <w:sz w:val="24"/>
                <w:szCs w:val="24"/>
                <w:lang w:val="zh-CN"/>
              </w:rPr>
            </w:pPr>
            <w:r>
              <w:rPr>
                <w:rFonts w:hint="eastAsia"/>
                <w:lang w:val="en-US" w:eastAsia="zh-CN"/>
              </w:rPr>
              <w:t>1</w:t>
            </w:r>
            <w:r>
              <w:rPr>
                <w:rFonts w:hint="eastAsia" w:cs="宋体" w:asciiTheme="minorEastAsia" w:hAnsiTheme="minorEastAsia"/>
                <w:bCs/>
                <w:sz w:val="24"/>
                <w:szCs w:val="24"/>
                <w:lang w:val="en-US" w:eastAsia="zh-CN"/>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5</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0" w:name="OLE_LINK6"/>
      <w:r>
        <w:rPr>
          <w:rFonts w:hint="eastAsia" w:cs="仿宋_GB2312" w:asciiTheme="minorEastAsia" w:hAnsiTheme="minorEastAsia"/>
          <w:sz w:val="24"/>
          <w:szCs w:val="24"/>
          <w:lang w:val="zh-CN"/>
        </w:rPr>
        <w:t>财库[2014]68号</w:t>
      </w:r>
      <w:bookmarkEnd w:id="1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分值构成</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价格分值：      </w:t>
            </w:r>
            <w:r>
              <w:rPr>
                <w:rFonts w:cs="宋体" w:asciiTheme="minorEastAsia" w:hAnsiTheme="minorEastAsia"/>
                <w:color w:val="000000"/>
                <w:kern w:val="0"/>
                <w:sz w:val="24"/>
                <w:szCs w:val="24"/>
              </w:rPr>
              <w:t>50</w:t>
            </w:r>
            <w:r>
              <w:rPr>
                <w:rFonts w:hint="eastAsia" w:cs="仿宋"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t>分</w:t>
            </w:r>
          </w:p>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商务部分：      </w:t>
            </w:r>
            <w:r>
              <w:rPr>
                <w:rFonts w:cs="宋体" w:asciiTheme="minorEastAsia" w:hAnsiTheme="minorEastAsia"/>
                <w:color w:val="000000"/>
                <w:kern w:val="0"/>
                <w:sz w:val="24"/>
                <w:szCs w:val="24"/>
              </w:rPr>
              <w:t>15</w:t>
            </w:r>
            <w:r>
              <w:rPr>
                <w:rFonts w:hint="eastAsia" w:cs="仿宋"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t>分</w:t>
            </w:r>
          </w:p>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技术部分：      </w:t>
            </w:r>
            <w:r>
              <w:rPr>
                <w:rFonts w:cs="宋体" w:asciiTheme="minorEastAsia" w:hAnsiTheme="minorEastAsia"/>
                <w:color w:val="000000"/>
                <w:kern w:val="0"/>
                <w:sz w:val="24"/>
                <w:szCs w:val="24"/>
              </w:rPr>
              <w:t>35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一、价格部分（满分 </w:t>
            </w:r>
            <w:r>
              <w:rPr>
                <w:rFonts w:cs="宋体" w:asciiTheme="minorEastAsia" w:hAnsiTheme="minorEastAsia"/>
                <w:bCs/>
                <w:color w:val="000000"/>
                <w:kern w:val="0"/>
                <w:sz w:val="24"/>
                <w:szCs w:val="24"/>
              </w:rPr>
              <w:t>50</w:t>
            </w:r>
            <w:r>
              <w:rPr>
                <w:rFonts w:hint="eastAsia" w:cs="仿宋" w:asciiTheme="minorEastAsia" w:hAnsiTheme="minorEastAsia"/>
                <w:bCs/>
                <w:color w:val="000000"/>
                <w:kern w:val="0"/>
                <w:sz w:val="24"/>
                <w:szCs w:val="24"/>
              </w:rPr>
              <w:t xml:space="preserve"> </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价格分采用低价优先法计算，即满足招标文件要求且评标报价最低的评标报价为评标基准价，其价格分为满分。其他供应商的价格分统一按照下列公式计算：</w:t>
            </w:r>
          </w:p>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投标报价得分=（评标基准价/评标报价）×</w:t>
            </w:r>
            <w:r>
              <w:rPr>
                <w:rFonts w:ascii="宋体" w:hAnsi="宋体" w:eastAsia="宋体" w:cs="宋体"/>
                <w:sz w:val="24"/>
                <w:szCs w:val="24"/>
                <w:shd w:val="clear" w:color="auto" w:fill="FFFFFF"/>
              </w:rPr>
              <w:t>5</w:t>
            </w:r>
            <w:r>
              <w:rPr>
                <w:rFonts w:hint="eastAsia" w:ascii="宋体" w:hAnsi="宋体" w:eastAsia="宋体" w:cs="宋体"/>
                <w:sz w:val="24"/>
                <w:szCs w:val="24"/>
                <w:shd w:val="clear" w:color="auto" w:fill="FFFFFF"/>
              </w:rPr>
              <w:t>0</w:t>
            </w:r>
          </w:p>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a、评标委员会根据政府采购法相关规定，对有效投标、符合折扣条件的供应商，按照价格调整因素及比例进行报价调整，以调整后的价格作为供应商的评标价；</w:t>
            </w:r>
          </w:p>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评标报价=投标报价×（1-∑价格折扣幅度）</w:t>
            </w:r>
          </w:p>
          <w:p>
            <w:pPr>
              <w:widowControl/>
              <w:spacing w:line="330" w:lineRule="atLeast"/>
              <w:jc w:val="left"/>
              <w:rPr>
                <w:rFonts w:cs="宋体" w:asciiTheme="minorEastAsia" w:hAnsiTheme="minorEastAsia"/>
                <w:color w:val="000000"/>
                <w:kern w:val="0"/>
                <w:sz w:val="24"/>
                <w:szCs w:val="24"/>
              </w:rPr>
            </w:pPr>
            <w:r>
              <w:rPr>
                <w:rFonts w:hint="eastAsia" w:ascii="宋体" w:hAnsi="宋体" w:eastAsia="宋体" w:cs="宋体"/>
                <w:sz w:val="24"/>
                <w:szCs w:val="24"/>
                <w:shd w:val="clear" w:color="auto" w:fill="FFFFFF"/>
              </w:rPr>
              <w:t>b、供应商投报产品出自小型或微型企业（监狱企业视同小微企业）的，给予最后报价6%的价格扣除，用扣除后的价格参与评审。</w:t>
            </w:r>
            <w:r>
              <w:rPr>
                <w:rFonts w:hint="eastAsia" w:cs="仿宋" w:asciiTheme="minorEastAsia" w:hAnsiTheme="minorEastAsia"/>
                <w:color w:val="000000"/>
                <w:kern w:val="0"/>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仿宋" w:asciiTheme="minorEastAsia" w:hAnsiTheme="minorEastAsia"/>
                <w:color w:val="000000"/>
                <w:kern w:val="0"/>
                <w:sz w:val="24"/>
                <w:szCs w:val="24"/>
              </w:rPr>
              <w:t>50</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二、商务部分（满分 </w:t>
            </w:r>
            <w:r>
              <w:rPr>
                <w:rFonts w:cs="宋体" w:asciiTheme="minorEastAsia" w:hAnsiTheme="minorEastAsia"/>
                <w:bCs/>
                <w:color w:val="000000"/>
                <w:kern w:val="0"/>
                <w:sz w:val="24"/>
                <w:szCs w:val="24"/>
              </w:rPr>
              <w:t>15</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ascii="宋体" w:hAnsi="宋体" w:cs="宋体"/>
                <w:color w:val="000000"/>
                <w:sz w:val="24"/>
                <w:szCs w:val="24"/>
              </w:rPr>
            </w:pPr>
          </w:p>
          <w:p>
            <w:pPr>
              <w:widowControl/>
              <w:snapToGrid w:val="0"/>
              <w:spacing w:line="336" w:lineRule="auto"/>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sz w:val="24"/>
                <w:szCs w:val="24"/>
              </w:rPr>
              <w:t>投标人</w:t>
            </w:r>
            <w:r>
              <w:rPr>
                <w:rFonts w:hint="eastAsia" w:ascii="宋体" w:hAnsi="宋体" w:cs="宋体"/>
                <w:color w:val="000000"/>
                <w:sz w:val="24"/>
                <w:szCs w:val="24"/>
              </w:rPr>
              <w:t>提供由中国音像与数字出版协会音视频工程专业委员会颁发的音视频集成工程企业资质，且证书在有效期内的，壹级得</w:t>
            </w:r>
            <w:r>
              <w:rPr>
                <w:rFonts w:hint="eastAsia" w:ascii="宋体" w:hAnsi="宋体" w:cs="宋体"/>
                <w:color w:val="000000"/>
                <w:sz w:val="24"/>
                <w:szCs w:val="24"/>
                <w:lang w:val="en-US" w:eastAsia="zh-CN"/>
              </w:rPr>
              <w:t>3</w:t>
            </w:r>
            <w:r>
              <w:rPr>
                <w:rFonts w:hint="eastAsia" w:ascii="宋体" w:hAnsi="宋体" w:cs="宋体"/>
                <w:color w:val="000000"/>
                <w:sz w:val="24"/>
                <w:szCs w:val="24"/>
              </w:rPr>
              <w:t>分，贰级得1分。（投标文件中附复印件）</w:t>
            </w:r>
          </w:p>
          <w:p>
            <w:pPr>
              <w:widowControl/>
              <w:snapToGrid w:val="0"/>
              <w:spacing w:line="336" w:lineRule="auto"/>
              <w:jc w:val="left"/>
              <w:rPr>
                <w:rFonts w:hint="default" w:ascii="宋体" w:hAnsi="宋体" w:cs="宋体" w:eastAsiaTheme="minorEastAsia"/>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）投标人具备质量管理体系认证、环境管理体系认证、O</w:t>
            </w:r>
            <w:r>
              <w:rPr>
                <w:rFonts w:ascii="宋体" w:hAnsi="宋体" w:cs="宋体"/>
                <w:sz w:val="24"/>
                <w:szCs w:val="24"/>
              </w:rPr>
              <w:t>HSAS</w:t>
            </w:r>
            <w:r>
              <w:rPr>
                <w:rFonts w:hint="eastAsia" w:ascii="宋体" w:hAnsi="宋体" w:cs="宋体"/>
                <w:sz w:val="24"/>
                <w:szCs w:val="24"/>
              </w:rPr>
              <w:t>职业健康安全管理体系认证证书</w:t>
            </w:r>
            <w:r>
              <w:rPr>
                <w:rFonts w:hint="eastAsia" w:ascii="宋体" w:hAnsi="宋体" w:cs="宋体"/>
                <w:sz w:val="24"/>
                <w:szCs w:val="24"/>
                <w:lang w:eastAsia="zh-CN"/>
              </w:rPr>
              <w:t>每有一项得</w:t>
            </w:r>
            <w:r>
              <w:rPr>
                <w:rFonts w:hint="eastAsia" w:ascii="宋体" w:hAnsi="宋体" w:cs="宋体"/>
                <w:sz w:val="24"/>
                <w:szCs w:val="24"/>
                <w:lang w:val="en-US" w:eastAsia="zh-CN"/>
              </w:rPr>
              <w:t>1分，共3分。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cs="宋体" w:asciiTheme="minorEastAsia" w:hAnsiTheme="minorEastAsia"/>
                <w:color w:val="000000"/>
                <w:kern w:val="0"/>
                <w:sz w:val="24"/>
                <w:szCs w:val="24"/>
              </w:rPr>
              <w:t> </w:t>
            </w:r>
            <w:r>
              <w:rPr>
                <w:rFonts w:hint="eastAsia" w:ascii="宋体" w:hAnsi="宋体" w:eastAsia="宋体" w:cs="宋体"/>
                <w:sz w:val="24"/>
                <w:szCs w:val="24"/>
                <w:shd w:val="clear" w:color="auto" w:fill="FFFFFF"/>
              </w:rPr>
              <w:t>投标人每提供一份2017年1月1日以来合同金额不低于3</w:t>
            </w:r>
            <w:r>
              <w:rPr>
                <w:rFonts w:ascii="宋体" w:hAnsi="宋体" w:eastAsia="宋体" w:cs="宋体"/>
                <w:sz w:val="24"/>
                <w:szCs w:val="24"/>
                <w:shd w:val="clear" w:color="auto" w:fill="FFFFFF"/>
              </w:rPr>
              <w:t>00</w:t>
            </w:r>
            <w:r>
              <w:rPr>
                <w:rFonts w:hint="eastAsia" w:ascii="宋体" w:hAnsi="宋体" w:eastAsia="宋体" w:cs="宋体"/>
                <w:sz w:val="24"/>
                <w:szCs w:val="24"/>
                <w:shd w:val="clear" w:color="auto" w:fill="FFFFFF"/>
              </w:rPr>
              <w:t>万类以项目业绩，每有一份得</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分，最多得</w:t>
            </w:r>
            <w:r>
              <w:rPr>
                <w:rFonts w:hint="eastAsia" w:ascii="宋体" w:hAnsi="宋体" w:eastAsia="宋体" w:cs="宋体"/>
                <w:sz w:val="24"/>
                <w:szCs w:val="24"/>
                <w:shd w:val="clear" w:color="auto" w:fill="FFFFFF"/>
                <w:lang w:val="en-US" w:eastAsia="zh-CN"/>
              </w:rPr>
              <w:t>9</w:t>
            </w:r>
            <w:r>
              <w:rPr>
                <w:rFonts w:hint="eastAsia" w:ascii="宋体" w:hAnsi="宋体" w:eastAsia="宋体" w:cs="宋体"/>
                <w:sz w:val="24"/>
                <w:szCs w:val="24"/>
                <w:shd w:val="clear" w:color="auto" w:fill="FFFFFF"/>
              </w:rPr>
              <w:t>分。投标人须提供合同复印件、中标（成交）通知书复印件、未提供或提供不全的不得分。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三、技术部分（满分  </w:t>
            </w:r>
            <w:r>
              <w:rPr>
                <w:rFonts w:cs="宋体" w:asciiTheme="minorEastAsia" w:hAnsiTheme="minorEastAsia"/>
                <w:bCs/>
                <w:color w:val="000000"/>
                <w:kern w:val="0"/>
                <w:sz w:val="24"/>
                <w:szCs w:val="24"/>
              </w:rPr>
              <w:t>35</w:t>
            </w:r>
            <w:r>
              <w:rPr>
                <w:rFonts w:hint="eastAsia" w:cs="仿宋" w:asciiTheme="minorEastAsia" w:hAnsiTheme="minorEastAsia"/>
                <w:bCs/>
                <w:color w:val="000000"/>
                <w:kern w:val="0"/>
                <w:sz w:val="24"/>
                <w:szCs w:val="24"/>
              </w:rPr>
              <w:t xml:space="preserve"> </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w:t>
            </w:r>
            <w:bookmarkStart w:id="19" w:name="_GoBack"/>
            <w:bookmarkEnd w:id="19"/>
            <w:r>
              <w:rPr>
                <w:rFonts w:hint="eastAsia" w:cs="宋体" w:asciiTheme="minorEastAsia" w:hAnsiTheme="minorEastAsia"/>
                <w:bCs/>
                <w:color w:val="000000"/>
                <w:kern w:val="0"/>
                <w:sz w:val="24"/>
                <w:szCs w:val="24"/>
              </w:rPr>
              <w:t>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spacing w:val="10"/>
                <w:sz w:val="24"/>
                <w:szCs w:val="24"/>
              </w:rPr>
              <w:t>技术参数</w:t>
            </w: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cs="仿宋" w:asciiTheme="minorEastAsia" w:hAnsiTheme="minorEastAsia"/>
                <w:sz w:val="24"/>
                <w:szCs w:val="24"/>
              </w:rPr>
              <w:t>技术参数完全符合或优于招标文件要求的，得</w:t>
            </w:r>
            <w:r>
              <w:rPr>
                <w:rFonts w:hint="eastAsia" w:cs="仿宋" w:asciiTheme="minorEastAsia" w:hAnsiTheme="minorEastAsia"/>
                <w:sz w:val="24"/>
                <w:szCs w:val="24"/>
                <w:lang w:val="en-US" w:eastAsia="zh-CN"/>
              </w:rPr>
              <w:t>25</w:t>
            </w:r>
            <w:r>
              <w:rPr>
                <w:rFonts w:hint="eastAsia" w:cs="仿宋" w:asciiTheme="minorEastAsia" w:hAnsiTheme="minorEastAsia"/>
                <w:sz w:val="24"/>
                <w:szCs w:val="24"/>
              </w:rPr>
              <w:t>分，招标文件技术参数要求带★的，每一项不满足的扣2分，不带★的，每一项不满足的扣1分，扣完为止。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0</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25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技术支持</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cs="宋体" w:asciiTheme="minorEastAsia" w:hAnsiTheme="minorEastAsia"/>
                <w:sz w:val="24"/>
                <w:szCs w:val="24"/>
                <w:shd w:val="clear" w:color="auto" w:fill="FFFFFF"/>
              </w:rPr>
            </w:pP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w:t>
            </w:r>
            <w:r>
              <w:rPr>
                <w:rFonts w:hint="eastAsia" w:ascii="宋体" w:hAnsi="宋体"/>
                <w:sz w:val="24"/>
                <w:szCs w:val="24"/>
              </w:rPr>
              <w:t>主备视频服务器能提供设备生产厂家针对于本项目的原厂授权和售后服务承诺原件的得</w:t>
            </w:r>
            <w:r>
              <w:rPr>
                <w:rFonts w:ascii="宋体" w:hAnsi="宋体"/>
                <w:sz w:val="24"/>
                <w:szCs w:val="24"/>
              </w:rPr>
              <w:t>2</w:t>
            </w:r>
            <w:r>
              <w:rPr>
                <w:rFonts w:hint="eastAsia" w:ascii="宋体" w:hAnsi="宋体"/>
                <w:sz w:val="24"/>
                <w:szCs w:val="24"/>
              </w:rPr>
              <w:t>分。</w:t>
            </w:r>
          </w:p>
          <w:p>
            <w:pPr>
              <w:widowControl/>
              <w:snapToGrid w:val="0"/>
              <w:spacing w:line="360" w:lineRule="auto"/>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2、</w:t>
            </w:r>
            <w:r>
              <w:rPr>
                <w:rFonts w:hint="eastAsia" w:ascii="宋体" w:hAnsi="宋体"/>
                <w:sz w:val="24"/>
                <w:szCs w:val="24"/>
              </w:rPr>
              <w:t>二级存储能提供设备生产厂家针对于本项目的原厂授权和售后服务承诺原件的得</w:t>
            </w:r>
            <w:r>
              <w:rPr>
                <w:rFonts w:ascii="宋体" w:hAnsi="宋体"/>
                <w:sz w:val="24"/>
                <w:szCs w:val="24"/>
              </w:rPr>
              <w:t>2</w:t>
            </w:r>
            <w:r>
              <w:rPr>
                <w:rFonts w:hint="eastAsia" w:ascii="宋体" w:hAnsi="宋体"/>
                <w:sz w:val="24"/>
                <w:szCs w:val="24"/>
              </w:rPr>
              <w:t>分</w:t>
            </w:r>
          </w:p>
          <w:p>
            <w:pPr>
              <w:widowControl/>
              <w:snapToGrid w:val="0"/>
              <w:spacing w:line="360" w:lineRule="auto"/>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3、</w:t>
            </w:r>
            <w:r>
              <w:rPr>
                <w:rFonts w:hint="eastAsia" w:ascii="宋体" w:hAnsi="宋体"/>
                <w:sz w:val="24"/>
                <w:szCs w:val="24"/>
              </w:rPr>
              <w:t>分控矩阵提供设备生产厂家针对于本项目的原厂授权和售后服务承诺原件的得</w:t>
            </w:r>
            <w:r>
              <w:rPr>
                <w:rFonts w:ascii="宋体" w:hAnsi="宋体"/>
                <w:sz w:val="24"/>
                <w:szCs w:val="24"/>
              </w:rPr>
              <w:t>1</w:t>
            </w:r>
            <w:r>
              <w:rPr>
                <w:rFonts w:hint="eastAsia" w:ascii="宋体" w:hAnsi="宋体"/>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仿宋" w:asciiTheme="minorEastAsia" w:hAnsiTheme="minorEastAsia"/>
                <w:color w:val="000000"/>
                <w:kern w:val="0"/>
                <w:sz w:val="24"/>
                <w:szCs w:val="24"/>
              </w:rPr>
              <w:t>0</w:t>
            </w:r>
            <w:r>
              <w:rPr>
                <w:rFonts w:hint="eastAsia" w:cs="仿宋" w:asciiTheme="minorEastAsia" w:hAnsiTheme="minorEastAsia"/>
                <w:color w:val="000000"/>
                <w:kern w:val="0"/>
                <w:sz w:val="24"/>
                <w:szCs w:val="24"/>
              </w:rPr>
              <w:t>-</w:t>
            </w:r>
            <w:r>
              <w:rPr>
                <w:rFonts w:cs="仿宋" w:asciiTheme="minorEastAsia" w:hAnsiTheme="minorEastAsia"/>
                <w:color w:val="000000"/>
                <w:kern w:val="0"/>
                <w:sz w:val="24"/>
                <w:szCs w:val="24"/>
              </w:rPr>
              <w:t>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系统设计方案及售后服务承诺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outlineLvl w:val="0"/>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1、根据各投标人提供方案的完善性和合理性，在0-3分的范围内打分。</w:t>
            </w:r>
          </w:p>
          <w:p>
            <w:pPr>
              <w:widowControl/>
              <w:spacing w:line="360" w:lineRule="exact"/>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2</w:t>
            </w:r>
            <w:r>
              <w:rPr>
                <w:rFonts w:hint="eastAsia" w:cs="宋体" w:asciiTheme="minorEastAsia" w:hAnsiTheme="minorEastAsia"/>
                <w:color w:val="000000"/>
                <w:kern w:val="0"/>
                <w:sz w:val="24"/>
                <w:szCs w:val="24"/>
              </w:rPr>
              <w:t>、评标委员会根据</w:t>
            </w:r>
            <w:r>
              <w:rPr>
                <w:rFonts w:hint="eastAsia" w:cs="宋体" w:asciiTheme="minorEastAsia" w:hAnsiTheme="minorEastAsia"/>
                <w:sz w:val="24"/>
                <w:szCs w:val="24"/>
                <w:shd w:val="clear" w:color="auto" w:fill="FFFFFF"/>
              </w:rPr>
              <w:t>各投标人提供售后服务方案，条款合理、服务完善、有实质性的优惠，在0-</w:t>
            </w:r>
            <w:r>
              <w:rPr>
                <w:rFonts w:cs="宋体" w:asciiTheme="minorEastAsia" w:hAnsiTheme="minorEastAsia"/>
                <w:sz w:val="24"/>
                <w:szCs w:val="24"/>
                <w:shd w:val="clear" w:color="auto" w:fill="FFFFFF"/>
              </w:rPr>
              <w:t>2</w:t>
            </w:r>
            <w:r>
              <w:rPr>
                <w:rFonts w:hint="eastAsia" w:cs="宋体" w:asciiTheme="minorEastAsia" w:hAnsiTheme="minorEastAsia"/>
                <w:sz w:val="24"/>
                <w:szCs w:val="24"/>
                <w:shd w:val="clear" w:color="auto" w:fill="FFFFFF"/>
              </w:rPr>
              <w:t>分的范围内打分。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0</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5</w:t>
            </w:r>
            <w:r>
              <w:rPr>
                <w:rFonts w:hint="eastAsia" w:cs="宋体" w:asciiTheme="minorEastAsia" w:hAnsiTheme="minorEastAsia"/>
                <w:color w:val="000000"/>
                <w:kern w:val="0"/>
                <w:sz w:val="24"/>
                <w:szCs w:val="24"/>
              </w:rPr>
              <w:t>分</w:t>
            </w: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1" w:name="_Toc184023138"/>
      <w:bookmarkStart w:id="12" w:name="_Toc174185203"/>
      <w:bookmarkStart w:id="13" w:name="_Toc186274126"/>
      <w:r>
        <w:rPr>
          <w:rFonts w:hint="eastAsia" w:cs="黑体" w:asciiTheme="minorEastAsia" w:hAnsiTheme="minorEastAsia" w:eastAsiaTheme="minorEastAsia"/>
          <w:color w:val="auto"/>
          <w:kern w:val="2"/>
          <w:sz w:val="28"/>
          <w:szCs w:val="28"/>
          <w:lang w:val="zh-CN"/>
        </w:rPr>
        <w:t>一、投标人应答索引表</w:t>
      </w:r>
      <w:bookmarkEnd w:id="11"/>
      <w:bookmarkEnd w:id="12"/>
      <w:bookmarkEnd w:id="1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4" w:name="_资格证明文件"/>
            <w:bookmarkEnd w:id="14"/>
            <w:bookmarkStart w:id="1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5"/>
          </w:p>
        </w:tc>
        <w:tc>
          <w:tcPr>
            <w:tcW w:w="4492" w:type="dxa"/>
            <w:gridSpan w:val="2"/>
            <w:vAlign w:val="center"/>
          </w:tcPr>
          <w:p>
            <w:pPr>
              <w:jc w:val="center"/>
              <w:rPr>
                <w:rFonts w:asciiTheme="minorEastAsia" w:hAnsiTheme="minorEastAsia"/>
                <w:szCs w:val="21"/>
              </w:rPr>
            </w:pPr>
            <w:bookmarkStart w:id="1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7" w:name="OLE_LINK14"/>
      <w:bookmarkStart w:id="18" w:name="OLE_LINK13"/>
      <w:r>
        <w:rPr>
          <w:rFonts w:hint="eastAsia" w:ascii="宋体" w:hAnsi="宋体"/>
          <w:b/>
          <w:bCs/>
          <w:color w:val="000000"/>
          <w:sz w:val="24"/>
          <w:szCs w:val="24"/>
        </w:rPr>
        <w:t>4.7 残疾人福利性单位声明函</w:t>
      </w:r>
    </w:p>
    <w:bookmarkEnd w:id="17"/>
    <w:bookmarkEnd w:id="1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28F2E"/>
    <w:multiLevelType w:val="singleLevel"/>
    <w:tmpl w:val="D7328F2E"/>
    <w:lvl w:ilvl="0" w:tentative="0">
      <w:start w:val="3"/>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4C3675"/>
    <w:multiLevelType w:val="multilevel"/>
    <w:tmpl w:val="0A4C367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2"/>
      <w:suff w:val="nothing"/>
      <w:lvlText w:val="%1、"/>
      <w:lvlJc w:val="left"/>
    </w:lvl>
  </w:abstractNum>
  <w:abstractNum w:abstractNumId="11">
    <w:nsid w:val="5D1F0770"/>
    <w:multiLevelType w:val="singleLevel"/>
    <w:tmpl w:val="5D1F0770"/>
    <w:lvl w:ilvl="0" w:tentative="0">
      <w:start w:val="1"/>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30A108A"/>
    <w:multiLevelType w:val="multilevel"/>
    <w:tmpl w:val="730A108A"/>
    <w:lvl w:ilvl="0" w:tentative="0">
      <w:start w:val="2"/>
      <w:numFmt w:val="decimal"/>
      <w:lvlText w:val="%1、"/>
      <w:lvlJc w:val="left"/>
      <w:pPr>
        <w:ind w:left="1205" w:hanging="360"/>
      </w:pPr>
      <w:rPr>
        <w:rFonts w:hint="default"/>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11"/>
  </w:num>
  <w:num w:numId="8">
    <w:abstractNumId w:val="5"/>
  </w:num>
  <w:num w:numId="9">
    <w:abstractNumId w:val="0"/>
  </w:num>
  <w:num w:numId="10">
    <w:abstractNumId w:val="13"/>
  </w:num>
  <w:num w:numId="11">
    <w:abstractNumId w:val="1"/>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CF35BE"/>
    <w:rsid w:val="07DA78CD"/>
    <w:rsid w:val="080C2BBA"/>
    <w:rsid w:val="08866B85"/>
    <w:rsid w:val="08C0181D"/>
    <w:rsid w:val="08FD5745"/>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10E6851"/>
    <w:rsid w:val="116D26CD"/>
    <w:rsid w:val="11C23651"/>
    <w:rsid w:val="11E13F76"/>
    <w:rsid w:val="129267D1"/>
    <w:rsid w:val="12C422CE"/>
    <w:rsid w:val="13903C42"/>
    <w:rsid w:val="13EB69AF"/>
    <w:rsid w:val="13EF7D11"/>
    <w:rsid w:val="140778EB"/>
    <w:rsid w:val="155C6126"/>
    <w:rsid w:val="158908A7"/>
    <w:rsid w:val="160E3E81"/>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2472EB"/>
    <w:rsid w:val="1E8E722F"/>
    <w:rsid w:val="1F8E45BB"/>
    <w:rsid w:val="1FE15514"/>
    <w:rsid w:val="1FF158F3"/>
    <w:rsid w:val="208614E5"/>
    <w:rsid w:val="2157706F"/>
    <w:rsid w:val="21DC7D3C"/>
    <w:rsid w:val="21DD4A96"/>
    <w:rsid w:val="2298317C"/>
    <w:rsid w:val="22CE29EE"/>
    <w:rsid w:val="22E12453"/>
    <w:rsid w:val="242212EC"/>
    <w:rsid w:val="24D35795"/>
    <w:rsid w:val="255E48CD"/>
    <w:rsid w:val="26B87348"/>
    <w:rsid w:val="271F4B16"/>
    <w:rsid w:val="275038F3"/>
    <w:rsid w:val="27CD14F5"/>
    <w:rsid w:val="28E96646"/>
    <w:rsid w:val="29081640"/>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F263B0E"/>
    <w:rsid w:val="406F2670"/>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75521A8"/>
    <w:rsid w:val="477C4489"/>
    <w:rsid w:val="477E79DB"/>
    <w:rsid w:val="47EC2F8F"/>
    <w:rsid w:val="48163D9E"/>
    <w:rsid w:val="48BB1E61"/>
    <w:rsid w:val="48E44347"/>
    <w:rsid w:val="49032750"/>
    <w:rsid w:val="4AB4093D"/>
    <w:rsid w:val="4AE22F4C"/>
    <w:rsid w:val="4B536EA5"/>
    <w:rsid w:val="4CA91082"/>
    <w:rsid w:val="4D1C4C00"/>
    <w:rsid w:val="4D3E056B"/>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C97953"/>
    <w:rsid w:val="53E15B41"/>
    <w:rsid w:val="53F5577A"/>
    <w:rsid w:val="5590515E"/>
    <w:rsid w:val="55EF2276"/>
    <w:rsid w:val="562D2F69"/>
    <w:rsid w:val="565C29A5"/>
    <w:rsid w:val="5703196B"/>
    <w:rsid w:val="57140DA8"/>
    <w:rsid w:val="574A43AC"/>
    <w:rsid w:val="58077CBD"/>
    <w:rsid w:val="5812110B"/>
    <w:rsid w:val="582E1358"/>
    <w:rsid w:val="58323449"/>
    <w:rsid w:val="58FD658D"/>
    <w:rsid w:val="59454145"/>
    <w:rsid w:val="5A50619C"/>
    <w:rsid w:val="5B0C6CA4"/>
    <w:rsid w:val="5BCD4474"/>
    <w:rsid w:val="5CFD3C28"/>
    <w:rsid w:val="5E2C7B65"/>
    <w:rsid w:val="5EB8046C"/>
    <w:rsid w:val="5EC23D91"/>
    <w:rsid w:val="5EEA6FD8"/>
    <w:rsid w:val="5F5D3B89"/>
    <w:rsid w:val="5F91300B"/>
    <w:rsid w:val="5FBD74DE"/>
    <w:rsid w:val="601812B8"/>
    <w:rsid w:val="60BD0412"/>
    <w:rsid w:val="616C5D6E"/>
    <w:rsid w:val="61775FA5"/>
    <w:rsid w:val="619B680C"/>
    <w:rsid w:val="62E53998"/>
    <w:rsid w:val="63923CED"/>
    <w:rsid w:val="64124C78"/>
    <w:rsid w:val="648D2FFF"/>
    <w:rsid w:val="653348F4"/>
    <w:rsid w:val="656839C3"/>
    <w:rsid w:val="65725730"/>
    <w:rsid w:val="657E7CE6"/>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DFE32C6"/>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88A0F31"/>
    <w:rsid w:val="78F56DD8"/>
    <w:rsid w:val="79373D17"/>
    <w:rsid w:val="7A77760E"/>
    <w:rsid w:val="7AC70899"/>
    <w:rsid w:val="7B3F7553"/>
    <w:rsid w:val="7B7986D1"/>
    <w:rsid w:val="7B877587"/>
    <w:rsid w:val="7E0F106D"/>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6</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2019-08-30T03:24:29Z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