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>河南省禹州市职业中等专业学校采购电子商务实训设备项目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河南省禹州市职业中等专业学校采购电子商务实训设备项目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320" w:firstLineChars="1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</w:rPr>
        <w:t>YZCG-G2019</w:t>
      </w:r>
      <w:r>
        <w:rPr>
          <w:rFonts w:hint="eastAsia" w:ascii="仿宋" w:hAnsi="仿宋" w:eastAsia="仿宋"/>
          <w:sz w:val="30"/>
          <w:lang w:val="en-US" w:eastAsia="zh-CN"/>
        </w:rPr>
        <w:t>161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70万元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640" w:type="dxa"/>
        <w:tblCellSpacing w:w="0" w:type="dxa"/>
        <w:tblInd w:w="12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5308"/>
        <w:gridCol w:w="259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tblCellSpacing w:w="0" w:type="dxa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5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CellSpacing w:w="0" w:type="dxa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5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河南炳晔商贸有限公司</w:t>
            </w:r>
          </w:p>
        </w:tc>
        <w:tc>
          <w:tcPr>
            <w:tcW w:w="2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682600.00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tblCellSpacing w:w="0" w:type="dxa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5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河南秦月实业有限公司</w:t>
            </w:r>
          </w:p>
        </w:tc>
        <w:tc>
          <w:tcPr>
            <w:tcW w:w="2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687875.00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tblCellSpacing w:w="0" w:type="dxa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5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禹州市开创电子有限公司</w:t>
            </w:r>
          </w:p>
        </w:tc>
        <w:tc>
          <w:tcPr>
            <w:tcW w:w="2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685334.00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5"/>
        <w:tblW w:w="8540" w:type="dxa"/>
        <w:tblCellSpacing w:w="0" w:type="dxa"/>
        <w:tblInd w:w="148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6"/>
        <w:gridCol w:w="731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tblCellSpacing w:w="0" w:type="dxa"/>
        </w:trPr>
        <w:tc>
          <w:tcPr>
            <w:tcW w:w="122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31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tblCellSpacing w:w="0" w:type="dxa"/>
        </w:trPr>
        <w:tc>
          <w:tcPr>
            <w:tcW w:w="122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1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河南炳晔商贸有限公司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tblCellSpacing w:w="0" w:type="dxa"/>
        </w:trPr>
        <w:tc>
          <w:tcPr>
            <w:tcW w:w="122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1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河南秦月实业有限公司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tblCellSpacing w:w="0" w:type="dxa"/>
        </w:trPr>
        <w:tc>
          <w:tcPr>
            <w:tcW w:w="122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31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禹州市开创电子有限公司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以上三家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通过符合性审杳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5"/>
        <w:tblW w:w="881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河南炳晔商贸有限公司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sum(B3:D3)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89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88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89.20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河南秦月实业有限公司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49.62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sum(B12:D12)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76.62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49.62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sum(B13:D13)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77.62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49.62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sum(B14:D14)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76.62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49.62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sum(B15:D15)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75.62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49.62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sum(B16:D16)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77.62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禹州市开创电子有限公司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49.80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sum(B21:D21)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74.8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49.80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sum(B22:D22)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75.8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49.80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sum(B23:D23)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74.8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49.80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sum(B24:D24)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73.8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49.80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sum(B25:D25)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75.8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75.00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00" w:lineRule="exact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00" w:lineRule="exact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5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4494"/>
        <w:gridCol w:w="1506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5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河南炳晔商贸有限公司</w:t>
            </w:r>
          </w:p>
        </w:tc>
        <w:tc>
          <w:tcPr>
            <w:tcW w:w="15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89.20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河南秦月实业有限公司</w:t>
            </w:r>
          </w:p>
        </w:tc>
        <w:tc>
          <w:tcPr>
            <w:tcW w:w="15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76.82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6"/>
                <w:szCs w:val="36"/>
                <w:lang w:val="en-US" w:eastAsia="zh-CN"/>
              </w:rPr>
              <w:t>禹州市开创电子有限公司</w:t>
            </w:r>
          </w:p>
        </w:tc>
        <w:tc>
          <w:tcPr>
            <w:tcW w:w="15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75.00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60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五、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321" w:firstLineChars="100"/>
        <w:jc w:val="left"/>
        <w:textAlignment w:val="auto"/>
        <w:rPr>
          <w:rFonts w:hint="default" w:eastAsia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河南炳晔商贸有限公司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2560" w:leftChars="305" w:right="0" w:rightChars="0" w:hanging="1920" w:hangingChars="6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二）地址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：郑州市金水区丰庆路126号4号楼2单元25层2507室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熊丹丹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15639003507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30"/>
        <w:jc w:val="left"/>
        <w:textAlignment w:val="auto"/>
        <w:rPr>
          <w:rFonts w:hint="default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陆拾捌万贰仟陆佰元整（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682600.00元）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/>
          <w:sz w:val="36"/>
          <w:szCs w:val="36"/>
          <w:lang w:val="en-US" w:eastAsia="zh-CN"/>
        </w:rPr>
        <w:t>河南秦月实业有限公司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00" w:firstLineChars="20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（二）地址：郑州市金水区文化北路10号1号楼1单元14层54号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00" w:firstLineChars="20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（三）联系人：司娜娜    联系方式：18137887718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（四）中标金额：陆拾捌万柒仟捌佰柒拾伍元整（687875.00元）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/>
          <w:sz w:val="36"/>
          <w:szCs w:val="36"/>
          <w:lang w:val="en-US" w:eastAsia="zh-CN"/>
        </w:rPr>
        <w:t>禹州市开创电子有限公司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（二）地址：禹州市药城路中段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（三）联系人：孙晓娜    联系方式：0374--8109111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default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（四）中标金额：陆拾捌万伍仟叁佰叁拾肆元整（685334.00元）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2019年8月30日</w:t>
      </w:r>
    </w:p>
    <w:sectPr>
      <w:footerReference r:id="rId3" w:type="default"/>
      <w:pgSz w:w="11906" w:h="16838"/>
      <w:pgMar w:top="1134" w:right="1066" w:bottom="1134" w:left="134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55112"/>
    <w:rsid w:val="03945596"/>
    <w:rsid w:val="04671CFA"/>
    <w:rsid w:val="05540414"/>
    <w:rsid w:val="066742AD"/>
    <w:rsid w:val="084D7982"/>
    <w:rsid w:val="090E1295"/>
    <w:rsid w:val="0CC365CC"/>
    <w:rsid w:val="0D9349B6"/>
    <w:rsid w:val="0E3D02A4"/>
    <w:rsid w:val="110856A5"/>
    <w:rsid w:val="11365DD9"/>
    <w:rsid w:val="15813EB1"/>
    <w:rsid w:val="1772471D"/>
    <w:rsid w:val="17941A50"/>
    <w:rsid w:val="17D926FA"/>
    <w:rsid w:val="1C411794"/>
    <w:rsid w:val="1ED95FC8"/>
    <w:rsid w:val="1F2255FF"/>
    <w:rsid w:val="20AB24B0"/>
    <w:rsid w:val="241B0D7E"/>
    <w:rsid w:val="2726556D"/>
    <w:rsid w:val="27E979DF"/>
    <w:rsid w:val="2C2048EF"/>
    <w:rsid w:val="2E405744"/>
    <w:rsid w:val="2ED67925"/>
    <w:rsid w:val="2F1673D1"/>
    <w:rsid w:val="2F4729AA"/>
    <w:rsid w:val="30734A32"/>
    <w:rsid w:val="37010A7F"/>
    <w:rsid w:val="399B24AE"/>
    <w:rsid w:val="3B403C77"/>
    <w:rsid w:val="3DE177DD"/>
    <w:rsid w:val="42A668D7"/>
    <w:rsid w:val="43157E87"/>
    <w:rsid w:val="45C963B8"/>
    <w:rsid w:val="463B1FB6"/>
    <w:rsid w:val="48B2260A"/>
    <w:rsid w:val="4CEE4856"/>
    <w:rsid w:val="4DF45361"/>
    <w:rsid w:val="50A67D40"/>
    <w:rsid w:val="510353E7"/>
    <w:rsid w:val="53D270CB"/>
    <w:rsid w:val="549350EF"/>
    <w:rsid w:val="549433D5"/>
    <w:rsid w:val="54FD6E01"/>
    <w:rsid w:val="5530500D"/>
    <w:rsid w:val="58297006"/>
    <w:rsid w:val="58463D8D"/>
    <w:rsid w:val="58835CFD"/>
    <w:rsid w:val="593461A4"/>
    <w:rsid w:val="5A1C57AD"/>
    <w:rsid w:val="5C9070E4"/>
    <w:rsid w:val="5D3E6B5A"/>
    <w:rsid w:val="5DA23E33"/>
    <w:rsid w:val="5DE74906"/>
    <w:rsid w:val="5FCF11E9"/>
    <w:rsid w:val="60C323A4"/>
    <w:rsid w:val="61B17341"/>
    <w:rsid w:val="61B341FB"/>
    <w:rsid w:val="696571F2"/>
    <w:rsid w:val="6BB00EA3"/>
    <w:rsid w:val="72702DD6"/>
    <w:rsid w:val="7280777C"/>
    <w:rsid w:val="73E35FA8"/>
    <w:rsid w:val="74676862"/>
    <w:rsid w:val="75F8518C"/>
    <w:rsid w:val="77885C7D"/>
    <w:rsid w:val="797803F6"/>
    <w:rsid w:val="7C3F2B85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2019-08-27T05:11:00Z</cp:lastPrinted>
  <dcterms:modified xsi:type="dcterms:W3CDTF">2019-08-29T08:26:06Z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