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heme="majorEastAsia"/>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许昌市东城区综合执法局“东城区园林绿化</w:t>
      </w:r>
    </w:p>
    <w:p>
      <w:pPr>
        <w:jc w:val="center"/>
        <w:rPr>
          <w:rFonts w:ascii="宋体" w:hAnsi="宋体" w:eastAsia="宋体" w:cs="宋体"/>
          <w:b/>
          <w:bCs/>
          <w:sz w:val="44"/>
          <w:szCs w:val="44"/>
        </w:rPr>
      </w:pPr>
      <w:r>
        <w:rPr>
          <w:rFonts w:hint="eastAsia" w:ascii="宋体" w:hAnsi="宋体" w:eastAsia="宋体" w:cs="宋体"/>
          <w:b/>
          <w:bCs/>
          <w:sz w:val="44"/>
          <w:szCs w:val="44"/>
        </w:rPr>
        <w:t>管养项目（五、六、七标段）”</w:t>
      </w:r>
      <w:r>
        <w:rPr>
          <w:rFonts w:ascii="宋体" w:hAnsi="宋体" w:eastAsia="宋体" w:cs="宋体"/>
          <w:b/>
          <w:bCs/>
          <w:sz w:val="44"/>
          <w:szCs w:val="44"/>
        </w:rPr>
        <w:t xml:space="preserve"> </w:t>
      </w:r>
    </w:p>
    <w:p>
      <w:pPr>
        <w:rPr>
          <w:rFonts w:ascii="宋体" w:hAnsi="宋体" w:eastAsia="宋体"/>
          <w:u w:val="single"/>
        </w:rPr>
      </w:pPr>
    </w:p>
    <w:p>
      <w:pPr>
        <w:rPr>
          <w:rFonts w:ascii="宋体" w:hAnsi="宋体" w:eastAsia="宋体"/>
        </w:rPr>
      </w:pPr>
    </w:p>
    <w:p>
      <w:pPr>
        <w:jc w:val="center"/>
        <w:rPr>
          <w:rFonts w:ascii="宋体" w:hAnsi="宋体" w:eastAsia="宋体"/>
        </w:rPr>
      </w:pPr>
    </w:p>
    <w:p>
      <w:pPr>
        <w:jc w:val="cente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cstheme="majorEastAsia"/>
          <w:b/>
          <w:bCs/>
          <w:w w:val="90"/>
          <w:sz w:val="96"/>
          <w:szCs w:val="120"/>
        </w:rPr>
      </w:pPr>
      <w:r>
        <w:rPr>
          <w:rFonts w:hint="eastAsia" w:ascii="宋体" w:hAnsi="宋体" w:eastAsia="宋体" w:cstheme="majorEastAsia"/>
          <w:b/>
          <w:bCs/>
          <w:spacing w:val="86"/>
          <w:kern w:val="0"/>
          <w:sz w:val="96"/>
          <w:szCs w:val="120"/>
        </w:rPr>
        <w:t>招标文</w:t>
      </w:r>
      <w:r>
        <w:rPr>
          <w:rFonts w:hint="eastAsia" w:ascii="宋体" w:hAnsi="宋体" w:eastAsia="宋体" w:cstheme="majorEastAsia"/>
          <w:b/>
          <w:bCs/>
          <w:kern w:val="0"/>
          <w:sz w:val="96"/>
          <w:szCs w:val="120"/>
        </w:rPr>
        <w:t>件</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ind w:firstLine="1558" w:firstLineChars="485"/>
        <w:rPr>
          <w:rFonts w:ascii="宋体" w:hAnsi="宋体" w:eastAsia="宋体" w:cstheme="majorEastAsia"/>
          <w:b/>
          <w:bCs/>
          <w:sz w:val="32"/>
          <w:szCs w:val="36"/>
        </w:rPr>
      </w:pPr>
      <w:r>
        <w:rPr>
          <w:rFonts w:hint="eastAsia" w:ascii="宋体" w:hAnsi="宋体" w:eastAsia="宋体" w:cstheme="majorEastAsia"/>
          <w:b/>
          <w:bCs/>
          <w:sz w:val="32"/>
          <w:szCs w:val="36"/>
        </w:rPr>
        <w:t>项目编号：JZFCG-G2019093号</w:t>
      </w:r>
    </w:p>
    <w:p>
      <w:pPr>
        <w:ind w:firstLine="1558" w:firstLineChars="485"/>
        <w:rPr>
          <w:rFonts w:ascii="宋体" w:hAnsi="宋体" w:eastAsia="宋体" w:cstheme="majorEastAsia"/>
          <w:b/>
          <w:bCs/>
          <w:sz w:val="32"/>
          <w:szCs w:val="36"/>
        </w:rPr>
      </w:pPr>
      <w:r>
        <w:rPr>
          <w:rFonts w:hint="eastAsia" w:ascii="宋体" w:hAnsi="宋体" w:eastAsia="宋体" w:cstheme="majorEastAsia"/>
          <w:b/>
          <w:bCs/>
          <w:sz w:val="32"/>
          <w:szCs w:val="36"/>
        </w:rPr>
        <w:t>采购单位：</w:t>
      </w:r>
      <w:r>
        <w:rPr>
          <w:rFonts w:hint="eastAsia" w:ascii="宋体" w:hAnsi="宋体" w:eastAsia="宋体" w:cs="宋体"/>
          <w:b/>
          <w:bCs/>
          <w:sz w:val="32"/>
          <w:szCs w:val="36"/>
        </w:rPr>
        <w:t>许昌市东城区综合执法局</w:t>
      </w:r>
    </w:p>
    <w:p>
      <w:pPr>
        <w:ind w:firstLine="1558" w:firstLineChars="485"/>
        <w:rPr>
          <w:rFonts w:ascii="宋体" w:hAnsi="宋体" w:eastAsia="宋体" w:cstheme="majorEastAsia"/>
          <w:b/>
          <w:bCs/>
          <w:sz w:val="36"/>
          <w:szCs w:val="36"/>
        </w:rPr>
      </w:pPr>
      <w:r>
        <w:rPr>
          <w:rFonts w:hint="eastAsia" w:ascii="宋体" w:hAnsi="宋体" w:eastAsia="宋体" w:cstheme="majorEastAsia"/>
          <w:b/>
          <w:bCs/>
          <w:sz w:val="32"/>
          <w:szCs w:val="36"/>
        </w:rPr>
        <w:t xml:space="preserve">代理机构：河南省地标工程管理有限公司    </w:t>
      </w:r>
    </w:p>
    <w:p>
      <w:pPr>
        <w:jc w:val="center"/>
        <w:rPr>
          <w:rFonts w:ascii="宋体" w:hAnsi="宋体" w:eastAsia="宋体" w:cstheme="majorEastAsia"/>
          <w:b/>
          <w:bCs/>
          <w:sz w:val="36"/>
          <w:szCs w:val="36"/>
        </w:rPr>
      </w:pPr>
      <w:r>
        <w:rPr>
          <w:rFonts w:hint="eastAsia" w:ascii="宋体" w:hAnsi="宋体" w:eastAsia="宋体" w:cstheme="majorEastAsia"/>
          <w:b/>
          <w:bCs/>
          <w:sz w:val="36"/>
          <w:szCs w:val="36"/>
        </w:rPr>
        <w:t>二〇一九年八月</w:t>
      </w:r>
    </w:p>
    <w:p>
      <w:pPr>
        <w:jc w:val="center"/>
        <w:rPr>
          <w:rFonts w:ascii="宋体" w:hAnsi="宋体" w:eastAsia="宋体" w:cstheme="majorEastAsia"/>
          <w:b/>
          <w:bCs/>
          <w:sz w:val="36"/>
          <w:szCs w:val="36"/>
        </w:rPr>
      </w:pPr>
    </w:p>
    <w:p>
      <w:pPr>
        <w:jc w:val="center"/>
        <w:rPr>
          <w:rFonts w:ascii="宋体" w:hAnsi="宋体" w:eastAsia="宋体" w:cs="宋体"/>
          <w:b/>
          <w:kern w:val="0"/>
          <w:sz w:val="32"/>
          <w:szCs w:val="32"/>
        </w:rPr>
      </w:pPr>
      <w:r>
        <w:rPr>
          <w:rFonts w:hint="eastAsia" w:ascii="宋体" w:hAnsi="宋体" w:eastAsia="宋体" w:cs="宋体"/>
          <w:b/>
          <w:kern w:val="0"/>
          <w:sz w:val="32"/>
          <w:szCs w:val="32"/>
        </w:rPr>
        <w:t>招标文件目录</w:t>
      </w:r>
    </w:p>
    <w:p>
      <w:pPr>
        <w:pStyle w:val="18"/>
        <w:tabs>
          <w:tab w:val="right" w:leader="dot" w:pos="8789"/>
        </w:tabs>
        <w:rPr>
          <w:rFonts w:ascii="宋体" w:hAnsi="宋体" w:cstheme="minorBidi"/>
          <w:b w:val="0"/>
          <w:bCs w:val="0"/>
          <w:caps w:val="0"/>
          <w:sz w:val="28"/>
          <w:szCs w:val="28"/>
        </w:rPr>
      </w:pPr>
      <w:r>
        <w:rPr>
          <w:rFonts w:ascii="宋体" w:hAnsi="宋体" w:cstheme="majorEastAsia"/>
          <w:b w:val="0"/>
          <w:caps w:val="0"/>
          <w:sz w:val="28"/>
          <w:szCs w:val="28"/>
          <w:lang w:val="zh-CN"/>
        </w:rPr>
        <w:fldChar w:fldCharType="begin"/>
      </w:r>
      <w:r>
        <w:rPr>
          <w:rFonts w:ascii="宋体" w:hAnsi="宋体" w:cstheme="majorEastAsia"/>
          <w:b w:val="0"/>
          <w:caps w:val="0"/>
          <w:sz w:val="28"/>
          <w:szCs w:val="28"/>
          <w:lang w:val="zh-CN"/>
        </w:rPr>
        <w:instrText xml:space="preserve"> TOC \o "1-2" \h \z \u </w:instrText>
      </w:r>
      <w:r>
        <w:rPr>
          <w:rFonts w:ascii="宋体" w:hAnsi="宋体" w:cstheme="majorEastAsia"/>
          <w:b w:val="0"/>
          <w:caps w:val="0"/>
          <w:sz w:val="28"/>
          <w:szCs w:val="28"/>
          <w:lang w:val="zh-CN"/>
        </w:rPr>
        <w:fldChar w:fldCharType="separate"/>
      </w:r>
      <w:r>
        <w:fldChar w:fldCharType="begin"/>
      </w:r>
      <w:r>
        <w:instrText xml:space="preserve"> HYPERLINK \l "_Toc14299187" </w:instrText>
      </w:r>
      <w:r>
        <w:fldChar w:fldCharType="separate"/>
      </w:r>
      <w:r>
        <w:rPr>
          <w:rStyle w:val="28"/>
          <w:rFonts w:hint="eastAsia" w:ascii="宋体" w:hAnsi="宋体" w:cs="宋体"/>
          <w:b w:val="0"/>
          <w:color w:val="auto"/>
          <w:kern w:val="0"/>
          <w:sz w:val="28"/>
          <w:szCs w:val="28"/>
        </w:rPr>
        <w:t>第一章投标邀请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_Toc14299187 \h </w:instrText>
      </w:r>
      <w:r>
        <w:rPr>
          <w:rFonts w:ascii="宋体" w:hAnsi="宋体"/>
          <w:b w:val="0"/>
          <w:sz w:val="28"/>
          <w:szCs w:val="28"/>
        </w:rPr>
        <w:fldChar w:fldCharType="separate"/>
      </w:r>
      <w:r>
        <w:rPr>
          <w:rFonts w:ascii="宋体" w:hAnsi="宋体"/>
          <w:b w:val="0"/>
          <w:sz w:val="28"/>
          <w:szCs w:val="28"/>
        </w:rPr>
        <w:t>1</w:t>
      </w:r>
      <w:r>
        <w:rPr>
          <w:rFonts w:ascii="宋体" w:hAnsi="宋体"/>
          <w:b w:val="0"/>
          <w:sz w:val="28"/>
          <w:szCs w:val="28"/>
        </w:rPr>
        <w:fldChar w:fldCharType="end"/>
      </w:r>
      <w:r>
        <w:rPr>
          <w:rFonts w:ascii="宋体" w:hAnsi="宋体"/>
          <w:b w:val="0"/>
          <w:sz w:val="28"/>
          <w:szCs w:val="28"/>
        </w:rPr>
        <w:fldChar w:fldCharType="end"/>
      </w:r>
    </w:p>
    <w:p>
      <w:pPr>
        <w:pStyle w:val="18"/>
        <w:tabs>
          <w:tab w:val="right" w:leader="dot" w:pos="8789"/>
        </w:tabs>
        <w:rPr>
          <w:rFonts w:ascii="宋体" w:hAnsi="宋体" w:cstheme="minorBidi"/>
          <w:b w:val="0"/>
          <w:bCs w:val="0"/>
          <w:caps w:val="0"/>
          <w:sz w:val="28"/>
          <w:szCs w:val="28"/>
        </w:rPr>
      </w:pPr>
      <w:r>
        <w:fldChar w:fldCharType="begin"/>
      </w:r>
      <w:r>
        <w:instrText xml:space="preserve"> HYPERLINK \l "_Toc14299188" </w:instrText>
      </w:r>
      <w:r>
        <w:fldChar w:fldCharType="separate"/>
      </w:r>
      <w:r>
        <w:rPr>
          <w:rStyle w:val="28"/>
          <w:rFonts w:hint="eastAsia" w:ascii="宋体" w:hAnsi="宋体" w:cs="宋体"/>
          <w:b w:val="0"/>
          <w:color w:val="auto"/>
          <w:kern w:val="0"/>
          <w:sz w:val="28"/>
          <w:szCs w:val="28"/>
        </w:rPr>
        <w:t>第二章项目需求</w:t>
      </w:r>
      <w:r>
        <w:rPr>
          <w:rFonts w:ascii="宋体" w:hAnsi="宋体"/>
          <w:b w:val="0"/>
          <w:sz w:val="28"/>
          <w:szCs w:val="28"/>
        </w:rPr>
        <w:tab/>
      </w:r>
      <w:r>
        <w:rPr>
          <w:rFonts w:hint="eastAsia" w:ascii="宋体" w:hAnsi="宋体"/>
          <w:b w:val="0"/>
          <w:sz w:val="28"/>
          <w:szCs w:val="28"/>
        </w:rPr>
        <w:t>5</w:t>
      </w:r>
      <w:r>
        <w:rPr>
          <w:rFonts w:hint="eastAsia" w:ascii="宋体" w:hAnsi="宋体"/>
          <w:b w:val="0"/>
          <w:sz w:val="28"/>
          <w:szCs w:val="28"/>
        </w:rPr>
        <w:fldChar w:fldCharType="end"/>
      </w:r>
    </w:p>
    <w:p>
      <w:pPr>
        <w:pStyle w:val="18"/>
        <w:tabs>
          <w:tab w:val="right" w:leader="dot" w:pos="8789"/>
        </w:tabs>
        <w:rPr>
          <w:rFonts w:ascii="宋体" w:hAnsi="宋体" w:cstheme="minorBidi"/>
          <w:b w:val="0"/>
          <w:bCs w:val="0"/>
          <w:caps w:val="0"/>
          <w:sz w:val="28"/>
          <w:szCs w:val="28"/>
        </w:rPr>
      </w:pPr>
      <w:r>
        <w:fldChar w:fldCharType="begin"/>
      </w:r>
      <w:r>
        <w:instrText xml:space="preserve"> HYPERLINK \l "_Toc14299189" </w:instrText>
      </w:r>
      <w:r>
        <w:fldChar w:fldCharType="separate"/>
      </w:r>
      <w:r>
        <w:rPr>
          <w:rStyle w:val="28"/>
          <w:rFonts w:hint="eastAsia" w:ascii="宋体" w:hAnsi="宋体" w:cs="宋体"/>
          <w:b w:val="0"/>
          <w:color w:val="auto"/>
          <w:kern w:val="0"/>
          <w:sz w:val="28"/>
          <w:szCs w:val="28"/>
        </w:rPr>
        <w:t>第三章投标人须知前附表</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_Toc14299189 \h </w:instrText>
      </w:r>
      <w:r>
        <w:rPr>
          <w:rFonts w:ascii="宋体" w:hAnsi="宋体"/>
          <w:b w:val="0"/>
          <w:sz w:val="28"/>
          <w:szCs w:val="28"/>
        </w:rPr>
        <w:fldChar w:fldCharType="separate"/>
      </w:r>
      <w:r>
        <w:rPr>
          <w:rFonts w:ascii="宋体" w:hAnsi="宋体"/>
          <w:b w:val="0"/>
          <w:sz w:val="28"/>
          <w:szCs w:val="28"/>
        </w:rPr>
        <w:t>1</w:t>
      </w:r>
      <w:r>
        <w:rPr>
          <w:rFonts w:hint="eastAsia" w:ascii="宋体" w:hAnsi="宋体"/>
          <w:b w:val="0"/>
          <w:sz w:val="28"/>
          <w:szCs w:val="28"/>
        </w:rPr>
        <w:t>3</w:t>
      </w:r>
      <w:r>
        <w:rPr>
          <w:rFonts w:ascii="宋体" w:hAnsi="宋体"/>
          <w:b w:val="0"/>
          <w:sz w:val="28"/>
          <w:szCs w:val="28"/>
        </w:rPr>
        <w:fldChar w:fldCharType="end"/>
      </w:r>
      <w:r>
        <w:rPr>
          <w:rFonts w:ascii="宋体" w:hAnsi="宋体"/>
          <w:b w:val="0"/>
          <w:sz w:val="28"/>
          <w:szCs w:val="28"/>
        </w:rPr>
        <w:fldChar w:fldCharType="end"/>
      </w:r>
    </w:p>
    <w:p>
      <w:pPr>
        <w:pStyle w:val="18"/>
        <w:tabs>
          <w:tab w:val="right" w:leader="dot" w:pos="8789"/>
        </w:tabs>
        <w:rPr>
          <w:rFonts w:ascii="宋体" w:hAnsi="宋体" w:cstheme="minorBidi"/>
          <w:b w:val="0"/>
          <w:bCs w:val="0"/>
          <w:caps w:val="0"/>
          <w:sz w:val="28"/>
          <w:szCs w:val="28"/>
        </w:rPr>
      </w:pPr>
      <w:r>
        <w:fldChar w:fldCharType="begin"/>
      </w:r>
      <w:r>
        <w:instrText xml:space="preserve"> HYPERLINK \l "_Toc14299190" </w:instrText>
      </w:r>
      <w:r>
        <w:fldChar w:fldCharType="separate"/>
      </w:r>
      <w:r>
        <w:rPr>
          <w:rStyle w:val="28"/>
          <w:rFonts w:hint="eastAsia" w:ascii="宋体" w:hAnsi="宋体" w:cs="宋体"/>
          <w:b w:val="0"/>
          <w:color w:val="auto"/>
          <w:kern w:val="0"/>
          <w:sz w:val="28"/>
          <w:szCs w:val="28"/>
        </w:rPr>
        <w:t>第四章投标人须知</w:t>
      </w:r>
      <w:r>
        <w:rPr>
          <w:rFonts w:ascii="宋体" w:hAnsi="宋体"/>
          <w:b w:val="0"/>
          <w:sz w:val="28"/>
          <w:szCs w:val="28"/>
        </w:rPr>
        <w:tab/>
      </w:r>
      <w:r>
        <w:rPr>
          <w:rFonts w:hint="eastAsia" w:ascii="宋体" w:hAnsi="宋体"/>
          <w:b w:val="0"/>
          <w:sz w:val="28"/>
          <w:szCs w:val="28"/>
        </w:rPr>
        <w:t>18</w:t>
      </w:r>
      <w:r>
        <w:rPr>
          <w:rFonts w:hint="eastAsia" w:ascii="宋体" w:hAnsi="宋体"/>
          <w:b w:val="0"/>
          <w:sz w:val="28"/>
          <w:szCs w:val="28"/>
        </w:rPr>
        <w:fldChar w:fldCharType="end"/>
      </w:r>
    </w:p>
    <w:p>
      <w:pPr>
        <w:pStyle w:val="19"/>
        <w:tabs>
          <w:tab w:val="right" w:leader="dot" w:pos="8789"/>
        </w:tabs>
        <w:rPr>
          <w:rFonts w:ascii="宋体" w:hAnsi="宋体" w:eastAsia="宋体"/>
          <w:sz w:val="28"/>
          <w:szCs w:val="28"/>
        </w:rPr>
      </w:pPr>
      <w:r>
        <w:fldChar w:fldCharType="begin"/>
      </w:r>
      <w:r>
        <w:instrText xml:space="preserve"> HYPERLINK \l "_Toc14299191" </w:instrText>
      </w:r>
      <w:r>
        <w:fldChar w:fldCharType="separate"/>
      </w:r>
      <w:r>
        <w:rPr>
          <w:rStyle w:val="28"/>
          <w:rFonts w:hint="eastAsia" w:ascii="宋体" w:hAnsi="宋体" w:eastAsia="宋体" w:cs="宋体"/>
          <w:color w:val="auto"/>
          <w:kern w:val="0"/>
          <w:sz w:val="28"/>
          <w:szCs w:val="28"/>
        </w:rPr>
        <w:t>一、概念释义</w:t>
      </w:r>
      <w:r>
        <w:rPr>
          <w:rFonts w:ascii="宋体" w:hAnsi="宋体" w:eastAsia="宋体"/>
          <w:sz w:val="28"/>
          <w:szCs w:val="28"/>
        </w:rPr>
        <w:tab/>
      </w:r>
      <w:r>
        <w:rPr>
          <w:rFonts w:hint="eastAsia" w:ascii="宋体" w:hAnsi="宋体" w:eastAsia="宋体"/>
          <w:sz w:val="28"/>
          <w:szCs w:val="28"/>
        </w:rPr>
        <w:t>18</w:t>
      </w:r>
      <w:r>
        <w:rPr>
          <w:rFonts w:hint="eastAsia" w:ascii="宋体" w:hAnsi="宋体" w:eastAsia="宋体"/>
          <w:sz w:val="28"/>
          <w:szCs w:val="28"/>
        </w:rPr>
        <w:fldChar w:fldCharType="end"/>
      </w:r>
    </w:p>
    <w:p>
      <w:pPr>
        <w:pStyle w:val="19"/>
        <w:tabs>
          <w:tab w:val="right" w:leader="dot" w:pos="8789"/>
        </w:tabs>
        <w:rPr>
          <w:rFonts w:ascii="宋体" w:hAnsi="宋体" w:eastAsia="宋体"/>
          <w:sz w:val="28"/>
          <w:szCs w:val="28"/>
        </w:rPr>
      </w:pPr>
      <w:r>
        <w:fldChar w:fldCharType="begin"/>
      </w:r>
      <w:r>
        <w:instrText xml:space="preserve"> HYPERLINK \l "_Toc14299192" </w:instrText>
      </w:r>
      <w:r>
        <w:fldChar w:fldCharType="separate"/>
      </w:r>
      <w:r>
        <w:rPr>
          <w:rStyle w:val="28"/>
          <w:rFonts w:hint="eastAsia" w:ascii="宋体" w:hAnsi="宋体" w:eastAsia="宋体" w:cs="宋体"/>
          <w:color w:val="auto"/>
          <w:kern w:val="0"/>
          <w:sz w:val="28"/>
          <w:szCs w:val="28"/>
        </w:rPr>
        <w:t>二、招标文件说明</w:t>
      </w:r>
      <w:r>
        <w:rPr>
          <w:rFonts w:ascii="宋体" w:hAnsi="宋体" w:eastAsia="宋体"/>
          <w:sz w:val="28"/>
          <w:szCs w:val="28"/>
        </w:rPr>
        <w:tab/>
      </w:r>
      <w:r>
        <w:rPr>
          <w:rFonts w:hint="eastAsia" w:ascii="宋体" w:hAnsi="宋体" w:eastAsia="宋体"/>
          <w:sz w:val="28"/>
          <w:szCs w:val="28"/>
        </w:rPr>
        <w:t>21</w:t>
      </w:r>
      <w:r>
        <w:rPr>
          <w:rFonts w:hint="eastAsia" w:ascii="宋体" w:hAnsi="宋体" w:eastAsia="宋体"/>
          <w:sz w:val="28"/>
          <w:szCs w:val="28"/>
        </w:rPr>
        <w:fldChar w:fldCharType="end"/>
      </w:r>
    </w:p>
    <w:p>
      <w:pPr>
        <w:pStyle w:val="19"/>
        <w:tabs>
          <w:tab w:val="right" w:leader="dot" w:pos="8789"/>
        </w:tabs>
        <w:rPr>
          <w:rFonts w:ascii="宋体" w:hAnsi="宋体" w:eastAsia="宋体"/>
          <w:sz w:val="28"/>
          <w:szCs w:val="28"/>
        </w:rPr>
      </w:pPr>
      <w:r>
        <w:fldChar w:fldCharType="begin"/>
      </w:r>
      <w:r>
        <w:instrText xml:space="preserve"> HYPERLINK \l "_Toc14299193" </w:instrText>
      </w:r>
      <w:r>
        <w:fldChar w:fldCharType="separate"/>
      </w:r>
      <w:r>
        <w:rPr>
          <w:rStyle w:val="28"/>
          <w:rFonts w:hint="eastAsia" w:ascii="宋体" w:hAnsi="宋体" w:eastAsia="宋体" w:cs="宋体"/>
          <w:color w:val="auto"/>
          <w:kern w:val="0"/>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_Toc14299193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789"/>
        </w:tabs>
        <w:rPr>
          <w:rFonts w:ascii="宋体" w:hAnsi="宋体" w:eastAsia="宋体"/>
          <w:sz w:val="28"/>
          <w:szCs w:val="28"/>
        </w:rPr>
      </w:pPr>
      <w:r>
        <w:fldChar w:fldCharType="begin"/>
      </w:r>
      <w:r>
        <w:instrText xml:space="preserve"> HYPERLINK \l "_Toc14299194" </w:instrText>
      </w:r>
      <w:r>
        <w:fldChar w:fldCharType="separate"/>
      </w:r>
      <w:r>
        <w:rPr>
          <w:rStyle w:val="28"/>
          <w:rFonts w:hint="eastAsia" w:ascii="宋体" w:hAnsi="宋体" w:eastAsia="宋体" w:cs="宋体"/>
          <w:color w:val="auto"/>
          <w:kern w:val="0"/>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_Toc14299194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789"/>
        </w:tabs>
        <w:rPr>
          <w:rFonts w:ascii="宋体" w:hAnsi="宋体" w:eastAsia="宋体"/>
          <w:sz w:val="28"/>
          <w:szCs w:val="28"/>
        </w:rPr>
      </w:pPr>
      <w:r>
        <w:fldChar w:fldCharType="begin"/>
      </w:r>
      <w:r>
        <w:instrText xml:space="preserve"> HYPERLINK \l "_Toc14299195" </w:instrText>
      </w:r>
      <w:r>
        <w:fldChar w:fldCharType="separate"/>
      </w:r>
      <w:r>
        <w:rPr>
          <w:rStyle w:val="28"/>
          <w:rFonts w:hint="eastAsia" w:ascii="宋体" w:hAnsi="宋体" w:eastAsia="宋体" w:cs="宋体"/>
          <w:color w:val="auto"/>
          <w:kern w:val="0"/>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_Toc14299195 \h </w:instrText>
      </w:r>
      <w:r>
        <w:rPr>
          <w:rFonts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789"/>
        </w:tabs>
        <w:rPr>
          <w:rFonts w:ascii="宋体" w:hAnsi="宋体" w:eastAsia="宋体"/>
          <w:sz w:val="28"/>
          <w:szCs w:val="28"/>
        </w:rPr>
      </w:pPr>
      <w:r>
        <w:fldChar w:fldCharType="begin"/>
      </w:r>
      <w:r>
        <w:instrText xml:space="preserve"> HYPERLINK \l "_Toc14299196" </w:instrText>
      </w:r>
      <w:r>
        <w:fldChar w:fldCharType="separate"/>
      </w:r>
      <w:r>
        <w:rPr>
          <w:rStyle w:val="28"/>
          <w:rFonts w:hint="eastAsia" w:ascii="宋体" w:hAnsi="宋体" w:eastAsia="宋体" w:cs="宋体"/>
          <w:color w:val="auto"/>
          <w:kern w:val="0"/>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_Toc14299196 \h </w:instrText>
      </w:r>
      <w:r>
        <w:rPr>
          <w:rFonts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18"/>
        <w:tabs>
          <w:tab w:val="right" w:leader="dot" w:pos="8789"/>
        </w:tabs>
        <w:rPr>
          <w:rFonts w:ascii="宋体" w:hAnsi="宋体" w:cstheme="minorBidi"/>
          <w:b w:val="0"/>
          <w:bCs w:val="0"/>
          <w:caps w:val="0"/>
          <w:sz w:val="28"/>
          <w:szCs w:val="28"/>
        </w:rPr>
      </w:pPr>
      <w:r>
        <w:fldChar w:fldCharType="begin"/>
      </w:r>
      <w:r>
        <w:instrText xml:space="preserve"> HYPERLINK \l "_Toc14299197" </w:instrText>
      </w:r>
      <w:r>
        <w:fldChar w:fldCharType="separate"/>
      </w:r>
      <w:r>
        <w:rPr>
          <w:rStyle w:val="28"/>
          <w:rFonts w:hint="eastAsia" w:ascii="宋体" w:hAnsi="宋体" w:cs="宋体"/>
          <w:b w:val="0"/>
          <w:color w:val="auto"/>
          <w:kern w:val="0"/>
          <w:sz w:val="28"/>
          <w:szCs w:val="28"/>
        </w:rPr>
        <w:t>第五章政府采购政策功能</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_Toc14299197 \h </w:instrText>
      </w:r>
      <w:r>
        <w:rPr>
          <w:rFonts w:ascii="宋体" w:hAnsi="宋体"/>
          <w:b w:val="0"/>
          <w:sz w:val="28"/>
          <w:szCs w:val="28"/>
        </w:rPr>
        <w:fldChar w:fldCharType="separate"/>
      </w:r>
      <w:r>
        <w:rPr>
          <w:rFonts w:ascii="宋体" w:hAnsi="宋体"/>
          <w:b w:val="0"/>
          <w:sz w:val="28"/>
          <w:szCs w:val="28"/>
        </w:rPr>
        <w:t>3</w:t>
      </w:r>
      <w:r>
        <w:rPr>
          <w:rFonts w:hint="eastAsia" w:ascii="宋体" w:hAnsi="宋体"/>
          <w:b w:val="0"/>
          <w:sz w:val="28"/>
          <w:szCs w:val="28"/>
        </w:rPr>
        <w:t>5</w:t>
      </w:r>
      <w:r>
        <w:rPr>
          <w:rFonts w:ascii="宋体" w:hAnsi="宋体"/>
          <w:b w:val="0"/>
          <w:sz w:val="28"/>
          <w:szCs w:val="28"/>
        </w:rPr>
        <w:fldChar w:fldCharType="end"/>
      </w:r>
      <w:r>
        <w:rPr>
          <w:rFonts w:ascii="宋体" w:hAnsi="宋体"/>
          <w:b w:val="0"/>
          <w:sz w:val="28"/>
          <w:szCs w:val="28"/>
        </w:rPr>
        <w:fldChar w:fldCharType="end"/>
      </w:r>
    </w:p>
    <w:p>
      <w:pPr>
        <w:pStyle w:val="18"/>
        <w:tabs>
          <w:tab w:val="right" w:leader="dot" w:pos="8789"/>
        </w:tabs>
        <w:rPr>
          <w:rFonts w:ascii="宋体" w:hAnsi="宋体" w:cstheme="minorBidi"/>
          <w:b w:val="0"/>
          <w:bCs w:val="0"/>
          <w:caps w:val="0"/>
          <w:sz w:val="28"/>
          <w:szCs w:val="28"/>
        </w:rPr>
      </w:pPr>
      <w:r>
        <w:fldChar w:fldCharType="begin"/>
      </w:r>
      <w:r>
        <w:instrText xml:space="preserve"> HYPERLINK \l "_Toc14299198" </w:instrText>
      </w:r>
      <w:r>
        <w:fldChar w:fldCharType="separate"/>
      </w:r>
      <w:r>
        <w:rPr>
          <w:rStyle w:val="28"/>
          <w:rFonts w:hint="eastAsia" w:ascii="宋体" w:hAnsi="宋体" w:cs="宋体"/>
          <w:b w:val="0"/>
          <w:color w:val="auto"/>
          <w:kern w:val="0"/>
          <w:sz w:val="28"/>
          <w:szCs w:val="28"/>
        </w:rPr>
        <w:t>第六章资格审查与评标</w:t>
      </w:r>
      <w:r>
        <w:rPr>
          <w:rFonts w:ascii="宋体" w:hAnsi="宋体"/>
          <w:b w:val="0"/>
          <w:sz w:val="28"/>
          <w:szCs w:val="28"/>
        </w:rPr>
        <w:tab/>
      </w:r>
      <w:r>
        <w:rPr>
          <w:rFonts w:hint="eastAsia" w:ascii="宋体" w:hAnsi="宋体"/>
          <w:b w:val="0"/>
          <w:sz w:val="28"/>
          <w:szCs w:val="28"/>
        </w:rPr>
        <w:t>37</w:t>
      </w:r>
      <w:r>
        <w:rPr>
          <w:rFonts w:hint="eastAsia" w:ascii="宋体" w:hAnsi="宋体"/>
          <w:b w:val="0"/>
          <w:sz w:val="28"/>
          <w:szCs w:val="28"/>
        </w:rPr>
        <w:fldChar w:fldCharType="end"/>
      </w:r>
    </w:p>
    <w:p>
      <w:pPr>
        <w:pStyle w:val="18"/>
        <w:tabs>
          <w:tab w:val="right" w:leader="dot" w:pos="8789"/>
        </w:tabs>
        <w:rPr>
          <w:rFonts w:ascii="宋体" w:hAnsi="宋体" w:cstheme="minorBidi"/>
          <w:b w:val="0"/>
          <w:bCs w:val="0"/>
          <w:caps w:val="0"/>
          <w:sz w:val="28"/>
          <w:szCs w:val="28"/>
        </w:rPr>
      </w:pPr>
      <w:r>
        <w:fldChar w:fldCharType="begin"/>
      </w:r>
      <w:r>
        <w:instrText xml:space="preserve"> HYPERLINK \l "_Toc14299199" </w:instrText>
      </w:r>
      <w:r>
        <w:fldChar w:fldCharType="separate"/>
      </w:r>
      <w:r>
        <w:rPr>
          <w:rStyle w:val="28"/>
          <w:rFonts w:hint="eastAsia" w:ascii="宋体" w:hAnsi="宋体" w:cs="宋体"/>
          <w:b w:val="0"/>
          <w:color w:val="auto"/>
          <w:kern w:val="0"/>
          <w:sz w:val="28"/>
          <w:szCs w:val="28"/>
        </w:rPr>
        <w:t>第七章合同条款及格式</w:t>
      </w:r>
      <w:r>
        <w:rPr>
          <w:rFonts w:ascii="宋体" w:hAnsi="宋体"/>
          <w:b w:val="0"/>
          <w:sz w:val="28"/>
          <w:szCs w:val="28"/>
        </w:rPr>
        <w:tab/>
      </w:r>
      <w:r>
        <w:rPr>
          <w:rFonts w:hint="eastAsia" w:ascii="宋体" w:hAnsi="宋体"/>
          <w:b w:val="0"/>
          <w:sz w:val="28"/>
          <w:szCs w:val="28"/>
        </w:rPr>
        <w:t>47</w:t>
      </w:r>
      <w:r>
        <w:rPr>
          <w:rFonts w:hint="eastAsia" w:ascii="宋体" w:hAnsi="宋体"/>
          <w:b w:val="0"/>
          <w:sz w:val="28"/>
          <w:szCs w:val="28"/>
        </w:rPr>
        <w:fldChar w:fldCharType="end"/>
      </w:r>
    </w:p>
    <w:p>
      <w:pPr>
        <w:pStyle w:val="18"/>
        <w:tabs>
          <w:tab w:val="right" w:leader="dot" w:pos="8789"/>
        </w:tabs>
        <w:rPr>
          <w:rFonts w:asciiTheme="minorHAnsi" w:hAnsiTheme="minorHAnsi" w:eastAsiaTheme="minorEastAsia" w:cstheme="minorBidi"/>
          <w:b w:val="0"/>
          <w:bCs w:val="0"/>
          <w:caps w:val="0"/>
          <w:sz w:val="21"/>
          <w:szCs w:val="22"/>
        </w:rPr>
      </w:pPr>
      <w:r>
        <w:fldChar w:fldCharType="begin"/>
      </w:r>
      <w:r>
        <w:instrText xml:space="preserve"> HYPERLINK \l "_Toc14299200" </w:instrText>
      </w:r>
      <w:r>
        <w:fldChar w:fldCharType="separate"/>
      </w:r>
      <w:r>
        <w:rPr>
          <w:rStyle w:val="28"/>
          <w:rFonts w:hint="eastAsia" w:ascii="宋体" w:hAnsi="宋体" w:cs="宋体"/>
          <w:b w:val="0"/>
          <w:color w:val="auto"/>
          <w:kern w:val="0"/>
          <w:sz w:val="28"/>
          <w:szCs w:val="28"/>
        </w:rPr>
        <w:t>第八章投标文件有关格式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_Toc14299200 \h </w:instrText>
      </w:r>
      <w:r>
        <w:rPr>
          <w:rFonts w:ascii="宋体" w:hAnsi="宋体"/>
          <w:b w:val="0"/>
          <w:sz w:val="28"/>
          <w:szCs w:val="28"/>
        </w:rPr>
        <w:fldChar w:fldCharType="separate"/>
      </w:r>
      <w:r>
        <w:rPr>
          <w:rFonts w:ascii="宋体" w:hAnsi="宋体"/>
          <w:b w:val="0"/>
          <w:sz w:val="28"/>
          <w:szCs w:val="28"/>
        </w:rPr>
        <w:t>5</w:t>
      </w:r>
      <w:r>
        <w:rPr>
          <w:rFonts w:hint="eastAsia" w:ascii="宋体" w:hAnsi="宋体"/>
          <w:b w:val="0"/>
          <w:sz w:val="28"/>
          <w:szCs w:val="28"/>
        </w:rPr>
        <w:t>2</w:t>
      </w:r>
      <w:r>
        <w:rPr>
          <w:rFonts w:ascii="宋体" w:hAnsi="宋体"/>
          <w:b w:val="0"/>
          <w:sz w:val="28"/>
          <w:szCs w:val="28"/>
        </w:rPr>
        <w:fldChar w:fldCharType="end"/>
      </w:r>
      <w:r>
        <w:rPr>
          <w:rFonts w:ascii="宋体" w:hAnsi="宋体"/>
          <w:b w:val="0"/>
          <w:sz w:val="28"/>
          <w:szCs w:val="28"/>
        </w:rPr>
        <w:fldChar w:fldCharType="end"/>
      </w:r>
    </w:p>
    <w:p>
      <w:pPr>
        <w:autoSpaceDE w:val="0"/>
        <w:autoSpaceDN w:val="0"/>
        <w:adjustRightInd w:val="0"/>
        <w:spacing w:line="700" w:lineRule="exact"/>
        <w:rPr>
          <w:rFonts w:ascii="宋体" w:hAnsi="宋体" w:eastAsia="宋体" w:cstheme="majorEastAsia"/>
          <w:bCs/>
          <w:sz w:val="32"/>
          <w:szCs w:val="32"/>
          <w:lang w:val="zh-CN"/>
        </w:rPr>
      </w:pPr>
      <w:r>
        <w:rPr>
          <w:rFonts w:ascii="宋体" w:hAnsi="宋体" w:eastAsia="宋体" w:cstheme="majorEastAsia"/>
          <w:b/>
          <w:caps/>
          <w:sz w:val="28"/>
          <w:szCs w:val="28"/>
          <w:lang w:val="zh-CN"/>
        </w:rPr>
        <w:fldChar w:fldCharType="end"/>
      </w:r>
    </w:p>
    <w:p>
      <w:pPr>
        <w:jc w:val="left"/>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r>
        <w:rPr>
          <w:rFonts w:ascii="宋体" w:hAnsi="宋体" w:eastAsia="宋体" w:cstheme="majorEastAsia"/>
          <w:b/>
          <w:kern w:val="0"/>
          <w:sz w:val="32"/>
          <w:szCs w:val="32"/>
        </w:rPr>
        <w:br w:type="page"/>
      </w:r>
    </w:p>
    <w:p>
      <w:pPr>
        <w:spacing w:beforeLines="50" w:afterLines="50"/>
        <w:jc w:val="center"/>
        <w:outlineLvl w:val="0"/>
        <w:rPr>
          <w:rFonts w:ascii="宋体" w:hAnsi="宋体" w:eastAsia="宋体" w:cs="宋体"/>
          <w:b/>
          <w:kern w:val="0"/>
          <w:sz w:val="32"/>
          <w:szCs w:val="32"/>
        </w:rPr>
      </w:pPr>
      <w:bookmarkStart w:id="0" w:name="_Toc14299032"/>
      <w:bookmarkStart w:id="1" w:name="_Toc14299187"/>
      <w:r>
        <w:rPr>
          <w:rFonts w:hint="eastAsia" w:ascii="宋体" w:hAnsi="宋体" w:eastAsia="宋体" w:cs="宋体"/>
          <w:b/>
          <w:kern w:val="0"/>
          <w:sz w:val="32"/>
          <w:szCs w:val="32"/>
        </w:rPr>
        <w:t>第一章 投标邀请</w:t>
      </w:r>
      <w:bookmarkEnd w:id="0"/>
      <w:bookmarkEnd w:id="1"/>
    </w:p>
    <w:p>
      <w:pPr>
        <w:pStyle w:val="21"/>
        <w:shd w:val="clear" w:color="auto" w:fill="FFFFFF"/>
        <w:spacing w:line="360" w:lineRule="auto"/>
        <w:ind w:firstLine="424" w:firstLineChars="176"/>
        <w:contextualSpacing/>
        <w:jc w:val="left"/>
        <w:rPr>
          <w:rFonts w:ascii="宋体" w:hAnsi="宋体" w:cs="黑体"/>
          <w:b/>
          <w:bCs/>
        </w:rPr>
      </w:pPr>
      <w:r>
        <w:rPr>
          <w:rFonts w:hint="eastAsia" w:ascii="宋体" w:hAnsi="宋体" w:cs="黑体"/>
          <w:b/>
          <w:bCs/>
          <w:shd w:val="clear" w:color="auto" w:fill="FFFFFF"/>
        </w:rPr>
        <w:t>一、项目基本情况</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（一）项目名称：</w:t>
      </w:r>
      <w:r>
        <w:rPr>
          <w:rFonts w:hint="eastAsia" w:ascii="宋体" w:hAnsi="宋体" w:cs="仿宋_GB2312"/>
          <w:shd w:val="clear" w:color="auto" w:fill="FFFFFF"/>
        </w:rPr>
        <w:t>东城区园林绿化管养项目（五、六、七标段）</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（二）项目编号：JZFCG-G2019093号</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（三）采购方式：公开招标</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（四）项目主要内容、数量及要求：本项目共划分为十个标段，本次招标为五、六、七标段，分别为以下路段及区域提供绿化管养服务：</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1、五标段</w:t>
      </w:r>
    </w:p>
    <w:p>
      <w:pPr>
        <w:spacing w:line="480" w:lineRule="exact"/>
        <w:ind w:firstLine="480" w:firstLineChars="200"/>
        <w:rPr>
          <w:rFonts w:ascii="宋体" w:hAnsi="宋体" w:eastAsia="宋体" w:cs="仿宋_GB2312"/>
          <w:sz w:val="24"/>
          <w:szCs w:val="24"/>
          <w:shd w:val="clear" w:color="auto" w:fill="FFFFFF"/>
        </w:rPr>
      </w:pPr>
      <w:r>
        <w:rPr>
          <w:rFonts w:hint="eastAsia" w:ascii="宋体" w:hAnsi="宋体" w:eastAsia="宋体" w:cs="宋体"/>
          <w:sz w:val="24"/>
          <w:szCs w:val="24"/>
          <w:shd w:val="clear" w:color="auto" w:fill="FFFFFF"/>
        </w:rPr>
        <w:t>管养范围：包括</w:t>
      </w:r>
      <w:r>
        <w:rPr>
          <w:rFonts w:hint="eastAsia" w:ascii="宋体" w:hAnsi="宋体" w:eastAsia="宋体" w:cs="仿宋_GB2312"/>
          <w:sz w:val="24"/>
          <w:szCs w:val="24"/>
          <w:shd w:val="clear" w:color="auto" w:fill="FFFFFF"/>
        </w:rPr>
        <w:t>龙兴路（八龙路-魏文路）、青梅路（龙兴路—魏都区界）、竹林路（龙兴路—魏都区界）、科技广场、天宝河游园（八龙路-魏武大道）、质检中心门前、陈庄街（文峰路—魏武大道）、八龙柏游园（文峰路—八龙路）、悦民公园（魏武大道—许州路）、文峰路（潩河路—魏都区界）、待移交绿地（包括中央公园南、北）。</w:t>
      </w:r>
    </w:p>
    <w:p>
      <w:pPr>
        <w:pStyle w:val="55"/>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shd w:val="clear" w:color="auto" w:fill="FFFFFF"/>
        </w:rPr>
        <w:t>管养面积：一级管养面积299773㎡，二级管养面积54689㎡，三级管养面积1200㎡。</w:t>
      </w:r>
      <w:r>
        <w:rPr>
          <w:rFonts w:hint="eastAsia" w:ascii="宋体" w:hAnsi="宋体" w:cs="仿宋_GB2312"/>
          <w:shd w:val="clear" w:color="auto" w:fill="FFFFFF"/>
        </w:rPr>
        <w:t>配备保安8人</w:t>
      </w:r>
      <w:r>
        <w:rPr>
          <w:rFonts w:hint="eastAsia" w:ascii="宋体" w:hAnsi="宋体" w:cs="宋体"/>
          <w:shd w:val="clear" w:color="auto" w:fill="FFFFFF"/>
        </w:rPr>
        <w:t>。</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2、六标段</w:t>
      </w:r>
    </w:p>
    <w:p>
      <w:pPr>
        <w:spacing w:line="480" w:lineRule="exact"/>
        <w:ind w:firstLine="480" w:firstLineChars="200"/>
        <w:rPr>
          <w:rFonts w:ascii="宋体" w:hAnsi="宋体" w:eastAsia="宋体" w:cs="仿宋_GB2312"/>
          <w:sz w:val="24"/>
          <w:szCs w:val="24"/>
          <w:shd w:val="clear" w:color="auto" w:fill="FFFFFF"/>
        </w:rPr>
      </w:pPr>
      <w:r>
        <w:rPr>
          <w:rFonts w:hint="eastAsia" w:ascii="宋体" w:hAnsi="宋体" w:eastAsia="宋体" w:cs="宋体"/>
          <w:sz w:val="24"/>
          <w:szCs w:val="24"/>
          <w:shd w:val="clear" w:color="auto" w:fill="FFFFFF"/>
        </w:rPr>
        <w:t>管养范围：包括</w:t>
      </w:r>
      <w:r>
        <w:rPr>
          <w:rFonts w:hint="eastAsia" w:ascii="宋体" w:hAnsi="宋体" w:eastAsia="宋体" w:cs="仿宋_GB2312"/>
          <w:sz w:val="24"/>
          <w:szCs w:val="24"/>
          <w:shd w:val="clear" w:color="auto" w:fill="FFFFFF"/>
        </w:rPr>
        <w:t>学院路（建安区界—魏都区界）、天宝路（文峰路—许州路）、莲城大道（学院路—高速公路桥）、迎宾园（高速下路口）、许州路（莲城大道—永昌路）、待移交道路（包括许鄢快速通道（高速桥—建安区界））。</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管养面积：一级管养面积345732㎡，二级管养面积46377㎡。</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3、七标段</w:t>
      </w:r>
    </w:p>
    <w:p>
      <w:pPr>
        <w:spacing w:line="480" w:lineRule="exact"/>
        <w:ind w:firstLine="720" w:firstLineChars="300"/>
        <w:rPr>
          <w:rFonts w:ascii="宋体" w:hAnsi="宋体" w:eastAsia="宋体" w:cs="仿宋_GB2312"/>
          <w:sz w:val="24"/>
          <w:szCs w:val="24"/>
          <w:shd w:val="clear" w:color="auto" w:fill="FFFFFF"/>
        </w:rPr>
      </w:pPr>
      <w:r>
        <w:rPr>
          <w:rFonts w:hint="eastAsia" w:ascii="宋体" w:hAnsi="宋体" w:eastAsia="宋体" w:cs="宋体"/>
          <w:sz w:val="24"/>
          <w:szCs w:val="24"/>
          <w:shd w:val="clear" w:color="auto" w:fill="FFFFFF"/>
        </w:rPr>
        <w:t>管养范围：包括</w:t>
      </w:r>
      <w:r>
        <w:rPr>
          <w:rFonts w:hint="eastAsia" w:ascii="宋体" w:hAnsi="宋体" w:eastAsia="宋体" w:cs="仿宋_GB2312"/>
          <w:sz w:val="24"/>
          <w:szCs w:val="24"/>
          <w:shd w:val="clear" w:color="auto" w:fill="FFFFFF"/>
        </w:rPr>
        <w:t>文轩路（魏文路—学院路）、南海街（青梅路—许州路）、魏武大道（枫林街—魏都区界）、东苑街（魏武大道—许州路）、景福路（新东街—花都大道）、紫云路（新兴路—八一路）、钧都路（花都大道—八一路）、待移交道路（包括景福路（新东街—福田街）、福田街（魏武大道—景福路）、礼贤路（陈庄街—南海街）、康胜街（魏武大道—许州路））。</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管养面积：一级管养面积265422㎡，二级管养面积118540㎡，三级管养面积14159㎡。</w:t>
      </w:r>
    </w:p>
    <w:p>
      <w:pPr>
        <w:pStyle w:val="55"/>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（五）预算金额：</w:t>
      </w:r>
    </w:p>
    <w:p>
      <w:pPr>
        <w:pStyle w:val="55"/>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东城区园林绿化管养招标控制价（即最高限价）为：一级道路及游园绿地6.2元/㎡·年；二级道路及游园绿地5.1元/㎡·年；三级道路及游园绿地4.0元/㎡·年；保安配备2533元/人·月（包括单位交纳养老保险、医疗保险、工伤保险、生育保险、失业保险等）。</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（六）</w:t>
      </w:r>
      <w:r>
        <w:rPr>
          <w:rFonts w:hint="eastAsia" w:ascii="宋体" w:hAnsi="宋体" w:cs="仿宋_GB2312"/>
          <w:shd w:val="clear" w:color="auto" w:fill="FFFFFF"/>
        </w:rPr>
        <w:t>交付（服务、完工）时间</w:t>
      </w:r>
      <w:r>
        <w:rPr>
          <w:rFonts w:hint="eastAsia" w:ascii="宋体" w:hAnsi="宋体" w:cs="宋体"/>
          <w:shd w:val="clear" w:color="auto" w:fill="FFFFFF"/>
        </w:rPr>
        <w:t>：三年</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（七）</w:t>
      </w:r>
      <w:r>
        <w:rPr>
          <w:rFonts w:hint="eastAsia" w:ascii="宋体" w:hAnsi="宋体" w:cs="仿宋_GB2312"/>
          <w:shd w:val="clear" w:color="auto" w:fill="FFFFFF"/>
        </w:rPr>
        <w:t>交付（服务、完工）地点</w:t>
      </w:r>
      <w:r>
        <w:rPr>
          <w:rFonts w:hint="eastAsia" w:ascii="宋体" w:hAnsi="宋体" w:cs="宋体"/>
          <w:shd w:val="clear" w:color="auto" w:fill="FFFFFF"/>
        </w:rPr>
        <w:t>：许昌市东城区</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（八）分包：不允许</w:t>
      </w:r>
    </w:p>
    <w:p>
      <w:pPr>
        <w:pStyle w:val="21"/>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二、需要落实的政府采购政策</w:t>
      </w:r>
    </w:p>
    <w:p>
      <w:pPr>
        <w:pStyle w:val="21"/>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本项目落实中小微型企业、监狱企业、残疾人福利性单位扶持等相关政府采购政策。</w:t>
      </w:r>
    </w:p>
    <w:p>
      <w:pPr>
        <w:pStyle w:val="21"/>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三、投标人资格要求</w:t>
      </w:r>
    </w:p>
    <w:p>
      <w:pPr>
        <w:pStyle w:val="21"/>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w:t>
      </w:r>
      <w:r>
        <w:rPr>
          <w:rFonts w:hint="eastAsia" w:ascii="宋体" w:hAnsi="宋体" w:cs="宋体"/>
          <w:kern w:val="0"/>
        </w:rPr>
        <w:t>符合《中华人民共和国政府采购法》第二十二条之规定</w:t>
      </w:r>
      <w:r>
        <w:rPr>
          <w:rFonts w:hint="eastAsia" w:ascii="宋体" w:hAnsi="宋体" w:cs="宋体"/>
          <w:kern w:val="0"/>
          <w:lang w:val="zh-CN"/>
        </w:rPr>
        <w:t>；</w:t>
      </w:r>
    </w:p>
    <w:p>
      <w:pPr>
        <w:pStyle w:val="21"/>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仿宋_GB2312"/>
          <w:shd w:val="clear" w:color="auto" w:fill="FFFFFF"/>
        </w:rPr>
        <w:t>未被列入“信用中国”网站</w:t>
      </w:r>
      <w:r>
        <w:rPr>
          <w:rFonts w:ascii="宋体" w:hAnsi="宋体" w:cs="仿宋_GB2312"/>
          <w:shd w:val="clear" w:color="auto" w:fill="FFFFFF"/>
        </w:rPr>
        <w:t>(</w:t>
      </w:r>
      <w:r>
        <w:fldChar w:fldCharType="begin"/>
      </w:r>
      <w:r>
        <w:instrText xml:space="preserve"> HYPERLINK "http://www.creditchina.gov.cn" </w:instrText>
      </w:r>
      <w:r>
        <w:fldChar w:fldCharType="separate"/>
      </w:r>
      <w:r>
        <w:rPr>
          <w:rStyle w:val="28"/>
          <w:rFonts w:ascii="宋体" w:hAnsi="宋体" w:cs="仿宋_GB2312"/>
          <w:color w:val="auto"/>
          <w:u w:val="none"/>
          <w:shd w:val="clear" w:color="auto" w:fill="FFFFFF"/>
        </w:rPr>
        <w:t>www.creditchina.gov.cn</w:t>
      </w:r>
      <w:r>
        <w:rPr>
          <w:rStyle w:val="28"/>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t>
      </w:r>
      <w:r>
        <w:fldChar w:fldCharType="begin"/>
      </w:r>
      <w:r>
        <w:instrText xml:space="preserve"> HYPERLINK "http://www.ccgp.gov.cn" </w:instrText>
      </w:r>
      <w:r>
        <w:fldChar w:fldCharType="separate"/>
      </w:r>
      <w:r>
        <w:rPr>
          <w:rStyle w:val="28"/>
          <w:rFonts w:ascii="宋体" w:hAnsi="宋体" w:cs="仿宋_GB2312"/>
          <w:color w:val="auto"/>
          <w:u w:val="none"/>
          <w:shd w:val="clear" w:color="auto" w:fill="FFFFFF"/>
        </w:rPr>
        <w:t>www.ccgp.gov.cn</w:t>
      </w:r>
      <w:r>
        <w:rPr>
          <w:rStyle w:val="28"/>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8"/>
          <w:rFonts w:ascii="宋体" w:hAnsi="宋体" w:cs="仿宋_GB2312"/>
          <w:color w:val="auto"/>
          <w:u w:val="none"/>
          <w:shd w:val="clear" w:color="auto" w:fill="FFFFFF"/>
        </w:rPr>
        <w:t>www.gsxt.gov.cn</w:t>
      </w:r>
      <w:r>
        <w:rPr>
          <w:rStyle w:val="28"/>
          <w:rFonts w:ascii="宋体" w:hAnsi="宋体" w:cs="仿宋_GB2312"/>
          <w:color w:val="auto"/>
          <w:u w:val="none"/>
          <w:shd w:val="clear" w:color="auto" w:fill="FFFFFF"/>
        </w:rPr>
        <w:fldChar w:fldCharType="end"/>
      </w:r>
      <w:r>
        <w:rPr>
          <w:rFonts w:hint="eastAsia" w:ascii="宋体" w:hAnsi="宋体" w:cs="仿宋_GB2312"/>
          <w:shd w:val="clear" w:color="auto" w:fill="FFFFFF"/>
        </w:rPr>
        <w:t>）严重违法失信企业名单（黑名单）的投标人；</w:t>
      </w:r>
    </w:p>
    <w:p>
      <w:pPr>
        <w:pStyle w:val="21"/>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（三）企业营业执照经营范围须包括园林绿化管养、绿化工程或绿化相关业务范围。</w:t>
      </w:r>
    </w:p>
    <w:p>
      <w:pPr>
        <w:pStyle w:val="21"/>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仿宋_GB2312"/>
          <w:shd w:val="clear" w:color="auto" w:fill="FFFFFF"/>
        </w:rPr>
        <w:t>四）本次招标不接受联合体投标。</w:t>
      </w:r>
    </w:p>
    <w:p>
      <w:pPr>
        <w:pStyle w:val="21"/>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四、招标文件的获取</w:t>
      </w:r>
    </w:p>
    <w:p>
      <w:pPr>
        <w:pStyle w:val="21"/>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 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28"/>
          <w:rFonts w:hint="eastAsia" w:ascii="宋体" w:hAnsi="宋体" w:cs="仿宋_GB2312"/>
          <w:color w:val="auto"/>
          <w:u w:val="none"/>
          <w:shd w:val="clear" w:color="auto" w:fill="FFFFFF"/>
        </w:rPr>
        <w:t>http://221.14.6.70:8088/ggzy/eps/public/RegistAllJcxx.html</w:t>
      </w:r>
      <w:r>
        <w:rPr>
          <w:rStyle w:val="28"/>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1"/>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 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28"/>
          <w:rFonts w:hint="eastAsia" w:ascii="宋体" w:hAnsi="宋体" w:cs="仿宋_GB2312"/>
          <w:color w:val="auto"/>
          <w:u w:val="none"/>
          <w:shd w:val="clear" w:color="auto" w:fill="FFFFFF"/>
        </w:rPr>
        <w:t>http://221.14.6.70:8088/ggzy/</w:t>
      </w:r>
      <w:r>
        <w:rPr>
          <w:rStyle w:val="28"/>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）自行下载招标文件（详见“常见问题解答-交易系统操作手册”）。</w:t>
      </w:r>
    </w:p>
    <w:p>
      <w:pPr>
        <w:pStyle w:val="21"/>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五、投标截止时间、开标时间及地点</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（一）投标截止及开标时间：2019年 9 月 26 日 8 时 30 分（北京时间），逾期提交或不符合规定的投标文件不予接受。</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（二）开标地点：许昌市公共资源交易中心（</w:t>
      </w:r>
      <w:r>
        <w:rPr>
          <w:rFonts w:ascii="宋体" w:hAnsi="宋体" w:cs="Arial"/>
        </w:rPr>
        <w:t>龙兴路与竹林路交汇处</w:t>
      </w:r>
      <w:r>
        <w:rPr>
          <w:rFonts w:hint="eastAsia" w:ascii="宋体" w:hAnsi="宋体" w:cs="仿宋_GB2312"/>
        </w:rPr>
        <w:t>公共资源大厦）三楼开标 一 室。</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（三）本项目为全流程电子化交易项目，投标人须提交电子投标文件和纸质投标文件。</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1、加密电子投标文件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在投标截止时间（开标时间）前通过《全国公共资源交易平台(河南省</w:t>
      </w:r>
      <w:r>
        <w:rPr>
          <w:rFonts w:hint="eastAsia" w:ascii="宋体" w:hAnsi="宋体" w:eastAsia="MS Mincho" w:cs="MS Mincho"/>
        </w:rPr>
        <w:t>▪</w:t>
      </w:r>
      <w:r>
        <w:rPr>
          <w:rFonts w:hint="eastAsia" w:ascii="宋体" w:hAnsi="宋体" w:cs="宋体"/>
        </w:rPr>
        <w:t>许昌市</w:t>
      </w:r>
      <w:r>
        <w:rPr>
          <w:rFonts w:hint="eastAsia" w:ascii="宋体" w:hAnsi="宋体" w:cs="仿宋_GB2312"/>
        </w:rPr>
        <w:t>)》公共资源交易系统成功上传。</w:t>
      </w:r>
    </w:p>
    <w:p>
      <w:pPr>
        <w:pStyle w:val="21"/>
        <w:shd w:val="clear" w:color="auto" w:fill="FFFFFF"/>
        <w:spacing w:line="360" w:lineRule="auto"/>
        <w:ind w:firstLine="420"/>
        <w:contextualSpacing/>
        <w:jc w:val="left"/>
        <w:rPr>
          <w:rFonts w:ascii="宋体" w:hAnsi="宋体" w:cs="仿宋_GB2312"/>
          <w:shd w:val="pct10" w:color="auto" w:fill="FFFFFF"/>
        </w:rPr>
      </w:pPr>
      <w:r>
        <w:rPr>
          <w:rFonts w:hint="eastAsia" w:ascii="宋体" w:hAnsi="宋体" w:cs="仿宋_GB2312"/>
        </w:rPr>
        <w:t>2、纸质投标文件（正本、副本各1份）和备份文件1份</w:t>
      </w:r>
      <w:r>
        <w:rPr>
          <w:rFonts w:hint="eastAsia" w:ascii="宋体" w:hAnsi="宋体"/>
        </w:rPr>
        <w:t>（使用电子介质存储）</w:t>
      </w:r>
      <w:r>
        <w:rPr>
          <w:rFonts w:hint="eastAsia" w:ascii="宋体" w:hAnsi="宋体" w:cs="仿宋_GB2312"/>
        </w:rPr>
        <w:t>在投标截止时间（开标时间）前递交至本项目开标地点。</w:t>
      </w:r>
    </w:p>
    <w:p>
      <w:pPr>
        <w:pStyle w:val="21"/>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六、本次招标公告同时在《中国政府采购网》、《河南省政府采购网》、《许昌市政府采购网》、《全国公共资源交易平台（河南省·许昌市）》发布。</w:t>
      </w:r>
    </w:p>
    <w:p>
      <w:pPr>
        <w:pStyle w:val="21"/>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黑体"/>
          <w:b/>
          <w:bCs/>
          <w:shd w:val="clear" w:color="auto" w:fill="FFFFFF"/>
        </w:rPr>
        <w:t>七、公告期限</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本招标公告自发布之日起公告期限为5个工作日。</w:t>
      </w:r>
    </w:p>
    <w:p>
      <w:pPr>
        <w:pStyle w:val="21"/>
        <w:shd w:val="clear" w:color="auto" w:fill="FFFFFF"/>
        <w:spacing w:line="360" w:lineRule="auto"/>
        <w:ind w:firstLine="420"/>
        <w:contextualSpacing/>
        <w:jc w:val="left"/>
        <w:rPr>
          <w:rFonts w:ascii="宋体" w:hAnsi="宋体" w:cs="黑体"/>
          <w:b/>
          <w:bCs/>
        </w:rPr>
      </w:pPr>
      <w:r>
        <w:rPr>
          <w:rFonts w:hint="eastAsia" w:ascii="宋体" w:hAnsi="宋体" w:cs="黑体"/>
          <w:b/>
          <w:bCs/>
        </w:rPr>
        <w:t>八、联系方式</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采购人：许昌市东城区综合执法局</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地  址：许昌市新兴路东段</w:t>
      </w:r>
    </w:p>
    <w:p>
      <w:pPr>
        <w:pStyle w:val="21"/>
        <w:shd w:val="clear" w:color="auto" w:fill="FFFFFF"/>
        <w:spacing w:line="360" w:lineRule="auto"/>
        <w:ind w:firstLine="420"/>
        <w:contextualSpacing/>
        <w:jc w:val="left"/>
        <w:rPr>
          <w:rFonts w:ascii="宋体" w:hAnsi="宋体" w:cs="仿宋_GB2312"/>
        </w:rPr>
      </w:pPr>
      <w:r>
        <w:rPr>
          <w:rFonts w:hint="eastAsia" w:ascii="宋体" w:hAnsi="宋体" w:cs="仿宋_GB2312"/>
        </w:rPr>
        <w:t xml:space="preserve">联系人：徐云龙               联系电话：0374-2959902 </w:t>
      </w:r>
    </w:p>
    <w:p>
      <w:pPr>
        <w:pStyle w:val="21"/>
        <w:shd w:val="clear" w:color="auto" w:fill="FFFFFF"/>
        <w:spacing w:line="360" w:lineRule="auto"/>
        <w:ind w:firstLine="420"/>
        <w:contextualSpacing/>
        <w:jc w:val="left"/>
        <w:rPr>
          <w:rFonts w:ascii="宋体" w:hAnsi="宋体" w:cs="仿宋_GB2312"/>
        </w:rPr>
      </w:pPr>
    </w:p>
    <w:p>
      <w:pPr>
        <w:tabs>
          <w:tab w:val="left" w:pos="4140"/>
          <w:tab w:val="left" w:pos="4260"/>
        </w:tabs>
        <w:spacing w:line="530" w:lineRule="exact"/>
        <w:ind w:right="-357" w:rightChars="-170" w:firstLine="480" w:firstLineChars="200"/>
        <w:rPr>
          <w:rFonts w:hAnsi="宋体" w:cs="宋体"/>
          <w:sz w:val="24"/>
        </w:rPr>
      </w:pPr>
      <w:r>
        <w:rPr>
          <w:rFonts w:hint="eastAsia" w:hAnsi="宋体" w:cs="宋体"/>
          <w:sz w:val="24"/>
        </w:rPr>
        <w:t xml:space="preserve">代理机构：河南省地标工程管理有限公司 </w:t>
      </w:r>
    </w:p>
    <w:p>
      <w:pPr>
        <w:tabs>
          <w:tab w:val="left" w:pos="4140"/>
          <w:tab w:val="left" w:pos="4260"/>
        </w:tabs>
        <w:spacing w:line="530" w:lineRule="exact"/>
        <w:ind w:right="-357" w:rightChars="-170" w:firstLine="480" w:firstLineChars="200"/>
        <w:rPr>
          <w:rFonts w:hAnsi="宋体" w:cs="宋体"/>
          <w:sz w:val="24"/>
        </w:rPr>
      </w:pPr>
      <w:r>
        <w:rPr>
          <w:rFonts w:hint="eastAsia" w:hAnsi="宋体" w:cs="宋体"/>
          <w:sz w:val="24"/>
        </w:rPr>
        <w:t xml:space="preserve">地 址： 许昌市莲城大道（电业局对面老档案局）  </w:t>
      </w:r>
      <w:bookmarkStart w:id="28" w:name="_GoBack"/>
      <w:bookmarkEnd w:id="28"/>
    </w:p>
    <w:p>
      <w:pPr>
        <w:tabs>
          <w:tab w:val="left" w:pos="4140"/>
          <w:tab w:val="left" w:pos="4260"/>
        </w:tabs>
        <w:spacing w:line="530" w:lineRule="exact"/>
        <w:ind w:right="-357" w:rightChars="-170" w:firstLine="480" w:firstLineChars="200"/>
        <w:rPr>
          <w:rFonts w:hAnsi="宋体" w:cs="宋体"/>
          <w:sz w:val="24"/>
        </w:rPr>
      </w:pPr>
      <w:r>
        <w:rPr>
          <w:rFonts w:hint="eastAsia" w:hAnsi="宋体" w:cs="宋体"/>
          <w:sz w:val="24"/>
        </w:rPr>
        <w:t>联系人：法利辉               联系电话：18937449900</w:t>
      </w:r>
    </w:p>
    <w:p>
      <w:pPr>
        <w:autoSpaceDE w:val="0"/>
        <w:autoSpaceDN w:val="0"/>
        <w:adjustRightInd w:val="0"/>
        <w:spacing w:line="360" w:lineRule="auto"/>
        <w:jc w:val="center"/>
        <w:rPr>
          <w:rFonts w:ascii="宋体" w:hAnsi="宋体" w:eastAsia="宋体" w:cstheme="majorEastAsia"/>
          <w:sz w:val="24"/>
          <w:szCs w:val="24"/>
        </w:rPr>
      </w:pPr>
      <w:r>
        <w:rPr>
          <w:rFonts w:hint="eastAsia" w:ascii="宋体" w:hAnsi="宋体" w:eastAsia="宋体" w:cstheme="majorEastAsia"/>
          <w:sz w:val="24"/>
          <w:szCs w:val="24"/>
        </w:rPr>
        <w:t xml:space="preserve">                        </w:t>
      </w:r>
    </w:p>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theme="majorEastAsia"/>
          <w:sz w:val="24"/>
          <w:szCs w:val="24"/>
        </w:rPr>
        <w:t xml:space="preserve">                              </w:t>
      </w:r>
      <w:r>
        <w:rPr>
          <w:rFonts w:hint="eastAsia" w:ascii="宋体" w:hAnsi="宋体" w:eastAsia="宋体" w:cstheme="majorEastAsia"/>
          <w:sz w:val="24"/>
          <w:szCs w:val="24"/>
          <w:lang w:val="zh-CN"/>
        </w:rPr>
        <w:t>许昌市东城区综合执法局</w:t>
      </w:r>
    </w:p>
    <w:p>
      <w:pPr>
        <w:autoSpaceDE w:val="0"/>
        <w:autoSpaceDN w:val="0"/>
        <w:adjustRightInd w:val="0"/>
        <w:spacing w:line="360" w:lineRule="auto"/>
        <w:ind w:firstLine="4820"/>
        <w:rPr>
          <w:rFonts w:ascii="宋体" w:hAnsi="宋体" w:eastAsia="宋体"/>
          <w:b/>
          <w:sz w:val="24"/>
          <w:szCs w:val="24"/>
        </w:rPr>
      </w:pPr>
      <w:r>
        <w:rPr>
          <w:rFonts w:hint="eastAsia" w:ascii="宋体" w:hAnsi="宋体" w:eastAsia="宋体" w:cs="仿宋_GB2312"/>
          <w:sz w:val="24"/>
          <w:szCs w:val="24"/>
        </w:rPr>
        <w:t xml:space="preserve">       2019年08月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rPr>
        <w:t>日</w:t>
      </w:r>
    </w:p>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424" w:firstLineChars="151"/>
        <w:rPr>
          <w:rFonts w:ascii="宋体" w:hAnsi="宋体" w:eastAsia="宋体"/>
          <w:b/>
          <w:sz w:val="28"/>
          <w:szCs w:val="28"/>
        </w:rPr>
      </w:pPr>
      <w:r>
        <w:rPr>
          <w:rFonts w:hint="eastAsia" w:ascii="宋体" w:hAnsi="宋体" w:eastAsia="宋体"/>
          <w:b/>
          <w:sz w:val="28"/>
          <w:szCs w:val="28"/>
        </w:rPr>
        <w:t>本项目为全流程电子化交易项目，请认真阅读招标文件，并注意以下事项。</w:t>
      </w:r>
    </w:p>
    <w:p>
      <w:pPr>
        <w:tabs>
          <w:tab w:val="left" w:pos="7095"/>
        </w:tabs>
        <w:spacing w:line="360" w:lineRule="auto"/>
        <w:ind w:firstLine="424" w:firstLineChars="176"/>
        <w:contextualSpacing/>
        <w:rPr>
          <w:rFonts w:ascii="宋体" w:hAnsi="宋体" w:eastAsia="宋体"/>
          <w:b/>
          <w:sz w:val="24"/>
          <w:szCs w:val="24"/>
        </w:rPr>
      </w:pPr>
      <w:r>
        <w:rPr>
          <w:rFonts w:hint="eastAsia" w:ascii="宋体" w:hAnsi="宋体" w:eastAsia="宋体"/>
          <w:b/>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4" w:firstLineChars="176"/>
        <w:contextualSpacing/>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电子文件下载、制作、提交期间和开标（电子投标文件的解密）环节，投标人须使用</w:t>
      </w:r>
      <w:r>
        <w:rPr>
          <w:rFonts w:ascii="宋体" w:hAnsi="宋体" w:eastAsia="宋体"/>
          <w:b/>
          <w:sz w:val="24"/>
          <w:szCs w:val="24"/>
        </w:rPr>
        <w:t>CA数字证书</w:t>
      </w:r>
      <w:r>
        <w:rPr>
          <w:rFonts w:hint="eastAsia" w:ascii="宋体" w:hAnsi="宋体" w:eastAsia="宋体"/>
          <w:b/>
          <w:sz w:val="24"/>
          <w:szCs w:val="24"/>
        </w:rPr>
        <w:t>（证书须在有效期内）</w:t>
      </w:r>
      <w:r>
        <w:rPr>
          <w:rFonts w:ascii="宋体" w:hAnsi="宋体" w:eastAsia="宋体"/>
          <w:b/>
          <w:sz w:val="24"/>
          <w:szCs w:val="24"/>
        </w:rPr>
        <w:t>。</w:t>
      </w:r>
    </w:p>
    <w:p>
      <w:pPr>
        <w:tabs>
          <w:tab w:val="left" w:pos="7095"/>
        </w:tabs>
        <w:spacing w:line="360" w:lineRule="auto"/>
        <w:ind w:firstLine="424" w:firstLineChars="176"/>
        <w:contextualSpacing/>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.电子投标文件的制作</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 投标人登录《全国公共资源交易平台(河南省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28"/>
          <w:rFonts w:ascii="宋体" w:hAnsi="宋体" w:eastAsia="宋体"/>
          <w:color w:val="auto"/>
          <w:sz w:val="24"/>
          <w:szCs w:val="24"/>
          <w:u w:val="none"/>
        </w:rPr>
        <w:t>http://221.14.6.70:8088/ggzy/</w:t>
      </w:r>
      <w:r>
        <w:rPr>
          <w:rStyle w:val="28"/>
          <w:rFonts w:ascii="宋体" w:hAnsi="宋体" w:eastAsia="宋体"/>
          <w:color w:val="auto"/>
          <w:sz w:val="24"/>
          <w:szCs w:val="24"/>
          <w:u w:val="none"/>
        </w:rPr>
        <w:fldChar w:fldCharType="end"/>
      </w:r>
      <w:r>
        <w:rPr>
          <w:rFonts w:hint="eastAsia" w:ascii="宋体" w:hAnsi="宋体" w:eastAsia="宋体"/>
          <w:sz w:val="24"/>
          <w:szCs w:val="24"/>
        </w:rPr>
        <w:t>）下载“许昌投标文件制作系统SEARUN V1.0”，按招标文件要求制作电子投标文件。</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电子投标文件的制作，参考《全国公共资源交易平台(河南省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)》公共资源交易系统——组件下载——交易系统操作手册（投标人、供应商）。</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3.3</w:t>
      </w:r>
      <w:r>
        <w:rPr>
          <w:rFonts w:hint="eastAsia" w:ascii="宋体" w:hAnsi="宋体" w:eastAsia="宋体"/>
          <w:sz w:val="24"/>
          <w:szCs w:val="24"/>
        </w:rPr>
        <w:t>投标人对同一项目多个标段进行投标的，应分别下载所投标段的招标文件，按标段制作电子投标文件，并</w:t>
      </w:r>
      <w:r>
        <w:rPr>
          <w:rFonts w:ascii="宋体" w:hAnsi="宋体" w:eastAsia="宋体"/>
          <w:sz w:val="24"/>
          <w:szCs w:val="24"/>
        </w:rPr>
        <w:t>按招标文件要求在相应位置加盖</w:t>
      </w:r>
      <w:r>
        <w:rPr>
          <w:rFonts w:hint="eastAsia" w:ascii="宋体" w:hAnsi="宋体" w:eastAsia="宋体"/>
          <w:sz w:val="24"/>
          <w:szCs w:val="24"/>
        </w:rPr>
        <w:t>投标人</w:t>
      </w:r>
      <w:r>
        <w:rPr>
          <w:rFonts w:ascii="宋体" w:hAnsi="宋体" w:eastAsia="宋体"/>
          <w:sz w:val="24"/>
          <w:szCs w:val="24"/>
        </w:rPr>
        <w:t>电子印章</w:t>
      </w:r>
      <w:r>
        <w:rPr>
          <w:rFonts w:hint="eastAsia" w:ascii="宋体" w:hAnsi="宋体" w:eastAsia="宋体"/>
          <w:sz w:val="24"/>
          <w:szCs w:val="24"/>
        </w:rPr>
        <w:t>和法人电子印章。</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24" w:firstLineChars="176"/>
        <w:contextualSpacing/>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.加密电子投标文件的提交</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.1加密电子投标文件应在招标文件规定的投标截止时间（开标时间）之前成功提交至《全国公共资源交易平台(河南省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28"/>
          <w:rFonts w:ascii="宋体" w:hAnsi="宋体" w:eastAsia="宋体"/>
          <w:color w:val="auto"/>
          <w:sz w:val="24"/>
          <w:szCs w:val="24"/>
          <w:u w:val="none"/>
        </w:rPr>
        <w:t>http://221.14.6.70:8088/ggzy/</w:t>
      </w:r>
      <w:r>
        <w:rPr>
          <w:rStyle w:val="28"/>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投标人应充分考虑并预留技术处理和上传数据所需时间。</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2 投标人对同一项目多个标段进行投标的，加密电子投标文件应按标段分别提交。</w:t>
      </w:r>
    </w:p>
    <w:p>
      <w:pPr>
        <w:tabs>
          <w:tab w:val="left" w:pos="7095"/>
        </w:tabs>
        <w:spacing w:line="360" w:lineRule="auto"/>
        <w:ind w:firstLine="424" w:firstLineChars="177"/>
        <w:contextualSpacing/>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 xml:space="preserve"> 加密电子投标文件成功提交后，投标人应打印“投标文件提交回执单”供开标现场备查。</w:t>
      </w:r>
    </w:p>
    <w:p>
      <w:pPr>
        <w:tabs>
          <w:tab w:val="left" w:pos="7095"/>
        </w:tabs>
        <w:spacing w:line="360" w:lineRule="auto"/>
        <w:ind w:firstLine="424" w:firstLineChars="176"/>
        <w:contextualSpacing/>
        <w:rPr>
          <w:rFonts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.评标依据</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5.1采用全流程电子化交易评标时，评标委员会以电子投标文件为依据评标。</w:t>
      </w:r>
    </w:p>
    <w:p>
      <w:pPr>
        <w:tabs>
          <w:tab w:val="left" w:pos="7095"/>
        </w:tabs>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5.2全流程电子化交易如因系统异常情况无法完成，将以人工方式进行。评标委员会以纸质投标文件为依据评标。</w:t>
      </w:r>
    </w:p>
    <w:p>
      <w:pPr>
        <w:ind w:firstLine="424" w:firstLineChars="177"/>
        <w:jc w:val="left"/>
        <w:rPr>
          <w:rFonts w:ascii="宋体" w:hAnsi="宋体" w:eastAsia="宋体" w:cs="宋体"/>
          <w:b/>
          <w:kern w:val="0"/>
          <w:sz w:val="32"/>
          <w:szCs w:val="32"/>
        </w:rPr>
        <w:sectPr>
          <w:footerReference r:id="rId3" w:type="default"/>
          <w:pgSz w:w="11906" w:h="16838"/>
          <w:pgMar w:top="1797" w:right="1440" w:bottom="1702" w:left="1440" w:header="851" w:footer="567" w:gutter="0"/>
          <w:pgNumType w:start="1"/>
          <w:cols w:space="425" w:num="1"/>
          <w:docGrid w:type="lines" w:linePitch="312" w:charSpace="0"/>
        </w:sectPr>
      </w:pPr>
      <w:r>
        <w:rPr>
          <w:rFonts w:ascii="宋体" w:hAnsi="宋体" w:eastAsia="宋体" w:cs="仿宋_GB2312"/>
          <w:sz w:val="24"/>
          <w:szCs w:val="24"/>
        </w:rPr>
        <w:br w:type="page"/>
      </w:r>
    </w:p>
    <w:p>
      <w:pPr>
        <w:spacing w:beforeLines="50" w:afterLines="50"/>
        <w:jc w:val="center"/>
        <w:outlineLvl w:val="0"/>
        <w:rPr>
          <w:rFonts w:ascii="宋体" w:hAnsi="宋体" w:eastAsia="宋体" w:cs="宋体"/>
          <w:b/>
          <w:kern w:val="0"/>
          <w:sz w:val="32"/>
          <w:szCs w:val="32"/>
        </w:rPr>
      </w:pPr>
      <w:bookmarkStart w:id="2" w:name="_Toc14299188"/>
      <w:bookmarkStart w:id="3" w:name="_Toc14299033"/>
      <w:r>
        <w:rPr>
          <w:rFonts w:hint="eastAsia" w:ascii="宋体" w:hAnsi="宋体" w:eastAsia="宋体" w:cs="宋体"/>
          <w:b/>
          <w:kern w:val="0"/>
          <w:sz w:val="32"/>
          <w:szCs w:val="32"/>
        </w:rPr>
        <w:t>第二章 项目需求</w:t>
      </w:r>
      <w:bookmarkEnd w:id="2"/>
      <w:bookmarkEnd w:id="3"/>
    </w:p>
    <w:p>
      <w:pPr>
        <w:pStyle w:val="55"/>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微软雅黑"/>
          <w:b/>
        </w:rPr>
        <w:t>一</w:t>
      </w:r>
      <w:r>
        <w:rPr>
          <w:rFonts w:hint="eastAsia" w:ascii="宋体" w:hAnsi="宋体" w:cs="仿宋_GB2312"/>
          <w:shd w:val="clear" w:color="auto" w:fill="FFFFFF"/>
        </w:rPr>
        <w:t>本项目共划分为十个标段，本次招标为五、六、七标段，分别对以下路段及区域提供绿化管养服务：</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1、五标段</w:t>
      </w:r>
    </w:p>
    <w:p>
      <w:pPr>
        <w:spacing w:line="480" w:lineRule="exact"/>
        <w:ind w:firstLine="480" w:firstLineChars="200"/>
        <w:rPr>
          <w:rFonts w:ascii="宋体" w:hAnsi="宋体" w:eastAsia="宋体" w:cs="仿宋_GB2312"/>
          <w:sz w:val="24"/>
          <w:szCs w:val="24"/>
          <w:shd w:val="clear" w:color="auto" w:fill="FFFFFF"/>
        </w:rPr>
      </w:pPr>
      <w:r>
        <w:rPr>
          <w:rFonts w:hint="eastAsia" w:ascii="宋体" w:hAnsi="宋体" w:eastAsia="宋体" w:cs="宋体"/>
          <w:sz w:val="24"/>
          <w:szCs w:val="24"/>
          <w:shd w:val="clear" w:color="auto" w:fill="FFFFFF"/>
        </w:rPr>
        <w:t>管养范围：包括</w:t>
      </w:r>
      <w:r>
        <w:rPr>
          <w:rFonts w:hint="eastAsia" w:ascii="宋体" w:hAnsi="宋体" w:eastAsia="宋体" w:cs="仿宋_GB2312"/>
          <w:sz w:val="24"/>
          <w:szCs w:val="24"/>
          <w:shd w:val="clear" w:color="auto" w:fill="FFFFFF"/>
        </w:rPr>
        <w:t>龙兴路（八龙路-魏文路）、青梅路（龙兴路—魏都区界）、竹林路（龙兴路—魏都区界）、科技广场、天宝河游园（八龙路-魏武大道）、质检中心门前、陈庄街（文峰路—魏武大道）、八龙柏游园（文峰路—八龙路）、悦民公园（魏武大道—许州路）、文峰路（潩河路—魏都区界）、待移交绿地（包括中央公园南、北）。</w:t>
      </w:r>
    </w:p>
    <w:p>
      <w:pPr>
        <w:pStyle w:val="55"/>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shd w:val="clear" w:color="auto" w:fill="FFFFFF"/>
        </w:rPr>
        <w:t>管养面积：一级管养面积299773㎡，二级管养面积54689㎡，三级管养面积1200㎡。</w:t>
      </w:r>
      <w:r>
        <w:rPr>
          <w:rFonts w:hint="eastAsia" w:ascii="宋体" w:hAnsi="宋体" w:cs="仿宋_GB2312"/>
          <w:shd w:val="clear" w:color="auto" w:fill="FFFFFF"/>
        </w:rPr>
        <w:t>配备保安8人</w:t>
      </w:r>
      <w:r>
        <w:rPr>
          <w:rFonts w:hint="eastAsia" w:ascii="宋体" w:hAnsi="宋体" w:cs="宋体"/>
          <w:shd w:val="clear" w:color="auto" w:fill="FFFFFF"/>
        </w:rPr>
        <w:t>。</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2、六标段</w:t>
      </w:r>
    </w:p>
    <w:p>
      <w:pPr>
        <w:spacing w:line="480" w:lineRule="exact"/>
        <w:ind w:firstLine="480" w:firstLineChars="200"/>
        <w:rPr>
          <w:rFonts w:ascii="宋体" w:hAnsi="宋体" w:eastAsia="宋体" w:cs="仿宋_GB2312"/>
          <w:sz w:val="24"/>
          <w:szCs w:val="24"/>
          <w:shd w:val="clear" w:color="auto" w:fill="FFFFFF"/>
        </w:rPr>
      </w:pPr>
      <w:r>
        <w:rPr>
          <w:rFonts w:hint="eastAsia" w:ascii="宋体" w:hAnsi="宋体" w:eastAsia="宋体" w:cs="宋体"/>
          <w:sz w:val="24"/>
          <w:szCs w:val="24"/>
          <w:shd w:val="clear" w:color="auto" w:fill="FFFFFF"/>
        </w:rPr>
        <w:t>管养范围：包括</w:t>
      </w:r>
      <w:r>
        <w:rPr>
          <w:rFonts w:hint="eastAsia" w:ascii="宋体" w:hAnsi="宋体" w:eastAsia="宋体" w:cs="仿宋_GB2312"/>
          <w:sz w:val="24"/>
          <w:szCs w:val="24"/>
          <w:shd w:val="clear" w:color="auto" w:fill="FFFFFF"/>
        </w:rPr>
        <w:t>学院路（建安区界—魏都区界）、天宝路（文峰路—许州路）、莲城大道（学院路—高速公路桥）、迎宾园（高速下路口）、许州路（莲城大道—永昌路）、待移交道路（包括许鄢快速通道（高速桥—建安区界））。</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管养面积：一级管养面积345732㎡，二级管养面积46377㎡。</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3、七标段</w:t>
      </w:r>
    </w:p>
    <w:p>
      <w:pPr>
        <w:spacing w:line="480" w:lineRule="exact"/>
        <w:ind w:firstLine="720" w:firstLineChars="300"/>
        <w:rPr>
          <w:rFonts w:ascii="宋体" w:hAnsi="宋体" w:eastAsia="宋体" w:cs="仿宋_GB2312"/>
          <w:sz w:val="24"/>
          <w:szCs w:val="24"/>
          <w:shd w:val="clear" w:color="auto" w:fill="FFFFFF"/>
        </w:rPr>
      </w:pPr>
      <w:r>
        <w:rPr>
          <w:rFonts w:hint="eastAsia" w:ascii="宋体" w:hAnsi="宋体" w:eastAsia="宋体" w:cs="宋体"/>
          <w:sz w:val="24"/>
          <w:szCs w:val="24"/>
          <w:shd w:val="clear" w:color="auto" w:fill="FFFFFF"/>
        </w:rPr>
        <w:t>管养范围：包括</w:t>
      </w:r>
      <w:r>
        <w:rPr>
          <w:rFonts w:hint="eastAsia" w:ascii="宋体" w:hAnsi="宋体" w:eastAsia="宋体" w:cs="仿宋_GB2312"/>
          <w:sz w:val="24"/>
          <w:szCs w:val="24"/>
          <w:shd w:val="clear" w:color="auto" w:fill="FFFFFF"/>
        </w:rPr>
        <w:t>文轩路（魏文路—学院路）、南海街（青梅路—许州路）、魏武大道（枫林街—魏都区界）、东苑街（魏武大道—许州路）、景福路（新东街—花都大道）、紫云路（新兴路—八一路）、钧都路（花都大道—八一路）、待移交道路（包括景福路（新东街—福田街）、福田街（魏武大道—景福路）、礼贤路（陈庄街—南海街）、康胜街（魏武大道—许州路））。</w:t>
      </w:r>
    </w:p>
    <w:p>
      <w:pPr>
        <w:spacing w:line="360" w:lineRule="auto"/>
        <w:ind w:firstLine="420"/>
        <w:contextualSpacing/>
        <w:jc w:val="lef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管养面积：一级管养面积265422㎡，二级管养面积118540㎡，三级管养面积14159㎡。</w:t>
      </w:r>
    </w:p>
    <w:p>
      <w:pPr>
        <w:pStyle w:val="55"/>
        <w:shd w:val="clear" w:color="auto" w:fill="FFFFFF"/>
        <w:spacing w:line="360" w:lineRule="auto"/>
        <w:ind w:firstLine="426"/>
        <w:contextualSpacing/>
        <w:jc w:val="left"/>
        <w:rPr>
          <w:rFonts w:ascii="宋体" w:hAnsi="宋体" w:cs="微软雅黑"/>
          <w:b/>
        </w:rPr>
      </w:pPr>
      <w:r>
        <w:rPr>
          <w:rFonts w:ascii="宋体" w:hAnsi="宋体" w:cs="微软雅黑"/>
          <w:b/>
        </w:rPr>
        <w:br w:type="page"/>
      </w:r>
    </w:p>
    <w:p>
      <w:pPr>
        <w:pStyle w:val="55"/>
        <w:shd w:val="clear" w:color="auto" w:fill="FFFFFF"/>
        <w:spacing w:line="360" w:lineRule="auto"/>
        <w:ind w:firstLine="426"/>
        <w:contextualSpacing/>
        <w:jc w:val="left"/>
        <w:rPr>
          <w:rFonts w:ascii="宋体" w:hAnsi="宋体" w:cs="微软雅黑"/>
          <w:b/>
        </w:rPr>
      </w:pPr>
    </w:p>
    <w:p>
      <w:pPr>
        <w:pStyle w:val="55"/>
        <w:shd w:val="clear" w:color="auto" w:fill="FFFFFF"/>
        <w:spacing w:line="360" w:lineRule="auto"/>
        <w:contextualSpacing/>
        <w:jc w:val="left"/>
        <w:rPr>
          <w:rFonts w:ascii="宋体" w:hAnsi="宋体" w:cs="微软雅黑"/>
          <w:b/>
        </w:rPr>
      </w:pPr>
      <w:r>
        <w:rPr>
          <w:rFonts w:hint="eastAsia" w:ascii="宋体" w:hAnsi="宋体" w:cs="微软雅黑"/>
          <w:b/>
        </w:rPr>
        <w:t>★二、采购清单</w:t>
      </w:r>
    </w:p>
    <w:p>
      <w:pPr>
        <w:spacing w:afterLines="70"/>
        <w:jc w:val="center"/>
        <w:rPr>
          <w:rFonts w:ascii="宋体" w:hAnsi="宋体" w:eastAsia="宋体" w:cs="微软雅黑"/>
          <w:b/>
          <w:sz w:val="24"/>
          <w:szCs w:val="24"/>
        </w:rPr>
      </w:pPr>
    </w:p>
    <w:p>
      <w:pPr>
        <w:numPr>
          <w:ilvl w:val="0"/>
          <w:numId w:val="4"/>
        </w:numPr>
        <w:spacing w:afterLines="70"/>
        <w:jc w:val="center"/>
        <w:rPr>
          <w:rFonts w:ascii="宋体" w:hAnsi="宋体" w:eastAsia="宋体" w:cs="微软雅黑"/>
          <w:b/>
          <w:sz w:val="24"/>
          <w:szCs w:val="24"/>
        </w:rPr>
      </w:pPr>
      <w:r>
        <w:rPr>
          <w:rFonts w:hint="eastAsia" w:ascii="宋体" w:hAnsi="宋体" w:eastAsia="宋体" w:cs="微软雅黑"/>
          <w:b/>
          <w:sz w:val="24"/>
          <w:szCs w:val="24"/>
        </w:rPr>
        <w:t>五标段采购清单</w:t>
      </w:r>
    </w:p>
    <w:tbl>
      <w:tblPr>
        <w:tblStyle w:val="23"/>
        <w:tblW w:w="9712" w:type="dxa"/>
        <w:tblInd w:w="-276" w:type="dxa"/>
        <w:tblLayout w:type="fixed"/>
        <w:tblCellMar>
          <w:top w:w="0" w:type="dxa"/>
          <w:left w:w="108" w:type="dxa"/>
          <w:bottom w:w="0" w:type="dxa"/>
          <w:right w:w="108" w:type="dxa"/>
        </w:tblCellMar>
      </w:tblPr>
      <w:tblGrid>
        <w:gridCol w:w="465"/>
        <w:gridCol w:w="1672"/>
        <w:gridCol w:w="1020"/>
        <w:gridCol w:w="1395"/>
        <w:gridCol w:w="794"/>
        <w:gridCol w:w="1134"/>
        <w:gridCol w:w="2113"/>
        <w:gridCol w:w="1119"/>
      </w:tblGrid>
      <w:tr>
        <w:tblPrEx>
          <w:tblLayout w:type="fixed"/>
          <w:tblCellMar>
            <w:top w:w="0" w:type="dxa"/>
            <w:left w:w="108" w:type="dxa"/>
            <w:bottom w:w="0" w:type="dxa"/>
            <w:right w:w="108" w:type="dxa"/>
          </w:tblCellMar>
        </w:tblPrEx>
        <w:trPr>
          <w:trHeight w:val="454" w:hRule="atLeast"/>
        </w:trPr>
        <w:tc>
          <w:tcPr>
            <w:tcW w:w="465" w:type="dxa"/>
            <w:vMerge w:val="restart"/>
            <w:tcBorders>
              <w:top w:val="single" w:color="auto" w:sz="8" w:space="0"/>
              <w:left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672"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路段</w:t>
            </w:r>
          </w:p>
        </w:tc>
        <w:tc>
          <w:tcPr>
            <w:tcW w:w="1020"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332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管养分级面积（㎡）</w:t>
            </w:r>
          </w:p>
        </w:tc>
        <w:tc>
          <w:tcPr>
            <w:tcW w:w="2113"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位置</w:t>
            </w:r>
          </w:p>
        </w:tc>
        <w:tc>
          <w:tcPr>
            <w:tcW w:w="1119"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备注</w:t>
            </w:r>
          </w:p>
        </w:tc>
      </w:tr>
      <w:tr>
        <w:tblPrEx>
          <w:tblLayout w:type="fixed"/>
          <w:tblCellMar>
            <w:top w:w="0" w:type="dxa"/>
            <w:left w:w="108" w:type="dxa"/>
            <w:bottom w:w="0" w:type="dxa"/>
            <w:right w:w="108" w:type="dxa"/>
          </w:tblCellMar>
        </w:tblPrEx>
        <w:trPr>
          <w:trHeight w:val="454" w:hRule="atLeast"/>
        </w:trPr>
        <w:tc>
          <w:tcPr>
            <w:tcW w:w="46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672"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020"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一级</w:t>
            </w:r>
          </w:p>
        </w:tc>
        <w:tc>
          <w:tcPr>
            <w:tcW w:w="79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二级</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三级</w:t>
            </w:r>
          </w:p>
        </w:tc>
        <w:tc>
          <w:tcPr>
            <w:tcW w:w="2113"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119"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龙兴路</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54689</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54689</w:t>
            </w: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八龙路—魏文路</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青梅路</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4352</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4352</w:t>
            </w: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龙兴路—魏都区界</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竹林路</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10454</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10454</w:t>
            </w: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龙兴路—魏都区界</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4</w:t>
            </w:r>
          </w:p>
        </w:tc>
        <w:tc>
          <w:tcPr>
            <w:tcW w:w="167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科技广场</w:t>
            </w:r>
          </w:p>
        </w:tc>
        <w:tc>
          <w:tcPr>
            <w:tcW w:w="10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19718</w:t>
            </w:r>
          </w:p>
        </w:tc>
        <w:tc>
          <w:tcPr>
            <w:tcW w:w="139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19718</w:t>
            </w:r>
          </w:p>
        </w:tc>
        <w:tc>
          <w:tcPr>
            <w:tcW w:w="79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c>
          <w:tcPr>
            <w:tcW w:w="11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5</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天宝河游园</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65605</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65605</w:t>
            </w: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八龙路—魏武大道</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51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6</w:t>
            </w:r>
          </w:p>
        </w:tc>
        <w:tc>
          <w:tcPr>
            <w:tcW w:w="167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质检中心门前</w:t>
            </w:r>
          </w:p>
        </w:tc>
        <w:tc>
          <w:tcPr>
            <w:tcW w:w="10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1200</w:t>
            </w:r>
          </w:p>
        </w:tc>
        <w:tc>
          <w:tcPr>
            <w:tcW w:w="139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c>
          <w:tcPr>
            <w:tcW w:w="79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1200</w:t>
            </w:r>
          </w:p>
        </w:tc>
        <w:tc>
          <w:tcPr>
            <w:tcW w:w="211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c>
          <w:tcPr>
            <w:tcW w:w="11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570"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7</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陈庄街</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66966</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66966</w:t>
            </w: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文峰路—魏武大道</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8</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八龙柏游园</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30844</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30844</w:t>
            </w: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文峰路—八龙路</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9</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悦民公园</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90051</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90051</w:t>
            </w: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魏武大道—许州路</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10</w:t>
            </w:r>
          </w:p>
        </w:tc>
        <w:tc>
          <w:tcPr>
            <w:tcW w:w="1672"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文峰路</w:t>
            </w:r>
          </w:p>
        </w:tc>
        <w:tc>
          <w:tcPr>
            <w:tcW w:w="102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11783</w:t>
            </w:r>
          </w:p>
        </w:tc>
        <w:tc>
          <w:tcPr>
            <w:tcW w:w="139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11783</w:t>
            </w:r>
          </w:p>
        </w:tc>
        <w:tc>
          <w:tcPr>
            <w:tcW w:w="79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134"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13"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潩河路—魏都区界</w:t>
            </w:r>
          </w:p>
        </w:tc>
        <w:tc>
          <w:tcPr>
            <w:tcW w:w="1119"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11</w:t>
            </w:r>
          </w:p>
        </w:tc>
        <w:tc>
          <w:tcPr>
            <w:tcW w:w="167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待移交绿地</w:t>
            </w:r>
          </w:p>
        </w:tc>
        <w:tc>
          <w:tcPr>
            <w:tcW w:w="6456" w:type="dxa"/>
            <w:gridSpan w:val="5"/>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包括中央公园南、北</w:t>
            </w:r>
          </w:p>
        </w:tc>
        <w:tc>
          <w:tcPr>
            <w:tcW w:w="11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12</w:t>
            </w:r>
          </w:p>
        </w:tc>
        <w:tc>
          <w:tcPr>
            <w:tcW w:w="167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黑体"/>
                <w:kern w:val="0"/>
                <w:szCs w:val="21"/>
                <w:shd w:val="clear" w:color="auto" w:fill="FFFFFF"/>
              </w:rPr>
              <w:t>天宝河游园</w:t>
            </w:r>
          </w:p>
        </w:tc>
        <w:tc>
          <w:tcPr>
            <w:tcW w:w="6456" w:type="dxa"/>
            <w:gridSpan w:val="5"/>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配备保安人数：4人</w:t>
            </w:r>
          </w:p>
        </w:tc>
        <w:tc>
          <w:tcPr>
            <w:tcW w:w="11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13</w:t>
            </w:r>
          </w:p>
        </w:tc>
        <w:tc>
          <w:tcPr>
            <w:tcW w:w="167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黑体"/>
                <w:kern w:val="0"/>
                <w:szCs w:val="21"/>
                <w:shd w:val="clear" w:color="auto" w:fill="FFFFFF"/>
              </w:rPr>
              <w:t>悦民公园</w:t>
            </w:r>
          </w:p>
        </w:tc>
        <w:tc>
          <w:tcPr>
            <w:tcW w:w="6456" w:type="dxa"/>
            <w:gridSpan w:val="5"/>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配备保安人数：4人</w:t>
            </w:r>
          </w:p>
        </w:tc>
        <w:tc>
          <w:tcPr>
            <w:tcW w:w="11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2137"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小  计</w:t>
            </w:r>
          </w:p>
        </w:tc>
        <w:tc>
          <w:tcPr>
            <w:tcW w:w="1020"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355662</w:t>
            </w:r>
          </w:p>
        </w:tc>
        <w:tc>
          <w:tcPr>
            <w:tcW w:w="1395"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299773</w:t>
            </w:r>
          </w:p>
        </w:tc>
        <w:tc>
          <w:tcPr>
            <w:tcW w:w="794"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54689</w:t>
            </w:r>
          </w:p>
        </w:tc>
        <w:tc>
          <w:tcPr>
            <w:tcW w:w="1134"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1200</w:t>
            </w:r>
          </w:p>
        </w:tc>
        <w:tc>
          <w:tcPr>
            <w:tcW w:w="2113"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kern w:val="0"/>
                <w:szCs w:val="21"/>
              </w:rPr>
            </w:pPr>
          </w:p>
        </w:tc>
        <w:tc>
          <w:tcPr>
            <w:tcW w:w="1119"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kern w:val="0"/>
                <w:szCs w:val="21"/>
              </w:rPr>
            </w:pPr>
          </w:p>
        </w:tc>
      </w:tr>
    </w:tbl>
    <w:p>
      <w:pPr>
        <w:jc w:val="center"/>
        <w:rPr>
          <w:rFonts w:ascii="宋体" w:hAnsi="宋体" w:eastAsia="宋体" w:cs="微软雅黑"/>
          <w:b/>
          <w:sz w:val="24"/>
          <w:szCs w:val="24"/>
        </w:rPr>
      </w:pPr>
    </w:p>
    <w:p>
      <w:pPr>
        <w:numPr>
          <w:ilvl w:val="0"/>
          <w:numId w:val="4"/>
        </w:numPr>
        <w:jc w:val="center"/>
        <w:rPr>
          <w:rFonts w:ascii="宋体" w:hAnsi="宋体" w:eastAsia="宋体" w:cs="微软雅黑"/>
          <w:b/>
          <w:sz w:val="24"/>
          <w:szCs w:val="24"/>
        </w:rPr>
      </w:pPr>
      <w:r>
        <w:rPr>
          <w:rFonts w:hint="eastAsia" w:ascii="宋体" w:hAnsi="宋体" w:eastAsia="宋体" w:cs="微软雅黑"/>
          <w:b/>
          <w:sz w:val="24"/>
          <w:szCs w:val="24"/>
        </w:rPr>
        <w:t>六标段采购清单</w:t>
      </w:r>
    </w:p>
    <w:p>
      <w:pPr>
        <w:rPr>
          <w:rFonts w:ascii="宋体" w:hAnsi="宋体" w:eastAsia="宋体" w:cs="微软雅黑"/>
          <w:b/>
          <w:sz w:val="24"/>
          <w:szCs w:val="24"/>
        </w:rPr>
      </w:pPr>
    </w:p>
    <w:tbl>
      <w:tblPr>
        <w:tblStyle w:val="23"/>
        <w:tblW w:w="9700" w:type="dxa"/>
        <w:tblInd w:w="-306" w:type="dxa"/>
        <w:tblLayout w:type="fixed"/>
        <w:tblCellMar>
          <w:top w:w="0" w:type="dxa"/>
          <w:left w:w="108" w:type="dxa"/>
          <w:bottom w:w="0" w:type="dxa"/>
          <w:right w:w="108" w:type="dxa"/>
        </w:tblCellMar>
      </w:tblPr>
      <w:tblGrid>
        <w:gridCol w:w="510"/>
        <w:gridCol w:w="1605"/>
        <w:gridCol w:w="1081"/>
        <w:gridCol w:w="1435"/>
        <w:gridCol w:w="1435"/>
        <w:gridCol w:w="1436"/>
        <w:gridCol w:w="2198"/>
      </w:tblGrid>
      <w:tr>
        <w:tblPrEx>
          <w:tblLayout w:type="fixed"/>
          <w:tblCellMar>
            <w:top w:w="0" w:type="dxa"/>
            <w:left w:w="108" w:type="dxa"/>
            <w:bottom w:w="0" w:type="dxa"/>
            <w:right w:w="108" w:type="dxa"/>
          </w:tblCellMar>
        </w:tblPrEx>
        <w:trPr>
          <w:trHeight w:val="454" w:hRule="atLeast"/>
        </w:trPr>
        <w:tc>
          <w:tcPr>
            <w:tcW w:w="510" w:type="dxa"/>
            <w:vMerge w:val="restart"/>
            <w:tcBorders>
              <w:top w:val="single" w:color="auto" w:sz="8" w:space="0"/>
              <w:left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605"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路段</w:t>
            </w:r>
          </w:p>
        </w:tc>
        <w:tc>
          <w:tcPr>
            <w:tcW w:w="1081"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430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管养分级面积（㎡）</w:t>
            </w:r>
          </w:p>
        </w:tc>
        <w:tc>
          <w:tcPr>
            <w:tcW w:w="2198"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位置</w:t>
            </w:r>
          </w:p>
        </w:tc>
      </w:tr>
      <w:tr>
        <w:tblPrEx>
          <w:tblLayout w:type="fixed"/>
          <w:tblCellMar>
            <w:top w:w="0" w:type="dxa"/>
            <w:left w:w="108" w:type="dxa"/>
            <w:bottom w:w="0" w:type="dxa"/>
            <w:right w:w="108" w:type="dxa"/>
          </w:tblCellMar>
        </w:tblPrEx>
        <w:trPr>
          <w:trHeight w:val="454" w:hRule="atLeast"/>
        </w:trPr>
        <w:tc>
          <w:tcPr>
            <w:tcW w:w="51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605"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081"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一级</w:t>
            </w: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二级</w:t>
            </w:r>
          </w:p>
        </w:tc>
        <w:tc>
          <w:tcPr>
            <w:tcW w:w="1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三级</w:t>
            </w:r>
          </w:p>
        </w:tc>
        <w:tc>
          <w:tcPr>
            <w:tcW w:w="2198"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160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学院路</w:t>
            </w:r>
          </w:p>
        </w:tc>
        <w:tc>
          <w:tcPr>
            <w:tcW w:w="1081"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123372</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123372</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98"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建安区界—魏都区界</w:t>
            </w:r>
          </w:p>
        </w:tc>
      </w:tr>
      <w:tr>
        <w:tblPrEx>
          <w:tblLayout w:type="fixed"/>
          <w:tblCellMar>
            <w:top w:w="0" w:type="dxa"/>
            <w:left w:w="108" w:type="dxa"/>
            <w:bottom w:w="0" w:type="dxa"/>
            <w:right w:w="108" w:type="dxa"/>
          </w:tblCellMar>
        </w:tblPrEx>
        <w:trPr>
          <w:trHeight w:val="454"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160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天宝路</w:t>
            </w:r>
          </w:p>
        </w:tc>
        <w:tc>
          <w:tcPr>
            <w:tcW w:w="1081"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78299</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78299</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98"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文峰路—许州路</w:t>
            </w:r>
          </w:p>
        </w:tc>
      </w:tr>
      <w:tr>
        <w:tblPrEx>
          <w:tblLayout w:type="fixed"/>
          <w:tblCellMar>
            <w:top w:w="0" w:type="dxa"/>
            <w:left w:w="108" w:type="dxa"/>
            <w:bottom w:w="0" w:type="dxa"/>
            <w:right w:w="108" w:type="dxa"/>
          </w:tblCellMar>
        </w:tblPrEx>
        <w:trPr>
          <w:trHeight w:val="454"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160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莲城大道</w:t>
            </w:r>
          </w:p>
        </w:tc>
        <w:tc>
          <w:tcPr>
            <w:tcW w:w="1081"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70171</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70171</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98"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学院路—高速公路桥</w:t>
            </w:r>
          </w:p>
        </w:tc>
      </w:tr>
      <w:tr>
        <w:tblPrEx>
          <w:tblLayout w:type="fixed"/>
          <w:tblCellMar>
            <w:top w:w="0" w:type="dxa"/>
            <w:left w:w="108" w:type="dxa"/>
            <w:bottom w:w="0" w:type="dxa"/>
            <w:right w:w="108" w:type="dxa"/>
          </w:tblCellMar>
        </w:tblPrEx>
        <w:trPr>
          <w:trHeight w:val="454"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4</w:t>
            </w:r>
          </w:p>
        </w:tc>
        <w:tc>
          <w:tcPr>
            <w:tcW w:w="160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迎宾园</w:t>
            </w:r>
          </w:p>
        </w:tc>
        <w:tc>
          <w:tcPr>
            <w:tcW w:w="1081"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46377</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46377</w:t>
            </w: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98"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高速下路口</w:t>
            </w:r>
          </w:p>
        </w:tc>
      </w:tr>
      <w:tr>
        <w:tblPrEx>
          <w:tblLayout w:type="fixed"/>
          <w:tblCellMar>
            <w:top w:w="0" w:type="dxa"/>
            <w:left w:w="108" w:type="dxa"/>
            <w:bottom w:w="0" w:type="dxa"/>
            <w:right w:w="108" w:type="dxa"/>
          </w:tblCellMar>
        </w:tblPrEx>
        <w:trPr>
          <w:trHeight w:val="454"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5</w:t>
            </w:r>
          </w:p>
        </w:tc>
        <w:tc>
          <w:tcPr>
            <w:tcW w:w="160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许州路</w:t>
            </w:r>
          </w:p>
        </w:tc>
        <w:tc>
          <w:tcPr>
            <w:tcW w:w="1081"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73890</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73890</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p>
        </w:tc>
        <w:tc>
          <w:tcPr>
            <w:tcW w:w="2198"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莲城大道—永昌路</w:t>
            </w:r>
          </w:p>
        </w:tc>
      </w:tr>
      <w:tr>
        <w:tblPrEx>
          <w:tblLayout w:type="fixed"/>
          <w:tblCellMar>
            <w:top w:w="0" w:type="dxa"/>
            <w:left w:w="108" w:type="dxa"/>
            <w:bottom w:w="0" w:type="dxa"/>
            <w:right w:w="108" w:type="dxa"/>
          </w:tblCellMar>
        </w:tblPrEx>
        <w:trPr>
          <w:trHeight w:val="454"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6</w:t>
            </w:r>
          </w:p>
        </w:tc>
        <w:tc>
          <w:tcPr>
            <w:tcW w:w="16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待移交道路</w:t>
            </w:r>
          </w:p>
        </w:tc>
        <w:tc>
          <w:tcPr>
            <w:tcW w:w="7585" w:type="dxa"/>
            <w:gridSpan w:val="5"/>
            <w:tcBorders>
              <w:top w:val="nil"/>
              <w:left w:val="nil"/>
              <w:bottom w:val="single" w:color="auto" w:sz="4"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包括许鄢快速通道（高速桥—建安区界）</w:t>
            </w:r>
          </w:p>
        </w:tc>
      </w:tr>
      <w:tr>
        <w:tblPrEx>
          <w:tblLayout w:type="fixed"/>
          <w:tblCellMar>
            <w:top w:w="0" w:type="dxa"/>
            <w:left w:w="108" w:type="dxa"/>
            <w:bottom w:w="0" w:type="dxa"/>
            <w:right w:w="108" w:type="dxa"/>
          </w:tblCellMar>
        </w:tblPrEx>
        <w:trPr>
          <w:trHeight w:val="454" w:hRule="atLeast"/>
        </w:trPr>
        <w:tc>
          <w:tcPr>
            <w:tcW w:w="2115"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小  计</w:t>
            </w:r>
          </w:p>
        </w:tc>
        <w:tc>
          <w:tcPr>
            <w:tcW w:w="1081"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392109</w:t>
            </w:r>
          </w:p>
        </w:tc>
        <w:tc>
          <w:tcPr>
            <w:tcW w:w="1435"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345732</w:t>
            </w:r>
          </w:p>
        </w:tc>
        <w:tc>
          <w:tcPr>
            <w:tcW w:w="1435"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46377</w:t>
            </w:r>
          </w:p>
        </w:tc>
        <w:tc>
          <w:tcPr>
            <w:tcW w:w="1436"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0</w:t>
            </w:r>
          </w:p>
        </w:tc>
        <w:tc>
          <w:tcPr>
            <w:tcW w:w="2198"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p>
        </w:tc>
      </w:tr>
    </w:tbl>
    <w:p>
      <w:pPr>
        <w:jc w:val="left"/>
        <w:rPr>
          <w:rFonts w:ascii="宋体" w:hAnsi="宋体" w:eastAsia="宋体" w:cs="微软雅黑"/>
          <w:b/>
          <w:sz w:val="24"/>
          <w:szCs w:val="24"/>
        </w:rPr>
      </w:pPr>
    </w:p>
    <w:p>
      <w:pPr>
        <w:numPr>
          <w:ilvl w:val="0"/>
          <w:numId w:val="4"/>
        </w:numPr>
        <w:jc w:val="center"/>
        <w:rPr>
          <w:rFonts w:ascii="宋体" w:hAnsi="宋体" w:eastAsia="宋体" w:cs="微软雅黑"/>
          <w:b/>
          <w:sz w:val="24"/>
          <w:szCs w:val="24"/>
        </w:rPr>
      </w:pPr>
      <w:r>
        <w:rPr>
          <w:rFonts w:hint="eastAsia" w:ascii="宋体" w:hAnsi="宋体" w:eastAsia="宋体" w:cs="微软雅黑"/>
          <w:b/>
          <w:sz w:val="24"/>
          <w:szCs w:val="24"/>
        </w:rPr>
        <w:t>七标段采购清单</w:t>
      </w:r>
    </w:p>
    <w:p>
      <w:pPr>
        <w:jc w:val="left"/>
        <w:rPr>
          <w:rFonts w:ascii="宋体" w:hAnsi="宋体" w:eastAsia="宋体" w:cs="微软雅黑"/>
          <w:b/>
          <w:sz w:val="24"/>
          <w:szCs w:val="24"/>
        </w:rPr>
      </w:pPr>
    </w:p>
    <w:tbl>
      <w:tblPr>
        <w:tblStyle w:val="23"/>
        <w:tblW w:w="9663" w:type="dxa"/>
        <w:tblInd w:w="-269" w:type="dxa"/>
        <w:tblLayout w:type="fixed"/>
        <w:tblCellMar>
          <w:top w:w="0" w:type="dxa"/>
          <w:left w:w="108" w:type="dxa"/>
          <w:bottom w:w="0" w:type="dxa"/>
          <w:right w:w="108" w:type="dxa"/>
        </w:tblCellMar>
      </w:tblPr>
      <w:tblGrid>
        <w:gridCol w:w="480"/>
        <w:gridCol w:w="1600"/>
        <w:gridCol w:w="1079"/>
        <w:gridCol w:w="1435"/>
        <w:gridCol w:w="1435"/>
        <w:gridCol w:w="1436"/>
        <w:gridCol w:w="2198"/>
      </w:tblGrid>
      <w:tr>
        <w:tblPrEx>
          <w:tblLayout w:type="fixed"/>
          <w:tblCellMar>
            <w:top w:w="0" w:type="dxa"/>
            <w:left w:w="108" w:type="dxa"/>
            <w:bottom w:w="0" w:type="dxa"/>
            <w:right w:w="108" w:type="dxa"/>
          </w:tblCellMar>
        </w:tblPrEx>
        <w:trPr>
          <w:trHeight w:val="454" w:hRule="atLeast"/>
        </w:trPr>
        <w:tc>
          <w:tcPr>
            <w:tcW w:w="480" w:type="dxa"/>
            <w:vMerge w:val="restart"/>
            <w:tcBorders>
              <w:top w:val="single" w:color="auto" w:sz="8" w:space="0"/>
              <w:left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600"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路段</w:t>
            </w:r>
          </w:p>
        </w:tc>
        <w:tc>
          <w:tcPr>
            <w:tcW w:w="1079"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430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管养分级面积（㎡）</w:t>
            </w:r>
          </w:p>
        </w:tc>
        <w:tc>
          <w:tcPr>
            <w:tcW w:w="2198"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位置</w:t>
            </w:r>
          </w:p>
        </w:tc>
      </w:tr>
      <w:tr>
        <w:tblPrEx>
          <w:tblLayout w:type="fixed"/>
          <w:tblCellMar>
            <w:top w:w="0" w:type="dxa"/>
            <w:left w:w="108" w:type="dxa"/>
            <w:bottom w:w="0" w:type="dxa"/>
            <w:right w:w="108" w:type="dxa"/>
          </w:tblCellMar>
        </w:tblPrEx>
        <w:trPr>
          <w:trHeight w:val="454" w:hRule="atLeast"/>
        </w:trPr>
        <w:tc>
          <w:tcPr>
            <w:tcW w:w="48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600"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079"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一级</w:t>
            </w:r>
          </w:p>
        </w:tc>
        <w:tc>
          <w:tcPr>
            <w:tcW w:w="14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二级</w:t>
            </w:r>
          </w:p>
        </w:tc>
        <w:tc>
          <w:tcPr>
            <w:tcW w:w="1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三级</w:t>
            </w:r>
          </w:p>
        </w:tc>
        <w:tc>
          <w:tcPr>
            <w:tcW w:w="2198"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宋体"/>
                <w:kern w:val="0"/>
                <w:sz w:val="34"/>
                <w:szCs w:val="21"/>
              </w:rPr>
            </w:pPr>
            <w:r>
              <w:rPr>
                <w:rFonts w:hint="eastAsia" w:ascii="宋体" w:hAnsi="宋体" w:eastAsia="宋体" w:cs="黑体"/>
                <w:kern w:val="0"/>
                <w:szCs w:val="21"/>
                <w:shd w:val="clear" w:color="auto" w:fill="FFFFFF"/>
              </w:rPr>
              <w:t>文轩路</w:t>
            </w:r>
          </w:p>
        </w:tc>
        <w:tc>
          <w:tcPr>
            <w:tcW w:w="10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11619</w:t>
            </w: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11619</w:t>
            </w:r>
          </w:p>
        </w:tc>
        <w:tc>
          <w:tcPr>
            <w:tcW w:w="1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1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hAnsi="宋体" w:cs="黑体"/>
                <w:szCs w:val="21"/>
                <w:shd w:val="clear" w:color="auto" w:fill="FFFFFF"/>
              </w:rPr>
              <w:t>魏文路—学院路</w:t>
            </w: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宋体"/>
                <w:kern w:val="0"/>
                <w:sz w:val="34"/>
                <w:szCs w:val="21"/>
              </w:rPr>
            </w:pPr>
            <w:r>
              <w:rPr>
                <w:rFonts w:hint="eastAsia" w:ascii="宋体" w:hAnsi="宋体" w:eastAsia="宋体" w:cs="黑体"/>
                <w:kern w:val="0"/>
                <w:szCs w:val="21"/>
                <w:shd w:val="clear" w:color="auto" w:fill="FFFFFF"/>
              </w:rPr>
              <w:t>南海街</w:t>
            </w:r>
          </w:p>
        </w:tc>
        <w:tc>
          <w:tcPr>
            <w:tcW w:w="10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54783</w:t>
            </w: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54783</w:t>
            </w:r>
          </w:p>
        </w:tc>
        <w:tc>
          <w:tcPr>
            <w:tcW w:w="1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1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hAnsi="宋体" w:cs="黑体"/>
                <w:szCs w:val="21"/>
                <w:shd w:val="clear" w:color="auto" w:fill="FFFFFF"/>
              </w:rPr>
              <w:t>青梅路—许州路</w:t>
            </w: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jc w:val="center"/>
              <w:rPr>
                <w:rFonts w:ascii="宋体" w:hAnsi="宋体" w:eastAsia="宋体" w:cs="宋体"/>
                <w:kern w:val="0"/>
                <w:sz w:val="34"/>
                <w:szCs w:val="21"/>
              </w:rPr>
            </w:pPr>
            <w:r>
              <w:rPr>
                <w:rFonts w:hint="eastAsia" w:ascii="宋体" w:hAnsi="宋体" w:eastAsia="宋体" w:cs="黑体"/>
                <w:kern w:val="0"/>
                <w:szCs w:val="21"/>
                <w:shd w:val="clear" w:color="auto" w:fill="FFFFFF"/>
              </w:rPr>
              <w:t>魏武大道</w:t>
            </w:r>
          </w:p>
        </w:tc>
        <w:tc>
          <w:tcPr>
            <w:tcW w:w="10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265422</w:t>
            </w: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265422</w:t>
            </w: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1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hAnsi="宋体" w:cs="黑体"/>
                <w:szCs w:val="21"/>
                <w:shd w:val="clear" w:color="auto" w:fill="FFFFFF"/>
              </w:rPr>
              <w:t>枫林街—魏都区界</w:t>
            </w: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4</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宋体"/>
                <w:kern w:val="0"/>
                <w:sz w:val="34"/>
                <w:szCs w:val="21"/>
              </w:rPr>
            </w:pPr>
            <w:r>
              <w:rPr>
                <w:rFonts w:hint="eastAsia" w:ascii="宋体" w:hAnsi="宋体" w:eastAsia="宋体" w:cs="黑体"/>
                <w:kern w:val="0"/>
                <w:szCs w:val="21"/>
                <w:shd w:val="clear" w:color="auto" w:fill="FFFFFF"/>
              </w:rPr>
              <w:t>东苑街</w:t>
            </w:r>
          </w:p>
        </w:tc>
        <w:tc>
          <w:tcPr>
            <w:tcW w:w="10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11958</w:t>
            </w: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4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11958</w:t>
            </w:r>
          </w:p>
        </w:tc>
        <w:tc>
          <w:tcPr>
            <w:tcW w:w="1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1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hAnsi="宋体" w:cs="黑体"/>
                <w:szCs w:val="21"/>
                <w:shd w:val="clear" w:color="auto" w:fill="FFFFFF"/>
              </w:rPr>
              <w:t>魏武大道—许州路</w:t>
            </w: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5</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景福路</w:t>
            </w:r>
          </w:p>
        </w:tc>
        <w:tc>
          <w:tcPr>
            <w:tcW w:w="1079"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9200</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9200</w:t>
            </w:r>
          </w:p>
        </w:tc>
        <w:tc>
          <w:tcPr>
            <w:tcW w:w="21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hAnsi="宋体" w:cs="黑体"/>
                <w:szCs w:val="21"/>
                <w:shd w:val="clear" w:color="auto" w:fill="FFFFFF"/>
              </w:rPr>
              <w:t>新东街—花都大道</w:t>
            </w: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6</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紫云路</w:t>
            </w:r>
          </w:p>
        </w:tc>
        <w:tc>
          <w:tcPr>
            <w:tcW w:w="1079"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40180</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40180</w:t>
            </w: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p>
        </w:tc>
        <w:tc>
          <w:tcPr>
            <w:tcW w:w="21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hAnsi="宋体" w:cs="黑体"/>
                <w:szCs w:val="21"/>
                <w:shd w:val="clear" w:color="auto" w:fill="FFFFFF"/>
              </w:rPr>
              <w:t>新兴路—八一路</w:t>
            </w: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7</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钧都路</w:t>
            </w:r>
          </w:p>
        </w:tc>
        <w:tc>
          <w:tcPr>
            <w:tcW w:w="1079"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4959</w:t>
            </w: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p>
        </w:tc>
        <w:tc>
          <w:tcPr>
            <w:tcW w:w="1435"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p>
        </w:tc>
        <w:tc>
          <w:tcPr>
            <w:tcW w:w="1436"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4959</w:t>
            </w:r>
          </w:p>
        </w:tc>
        <w:tc>
          <w:tcPr>
            <w:tcW w:w="219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hAnsi="宋体" w:cs="黑体"/>
                <w:szCs w:val="21"/>
                <w:shd w:val="clear" w:color="auto" w:fill="FFFFFF"/>
              </w:rPr>
              <w:t>花都大道—八一路</w:t>
            </w:r>
          </w:p>
        </w:tc>
      </w:tr>
      <w:tr>
        <w:tblPrEx>
          <w:tblLayout w:type="fixed"/>
          <w:tblCellMar>
            <w:top w:w="0" w:type="dxa"/>
            <w:left w:w="108" w:type="dxa"/>
            <w:bottom w:w="0" w:type="dxa"/>
            <w:right w:w="108" w:type="dxa"/>
          </w:tblCellMar>
        </w:tblPrEx>
        <w:trPr>
          <w:trHeight w:val="454"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8</w:t>
            </w:r>
          </w:p>
        </w:tc>
        <w:tc>
          <w:tcPr>
            <w:tcW w:w="1600" w:type="dxa"/>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待移交道路</w:t>
            </w:r>
          </w:p>
        </w:tc>
        <w:tc>
          <w:tcPr>
            <w:tcW w:w="7583" w:type="dxa"/>
            <w:gridSpan w:val="5"/>
            <w:tcBorders>
              <w:top w:val="nil"/>
              <w:left w:val="nil"/>
              <w:bottom w:val="single" w:color="auto" w:sz="4" w:space="0"/>
              <w:right w:val="single" w:color="auto" w:sz="4" w:space="0"/>
            </w:tcBorders>
            <w:shd w:val="clear" w:color="auto" w:fill="auto"/>
            <w:vAlign w:val="center"/>
          </w:tcPr>
          <w:p>
            <w:pPr>
              <w:spacing w:after="120" w:line="240" w:lineRule="exact"/>
              <w:ind w:firstLine="210" w:firstLineChars="100"/>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包括景福路（新东街—福田街）、福田街（魏武大道—景福路）、礼贤路（陈庄街—南海街）、康胜街（魏武大道—许州路）</w:t>
            </w:r>
          </w:p>
        </w:tc>
      </w:tr>
      <w:tr>
        <w:tblPrEx>
          <w:tblLayout w:type="fixed"/>
          <w:tblCellMar>
            <w:top w:w="0" w:type="dxa"/>
            <w:left w:w="108" w:type="dxa"/>
            <w:bottom w:w="0" w:type="dxa"/>
            <w:right w:w="108" w:type="dxa"/>
          </w:tblCellMar>
        </w:tblPrEx>
        <w:trPr>
          <w:trHeight w:val="454" w:hRule="atLeast"/>
        </w:trPr>
        <w:tc>
          <w:tcPr>
            <w:tcW w:w="20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小  计</w:t>
            </w:r>
          </w:p>
        </w:tc>
        <w:tc>
          <w:tcPr>
            <w:tcW w:w="1079"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398121</w:t>
            </w:r>
          </w:p>
        </w:tc>
        <w:tc>
          <w:tcPr>
            <w:tcW w:w="1435"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265422</w:t>
            </w:r>
          </w:p>
        </w:tc>
        <w:tc>
          <w:tcPr>
            <w:tcW w:w="1435"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118540</w:t>
            </w:r>
          </w:p>
        </w:tc>
        <w:tc>
          <w:tcPr>
            <w:tcW w:w="1436"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黑体"/>
                <w:kern w:val="0"/>
                <w:szCs w:val="21"/>
                <w:shd w:val="clear" w:color="auto" w:fill="FFFFFF"/>
              </w:rPr>
            </w:pPr>
            <w:r>
              <w:rPr>
                <w:rFonts w:hint="eastAsia" w:ascii="宋体" w:hAnsi="宋体" w:eastAsia="宋体" w:cs="黑体"/>
                <w:kern w:val="0"/>
                <w:szCs w:val="21"/>
                <w:shd w:val="clear" w:color="auto" w:fill="FFFFFF"/>
              </w:rPr>
              <w:t>14159</w:t>
            </w:r>
          </w:p>
        </w:tc>
        <w:tc>
          <w:tcPr>
            <w:tcW w:w="2198" w:type="dxa"/>
            <w:tcBorders>
              <w:top w:val="nil"/>
              <w:left w:val="nil"/>
              <w:bottom w:val="single" w:color="auto" w:sz="8" w:space="0"/>
              <w:right w:val="single" w:color="auto" w:sz="4" w:space="0"/>
            </w:tcBorders>
            <w:shd w:val="clear" w:color="auto" w:fill="auto"/>
            <w:vAlign w:val="center"/>
          </w:tcPr>
          <w:p>
            <w:pPr>
              <w:jc w:val="center"/>
              <w:rPr>
                <w:rFonts w:ascii="宋体" w:hAnsi="宋体" w:eastAsia="宋体" w:cs="宋体"/>
                <w:kern w:val="0"/>
                <w:szCs w:val="21"/>
              </w:rPr>
            </w:pPr>
          </w:p>
        </w:tc>
      </w:tr>
    </w:tbl>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★三、采购标的执行标准</w:t>
      </w:r>
    </w:p>
    <w:p>
      <w:pPr>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1、</w:t>
      </w:r>
      <w:r>
        <w:rPr>
          <w:rFonts w:hint="eastAsia" w:ascii="宋体" w:hAnsi="宋体" w:eastAsia="宋体" w:cs="宋体"/>
          <w:kern w:val="0"/>
          <w:sz w:val="24"/>
        </w:rPr>
        <w:t>按照采购清单所列的管养范围及等级要求进行对应的绿化管养维护；</w:t>
      </w:r>
    </w:p>
    <w:p>
      <w:pPr>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2、</w:t>
      </w:r>
      <w:r>
        <w:rPr>
          <w:rFonts w:hint="eastAsia" w:ascii="宋体" w:hAnsi="宋体" w:eastAsia="宋体" w:cs="宋体"/>
          <w:kern w:val="0"/>
          <w:sz w:val="24"/>
        </w:rPr>
        <w:t>本项目的绿化管养执行《河南省城市绿地养护标准》（DBJ41/T172-2017）、《许昌市城市绿地养护标准（试行）》；</w:t>
      </w:r>
    </w:p>
    <w:p>
      <w:pPr>
        <w:spacing w:line="360" w:lineRule="auto"/>
        <w:ind w:firstLine="424" w:firstLineChars="177"/>
        <w:jc w:val="left"/>
        <w:rPr>
          <w:rFonts w:ascii="宋体" w:hAnsi="宋体" w:eastAsia="宋体" w:cs="微软雅黑"/>
          <w:b/>
          <w:sz w:val="24"/>
          <w:szCs w:val="24"/>
        </w:rPr>
      </w:pPr>
      <w:r>
        <w:rPr>
          <w:rFonts w:hint="eastAsia" w:ascii="宋体" w:hAnsi="宋体" w:eastAsia="宋体" w:cs="宋体"/>
          <w:kern w:val="0"/>
          <w:sz w:val="24"/>
        </w:rPr>
        <w:t>3、国家及地方颁布的法律、法规，许昌市及东城区制定的其他相关工作标准。</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★四、服务标准、期限等要求</w:t>
      </w:r>
    </w:p>
    <w:p>
      <w:pPr>
        <w:widowControl/>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1、服务标准要求：达到</w:t>
      </w:r>
      <w:r>
        <w:rPr>
          <w:rFonts w:hint="eastAsia" w:ascii="宋体" w:hAnsi="宋体" w:eastAsia="宋体" w:cs="宋体"/>
          <w:kern w:val="0"/>
          <w:sz w:val="24"/>
        </w:rPr>
        <w:t>《河南省城市绿地养护标准》（DBJ41/T172-2017）、《许昌市城市绿地养护标准（试行）》园林绿化养护标准“分类养护”、“环境卫生清洁”、“园林建筑及设施维护”、“巡查保护”。</w:t>
      </w:r>
    </w:p>
    <w:p>
      <w:pPr>
        <w:widowControl/>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考核标准：</w:t>
      </w:r>
    </w:p>
    <w:tbl>
      <w:tblPr>
        <w:tblStyle w:val="23"/>
        <w:tblW w:w="91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783"/>
        <w:gridCol w:w="4171"/>
        <w:gridCol w:w="3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9" w:hRule="atLeast"/>
          <w:jc w:val="center"/>
        </w:trPr>
        <w:tc>
          <w:tcPr>
            <w:tcW w:w="667" w:type="dxa"/>
            <w:tcBorders>
              <w:top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78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考核</w:t>
            </w:r>
          </w:p>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内容</w:t>
            </w: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考核</w:t>
            </w:r>
            <w:r>
              <w:rPr>
                <w:rFonts w:hint="eastAsia" w:ascii="宋体" w:hAnsi="宋体" w:eastAsia="宋体" w:cs="宋体"/>
                <w:b/>
                <w:bCs/>
                <w:sz w:val="24"/>
                <w:szCs w:val="24"/>
              </w:rPr>
              <w:t>标准</w:t>
            </w:r>
          </w:p>
        </w:tc>
        <w:tc>
          <w:tcPr>
            <w:tcW w:w="3499" w:type="dxa"/>
            <w:tcBorders>
              <w:top w:val="single" w:color="auto" w:sz="4" w:space="0"/>
              <w:left w:val="single" w:color="auto" w:sz="4" w:space="0"/>
              <w:bottom w:val="single" w:color="auto" w:sz="4" w:space="0"/>
            </w:tcBorders>
            <w:noWrap/>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8" w:hRule="atLeast"/>
          <w:jc w:val="center"/>
        </w:trPr>
        <w:tc>
          <w:tcPr>
            <w:tcW w:w="667" w:type="dxa"/>
            <w:vMerge w:val="restart"/>
            <w:tcBorders>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w:t>
            </w:r>
          </w:p>
          <w:p>
            <w:pPr>
              <w:widowControl/>
              <w:spacing w:line="260" w:lineRule="exact"/>
              <w:jc w:val="center"/>
              <w:rPr>
                <w:rFonts w:ascii="宋体" w:hAnsi="宋体" w:eastAsia="宋体" w:cs="宋体"/>
                <w:kern w:val="0"/>
                <w:sz w:val="24"/>
                <w:szCs w:val="24"/>
              </w:rPr>
            </w:pPr>
          </w:p>
        </w:tc>
        <w:tc>
          <w:tcPr>
            <w:tcW w:w="783" w:type="dxa"/>
            <w:vMerge w:val="restart"/>
            <w:tcBorders>
              <w:left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绿化植物养护</w:t>
            </w: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绿化养护管理制度健全，技术措施完善。有年、月生产管理计划，月生产管理检查记录、病虫害调查记录及防治措施等，计划、记录认真详细。</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缺少一项扣0.5分。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乔灌花草藤适时浇水，无旱象。</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浇水不及时，植物现旱象扣0.2分，造成植物死亡的扣1分。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各种树木上无栓绳子、乱扯乱挂现象（公益性活动横幅除外）。</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绿地草坪无人为践踏，无焚烧草坪、树枝、落叶现象。</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7"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每年入冬对行道树树干刷白一次。</w:t>
            </w:r>
          </w:p>
        </w:tc>
        <w:tc>
          <w:tcPr>
            <w:tcW w:w="3499" w:type="dxa"/>
            <w:tcBorders>
              <w:top w:val="single" w:color="auto" w:sz="4" w:space="0"/>
              <w:left w:val="single" w:color="auto" w:sz="4" w:space="0"/>
              <w:bottom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没有对行道树树干刷白的，扣1分。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67"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各类植物生长旺盛，生长季节无卷叶、焦叶，黄化、枯萎现象；无杂藤绕树；绿篱模纹不得夹生杂草；无死株、缺株、残株；无倒伏、倾斜。藤本及攀援植物及时绑缚牵引。</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有杂藤绕树，绿篱模纹夹生杂草每处扣0.1分；有倒伏、倾斜树木每处扣0.2分；藤本及攀援植物未及时牵引每处扣0.1分；死树、缺株每处扣0.3分；绿篱断档超过50cm每处扣0.2分；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9"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sz w:val="24"/>
                <w:szCs w:val="24"/>
              </w:rPr>
              <w:t>绿地内植物无明显病虫害危害现象；用药科学合理，无药害发生。</w:t>
            </w:r>
          </w:p>
        </w:tc>
        <w:tc>
          <w:tcPr>
            <w:tcW w:w="3499" w:type="dxa"/>
            <w:tcBorders>
              <w:top w:val="single" w:color="auto" w:sz="4" w:space="0"/>
              <w:left w:val="single" w:color="auto" w:sz="4" w:space="0"/>
              <w:bottom w:val="single" w:color="auto" w:sz="4" w:space="0"/>
            </w:tcBorders>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sz w:val="24"/>
                <w:szCs w:val="24"/>
              </w:rPr>
              <w:t>“病虫危害根据危害程度酌情扣0.1至0.2分；药害根据危害程度酌情扣0.1至0.2分。”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95" w:hRule="atLeast"/>
          <w:jc w:val="center"/>
        </w:trPr>
        <w:tc>
          <w:tcPr>
            <w:tcW w:w="667" w:type="dxa"/>
            <w:vMerge w:val="continue"/>
            <w:tcBorders>
              <w:right w:val="single" w:color="auto" w:sz="4" w:space="0"/>
            </w:tcBorders>
            <w:noWrap/>
            <w:vAlign w:val="center"/>
          </w:tcPr>
          <w:p>
            <w:pPr>
              <w:widowControl/>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发现绿化植物被损坏或出现死亡，必须于24小时内作出应急处理，并视季节及时进行补植，栽植季节，7日内补植到位；非栽植季节，对广场内有树穴的树木，3日内用透水砖等硬化材料对空树穴进行临时性硬化处理。</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发现树木被损坏或出现死亡，没有在24小时内作出应急处理，扣0.2分；栽植季节，7日内未补植，扣0.3分；非栽植季节，3日内未用透水砖等硬化材料对空树穴进行临时性硬化处理，扣0.2分。</w:t>
            </w:r>
          </w:p>
          <w:p>
            <w:pPr>
              <w:widowControl/>
              <w:spacing w:line="26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5"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类乔木要根据树木生长习性合理修剪，修剪留枝合理，树形美观，剪口平滑，无残桩，无劈裂，大的伤口有保护措施；花灌木修剪时间符合开花特性，方法科学合理。整形植物（绿篱、模纹、造型植物）修剪及时，造型美观，或曲线圆滑，或横平竖直：对绿篱植物要按照控制高度修剪整齐，做到三个面两条边线整齐划一，外观形象整齐美观；对有变化的几何图形的模纹，要求边线自然顺滑流畅，整体外观形象规范整齐；球类植物修剪后，圆满紧凑，冠形匀称，中心两侧均衡，整体外观形象好。对小叶女贞等造型树，要按照造型标准对云片进行整形修剪，并对树干、主枝或根部长出的萌蘖枝条进行去除。</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萌蘖枝、交叉枝等未疏除或疏剪不合理每处扣0.1分；有严重干枯枝、折断枝未清除每株扣0.2分；影响游人通行的下垂枝条修剪不及时，每株扣0.1分；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整形植物修剪不及时，植物冒梢〔小龙柏除外，红叶石楠、金叶女贞等春（秋）叶色观赏期除外〕超过10cm未修剪,每处扣0.2分；整形植物修剪不美观酌情扣分（0.2-0.5分）；修剪时间及方法不合理、不规范，视情况扣0.2-0.5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草坪、地被植物长势一致，色泽正常，无杂草，无斑秃；草坪应适时适度合理修剪（草坪高度不超过8公分），达到草坪面平整流畅美观，碎草清洁率要达到95%以上；入冬后，要及时清除落叶和干草，修剪干枯的暖季型草坪，为树木和绿篱模纹打防火圈、防火道，无焚烧草坪、落叶现象。</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长势项酌情扣分0.1分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杂草项每平方米超过5棵且明显高于草坪地被每处扣0.2分；斑秃超过0.5m2每处扣0.1分；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修剪后碎草清洁率达不到95%，扣0.3分；未达到草坪防火要求，每项扣0.2分；未及时浇水松土除草扣0.2分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开花地被（含水生植物）花繁叶茂，及时浇水松土除草，无残梗败花，花后及时修剪或更换。</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残梗败花未及时清理或更换扣0.2分。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 w:hRule="atLeast"/>
          <w:jc w:val="center"/>
        </w:trPr>
        <w:tc>
          <w:tcPr>
            <w:tcW w:w="667" w:type="dxa"/>
            <w:vMerge w:val="continue"/>
            <w:tcBorders>
              <w:right w:val="single" w:color="auto" w:sz="4" w:space="0"/>
            </w:tcBorders>
            <w:noWrap/>
            <w:vAlign w:val="center"/>
          </w:tcPr>
          <w:p>
            <w:pPr>
              <w:spacing w:line="260" w:lineRule="exact"/>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绿地内地面无明显凸起凹陷，微地形起伏自然；土壤疏松肥沃，墒情良好，无旱象，无积水。</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有坑洼或突起每处扣0.1分；</w:t>
            </w:r>
          </w:p>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浇水不及时，植物有旱象，视严重程度扣0.2-0.5分，造成植物死亡的每处扣1分；土壤板结或积水每处扣0.1分。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jc w:val="center"/>
        </w:trPr>
        <w:tc>
          <w:tcPr>
            <w:tcW w:w="667" w:type="dxa"/>
            <w:vMerge w:val="restart"/>
            <w:tcBorders>
              <w:top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2</w:t>
            </w:r>
          </w:p>
          <w:p>
            <w:pPr>
              <w:spacing w:line="260" w:lineRule="exact"/>
              <w:ind w:firstLine="480" w:firstLineChars="200"/>
              <w:jc w:val="center"/>
              <w:rPr>
                <w:rFonts w:ascii="宋体" w:hAnsi="宋体" w:eastAsia="宋体" w:cs="宋体"/>
                <w:kern w:val="0"/>
                <w:sz w:val="24"/>
                <w:szCs w:val="24"/>
              </w:rPr>
            </w:pPr>
          </w:p>
        </w:tc>
        <w:tc>
          <w:tcPr>
            <w:tcW w:w="783" w:type="dxa"/>
            <w:vMerge w:val="restart"/>
            <w:tcBorders>
              <w:top w:val="single" w:color="auto" w:sz="4" w:space="0"/>
              <w:left w:val="single" w:color="auto" w:sz="4" w:space="0"/>
              <w:right w:val="single" w:color="auto" w:sz="4" w:space="0"/>
            </w:tcBorders>
            <w:noWrap/>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游园容貌环境卫生及园林设施管理</w:t>
            </w: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果皮箱保持外观清洁、完好，箱内垃圾及时清理无外溢。</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果皮箱外观不清洁每个扣0.1分，箱内有陈积垃圾外溢，清理不及时每个扣0.1分。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jc w:val="center"/>
        </w:trPr>
        <w:tc>
          <w:tcPr>
            <w:tcW w:w="667" w:type="dxa"/>
            <w:vMerge w:val="continue"/>
            <w:tcBorders>
              <w:right w:val="single" w:color="auto" w:sz="4" w:space="0"/>
            </w:tcBorders>
            <w:noWrap/>
            <w:vAlign w:val="center"/>
          </w:tcPr>
          <w:p>
            <w:pPr>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spacing w:line="260" w:lineRule="exact"/>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无私搭乱建；无胡喷乱画、乱贴小广告、私拉乱扯等现象。</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私搭乱建、胡喷乱画一处扣0.1分；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绿地内无纸屑、塑料袋、瓜果皮核和其他丢弃物。无垃圾积存。</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7" w:hRule="atLeast"/>
          <w:jc w:val="center"/>
        </w:trPr>
        <w:tc>
          <w:tcPr>
            <w:tcW w:w="667" w:type="dxa"/>
            <w:vMerge w:val="continue"/>
            <w:tcBorders>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各种园林建筑、构筑物、雕塑、文化墙、假山叠石、驳岸、景石、小品等外观整洁。</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发现未达要求，每处扣0.1分。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667" w:type="dxa"/>
            <w:vMerge w:val="continue"/>
            <w:tcBorders>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2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园路、广场、台阶无积土、无污渍、无积水、无落枝，落叶清扫及时彻底。</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bCs/>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保洁制度健全，保洁到位。</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保洁制度不健全，每次扣0.2分。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0" w:hRule="atLeast"/>
          <w:jc w:val="center"/>
        </w:trPr>
        <w:tc>
          <w:tcPr>
            <w:tcW w:w="667" w:type="dxa"/>
            <w:vMerge w:val="continue"/>
            <w:tcBorders>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26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喷灌设施完好，冬季有防护措施，无跑、冒、滴、漏现象。</w:t>
            </w:r>
          </w:p>
        </w:tc>
        <w:tc>
          <w:tcPr>
            <w:tcW w:w="3499" w:type="dxa"/>
            <w:tcBorders>
              <w:top w:val="single" w:color="auto" w:sz="4" w:space="0"/>
              <w:left w:val="single" w:color="auto" w:sz="4" w:space="0"/>
              <w:bottom w:val="single" w:color="auto" w:sz="4" w:space="0"/>
            </w:tcBorders>
            <w:noWrap/>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4"/>
                <w:szCs w:val="24"/>
              </w:rPr>
              <w:t>发现跑、冒、滴、漏每处扣0.1分；冬季无防护措施每处扣0.1分。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各种园林设施及时擦洗，保持外观整洁美观。</w:t>
            </w:r>
          </w:p>
        </w:tc>
        <w:tc>
          <w:tcPr>
            <w:tcW w:w="3499" w:type="dxa"/>
            <w:tcBorders>
              <w:top w:val="single" w:color="auto" w:sz="4" w:space="0"/>
              <w:left w:val="single" w:color="auto" w:sz="4" w:space="0"/>
              <w:bottom w:val="single" w:color="auto" w:sz="4" w:space="0"/>
            </w:tcBorders>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1" w:hRule="atLeast"/>
          <w:jc w:val="center"/>
        </w:trPr>
        <w:tc>
          <w:tcPr>
            <w:tcW w:w="667" w:type="dxa"/>
            <w:vMerge w:val="continue"/>
            <w:tcBorders>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783" w:type="dxa"/>
            <w:vMerge w:val="continue"/>
            <w:tcBorders>
              <w:left w:val="single" w:color="auto" w:sz="4" w:space="0"/>
              <w:right w:val="single" w:color="auto" w:sz="4" w:space="0"/>
            </w:tcBorders>
            <w:noWrap/>
            <w:vAlign w:val="center"/>
          </w:tcPr>
          <w:p>
            <w:pPr>
              <w:widowControl/>
              <w:spacing w:line="300" w:lineRule="exact"/>
              <w:ind w:firstLine="480" w:firstLineChars="200"/>
              <w:jc w:val="center"/>
              <w:rPr>
                <w:rFonts w:ascii="宋体" w:hAnsi="宋体" w:eastAsia="宋体" w:cs="宋体"/>
                <w:kern w:val="0"/>
                <w:sz w:val="24"/>
                <w:szCs w:val="24"/>
              </w:rPr>
            </w:pPr>
          </w:p>
        </w:tc>
        <w:tc>
          <w:tcPr>
            <w:tcW w:w="41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kern w:val="0"/>
                <w:sz w:val="24"/>
                <w:szCs w:val="24"/>
              </w:rPr>
            </w:pPr>
            <w:r>
              <w:rPr>
                <w:rFonts w:hint="eastAsia" w:ascii="宋体" w:hAnsi="宋体" w:eastAsia="宋体" w:cs="宋体"/>
                <w:sz w:val="24"/>
                <w:szCs w:val="24"/>
              </w:rPr>
              <w:t>水面打捞及时，无漂浮杂物、杂草；垃圾及时清理，重点地区随产随清。</w:t>
            </w:r>
          </w:p>
        </w:tc>
        <w:tc>
          <w:tcPr>
            <w:tcW w:w="3499" w:type="dxa"/>
            <w:tcBorders>
              <w:top w:val="single" w:color="auto" w:sz="4" w:space="0"/>
              <w:left w:val="single" w:color="auto" w:sz="4" w:space="0"/>
              <w:bottom w:val="single" w:color="auto" w:sz="4" w:space="0"/>
            </w:tcBorders>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发现一处未达要求扣0.1分。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667" w:type="dxa"/>
            <w:vMerge w:val="restart"/>
            <w:noWrap/>
            <w:vAlign w:val="center"/>
          </w:tcPr>
          <w:p>
            <w:pPr>
              <w:jc w:val="center"/>
              <w:rPr>
                <w:rFonts w:ascii="宋体" w:hAnsi="宋体" w:eastAsia="宋体" w:cs="宋体"/>
                <w:b/>
                <w:sz w:val="24"/>
                <w:szCs w:val="24"/>
              </w:rPr>
            </w:pPr>
            <w:r>
              <w:rPr>
                <w:rFonts w:hint="eastAsia" w:ascii="宋体" w:hAnsi="宋体" w:eastAsia="宋体" w:cs="宋体"/>
                <w:sz w:val="24"/>
                <w:szCs w:val="24"/>
              </w:rPr>
              <w:t>3</w:t>
            </w:r>
          </w:p>
        </w:tc>
        <w:tc>
          <w:tcPr>
            <w:tcW w:w="783" w:type="dxa"/>
            <w:vMerge w:val="restart"/>
            <w:noWrap/>
            <w:vAlign w:val="center"/>
          </w:tcPr>
          <w:p>
            <w:pPr>
              <w:jc w:val="center"/>
              <w:rPr>
                <w:rFonts w:ascii="宋体" w:hAnsi="宋体" w:eastAsia="宋体" w:cs="宋体"/>
                <w:b/>
                <w:sz w:val="24"/>
                <w:szCs w:val="24"/>
              </w:rPr>
            </w:pPr>
            <w:r>
              <w:rPr>
                <w:rFonts w:hint="eastAsia" w:ascii="宋体" w:hAnsi="宋体" w:eastAsia="宋体" w:cs="宋体"/>
                <w:sz w:val="24"/>
                <w:szCs w:val="24"/>
              </w:rPr>
              <w:t>安全生产管理</w:t>
            </w: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安全管理机构健全，制度完善，安全工作符合规范。应急预案完善，可操作性强，事故处理及时、妥当，记录准确，档案齐全。</w:t>
            </w:r>
          </w:p>
        </w:tc>
        <w:tc>
          <w:tcPr>
            <w:tcW w:w="3499"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制度、档案不齐全扣0.5分；事故处理不及时扣1分。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sz w:val="24"/>
                <w:szCs w:val="24"/>
              </w:rPr>
            </w:pPr>
            <w:r>
              <w:rPr>
                <w:rFonts w:hint="eastAsia" w:ascii="宋体" w:hAnsi="宋体" w:eastAsia="宋体" w:cs="宋体"/>
                <w:sz w:val="24"/>
                <w:szCs w:val="24"/>
              </w:rPr>
              <w:t>规范使用园林机械及农药，保证工作人员及游人安全。</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使用机械、农药不按规范操作一项扣0.3分。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widowControl/>
              <w:spacing w:line="380" w:lineRule="exact"/>
              <w:jc w:val="center"/>
              <w:rPr>
                <w:rFonts w:ascii="宋体" w:hAnsi="宋体" w:eastAsia="宋体" w:cs="宋体"/>
                <w:sz w:val="24"/>
                <w:szCs w:val="24"/>
              </w:rPr>
            </w:pPr>
            <w:r>
              <w:rPr>
                <w:rFonts w:hint="eastAsia" w:ascii="宋体" w:hAnsi="宋体" w:eastAsia="宋体" w:cs="宋体"/>
                <w:kern w:val="0"/>
                <w:sz w:val="24"/>
                <w:szCs w:val="24"/>
              </w:rPr>
              <w:t>各种设施、设备运行良好，无安全隐患；防护设施和安全警示标志醒目、规范、完备。</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设施设备运行不良，存在安全隐患，一处扣0.3分；防护设施不完备、安全警示标志不醒目、不规范一处扣0.2分。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667"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783"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三件办理情况</w:t>
            </w:r>
          </w:p>
        </w:tc>
        <w:tc>
          <w:tcPr>
            <w:tcW w:w="4171" w:type="dxa"/>
            <w:noWrap/>
            <w:vAlign w:val="center"/>
          </w:tcPr>
          <w:p>
            <w:pPr>
              <w:widowControl/>
              <w:spacing w:line="380" w:lineRule="exact"/>
              <w:jc w:val="center"/>
              <w:rPr>
                <w:rFonts w:ascii="宋体" w:hAnsi="宋体" w:eastAsia="宋体" w:cs="宋体"/>
                <w:sz w:val="24"/>
                <w:szCs w:val="24"/>
              </w:rPr>
            </w:pPr>
            <w:r>
              <w:rPr>
                <w:rFonts w:hint="eastAsia" w:ascii="宋体" w:hAnsi="宋体" w:eastAsia="宋体" w:cs="宋体"/>
                <w:kern w:val="0"/>
                <w:sz w:val="24"/>
                <w:szCs w:val="24"/>
              </w:rPr>
              <w:t>接受领导监督、群众举报管理。</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领导批示、群众举报件，经查证属实，每一件不符合管理标准的问题，扣1分。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园林绿化数管案件，记录完善，处理率100％。</w:t>
            </w:r>
          </w:p>
        </w:tc>
        <w:tc>
          <w:tcPr>
            <w:tcW w:w="3499" w:type="dxa"/>
            <w:noWrap/>
            <w:vAlign w:val="center"/>
          </w:tcPr>
          <w:p>
            <w:pPr>
              <w:jc w:val="center"/>
              <w:rPr>
                <w:rFonts w:ascii="宋体" w:hAnsi="宋体" w:eastAsia="宋体" w:cs="宋体"/>
                <w:sz w:val="24"/>
                <w:szCs w:val="24"/>
              </w:rPr>
            </w:pPr>
            <w:r>
              <w:rPr>
                <w:rFonts w:hint="eastAsia" w:ascii="宋体" w:hAnsi="宋体" w:eastAsia="宋体" w:cs="宋体"/>
                <w:kern w:val="0"/>
                <w:sz w:val="24"/>
                <w:szCs w:val="24"/>
              </w:rPr>
              <w:t>三件办理率低于90%的，对责任单位每件扣1分。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67"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783"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服务秩序管理</w:t>
            </w:r>
          </w:p>
        </w:tc>
        <w:tc>
          <w:tcPr>
            <w:tcW w:w="4171"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无违规车辆出入，严禁绿地上停放车辆。</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车辆违规出入一次扣0.1分；绿地上停放车辆，每处扣0.1分。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设有咨询、投诉电话，沟通渠道畅通，咨询、投诉处理及时，记录完善，处理率100％。</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投诉处理不及时，一次扣0.5分。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67"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783" w:type="dxa"/>
            <w:vMerge w:val="restart"/>
            <w:noWrap/>
            <w:vAlign w:val="center"/>
          </w:tcPr>
          <w:p>
            <w:pPr>
              <w:jc w:val="center"/>
              <w:rPr>
                <w:rFonts w:ascii="宋体" w:hAnsi="宋体" w:eastAsia="宋体" w:cs="宋体"/>
                <w:sz w:val="24"/>
                <w:szCs w:val="24"/>
              </w:rPr>
            </w:pPr>
            <w:r>
              <w:rPr>
                <w:rFonts w:hint="eastAsia" w:ascii="宋体" w:hAnsi="宋体" w:eastAsia="宋体" w:cs="宋体"/>
                <w:sz w:val="24"/>
                <w:szCs w:val="24"/>
              </w:rPr>
              <w:t>特别条款</w:t>
            </w: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对发生在本管辖区域内的毁绿、损绿行为，采取不报告或者故意隐瞒的。</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除按照标准赔偿损失外，视情况对管辖方处以1—5倍罚款，并记录诚信。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因上级指令行为，如迎检、重大庆典等须养护单位配合。</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未配合一次扣1-2分，并记录诚信。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对上级督办和投诉、媒体曝光事项处理不及时，造成严重后果的。</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667" w:type="dxa"/>
            <w:vMerge w:val="continue"/>
            <w:noWrap/>
            <w:vAlign w:val="center"/>
          </w:tcPr>
          <w:p>
            <w:pPr>
              <w:jc w:val="center"/>
              <w:rPr>
                <w:rFonts w:ascii="宋体" w:hAnsi="宋体" w:eastAsia="宋体" w:cs="宋体"/>
                <w:sz w:val="24"/>
                <w:szCs w:val="24"/>
              </w:rPr>
            </w:pPr>
          </w:p>
        </w:tc>
        <w:tc>
          <w:tcPr>
            <w:tcW w:w="783" w:type="dxa"/>
            <w:vMerge w:val="continue"/>
            <w:noWrap/>
            <w:vAlign w:val="center"/>
          </w:tcPr>
          <w:p>
            <w:pPr>
              <w:jc w:val="center"/>
              <w:rPr>
                <w:rFonts w:ascii="宋体" w:hAnsi="宋体" w:eastAsia="宋体" w:cs="宋体"/>
                <w:sz w:val="24"/>
                <w:szCs w:val="24"/>
              </w:rPr>
            </w:pPr>
          </w:p>
        </w:tc>
        <w:tc>
          <w:tcPr>
            <w:tcW w:w="4171" w:type="dxa"/>
            <w:noWrap/>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对因抗旱不力或发生大面积病虫害，且拒不整改落实的。</w:t>
            </w:r>
          </w:p>
        </w:tc>
        <w:tc>
          <w:tcPr>
            <w:tcW w:w="3499" w:type="dxa"/>
            <w:noWrap/>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每次扣1—2分。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450" w:type="dxa"/>
            <w:gridSpan w:val="2"/>
            <w:noWrap/>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c>
          <w:tcPr>
            <w:tcW w:w="7670" w:type="dxa"/>
            <w:gridSpan w:val="2"/>
            <w:noWrap/>
            <w:vAlign w:val="center"/>
          </w:tcPr>
          <w:p>
            <w:pPr>
              <w:widowControl/>
              <w:tabs>
                <w:tab w:val="left" w:pos="1451"/>
              </w:tabs>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此表分值不限，累计叠加，每分1000元，罚款从管养经费中扣除。</w:t>
            </w:r>
          </w:p>
        </w:tc>
      </w:tr>
    </w:tbl>
    <w:p>
      <w:pPr>
        <w:widowControl/>
        <w:spacing w:line="360" w:lineRule="auto"/>
        <w:ind w:firstLine="424" w:firstLineChars="177"/>
        <w:jc w:val="left"/>
        <w:rPr>
          <w:rFonts w:ascii="宋体" w:hAnsi="宋体" w:eastAsia="宋体" w:cs="微软雅黑"/>
          <w:sz w:val="24"/>
          <w:szCs w:val="24"/>
        </w:rPr>
      </w:pPr>
      <w:r>
        <w:rPr>
          <w:rFonts w:hint="eastAsia" w:ascii="宋体" w:hAnsi="宋体" w:eastAsia="宋体" w:cs="微软雅黑"/>
          <w:sz w:val="24"/>
          <w:szCs w:val="24"/>
        </w:rPr>
        <w:t>2、服务期限：三年（每年签订1次服务合同）。</w:t>
      </w:r>
    </w:p>
    <w:p>
      <w:pPr>
        <w:widowControl/>
        <w:spacing w:line="360" w:lineRule="auto"/>
        <w:ind w:firstLine="424" w:firstLineChars="177"/>
        <w:jc w:val="left"/>
        <w:rPr>
          <w:rFonts w:ascii="宋体" w:hAnsi="宋体" w:eastAsia="宋体" w:cs="微软雅黑"/>
          <w:sz w:val="24"/>
          <w:szCs w:val="24"/>
        </w:rPr>
      </w:pPr>
      <w:r>
        <w:rPr>
          <w:rFonts w:hint="eastAsia" w:ascii="宋体" w:hAnsi="宋体" w:eastAsia="宋体" w:cs="微软雅黑"/>
          <w:sz w:val="24"/>
          <w:szCs w:val="24"/>
        </w:rPr>
        <w:t>3、</w:t>
      </w:r>
      <w:r>
        <w:rPr>
          <w:rFonts w:hint="eastAsia" w:ascii="宋体" w:hAnsi="宋体" w:eastAsia="宋体" w:cs="宋体"/>
          <w:kern w:val="0"/>
          <w:sz w:val="24"/>
        </w:rPr>
        <w:t>投标人须承诺在中标后按照招标文件规定的考核标准接受定期考核。</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★五、采购标的的其他技术、服务等要求</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1、投标人须针对本项目设立项目管理机构，并按照以下要求进行人员、设备及仪器配备：</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（1）人员配备：项目管理人员配备中包括（但不限于）项目负责人1名、项目技术负责人1名、项目专职安全员1名。</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2）按照标准配备管养人员（一级道路及游园人均管养面积：每人不高于4000㎡、二级道路及游园人均管养面积：每人不高于6000㎡、三级道路及游园人均管养面积：每人不高于8000㎡），投标人须承诺在中标后所配备管养人员不低于所列标准要求。</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（3）管养设备配备：投标人投入本项目的管养设备包括（但不限于）水车、水泵、割灌机、草坪修剪机、绿篱修剪机、打药机、高枝锯、油锯。</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2、项目负责人必须常驻本项目，每月驻本项目工作时间不得低于23天，未经采购人同意不得擅自离岗。项目负责人应与投标文件中的项目负责人一致，未经采购人同意不得更换；</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3、中标人须按月份详细编制养护实施方案，主要包括各类型植物（例如：绿地中的行道树、路边草坪、分隔带的模纹色块、花灌木、四季草花等）养护任务描述、具体的作业如修剪、施肥、除草、用药、中耕松土的频率，相应的人员配备、设施配备、材料配置等内容；</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4、中标人负责养护区域内园林设施的管理、巡视并按照合同约定定期汇报使用状况。巡视并制止任何未经许可的装饰装修、基建、通讯、电力、燃气等施工需占用、开挖、改造绿地以及移植、砍伐、修剪树木等行为，并同时上报采购人；</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★六、验收标准</w:t>
      </w:r>
    </w:p>
    <w:p>
      <w:pPr>
        <w:spacing w:line="360" w:lineRule="auto"/>
        <w:ind w:firstLine="424" w:firstLineChars="177"/>
        <w:contextualSpacing/>
        <w:rPr>
          <w:rFonts w:ascii="宋体" w:hAnsi="宋体" w:eastAsia="宋体" w:cs="仿宋_GB2312"/>
          <w:sz w:val="24"/>
          <w:szCs w:val="24"/>
          <w:lang w:val="zh-CN"/>
        </w:rPr>
      </w:pPr>
      <w:r>
        <w:rPr>
          <w:rFonts w:hint="eastAsia" w:ascii="宋体" w:hAnsi="宋体" w:eastAsia="宋体" w:cs="仿宋_GB2312"/>
          <w:sz w:val="24"/>
          <w:szCs w:val="24"/>
          <w:lang w:val="zh-CN"/>
        </w:rPr>
        <w:t>由采购人成立验收小组,按照招标文件要求、投标文件响应和承诺以及采购合同的约定的标准，每年度末对中标人的每一项技术、服务、安全标准履约情况进行验收。</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★七、本项目预算金额</w:t>
      </w:r>
    </w:p>
    <w:p>
      <w:pPr>
        <w:spacing w:line="360" w:lineRule="auto"/>
        <w:ind w:firstLine="424" w:firstLineChars="176"/>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东城区园林绿化管养招标控制价（即最高限价）为：一级道路及游园绿地6.2元/㎡·年；二级道路及游园绿地5.1元/㎡·年；三级道路及游园绿地4.0元/㎡·年；保安配备2533元/人</w:t>
      </w:r>
      <w:r>
        <w:rPr>
          <w:rFonts w:hint="eastAsia" w:ascii="宋体" w:hAnsi="宋体" w:eastAsia="宋体" w:cs="仿宋_GB2312"/>
          <w:b/>
          <w:sz w:val="24"/>
          <w:szCs w:val="24"/>
        </w:rPr>
        <w:t>·</w:t>
      </w:r>
      <w:r>
        <w:rPr>
          <w:rFonts w:hint="eastAsia" w:ascii="宋体" w:hAnsi="宋体" w:eastAsia="宋体" w:cs="仿宋_GB2312"/>
          <w:b/>
          <w:sz w:val="24"/>
          <w:szCs w:val="24"/>
          <w:lang w:val="zh-CN"/>
        </w:rPr>
        <w:t>月（包括单位交纳养老保险、医疗保险、工伤保险、生育保险、失业保险等）。</w:t>
      </w:r>
    </w:p>
    <w:p>
      <w:pPr>
        <w:spacing w:line="360" w:lineRule="auto"/>
        <w:ind w:firstLine="424" w:firstLineChars="176"/>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本项目投标报价采用费率形式，开标一览表中填报相对于控制价的百分比（保安人员费除外），一级、二级、三级道路游园绿地的投标费率必须一致；保安配备人员费为不可竞争费用，投标人应在投标分项报价表中足额填报并承诺中标后足额发放。</w:t>
      </w:r>
    </w:p>
    <w:p>
      <w:pPr>
        <w:spacing w:line="360" w:lineRule="auto"/>
        <w:ind w:firstLine="424" w:firstLineChars="176"/>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费率超出100%的投标无效。</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★八、资金支付</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szCs w:val="24"/>
          <w:lang w:val="zh-CN"/>
        </w:rPr>
        <w:t>1、支付方式：银行转账。</w:t>
      </w:r>
    </w:p>
    <w:p>
      <w:pPr>
        <w:widowControl/>
        <w:shd w:val="clear" w:color="auto" w:fill="FFFFFF"/>
        <w:spacing w:line="360" w:lineRule="auto"/>
        <w:ind w:firstLine="424" w:firstLineChars="177"/>
        <w:contextualSpacing/>
        <w:jc w:val="left"/>
        <w:rPr>
          <w:rFonts w:ascii="宋体" w:hAnsi="宋体" w:eastAsia="宋体" w:cs="宋体"/>
          <w:kern w:val="0"/>
          <w:sz w:val="24"/>
          <w:szCs w:val="24"/>
          <w:u w:val="single"/>
          <w:lang w:val="zh-CN"/>
        </w:rPr>
      </w:pPr>
      <w:r>
        <w:rPr>
          <w:rFonts w:hint="eastAsia" w:ascii="宋体" w:hAnsi="宋体" w:eastAsia="宋体" w:cs="宋体"/>
          <w:kern w:val="0"/>
          <w:sz w:val="24"/>
          <w:szCs w:val="24"/>
          <w:lang w:val="zh-CN"/>
        </w:rPr>
        <w:t>2、支付时间及金额：</w:t>
      </w:r>
      <w:r>
        <w:rPr>
          <w:rFonts w:hint="eastAsia" w:ascii="宋体" w:hAnsi="宋体" w:eastAsia="宋体" w:cs="宋体"/>
          <w:kern w:val="0"/>
          <w:sz w:val="24"/>
          <w:szCs w:val="24"/>
          <w:u w:val="single"/>
          <w:lang w:val="zh-CN"/>
        </w:rPr>
        <w:t>一年支付两次，签订合同实施半年后支付第一次费用，第一次支付费用为中标费率×招标控制价×管养面积×</w:t>
      </w:r>
      <w:r>
        <w:rPr>
          <w:rFonts w:hint="eastAsia" w:ascii="宋体" w:hAnsi="宋体" w:eastAsia="宋体" w:cs="宋体"/>
          <w:kern w:val="0"/>
          <w:sz w:val="24"/>
          <w:szCs w:val="24"/>
          <w:u w:val="single"/>
        </w:rPr>
        <w:t>30%</w:t>
      </w:r>
      <w:r>
        <w:rPr>
          <w:rFonts w:hint="eastAsia" w:ascii="宋体" w:hAnsi="宋体" w:eastAsia="宋体" w:cs="宋体"/>
          <w:kern w:val="0"/>
          <w:sz w:val="24"/>
          <w:szCs w:val="24"/>
          <w:u w:val="single"/>
          <w:lang w:val="zh-CN"/>
        </w:rPr>
        <w:t>，第二次支付费用为当年审计决算总额扣除第一次支付费用后的余额。（管养面积以第三方测绘公司出具的正式报告为准）</w:t>
      </w:r>
    </w:p>
    <w:p>
      <w:pPr>
        <w:widowControl/>
        <w:shd w:val="clear" w:color="auto" w:fill="FFFFFF"/>
        <w:spacing w:line="360" w:lineRule="auto"/>
        <w:ind w:firstLine="424" w:firstLineChars="177"/>
        <w:contextualSpacing/>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注：承包人应理解政府部门付款的相关程序，因发包人使用的是财政资金，供应商（施工方）规定的付款时间为向政府财政支付部门提出办理财政支付申请手续的时间，不含政府财政支付部门审核的时间。因政府财政支付审批流程及办理手续而造成项目支付进度有所推延，而导致发包人逾期付款的，发包人不承担逾期付款违约责任。供应商须承诺接受资金支付相关要求。</w:t>
      </w:r>
    </w:p>
    <w:p>
      <w:pPr>
        <w:shd w:val="clear" w:color="auto" w:fill="FFFFFF"/>
        <w:spacing w:line="360" w:lineRule="auto"/>
        <w:ind w:firstLine="424" w:firstLineChars="177"/>
        <w:contextualSpacing/>
        <w:jc w:val="left"/>
        <w:rPr>
          <w:rFonts w:ascii="宋体" w:hAnsi="宋体" w:eastAsia="宋体" w:cs="宋体"/>
          <w:kern w:val="0"/>
          <w:sz w:val="24"/>
          <w:szCs w:val="24"/>
          <w:lang w:val="zh-CN"/>
        </w:rPr>
      </w:pPr>
      <w:r>
        <w:rPr>
          <w:rFonts w:hint="eastAsia" w:ascii="宋体" w:hAnsi="宋体" w:eastAsia="宋体" w:cs="宋体"/>
          <w:kern w:val="0"/>
          <w:sz w:val="24"/>
        </w:rPr>
        <w:t>3、合同期内，养护范围因采购人原因造成绿地改动或其他原因发生变更的，养护费用根据实际管养面积将做相应的调整。</w:t>
      </w:r>
    </w:p>
    <w:p>
      <w:pPr>
        <w:spacing w:line="360" w:lineRule="auto"/>
        <w:jc w:val="left"/>
        <w:rPr>
          <w:rFonts w:ascii="宋体" w:hAnsi="宋体" w:eastAsia="宋体" w:cs="微软雅黑"/>
          <w:b/>
          <w:sz w:val="24"/>
          <w:szCs w:val="24"/>
        </w:rPr>
      </w:pPr>
      <w:r>
        <w:rPr>
          <w:rFonts w:ascii="宋体" w:hAnsi="宋体" w:eastAsia="宋体" w:cs="微软雅黑"/>
          <w:b/>
          <w:sz w:val="24"/>
          <w:szCs w:val="24"/>
        </w:rPr>
        <w:br w:type="page"/>
      </w:r>
    </w:p>
    <w:p>
      <w:pPr>
        <w:spacing w:beforeLines="50" w:afterLines="50"/>
        <w:jc w:val="center"/>
        <w:outlineLvl w:val="0"/>
        <w:rPr>
          <w:rFonts w:ascii="宋体" w:hAnsi="宋体" w:eastAsia="宋体" w:cs="宋体"/>
          <w:b/>
          <w:kern w:val="0"/>
          <w:sz w:val="32"/>
          <w:szCs w:val="32"/>
        </w:rPr>
      </w:pPr>
      <w:bookmarkStart w:id="4" w:name="_Toc14299189"/>
      <w:bookmarkStart w:id="5" w:name="_Toc14299034"/>
      <w:r>
        <w:rPr>
          <w:rFonts w:hint="eastAsia" w:ascii="宋体" w:hAnsi="宋体" w:eastAsia="宋体" w:cs="宋体"/>
          <w:b/>
          <w:kern w:val="0"/>
          <w:sz w:val="32"/>
          <w:szCs w:val="32"/>
        </w:rPr>
        <w:t>第三章 投标人须知前附表</w:t>
      </w:r>
      <w:bookmarkEnd w:id="4"/>
      <w:bookmarkEnd w:id="5"/>
    </w:p>
    <w:p>
      <w:pPr>
        <w:autoSpaceDE w:val="0"/>
        <w:autoSpaceDN w:val="0"/>
        <w:adjustRightInd w:val="0"/>
        <w:spacing w:line="360" w:lineRule="auto"/>
        <w:ind w:right="-11" w:firstLine="424" w:firstLineChars="201"/>
        <w:jc w:val="left"/>
        <w:rPr>
          <w:rFonts w:ascii="宋体" w:hAnsi="宋体" w:eastAsia="宋体" w:cs="宋体"/>
          <w:b/>
          <w:kern w:val="0"/>
          <w:szCs w:val="21"/>
        </w:rPr>
      </w:pPr>
      <w:r>
        <w:rPr>
          <w:rFonts w:hint="eastAsia" w:ascii="宋体" w:hAnsi="宋体" w:eastAsia="宋体" w:cs="微软雅黑"/>
          <w:b/>
          <w:szCs w:val="21"/>
        </w:rPr>
        <w:t>招标文件中凡标有★条款均为实质性要求条款，投标文件须完全响应，未实质响应的，按照无效投标处理。</w:t>
      </w:r>
    </w:p>
    <w:tbl>
      <w:tblPr>
        <w:tblStyle w:val="23"/>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89"/>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1489"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45"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45" w:type="dxa"/>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项目名称：东城区园林绿化管养项目（五、六、七标段）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项目编号：JZFCG-G2019</w:t>
            </w:r>
            <w:r>
              <w:rPr>
                <w:rFonts w:hint="eastAsia" w:ascii="宋体" w:hAnsi="宋体" w:eastAsia="宋体" w:cs="仿宋_GB2312"/>
                <w:szCs w:val="21"/>
                <w:lang w:val="en-US" w:eastAsia="zh-CN"/>
              </w:rPr>
              <w:t>093</w:t>
            </w:r>
            <w:r>
              <w:rPr>
                <w:rFonts w:hint="eastAsia" w:ascii="宋体" w:hAnsi="宋体" w:eastAsia="宋体" w:cs="仿宋_GB2312"/>
                <w:szCs w:val="21"/>
              </w:rPr>
              <w:t>号</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项目内容：本项目共划分为十个标段，本次招标为五、六、七标段，分别对以下路段及区域提供绿化管养服务：</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1、五标段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管养范围：包括龙兴路（八龙路-魏文路）、青梅路（龙兴路—魏都区界）、竹林路（龙兴路—魏都区界）、科技广场、天宝河游园（八龙路-魏武大道）、质检中心门前、陈庄街（文峰路—魏武大道）、八龙柏游园（文峰路—八龙路）、悦民公园（魏武大道—许州路）、文峰路（潩河路—魏都区界）、待移交绿地（包括中央公园南、北）。</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管养面积：一级管养面积299773㎡，二级管养面积54689㎡，三级管养面积1200㎡。配备保安8人。</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2、六标段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管养范围：包括学院路（建安区界—魏都区界）、天宝路（文峰路—许州路）、莲城大道（学院路—高速公路桥）、迎宾园（高速下路口）、许州路（莲城大道—永昌路）、待移交道路（包括许鄢快速通道（高速桥—建安区界））。</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管养面积：一级管养面积345732㎡，二级管养面积46377㎡。</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3、七标段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管养范围：包括文轩路（魏文路—学院路）、南海街（青梅路—许州路）、魏武大道（枫林街—魏都区界）、东苑街（魏武大道—许州路）、景福路（新东街—花都大道）、紫云路（新兴路—八一路）、钧都路（花都大道—八一路）、待移交道路（包括景福路（新东街—福田街）、福田街（魏武大道—景福路）、礼贤路（陈庄街—南海街）、康胜街（魏武大道—许州路））。</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管养面积：一级管养面积265422㎡，二级管养面积118540㎡，三级管养面积14159㎡。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45"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名称：许昌市东城区综合执法局</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地址：许昌市新兴路东段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联系人：徐云龙               联系电话：0374-2959902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代理机构</w:t>
            </w:r>
          </w:p>
        </w:tc>
        <w:tc>
          <w:tcPr>
            <w:tcW w:w="6945"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 xml:space="preserve">代理机构：河南省地标工程管理有限公司 </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 xml:space="preserve">地 址： 许昌市莲城大道（电业局对面老档案局）  </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联系人：法利辉              联系电话：18937449900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投标人资格</w:t>
            </w:r>
          </w:p>
        </w:tc>
        <w:tc>
          <w:tcPr>
            <w:tcW w:w="6945"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1、企业法人营业执照或营业执照。（企业投标提供）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2、事业单位法人证书。（事业单位投标提供）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3、执业许可证。（非专业服务机构投标提供）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4、个体工商户营业执照。（个体工商户投标提供）</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5、自然人身份证明。（自然人投标提供）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（1）投标人是法人（法人包括企业法人、机关法人、事业单位法人和社会团体法人），提供本单位：</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①2018年度经审计的财务报告，包括资产负债表、利润表、现金流量表、所有者权益变动表及其附注；</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②基本开户银行出具的资信证明；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③财政部门认可的政府采购专业担保机构的证明文件和担保机构出具的投标担保函。</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注：仅需提供序号①～③其中之一即可。</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（2）投标人（其他组织和自然人）提供本单位：</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①2018年度经审计的财务报告，包括资产负债表、利润表、现金流量表、所有者权益变动表及其附注；</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②银行出具的资信证明；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③财政部门认可的政府采购专业担保机构的证明文件和担保机构出具的投标担保函。</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注：仅需提供序号①～③其中之一即可。</w:t>
            </w:r>
          </w:p>
          <w:p>
            <w:pPr>
              <w:autoSpaceDE w:val="0"/>
              <w:autoSpaceDN w:val="0"/>
              <w:adjustRightInd w:val="0"/>
              <w:spacing w:line="360" w:lineRule="auto"/>
              <w:ind w:right="-11"/>
              <w:rPr>
                <w:rFonts w:ascii="宋体" w:hAnsi="宋体" w:eastAsia="宋体" w:cs="仿宋_GB2312"/>
                <w:b/>
                <w:szCs w:val="21"/>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②投标人具备履行合同所必须的设备和专业技术能力承诺函或声明（承诺函或声明格式自拟）。</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注：仅需提供序号①～②其中之一即可。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投标人“</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b/>
                <w:kern w:val="0"/>
                <w:szCs w:val="21"/>
                <w:lang w:val="zh-CN"/>
              </w:rPr>
              <w:t>七、</w:t>
            </w:r>
            <w:r>
              <w:rPr>
                <w:rFonts w:hint="eastAsia" w:ascii="宋体" w:hAnsi="宋体" w:eastAsia="宋体" w:cs="宋体"/>
                <w:b/>
                <w:kern w:val="0"/>
                <w:szCs w:val="21"/>
              </w:rPr>
              <w:t>未被列入“信用中国”网站</w:t>
            </w:r>
            <w:r>
              <w:rPr>
                <w:rFonts w:ascii="宋体" w:hAnsi="宋体" w:eastAsia="宋体" w:cs="宋体"/>
                <w:b/>
                <w:kern w:val="0"/>
                <w:szCs w:val="21"/>
              </w:rPr>
              <w:t>(</w:t>
            </w:r>
            <w:r>
              <w:fldChar w:fldCharType="begin"/>
            </w:r>
            <w:r>
              <w:instrText xml:space="preserve"> HYPERLINK "http://www.creditchina.gov.cn" </w:instrText>
            </w:r>
            <w:r>
              <w:fldChar w:fldCharType="separate"/>
            </w:r>
            <w:r>
              <w:rPr>
                <w:rFonts w:cs="宋体"/>
                <w:kern w:val="0"/>
              </w:rPr>
              <w:t>www.creditchina.gov.cn</w:t>
            </w:r>
            <w:r>
              <w:rPr>
                <w:rFonts w:cs="宋体"/>
                <w:kern w:val="0"/>
              </w:rPr>
              <w:fldChar w:fldCharType="end"/>
            </w:r>
            <w:r>
              <w:rPr>
                <w:rFonts w:ascii="宋体" w:hAnsi="宋体" w:eastAsia="宋体" w:cs="宋体"/>
                <w:b/>
                <w:kern w:val="0"/>
                <w:szCs w:val="21"/>
              </w:rPr>
              <w:t>)</w:t>
            </w:r>
            <w:r>
              <w:rPr>
                <w:rFonts w:hint="eastAsia" w:ascii="宋体" w:hAnsi="宋体" w:eastAsia="宋体" w:cs="宋体"/>
                <w:b/>
                <w:kern w:val="0"/>
                <w:szCs w:val="21"/>
              </w:rPr>
              <w:t>失信被执行人、重大税收违法案件当事人名单、政府采购严重违法失信名单的投标人；“中国政府采购网”</w:t>
            </w:r>
            <w:r>
              <w:rPr>
                <w:rFonts w:ascii="宋体" w:hAnsi="宋体" w:eastAsia="宋体" w:cs="宋体"/>
                <w:b/>
                <w:kern w:val="0"/>
                <w:szCs w:val="21"/>
              </w:rPr>
              <w:t xml:space="preserve"> (</w:t>
            </w:r>
            <w:r>
              <w:fldChar w:fldCharType="begin"/>
            </w:r>
            <w:r>
              <w:instrText xml:space="preserve"> HYPERLINK "http://www.ccgp.gov.cn" </w:instrText>
            </w:r>
            <w:r>
              <w:fldChar w:fldCharType="separate"/>
            </w:r>
            <w:r>
              <w:rPr>
                <w:rFonts w:cs="宋体"/>
                <w:kern w:val="0"/>
              </w:rPr>
              <w:t>www.ccgp.gov.cn</w:t>
            </w:r>
            <w:r>
              <w:rPr>
                <w:rFonts w:cs="宋体"/>
                <w:kern w:val="0"/>
              </w:rPr>
              <w:fldChar w:fldCharType="end"/>
            </w:r>
            <w:r>
              <w:rPr>
                <w:rFonts w:ascii="宋体" w:hAnsi="宋体" w:eastAsia="宋体" w:cs="宋体"/>
                <w:b/>
                <w:kern w:val="0"/>
                <w:szCs w:val="21"/>
              </w:rPr>
              <w:t>)</w:t>
            </w:r>
            <w:r>
              <w:rPr>
                <w:rFonts w:hint="eastAsia" w:ascii="宋体" w:hAnsi="宋体" w:eastAsia="宋体" w:cs="宋体"/>
                <w:b/>
                <w:kern w:val="0"/>
                <w:szCs w:val="21"/>
              </w:rPr>
              <w:t>政府采购严重违法失信行为记录名单的投标人；“国家企业信用公示系统”网站（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ascii="宋体" w:hAnsi="宋体" w:eastAsia="宋体" w:cs="宋体"/>
                <w:b/>
                <w:kern w:val="0"/>
                <w:szCs w:val="21"/>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adjustRightInd w:val="0"/>
              <w:spacing w:line="360" w:lineRule="auto"/>
              <w:ind w:right="-11" w:firstLine="336" w:firstLineChars="160"/>
              <w:rPr>
                <w:rFonts w:ascii="宋体" w:hAnsi="宋体" w:eastAsia="宋体" w:cs="宋体"/>
                <w:bCs/>
                <w:szCs w:val="21"/>
              </w:rPr>
            </w:pPr>
            <w:r>
              <w:rPr>
                <w:rFonts w:hint="eastAsia" w:ascii="宋体" w:hAnsi="宋体" w:eastAsia="宋体" w:cs="宋体"/>
                <w:kern w:val="0"/>
                <w:szCs w:val="21"/>
              </w:rPr>
              <w:t>1、查</w:t>
            </w:r>
            <w:r>
              <w:rPr>
                <w:rFonts w:hint="eastAsia" w:ascii="宋体" w:hAnsi="宋体" w:eastAsia="宋体" w:cs="宋体"/>
                <w:bCs/>
                <w:szCs w:val="21"/>
                <w:lang w:val="zh-CN"/>
              </w:rPr>
              <w:t>询渠道</w:t>
            </w:r>
            <w:r>
              <w:rPr>
                <w:rFonts w:hint="eastAsia" w:ascii="宋体" w:hAnsi="宋体" w:eastAsia="宋体" w:cs="宋体"/>
                <w:bCs/>
                <w:szCs w:val="21"/>
              </w:rPr>
              <w:t>：“</w:t>
            </w:r>
            <w:r>
              <w:rPr>
                <w:rFonts w:hint="eastAsia" w:ascii="宋体" w:hAnsi="宋体" w:eastAsia="宋体" w:cs="宋体"/>
                <w:bCs/>
                <w:szCs w:val="21"/>
                <w:lang w:val="zh-CN"/>
              </w:rPr>
              <w:t>信用中国</w:t>
            </w:r>
            <w:r>
              <w:rPr>
                <w:rFonts w:hint="eastAsia" w:ascii="宋体" w:hAnsi="宋体" w:eastAsia="宋体" w:cs="宋体"/>
                <w:bCs/>
                <w:szCs w:val="21"/>
              </w:rPr>
              <w:t>”</w:t>
            </w:r>
            <w:r>
              <w:rPr>
                <w:rFonts w:hint="eastAsia" w:ascii="宋体" w:hAnsi="宋体" w:eastAsia="宋体" w:cs="宋体"/>
                <w:bCs/>
                <w:szCs w:val="21"/>
                <w:lang w:val="zh-CN"/>
              </w:rPr>
              <w:t>网站</w:t>
            </w:r>
            <w:r>
              <w:rPr>
                <w:rFonts w:hint="eastAsia" w:ascii="宋体" w:hAnsi="宋体" w:eastAsia="宋体" w:cs="宋体"/>
                <w:bCs/>
                <w:szCs w:val="21"/>
              </w:rPr>
              <w:t>（</w:t>
            </w:r>
            <w:r>
              <w:rPr>
                <w:rFonts w:ascii="宋体" w:hAnsi="宋体" w:eastAsia="宋体" w:cs="宋体"/>
                <w:bCs/>
                <w:szCs w:val="21"/>
              </w:rPr>
              <w:t>www.creditchina.gov.cn</w:t>
            </w:r>
            <w:r>
              <w:rPr>
                <w:rFonts w:hint="eastAsia" w:ascii="宋体" w:hAnsi="宋体" w:eastAsia="宋体" w:cs="宋体"/>
                <w:bCs/>
                <w:szCs w:val="21"/>
              </w:rPr>
              <w:t>）</w:t>
            </w:r>
            <w:r>
              <w:rPr>
                <w:rFonts w:hint="eastAsia" w:ascii="宋体" w:hAnsi="宋体" w:eastAsia="宋体" w:cs="宋体"/>
                <w:bCs/>
                <w:szCs w:val="21"/>
                <w:lang w:val="zh-CN"/>
              </w:rPr>
              <w:t>、</w:t>
            </w:r>
            <w:r>
              <w:rPr>
                <w:rFonts w:hint="eastAsia" w:ascii="宋体" w:hAnsi="宋体" w:eastAsia="宋体" w:cs="宋体"/>
                <w:bCs/>
                <w:szCs w:val="21"/>
              </w:rPr>
              <w:t>“</w:t>
            </w:r>
            <w:r>
              <w:rPr>
                <w:rFonts w:hint="eastAsia" w:ascii="宋体" w:hAnsi="宋体" w:eastAsia="宋体" w:cs="宋体"/>
                <w:bCs/>
                <w:szCs w:val="21"/>
                <w:lang w:val="zh-CN"/>
              </w:rPr>
              <w:t>中国政府采购网</w:t>
            </w:r>
            <w:r>
              <w:rPr>
                <w:rFonts w:hint="eastAsia" w:ascii="宋体" w:hAnsi="宋体" w:eastAsia="宋体" w:cs="宋体"/>
                <w:bCs/>
                <w:szCs w:val="21"/>
              </w:rPr>
              <w:t>”（</w:t>
            </w:r>
            <w:r>
              <w:rPr>
                <w:rFonts w:ascii="宋体" w:hAnsi="宋体" w:eastAsia="宋体" w:cs="宋体"/>
                <w:bCs/>
                <w:szCs w:val="21"/>
              </w:rPr>
              <w:t>www.ccgp.gov.cn</w:t>
            </w:r>
            <w:r>
              <w:rPr>
                <w:rFonts w:hint="eastAsia" w:ascii="宋体" w:hAnsi="宋体" w:eastAsia="宋体" w:cs="宋体"/>
                <w:bCs/>
                <w:szCs w:val="21"/>
              </w:rPr>
              <w:t>）</w:t>
            </w:r>
            <w:r>
              <w:rPr>
                <w:rFonts w:hint="eastAsia" w:ascii="宋体" w:hAnsi="宋体" w:eastAsia="宋体" w:cs="宋体"/>
                <w:bCs/>
                <w:szCs w:val="21"/>
                <w:lang w:val="zh-CN"/>
              </w:rPr>
              <w:t>和</w:t>
            </w:r>
            <w:r>
              <w:rPr>
                <w:rFonts w:hint="eastAsia" w:ascii="宋体" w:hAnsi="宋体" w:eastAsia="宋体" w:cs="宋体"/>
                <w:bCs/>
                <w:szCs w:val="21"/>
              </w:rPr>
              <w:t>“</w:t>
            </w:r>
            <w:r>
              <w:rPr>
                <w:rFonts w:hint="eastAsia" w:ascii="宋体" w:hAnsi="宋体" w:eastAsia="宋体" w:cs="宋体"/>
                <w:bCs/>
                <w:szCs w:val="21"/>
                <w:lang w:val="zh-CN"/>
              </w:rPr>
              <w:t>国家企业信用公示系统</w:t>
            </w:r>
            <w:r>
              <w:rPr>
                <w:rFonts w:hint="eastAsia" w:ascii="宋体" w:hAnsi="宋体" w:eastAsia="宋体" w:cs="宋体"/>
                <w:bCs/>
                <w:szCs w:val="21"/>
              </w:rPr>
              <w:t>”</w:t>
            </w:r>
            <w:r>
              <w:rPr>
                <w:rFonts w:hint="eastAsia" w:ascii="宋体" w:hAnsi="宋体" w:eastAsia="宋体" w:cs="宋体"/>
                <w:bCs/>
                <w:szCs w:val="21"/>
                <w:lang w:val="zh-CN"/>
              </w:rPr>
              <w:t>网站</w:t>
            </w:r>
            <w:r>
              <w:rPr>
                <w:rFonts w:hint="eastAsia" w:ascii="宋体" w:hAnsi="宋体" w:eastAsia="宋体" w:cs="宋体"/>
                <w:bCs/>
                <w:szCs w:val="21"/>
              </w:rPr>
              <w:t>（www.gsxt.gov.cn）；</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2、截止时间：同投标截止时间；</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3、信用信息查询记录和证据留存具体方式：经采购人确认的查询结果网页截图作为查询记录和证据，与其他采购文件一并保存；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adjustRightInd w:val="0"/>
              <w:spacing w:line="360" w:lineRule="auto"/>
              <w:ind w:right="-11" w:firstLine="336" w:firstLineChars="160"/>
              <w:rPr>
                <w:rFonts w:ascii="宋体" w:hAnsi="宋体" w:eastAsia="宋体" w:cs="宋体"/>
                <w:kern w:val="0"/>
                <w:szCs w:val="21"/>
              </w:rPr>
            </w:pPr>
            <w:r>
              <w:rPr>
                <w:rFonts w:hint="eastAsia" w:ascii="宋体" w:hAnsi="宋体" w:eastAsia="宋体" w:cs="宋体"/>
                <w:bCs/>
                <w:szCs w:val="21"/>
                <w:lang w:val="zh-CN"/>
              </w:rPr>
              <w:t>5、投标人不良信用记录以采购人查询结果为准，采购人查询之后，网站信息发生的任何变更不再作为评审依据，投标人自行提供的与网站信息不一致的其他</w:t>
            </w:r>
            <w:r>
              <w:rPr>
                <w:rFonts w:hint="eastAsia" w:ascii="宋体" w:hAnsi="宋体" w:eastAsia="宋体" w:cs="宋体"/>
                <w:kern w:val="0"/>
                <w:szCs w:val="21"/>
              </w:rPr>
              <w:t>证明材料亦不作为评审依据。</w:t>
            </w:r>
          </w:p>
          <w:p>
            <w:pPr>
              <w:autoSpaceDE w:val="0"/>
              <w:autoSpaceDN w:val="0"/>
              <w:adjustRightInd w:val="0"/>
              <w:spacing w:line="360" w:lineRule="auto"/>
              <w:ind w:right="-11"/>
              <w:rPr>
                <w:rFonts w:ascii="宋体" w:hAnsi="宋体" w:eastAsia="宋体" w:cs="仿宋_GB2312"/>
                <w:b/>
                <w:bCs/>
                <w:szCs w:val="21"/>
              </w:rPr>
            </w:pPr>
            <w:r>
              <w:rPr>
                <w:rFonts w:hint="eastAsia" w:ascii="宋体" w:hAnsi="宋体" w:eastAsia="宋体" w:cs="仿宋_GB2312"/>
                <w:b/>
                <w:szCs w:val="21"/>
              </w:rPr>
              <w:t>八、</w:t>
            </w:r>
            <w:r>
              <w:rPr>
                <w:rFonts w:hint="eastAsia" w:ascii="宋体" w:hAnsi="宋体" w:cs="仿宋_GB2312"/>
                <w:b/>
                <w:shd w:val="clear" w:color="auto" w:fill="FFFFFF"/>
              </w:rPr>
              <w:t>企业营业执照经营范围须包括</w:t>
            </w:r>
            <w:r>
              <w:rPr>
                <w:rFonts w:hint="eastAsia" w:ascii="宋体" w:hAnsi="宋体" w:cs="仿宋_GB2312"/>
                <w:b/>
                <w:bCs/>
                <w:shd w:val="clear" w:color="auto" w:fill="FFFFFF"/>
              </w:rPr>
              <w:t>园林绿化管养、绿化工程或绿化相关业务范围</w:t>
            </w:r>
            <w:r>
              <w:rPr>
                <w:rFonts w:hint="eastAsia" w:ascii="宋体" w:hAnsi="宋体" w:eastAsia="宋体" w:cs="仿宋_GB2312"/>
                <w:b/>
                <w:bCs/>
                <w:szCs w:val="21"/>
              </w:rPr>
              <w:t>。</w:t>
            </w:r>
          </w:p>
          <w:p>
            <w:pPr>
              <w:autoSpaceDE w:val="0"/>
              <w:autoSpaceDN w:val="0"/>
              <w:adjustRightInd w:val="0"/>
              <w:spacing w:line="360" w:lineRule="auto"/>
              <w:ind w:right="-11"/>
              <w:rPr>
                <w:rFonts w:ascii="宋体" w:hAnsi="宋体" w:eastAsia="宋体" w:cs="仿宋_GB2312"/>
                <w:b/>
                <w:bCs/>
                <w:szCs w:val="21"/>
              </w:rPr>
            </w:pPr>
            <w:r>
              <w:rPr>
                <w:rFonts w:hint="eastAsia" w:ascii="宋体" w:hAnsi="宋体" w:eastAsia="宋体" w:cs="仿宋_GB2312"/>
                <w:b/>
                <w:bCs/>
                <w:szCs w:val="21"/>
              </w:rPr>
              <w:t>九、已在本项目已开标段推荐为第一中标候选人的投标人，不得参与该项目其他标段的投标。投标人须在投标文件中作出承诺。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联合体投标</w:t>
            </w:r>
          </w:p>
        </w:tc>
        <w:tc>
          <w:tcPr>
            <w:tcW w:w="6945"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最高限价</w:t>
            </w:r>
          </w:p>
        </w:tc>
        <w:tc>
          <w:tcPr>
            <w:tcW w:w="6945" w:type="dxa"/>
            <w:vAlign w:val="center"/>
          </w:tcPr>
          <w:p>
            <w:pPr>
              <w:autoSpaceDE w:val="0"/>
              <w:autoSpaceDN w:val="0"/>
              <w:adjustRightInd w:val="0"/>
              <w:spacing w:line="276" w:lineRule="auto"/>
              <w:ind w:firstLine="211" w:firstLineChars="100"/>
              <w:rPr>
                <w:rFonts w:ascii="宋体" w:hAnsi="宋体" w:cs="宋体"/>
                <w:b/>
                <w:bCs/>
                <w:szCs w:val="21"/>
              </w:rPr>
            </w:pPr>
            <w:r>
              <w:rPr>
                <w:rFonts w:hint="eastAsia" w:ascii="宋体" w:hAnsi="宋体" w:eastAsia="宋体" w:cs="宋体"/>
                <w:b/>
                <w:bCs/>
                <w:szCs w:val="21"/>
                <w:lang w:val="zh-CN"/>
              </w:rPr>
              <w:t>本项目最高限价为：一级道路及游园绿地6.2元/㎡•年；二级道路及游园绿地5.1元/㎡•年；三级道路及游园绿地4.0元/㎡•年；</w:t>
            </w:r>
            <w:r>
              <w:rPr>
                <w:rFonts w:hint="eastAsia" w:ascii="宋体" w:hAnsi="宋体" w:cs="宋体"/>
                <w:b/>
                <w:bCs/>
                <w:szCs w:val="21"/>
              </w:rPr>
              <w:t>保安配备2533元/人·月（包括单位交纳养老保险、医疗保险、工伤保险、生育保险、失业保险等）。</w:t>
            </w:r>
          </w:p>
          <w:p>
            <w:pPr>
              <w:autoSpaceDE w:val="0"/>
              <w:autoSpaceDN w:val="0"/>
              <w:adjustRightInd w:val="0"/>
              <w:spacing w:line="276" w:lineRule="auto"/>
              <w:ind w:firstLine="211" w:firstLineChars="100"/>
              <w:rPr>
                <w:rFonts w:ascii="宋体" w:hAnsi="宋体" w:eastAsia="宋体" w:cs="宋体"/>
                <w:b/>
                <w:bCs/>
                <w:szCs w:val="21"/>
                <w:lang w:val="zh-CN"/>
              </w:rPr>
            </w:pPr>
            <w:r>
              <w:rPr>
                <w:rFonts w:hint="eastAsia" w:ascii="宋体" w:hAnsi="宋体" w:eastAsia="宋体" w:cs="宋体"/>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945"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1489"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945"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45" w:type="dxa"/>
            <w:vAlign w:val="center"/>
          </w:tcPr>
          <w:p>
            <w:pPr>
              <w:autoSpaceDE w:val="0"/>
              <w:autoSpaceDN w:val="0"/>
              <w:adjustRightInd w:val="0"/>
              <w:spacing w:line="276" w:lineRule="auto"/>
              <w:rPr>
                <w:rFonts w:ascii="宋体" w:hAnsi="宋体" w:eastAsia="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投标有效期</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仿宋_GB2312"/>
                <w:szCs w:val="21"/>
              </w:rPr>
              <w:t>60日历天（</w:t>
            </w:r>
            <w:r>
              <w:rPr>
                <w:rFonts w:hint="eastAsia" w:ascii="宋体" w:hAnsi="宋体" w:eastAsia="宋体" w:cs="宋体"/>
                <w:bCs/>
                <w:szCs w:val="21"/>
                <w:lang w:val="zh-CN"/>
              </w:rPr>
              <w:t>自提交投标文件的截止之日起算）</w:t>
            </w:r>
          </w:p>
          <w:p>
            <w:pPr>
              <w:autoSpaceDE w:val="0"/>
              <w:autoSpaceDN w:val="0"/>
              <w:adjustRightInd w:val="0"/>
              <w:spacing w:line="360" w:lineRule="auto"/>
              <w:ind w:right="-11" w:firstLine="336" w:firstLineChars="160"/>
              <w:rPr>
                <w:rFonts w:ascii="宋体" w:hAnsi="宋体" w:eastAsia="宋体" w:cs="仿宋_GB2312"/>
                <w:szCs w:val="21"/>
              </w:rPr>
            </w:pPr>
            <w:r>
              <w:rPr>
                <w:rFonts w:ascii="宋体" w:hAnsi="宋体" w:eastAsia="宋体" w:cs="宋体"/>
                <w:bCs/>
                <w:szCs w:val="21"/>
                <w:lang w:val="zh-CN"/>
              </w:rPr>
              <w:t>中标</w:t>
            </w:r>
            <w:r>
              <w:rPr>
                <w:rFonts w:hint="eastAsia" w:ascii="宋体" w:hAnsi="宋体" w:eastAsia="宋体" w:cs="宋体"/>
                <w:bCs/>
                <w:szCs w:val="21"/>
                <w:lang w:val="zh-CN"/>
              </w:rPr>
              <w:t>人</w:t>
            </w:r>
            <w:r>
              <w:rPr>
                <w:rFonts w:hint="eastAsia" w:ascii="宋体" w:hAnsi="宋体" w:eastAsia="宋体" w:cs="仿宋_GB2312"/>
                <w:szCs w:val="21"/>
                <w:lang w:val="zh-CN"/>
              </w:rPr>
              <w:t>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1489" w:type="dxa"/>
            <w:vAlign w:val="center"/>
          </w:tcPr>
          <w:p>
            <w:pPr>
              <w:autoSpaceDE w:val="0"/>
              <w:autoSpaceDN w:val="0"/>
              <w:adjustRightInd w:val="0"/>
              <w:spacing w:line="360" w:lineRule="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945" w:type="dxa"/>
            <w:vAlign w:val="center"/>
          </w:tcPr>
          <w:p>
            <w:pPr>
              <w:autoSpaceDE w:val="0"/>
              <w:autoSpaceDN w:val="0"/>
              <w:adjustRightInd w:val="0"/>
              <w:spacing w:line="276" w:lineRule="auto"/>
              <w:rPr>
                <w:rFonts w:ascii="宋体" w:hAnsi="宋体" w:eastAsia="宋体" w:cs="仿宋_GB2312"/>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945" w:type="dxa"/>
            <w:vAlign w:val="center"/>
          </w:tcPr>
          <w:p>
            <w:pPr>
              <w:autoSpaceDE w:val="0"/>
              <w:autoSpaceDN w:val="0"/>
              <w:adjustRightInd w:val="0"/>
              <w:spacing w:line="360" w:lineRule="auto"/>
              <w:ind w:firstLine="210" w:firstLineChars="100"/>
              <w:rPr>
                <w:rFonts w:ascii="宋体" w:hAnsi="宋体" w:eastAsia="宋体" w:cs="宋体"/>
                <w:bCs/>
                <w:szCs w:val="21"/>
                <w:lang w:val="zh-CN"/>
              </w:rPr>
            </w:pPr>
            <w:r>
              <w:rPr>
                <w:rFonts w:hint="eastAsia" w:ascii="宋体" w:hAnsi="宋体" w:eastAsia="宋体" w:cs="宋体"/>
                <w:bCs/>
                <w:szCs w:val="21"/>
                <w:lang w:val="zh-CN"/>
              </w:rPr>
              <w:t>2019年 9 月 26 日 08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递交投标文件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及开标地点</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许昌市公共资源交易中心三楼开标 一  室（</w:t>
            </w:r>
            <w:r>
              <w:rPr>
                <w:rFonts w:ascii="宋体" w:hAnsi="宋体" w:eastAsia="宋体" w:cs="宋体"/>
                <w:bCs/>
                <w:szCs w:val="21"/>
                <w:lang w:val="zh-CN"/>
              </w:rPr>
              <w:t>龙兴路与竹林路交汇处</w:t>
            </w:r>
            <w:r>
              <w:rPr>
                <w:rFonts w:hint="eastAsia" w:ascii="宋体" w:hAnsi="宋体" w:eastAsia="宋体" w:cs="宋体"/>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投标保证金</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bCs/>
                <w:szCs w:val="21"/>
                <w:lang w:val="zh-CN"/>
              </w:rPr>
              <w:t>本项目不收取。</w:t>
            </w:r>
          </w:p>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148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45" w:type="dxa"/>
            <w:tcBorders>
              <w:top w:val="single" w:color="auto" w:sz="4" w:space="0"/>
            </w:tcBorders>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宋体"/>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采购人澄清或修改招标文件时间</w:t>
            </w:r>
          </w:p>
        </w:tc>
        <w:tc>
          <w:tcPr>
            <w:tcW w:w="6945"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投标人对采购文件质疑截止时间</w:t>
            </w:r>
          </w:p>
        </w:tc>
        <w:tc>
          <w:tcPr>
            <w:tcW w:w="6945"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投标文件份数</w:t>
            </w:r>
          </w:p>
        </w:tc>
        <w:tc>
          <w:tcPr>
            <w:tcW w:w="6945" w:type="dxa"/>
            <w:vAlign w:val="center"/>
          </w:tcPr>
          <w:p>
            <w:pPr>
              <w:autoSpaceDE w:val="0"/>
              <w:autoSpaceDN w:val="0"/>
              <w:adjustRightInd w:val="0"/>
              <w:spacing w:line="360" w:lineRule="auto"/>
              <w:rPr>
                <w:rFonts w:ascii="宋体" w:hAnsi="宋体" w:eastAsia="宋体" w:cs="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XXX公司XXX项目编号.file）。</w:t>
            </w:r>
            <w:r>
              <w:rPr>
                <w:rFonts w:hint="eastAsia" w:ascii="宋体" w:hAnsi="宋体" w:eastAsia="宋体"/>
                <w:szCs w:val="21"/>
              </w:rPr>
              <w:t>使用电子介质存储的备份文件1份（文件格式为：名称为“备份”的文件夹，电子介质采用U盘）。</w:t>
            </w:r>
          </w:p>
          <w:p>
            <w:pPr>
              <w:autoSpaceDE w:val="0"/>
              <w:autoSpaceDN w:val="0"/>
              <w:adjustRightInd w:val="0"/>
              <w:spacing w:line="360" w:lineRule="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份，副本一份。使用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19</w:t>
            </w:r>
          </w:p>
        </w:tc>
        <w:tc>
          <w:tcPr>
            <w:tcW w:w="148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45" w:type="dxa"/>
            <w:vAlign w:val="center"/>
          </w:tcPr>
          <w:p>
            <w:pPr>
              <w:autoSpaceDE w:val="0"/>
              <w:autoSpaceDN w:val="0"/>
              <w:adjustRightInd w:val="0"/>
              <w:spacing w:line="420" w:lineRule="exact"/>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1489"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评标委员会组建</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仿宋_GB2312"/>
                <w:szCs w:val="21"/>
                <w:lang w:val="zh-CN"/>
              </w:rPr>
              <w:t>评标委员会由相关评审专家和业主代表共7人组成，其中评审专家的人数不少于评标委员会成员总数的三分之二。评审专家从河南省政府采购评审专家库中随机抽取。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21</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rPr>
              <w:t>评标方法</w:t>
            </w:r>
          </w:p>
        </w:tc>
        <w:tc>
          <w:tcPr>
            <w:tcW w:w="6945" w:type="dxa"/>
            <w:vAlign w:val="center"/>
          </w:tcPr>
          <w:p>
            <w:pPr>
              <w:autoSpaceDE w:val="0"/>
              <w:autoSpaceDN w:val="0"/>
              <w:adjustRightInd w:val="0"/>
              <w:spacing w:line="360" w:lineRule="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仿宋_GB2312"/>
                <w:szCs w:val="21"/>
                <w:lang w:val="zh-CN"/>
              </w:rPr>
              <w:t>采购单位</w:t>
            </w:r>
            <w:r>
              <w:rPr>
                <w:rFonts w:hint="eastAsia" w:ascii="宋体" w:hAnsi="宋体" w:eastAsia="宋体" w:cs="宋体"/>
                <w:szCs w:val="21"/>
              </w:rPr>
              <w:t>委派</w:t>
            </w:r>
            <w:r>
              <w:rPr>
                <w:rFonts w:hint="eastAsia" w:ascii="宋体" w:hAnsi="宋体" w:eastAsia="宋体" w:cs="仿宋_GB2312"/>
                <w:szCs w:val="21"/>
                <w:lang w:val="zh-CN"/>
              </w:rPr>
              <w:t>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45"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45" w:type="dxa"/>
            <w:vAlign w:val="center"/>
          </w:tcPr>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不收取</w:t>
            </w:r>
          </w:p>
          <w:p>
            <w:pPr>
              <w:autoSpaceDE w:val="0"/>
              <w:autoSpaceDN w:val="0"/>
              <w:spacing w:line="360" w:lineRule="auto"/>
              <w:contextualSpacing/>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b/>
                <w:bCs/>
                <w:szCs w:val="21"/>
                <w:lang w:val="zh-CN"/>
              </w:rPr>
              <w:t>□</w:t>
            </w:r>
            <w:r>
              <w:rPr>
                <w:rFonts w:hint="eastAsia" w:ascii="宋体" w:hAnsi="宋体" w:eastAsia="宋体" w:cs="宋体"/>
                <w:bCs/>
                <w:szCs w:val="21"/>
                <w:lang w:val="zh-CN"/>
              </w:rPr>
              <w:t>收取采购人。</w:t>
            </w:r>
            <w:r>
              <w:rPr>
                <w:rFonts w:hint="eastAsia" w:ascii="宋体" w:hAnsi="宋体" w:eastAsia="宋体" w:cs="宋体"/>
                <w:szCs w:val="21"/>
              </w:rPr>
              <w:t>收取标准:参照计价格[2002]（1980）号文件计算招标代理服务费并参照发改办价格[2003]（857）号文件规定收取。一次性以银行划账、电汇、汇票或支票的形式支付。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中标人需提交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45" w:type="dxa"/>
            <w:vAlign w:val="center"/>
          </w:tcPr>
          <w:p>
            <w:pPr>
              <w:autoSpaceDE w:val="0"/>
              <w:autoSpaceDN w:val="0"/>
              <w:adjustRightInd w:val="0"/>
              <w:spacing w:line="360" w:lineRule="auto"/>
              <w:ind w:right="-11" w:firstLine="336" w:firstLineChars="160"/>
              <w:rPr>
                <w:rFonts w:ascii="宋体" w:hAnsi="宋体" w:eastAsia="宋体" w:cs="宋体"/>
                <w:bCs/>
                <w:szCs w:val="21"/>
              </w:rPr>
            </w:pPr>
            <w:r>
              <w:rPr>
                <w:rFonts w:hint="eastAsia" w:ascii="宋体" w:hAnsi="宋体" w:eastAsia="宋体" w:cs="宋体"/>
                <w:bCs/>
                <w:szCs w:val="21"/>
                <w:lang w:val="zh-CN"/>
              </w:rPr>
              <w:t>中标人在</w:t>
            </w:r>
            <w:r>
              <w:rPr>
                <w:rFonts w:hint="eastAsia" w:ascii="宋体" w:hAnsi="宋体" w:eastAsia="宋体" w:cs="宋体"/>
                <w:szCs w:val="21"/>
              </w:rPr>
              <w:t>接到</w:t>
            </w:r>
            <w:r>
              <w:rPr>
                <w:rFonts w:hint="eastAsia" w:ascii="宋体" w:hAnsi="宋体" w:eastAsia="宋体" w:cs="宋体"/>
                <w:bCs/>
                <w:szCs w:val="21"/>
                <w:lang w:val="zh-CN"/>
              </w:rPr>
              <w:t>中标通知时，须向代理机构发送投标报价及分项报价一览表（包含主要中标标的的名称、规格型号、数量、单价、服务要求等）电子文档，并同时通知代理机构联系人。代理机构邮箱：xhgcgl@126.com</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45" w:type="dxa"/>
            <w:vAlign w:val="center"/>
          </w:tcPr>
          <w:p>
            <w:pPr>
              <w:autoSpaceDE w:val="0"/>
              <w:autoSpaceDN w:val="0"/>
              <w:adjustRightInd w:val="0"/>
              <w:spacing w:line="360" w:lineRule="auto"/>
              <w:contextualSpacing/>
              <w:rPr>
                <w:rFonts w:ascii="宋体" w:hAnsi="宋体" w:eastAsia="宋体" w:cs="宋体"/>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148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其他</w:t>
            </w:r>
          </w:p>
        </w:tc>
        <w:tc>
          <w:tcPr>
            <w:tcW w:w="6945" w:type="dxa"/>
            <w:vAlign w:val="center"/>
          </w:tcPr>
          <w:p>
            <w:pPr>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kern w:val="0"/>
                <w:szCs w:val="21"/>
              </w:rPr>
              <w:t>同一投标人在该项目不同标段投标，只能中取排序在前的1个标段。</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jc w:val="left"/>
        <w:rPr>
          <w:rFonts w:ascii="宋体" w:hAnsi="宋体" w:eastAsia="宋体" w:cs="宋体"/>
          <w:b/>
          <w:kern w:val="0"/>
          <w:sz w:val="36"/>
          <w:szCs w:val="36"/>
        </w:rPr>
      </w:pPr>
      <w:r>
        <w:rPr>
          <w:rFonts w:ascii="宋体" w:hAnsi="宋体" w:eastAsia="宋体" w:cs="宋体"/>
          <w:b/>
          <w:kern w:val="0"/>
          <w:sz w:val="36"/>
          <w:szCs w:val="36"/>
        </w:rPr>
        <w:br w:type="page"/>
      </w:r>
    </w:p>
    <w:p>
      <w:pPr>
        <w:spacing w:beforeLines="50" w:afterLines="50"/>
        <w:jc w:val="center"/>
        <w:outlineLvl w:val="0"/>
        <w:rPr>
          <w:rFonts w:ascii="宋体" w:hAnsi="宋体" w:eastAsia="宋体" w:cs="宋体"/>
          <w:b/>
          <w:kern w:val="0"/>
          <w:sz w:val="32"/>
          <w:szCs w:val="32"/>
        </w:rPr>
      </w:pPr>
      <w:bookmarkStart w:id="6" w:name="_Toc14299190"/>
      <w:bookmarkStart w:id="7" w:name="_Toc14299035"/>
      <w:r>
        <w:rPr>
          <w:rFonts w:hint="eastAsia" w:ascii="宋体" w:hAnsi="宋体" w:eastAsia="宋体" w:cs="宋体"/>
          <w:b/>
          <w:kern w:val="0"/>
          <w:sz w:val="32"/>
          <w:szCs w:val="32"/>
        </w:rPr>
        <w:t>第四章 投标人须知</w:t>
      </w:r>
      <w:bookmarkEnd w:id="6"/>
      <w:bookmarkEnd w:id="7"/>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14299191"/>
      <w:r>
        <w:rPr>
          <w:rFonts w:hint="eastAsia" w:ascii="宋体" w:hAnsi="宋体" w:eastAsia="宋体" w:cs="宋体"/>
          <w:b/>
          <w:kern w:val="0"/>
          <w:sz w:val="28"/>
          <w:szCs w:val="28"/>
        </w:rPr>
        <w:t>一、概念释义</w:t>
      </w:r>
      <w:bookmarkEnd w:id="8"/>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“招标人”：“投标人须知前附表”中所述的组织本次招标的代理机构和采购人。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2.7.1 </w:t>
      </w:r>
      <w:r>
        <w:rPr>
          <w:rFonts w:ascii="宋体" w:hAnsi="宋体" w:eastAsia="宋体" w:cs="宋体"/>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2.7.2 </w:t>
      </w: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2.8 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3政府采购活动中查询及使用投标人信用记录的具体要求为：投标人未被列入失信被执行人、重大税收违法案件当事人名单、</w:t>
      </w:r>
      <w:r>
        <w:rPr>
          <w:rFonts w:ascii="宋体" w:hAnsi="宋体" w:eastAsia="宋体" w:cs="宋体"/>
          <w:kern w:val="0"/>
          <w:sz w:val="24"/>
          <w:szCs w:val="24"/>
        </w:rPr>
        <w:t>政府采购严重违法失信名单</w:t>
      </w:r>
      <w:r>
        <w:rPr>
          <w:rFonts w:hint="eastAsia" w:ascii="宋体" w:hAnsi="宋体" w:eastAsia="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（1）查询渠道：“信用中国”网站（www.creditchina.gov.cn）、“中国政府采购网”（www.ccgp.gov.cn）、“国家企业信用公示系统”网站（www.gsxt.gov.cn）；</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6“投标邀请”和“投标人须知前附表”规定接受联合体投标的，除应符合本章第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3.7 法律、行政法规规定的其他条件。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4.3投标人所投产品如被列入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 认证）。</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4.4投标人所投产品如被列入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w:t>
      </w:r>
      <w:r>
        <w:rPr>
          <w:rFonts w:hint="eastAsia" w:ascii="宋体" w:hAnsi="宋体" w:eastAsia="宋体" w:cs="宋体"/>
          <w:sz w:val="24"/>
          <w:szCs w:val="24"/>
        </w:rPr>
        <w:t>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7.1 收取标准:按照中标合同金额的比例收取。详见投标人须知前附表。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14299192"/>
      <w:r>
        <w:rPr>
          <w:rFonts w:hint="eastAsia" w:ascii="宋体" w:hAnsi="宋体" w:eastAsia="宋体" w:cs="宋体"/>
          <w:b/>
          <w:kern w:val="0"/>
          <w:sz w:val="28"/>
          <w:szCs w:val="28"/>
        </w:rPr>
        <w:t>二、招标文件说明</w:t>
      </w:r>
      <w:bookmarkEnd w:id="9"/>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0" w:name="_Toc14299193"/>
      <w:r>
        <w:rPr>
          <w:rFonts w:hint="eastAsia" w:ascii="宋体" w:hAnsi="宋体" w:eastAsia="宋体" w:cs="宋体"/>
          <w:b/>
          <w:kern w:val="0"/>
          <w:sz w:val="28"/>
          <w:szCs w:val="28"/>
        </w:rPr>
        <w:t>三、投标文件的编制</w:t>
      </w:r>
      <w:bookmarkEnd w:id="10"/>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13.1 本次招标项目的投标均以费率为计算单位。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rPr>
        <w:t>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jc w:val="left"/>
        <w:rPr>
          <w:rFonts w:ascii="宋体" w:hAnsi="宋体" w:eastAsia="宋体" w:cs="宋体"/>
          <w:b/>
          <w:kern w:val="0"/>
          <w:sz w:val="24"/>
          <w:szCs w:val="24"/>
        </w:rPr>
      </w:pPr>
      <w:r>
        <w:rPr>
          <w:rFonts w:hint="eastAsia" w:ascii="宋体" w:hAnsi="宋体" w:eastAsia="宋体" w:cs="宋体"/>
          <w:kern w:val="0"/>
          <w:sz w:val="24"/>
          <w:szCs w:val="24"/>
        </w:rPr>
        <w:t xml:space="preserve">13.8 </w:t>
      </w:r>
      <w:r>
        <w:rPr>
          <w:rFonts w:hint="eastAsia" w:ascii="宋体" w:hAnsi="宋体" w:eastAsia="宋体"/>
          <w:b/>
          <w:sz w:val="24"/>
          <w:szCs w:val="24"/>
        </w:rPr>
        <w:t>本项目采用费率报价，投标分项报价表中所填报的一级、二级、三级管养单价相对招标控制价费率应保持一致，否则</w:t>
      </w:r>
      <w:r>
        <w:rPr>
          <w:rFonts w:hint="eastAsia" w:ascii="宋体" w:hAnsi="宋体" w:eastAsia="宋体" w:cs="宋体"/>
          <w:b/>
          <w:kern w:val="0"/>
          <w:sz w:val="24"/>
          <w:szCs w:val="24"/>
        </w:rPr>
        <w:t>将被视为非实质性响应投标而作无效投标处理。保安配备人员费为不可竞争费用，投标人应</w:t>
      </w:r>
      <w:r>
        <w:rPr>
          <w:rFonts w:hint="eastAsia" w:ascii="宋体" w:hAnsi="宋体" w:eastAsia="宋体" w:cs="仿宋_GB2312"/>
          <w:b/>
          <w:sz w:val="24"/>
          <w:szCs w:val="24"/>
          <w:lang w:val="zh-CN"/>
        </w:rPr>
        <w:t>在投标分项报价表中</w:t>
      </w:r>
      <w:r>
        <w:rPr>
          <w:rFonts w:hint="eastAsia" w:ascii="宋体" w:hAnsi="宋体" w:eastAsia="宋体" w:cs="宋体"/>
          <w:b/>
          <w:kern w:val="0"/>
          <w:sz w:val="24"/>
          <w:szCs w:val="24"/>
        </w:rPr>
        <w:t>足额填报并承诺中标后足额发放。</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13.9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14.4中标人的投标文件作为项目合同的附件，其有效期至中标人全部合同义务履行完毕为止。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jc w:val="left"/>
        <w:rPr>
          <w:rFonts w:ascii="宋体" w:hAnsi="宋体" w:eastAsia="宋体"/>
          <w:sz w:val="24"/>
          <w:szCs w:val="24"/>
        </w:rPr>
      </w:pPr>
      <w:r>
        <w:rPr>
          <w:rFonts w:hint="eastAsia" w:ascii="宋体" w:hAnsi="宋体" w:eastAsia="宋体" w:cs="宋体"/>
          <w:kern w:val="0"/>
          <w:sz w:val="24"/>
          <w:szCs w:val="24"/>
        </w:rPr>
        <w:t>15.5 投标人登录许</w:t>
      </w:r>
      <w:r>
        <w:rPr>
          <w:rFonts w:hint="eastAsia" w:ascii="宋体" w:hAnsi="宋体" w:eastAsia="宋体" w:cs="Times New Roman"/>
          <w:sz w:val="24"/>
          <w:szCs w:val="24"/>
        </w:rPr>
        <w:t>昌公共资源交易系统下载“许昌投标文件制作系统SEARUN V1.1”，按招标文件要求</w:t>
      </w:r>
      <w:r>
        <w:rPr>
          <w:rFonts w:hint="eastAsia" w:ascii="宋体" w:hAnsi="宋体" w:eastAsia="宋体"/>
          <w:sz w:val="24"/>
          <w:szCs w:val="24"/>
        </w:rPr>
        <w:t>根据所投标段</w:t>
      </w:r>
      <w:r>
        <w:rPr>
          <w:rFonts w:hint="eastAsia" w:ascii="宋体" w:hAnsi="宋体" w:eastAsia="宋体" w:cs="Times New Roman"/>
          <w:sz w:val="24"/>
          <w:szCs w:val="24"/>
        </w:rPr>
        <w:t>制作电子投标文件。</w:t>
      </w:r>
    </w:p>
    <w:p>
      <w:pPr>
        <w:autoSpaceDE w:val="0"/>
        <w:autoSpaceDN w:val="0"/>
        <w:spacing w:line="360" w:lineRule="auto"/>
        <w:ind w:firstLine="424" w:firstLineChars="177"/>
        <w:contextualSpacing/>
        <w:jc w:val="left"/>
        <w:rPr>
          <w:rFonts w:ascii="宋体" w:hAnsi="宋体" w:eastAsia="宋体" w:cs="Times New Roman"/>
          <w:sz w:val="24"/>
          <w:szCs w:val="24"/>
        </w:rPr>
      </w:pPr>
      <w:r>
        <w:rPr>
          <w:rFonts w:hint="eastAsia" w:ascii="宋体" w:hAnsi="宋体" w:eastAsia="宋体"/>
          <w:sz w:val="24"/>
          <w:szCs w:val="24"/>
        </w:rPr>
        <w:t>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firstLine="424" w:firstLineChars="177"/>
        <w:contextualSpacing/>
        <w:rPr>
          <w:rFonts w:ascii="宋体" w:hAnsi="宋体" w:eastAsia="宋体"/>
          <w:sz w:val="24"/>
          <w:szCs w:val="24"/>
        </w:rPr>
      </w:pPr>
      <w:r>
        <w:rPr>
          <w:rFonts w:hint="eastAsia" w:ascii="宋体" w:hAnsi="宋体" w:eastAsia="宋体"/>
          <w:sz w:val="24"/>
          <w:szCs w:val="24"/>
        </w:rPr>
        <w:t>电子投标文件制作技术咨询：</w:t>
      </w:r>
      <w:r>
        <w:rPr>
          <w:rFonts w:hint="eastAsia" w:ascii="宋体" w:hAnsi="宋体" w:eastAsia="宋体"/>
          <w:b/>
          <w:sz w:val="24"/>
          <w:szCs w:val="24"/>
        </w:rPr>
        <w:t>0374-2961598</w:t>
      </w:r>
      <w:r>
        <w:rPr>
          <w:rFonts w:hint="eastAsia" w:ascii="宋体" w:hAnsi="宋体" w:eastAsia="宋体"/>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17.1 本项目不收取。</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17.2 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投标文件的数量和签署盖章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投标人应提</w:t>
      </w:r>
      <w:r>
        <w:rPr>
          <w:rFonts w:hint="eastAsia" w:ascii="宋体" w:hAnsi="宋体" w:eastAsia="宋体" w:cs="宋体"/>
          <w:kern w:val="0"/>
          <w:sz w:val="24"/>
          <w:szCs w:val="24"/>
        </w:rPr>
        <w:t>交投标文件份数见“投标人须知前附表”。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18.3 纸质投标文件是指投标人电子投标文件制作完成后生成的后缀名为“.PDF”的文件打印的投标文件。纸质投标文件正本和副本封面上应清楚标明</w:t>
      </w:r>
      <w:r>
        <w:rPr>
          <w:rFonts w:ascii="宋体" w:hAnsi="宋体" w:eastAsia="宋体" w:cs="宋体"/>
          <w:kern w:val="0"/>
          <w:sz w:val="24"/>
          <w:szCs w:val="24"/>
        </w:rPr>
        <w:t>“</w:t>
      </w:r>
      <w:r>
        <w:rPr>
          <w:rFonts w:hint="eastAsia" w:ascii="宋体" w:hAnsi="宋体" w:eastAsia="宋体" w:cs="宋体"/>
          <w:kern w:val="0"/>
          <w:sz w:val="24"/>
          <w:szCs w:val="24"/>
        </w:rPr>
        <w:t>正本</w:t>
      </w:r>
      <w:r>
        <w:rPr>
          <w:rFonts w:ascii="宋体" w:hAnsi="宋体" w:eastAsia="宋体" w:cs="宋体"/>
          <w:kern w:val="0"/>
          <w:sz w:val="24"/>
          <w:szCs w:val="24"/>
        </w:rPr>
        <w:t>”</w:t>
      </w:r>
      <w:r>
        <w:rPr>
          <w:rFonts w:hint="eastAsia" w:ascii="宋体" w:hAnsi="宋体" w:eastAsia="宋体" w:cs="宋体"/>
          <w:kern w:val="0"/>
          <w:sz w:val="24"/>
          <w:szCs w:val="24"/>
        </w:rPr>
        <w:t>或</w:t>
      </w:r>
      <w:r>
        <w:rPr>
          <w:rFonts w:ascii="宋体" w:hAnsi="宋体" w:eastAsia="宋体" w:cs="宋体"/>
          <w:kern w:val="0"/>
          <w:sz w:val="24"/>
          <w:szCs w:val="24"/>
        </w:rPr>
        <w:t>“</w:t>
      </w:r>
      <w:r>
        <w:rPr>
          <w:rFonts w:hint="eastAsia" w:ascii="宋体" w:hAnsi="宋体" w:eastAsia="宋体" w:cs="宋体"/>
          <w:kern w:val="0"/>
          <w:sz w:val="24"/>
          <w:szCs w:val="24"/>
        </w:rPr>
        <w:t>副本</w:t>
      </w:r>
      <w:r>
        <w:rPr>
          <w:rFonts w:ascii="宋体" w:hAnsi="宋体" w:eastAsia="宋体" w:cs="宋体"/>
          <w:kern w:val="0"/>
          <w:sz w:val="24"/>
          <w:szCs w:val="24"/>
        </w:rPr>
        <w:t>”</w:t>
      </w:r>
      <w:r>
        <w:rPr>
          <w:rFonts w:hint="eastAsia" w:ascii="宋体" w:hAnsi="宋体" w:eastAsia="宋体" w:cs="宋体"/>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18.4 纸质投标文</w:t>
      </w:r>
      <w:r>
        <w:rPr>
          <w:rFonts w:hint="eastAsia" w:ascii="宋体" w:hAnsi="宋体" w:eastAsia="宋体" w:cs="仿宋_GB2312"/>
          <w:sz w:val="24"/>
          <w:szCs w:val="24"/>
          <w:lang w:val="zh-CN"/>
        </w:rPr>
        <w:t>件副本可以是纸质投标文件的正本复印而成。</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1" w:name="_Toc14299194"/>
      <w:r>
        <w:rPr>
          <w:rFonts w:hint="eastAsia" w:ascii="宋体" w:hAnsi="宋体" w:eastAsia="宋体" w:cs="宋体"/>
          <w:b/>
          <w:kern w:val="0"/>
          <w:sz w:val="28"/>
          <w:szCs w:val="28"/>
        </w:rPr>
        <w:t>四、投标文件的递交</w:t>
      </w:r>
      <w:bookmarkEnd w:id="11"/>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.投标文件的密封</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rPr>
        <w:t>19</w:t>
      </w:r>
      <w:r>
        <w:rPr>
          <w:rFonts w:hint="eastAsia" w:ascii="宋体" w:hAnsi="宋体" w:eastAsia="宋体" w:cs="仿宋_GB2312"/>
          <w:sz w:val="24"/>
          <w:szCs w:val="24"/>
          <w:lang w:val="zh-CN"/>
        </w:rPr>
        <w:t>.1 投标人应将</w:t>
      </w:r>
      <w:r>
        <w:rPr>
          <w:rFonts w:hint="eastAsia" w:ascii="宋体" w:hAnsi="宋体" w:eastAsia="宋体" w:cs="宋体"/>
          <w:kern w:val="0"/>
          <w:sz w:val="24"/>
          <w:szCs w:val="24"/>
        </w:rPr>
        <w:t>纸质投标文件“正本”、“ 副本”密封包装。使用电子介质存储的投标文件单独密封包装，并随纸质投标文件一并提交，封套上均需加盖投标人单位公章。</w:t>
      </w:r>
    </w:p>
    <w:p>
      <w:pPr>
        <w:spacing w:line="360" w:lineRule="auto"/>
        <w:jc w:val="left"/>
        <w:rPr>
          <w:b/>
          <w:sz w:val="24"/>
          <w:szCs w:val="24"/>
        </w:rPr>
      </w:pPr>
      <w:r>
        <w:rPr>
          <w:rFonts w:hint="eastAsia"/>
          <w:b/>
          <w:sz w:val="24"/>
          <w:szCs w:val="24"/>
        </w:rPr>
        <w:t>投标文件封套上应注明：</w:t>
      </w:r>
    </w:p>
    <w:p>
      <w:pPr>
        <w:spacing w:line="360" w:lineRule="auto"/>
        <w:jc w:val="left"/>
        <w:rPr>
          <w:b/>
          <w:sz w:val="24"/>
          <w:szCs w:val="24"/>
          <w:u w:val="single"/>
        </w:rPr>
      </w:pPr>
      <w:r>
        <w:rPr>
          <w:rFonts w:hint="eastAsia"/>
          <w:b/>
          <w:sz w:val="24"/>
          <w:szCs w:val="24"/>
        </w:rPr>
        <w:t>项目名称（标段）：</w:t>
      </w:r>
      <w:r>
        <w:rPr>
          <w:rFonts w:hint="eastAsia"/>
          <w:b/>
          <w:sz w:val="24"/>
          <w:szCs w:val="24"/>
          <w:u w:val="single"/>
        </w:rPr>
        <w:t xml:space="preserve">            </w:t>
      </w:r>
    </w:p>
    <w:p>
      <w:pPr>
        <w:spacing w:line="360" w:lineRule="auto"/>
        <w:jc w:val="left"/>
        <w:rPr>
          <w:b/>
          <w:sz w:val="24"/>
          <w:szCs w:val="24"/>
        </w:rPr>
      </w:pPr>
      <w:r>
        <w:rPr>
          <w:rFonts w:hint="eastAsia"/>
          <w:b/>
          <w:sz w:val="24"/>
          <w:szCs w:val="24"/>
        </w:rPr>
        <w:t>项目编号：</w:t>
      </w:r>
      <w:r>
        <w:rPr>
          <w:rFonts w:hint="eastAsia"/>
          <w:b/>
          <w:sz w:val="24"/>
          <w:szCs w:val="24"/>
          <w:u w:val="single"/>
        </w:rPr>
        <w:t xml:space="preserve">            </w:t>
      </w:r>
    </w:p>
    <w:p>
      <w:pPr>
        <w:spacing w:line="360" w:lineRule="auto"/>
        <w:jc w:val="left"/>
        <w:rPr>
          <w:b/>
          <w:sz w:val="24"/>
          <w:szCs w:val="24"/>
        </w:rPr>
      </w:pPr>
      <w:r>
        <w:rPr>
          <w:rFonts w:hint="eastAsia"/>
          <w:b/>
          <w:sz w:val="24"/>
          <w:szCs w:val="24"/>
        </w:rPr>
        <w:t>投标人名称及联系电话：</w:t>
      </w:r>
      <w:r>
        <w:rPr>
          <w:rFonts w:hint="eastAsia"/>
          <w:b/>
          <w:sz w:val="24"/>
          <w:szCs w:val="24"/>
          <w:u w:val="single"/>
        </w:rPr>
        <w:t xml:space="preserve">            </w:t>
      </w:r>
    </w:p>
    <w:p>
      <w:pPr>
        <w:spacing w:line="360" w:lineRule="auto"/>
        <w:jc w:val="left"/>
        <w:rPr>
          <w:b/>
          <w:sz w:val="24"/>
          <w:szCs w:val="24"/>
        </w:rPr>
      </w:pP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r>
        <w:rPr>
          <w:rFonts w:hint="eastAsia"/>
          <w:b/>
          <w:sz w:val="24"/>
          <w:szCs w:val="24"/>
          <w:u w:val="single"/>
        </w:rPr>
        <w:t xml:space="preserve">   </w:t>
      </w:r>
      <w:r>
        <w:rPr>
          <w:rFonts w:hint="eastAsia"/>
          <w:b/>
          <w:sz w:val="24"/>
          <w:szCs w:val="24"/>
        </w:rPr>
        <w:t>时</w:t>
      </w:r>
      <w:r>
        <w:rPr>
          <w:rFonts w:hint="eastAsia"/>
          <w:b/>
          <w:sz w:val="24"/>
          <w:szCs w:val="24"/>
          <w:u w:val="single"/>
        </w:rPr>
        <w:t xml:space="preserve">   </w:t>
      </w:r>
      <w:r>
        <w:rPr>
          <w:rFonts w:hint="eastAsia"/>
          <w:b/>
          <w:sz w:val="24"/>
          <w:szCs w:val="24"/>
        </w:rPr>
        <w:t>分前不准启封。</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19.2 投标文件如果</w:t>
      </w:r>
      <w:r>
        <w:rPr>
          <w:rFonts w:hint="eastAsia" w:ascii="宋体" w:hAnsi="宋体" w:eastAsia="宋体" w:cs="仿宋_GB2312"/>
          <w:sz w:val="24"/>
          <w:szCs w:val="24"/>
          <w:lang w:val="zh-CN"/>
        </w:rPr>
        <w:t>未按规定密封，招标人将拒绝接收。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．投标截止时间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rPr>
        <w:t>20</w:t>
      </w:r>
      <w:r>
        <w:rPr>
          <w:rFonts w:hint="eastAsia" w:ascii="宋体" w:hAnsi="宋体" w:eastAsia="宋体" w:cs="仿宋_GB2312"/>
          <w:sz w:val="24"/>
          <w:szCs w:val="24"/>
          <w:lang w:val="zh-CN"/>
        </w:rPr>
        <w:t>.1 投标人必须</w:t>
      </w:r>
      <w:r>
        <w:rPr>
          <w:rFonts w:hint="eastAsia" w:ascii="宋体" w:hAnsi="宋体" w:eastAsia="宋体" w:cs="宋体"/>
          <w:kern w:val="0"/>
          <w:sz w:val="24"/>
          <w:szCs w:val="24"/>
        </w:rPr>
        <w:t>在“投标邀请”和“投标人须知前附表”中规定的投标截止时间前，将所有投标文件送达招标文件指定的开标地点。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4" w:firstLineChars="177"/>
        <w:contextualSpacing/>
        <w:jc w:val="left"/>
        <w:rPr>
          <w:rFonts w:ascii="宋体" w:hAnsi="宋体" w:eastAsia="宋体"/>
          <w:bCs/>
          <w:sz w:val="24"/>
          <w:szCs w:val="24"/>
        </w:rPr>
      </w:pPr>
      <w:r>
        <w:rPr>
          <w:rFonts w:hint="eastAsia" w:ascii="宋体" w:hAnsi="宋体" w:eastAsia="宋体" w:cs="宋体"/>
          <w:kern w:val="0"/>
          <w:sz w:val="24"/>
          <w:szCs w:val="24"/>
        </w:rPr>
        <w:t>20.3 招标人可以按本须知第11条规定，通过修改招标文件自行决定酌情延长投标截止期。在此情况下，招标</w:t>
      </w:r>
      <w:r>
        <w:rPr>
          <w:rFonts w:hint="eastAsia" w:ascii="宋体" w:hAnsi="宋体" w:eastAsia="宋体"/>
          <w:bCs/>
          <w:sz w:val="24"/>
          <w:szCs w:val="24"/>
        </w:rPr>
        <w:t>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21</w:t>
      </w:r>
      <w:r>
        <w:rPr>
          <w:rFonts w:hint="eastAsia" w:ascii="宋体" w:hAnsi="宋体" w:eastAsia="宋体" w:cs="仿宋_GB2312"/>
          <w:b/>
          <w:sz w:val="24"/>
          <w:szCs w:val="24"/>
          <w:lang w:val="zh-CN"/>
        </w:rPr>
        <w:t>. 迟交的投标文件</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w:t>
      </w:r>
      <w:r>
        <w:rPr>
          <w:rFonts w:hint="eastAsia" w:ascii="宋体" w:hAnsi="宋体" w:eastAsia="宋体" w:cs="宋体"/>
          <w:kern w:val="0"/>
          <w:sz w:val="24"/>
          <w:szCs w:val="24"/>
        </w:rPr>
        <w:t>送达</w:t>
      </w:r>
      <w:r>
        <w:rPr>
          <w:rFonts w:hint="eastAsia" w:ascii="宋体" w:hAnsi="宋体" w:eastAsia="宋体" w:cs="仿宋_GB2312"/>
          <w:sz w:val="24"/>
          <w:szCs w:val="24"/>
          <w:lang w:val="zh-CN"/>
        </w:rPr>
        <w:t>/上传的投标文件，招标人将拒绝接收。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2</w:t>
      </w:r>
      <w:r>
        <w:rPr>
          <w:rFonts w:hint="eastAsia" w:ascii="宋体" w:hAnsi="宋体" w:eastAsia="宋体" w:cs="仿宋_GB2312"/>
          <w:b/>
          <w:sz w:val="24"/>
          <w:szCs w:val="24"/>
          <w:lang w:val="zh-CN"/>
        </w:rPr>
        <w:t>. 投标文件的修改和撤回</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.1 投标人在</w:t>
      </w:r>
      <w:r>
        <w:rPr>
          <w:rFonts w:hint="eastAsia" w:ascii="宋体" w:hAnsi="宋体" w:eastAsia="宋体" w:cs="宋体"/>
          <w:kern w:val="0"/>
          <w:sz w:val="24"/>
          <w:szCs w:val="24"/>
        </w:rPr>
        <w:t>投标</w:t>
      </w:r>
      <w:r>
        <w:rPr>
          <w:rFonts w:hint="eastAsia" w:ascii="宋体" w:hAnsi="宋体" w:eastAsia="宋体" w:cs="仿宋_GB2312"/>
          <w:sz w:val="24"/>
          <w:szCs w:val="24"/>
          <w:lang w:val="zh-CN"/>
        </w:rPr>
        <w:t>截止时间前，对所递交的纸质投标文件进行补充、修改或者撤回的，须书面通知招标人。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sz w:val="24"/>
        </w:rPr>
        <w:t>投标人应当在投标</w:t>
      </w:r>
      <w:r>
        <w:rPr>
          <w:rFonts w:hint="eastAsia" w:ascii="宋体" w:hAnsi="宋体" w:eastAsia="宋体" w:cs="宋体"/>
          <w:kern w:val="0"/>
          <w:sz w:val="24"/>
          <w:szCs w:val="24"/>
        </w:rPr>
        <w:t>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22.2 投标人补充、修改的内容并作为投标文件的组成部分。补充或修改应当按招标文件要求签署、盖章、密封、递交，并应注明“修改</w:t>
      </w:r>
      <w:r>
        <w:rPr>
          <w:rFonts w:ascii="宋体" w:hAnsi="宋体" w:eastAsia="宋体" w:cs="宋体"/>
          <w:kern w:val="0"/>
          <w:sz w:val="24"/>
          <w:szCs w:val="24"/>
        </w:rPr>
        <w:t>”</w:t>
      </w:r>
      <w:r>
        <w:rPr>
          <w:rFonts w:hint="eastAsia" w:ascii="宋体" w:hAnsi="宋体" w:eastAsia="宋体" w:cs="宋体"/>
          <w:kern w:val="0"/>
          <w:sz w:val="24"/>
          <w:szCs w:val="24"/>
        </w:rPr>
        <w:t>或“补充</w:t>
      </w:r>
      <w:r>
        <w:rPr>
          <w:rFonts w:ascii="宋体" w:hAnsi="宋体" w:eastAsia="宋体" w:cs="宋体"/>
          <w:kern w:val="0"/>
          <w:sz w:val="24"/>
          <w:szCs w:val="24"/>
        </w:rPr>
        <w:t>”</w:t>
      </w:r>
      <w:r>
        <w:rPr>
          <w:rFonts w:hint="eastAsia" w:ascii="宋体" w:hAnsi="宋体" w:eastAsia="宋体" w:cs="宋体"/>
          <w:kern w:val="0"/>
          <w:sz w:val="24"/>
          <w:szCs w:val="24"/>
        </w:rPr>
        <w:t>字样。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22.3 投标人在递交投标文件后，可以撤回其投标，但投标人必须在规定的投标截止时间前以书面形式告知</w:t>
      </w:r>
      <w:r>
        <w:rPr>
          <w:rFonts w:hint="eastAsia" w:ascii="宋体" w:hAnsi="宋体" w:eastAsia="宋体" w:cs="仿宋_GB2312"/>
          <w:sz w:val="24"/>
          <w:szCs w:val="24"/>
          <w:lang w:val="zh-CN"/>
        </w:rPr>
        <w:t>招标人。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.4  </w:t>
      </w:r>
      <w:r>
        <w:rPr>
          <w:rFonts w:hint="eastAsia" w:ascii="宋体" w:hAnsi="宋体" w:eastAsia="宋体" w:cs="宋体"/>
          <w:kern w:val="0"/>
          <w:sz w:val="24"/>
          <w:szCs w:val="24"/>
        </w:rPr>
        <w:t>投标人不得在投标有效期内撤销投标文件，否则投标人将承担违背投标承诺函的责任追究。</w:t>
      </w:r>
    </w:p>
    <w:p>
      <w:pPr>
        <w:autoSpaceDE w:val="0"/>
        <w:autoSpaceDN w:val="0"/>
        <w:spacing w:line="360" w:lineRule="auto"/>
        <w:ind w:firstLine="426" w:firstLineChars="177"/>
        <w:contextualSpacing/>
        <w:jc w:val="left"/>
        <w:rPr>
          <w:rFonts w:ascii="宋体" w:hAnsi="宋体" w:eastAsia="宋体" w:cs="宋体"/>
          <w:b/>
          <w:kern w:val="0"/>
          <w:sz w:val="24"/>
          <w:szCs w:val="24"/>
        </w:rPr>
      </w:pPr>
      <w:r>
        <w:rPr>
          <w:rFonts w:hint="eastAsia" w:ascii="宋体" w:hAnsi="宋体" w:eastAsia="宋体" w:cs="宋体"/>
          <w:b/>
          <w:kern w:val="0"/>
          <w:sz w:val="24"/>
          <w:szCs w:val="24"/>
        </w:rPr>
        <w:t>23．</w:t>
      </w:r>
      <w:r>
        <w:rPr>
          <w:rFonts w:hint="eastAsia" w:ascii="宋体" w:hAnsi="宋体" w:eastAsia="宋体" w:cs="宋体"/>
          <w:b/>
          <w:sz w:val="24"/>
        </w:rPr>
        <w:t>除投标人须知前附表另有规定外，投标人所提交的电子投标文件、纸质投标文件及电子介质存储的备份文件不予退还。</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2" w:name="_Toc14299195"/>
      <w:r>
        <w:rPr>
          <w:rFonts w:hint="eastAsia" w:ascii="宋体" w:hAnsi="宋体" w:eastAsia="宋体" w:cs="宋体"/>
          <w:b/>
          <w:kern w:val="0"/>
          <w:sz w:val="28"/>
          <w:szCs w:val="28"/>
        </w:rPr>
        <w:t>五、开标和评标</w:t>
      </w:r>
      <w:bookmarkEnd w:id="12"/>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开标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.1 招</w:t>
      </w:r>
      <w:r>
        <w:rPr>
          <w:rFonts w:hint="eastAsia" w:ascii="宋体" w:hAnsi="宋体" w:eastAsia="宋体" w:cs="宋体"/>
          <w:kern w:val="0"/>
          <w:sz w:val="24"/>
          <w:szCs w:val="24"/>
        </w:rPr>
        <w:t>标人将按招标文件规定的时间和地点组织公开开标。开标由代理机构主持，邀请投标人参加。评标委员会成员不得参加开标活动。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24.2 招标人应当对开标、评标现场活动进行全程录音录像。录音录像应当清晰可辨，音像资料作为采购文件一并存档。</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24.3 开标时</w:t>
      </w:r>
      <w:r>
        <w:rPr>
          <w:rFonts w:hint="eastAsia" w:ascii="宋体" w:hAnsi="宋体" w:eastAsia="宋体" w:cs="仿宋_GB2312"/>
          <w:sz w:val="24"/>
          <w:szCs w:val="24"/>
          <w:lang w:val="zh-CN"/>
        </w:rPr>
        <w:t>，由投标人或者其推选的代表检查纸质投标文件和</w:t>
      </w:r>
      <w:r>
        <w:rPr>
          <w:rFonts w:hint="eastAsia" w:ascii="宋体" w:hAnsi="宋体" w:eastAsia="宋体" w:cs="宋体"/>
          <w:sz w:val="24"/>
        </w:rPr>
        <w:t>备份文件</w:t>
      </w:r>
      <w:r>
        <w:rPr>
          <w:rFonts w:hint="eastAsia" w:ascii="宋体" w:hAnsi="宋体" w:eastAsia="宋体" w:cs="仿宋_GB2312"/>
          <w:sz w:val="24"/>
          <w:szCs w:val="24"/>
          <w:lang w:val="zh-CN"/>
        </w:rPr>
        <w:t>（</w:t>
      </w:r>
      <w:r>
        <w:rPr>
          <w:rFonts w:hint="eastAsia" w:ascii="宋体" w:hAnsi="宋体" w:eastAsia="宋体" w:cs="宋体"/>
          <w:sz w:val="24"/>
        </w:rPr>
        <w:t>使用电子介质存储</w:t>
      </w:r>
      <w:r>
        <w:rPr>
          <w:rFonts w:hint="eastAsia" w:ascii="宋体" w:hAnsi="宋体" w:eastAsia="宋体" w:cs="仿宋_GB2312"/>
          <w:sz w:val="24"/>
          <w:szCs w:val="24"/>
          <w:lang w:val="zh-CN"/>
        </w:rPr>
        <w:t>）</w:t>
      </w:r>
      <w:r>
        <w:rPr>
          <w:rFonts w:hint="eastAsia" w:ascii="宋体" w:hAnsi="宋体" w:eastAsia="宋体" w:cs="宋体"/>
          <w:sz w:val="24"/>
        </w:rPr>
        <w:t>的</w:t>
      </w:r>
      <w:r>
        <w:rPr>
          <w:rFonts w:hint="eastAsia" w:ascii="宋体" w:hAnsi="宋体" w:eastAsia="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 xml:space="preserve">24.3.1 </w:t>
      </w:r>
      <w:r>
        <w:rPr>
          <w:rFonts w:hint="eastAsia" w:ascii="宋体" w:hAnsi="宋体" w:eastAsia="宋体" w:cs="宋体"/>
          <w:kern w:val="0"/>
          <w:sz w:val="24"/>
          <w:szCs w:val="24"/>
        </w:rPr>
        <w:t>电子</w:t>
      </w:r>
      <w:r>
        <w:rPr>
          <w:rFonts w:hint="eastAsia" w:ascii="宋体" w:hAnsi="宋体" w:eastAsia="宋体" w:cs="仿宋_GB2312"/>
          <w:sz w:val="24"/>
          <w:szCs w:val="24"/>
          <w:lang w:val="zh-CN"/>
        </w:rPr>
        <w:t>投标文件的解密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全流程</w:t>
      </w:r>
      <w:r>
        <w:rPr>
          <w:rFonts w:hint="eastAsia" w:ascii="宋体" w:hAnsi="宋体" w:eastAsia="宋体" w:cs="宋体"/>
          <w:kern w:val="0"/>
          <w:sz w:val="24"/>
          <w:szCs w:val="24"/>
        </w:rPr>
        <w:t>电子化</w:t>
      </w:r>
      <w:r>
        <w:rPr>
          <w:rFonts w:hint="eastAsia" w:ascii="宋体" w:hAnsi="宋体" w:eastAsia="宋体" w:cs="仿宋_GB2312"/>
          <w:sz w:val="24"/>
          <w:szCs w:val="24"/>
          <w:lang w:val="zh-CN"/>
        </w:rPr>
        <w:t>交易项目电子投标文件采用双重加密。解密需分标段进行两次解密。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（1）投标人</w:t>
      </w:r>
      <w:r>
        <w:rPr>
          <w:rFonts w:hint="eastAsia" w:ascii="宋体" w:hAnsi="宋体" w:eastAsia="宋体" w:cs="宋体"/>
          <w:kern w:val="0"/>
          <w:sz w:val="24"/>
          <w:szCs w:val="24"/>
        </w:rPr>
        <w:t>解密：投标人使用本单位CA数字证书远程或现场进行解密。需开标现场使用一体机进行解密的，请在代理机构引导下进行。</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24.3.2 电子投标文件解密异常情况处理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）因电子交易系统异常无法解密电子投标文件的，使用纸质投标文件以人工方式进行。</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（2）因投标人原因电子投标文件解密失败的，由系统技术人员协助投标人将备份文件（电子介质存储）</w:t>
      </w:r>
      <w:r>
        <w:rPr>
          <w:rFonts w:hint="eastAsia" w:ascii="宋体" w:hAnsi="宋体" w:eastAsia="宋体" w:cs="仿宋_GB2312"/>
          <w:sz w:val="24"/>
          <w:szCs w:val="24"/>
          <w:lang w:val="zh-CN"/>
        </w:rPr>
        <w:t>导入系统。若备份文件（电子介质存储）无法导入系统或导入系统仍无法解密的，其投标将被拒绝。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.4 投标人不</w:t>
      </w:r>
      <w:r>
        <w:rPr>
          <w:rFonts w:hint="eastAsia" w:ascii="宋体" w:hAnsi="宋体" w:eastAsia="宋体" w:cs="宋体"/>
          <w:kern w:val="0"/>
          <w:sz w:val="24"/>
          <w:szCs w:val="24"/>
        </w:rPr>
        <w:t>足3家的，不得开标。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24.5 开标过程由采购代理机构负责记录，由参加开标的各投标人代表和相关工作人员签字确认后随采购文件一并存档。</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24.6 投标人代表对开标过程和开标记录有疑义，以及认为采购人、采购代理机构相关工作人员有需要回避的情形的，应当场提出询问或者回避申请。采购人、采购代理机构对投标人代表提</w:t>
      </w:r>
      <w:r>
        <w:rPr>
          <w:rFonts w:hint="eastAsia" w:ascii="宋体" w:hAnsi="宋体" w:eastAsia="宋体" w:cs="仿宋_GB2312"/>
          <w:sz w:val="24"/>
          <w:szCs w:val="24"/>
          <w:lang w:val="zh-CN"/>
        </w:rPr>
        <w:t>出的询问或者回避申请应当及时处理。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 资格审查</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.评标委员会的组成</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.1 招标人将依法组建评标委员会，评标委员会由相关评审专家和业主代表共7人组成，其中评审专家的人数不少于评标委员会成员总数的三分之二。评审专家从河南省政府采购评审专家库中随机抽取。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26.1.1 采购项</w:t>
      </w:r>
      <w:r>
        <w:rPr>
          <w:rFonts w:hint="eastAsia" w:ascii="宋体" w:hAnsi="宋体" w:eastAsia="宋体" w:cs="宋体"/>
          <w:kern w:val="0"/>
          <w:sz w:val="24"/>
          <w:szCs w:val="24"/>
        </w:rPr>
        <w:t>目符合下列情形之一的，评标委员会成员人数应当为7人以上单数：</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（一）采购预算金额在1000万元以上；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（二）技术复杂；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（三）社会影响较大。</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26.2 评审专家对本单位的采购项目只能作为采购人代表参与评标。采购代理机构工作人员不得参加由</w:t>
      </w:r>
      <w:r>
        <w:rPr>
          <w:rFonts w:hint="eastAsia" w:ascii="宋体" w:hAnsi="宋体" w:eastAsia="宋体" w:cs="仿宋_GB2312"/>
          <w:sz w:val="24"/>
          <w:szCs w:val="24"/>
          <w:lang w:val="zh-CN"/>
        </w:rPr>
        <w:t>本机构代理的政府采购项目的评标。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.3 评审专家与</w:t>
      </w:r>
      <w:r>
        <w:rPr>
          <w:rFonts w:hint="eastAsia" w:ascii="宋体" w:hAnsi="宋体" w:eastAsia="宋体" w:cs="宋体"/>
          <w:kern w:val="0"/>
          <w:sz w:val="24"/>
          <w:szCs w:val="24"/>
        </w:rPr>
        <w:t>投标人存在下列利害关系之一的,应当回避:</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(一)参加采购活动前三年内,与供应商存在劳动关系,或者担任过供应商的董事、监事,或者是供应商的控股股东或实际控制人；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(二)与供应商的法定代表人或者负责人有夫妻、直系血亲、三代以内旁系血亲或者近姻亲关系；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(三)与供应商有其他可能影响政府采购活动公平、公正进行的关系。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.5 采购人不得</w:t>
      </w:r>
      <w:r>
        <w:rPr>
          <w:rFonts w:hint="eastAsia" w:ascii="宋体" w:hAnsi="宋体" w:eastAsia="宋体" w:cs="宋体"/>
          <w:kern w:val="0"/>
          <w:sz w:val="24"/>
          <w:szCs w:val="24"/>
        </w:rPr>
        <w:t>担任评标小组长。</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26.6 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26.7 评标委员会</w:t>
      </w:r>
      <w:r>
        <w:rPr>
          <w:rFonts w:hint="eastAsia" w:ascii="宋体" w:hAnsi="宋体" w:eastAsia="宋体" w:cs="仿宋_GB2312"/>
          <w:sz w:val="24"/>
          <w:szCs w:val="24"/>
          <w:lang w:val="zh-CN"/>
        </w:rPr>
        <w:t>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7</w:t>
      </w:r>
      <w:r>
        <w:rPr>
          <w:rFonts w:hint="eastAsia" w:ascii="宋体" w:hAnsi="宋体" w:eastAsia="宋体" w:cs="仿宋_GB2312"/>
          <w:b/>
          <w:sz w:val="24"/>
          <w:szCs w:val="24"/>
          <w:lang w:val="zh-CN"/>
        </w:rPr>
        <w:t>. 符合性审查</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评标委员会</w:t>
      </w:r>
      <w:r>
        <w:rPr>
          <w:rFonts w:hint="eastAsia" w:ascii="宋体" w:hAnsi="宋体" w:eastAsia="宋体" w:cs="宋体"/>
          <w:kern w:val="0"/>
          <w:sz w:val="24"/>
          <w:szCs w:val="24"/>
        </w:rPr>
        <w:t>依据有关法律法规和招标文件的规定，对符合资格的投标人的投标文件进行符合性审查，以确定其是否满足招标文件的实质性要求。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27.2 审查、评价投标文件是否符合招标文件的商务、技术等实质性要求。</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27.3 可要求投标人</w:t>
      </w:r>
      <w:r>
        <w:rPr>
          <w:rFonts w:hint="eastAsia" w:ascii="宋体" w:hAnsi="宋体" w:eastAsia="宋体" w:cs="仿宋_GB2312"/>
          <w:sz w:val="24"/>
          <w:szCs w:val="24"/>
          <w:lang w:val="zh-CN"/>
        </w:rPr>
        <w:t>对投标文件有关事项作出澄清或者说明。</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27.4 通过符合性审查的投标人不足3家的，应予废标。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.2 投标人的澄清</w:t>
      </w:r>
      <w:r>
        <w:rPr>
          <w:rFonts w:hint="eastAsia" w:ascii="宋体" w:hAnsi="宋体" w:eastAsia="宋体" w:cs="宋体"/>
          <w:kern w:val="0"/>
          <w:sz w:val="24"/>
          <w:szCs w:val="24"/>
        </w:rPr>
        <w:t>、说明或者补正应当采用书面形式，并加盖公章，或者由法定代表人或其授权的代表签字。投标人的澄清、说明或者补正不得超出投标文件的范围或者改变投标文件的实质性内容。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28.3 投标人的澄清文</w:t>
      </w:r>
      <w:r>
        <w:rPr>
          <w:rFonts w:hint="eastAsia" w:ascii="宋体" w:hAnsi="宋体" w:eastAsia="宋体" w:cs="仿宋_GB2312"/>
          <w:sz w:val="24"/>
          <w:szCs w:val="24"/>
          <w:lang w:val="zh-CN"/>
        </w:rPr>
        <w:t>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9</w:t>
      </w:r>
      <w:r>
        <w:rPr>
          <w:rFonts w:hint="eastAsia" w:ascii="宋体" w:hAnsi="宋体" w:eastAsia="宋体" w:cs="仿宋_GB2312"/>
          <w:b/>
          <w:sz w:val="24"/>
          <w:szCs w:val="24"/>
          <w:lang w:val="zh-CN"/>
        </w:rPr>
        <w:t>. 投标文件报价出现前后不一致的修正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.1 投标文件中</w:t>
      </w:r>
      <w:r>
        <w:rPr>
          <w:rFonts w:hint="eastAsia" w:ascii="宋体" w:hAnsi="宋体" w:eastAsia="宋体" w:cs="宋体"/>
          <w:kern w:val="0"/>
          <w:sz w:val="24"/>
          <w:szCs w:val="24"/>
        </w:rPr>
        <w:t>开标一览表(报价表)内容与投标文件中相应内容不一致的，以开标一览表(报价表)为准；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29.2 大写金额（费率）和小写金额（费率）不一致的，以大写金额（费率）为准；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29.3 单价金额（费率）小数点或者百分比有明显错位的，以开标一览表的总价（费率）为准，并修改单价；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29.4 总价金额（费率）与按单价汇总金额（费率）不一致的，以单价金额（费率）计算结果为准。同时出现两种以上不一致的，按照前款规定的顺序修正。修正后的报价按照“投标人须知”28.2规定经投标人确认后产生</w:t>
      </w:r>
      <w:r>
        <w:rPr>
          <w:rFonts w:hint="eastAsia" w:ascii="宋体" w:hAnsi="宋体" w:eastAsia="宋体" w:cs="仿宋_GB2312"/>
          <w:sz w:val="24"/>
          <w:szCs w:val="24"/>
          <w:lang w:val="zh-CN"/>
        </w:rPr>
        <w:t>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30.投标无效情形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30.1 投标文件属下列</w:t>
      </w:r>
      <w:r>
        <w:rPr>
          <w:rFonts w:hint="eastAsia" w:ascii="宋体" w:hAnsi="宋体" w:eastAsia="宋体" w:cs="宋体"/>
          <w:kern w:val="0"/>
          <w:sz w:val="24"/>
          <w:szCs w:val="24"/>
        </w:rPr>
        <w:t>情况之一的，按照无效投标处理：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30.1.1 未按照招标文件的规定提交投标承诺函的；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30.1.2 投标文件未按招标文件要求签署、盖章的；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30.1.3 不具备招标文件中规定的资格要求的；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30.1.4 报价超过招标文件中规定的预算金额或者最高限价的；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30.1.5 </w:t>
      </w:r>
      <w:r>
        <w:rPr>
          <w:rFonts w:ascii="宋体" w:hAnsi="宋体" w:eastAsia="宋体" w:cs="宋体"/>
          <w:kern w:val="0"/>
          <w:sz w:val="24"/>
          <w:szCs w:val="24"/>
        </w:rPr>
        <w:t>投标文件含有采购人不能接受的附加条件的</w:t>
      </w:r>
      <w:r>
        <w:rPr>
          <w:rFonts w:hint="eastAsia"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 有下列情形之一的，视为投标人串通投标，其投标无效：</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30.2.1 不同投标人的投标文件由同一单位或者个人编制；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30.2.2 不同投标人委托同一单位或者个人办理投标事宜；</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30.2.3 不同投标人的投标文件载明的项目管理成员或者联系人员为同一人；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30.2.4 不同投标人的投标文件异常一致或者投标报价呈规律性差异；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30.2.5 不同投标人的投标文件相互混装。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30.3 投标人应当遵循</w:t>
      </w:r>
      <w:r>
        <w:rPr>
          <w:rFonts w:hint="eastAsia" w:ascii="宋体" w:hAnsi="宋体" w:eastAsia="宋体" w:cs="宋体"/>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 xml:space="preserve">30.5 </w:t>
      </w:r>
      <w:r>
        <w:rPr>
          <w:rFonts w:ascii="宋体" w:hAnsi="宋体" w:eastAsia="宋体" w:cs="宋体"/>
          <w:kern w:val="0"/>
          <w:sz w:val="24"/>
          <w:szCs w:val="24"/>
        </w:rPr>
        <w:t>法律、法规和招标文</w:t>
      </w:r>
      <w:r>
        <w:rPr>
          <w:rFonts w:ascii="宋体" w:hAnsi="宋体" w:eastAsia="宋体" w:cs="仿宋_GB2312"/>
          <w:sz w:val="24"/>
          <w:szCs w:val="24"/>
          <w:lang w:val="zh-CN"/>
        </w:rPr>
        <w:t>件规定的其他无效情形。</w:t>
      </w:r>
    </w:p>
    <w:p>
      <w:pPr>
        <w:tabs>
          <w:tab w:val="left" w:pos="1260"/>
        </w:tabs>
        <w:autoSpaceDE w:val="0"/>
        <w:autoSpaceDN w:val="0"/>
        <w:spacing w:line="360" w:lineRule="auto"/>
        <w:contextualSpacing/>
        <w:rPr>
          <w:rFonts w:ascii="宋体" w:hAnsi="宋体" w:eastAsia="宋体"/>
          <w:b/>
          <w:bCs/>
          <w:sz w:val="24"/>
          <w:szCs w:val="24"/>
          <w:lang w:val="zh-CN"/>
        </w:rPr>
      </w:pPr>
      <w:r>
        <w:rPr>
          <w:rFonts w:hint="eastAsia" w:ascii="宋体" w:hAnsi="宋体" w:eastAsia="宋体" w:cs="仿宋_GB2312"/>
          <w:sz w:val="24"/>
          <w:szCs w:val="24"/>
          <w:lang w:val="zh-CN"/>
        </w:rPr>
        <w:t>31.</w:t>
      </w:r>
      <w:r>
        <w:rPr>
          <w:rFonts w:hint="eastAsia" w:ascii="宋体" w:hAnsi="宋体" w:eastAsia="宋体"/>
          <w:b/>
          <w:bCs/>
          <w:sz w:val="24"/>
          <w:szCs w:val="24"/>
          <w:lang w:val="zh-CN"/>
        </w:rPr>
        <w:t xml:space="preserve"> 相同品牌投标人的认定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31.1 采用最低评标价</w:t>
      </w:r>
      <w:r>
        <w:rPr>
          <w:rFonts w:hint="eastAsia" w:ascii="宋体" w:hAnsi="宋体" w:eastAsia="宋体" w:cs="宋体"/>
          <w:kern w:val="0"/>
          <w:sz w:val="24"/>
          <w:szCs w:val="24"/>
        </w:rPr>
        <w:t>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w:t>
      </w:r>
      <w:r>
        <w:rPr>
          <w:rFonts w:hint="eastAsia" w:ascii="宋体" w:hAnsi="宋体" w:eastAsia="宋体" w:cs="仿宋_GB2312"/>
          <w:sz w:val="24"/>
          <w:szCs w:val="24"/>
          <w:lang w:val="zh-CN"/>
        </w:rPr>
        <w:t>投标人不作为中标候选人。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32</w:t>
      </w:r>
      <w:r>
        <w:rPr>
          <w:rFonts w:hint="eastAsia" w:ascii="宋体" w:hAnsi="宋体" w:eastAsia="宋体" w:cs="仿宋_GB2312"/>
          <w:b/>
          <w:sz w:val="24"/>
          <w:szCs w:val="24"/>
          <w:lang w:val="zh-CN"/>
        </w:rPr>
        <w:t>. 投标文件的比较与评价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评标委员会按照</w:t>
      </w:r>
      <w:r>
        <w:rPr>
          <w:rFonts w:hint="eastAsia" w:ascii="宋体" w:hAnsi="宋体" w:eastAsia="宋体" w:cs="宋体"/>
          <w:kern w:val="0"/>
          <w:sz w:val="24"/>
          <w:szCs w:val="24"/>
        </w:rPr>
        <w:t>招标文件</w:t>
      </w:r>
      <w:r>
        <w:rPr>
          <w:rFonts w:hint="eastAsia" w:ascii="宋体" w:hAnsi="宋体" w:eastAsia="宋体" w:cs="仿宋_GB2312"/>
          <w:sz w:val="24"/>
          <w:szCs w:val="24"/>
          <w:lang w:val="zh-CN"/>
        </w:rPr>
        <w:t>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33.评标方法、评标标准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评标方法分为最低评标</w:t>
      </w:r>
      <w:r>
        <w:rPr>
          <w:rFonts w:hint="eastAsia" w:ascii="宋体" w:hAnsi="宋体" w:eastAsia="宋体" w:cs="宋体"/>
          <w:kern w:val="0"/>
          <w:sz w:val="24"/>
          <w:szCs w:val="24"/>
        </w:rPr>
        <w:t>价法和综合评分法。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33.1.1 最低评标价法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33.1.1.1 最低评标价法，是指投标文件满足招标文件全部实质性要求，且投标报价最低的投标人为中标候选人的评标方法。</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33.1.1.2 采用最低评标价法评标时，除了算术修正和落实政府采购政策需进行的价格扣除外，不能对投标人的投标</w:t>
      </w:r>
      <w:r>
        <w:rPr>
          <w:rFonts w:hint="eastAsia" w:ascii="宋体" w:hAnsi="宋体" w:eastAsia="宋体" w:cs="仿宋_GB2312"/>
          <w:sz w:val="24"/>
          <w:szCs w:val="24"/>
          <w:lang w:val="zh-CN"/>
        </w:rPr>
        <w:t>价格进行任何调整。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.1.2 综合评分法，是</w:t>
      </w:r>
      <w:r>
        <w:rPr>
          <w:rFonts w:hint="eastAsia" w:ascii="宋体" w:hAnsi="宋体" w:eastAsia="宋体" w:cs="宋体"/>
          <w:kern w:val="0"/>
          <w:sz w:val="24"/>
          <w:szCs w:val="24"/>
        </w:rPr>
        <w:t>指投标文件满足招标文件全部实质性要求，且按照评审因素的量化指标评审得分最高的投标人为中标候选人的评标方法。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33.2 价格分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评标总得分=F1×A1+F2×A2+……+Fn×An</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宋体"/>
          <w:kern w:val="0"/>
          <w:sz w:val="24"/>
          <w:szCs w:val="24"/>
        </w:rPr>
        <w:t>A1、A2、……An 分别为各项</w:t>
      </w:r>
      <w:r>
        <w:rPr>
          <w:rFonts w:hint="eastAsia" w:ascii="宋体" w:hAnsi="宋体" w:eastAsia="宋体" w:cs="仿宋_GB2312"/>
          <w:sz w:val="24"/>
          <w:szCs w:val="24"/>
          <w:lang w:val="zh-CN"/>
        </w:rPr>
        <w:t>评审因素所占的权重</w:t>
      </w:r>
      <w:r>
        <w:rPr>
          <w:rFonts w:hint="eastAsia" w:ascii="宋体" w:hAnsi="宋体" w:eastAsia="宋体" w:cs="仿宋_GB2312"/>
          <w:sz w:val="24"/>
          <w:szCs w:val="24"/>
        </w:rPr>
        <w:t>(A1+A2+……+An=1)</w:t>
      </w:r>
      <w:r>
        <w:rPr>
          <w:rFonts w:hint="eastAsia" w:ascii="宋体" w:hAnsi="宋体" w:eastAsia="宋体" w:cs="仿宋_GB2312"/>
          <w:sz w:val="24"/>
          <w:szCs w:val="24"/>
          <w:lang w:val="zh-CN"/>
        </w:rPr>
        <w:t>。</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仿宋_GB2312"/>
          <w:sz w:val="24"/>
          <w:szCs w:val="24"/>
        </w:rPr>
        <w:t xml:space="preserve">33.2.2 </w:t>
      </w:r>
      <w:r>
        <w:rPr>
          <w:rFonts w:hint="eastAsia" w:ascii="宋体" w:hAnsi="宋体" w:eastAsia="宋体" w:cs="仿宋_GB2312"/>
          <w:sz w:val="24"/>
          <w:szCs w:val="24"/>
          <w:lang w:val="zh-CN"/>
        </w:rPr>
        <w:t>评标过程中</w:t>
      </w:r>
      <w:r>
        <w:rPr>
          <w:rFonts w:hint="eastAsia" w:ascii="宋体" w:hAnsi="宋体" w:eastAsia="宋体" w:cs="仿宋_GB2312"/>
          <w:sz w:val="24"/>
          <w:szCs w:val="24"/>
        </w:rPr>
        <w:t>，</w:t>
      </w:r>
      <w:r>
        <w:rPr>
          <w:rFonts w:hint="eastAsia" w:ascii="宋体" w:hAnsi="宋体" w:eastAsia="宋体" w:cs="仿宋_GB2312"/>
          <w:sz w:val="24"/>
          <w:szCs w:val="24"/>
          <w:lang w:val="zh-CN"/>
        </w:rPr>
        <w:t>不得去掉报价中的最高报价和最低报价。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sz w:val="24"/>
          <w:szCs w:val="24"/>
          <w:lang w:val="zh-CN"/>
        </w:rPr>
        <w:t xml:space="preserve">    3</w:t>
      </w:r>
      <w:r>
        <w:rPr>
          <w:rFonts w:hint="eastAsia" w:ascii="宋体" w:hAnsi="宋体" w:eastAsia="宋体" w:cs="仿宋_GB2312"/>
          <w:sz w:val="24"/>
          <w:szCs w:val="24"/>
        </w:rPr>
        <w:t>3</w:t>
      </w:r>
      <w:r>
        <w:rPr>
          <w:rFonts w:hint="eastAsia" w:ascii="宋体" w:hAnsi="宋体" w:eastAsia="宋体" w:cs="仿宋_GB2312"/>
          <w:sz w:val="24"/>
          <w:szCs w:val="24"/>
          <w:lang w:val="zh-CN"/>
        </w:rPr>
        <w:t>.3</w:t>
      </w:r>
      <w:r>
        <w:rPr>
          <w:rFonts w:hint="eastAsia" w:ascii="宋体" w:hAnsi="宋体" w:eastAsia="宋体" w:cs="仿宋_GB2312"/>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仿宋_GB2312"/>
          <w:b/>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4</w:t>
      </w:r>
      <w:r>
        <w:rPr>
          <w:rFonts w:hint="eastAsia" w:ascii="宋体" w:hAnsi="宋体" w:eastAsia="宋体"/>
          <w:b/>
          <w:bCs/>
          <w:sz w:val="24"/>
          <w:szCs w:val="24"/>
          <w:lang w:val="zh-CN"/>
        </w:rPr>
        <w:t>. 推荐中标候选人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.1 采用最低评标价法</w:t>
      </w:r>
      <w:r>
        <w:rPr>
          <w:rFonts w:hint="eastAsia" w:ascii="宋体" w:hAnsi="宋体" w:eastAsia="宋体" w:cs="宋体"/>
          <w:kern w:val="0"/>
          <w:sz w:val="24"/>
          <w:szCs w:val="24"/>
        </w:rPr>
        <w:t>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34.2 采用综合评分法的，评标结果按评审后得分由高到低顺序排列。得分相同的，按投标报价由低到高顺序排列</w:t>
      </w:r>
      <w:r>
        <w:rPr>
          <w:rFonts w:hint="eastAsia" w:ascii="宋体" w:hAnsi="宋体" w:eastAsia="宋体" w:cs="仿宋_GB2312"/>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34.3 推荐中标候选人数量：3名。</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.评审意见无效情形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评标委员会及其成员有下</w:t>
      </w:r>
      <w:r>
        <w:rPr>
          <w:rFonts w:hint="eastAsia" w:ascii="宋体" w:hAnsi="宋体" w:eastAsia="宋体" w:cs="宋体"/>
          <w:kern w:val="0"/>
          <w:sz w:val="24"/>
          <w:szCs w:val="24"/>
        </w:rPr>
        <w:t>列行为之一的，其评审意见无效：</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35.1 确定参与评标至评标结束前私自接触投标人；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35.2 接受投标人提出的与投标文件不一致的澄清或者说明，《投标人须知》26条规定的情形除外；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35.3 违反评标纪律发表倾向性意见或者征询采购人的倾向性意见；</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35.4 对需要专业判断的主观</w:t>
      </w:r>
      <w:r>
        <w:rPr>
          <w:rFonts w:hint="eastAsia" w:ascii="宋体" w:hAnsi="宋体" w:eastAsia="宋体" w:cs="仿宋_GB2312"/>
          <w:sz w:val="24"/>
          <w:szCs w:val="24"/>
          <w:lang w:val="zh-CN"/>
        </w:rPr>
        <w:t>评审因素协商评分；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35.5 在评标过程中擅离职</w:t>
      </w:r>
      <w:r>
        <w:rPr>
          <w:rFonts w:hint="eastAsia" w:ascii="宋体" w:hAnsi="宋体" w:eastAsia="宋体" w:cs="宋体"/>
          <w:kern w:val="0"/>
          <w:sz w:val="24"/>
          <w:szCs w:val="24"/>
        </w:rPr>
        <w:t>守，影响评标程序正常进行的；</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35.6 记录、复制或者带走任何评标资料；</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35.7 其他不遵守评标纪律的</w:t>
      </w:r>
      <w:r>
        <w:rPr>
          <w:rFonts w:hint="eastAsia" w:ascii="宋体" w:hAnsi="宋体" w:eastAsia="宋体" w:cs="仿宋_GB2312"/>
          <w:sz w:val="24"/>
          <w:szCs w:val="24"/>
          <w:lang w:val="zh-CN"/>
        </w:rPr>
        <w:t>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保密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.1 评审专家应当遵</w:t>
      </w:r>
      <w:r>
        <w:rPr>
          <w:rFonts w:hint="eastAsia" w:ascii="宋体" w:hAnsi="宋体" w:eastAsia="宋体" w:cs="宋体"/>
          <w:kern w:val="0"/>
          <w:sz w:val="24"/>
          <w:szCs w:val="24"/>
        </w:rPr>
        <w:t>守评审工作纪律，不得泄露评审文件、评审情况和评审中获悉的商业秘密。</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36.2 采购人、采购代理机构应当采取必要措施，保证评标在严格保密的情况下进行。有关人员对评标情况以及</w:t>
      </w:r>
      <w:r>
        <w:rPr>
          <w:rFonts w:hint="eastAsia" w:ascii="宋体" w:hAnsi="宋体" w:eastAsia="宋体" w:cs="仿宋_GB2312"/>
          <w:sz w:val="24"/>
          <w:szCs w:val="24"/>
          <w:lang w:val="zh-CN"/>
        </w:rPr>
        <w:t>在评标过程中获悉的国家秘密、商业秘密负有保密责任。</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3" w:name="_Toc14299196"/>
      <w:r>
        <w:rPr>
          <w:rFonts w:hint="eastAsia" w:ascii="宋体" w:hAnsi="宋体" w:eastAsia="宋体" w:cs="宋体"/>
          <w:b/>
          <w:kern w:val="0"/>
          <w:sz w:val="28"/>
          <w:szCs w:val="28"/>
        </w:rPr>
        <w:t>六、定标和授予合同</w:t>
      </w:r>
      <w:bookmarkEnd w:id="13"/>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7</w:t>
      </w:r>
      <w:r>
        <w:rPr>
          <w:rFonts w:hint="eastAsia" w:ascii="宋体" w:hAnsi="宋体" w:eastAsia="宋体" w:cs="仿宋_GB2312"/>
          <w:b/>
          <w:sz w:val="24"/>
          <w:szCs w:val="24"/>
          <w:lang w:val="zh-CN"/>
        </w:rPr>
        <w:t>. 确定中标人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7</w:t>
      </w:r>
      <w:r>
        <w:rPr>
          <w:rFonts w:hint="eastAsia" w:ascii="宋体" w:hAnsi="宋体" w:eastAsia="宋体" w:cs="仿宋_GB2312"/>
          <w:sz w:val="24"/>
          <w:szCs w:val="24"/>
          <w:lang w:val="zh-CN"/>
        </w:rPr>
        <w:t>.1 采购人应当自收到评</w:t>
      </w:r>
      <w:r>
        <w:rPr>
          <w:rFonts w:hint="eastAsia" w:ascii="宋体" w:hAnsi="宋体" w:eastAsia="宋体" w:cs="宋体"/>
          <w:kern w:val="0"/>
          <w:sz w:val="24"/>
          <w:szCs w:val="24"/>
        </w:rPr>
        <w:t>标报告之日起5个工作日内，在评标报告确定的中标候选人名单中按顺序确定中标人。中标候选人并列的，由采购人采取随机抽取的方式确定。</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同一投标人在该项目不同标段投标，只能中取排序在前的1个标段。</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37.2 采购人在收到评标报告</w:t>
      </w:r>
      <w:r>
        <w:rPr>
          <w:rFonts w:hint="eastAsia" w:ascii="宋体" w:hAnsi="宋体" w:eastAsia="宋体" w:cs="仿宋_GB2312"/>
          <w:sz w:val="24"/>
          <w:szCs w:val="24"/>
          <w:lang w:val="zh-CN"/>
        </w:rPr>
        <w:t>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8</w:t>
      </w:r>
      <w:r>
        <w:rPr>
          <w:rFonts w:hint="eastAsia" w:ascii="宋体" w:hAnsi="宋体" w:eastAsia="宋体" w:cs="仿宋_GB2312"/>
          <w:b/>
          <w:sz w:val="24"/>
          <w:szCs w:val="24"/>
          <w:lang w:val="zh-CN"/>
        </w:rPr>
        <w:t>. 中标公告、发出中标通知书</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.1 采购人确认中标人后</w:t>
      </w:r>
      <w:r>
        <w:rPr>
          <w:rFonts w:hint="eastAsia" w:ascii="宋体" w:hAnsi="宋体" w:eastAsia="宋体" w:cs="宋体"/>
          <w:kern w:val="0"/>
          <w:sz w:val="24"/>
          <w:szCs w:val="24"/>
        </w:rPr>
        <w:t>，招标人在公告中标结果的同时，向中标人发出中标通知书。</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38.2 中标通知书发出后，采购人不得违法改变中标结果，中标人无正当理由不得放弃中标。</w:t>
      </w:r>
    </w:p>
    <w:p>
      <w:pPr>
        <w:autoSpaceDE w:val="0"/>
        <w:autoSpaceDN w:val="0"/>
        <w:spacing w:line="360" w:lineRule="auto"/>
        <w:ind w:firstLine="424" w:firstLineChars="177"/>
        <w:contextualSpacing/>
        <w:jc w:val="left"/>
        <w:rPr>
          <w:rFonts w:ascii="宋体" w:hAnsi="宋体" w:eastAsia="宋体" w:cs="宋体"/>
          <w:bCs/>
          <w:sz w:val="24"/>
          <w:szCs w:val="24"/>
          <w:lang w:val="zh-CN"/>
        </w:rPr>
      </w:pPr>
      <w:r>
        <w:rPr>
          <w:rFonts w:hint="eastAsia" w:ascii="宋体" w:hAnsi="宋体" w:eastAsia="宋体" w:cs="宋体"/>
          <w:kern w:val="0"/>
          <w:sz w:val="24"/>
          <w:szCs w:val="24"/>
        </w:rPr>
        <w:t>38.3 中标人在接到中标通知时</w:t>
      </w:r>
      <w:r>
        <w:rPr>
          <w:rFonts w:hint="eastAsia" w:ascii="宋体" w:hAnsi="宋体" w:eastAsia="宋体" w:cs="宋体"/>
          <w:bCs/>
          <w:sz w:val="24"/>
          <w:szCs w:val="24"/>
          <w:lang w:val="zh-CN"/>
        </w:rPr>
        <w:t>，须向代理机构发送投标报价及分项报价一览表（包含主要中标标的的名称、规格型号、数量、单价、服务要求等）电子文档，并同时通知代理机构联系人。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39.</w:t>
      </w:r>
      <w:r>
        <w:rPr>
          <w:rFonts w:hint="eastAsia" w:ascii="宋体" w:hAnsi="宋体" w:eastAsia="宋体" w:cs="仿宋_GB2312"/>
          <w:b/>
          <w:sz w:val="24"/>
          <w:szCs w:val="24"/>
          <w:lang w:val="zh-CN"/>
        </w:rPr>
        <w:t>质疑提出与答复</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仿宋_GB2312"/>
          <w:sz w:val="24"/>
          <w:szCs w:val="24"/>
        </w:rPr>
        <w:t>39.1 供应商认为采购文件、采购过程和中标结果使自己的权益受到损害的，可以依法向采购人</w:t>
      </w:r>
      <w:r>
        <w:rPr>
          <w:rFonts w:hint="eastAsia" w:ascii="宋体" w:hAnsi="宋体" w:eastAsia="宋体" w:cs="宋体"/>
          <w:bCs/>
          <w:sz w:val="24"/>
          <w:szCs w:val="24"/>
          <w:lang w:val="zh-CN"/>
        </w:rPr>
        <w:t>、采购代理机构提出质</w:t>
      </w:r>
      <w:r>
        <w:rPr>
          <w:rFonts w:hint="eastAsia" w:ascii="宋体" w:hAnsi="宋体" w:eastAsia="宋体" w:cs="仿宋_GB2312"/>
          <w:sz w:val="24"/>
          <w:szCs w:val="24"/>
        </w:rPr>
        <w:t>疑。</w:t>
      </w:r>
      <w:r>
        <w:rPr>
          <w:rFonts w:ascii="宋体" w:hAnsi="宋体" w:eastAsia="宋体" w:cs="仿宋_GB2312"/>
          <w:sz w:val="24"/>
          <w:szCs w:val="24"/>
        </w:rPr>
        <w:t>提出质疑的供应商应当是参与</w:t>
      </w:r>
      <w:r>
        <w:rPr>
          <w:rFonts w:hint="eastAsia" w:ascii="宋体" w:hAnsi="宋体" w:eastAsia="宋体" w:cs="仿宋_GB2312"/>
          <w:sz w:val="24"/>
          <w:szCs w:val="24"/>
        </w:rPr>
        <w:t>本</w:t>
      </w:r>
      <w:r>
        <w:rPr>
          <w:rFonts w:ascii="宋体" w:hAnsi="宋体" w:eastAsia="宋体" w:cs="仿宋_GB2312"/>
          <w:sz w:val="24"/>
          <w:szCs w:val="24"/>
        </w:rPr>
        <w:t>项目采购活动的供应商。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rPr>
        <w:t>39.1.1 对采购文件提</w:t>
      </w:r>
      <w:r>
        <w:rPr>
          <w:rFonts w:hint="eastAsia" w:ascii="宋体" w:hAnsi="宋体" w:eastAsia="宋体" w:cs="宋体"/>
          <w:kern w:val="0"/>
          <w:sz w:val="24"/>
          <w:szCs w:val="24"/>
        </w:rPr>
        <w:t>出质疑的，</w:t>
      </w:r>
      <w:r>
        <w:rPr>
          <w:rFonts w:ascii="宋体" w:hAnsi="宋体" w:eastAsia="宋体" w:cs="宋体"/>
          <w:kern w:val="0"/>
          <w:sz w:val="24"/>
          <w:szCs w:val="24"/>
        </w:rPr>
        <w:t>潜在</w:t>
      </w:r>
      <w:r>
        <w:rPr>
          <w:rFonts w:hint="eastAsia" w:ascii="宋体" w:hAnsi="宋体" w:eastAsia="宋体" w:cs="宋体"/>
          <w:kern w:val="0"/>
          <w:sz w:val="24"/>
          <w:szCs w:val="24"/>
        </w:rPr>
        <w:t>投标人应</w:t>
      </w:r>
      <w:r>
        <w:rPr>
          <w:rFonts w:ascii="宋体" w:hAnsi="宋体" w:eastAsia="宋体" w:cs="宋体"/>
          <w:kern w:val="0"/>
          <w:sz w:val="24"/>
          <w:szCs w:val="24"/>
        </w:rPr>
        <w:t>已依法获取采购文件</w:t>
      </w:r>
      <w:r>
        <w:rPr>
          <w:rFonts w:hint="eastAsia" w:ascii="宋体" w:hAnsi="宋体" w:eastAsia="宋体" w:cs="宋体"/>
          <w:kern w:val="0"/>
          <w:sz w:val="24"/>
          <w:szCs w:val="24"/>
        </w:rPr>
        <w:t>，且应当在</w:t>
      </w:r>
      <w:r>
        <w:rPr>
          <w:rFonts w:ascii="宋体" w:hAnsi="宋体" w:eastAsia="宋体" w:cs="宋体"/>
          <w:kern w:val="0"/>
          <w:sz w:val="24"/>
          <w:szCs w:val="24"/>
        </w:rPr>
        <w:t>获取采购文件或者采购文件公告期限届满之日起7个工作日内</w:t>
      </w:r>
      <w:r>
        <w:rPr>
          <w:rFonts w:hint="eastAsia" w:ascii="宋体" w:hAnsi="宋体" w:eastAsia="宋体" w:cs="宋体"/>
          <w:kern w:val="0"/>
          <w:sz w:val="24"/>
          <w:szCs w:val="24"/>
        </w:rPr>
        <w:t>通过《全国公共资源交易平台（河南省·许昌市）》一次性提出，如未提出视为全面接受；</w:t>
      </w:r>
    </w:p>
    <w:p>
      <w:pPr>
        <w:autoSpaceDE w:val="0"/>
        <w:autoSpaceDN w:val="0"/>
        <w:spacing w:line="360" w:lineRule="auto"/>
        <w:ind w:firstLine="424" w:firstLineChars="177"/>
        <w:contextualSpacing/>
        <w:jc w:val="left"/>
        <w:rPr>
          <w:rFonts w:ascii="宋体" w:hAnsi="宋体" w:eastAsia="宋体" w:cs="仿宋_GB2312"/>
          <w:sz w:val="24"/>
          <w:szCs w:val="24"/>
        </w:rPr>
      </w:pPr>
      <w:r>
        <w:rPr>
          <w:rFonts w:hint="eastAsia" w:ascii="宋体" w:hAnsi="宋体" w:eastAsia="宋体" w:cs="仿宋_GB2312"/>
          <w:sz w:val="24"/>
          <w:szCs w:val="24"/>
        </w:rPr>
        <w:t>39.1.2 对采购过程提出质疑的，为各采购程序环节结束之日起七个工作日内，以书面形式向采购人和采购代理机构一次性提出；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rPr>
        <w:t>39.1.3 对中标结果提出质疑的，为中标结果公告期限届满之日起七个工作日内，以书面形</w:t>
      </w:r>
      <w:r>
        <w:rPr>
          <w:rFonts w:hint="eastAsia" w:ascii="宋体" w:hAnsi="宋体" w:eastAsia="宋体" w:cs="宋体"/>
          <w:kern w:val="0"/>
          <w:sz w:val="24"/>
          <w:szCs w:val="24"/>
        </w:rPr>
        <w:t>式向采购人和采购代理机构一次性提出。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39.2 </w:t>
      </w:r>
      <w:r>
        <w:rPr>
          <w:rFonts w:ascii="宋体" w:hAnsi="宋体" w:eastAsia="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39.2.1 </w:t>
      </w:r>
      <w:r>
        <w:rPr>
          <w:rFonts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39.2.2 </w:t>
      </w:r>
      <w:r>
        <w:rPr>
          <w:rFonts w:ascii="宋体" w:hAnsi="宋体" w:eastAsia="宋体" w:cs="宋体"/>
          <w:kern w:val="0"/>
          <w:sz w:val="24"/>
          <w:szCs w:val="24"/>
        </w:rPr>
        <w:t>对采购过程、中标结果提出的质疑，合格供应商符合法定数量时，可以从合格的中标</w:t>
      </w:r>
      <w:r>
        <w:rPr>
          <w:rFonts w:hint="eastAsia" w:ascii="宋体" w:hAnsi="宋体" w:eastAsia="宋体" w:cs="宋体"/>
          <w:kern w:val="0"/>
          <w:sz w:val="24"/>
          <w:szCs w:val="24"/>
        </w:rPr>
        <w:t>候选人</w:t>
      </w:r>
      <w:r>
        <w:rPr>
          <w:rFonts w:ascii="宋体" w:hAnsi="宋体" w:eastAsia="宋体" w:cs="宋体"/>
          <w:kern w:val="0"/>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w:t>
      </w:r>
      <w:r>
        <w:rPr>
          <w:rFonts w:hint="eastAsia" w:ascii="宋体" w:hAnsi="宋体" w:eastAsia="宋体" w:cs="仿宋_GB2312"/>
          <w:b/>
          <w:sz w:val="24"/>
          <w:szCs w:val="24"/>
          <w:lang w:val="zh-CN"/>
        </w:rPr>
        <w:t>签订合同</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采购人应当自</w:t>
      </w:r>
      <w:r>
        <w:rPr>
          <w:rFonts w:hint="eastAsia" w:ascii="宋体" w:hAnsi="宋体" w:eastAsia="宋体" w:cs="宋体"/>
          <w:kern w:val="0"/>
          <w:sz w:val="24"/>
          <w:szCs w:val="24"/>
        </w:rPr>
        <w:t>中标通知书</w:t>
      </w:r>
      <w:r>
        <w:rPr>
          <w:rFonts w:hint="eastAsia" w:ascii="宋体" w:hAnsi="宋体" w:eastAsia="宋体" w:cs="仿宋_GB2312"/>
          <w:sz w:val="24"/>
          <w:szCs w:val="24"/>
          <w:lang w:val="zh-CN"/>
        </w:rPr>
        <w:t>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sz w:val="24"/>
          <w:szCs w:val="24"/>
        </w:rPr>
        <w:t>中标人提交履约保证金的，中标人应当以支票、汇票、本票或者金融机构、担保机构出具的保函等非现金形式向采购人提交。履约保证金的数额不得超过政府采购合同金额的10%。</w:t>
      </w:r>
      <w:bookmarkStart w:id="14" w:name="_Toc14299197"/>
      <w:bookmarkStart w:id="15" w:name="_Toc14299036"/>
    </w:p>
    <w:p>
      <w:pPr>
        <w:widowControl/>
        <w:jc w:val="left"/>
        <w:rPr>
          <w:rFonts w:ascii="宋体" w:hAnsi="宋体" w:eastAsia="宋体" w:cs="宋体"/>
          <w:sz w:val="24"/>
          <w:szCs w:val="24"/>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autoSpaceDE w:val="0"/>
        <w:autoSpaceDN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bookmarkEnd w:id="14"/>
      <w:bookmarkEnd w:id="15"/>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一、促进中小企业发展</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6" w:name="OLE_LINK6"/>
      <w:r>
        <w:rPr>
          <w:rFonts w:hint="eastAsia" w:ascii="宋体" w:hAnsi="宋体" w:eastAsia="宋体" w:cs="仿宋_GB2312"/>
          <w:sz w:val="24"/>
          <w:szCs w:val="24"/>
          <w:lang w:val="zh-CN"/>
        </w:rPr>
        <w:t>财库[2014]68号</w:t>
      </w:r>
      <w:bookmarkEnd w:id="16"/>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三、促进残疾人就业</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cs="宋体"/>
          <w:b/>
          <w:kern w:val="0"/>
          <w:szCs w:val="24"/>
        </w:rPr>
      </w:pPr>
      <w:r>
        <w:rPr>
          <w:rFonts w:hint="eastAsia" w:ascii="宋体" w:hAnsi="宋体" w:cs="仿宋_GB2312"/>
          <w:szCs w:val="24"/>
          <w:lang w:val="zh-CN"/>
        </w:rPr>
        <w:t>3、中标人为残疾人福利性单位的，招标人应当随中标结果同时公告其《残疾人福利性单位声明函》，接受社会监督。</w:t>
      </w:r>
      <w:r>
        <w:rPr>
          <w:rFonts w:ascii="宋体" w:hAnsi="宋体" w:cs="宋体"/>
          <w:b/>
          <w:kern w:val="0"/>
          <w:szCs w:val="24"/>
        </w:rPr>
        <w:br w:type="page"/>
      </w:r>
    </w:p>
    <w:p>
      <w:pPr>
        <w:spacing w:beforeLines="50" w:afterLines="50"/>
        <w:jc w:val="center"/>
        <w:outlineLvl w:val="0"/>
        <w:rPr>
          <w:rFonts w:ascii="宋体" w:hAnsi="宋体" w:eastAsia="宋体" w:cs="宋体"/>
          <w:b/>
          <w:kern w:val="0"/>
          <w:sz w:val="32"/>
          <w:szCs w:val="32"/>
        </w:rPr>
      </w:pPr>
      <w:bookmarkStart w:id="17" w:name="_Toc14299037"/>
      <w:bookmarkStart w:id="18" w:name="_Toc14299198"/>
      <w:r>
        <w:rPr>
          <w:rFonts w:hint="eastAsia" w:ascii="宋体" w:hAnsi="宋体" w:eastAsia="宋体" w:cs="宋体"/>
          <w:b/>
          <w:kern w:val="0"/>
          <w:sz w:val="32"/>
          <w:szCs w:val="32"/>
        </w:rPr>
        <w:t>第六章 资格审查与评标</w:t>
      </w:r>
      <w:bookmarkEnd w:id="17"/>
      <w:bookmarkEnd w:id="18"/>
    </w:p>
    <w:p>
      <w:pPr>
        <w:pStyle w:val="13"/>
        <w:spacing w:line="360" w:lineRule="auto"/>
        <w:contextualSpacing/>
        <w:rPr>
          <w:rFonts w:ascii="宋体" w:hAnsi="宋体" w:cs="仿宋_GB2312"/>
          <w:b/>
          <w:szCs w:val="24"/>
          <w:lang w:val="zh-CN"/>
        </w:rPr>
      </w:pPr>
      <w:r>
        <w:rPr>
          <w:rFonts w:ascii="宋体" w:hAnsi="宋体" w:cs="仿宋_GB2312"/>
          <w:b/>
          <w:szCs w:val="24"/>
          <w:lang w:val="zh-CN"/>
        </w:rPr>
        <w:t>一、资格审查</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left"/>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rPr>
                <w:rFonts w:ascii="宋体" w:hAnsi="宋体" w:eastAsia="宋体"/>
                <w:b/>
                <w:szCs w:val="21"/>
              </w:rPr>
            </w:pPr>
            <w:r>
              <w:rPr>
                <w:rFonts w:hint="eastAsia" w:ascii="宋体" w:hAnsi="宋体" w:eastAsia="宋体"/>
                <w:b/>
                <w:szCs w:val="21"/>
              </w:rPr>
              <w:t>投标函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法人或者其他组织的营业执照等证明文件，自然人的身份证明</w:t>
            </w:r>
          </w:p>
        </w:tc>
        <w:tc>
          <w:tcPr>
            <w:tcW w:w="5954" w:type="dxa"/>
            <w:vAlign w:val="center"/>
          </w:tcPr>
          <w:p>
            <w:pPr>
              <w:spacing w:line="360" w:lineRule="auto"/>
              <w:rPr>
                <w:rFonts w:ascii="宋体" w:hAnsi="宋体" w:eastAsia="宋体"/>
                <w:bCs/>
                <w:szCs w:val="21"/>
              </w:rPr>
            </w:pPr>
            <w:r>
              <w:rPr>
                <w:rFonts w:hint="eastAsia" w:ascii="宋体" w:hAnsi="宋体" w:eastAsia="宋体"/>
                <w:bCs/>
                <w:szCs w:val="21"/>
              </w:rPr>
              <w:t>（1）企业法人营业执照或营业执照。（企业投标提供）</w:t>
            </w:r>
          </w:p>
          <w:p>
            <w:pPr>
              <w:spacing w:line="360" w:lineRule="auto"/>
              <w:rPr>
                <w:rFonts w:ascii="宋体" w:hAnsi="宋体" w:eastAsia="宋体"/>
                <w:bCs/>
                <w:szCs w:val="21"/>
              </w:rPr>
            </w:pPr>
            <w:r>
              <w:rPr>
                <w:rFonts w:hint="eastAsia" w:ascii="宋体" w:hAnsi="宋体" w:eastAsia="宋体"/>
                <w:bCs/>
                <w:szCs w:val="21"/>
              </w:rPr>
              <w:t>（2）事业单位法人证书。（事业单位投标提供）</w:t>
            </w:r>
          </w:p>
          <w:p>
            <w:pPr>
              <w:spacing w:line="360" w:lineRule="auto"/>
              <w:rPr>
                <w:rFonts w:ascii="宋体" w:hAnsi="宋体" w:eastAsia="宋体"/>
                <w:bCs/>
                <w:szCs w:val="21"/>
              </w:rPr>
            </w:pPr>
            <w:r>
              <w:rPr>
                <w:rFonts w:hint="eastAsia" w:ascii="宋体" w:hAnsi="宋体" w:eastAsia="宋体"/>
                <w:bCs/>
                <w:szCs w:val="21"/>
              </w:rPr>
              <w:t>（3）执业许可证。（非专业服务机构投标提供）</w:t>
            </w:r>
          </w:p>
          <w:p>
            <w:pPr>
              <w:spacing w:line="360" w:lineRule="auto"/>
              <w:rPr>
                <w:rFonts w:ascii="宋体" w:hAnsi="宋体" w:eastAsia="宋体"/>
                <w:bCs/>
                <w:szCs w:val="21"/>
              </w:rPr>
            </w:pPr>
            <w:r>
              <w:rPr>
                <w:rFonts w:hint="eastAsia" w:ascii="宋体" w:hAnsi="宋体" w:eastAsia="宋体"/>
                <w:bCs/>
                <w:szCs w:val="21"/>
              </w:rPr>
              <w:t>（4）个体工商户营业执照。（个体工商户投标提供）</w:t>
            </w:r>
          </w:p>
          <w:p>
            <w:pPr>
              <w:spacing w:line="360" w:lineRule="auto"/>
              <w:jc w:val="left"/>
              <w:rPr>
                <w:rFonts w:ascii="宋体" w:hAnsi="宋体" w:eastAsia="宋体"/>
                <w:b/>
                <w:bCs/>
                <w:szCs w:val="21"/>
              </w:rPr>
            </w:pPr>
            <w:r>
              <w:rPr>
                <w:rFonts w:hint="eastAsia" w:ascii="宋体" w:hAnsi="宋体" w:eastAsia="宋体"/>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财务状况报告相关材料</w:t>
            </w:r>
          </w:p>
        </w:tc>
        <w:tc>
          <w:tcPr>
            <w:tcW w:w="5954" w:type="dxa"/>
          </w:tcPr>
          <w:p>
            <w:pPr>
              <w:spacing w:line="360" w:lineRule="auto"/>
              <w:rPr>
                <w:rFonts w:ascii="宋体" w:hAnsi="宋体" w:eastAsia="宋体"/>
                <w:bCs/>
                <w:szCs w:val="21"/>
              </w:rPr>
            </w:pPr>
            <w:r>
              <w:rPr>
                <w:rFonts w:hint="eastAsia" w:ascii="宋体" w:hAnsi="宋体" w:eastAsia="宋体"/>
                <w:bCs/>
                <w:szCs w:val="21"/>
              </w:rPr>
              <w:t>（1）投标人是法人（法人包括企业法人、机关法人、事业单位法人和社会团体法人），提供本单位：</w:t>
            </w:r>
          </w:p>
          <w:p>
            <w:pPr>
              <w:spacing w:line="360" w:lineRule="auto"/>
              <w:rPr>
                <w:rFonts w:ascii="宋体" w:hAnsi="宋体" w:eastAsia="宋体"/>
                <w:bCs/>
                <w:szCs w:val="21"/>
              </w:rPr>
            </w:pPr>
            <w:r>
              <w:rPr>
                <w:rFonts w:hint="eastAsia" w:ascii="宋体" w:hAnsi="宋体" w:eastAsia="宋体"/>
                <w:bCs/>
                <w:szCs w:val="21"/>
              </w:rPr>
              <w:t>①2018年度经审计的财务报告，包括资产负债表、利润表、现金流量表、所有者权益变动表及其附注；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②基本开户银行出具的资信证明；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Cs/>
                <w:szCs w:val="21"/>
              </w:rPr>
            </w:pPr>
            <w:r>
              <w:rPr>
                <w:rFonts w:hint="eastAsia" w:ascii="宋体" w:hAnsi="宋体" w:eastAsia="宋体"/>
                <w:bCs/>
                <w:szCs w:val="21"/>
              </w:rPr>
              <w:t>注：仅需提供序号①～③其中之一即可。</w:t>
            </w:r>
          </w:p>
          <w:p>
            <w:pPr>
              <w:spacing w:line="360" w:lineRule="auto"/>
              <w:rPr>
                <w:rFonts w:ascii="宋体" w:hAnsi="宋体" w:eastAsia="宋体"/>
                <w:bCs/>
                <w:szCs w:val="21"/>
              </w:rPr>
            </w:pPr>
            <w:r>
              <w:rPr>
                <w:rFonts w:hint="eastAsia" w:ascii="宋体" w:hAnsi="宋体" w:eastAsia="宋体"/>
                <w:bCs/>
                <w:szCs w:val="21"/>
              </w:rPr>
              <w:t>（2）投标人（其他组织和自然人）提供本单位：</w:t>
            </w:r>
          </w:p>
          <w:p>
            <w:pPr>
              <w:spacing w:line="360" w:lineRule="auto"/>
              <w:rPr>
                <w:rFonts w:ascii="宋体" w:hAnsi="宋体" w:eastAsia="宋体"/>
                <w:bCs/>
                <w:szCs w:val="21"/>
              </w:rPr>
            </w:pPr>
            <w:r>
              <w:rPr>
                <w:rFonts w:hint="eastAsia" w:ascii="宋体" w:hAnsi="宋体" w:eastAsia="宋体"/>
                <w:bCs/>
                <w:szCs w:val="21"/>
              </w:rPr>
              <w:t>①2018年度经审计的财务报告，包括资产负债表、利润表、现金流量表、所有者权益变动表及其附注；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
                <w:bCs/>
                <w:szCs w:val="21"/>
              </w:rPr>
            </w:pPr>
            <w:r>
              <w:rPr>
                <w:rFonts w:hint="eastAsia" w:ascii="宋体" w:hAnsi="宋体" w:eastAsia="宋体"/>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依法缴纳税收相关材料</w:t>
            </w:r>
          </w:p>
        </w:tc>
        <w:tc>
          <w:tcPr>
            <w:tcW w:w="5954" w:type="dxa"/>
          </w:tcPr>
          <w:p>
            <w:pPr>
              <w:spacing w:line="360" w:lineRule="auto"/>
              <w:rPr>
                <w:rFonts w:ascii="宋体" w:hAnsi="宋体" w:eastAsia="宋体"/>
                <w:b/>
                <w:bCs/>
                <w:szCs w:val="21"/>
              </w:rPr>
            </w:pPr>
            <w:r>
              <w:rPr>
                <w:rFonts w:hint="eastAsia" w:ascii="宋体" w:hAnsi="宋体" w:eastAsia="宋体" w:cs="宋体"/>
                <w:bCs/>
                <w:szCs w:val="21"/>
                <w:lang w:val="zh-CN"/>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依法缴纳社会保障资金的证明材料</w:t>
            </w:r>
          </w:p>
        </w:tc>
        <w:tc>
          <w:tcPr>
            <w:tcW w:w="5954" w:type="dxa"/>
          </w:tcPr>
          <w:p>
            <w:pPr>
              <w:spacing w:line="360" w:lineRule="auto"/>
              <w:rPr>
                <w:rFonts w:ascii="宋体" w:hAnsi="宋体" w:eastAsia="宋体"/>
                <w:b/>
                <w:bCs/>
                <w:szCs w:val="21"/>
              </w:rPr>
            </w:pPr>
            <w:r>
              <w:rPr>
                <w:rFonts w:hint="eastAsia" w:ascii="宋体" w:hAnsi="宋体" w:eastAsia="宋体" w:cs="微软雅黑"/>
                <w:bCs/>
                <w:szCs w:val="21"/>
              </w:rPr>
              <w:t>投</w:t>
            </w: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6</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履行合同所必须的设备和专业技术能力的证明材料</w:t>
            </w:r>
          </w:p>
        </w:tc>
        <w:tc>
          <w:tcPr>
            <w:tcW w:w="5954" w:type="dxa"/>
          </w:tcPr>
          <w:p>
            <w:pPr>
              <w:spacing w:line="360" w:lineRule="auto"/>
              <w:rPr>
                <w:rFonts w:ascii="宋体" w:hAnsi="宋体" w:eastAsia="宋体"/>
                <w:bCs/>
                <w:szCs w:val="21"/>
              </w:rPr>
            </w:pPr>
            <w:r>
              <w:rPr>
                <w:rFonts w:hint="eastAsia" w:ascii="宋体" w:hAnsi="宋体" w:eastAsia="宋体"/>
                <w:bCs/>
                <w:szCs w:val="21"/>
              </w:rPr>
              <w:t>①相关设备的购置发票、专业技术人员职称证书、用工合同等；</w:t>
            </w:r>
          </w:p>
          <w:p>
            <w:pPr>
              <w:spacing w:line="360" w:lineRule="auto"/>
              <w:rPr>
                <w:rFonts w:ascii="宋体" w:hAnsi="宋体" w:eastAsia="宋体"/>
                <w:bCs/>
                <w:szCs w:val="21"/>
              </w:rPr>
            </w:pPr>
            <w:r>
              <w:rPr>
                <w:rFonts w:hint="eastAsia" w:ascii="宋体" w:hAnsi="宋体" w:eastAsia="宋体"/>
                <w:bCs/>
                <w:szCs w:val="21"/>
              </w:rPr>
              <w:t>②投标人具备履行合同所必须的设备和专业技术能力承诺函或声明（承诺函或声明格式自拟）。</w:t>
            </w:r>
          </w:p>
          <w:p>
            <w:pPr>
              <w:spacing w:line="360" w:lineRule="auto"/>
              <w:rPr>
                <w:rFonts w:ascii="宋体" w:hAnsi="宋体" w:eastAsia="宋体"/>
                <w:b/>
                <w:bCs/>
                <w:szCs w:val="21"/>
              </w:rPr>
            </w:pPr>
            <w:r>
              <w:rPr>
                <w:rFonts w:hint="eastAsia" w:ascii="宋体" w:hAnsi="宋体" w:eastAsia="宋体"/>
                <w:bCs/>
                <w:szCs w:val="21"/>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7</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b/>
                <w:bCs/>
                <w:szCs w:val="21"/>
              </w:rPr>
            </w:pPr>
            <w:r>
              <w:rPr>
                <w:rFonts w:hint="eastAsia" w:ascii="宋体" w:hAnsi="宋体" w:eastAsia="宋体" w:cs="微软雅黑"/>
                <w:bCs/>
                <w:szCs w:val="21"/>
              </w:rPr>
              <w:t>按照招标文件提供格式填写。</w:t>
            </w:r>
            <w:r>
              <w:rPr>
                <w:rFonts w:hint="eastAsia" w:ascii="宋体" w:hAnsi="宋体" w:eastAsia="宋体"/>
                <w:bCs/>
                <w:szCs w:val="21"/>
              </w:rPr>
              <w:t>投标人“</w:t>
            </w:r>
            <w:r>
              <w:rPr>
                <w:rFonts w:hint="eastAsia" w:ascii="宋体" w:hAnsi="宋体" w:eastAsia="宋体" w:cs="宋体"/>
                <w:bCs/>
                <w:szCs w:val="21"/>
                <w:lang w:val="zh-CN"/>
              </w:rPr>
              <w:t>参加</w:t>
            </w:r>
            <w:r>
              <w:rPr>
                <w:rFonts w:hint="eastAsia" w:ascii="宋体" w:hAnsi="宋体" w:eastAsia="宋体"/>
                <w:bCs/>
                <w:szCs w:val="21"/>
              </w:rPr>
              <w:t>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8</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信用记录查询及使用</w:t>
            </w:r>
          </w:p>
        </w:tc>
        <w:tc>
          <w:tcPr>
            <w:tcW w:w="5954" w:type="dxa"/>
          </w:tcPr>
          <w:p>
            <w:pPr>
              <w:spacing w:line="360" w:lineRule="auto"/>
              <w:rPr>
                <w:rFonts w:ascii="宋体" w:hAnsi="宋体" w:eastAsia="宋体"/>
                <w:bCs/>
                <w:szCs w:val="21"/>
              </w:rPr>
            </w:pPr>
            <w:r>
              <w:rPr>
                <w:rFonts w:hint="eastAsia" w:ascii="宋体" w:hAnsi="宋体" w:eastAsia="宋体"/>
                <w:bCs/>
                <w:szCs w:val="21"/>
              </w:rPr>
              <w:t>政府采购活动中查询及使用投标人信用记录的具体要求为：投标人未被列入</w:t>
            </w:r>
            <w:r>
              <w:rPr>
                <w:rFonts w:ascii="宋体" w:hAnsi="宋体" w:eastAsia="宋体"/>
                <w:bCs/>
                <w:szCs w:val="21"/>
              </w:rPr>
              <w:t>“信用中国”网站</w:t>
            </w:r>
            <w:r>
              <w:rPr>
                <w:rFonts w:hint="eastAsia" w:ascii="宋体" w:hAnsi="宋体" w:eastAsia="宋体"/>
                <w:bCs/>
                <w:szCs w:val="21"/>
              </w:rPr>
              <w:t>失信被执行人、重大税收违法案件当事人名单、</w:t>
            </w:r>
            <w:r>
              <w:rPr>
                <w:rFonts w:ascii="宋体" w:hAnsi="宋体" w:eastAsia="宋体"/>
                <w:bCs/>
                <w:szCs w:val="21"/>
              </w:rPr>
              <w:t>政府采购严重违法失信名单</w:t>
            </w:r>
            <w:r>
              <w:rPr>
                <w:rFonts w:hint="eastAsia" w:ascii="宋体" w:hAnsi="宋体" w:eastAsia="宋体"/>
                <w:bCs/>
                <w:szCs w:val="21"/>
              </w:rPr>
              <w:t>、“</w:t>
            </w:r>
            <w:r>
              <w:rPr>
                <w:rFonts w:ascii="宋体" w:hAnsi="宋体" w:eastAsia="宋体"/>
                <w:bCs/>
                <w:szCs w:val="21"/>
              </w:rPr>
              <w:t>中国政府采购网</w:t>
            </w:r>
            <w:r>
              <w:rPr>
                <w:rFonts w:hint="eastAsia" w:ascii="宋体" w:hAnsi="宋体" w:eastAsia="宋体"/>
                <w:bCs/>
                <w:szCs w:val="21"/>
              </w:rPr>
              <w:t>”政府采购严重违法失信行为记录名单、“国家企业信用公示系统”网站严重违法失信企业名单（黑名单）</w:t>
            </w:r>
            <w:r>
              <w:rPr>
                <w:rFonts w:hint="eastAsia" w:ascii="宋体" w:hAnsi="宋体" w:eastAsia="宋体" w:cs="仿宋_GB2312"/>
                <w:b/>
                <w:szCs w:val="21"/>
              </w:rPr>
              <w:t>；</w:t>
            </w:r>
            <w:r>
              <w:rPr>
                <w:rFonts w:hint="eastAsia" w:ascii="宋体" w:hAnsi="宋体" w:eastAsia="宋体"/>
                <w:bCs/>
                <w:szCs w:val="21"/>
              </w:rPr>
              <w:t>（联合体形式投标的，联合体成员存在不良信用记录，视同联合体存在不良信用记录）。</w:t>
            </w:r>
          </w:p>
          <w:p>
            <w:pPr>
              <w:spacing w:line="360" w:lineRule="auto"/>
              <w:rPr>
                <w:rFonts w:ascii="宋体" w:hAnsi="宋体" w:eastAsia="宋体"/>
                <w:bCs/>
                <w:szCs w:val="21"/>
              </w:rPr>
            </w:pPr>
            <w:r>
              <w:rPr>
                <w:rFonts w:hint="eastAsia" w:ascii="宋体" w:hAnsi="宋体" w:eastAsia="宋体"/>
                <w:bCs/>
                <w:szCs w:val="21"/>
              </w:rPr>
              <w:t>（1）查询渠道：</w:t>
            </w:r>
          </w:p>
          <w:p>
            <w:pPr>
              <w:spacing w:line="360" w:lineRule="auto"/>
              <w:rPr>
                <w:rFonts w:ascii="宋体" w:hAnsi="宋体" w:eastAsia="宋体"/>
                <w:bCs/>
                <w:szCs w:val="21"/>
              </w:rPr>
            </w:pPr>
            <w:r>
              <w:rPr>
                <w:rFonts w:hint="eastAsia" w:ascii="宋体" w:hAnsi="宋体" w:eastAsia="宋体"/>
                <w:bCs/>
                <w:szCs w:val="21"/>
              </w:rPr>
              <w:t>①“信用中国”网站（</w:t>
            </w:r>
            <w:r>
              <w:fldChar w:fldCharType="begin"/>
            </w:r>
            <w:r>
              <w:instrText xml:space="preserve"> HYPERLINK "http://www.creditchina.gov.cn" </w:instrText>
            </w:r>
            <w:r>
              <w:fldChar w:fldCharType="separate"/>
            </w:r>
            <w:r>
              <w:rPr>
                <w:rStyle w:val="28"/>
                <w:rFonts w:hint="eastAsia" w:ascii="宋体" w:hAnsi="宋体" w:eastAsia="宋体"/>
                <w:bCs/>
                <w:color w:val="auto"/>
                <w:szCs w:val="21"/>
                <w:u w:val="none"/>
              </w:rPr>
              <w:t>www.creditchina.gov.cn</w:t>
            </w:r>
            <w:r>
              <w:rPr>
                <w:rStyle w:val="28"/>
                <w:rFonts w:hint="eastAsia" w:ascii="宋体" w:hAnsi="宋体" w:eastAsia="宋体"/>
                <w:bCs/>
                <w:color w:val="auto"/>
                <w:szCs w:val="21"/>
                <w:u w:val="none"/>
              </w:rPr>
              <w:fldChar w:fldCharType="end"/>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②“中国政府采购网”（www.ccgp.gov.cn）</w:t>
            </w:r>
          </w:p>
          <w:p>
            <w:pPr>
              <w:spacing w:line="360" w:lineRule="auto"/>
              <w:rPr>
                <w:rFonts w:ascii="宋体" w:hAnsi="宋体" w:eastAsia="宋体"/>
                <w:bCs/>
                <w:szCs w:val="21"/>
              </w:rPr>
            </w:pPr>
            <w:r>
              <w:rPr>
                <w:rFonts w:hint="eastAsia" w:ascii="宋体" w:hAnsi="宋体" w:eastAsia="宋体"/>
                <w:bCs/>
                <w:szCs w:val="21"/>
              </w:rPr>
              <w:t>③“国家企业信用公示系统”网站（</w:t>
            </w:r>
            <w:r>
              <w:fldChar w:fldCharType="begin"/>
            </w:r>
            <w:r>
              <w:instrText xml:space="preserve"> HYPERLINK "http://www.gsxt.gov.cn" </w:instrText>
            </w:r>
            <w:r>
              <w:fldChar w:fldCharType="separate"/>
            </w:r>
            <w:r>
              <w:rPr>
                <w:rStyle w:val="28"/>
                <w:rFonts w:ascii="宋体" w:hAnsi="宋体" w:eastAsia="宋体"/>
                <w:bCs/>
                <w:color w:val="auto"/>
                <w:szCs w:val="21"/>
                <w:u w:val="none"/>
              </w:rPr>
              <w:t>www.gsxt.gov.cn</w:t>
            </w:r>
            <w:r>
              <w:rPr>
                <w:rStyle w:val="28"/>
                <w:rFonts w:ascii="宋体" w:hAnsi="宋体" w:eastAsia="宋体"/>
                <w:bCs/>
                <w:color w:val="auto"/>
                <w:szCs w:val="21"/>
                <w:u w:val="none"/>
              </w:rPr>
              <w:fldChar w:fldCharType="end"/>
            </w:r>
            <w:r>
              <w:rPr>
                <w:rFonts w:hint="eastAsia" w:ascii="宋体" w:hAnsi="宋体" w:eastAsia="宋体"/>
                <w:bCs/>
                <w:szCs w:val="21"/>
              </w:rPr>
              <w:t>）</w:t>
            </w:r>
          </w:p>
          <w:p>
            <w:pPr>
              <w:spacing w:line="360" w:lineRule="auto"/>
              <w:rPr>
                <w:rFonts w:ascii="宋体" w:hAnsi="宋体" w:eastAsia="宋体"/>
                <w:bCs/>
                <w:szCs w:val="21"/>
              </w:rPr>
            </w:pPr>
            <w:r>
              <w:rPr>
                <w:rFonts w:hint="eastAsia" w:ascii="宋体" w:hAnsi="宋体" w:eastAsia="宋体"/>
                <w:bCs/>
                <w:szCs w:val="21"/>
              </w:rPr>
              <w:t>（2）截止时间：同投标截止时间；</w:t>
            </w:r>
          </w:p>
          <w:p>
            <w:pPr>
              <w:spacing w:line="360" w:lineRule="auto"/>
              <w:rPr>
                <w:rFonts w:ascii="宋体" w:hAnsi="宋体" w:eastAsia="宋体"/>
                <w:bCs/>
                <w:szCs w:val="21"/>
              </w:rPr>
            </w:pPr>
            <w:r>
              <w:rPr>
                <w:rFonts w:hint="eastAsia" w:ascii="宋体" w:hAnsi="宋体" w:eastAsia="宋体"/>
                <w:bCs/>
                <w:szCs w:val="21"/>
              </w:rPr>
              <w:t>（3）信用信息查询记录和证据留存具体方式：经采购人确认的查询结果网页截图作为查询记录和证据，与其他采购文件一并保存；</w:t>
            </w:r>
          </w:p>
          <w:p>
            <w:pPr>
              <w:spacing w:line="360" w:lineRule="auto"/>
              <w:rPr>
                <w:rFonts w:ascii="宋体" w:hAnsi="宋体" w:eastAsia="宋体"/>
                <w:b/>
                <w:bCs/>
                <w:szCs w:val="21"/>
              </w:rPr>
            </w:pPr>
            <w:r>
              <w:rPr>
                <w:rFonts w:hint="eastAsia" w:ascii="宋体" w:hAnsi="宋体" w:eastAsia="宋体"/>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投标</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b/>
                <w:bCs/>
                <w:szCs w:val="21"/>
              </w:rPr>
            </w:pPr>
            <w:r>
              <w:rPr>
                <w:rFonts w:hint="eastAsia" w:ascii="宋体" w:hAnsi="宋体" w:eastAsia="宋体" w:cs="仿宋_GB2312"/>
                <w:szCs w:val="21"/>
                <w:lang w:val="zh-CN"/>
              </w:rPr>
              <w:t>投标报价是否超出招标文件中规定的费率，超出规定费率的投标无效。如投标人须知前附表规定最高限价，则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10</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11</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12</w:t>
            </w:r>
          </w:p>
        </w:tc>
        <w:tc>
          <w:tcPr>
            <w:tcW w:w="2410" w:type="dxa"/>
            <w:vAlign w:val="center"/>
          </w:tcPr>
          <w:p>
            <w:pPr>
              <w:spacing w:line="360" w:lineRule="auto"/>
              <w:contextualSpacing/>
              <w:rPr>
                <w:rFonts w:ascii="宋体" w:hAnsi="宋体" w:eastAsia="宋体"/>
                <w:b/>
                <w:szCs w:val="21"/>
              </w:rPr>
            </w:pPr>
            <w:r>
              <w:rPr>
                <w:rFonts w:hint="eastAsia" w:ascii="宋体" w:hAnsi="宋体" w:eastAsia="宋体"/>
                <w:b/>
                <w:szCs w:val="21"/>
              </w:rPr>
              <w:t>投标人身份证明及授权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（1）法定代表人身份证明或提供法定代表人授权委托书及被授权人身份证明。（法人投标提供）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（2）单位负责人身份证明或提供单位负责人授权委托书及被授权人身份证明。（非法人投标提供）</w:t>
            </w:r>
          </w:p>
          <w:p>
            <w:pPr>
              <w:spacing w:line="360" w:lineRule="auto"/>
              <w:rPr>
                <w:rFonts w:ascii="宋体" w:hAnsi="宋体" w:eastAsia="宋体" w:cs="仿宋_GB2312"/>
                <w:b/>
                <w:szCs w:val="21"/>
                <w:lang w:val="zh-CN"/>
              </w:rPr>
            </w:pPr>
            <w:r>
              <w:rPr>
                <w:rFonts w:hint="eastAsia" w:ascii="宋体" w:hAnsi="宋体" w:eastAsia="宋体" w:cs="仿宋_GB2312"/>
                <w:b/>
                <w:szCs w:val="21"/>
                <w:lang w:val="zh-CN"/>
              </w:rPr>
              <w:t>注：</w:t>
            </w:r>
          </w:p>
          <w:p>
            <w:pPr>
              <w:spacing w:line="360" w:lineRule="auto"/>
              <w:rPr>
                <w:rFonts w:ascii="宋体" w:hAnsi="宋体" w:eastAsia="宋体"/>
                <w:b/>
                <w:szCs w:val="21"/>
              </w:rPr>
            </w:pPr>
            <w:r>
              <w:rPr>
                <w:rFonts w:hint="eastAsia" w:ascii="宋体" w:hAnsi="宋体" w:eastAsia="宋体"/>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szCs w:val="21"/>
              </w:rPr>
            </w:pPr>
            <w:r>
              <w:rPr>
                <w:rFonts w:hint="eastAsia" w:ascii="宋体" w:hAnsi="宋体" w:eastAsia="宋体"/>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b/>
                <w:szCs w:val="21"/>
              </w:rPr>
            </w:pPr>
            <w:r>
              <w:rPr>
                <w:rFonts w:hint="eastAsia" w:ascii="宋体" w:hAnsi="宋体" w:eastAsia="宋体"/>
                <w:szCs w:val="21"/>
              </w:rPr>
              <w:t>③</w:t>
            </w:r>
            <w:r>
              <w:rPr>
                <w:rFonts w:hint="eastAsia" w:ascii="宋体" w:hAnsi="宋体" w:eastAsia="宋体"/>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13</w:t>
            </w:r>
          </w:p>
        </w:tc>
        <w:tc>
          <w:tcPr>
            <w:tcW w:w="2410" w:type="dxa"/>
            <w:vAlign w:val="center"/>
          </w:tcPr>
          <w:p>
            <w:pPr>
              <w:spacing w:line="360" w:lineRule="auto"/>
              <w:contextualSpacing/>
              <w:rPr>
                <w:rFonts w:ascii="宋体" w:hAnsi="宋体" w:eastAsia="宋体"/>
                <w:b/>
                <w:szCs w:val="21"/>
              </w:rPr>
            </w:pPr>
            <w:r>
              <w:rPr>
                <w:rFonts w:hint="eastAsia" w:ascii="宋体" w:hAnsi="宋体" w:eastAsia="宋体"/>
                <w:b/>
                <w:szCs w:val="21"/>
              </w:rPr>
              <w:t>营业执照经营范围</w:t>
            </w:r>
          </w:p>
        </w:tc>
        <w:tc>
          <w:tcPr>
            <w:tcW w:w="5954" w:type="dxa"/>
            <w:vAlign w:val="center"/>
          </w:tcPr>
          <w:p>
            <w:pPr>
              <w:contextualSpacing/>
              <w:rPr>
                <w:rFonts w:ascii="宋体" w:hAnsi="宋体" w:eastAsia="宋体"/>
                <w:szCs w:val="21"/>
              </w:rPr>
            </w:pPr>
            <w:r>
              <w:rPr>
                <w:rFonts w:hint="eastAsia" w:ascii="宋体" w:hAnsi="宋体" w:cs="仿宋_GB2312"/>
                <w:shd w:val="clear" w:color="auto" w:fill="FFFFFF"/>
              </w:rPr>
              <w:t>企业营业执照经营范围须包括园林绿化管养、绿化工程或绿化相关业务范围。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14</w:t>
            </w:r>
          </w:p>
        </w:tc>
        <w:tc>
          <w:tcPr>
            <w:tcW w:w="2410" w:type="dxa"/>
            <w:vAlign w:val="center"/>
          </w:tcPr>
          <w:p>
            <w:pPr>
              <w:spacing w:line="360" w:lineRule="auto"/>
              <w:contextualSpacing/>
              <w:rPr>
                <w:rFonts w:ascii="宋体" w:hAnsi="宋体" w:eastAsia="宋体"/>
                <w:b/>
                <w:szCs w:val="21"/>
              </w:rPr>
            </w:pPr>
            <w:r>
              <w:rPr>
                <w:rFonts w:hint="eastAsia" w:ascii="宋体" w:hAnsi="宋体" w:eastAsia="宋体"/>
                <w:b/>
                <w:szCs w:val="21"/>
              </w:rPr>
              <w:t>其他</w:t>
            </w:r>
          </w:p>
        </w:tc>
        <w:tc>
          <w:tcPr>
            <w:tcW w:w="5954" w:type="dxa"/>
            <w:vAlign w:val="center"/>
          </w:tcPr>
          <w:p>
            <w:pPr>
              <w:contextualSpacing/>
              <w:rPr>
                <w:rFonts w:ascii="宋体" w:hAnsi="宋体" w:cs="仿宋_GB2312"/>
                <w:shd w:val="clear" w:color="auto" w:fill="FFFFFF"/>
              </w:rPr>
            </w:pPr>
            <w:r>
              <w:rPr>
                <w:rFonts w:hint="eastAsia" w:ascii="宋体" w:hAnsi="宋体" w:eastAsia="宋体" w:cs="仿宋_GB2312"/>
                <w:b/>
                <w:bCs/>
                <w:szCs w:val="21"/>
              </w:rPr>
              <w:t>已在本项目已开标段推荐为第一中标候选人的投标人，不得参与该项目其他标段的投标。投标人须在投标文件中作出承诺。</w:t>
            </w:r>
          </w:p>
        </w:tc>
      </w:tr>
    </w:tbl>
    <w:p>
      <w:pPr>
        <w:jc w:val="left"/>
        <w:rPr>
          <w:rFonts w:ascii="宋体" w:hAnsi="宋体" w:eastAsia="宋体" w:cs="仿宋_GB2312"/>
          <w:sz w:val="24"/>
          <w:szCs w:val="24"/>
          <w:lang w:val="zh-CN"/>
        </w:rPr>
      </w:pPr>
      <w:r>
        <w:rPr>
          <w:rFonts w:ascii="宋体" w:hAnsi="宋体" w:eastAsia="宋体" w:cs="仿宋_GB2312"/>
          <w:sz w:val="24"/>
          <w:szCs w:val="24"/>
          <w:lang w:val="zh-CN"/>
        </w:rPr>
        <w:br w:type="page"/>
      </w:r>
    </w:p>
    <w:p>
      <w:pPr>
        <w:pStyle w:val="13"/>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3"/>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3"/>
        <w:spacing w:line="360" w:lineRule="auto"/>
        <w:ind w:firstLine="482" w:firstLineChars="200"/>
        <w:contextualSpacing/>
        <w:rPr>
          <w:rFonts w:ascii="宋体" w:hAnsi="宋体" w:cs="仿宋_GB2312"/>
          <w:szCs w:val="24"/>
          <w:lang w:val="zh-CN"/>
        </w:rPr>
      </w:pPr>
      <w:r>
        <w:rPr>
          <w:rFonts w:hint="eastAsia" w:ascii="宋体" w:hAnsi="宋体"/>
          <w:b/>
          <w:szCs w:val="24"/>
        </w:rPr>
        <w:t>（2）</w:t>
      </w:r>
      <w:r>
        <w:rPr>
          <w:rFonts w:ascii="宋体" w:hAnsi="宋体" w:cs="仿宋_GB2312"/>
          <w:b/>
          <w:szCs w:val="24"/>
          <w:lang w:val="zh-CN"/>
        </w:rPr>
        <w:t>关于相同品牌产品</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）产品查询结果截图并加盖投标人公章或中国信息安全认证中心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tabs>
          <w:tab w:val="left" w:pos="1260"/>
        </w:tabs>
        <w:autoSpaceDE w:val="0"/>
        <w:autoSpaceDN w:val="0"/>
        <w:spacing w:line="360" w:lineRule="auto"/>
        <w:ind w:firstLine="482" w:firstLineChars="200"/>
        <w:contextualSpacing/>
        <w:rPr>
          <w:rFonts w:ascii="宋体" w:hAnsi="宋体" w:eastAsia="宋体"/>
          <w:b/>
          <w:sz w:val="24"/>
          <w:szCs w:val="24"/>
          <w:lang w:val="zh-CN"/>
        </w:rPr>
      </w:pPr>
      <w:r>
        <w:rPr>
          <w:rFonts w:hint="eastAsia" w:ascii="宋体" w:hAnsi="宋体" w:eastAsia="宋体" w:cs="仿宋_GB2312"/>
          <w:b/>
          <w:sz w:val="24"/>
          <w:szCs w:val="24"/>
          <w:lang w:val="zh-CN"/>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6）</w:t>
      </w:r>
      <w:r>
        <w:rPr>
          <w:rFonts w:ascii="宋体" w:hAnsi="宋体" w:eastAsia="宋体" w:cs="仿宋_GB2312"/>
          <w:sz w:val="24"/>
          <w:szCs w:val="24"/>
          <w:lang w:val="zh-CN"/>
        </w:rPr>
        <w:t>法律、法规和招标文件规定的其他无效情形。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p>
    <w:p>
      <w:pPr>
        <w:pStyle w:val="13"/>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（5）评标标准</w:t>
      </w:r>
    </w:p>
    <w:tbl>
      <w:tblPr>
        <w:tblStyle w:val="23"/>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337" w:type="dxa"/>
            <w:vAlign w:val="center"/>
          </w:tcPr>
          <w:p>
            <w:pPr>
              <w:spacing w:line="360" w:lineRule="auto"/>
              <w:jc w:val="left"/>
              <w:rPr>
                <w:rFonts w:ascii="宋体" w:hAnsi="宋体" w:eastAsia="宋体" w:cs="宋体"/>
                <w:szCs w:val="21"/>
              </w:rPr>
            </w:pPr>
            <w:r>
              <w:rPr>
                <w:rFonts w:hint="eastAsia" w:ascii="宋体" w:hAnsi="宋体" w:eastAsia="宋体" w:cs="宋体"/>
                <w:szCs w:val="21"/>
              </w:rPr>
              <w:t>分值构成</w:t>
            </w:r>
          </w:p>
          <w:p>
            <w:pPr>
              <w:spacing w:line="360" w:lineRule="auto"/>
              <w:jc w:val="left"/>
              <w:rPr>
                <w:rFonts w:ascii="宋体" w:hAnsi="宋体" w:eastAsia="宋体" w:cs="宋体"/>
                <w:szCs w:val="21"/>
              </w:rPr>
            </w:pPr>
            <w:r>
              <w:rPr>
                <w:rFonts w:hint="eastAsia" w:ascii="宋体" w:hAnsi="宋体" w:eastAsia="宋体" w:cs="宋体"/>
                <w:szCs w:val="21"/>
              </w:rPr>
              <w:t>(总分100分)</w:t>
            </w:r>
          </w:p>
        </w:tc>
        <w:tc>
          <w:tcPr>
            <w:tcW w:w="7646" w:type="dxa"/>
            <w:gridSpan w:val="2"/>
            <w:vAlign w:val="center"/>
          </w:tcPr>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价格分值：</w:t>
            </w:r>
            <w:r>
              <w:rPr>
                <w:rFonts w:hint="eastAsia" w:ascii="宋体" w:hAnsi="宋体" w:eastAsia="宋体" w:cs="宋体"/>
                <w:kern w:val="0"/>
                <w:szCs w:val="21"/>
              </w:rPr>
              <w:t>20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商务部分：</w:t>
            </w:r>
            <w:r>
              <w:rPr>
                <w:rFonts w:hint="eastAsia" w:ascii="宋体" w:hAnsi="宋体" w:eastAsia="宋体" w:cs="宋体"/>
                <w:kern w:val="0"/>
                <w:szCs w:val="21"/>
              </w:rPr>
              <w:t>45</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技术部分：</w:t>
            </w:r>
            <w:r>
              <w:rPr>
                <w:rFonts w:hint="eastAsia" w:ascii="宋体" w:hAnsi="宋体" w:eastAsia="宋体" w:cs="宋体"/>
                <w:kern w:val="0"/>
                <w:szCs w:val="21"/>
              </w:rPr>
              <w:t>35</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spacing w:line="360" w:lineRule="atLeast"/>
              <w:ind w:firstLine="480"/>
              <w:jc w:val="center"/>
              <w:rPr>
                <w:rFonts w:ascii="宋体" w:hAnsi="宋体" w:eastAsia="宋体" w:cs="仿宋"/>
                <w:b/>
                <w:kern w:val="0"/>
                <w:szCs w:val="21"/>
              </w:rPr>
            </w:pPr>
            <w:r>
              <w:rPr>
                <w:rFonts w:hint="eastAsia" w:ascii="宋体" w:hAnsi="宋体" w:eastAsia="宋体" w:cs="仿宋"/>
                <w:b/>
                <w:kern w:val="0"/>
                <w:szCs w:val="21"/>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7" w:type="dxa"/>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337" w:type="dxa"/>
            <w:vAlign w:val="center"/>
          </w:tcPr>
          <w:p>
            <w:pPr>
              <w:spacing w:line="330" w:lineRule="atLeast"/>
              <w:jc w:val="center"/>
              <w:rPr>
                <w:rFonts w:ascii="宋体" w:hAnsi="宋体" w:eastAsia="宋体" w:cs="宋体"/>
                <w:kern w:val="0"/>
                <w:szCs w:val="21"/>
              </w:rPr>
            </w:pPr>
            <w:r>
              <w:rPr>
                <w:rFonts w:hint="eastAsia" w:ascii="宋体" w:hAnsi="宋体" w:eastAsia="宋体" w:cs="仿宋"/>
                <w:kern w:val="0"/>
                <w:szCs w:val="21"/>
              </w:rPr>
              <w:t>投标报价</w:t>
            </w:r>
          </w:p>
          <w:p>
            <w:pPr>
              <w:spacing w:line="240" w:lineRule="atLeast"/>
              <w:jc w:val="center"/>
              <w:rPr>
                <w:rFonts w:ascii="宋体" w:hAnsi="宋体" w:eastAsia="宋体" w:cs="宋体"/>
                <w:kern w:val="0"/>
                <w:szCs w:val="21"/>
              </w:rPr>
            </w:pPr>
            <w:r>
              <w:rPr>
                <w:rFonts w:hint="eastAsia" w:ascii="宋体" w:hAnsi="宋体" w:eastAsia="宋体" w:cs="仿宋"/>
                <w:kern w:val="0"/>
                <w:szCs w:val="21"/>
              </w:rPr>
              <w:t>评分标准</w:t>
            </w:r>
          </w:p>
        </w:tc>
        <w:tc>
          <w:tcPr>
            <w:tcW w:w="6081" w:type="dxa"/>
            <w:vAlign w:val="center"/>
          </w:tcPr>
          <w:p>
            <w:pPr>
              <w:spacing w:line="330" w:lineRule="atLeast"/>
              <w:jc w:val="left"/>
              <w:rPr>
                <w:rFonts w:ascii="宋体" w:hAnsi="宋体" w:eastAsia="宋体" w:cs="宋体"/>
                <w:kern w:val="0"/>
                <w:szCs w:val="21"/>
              </w:rPr>
            </w:pPr>
            <w:r>
              <w:rPr>
                <w:rFonts w:hint="eastAsia" w:ascii="宋体" w:hAnsi="宋体" w:eastAsia="宋体" w:cs="仿宋"/>
                <w:kern w:val="0"/>
                <w:szCs w:val="21"/>
              </w:rPr>
              <w:t>评标基准价：满足招标文件要求的有效投标报价中，最低的投标报价为评标基准价。</w:t>
            </w:r>
          </w:p>
          <w:p>
            <w:pPr>
              <w:jc w:val="left"/>
              <w:rPr>
                <w:rFonts w:ascii="宋体" w:hAnsi="宋体" w:eastAsia="宋体" w:cs="宋体"/>
                <w:kern w:val="0"/>
                <w:szCs w:val="21"/>
                <w:u w:val="single"/>
              </w:rPr>
            </w:pPr>
            <w:r>
              <w:rPr>
                <w:rFonts w:hint="eastAsia" w:ascii="宋体" w:hAnsi="宋体" w:eastAsia="宋体" w:cs="仿宋"/>
                <w:kern w:val="0"/>
                <w:szCs w:val="21"/>
              </w:rPr>
              <w:t>投标报价得分=（评标基准价/投标报价）×</w:t>
            </w:r>
            <w:r>
              <w:rPr>
                <w:rFonts w:hint="eastAsia" w:ascii="宋体" w:hAnsi="宋体" w:eastAsia="宋体" w:cs="仿宋"/>
                <w:kern w:val="0"/>
                <w:szCs w:val="21"/>
                <w:u w:val="single"/>
              </w:rPr>
              <w:t>20</w:t>
            </w:r>
          </w:p>
        </w:tc>
        <w:tc>
          <w:tcPr>
            <w:tcW w:w="1565"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983" w:type="dxa"/>
            <w:gridSpan w:val="3"/>
            <w:vAlign w:val="center"/>
          </w:tcPr>
          <w:p>
            <w:pPr>
              <w:spacing w:line="360" w:lineRule="auto"/>
              <w:jc w:val="center"/>
              <w:rPr>
                <w:rFonts w:ascii="宋体" w:hAnsi="宋体" w:eastAsia="宋体" w:cs="宋体"/>
                <w:szCs w:val="21"/>
              </w:rPr>
            </w:pPr>
            <w:r>
              <w:rPr>
                <w:rFonts w:hint="eastAsia" w:ascii="宋体" w:hAnsi="宋体" w:eastAsia="宋体" w:cs="宋体"/>
                <w:b/>
                <w:szCs w:val="21"/>
              </w:rPr>
              <w:t>二、商务部分</w:t>
            </w:r>
            <w:r>
              <w:rPr>
                <w:rFonts w:hint="eastAsia" w:ascii="宋体" w:hAnsi="宋体" w:eastAsia="宋体" w:cs="仿宋"/>
                <w:b/>
                <w:kern w:val="0"/>
                <w:szCs w:val="21"/>
              </w:rPr>
              <w:t>（满分45分）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综合</w:t>
            </w:r>
          </w:p>
          <w:p>
            <w:pPr>
              <w:jc w:val="center"/>
              <w:rPr>
                <w:rFonts w:ascii="宋体" w:hAnsi="宋体" w:eastAsia="宋体" w:cs="宋体"/>
                <w:szCs w:val="21"/>
              </w:rPr>
            </w:pPr>
            <w:r>
              <w:rPr>
                <w:rFonts w:hint="eastAsia" w:ascii="宋体" w:hAnsi="宋体" w:eastAsia="宋体" w:cs="宋体"/>
                <w:szCs w:val="21"/>
              </w:rPr>
              <w:t>实力</w:t>
            </w:r>
          </w:p>
        </w:tc>
        <w:tc>
          <w:tcPr>
            <w:tcW w:w="6081" w:type="dxa"/>
            <w:vAlign w:val="center"/>
          </w:tcPr>
          <w:p>
            <w:pPr>
              <w:spacing w:line="276" w:lineRule="auto"/>
              <w:jc w:val="left"/>
              <w:rPr>
                <w:rFonts w:ascii="宋体" w:hAnsi="宋体" w:eastAsia="宋体" w:cs="宋体"/>
                <w:szCs w:val="21"/>
              </w:rPr>
            </w:pPr>
            <w:r>
              <w:rPr>
                <w:rFonts w:hint="eastAsia" w:ascii="宋体" w:hAnsi="宋体" w:eastAsia="宋体" w:cs="宋体"/>
                <w:szCs w:val="21"/>
              </w:rPr>
              <w:t>1、拟派项目负责人具有园林绿化相关专业中级或以上技术职称的得3分，本项最高得3分；</w:t>
            </w:r>
          </w:p>
          <w:p>
            <w:pPr>
              <w:spacing w:line="276" w:lineRule="auto"/>
              <w:jc w:val="left"/>
              <w:rPr>
                <w:rFonts w:ascii="宋体" w:hAnsi="宋体" w:eastAsia="宋体" w:cs="宋体"/>
                <w:szCs w:val="21"/>
              </w:rPr>
            </w:pPr>
            <w:r>
              <w:rPr>
                <w:rFonts w:hint="eastAsia" w:ascii="宋体" w:hAnsi="宋体" w:eastAsia="宋体" w:cs="宋体"/>
                <w:szCs w:val="21"/>
              </w:rPr>
              <w:t>2、拟派技术负责人具有园林绿化相关专业中级或以上技术职称的得3分，本项最高得3分；</w:t>
            </w:r>
          </w:p>
          <w:p>
            <w:pPr>
              <w:spacing w:line="276" w:lineRule="auto"/>
              <w:jc w:val="left"/>
              <w:rPr>
                <w:rFonts w:ascii="宋体" w:hAnsi="宋体" w:eastAsia="宋体" w:cs="宋体"/>
                <w:szCs w:val="21"/>
              </w:rPr>
            </w:pPr>
            <w:r>
              <w:rPr>
                <w:rFonts w:hint="eastAsia" w:ascii="宋体" w:hAnsi="宋体" w:eastAsia="宋体" w:cs="宋体"/>
                <w:szCs w:val="21"/>
              </w:rPr>
              <w:t>3、项目拟投入人员中配备有相关专业职业资格证或上岗证或技工证的，每提供1名得1分，本项最高得3分。</w:t>
            </w:r>
          </w:p>
          <w:p>
            <w:pPr>
              <w:spacing w:line="276" w:lineRule="auto"/>
              <w:jc w:val="left"/>
              <w:rPr>
                <w:rFonts w:ascii="宋体" w:hAnsi="宋体" w:eastAsia="宋体" w:cs="宋体"/>
                <w:szCs w:val="21"/>
              </w:rPr>
            </w:pPr>
            <w:r>
              <w:rPr>
                <w:rFonts w:hint="eastAsia" w:ascii="宋体" w:hAnsi="宋体" w:eastAsia="宋体" w:cs="宋体"/>
                <w:szCs w:val="21"/>
              </w:rPr>
              <w:t>4、投标人获得ISO质量管理体系认证的，得2分；获得环境管理体系认证的，得2分；获得职业健康安全管理体系认证的，得2分，本项最高得6分。</w:t>
            </w:r>
          </w:p>
          <w:p>
            <w:pPr>
              <w:spacing w:line="276" w:lineRule="auto"/>
              <w:jc w:val="left"/>
              <w:rPr>
                <w:rFonts w:ascii="宋体" w:hAnsi="宋体" w:eastAsia="宋体" w:cs="宋体"/>
                <w:szCs w:val="21"/>
              </w:rPr>
            </w:pPr>
            <w:r>
              <w:rPr>
                <w:rFonts w:hint="eastAsia" w:ascii="宋体" w:hAnsi="宋体" w:eastAsia="宋体" w:cs="宋体"/>
                <w:szCs w:val="21"/>
              </w:rPr>
              <w:t>5、投标人配备打药车、高空作业车、总质量2900kg以上符合环保标准的洒水车大型设备并能提供设备照片和相应购置发票的，每提供一项得2分，本项最高得10分。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企业</w:t>
            </w:r>
          </w:p>
          <w:p>
            <w:pPr>
              <w:jc w:val="center"/>
              <w:rPr>
                <w:rFonts w:ascii="宋体" w:hAnsi="宋体" w:eastAsia="宋体" w:cs="宋体"/>
                <w:szCs w:val="21"/>
              </w:rPr>
            </w:pPr>
            <w:r>
              <w:rPr>
                <w:rFonts w:hint="eastAsia" w:ascii="宋体" w:hAnsi="宋体" w:eastAsia="宋体" w:cs="宋体"/>
                <w:szCs w:val="21"/>
              </w:rPr>
              <w:t>业绩</w:t>
            </w:r>
          </w:p>
        </w:tc>
        <w:tc>
          <w:tcPr>
            <w:tcW w:w="6081" w:type="dxa"/>
            <w:vAlign w:val="center"/>
          </w:tcPr>
          <w:p>
            <w:pPr>
              <w:spacing w:line="276" w:lineRule="auto"/>
              <w:jc w:val="left"/>
              <w:rPr>
                <w:rFonts w:ascii="宋体" w:hAnsi="宋体" w:eastAsia="宋体" w:cs="宋体"/>
                <w:b/>
                <w:szCs w:val="21"/>
              </w:rPr>
            </w:pPr>
            <w:r>
              <w:rPr>
                <w:rFonts w:hint="eastAsia" w:ascii="宋体" w:hAnsi="宋体" w:eastAsia="宋体" w:cs="宋体"/>
                <w:bCs/>
                <w:szCs w:val="21"/>
              </w:rPr>
              <w:t>投标人2015年1月1日以来具有单项合同金额100万元以上绿化施工、绿化管养类似项目业绩者，每项得3分，</w:t>
            </w:r>
            <w:r>
              <w:rPr>
                <w:rFonts w:hint="eastAsia" w:ascii="宋体" w:hAnsi="宋体" w:eastAsia="宋体" w:cs="宋体"/>
                <w:szCs w:val="21"/>
              </w:rPr>
              <w:t>本项最高得15</w:t>
            </w:r>
            <w:r>
              <w:rPr>
                <w:rFonts w:hint="eastAsia" w:ascii="宋体" w:hAnsi="宋体" w:eastAsia="宋体" w:cs="宋体"/>
                <w:bCs/>
                <w:szCs w:val="21"/>
              </w:rPr>
              <w:t>分。(须同时提供中标通知书、合同协议书，时间以合同签订时间为准)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服务</w:t>
            </w:r>
          </w:p>
          <w:p>
            <w:pPr>
              <w:jc w:val="center"/>
              <w:rPr>
                <w:rFonts w:ascii="宋体" w:hAnsi="宋体" w:eastAsia="宋体" w:cs="宋体"/>
                <w:szCs w:val="21"/>
              </w:rPr>
            </w:pPr>
            <w:r>
              <w:rPr>
                <w:rFonts w:hint="eastAsia" w:ascii="宋体" w:hAnsi="宋体" w:eastAsia="宋体" w:cs="宋体"/>
                <w:szCs w:val="21"/>
              </w:rPr>
              <w:t>承诺</w:t>
            </w:r>
          </w:p>
        </w:tc>
        <w:tc>
          <w:tcPr>
            <w:tcW w:w="6081" w:type="dxa"/>
            <w:vAlign w:val="center"/>
          </w:tcPr>
          <w:p>
            <w:pPr>
              <w:jc w:val="left"/>
              <w:rPr>
                <w:rFonts w:ascii="宋体" w:hAnsi="宋体" w:eastAsia="宋体" w:cs="宋体"/>
                <w:b/>
                <w:szCs w:val="21"/>
              </w:rPr>
            </w:pPr>
            <w:r>
              <w:rPr>
                <w:rFonts w:hint="eastAsia" w:ascii="宋体" w:hAnsi="宋体" w:eastAsia="宋体" w:cs="宋体"/>
                <w:bCs/>
                <w:szCs w:val="21"/>
                <w:lang w:val="zh-CN"/>
              </w:rPr>
              <w:t>根据投标人服务承诺内容对采购人的实质性优惠措施、条件</w:t>
            </w:r>
            <w:r>
              <w:rPr>
                <w:rFonts w:hint="eastAsia" w:ascii="宋体" w:hAnsi="宋体" w:eastAsia="宋体" w:cs="宋体"/>
                <w:bCs/>
                <w:szCs w:val="21"/>
              </w:rPr>
              <w:t>（含不拖欠工人工资承诺等内容）</w:t>
            </w:r>
            <w:r>
              <w:rPr>
                <w:rFonts w:hint="eastAsia" w:ascii="宋体" w:hAnsi="宋体" w:eastAsia="宋体" w:cs="宋体"/>
                <w:bCs/>
                <w:szCs w:val="21"/>
                <w:lang w:val="zh-CN"/>
              </w:rPr>
              <w:t>等情况进行打分。</w:t>
            </w:r>
            <w:r>
              <w:rPr>
                <w:rFonts w:hint="eastAsia" w:ascii="宋体" w:hAnsi="宋体" w:eastAsia="宋体" w:cs="宋体"/>
                <w:szCs w:val="21"/>
              </w:rPr>
              <w:t>好：得5分；一般：得3分；差：得1分；本项最高得5分。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jc w:val="center"/>
              <w:rPr>
                <w:rFonts w:ascii="宋体" w:hAnsi="宋体" w:eastAsia="宋体" w:cs="宋体"/>
                <w:b/>
                <w:szCs w:val="21"/>
              </w:rPr>
            </w:pPr>
            <w:r>
              <w:rPr>
                <w:rFonts w:hint="eastAsia" w:ascii="宋体" w:hAnsi="宋体" w:eastAsia="宋体" w:cs="宋体"/>
                <w:b/>
                <w:szCs w:val="21"/>
              </w:rPr>
              <w:t>三、技术部分</w:t>
            </w:r>
            <w:r>
              <w:rPr>
                <w:rFonts w:hint="eastAsia" w:ascii="宋体" w:hAnsi="宋体" w:eastAsia="宋体" w:cs="仿宋"/>
                <w:b/>
                <w:kern w:val="0"/>
                <w:szCs w:val="21"/>
              </w:rPr>
              <w:t>（满分35分）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项目实施</w:t>
            </w:r>
          </w:p>
          <w:p>
            <w:pPr>
              <w:jc w:val="center"/>
              <w:rPr>
                <w:rFonts w:ascii="宋体" w:hAnsi="宋体" w:eastAsia="宋体" w:cs="宋体"/>
                <w:szCs w:val="21"/>
              </w:rPr>
            </w:pPr>
            <w:r>
              <w:rPr>
                <w:rFonts w:hint="eastAsia" w:ascii="宋体" w:hAnsi="宋体" w:eastAsia="宋体" w:cs="宋体"/>
                <w:szCs w:val="21"/>
              </w:rPr>
              <w:t>技术方案</w:t>
            </w:r>
          </w:p>
        </w:tc>
        <w:tc>
          <w:tcPr>
            <w:tcW w:w="6081" w:type="dxa"/>
            <w:vAlign w:val="center"/>
          </w:tcPr>
          <w:p>
            <w:pPr>
              <w:jc w:val="left"/>
              <w:rPr>
                <w:rFonts w:ascii="宋体" w:hAnsi="宋体" w:eastAsia="宋体" w:cs="宋体"/>
                <w:szCs w:val="21"/>
              </w:rPr>
            </w:pPr>
            <w:r>
              <w:rPr>
                <w:rFonts w:hint="eastAsia" w:ascii="宋体" w:hAnsi="宋体" w:eastAsia="宋体" w:cs="宋体"/>
                <w:szCs w:val="21"/>
              </w:rPr>
              <w:t>评委根据投标人提供的技术方案的完整性、科学性、先进性、可行性进行打分。好：得5分；较好：得3分；一般：得1分，不提供的不得分。本项最高得5分。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质量管理体系与措施</w:t>
            </w:r>
          </w:p>
        </w:tc>
        <w:tc>
          <w:tcPr>
            <w:tcW w:w="6081" w:type="dxa"/>
            <w:vAlign w:val="center"/>
          </w:tcPr>
          <w:p>
            <w:pPr>
              <w:pStyle w:val="22"/>
              <w:ind w:firstLine="0" w:firstLineChars="0"/>
              <w:rPr>
                <w:rFonts w:hAnsi="宋体" w:cs="宋体"/>
                <w:kern w:val="2"/>
                <w:sz w:val="21"/>
                <w:szCs w:val="21"/>
              </w:rPr>
            </w:pPr>
            <w:r>
              <w:rPr>
                <w:rFonts w:hint="eastAsia" w:hAnsi="宋体" w:cs="宋体"/>
                <w:sz w:val="21"/>
                <w:szCs w:val="21"/>
              </w:rPr>
              <w:t>评委根据投标人提供的</w:t>
            </w:r>
            <w:r>
              <w:rPr>
                <w:rFonts w:hint="eastAsia" w:hAnsi="宋体" w:cs="宋体"/>
                <w:kern w:val="2"/>
                <w:sz w:val="21"/>
                <w:szCs w:val="21"/>
              </w:rPr>
              <w:t>质量管理体系与措施完整的完整性、科学性、先进性、可行性进行打分。好：得5分；较好：得3分；一般：得1分，不提供的不得分。本项最高得5分。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安全管理体系与措施</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评委根据投标人提供的安全管理体系与措施的完整性、科学性、可靠性进行打分。好：得5分；较好：得3分；一般：得1分，不提供的不得分。本项最高得5分。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环境保护管理体系与措施</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评委根据投标人提供的环境保护管理体系与措施的完整性、科学性、可行性进行打分。好：得5分；较好：得3分；一般：得1分，不提供的不得分。本项最高得5分。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hAnsi="宋体" w:cs="宋体"/>
                <w:bCs/>
                <w:szCs w:val="21"/>
              </w:rPr>
              <w:t xml:space="preserve">在节能减排、工艺创新方面针对本项目有具体措施或企业自有创新技术   </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评委根据投标人提供技术措施的科学性、先进性、可行性进行打分。好：得5分；较好：得3分；一般：得1分，不提供的不得分。本项最高得5分。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hAnsi="宋体" w:cs="宋体"/>
                <w:bCs/>
                <w:szCs w:val="21"/>
              </w:rPr>
              <w:t>新工艺、新设备、新材料的采用程度，其在确保质量、降低成本、减轻劳动强度、提高工效等方面的作用</w:t>
            </w:r>
          </w:p>
        </w:tc>
        <w:tc>
          <w:tcPr>
            <w:tcW w:w="6081" w:type="dxa"/>
            <w:vAlign w:val="center"/>
          </w:tcPr>
          <w:p>
            <w:pPr>
              <w:rPr>
                <w:rFonts w:ascii="宋体" w:hAnsi="宋体" w:eastAsia="宋体" w:cs="宋体"/>
                <w:szCs w:val="21"/>
              </w:rPr>
            </w:pPr>
            <w:r>
              <w:rPr>
                <w:rFonts w:hint="eastAsia" w:ascii="宋体" w:hAnsi="宋体" w:eastAsia="宋体" w:cs="宋体"/>
                <w:szCs w:val="21"/>
              </w:rPr>
              <w:t>评委根据投标人提供工艺、设备采用程度以及对本项目的作用进行打分。好：得5分；较好：得3分；一般：得1分，不提供的不得分。本项最高得5分。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企业信息化管理平台</w:t>
            </w:r>
          </w:p>
        </w:tc>
        <w:tc>
          <w:tcPr>
            <w:tcW w:w="6081" w:type="dxa"/>
            <w:vAlign w:val="center"/>
          </w:tcPr>
          <w:p>
            <w:pPr>
              <w:rPr>
                <w:rFonts w:ascii="宋体" w:hAnsi="宋体" w:eastAsia="宋体" w:cs="宋体"/>
                <w:szCs w:val="21"/>
              </w:rPr>
            </w:pPr>
            <w:r>
              <w:rPr>
                <w:rFonts w:hint="eastAsia" w:ascii="宋体" w:hAnsi="宋体" w:eastAsia="宋体" w:cs="宋体"/>
                <w:szCs w:val="21"/>
              </w:rPr>
              <w:t>企业具备信息化管理平台，能够使项目管理者对现场实施监控和数据处理。好：得5分；较好：得3分；一般：得1分，不提供的不得分。本项最高得5分。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bl>
    <w:p>
      <w:pPr>
        <w:pStyle w:val="22"/>
        <w:spacing w:line="276" w:lineRule="auto"/>
        <w:ind w:firstLine="424" w:firstLineChars="176"/>
        <w:rPr>
          <w:rFonts w:hAnsi="宋体" w:cs="宋体"/>
          <w:b/>
          <w:bCs/>
          <w:sz w:val="24"/>
          <w:szCs w:val="24"/>
        </w:rPr>
      </w:pPr>
      <w:r>
        <w:rPr>
          <w:rFonts w:hint="eastAsia" w:hAnsi="宋体" w:cs="宋体"/>
          <w:b/>
          <w:bCs/>
          <w:sz w:val="24"/>
          <w:szCs w:val="24"/>
        </w:rPr>
        <w:t>注：1、凡评标办法中涉及到的人员均须为本单位正式员工，须附相关人员职称证或职业资格证或上岗证或技工证，以及身份证和单位为其缴纳的社保证明。</w:t>
      </w:r>
    </w:p>
    <w:p>
      <w:pPr>
        <w:pStyle w:val="22"/>
        <w:spacing w:line="276" w:lineRule="auto"/>
        <w:ind w:firstLine="424" w:firstLineChars="176"/>
        <w:rPr>
          <w:rFonts w:hAnsi="宋体" w:cs="宋体"/>
          <w:b/>
          <w:bCs/>
          <w:sz w:val="24"/>
          <w:szCs w:val="24"/>
        </w:rPr>
      </w:pPr>
      <w:r>
        <w:rPr>
          <w:rFonts w:hint="eastAsia" w:hAnsi="宋体" w:cs="宋体"/>
          <w:b/>
          <w:bCs/>
          <w:sz w:val="24"/>
          <w:szCs w:val="24"/>
        </w:rPr>
        <w:t>2、评分标准里涉及到的证书、证件、业绩及其它材料等，均以投标文件中所提供的原件扫描件或图片（加盖公章）为准。</w:t>
      </w:r>
    </w:p>
    <w:p>
      <w:pPr>
        <w:pStyle w:val="22"/>
        <w:spacing w:line="276" w:lineRule="auto"/>
        <w:ind w:firstLine="241"/>
        <w:rPr>
          <w:rFonts w:hAnsi="宋体" w:cs="宋体"/>
          <w:b/>
          <w:bCs/>
          <w:sz w:val="24"/>
          <w:szCs w:val="24"/>
        </w:rPr>
      </w:pPr>
      <w:r>
        <w:rPr>
          <w:rFonts w:hint="eastAsia" w:hAnsi="宋体" w:cs="宋体"/>
          <w:b/>
          <w:bCs/>
          <w:sz w:val="24"/>
          <w:szCs w:val="24"/>
        </w:rPr>
        <w:t>3、投标人应确保并承诺投标文件中所提供的所有资料真实、有效，并承担相应的法律后果，否则投标无效。</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序号</w:t>
            </w:r>
          </w:p>
        </w:tc>
        <w:tc>
          <w:tcPr>
            <w:tcW w:w="2823" w:type="dxa"/>
            <w:vAlign w:val="center"/>
          </w:tcPr>
          <w:p>
            <w:pPr>
              <w:jc w:val="center"/>
              <w:rPr>
                <w:rFonts w:ascii="宋体" w:hAnsi="宋体" w:eastAsia="宋体"/>
                <w:b/>
                <w:szCs w:val="21"/>
                <w:lang w:val="en-GB"/>
              </w:rPr>
            </w:pPr>
            <w:r>
              <w:rPr>
                <w:rFonts w:hint="eastAsia" w:ascii="宋体" w:hAnsi="宋体" w:eastAsia="宋体"/>
                <w:b/>
                <w:szCs w:val="21"/>
                <w:lang w:val="en-GB"/>
              </w:rPr>
              <w:t>情形</w:t>
            </w:r>
          </w:p>
        </w:tc>
        <w:tc>
          <w:tcPr>
            <w:tcW w:w="2552" w:type="dxa"/>
            <w:vAlign w:val="center"/>
          </w:tcPr>
          <w:p>
            <w:pPr>
              <w:jc w:val="center"/>
              <w:rPr>
                <w:rFonts w:ascii="宋体" w:hAnsi="宋体" w:eastAsia="宋体"/>
                <w:b/>
                <w:szCs w:val="21"/>
                <w:lang w:val="en-GB"/>
              </w:rPr>
            </w:pPr>
            <w:r>
              <w:rPr>
                <w:rFonts w:hint="eastAsia" w:ascii="宋体" w:hAnsi="宋体" w:eastAsia="宋体"/>
                <w:b/>
                <w:szCs w:val="21"/>
              </w:rPr>
              <w:t>价格扣除</w:t>
            </w:r>
            <w:r>
              <w:rPr>
                <w:rFonts w:hint="eastAsia" w:ascii="宋体" w:hAnsi="宋体" w:eastAsia="宋体"/>
                <w:b/>
                <w:szCs w:val="21"/>
                <w:lang w:val="en-GB"/>
              </w:rPr>
              <w:t>比例</w:t>
            </w:r>
          </w:p>
        </w:tc>
        <w:tc>
          <w:tcPr>
            <w:tcW w:w="2835" w:type="dxa"/>
            <w:vAlign w:val="center"/>
          </w:tcPr>
          <w:p>
            <w:pPr>
              <w:jc w:val="center"/>
              <w:rPr>
                <w:rFonts w:ascii="宋体" w:hAnsi="宋体" w:eastAsia="宋体"/>
                <w:b/>
                <w:szCs w:val="21"/>
                <w:lang w:val="en-GB"/>
              </w:rPr>
            </w:pPr>
            <w:r>
              <w:rPr>
                <w:rFonts w:hint="eastAsia" w:ascii="宋体" w:hAnsi="宋体" w:eastAsia="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1</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非联合体投标人</w:t>
            </w:r>
          </w:p>
          <w:p>
            <w:pPr>
              <w:jc w:val="center"/>
              <w:rPr>
                <w:rFonts w:ascii="宋体" w:hAnsi="宋体" w:eastAsia="宋体"/>
                <w:b/>
                <w:szCs w:val="21"/>
                <w:lang w:val="en-GB"/>
              </w:rPr>
            </w:pPr>
            <w:r>
              <w:rPr>
                <w:rFonts w:hint="eastAsia" w:ascii="宋体" w:hAnsi="宋体" w:eastAsia="宋体"/>
                <w:szCs w:val="21"/>
                <w:lang w:val="en-GB"/>
              </w:rPr>
              <w:t>（投标人须为中小企业）</w:t>
            </w:r>
          </w:p>
        </w:tc>
        <w:tc>
          <w:tcPr>
            <w:tcW w:w="2552" w:type="dxa"/>
            <w:vAlign w:val="center"/>
          </w:tcPr>
          <w:p>
            <w:pPr>
              <w:jc w:val="center"/>
              <w:rPr>
                <w:rFonts w:ascii="宋体" w:hAnsi="宋体" w:eastAsia="宋体"/>
                <w:b/>
                <w:szCs w:val="21"/>
                <w:lang w:val="en-GB"/>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tc>
        <w:tc>
          <w:tcPr>
            <w:tcW w:w="2835" w:type="dxa"/>
            <w:vMerge w:val="restart"/>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小型和微型企业产品的价格</w:t>
            </w:r>
            <w:r>
              <w:rPr>
                <w:rFonts w:hint="eastAsia" w:ascii="宋体" w:hAnsi="宋体" w:eastAsia="宋体"/>
                <w:szCs w:val="21"/>
                <w:lang w:val="en-GB"/>
              </w:rPr>
              <w:t>×6%</w:t>
            </w:r>
          </w:p>
          <w:p>
            <w:pPr>
              <w:jc w:val="center"/>
              <w:rPr>
                <w:rFonts w:ascii="宋体" w:hAnsi="宋体" w:eastAsia="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2</w:t>
            </w:r>
          </w:p>
        </w:tc>
        <w:tc>
          <w:tcPr>
            <w:tcW w:w="2823" w:type="dxa"/>
            <w:vAlign w:val="center"/>
          </w:tcPr>
          <w:p>
            <w:pPr>
              <w:jc w:val="center"/>
              <w:rPr>
                <w:rFonts w:ascii="宋体" w:hAnsi="宋体" w:eastAsia="宋体"/>
                <w:b/>
                <w:szCs w:val="21"/>
              </w:rPr>
            </w:pPr>
            <w:r>
              <w:rPr>
                <w:rFonts w:hint="eastAsia" w:ascii="宋体" w:hAnsi="宋体" w:eastAsia="宋体"/>
                <w:szCs w:val="21"/>
                <w:lang w:val="en-GB"/>
              </w:rPr>
              <w:t>联合体各方均为小型、微型企业</w:t>
            </w:r>
          </w:p>
        </w:tc>
        <w:tc>
          <w:tcPr>
            <w:tcW w:w="2552" w:type="dxa"/>
            <w:vAlign w:val="center"/>
          </w:tcPr>
          <w:p>
            <w:pPr>
              <w:jc w:val="center"/>
              <w:rPr>
                <w:rFonts w:ascii="宋体" w:hAnsi="宋体" w:eastAsia="宋体"/>
                <w:szCs w:val="21"/>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p>
            <w:pPr>
              <w:jc w:val="center"/>
              <w:rPr>
                <w:rFonts w:ascii="宋体" w:hAnsi="宋体" w:eastAsia="宋体"/>
                <w:b/>
                <w:szCs w:val="21"/>
                <w:lang w:val="en-GB"/>
              </w:rPr>
            </w:pPr>
            <w:r>
              <w:rPr>
                <w:rFonts w:hint="eastAsia" w:ascii="宋体" w:hAnsi="宋体" w:eastAsia="宋体"/>
                <w:szCs w:val="21"/>
              </w:rPr>
              <w:t>（不再享受序号3的价格折扣）</w:t>
            </w:r>
          </w:p>
        </w:tc>
        <w:tc>
          <w:tcPr>
            <w:tcW w:w="2835" w:type="dxa"/>
            <w:vMerge w:val="continue"/>
            <w:shd w:val="clear" w:color="auto" w:fill="auto"/>
          </w:tcPr>
          <w:p>
            <w:pPr>
              <w:rPr>
                <w:rFonts w:ascii="宋体" w:hAnsi="宋体" w:eastAsia="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3</w:t>
            </w:r>
          </w:p>
        </w:tc>
        <w:tc>
          <w:tcPr>
            <w:tcW w:w="2823" w:type="dxa"/>
            <w:vAlign w:val="center"/>
          </w:tcPr>
          <w:p>
            <w:pPr>
              <w:jc w:val="center"/>
              <w:rPr>
                <w:rFonts w:ascii="宋体" w:hAnsi="宋体" w:eastAsia="宋体"/>
                <w:b/>
                <w:szCs w:val="21"/>
                <w:lang w:val="en-GB"/>
              </w:rPr>
            </w:pPr>
            <w:r>
              <w:rPr>
                <w:rFonts w:hint="eastAsia" w:ascii="宋体" w:hAnsi="宋体" w:eastAsia="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对联合体总金额扣除</w:t>
            </w:r>
          </w:p>
          <w:p>
            <w:pPr>
              <w:jc w:val="center"/>
              <w:rPr>
                <w:rFonts w:ascii="宋体" w:hAnsi="宋体" w:eastAsia="宋体"/>
                <w:b/>
                <w:szCs w:val="21"/>
                <w:lang w:val="en-GB"/>
              </w:rPr>
            </w:pPr>
            <w:r>
              <w:rPr>
                <w:rFonts w:ascii="宋体" w:hAnsi="宋体" w:eastAsia="宋体"/>
                <w:szCs w:val="21"/>
                <w:u w:val="single"/>
              </w:rPr>
              <w:t>2</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u w:val="single"/>
              </w:rPr>
            </w:pPr>
            <w:r>
              <w:rPr>
                <w:rFonts w:hint="eastAsia" w:ascii="宋体" w:hAnsi="宋体" w:eastAsia="宋体"/>
                <w:szCs w:val="21"/>
                <w:lang w:val="en-GB"/>
              </w:rPr>
              <w:t>评标价格＝投标报价×</w:t>
            </w:r>
            <w:r>
              <w:rPr>
                <w:rFonts w:hint="eastAsia" w:ascii="宋体" w:hAnsi="宋体" w:eastAsia="宋体"/>
                <w:szCs w:val="21"/>
              </w:rPr>
              <w:t>(1-</w:t>
            </w:r>
            <w:r>
              <w:rPr>
                <w:rFonts w:ascii="宋体" w:hAnsi="宋体" w:eastAsia="宋体"/>
                <w:szCs w:val="21"/>
                <w:u w:val="single"/>
              </w:rPr>
              <w:t>2</w:t>
            </w:r>
            <w:r>
              <w:rPr>
                <w:rFonts w:hint="eastAsia" w:ascii="宋体" w:hAnsi="宋体" w:eastAsia="宋体"/>
                <w:szCs w:val="21"/>
                <w:u w:val="single"/>
              </w:rPr>
              <w:t>%)</w:t>
            </w:r>
          </w:p>
          <w:p>
            <w:pPr>
              <w:jc w:val="center"/>
              <w:rPr>
                <w:rFonts w:ascii="宋体" w:hAnsi="宋体" w:eastAsia="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4</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监狱企业</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对监狱企业产品价格扣除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监狱企业产品的价格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5</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残疾人福利性单位</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对残疾人福利性单位产品价格扣除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残疾人福利性单位产品的价格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3"/>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（6）</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（7）</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jc w:val="left"/>
        <w:rPr>
          <w:rFonts w:ascii="宋体" w:hAnsi="宋体" w:eastAsia="宋体" w:cs="宋体"/>
          <w:b/>
          <w:kern w:val="0"/>
          <w:sz w:val="32"/>
          <w:szCs w:val="32"/>
        </w:rPr>
      </w:pPr>
      <w:r>
        <w:rPr>
          <w:rFonts w:ascii="宋体" w:hAnsi="宋体" w:eastAsia="宋体" w:cs="宋体"/>
          <w:b/>
          <w:kern w:val="0"/>
          <w:sz w:val="32"/>
          <w:szCs w:val="32"/>
        </w:rPr>
        <w:br w:type="page"/>
      </w:r>
    </w:p>
    <w:p>
      <w:pPr>
        <w:spacing w:beforeLines="50" w:afterLines="50"/>
        <w:jc w:val="center"/>
        <w:outlineLvl w:val="0"/>
        <w:rPr>
          <w:rFonts w:ascii="宋体" w:hAnsi="宋体" w:eastAsia="宋体" w:cs="宋体"/>
          <w:b/>
          <w:kern w:val="0"/>
          <w:sz w:val="32"/>
          <w:szCs w:val="32"/>
        </w:rPr>
      </w:pPr>
      <w:bookmarkStart w:id="19" w:name="_Toc14299199"/>
      <w:bookmarkStart w:id="20" w:name="_Toc14299038"/>
      <w:r>
        <w:rPr>
          <w:rFonts w:hint="eastAsia" w:ascii="宋体" w:hAnsi="宋体" w:eastAsia="宋体" w:cs="宋体"/>
          <w:b/>
          <w:kern w:val="0"/>
          <w:sz w:val="32"/>
          <w:szCs w:val="32"/>
        </w:rPr>
        <w:t>第七章 合同条款及格式</w:t>
      </w:r>
      <w:bookmarkEnd w:id="19"/>
      <w:bookmarkEnd w:id="20"/>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widowControl/>
        <w:jc w:val="center"/>
        <w:rPr>
          <w:rFonts w:ascii="宋体" w:hAnsi="宋体" w:eastAsia="宋体" w:cs="宋体"/>
          <w:b/>
          <w:kern w:val="0"/>
          <w:sz w:val="28"/>
          <w:szCs w:val="24"/>
        </w:rPr>
      </w:pPr>
    </w:p>
    <w:p>
      <w:pPr>
        <w:widowControl/>
        <w:jc w:val="center"/>
        <w:rPr>
          <w:rFonts w:ascii="宋体" w:hAnsi="宋体" w:eastAsia="宋体" w:cs="宋体"/>
          <w:b/>
          <w:kern w:val="0"/>
          <w:sz w:val="28"/>
          <w:szCs w:val="24"/>
        </w:rPr>
      </w:pPr>
      <w:r>
        <w:rPr>
          <w:rFonts w:hint="eastAsia" w:ascii="宋体" w:hAnsi="宋体" w:eastAsia="宋体" w:cs="宋体"/>
          <w:b/>
          <w:kern w:val="0"/>
          <w:sz w:val="28"/>
          <w:szCs w:val="24"/>
        </w:rPr>
        <w:t>绿化养护项目合同书</w:t>
      </w:r>
    </w:p>
    <w:p>
      <w:pPr>
        <w:spacing w:line="360" w:lineRule="auto"/>
        <w:rPr>
          <w:rFonts w:ascii="宋体" w:hAnsi="宋体" w:eastAsia="宋体"/>
          <w:sz w:val="24"/>
          <w:szCs w:val="24"/>
        </w:rPr>
      </w:pPr>
      <w:r>
        <w:rPr>
          <w:rFonts w:hint="eastAsia" w:ascii="宋体" w:hAnsi="宋体" w:eastAsia="宋体"/>
          <w:sz w:val="24"/>
          <w:szCs w:val="24"/>
        </w:rPr>
        <w:t xml:space="preserve">发包方（以下简称甲方）： </w:t>
      </w:r>
    </w:p>
    <w:p>
      <w:pPr>
        <w:spacing w:line="360" w:lineRule="auto"/>
        <w:rPr>
          <w:rFonts w:ascii="宋体" w:hAnsi="宋体" w:eastAsia="宋体"/>
          <w:sz w:val="24"/>
          <w:szCs w:val="24"/>
        </w:rPr>
      </w:pPr>
      <w:r>
        <w:rPr>
          <w:rFonts w:hint="eastAsia" w:ascii="宋体" w:hAnsi="宋体" w:eastAsia="宋体"/>
          <w:sz w:val="24"/>
          <w:szCs w:val="24"/>
        </w:rPr>
        <w:t>承包方（以下简称乙方）：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经公开采购，甲方将</w:t>
      </w:r>
      <w:r>
        <w:rPr>
          <w:rFonts w:hint="eastAsia" w:ascii="宋体" w:hAnsi="宋体" w:eastAsia="宋体"/>
          <w:sz w:val="24"/>
          <w:szCs w:val="24"/>
          <w:u w:val="single"/>
        </w:rPr>
        <w:t xml:space="preserve">       （项目名称）</w:t>
      </w:r>
      <w:r>
        <w:rPr>
          <w:rFonts w:hint="eastAsia" w:ascii="宋体" w:hAnsi="宋体" w:eastAsia="宋体"/>
          <w:sz w:val="24"/>
          <w:szCs w:val="24"/>
        </w:rPr>
        <w:t>确定给乙方施工，依照《中华人民共和国合同法》及其他有关法律、法规，遵循平等、自愿、公平和诚实信用原则，双方就本采购项目的相关事项协商一致，订立本合同。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第一条：项目基本概括</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1、项目名称：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2、项目地点：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3、項目内容：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4、资金来源：</w:t>
      </w:r>
      <w:r>
        <w:rPr>
          <w:rFonts w:hint="eastAsia" w:ascii="宋体" w:hAnsi="宋体" w:eastAsia="宋体"/>
          <w:sz w:val="24"/>
          <w:szCs w:val="24"/>
          <w:u w:val="single"/>
        </w:rPr>
        <w:t>财政资金</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第二条：项目承包范围</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第三条：服务期限：。</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第四条：项目养护质量标准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1、养护按执行。对树木及草坪进行精心养护、保持良好生长状态，养护和管理好园林、绿化。</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2、及时清除绿化带、草坪内的落叶及垃圾，及时修剪乔木的枯枝、损伤树枝等、对新生枝及时抹芽。及时修剪各类整形树、绿篱及花灌木、及时清理死树、死苗。绿化带内无杂草垃圾、杂物、枯废树枝。</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3、根据气候变化及时对乔木、草坪、灌木进行浇水。确保树木、草坪无病虫害、及时进行除虫作业。</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4、一年内不得少于两次对树木、灌木的施肥松土。</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乙方每天应有足够的人员，做好日常绿地巡查和养护工作，保证甲方绿地新栽树木成活率达到95％以上，各类原栽树木保活率达到98％以上（其中名贵树木应达到100％）。同时，应保持树千挺直，新栽树须立支撑，对倾斜的树木应及时扶正，在各月底前向甲方递交下月的养护计划、养护人数及工作时间、绿化养护按计划实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7、乙方应认真做好植保工作，及时对花草树木进行治虫抗病，确保植株无明显病虫害。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8．遇到灾害性气候，乙方应及时组织人员进行抗旱浇水、抗风护树、抗雪保绿、抗寒保暖工作。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9、乙方应对花木进行及时修剪，树木每年整枝抹芽各二次；合理调整树势，保证树木骨架均匀，树冠圆整；色块和绿篱应勤修剪，保持平整，做到地被植物与花灌木的界线清晰，线条流畅，修剪时间应根据季节合理安排。</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10、乙方应根据植物的生长态势和绿化管理员的要求，有计划地做好施肥工作，按照甲方要求普遍施肥每年不少于两次，做到植物生长健壮、形态良好。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11、乙方应配合甲方做好养护管理的资料档案工作及配合甲方做好园艺工作，提出合理化建议。</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12、养护质量的日常监督、考核由甲方负责，甲方根据绿化养护的有关规定对乙方的养护活动进行监督、考核，及时对乙方的绿化养护活动进行检查，每月考评。</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13、养护期间因乙方管理不善、养护不当造成植物死亡或设施损坏的。乙方应将其恢复原貌、修整和赔偿。所有费用由乙方全额承担。</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14、养护期间乙方员工的工资、费用等由乙方全权负责，乙方自身原因造成的事故损失或工伤事故，乙方负全责。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15、遵守甲方的规章制度、服从甲方管理人员的检查监督管理。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16、园林机械、汽油、机油、花种子、石灰、浇水管、抗风支撑物、铁丝、农药、化肥等都由乙方负责提供。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约，甲方有权按比例扣除乙方相应款项，并单方面终止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第六条：项目价款及付款方法：本项目款按下列办法分期付款。</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1、本项目采用包工包料的承包方式：</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rPr>
        <w:t>2、中标项目价款</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3、付款方式</w:t>
      </w:r>
    </w:p>
    <w:p>
      <w:pPr>
        <w:spacing w:line="360" w:lineRule="auto"/>
        <w:ind w:firstLine="424" w:firstLineChars="177"/>
        <w:rPr>
          <w:rFonts w:ascii="宋体" w:hAnsi="宋体" w:eastAsia="宋体"/>
          <w:sz w:val="24"/>
          <w:szCs w:val="24"/>
          <w:u w:val="single"/>
        </w:rPr>
      </w:pPr>
      <w:r>
        <w:rPr>
          <w:rFonts w:hint="eastAsia" w:ascii="宋体" w:hAnsi="宋体" w:eastAsia="宋体"/>
          <w:sz w:val="24"/>
          <w:szCs w:val="24"/>
          <w:u w:val="single"/>
        </w:rPr>
        <w:t>银行转账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第七条：组成本合同的文件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1、本合同协议书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2、中标通知书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3、采购文件及其附件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4、相关规范、标准及有关技术文件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第八条：双方的权利和义务</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1、承包方指派为为项目负责人，承包方应接受发包方的现场管理和对绿化项目养护的监督考核；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2、发包人工作：提供养护项目相关材料；</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3、承包人工作：承担养护工作和负责保护苗木，场地的清理工作。</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第九条：养护要求</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按执行。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第十条：经验收不合格的，承包人应当返工并承担返工所产生的一切费用，因此造成工期延误的，承包人还应承担本合同约定的违约责任和培偿责任。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第十一条：承包人不得自行减少工作量。如果确需减少，由采购人签证领导小组进行签证确认。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第十二条；检验标准、方法、地点及期限：</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1、项目养护验收标准：按《河南省城市绿地养护标准》DBJ41/T172-2017执行；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2、养护管理；发包人对承包人的移植养护管理〔即质量保修）工作进行定期考核。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第十三条：养护结算：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1、承包方提供养护验收书面申请和完整的结算资料，双方应会同有关部门进行养护验收，并按照合同约定价款内容，进行项目养护结算。</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2、养护期内，乙方承诺管养期内确保养护面积，不得缺少；同时，确保养护质量。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第十四条：质量保修：养护期内确保一切苗木质量。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第十五条：合同解除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1、发包方、承包方双方协商一致，可以解除合同。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2、发包方未按合同约定支付项目款导致养护无法进行，经承包方催要，发包方仍不支付项目款，承包方有权解除合同。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3、承包方将其承包的全部项目转包给他人或者支解以后以分包名义转包给他人，发包方有权解除合同。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4、因不可抗力导致合同无法履行，发包方、承包方可以解除合同。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5、因一方违约致使合同无法履行，另一方可以解除合同。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6、一方依据本条2、3、4、5款的约定要求解除合同的，应当书面通知对方，并在发出通知前7天告知对方，通知到达对方时合同解除。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7、合同解除后，不影响双方在合同中约定的结算和清理条款的效力。</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第十六条：合同的终止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发包方、承包方双方履行合同全部义务，养护结算价款支付完毕，承包方向发包方交付养护项目后，本合同即告终止。</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第十七条：安全养护</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承包方应遵守项目建设安全生产有关管理规定，严格按照安全标准组织养护，由于承包人安全措施不力造成事故的责任和因此发生的费用，由承包人承担。</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第十八条：违约责任</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发包方、承包方双方应严格按照本合同的约定全面履行自己的义务，若一方违反合同约定，需支付另一方合同总价款5％的违约金，并足额赔偿给另一方造成的实际损失。</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第十九条：争议的解决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因执行本合同书发生争议，由争议双方协商解决，协商不成的，可提请按其仲裁规则进行仲裁。</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第二十条：合同的生效和份数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合同的订立时间：年月日</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合同订立地点：</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合同生效及份数：本合同自甲乙双方签字并盖章之日起生效，未尽事宣，</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双方协商解决。</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本合同一式份，具有同等法律效力，发包方保存份，承包方保存份。</w:t>
      </w:r>
    </w:p>
    <w:p>
      <w:pPr>
        <w:snapToGrid w:val="0"/>
        <w:spacing w:line="360" w:lineRule="auto"/>
        <w:ind w:firstLine="240" w:firstLineChars="100"/>
        <w:rPr>
          <w:rFonts w:ascii="宋体" w:hAnsi="宋体" w:eastAsia="宋体"/>
          <w:bCs/>
          <w:sz w:val="24"/>
          <w:szCs w:val="24"/>
        </w:rPr>
      </w:pPr>
    </w:p>
    <w:p>
      <w:pPr>
        <w:snapToGrid w:val="0"/>
        <w:spacing w:line="360" w:lineRule="auto"/>
        <w:ind w:firstLine="240" w:firstLineChars="100"/>
        <w:rPr>
          <w:rFonts w:ascii="宋体" w:hAnsi="宋体" w:eastAsia="宋体"/>
          <w:bCs/>
          <w:sz w:val="24"/>
          <w:szCs w:val="24"/>
        </w:rPr>
      </w:pP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甲方（盖章）：                     乙方（盖章）</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地      址：                      地      址：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法定代表人：                      法定代表人：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委托代理人：                      委托代理人：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电      话：                      电      话：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传      真：                      传      真：</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 xml:space="preserve">开  户  行：                      开  户  行： </w:t>
      </w:r>
    </w:p>
    <w:p>
      <w:pPr>
        <w:snapToGrid w:val="0"/>
        <w:spacing w:line="360" w:lineRule="auto"/>
        <w:ind w:firstLine="360" w:firstLineChars="150"/>
        <w:rPr>
          <w:rFonts w:ascii="宋体" w:hAnsi="宋体" w:eastAsia="宋体"/>
          <w:bCs/>
          <w:sz w:val="24"/>
          <w:szCs w:val="24"/>
        </w:rPr>
      </w:pPr>
      <w:r>
        <w:rPr>
          <w:rFonts w:hint="eastAsia" w:ascii="宋体" w:hAnsi="宋体" w:eastAsia="宋体"/>
          <w:bCs/>
          <w:sz w:val="24"/>
          <w:szCs w:val="24"/>
        </w:rPr>
        <w:t>帐      号：                      帐      号：</w:t>
      </w:r>
    </w:p>
    <w:p>
      <w:pPr>
        <w:snapToGrid w:val="0"/>
        <w:spacing w:line="360" w:lineRule="auto"/>
        <w:ind w:firstLine="360" w:firstLineChars="150"/>
        <w:rPr>
          <w:rFonts w:ascii="宋体" w:hAnsi="宋体" w:eastAsia="宋体" w:cs="宋体"/>
          <w:sz w:val="24"/>
          <w:szCs w:val="24"/>
        </w:rPr>
      </w:pPr>
      <w:r>
        <w:rPr>
          <w:rFonts w:hint="eastAsia" w:ascii="宋体" w:hAnsi="宋体" w:eastAsia="宋体"/>
          <w:bCs/>
          <w:sz w:val="24"/>
          <w:szCs w:val="24"/>
        </w:rPr>
        <w:t xml:space="preserve">          年   月    日                     年   月    日</w:t>
      </w:r>
    </w:p>
    <w:p>
      <w:pPr>
        <w:spacing w:line="360" w:lineRule="auto"/>
        <w:rPr>
          <w:rFonts w:ascii="宋体" w:hAnsi="宋体" w:eastAsia="宋体"/>
          <w:sz w:val="24"/>
          <w:szCs w:val="24"/>
        </w:rPr>
      </w:pPr>
      <w:r>
        <w:rPr>
          <w:rFonts w:ascii="宋体" w:hAnsi="宋体" w:eastAsia="宋体"/>
          <w:sz w:val="24"/>
          <w:szCs w:val="24"/>
        </w:rPr>
        <w:br w:type="page"/>
      </w:r>
    </w:p>
    <w:p>
      <w:pPr>
        <w:spacing w:beforeLines="50" w:afterLines="50"/>
        <w:jc w:val="center"/>
        <w:outlineLvl w:val="0"/>
        <w:rPr>
          <w:rFonts w:ascii="宋体" w:hAnsi="宋体" w:eastAsia="宋体" w:cs="宋体"/>
          <w:b/>
          <w:kern w:val="0"/>
          <w:sz w:val="32"/>
          <w:szCs w:val="32"/>
        </w:rPr>
      </w:pPr>
      <w:bookmarkStart w:id="21" w:name="_Toc14299039"/>
      <w:bookmarkStart w:id="22" w:name="_Toc14299200"/>
      <w:r>
        <w:rPr>
          <w:rFonts w:hint="eastAsia" w:ascii="宋体" w:hAnsi="宋体" w:eastAsia="宋体" w:cs="宋体"/>
          <w:b/>
          <w:kern w:val="0"/>
          <w:sz w:val="32"/>
          <w:szCs w:val="32"/>
        </w:rPr>
        <w:t>第八章 投标文件有关格式</w:t>
      </w:r>
      <w:bookmarkEnd w:id="21"/>
      <w:bookmarkEnd w:id="22"/>
    </w:p>
    <w:p>
      <w:pPr>
        <w:jc w:val="left"/>
        <w:rPr>
          <w:rFonts w:ascii="宋体" w:hAnsi="宋体" w:eastAsia="宋体" w:cs="黑体"/>
          <w:sz w:val="44"/>
          <w:szCs w:val="44"/>
          <w:lang w:val="zh-CN"/>
        </w:rPr>
      </w:pPr>
      <w:bookmarkStart w:id="23" w:name="_Toc184023138"/>
      <w:bookmarkStart w:id="24" w:name="_Toc186274126"/>
      <w:bookmarkStart w:id="25" w:name="_Toc174185203"/>
      <w:r>
        <w:rPr>
          <w:rFonts w:ascii="宋体" w:hAnsi="宋体" w:eastAsia="宋体" w:cs="黑体"/>
          <w:sz w:val="44"/>
          <w:szCs w:val="44"/>
          <w:lang w:val="zh-CN"/>
        </w:rPr>
        <w:br w:type="page"/>
      </w:r>
    </w:p>
    <w:p>
      <w:pPr>
        <w:pStyle w:val="13"/>
        <w:spacing w:line="360" w:lineRule="auto"/>
        <w:contextualSpacing/>
        <w:jc w:val="left"/>
        <w:rPr>
          <w:rFonts w:ascii="宋体" w:hAnsi="宋体" w:cs="宋体"/>
          <w:b/>
          <w:kern w:val="0"/>
          <w:sz w:val="36"/>
          <w:szCs w:val="36"/>
        </w:rPr>
      </w:pPr>
    </w:p>
    <w:bookmarkEnd w:id="23"/>
    <w:bookmarkEnd w:id="24"/>
    <w:bookmarkEnd w:id="25"/>
    <w:p>
      <w:pPr>
        <w:pStyle w:val="13"/>
        <w:spacing w:line="360" w:lineRule="auto"/>
        <w:contextualSpacing/>
        <w:jc w:val="right"/>
        <w:rPr>
          <w:rFonts w:cs="宋体"/>
          <w:b/>
          <w:bCs/>
          <w:sz w:val="36"/>
          <w:szCs w:val="36"/>
        </w:rPr>
      </w:pPr>
      <w:bookmarkStart w:id="26" w:name="_Toc14299040"/>
      <w:bookmarkStart w:id="27" w:name="_Toc13424240"/>
      <w:r>
        <w:rPr>
          <w:rFonts w:hint="eastAsia" w:cs="宋体"/>
          <w:b/>
          <w:bCs/>
          <w:sz w:val="36"/>
          <w:szCs w:val="36"/>
        </w:rPr>
        <w:t>正本/副本</w:t>
      </w:r>
      <w:bookmarkEnd w:id="26"/>
      <w:bookmarkEnd w:id="27"/>
    </w:p>
    <w:p>
      <w:pPr>
        <w:pStyle w:val="13"/>
        <w:spacing w:line="360" w:lineRule="auto"/>
        <w:contextualSpacing/>
        <w:jc w:val="left"/>
        <w:rPr>
          <w:rFonts w:cs="宋体"/>
          <w:bCs/>
          <w:sz w:val="36"/>
          <w:szCs w:val="36"/>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b/>
          <w:sz w:val="28"/>
          <w:szCs w:val="28"/>
          <w:u w:val="single"/>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jc w:val="center"/>
        <w:rPr>
          <w:rFonts w:ascii="宋体" w:hAnsi="宋体" w:eastAsia="宋体" w:cs="微软雅黑"/>
          <w:b/>
          <w:sz w:val="72"/>
          <w:szCs w:val="72"/>
        </w:rPr>
      </w:pPr>
      <w:r>
        <w:rPr>
          <w:rFonts w:hint="eastAsia" w:ascii="宋体" w:hAnsi="宋体" w:eastAsia="宋体" w:cs="微软雅黑"/>
          <w:b/>
          <w:sz w:val="72"/>
          <w:szCs w:val="72"/>
        </w:rPr>
        <w:t>投 标 文 件</w:t>
      </w:r>
    </w:p>
    <w:p>
      <w:pPr>
        <w:rPr>
          <w:rFonts w:ascii="宋体" w:hAnsi="宋体" w:eastAsia="宋体" w:cs="微软雅黑"/>
          <w:b/>
          <w:sz w:val="28"/>
          <w:szCs w:val="28"/>
        </w:rPr>
      </w:pPr>
    </w:p>
    <w:p>
      <w:pPr>
        <w:ind w:firstLine="2988" w:firstLineChars="1063"/>
        <w:rPr>
          <w:rFonts w:ascii="宋体" w:hAnsi="宋体" w:eastAsia="宋体" w:cs="微软雅黑"/>
          <w:b/>
          <w:sz w:val="28"/>
          <w:szCs w:val="28"/>
        </w:rPr>
      </w:pPr>
      <w:r>
        <w:rPr>
          <w:rFonts w:hint="eastAsia" w:ascii="宋体" w:hAnsi="宋体" w:eastAsia="宋体" w:cs="微软雅黑"/>
          <w:b/>
          <w:sz w:val="28"/>
          <w:szCs w:val="28"/>
        </w:rPr>
        <w:t>项目编号：</w:t>
      </w:r>
    </w:p>
    <w:p>
      <w:pPr>
        <w:pStyle w:val="22"/>
        <w:ind w:firstLine="341"/>
        <w:rPr>
          <w:rFonts w:hAnsi="宋体"/>
          <w:b/>
        </w:rPr>
      </w:pPr>
    </w:p>
    <w:p>
      <w:pPr>
        <w:pStyle w:val="22"/>
        <w:ind w:firstLine="341"/>
        <w:rPr>
          <w:rFonts w:hAnsi="宋体"/>
          <w:b/>
        </w:rPr>
      </w:pPr>
    </w:p>
    <w:p>
      <w:pPr>
        <w:pStyle w:val="22"/>
        <w:ind w:firstLine="341"/>
        <w:rPr>
          <w:rFonts w:hAnsi="宋体"/>
          <w:b/>
        </w:rPr>
      </w:pPr>
    </w:p>
    <w:p>
      <w:pPr>
        <w:pStyle w:val="22"/>
        <w:ind w:firstLine="341"/>
        <w:rPr>
          <w:rFonts w:hAnsi="宋体"/>
          <w:b/>
        </w:rPr>
      </w:pPr>
    </w:p>
    <w:p>
      <w:pPr>
        <w:pStyle w:val="22"/>
        <w:ind w:firstLine="341"/>
        <w:rPr>
          <w:rFonts w:hAnsi="宋体"/>
          <w:b/>
        </w:rPr>
      </w:pPr>
    </w:p>
    <w:p>
      <w:pPr>
        <w:pStyle w:val="22"/>
        <w:ind w:firstLine="341"/>
        <w:rPr>
          <w:rFonts w:hAnsi="宋体"/>
          <w:b/>
        </w:rPr>
      </w:pPr>
    </w:p>
    <w:p>
      <w:pPr>
        <w:pStyle w:val="22"/>
        <w:ind w:firstLine="341"/>
        <w:rPr>
          <w:rFonts w:hAnsi="宋体"/>
          <w:b/>
        </w:rPr>
      </w:pPr>
    </w:p>
    <w:p>
      <w:pPr>
        <w:rPr>
          <w:rFonts w:ascii="宋体" w:hAnsi="宋体" w:eastAsia="宋体" w:cs="微软雅黑"/>
          <w:b/>
          <w:sz w:val="28"/>
          <w:szCs w:val="28"/>
        </w:rPr>
      </w:pPr>
    </w:p>
    <w:p>
      <w:pPr>
        <w:spacing w:line="480" w:lineRule="auto"/>
        <w:ind w:left="991" w:leftChars="472"/>
        <w:jc w:val="left"/>
        <w:rPr>
          <w:rFonts w:ascii="宋体" w:hAnsi="宋体" w:eastAsia="宋体" w:cs="微软雅黑"/>
          <w:b/>
          <w:sz w:val="28"/>
          <w:szCs w:val="28"/>
          <w:u w:val="single"/>
        </w:rPr>
      </w:pPr>
      <w:r>
        <w:rPr>
          <w:rFonts w:hint="eastAsia" w:ascii="宋体" w:hAnsi="宋体" w:eastAsia="宋体" w:cs="微软雅黑"/>
          <w:b/>
          <w:sz w:val="28"/>
          <w:szCs w:val="28"/>
        </w:rPr>
        <w:t>投  标  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（盖单位章）</w:t>
      </w:r>
    </w:p>
    <w:p>
      <w:pPr>
        <w:spacing w:line="480" w:lineRule="auto"/>
        <w:ind w:left="991" w:leftChars="472"/>
        <w:jc w:val="left"/>
        <w:rPr>
          <w:rFonts w:ascii="宋体" w:hAnsi="宋体" w:eastAsia="宋体" w:cs="微软雅黑"/>
          <w:b/>
          <w:sz w:val="28"/>
          <w:szCs w:val="28"/>
        </w:rPr>
      </w:pPr>
      <w:r>
        <w:rPr>
          <w:rFonts w:hint="eastAsia" w:ascii="宋体" w:hAnsi="宋体" w:eastAsia="宋体" w:cs="微软雅黑"/>
          <w:b/>
          <w:sz w:val="28"/>
          <w:szCs w:val="28"/>
        </w:rPr>
        <w:t>法定代表人或其委托代理人：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（签字或盖章）</w:t>
      </w:r>
    </w:p>
    <w:p>
      <w:pPr>
        <w:spacing w:line="480" w:lineRule="auto"/>
        <w:ind w:firstLine="3373" w:firstLineChars="1200"/>
        <w:rPr>
          <w:rFonts w:ascii="宋体" w:hAnsi="宋体" w:eastAsia="宋体" w:cs="黑体"/>
          <w:b/>
          <w:bCs/>
          <w:sz w:val="44"/>
          <w:szCs w:val="44"/>
          <w:lang w:val="zh-CN"/>
        </w:rPr>
      </w:pPr>
      <w:r>
        <w:rPr>
          <w:rFonts w:hint="eastAsia" w:ascii="宋体" w:hAnsi="宋体" w:eastAsia="宋体" w:cs="微软雅黑"/>
          <w:b/>
          <w:sz w:val="28"/>
          <w:szCs w:val="28"/>
        </w:rPr>
        <w:t>年  月  日</w:t>
      </w:r>
    </w:p>
    <w:p>
      <w:pPr>
        <w:spacing w:afterLines="50"/>
        <w:jc w:val="center"/>
        <w:rPr>
          <w:rFonts w:ascii="宋体" w:hAnsi="宋体" w:eastAsia="宋体"/>
          <w:b/>
          <w:snapToGrid w:val="0"/>
          <w:kern w:val="0"/>
          <w:sz w:val="36"/>
          <w:szCs w:val="36"/>
        </w:rPr>
      </w:pPr>
      <w:r>
        <w:rPr>
          <w:rFonts w:hint="eastAsia" w:ascii="宋体" w:hAnsi="宋体" w:eastAsia="宋体"/>
          <w:b/>
          <w:snapToGrid w:val="0"/>
          <w:kern w:val="0"/>
          <w:sz w:val="36"/>
          <w:szCs w:val="36"/>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3"/>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3"/>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5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bCs/>
                <w:szCs w:val="24"/>
              </w:rPr>
              <w:t>纳税凭据</w:t>
            </w:r>
            <w:r>
              <w:rPr>
                <w:rFonts w:hint="eastAsia" w:ascii="宋体" w:hAnsi="宋体" w:cs="宋体"/>
                <w:bCs/>
                <w:szCs w:val="24"/>
                <w:lang w:val="zh-CN"/>
              </w:rPr>
              <w:t>或企业所在地税务主管部门出具的证明材料</w:t>
            </w:r>
          </w:p>
        </w:tc>
        <w:tc>
          <w:tcPr>
            <w:tcW w:w="1559" w:type="dxa"/>
            <w:vAlign w:val="center"/>
          </w:tcPr>
          <w:p>
            <w:pPr>
              <w:pStyle w:val="13"/>
              <w:jc w:val="center"/>
              <w:rPr>
                <w:rFonts w:ascii="宋体" w:hAnsi="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1"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vMerge w:val="restart"/>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Merge w:val="restart"/>
            <w:vAlign w:val="center"/>
          </w:tcPr>
          <w:p>
            <w:pPr>
              <w:snapToGrid w:val="0"/>
              <w:spacing w:line="400" w:lineRule="exact"/>
              <w:jc w:val="center"/>
              <w:rPr>
                <w:rFonts w:ascii="宋体" w:hAnsi="宋体" w:eastAsia="宋体" w:cs="微软雅黑"/>
                <w:szCs w:val="21"/>
              </w:rPr>
            </w:pPr>
          </w:p>
        </w:tc>
        <w:tc>
          <w:tcPr>
            <w:tcW w:w="1560" w:type="dxa"/>
            <w:vMerge w:val="restart"/>
            <w:vAlign w:val="center"/>
          </w:tcPr>
          <w:p>
            <w:pPr>
              <w:snapToGrid w:val="0"/>
              <w:spacing w:line="400" w:lineRule="exact"/>
              <w:jc w:val="center"/>
              <w:rPr>
                <w:rFonts w:ascii="宋体" w:hAnsi="宋体" w:eastAsia="宋体" w:cs="微软雅黑"/>
                <w:szCs w:val="21"/>
              </w:rPr>
            </w:pPr>
          </w:p>
        </w:tc>
        <w:tc>
          <w:tcPr>
            <w:tcW w:w="2018" w:type="dxa"/>
            <w:vMerge w:val="restart"/>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709" w:type="dxa"/>
            <w:vMerge w:val="continue"/>
            <w:tcBorders>
              <w:left w:val="single" w:color="auto" w:sz="4"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Merge w:val="continue"/>
            <w:vAlign w:val="center"/>
          </w:tcPr>
          <w:p>
            <w:pPr>
              <w:snapToGrid w:val="0"/>
              <w:spacing w:line="400" w:lineRule="exact"/>
              <w:jc w:val="center"/>
              <w:rPr>
                <w:rFonts w:ascii="宋体" w:hAnsi="宋体" w:eastAsia="宋体" w:cs="微软雅黑"/>
                <w:szCs w:val="21"/>
              </w:rPr>
            </w:pPr>
          </w:p>
        </w:tc>
        <w:tc>
          <w:tcPr>
            <w:tcW w:w="1560" w:type="dxa"/>
            <w:vMerge w:val="continue"/>
            <w:vAlign w:val="center"/>
          </w:tcPr>
          <w:p>
            <w:pPr>
              <w:snapToGrid w:val="0"/>
              <w:spacing w:line="400" w:lineRule="exact"/>
              <w:jc w:val="center"/>
              <w:rPr>
                <w:rFonts w:ascii="宋体" w:hAnsi="宋体" w:eastAsia="宋体" w:cs="微软雅黑"/>
                <w:szCs w:val="21"/>
              </w:rPr>
            </w:pPr>
          </w:p>
        </w:tc>
        <w:tc>
          <w:tcPr>
            <w:tcW w:w="2018" w:type="dxa"/>
            <w:vMerge w:val="continue"/>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jc w:val="center"/>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7"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9</w:t>
            </w:r>
          </w:p>
        </w:tc>
        <w:tc>
          <w:tcPr>
            <w:tcW w:w="3751" w:type="dxa"/>
            <w:gridSpan w:val="3"/>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3"/>
              <w:jc w:val="center"/>
              <w:rPr>
                <w:rFonts w:ascii="宋体" w:hAnsi="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pStyle w:val="13"/>
              <w:kinsoku w:val="0"/>
              <w:overflowPunct w:val="0"/>
              <w:autoSpaceDE w:val="0"/>
              <w:autoSpaceDN w:val="0"/>
              <w:spacing w:line="320" w:lineRule="exact"/>
              <w:jc w:val="center"/>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3"/>
              <w:jc w:val="center"/>
              <w:rPr>
                <w:rFonts w:ascii="宋体" w:hAnsi="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pStyle w:val="13"/>
              <w:kinsoku w:val="0"/>
              <w:overflowPunct w:val="0"/>
              <w:autoSpaceDE w:val="0"/>
              <w:autoSpaceDN w:val="0"/>
              <w:spacing w:line="320" w:lineRule="exact"/>
              <w:jc w:val="center"/>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3"/>
              <w:jc w:val="center"/>
              <w:rPr>
                <w:rFonts w:ascii="宋体" w:hAnsi="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11</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rPr>
            </w:pPr>
            <w:r>
              <w:rPr>
                <w:rFonts w:hint="eastAsia" w:ascii="宋体" w:hAnsi="宋体"/>
                <w:kern w:val="0"/>
              </w:rPr>
              <w:t>没有重大违法记录的声明</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12</w:t>
            </w:r>
          </w:p>
        </w:tc>
        <w:tc>
          <w:tcPr>
            <w:tcW w:w="3751" w:type="dxa"/>
            <w:gridSpan w:val="3"/>
            <w:vAlign w:val="center"/>
          </w:tcPr>
          <w:p>
            <w:pPr>
              <w:pStyle w:val="13"/>
              <w:kinsoku w:val="0"/>
              <w:overflowPunct w:val="0"/>
              <w:autoSpaceDE w:val="0"/>
              <w:autoSpaceDN w:val="0"/>
              <w:spacing w:line="320" w:lineRule="exact"/>
              <w:rPr>
                <w:rFonts w:ascii="宋体" w:hAnsi="宋体"/>
                <w:kern w:val="0"/>
              </w:rPr>
            </w:pPr>
            <w:r>
              <w:rPr>
                <w:rFonts w:hint="eastAsia" w:ascii="宋体" w:hAnsi="宋体"/>
                <w:kern w:val="0"/>
              </w:rPr>
              <w:t>投标承诺函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13</w:t>
            </w:r>
          </w:p>
        </w:tc>
        <w:tc>
          <w:tcPr>
            <w:tcW w:w="3751" w:type="dxa"/>
            <w:gridSpan w:val="3"/>
            <w:vAlign w:val="center"/>
          </w:tcPr>
          <w:p>
            <w:pPr>
              <w:pStyle w:val="13"/>
              <w:kinsoku w:val="0"/>
              <w:overflowPunct w:val="0"/>
              <w:autoSpaceDE w:val="0"/>
              <w:autoSpaceDN w:val="0"/>
              <w:spacing w:line="320" w:lineRule="exact"/>
              <w:rPr>
                <w:rFonts w:ascii="宋体" w:hAnsi="宋体" w:cstheme="majorEastAsia"/>
                <w:bCs/>
                <w:szCs w:val="24"/>
                <w:lang w:val="zh-CN"/>
              </w:rPr>
            </w:pPr>
            <w:r>
              <w:rPr>
                <w:rFonts w:hint="eastAsia" w:ascii="宋体" w:hAnsi="宋体" w:cs="微软雅黑"/>
                <w:bCs/>
                <w:kern w:val="0"/>
              </w:rPr>
              <w:t>服务承诺</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14</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技术部分</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15</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中小企业声明函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16</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残疾人福利性单位声明函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17</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监狱企业证明文件</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18</w:t>
            </w:r>
          </w:p>
        </w:tc>
        <w:tc>
          <w:tcPr>
            <w:tcW w:w="3751" w:type="dxa"/>
            <w:gridSpan w:val="3"/>
            <w:vAlign w:val="center"/>
          </w:tcPr>
          <w:p>
            <w:pPr>
              <w:pStyle w:val="13"/>
              <w:kinsoku w:val="0"/>
              <w:overflowPunct w:val="0"/>
              <w:autoSpaceDE w:val="0"/>
              <w:autoSpaceDN w:val="0"/>
              <w:spacing w:line="320" w:lineRule="exact"/>
              <w:rPr>
                <w:rFonts w:ascii="宋体" w:hAnsi="宋体" w:cs="微软雅黑"/>
                <w:bCs/>
                <w:kern w:val="0"/>
              </w:rPr>
            </w:pPr>
            <w:r>
              <w:rPr>
                <w:rFonts w:hint="eastAsia" w:ascii="宋体" w:hAnsi="宋体" w:cs="微软雅黑"/>
                <w:bCs/>
                <w:kern w:val="0"/>
              </w:rPr>
              <w:t>其它资料</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bl>
    <w:p>
      <w:pPr>
        <w:pStyle w:val="13"/>
        <w:spacing w:line="360" w:lineRule="auto"/>
        <w:jc w:val="center"/>
        <w:rPr>
          <w:rFonts w:ascii="宋体" w:hAnsi="宋体"/>
          <w:b/>
          <w:snapToGrid w:val="0"/>
          <w:kern w:val="0"/>
          <w:sz w:val="36"/>
          <w:szCs w:val="36"/>
        </w:rPr>
      </w:pP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eastAsia="宋体"/>
          <w:sz w:val="24"/>
          <w:szCs w:val="24"/>
        </w:rPr>
      </w:pPr>
      <w:r>
        <w:rPr>
          <w:rFonts w:hint="eastAsia" w:ascii="宋体" w:hAnsi="宋体" w:eastAsia="宋体"/>
          <w:sz w:val="24"/>
          <w:szCs w:val="24"/>
        </w:rPr>
        <w:t>项目编号：</w:t>
      </w:r>
    </w:p>
    <w:p>
      <w:pPr>
        <w:spacing w:line="360" w:lineRule="auto"/>
        <w:contextualSpacing/>
        <w:rPr>
          <w:rFonts w:ascii="宋体" w:hAnsi="宋体" w:eastAsia="宋体"/>
          <w:sz w:val="24"/>
          <w:szCs w:val="24"/>
        </w:rPr>
      </w:pPr>
      <w:r>
        <w:rPr>
          <w:rFonts w:hint="eastAsia" w:ascii="宋体" w:hAnsi="宋体" w:eastAsia="宋体"/>
          <w:sz w:val="24"/>
          <w:szCs w:val="24"/>
        </w:rPr>
        <w:t xml:space="preserve">项目名称：                                       </w:t>
      </w:r>
      <w:r>
        <w:rPr>
          <w:rFonts w:hint="eastAsia" w:ascii="宋体" w:hAnsi="宋体" w:eastAsia="宋体" w:cs="Arial"/>
          <w:sz w:val="24"/>
          <w:szCs w:val="24"/>
        </w:rPr>
        <w:t>单位：</w:t>
      </w:r>
    </w:p>
    <w:tbl>
      <w:tblPr>
        <w:tblStyle w:val="23"/>
        <w:tblW w:w="8897" w:type="dxa"/>
        <w:tblInd w:w="0" w:type="dxa"/>
        <w:tblLayout w:type="fixed"/>
        <w:tblCellMar>
          <w:top w:w="0" w:type="dxa"/>
          <w:left w:w="108" w:type="dxa"/>
          <w:bottom w:w="0" w:type="dxa"/>
          <w:right w:w="108" w:type="dxa"/>
        </w:tblCellMar>
      </w:tblPr>
      <w:tblGrid>
        <w:gridCol w:w="1384"/>
        <w:gridCol w:w="2126"/>
        <w:gridCol w:w="3119"/>
        <w:gridCol w:w="1364"/>
        <w:gridCol w:w="904"/>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服务期限</w:t>
            </w: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大写：</w:t>
            </w:r>
          </w:p>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小写：</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ascii="宋体" w:hAnsi="宋体" w:eastAsia="宋体" w:cs="宋体"/>
                <w:b/>
                <w:sz w:val="24"/>
                <w:szCs w:val="24"/>
                <w:lang w:val="zh-CN"/>
              </w:rPr>
              <w:t>…</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bl>
    <w:p>
      <w:pPr>
        <w:autoSpaceDE w:val="0"/>
        <w:autoSpaceDN w:val="0"/>
        <w:adjustRightInd w:val="0"/>
        <w:spacing w:beforeLines="100"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  年  月  日</w:t>
      </w:r>
    </w:p>
    <w:p>
      <w:pPr>
        <w:jc w:val="left"/>
        <w:rPr>
          <w:rFonts w:ascii="宋体" w:hAnsi="宋体" w:eastAsia="宋体"/>
          <w:b/>
          <w:snapToGrid w:val="0"/>
          <w:kern w:val="0"/>
          <w:sz w:val="24"/>
          <w:szCs w:val="24"/>
        </w:rPr>
      </w:pPr>
      <w:r>
        <w:rPr>
          <w:rFonts w:hint="eastAsia" w:ascii="宋体" w:hAnsi="宋体" w:eastAsia="宋体"/>
          <w:b/>
          <w:snapToGrid w:val="0"/>
          <w:kern w:val="0"/>
          <w:sz w:val="24"/>
          <w:szCs w:val="24"/>
        </w:rPr>
        <w:t>注：本项目采用费率报价，报价以百分比形式填报（以98%为例：大写：</w:t>
      </w:r>
      <w:r>
        <w:rPr>
          <w:rFonts w:hint="eastAsia" w:ascii="宋体" w:hAnsi="宋体" w:eastAsia="宋体"/>
          <w:b/>
          <w:snapToGrid w:val="0"/>
          <w:kern w:val="0"/>
          <w:sz w:val="24"/>
          <w:szCs w:val="24"/>
          <w:u w:val="single"/>
        </w:rPr>
        <w:t>玖拾捌</w:t>
      </w:r>
      <w:r>
        <w:rPr>
          <w:rFonts w:hint="eastAsia" w:ascii="宋体" w:hAnsi="宋体" w:eastAsia="宋体"/>
          <w:b/>
          <w:snapToGrid w:val="0"/>
          <w:kern w:val="0"/>
          <w:sz w:val="24"/>
          <w:szCs w:val="24"/>
        </w:rPr>
        <w:t>；</w:t>
      </w:r>
      <w:r>
        <w:rPr>
          <w:rFonts w:hint="eastAsia" w:ascii="宋体" w:hAnsi="宋体" w:eastAsia="宋体"/>
          <w:b/>
          <w:snapToGrid w:val="0"/>
          <w:kern w:val="0"/>
          <w:sz w:val="24"/>
          <w:szCs w:val="24"/>
          <w:u w:val="single"/>
        </w:rPr>
        <w:t>小写：98</w:t>
      </w:r>
      <w:r>
        <w:rPr>
          <w:rFonts w:hint="eastAsia" w:ascii="宋体" w:hAnsi="宋体" w:eastAsia="宋体"/>
          <w:b/>
          <w:snapToGrid w:val="0"/>
          <w:kern w:val="0"/>
          <w:sz w:val="24"/>
          <w:szCs w:val="24"/>
        </w:rPr>
        <w:t>）；服务期限为三年，保安人员费费率无须在此表填报。</w:t>
      </w:r>
      <w:r>
        <w:rPr>
          <w:rFonts w:ascii="宋体" w:hAnsi="宋体" w:eastAsia="宋体"/>
          <w:b/>
          <w:snapToGrid w:val="0"/>
          <w:kern w:val="0"/>
          <w:sz w:val="24"/>
          <w:szCs w:val="24"/>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三、资格审查证明材料</w:t>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3.1 投 标 函</w:t>
      </w: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（采购单位）</w:t>
      </w:r>
    </w:p>
    <w:p>
      <w:pPr>
        <w:pStyle w:val="13"/>
        <w:adjustRightInd w:val="0"/>
        <w:spacing w:line="360" w:lineRule="auto"/>
        <w:ind w:firstLine="480" w:firstLineChars="200"/>
        <w:contextualSpacing/>
        <w:jc w:val="left"/>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 xml:space="preserve">           </w:t>
      </w:r>
      <w:r>
        <w:rPr>
          <w:rFonts w:hint="eastAsia" w:ascii="宋体" w:hAnsi="宋体"/>
          <w:snapToGrid w:val="0"/>
          <w:kern w:val="0"/>
          <w:szCs w:val="24"/>
        </w:rPr>
        <w:t>（项目名称、标段、项目编号）采购项目的招标公告及投标邀请，</w:t>
      </w:r>
      <w:r>
        <w:rPr>
          <w:rFonts w:hint="eastAsia" w:ascii="宋体" w:hAnsi="宋体"/>
          <w:snapToGrid w:val="0"/>
          <w:kern w:val="0"/>
          <w:szCs w:val="24"/>
          <w:u w:val="single"/>
        </w:rPr>
        <w:t>_______</w:t>
      </w:r>
      <w:r>
        <w:rPr>
          <w:rFonts w:hint="eastAsia" w:ascii="宋体" w:hAnsi="宋体"/>
          <w:snapToGrid w:val="0"/>
          <w:kern w:val="0"/>
          <w:szCs w:val="24"/>
        </w:rPr>
        <w:t>（投标人代表姓名和职务）被正式授权并代表投标人</w:t>
      </w:r>
      <w:r>
        <w:rPr>
          <w:rFonts w:hint="eastAsia" w:ascii="宋体" w:hAnsi="宋体"/>
          <w:snapToGrid w:val="0"/>
          <w:kern w:val="0"/>
          <w:szCs w:val="24"/>
          <w:u w:val="single"/>
        </w:rPr>
        <w:t xml:space="preserve">         </w:t>
      </w:r>
      <w:r>
        <w:rPr>
          <w:rFonts w:hint="eastAsia" w:ascii="宋体" w:hAnsi="宋体"/>
          <w:snapToGrid w:val="0"/>
          <w:kern w:val="0"/>
          <w:szCs w:val="24"/>
        </w:rPr>
        <w:t>（投标人名称、地址）提交下述投标文件，并对之负法律责任。</w:t>
      </w:r>
    </w:p>
    <w:p>
      <w:pPr>
        <w:pStyle w:val="13"/>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hint="eastAsia" w:ascii="宋体" w:hAnsi="宋体"/>
          <w:snapToGrid w:val="0"/>
          <w:kern w:val="0"/>
          <w:szCs w:val="24"/>
          <w:u w:val="single"/>
        </w:rPr>
        <w:t xml:space="preserve">          </w:t>
      </w:r>
      <w:r>
        <w:rPr>
          <w:rFonts w:hint="eastAsia" w:ascii="宋体" w:hAnsi="宋体"/>
          <w:snapToGrid w:val="0"/>
          <w:kern w:val="0"/>
          <w:szCs w:val="24"/>
        </w:rPr>
        <w:t>（项目名称、标段、项目编号）招标文件的全部内容。</w:t>
      </w:r>
    </w:p>
    <w:p>
      <w:pPr>
        <w:pStyle w:val="13"/>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u w:val="single"/>
        </w:rPr>
        <w:t xml:space="preserve">      (投标人名称)</w:t>
      </w:r>
      <w:r>
        <w:rPr>
          <w:rFonts w:hint="eastAsia" w:ascii="宋体" w:hAnsi="宋体" w:eastAsia="宋体"/>
          <w:snapToGrid w:val="0"/>
          <w:kern w:val="0"/>
          <w:sz w:val="24"/>
          <w:szCs w:val="24"/>
        </w:rPr>
        <w:t>作为投标人正式授权</w:t>
      </w:r>
      <w:r>
        <w:rPr>
          <w:rFonts w:hint="eastAsia" w:ascii="宋体" w:hAnsi="宋体" w:eastAsia="宋体"/>
          <w:snapToGrid w:val="0"/>
          <w:kern w:val="0"/>
          <w:sz w:val="24"/>
          <w:szCs w:val="24"/>
          <w:u w:val="single"/>
        </w:rPr>
        <w:t xml:space="preserve">     (授权代表全名, 职务)</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在此提交的投标文件，正本一份，副本一份。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w:t>
      </w:r>
      <w:r>
        <w:rPr>
          <w:rFonts w:hint="eastAsia" w:ascii="宋体" w:hAnsi="宋体" w:eastAsia="宋体" w:cs="Courier New"/>
          <w:sz w:val="24"/>
          <w:szCs w:val="24"/>
          <w:u w:val="single"/>
        </w:rPr>
        <w:t xml:space="preserve">      </w:t>
      </w:r>
      <w:r>
        <w:rPr>
          <w:rFonts w:hint="eastAsia" w:ascii="宋体" w:hAnsi="宋体" w:eastAsia="宋体" w:cs="Courier New"/>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3"/>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3"/>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3"/>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               邮政编码：</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               传    真：</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         职    务：</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p>
    <w:p>
      <w:pPr>
        <w:adjustRightInd w:val="0"/>
        <w:snapToGrid w:val="0"/>
        <w:spacing w:line="360" w:lineRule="auto"/>
        <w:ind w:firstLine="4920" w:firstLineChars="2050"/>
        <w:rPr>
          <w:rFonts w:ascii="宋体" w:hAnsi="宋体" w:eastAsia="宋体"/>
          <w:b/>
          <w:bCs/>
          <w:sz w:val="36"/>
          <w:szCs w:val="36"/>
        </w:rPr>
      </w:pPr>
      <w:r>
        <w:rPr>
          <w:rFonts w:hint="eastAsia" w:ascii="宋体" w:hAnsi="宋体" w:eastAsia="宋体" w:cs="宋体"/>
          <w:sz w:val="24"/>
          <w:szCs w:val="24"/>
        </w:rPr>
        <w:t>日期：年  月  日</w:t>
      </w: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3.2 法定代表人</w:t>
      </w:r>
      <w:r>
        <w:rPr>
          <w:rFonts w:ascii="宋体" w:hAnsi="宋体" w:eastAsia="宋体"/>
          <w:b/>
          <w:snapToGrid w:val="0"/>
          <w:kern w:val="0"/>
          <w:sz w:val="32"/>
          <w:szCs w:val="32"/>
        </w:rPr>
        <w:t>资</w:t>
      </w:r>
      <w:r>
        <w:rPr>
          <w:rFonts w:hint="eastAsia" w:ascii="宋体" w:hAnsi="宋体" w:eastAsia="宋体"/>
          <w:b/>
          <w:snapToGrid w:val="0"/>
          <w:kern w:val="0"/>
          <w:sz w:val="32"/>
          <w:szCs w:val="32"/>
        </w:rPr>
        <w:t>格</w:t>
      </w:r>
      <w:r>
        <w:rPr>
          <w:rFonts w:ascii="宋体" w:hAnsi="宋体" w:eastAsia="宋体"/>
          <w:b/>
          <w:snapToGrid w:val="0"/>
          <w:kern w:val="0"/>
          <w:sz w:val="32"/>
          <w:szCs w:val="32"/>
        </w:rPr>
        <w:t>证</w:t>
      </w:r>
      <w:r>
        <w:rPr>
          <w:rFonts w:hint="eastAsia" w:ascii="宋体" w:hAnsi="宋体" w:eastAsia="宋体"/>
          <w:b/>
          <w:snapToGrid w:val="0"/>
          <w:kern w:val="0"/>
          <w:sz w:val="32"/>
          <w:szCs w:val="32"/>
        </w:rPr>
        <w:t>明</w:t>
      </w:r>
      <w:r>
        <w:rPr>
          <w:rFonts w:ascii="宋体" w:hAnsi="宋体" w:eastAsia="宋体"/>
          <w:b/>
          <w:snapToGrid w:val="0"/>
          <w:kern w:val="0"/>
          <w:sz w:val="32"/>
          <w:szCs w:val="32"/>
        </w:rPr>
        <w:t>书</w:t>
      </w:r>
    </w:p>
    <w:p>
      <w:pPr>
        <w:autoSpaceDE w:val="0"/>
        <w:autoSpaceDN w:val="0"/>
        <w:adjustRightInd w:val="0"/>
        <w:spacing w:line="480" w:lineRule="auto"/>
        <w:ind w:firstLine="616" w:firstLineChars="257"/>
        <w:rPr>
          <w:rFonts w:ascii="宋体" w:hAnsi="宋体" w:eastAsia="宋体"/>
          <w:sz w:val="24"/>
          <w:szCs w:val="24"/>
        </w:rPr>
      </w:pPr>
    </w:p>
    <w:p>
      <w:pPr>
        <w:pStyle w:val="42"/>
        <w:spacing w:line="480" w:lineRule="auto"/>
        <w:ind w:firstLine="540" w:firstLineChars="225"/>
        <w:jc w:val="left"/>
        <w:rPr>
          <w:rFonts w:hAnsi="宋体" w:eastAsia="宋体"/>
          <w:szCs w:val="24"/>
        </w:rPr>
      </w:pPr>
      <w:r>
        <w:rPr>
          <w:rFonts w:hAnsi="宋体" w:eastAsia="宋体"/>
          <w:szCs w:val="24"/>
        </w:rPr>
        <w:t>单</w:t>
      </w:r>
      <w:r>
        <w:rPr>
          <w:rFonts w:hint="eastAsia" w:hAnsi="宋体" w:eastAsia="宋体"/>
          <w:szCs w:val="24"/>
        </w:rPr>
        <w:t>位名</w:t>
      </w:r>
      <w:r>
        <w:rPr>
          <w:rFonts w:hAnsi="宋体" w:eastAsia="宋体"/>
          <w:szCs w:val="24"/>
        </w:rPr>
        <w:t>称</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地址：</w:t>
      </w:r>
    </w:p>
    <w:p>
      <w:pPr>
        <w:pStyle w:val="42"/>
        <w:spacing w:line="480" w:lineRule="auto"/>
        <w:ind w:firstLine="540" w:firstLineChars="225"/>
        <w:jc w:val="left"/>
        <w:rPr>
          <w:rFonts w:hAnsi="宋体" w:eastAsia="宋体"/>
          <w:szCs w:val="24"/>
        </w:rPr>
      </w:pPr>
      <w:r>
        <w:rPr>
          <w:rFonts w:hint="eastAsia" w:hAnsi="宋体" w:eastAsia="宋体"/>
          <w:szCs w:val="24"/>
        </w:rPr>
        <w:t>姓名： 性</w:t>
      </w:r>
      <w:r>
        <w:rPr>
          <w:rFonts w:hAnsi="宋体" w:eastAsia="宋体"/>
          <w:szCs w:val="24"/>
        </w:rPr>
        <w:t>别</w:t>
      </w:r>
      <w:r>
        <w:rPr>
          <w:rFonts w:hint="eastAsia" w:hAnsi="宋体" w:eastAsia="宋体"/>
          <w:szCs w:val="24"/>
        </w:rPr>
        <w:t>： 年</w:t>
      </w:r>
      <w:r>
        <w:rPr>
          <w:rFonts w:hAnsi="宋体" w:eastAsia="宋体"/>
          <w:szCs w:val="24"/>
        </w:rPr>
        <w:t>龄</w:t>
      </w:r>
      <w:r>
        <w:rPr>
          <w:rFonts w:hint="eastAsia" w:hAnsi="宋体" w:eastAsia="宋体"/>
          <w:szCs w:val="24"/>
        </w:rPr>
        <w:t>：</w:t>
      </w:r>
      <w:r>
        <w:rPr>
          <w:rFonts w:hAnsi="宋体" w:eastAsia="宋体"/>
          <w:szCs w:val="24"/>
        </w:rPr>
        <w:t xml:space="preserve"> 职务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szCs w:val="24"/>
        </w:rPr>
        <w:t>的法定代表人。就</w:t>
      </w:r>
      <w:r>
        <w:rPr>
          <w:rFonts w:hAnsi="宋体" w:eastAsia="宋体"/>
          <w:szCs w:val="24"/>
        </w:rPr>
        <w:t>参</w:t>
      </w:r>
      <w:r>
        <w:rPr>
          <w:rFonts w:hint="eastAsia" w:hAnsi="宋体" w:eastAsia="宋体"/>
          <w:szCs w:val="24"/>
        </w:rPr>
        <w:t>加贵方项目</w:t>
      </w:r>
      <w:r>
        <w:rPr>
          <w:rFonts w:hAnsi="宋体" w:eastAsia="宋体"/>
          <w:szCs w:val="24"/>
        </w:rPr>
        <w:t>编号为</w:t>
      </w:r>
      <w:r>
        <w:rPr>
          <w:rFonts w:hint="eastAsia" w:hAnsi="宋体" w:eastAsia="宋体"/>
          <w:i/>
          <w:szCs w:val="24"/>
          <w:u w:val="single"/>
        </w:rPr>
        <w:t>（项目</w:t>
      </w:r>
      <w:r>
        <w:rPr>
          <w:rFonts w:hAnsi="宋体" w:eastAsia="宋体"/>
          <w:i/>
          <w:szCs w:val="24"/>
          <w:u w:val="single"/>
        </w:rPr>
        <w:t>编号</w:t>
      </w:r>
      <w:r>
        <w:rPr>
          <w:rFonts w:hint="eastAsia" w:hAnsi="宋体" w:eastAsia="宋体"/>
          <w:i/>
          <w:szCs w:val="24"/>
          <w:u w:val="single"/>
        </w:rPr>
        <w:t>）</w:t>
      </w:r>
      <w:r>
        <w:rPr>
          <w:rFonts w:hint="eastAsia" w:hAnsi="宋体" w:eastAsia="宋体"/>
          <w:szCs w:val="24"/>
        </w:rPr>
        <w:t>的</w:t>
      </w:r>
      <w:r>
        <w:rPr>
          <w:rFonts w:hint="eastAsia" w:hAnsi="宋体" w:eastAsia="宋体"/>
          <w:szCs w:val="24"/>
          <w:u w:val="single"/>
        </w:rPr>
        <w:t xml:space="preserve">    （</w:t>
      </w:r>
      <w:r>
        <w:rPr>
          <w:rFonts w:hint="eastAsia" w:hAnsi="宋体" w:eastAsia="宋体"/>
          <w:i/>
          <w:szCs w:val="24"/>
          <w:u w:val="single"/>
        </w:rPr>
        <w:t>项目名称、标段</w:t>
      </w:r>
      <w:r>
        <w:rPr>
          <w:rFonts w:hint="eastAsia" w:hAnsi="宋体" w:eastAsia="宋体"/>
          <w:szCs w:val="24"/>
          <w:u w:val="single"/>
        </w:rPr>
        <w:t xml:space="preserve">）  </w:t>
      </w:r>
      <w:r>
        <w:rPr>
          <w:rFonts w:hint="eastAsia" w:hAnsi="宋体" w:eastAsia="宋体"/>
          <w:szCs w:val="24"/>
        </w:rPr>
        <w:t>公</w:t>
      </w:r>
      <w:r>
        <w:rPr>
          <w:rFonts w:hAnsi="宋体" w:eastAsia="宋体"/>
          <w:szCs w:val="24"/>
        </w:rPr>
        <w:t>开</w:t>
      </w:r>
      <w:r>
        <w:rPr>
          <w:rFonts w:hint="eastAsia" w:hAnsi="宋体" w:eastAsia="宋体"/>
          <w:szCs w:val="24"/>
        </w:rPr>
        <w:t>招</w:t>
      </w:r>
      <w:r>
        <w:rPr>
          <w:rFonts w:hAnsi="宋体" w:eastAsia="宋体"/>
          <w:szCs w:val="24"/>
        </w:rPr>
        <w:t>标项目</w:t>
      </w:r>
      <w:r>
        <w:rPr>
          <w:rFonts w:hint="eastAsia" w:hAnsi="宋体" w:eastAsia="宋体"/>
          <w:szCs w:val="24"/>
        </w:rPr>
        <w:t>的投</w:t>
      </w:r>
      <w:r>
        <w:rPr>
          <w:rFonts w:hAnsi="宋体" w:eastAsia="宋体"/>
          <w:szCs w:val="24"/>
        </w:rPr>
        <w:t>标报价</w:t>
      </w:r>
      <w:r>
        <w:rPr>
          <w:rFonts w:hint="eastAsia" w:hAnsi="宋体" w:eastAsia="宋体"/>
          <w:szCs w:val="24"/>
        </w:rPr>
        <w:t>，</w:t>
      </w:r>
      <w:r>
        <w:rPr>
          <w:rFonts w:hAnsi="宋体" w:eastAsia="宋体"/>
          <w:szCs w:val="24"/>
        </w:rPr>
        <w:t>签</w:t>
      </w:r>
      <w:r>
        <w:rPr>
          <w:rFonts w:hint="eastAsia" w:hAnsi="宋体" w:eastAsia="宋体"/>
          <w:szCs w:val="24"/>
        </w:rPr>
        <w:t>署上</w:t>
      </w:r>
      <w:r>
        <w:rPr>
          <w:rFonts w:hAnsi="宋体" w:eastAsia="宋体"/>
          <w:szCs w:val="24"/>
        </w:rPr>
        <w:t>述项目</w:t>
      </w:r>
      <w:r>
        <w:rPr>
          <w:rFonts w:hint="eastAsia" w:hAnsi="宋体" w:eastAsia="宋体"/>
          <w:szCs w:val="24"/>
        </w:rPr>
        <w:t>的投</w:t>
      </w:r>
      <w:r>
        <w:rPr>
          <w:rFonts w:hAnsi="宋体" w:eastAsia="宋体"/>
          <w:szCs w:val="24"/>
        </w:rPr>
        <w:t>标</w:t>
      </w:r>
      <w:r>
        <w:rPr>
          <w:rFonts w:hint="eastAsia" w:hAnsi="宋体" w:eastAsia="宋体"/>
          <w:szCs w:val="24"/>
        </w:rPr>
        <w:t>文件及合同的</w:t>
      </w:r>
      <w:r>
        <w:rPr>
          <w:rFonts w:hAnsi="宋体" w:eastAsia="宋体"/>
          <w:szCs w:val="24"/>
        </w:rPr>
        <w:t>执</w:t>
      </w:r>
      <w:r>
        <w:rPr>
          <w:rFonts w:hint="eastAsia" w:hAnsi="宋体" w:eastAsia="宋体"/>
          <w:szCs w:val="24"/>
        </w:rPr>
        <w:t>行、完成、服</w:t>
      </w:r>
      <w:r>
        <w:rPr>
          <w:rFonts w:hAnsi="宋体" w:eastAsia="宋体"/>
          <w:szCs w:val="24"/>
        </w:rPr>
        <w:t>务</w:t>
      </w:r>
      <w:r>
        <w:rPr>
          <w:rFonts w:hint="eastAsia" w:hAnsi="宋体" w:eastAsia="宋体"/>
          <w:szCs w:val="24"/>
        </w:rPr>
        <w:t>和保修，</w:t>
      </w:r>
      <w:r>
        <w:rPr>
          <w:rFonts w:hAnsi="宋体" w:eastAsia="宋体"/>
          <w:szCs w:val="24"/>
        </w:rPr>
        <w:t>签</w:t>
      </w:r>
      <w:r>
        <w:rPr>
          <w:rFonts w:hint="eastAsia" w:hAnsi="宋体" w:eastAsia="宋体"/>
          <w:szCs w:val="24"/>
        </w:rPr>
        <w:t>署合同和</w:t>
      </w:r>
      <w:r>
        <w:rPr>
          <w:rFonts w:hAnsi="宋体" w:eastAsia="宋体"/>
          <w:szCs w:val="24"/>
        </w:rPr>
        <w:t>处</w:t>
      </w:r>
      <w:r>
        <w:rPr>
          <w:rFonts w:hint="eastAsia" w:hAnsi="宋体" w:eastAsia="宋体"/>
          <w:szCs w:val="24"/>
        </w:rPr>
        <w:t>理与之有</w:t>
      </w:r>
      <w:r>
        <w:rPr>
          <w:rFonts w:hAnsi="宋体" w:eastAsia="宋体"/>
          <w:szCs w:val="24"/>
        </w:rPr>
        <w:t>关的</w:t>
      </w:r>
      <w:r>
        <w:rPr>
          <w:rFonts w:hint="eastAsia" w:hAnsi="宋体" w:eastAsia="宋体"/>
          <w:szCs w:val="24"/>
        </w:rPr>
        <w:t>一切事</w:t>
      </w:r>
      <w:r>
        <w:rPr>
          <w:rFonts w:hAnsi="宋体" w:eastAsia="宋体"/>
          <w:szCs w:val="24"/>
        </w:rPr>
        <w:t>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特此</w:t>
      </w:r>
      <w:r>
        <w:rPr>
          <w:rFonts w:hAnsi="宋体" w:eastAsia="宋体"/>
          <w:szCs w:val="24"/>
        </w:rPr>
        <w:t>证</w:t>
      </w:r>
      <w:r>
        <w:rPr>
          <w:rFonts w:hint="eastAsia" w:hAnsi="宋体" w:eastAsia="宋体"/>
          <w:szCs w:val="24"/>
        </w:rPr>
        <w:t>明。</w:t>
      </w:r>
    </w:p>
    <w:p>
      <w:pPr>
        <w:pStyle w:val="42"/>
        <w:spacing w:line="480" w:lineRule="auto"/>
        <w:ind w:firstLine="540" w:firstLineChars="225"/>
        <w:jc w:val="left"/>
        <w:rPr>
          <w:rFonts w:hAnsi="宋体" w:eastAsia="宋体"/>
          <w:szCs w:val="24"/>
        </w:rPr>
      </w:pPr>
    </w:p>
    <w:p>
      <w:pPr>
        <w:pStyle w:val="42"/>
        <w:spacing w:line="480" w:lineRule="auto"/>
        <w:ind w:firstLine="540" w:firstLineChars="225"/>
        <w:jc w:val="left"/>
        <w:rPr>
          <w:rFonts w:hAnsi="宋体" w:eastAsia="宋体"/>
          <w:szCs w:val="24"/>
        </w:rPr>
      </w:pPr>
    </w:p>
    <w:p>
      <w:pPr>
        <w:pStyle w:val="42"/>
        <w:spacing w:line="480" w:lineRule="auto"/>
        <w:ind w:left="-538" w:leftChars="-256" w:firstLine="616" w:firstLineChars="257"/>
        <w:jc w:val="left"/>
        <w:rPr>
          <w:rFonts w:hAnsi="宋体" w:eastAsia="宋体"/>
          <w:bCs/>
          <w:szCs w:val="24"/>
        </w:rPr>
      </w:pPr>
      <w:r>
        <w:rPr>
          <w:rFonts w:hint="eastAsia" w:hAnsi="宋体" w:eastAsia="宋体"/>
          <w:bCs/>
          <w:szCs w:val="24"/>
        </w:rPr>
        <w:t>【此</w:t>
      </w:r>
      <w:r>
        <w:rPr>
          <w:rFonts w:hAnsi="宋体" w:eastAsia="宋体"/>
          <w:bCs/>
          <w:szCs w:val="24"/>
        </w:rPr>
        <w:t>处请</w:t>
      </w:r>
      <w:r>
        <w:rPr>
          <w:rFonts w:hint="eastAsia" w:hAnsi="宋体" w:eastAsia="宋体"/>
          <w:bCs/>
          <w:szCs w:val="24"/>
        </w:rPr>
        <w:t>粘</w:t>
      </w:r>
      <w:r>
        <w:rPr>
          <w:rFonts w:hAnsi="宋体" w:eastAsia="宋体"/>
          <w:bCs/>
          <w:szCs w:val="24"/>
        </w:rPr>
        <w:t>贴</w:t>
      </w:r>
      <w:r>
        <w:rPr>
          <w:rFonts w:hint="eastAsia" w:hAnsi="宋体" w:eastAsia="宋体"/>
          <w:bCs/>
          <w:szCs w:val="24"/>
        </w:rPr>
        <w:t>法定代表人身份</w:t>
      </w:r>
      <w:r>
        <w:rPr>
          <w:rFonts w:hAnsi="宋体" w:eastAsia="宋体"/>
          <w:bCs/>
          <w:szCs w:val="24"/>
        </w:rPr>
        <w:t>证</w:t>
      </w:r>
      <w:r>
        <w:rPr>
          <w:rFonts w:hint="eastAsia" w:hAnsi="宋体" w:eastAsia="宋体"/>
          <w:bCs/>
          <w:szCs w:val="24"/>
        </w:rPr>
        <w:t>原件的扫描件或图片加盖公章，需清晰反映身份证有效期限】</w:t>
      </w:r>
    </w:p>
    <w:p>
      <w:pPr>
        <w:pStyle w:val="42"/>
        <w:spacing w:line="480" w:lineRule="auto"/>
        <w:ind w:left="-538" w:leftChars="-256" w:firstLine="616" w:firstLineChars="257"/>
        <w:jc w:val="center"/>
        <w:rPr>
          <w:rFonts w:hAnsi="宋体" w:eastAsia="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Arial"/>
          <w:sz w:val="24"/>
          <w:szCs w:val="24"/>
          <w:u w:val="single"/>
        </w:rPr>
      </w:pPr>
      <w:r>
        <w:rPr>
          <w:rFonts w:hint="eastAsia" w:ascii="宋体" w:hAnsi="宋体" w:eastAsia="宋体" w:cs="Arial"/>
          <w:sz w:val="24"/>
          <w:szCs w:val="24"/>
        </w:rPr>
        <w:t>投标人名称（并加盖公章）：</w:t>
      </w:r>
    </w:p>
    <w:p>
      <w:pPr>
        <w:pStyle w:val="4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44"/>
        <w:spacing w:line="480" w:lineRule="auto"/>
        <w:rPr>
          <w:rFonts w:ascii="宋体" w:hAnsi="宋体" w:eastAsia="宋体" w:cs="Arial"/>
          <w:szCs w:val="24"/>
        </w:rPr>
      </w:pPr>
    </w:p>
    <w:p>
      <w:pPr>
        <w:rPr>
          <w:rFonts w:ascii="宋体" w:hAnsi="宋体" w:eastAsia="宋体"/>
        </w:rPr>
      </w:pPr>
    </w:p>
    <w:p>
      <w:pPr>
        <w:spacing w:line="320" w:lineRule="exact"/>
        <w:rPr>
          <w:rFonts w:ascii="宋体" w:hAnsi="宋体" w:eastAsia="宋体"/>
          <w:bCs/>
          <w:kern w:val="12"/>
          <w:sz w:val="24"/>
          <w:szCs w:val="24"/>
        </w:rPr>
      </w:pPr>
      <w:r>
        <w:rPr>
          <w:rFonts w:hint="eastAsia" w:ascii="宋体" w:hAnsi="宋体" w:eastAsia="宋体"/>
          <w:bCs/>
          <w:kern w:val="12"/>
          <w:sz w:val="24"/>
          <w:szCs w:val="24"/>
        </w:rPr>
        <w:t>说明：法定代表人</w:t>
      </w:r>
      <w:r>
        <w:rPr>
          <w:rFonts w:ascii="宋体" w:hAnsi="宋体" w:eastAsia="宋体"/>
          <w:bCs/>
          <w:kern w:val="12"/>
          <w:sz w:val="24"/>
          <w:szCs w:val="24"/>
        </w:rPr>
        <w:t>参</w:t>
      </w:r>
      <w:r>
        <w:rPr>
          <w:rFonts w:hint="eastAsia" w:ascii="宋体" w:hAnsi="宋体" w:eastAsia="宋体"/>
          <w:bCs/>
          <w:kern w:val="12"/>
          <w:sz w:val="24"/>
          <w:szCs w:val="24"/>
        </w:rPr>
        <w:t>加本招</w:t>
      </w:r>
      <w:r>
        <w:rPr>
          <w:rFonts w:ascii="宋体" w:hAnsi="宋体" w:eastAsia="宋体"/>
          <w:bCs/>
          <w:kern w:val="12"/>
          <w:sz w:val="24"/>
          <w:szCs w:val="24"/>
        </w:rPr>
        <w:t>标项目</w:t>
      </w:r>
      <w:r>
        <w:rPr>
          <w:rFonts w:hint="eastAsia" w:ascii="宋体" w:hAnsi="宋体" w:eastAsia="宋体"/>
          <w:bCs/>
          <w:kern w:val="12"/>
          <w:sz w:val="24"/>
          <w:szCs w:val="24"/>
        </w:rPr>
        <w:t>投</w:t>
      </w:r>
      <w:r>
        <w:rPr>
          <w:rFonts w:ascii="宋体" w:hAnsi="宋体" w:eastAsia="宋体"/>
          <w:bCs/>
          <w:kern w:val="12"/>
          <w:sz w:val="24"/>
          <w:szCs w:val="24"/>
        </w:rPr>
        <w:t>标</w:t>
      </w:r>
      <w:r>
        <w:rPr>
          <w:rFonts w:hint="eastAsia" w:ascii="宋体" w:hAnsi="宋体" w:eastAsia="宋体"/>
          <w:bCs/>
          <w:kern w:val="12"/>
          <w:sz w:val="24"/>
          <w:szCs w:val="24"/>
        </w:rPr>
        <w:t>的，</w:t>
      </w:r>
      <w:r>
        <w:rPr>
          <w:rFonts w:ascii="宋体" w:hAnsi="宋体" w:eastAsia="宋体"/>
          <w:bCs/>
          <w:kern w:val="12"/>
          <w:sz w:val="24"/>
          <w:szCs w:val="24"/>
        </w:rPr>
        <w:t>仅须</w:t>
      </w:r>
      <w:r>
        <w:rPr>
          <w:rFonts w:hint="eastAsia" w:ascii="宋体" w:hAnsi="宋体" w:eastAsia="宋体"/>
          <w:bCs/>
          <w:kern w:val="12"/>
          <w:sz w:val="24"/>
          <w:szCs w:val="24"/>
        </w:rPr>
        <w:t>出具此</w:t>
      </w:r>
      <w:r>
        <w:rPr>
          <w:rFonts w:ascii="宋体" w:hAnsi="宋体" w:eastAsia="宋体"/>
          <w:bCs/>
          <w:kern w:val="12"/>
          <w:sz w:val="24"/>
          <w:szCs w:val="24"/>
        </w:rPr>
        <w:t>证</w:t>
      </w:r>
      <w:r>
        <w:rPr>
          <w:rFonts w:hint="eastAsia" w:ascii="宋体" w:hAnsi="宋体" w:eastAsia="宋体"/>
          <w:bCs/>
          <w:kern w:val="12"/>
          <w:sz w:val="24"/>
          <w:szCs w:val="24"/>
        </w:rPr>
        <w:t>明</w:t>
      </w:r>
      <w:r>
        <w:rPr>
          <w:rFonts w:ascii="宋体" w:hAnsi="宋体" w:eastAsia="宋体"/>
          <w:bCs/>
          <w:kern w:val="12"/>
          <w:sz w:val="24"/>
          <w:szCs w:val="24"/>
        </w:rPr>
        <w:t>书</w:t>
      </w:r>
      <w:r>
        <w:rPr>
          <w:rFonts w:hint="eastAsia" w:ascii="宋体" w:hAnsi="宋体" w:eastAsia="宋体"/>
          <w:bCs/>
          <w:kern w:val="12"/>
          <w:sz w:val="24"/>
          <w:szCs w:val="24"/>
        </w:rPr>
        <w:t>。</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3.3 法定代表人授权书</w:t>
      </w:r>
    </w:p>
    <w:p>
      <w:pPr>
        <w:jc w:val="center"/>
        <w:rPr>
          <w:rFonts w:ascii="宋体" w:hAnsi="宋体" w:eastAsia="宋体"/>
          <w:b/>
          <w:snapToGrid w:val="0"/>
          <w:kern w:val="0"/>
          <w:sz w:val="32"/>
          <w:szCs w:val="32"/>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snapToGrid w:val="0"/>
          <w:sz w:val="24"/>
          <w:szCs w:val="24"/>
          <w:u w:val="single"/>
        </w:rPr>
        <w:t>投标人名称</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姓名，职务</w:t>
      </w:r>
      <w:r>
        <w:rPr>
          <w:rFonts w:hint="eastAsia" w:ascii="宋体" w:hAnsi="宋体" w:eastAsia="宋体" w:cs="Arial"/>
          <w:sz w:val="24"/>
          <w:szCs w:val="24"/>
        </w:rPr>
        <w:t>以我方的名义参加贵方__</w:t>
      </w:r>
      <w:r>
        <w:rPr>
          <w:rFonts w:hint="eastAsia" w:ascii="宋体" w:hAnsi="宋体" w:eastAsia="宋体" w:cs="Arial"/>
          <w:i/>
          <w:sz w:val="24"/>
          <w:szCs w:val="24"/>
          <w:u w:val="single"/>
        </w:rPr>
        <w:t>项目名称</w:t>
      </w:r>
      <w:r>
        <w:rPr>
          <w:rFonts w:hint="eastAsia" w:ascii="宋体" w:hAnsi="宋体" w:eastAsia="宋体" w:cs="Arial"/>
          <w:sz w:val="24"/>
          <w:szCs w:val="24"/>
        </w:rPr>
        <w:t>___项目</w:t>
      </w:r>
      <w:r>
        <w:rPr>
          <w:rFonts w:hint="eastAsia" w:ascii="宋体" w:hAnsi="宋体" w:eastAsia="宋体" w:cs="Arial"/>
          <w:i/>
          <w:sz w:val="24"/>
          <w:szCs w:val="24"/>
          <w:u w:val="single"/>
        </w:rPr>
        <w:t>标段</w:t>
      </w:r>
      <w:r>
        <w:rPr>
          <w:rFonts w:hint="eastAsia" w:ascii="宋体" w:hAnsi="宋体" w:eastAsia="宋体" w:cs="Arial"/>
          <w:sz w:val="24"/>
          <w:szCs w:val="24"/>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adjustRightInd w:val="0"/>
        <w:spacing w:line="360" w:lineRule="auto"/>
        <w:ind w:firstLine="441" w:firstLineChars="21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contextualSpacing/>
        <w:jc w:val="left"/>
        <w:rPr>
          <w:rFonts w:ascii="宋体" w:hAnsi="宋体" w:eastAsia="宋体" w:cs="Arial"/>
          <w:sz w:val="24"/>
          <w:szCs w:val="24"/>
        </w:rPr>
      </w:pPr>
      <w:r>
        <w:rPr>
          <w:rFonts w:hint="eastAsia" w:ascii="宋体" w:hAnsi="宋体" w:eastAsia="宋体"/>
          <w:bCs/>
          <w:szCs w:val="24"/>
        </w:rPr>
        <w:t>【此</w:t>
      </w:r>
      <w:r>
        <w:rPr>
          <w:rFonts w:ascii="宋体" w:hAnsi="宋体" w:eastAsia="宋体"/>
          <w:bCs/>
          <w:szCs w:val="24"/>
        </w:rPr>
        <w:t>处请</w:t>
      </w:r>
      <w:r>
        <w:rPr>
          <w:rFonts w:hint="eastAsia" w:ascii="宋体" w:hAnsi="宋体" w:eastAsia="宋体"/>
          <w:bCs/>
          <w:szCs w:val="24"/>
        </w:rPr>
        <w:t>粘</w:t>
      </w:r>
      <w:r>
        <w:rPr>
          <w:rFonts w:ascii="宋体" w:hAnsi="宋体" w:eastAsia="宋体"/>
          <w:bCs/>
          <w:szCs w:val="24"/>
        </w:rPr>
        <w:t>贴</w:t>
      </w:r>
      <w:r>
        <w:rPr>
          <w:rFonts w:hint="eastAsia" w:ascii="宋体" w:hAnsi="宋体" w:eastAsia="宋体"/>
          <w:bCs/>
          <w:szCs w:val="24"/>
        </w:rPr>
        <w:t>法定代表人授权代表的身份</w:t>
      </w:r>
      <w:r>
        <w:rPr>
          <w:rFonts w:ascii="宋体" w:hAnsi="宋体" w:eastAsia="宋体"/>
          <w:bCs/>
          <w:szCs w:val="24"/>
        </w:rPr>
        <w:t>证</w:t>
      </w:r>
      <w:r>
        <w:rPr>
          <w:rFonts w:hint="eastAsia" w:hAnsi="宋体" w:eastAsia="宋体"/>
          <w:bCs/>
          <w:szCs w:val="24"/>
        </w:rPr>
        <w:t>原件的扫描件或图片</w:t>
      </w:r>
      <w:r>
        <w:rPr>
          <w:rFonts w:hint="eastAsia" w:ascii="宋体" w:hAnsi="宋体" w:eastAsia="宋体"/>
          <w:bCs/>
          <w:szCs w:val="24"/>
        </w:rPr>
        <w:t>加盖公章，需清晰反映身份证有效期限】</w:t>
      </w: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法定代表人授权代表：        （签字或加盖名章）</w:t>
      </w:r>
    </w:p>
    <w:p>
      <w:pPr>
        <w:spacing w:line="480" w:lineRule="auto"/>
        <w:ind w:firstLine="3259" w:firstLineChars="1358"/>
        <w:rPr>
          <w:rFonts w:ascii="宋体" w:hAnsi="宋体" w:eastAsia="宋体"/>
          <w:sz w:val="24"/>
          <w:szCs w:val="24"/>
        </w:rPr>
      </w:pPr>
      <w:r>
        <w:rPr>
          <w:rFonts w:hint="eastAsia" w:ascii="宋体" w:hAnsi="宋体" w:eastAsia="宋体"/>
          <w:sz w:val="24"/>
          <w:szCs w:val="24"/>
        </w:rPr>
        <w:t>年  月  日</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3.4 没有重大违法记录的声明</w:t>
      </w:r>
    </w:p>
    <w:p>
      <w:pPr>
        <w:spacing w:beforeLines="50" w:afterLines="50"/>
        <w:jc w:val="center"/>
        <w:rPr>
          <w:rFonts w:ascii="宋体" w:hAnsi="宋体" w:eastAsia="宋体" w:cs="Arial"/>
          <w:kern w:val="0"/>
          <w:sz w:val="36"/>
          <w:szCs w:val="36"/>
        </w:rPr>
      </w:pPr>
    </w:p>
    <w:p>
      <w:pPr>
        <w:spacing w:beforeLines="50" w:afterLines="50"/>
        <w:jc w:val="center"/>
        <w:rPr>
          <w:rFonts w:ascii="宋体" w:hAnsi="宋体" w:eastAsia="宋体" w:cs="Arial"/>
          <w:b/>
          <w:kern w:val="0"/>
          <w:sz w:val="36"/>
          <w:szCs w:val="36"/>
        </w:rPr>
      </w:pPr>
      <w:r>
        <w:rPr>
          <w:rFonts w:hint="eastAsia" w:ascii="宋体" w:hAnsi="宋体" w:eastAsia="宋体" w:cs="Arial"/>
          <w:b/>
          <w:kern w:val="0"/>
          <w:sz w:val="36"/>
          <w:szCs w:val="36"/>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4108" w:firstLineChars="1712"/>
        <w:rPr>
          <w:rFonts w:ascii="宋体" w:hAnsi="宋体" w:eastAsia="宋体" w:cs="宋体"/>
          <w:sz w:val="24"/>
          <w:szCs w:val="24"/>
          <w:u w:val="single"/>
          <w:lang w:val="zh-CN"/>
        </w:rPr>
      </w:pPr>
      <w:r>
        <w:rPr>
          <w:rFonts w:hint="eastAsia" w:ascii="宋体" w:hAnsi="宋体" w:eastAsia="宋体" w:cs="宋体"/>
          <w:sz w:val="24"/>
          <w:szCs w:val="24"/>
          <w:lang w:val="zh-CN"/>
        </w:rPr>
        <w:t>单位名称（盖章）：</w:t>
      </w:r>
    </w:p>
    <w:p>
      <w:pPr>
        <w:spacing w:beforeLines="50" w:afterLines="50" w:line="360" w:lineRule="auto"/>
        <w:ind w:right="420" w:firstLine="4108" w:firstLineChars="1712"/>
        <w:rPr>
          <w:rFonts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3.5 投标承诺函</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hint="eastAsia" w:ascii="宋体" w:hAnsi="宋体" w:eastAsia="宋体" w:cs="宋体"/>
          <w:bCs/>
          <w:sz w:val="24"/>
          <w:szCs w:val="24"/>
        </w:rPr>
        <w:t>许昌市东城区综合执法局</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（项目编号、项目名称、标段）的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w:t>
      </w:r>
      <w:r>
        <w:rPr>
          <w:rFonts w:cs="Arial" w:asciiTheme="minorEastAsia" w:hAnsiTheme="minorEastAsia"/>
          <w:sz w:val="24"/>
          <w:szCs w:val="24"/>
        </w:rPr>
        <w:t xml:space="preserve">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widowControl/>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3.6其他资格证书或材料</w:t>
      </w:r>
    </w:p>
    <w:p>
      <w:pPr>
        <w:rPr>
          <w:rFonts w:ascii="宋体" w:hAnsi="宋体" w:eastAsia="宋体"/>
          <w:b/>
          <w:snapToGrid w:val="0"/>
          <w:kern w:val="0"/>
          <w:sz w:val="36"/>
          <w:szCs w:val="36"/>
        </w:rPr>
      </w:pPr>
      <w:r>
        <w:rPr>
          <w:rFonts w:hint="eastAsia" w:ascii="宋体" w:hAnsi="宋体" w:eastAsia="宋体"/>
          <w:b/>
          <w:snapToGrid w:val="0"/>
          <w:kern w:val="0"/>
          <w:sz w:val="32"/>
          <w:szCs w:val="32"/>
        </w:rPr>
        <w:br w:type="page"/>
      </w:r>
    </w:p>
    <w:p>
      <w:pPr>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四、符合性审查证明材料</w:t>
      </w: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b/>
          <w:bCs/>
          <w:sz w:val="36"/>
          <w:szCs w:val="36"/>
        </w:rPr>
        <w:t xml:space="preserve">4.1 </w:t>
      </w:r>
      <w:r>
        <w:rPr>
          <w:rFonts w:hint="eastAsia" w:ascii="宋体" w:hAnsi="宋体" w:eastAsia="宋体"/>
          <w:b/>
          <w:snapToGrid w:val="0"/>
          <w:kern w:val="0"/>
          <w:sz w:val="36"/>
          <w:szCs w:val="36"/>
        </w:rPr>
        <w:t>投标分项报价表</w:t>
      </w:r>
    </w:p>
    <w:p>
      <w:pPr>
        <w:spacing w:before="50" w:afterLines="50" w:line="360" w:lineRule="auto"/>
        <w:contextualSpacing/>
        <w:jc w:val="left"/>
        <w:rPr>
          <w:rFonts w:ascii="宋体" w:hAnsi="宋体" w:eastAsia="宋体"/>
          <w:sz w:val="24"/>
          <w:szCs w:val="24"/>
        </w:rPr>
      </w:pPr>
      <w:r>
        <w:rPr>
          <w:rFonts w:hint="eastAsia" w:ascii="宋体" w:hAnsi="宋体" w:eastAsia="宋体"/>
          <w:sz w:val="24"/>
          <w:szCs w:val="24"/>
        </w:rPr>
        <w:t>项目编号：</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项目名称、标段：</w:t>
      </w:r>
    </w:p>
    <w:tbl>
      <w:tblPr>
        <w:tblStyle w:val="24"/>
        <w:tblW w:w="10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06"/>
        <w:gridCol w:w="708"/>
        <w:gridCol w:w="709"/>
        <w:gridCol w:w="709"/>
        <w:gridCol w:w="709"/>
        <w:gridCol w:w="1559"/>
        <w:gridCol w:w="709"/>
        <w:gridCol w:w="1654"/>
        <w:gridCol w:w="75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19" w:type="dxa"/>
            <w:vMerge w:val="restart"/>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1006" w:type="dxa"/>
            <w:vMerge w:val="restart"/>
            <w:vAlign w:val="center"/>
          </w:tcPr>
          <w:p>
            <w:pPr>
              <w:jc w:val="center"/>
              <w:rPr>
                <w:rFonts w:ascii="宋体" w:hAnsi="宋体" w:eastAsia="宋体" w:cs="宋体"/>
                <w:b/>
                <w:kern w:val="0"/>
                <w:szCs w:val="21"/>
              </w:rPr>
            </w:pPr>
            <w:r>
              <w:rPr>
                <w:rFonts w:hint="eastAsia" w:ascii="宋体" w:hAnsi="宋体" w:eastAsia="宋体" w:cs="宋体"/>
                <w:b/>
                <w:kern w:val="0"/>
                <w:szCs w:val="21"/>
              </w:rPr>
              <w:t>路段</w:t>
            </w:r>
          </w:p>
        </w:tc>
        <w:tc>
          <w:tcPr>
            <w:tcW w:w="708" w:type="dxa"/>
            <w:vMerge w:val="restart"/>
            <w:vAlign w:val="center"/>
          </w:tcPr>
          <w:p>
            <w:pPr>
              <w:jc w:val="center"/>
              <w:rPr>
                <w:rFonts w:ascii="宋体" w:hAnsi="宋体" w:eastAsia="宋体" w:cs="宋体"/>
                <w:b/>
                <w:kern w:val="0"/>
                <w:szCs w:val="21"/>
              </w:rPr>
            </w:pPr>
            <w:r>
              <w:rPr>
                <w:rFonts w:hint="eastAsia" w:ascii="宋体" w:hAnsi="宋体" w:eastAsia="宋体" w:cs="宋体"/>
                <w:b/>
                <w:kern w:val="0"/>
                <w:szCs w:val="21"/>
              </w:rPr>
              <w:t>面积（㎡）</w:t>
            </w:r>
          </w:p>
        </w:tc>
        <w:tc>
          <w:tcPr>
            <w:tcW w:w="2127" w:type="dxa"/>
            <w:gridSpan w:val="3"/>
            <w:vAlign w:val="center"/>
          </w:tcPr>
          <w:p>
            <w:pPr>
              <w:autoSpaceDE w:val="0"/>
              <w:autoSpaceDN w:val="0"/>
              <w:adjustRightInd w:val="0"/>
              <w:jc w:val="center"/>
              <w:rPr>
                <w:rFonts w:ascii="宋体" w:hAnsi="宋体" w:eastAsia="宋体"/>
                <w:b/>
                <w:szCs w:val="21"/>
              </w:rPr>
            </w:pPr>
            <w:r>
              <w:rPr>
                <w:rFonts w:hint="eastAsia" w:ascii="宋体" w:hAnsi="宋体" w:eastAsia="宋体" w:cs="宋体"/>
                <w:b/>
                <w:kern w:val="0"/>
                <w:szCs w:val="21"/>
              </w:rPr>
              <w:t>管养分级面积（㎡）</w:t>
            </w:r>
          </w:p>
        </w:tc>
        <w:tc>
          <w:tcPr>
            <w:tcW w:w="1559"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招标控制价（元/㎡·年）</w:t>
            </w:r>
          </w:p>
        </w:tc>
        <w:tc>
          <w:tcPr>
            <w:tcW w:w="709"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投标费率（%）</w:t>
            </w:r>
          </w:p>
        </w:tc>
        <w:tc>
          <w:tcPr>
            <w:tcW w:w="1654"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单价</w:t>
            </w:r>
          </w:p>
          <w:p>
            <w:pPr>
              <w:autoSpaceDE w:val="0"/>
              <w:autoSpaceDN w:val="0"/>
              <w:adjustRightInd w:val="0"/>
              <w:jc w:val="center"/>
              <w:rPr>
                <w:rFonts w:ascii="宋体" w:hAnsi="宋体" w:eastAsia="宋体"/>
                <w:b/>
                <w:szCs w:val="21"/>
              </w:rPr>
            </w:pPr>
            <w:r>
              <w:rPr>
                <w:rFonts w:hint="eastAsia" w:ascii="宋体" w:hAnsi="宋体" w:eastAsia="宋体"/>
                <w:b/>
                <w:szCs w:val="21"/>
              </w:rPr>
              <w:t>（元/㎡·年）</w:t>
            </w:r>
          </w:p>
        </w:tc>
        <w:tc>
          <w:tcPr>
            <w:tcW w:w="757"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小计</w:t>
            </w:r>
          </w:p>
          <w:p>
            <w:pPr>
              <w:autoSpaceDE w:val="0"/>
              <w:autoSpaceDN w:val="0"/>
              <w:adjustRightInd w:val="0"/>
              <w:jc w:val="center"/>
              <w:rPr>
                <w:rFonts w:ascii="宋体" w:hAnsi="宋体" w:eastAsia="宋体"/>
                <w:b/>
                <w:szCs w:val="21"/>
              </w:rPr>
            </w:pPr>
            <w:r>
              <w:rPr>
                <w:rFonts w:hint="eastAsia" w:ascii="宋体" w:hAnsi="宋体" w:eastAsia="宋体"/>
                <w:b/>
                <w:szCs w:val="21"/>
              </w:rPr>
              <w:t>（元/年）</w:t>
            </w:r>
          </w:p>
        </w:tc>
        <w:tc>
          <w:tcPr>
            <w:tcW w:w="1050" w:type="dxa"/>
            <w:vMerge w:val="restart"/>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19" w:type="dxa"/>
            <w:vMerge w:val="continue"/>
            <w:vAlign w:val="center"/>
          </w:tcPr>
          <w:p>
            <w:pPr>
              <w:autoSpaceDE w:val="0"/>
              <w:autoSpaceDN w:val="0"/>
              <w:adjustRightInd w:val="0"/>
              <w:jc w:val="center"/>
              <w:rPr>
                <w:rFonts w:ascii="宋体" w:hAnsi="宋体" w:eastAsia="宋体"/>
                <w:szCs w:val="21"/>
              </w:rPr>
            </w:pPr>
          </w:p>
        </w:tc>
        <w:tc>
          <w:tcPr>
            <w:tcW w:w="1006" w:type="dxa"/>
            <w:vMerge w:val="continue"/>
            <w:vAlign w:val="center"/>
          </w:tcPr>
          <w:p>
            <w:pPr>
              <w:autoSpaceDE w:val="0"/>
              <w:autoSpaceDN w:val="0"/>
              <w:adjustRightInd w:val="0"/>
              <w:jc w:val="center"/>
              <w:rPr>
                <w:rFonts w:ascii="宋体" w:hAnsi="宋体" w:eastAsia="宋体"/>
                <w:szCs w:val="21"/>
              </w:rPr>
            </w:pPr>
          </w:p>
        </w:tc>
        <w:tc>
          <w:tcPr>
            <w:tcW w:w="708" w:type="dxa"/>
            <w:vMerge w:val="continue"/>
            <w:vAlign w:val="center"/>
          </w:tcPr>
          <w:p>
            <w:pPr>
              <w:autoSpaceDE w:val="0"/>
              <w:autoSpaceDN w:val="0"/>
              <w:adjustRightInd w:val="0"/>
              <w:jc w:val="center"/>
              <w:rPr>
                <w:rFonts w:ascii="宋体" w:hAnsi="宋体" w:eastAsia="宋体"/>
                <w:szCs w:val="21"/>
              </w:rPr>
            </w:pPr>
          </w:p>
        </w:tc>
        <w:tc>
          <w:tcPr>
            <w:tcW w:w="709" w:type="dxa"/>
            <w:vAlign w:val="center"/>
          </w:tcPr>
          <w:p>
            <w:pPr>
              <w:jc w:val="center"/>
              <w:rPr>
                <w:rFonts w:ascii="宋体" w:hAnsi="宋体" w:eastAsia="宋体" w:cs="宋体"/>
                <w:b/>
                <w:kern w:val="0"/>
                <w:szCs w:val="21"/>
              </w:rPr>
            </w:pPr>
            <w:r>
              <w:rPr>
                <w:rFonts w:hint="eastAsia" w:ascii="宋体" w:hAnsi="宋体" w:eastAsia="宋体" w:cs="宋体"/>
                <w:b/>
                <w:kern w:val="0"/>
                <w:szCs w:val="21"/>
              </w:rPr>
              <w:t>一级</w:t>
            </w:r>
          </w:p>
        </w:tc>
        <w:tc>
          <w:tcPr>
            <w:tcW w:w="709"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二级</w:t>
            </w:r>
          </w:p>
        </w:tc>
        <w:tc>
          <w:tcPr>
            <w:tcW w:w="709"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三级</w:t>
            </w:r>
          </w:p>
        </w:tc>
        <w:tc>
          <w:tcPr>
            <w:tcW w:w="1559" w:type="dxa"/>
            <w:vMerge w:val="continue"/>
            <w:vAlign w:val="center"/>
          </w:tcPr>
          <w:p>
            <w:pPr>
              <w:autoSpaceDE w:val="0"/>
              <w:autoSpaceDN w:val="0"/>
              <w:adjustRightInd w:val="0"/>
              <w:jc w:val="center"/>
              <w:rPr>
                <w:rFonts w:ascii="宋体" w:hAnsi="宋体" w:eastAsia="宋体"/>
                <w:szCs w:val="21"/>
              </w:rPr>
            </w:pPr>
          </w:p>
        </w:tc>
        <w:tc>
          <w:tcPr>
            <w:tcW w:w="709" w:type="dxa"/>
            <w:vMerge w:val="continue"/>
            <w:vAlign w:val="center"/>
          </w:tcPr>
          <w:p>
            <w:pPr>
              <w:autoSpaceDE w:val="0"/>
              <w:autoSpaceDN w:val="0"/>
              <w:adjustRightInd w:val="0"/>
              <w:jc w:val="center"/>
              <w:rPr>
                <w:rFonts w:ascii="宋体" w:hAnsi="宋体" w:eastAsia="宋体"/>
                <w:szCs w:val="21"/>
              </w:rPr>
            </w:pPr>
          </w:p>
        </w:tc>
        <w:tc>
          <w:tcPr>
            <w:tcW w:w="1654" w:type="dxa"/>
            <w:vMerge w:val="continue"/>
            <w:vAlign w:val="center"/>
          </w:tcPr>
          <w:p>
            <w:pPr>
              <w:autoSpaceDE w:val="0"/>
              <w:autoSpaceDN w:val="0"/>
              <w:adjustRightInd w:val="0"/>
              <w:jc w:val="center"/>
              <w:rPr>
                <w:rFonts w:ascii="宋体" w:hAnsi="宋体" w:eastAsia="宋体"/>
                <w:szCs w:val="21"/>
              </w:rPr>
            </w:pPr>
          </w:p>
        </w:tc>
        <w:tc>
          <w:tcPr>
            <w:tcW w:w="757" w:type="dxa"/>
            <w:vMerge w:val="continue"/>
            <w:vAlign w:val="center"/>
          </w:tcPr>
          <w:p>
            <w:pPr>
              <w:autoSpaceDE w:val="0"/>
              <w:autoSpaceDN w:val="0"/>
              <w:adjustRightInd w:val="0"/>
              <w:jc w:val="center"/>
              <w:rPr>
                <w:rFonts w:ascii="宋体" w:hAnsi="宋体" w:eastAsia="宋体"/>
                <w:szCs w:val="21"/>
              </w:rPr>
            </w:pPr>
          </w:p>
        </w:tc>
        <w:tc>
          <w:tcPr>
            <w:tcW w:w="1050" w:type="dxa"/>
            <w:vMerge w:val="continue"/>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szCs w:val="21"/>
              </w:rPr>
            </w:pP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19" w:type="dxa"/>
            <w:vAlign w:val="center"/>
          </w:tcPr>
          <w:p>
            <w:pPr>
              <w:autoSpaceDE w:val="0"/>
              <w:autoSpaceDN w:val="0"/>
              <w:adjustRightInd w:val="0"/>
              <w:jc w:val="center"/>
              <w:rPr>
                <w:rFonts w:ascii="宋体" w:hAnsi="宋体" w:eastAsia="宋体"/>
                <w:szCs w:val="21"/>
              </w:rPr>
            </w:pPr>
          </w:p>
        </w:tc>
        <w:tc>
          <w:tcPr>
            <w:tcW w:w="1006" w:type="dxa"/>
            <w:vAlign w:val="center"/>
          </w:tcPr>
          <w:p>
            <w:pPr>
              <w:autoSpaceDE w:val="0"/>
              <w:autoSpaceDN w:val="0"/>
              <w:adjustRightInd w:val="0"/>
              <w:jc w:val="center"/>
              <w:rPr>
                <w:rFonts w:ascii="宋体" w:hAnsi="宋体" w:eastAsia="宋体"/>
                <w:b/>
                <w:szCs w:val="21"/>
              </w:rPr>
            </w:pPr>
          </w:p>
        </w:tc>
        <w:tc>
          <w:tcPr>
            <w:tcW w:w="2835" w:type="dxa"/>
            <w:gridSpan w:val="4"/>
            <w:vAlign w:val="center"/>
          </w:tcPr>
          <w:p>
            <w:pPr>
              <w:autoSpaceDE w:val="0"/>
              <w:autoSpaceDN w:val="0"/>
              <w:adjustRightInd w:val="0"/>
              <w:jc w:val="center"/>
              <w:rPr>
                <w:rFonts w:ascii="宋体" w:hAnsi="宋体" w:eastAsia="宋体"/>
                <w:b/>
                <w:szCs w:val="21"/>
                <w:u w:val="single"/>
              </w:rPr>
            </w:pPr>
            <w:r>
              <w:rPr>
                <w:rFonts w:hint="eastAsia" w:ascii="宋体" w:hAnsi="宋体" w:eastAsia="宋体"/>
                <w:b/>
                <w:szCs w:val="21"/>
              </w:rPr>
              <w:t>配备保安人数人</w:t>
            </w:r>
          </w:p>
        </w:tc>
        <w:tc>
          <w:tcPr>
            <w:tcW w:w="1559"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元/人·月</w:t>
            </w:r>
          </w:p>
        </w:tc>
        <w:tc>
          <w:tcPr>
            <w:tcW w:w="709" w:type="dxa"/>
            <w:vAlign w:val="center"/>
          </w:tcPr>
          <w:p>
            <w:pPr>
              <w:autoSpaceDE w:val="0"/>
              <w:autoSpaceDN w:val="0"/>
              <w:adjustRightInd w:val="0"/>
              <w:jc w:val="center"/>
              <w:rPr>
                <w:rFonts w:ascii="宋体" w:hAnsi="宋体" w:eastAsia="宋体"/>
                <w:b/>
                <w:szCs w:val="21"/>
              </w:rPr>
            </w:pPr>
          </w:p>
        </w:tc>
        <w:tc>
          <w:tcPr>
            <w:tcW w:w="1654" w:type="dxa"/>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元/人·月</w:t>
            </w: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 w:val="18"/>
                <w:szCs w:val="18"/>
              </w:rPr>
            </w:pPr>
            <w:r>
              <w:rPr>
                <w:rFonts w:hint="eastAsia" w:ascii="宋体" w:hAnsi="宋体" w:eastAsia="宋体"/>
                <w:sz w:val="18"/>
                <w:szCs w:val="18"/>
              </w:rPr>
              <w:t>一年按12个月计算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525" w:type="dxa"/>
            <w:gridSpan w:val="2"/>
            <w:vAlign w:val="center"/>
          </w:tcPr>
          <w:p>
            <w:pPr>
              <w:autoSpaceDE w:val="0"/>
              <w:autoSpaceDN w:val="0"/>
              <w:adjustRightInd w:val="0"/>
              <w:jc w:val="center"/>
              <w:rPr>
                <w:rFonts w:ascii="宋体" w:hAnsi="宋体" w:eastAsia="宋体"/>
                <w:b/>
                <w:szCs w:val="21"/>
              </w:rPr>
            </w:pPr>
            <w:r>
              <w:rPr>
                <w:rFonts w:hint="eastAsia" w:ascii="宋体" w:hAnsi="宋体" w:eastAsia="宋体"/>
                <w:b/>
                <w:szCs w:val="21"/>
              </w:rPr>
              <w:t>合  计</w:t>
            </w:r>
          </w:p>
        </w:tc>
        <w:tc>
          <w:tcPr>
            <w:tcW w:w="708"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559" w:type="dxa"/>
            <w:vAlign w:val="center"/>
          </w:tcPr>
          <w:p>
            <w:pPr>
              <w:autoSpaceDE w:val="0"/>
              <w:autoSpaceDN w:val="0"/>
              <w:adjustRightInd w:val="0"/>
              <w:jc w:val="center"/>
              <w:rPr>
                <w:rFonts w:ascii="宋体" w:hAnsi="宋体" w:eastAsia="宋体"/>
                <w:szCs w:val="21"/>
              </w:rPr>
            </w:pPr>
          </w:p>
        </w:tc>
        <w:tc>
          <w:tcPr>
            <w:tcW w:w="709" w:type="dxa"/>
            <w:vAlign w:val="center"/>
          </w:tcPr>
          <w:p>
            <w:pPr>
              <w:autoSpaceDE w:val="0"/>
              <w:autoSpaceDN w:val="0"/>
              <w:adjustRightInd w:val="0"/>
              <w:jc w:val="center"/>
              <w:rPr>
                <w:rFonts w:ascii="宋体" w:hAnsi="宋体" w:eastAsia="宋体"/>
                <w:szCs w:val="21"/>
              </w:rPr>
            </w:pPr>
          </w:p>
        </w:tc>
        <w:tc>
          <w:tcPr>
            <w:tcW w:w="1654" w:type="dxa"/>
            <w:vAlign w:val="center"/>
          </w:tcPr>
          <w:p>
            <w:pPr>
              <w:autoSpaceDE w:val="0"/>
              <w:autoSpaceDN w:val="0"/>
              <w:adjustRightInd w:val="0"/>
              <w:jc w:val="center"/>
              <w:rPr>
                <w:rFonts w:ascii="宋体" w:hAnsi="宋体" w:eastAsia="宋体"/>
                <w:szCs w:val="21"/>
              </w:rPr>
            </w:pPr>
          </w:p>
        </w:tc>
        <w:tc>
          <w:tcPr>
            <w:tcW w:w="757" w:type="dxa"/>
            <w:vAlign w:val="center"/>
          </w:tcPr>
          <w:p>
            <w:pPr>
              <w:autoSpaceDE w:val="0"/>
              <w:autoSpaceDN w:val="0"/>
              <w:adjustRightInd w:val="0"/>
              <w:jc w:val="center"/>
              <w:rPr>
                <w:rFonts w:ascii="宋体" w:hAnsi="宋体" w:eastAsia="宋体"/>
                <w:szCs w:val="21"/>
              </w:rPr>
            </w:pPr>
          </w:p>
        </w:tc>
        <w:tc>
          <w:tcPr>
            <w:tcW w:w="1050" w:type="dxa"/>
          </w:tcPr>
          <w:p>
            <w:pPr>
              <w:autoSpaceDE w:val="0"/>
              <w:autoSpaceDN w:val="0"/>
              <w:adjustRightInd w:val="0"/>
              <w:jc w:val="center"/>
              <w:rPr>
                <w:rFonts w:ascii="宋体" w:hAnsi="宋体" w:eastAsia="宋体"/>
                <w:szCs w:val="21"/>
              </w:rPr>
            </w:pPr>
          </w:p>
        </w:tc>
      </w:tr>
    </w:tbl>
    <w:p>
      <w:pPr>
        <w:autoSpaceDE w:val="0"/>
        <w:autoSpaceDN w:val="0"/>
        <w:adjustRightInd w:val="0"/>
        <w:spacing w:line="360" w:lineRule="auto"/>
        <w:rPr>
          <w:rFonts w:ascii="宋体" w:hAnsi="宋体" w:eastAsia="宋体"/>
          <w:b/>
          <w:szCs w:val="21"/>
        </w:rPr>
      </w:pPr>
      <w:r>
        <w:rPr>
          <w:rFonts w:hint="eastAsia" w:ascii="宋体" w:hAnsi="宋体" w:eastAsia="宋体"/>
          <w:b/>
          <w:szCs w:val="21"/>
        </w:rPr>
        <w:t>注：1、单价费率应与开标一览表报价一致（保安人员费费率除外）；2、本页投标人可根据情况调整为横幅页面。</w:t>
      </w:r>
    </w:p>
    <w:p>
      <w:pPr>
        <w:autoSpaceDE w:val="0"/>
        <w:autoSpaceDN w:val="0"/>
        <w:adjustRightInd w:val="0"/>
        <w:spacing w:line="360" w:lineRule="auto"/>
        <w:ind w:firstLine="1699" w:firstLineChars="708"/>
        <w:jc w:val="left"/>
        <w:rPr>
          <w:rFonts w:ascii="宋体" w:hAnsi="宋体" w:eastAsia="宋体" w:cs="宋体"/>
          <w:sz w:val="24"/>
          <w:szCs w:val="24"/>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 企业综合实力证明资料</w:t>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4.2.1投入本项目人员情况表</w:t>
      </w:r>
    </w:p>
    <w:tbl>
      <w:tblPr>
        <w:tblStyle w:val="23"/>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286"/>
        <w:gridCol w:w="1286"/>
        <w:gridCol w:w="1286"/>
        <w:gridCol w:w="12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913" w:type="dxa"/>
            <w:vMerge w:val="restart"/>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914" w:type="dxa"/>
            <w:vMerge w:val="restart"/>
            <w:vAlign w:val="center"/>
          </w:tcPr>
          <w:p>
            <w:pPr>
              <w:jc w:val="center"/>
              <w:rPr>
                <w:rFonts w:ascii="宋体" w:hAnsi="宋体" w:eastAsia="宋体"/>
                <w:b/>
                <w:sz w:val="24"/>
                <w:szCs w:val="24"/>
              </w:rPr>
            </w:pPr>
            <w:r>
              <w:rPr>
                <w:rFonts w:hint="eastAsia" w:ascii="宋体" w:hAnsi="宋体" w:eastAsia="宋体"/>
                <w:b/>
                <w:sz w:val="24"/>
                <w:szCs w:val="24"/>
              </w:rPr>
              <w:t>姓名</w:t>
            </w:r>
          </w:p>
        </w:tc>
        <w:tc>
          <w:tcPr>
            <w:tcW w:w="914" w:type="dxa"/>
            <w:vMerge w:val="restart"/>
            <w:vAlign w:val="center"/>
          </w:tcPr>
          <w:p>
            <w:pPr>
              <w:jc w:val="center"/>
              <w:rPr>
                <w:rFonts w:ascii="宋体" w:hAnsi="宋体" w:eastAsia="宋体"/>
                <w:b/>
                <w:sz w:val="24"/>
                <w:szCs w:val="24"/>
              </w:rPr>
            </w:pPr>
            <w:r>
              <w:rPr>
                <w:rFonts w:hint="eastAsia" w:ascii="宋体" w:hAnsi="宋体" w:eastAsia="宋体"/>
                <w:b/>
                <w:sz w:val="24"/>
                <w:szCs w:val="24"/>
              </w:rPr>
              <w:t>承担工作</w:t>
            </w:r>
          </w:p>
        </w:tc>
        <w:tc>
          <w:tcPr>
            <w:tcW w:w="5145" w:type="dxa"/>
            <w:gridSpan w:val="4"/>
            <w:vAlign w:val="center"/>
          </w:tcPr>
          <w:p>
            <w:pPr>
              <w:jc w:val="center"/>
              <w:rPr>
                <w:rFonts w:ascii="宋体" w:hAnsi="宋体" w:eastAsia="宋体"/>
                <w:b/>
                <w:sz w:val="24"/>
                <w:szCs w:val="24"/>
              </w:rPr>
            </w:pPr>
            <w:r>
              <w:rPr>
                <w:rFonts w:hint="eastAsia" w:ascii="宋体" w:hAnsi="宋体" w:eastAsia="宋体"/>
                <w:b/>
                <w:sz w:val="24"/>
                <w:szCs w:val="24"/>
              </w:rPr>
              <w:t>执业或职业资格证明</w:t>
            </w:r>
          </w:p>
        </w:tc>
        <w:tc>
          <w:tcPr>
            <w:tcW w:w="1134" w:type="dxa"/>
            <w:vMerge w:val="restart"/>
            <w:vAlign w:val="center"/>
          </w:tcPr>
          <w:p>
            <w:pPr>
              <w:jc w:val="center"/>
              <w:rPr>
                <w:rFonts w:ascii="宋体" w:hAnsi="宋体" w:eastAsia="宋体"/>
                <w:b/>
                <w:sz w:val="24"/>
                <w:szCs w:val="24"/>
              </w:rPr>
            </w:pPr>
            <w:r>
              <w:rPr>
                <w:rFonts w:hint="eastAsia"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13" w:type="dxa"/>
            <w:vMerge w:val="continue"/>
            <w:vAlign w:val="center"/>
          </w:tcPr>
          <w:p>
            <w:pPr>
              <w:autoSpaceDE w:val="0"/>
              <w:autoSpaceDN w:val="0"/>
              <w:adjustRightInd w:val="0"/>
              <w:spacing w:line="360" w:lineRule="auto"/>
              <w:ind w:right="215"/>
              <w:jc w:val="center"/>
              <w:rPr>
                <w:rFonts w:ascii="宋体" w:hAnsi="宋体" w:eastAsia="宋体" w:cs="宋体"/>
                <w:sz w:val="24"/>
              </w:rPr>
            </w:pPr>
          </w:p>
        </w:tc>
        <w:tc>
          <w:tcPr>
            <w:tcW w:w="914" w:type="dxa"/>
            <w:vMerge w:val="continue"/>
            <w:vAlign w:val="center"/>
          </w:tcPr>
          <w:p>
            <w:pPr>
              <w:jc w:val="center"/>
              <w:rPr>
                <w:rFonts w:ascii="宋体" w:hAnsi="宋体" w:eastAsia="宋体"/>
                <w:sz w:val="24"/>
                <w:szCs w:val="24"/>
              </w:rPr>
            </w:pPr>
          </w:p>
        </w:tc>
        <w:tc>
          <w:tcPr>
            <w:tcW w:w="914" w:type="dxa"/>
            <w:vMerge w:val="continue"/>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b/>
                <w:sz w:val="24"/>
                <w:szCs w:val="24"/>
              </w:rPr>
            </w:pPr>
            <w:r>
              <w:rPr>
                <w:rFonts w:hint="eastAsia" w:ascii="宋体" w:hAnsi="宋体" w:eastAsia="宋体"/>
                <w:b/>
                <w:sz w:val="24"/>
                <w:szCs w:val="24"/>
              </w:rPr>
              <w:t>证书名称</w:t>
            </w:r>
          </w:p>
        </w:tc>
        <w:tc>
          <w:tcPr>
            <w:tcW w:w="1286" w:type="dxa"/>
            <w:vAlign w:val="center"/>
          </w:tcPr>
          <w:p>
            <w:pPr>
              <w:jc w:val="center"/>
              <w:rPr>
                <w:rFonts w:ascii="宋体" w:hAnsi="宋体" w:eastAsia="宋体"/>
                <w:b/>
                <w:sz w:val="24"/>
                <w:szCs w:val="24"/>
              </w:rPr>
            </w:pPr>
            <w:r>
              <w:rPr>
                <w:rFonts w:hint="eastAsia" w:ascii="宋体" w:hAnsi="宋体" w:eastAsia="宋体"/>
                <w:b/>
                <w:sz w:val="24"/>
                <w:szCs w:val="24"/>
              </w:rPr>
              <w:t>级别</w:t>
            </w:r>
          </w:p>
        </w:tc>
        <w:tc>
          <w:tcPr>
            <w:tcW w:w="1286" w:type="dxa"/>
            <w:vAlign w:val="center"/>
          </w:tcPr>
          <w:p>
            <w:pPr>
              <w:jc w:val="center"/>
              <w:rPr>
                <w:rFonts w:ascii="宋体" w:hAnsi="宋体" w:eastAsia="宋体"/>
                <w:b/>
                <w:sz w:val="24"/>
                <w:szCs w:val="24"/>
              </w:rPr>
            </w:pPr>
            <w:r>
              <w:rPr>
                <w:rFonts w:hint="eastAsia" w:ascii="宋体" w:hAnsi="宋体" w:eastAsia="宋体"/>
                <w:b/>
                <w:sz w:val="24"/>
                <w:szCs w:val="24"/>
              </w:rPr>
              <w:t>证号</w:t>
            </w:r>
          </w:p>
        </w:tc>
        <w:tc>
          <w:tcPr>
            <w:tcW w:w="1287" w:type="dxa"/>
            <w:vAlign w:val="center"/>
          </w:tcPr>
          <w:p>
            <w:pPr>
              <w:jc w:val="center"/>
              <w:rPr>
                <w:rFonts w:ascii="宋体" w:hAnsi="宋体" w:eastAsia="宋体"/>
                <w:b/>
                <w:sz w:val="24"/>
                <w:szCs w:val="24"/>
              </w:rPr>
            </w:pPr>
            <w:r>
              <w:rPr>
                <w:rFonts w:hint="eastAsia" w:ascii="宋体" w:hAnsi="宋体" w:eastAsia="宋体"/>
                <w:b/>
                <w:sz w:val="24"/>
                <w:szCs w:val="24"/>
              </w:rPr>
              <w:t>专业</w:t>
            </w:r>
          </w:p>
        </w:tc>
        <w:tc>
          <w:tcPr>
            <w:tcW w:w="1134" w:type="dxa"/>
            <w:vMerge w:val="continue"/>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ascii="宋体" w:hAnsi="宋体" w:eastAsia="宋体"/>
                <w:sz w:val="24"/>
                <w:szCs w:val="24"/>
              </w:rPr>
            </w:pPr>
          </w:p>
        </w:tc>
        <w:tc>
          <w:tcPr>
            <w:tcW w:w="914" w:type="dxa"/>
            <w:vAlign w:val="center"/>
          </w:tcPr>
          <w:p>
            <w:pPr>
              <w:jc w:val="center"/>
              <w:rPr>
                <w:rFonts w:ascii="宋体" w:hAnsi="宋体" w:eastAsia="宋体"/>
                <w:sz w:val="24"/>
                <w:szCs w:val="24"/>
              </w:rPr>
            </w:pPr>
            <w:r>
              <w:rPr>
                <w:rFonts w:hint="eastAsia" w:ascii="宋体" w:hAnsi="宋体" w:eastAsia="宋体"/>
                <w:sz w:val="24"/>
                <w:szCs w:val="24"/>
              </w:rPr>
              <w:t>……</w:t>
            </w:r>
          </w:p>
        </w:tc>
        <w:tc>
          <w:tcPr>
            <w:tcW w:w="914"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6" w:type="dxa"/>
            <w:vAlign w:val="center"/>
          </w:tcPr>
          <w:p>
            <w:pPr>
              <w:jc w:val="center"/>
              <w:rPr>
                <w:rFonts w:ascii="宋体" w:hAnsi="宋体" w:eastAsia="宋体"/>
                <w:sz w:val="24"/>
                <w:szCs w:val="24"/>
              </w:rPr>
            </w:pPr>
          </w:p>
        </w:tc>
        <w:tc>
          <w:tcPr>
            <w:tcW w:w="1287"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r>
    </w:tbl>
    <w:p>
      <w:pPr>
        <w:spacing w:line="360" w:lineRule="auto"/>
        <w:jc w:val="left"/>
        <w:rPr>
          <w:rFonts w:ascii="宋体" w:hAnsi="宋体" w:eastAsia="宋体" w:cs="宋体"/>
          <w:szCs w:val="21"/>
        </w:rPr>
      </w:pPr>
    </w:p>
    <w:p>
      <w:pPr>
        <w:spacing w:line="360" w:lineRule="auto"/>
        <w:jc w:val="left"/>
        <w:rPr>
          <w:rFonts w:ascii="宋体" w:hAnsi="宋体" w:eastAsia="宋体" w:cs="宋体"/>
          <w:b/>
          <w:szCs w:val="21"/>
        </w:rPr>
      </w:pPr>
      <w:r>
        <w:rPr>
          <w:rFonts w:hint="eastAsia" w:ascii="宋体" w:hAnsi="宋体" w:eastAsia="宋体" w:cs="宋体"/>
          <w:b/>
          <w:szCs w:val="21"/>
        </w:rPr>
        <w:t>注：项目投入人员均须为本单位正式员工，须附相关人员职称证或职业资格证或上岗证或技工证，以及身份证和单位为其缴纳的社保证明原件的扫描件或图片。</w:t>
      </w:r>
    </w:p>
    <w:p>
      <w:pPr>
        <w:jc w:val="left"/>
        <w:rPr>
          <w:rFonts w:ascii="宋体" w:hAnsi="宋体" w:eastAsia="宋体" w:cs="宋体"/>
          <w:b/>
          <w:sz w:val="28"/>
          <w:szCs w:val="28"/>
        </w:rPr>
      </w:pPr>
    </w:p>
    <w:p>
      <w:pPr>
        <w:jc w:val="left"/>
        <w:rPr>
          <w:rFonts w:ascii="宋体" w:hAnsi="宋体" w:eastAsia="宋体" w:cs="宋体"/>
          <w:b/>
          <w:sz w:val="28"/>
          <w:szCs w:val="28"/>
        </w:rPr>
      </w:pPr>
    </w:p>
    <w:p>
      <w:pPr>
        <w:jc w:val="left"/>
        <w:rPr>
          <w:rFonts w:ascii="宋体" w:hAnsi="宋体" w:eastAsia="宋体" w:cs="宋体"/>
          <w:b/>
          <w:sz w:val="28"/>
          <w:szCs w:val="28"/>
        </w:rPr>
      </w:pPr>
    </w:p>
    <w:p>
      <w:pPr>
        <w:jc w:val="left"/>
        <w:rPr>
          <w:rFonts w:ascii="宋体" w:hAnsi="宋体" w:eastAsia="宋体" w:cs="宋体"/>
          <w:b/>
          <w:sz w:val="28"/>
          <w:szCs w:val="28"/>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cs="宋体"/>
          <w:b/>
          <w:kern w:val="0"/>
          <w:sz w:val="28"/>
          <w:szCs w:val="28"/>
        </w:rPr>
      </w:pPr>
      <w:r>
        <w:rPr>
          <w:rFonts w:ascii="宋体" w:hAnsi="宋体" w:eastAsia="宋体" w:cs="宋体"/>
          <w:b/>
          <w:sz w:val="28"/>
          <w:szCs w:val="28"/>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4.2.2 投入本项目的设备、仪器情况表</w:t>
      </w:r>
    </w:p>
    <w:tbl>
      <w:tblPr>
        <w:tblStyle w:val="23"/>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84"/>
        <w:gridCol w:w="1294"/>
        <w:gridCol w:w="876"/>
        <w:gridCol w:w="799"/>
        <w:gridCol w:w="799"/>
        <w:gridCol w:w="1049"/>
        <w:gridCol w:w="128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36" w:type="dxa"/>
            <w:vAlign w:val="center"/>
          </w:tcPr>
          <w:p>
            <w:pPr>
              <w:jc w:val="center"/>
              <w:rPr>
                <w:rFonts w:hAnsi="宋体" w:eastAsia="宋体" w:cs="Times New Roman"/>
                <w:b/>
                <w:sz w:val="24"/>
                <w:szCs w:val="24"/>
              </w:rPr>
            </w:pPr>
            <w:r>
              <w:rPr>
                <w:rFonts w:hint="eastAsia" w:hAnsi="宋体" w:eastAsia="宋体" w:cs="Times New Roman"/>
                <w:b/>
                <w:sz w:val="24"/>
                <w:szCs w:val="24"/>
              </w:rPr>
              <w:t>序</w:t>
            </w:r>
          </w:p>
          <w:p>
            <w:pPr>
              <w:jc w:val="center"/>
              <w:rPr>
                <w:rFonts w:hAnsi="宋体" w:eastAsia="宋体" w:cs="Times New Roman"/>
                <w:b/>
                <w:sz w:val="24"/>
                <w:szCs w:val="24"/>
              </w:rPr>
            </w:pPr>
            <w:r>
              <w:rPr>
                <w:rFonts w:hint="eastAsia" w:hAnsi="宋体" w:eastAsia="宋体" w:cs="Times New Roman"/>
                <w:b/>
                <w:sz w:val="24"/>
                <w:szCs w:val="24"/>
              </w:rPr>
              <w:t>号</w:t>
            </w:r>
          </w:p>
        </w:tc>
        <w:tc>
          <w:tcPr>
            <w:tcW w:w="1484" w:type="dxa"/>
            <w:vAlign w:val="center"/>
          </w:tcPr>
          <w:p>
            <w:pPr>
              <w:jc w:val="center"/>
              <w:rPr>
                <w:rFonts w:hAnsi="宋体" w:eastAsia="宋体" w:cs="Times New Roman"/>
                <w:b/>
                <w:sz w:val="24"/>
                <w:szCs w:val="24"/>
              </w:rPr>
            </w:pPr>
            <w:r>
              <w:rPr>
                <w:rFonts w:hint="eastAsia" w:hAnsi="宋体" w:eastAsia="宋体" w:cs="Times New Roman"/>
                <w:b/>
                <w:sz w:val="24"/>
                <w:szCs w:val="24"/>
              </w:rPr>
              <w:t>名 称</w:t>
            </w:r>
          </w:p>
        </w:tc>
        <w:tc>
          <w:tcPr>
            <w:tcW w:w="1294" w:type="dxa"/>
            <w:vAlign w:val="center"/>
          </w:tcPr>
          <w:p>
            <w:pPr>
              <w:jc w:val="center"/>
              <w:rPr>
                <w:rFonts w:hAnsi="宋体" w:eastAsia="宋体" w:cs="Times New Roman"/>
                <w:b/>
                <w:sz w:val="24"/>
                <w:szCs w:val="24"/>
              </w:rPr>
            </w:pPr>
            <w:r>
              <w:rPr>
                <w:rFonts w:hint="eastAsia" w:hAnsi="宋体" w:eastAsia="宋体" w:cs="Times New Roman"/>
                <w:b/>
                <w:sz w:val="24"/>
                <w:szCs w:val="24"/>
              </w:rPr>
              <w:t>规格型号</w:t>
            </w:r>
          </w:p>
        </w:tc>
        <w:tc>
          <w:tcPr>
            <w:tcW w:w="876" w:type="dxa"/>
            <w:vAlign w:val="center"/>
          </w:tcPr>
          <w:p>
            <w:pPr>
              <w:jc w:val="center"/>
              <w:rPr>
                <w:rFonts w:hAnsi="宋体" w:eastAsia="宋体" w:cs="Times New Roman"/>
                <w:b/>
                <w:sz w:val="24"/>
                <w:szCs w:val="24"/>
              </w:rPr>
            </w:pPr>
            <w:r>
              <w:rPr>
                <w:rFonts w:hint="eastAsia" w:hAnsi="宋体" w:eastAsia="宋体" w:cs="Times New Roman"/>
                <w:b/>
                <w:sz w:val="24"/>
                <w:szCs w:val="24"/>
              </w:rPr>
              <w:t>数量</w:t>
            </w:r>
          </w:p>
        </w:tc>
        <w:tc>
          <w:tcPr>
            <w:tcW w:w="799" w:type="dxa"/>
            <w:vAlign w:val="center"/>
          </w:tcPr>
          <w:p>
            <w:pPr>
              <w:jc w:val="center"/>
              <w:rPr>
                <w:rFonts w:hAnsi="宋体" w:eastAsia="宋体" w:cs="Times New Roman"/>
                <w:b/>
                <w:sz w:val="24"/>
                <w:szCs w:val="24"/>
              </w:rPr>
            </w:pPr>
            <w:r>
              <w:rPr>
                <w:rFonts w:hint="eastAsia" w:hAnsi="宋体" w:eastAsia="宋体" w:cs="Times New Roman"/>
                <w:b/>
                <w:sz w:val="24"/>
                <w:szCs w:val="24"/>
              </w:rPr>
              <w:t>产地</w:t>
            </w:r>
          </w:p>
        </w:tc>
        <w:tc>
          <w:tcPr>
            <w:tcW w:w="799" w:type="dxa"/>
            <w:vAlign w:val="center"/>
          </w:tcPr>
          <w:p>
            <w:pPr>
              <w:jc w:val="center"/>
              <w:rPr>
                <w:rFonts w:hAnsi="宋体" w:eastAsia="宋体" w:cs="Times New Roman"/>
                <w:b/>
                <w:sz w:val="24"/>
                <w:szCs w:val="24"/>
              </w:rPr>
            </w:pPr>
            <w:r>
              <w:rPr>
                <w:rFonts w:hint="eastAsia" w:hAnsi="宋体" w:eastAsia="宋体" w:cs="Times New Roman"/>
                <w:b/>
                <w:sz w:val="24"/>
                <w:szCs w:val="24"/>
              </w:rPr>
              <w:t>制造</w:t>
            </w:r>
          </w:p>
          <w:p>
            <w:pPr>
              <w:jc w:val="center"/>
              <w:rPr>
                <w:rFonts w:hAnsi="宋体" w:eastAsia="宋体" w:cs="Times New Roman"/>
                <w:b/>
                <w:sz w:val="24"/>
                <w:szCs w:val="24"/>
              </w:rPr>
            </w:pPr>
            <w:r>
              <w:rPr>
                <w:rFonts w:hint="eastAsia" w:hAnsi="宋体" w:eastAsia="宋体" w:cs="Times New Roman"/>
                <w:b/>
                <w:sz w:val="24"/>
                <w:szCs w:val="24"/>
              </w:rPr>
              <w:t>年份</w:t>
            </w:r>
          </w:p>
        </w:tc>
        <w:tc>
          <w:tcPr>
            <w:tcW w:w="1049" w:type="dxa"/>
            <w:vAlign w:val="center"/>
          </w:tcPr>
          <w:p>
            <w:pPr>
              <w:jc w:val="center"/>
              <w:rPr>
                <w:rFonts w:hAnsi="宋体" w:eastAsia="宋体" w:cs="Times New Roman"/>
                <w:b/>
                <w:sz w:val="24"/>
                <w:szCs w:val="24"/>
              </w:rPr>
            </w:pPr>
            <w:r>
              <w:rPr>
                <w:rFonts w:hint="eastAsia" w:hAnsi="宋体" w:eastAsia="宋体" w:cs="Times New Roman"/>
                <w:b/>
                <w:sz w:val="24"/>
                <w:szCs w:val="24"/>
              </w:rPr>
              <w:t>额定功率（KW）</w:t>
            </w:r>
          </w:p>
        </w:tc>
        <w:tc>
          <w:tcPr>
            <w:tcW w:w="1280" w:type="dxa"/>
            <w:vAlign w:val="center"/>
          </w:tcPr>
          <w:p>
            <w:pPr>
              <w:jc w:val="center"/>
              <w:rPr>
                <w:rFonts w:hAnsi="宋体" w:eastAsia="宋体" w:cs="Times New Roman"/>
                <w:b/>
                <w:sz w:val="24"/>
                <w:szCs w:val="24"/>
              </w:rPr>
            </w:pPr>
            <w:r>
              <w:rPr>
                <w:rFonts w:hint="eastAsia" w:hAnsi="宋体" w:eastAsia="宋体" w:cs="Times New Roman"/>
                <w:b/>
                <w:sz w:val="24"/>
                <w:szCs w:val="24"/>
              </w:rPr>
              <w:t>主要功能</w:t>
            </w:r>
          </w:p>
        </w:tc>
        <w:tc>
          <w:tcPr>
            <w:tcW w:w="704" w:type="dxa"/>
            <w:vAlign w:val="center"/>
          </w:tcPr>
          <w:p>
            <w:pPr>
              <w:jc w:val="center"/>
              <w:rPr>
                <w:rFonts w:hAnsi="宋体" w:eastAsia="宋体" w:cs="Times New Roman"/>
                <w:b/>
                <w:sz w:val="24"/>
                <w:szCs w:val="24"/>
              </w:rPr>
            </w:pPr>
            <w:r>
              <w:rPr>
                <w:rFonts w:hint="eastAsia" w:hAnsi="宋体" w:eastAsia="宋体"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36" w:type="dxa"/>
            <w:vAlign w:val="center"/>
          </w:tcPr>
          <w:p>
            <w:pPr>
              <w:rPr>
                <w:rFonts w:hAnsi="宋体" w:eastAsia="宋体" w:cs="Times New Roman"/>
                <w:sz w:val="24"/>
                <w:szCs w:val="24"/>
              </w:rPr>
            </w:pPr>
          </w:p>
        </w:tc>
        <w:tc>
          <w:tcPr>
            <w:tcW w:w="1484" w:type="dxa"/>
            <w:vAlign w:val="center"/>
          </w:tcPr>
          <w:p>
            <w:pPr>
              <w:rPr>
                <w:rFonts w:hAnsi="宋体" w:eastAsia="宋体" w:cs="Times New Roman"/>
                <w:sz w:val="24"/>
                <w:szCs w:val="24"/>
              </w:rPr>
            </w:pPr>
          </w:p>
        </w:tc>
        <w:tc>
          <w:tcPr>
            <w:tcW w:w="1294" w:type="dxa"/>
            <w:vAlign w:val="center"/>
          </w:tcPr>
          <w:p>
            <w:pPr>
              <w:rPr>
                <w:rFonts w:hAnsi="宋体" w:eastAsia="宋体" w:cs="Times New Roman"/>
                <w:sz w:val="24"/>
                <w:szCs w:val="24"/>
              </w:rPr>
            </w:pPr>
          </w:p>
        </w:tc>
        <w:tc>
          <w:tcPr>
            <w:tcW w:w="876"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799" w:type="dxa"/>
            <w:vAlign w:val="center"/>
          </w:tcPr>
          <w:p>
            <w:pPr>
              <w:rPr>
                <w:rFonts w:hAnsi="宋体" w:eastAsia="宋体" w:cs="Times New Roman"/>
                <w:sz w:val="24"/>
                <w:szCs w:val="24"/>
              </w:rPr>
            </w:pPr>
          </w:p>
        </w:tc>
        <w:tc>
          <w:tcPr>
            <w:tcW w:w="1049" w:type="dxa"/>
            <w:vAlign w:val="center"/>
          </w:tcPr>
          <w:p>
            <w:pPr>
              <w:rPr>
                <w:rFonts w:hAnsi="宋体" w:eastAsia="宋体" w:cs="Times New Roman"/>
                <w:sz w:val="24"/>
                <w:szCs w:val="24"/>
              </w:rPr>
            </w:pPr>
          </w:p>
        </w:tc>
        <w:tc>
          <w:tcPr>
            <w:tcW w:w="1280" w:type="dxa"/>
            <w:vAlign w:val="center"/>
          </w:tcPr>
          <w:p>
            <w:pPr>
              <w:rPr>
                <w:rFonts w:hAnsi="宋体" w:eastAsia="宋体" w:cs="Times New Roman"/>
                <w:sz w:val="24"/>
                <w:szCs w:val="24"/>
              </w:rPr>
            </w:pPr>
          </w:p>
        </w:tc>
        <w:tc>
          <w:tcPr>
            <w:tcW w:w="704" w:type="dxa"/>
            <w:vAlign w:val="center"/>
          </w:tcPr>
          <w:p>
            <w:pPr>
              <w:rPr>
                <w:rFonts w:hAnsi="宋体" w:eastAsia="宋体" w:cs="Times New Roman"/>
                <w:sz w:val="24"/>
                <w:szCs w:val="24"/>
              </w:rPr>
            </w:pPr>
          </w:p>
        </w:tc>
      </w:tr>
    </w:tbl>
    <w:p>
      <w:pPr>
        <w:jc w:val="left"/>
        <w:rPr>
          <w:rFonts w:ascii="宋体" w:hAnsi="宋体" w:eastAsia="宋体"/>
          <w:b/>
          <w:snapToGrid w:val="0"/>
          <w:kern w:val="0"/>
          <w:szCs w:val="21"/>
        </w:rPr>
      </w:pPr>
    </w:p>
    <w:p>
      <w:pPr>
        <w:jc w:val="left"/>
        <w:rPr>
          <w:rFonts w:ascii="宋体" w:hAnsi="宋体" w:eastAsia="宋体"/>
          <w:b/>
          <w:snapToGrid w:val="0"/>
          <w:kern w:val="0"/>
          <w:szCs w:val="21"/>
        </w:rPr>
      </w:pPr>
      <w:r>
        <w:rPr>
          <w:rFonts w:hint="eastAsia" w:ascii="宋体" w:hAnsi="宋体" w:eastAsia="宋体"/>
          <w:b/>
          <w:snapToGrid w:val="0"/>
          <w:kern w:val="0"/>
          <w:szCs w:val="21"/>
        </w:rPr>
        <w:t xml:space="preserve">      注：附设备、仪器相关证明资料。</w:t>
      </w: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jc w:val="left"/>
        <w:rPr>
          <w:rFonts w:ascii="宋体" w:hAnsi="宋体" w:eastAsia="宋体"/>
          <w:b/>
          <w:snapToGrid w:val="0"/>
          <w:kern w:val="0"/>
          <w:sz w:val="32"/>
          <w:szCs w:val="32"/>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4.2.3 企业综合实力其他证明资料</w:t>
      </w:r>
      <w:r>
        <w:rPr>
          <w:rFonts w:ascii="宋体" w:hAnsi="宋体" w:eastAsia="宋体"/>
          <w:b/>
          <w:snapToGrid w:val="0"/>
          <w:kern w:val="0"/>
          <w:sz w:val="32"/>
          <w:szCs w:val="32"/>
        </w:rPr>
        <w:br w:type="page"/>
      </w:r>
    </w:p>
    <w:p>
      <w:pPr>
        <w:spacing w:line="360" w:lineRule="auto"/>
        <w:jc w:val="center"/>
        <w:rPr>
          <w:rFonts w:ascii="宋体" w:hAnsi="宋体" w:eastAsia="宋体"/>
          <w:b/>
          <w:snapToGrid w:val="0"/>
          <w:kern w:val="0"/>
          <w:szCs w:val="21"/>
        </w:rPr>
      </w:pPr>
      <w:r>
        <w:rPr>
          <w:rFonts w:hint="eastAsia" w:ascii="宋体" w:hAnsi="宋体" w:eastAsia="宋体"/>
          <w:b/>
          <w:snapToGrid w:val="0"/>
          <w:kern w:val="0"/>
          <w:sz w:val="32"/>
          <w:szCs w:val="32"/>
        </w:rPr>
        <w:t>4.3 企业业绩情况表</w:t>
      </w:r>
    </w:p>
    <w:tbl>
      <w:tblPr>
        <w:tblStyle w:val="23"/>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44"/>
        <w:gridCol w:w="1786"/>
        <w:gridCol w:w="1334"/>
        <w:gridCol w:w="1549"/>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6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944"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w:t>
            </w:r>
          </w:p>
        </w:tc>
        <w:tc>
          <w:tcPr>
            <w:tcW w:w="1786"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主要工作内容</w:t>
            </w:r>
          </w:p>
        </w:tc>
        <w:tc>
          <w:tcPr>
            <w:tcW w:w="1334"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54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Times New Roman"/>
                <w:b/>
                <w:bCs/>
                <w:sz w:val="21"/>
                <w:szCs w:val="21"/>
              </w:rPr>
              <w:t>合同签订时间</w:t>
            </w:r>
          </w:p>
        </w:tc>
        <w:tc>
          <w:tcPr>
            <w:tcW w:w="1835"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944" w:type="dxa"/>
            <w:vAlign w:val="center"/>
          </w:tcPr>
          <w:p>
            <w:pPr>
              <w:pStyle w:val="7"/>
              <w:spacing w:line="360" w:lineRule="auto"/>
              <w:jc w:val="center"/>
              <w:rPr>
                <w:rFonts w:ascii="宋体" w:hAnsi="宋体" w:eastAsia="宋体" w:cs="Times New Roman"/>
                <w:sz w:val="21"/>
                <w:szCs w:val="21"/>
              </w:rPr>
            </w:pPr>
          </w:p>
        </w:tc>
        <w:tc>
          <w:tcPr>
            <w:tcW w:w="1786" w:type="dxa"/>
            <w:vAlign w:val="center"/>
          </w:tcPr>
          <w:p>
            <w:pPr>
              <w:pStyle w:val="7"/>
              <w:spacing w:line="360" w:lineRule="auto"/>
              <w:jc w:val="center"/>
              <w:rPr>
                <w:rFonts w:ascii="宋体" w:hAnsi="宋体" w:eastAsia="宋体" w:cs="Times New Roman"/>
                <w:sz w:val="21"/>
                <w:szCs w:val="21"/>
              </w:rPr>
            </w:pPr>
          </w:p>
        </w:tc>
        <w:tc>
          <w:tcPr>
            <w:tcW w:w="1334" w:type="dxa"/>
            <w:vAlign w:val="center"/>
          </w:tcPr>
          <w:p>
            <w:pPr>
              <w:pStyle w:val="7"/>
              <w:spacing w:line="360" w:lineRule="auto"/>
              <w:jc w:val="center"/>
              <w:rPr>
                <w:rFonts w:ascii="宋体" w:hAnsi="宋体" w:eastAsia="宋体" w:cs="Times New Roman"/>
                <w:sz w:val="21"/>
                <w:szCs w:val="21"/>
              </w:rPr>
            </w:pPr>
          </w:p>
        </w:tc>
        <w:tc>
          <w:tcPr>
            <w:tcW w:w="1549" w:type="dxa"/>
            <w:vAlign w:val="center"/>
          </w:tcPr>
          <w:p>
            <w:pPr>
              <w:pStyle w:val="7"/>
              <w:spacing w:line="360" w:lineRule="auto"/>
              <w:jc w:val="center"/>
              <w:rPr>
                <w:rFonts w:ascii="宋体" w:hAnsi="宋体" w:eastAsia="宋体" w:cs="Times New Roman"/>
                <w:sz w:val="21"/>
                <w:szCs w:val="21"/>
              </w:rPr>
            </w:pPr>
          </w:p>
        </w:tc>
        <w:tc>
          <w:tcPr>
            <w:tcW w:w="1835" w:type="dxa"/>
            <w:vAlign w:val="center"/>
          </w:tcPr>
          <w:p>
            <w:pPr>
              <w:pStyle w:val="7"/>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944" w:type="dxa"/>
            <w:vAlign w:val="center"/>
          </w:tcPr>
          <w:p>
            <w:pPr>
              <w:pStyle w:val="7"/>
              <w:spacing w:line="360" w:lineRule="auto"/>
              <w:jc w:val="center"/>
              <w:rPr>
                <w:rFonts w:ascii="宋体" w:hAnsi="宋体" w:eastAsia="宋体" w:cs="Times New Roman"/>
                <w:sz w:val="21"/>
                <w:szCs w:val="21"/>
              </w:rPr>
            </w:pPr>
          </w:p>
        </w:tc>
        <w:tc>
          <w:tcPr>
            <w:tcW w:w="1786" w:type="dxa"/>
            <w:vAlign w:val="center"/>
          </w:tcPr>
          <w:p>
            <w:pPr>
              <w:pStyle w:val="7"/>
              <w:spacing w:line="360" w:lineRule="auto"/>
              <w:jc w:val="center"/>
              <w:rPr>
                <w:rFonts w:ascii="宋体" w:hAnsi="宋体" w:eastAsia="宋体" w:cs="Times New Roman"/>
                <w:sz w:val="21"/>
                <w:szCs w:val="21"/>
              </w:rPr>
            </w:pPr>
          </w:p>
        </w:tc>
        <w:tc>
          <w:tcPr>
            <w:tcW w:w="1334" w:type="dxa"/>
            <w:vAlign w:val="center"/>
          </w:tcPr>
          <w:p>
            <w:pPr>
              <w:pStyle w:val="7"/>
              <w:spacing w:line="360" w:lineRule="auto"/>
              <w:jc w:val="center"/>
              <w:rPr>
                <w:rFonts w:ascii="宋体" w:hAnsi="宋体" w:eastAsia="宋体" w:cs="Times New Roman"/>
                <w:sz w:val="21"/>
                <w:szCs w:val="21"/>
              </w:rPr>
            </w:pPr>
          </w:p>
        </w:tc>
        <w:tc>
          <w:tcPr>
            <w:tcW w:w="1549" w:type="dxa"/>
            <w:vAlign w:val="center"/>
          </w:tcPr>
          <w:p>
            <w:pPr>
              <w:pStyle w:val="7"/>
              <w:spacing w:line="360" w:lineRule="auto"/>
              <w:jc w:val="center"/>
              <w:rPr>
                <w:rFonts w:ascii="宋体" w:hAnsi="宋体" w:eastAsia="宋体" w:cs="Times New Roman"/>
                <w:sz w:val="21"/>
                <w:szCs w:val="21"/>
              </w:rPr>
            </w:pPr>
          </w:p>
        </w:tc>
        <w:tc>
          <w:tcPr>
            <w:tcW w:w="1835" w:type="dxa"/>
            <w:vAlign w:val="center"/>
          </w:tcPr>
          <w:p>
            <w:pPr>
              <w:pStyle w:val="7"/>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944" w:type="dxa"/>
            <w:vAlign w:val="center"/>
          </w:tcPr>
          <w:p>
            <w:pPr>
              <w:pStyle w:val="7"/>
              <w:spacing w:line="360" w:lineRule="auto"/>
              <w:jc w:val="center"/>
              <w:rPr>
                <w:rFonts w:ascii="宋体" w:hAnsi="宋体" w:eastAsia="宋体" w:cs="Times New Roman"/>
                <w:sz w:val="21"/>
                <w:szCs w:val="21"/>
              </w:rPr>
            </w:pPr>
          </w:p>
        </w:tc>
        <w:tc>
          <w:tcPr>
            <w:tcW w:w="1786" w:type="dxa"/>
            <w:vAlign w:val="center"/>
          </w:tcPr>
          <w:p>
            <w:pPr>
              <w:pStyle w:val="7"/>
              <w:spacing w:line="360" w:lineRule="auto"/>
              <w:jc w:val="center"/>
              <w:rPr>
                <w:rFonts w:ascii="宋体" w:hAnsi="宋体" w:eastAsia="宋体" w:cs="Times New Roman"/>
                <w:sz w:val="21"/>
                <w:szCs w:val="21"/>
              </w:rPr>
            </w:pPr>
          </w:p>
        </w:tc>
        <w:tc>
          <w:tcPr>
            <w:tcW w:w="1334" w:type="dxa"/>
            <w:vAlign w:val="center"/>
          </w:tcPr>
          <w:p>
            <w:pPr>
              <w:pStyle w:val="7"/>
              <w:spacing w:line="360" w:lineRule="auto"/>
              <w:jc w:val="center"/>
              <w:rPr>
                <w:rFonts w:ascii="宋体" w:hAnsi="宋体" w:eastAsia="宋体" w:cs="Times New Roman"/>
                <w:sz w:val="21"/>
                <w:szCs w:val="21"/>
              </w:rPr>
            </w:pPr>
          </w:p>
        </w:tc>
        <w:tc>
          <w:tcPr>
            <w:tcW w:w="1549" w:type="dxa"/>
            <w:vAlign w:val="center"/>
          </w:tcPr>
          <w:p>
            <w:pPr>
              <w:pStyle w:val="7"/>
              <w:spacing w:line="360" w:lineRule="auto"/>
              <w:jc w:val="center"/>
              <w:rPr>
                <w:rFonts w:ascii="宋体" w:hAnsi="宋体" w:eastAsia="宋体" w:cs="Times New Roman"/>
                <w:sz w:val="21"/>
                <w:szCs w:val="21"/>
              </w:rPr>
            </w:pPr>
          </w:p>
        </w:tc>
        <w:tc>
          <w:tcPr>
            <w:tcW w:w="1835" w:type="dxa"/>
            <w:vAlign w:val="center"/>
          </w:tcPr>
          <w:p>
            <w:pPr>
              <w:pStyle w:val="7"/>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549"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6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549"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bl>
    <w:p>
      <w:pPr>
        <w:jc w:val="left"/>
        <w:rPr>
          <w:rFonts w:ascii="宋体" w:hAnsi="宋体" w:eastAsia="宋体" w:cs="宋体"/>
          <w:bCs/>
          <w:szCs w:val="21"/>
        </w:rPr>
      </w:pPr>
    </w:p>
    <w:p>
      <w:pPr>
        <w:jc w:val="left"/>
        <w:rPr>
          <w:rFonts w:ascii="宋体" w:hAnsi="宋体" w:eastAsia="宋体" w:cs="宋体"/>
          <w:bCs/>
          <w:szCs w:val="21"/>
        </w:rPr>
      </w:pPr>
    </w:p>
    <w:p>
      <w:pPr>
        <w:jc w:val="left"/>
        <w:rPr>
          <w:rFonts w:ascii="宋体" w:hAnsi="宋体" w:eastAsia="宋体"/>
          <w:b/>
          <w:snapToGrid w:val="0"/>
          <w:kern w:val="0"/>
          <w:sz w:val="36"/>
          <w:szCs w:val="36"/>
        </w:rPr>
      </w:pPr>
      <w:r>
        <w:rPr>
          <w:rFonts w:hint="eastAsia" w:ascii="宋体" w:hAnsi="宋体" w:eastAsia="宋体" w:cs="宋体"/>
          <w:b/>
          <w:bCs/>
          <w:szCs w:val="21"/>
        </w:rPr>
        <w:t>注：后附所填报业绩的中标通知书、合同协议书原件的扫描件或图片。</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4.4 服务承诺</w:t>
      </w:r>
    </w:p>
    <w:p>
      <w:pPr>
        <w:spacing w:line="360" w:lineRule="auto"/>
        <w:jc w:val="left"/>
        <w:rPr>
          <w:rFonts w:ascii="宋体" w:hAnsi="宋体" w:eastAsia="宋体"/>
          <w:b/>
          <w:snapToGrid w:val="0"/>
          <w:kern w:val="0"/>
          <w:sz w:val="24"/>
          <w:szCs w:val="24"/>
        </w:rPr>
      </w:pPr>
      <w:r>
        <w:rPr>
          <w:rFonts w:hint="eastAsia" w:ascii="宋体" w:hAnsi="宋体" w:eastAsia="宋体"/>
          <w:b/>
          <w:snapToGrid w:val="0"/>
          <w:kern w:val="0"/>
          <w:sz w:val="24"/>
          <w:szCs w:val="24"/>
        </w:rPr>
        <w:t>注：服务承诺需包含以下内容（但不仅限于）</w:t>
      </w:r>
    </w:p>
    <w:p>
      <w:pPr>
        <w:numPr>
          <w:ilvl w:val="0"/>
          <w:numId w:val="6"/>
        </w:numPr>
        <w:spacing w:line="360" w:lineRule="auto"/>
        <w:jc w:val="left"/>
        <w:rPr>
          <w:rFonts w:ascii="宋体" w:hAnsi="宋体" w:eastAsia="宋体" w:cs="宋体"/>
          <w:kern w:val="0"/>
          <w:sz w:val="24"/>
        </w:rPr>
      </w:pPr>
      <w:r>
        <w:rPr>
          <w:rFonts w:hint="eastAsia" w:ascii="宋体" w:hAnsi="宋体" w:eastAsia="宋体" w:cs="宋体"/>
          <w:kern w:val="0"/>
          <w:sz w:val="24"/>
        </w:rPr>
        <w:t>中标后按照招标文件规定的考核标准接受定期考核的承诺；</w:t>
      </w:r>
    </w:p>
    <w:p>
      <w:pPr>
        <w:numPr>
          <w:ilvl w:val="0"/>
          <w:numId w:val="6"/>
        </w:numPr>
        <w:spacing w:line="360" w:lineRule="auto"/>
        <w:jc w:val="left"/>
        <w:rPr>
          <w:rFonts w:ascii="宋体" w:hAnsi="宋体" w:eastAsia="宋体" w:cs="宋体"/>
          <w:kern w:val="0"/>
          <w:sz w:val="24"/>
        </w:rPr>
      </w:pPr>
      <w:r>
        <w:rPr>
          <w:rFonts w:hint="eastAsia" w:ascii="宋体" w:hAnsi="宋体" w:eastAsia="宋体" w:cs="宋体"/>
          <w:kern w:val="0"/>
          <w:sz w:val="24"/>
        </w:rPr>
        <w:t>中标后所配备管养人员不低于招标文件所列标准要求；</w:t>
      </w:r>
    </w:p>
    <w:p>
      <w:pPr>
        <w:numPr>
          <w:ilvl w:val="0"/>
          <w:numId w:val="6"/>
        </w:numPr>
        <w:spacing w:line="360" w:lineRule="auto"/>
        <w:jc w:val="left"/>
        <w:rPr>
          <w:rFonts w:ascii="宋体" w:hAnsi="宋体" w:eastAsia="宋体" w:cs="宋体"/>
          <w:kern w:val="0"/>
          <w:sz w:val="24"/>
        </w:rPr>
      </w:pPr>
      <w:r>
        <w:rPr>
          <w:rFonts w:hint="eastAsia" w:ascii="宋体" w:hAnsi="宋体" w:eastAsia="宋体" w:cs="宋体"/>
          <w:kern w:val="0"/>
          <w:sz w:val="24"/>
          <w:lang w:val="zh-CN"/>
        </w:rPr>
        <w:t>中标后足额发放保安配备人员费用；</w:t>
      </w:r>
    </w:p>
    <w:p>
      <w:pPr>
        <w:numPr>
          <w:ilvl w:val="0"/>
          <w:numId w:val="6"/>
        </w:numPr>
        <w:spacing w:line="360" w:lineRule="auto"/>
        <w:jc w:val="left"/>
        <w:rPr>
          <w:rFonts w:ascii="宋体" w:hAnsi="宋体" w:eastAsia="宋体" w:cs="宋体"/>
          <w:kern w:val="0"/>
          <w:sz w:val="24"/>
        </w:rPr>
      </w:pPr>
      <w:r>
        <w:rPr>
          <w:rFonts w:hint="eastAsia" w:ascii="宋体" w:hAnsi="宋体" w:eastAsia="宋体" w:cs="宋体"/>
          <w:kern w:val="0"/>
          <w:sz w:val="24"/>
          <w:szCs w:val="24"/>
          <w:lang w:val="zh-CN"/>
        </w:rPr>
        <w:t>接受资金支付相关要求的承诺；</w:t>
      </w:r>
    </w:p>
    <w:p>
      <w:pPr>
        <w:numPr>
          <w:ilvl w:val="0"/>
          <w:numId w:val="6"/>
        </w:numPr>
        <w:spacing w:line="360" w:lineRule="auto"/>
        <w:jc w:val="left"/>
        <w:rPr>
          <w:rFonts w:ascii="宋体" w:hAnsi="宋体" w:eastAsia="宋体" w:cs="宋体"/>
          <w:kern w:val="0"/>
          <w:sz w:val="24"/>
        </w:rPr>
      </w:pPr>
      <w:r>
        <w:rPr>
          <w:rFonts w:hint="eastAsia" w:ascii="宋体" w:hAnsi="宋体" w:eastAsia="宋体" w:cs="宋体"/>
          <w:kern w:val="0"/>
          <w:sz w:val="24"/>
        </w:rPr>
        <w:t>已在本项目已开标段推荐为第一中标候选人的投标人，不得参与该项目其他标段的投标相关承诺；</w:t>
      </w:r>
    </w:p>
    <w:p>
      <w:pPr>
        <w:spacing w:line="360" w:lineRule="auto"/>
        <w:jc w:val="left"/>
        <w:rPr>
          <w:rFonts w:ascii="宋体" w:hAnsi="宋体" w:eastAsia="宋体" w:cs="宋体"/>
          <w:kern w:val="0"/>
          <w:sz w:val="24"/>
        </w:rPr>
      </w:pPr>
      <w:r>
        <w:rPr>
          <w:rFonts w:hint="eastAsia" w:ascii="宋体" w:hAnsi="宋体" w:eastAsia="宋体" w:cs="宋体"/>
          <w:kern w:val="0"/>
          <w:sz w:val="24"/>
        </w:rPr>
        <w:t>6、投标文件中所提供的所有资料真实、有效，并承担相应的法律后果的承诺。</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autoSpaceDE w:val="0"/>
        <w:autoSpaceDN w:val="0"/>
        <w:adjustRightInd w:val="0"/>
        <w:spacing w:line="360" w:lineRule="auto"/>
        <w:ind w:firstLine="2551" w:firstLineChars="1063"/>
        <w:jc w:val="left"/>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ind w:firstLine="2551" w:firstLineChars="1063"/>
        <w:jc w:val="left"/>
        <w:rPr>
          <w:rFonts w:ascii="宋体" w:hAnsi="宋体" w:eastAsia="宋体" w:cs="宋体"/>
          <w:sz w:val="24"/>
          <w:szCs w:val="24"/>
          <w:u w:val="single"/>
          <w:lang w:val="zh-CN"/>
        </w:rPr>
      </w:pPr>
      <w:r>
        <w:rPr>
          <w:rFonts w:hint="eastAsia" w:ascii="宋体" w:hAnsi="宋体" w:eastAsia="宋体" w:cs="宋体"/>
          <w:sz w:val="24"/>
          <w:szCs w:val="24"/>
          <w:lang w:val="zh-CN"/>
        </w:rPr>
        <w:t>投标人法定代表人（或授权代表）签字：</w:t>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4.5 技术部分</w:t>
      </w:r>
    </w:p>
    <w:p>
      <w:pPr>
        <w:jc w:val="center"/>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4.6 中小企业声明函</w:t>
      </w:r>
    </w:p>
    <w:p>
      <w:pPr>
        <w:spacing w:line="360" w:lineRule="auto"/>
        <w:jc w:val="center"/>
        <w:rPr>
          <w:rFonts w:ascii="宋体" w:hAnsi="宋体" w:eastAsia="宋体"/>
          <w:b/>
          <w:bCs/>
          <w:sz w:val="36"/>
          <w:szCs w:val="36"/>
        </w:rPr>
      </w:pPr>
    </w:p>
    <w:p>
      <w:pPr>
        <w:spacing w:before="100" w:beforeAutospacing="1" w:after="100" w:afterAutospacing="1" w:line="360" w:lineRule="auto"/>
        <w:ind w:firstLine="420"/>
        <w:contextualSpacing/>
        <w:jc w:val="left"/>
        <w:rPr>
          <w:rFonts w:ascii="宋体" w:hAnsi="宋体" w:eastAsia="宋体" w:cs="Arial"/>
          <w:kern w:val="0"/>
          <w:sz w:val="24"/>
          <w:szCs w:val="24"/>
        </w:rPr>
      </w:pPr>
      <w:r>
        <w:rPr>
          <w:rFonts w:hint="eastAsia" w:ascii="宋体" w:hAnsi="宋体" w:eastAsia="宋体" w:cs="Arial"/>
          <w:kern w:val="0"/>
          <w:sz w:val="24"/>
          <w:szCs w:val="24"/>
        </w:rPr>
        <w:t>本公司郑重声明，根据《政府采购促进中小企业发展暂行办法》（财库[2011]181号）的规定，本公司为</w:t>
      </w:r>
      <w:r>
        <w:rPr>
          <w:rFonts w:hint="eastAsia" w:ascii="宋体" w:hAnsi="宋体" w:eastAsia="宋体" w:cs="Arial"/>
          <w:kern w:val="0"/>
          <w:sz w:val="24"/>
          <w:szCs w:val="24"/>
          <w:u w:val="single"/>
        </w:rPr>
        <w:t>______</w:t>
      </w:r>
      <w:r>
        <w:rPr>
          <w:rFonts w:hint="eastAsia" w:ascii="宋体" w:hAnsi="宋体" w:eastAsia="宋体" w:cs="Arial"/>
          <w:kern w:val="0"/>
          <w:sz w:val="24"/>
          <w:szCs w:val="24"/>
        </w:rPr>
        <w:t>（请填写：中型、小型、微型）企业。即，本公司同时满足以下条件：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sz w:val="24"/>
          <w:szCs w:val="24"/>
        </w:rPr>
        <w:t>按照《国家统计局关于印发统计上大中小微型企业划分办法的通知》（国统字</w:t>
      </w:r>
      <w:r>
        <w:rPr>
          <w:rFonts w:ascii="宋体" w:hAnsi="宋体" w:eastAsia="宋体"/>
          <w:sz w:val="24"/>
          <w:szCs w:val="24"/>
        </w:rPr>
        <w:t>[2011] 75</w:t>
      </w:r>
      <w:r>
        <w:rPr>
          <w:rFonts w:hint="eastAsia" w:ascii="宋体" w:hAnsi="宋体" w:eastAsia="宋体"/>
          <w:sz w:val="24"/>
          <w:szCs w:val="24"/>
        </w:rPr>
        <w:t>号）规定，本公司所属行业为</w:t>
      </w:r>
      <w:r>
        <w:rPr>
          <w:rFonts w:ascii="宋体" w:hAnsi="宋体" w:eastAsia="宋体"/>
          <w:sz w:val="24"/>
          <w:szCs w:val="24"/>
          <w:u w:val="single"/>
        </w:rPr>
        <w:t>______</w:t>
      </w:r>
      <w:r>
        <w:rPr>
          <w:rFonts w:hint="eastAsia" w:ascii="宋体" w:hAnsi="宋体" w:eastAsia="宋体"/>
          <w:sz w:val="24"/>
          <w:szCs w:val="24"/>
        </w:rPr>
        <w:t>，截至上一财年末，公司资产总额</w:t>
      </w:r>
      <w:r>
        <w:rPr>
          <w:rFonts w:ascii="宋体" w:hAnsi="宋体" w:eastAsia="宋体"/>
          <w:sz w:val="24"/>
          <w:szCs w:val="24"/>
          <w:u w:val="single"/>
        </w:rPr>
        <w:t>______</w:t>
      </w:r>
      <w:r>
        <w:rPr>
          <w:rFonts w:hint="eastAsia" w:ascii="宋体" w:hAnsi="宋体" w:eastAsia="宋体"/>
          <w:sz w:val="24"/>
          <w:szCs w:val="24"/>
        </w:rPr>
        <w:t>万元，营业收入</w:t>
      </w:r>
      <w:r>
        <w:rPr>
          <w:rFonts w:ascii="宋体" w:hAnsi="宋体" w:eastAsia="宋体"/>
          <w:sz w:val="24"/>
          <w:szCs w:val="24"/>
          <w:u w:val="single"/>
        </w:rPr>
        <w:t>______</w:t>
      </w:r>
      <w:r>
        <w:rPr>
          <w:rFonts w:hint="eastAsia" w:ascii="宋体" w:hAnsi="宋体" w:eastAsia="宋体"/>
          <w:sz w:val="24"/>
          <w:szCs w:val="24"/>
        </w:rPr>
        <w:t>万元，从业人员</w:t>
      </w:r>
      <w:r>
        <w:rPr>
          <w:rFonts w:ascii="宋体" w:hAnsi="宋体" w:eastAsia="宋体"/>
          <w:sz w:val="24"/>
          <w:szCs w:val="24"/>
          <w:u w:val="single"/>
        </w:rPr>
        <w:t>______</w:t>
      </w:r>
      <w:r>
        <w:rPr>
          <w:rFonts w:hint="eastAsia" w:ascii="宋体" w:hAnsi="宋体" w:eastAsia="宋体"/>
          <w:sz w:val="24"/>
          <w:szCs w:val="24"/>
        </w:rPr>
        <w:t>人，</w:t>
      </w:r>
      <w:r>
        <w:rPr>
          <w:rFonts w:hint="eastAsia" w:ascii="宋体" w:hAnsi="宋体" w:eastAsia="宋体" w:cs="Arial"/>
          <w:kern w:val="0"/>
          <w:sz w:val="24"/>
          <w:szCs w:val="24"/>
        </w:rPr>
        <w:t>本公司为</w:t>
      </w:r>
      <w:r>
        <w:rPr>
          <w:rFonts w:hint="eastAsia" w:ascii="宋体" w:hAnsi="宋体" w:eastAsia="宋体" w:cs="Arial"/>
          <w:kern w:val="0"/>
          <w:sz w:val="24"/>
          <w:szCs w:val="24"/>
          <w:u w:val="single"/>
        </w:rPr>
        <w:t>______</w:t>
      </w:r>
      <w:r>
        <w:rPr>
          <w:rFonts w:hint="eastAsia" w:ascii="宋体" w:hAnsi="宋体" w:eastAsia="宋体" w:cs="Arial"/>
          <w:kern w:val="0"/>
          <w:sz w:val="24"/>
          <w:szCs w:val="24"/>
        </w:rPr>
        <w:t>（请填写：中型、小型、微型）企业。　　</w:t>
      </w:r>
    </w:p>
    <w:p>
      <w:pPr>
        <w:spacing w:before="100" w:beforeAutospacing="1" w:after="100" w:afterAutospacing="1" w:line="360" w:lineRule="auto"/>
        <w:ind w:firstLine="420"/>
        <w:contextualSpacing/>
        <w:jc w:val="left"/>
        <w:rPr>
          <w:rFonts w:ascii="宋体" w:hAnsi="宋体" w:eastAsia="宋体" w:cs="Arial"/>
          <w:kern w:val="0"/>
          <w:sz w:val="24"/>
          <w:szCs w:val="24"/>
        </w:rPr>
      </w:pPr>
      <w:r>
        <w:rPr>
          <w:rFonts w:hint="eastAsia" w:ascii="宋体" w:hAnsi="宋体" w:eastAsia="宋体" w:cs="Arial"/>
          <w:kern w:val="0"/>
          <w:sz w:val="24"/>
          <w:szCs w:val="24"/>
        </w:rPr>
        <w:t>本公司对上述声明的真实性负责。如有虚假，将依法承担相应责任。</w:t>
      </w:r>
    </w:p>
    <w:p>
      <w:pPr>
        <w:spacing w:before="100" w:beforeAutospacing="1" w:after="100" w:afterAutospacing="1" w:line="360" w:lineRule="auto"/>
        <w:ind w:left="3885" w:leftChars="1850"/>
        <w:jc w:val="left"/>
        <w:rPr>
          <w:rFonts w:ascii="宋体" w:hAnsi="宋体" w:eastAsia="宋体" w:cs="Arial"/>
          <w:kern w:val="0"/>
          <w:sz w:val="24"/>
          <w:szCs w:val="24"/>
        </w:rPr>
      </w:pPr>
    </w:p>
    <w:p>
      <w:pPr>
        <w:spacing w:before="100" w:beforeAutospacing="1" w:after="100" w:afterAutospacing="1" w:line="360" w:lineRule="auto"/>
        <w:ind w:left="3885" w:leftChars="1850"/>
        <w:jc w:val="left"/>
        <w:rPr>
          <w:rFonts w:ascii="宋体" w:hAnsi="宋体" w:eastAsia="宋体" w:cs="Arial"/>
          <w:kern w:val="0"/>
          <w:sz w:val="24"/>
          <w:szCs w:val="24"/>
        </w:rPr>
      </w:pPr>
      <w:r>
        <w:rPr>
          <w:rFonts w:hint="eastAsia" w:ascii="宋体" w:hAnsi="宋体" w:eastAsia="宋体" w:cs="Arial"/>
          <w:kern w:val="0"/>
          <w:sz w:val="24"/>
          <w:szCs w:val="24"/>
        </w:rPr>
        <w:t>企业名称（盖章）：　　　　　　　　　</w:t>
      </w:r>
      <w:r>
        <w:rPr>
          <w:rFonts w:hint="eastAsia" w:ascii="宋体" w:hAnsi="宋体" w:eastAsia="宋体" w:cs="Arial"/>
          <w:kern w:val="0"/>
          <w:sz w:val="24"/>
          <w:szCs w:val="24"/>
        </w:rPr>
        <w:br w:type="textWrapping"/>
      </w:r>
      <w:r>
        <w:rPr>
          <w:rFonts w:hint="eastAsia" w:ascii="宋体" w:hAnsi="宋体" w:eastAsia="宋体" w:cs="Arial"/>
          <w:kern w:val="0"/>
          <w:sz w:val="24"/>
          <w:szCs w:val="24"/>
        </w:rPr>
        <w:t>日　  期：</w:t>
      </w:r>
    </w:p>
    <w:p>
      <w:pPr>
        <w:spacing w:before="100" w:beforeAutospacing="1" w:after="100" w:afterAutospacing="1" w:line="360" w:lineRule="auto"/>
        <w:jc w:val="left"/>
        <w:rPr>
          <w:rFonts w:ascii="宋体" w:hAnsi="宋体" w:eastAsia="宋体"/>
          <w:sz w:val="24"/>
          <w:szCs w:val="24"/>
        </w:rPr>
      </w:pPr>
    </w:p>
    <w:p>
      <w:pPr>
        <w:spacing w:before="100" w:beforeAutospacing="1" w:after="100" w:afterAutospacing="1" w:line="360" w:lineRule="auto"/>
        <w:contextualSpacing/>
        <w:jc w:val="left"/>
        <w:rPr>
          <w:rFonts w:ascii="宋体" w:hAnsi="宋体" w:eastAsia="宋体"/>
          <w:sz w:val="24"/>
          <w:szCs w:val="24"/>
        </w:rPr>
      </w:pPr>
      <w:r>
        <w:rPr>
          <w:rFonts w:hint="eastAsia" w:ascii="宋体" w:hAnsi="宋体" w:eastAsia="宋体"/>
          <w:sz w:val="24"/>
          <w:szCs w:val="24"/>
        </w:rPr>
        <w:t>说明：</w:t>
      </w:r>
    </w:p>
    <w:p>
      <w:pPr>
        <w:spacing w:before="100" w:beforeAutospacing="1" w:after="100" w:afterAutospacing="1" w:line="360" w:lineRule="auto"/>
        <w:contextualSpacing/>
        <w:jc w:val="left"/>
        <w:rPr>
          <w:rFonts w:ascii="宋体" w:hAnsi="宋体" w:eastAsia="宋体" w:cs="Arial"/>
          <w:kern w:val="0"/>
          <w:sz w:val="24"/>
          <w:szCs w:val="24"/>
        </w:rPr>
      </w:pPr>
      <w:r>
        <w:rPr>
          <w:rFonts w:hint="eastAsia" w:ascii="宋体" w:hAnsi="宋体" w:eastAsia="宋体" w:cs="Arial"/>
          <w:kern w:val="0"/>
          <w:sz w:val="24"/>
          <w:szCs w:val="24"/>
        </w:rPr>
        <w:t xml:space="preserve">   1、不属于中小企业划型标准确定的中小企业，不得按《关于印发中小企业划型标准规定的通知》规定声明为中小微企业，也不适用《政府采购促进中小企业发展暂行办法》。</w:t>
      </w:r>
    </w:p>
    <w:p>
      <w:pPr>
        <w:spacing w:before="100" w:beforeAutospacing="1" w:after="100" w:afterAutospacing="1" w:line="360" w:lineRule="auto"/>
        <w:contextualSpacing/>
        <w:jc w:val="left"/>
        <w:rPr>
          <w:rFonts w:ascii="宋体" w:hAnsi="宋体" w:eastAsia="宋体" w:cs="Arial"/>
          <w:kern w:val="0"/>
          <w:sz w:val="24"/>
          <w:szCs w:val="24"/>
        </w:rPr>
      </w:pPr>
      <w:r>
        <w:rPr>
          <w:rFonts w:hint="eastAsia" w:ascii="宋体" w:hAnsi="宋体" w:eastAsia="宋体" w:cs="Arial"/>
          <w:kern w:val="0"/>
          <w:sz w:val="24"/>
          <w:szCs w:val="24"/>
        </w:rPr>
        <w:t xml:space="preserve">   2、如投标人为联合投标的，联合投标人需分别填写上述《中小企业声明函》。</w:t>
      </w:r>
    </w:p>
    <w:p>
      <w:pPr>
        <w:autoSpaceDE w:val="0"/>
        <w:autoSpaceDN w:val="0"/>
        <w:adjustRightInd w:val="0"/>
        <w:spacing w:line="360" w:lineRule="auto"/>
        <w:jc w:val="center"/>
        <w:rPr>
          <w:rFonts w:ascii="宋体" w:hAnsi="宋体" w:eastAsia="宋体" w:cs="Arial"/>
          <w:kern w:val="0"/>
          <w:sz w:val="24"/>
          <w:szCs w:val="24"/>
        </w:rPr>
      </w:pPr>
    </w:p>
    <w:p>
      <w:pPr>
        <w:autoSpaceDE w:val="0"/>
        <w:autoSpaceDN w:val="0"/>
        <w:adjustRightInd w:val="0"/>
        <w:spacing w:line="360" w:lineRule="auto"/>
        <w:jc w:val="center"/>
        <w:rPr>
          <w:rFonts w:ascii="宋体" w:hAnsi="宋体" w:eastAsia="宋体"/>
          <w:b/>
          <w:bCs/>
          <w:sz w:val="36"/>
          <w:szCs w:val="36"/>
        </w:rPr>
      </w:pPr>
    </w:p>
    <w:p>
      <w:pPr>
        <w:autoSpaceDE w:val="0"/>
        <w:autoSpaceDN w:val="0"/>
        <w:adjustRightInd w:val="0"/>
        <w:spacing w:line="360" w:lineRule="auto"/>
        <w:jc w:val="center"/>
        <w:rPr>
          <w:rFonts w:ascii="宋体" w:hAnsi="宋体" w:eastAsia="宋体"/>
          <w:b/>
          <w:bCs/>
          <w:sz w:val="36"/>
          <w:szCs w:val="36"/>
        </w:rPr>
      </w:pPr>
    </w:p>
    <w:p>
      <w:pPr>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4.7 残疾人福利性单位声明函</w:t>
      </w:r>
    </w:p>
    <w:p>
      <w:pPr>
        <w:spacing w:line="360" w:lineRule="auto"/>
        <w:rPr>
          <w:rFonts w:ascii="宋体" w:hAnsi="宋体" w:eastAsia="宋体"/>
          <w:szCs w:val="21"/>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 w:val="24"/>
          <w:szCs w:val="24"/>
          <w:u w:val="single"/>
        </w:rPr>
        <w:t xml:space="preserve">          </w:t>
      </w:r>
      <w:r>
        <w:rPr>
          <w:rFonts w:hint="eastAsia" w:ascii="宋体" w:hAnsi="宋体" w:eastAsia="宋体"/>
          <w:sz w:val="24"/>
          <w:szCs w:val="24"/>
        </w:rPr>
        <w:t>单位的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单位名称（盖章）：</w:t>
      </w:r>
    </w:p>
    <w:p>
      <w:pPr>
        <w:spacing w:line="360" w:lineRule="auto"/>
        <w:rPr>
          <w:rFonts w:ascii="宋体" w:hAnsi="宋体" w:eastAsia="宋体"/>
          <w:sz w:val="24"/>
          <w:szCs w:val="24"/>
        </w:rPr>
      </w:pPr>
      <w:r>
        <w:rPr>
          <w:rFonts w:hint="eastAsia" w:ascii="宋体" w:hAnsi="宋体" w:eastAsia="宋体"/>
          <w:sz w:val="24"/>
          <w:szCs w:val="24"/>
        </w:rPr>
        <w:t xml:space="preserve">                                    日    期：</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五、</w:t>
      </w:r>
      <w:r>
        <w:rPr>
          <w:rFonts w:ascii="宋体" w:hAnsi="宋体" w:eastAsia="宋体"/>
          <w:b/>
          <w:snapToGrid w:val="0"/>
          <w:kern w:val="0"/>
          <w:sz w:val="32"/>
          <w:szCs w:val="32"/>
        </w:rPr>
        <w:t>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left"/>
        <w:rPr>
          <w:rFonts w:ascii="宋体" w:hAnsi="宋体" w:eastAsia="宋体"/>
          <w:b/>
          <w:bCs/>
          <w:szCs w:val="21"/>
        </w:rPr>
      </w:pPr>
      <w:r>
        <w:rPr>
          <w:rFonts w:ascii="宋体" w:hAnsi="宋体" w:eastAsia="宋体"/>
          <w:b/>
          <w:bCs/>
          <w:szCs w:val="21"/>
        </w:rPr>
        <w:t>除招标文件另有规定外，投标人认为需要提交的其他证明材料或资料加盖投标人的单位公章后应在此项下提交。</w:t>
      </w: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cs="宋体"/>
          <w:b/>
          <w:sz w:val="36"/>
          <w:szCs w:val="36"/>
          <w:shd w:val="clear" w:color="auto" w:fill="FFFFFF"/>
        </w:rPr>
      </w:pPr>
    </w:p>
    <w:p>
      <w:pPr>
        <w:jc w:val="right"/>
        <w:rPr>
          <w:rFonts w:ascii="宋体" w:hAnsi="宋体" w:eastAsia="宋体"/>
        </w:rPr>
      </w:pPr>
    </w:p>
    <w:sectPr>
      <w:pgSz w:w="11906" w:h="16838"/>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26105"/>
    </w:sdtPr>
    <w:sdtContent>
      <w:p>
        <w:pPr>
          <w:pStyle w:val="16"/>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10F8D"/>
    <w:multiLevelType w:val="singleLevel"/>
    <w:tmpl w:val="A4510F8D"/>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E8"/>
    <w:multiLevelType w:val="singleLevel"/>
    <w:tmpl w:val="59F817E8"/>
    <w:lvl w:ilvl="0" w:tentative="0">
      <w:start w:val="1"/>
      <w:numFmt w:val="chineseCounting"/>
      <w:pStyle w:val="51"/>
      <w:suff w:val="nothing"/>
      <w:lvlText w:val="%1、"/>
      <w:lvlJc w:val="left"/>
    </w:lvl>
  </w:abstractNum>
  <w:abstractNum w:abstractNumId="5">
    <w:nsid w:val="775334A7"/>
    <w:multiLevelType w:val="singleLevel"/>
    <w:tmpl w:val="775334A7"/>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0620B"/>
    <w:rsid w:val="00012712"/>
    <w:rsid w:val="00013E05"/>
    <w:rsid w:val="000145B9"/>
    <w:rsid w:val="000178D4"/>
    <w:rsid w:val="00020353"/>
    <w:rsid w:val="00021475"/>
    <w:rsid w:val="00021A0B"/>
    <w:rsid w:val="00022000"/>
    <w:rsid w:val="00022021"/>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6AFB"/>
    <w:rsid w:val="00091F08"/>
    <w:rsid w:val="000938BE"/>
    <w:rsid w:val="000A2B29"/>
    <w:rsid w:val="000A78E1"/>
    <w:rsid w:val="000A7A0E"/>
    <w:rsid w:val="000A7DBB"/>
    <w:rsid w:val="000B0639"/>
    <w:rsid w:val="000B2502"/>
    <w:rsid w:val="000B691B"/>
    <w:rsid w:val="000B76FE"/>
    <w:rsid w:val="000C15AC"/>
    <w:rsid w:val="000C2AD4"/>
    <w:rsid w:val="000C2B1A"/>
    <w:rsid w:val="000C4B18"/>
    <w:rsid w:val="000C5471"/>
    <w:rsid w:val="000C5472"/>
    <w:rsid w:val="000D0962"/>
    <w:rsid w:val="000D24B4"/>
    <w:rsid w:val="000D3714"/>
    <w:rsid w:val="000D4F8E"/>
    <w:rsid w:val="000D56C3"/>
    <w:rsid w:val="000E102E"/>
    <w:rsid w:val="000F293F"/>
    <w:rsid w:val="000F3964"/>
    <w:rsid w:val="00107190"/>
    <w:rsid w:val="00110DDA"/>
    <w:rsid w:val="00113A6C"/>
    <w:rsid w:val="00114F7B"/>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729F5"/>
    <w:rsid w:val="00172FAB"/>
    <w:rsid w:val="00175E00"/>
    <w:rsid w:val="00177BD6"/>
    <w:rsid w:val="001812E3"/>
    <w:rsid w:val="00184510"/>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809C6"/>
    <w:rsid w:val="002822CF"/>
    <w:rsid w:val="00282D0F"/>
    <w:rsid w:val="00294675"/>
    <w:rsid w:val="002A4363"/>
    <w:rsid w:val="002A4A94"/>
    <w:rsid w:val="002A6876"/>
    <w:rsid w:val="002A7861"/>
    <w:rsid w:val="002B4001"/>
    <w:rsid w:val="002C72D4"/>
    <w:rsid w:val="002D5CAA"/>
    <w:rsid w:val="002D71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55A48"/>
    <w:rsid w:val="00355D76"/>
    <w:rsid w:val="00361029"/>
    <w:rsid w:val="00361EF7"/>
    <w:rsid w:val="00365D02"/>
    <w:rsid w:val="0037403C"/>
    <w:rsid w:val="00380D7C"/>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3F21B9"/>
    <w:rsid w:val="003F35F9"/>
    <w:rsid w:val="00401255"/>
    <w:rsid w:val="00402370"/>
    <w:rsid w:val="00407453"/>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DD2"/>
    <w:rsid w:val="00436090"/>
    <w:rsid w:val="00441993"/>
    <w:rsid w:val="004434B0"/>
    <w:rsid w:val="00445971"/>
    <w:rsid w:val="00447141"/>
    <w:rsid w:val="00453CFB"/>
    <w:rsid w:val="004558C9"/>
    <w:rsid w:val="004564E6"/>
    <w:rsid w:val="0046299D"/>
    <w:rsid w:val="00471D9E"/>
    <w:rsid w:val="00474B4F"/>
    <w:rsid w:val="00480EAD"/>
    <w:rsid w:val="004831BE"/>
    <w:rsid w:val="00484A4D"/>
    <w:rsid w:val="004872EA"/>
    <w:rsid w:val="0048788B"/>
    <w:rsid w:val="00492301"/>
    <w:rsid w:val="0049254D"/>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1FCD"/>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7085"/>
    <w:rsid w:val="006A79B1"/>
    <w:rsid w:val="006B11BB"/>
    <w:rsid w:val="006B59F9"/>
    <w:rsid w:val="006B7824"/>
    <w:rsid w:val="006C1ABC"/>
    <w:rsid w:val="006C4A8D"/>
    <w:rsid w:val="006C5180"/>
    <w:rsid w:val="006D0405"/>
    <w:rsid w:val="006D2502"/>
    <w:rsid w:val="006D2F3B"/>
    <w:rsid w:val="006D2F43"/>
    <w:rsid w:val="006D332D"/>
    <w:rsid w:val="006D5390"/>
    <w:rsid w:val="006E2BD5"/>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417F"/>
    <w:rsid w:val="007E5964"/>
    <w:rsid w:val="007E6183"/>
    <w:rsid w:val="007F0385"/>
    <w:rsid w:val="007F0A64"/>
    <w:rsid w:val="007F2A28"/>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5474"/>
    <w:rsid w:val="008B57FF"/>
    <w:rsid w:val="008B5A12"/>
    <w:rsid w:val="008B7AF4"/>
    <w:rsid w:val="008C0DA8"/>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5A17"/>
    <w:rsid w:val="00905B1E"/>
    <w:rsid w:val="00907E1C"/>
    <w:rsid w:val="00907F3C"/>
    <w:rsid w:val="00912C93"/>
    <w:rsid w:val="00917FE7"/>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72275"/>
    <w:rsid w:val="00973D36"/>
    <w:rsid w:val="0097535A"/>
    <w:rsid w:val="00985EBA"/>
    <w:rsid w:val="00986060"/>
    <w:rsid w:val="0098622D"/>
    <w:rsid w:val="00987CF2"/>
    <w:rsid w:val="0099095B"/>
    <w:rsid w:val="009A452D"/>
    <w:rsid w:val="009B2169"/>
    <w:rsid w:val="009B2B36"/>
    <w:rsid w:val="009B502B"/>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53B"/>
    <w:rsid w:val="00A27AA9"/>
    <w:rsid w:val="00A3354E"/>
    <w:rsid w:val="00A339F0"/>
    <w:rsid w:val="00A36206"/>
    <w:rsid w:val="00A4096D"/>
    <w:rsid w:val="00A424A2"/>
    <w:rsid w:val="00A42751"/>
    <w:rsid w:val="00A44605"/>
    <w:rsid w:val="00A52737"/>
    <w:rsid w:val="00A54E5B"/>
    <w:rsid w:val="00A558D3"/>
    <w:rsid w:val="00A56DAA"/>
    <w:rsid w:val="00A6002C"/>
    <w:rsid w:val="00A61041"/>
    <w:rsid w:val="00A61AF6"/>
    <w:rsid w:val="00A61CAD"/>
    <w:rsid w:val="00A63C44"/>
    <w:rsid w:val="00A678EF"/>
    <w:rsid w:val="00A75A79"/>
    <w:rsid w:val="00A8027E"/>
    <w:rsid w:val="00A8774F"/>
    <w:rsid w:val="00A910F1"/>
    <w:rsid w:val="00A93C00"/>
    <w:rsid w:val="00A94444"/>
    <w:rsid w:val="00A960D0"/>
    <w:rsid w:val="00AA0F1B"/>
    <w:rsid w:val="00AA1FF6"/>
    <w:rsid w:val="00AA4CCD"/>
    <w:rsid w:val="00AB37AF"/>
    <w:rsid w:val="00AB43A7"/>
    <w:rsid w:val="00AB4DAB"/>
    <w:rsid w:val="00AC2DBF"/>
    <w:rsid w:val="00AC49CE"/>
    <w:rsid w:val="00AC4FD2"/>
    <w:rsid w:val="00AC6DE4"/>
    <w:rsid w:val="00AD1376"/>
    <w:rsid w:val="00AD175C"/>
    <w:rsid w:val="00AE2422"/>
    <w:rsid w:val="00AE3298"/>
    <w:rsid w:val="00B02024"/>
    <w:rsid w:val="00B03F79"/>
    <w:rsid w:val="00B05115"/>
    <w:rsid w:val="00B0543B"/>
    <w:rsid w:val="00B07980"/>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75F"/>
    <w:rsid w:val="00BC7EB6"/>
    <w:rsid w:val="00BD26E3"/>
    <w:rsid w:val="00BD46B3"/>
    <w:rsid w:val="00BD4844"/>
    <w:rsid w:val="00BD4F16"/>
    <w:rsid w:val="00BD62A9"/>
    <w:rsid w:val="00BD68BD"/>
    <w:rsid w:val="00BD6B19"/>
    <w:rsid w:val="00BD7252"/>
    <w:rsid w:val="00BD77B4"/>
    <w:rsid w:val="00BE05C3"/>
    <w:rsid w:val="00BE4C73"/>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40849"/>
    <w:rsid w:val="00C41183"/>
    <w:rsid w:val="00C42E82"/>
    <w:rsid w:val="00C43817"/>
    <w:rsid w:val="00C44373"/>
    <w:rsid w:val="00C44B22"/>
    <w:rsid w:val="00C44CB2"/>
    <w:rsid w:val="00C46BF7"/>
    <w:rsid w:val="00C51259"/>
    <w:rsid w:val="00C520F1"/>
    <w:rsid w:val="00C55512"/>
    <w:rsid w:val="00C66916"/>
    <w:rsid w:val="00C677E0"/>
    <w:rsid w:val="00C70AC1"/>
    <w:rsid w:val="00C70FB9"/>
    <w:rsid w:val="00C73B5B"/>
    <w:rsid w:val="00C81E49"/>
    <w:rsid w:val="00C821C3"/>
    <w:rsid w:val="00C864CA"/>
    <w:rsid w:val="00C910A5"/>
    <w:rsid w:val="00C967BD"/>
    <w:rsid w:val="00CA4EB4"/>
    <w:rsid w:val="00CA584A"/>
    <w:rsid w:val="00CA60C0"/>
    <w:rsid w:val="00CB277E"/>
    <w:rsid w:val="00CB32BE"/>
    <w:rsid w:val="00CB5D80"/>
    <w:rsid w:val="00CB6BE6"/>
    <w:rsid w:val="00CB77EA"/>
    <w:rsid w:val="00CC5104"/>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4707"/>
    <w:rsid w:val="00D37098"/>
    <w:rsid w:val="00D42A85"/>
    <w:rsid w:val="00D50424"/>
    <w:rsid w:val="00D51935"/>
    <w:rsid w:val="00D53F80"/>
    <w:rsid w:val="00D60F2F"/>
    <w:rsid w:val="00D615B9"/>
    <w:rsid w:val="00D65B94"/>
    <w:rsid w:val="00D65D54"/>
    <w:rsid w:val="00D73044"/>
    <w:rsid w:val="00D7648C"/>
    <w:rsid w:val="00D829CB"/>
    <w:rsid w:val="00D8777F"/>
    <w:rsid w:val="00D87987"/>
    <w:rsid w:val="00D91954"/>
    <w:rsid w:val="00D92EE6"/>
    <w:rsid w:val="00D97746"/>
    <w:rsid w:val="00DA7855"/>
    <w:rsid w:val="00DA793F"/>
    <w:rsid w:val="00DB0DE6"/>
    <w:rsid w:val="00DC21F0"/>
    <w:rsid w:val="00DC2B65"/>
    <w:rsid w:val="00DC6509"/>
    <w:rsid w:val="00DC7053"/>
    <w:rsid w:val="00DD3337"/>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10FA0"/>
    <w:rsid w:val="00E122CB"/>
    <w:rsid w:val="00E215F1"/>
    <w:rsid w:val="00E23129"/>
    <w:rsid w:val="00E301A5"/>
    <w:rsid w:val="00E31290"/>
    <w:rsid w:val="00E31F92"/>
    <w:rsid w:val="00E34343"/>
    <w:rsid w:val="00E43111"/>
    <w:rsid w:val="00E533A3"/>
    <w:rsid w:val="00E53E54"/>
    <w:rsid w:val="00E554FC"/>
    <w:rsid w:val="00E56D1C"/>
    <w:rsid w:val="00E57228"/>
    <w:rsid w:val="00E66747"/>
    <w:rsid w:val="00E7246F"/>
    <w:rsid w:val="00E76E11"/>
    <w:rsid w:val="00E81BC8"/>
    <w:rsid w:val="00E92C9A"/>
    <w:rsid w:val="00E970F5"/>
    <w:rsid w:val="00EA0993"/>
    <w:rsid w:val="00EA27A5"/>
    <w:rsid w:val="00EA474B"/>
    <w:rsid w:val="00EA678F"/>
    <w:rsid w:val="00EA7327"/>
    <w:rsid w:val="00EB122F"/>
    <w:rsid w:val="00EB2003"/>
    <w:rsid w:val="00EC12C7"/>
    <w:rsid w:val="00EC2A79"/>
    <w:rsid w:val="00EC52FD"/>
    <w:rsid w:val="00EC5F8C"/>
    <w:rsid w:val="00EC6291"/>
    <w:rsid w:val="00EC6420"/>
    <w:rsid w:val="00ED06C7"/>
    <w:rsid w:val="00ED12B1"/>
    <w:rsid w:val="00ED1A13"/>
    <w:rsid w:val="00ED4E2E"/>
    <w:rsid w:val="00ED57B5"/>
    <w:rsid w:val="00ED57DC"/>
    <w:rsid w:val="00ED6FA9"/>
    <w:rsid w:val="00EE15D9"/>
    <w:rsid w:val="00EF0293"/>
    <w:rsid w:val="00EF1B01"/>
    <w:rsid w:val="00EF3DC1"/>
    <w:rsid w:val="00EF4F3A"/>
    <w:rsid w:val="00EF5261"/>
    <w:rsid w:val="00F001F0"/>
    <w:rsid w:val="00F04E0C"/>
    <w:rsid w:val="00F04FC6"/>
    <w:rsid w:val="00F054EC"/>
    <w:rsid w:val="00F105D7"/>
    <w:rsid w:val="00F200D9"/>
    <w:rsid w:val="00F270AE"/>
    <w:rsid w:val="00F2739F"/>
    <w:rsid w:val="00F3278B"/>
    <w:rsid w:val="00F336D5"/>
    <w:rsid w:val="00F36EAE"/>
    <w:rsid w:val="00F40A77"/>
    <w:rsid w:val="00F45F42"/>
    <w:rsid w:val="00F51A04"/>
    <w:rsid w:val="00F566F9"/>
    <w:rsid w:val="00F6323A"/>
    <w:rsid w:val="00F6614B"/>
    <w:rsid w:val="00F700DD"/>
    <w:rsid w:val="00F703D8"/>
    <w:rsid w:val="00F70AA1"/>
    <w:rsid w:val="00F713BF"/>
    <w:rsid w:val="00F726CB"/>
    <w:rsid w:val="00F77138"/>
    <w:rsid w:val="00F771F3"/>
    <w:rsid w:val="00F7780B"/>
    <w:rsid w:val="00F823FB"/>
    <w:rsid w:val="00F84F9D"/>
    <w:rsid w:val="00F869FC"/>
    <w:rsid w:val="00F9003E"/>
    <w:rsid w:val="00F94449"/>
    <w:rsid w:val="00F94EF7"/>
    <w:rsid w:val="00F95117"/>
    <w:rsid w:val="00F95F0E"/>
    <w:rsid w:val="00FA3464"/>
    <w:rsid w:val="00FA42EB"/>
    <w:rsid w:val="00FA5D51"/>
    <w:rsid w:val="00FA69A3"/>
    <w:rsid w:val="00FB5067"/>
    <w:rsid w:val="00FB7BCA"/>
    <w:rsid w:val="00FB7FAF"/>
    <w:rsid w:val="00FC5937"/>
    <w:rsid w:val="00FC7550"/>
    <w:rsid w:val="00FD2FE5"/>
    <w:rsid w:val="00FD4251"/>
    <w:rsid w:val="00FE0F0A"/>
    <w:rsid w:val="00FE0F7C"/>
    <w:rsid w:val="00FE265E"/>
    <w:rsid w:val="00FE3C90"/>
    <w:rsid w:val="00FE6002"/>
    <w:rsid w:val="00FE6A83"/>
    <w:rsid w:val="00FF2E8B"/>
    <w:rsid w:val="00FF6A16"/>
    <w:rsid w:val="00FF7E23"/>
    <w:rsid w:val="01157312"/>
    <w:rsid w:val="01DF3A5C"/>
    <w:rsid w:val="038063C5"/>
    <w:rsid w:val="042E6AB4"/>
    <w:rsid w:val="04580BD2"/>
    <w:rsid w:val="05743F47"/>
    <w:rsid w:val="08261E3C"/>
    <w:rsid w:val="087A5458"/>
    <w:rsid w:val="087F44EA"/>
    <w:rsid w:val="08BB5E59"/>
    <w:rsid w:val="0A90186D"/>
    <w:rsid w:val="0BE379A8"/>
    <w:rsid w:val="101769C4"/>
    <w:rsid w:val="10C4429D"/>
    <w:rsid w:val="118F367D"/>
    <w:rsid w:val="12034223"/>
    <w:rsid w:val="13FA78A6"/>
    <w:rsid w:val="141939A5"/>
    <w:rsid w:val="16665062"/>
    <w:rsid w:val="17F42C1A"/>
    <w:rsid w:val="18FD12B9"/>
    <w:rsid w:val="1ABC221E"/>
    <w:rsid w:val="1B1E61DD"/>
    <w:rsid w:val="1C6A46A0"/>
    <w:rsid w:val="1F3C5D21"/>
    <w:rsid w:val="1FA85972"/>
    <w:rsid w:val="223206A1"/>
    <w:rsid w:val="2307155F"/>
    <w:rsid w:val="26DA4AF5"/>
    <w:rsid w:val="277B61EE"/>
    <w:rsid w:val="27C95FC0"/>
    <w:rsid w:val="2B7B4645"/>
    <w:rsid w:val="2B9A25B0"/>
    <w:rsid w:val="2D9C7338"/>
    <w:rsid w:val="2EC93EEC"/>
    <w:rsid w:val="2F9B2CEE"/>
    <w:rsid w:val="333360C7"/>
    <w:rsid w:val="341A2984"/>
    <w:rsid w:val="34CC3C25"/>
    <w:rsid w:val="39266131"/>
    <w:rsid w:val="39423467"/>
    <w:rsid w:val="39A4056A"/>
    <w:rsid w:val="3BA07FF3"/>
    <w:rsid w:val="3BFE578E"/>
    <w:rsid w:val="3CF02837"/>
    <w:rsid w:val="3E8B737C"/>
    <w:rsid w:val="3EAA216D"/>
    <w:rsid w:val="401E4C91"/>
    <w:rsid w:val="44050E40"/>
    <w:rsid w:val="44D43F0A"/>
    <w:rsid w:val="44E72EA6"/>
    <w:rsid w:val="4A9B2E1B"/>
    <w:rsid w:val="4AE1026E"/>
    <w:rsid w:val="5074758D"/>
    <w:rsid w:val="525023C6"/>
    <w:rsid w:val="550E1BF3"/>
    <w:rsid w:val="568C1F86"/>
    <w:rsid w:val="59DD4972"/>
    <w:rsid w:val="5A3C16B5"/>
    <w:rsid w:val="5AA9147B"/>
    <w:rsid w:val="5BA70B95"/>
    <w:rsid w:val="5D8C5279"/>
    <w:rsid w:val="5DB2451E"/>
    <w:rsid w:val="5F36008A"/>
    <w:rsid w:val="60266480"/>
    <w:rsid w:val="60612555"/>
    <w:rsid w:val="61086DB6"/>
    <w:rsid w:val="61AD3111"/>
    <w:rsid w:val="62956902"/>
    <w:rsid w:val="6431237D"/>
    <w:rsid w:val="67155392"/>
    <w:rsid w:val="692774E7"/>
    <w:rsid w:val="69BA4959"/>
    <w:rsid w:val="6AD04219"/>
    <w:rsid w:val="6B223AC5"/>
    <w:rsid w:val="6EEF0D78"/>
    <w:rsid w:val="6FAB7738"/>
    <w:rsid w:val="702908D0"/>
    <w:rsid w:val="716C2E5D"/>
    <w:rsid w:val="71953B5C"/>
    <w:rsid w:val="7545076C"/>
    <w:rsid w:val="792C3B6F"/>
    <w:rsid w:val="7DD05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link w:val="56"/>
    <w:semiHidden/>
    <w:unhideWhenUsed/>
    <w:qFormat/>
    <w:uiPriority w:val="99"/>
    <w:rPr>
      <w:rFonts w:ascii="宋体" w:eastAsia="宋体"/>
      <w:sz w:val="18"/>
      <w:szCs w:val="18"/>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99"/>
    <w:pPr>
      <w:ind w:left="100" w:leftChars="2500"/>
    </w:pPr>
  </w:style>
  <w:style w:type="paragraph" w:styleId="15">
    <w:name w:val="Balloon Text"/>
    <w:basedOn w:val="1"/>
    <w:link w:val="58"/>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19">
    <w:name w:val="toc 2"/>
    <w:basedOn w:val="1"/>
    <w:next w:val="1"/>
    <w:unhideWhenUsed/>
    <w:qFormat/>
    <w:uiPriority w:val="39"/>
    <w:pPr>
      <w:ind w:left="420" w:leftChars="200"/>
    </w:p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99"/>
    <w:rPr>
      <w:color w:val="0000FF"/>
      <w:u w:val="single"/>
    </w:rPr>
  </w:style>
  <w:style w:type="character" w:customStyle="1" w:styleId="29">
    <w:name w:val="标题 1 Char"/>
    <w:basedOn w:val="25"/>
    <w:link w:val="2"/>
    <w:qFormat/>
    <w:uiPriority w:val="0"/>
    <w:rPr>
      <w:rFonts w:ascii="Calibri" w:hAnsi="Calibri" w:eastAsia="宋体" w:cs="Times New Roman"/>
      <w:b/>
      <w:bCs/>
      <w:kern w:val="44"/>
      <w:sz w:val="44"/>
      <w:szCs w:val="44"/>
    </w:rPr>
  </w:style>
  <w:style w:type="character" w:customStyle="1" w:styleId="30">
    <w:name w:val="标题 2 Char"/>
    <w:basedOn w:val="25"/>
    <w:link w:val="3"/>
    <w:qFormat/>
    <w:uiPriority w:val="0"/>
    <w:rPr>
      <w:rFonts w:ascii="Arial" w:hAnsi="Arial" w:eastAsia="黑体" w:cs="Times New Roman"/>
      <w:b/>
      <w:bCs/>
      <w:kern w:val="0"/>
      <w:sz w:val="32"/>
      <w:szCs w:val="32"/>
    </w:rPr>
  </w:style>
  <w:style w:type="character" w:customStyle="1" w:styleId="31">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5"/>
    <w:qFormat/>
    <w:uiPriority w:val="0"/>
    <w:rPr>
      <w:rFonts w:ascii="Arial" w:hAnsi="Arial" w:eastAsia="黑体" w:cs="Times New Roman"/>
      <w:b/>
      <w:bCs/>
      <w:kern w:val="0"/>
      <w:sz w:val="28"/>
      <w:szCs w:val="28"/>
    </w:rPr>
  </w:style>
  <w:style w:type="character" w:customStyle="1" w:styleId="33">
    <w:name w:val="纯文本 Char"/>
    <w:basedOn w:val="25"/>
    <w:link w:val="13"/>
    <w:qFormat/>
    <w:uiPriority w:val="0"/>
    <w:rPr>
      <w:rFonts w:eastAsia="宋体"/>
      <w:sz w:val="24"/>
    </w:rPr>
  </w:style>
  <w:style w:type="character" w:customStyle="1" w:styleId="34">
    <w:name w:val="日期 Char"/>
    <w:basedOn w:val="25"/>
    <w:link w:val="14"/>
    <w:qFormat/>
    <w:uiPriority w:val="99"/>
  </w:style>
  <w:style w:type="character" w:customStyle="1" w:styleId="35">
    <w:name w:val="页脚 Char"/>
    <w:basedOn w:val="25"/>
    <w:link w:val="16"/>
    <w:qFormat/>
    <w:uiPriority w:val="99"/>
    <w:rPr>
      <w:sz w:val="18"/>
      <w:szCs w:val="18"/>
    </w:rPr>
  </w:style>
  <w:style w:type="character" w:customStyle="1" w:styleId="36">
    <w:name w:val="页眉 Char"/>
    <w:basedOn w:val="25"/>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9"/>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10"/>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5"/>
    <w:link w:val="20"/>
    <w:semiHidden/>
    <w:qFormat/>
    <w:uiPriority w:val="99"/>
    <w:rPr>
      <w:rFonts w:ascii="宋体" w:hAnsi="宋体" w:eastAsia="宋体" w:cs="宋体"/>
      <w:kern w:val="0"/>
      <w:sz w:val="24"/>
      <w:szCs w:val="24"/>
    </w:rPr>
  </w:style>
  <w:style w:type="paragraph" w:customStyle="1" w:styleId="55">
    <w:name w:val="普通(网站)1"/>
    <w:basedOn w:val="1"/>
    <w:qFormat/>
    <w:uiPriority w:val="0"/>
    <w:rPr>
      <w:rFonts w:ascii="Calibri" w:hAnsi="Calibri" w:eastAsia="宋体" w:cs="Times New Roman"/>
      <w:sz w:val="24"/>
      <w:szCs w:val="24"/>
    </w:rPr>
  </w:style>
  <w:style w:type="character" w:customStyle="1" w:styleId="56">
    <w:name w:val="文档结构图 Char"/>
    <w:basedOn w:val="25"/>
    <w:link w:val="8"/>
    <w:semiHidden/>
    <w:qFormat/>
    <w:uiPriority w:val="99"/>
    <w:rPr>
      <w:rFonts w:ascii="宋体" w:eastAsia="宋体"/>
      <w:sz w:val="18"/>
      <w:szCs w:val="18"/>
    </w:rPr>
  </w:style>
  <w:style w:type="paragraph" w:customStyle="1" w:styleId="57">
    <w:name w:val="列出段落2"/>
    <w:basedOn w:val="1"/>
    <w:qFormat/>
    <w:uiPriority w:val="0"/>
    <w:pPr>
      <w:ind w:firstLine="420" w:firstLineChars="200"/>
    </w:pPr>
    <w:rPr>
      <w:rFonts w:ascii="Calibri" w:hAnsi="Calibri" w:eastAsia="宋体" w:cs="黑体"/>
    </w:rPr>
  </w:style>
  <w:style w:type="character" w:customStyle="1" w:styleId="58">
    <w:name w:val="批注框文本 Char"/>
    <w:basedOn w:val="25"/>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9C213-3C18-4B2A-AA11-C46FED536E4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6736</Words>
  <Characters>38399</Characters>
  <Lines>319</Lines>
  <Paragraphs>90</Paragraphs>
  <TotalTime>44</TotalTime>
  <ScaleCrop>false</ScaleCrop>
  <LinksUpToDate>false</LinksUpToDate>
  <CharactersWithSpaces>45045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2019-08-20T07:08:00Z</dcterms:created>
  <dc:creator>许昌市公共资源交易中心:孟莉</dc:creator>
  <cp:lastModifiedBy>河南省地标工程管理有限公司:河南省地标工程管理有限公司</cp:lastModifiedBy>
  <cp:lastPrinted>2019-08-27T09:03:00Z</cp:lastPrinted>
  <dcterms:modified xsi:type="dcterms:W3CDTF">2019-08-29T08:16:22Z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