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jc w:val="center"/>
      </w:pPr>
      <w:bookmarkStart w:id="0" w:name="_Toc17709183"/>
      <w:r>
        <w:rPr>
          <w:lang w:val="en-US"/>
        </w:rPr>
        <w:t>4.1</w:t>
      </w:r>
      <w:r>
        <w:rPr>
          <w:rFonts w:hint="eastAsia" w:ascii="Arial" w:hAnsi="Arial" w:eastAsia="黑体" w:cs="黑体"/>
          <w:lang w:eastAsia="zh-CN"/>
        </w:rPr>
        <w:t>分项报价表（货物类项目）</w:t>
      </w:r>
      <w:bookmarkEnd w:id="0"/>
    </w:p>
    <w:p>
      <w:pPr>
        <w:pStyle w:val="10"/>
        <w:widowControl/>
      </w:pPr>
      <w:r>
        <w:rPr>
          <w:lang w:eastAsia="zh-CN"/>
        </w:rPr>
        <w:t>项目编号：</w:t>
      </w:r>
      <w:r>
        <w:rPr>
          <w:lang w:val="en-US"/>
        </w:rPr>
        <w:t>ZFCG-G2019113</w:t>
      </w:r>
      <w:r>
        <w:rPr>
          <w:lang w:eastAsia="zh-CN"/>
        </w:rPr>
        <w:t>号</w:t>
      </w:r>
    </w:p>
    <w:p>
      <w:pPr>
        <w:pStyle w:val="10"/>
        <w:widowControl/>
      </w:pPr>
      <w:r>
        <w:rPr>
          <w:lang w:eastAsia="zh-CN"/>
        </w:rPr>
        <w:t>项目名称：数字对讲设备</w:t>
      </w:r>
    </w:p>
    <w:tbl>
      <w:tblPr>
        <w:tblStyle w:val="5"/>
        <w:tblpPr w:leftFromText="180" w:rightFromText="180" w:vertAnchor="text" w:horzAnchor="page" w:tblpX="1379" w:tblpY="474"/>
        <w:tblOverlap w:val="never"/>
        <w:tblW w:w="13717" w:type="dxa"/>
        <w:tblInd w:w="0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904"/>
        <w:gridCol w:w="987"/>
        <w:gridCol w:w="6587"/>
        <w:gridCol w:w="965"/>
        <w:gridCol w:w="788"/>
        <w:gridCol w:w="855"/>
        <w:gridCol w:w="865"/>
        <w:gridCol w:w="1233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序号</w:t>
            </w: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名称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规格型号</w:t>
            </w:r>
          </w:p>
        </w:tc>
        <w:tc>
          <w:tcPr>
            <w:tcW w:w="6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技术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参数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单位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数量</w:t>
            </w:r>
          </w:p>
        </w:tc>
        <w:tc>
          <w:tcPr>
            <w:tcW w:w="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单价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2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总价</w:t>
            </w:r>
          </w:p>
        </w:tc>
        <w:tc>
          <w:tcPr>
            <w:tcW w:w="12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产地及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120" w:right="0" w:hanging="120"/>
              <w:jc w:val="center"/>
              <w:rPr>
                <w:rFonts w:hint="eastAsia" w:ascii="宋体" w:hAnsi="宋体" w:eastAsia="宋体" w:cs="宋体"/>
                <w:b/>
                <w:bCs w:val="0"/>
                <w:szCs w:val="21"/>
                <w:bdr w:val="none" w:color="auto" w:sz="0" w:space="0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数字对讲设备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 w:val="0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>联想</w:t>
            </w:r>
          </w:p>
          <w:p>
            <w:pPr>
              <w:pStyle w:val="4"/>
              <w:widowControl/>
              <w:ind w:left="0" w:firstLine="0" w:firstLineChars="0"/>
              <w:jc w:val="center"/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Cs w:val="21"/>
                <w:bdr w:val="none" w:color="auto" w:sz="0" w:space="0"/>
                <w:lang w:val="en-US"/>
              </w:rPr>
              <w:t>CL110</w:t>
            </w:r>
          </w:p>
        </w:tc>
        <w:tc>
          <w:tcPr>
            <w:tcW w:w="6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数字对讲设备：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材质：ABS+PC材质。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COG屏幕显示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多数据传输稳定，自带GPS定位系统，可以在电脑或手机上管理对讲机。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USB直充。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可单呼/群呼/组呼，临时群呼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一对多固定群组通话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支持快捷键进个呼和群组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支持后台自行管理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轻便小巧有型，屏键呈现专业，操作便捷。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IP54级防尘防水防尘，证书见5.2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群组最大个数200个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灵敏度:-108db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具有无线电型号核准证。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发射功率:26dbm-27dbm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工作温度:-10℃-+55℃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存储温度-40℃-+85℃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质保期内，设备升级、服务等完全免费。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世界500强品牌，保证设备的成熟度和稳定性。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240000</w:t>
            </w:r>
          </w:p>
        </w:tc>
        <w:tc>
          <w:tcPr>
            <w:tcW w:w="12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天津市/天津神州阡陌通讯科技有限公司</w:t>
            </w: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指挥平台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中兴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2"/>
                <w:bdr w:val="none" w:color="auto" w:sz="0" w:space="0"/>
                <w:lang w:val="en-US" w:eastAsia="zh-CN" w:bidi="ar"/>
              </w:rPr>
              <w:t>ZXTS Echat180</w:t>
            </w:r>
          </w:p>
        </w:tc>
        <w:tc>
          <w:tcPr>
            <w:tcW w:w="6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指挥平台：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调度台多路监听功能：调度台可以同时监听18路组呼和与调度台进行的单呼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调度台多路录音功能：调度台可以同时记录在调度台上调度的18路组呼和与调度台进行的单呼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高优先级组支持组内优先级功能：在高优先级组内，仍支持群组内优先级设置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支持点名功能：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开启点名功能后，当终端发起点名呼叫时，被点名终端的实时位置就会出现在地图上，将语音和定位相结合的点名功能，在语音答到的同时显示答到人的实时位置，支持客户端点名和手机app点名，方便管理人员实时考勤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支持考勤数据导出功能：调度台支持将实时的用户在线状态数据导出，供客户考勤、查岗使用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支持历史轨迹数据导出功能：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调度台支持将用户制定的历史轨迹数据导出，管理员账户可在PC，手机，实时导出查看所有用户的移动轨迹。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调度台全选呼叫可以支持圈选范围多次调整：地图调度的界面下圈选呼叫功能的圈选范围可以反复调整，通过中心点和边缘点两个维度对圈选范围进行调整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多级调度功能：系统支持多级调度，调度层级可以无限向下延申。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多级管理功能：配套多级调度，系统可支持分权分域管理，每一级组织都可设计管理员，对组织内的用户和群组进行管理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支持与公安的三台合一平台对接：平台可以通过网关设备与公安的110接警三台合一平台对接，实现110报警与对讲平台的业务互动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业务可在公安网部署：业务平台支持在公安专网二类网部署，调度台可以通过网闸边界在公安内网使用。确保数据安全性需要。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调度平台语音调度界面可支持多路显示。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3000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3000</w:t>
            </w:r>
          </w:p>
        </w:tc>
        <w:tc>
          <w:tcPr>
            <w:tcW w:w="12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江苏省南京市/南京中兴集群软件有限公司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48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安全网关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4"/>
              <w:widowControl/>
              <w:ind w:left="0" w:firstLine="0" w:firstLineChars="0"/>
              <w:jc w:val="center"/>
              <w:rPr>
                <w:rFonts w:hint="eastAsia" w:ascii="等线 Light" w:hAnsi="等线 Light" w:eastAsia="等线 Light" w:cs="等线 Light"/>
                <w:b/>
                <w:kern w:val="2"/>
                <w:bdr w:val="none" w:color="auto" w:sz="0" w:space="0"/>
                <w:lang w:val="en-US"/>
              </w:rPr>
            </w:pPr>
            <w:r>
              <w:rPr>
                <w:rFonts w:hint="eastAsia" w:ascii="等线 Light" w:hAnsi="等线 Light" w:eastAsia="等线 Light" w:cs="等线 Light"/>
                <w:b/>
                <w:kern w:val="2"/>
                <w:bdr w:val="none" w:color="auto" w:sz="0" w:space="0"/>
                <w:lang w:val="en-US"/>
              </w:rPr>
              <w:t>H3C SecPath</w:t>
            </w:r>
          </w:p>
          <w:p>
            <w:pPr>
              <w:pStyle w:val="4"/>
              <w:widowControl/>
              <w:ind w:left="0" w:firstLine="0" w:firstLineChars="0"/>
              <w:jc w:val="center"/>
            </w:pPr>
            <w:r>
              <w:rPr>
                <w:rFonts w:hint="eastAsia" w:ascii="等线 Light" w:hAnsi="等线 Light" w:eastAsia="等线 Light" w:cs="等线 Light"/>
                <w:b/>
                <w:kern w:val="2"/>
                <w:bdr w:val="none" w:color="auto" w:sz="0" w:space="0"/>
                <w:lang w:val="en-US"/>
              </w:rPr>
              <w:t>F1020</w:t>
            </w:r>
          </w:p>
        </w:tc>
        <w:tc>
          <w:tcPr>
            <w:tcW w:w="6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硬件架构：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采用非X86 64位多核高性能处理器和高速存储器，主控模块内存4G， 2U以下盒式设备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端口要求：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8个千兆光口+2个万兆光口+16个千兆电口，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整机最大可扩展接口数量8SPF+20GE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扩展要求：1个扩展槽位，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可扩展8GE Bypass功能接口，500G硬盘扩展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产品性能：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最大并发连接数800万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IPSec VPN并发连接数4000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每秒新建连接数80K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整机大包吞吐量6Gbps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可靠性要求：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支持VRRP的链路备份，支持本地+云端方式，139个分类库，超2000万条URL规则，支持双机堆叠SCF技术，融合后可统一管理配置并实现负载分担和业务备份。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融合后可统一管理配置并实现负载分担和业务备份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支持IPSec VPN的IKE状态同步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基本功能：支持安全区域管理，可基于接口、VLAN划分安全区域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ASPF状态检查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支持FTP、HTTP、SMTP、RTSP、H323协议簇的状态报文过滤，支持时间段安全策略设置。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支持基于用于、应用的多维安全策略配置，并提供一体化安全策略配置模板（单条策略融合IPS、AV、ACG等多业务）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支持智能安全策略功能（iPolicy），实现策略冗余检测、策略匹配优化建议、整网安全策略自动生成及推荐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支持基于CPU、内存等硬件划分资源的完全虚拟化SOP,可分配吞吐量、新建、并发，虚拟防火墙数量≥16个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免费支持高性能IPSec、L2TP、GRE VPN功能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能够实现与L2TP over IPSec与安卓、ISO系统自带VPN组件对接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支持高性能SSL VPN功能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提供客户端与安卓、IOS、Windows、Linux、MAC对接，支持BYOD解决方案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支持AV病毒防护、IPS深度安全防护功能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支持应用层防护：入侵防御、带宽管理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支持URL过滤、反垃圾邮件及敏感信息防泄漏功能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支持链路负载均衡功能、服务器负责均衡功能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支持IPv6：IPV6状态防火墙、IPV6动态路由协议、IPV6攻击防范、IPV6虚拟防火墙、IPV6管理、NAT64\DS-LITE等过渡技术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支持静态路由、RIP v1/2、OSPF、ISIS、BGP、策略路由等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支持Syslog、NAT转换、攻击防范、黑名单等日志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支持流量监控日志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支持二进制格式日志、支持用户行为流日志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支持高性能二进制SYSLOG日志，日志对新建性能影响小于10%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必须支持一对一、地址池等NAT方式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必须支持NAT444、Fullcone NAT、NAT hairpin、两次NAT、双向NAT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必须支持多种应用协议，如FTP、H323、RAS、HWCC、SIP、ICMP、DNS、PPTP、NBT的NAT ALG功能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支持一个公网IP地址NAT无限连接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支持策略NAT ALG功能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支持NAT二进制日志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支持应用层过滤，必须支持Java Blocking、ActiveX 过滤，支持FTP协议深度检测，支持FTP命令字过滤，支持URL过滤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能够防范DOS/DDOS攻击：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Land、Smurf、Fraggle、WinNuke、Ping of Death、Tear Drop、IP Spoofing、SYN Flood、ICMP Flood、UDP Flood、HTTP Flood（cc）攻击、ARP欺骗、TCP报文标志位不合法、超大ICMP报文、地址扫描的防范、端口扫描的防范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智能管理：支持统一管理软件，可实现全网拓扑管理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风险地图显示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攻击溯源功能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整网流量安全图表可视化，流量基线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部署模式：支持路由模式、透明模式和混杂模式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电源：H3C SecPath F1000系列防火墙（F1020以及以上型号）采用互为冗余备份的固化双电源（1＋1备份）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配套管理：支持SNMPv1、SNMPv2C、SNMPv3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支持CONSOLE、TELNET、SSH V1.5管理方式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支持NTP时间同步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支持TR069协议，BIMS管理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43000</w:t>
            </w: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43000</w:t>
            </w:r>
          </w:p>
        </w:tc>
        <w:tc>
          <w:tcPr>
            <w:tcW w:w="12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浙江省杭州市/新华三技术有限公司</w:t>
            </w: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合计</w:t>
            </w:r>
          </w:p>
        </w:tc>
        <w:tc>
          <w:tcPr>
            <w:tcW w:w="122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left="0" w:right="0" w:firstLine="105" w:firstLineChars="50"/>
              <w:jc w:val="both"/>
              <w:rPr>
                <w:rFonts w:hint="eastAsia" w:ascii="宋体" w:hAnsi="宋体" w:eastAsia="宋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大写：　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人民币：贰拾捌万陆仟元整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zh-CN" w:eastAsia="zh-CN" w:bidi="ar"/>
              </w:rPr>
              <w:t>　　小写：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286000.00</w:t>
            </w: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zh-CN" w:eastAsia="zh-CN" w:bidi="ar"/>
        </w:rPr>
        <w:t>投标人（公章）：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 w:bidi="ar"/>
        </w:rPr>
        <w:t>河南许信科技有限公司</w:t>
      </w:r>
    </w:p>
    <w:p>
      <w:bookmarkStart w:id="1" w:name="_GoBack"/>
      <w:bookmarkEnd w:id="1"/>
    </w:p>
    <w:sectPr>
      <w:pgSz w:w="15840" w:h="12240" w:orient="landscape"/>
      <w:pgMar w:top="1800" w:right="1440" w:bottom="1800" w:left="144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@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D6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keepNext/>
      <w:keepLines/>
      <w:widowControl w:val="0"/>
      <w:suppressLineNumbers w:val="0"/>
      <w:spacing w:before="0" w:beforeAutospacing="0" w:after="0" w:afterAutospacing="0" w:line="412" w:lineRule="auto"/>
      <w:ind w:left="0" w:right="0"/>
      <w:jc w:val="both"/>
      <w:outlineLvl w:val="1"/>
    </w:pPr>
    <w:rPr>
      <w:rFonts w:ascii="Arial" w:hAnsi="Arial" w:eastAsia="黑体" w:cs="Times New Roman"/>
      <w:b/>
      <w:kern w:val="2"/>
      <w:sz w:val="32"/>
      <w:szCs w:val="22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uiPriority w:val="0"/>
    <w:pPr>
      <w:spacing w:after="120" w:afterLines="0" w:afterAutospacing="0"/>
    </w:pPr>
  </w:style>
  <w:style w:type="paragraph" w:styleId="4">
    <w:name w:val="Body Text First Indent"/>
    <w:basedOn w:val="3"/>
    <w:link w:val="8"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customStyle="1" w:styleId="7">
    <w:name w:val="标题 2 Char"/>
    <w:basedOn w:val="6"/>
    <w:link w:val="2"/>
    <w:uiPriority w:val="0"/>
    <w:rPr>
      <w:rFonts w:hint="default" w:ascii="Arial" w:hAnsi="Arial" w:eastAsia="黑体" w:cs="Times New Roman"/>
      <w:b/>
      <w:kern w:val="2"/>
      <w:sz w:val="32"/>
      <w:szCs w:val="22"/>
    </w:rPr>
  </w:style>
  <w:style w:type="character" w:customStyle="1" w:styleId="8">
    <w:name w:val="正文首行缩进 Char"/>
    <w:basedOn w:val="9"/>
    <w:link w:val="4"/>
    <w:uiPriority w:val="0"/>
    <w:rPr>
      <w:rFonts w:hint="default" w:ascii="Times New Roman" w:hAnsi="Times New Roman" w:cs="Times New Roman"/>
      <w:sz w:val="24"/>
      <w:szCs w:val="24"/>
    </w:rPr>
  </w:style>
  <w:style w:type="character" w:customStyle="1" w:styleId="9">
    <w:name w:val="正文文本 Char"/>
    <w:basedOn w:val="6"/>
    <w:link w:val="3"/>
    <w:uiPriority w:val="0"/>
    <w:rPr>
      <w:kern w:val="2"/>
      <w:sz w:val="21"/>
      <w:szCs w:val="22"/>
    </w:rPr>
  </w:style>
  <w:style w:type="paragraph" w:customStyle="1" w:styleId="10">
    <w:name w:val="正文文本缩进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Calibri" w:eastAsia="宋体" w:cs="Times New Roman"/>
      <w:kern w:val="2"/>
      <w:sz w:val="24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T1</dc:creator>
  <cp:lastModifiedBy>龙猫</cp:lastModifiedBy>
  <dcterms:modified xsi:type="dcterms:W3CDTF">2019-08-28T09:37:13Z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