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2C" w:rsidRDefault="00F5354B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禹州市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鸿畅镇岗沟石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村农田灌溉设施项目及禹州市神垕镇罗王村</w:t>
      </w:r>
    </w:p>
    <w:p w:rsidR="00C03F2C" w:rsidRDefault="00F5354B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36"/>
        </w:rPr>
        <w:t>农田灌溉（产业扶贫供水）项目评标结果公示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一、基本情况和数据表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（一）项目概况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、项目名称：禹州市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鸿畅镇岗沟石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村农田灌溉设施项目及禹州市神垕镇罗王村农田灌溉（产业扶贫供水）项目；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、项目编号：</w:t>
      </w:r>
      <w:r>
        <w:rPr>
          <w:rFonts w:asciiTheme="minorEastAsia" w:eastAsiaTheme="minorEastAsia" w:hAnsiTheme="minorEastAsia" w:cstheme="minorEastAsia" w:hint="eastAsia"/>
          <w:sz w:val="24"/>
        </w:rPr>
        <w:t>JSGC-SL-20191</w:t>
      </w:r>
      <w:r>
        <w:rPr>
          <w:rFonts w:asciiTheme="minorEastAsia" w:eastAsiaTheme="minorEastAsia" w:hAnsiTheme="minorEastAsia" w:cstheme="minorEastAsia"/>
          <w:sz w:val="24"/>
        </w:rPr>
        <w:t>53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、招标控制价：</w:t>
      </w:r>
      <w:r>
        <w:rPr>
          <w:rFonts w:asciiTheme="minorEastAsia" w:eastAsiaTheme="minorEastAsia" w:hAnsiTheme="minorEastAsia" w:cstheme="minorEastAsia"/>
          <w:sz w:val="24"/>
        </w:rPr>
        <w:t>1271572.35</w:t>
      </w:r>
      <w:r>
        <w:rPr>
          <w:rFonts w:asciiTheme="minorEastAsia" w:eastAsiaTheme="minorEastAsia" w:hAnsiTheme="minorEastAsia" w:cstheme="minorEastAsia" w:hint="eastAsia"/>
          <w:sz w:val="24"/>
        </w:rPr>
        <w:t>元；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、质量要求：合格（符合国家现行的验收规范和标准）；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、计划工期：</w:t>
      </w:r>
      <w:r>
        <w:rPr>
          <w:rFonts w:asciiTheme="minorEastAsia" w:eastAsiaTheme="minorEastAsia" w:hAnsiTheme="minorEastAsia" w:cstheme="minorEastAsia"/>
          <w:sz w:val="24"/>
        </w:rPr>
        <w:t>25</w:t>
      </w:r>
      <w:r>
        <w:rPr>
          <w:rFonts w:asciiTheme="minorEastAsia" w:eastAsiaTheme="minorEastAsia" w:hAnsiTheme="minorEastAsia" w:cstheme="minorEastAsia" w:hint="eastAsia"/>
          <w:sz w:val="24"/>
        </w:rPr>
        <w:t>日历天；</w:t>
      </w:r>
    </w:p>
    <w:p w:rsidR="00C03F2C" w:rsidRDefault="00F5354B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评标办法：合理投标价法；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、资格审查方式：资格后审；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（二）招标过程</w:t>
      </w:r>
    </w:p>
    <w:p w:rsidR="00C03F2C" w:rsidRDefault="00F5354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本工程招标采用公开招标方式进行，按照法定公开招标程序和要求，于</w:t>
      </w:r>
      <w:r>
        <w:rPr>
          <w:rFonts w:asciiTheme="minorEastAsia" w:eastAsiaTheme="minorEastAsia" w:hAnsiTheme="minorEastAsia" w:cstheme="minorEastAsia" w:hint="eastAsia"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日至</w:t>
      </w:r>
      <w:r>
        <w:rPr>
          <w:rFonts w:asciiTheme="minorEastAsia" w:eastAsiaTheme="minorEastAsia" w:hAnsiTheme="minorEastAsia" w:cstheme="minorEastAsia" w:hint="eastAsia"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/>
          <w:sz w:val="24"/>
        </w:rPr>
        <w:t>26</w:t>
      </w:r>
      <w:r>
        <w:rPr>
          <w:rFonts w:asciiTheme="minorEastAsia" w:eastAsiaTheme="minorEastAsia" w:hAnsiTheme="minorEastAsia" w:cstheme="minorEastAsia" w:hint="eastAsia"/>
          <w:sz w:val="24"/>
        </w:rPr>
        <w:t>日在《全国公共资源交易平台</w:t>
      </w:r>
      <w:r>
        <w:rPr>
          <w:rFonts w:asciiTheme="minorEastAsia" w:eastAsiaTheme="minorEastAsia" w:hAnsiTheme="minorEastAsia" w:cstheme="minorEastAsia" w:hint="eastAsia"/>
          <w:sz w:val="24"/>
        </w:rPr>
        <w:t>(</w:t>
      </w:r>
      <w:r>
        <w:rPr>
          <w:rFonts w:asciiTheme="minorEastAsia" w:eastAsiaTheme="minorEastAsia" w:hAnsiTheme="minorEastAsia" w:cstheme="minorEastAsia" w:hint="eastAsia"/>
          <w:sz w:val="24"/>
        </w:rPr>
        <w:t>河南省·许昌市</w:t>
      </w:r>
      <w:r>
        <w:rPr>
          <w:rFonts w:asciiTheme="minorEastAsia" w:eastAsiaTheme="minorEastAsia" w:hAnsiTheme="minorEastAsia" w:cstheme="minorEastAsia" w:hint="eastAsia"/>
          <w:sz w:val="24"/>
        </w:rPr>
        <w:t>)</w:t>
      </w:r>
      <w:r>
        <w:rPr>
          <w:rFonts w:asciiTheme="minorEastAsia" w:eastAsiaTheme="minorEastAsia" w:hAnsiTheme="minorEastAsia" w:cstheme="minorEastAsia" w:hint="eastAsia"/>
          <w:sz w:val="24"/>
        </w:rPr>
        <w:t>》、《河南省电子招标投标公共服务平台》上公开发布招标信息，于投标截止时间前递交投标文件及投标保证金的投标单位：有</w:t>
      </w:r>
      <w:r>
        <w:rPr>
          <w:rFonts w:asciiTheme="minorEastAsia" w:eastAsiaTheme="minorEastAsia" w:hAnsiTheme="minorEastAsia" w:cstheme="minor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u w:val="single"/>
        </w:rPr>
        <w:t>7</w:t>
      </w:r>
      <w:r>
        <w:rPr>
          <w:rFonts w:asciiTheme="minorEastAsia" w:eastAsiaTheme="minorEastAsia" w:hAnsiTheme="minorEastAsia" w:cstheme="minor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家。</w:t>
      </w:r>
    </w:p>
    <w:p w:rsidR="00C03F2C" w:rsidRDefault="00F5354B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项目开标数据表</w:t>
      </w:r>
    </w:p>
    <w:tbl>
      <w:tblPr>
        <w:tblW w:w="8940" w:type="dxa"/>
        <w:tblInd w:w="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745"/>
        <w:gridCol w:w="838"/>
        <w:gridCol w:w="3437"/>
      </w:tblGrid>
      <w:tr w:rsidR="00C03F2C">
        <w:trPr>
          <w:trHeight w:val="279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招标人名称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禹州市抗旱规划项目工程建设管理局</w:t>
            </w:r>
          </w:p>
        </w:tc>
      </w:tr>
      <w:tr w:rsidR="00C03F2C">
        <w:trPr>
          <w:trHeight w:val="312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招标代理机构名称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鼎万联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建设项目管理有限公司</w:t>
            </w:r>
          </w:p>
        </w:tc>
      </w:tr>
      <w:tr w:rsidR="00C03F2C">
        <w:trPr>
          <w:trHeight w:val="339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鸿畅镇岗沟石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村农田灌溉设施项目及禹州市神垕镇罗王村农田灌溉（产业扶贫供水）项目</w:t>
            </w:r>
          </w:p>
        </w:tc>
      </w:tr>
      <w:tr w:rsidR="00C03F2C">
        <w:trPr>
          <w:trHeight w:val="300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开标时间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开标地点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禹州市公共资源交易中心开标一室</w:t>
            </w:r>
          </w:p>
        </w:tc>
      </w:tr>
      <w:tr w:rsidR="00C03F2C">
        <w:trPr>
          <w:trHeight w:val="384"/>
        </w:trPr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评标时间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评标地点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</w:t>
            </w:r>
          </w:p>
        </w:tc>
      </w:tr>
    </w:tbl>
    <w:p w:rsidR="00C03F2C" w:rsidRDefault="00F5354B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br w:type="page"/>
      </w:r>
    </w:p>
    <w:p w:rsidR="00C03F2C" w:rsidRDefault="00F5354B">
      <w:pPr>
        <w:numPr>
          <w:ilvl w:val="0"/>
          <w:numId w:val="3"/>
        </w:numPr>
        <w:spacing w:line="360" w:lineRule="auto"/>
        <w:ind w:leftChars="-200" w:left="-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lastRenderedPageBreak/>
        <w:t>开标记录</w:t>
      </w:r>
    </w:p>
    <w:tbl>
      <w:tblPr>
        <w:tblW w:w="8955" w:type="dxa"/>
        <w:tblInd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10"/>
        <w:gridCol w:w="690"/>
        <w:gridCol w:w="1350"/>
        <w:gridCol w:w="1320"/>
        <w:gridCol w:w="630"/>
        <w:gridCol w:w="630"/>
        <w:gridCol w:w="975"/>
      </w:tblGrid>
      <w:tr w:rsidR="00C03F2C">
        <w:trPr>
          <w:trHeight w:val="108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投标单位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投标报价</w:t>
            </w: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工期</w:t>
            </w: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日历天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项目负责人</w:t>
            </w: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（含证书编号）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技术负责人</w:t>
            </w: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（姓名及职称）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3F2C" w:rsidRDefault="00C03F2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质量</w:t>
            </w:r>
          </w:p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要求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密封情况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5"/>
                <w:szCs w:val="15"/>
              </w:rPr>
              <w:t>对本次开标过程是否有异议</w:t>
            </w:r>
          </w:p>
        </w:tc>
      </w:tr>
      <w:tr w:rsidR="00C03F2C">
        <w:trPr>
          <w:trHeight w:val="50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河南大河水利工程有限公司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1243929.47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梁丽辉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HNSJJL-001206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翡翡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C19999160900020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50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河南省正航建设工程有限公司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1218799.58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高嘉民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HNSJJL-20160077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苏云宾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50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南阳市御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龙建筑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水利水电工程有限公司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1200304.28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241111456827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马晨曙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C13915170900036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50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坤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建设集团有限公司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1231364.53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孙君伟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241121332515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陈马墩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高级工程师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50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河南水建建筑工程有限公司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1246121.75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241141457836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耿瑞峰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河南益友建设工程有限公司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1258897.41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秦思敏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241161601069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米九星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9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河南元武建设工程有限公司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1233326.55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241151603812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张玮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6"/>
                <w:szCs w:val="16"/>
              </w:rPr>
              <w:t>工程师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完好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  <w:tr w:rsidR="00C03F2C">
        <w:trPr>
          <w:trHeight w:val="39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招标控制价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1271572.35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元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抽取调整系数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0.97</w:t>
            </w:r>
          </w:p>
        </w:tc>
      </w:tr>
      <w:tr w:rsidR="00C03F2C">
        <w:trPr>
          <w:trHeight w:val="360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目标工期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质量要求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合格</w:t>
            </w:r>
          </w:p>
        </w:tc>
      </w:tr>
      <w:tr w:rsidR="00C03F2C">
        <w:trPr>
          <w:trHeight w:val="345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投标报价修正情况</w:t>
            </w:r>
          </w:p>
        </w:tc>
        <w:tc>
          <w:tcPr>
            <w:tcW w:w="670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无</w:t>
            </w:r>
          </w:p>
        </w:tc>
      </w:tr>
    </w:tbl>
    <w:p w:rsidR="00C03F2C" w:rsidRDefault="00F5354B">
      <w:pPr>
        <w:spacing w:line="360" w:lineRule="auto"/>
        <w:ind w:leftChars="-200" w:left="-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三、评标标准、评标办法或者评标因素</w:t>
      </w:r>
    </w:p>
    <w:tbl>
      <w:tblPr>
        <w:tblW w:w="8477" w:type="dxa"/>
        <w:tblInd w:w="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6385"/>
      </w:tblGrid>
      <w:tr w:rsidR="00C03F2C">
        <w:trPr>
          <w:trHeight w:val="9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评标办法</w:t>
            </w:r>
          </w:p>
        </w:tc>
        <w:tc>
          <w:tcPr>
            <w:tcW w:w="6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</w:rPr>
              <w:t>具体内容请详见招标文件。</w:t>
            </w:r>
          </w:p>
        </w:tc>
      </w:tr>
    </w:tbl>
    <w:p w:rsidR="00C03F2C" w:rsidRDefault="00F5354B">
      <w:pPr>
        <w:numPr>
          <w:ilvl w:val="0"/>
          <w:numId w:val="4"/>
        </w:numPr>
        <w:spacing w:line="360" w:lineRule="auto"/>
        <w:ind w:leftChars="-200" w:left="-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评审情况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初步评审</w:t>
      </w:r>
    </w:p>
    <w:tbl>
      <w:tblPr>
        <w:tblW w:w="8220" w:type="dxa"/>
        <w:tblInd w:w="1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2960"/>
        <w:gridCol w:w="4080"/>
      </w:tblGrid>
      <w:tr w:rsidR="00C03F2C">
        <w:trPr>
          <w:trHeight w:val="23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7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通过初步评审的投标人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河南大河水利工程有限公司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河南省正航建设工程有限公司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南阳市御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龙建筑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水利水电工程有限公司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坤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建设集团有限公司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河南水建建筑工程有限公司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河南益友建设工程有限公司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河南元武建设工程有限公司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未通过初步评审的投标人名称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未通过原因</w:t>
            </w:r>
          </w:p>
        </w:tc>
      </w:tr>
      <w:tr w:rsidR="00C03F2C">
        <w:trPr>
          <w:trHeight w:val="420"/>
        </w:trPr>
        <w:tc>
          <w:tcPr>
            <w:tcW w:w="11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</w:p>
        </w:tc>
      </w:tr>
    </w:tbl>
    <w:p w:rsidR="00C03F2C" w:rsidRDefault="00F5354B">
      <w:pPr>
        <w:spacing w:line="360" w:lineRule="auto"/>
        <w:ind w:leftChars="-95" w:left="-199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五、根据招标文件的规定，评标委员会将经评审的投标人按综合得分由高到低排序如下：</w:t>
      </w:r>
    </w:p>
    <w:tbl>
      <w:tblPr>
        <w:tblW w:w="833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1777"/>
        <w:gridCol w:w="1742"/>
        <w:gridCol w:w="783"/>
      </w:tblGrid>
      <w:tr w:rsidR="00C03F2C">
        <w:trPr>
          <w:trHeight w:val="48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投标人名称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投标报价（元）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投标人权重</w:t>
            </w:r>
            <w:r>
              <w:rPr>
                <w:rFonts w:asciiTheme="minorEastAsia" w:eastAsiaTheme="minorEastAsia" w:hAnsiTheme="minorEastAsia" w:cstheme="minorEastAsia" w:hint="eastAsia"/>
              </w:rPr>
              <w:t>Q%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排名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河南省正航建设工程有限公司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1218799.58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南阳市御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龙建筑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水利水电工程有限公司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1200304.28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坤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建设集团有限公司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1231364.53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河南水建建筑工程有限公司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1246121.75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河南大河水利工程有限公司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1243929.47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河南元武建设工程有限公司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1233326.55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</w:t>
            </w:r>
          </w:p>
        </w:tc>
      </w:tr>
      <w:tr w:rsidR="00C03F2C">
        <w:trPr>
          <w:trHeight w:val="90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河南益友建设工程有限公司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1258897.41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</w:t>
            </w:r>
          </w:p>
        </w:tc>
      </w:tr>
    </w:tbl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六、推荐的中标候选人详细评审得分</w:t>
      </w:r>
    </w:p>
    <w:tbl>
      <w:tblPr>
        <w:tblW w:w="84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625"/>
        <w:gridCol w:w="1218"/>
        <w:gridCol w:w="1020"/>
        <w:gridCol w:w="1665"/>
        <w:gridCol w:w="822"/>
        <w:gridCol w:w="618"/>
      </w:tblGrid>
      <w:tr w:rsidR="00C03F2C">
        <w:trPr>
          <w:trHeight w:val="74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投标人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报价（元）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信用权重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奖励惩罚额度合计（具体金额）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权重（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%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）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排名</w:t>
            </w:r>
          </w:p>
        </w:tc>
      </w:tr>
      <w:tr w:rsidR="00C03F2C">
        <w:trPr>
          <w:trHeight w:val="34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河南省正航建设工程有限公司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1218799.58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</w:tr>
      <w:tr w:rsidR="00C03F2C">
        <w:trPr>
          <w:trHeight w:val="34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南阳市御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龙建筑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水利水电工程有限公司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1200304.28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C03F2C">
        <w:trPr>
          <w:trHeight w:val="27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坤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lang w:bidi="ar"/>
              </w:rPr>
              <w:t>建设集团有限公司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1231364.53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03F2C" w:rsidRDefault="00F5354B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</w:tr>
    </w:tbl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七、推荐的中标候选人情况与签订合同前要处理的事宜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（一）推荐的中标候选人名单：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第一中标候选人：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  <w:r>
        <w:rPr>
          <w:rFonts w:ascii="Dialog" w:eastAsia="Dialog" w:hAnsi="Dialog" w:cs="Dialog"/>
          <w:color w:val="000000"/>
          <w:kern w:val="0"/>
          <w:sz w:val="24"/>
          <w:lang w:bidi="ar"/>
        </w:rPr>
        <w:t>河南省正航建设工程有限公司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1218799.58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壹佰贰拾壹万捌仟柒佰玖拾玖元伍角捌分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/>
          <w:sz w:val="22"/>
          <w:szCs w:val="22"/>
        </w:rPr>
        <w:t>25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高嘉民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HNSJJL-20160077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 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内乡县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2018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年农村饮水安全巩固提升工程第四标段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第二中标候选人：</w:t>
      </w:r>
      <w:r>
        <w:rPr>
          <w:rFonts w:ascii="Dialog" w:eastAsia="Dialog" w:hAnsi="Dialog" w:cs="Dialog"/>
          <w:color w:val="000000"/>
          <w:kern w:val="0"/>
          <w:sz w:val="24"/>
          <w:lang w:bidi="ar"/>
        </w:rPr>
        <w:t>南阳市御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lang w:bidi="ar"/>
        </w:rPr>
        <w:t>龙建筑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lang w:bidi="ar"/>
        </w:rPr>
        <w:t>水利水电工程有限公司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1200304.28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大写：</w:t>
      </w:r>
      <w:proofErr w:type="gramStart"/>
      <w:r>
        <w:rPr>
          <w:rFonts w:asciiTheme="minorEastAsia" w:eastAsiaTheme="minorEastAsia" w:hAnsiTheme="minorEastAsia" w:cstheme="minorEastAsia" w:hint="eastAsia"/>
          <w:sz w:val="22"/>
          <w:szCs w:val="22"/>
        </w:rPr>
        <w:t>壹佰贰拾万零叁佰零肆</w:t>
      </w:r>
      <w:proofErr w:type="gramEnd"/>
      <w:r>
        <w:rPr>
          <w:rFonts w:asciiTheme="minorEastAsia" w:eastAsiaTheme="minorEastAsia" w:hAnsiTheme="minorEastAsia" w:cstheme="minorEastAsia" w:hint="eastAsia"/>
          <w:sz w:val="22"/>
          <w:szCs w:val="22"/>
        </w:rPr>
        <w:t>元贰角捌分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/>
          <w:sz w:val="22"/>
          <w:szCs w:val="22"/>
        </w:rPr>
        <w:t>25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刘水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豫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241111456827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禹州市第六批小型农田水利重点县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2016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年度建设项目第一标段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第三中标候选人：</w:t>
      </w:r>
      <w:r>
        <w:rPr>
          <w:rFonts w:ascii="Dialog" w:eastAsia="Dialog" w:hAnsi="Dialog" w:cs="Dialog"/>
          <w:color w:val="000000"/>
          <w:kern w:val="0"/>
          <w:sz w:val="24"/>
          <w:lang w:bidi="ar"/>
        </w:rPr>
        <w:t>坤</w:t>
      </w:r>
      <w:proofErr w:type="gramStart"/>
      <w:r>
        <w:rPr>
          <w:rFonts w:ascii="Dialog" w:eastAsia="Dialog" w:hAnsi="Dialog" w:cs="Dialog"/>
          <w:color w:val="000000"/>
          <w:kern w:val="0"/>
          <w:sz w:val="24"/>
          <w:lang w:bidi="ar"/>
        </w:rPr>
        <w:t>鑫</w:t>
      </w:r>
      <w:proofErr w:type="gramEnd"/>
      <w:r>
        <w:rPr>
          <w:rFonts w:ascii="Dialog" w:eastAsia="Dialog" w:hAnsi="Dialog" w:cs="Dialog"/>
          <w:color w:val="000000"/>
          <w:kern w:val="0"/>
          <w:sz w:val="24"/>
          <w:lang w:bidi="ar"/>
        </w:rPr>
        <w:t>建设集团有限公司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投标报价：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1231364.53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元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大写：</w:t>
      </w:r>
      <w:proofErr w:type="gramStart"/>
      <w:r>
        <w:rPr>
          <w:rFonts w:asciiTheme="minorEastAsia" w:eastAsiaTheme="minorEastAsia" w:hAnsiTheme="minorEastAsia" w:cstheme="minorEastAsia" w:hint="eastAsia"/>
          <w:sz w:val="22"/>
          <w:szCs w:val="22"/>
        </w:rPr>
        <w:t>壹佰贰拾叁万壹仟叁佰陆拾肆</w:t>
      </w:r>
      <w:proofErr w:type="gramEnd"/>
      <w:r>
        <w:rPr>
          <w:rFonts w:asciiTheme="minorEastAsia" w:eastAsiaTheme="minorEastAsia" w:hAnsiTheme="minorEastAsia" w:cstheme="minorEastAsia" w:hint="eastAsia"/>
          <w:sz w:val="22"/>
          <w:szCs w:val="22"/>
        </w:rPr>
        <w:t>元伍角叁分</w:t>
      </w:r>
      <w:r>
        <w:rPr>
          <w:rFonts w:asciiTheme="minorEastAsia" w:eastAsiaTheme="minorEastAsia" w:hAnsiTheme="minorEastAsia" w:cstheme="minorEastAsia"/>
          <w:sz w:val="22"/>
          <w:szCs w:val="22"/>
        </w:rPr>
        <w:t xml:space="preserve">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工期：</w:t>
      </w:r>
      <w:r>
        <w:rPr>
          <w:rFonts w:asciiTheme="minorEastAsia" w:eastAsiaTheme="minorEastAsia" w:hAnsiTheme="minorEastAsia" w:cstheme="minorEastAsia"/>
          <w:sz w:val="22"/>
          <w:szCs w:val="22"/>
        </w:rPr>
        <w:t>25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日历天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   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质量标准：合格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项目负责人：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孙君伟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证书名称、编号：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豫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24112133251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 xml:space="preserve">           </w:t>
      </w:r>
    </w:p>
    <w:p w:rsidR="00C03F2C" w:rsidRDefault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sz w:val="22"/>
          <w:szCs w:val="22"/>
        </w:rPr>
        <w:t>投标文件中填报的单位项目业绩名称：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平舆县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2016</w:t>
      </w:r>
      <w:r>
        <w:rPr>
          <w:rFonts w:asciiTheme="minorEastAsia" w:eastAsiaTheme="minorEastAsia" w:hAnsiTheme="minorEastAsia" w:cstheme="minorEastAsia" w:hint="eastAsia"/>
          <w:sz w:val="22"/>
          <w:szCs w:val="22"/>
        </w:rPr>
        <w:t>年农田水利项目县建设项目第四标段</w:t>
      </w:r>
    </w:p>
    <w:p w:rsidR="00C03F2C" w:rsidRDefault="00F5354B">
      <w:pPr>
        <w:pStyle w:val="aa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签订合同前要处理的事宜（略）</w:t>
      </w:r>
    </w:p>
    <w:p w:rsidR="00F5354B" w:rsidRDefault="00F5354B" w:rsidP="00F5354B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八、公示期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2019年8月28日2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019</w:t>
      </w: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年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8</w:t>
      </w: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月3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1</w:t>
      </w: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日</w:t>
      </w:r>
    </w:p>
    <w:p w:rsidR="00F5354B" w:rsidRPr="00F5354B" w:rsidRDefault="00F5354B" w:rsidP="00F5354B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F5354B">
        <w:rPr>
          <w:rFonts w:asciiTheme="minorEastAsia" w:hAnsiTheme="minorEastAsia" w:hint="eastAsia"/>
          <w:b/>
          <w:bCs/>
          <w:sz w:val="24"/>
        </w:rPr>
        <w:t>九、联系方式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招标人：禹州市抗旱规划项目</w:t>
      </w:r>
      <w:bookmarkStart w:id="0" w:name="_GoBack"/>
      <w:bookmarkEnd w:id="0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工程建设管理局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地址：</w:t>
      </w:r>
      <w:proofErr w:type="gramStart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禹州市禹王</w:t>
      </w:r>
      <w:proofErr w:type="gramEnd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大道东段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联系人：孟先生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联系电话：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0374-6068718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监督单位：禹州市水利局招标投标监督管理工作领导小组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地 址：</w:t>
      </w:r>
      <w:proofErr w:type="gramStart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禹州市禹王</w:t>
      </w:r>
      <w:proofErr w:type="gramEnd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大道东段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联系电话：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0374-6068710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招标代理机构：中</w:t>
      </w:r>
      <w:proofErr w:type="gramStart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鼎万联</w:t>
      </w:r>
      <w:proofErr w:type="gramEnd"/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建设项目管理有限公司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联系人：王先生</w:t>
      </w:r>
    </w:p>
    <w:p w:rsidR="00F5354B" w:rsidRPr="00F5354B" w:rsidRDefault="00F5354B" w:rsidP="00F5354B">
      <w:pPr>
        <w:spacing w:line="360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F5354B">
        <w:rPr>
          <w:rFonts w:asciiTheme="minorEastAsia" w:eastAsiaTheme="minorEastAsia" w:hAnsiTheme="minorEastAsia" w:cstheme="minorEastAsia" w:hint="eastAsia"/>
          <w:sz w:val="22"/>
          <w:szCs w:val="22"/>
        </w:rPr>
        <w:t>联系电话：</w:t>
      </w:r>
      <w:r w:rsidRPr="00F5354B">
        <w:rPr>
          <w:rFonts w:asciiTheme="minorEastAsia" w:eastAsiaTheme="minorEastAsia" w:hAnsiTheme="minorEastAsia" w:cstheme="minorEastAsia"/>
          <w:sz w:val="22"/>
          <w:szCs w:val="22"/>
        </w:rPr>
        <w:t>15893779300</w:t>
      </w:r>
    </w:p>
    <w:p w:rsidR="00F5354B" w:rsidRPr="00F5354B" w:rsidRDefault="00F5354B" w:rsidP="00F5354B">
      <w:pPr>
        <w:pStyle w:val="a0"/>
        <w:ind w:firstLine="210"/>
        <w:rPr>
          <w:rFonts w:hint="eastAsia"/>
        </w:rPr>
      </w:pPr>
    </w:p>
    <w:p w:rsidR="00C03F2C" w:rsidRDefault="00C03F2C">
      <w:pPr>
        <w:pStyle w:val="a0"/>
        <w:spacing w:line="360" w:lineRule="auto"/>
        <w:ind w:firstLine="210"/>
      </w:pPr>
    </w:p>
    <w:sectPr w:rsidR="00C03F2C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EFBD1"/>
    <w:multiLevelType w:val="singleLevel"/>
    <w:tmpl w:val="AFCEFB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4E4A96"/>
    <w:multiLevelType w:val="multilevel"/>
    <w:tmpl w:val="304E4A96"/>
    <w:lvl w:ilvl="0">
      <w:start w:val="2"/>
      <w:numFmt w:val="japaneseCounting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0" w:hanging="420"/>
      </w:pPr>
    </w:lvl>
    <w:lvl w:ilvl="2">
      <w:start w:val="1"/>
      <w:numFmt w:val="lowerRoman"/>
      <w:lvlText w:val="%3."/>
      <w:lvlJc w:val="righ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lowerLetter"/>
      <w:lvlText w:val="%5)"/>
      <w:lvlJc w:val="left"/>
      <w:pPr>
        <w:ind w:left="2320" w:hanging="420"/>
      </w:pPr>
    </w:lvl>
    <w:lvl w:ilvl="5">
      <w:start w:val="1"/>
      <w:numFmt w:val="lowerRoman"/>
      <w:lvlText w:val="%6."/>
      <w:lvlJc w:val="righ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lowerLetter"/>
      <w:lvlText w:val="%8)"/>
      <w:lvlJc w:val="left"/>
      <w:pPr>
        <w:ind w:left="3580" w:hanging="420"/>
      </w:pPr>
    </w:lvl>
    <w:lvl w:ilvl="8">
      <w:start w:val="1"/>
      <w:numFmt w:val="lowerRoman"/>
      <w:lvlText w:val="%9."/>
      <w:lvlJc w:val="right"/>
      <w:pPr>
        <w:ind w:left="4000" w:hanging="420"/>
      </w:pPr>
    </w:lvl>
  </w:abstractNum>
  <w:abstractNum w:abstractNumId="2" w15:restartNumberingAfterBreak="0">
    <w:nsid w:val="4901D00B"/>
    <w:multiLevelType w:val="singleLevel"/>
    <w:tmpl w:val="4901D00B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A63ED55"/>
    <w:multiLevelType w:val="singleLevel"/>
    <w:tmpl w:val="5A63ED55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5A669750"/>
    <w:multiLevelType w:val="singleLevel"/>
    <w:tmpl w:val="5A669750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A30E7D"/>
    <w:rsid w:val="0037712B"/>
    <w:rsid w:val="00440BE5"/>
    <w:rsid w:val="00812FAB"/>
    <w:rsid w:val="00A32F8E"/>
    <w:rsid w:val="00C03F2C"/>
    <w:rsid w:val="00C76498"/>
    <w:rsid w:val="00F5354B"/>
    <w:rsid w:val="01D36CBE"/>
    <w:rsid w:val="053D42C8"/>
    <w:rsid w:val="07577591"/>
    <w:rsid w:val="081B68DA"/>
    <w:rsid w:val="0A017174"/>
    <w:rsid w:val="0AD93DA7"/>
    <w:rsid w:val="0CA30E7D"/>
    <w:rsid w:val="0F722B34"/>
    <w:rsid w:val="1476271E"/>
    <w:rsid w:val="14913EBC"/>
    <w:rsid w:val="17B45478"/>
    <w:rsid w:val="1DA65A57"/>
    <w:rsid w:val="20B637E9"/>
    <w:rsid w:val="23660E0A"/>
    <w:rsid w:val="27696D25"/>
    <w:rsid w:val="279E751B"/>
    <w:rsid w:val="29960DF4"/>
    <w:rsid w:val="2D50010A"/>
    <w:rsid w:val="348E03AD"/>
    <w:rsid w:val="3A9F053B"/>
    <w:rsid w:val="3CBB33B4"/>
    <w:rsid w:val="415F0FEB"/>
    <w:rsid w:val="466755A1"/>
    <w:rsid w:val="4B6E5C82"/>
    <w:rsid w:val="4DDE7248"/>
    <w:rsid w:val="501271BA"/>
    <w:rsid w:val="50531990"/>
    <w:rsid w:val="53AF4C1A"/>
    <w:rsid w:val="55CE0120"/>
    <w:rsid w:val="56283CE9"/>
    <w:rsid w:val="601743CD"/>
    <w:rsid w:val="633E3E4E"/>
    <w:rsid w:val="65387BE1"/>
    <w:rsid w:val="68FC6141"/>
    <w:rsid w:val="692C6AF7"/>
    <w:rsid w:val="6F63073F"/>
    <w:rsid w:val="75F63EA0"/>
    <w:rsid w:val="76C22951"/>
    <w:rsid w:val="79610D9B"/>
    <w:rsid w:val="7DB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4574C"/>
  <w15:docId w15:val="{AE58F147-09EC-405D-B30F-4905EA40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10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qFormat/>
    <w:rPr>
      <w:color w:val="000000"/>
      <w:u w:val="none"/>
    </w:rPr>
  </w:style>
  <w:style w:type="character" w:styleId="a8">
    <w:name w:val="Emphasis"/>
    <w:basedOn w:val="a1"/>
    <w:qFormat/>
  </w:style>
  <w:style w:type="character" w:styleId="a9">
    <w:name w:val="Hyperlink"/>
    <w:basedOn w:val="a1"/>
    <w:qFormat/>
    <w:rPr>
      <w:color w:val="000000"/>
      <w:u w:val="none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0"/>
      <w:sz w:val="32"/>
      <w:szCs w:val="32"/>
    </w:rPr>
  </w:style>
  <w:style w:type="character" w:customStyle="1" w:styleId="right">
    <w:name w:val="right"/>
    <w:basedOn w:val="a1"/>
    <w:qFormat/>
    <w:rPr>
      <w:color w:val="999999"/>
      <w:sz w:val="14"/>
      <w:szCs w:val="14"/>
    </w:rPr>
  </w:style>
  <w:style w:type="character" w:customStyle="1" w:styleId="green">
    <w:name w:val="green"/>
    <w:basedOn w:val="a1"/>
    <w:qFormat/>
    <w:rPr>
      <w:color w:val="66AE00"/>
      <w:sz w:val="14"/>
      <w:szCs w:val="14"/>
    </w:rPr>
  </w:style>
  <w:style w:type="character" w:customStyle="1" w:styleId="green1">
    <w:name w:val="green1"/>
    <w:basedOn w:val="a1"/>
    <w:qFormat/>
    <w:rPr>
      <w:color w:val="66AE00"/>
      <w:sz w:val="14"/>
      <w:szCs w:val="14"/>
    </w:rPr>
  </w:style>
  <w:style w:type="character" w:customStyle="1" w:styleId="hover">
    <w:name w:val="hover"/>
    <w:basedOn w:val="a1"/>
    <w:qFormat/>
  </w:style>
  <w:style w:type="character" w:customStyle="1" w:styleId="red">
    <w:name w:val="red"/>
    <w:basedOn w:val="a1"/>
    <w:qFormat/>
    <w:rPr>
      <w:color w:val="FF0000"/>
      <w:sz w:val="14"/>
      <w:szCs w:val="14"/>
    </w:rPr>
  </w:style>
  <w:style w:type="character" w:customStyle="1" w:styleId="red1">
    <w:name w:val="red1"/>
    <w:basedOn w:val="a1"/>
    <w:qFormat/>
    <w:rPr>
      <w:color w:val="FF0000"/>
      <w:sz w:val="14"/>
      <w:szCs w:val="14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blue">
    <w:name w:val="blue"/>
    <w:basedOn w:val="a1"/>
    <w:qFormat/>
    <w:rPr>
      <w:color w:val="0371C6"/>
      <w:sz w:val="16"/>
      <w:szCs w:val="16"/>
    </w:rPr>
  </w:style>
  <w:style w:type="character" w:customStyle="1" w:styleId="gb-jt">
    <w:name w:val="gb-jt"/>
    <w:basedOn w:val="a1"/>
    <w:qFormat/>
  </w:style>
  <w:style w:type="character" w:customStyle="1" w:styleId="hover25">
    <w:name w:val="hover25"/>
    <w:basedOn w:val="a1"/>
    <w:qFormat/>
  </w:style>
  <w:style w:type="paragraph" w:customStyle="1" w:styleId="WPSPlain">
    <w:name w:val="WPS Plain"/>
    <w:qFormat/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宗顺</dc:creator>
  <cp:lastModifiedBy>禹州市公共资源交易中心:侯怡雯</cp:lastModifiedBy>
  <cp:revision>4</cp:revision>
  <cp:lastPrinted>2019-08-26T10:29:00Z</cp:lastPrinted>
  <dcterms:created xsi:type="dcterms:W3CDTF">2019-04-08T04:33:00Z</dcterms:created>
  <dcterms:modified xsi:type="dcterms:W3CDTF">2019-08-28T07:22:00Z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