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400" w:lineRule="exact"/>
        <w:rPr>
          <w:rFonts w:ascii="Times New Roman" w:hAnsi="Times New Roman"/>
          <w:color w:val="auto"/>
        </w:rPr>
      </w:pPr>
    </w:p>
    <w:p>
      <w:pPr>
        <w:autoSpaceDE w:val="0"/>
        <w:autoSpaceDN w:val="0"/>
        <w:adjustRightInd w:val="0"/>
        <w:jc w:val="center"/>
        <w:rPr>
          <w:rFonts w:hint="eastAsia" w:hAnsi="宋体" w:eastAsia="宋体"/>
          <w:b/>
          <w:color w:val="auto"/>
          <w:sz w:val="48"/>
          <w:szCs w:val="48"/>
          <w:lang w:val="en-US" w:eastAsia="zh-CN"/>
        </w:rPr>
      </w:pPr>
      <w:r>
        <w:rPr>
          <w:rFonts w:hint="eastAsia" w:hAnsi="宋体" w:eastAsia="宋体"/>
          <w:b/>
          <w:color w:val="auto"/>
          <w:sz w:val="48"/>
          <w:szCs w:val="48"/>
          <w:lang w:val="en-US" w:eastAsia="zh-CN"/>
        </w:rPr>
        <w:t>许昌市城乡一体化示范区德仕堡生活广场项目（勘察）</w:t>
      </w:r>
    </w:p>
    <w:p>
      <w:pPr>
        <w:pStyle w:val="2"/>
        <w:rPr>
          <w:rFonts w:hint="eastAsia"/>
          <w:lang w:val="en-US" w:eastAsia="zh-CN"/>
        </w:rPr>
      </w:pPr>
    </w:p>
    <w:p>
      <w:pPr>
        <w:autoSpaceDE w:val="0"/>
        <w:autoSpaceDN w:val="0"/>
        <w:adjustRightInd w:val="0"/>
        <w:jc w:val="center"/>
        <w:rPr>
          <w:rFonts w:hAnsi="宋体"/>
          <w:b/>
          <w:color w:val="auto"/>
          <w:sz w:val="96"/>
          <w:szCs w:val="96"/>
        </w:rPr>
      </w:pPr>
      <w:r>
        <w:rPr>
          <w:rFonts w:hint="eastAsia" w:hAnsi="宋体"/>
          <w:b/>
          <w:color w:val="auto"/>
          <w:sz w:val="96"/>
          <w:szCs w:val="96"/>
          <w:lang w:eastAsia="zh-CN"/>
        </w:rPr>
        <w:t>招</w:t>
      </w:r>
      <w:r>
        <w:rPr>
          <w:rFonts w:hint="eastAsia" w:hAnsi="宋体"/>
          <w:b/>
          <w:color w:val="auto"/>
          <w:sz w:val="96"/>
          <w:szCs w:val="96"/>
          <w:lang w:val="en-US" w:eastAsia="zh-CN"/>
        </w:rPr>
        <w:t xml:space="preserve"> </w:t>
      </w:r>
      <w:r>
        <w:rPr>
          <w:rFonts w:hint="eastAsia" w:hAnsi="宋体"/>
          <w:b/>
          <w:color w:val="auto"/>
          <w:sz w:val="96"/>
          <w:szCs w:val="96"/>
          <w:lang w:eastAsia="zh-CN"/>
        </w:rPr>
        <w:t>标</w:t>
      </w:r>
      <w:r>
        <w:rPr>
          <w:rFonts w:hint="eastAsia" w:hAnsi="宋体"/>
          <w:b/>
          <w:color w:val="auto"/>
          <w:sz w:val="96"/>
          <w:szCs w:val="96"/>
        </w:rPr>
        <w:t xml:space="preserve"> 文 件</w:t>
      </w:r>
    </w:p>
    <w:p>
      <w:pPr>
        <w:autoSpaceDE w:val="0"/>
        <w:autoSpaceDN w:val="0"/>
        <w:adjustRightInd w:val="0"/>
        <w:rPr>
          <w:rFonts w:hint="eastAsia"/>
        </w:rPr>
      </w:pPr>
      <w:r>
        <w:rPr>
          <w:rFonts w:hint="eastAsia" w:hAnsi="宋体"/>
          <w:b/>
          <w:color w:val="auto"/>
          <w:sz w:val="24"/>
          <w:szCs w:val="24"/>
        </w:rPr>
        <w:t xml:space="preserve">                       </w:t>
      </w:r>
      <w:r>
        <w:rPr>
          <w:rFonts w:hint="eastAsia" w:hAnsi="宋体"/>
          <w:b/>
          <w:color w:val="auto"/>
          <w:sz w:val="28"/>
          <w:szCs w:val="28"/>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ind w:left="0" w:right="0"/>
        <w:jc w:val="center"/>
        <w:rPr>
          <w:rFonts w:hint="default"/>
          <w:b w:val="0"/>
          <w:i w:val="0"/>
          <w:lang w:val="en-US"/>
        </w:rPr>
      </w:pPr>
      <w:r>
        <w:rPr>
          <w:rFonts w:hint="eastAsia" w:hAnsi="宋体"/>
          <w:b/>
          <w:color w:val="auto"/>
          <w:sz w:val="28"/>
          <w:szCs w:val="28"/>
        </w:rPr>
        <w:t>项目编号：</w:t>
      </w:r>
      <w:r>
        <w:rPr>
          <w:rFonts w:ascii="微软雅黑" w:hAnsi="微软雅黑" w:eastAsia="微软雅黑" w:cs="微软雅黑"/>
          <w:b w:val="0"/>
          <w:bCs/>
          <w:i w:val="0"/>
          <w:color w:val="000000"/>
          <w:kern w:val="0"/>
          <w:sz w:val="32"/>
          <w:szCs w:val="32"/>
          <w:u w:val="none"/>
          <w:shd w:val="clear" w:fill="FFFFFF"/>
          <w:lang w:val="en-US" w:eastAsia="zh-CN" w:bidi="ar"/>
        </w:rPr>
        <w:t>XCG</w:t>
      </w:r>
      <w:r>
        <w:rPr>
          <w:rFonts w:ascii="微软雅黑" w:hAnsi="微软雅黑" w:eastAsia="微软雅黑" w:cs="微软雅黑"/>
          <w:b w:val="0"/>
          <w:bCs/>
          <w:i w:val="0"/>
          <w:color w:val="auto"/>
          <w:kern w:val="0"/>
          <w:sz w:val="32"/>
          <w:szCs w:val="32"/>
          <w:u w:val="none"/>
          <w:shd w:val="clear" w:fill="FFFFFF"/>
          <w:lang w:val="en-US" w:eastAsia="zh-CN" w:bidi="ar"/>
        </w:rPr>
        <w:t>C-</w:t>
      </w:r>
      <w:r>
        <w:rPr>
          <w:rFonts w:hint="eastAsia" w:ascii="微软雅黑" w:hAnsi="微软雅黑" w:eastAsia="微软雅黑" w:cs="微软雅黑"/>
          <w:b w:val="0"/>
          <w:bCs/>
          <w:i w:val="0"/>
          <w:color w:val="auto"/>
          <w:kern w:val="0"/>
          <w:sz w:val="32"/>
          <w:szCs w:val="32"/>
          <w:u w:val="none"/>
          <w:shd w:val="clear" w:fill="FFFFFF"/>
          <w:lang w:val="en-US" w:eastAsia="zh-CN" w:bidi="ar"/>
        </w:rPr>
        <w:t>F</w:t>
      </w:r>
      <w:r>
        <w:rPr>
          <w:rFonts w:ascii="微软雅黑" w:hAnsi="微软雅黑" w:eastAsia="微软雅黑" w:cs="微软雅黑"/>
          <w:b w:val="0"/>
          <w:bCs/>
          <w:i w:val="0"/>
          <w:color w:val="auto"/>
          <w:kern w:val="0"/>
          <w:sz w:val="32"/>
          <w:szCs w:val="32"/>
          <w:u w:val="none"/>
          <w:shd w:val="clear" w:fill="FFFFFF"/>
          <w:lang w:val="en-US" w:eastAsia="zh-CN" w:bidi="ar"/>
        </w:rPr>
        <w:t>2019</w:t>
      </w:r>
      <w:r>
        <w:rPr>
          <w:rFonts w:hint="eastAsia" w:ascii="微软雅黑" w:hAnsi="微软雅黑" w:eastAsia="微软雅黑" w:cs="微软雅黑"/>
          <w:b w:val="0"/>
          <w:bCs/>
          <w:i w:val="0"/>
          <w:color w:val="auto"/>
          <w:kern w:val="0"/>
          <w:sz w:val="32"/>
          <w:szCs w:val="32"/>
          <w:u w:val="none"/>
          <w:shd w:val="clear" w:fill="FFFFFF"/>
          <w:lang w:val="en-US" w:eastAsia="zh-CN" w:bidi="ar"/>
        </w:rPr>
        <w:t>197</w:t>
      </w:r>
    </w:p>
    <w:p>
      <w:pPr>
        <w:autoSpaceDE w:val="0"/>
        <w:autoSpaceDN w:val="0"/>
        <w:adjustRightInd w:val="0"/>
        <w:ind w:firstLine="2530" w:firstLineChars="900"/>
        <w:jc w:val="both"/>
        <w:rPr>
          <w:rFonts w:hAnsi="宋体" w:cs="宋体"/>
          <w:b/>
          <w:bCs/>
          <w:color w:val="auto"/>
          <w:sz w:val="28"/>
          <w:szCs w:val="28"/>
        </w:rPr>
      </w:pPr>
    </w:p>
    <w:p>
      <w:pPr>
        <w:spacing w:line="360" w:lineRule="auto"/>
        <w:rPr>
          <w:rFonts w:hAnsi="宋体"/>
          <w:b/>
          <w:bCs/>
          <w:color w:val="auto"/>
          <w:sz w:val="24"/>
        </w:rPr>
      </w:pPr>
      <w:r>
        <w:rPr>
          <w:rFonts w:ascii="微软简隶书" w:eastAsia="微软简隶书"/>
          <w:color w:val="000000"/>
        </w:rPr>
        <w:drawing>
          <wp:anchor distT="0" distB="0" distL="114300" distR="114300" simplePos="0" relativeHeight="251719680" behindDoc="1" locked="0" layoutInCell="1" allowOverlap="1">
            <wp:simplePos x="0" y="0"/>
            <wp:positionH relativeFrom="column">
              <wp:posOffset>2090420</wp:posOffset>
            </wp:positionH>
            <wp:positionV relativeFrom="paragraph">
              <wp:posOffset>170815</wp:posOffset>
            </wp:positionV>
            <wp:extent cx="2025015" cy="1485900"/>
            <wp:effectExtent l="0" t="0" r="13335" b="0"/>
            <wp:wrapTight wrapText="bothSides">
              <wp:wrapPolygon>
                <wp:start x="0" y="0"/>
                <wp:lineTo x="0" y="21323"/>
                <wp:lineTo x="21336" y="21323"/>
                <wp:lineTo x="21336" y="0"/>
                <wp:lineTo x="0" y="0"/>
              </wp:wrapPolygon>
            </wp:wrapTight>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6" cstate="print"/>
                    <a:stretch>
                      <a:fillRect/>
                    </a:stretch>
                  </pic:blipFill>
                  <pic:spPr>
                    <a:xfrm>
                      <a:off x="0" y="0"/>
                      <a:ext cx="2025015" cy="1485900"/>
                    </a:xfrm>
                    <a:prstGeom prst="rect">
                      <a:avLst/>
                    </a:prstGeom>
                    <a:noFill/>
                    <a:ln w="9525">
                      <a:noFill/>
                    </a:ln>
                  </pic:spPr>
                </pic:pic>
              </a:graphicData>
            </a:graphic>
          </wp:anchor>
        </w:drawing>
      </w:r>
      <w:r>
        <w:rPr>
          <w:rFonts w:hint="eastAsia" w:hAnsi="宋体"/>
          <w:b/>
          <w:bCs/>
          <w:color w:val="auto"/>
          <w:sz w:val="24"/>
        </w:rPr>
        <w:t xml:space="preserve">                      </w:t>
      </w:r>
    </w:p>
    <w:p>
      <w:pPr>
        <w:spacing w:line="360" w:lineRule="auto"/>
        <w:rPr>
          <w:rFonts w:hAnsi="宋体"/>
          <w:b/>
          <w:bCs/>
          <w:color w:val="auto"/>
          <w:sz w:val="24"/>
        </w:rPr>
      </w:pPr>
    </w:p>
    <w:p>
      <w:pPr>
        <w:spacing w:line="360" w:lineRule="auto"/>
        <w:rPr>
          <w:rFonts w:hAnsi="宋体"/>
          <w:b/>
          <w:bCs/>
          <w:color w:val="auto"/>
          <w:sz w:val="24"/>
        </w:rPr>
      </w:pPr>
    </w:p>
    <w:p>
      <w:pPr>
        <w:spacing w:line="360" w:lineRule="auto"/>
        <w:rPr>
          <w:rFonts w:hAnsi="宋体"/>
          <w:b/>
          <w:bCs/>
          <w:color w:val="auto"/>
          <w:sz w:val="24"/>
        </w:rPr>
      </w:pPr>
    </w:p>
    <w:p>
      <w:pPr>
        <w:pStyle w:val="2"/>
        <w:rPr>
          <w:rFonts w:hAnsi="宋体"/>
          <w:b/>
          <w:bCs/>
          <w:color w:val="auto"/>
          <w:sz w:val="24"/>
        </w:rPr>
      </w:pPr>
    </w:p>
    <w:p>
      <w:pPr>
        <w:pStyle w:val="2"/>
        <w:rPr>
          <w:rFonts w:hAnsi="宋体"/>
          <w:b/>
          <w:bCs/>
          <w:color w:val="auto"/>
          <w:sz w:val="24"/>
        </w:rPr>
      </w:pPr>
    </w:p>
    <w:p>
      <w:pPr>
        <w:pStyle w:val="2"/>
        <w:rPr>
          <w:rFonts w:hAnsi="宋体"/>
          <w:b/>
          <w:bCs/>
          <w:color w:val="auto"/>
          <w:sz w:val="24"/>
        </w:rPr>
      </w:pPr>
    </w:p>
    <w:p>
      <w:pPr>
        <w:pStyle w:val="2"/>
        <w:rPr>
          <w:rFonts w:hAnsi="宋体"/>
          <w:b/>
          <w:bCs/>
          <w:color w:val="auto"/>
          <w:sz w:val="24"/>
        </w:rPr>
      </w:pPr>
    </w:p>
    <w:p>
      <w:pPr>
        <w:pStyle w:val="94"/>
        <w:tabs>
          <w:tab w:val="left" w:pos="1980"/>
        </w:tabs>
        <w:spacing w:line="1000" w:lineRule="exact"/>
        <w:jc w:val="center"/>
        <w:rPr>
          <w:rFonts w:hint="eastAsia" w:ascii="宋体" w:hAnsi="宋体" w:eastAsia="宋体" w:cs="黑体"/>
          <w:b/>
          <w:color w:val="auto"/>
          <w:sz w:val="32"/>
          <w:szCs w:val="32"/>
        </w:rPr>
      </w:pPr>
      <w:r>
        <w:rPr>
          <w:rFonts w:hint="eastAsia" w:hAnsi="宋体" w:cs="黑体"/>
          <w:b/>
          <w:color w:val="auto"/>
          <w:sz w:val="32"/>
          <w:szCs w:val="32"/>
          <w:lang w:eastAsia="zh-CN"/>
        </w:rPr>
        <w:t>招</w:t>
      </w:r>
      <w:r>
        <w:rPr>
          <w:rFonts w:hint="eastAsia" w:ascii="宋体" w:hAnsi="宋体" w:eastAsia="宋体" w:cs="黑体"/>
          <w:b/>
          <w:color w:val="auto"/>
          <w:sz w:val="32"/>
          <w:szCs w:val="32"/>
          <w:lang w:eastAsia="zh-CN"/>
        </w:rPr>
        <w:t>标</w:t>
      </w:r>
      <w:r>
        <w:rPr>
          <w:rFonts w:hint="eastAsia" w:ascii="宋体" w:hAnsi="宋体" w:eastAsia="宋体" w:cs="黑体"/>
          <w:b/>
          <w:color w:val="auto"/>
          <w:sz w:val="32"/>
          <w:szCs w:val="32"/>
        </w:rPr>
        <w:t>人：</w:t>
      </w:r>
      <w:r>
        <w:rPr>
          <w:rFonts w:hint="eastAsia" w:cs="黑体"/>
          <w:b/>
          <w:color w:val="auto"/>
          <w:sz w:val="32"/>
          <w:szCs w:val="32"/>
          <w:lang w:val="en-US" w:eastAsia="zh-CN"/>
        </w:rPr>
        <w:t>许昌新区建设投资有限公司</w:t>
      </w:r>
    </w:p>
    <w:p>
      <w:pPr>
        <w:pStyle w:val="94"/>
        <w:tabs>
          <w:tab w:val="left" w:pos="1980"/>
        </w:tabs>
        <w:spacing w:line="1000" w:lineRule="exact"/>
        <w:ind w:firstLine="2249" w:firstLineChars="700"/>
        <w:jc w:val="both"/>
        <w:rPr>
          <w:rFonts w:hint="eastAsia" w:ascii="宋体" w:hAnsi="宋体" w:eastAsia="宋体" w:cs="黑体"/>
          <w:b/>
          <w:color w:val="auto"/>
          <w:sz w:val="32"/>
          <w:szCs w:val="32"/>
          <w:lang w:eastAsia="zh-CN"/>
        </w:rPr>
      </w:pPr>
      <w:r>
        <w:rPr>
          <w:rFonts w:hint="eastAsia" w:ascii="宋体" w:hAnsi="宋体" w:eastAsia="宋体" w:cs="黑体"/>
          <w:b/>
          <w:color w:val="auto"/>
          <w:sz w:val="32"/>
          <w:szCs w:val="32"/>
        </w:rPr>
        <w:t>代理机构：</w:t>
      </w:r>
      <w:r>
        <w:rPr>
          <w:rFonts w:hint="eastAsia" w:ascii="宋体" w:hAnsi="宋体" w:eastAsia="宋体" w:cs="黑体"/>
          <w:b/>
          <w:color w:val="auto"/>
          <w:sz w:val="32"/>
          <w:szCs w:val="32"/>
          <w:lang w:eastAsia="zh-CN"/>
        </w:rPr>
        <w:t>永明项目管理有限公司</w:t>
      </w:r>
    </w:p>
    <w:p>
      <w:pPr>
        <w:pStyle w:val="94"/>
        <w:tabs>
          <w:tab w:val="left" w:pos="1980"/>
        </w:tabs>
        <w:spacing w:line="1000" w:lineRule="exact"/>
        <w:ind w:firstLine="2570" w:firstLineChars="800"/>
        <w:jc w:val="both"/>
        <w:rPr>
          <w:rFonts w:hint="eastAsia" w:hAnsi="宋体" w:cs="黑体"/>
          <w:b/>
          <w:color w:val="auto"/>
          <w:sz w:val="32"/>
          <w:szCs w:val="32"/>
        </w:rPr>
      </w:pPr>
      <w:r>
        <w:rPr>
          <w:rFonts w:hint="eastAsia" w:hAnsi="宋体" w:cs="黑体"/>
          <w:b/>
          <w:color w:val="auto"/>
          <w:sz w:val="32"/>
          <w:szCs w:val="32"/>
        </w:rPr>
        <w:t>日    期：二〇一九年</w:t>
      </w:r>
      <w:r>
        <w:rPr>
          <w:rFonts w:hint="eastAsia" w:cs="黑体"/>
          <w:b/>
          <w:color w:val="auto"/>
          <w:sz w:val="32"/>
          <w:szCs w:val="32"/>
          <w:lang w:eastAsia="zh-CN"/>
        </w:rPr>
        <w:t>八</w:t>
      </w:r>
      <w:r>
        <w:rPr>
          <w:rFonts w:hint="eastAsia" w:hAnsi="宋体" w:cs="黑体"/>
          <w:b/>
          <w:color w:val="auto"/>
          <w:sz w:val="32"/>
          <w:szCs w:val="32"/>
        </w:rPr>
        <w:t>月</w:t>
      </w:r>
    </w:p>
    <w:p>
      <w:pPr>
        <w:spacing w:afterLines="100" w:line="540" w:lineRule="exact"/>
        <w:ind w:firstLine="4618" w:firstLineChars="1150"/>
        <w:rPr>
          <w:rFonts w:ascii="宋体" w:hAnsi="宋体" w:cs="宋体"/>
          <w:b/>
          <w:color w:val="auto"/>
          <w:sz w:val="40"/>
          <w:szCs w:val="40"/>
        </w:rPr>
      </w:pPr>
      <w:bookmarkStart w:id="0" w:name="_Toc152045511"/>
      <w:bookmarkStart w:id="1" w:name="_Toc144974479"/>
      <w:bookmarkStart w:id="2" w:name="_Toc152042287"/>
    </w:p>
    <w:p>
      <w:pPr>
        <w:pStyle w:val="2"/>
      </w:pPr>
    </w:p>
    <w:p>
      <w:pPr>
        <w:spacing w:afterLines="100" w:line="540" w:lineRule="exact"/>
        <w:ind w:firstLine="0" w:firstLineChars="0"/>
        <w:jc w:val="center"/>
        <w:rPr>
          <w:rFonts w:ascii="宋体" w:hAnsi="宋体" w:cs="宋体"/>
          <w:b/>
          <w:color w:val="auto"/>
          <w:sz w:val="32"/>
          <w:szCs w:val="32"/>
        </w:rPr>
      </w:pPr>
      <w:r>
        <w:rPr>
          <w:rFonts w:hint="eastAsia" w:ascii="宋体" w:hAnsi="宋体" w:cs="宋体"/>
          <w:b/>
          <w:color w:val="auto"/>
          <w:sz w:val="32"/>
          <w:szCs w:val="32"/>
        </w:rPr>
        <w:t>目  录</w:t>
      </w:r>
    </w:p>
    <w:p>
      <w:pPr>
        <w:autoSpaceDE w:val="0"/>
        <w:autoSpaceDN w:val="0"/>
        <w:adjustRightInd w:val="0"/>
        <w:spacing w:line="600" w:lineRule="exact"/>
        <w:ind w:firstLine="562"/>
        <w:rPr>
          <w:rFonts w:ascii="宋体" w:hAnsi="宋体" w:cs="宋体"/>
          <w:b/>
          <w:color w:val="auto"/>
          <w:sz w:val="28"/>
          <w:szCs w:val="28"/>
        </w:rPr>
      </w:pPr>
      <w:r>
        <w:rPr>
          <w:rFonts w:hint="eastAsia" w:ascii="宋体" w:hAnsi="宋体" w:cs="宋体"/>
          <w:b/>
          <w:color w:val="auto"/>
          <w:sz w:val="28"/>
          <w:szCs w:val="28"/>
        </w:rPr>
        <w:t>第一章  招标公告</w:t>
      </w:r>
    </w:p>
    <w:p>
      <w:pPr>
        <w:autoSpaceDE w:val="0"/>
        <w:autoSpaceDN w:val="0"/>
        <w:adjustRightInd w:val="0"/>
        <w:spacing w:line="600" w:lineRule="exact"/>
        <w:ind w:firstLine="562"/>
        <w:rPr>
          <w:rFonts w:ascii="宋体" w:hAnsi="宋体" w:cs="宋体"/>
          <w:b/>
          <w:color w:val="auto"/>
          <w:sz w:val="28"/>
          <w:szCs w:val="28"/>
        </w:rPr>
      </w:pPr>
      <w:r>
        <w:rPr>
          <w:rFonts w:hint="eastAsia" w:ascii="宋体" w:hAnsi="宋体" w:cs="宋体"/>
          <w:b/>
          <w:color w:val="auto"/>
          <w:sz w:val="28"/>
          <w:szCs w:val="28"/>
        </w:rPr>
        <w:t>第二章  投标人须知</w:t>
      </w:r>
    </w:p>
    <w:p>
      <w:pPr>
        <w:autoSpaceDE w:val="0"/>
        <w:autoSpaceDN w:val="0"/>
        <w:adjustRightInd w:val="0"/>
        <w:spacing w:line="600" w:lineRule="exact"/>
        <w:ind w:firstLine="562"/>
        <w:rPr>
          <w:rFonts w:ascii="宋体" w:hAnsi="宋体" w:cs="宋体"/>
          <w:b/>
          <w:color w:val="auto"/>
          <w:sz w:val="28"/>
          <w:szCs w:val="28"/>
        </w:rPr>
      </w:pPr>
      <w:r>
        <w:rPr>
          <w:rFonts w:hint="eastAsia" w:ascii="宋体" w:hAnsi="宋体" w:cs="宋体"/>
          <w:b/>
          <w:color w:val="auto"/>
          <w:sz w:val="28"/>
          <w:szCs w:val="28"/>
        </w:rPr>
        <w:t>第三章  评标办法</w:t>
      </w:r>
    </w:p>
    <w:p>
      <w:pPr>
        <w:autoSpaceDE w:val="0"/>
        <w:autoSpaceDN w:val="0"/>
        <w:adjustRightInd w:val="0"/>
        <w:spacing w:line="600" w:lineRule="exact"/>
        <w:ind w:firstLine="562"/>
        <w:rPr>
          <w:rFonts w:ascii="宋体" w:hAnsi="宋体" w:cs="宋体"/>
          <w:b/>
          <w:color w:val="auto"/>
          <w:sz w:val="28"/>
          <w:szCs w:val="28"/>
        </w:rPr>
      </w:pPr>
      <w:r>
        <w:rPr>
          <w:rFonts w:hint="eastAsia" w:ascii="宋体" w:hAnsi="宋体" w:cs="宋体"/>
          <w:b/>
          <w:color w:val="auto"/>
          <w:sz w:val="28"/>
          <w:szCs w:val="28"/>
        </w:rPr>
        <w:t>第四章  合同条款及格式</w:t>
      </w:r>
    </w:p>
    <w:p>
      <w:pPr>
        <w:autoSpaceDE w:val="0"/>
        <w:autoSpaceDN w:val="0"/>
        <w:adjustRightInd w:val="0"/>
        <w:spacing w:line="600" w:lineRule="exact"/>
        <w:ind w:firstLine="562"/>
        <w:rPr>
          <w:rFonts w:ascii="宋体" w:hAnsi="宋体" w:cs="宋体"/>
          <w:b/>
          <w:color w:val="auto"/>
          <w:sz w:val="28"/>
          <w:szCs w:val="28"/>
        </w:rPr>
      </w:pPr>
      <w:r>
        <w:rPr>
          <w:rFonts w:hint="eastAsia" w:ascii="宋体" w:hAnsi="宋体" w:cs="宋体"/>
          <w:b/>
          <w:color w:val="auto"/>
          <w:sz w:val="28"/>
          <w:szCs w:val="28"/>
        </w:rPr>
        <w:t>第五章  发包人要求</w:t>
      </w:r>
    </w:p>
    <w:p>
      <w:pPr>
        <w:autoSpaceDE w:val="0"/>
        <w:autoSpaceDN w:val="0"/>
        <w:adjustRightInd w:val="0"/>
        <w:spacing w:line="600" w:lineRule="exact"/>
        <w:ind w:firstLine="562"/>
        <w:rPr>
          <w:rFonts w:ascii="宋体" w:hAnsi="宋体" w:cs="宋体"/>
          <w:b/>
          <w:color w:val="auto"/>
          <w:sz w:val="28"/>
          <w:szCs w:val="28"/>
        </w:rPr>
      </w:pPr>
      <w:r>
        <w:rPr>
          <w:rFonts w:hint="eastAsia" w:ascii="宋体" w:hAnsi="宋体" w:cs="宋体"/>
          <w:b/>
          <w:color w:val="auto"/>
          <w:sz w:val="28"/>
          <w:szCs w:val="28"/>
        </w:rPr>
        <w:t>第六章  投标文件格式</w:t>
      </w:r>
    </w:p>
    <w:p>
      <w:pPr>
        <w:pStyle w:val="4"/>
        <w:spacing w:before="120" w:after="120" w:line="400" w:lineRule="exact"/>
        <w:jc w:val="center"/>
        <w:rPr>
          <w:rFonts w:hint="eastAsia" w:ascii="宋体" w:hAnsi="宋体" w:eastAsia="宋体" w:cs="宋体"/>
          <w:b/>
          <w:color w:val="auto"/>
          <w:szCs w:val="32"/>
        </w:rPr>
      </w:pPr>
      <w:r>
        <w:rPr>
          <w:color w:val="auto"/>
        </w:rPr>
        <w:br w:type="page"/>
      </w:r>
      <w:bookmarkEnd w:id="0"/>
      <w:bookmarkEnd w:id="1"/>
      <w:bookmarkEnd w:id="2"/>
      <w:bookmarkStart w:id="3" w:name="_Toc492300757"/>
      <w:r>
        <w:rPr>
          <w:rFonts w:hint="eastAsia" w:ascii="宋体" w:hAnsi="宋体" w:eastAsia="宋体" w:cs="宋体"/>
          <w:b/>
          <w:color w:val="auto"/>
          <w:szCs w:val="32"/>
        </w:rPr>
        <w:t>第一章 招标公告</w:t>
      </w:r>
    </w:p>
    <w:p>
      <w:pPr>
        <w:widowControl/>
        <w:spacing w:line="400" w:lineRule="exact"/>
        <w:rPr>
          <w:b/>
          <w:color w:val="000000"/>
          <w:sz w:val="24"/>
          <w:szCs w:val="22"/>
        </w:rPr>
      </w:pPr>
      <w:r>
        <w:rPr>
          <w:rFonts w:hint="eastAsia" w:hAnsi="宋体" w:cs="宋体"/>
          <w:b/>
          <w:color w:val="000000"/>
          <w:sz w:val="24"/>
          <w:szCs w:val="22"/>
        </w:rPr>
        <w:t>一、招标条件</w:t>
      </w:r>
    </w:p>
    <w:p>
      <w:pPr>
        <w:spacing w:line="360" w:lineRule="auto"/>
        <w:ind w:firstLine="480" w:firstLineChars="200"/>
        <w:rPr>
          <w:rFonts w:hAnsi="宋体"/>
          <w:color w:val="000000"/>
          <w:sz w:val="24"/>
          <w:szCs w:val="22"/>
        </w:rPr>
      </w:pPr>
      <w:r>
        <w:rPr>
          <w:rFonts w:hint="eastAsia" w:hAnsi="宋体"/>
          <w:color w:val="000000"/>
          <w:sz w:val="24"/>
          <w:szCs w:val="22"/>
          <w:u w:val="single"/>
          <w:lang w:val="en-US" w:eastAsia="zh-CN"/>
        </w:rPr>
        <w:t>许昌市城乡一体化示范区德仕堡生活广场项目</w:t>
      </w:r>
      <w:r>
        <w:rPr>
          <w:rFonts w:hint="eastAsia" w:hAnsi="宋体"/>
          <w:color w:val="000000"/>
          <w:sz w:val="24"/>
          <w:szCs w:val="22"/>
        </w:rPr>
        <w:t>已由</w:t>
      </w:r>
      <w:r>
        <w:rPr>
          <w:rFonts w:hint="eastAsia" w:hAnsi="宋体"/>
          <w:color w:val="000000"/>
          <w:sz w:val="24"/>
          <w:szCs w:val="22"/>
          <w:lang w:val="en-US" w:eastAsia="zh-CN"/>
        </w:rPr>
        <w:t>相关部门</w:t>
      </w:r>
      <w:r>
        <w:rPr>
          <w:rFonts w:hint="eastAsia" w:ascii="宋体" w:cs="宋体"/>
          <w:sz w:val="24"/>
          <w:shd w:val="clear" w:color="auto" w:fill="FFFFFF"/>
        </w:rPr>
        <w:t>批准建设，招标人为</w:t>
      </w:r>
      <w:r>
        <w:rPr>
          <w:rFonts w:hint="eastAsia" w:hAnsi="宋体"/>
          <w:color w:val="000000"/>
          <w:sz w:val="24"/>
          <w:szCs w:val="22"/>
          <w:u w:val="single"/>
          <w:lang w:val="en-US" w:eastAsia="zh-CN"/>
        </w:rPr>
        <w:t>许昌新区建设投资有限公司</w:t>
      </w:r>
      <w:r>
        <w:rPr>
          <w:rFonts w:hint="eastAsia" w:hAnsi="宋体"/>
          <w:color w:val="000000"/>
          <w:sz w:val="24"/>
          <w:szCs w:val="22"/>
          <w:u w:val="none"/>
        </w:rPr>
        <w:t>。</w:t>
      </w:r>
      <w:r>
        <w:rPr>
          <w:rFonts w:hint="eastAsia" w:hAnsi="宋体"/>
          <w:color w:val="000000"/>
          <w:sz w:val="24"/>
          <w:szCs w:val="22"/>
        </w:rPr>
        <w:t>建设资金来</w:t>
      </w:r>
      <w:r>
        <w:rPr>
          <w:rFonts w:hint="eastAsia" w:hAnsi="宋体"/>
          <w:color w:val="000000"/>
          <w:sz w:val="24"/>
          <w:szCs w:val="22"/>
          <w:lang w:eastAsia="zh-CN"/>
        </w:rPr>
        <w:t>自筹</w:t>
      </w:r>
      <w:r>
        <w:rPr>
          <w:rFonts w:hint="eastAsia" w:hAnsi="宋体"/>
          <w:color w:val="000000"/>
          <w:sz w:val="24"/>
          <w:szCs w:val="22"/>
        </w:rPr>
        <w:t>资金，项目出资比例为</w:t>
      </w:r>
      <w:r>
        <w:rPr>
          <w:rFonts w:hAnsi="宋体"/>
          <w:color w:val="000000"/>
          <w:sz w:val="24"/>
          <w:szCs w:val="22"/>
        </w:rPr>
        <w:t>100%</w:t>
      </w:r>
      <w:r>
        <w:rPr>
          <w:rFonts w:hint="eastAsia" w:hAnsi="宋体"/>
          <w:color w:val="000000"/>
          <w:sz w:val="24"/>
          <w:szCs w:val="22"/>
        </w:rPr>
        <w:t>。项目已具备招标条件，现对该项目的</w:t>
      </w:r>
      <w:r>
        <w:rPr>
          <w:rFonts w:hint="eastAsia" w:hAnsi="宋体"/>
          <w:color w:val="000000"/>
          <w:sz w:val="24"/>
          <w:szCs w:val="22"/>
          <w:u w:val="single"/>
          <w:lang w:eastAsia="zh-CN"/>
        </w:rPr>
        <w:t>勘察</w:t>
      </w:r>
      <w:r>
        <w:rPr>
          <w:rFonts w:hint="eastAsia" w:hAnsi="宋体"/>
          <w:color w:val="000000"/>
          <w:sz w:val="24"/>
          <w:szCs w:val="22"/>
        </w:rPr>
        <w:t>进行公开招标。</w:t>
      </w:r>
    </w:p>
    <w:p>
      <w:pPr>
        <w:widowControl/>
        <w:spacing w:line="400" w:lineRule="exact"/>
        <w:rPr>
          <w:b/>
          <w:color w:val="000000"/>
          <w:sz w:val="24"/>
          <w:szCs w:val="22"/>
        </w:rPr>
      </w:pPr>
      <w:r>
        <w:rPr>
          <w:rFonts w:hint="eastAsia" w:hAnsi="宋体" w:cs="宋体"/>
          <w:b/>
          <w:color w:val="000000"/>
          <w:sz w:val="24"/>
          <w:szCs w:val="22"/>
        </w:rPr>
        <w:t>二、项目概况与招标内容</w:t>
      </w:r>
    </w:p>
    <w:p>
      <w:pPr>
        <w:widowControl/>
        <w:spacing w:line="400" w:lineRule="exact"/>
        <w:rPr>
          <w:rFonts w:hint="default" w:eastAsia="宋体"/>
          <w:color w:val="000000"/>
          <w:sz w:val="24"/>
          <w:szCs w:val="22"/>
          <w:lang w:val="en-US" w:eastAsia="zh-CN"/>
        </w:rPr>
      </w:pPr>
      <w:r>
        <w:rPr>
          <w:rFonts w:hAnsi="宋体" w:cs="宋体"/>
          <w:color w:val="000000"/>
          <w:sz w:val="24"/>
          <w:szCs w:val="22"/>
        </w:rPr>
        <w:t xml:space="preserve"> </w:t>
      </w:r>
      <w:r>
        <w:rPr>
          <w:rFonts w:hint="eastAsia" w:hAnsi="宋体" w:cs="宋体"/>
          <w:color w:val="000000"/>
          <w:sz w:val="24"/>
          <w:szCs w:val="22"/>
        </w:rPr>
        <w:t xml:space="preserve"> （一）项目编号</w:t>
      </w:r>
      <w:r>
        <w:rPr>
          <w:rFonts w:hint="eastAsia" w:hAnsi="宋体" w:cs="宋体"/>
          <w:color w:val="000000" w:themeColor="text1"/>
          <w:sz w:val="24"/>
          <w:szCs w:val="22"/>
          <w14:textFill>
            <w14:solidFill>
              <w14:schemeClr w14:val="tx1"/>
            </w14:solidFill>
          </w14:textFill>
        </w:rPr>
        <w:t>：XCGC-F2019</w:t>
      </w:r>
      <w:r>
        <w:rPr>
          <w:rFonts w:hint="eastAsia" w:hAnsi="宋体" w:cs="宋体"/>
          <w:color w:val="000000" w:themeColor="text1"/>
          <w:sz w:val="24"/>
          <w:szCs w:val="22"/>
          <w:lang w:val="en-US" w:eastAsia="zh-CN"/>
          <w14:textFill>
            <w14:solidFill>
              <w14:schemeClr w14:val="tx1"/>
            </w14:solidFill>
          </w14:textFill>
        </w:rPr>
        <w:t>197</w:t>
      </w:r>
    </w:p>
    <w:p>
      <w:pPr>
        <w:widowControl/>
        <w:spacing w:line="400" w:lineRule="exact"/>
        <w:rPr>
          <w:rFonts w:hAnsi="宋体" w:cs="宋体"/>
          <w:color w:val="000000"/>
          <w:sz w:val="24"/>
          <w:szCs w:val="22"/>
        </w:rPr>
      </w:pPr>
      <w:r>
        <w:rPr>
          <w:rFonts w:hint="eastAsia" w:hAnsi="宋体" w:cs="宋体"/>
          <w:color w:val="000000"/>
          <w:sz w:val="24"/>
          <w:szCs w:val="22"/>
        </w:rPr>
        <w:t xml:space="preserve">  （二）建设地点：位于</w:t>
      </w:r>
      <w:r>
        <w:rPr>
          <w:rFonts w:hint="eastAsia" w:hAnsi="宋体" w:cs="宋体"/>
          <w:color w:val="000000"/>
          <w:sz w:val="24"/>
          <w:szCs w:val="22"/>
          <w:lang w:eastAsia="zh-CN"/>
        </w:rPr>
        <w:t>许昌市城乡一体化示范区</w:t>
      </w:r>
      <w:r>
        <w:rPr>
          <w:rFonts w:hint="eastAsia" w:hAnsi="宋体" w:cs="宋体"/>
          <w:color w:val="000000"/>
          <w:sz w:val="24"/>
          <w:szCs w:val="22"/>
          <w:lang w:val="en-US" w:eastAsia="zh-CN"/>
        </w:rPr>
        <w:t>FD08-1地块，该地块用地面积（红线）为27602㎡，折合41.4亩；</w:t>
      </w:r>
      <w:r>
        <w:rPr>
          <w:rFonts w:hint="eastAsia" w:hAnsi="宋体" w:cs="宋体"/>
          <w:color w:val="000000"/>
          <w:sz w:val="24"/>
          <w:szCs w:val="22"/>
          <w:lang w:eastAsia="zh-CN"/>
        </w:rPr>
        <w:t>北至宏腾路，西至竹林路，南至隆昌路，东至</w:t>
      </w:r>
      <w:r>
        <w:rPr>
          <w:rFonts w:hint="eastAsia" w:hAnsi="宋体" w:cs="宋体"/>
          <w:color w:val="000000"/>
          <w:sz w:val="24"/>
          <w:szCs w:val="22"/>
          <w:lang w:val="en-US" w:eastAsia="zh-CN"/>
        </w:rPr>
        <w:t>F08-2地块</w:t>
      </w:r>
      <w:r>
        <w:rPr>
          <w:rFonts w:hint="eastAsia" w:hAnsi="宋体" w:cs="宋体"/>
          <w:color w:val="000000"/>
          <w:sz w:val="24"/>
          <w:szCs w:val="22"/>
        </w:rPr>
        <w:t>。</w:t>
      </w:r>
    </w:p>
    <w:p>
      <w:pPr>
        <w:widowControl/>
        <w:spacing w:line="400" w:lineRule="exact"/>
        <w:rPr>
          <w:rFonts w:hint="default" w:hAnsi="宋体" w:cs="宋体"/>
          <w:sz w:val="24"/>
          <w:szCs w:val="22"/>
          <w:lang w:val="en-US" w:eastAsia="zh-CN"/>
        </w:rPr>
      </w:pPr>
      <w:r>
        <w:rPr>
          <w:rFonts w:hint="eastAsia" w:hAnsi="宋体" w:cs="宋体"/>
          <w:color w:val="000000"/>
          <w:sz w:val="24"/>
          <w:szCs w:val="22"/>
        </w:rPr>
        <w:t xml:space="preserve">  （三）规   </w:t>
      </w:r>
      <w:r>
        <w:rPr>
          <w:rFonts w:hint="eastAsia" w:hAnsi="宋体" w:cs="宋体"/>
          <w:sz w:val="24"/>
          <w:szCs w:val="22"/>
        </w:rPr>
        <w:t xml:space="preserve"> 模: </w:t>
      </w:r>
      <w:r>
        <w:rPr>
          <w:rFonts w:hint="eastAsia" w:hAnsi="宋体" w:cs="宋体"/>
          <w:sz w:val="24"/>
          <w:szCs w:val="22"/>
          <w:lang w:val="en-US" w:eastAsia="zh-CN"/>
        </w:rPr>
        <w:t>该项目占地约41亩，容积率小于2.5，规划总建筑面积约94900㎡，包含商业、公寓、办公、地下商业等（</w:t>
      </w:r>
      <w:r>
        <w:rPr>
          <w:rFonts w:hint="eastAsia" w:hAnsi="宋体" w:cs="宋体"/>
          <w:color w:val="000000"/>
          <w:sz w:val="24"/>
          <w:szCs w:val="22"/>
          <w:lang w:val="en-US" w:eastAsia="zh-CN"/>
        </w:rPr>
        <w:t>其中地上建筑面积57000㎡，地下建筑面积37900㎡。项目规划建设内容包括24F人才公寓一栋，7层产业孵化办公楼一栋，5F酒店建筑一栋、1层婚庆中心一栋，以及2F-3F配套商业10栋</w:t>
      </w:r>
      <w:r>
        <w:rPr>
          <w:rFonts w:hint="eastAsia" w:hAnsi="宋体" w:cs="宋体"/>
          <w:sz w:val="24"/>
          <w:szCs w:val="22"/>
          <w:lang w:val="en-US" w:eastAsia="zh-CN"/>
        </w:rPr>
        <w:t>），工程投资估算约为46000万元，建设周期为2年。其中建安工程费为33994.96万元，广场建设其他费为9868.56万元，广场预备费为2193.18万元。规划占地面积为</w:t>
      </w:r>
      <w:r>
        <w:rPr>
          <w:rFonts w:hint="eastAsia" w:hAnsi="宋体" w:cs="宋体"/>
          <w:color w:val="000000"/>
          <w:sz w:val="24"/>
          <w:szCs w:val="22"/>
          <w:lang w:val="en-US" w:eastAsia="zh-CN"/>
        </w:rPr>
        <w:t>27602㎡。</w:t>
      </w:r>
    </w:p>
    <w:p>
      <w:pPr>
        <w:spacing w:line="360" w:lineRule="auto"/>
        <w:rPr>
          <w:rFonts w:hint="eastAsia" w:hAnsi="宋体" w:cs="宋体"/>
          <w:color w:val="000000"/>
          <w:sz w:val="24"/>
          <w:szCs w:val="22"/>
          <w:lang w:val="en-US" w:eastAsia="zh-CN"/>
        </w:rPr>
      </w:pPr>
      <w:r>
        <w:rPr>
          <w:rFonts w:hint="eastAsia" w:hAnsi="宋体" w:cs="宋体"/>
          <w:color w:val="000000"/>
          <w:sz w:val="24"/>
          <w:szCs w:val="22"/>
        </w:rPr>
        <w:t xml:space="preserve">  （四）</w:t>
      </w:r>
      <w:r>
        <w:rPr>
          <w:rFonts w:hint="eastAsia" w:hAnsi="宋体" w:cs="宋体"/>
          <w:color w:val="000000"/>
          <w:sz w:val="24"/>
          <w:szCs w:val="22"/>
          <w:lang w:val="en-US" w:eastAsia="zh-CN"/>
        </w:rPr>
        <w:t>招标范围：勘察：地质勘察招标及相关服务，按国家、省及市相关规定提供技术成果文件。</w:t>
      </w:r>
    </w:p>
    <w:p>
      <w:pPr>
        <w:autoSpaceDE w:val="0"/>
        <w:autoSpaceDN w:val="0"/>
        <w:adjustRightInd w:val="0"/>
        <w:spacing w:line="360" w:lineRule="auto"/>
        <w:jc w:val="left"/>
        <w:rPr>
          <w:rFonts w:hint="eastAsia" w:hAnsi="宋体" w:cs="宋体"/>
          <w:sz w:val="24"/>
          <w:szCs w:val="22"/>
          <w:lang w:val="en-US" w:eastAsia="zh-CN"/>
        </w:rPr>
      </w:pPr>
      <w:r>
        <w:rPr>
          <w:rFonts w:hint="eastAsia" w:hAnsi="宋体" w:cs="宋体"/>
          <w:color w:val="FF0000"/>
          <w:sz w:val="24"/>
          <w:szCs w:val="22"/>
        </w:rPr>
        <w:t xml:space="preserve">  </w:t>
      </w:r>
      <w:r>
        <w:rPr>
          <w:rFonts w:hint="eastAsia" w:hAnsi="宋体" w:cs="宋体"/>
          <w:color w:val="000000"/>
          <w:sz w:val="24"/>
          <w:szCs w:val="22"/>
        </w:rPr>
        <w:t>（五）标段划分</w:t>
      </w:r>
      <w:r>
        <w:rPr>
          <w:rFonts w:hint="eastAsia" w:hAnsi="宋体" w:cs="宋体"/>
          <w:color w:val="000000"/>
          <w:sz w:val="24"/>
          <w:szCs w:val="22"/>
          <w:lang w:eastAsia="zh-CN"/>
        </w:rPr>
        <w:t>及</w:t>
      </w:r>
      <w:r>
        <w:rPr>
          <w:rFonts w:hint="eastAsia" w:hAnsi="宋体" w:cs="宋体"/>
          <w:color w:val="000000"/>
          <w:sz w:val="24"/>
          <w:szCs w:val="22"/>
        </w:rPr>
        <w:t>招标控制价：共</w:t>
      </w:r>
      <w:r>
        <w:rPr>
          <w:rFonts w:hint="eastAsia" w:hAnsi="宋体" w:cs="宋体"/>
          <w:sz w:val="24"/>
          <w:szCs w:val="22"/>
          <w:lang w:val="en-US" w:eastAsia="zh-CN"/>
        </w:rPr>
        <w:t>划分为一个标段，招标内容为本项目地质勘察工作及相关服务，并按国家、省及市相关规定提供技术成果文件；招标控制价为</w:t>
      </w:r>
      <w:r>
        <w:rPr>
          <w:rFonts w:hint="eastAsia" w:hAnsi="宋体" w:cs="宋体"/>
          <w:color w:val="auto"/>
          <w:sz w:val="24"/>
          <w:szCs w:val="22"/>
          <w:lang w:val="en-US" w:eastAsia="zh-CN"/>
        </w:rPr>
        <w:t>：391339.20元。</w:t>
      </w:r>
    </w:p>
    <w:p>
      <w:pPr>
        <w:widowControl/>
        <w:spacing w:line="400" w:lineRule="exact"/>
        <w:rPr>
          <w:rFonts w:hint="eastAsia" w:hAnsi="宋体" w:cs="宋体"/>
          <w:sz w:val="24"/>
          <w:szCs w:val="22"/>
          <w:lang w:val="en-US" w:eastAsia="zh-CN"/>
        </w:rPr>
      </w:pPr>
      <w:r>
        <w:rPr>
          <w:rFonts w:hint="eastAsia" w:ascii="仿宋" w:hAnsi="仿宋" w:eastAsia="仿宋" w:cs="仿宋"/>
          <w:kern w:val="2"/>
          <w:sz w:val="32"/>
          <w:szCs w:val="32"/>
          <w:lang w:val="en-US" w:eastAsia="zh-CN" w:bidi="ar-SA"/>
        </w:rPr>
        <w:t xml:space="preserve">   </w:t>
      </w:r>
    </w:p>
    <w:p>
      <w:pPr>
        <w:spacing w:line="360" w:lineRule="auto"/>
        <w:rPr>
          <w:rFonts w:hint="eastAsia" w:hAnsi="宋体" w:cs="宋体"/>
          <w:sz w:val="24"/>
          <w:szCs w:val="22"/>
          <w:lang w:val="en-US" w:eastAsia="zh-CN"/>
        </w:rPr>
      </w:pPr>
      <w:r>
        <w:rPr>
          <w:rFonts w:hint="eastAsia" w:hAnsi="宋体" w:cs="宋体"/>
          <w:sz w:val="24"/>
          <w:szCs w:val="22"/>
        </w:rPr>
        <w:t xml:space="preserve">  （六）计划</w:t>
      </w:r>
      <w:r>
        <w:rPr>
          <w:rFonts w:hint="eastAsia" w:hAnsi="宋体" w:cs="宋体"/>
          <w:sz w:val="24"/>
          <w:szCs w:val="22"/>
          <w:lang w:eastAsia="zh-CN"/>
        </w:rPr>
        <w:t>服</w:t>
      </w:r>
      <w:r>
        <w:rPr>
          <w:rFonts w:hint="eastAsia" w:hAnsi="宋体" w:cs="宋体"/>
          <w:sz w:val="24"/>
          <w:szCs w:val="22"/>
          <w:lang w:val="en-US" w:eastAsia="zh-CN"/>
        </w:rPr>
        <w:t>务期：勘察周期</w:t>
      </w:r>
      <w:r>
        <w:rPr>
          <w:rFonts w:hint="eastAsia" w:hAnsi="宋体" w:cs="宋体"/>
          <w:color w:val="auto"/>
          <w:sz w:val="24"/>
          <w:szCs w:val="22"/>
          <w:lang w:val="en-US" w:eastAsia="zh-CN"/>
        </w:rPr>
        <w:t>15</w:t>
      </w:r>
      <w:r>
        <w:rPr>
          <w:rFonts w:hint="eastAsia" w:hAnsi="宋体" w:cs="宋体"/>
          <w:sz w:val="24"/>
          <w:szCs w:val="22"/>
          <w:lang w:val="en-US" w:eastAsia="zh-CN"/>
        </w:rPr>
        <w:t>日历天。</w:t>
      </w:r>
    </w:p>
    <w:p>
      <w:pPr>
        <w:spacing w:line="360" w:lineRule="auto"/>
        <w:rPr>
          <w:rFonts w:hint="eastAsia" w:hAnsi="宋体" w:cs="宋体"/>
          <w:sz w:val="24"/>
          <w:szCs w:val="22"/>
        </w:rPr>
      </w:pPr>
      <w:r>
        <w:rPr>
          <w:rFonts w:hint="eastAsia" w:hAnsi="宋体" w:cs="宋体"/>
          <w:sz w:val="24"/>
          <w:szCs w:val="22"/>
        </w:rPr>
        <w:t xml:space="preserve">  （七）质量要求：</w:t>
      </w:r>
      <w:r>
        <w:rPr>
          <w:rFonts w:hint="eastAsia" w:hAnsi="宋体" w:cs="宋体"/>
          <w:sz w:val="24"/>
          <w:szCs w:val="22"/>
          <w:lang w:eastAsia="zh-CN"/>
        </w:rPr>
        <w:t>合格（</w:t>
      </w:r>
      <w:r>
        <w:rPr>
          <w:rFonts w:hint="eastAsia" w:hAnsi="宋体" w:cs="宋体"/>
          <w:sz w:val="24"/>
          <w:szCs w:val="22"/>
        </w:rPr>
        <w:t>符合国家现行有关规范、标准和规定</w:t>
      </w:r>
      <w:r>
        <w:rPr>
          <w:rFonts w:hint="eastAsia" w:hAnsi="宋体" w:cs="宋体"/>
          <w:sz w:val="24"/>
          <w:szCs w:val="22"/>
          <w:lang w:eastAsia="zh-CN"/>
        </w:rPr>
        <w:t>）</w:t>
      </w:r>
      <w:r>
        <w:rPr>
          <w:rFonts w:hint="eastAsia" w:hAnsi="宋体" w:cs="宋体"/>
          <w:sz w:val="24"/>
          <w:szCs w:val="22"/>
        </w:rPr>
        <w:t>。</w:t>
      </w:r>
    </w:p>
    <w:p>
      <w:pPr>
        <w:spacing w:line="360" w:lineRule="auto"/>
        <w:rPr>
          <w:b/>
          <w:sz w:val="24"/>
        </w:rPr>
      </w:pPr>
      <w:r>
        <w:rPr>
          <w:rFonts w:hint="eastAsia" w:hAnsi="宋体" w:cs="宋体"/>
          <w:b/>
          <w:sz w:val="24"/>
        </w:rPr>
        <w:t>三、投标人资格要求</w:t>
      </w:r>
    </w:p>
    <w:p>
      <w:pPr>
        <w:spacing w:line="400" w:lineRule="exact"/>
        <w:ind w:firstLine="480" w:firstLineChars="200"/>
        <w:rPr>
          <w:rFonts w:hint="eastAsia" w:ascii="宋体" w:cs="宋体"/>
          <w:sz w:val="24"/>
          <w:shd w:val="clear" w:color="auto" w:fill="FFFFFF"/>
        </w:rPr>
      </w:pPr>
      <w:r>
        <w:rPr>
          <w:rFonts w:hint="eastAsia" w:ascii="宋体" w:cs="宋体"/>
          <w:sz w:val="24"/>
          <w:shd w:val="clear" w:color="auto" w:fill="FFFFFF"/>
        </w:rPr>
        <w:t>3.1</w:t>
      </w:r>
    </w:p>
    <w:p>
      <w:pPr>
        <w:spacing w:line="380" w:lineRule="exact"/>
        <w:ind w:firstLine="480"/>
        <w:rPr>
          <w:rFonts w:hint="eastAsia" w:ascii="宋体" w:cs="宋体"/>
          <w:sz w:val="24"/>
          <w:shd w:val="clear" w:color="auto" w:fill="FFFFFF"/>
        </w:rPr>
      </w:pPr>
      <w:r>
        <w:rPr>
          <w:rFonts w:hint="eastAsia" w:ascii="宋体" w:cs="宋体"/>
          <w:sz w:val="24"/>
          <w:shd w:val="clear" w:color="auto" w:fill="FFFFFF"/>
        </w:rPr>
        <w:t>具有独立法人资格（在中华人民共和国境内注册，具有有效的营业执照）；</w:t>
      </w:r>
      <w:r>
        <w:rPr>
          <w:rFonts w:hint="eastAsia" w:ascii="宋体" w:hAnsi="宋体" w:cs="宋体"/>
          <w:color w:val="auto"/>
          <w:sz w:val="24"/>
          <w:szCs w:val="24"/>
          <w:lang w:val="en-US" w:eastAsia="zh-CN"/>
        </w:rPr>
        <w:t>要求</w:t>
      </w:r>
      <w:r>
        <w:rPr>
          <w:rFonts w:hint="eastAsia" w:ascii="宋体" w:hAnsi="宋体" w:cs="宋体"/>
          <w:color w:val="auto"/>
          <w:sz w:val="24"/>
          <w:szCs w:val="24"/>
        </w:rPr>
        <w:t>投标人须具有独立法人资格，具备建设行政主管部门颁发的</w:t>
      </w:r>
      <w:r>
        <w:rPr>
          <w:rFonts w:hint="eastAsia" w:ascii="宋体" w:hAnsi="宋体"/>
          <w:color w:val="auto"/>
          <w:sz w:val="24"/>
          <w:u w:val="none"/>
        </w:rPr>
        <w:t>工程勘察综合类甲级资质或工程勘察（岩土工程）乙级及以上资质</w:t>
      </w:r>
      <w:r>
        <w:rPr>
          <w:rFonts w:hint="eastAsia" w:ascii="宋体" w:hAnsi="宋体" w:cs="宋体"/>
          <w:color w:val="auto"/>
          <w:sz w:val="24"/>
          <w:szCs w:val="24"/>
        </w:rPr>
        <w:t>，投标人</w:t>
      </w:r>
      <w:r>
        <w:rPr>
          <w:rFonts w:hint="eastAsia"/>
          <w:b w:val="0"/>
          <w:bCs/>
          <w:sz w:val="24"/>
          <w:lang w:val="en-US" w:eastAsia="zh-CN"/>
        </w:rPr>
        <w:t>拟派项目负责人须具备国家注册岩土工程师资格</w:t>
      </w:r>
      <w:r>
        <w:rPr>
          <w:rFonts w:hint="eastAsia" w:ascii="宋体" w:hAnsi="宋体" w:cs="宋体"/>
          <w:color w:val="auto"/>
          <w:sz w:val="24"/>
          <w:szCs w:val="24"/>
        </w:rPr>
        <w:t>。</w:t>
      </w:r>
    </w:p>
    <w:p>
      <w:pPr>
        <w:spacing w:line="400" w:lineRule="exact"/>
        <w:ind w:firstLine="480" w:firstLineChars="200"/>
        <w:rPr>
          <w:rFonts w:hint="eastAsia" w:ascii="宋体" w:cs="宋体"/>
          <w:sz w:val="24"/>
          <w:shd w:val="clear" w:color="auto" w:fill="FFFFFF"/>
        </w:rPr>
      </w:pPr>
      <w:r>
        <w:rPr>
          <w:rFonts w:hint="eastAsia" w:ascii="宋体" w:cs="宋体"/>
          <w:sz w:val="24"/>
          <w:shd w:val="clear" w:color="auto" w:fill="FFFFFF"/>
        </w:rPr>
        <w:t>3.2未被列入“信用中国”网站（www.creditchina.gov.cn）失信被执行人名单及“国家企业信用公示系统”网站（www.gsxt.gov.cn）严重违法失信企业名单（黑名单）的投标人（招标人、代理机构或评标专家委员会评标现场查询）；查询记录和证据留存具体方式：经评标专家委员会确认的查询结果网页截图作为查询记录和证据，与其他文件一并保存。</w:t>
      </w:r>
    </w:p>
    <w:p>
      <w:pPr>
        <w:spacing w:line="360" w:lineRule="auto"/>
        <w:ind w:firstLine="424" w:firstLineChars="177"/>
        <w:rPr>
          <w:rFonts w:ascii="宋体" w:cs="宋体"/>
          <w:sz w:val="24"/>
          <w:shd w:val="clear" w:color="auto" w:fill="FFFFFF"/>
        </w:rPr>
      </w:pPr>
      <w:r>
        <w:rPr>
          <w:rFonts w:ascii="宋体" w:cs="宋体"/>
          <w:sz w:val="24"/>
          <w:shd w:val="clear" w:color="auto" w:fill="FFFFFF"/>
        </w:rPr>
        <w:t>3.</w:t>
      </w:r>
      <w:r>
        <w:rPr>
          <w:rFonts w:hint="eastAsia" w:ascii="宋体" w:cs="宋体"/>
          <w:sz w:val="24"/>
          <w:shd w:val="clear" w:color="auto" w:fill="FFFFFF"/>
        </w:rPr>
        <w:t>3本次招标实行资格后审。</w:t>
      </w:r>
    </w:p>
    <w:p>
      <w:pPr>
        <w:spacing w:line="360" w:lineRule="auto"/>
        <w:ind w:firstLine="424" w:firstLineChars="177"/>
        <w:rPr>
          <w:rFonts w:ascii="宋体" w:cs="宋体"/>
          <w:sz w:val="24"/>
          <w:shd w:val="clear" w:color="auto" w:fill="FFFFFF"/>
        </w:rPr>
      </w:pPr>
      <w:r>
        <w:rPr>
          <w:rFonts w:ascii="宋体" w:cs="宋体"/>
          <w:sz w:val="24"/>
          <w:shd w:val="clear" w:color="auto" w:fill="FFFFFF"/>
        </w:rPr>
        <w:t>3.</w:t>
      </w:r>
      <w:r>
        <w:rPr>
          <w:rFonts w:hint="eastAsia" w:ascii="宋体" w:cs="宋体"/>
          <w:sz w:val="24"/>
          <w:shd w:val="clear" w:color="auto" w:fill="FFFFFF"/>
        </w:rPr>
        <w:t>4本次招标不接受联合体投标。</w:t>
      </w:r>
    </w:p>
    <w:p>
      <w:pPr>
        <w:spacing w:line="360" w:lineRule="auto"/>
        <w:rPr>
          <w:b/>
          <w:sz w:val="24"/>
        </w:rPr>
      </w:pPr>
      <w:r>
        <w:rPr>
          <w:rFonts w:hint="eastAsia" w:hAnsi="宋体"/>
          <w:b/>
          <w:sz w:val="24"/>
        </w:rPr>
        <w:t>四、网上下载招标文件</w:t>
      </w:r>
    </w:p>
    <w:p>
      <w:pPr>
        <w:spacing w:line="360" w:lineRule="auto"/>
        <w:ind w:firstLine="480" w:firstLineChars="200"/>
        <w:rPr>
          <w:rFonts w:hAnsi="宋体"/>
          <w:bCs/>
          <w:sz w:val="24"/>
        </w:rPr>
      </w:pPr>
      <w:r>
        <w:rPr>
          <w:rFonts w:hAnsi="宋体"/>
          <w:bCs/>
          <w:sz w:val="24"/>
        </w:rPr>
        <w:t>4.1</w:t>
      </w:r>
      <w:r>
        <w:rPr>
          <w:rFonts w:hint="eastAsia" w:hAnsi="宋体"/>
          <w:bCs/>
          <w:sz w:val="24"/>
        </w:rPr>
        <w:t>持</w:t>
      </w:r>
      <w:r>
        <w:rPr>
          <w:rFonts w:hAnsi="宋体"/>
          <w:bCs/>
          <w:sz w:val="24"/>
        </w:rPr>
        <w:t>CA</w:t>
      </w:r>
      <w:r>
        <w:rPr>
          <w:rFonts w:hint="eastAsia" w:hAnsi="宋体"/>
          <w:bCs/>
          <w:sz w:val="24"/>
        </w:rPr>
        <w:t>数字认证证书，登录【全国公共资源交易平台（河南省·许昌市）】“系统用户注册”入口（</w:t>
      </w:r>
      <w:r>
        <w:rPr>
          <w:rFonts w:hAnsi="宋体"/>
          <w:bCs/>
          <w:sz w:val="24"/>
        </w:rPr>
        <w:t>http://221.14.6.70:8088/ggzy/eps/public/RegistAllJcxx.html</w:t>
      </w:r>
      <w:r>
        <w:rPr>
          <w:rFonts w:hint="eastAsia" w:hAnsi="宋体"/>
          <w:bCs/>
          <w:sz w:val="24"/>
        </w:rPr>
        <w:t>）进行免费注册登记（详见“常见问题解答</w:t>
      </w:r>
      <w:r>
        <w:rPr>
          <w:rFonts w:hAnsi="宋体"/>
          <w:bCs/>
          <w:sz w:val="24"/>
        </w:rPr>
        <w:t>-</w:t>
      </w:r>
      <w:r>
        <w:rPr>
          <w:rFonts w:hint="eastAsia" w:hAnsi="宋体"/>
          <w:bCs/>
          <w:sz w:val="24"/>
        </w:rPr>
        <w:t>诚信库网上注册相关资料下载”）；</w:t>
      </w:r>
    </w:p>
    <w:p>
      <w:pPr>
        <w:spacing w:line="360" w:lineRule="auto"/>
        <w:ind w:firstLine="480" w:firstLineChars="200"/>
        <w:rPr>
          <w:rFonts w:hAnsi="宋体"/>
          <w:bCs/>
          <w:sz w:val="24"/>
        </w:rPr>
      </w:pPr>
      <w:r>
        <w:rPr>
          <w:rFonts w:hAnsi="宋体"/>
          <w:bCs/>
          <w:sz w:val="24"/>
        </w:rPr>
        <w:t>4.2</w:t>
      </w:r>
      <w:r>
        <w:rPr>
          <w:rFonts w:hint="eastAsia" w:hAnsi="宋体"/>
          <w:bCs/>
          <w:sz w:val="24"/>
        </w:rPr>
        <w:t>在投标截止时间前登录【全国公共资源交易平台（河南省·许昌市）】“投标人</w:t>
      </w:r>
      <w:r>
        <w:rPr>
          <w:rFonts w:hAnsi="宋体"/>
          <w:bCs/>
          <w:sz w:val="24"/>
        </w:rPr>
        <w:t>/</w:t>
      </w:r>
      <w:r>
        <w:rPr>
          <w:rFonts w:hint="eastAsia" w:hAnsi="宋体"/>
          <w:bCs/>
          <w:sz w:val="24"/>
        </w:rPr>
        <w:t>供应商登录”入口（</w:t>
      </w:r>
      <w:r>
        <w:rPr>
          <w:rFonts w:hAnsi="宋体"/>
          <w:bCs/>
          <w:sz w:val="24"/>
        </w:rPr>
        <w:t>http://221.14.6.70:8088/ggzy/</w:t>
      </w:r>
      <w:r>
        <w:rPr>
          <w:rFonts w:hint="eastAsia" w:hAnsi="宋体"/>
          <w:bCs/>
          <w:sz w:val="24"/>
        </w:rPr>
        <w:t>）自行下载招标文件（详见“常见问题解答</w:t>
      </w:r>
      <w:r>
        <w:rPr>
          <w:rFonts w:hAnsi="宋体"/>
          <w:bCs/>
          <w:sz w:val="24"/>
        </w:rPr>
        <w:t>-</w:t>
      </w:r>
      <w:r>
        <w:rPr>
          <w:rFonts w:hint="eastAsia" w:hAnsi="宋体"/>
          <w:bCs/>
          <w:sz w:val="24"/>
        </w:rPr>
        <w:t>交易系统操作手册”）。</w:t>
      </w:r>
    </w:p>
    <w:p>
      <w:pPr>
        <w:spacing w:line="360" w:lineRule="auto"/>
        <w:rPr>
          <w:b/>
          <w:sz w:val="24"/>
        </w:rPr>
      </w:pPr>
      <w:r>
        <w:rPr>
          <w:rFonts w:hint="eastAsia" w:hAnsi="宋体"/>
          <w:b/>
          <w:sz w:val="24"/>
        </w:rPr>
        <w:t>五、招标文件的获取</w:t>
      </w:r>
    </w:p>
    <w:p>
      <w:pPr>
        <w:spacing w:line="360" w:lineRule="auto"/>
        <w:ind w:firstLine="566" w:firstLineChars="236"/>
        <w:rPr>
          <w:sz w:val="24"/>
        </w:rPr>
      </w:pPr>
      <w:r>
        <w:rPr>
          <w:sz w:val="24"/>
        </w:rPr>
        <w:t>5.1</w:t>
      </w:r>
      <w:r>
        <w:rPr>
          <w:rFonts w:hint="eastAsia"/>
          <w:sz w:val="24"/>
        </w:rPr>
        <w:t>招标文件的获取：投标人于投标文件递交截止时间前均可登录【全国公共资源交易平台</w:t>
      </w:r>
      <w:r>
        <w:rPr>
          <w:sz w:val="24"/>
        </w:rPr>
        <w:t>(</w:t>
      </w:r>
      <w:r>
        <w:rPr>
          <w:rFonts w:hint="eastAsia"/>
          <w:sz w:val="24"/>
        </w:rPr>
        <w:t>河南省</w:t>
      </w:r>
      <w:r>
        <w:rPr>
          <w:sz w:val="24"/>
        </w:rPr>
        <w:t>▪</w:t>
      </w:r>
      <w:r>
        <w:rPr>
          <w:rFonts w:hint="eastAsia"/>
          <w:sz w:val="24"/>
        </w:rPr>
        <w:t>许昌市</w:t>
      </w:r>
      <w:r>
        <w:rPr>
          <w:sz w:val="24"/>
        </w:rPr>
        <w:t>)</w:t>
      </w:r>
      <w:r>
        <w:rPr>
          <w:rFonts w:hint="eastAsia"/>
          <w:sz w:val="24"/>
        </w:rPr>
        <w:t>】（</w:t>
      </w:r>
      <w:r>
        <w:rPr>
          <w:sz w:val="24"/>
        </w:rPr>
        <w:t>http://www.xczbtb.com/</w:t>
      </w:r>
      <w:r>
        <w:rPr>
          <w:rFonts w:hint="eastAsia"/>
          <w:sz w:val="24"/>
        </w:rPr>
        <w:t>），通过“投标人</w:t>
      </w:r>
      <w:r>
        <w:rPr>
          <w:sz w:val="24"/>
        </w:rPr>
        <w:t>/</w:t>
      </w:r>
      <w:r>
        <w:rPr>
          <w:rFonts w:hint="eastAsia"/>
          <w:sz w:val="24"/>
        </w:rPr>
        <w:t>供应商登录”</w:t>
      </w:r>
      <w:r>
        <w:rPr>
          <w:sz w:val="24"/>
        </w:rPr>
        <w:t xml:space="preserve"> </w:t>
      </w:r>
      <w:r>
        <w:rPr>
          <w:rFonts w:hint="eastAsia"/>
          <w:sz w:val="24"/>
        </w:rPr>
        <w:t>入口自行下载。</w:t>
      </w:r>
    </w:p>
    <w:p>
      <w:pPr>
        <w:spacing w:line="360" w:lineRule="auto"/>
        <w:ind w:firstLine="566" w:firstLineChars="236"/>
        <w:rPr>
          <w:sz w:val="24"/>
        </w:rPr>
      </w:pPr>
      <w:r>
        <w:rPr>
          <w:sz w:val="24"/>
        </w:rPr>
        <w:t>5.2</w:t>
      </w:r>
      <w:r>
        <w:rPr>
          <w:rFonts w:hint="eastAsia"/>
          <w:sz w:val="24"/>
        </w:rPr>
        <w:t>招标文件每套售价</w:t>
      </w:r>
      <w:r>
        <w:rPr>
          <w:sz w:val="24"/>
        </w:rPr>
        <w:t>300</w:t>
      </w:r>
      <w:r>
        <w:rPr>
          <w:rFonts w:hint="eastAsia"/>
          <w:sz w:val="24"/>
        </w:rPr>
        <w:t>元，于递交投标文件时缴纳给招标代理机构，售后不退。</w:t>
      </w:r>
    </w:p>
    <w:p>
      <w:pPr>
        <w:spacing w:line="360" w:lineRule="auto"/>
        <w:rPr>
          <w:b/>
          <w:sz w:val="24"/>
        </w:rPr>
      </w:pPr>
      <w:r>
        <w:rPr>
          <w:rFonts w:hint="eastAsia" w:hAnsi="宋体"/>
          <w:b/>
          <w:sz w:val="24"/>
        </w:rPr>
        <w:t>六、投标文件的递交</w:t>
      </w:r>
    </w:p>
    <w:p>
      <w:pPr>
        <w:spacing w:line="530" w:lineRule="exact"/>
        <w:ind w:firstLine="480" w:firstLineChars="200"/>
        <w:rPr>
          <w:rFonts w:hint="eastAsia" w:hAnsi="宋体" w:cs="宋体"/>
          <w:sz w:val="24"/>
        </w:rPr>
      </w:pPr>
      <w:r>
        <w:rPr>
          <w:rFonts w:hint="eastAsia" w:hAnsi="宋体" w:cs="宋体"/>
          <w:sz w:val="24"/>
        </w:rPr>
        <w:t>6.1 本项目为全流程电子化交易项目，须提交电子投标文件。</w:t>
      </w:r>
    </w:p>
    <w:p>
      <w:pPr>
        <w:spacing w:line="530" w:lineRule="exact"/>
        <w:ind w:firstLine="480" w:firstLineChars="200"/>
        <w:rPr>
          <w:rFonts w:hint="eastAsia" w:hAnsi="宋体" w:cs="宋体"/>
          <w:sz w:val="24"/>
        </w:rPr>
      </w:pPr>
      <w:r>
        <w:rPr>
          <w:rFonts w:hint="eastAsia" w:hAnsi="宋体" w:cs="宋体"/>
          <w:sz w:val="24"/>
        </w:rPr>
        <w:t>6.2投标文件提交的截止时间及开标时间：20</w:t>
      </w:r>
      <w:r>
        <w:rPr>
          <w:rFonts w:hint="eastAsia" w:hAnsi="宋体" w:cs="宋体"/>
          <w:color w:val="000000" w:themeColor="text1"/>
          <w:sz w:val="24"/>
          <w14:textFill>
            <w14:solidFill>
              <w14:schemeClr w14:val="tx1"/>
            </w14:solidFill>
          </w14:textFill>
        </w:rPr>
        <w:t>19年</w:t>
      </w:r>
      <w:r>
        <w:rPr>
          <w:rFonts w:hint="eastAsia" w:hAnsi="宋体" w:cs="宋体"/>
          <w:color w:val="000000" w:themeColor="text1"/>
          <w:sz w:val="24"/>
          <w:lang w:val="en-US" w:eastAsia="zh-CN"/>
          <w14:textFill>
            <w14:solidFill>
              <w14:schemeClr w14:val="tx1"/>
            </w14:solidFill>
          </w14:textFill>
        </w:rPr>
        <w:t>9</w:t>
      </w:r>
      <w:r>
        <w:rPr>
          <w:rFonts w:hint="eastAsia" w:hAnsi="宋体" w:cs="宋体"/>
          <w:color w:val="000000" w:themeColor="text1"/>
          <w:sz w:val="24"/>
          <w14:textFill>
            <w14:solidFill>
              <w14:schemeClr w14:val="tx1"/>
            </w14:solidFill>
          </w14:textFill>
        </w:rPr>
        <w:t>月</w:t>
      </w:r>
      <w:r>
        <w:rPr>
          <w:rFonts w:hint="eastAsia" w:hAnsi="宋体" w:cs="宋体"/>
          <w:color w:val="000000" w:themeColor="text1"/>
          <w:sz w:val="24"/>
          <w:lang w:val="en-US" w:eastAsia="zh-CN"/>
          <w14:textFill>
            <w14:solidFill>
              <w14:schemeClr w14:val="tx1"/>
            </w14:solidFill>
          </w14:textFill>
        </w:rPr>
        <w:t>18</w:t>
      </w:r>
      <w:r>
        <w:rPr>
          <w:rFonts w:hint="eastAsia" w:hAnsi="宋体" w:cs="宋体"/>
          <w:color w:val="000000" w:themeColor="text1"/>
          <w:sz w:val="24"/>
          <w14:textFill>
            <w14:solidFill>
              <w14:schemeClr w14:val="tx1"/>
            </w14:solidFill>
          </w14:textFill>
        </w:rPr>
        <w:t>日</w:t>
      </w:r>
      <w:r>
        <w:rPr>
          <w:rFonts w:hint="eastAsia" w:hAnsi="宋体" w:cs="宋体"/>
          <w:color w:val="000000" w:themeColor="text1"/>
          <w:sz w:val="24"/>
          <w:lang w:val="en-US" w:eastAsia="zh-CN"/>
          <w14:textFill>
            <w14:solidFill>
              <w14:schemeClr w14:val="tx1"/>
            </w14:solidFill>
          </w14:textFill>
        </w:rPr>
        <w:t>9</w:t>
      </w:r>
      <w:r>
        <w:rPr>
          <w:rFonts w:hint="eastAsia" w:hAnsi="宋体" w:cs="宋体"/>
          <w:color w:val="000000" w:themeColor="text1"/>
          <w:sz w:val="24"/>
          <w14:textFill>
            <w14:solidFill>
              <w14:schemeClr w14:val="tx1"/>
            </w14:solidFill>
          </w14:textFill>
        </w:rPr>
        <w:t>时</w:t>
      </w:r>
      <w:r>
        <w:rPr>
          <w:rFonts w:hint="eastAsia" w:hAnsi="宋体" w:cs="宋体"/>
          <w:sz w:val="24"/>
        </w:rPr>
        <w:t>30分。</w:t>
      </w:r>
    </w:p>
    <w:p>
      <w:pPr>
        <w:spacing w:line="530" w:lineRule="exact"/>
        <w:ind w:firstLine="480" w:firstLineChars="200"/>
        <w:rPr>
          <w:rFonts w:hAnsi="宋体" w:cs="宋体"/>
          <w:sz w:val="24"/>
        </w:rPr>
      </w:pPr>
      <w:r>
        <w:rPr>
          <w:rFonts w:hint="eastAsia" w:hAnsi="宋体" w:cs="宋体"/>
          <w:sz w:val="24"/>
        </w:rPr>
        <w:t>6.3电子投标文件的提交：电子投标文件应在投标文件提交截止时间（开标时间）之前成功提交至《全国公共资源交易平台</w:t>
      </w:r>
      <w:r>
        <w:rPr>
          <w:rFonts w:hAnsi="宋体" w:cs="宋体"/>
          <w:sz w:val="24"/>
        </w:rPr>
        <w:t>(</w:t>
      </w:r>
      <w:r>
        <w:rPr>
          <w:rFonts w:hint="eastAsia" w:hAnsi="宋体" w:cs="宋体"/>
          <w:sz w:val="24"/>
        </w:rPr>
        <w:t>河南省</w:t>
      </w:r>
      <w:r>
        <w:rPr>
          <w:rFonts w:hint="eastAsia" w:ascii="MS Mincho" w:hAnsi="MS Mincho" w:eastAsia="MS Mincho" w:cs="MS Mincho"/>
          <w:sz w:val="24"/>
        </w:rPr>
        <w:t>▪</w:t>
      </w:r>
      <w:r>
        <w:rPr>
          <w:rFonts w:hint="eastAsia" w:hAnsi="宋体" w:cs="宋体"/>
          <w:sz w:val="24"/>
        </w:rPr>
        <w:t>许昌市</w:t>
      </w:r>
      <w:r>
        <w:rPr>
          <w:rFonts w:hAnsi="宋体" w:cs="宋体"/>
          <w:sz w:val="24"/>
        </w:rPr>
        <w:t>)</w:t>
      </w:r>
      <w:r>
        <w:rPr>
          <w:rFonts w:hint="eastAsia" w:hAnsi="宋体" w:cs="宋体"/>
          <w:sz w:val="24"/>
        </w:rPr>
        <w:t>》公共资源交易系统，并同时提交</w:t>
      </w:r>
      <w:r>
        <w:rPr>
          <w:rFonts w:hAnsi="宋体" w:cs="宋体"/>
          <w:sz w:val="24"/>
        </w:rPr>
        <w:t>1</w:t>
      </w:r>
      <w:r>
        <w:rPr>
          <w:rFonts w:hint="eastAsia" w:hAnsi="宋体" w:cs="宋体"/>
          <w:sz w:val="24"/>
        </w:rPr>
        <w:t>份使用电子介质存储的备份文件。</w:t>
      </w:r>
    </w:p>
    <w:p>
      <w:pPr>
        <w:spacing w:line="530" w:lineRule="exact"/>
        <w:ind w:firstLine="480" w:firstLineChars="200"/>
        <w:rPr>
          <w:rFonts w:hint="eastAsia" w:hAnsi="宋体" w:cs="宋体"/>
          <w:sz w:val="24"/>
        </w:rPr>
      </w:pPr>
      <w:r>
        <w:rPr>
          <w:rFonts w:hint="eastAsia" w:hAnsi="宋体" w:cs="宋体"/>
          <w:sz w:val="24"/>
        </w:rPr>
        <w:t>6.4电子介质存储投标文件提交地点：许昌市公共资源交易中心（许昌市龙兴路竹林路交汇处公共资源大厦三楼）</w:t>
      </w:r>
      <w:bookmarkStart w:id="779" w:name="_GoBack"/>
      <w:r>
        <w:rPr>
          <w:rFonts w:hint="eastAsia" w:hAnsi="宋体" w:cs="宋体"/>
          <w:color w:val="000000" w:themeColor="text1"/>
          <w:sz w:val="24"/>
          <w14:textFill>
            <w14:solidFill>
              <w14:schemeClr w14:val="tx1"/>
            </w14:solidFill>
          </w14:textFill>
        </w:rPr>
        <w:t>开标</w:t>
      </w:r>
      <w:r>
        <w:rPr>
          <w:rFonts w:hint="eastAsia" w:hAnsi="宋体" w:cs="宋体"/>
          <w:color w:val="000000" w:themeColor="text1"/>
          <w:sz w:val="24"/>
          <w:lang w:val="en-US" w:eastAsia="zh-CN"/>
          <w14:textFill>
            <w14:solidFill>
              <w14:schemeClr w14:val="tx1"/>
            </w14:solidFill>
          </w14:textFill>
        </w:rPr>
        <w:t xml:space="preserve"> 三 </w:t>
      </w:r>
      <w:r>
        <w:rPr>
          <w:rFonts w:hint="eastAsia" w:hAnsi="宋体" w:cs="宋体"/>
          <w:color w:val="000000" w:themeColor="text1"/>
          <w:sz w:val="24"/>
          <w14:textFill>
            <w14:solidFill>
              <w14:schemeClr w14:val="tx1"/>
            </w14:solidFill>
          </w14:textFill>
        </w:rPr>
        <w:t>室</w:t>
      </w:r>
      <w:bookmarkEnd w:id="779"/>
      <w:r>
        <w:rPr>
          <w:rFonts w:hint="eastAsia" w:hAnsi="宋体" w:cs="宋体"/>
          <w:sz w:val="24"/>
        </w:rPr>
        <w:t>。</w:t>
      </w:r>
    </w:p>
    <w:p>
      <w:pPr>
        <w:spacing w:line="530" w:lineRule="exact"/>
        <w:ind w:firstLine="480" w:firstLineChars="200"/>
        <w:rPr>
          <w:rFonts w:hint="eastAsia" w:hAnsi="宋体" w:cs="宋体"/>
          <w:sz w:val="24"/>
        </w:rPr>
      </w:pPr>
      <w:r>
        <w:rPr>
          <w:rFonts w:hint="eastAsia" w:hAnsi="宋体" w:cs="宋体"/>
          <w:sz w:val="24"/>
        </w:rPr>
        <w:t>6.5逾期送达的或者未送达指定地点的电子版投标文件的，招标人不予受理。</w:t>
      </w:r>
    </w:p>
    <w:p>
      <w:pPr>
        <w:spacing w:line="530" w:lineRule="exact"/>
        <w:rPr>
          <w:rFonts w:hAnsi="宋体" w:cs="宋体"/>
          <w:b/>
          <w:sz w:val="24"/>
        </w:rPr>
      </w:pPr>
      <w:r>
        <w:rPr>
          <w:rFonts w:hint="eastAsia" w:hAnsi="宋体" w:cs="宋体"/>
          <w:b/>
          <w:sz w:val="24"/>
        </w:rPr>
        <w:t>七、发布公告的媒介</w:t>
      </w:r>
    </w:p>
    <w:p>
      <w:pPr>
        <w:spacing w:line="360" w:lineRule="auto"/>
        <w:rPr>
          <w:rFonts w:hAnsi="宋体" w:cs="宋体"/>
          <w:sz w:val="24"/>
        </w:rPr>
      </w:pPr>
      <w:r>
        <w:rPr>
          <w:rFonts w:hAnsi="宋体" w:cs="宋体"/>
          <w:sz w:val="24"/>
        </w:rPr>
        <w:t xml:space="preserve">    </w:t>
      </w:r>
      <w:r>
        <w:rPr>
          <w:rFonts w:hint="eastAsia" w:hAnsi="宋体" w:cs="宋体"/>
          <w:sz w:val="24"/>
        </w:rPr>
        <w:t>本公告同时在《全国公共资源交易平台</w:t>
      </w:r>
      <w:r>
        <w:rPr>
          <w:rFonts w:hAnsi="宋体" w:cs="宋体"/>
          <w:sz w:val="24"/>
        </w:rPr>
        <w:t>(</w:t>
      </w:r>
      <w:r>
        <w:rPr>
          <w:rFonts w:hint="eastAsia" w:hAnsi="宋体" w:cs="宋体"/>
          <w:sz w:val="24"/>
        </w:rPr>
        <w:t>河南省</w:t>
      </w:r>
      <w:r>
        <w:rPr>
          <w:rFonts w:hint="eastAsia" w:ascii="MS Mincho" w:hAnsi="MS Mincho" w:eastAsia="MS Mincho" w:cs="MS Mincho"/>
          <w:sz w:val="24"/>
        </w:rPr>
        <w:t>▪</w:t>
      </w:r>
      <w:r>
        <w:rPr>
          <w:rFonts w:hint="eastAsia" w:ascii="宋体" w:hAnsi="宋体" w:cs="宋体"/>
          <w:sz w:val="24"/>
        </w:rPr>
        <w:t>许昌市</w:t>
      </w:r>
      <w:r>
        <w:rPr>
          <w:rFonts w:hAnsi="宋体" w:cs="宋体"/>
          <w:sz w:val="24"/>
        </w:rPr>
        <w:t>)</w:t>
      </w:r>
      <w:r>
        <w:rPr>
          <w:rFonts w:hint="eastAsia" w:hAnsi="宋体" w:cs="宋体"/>
          <w:sz w:val="24"/>
        </w:rPr>
        <w:t>》、《河南省电子招标投标公共服务平台》上发布。</w:t>
      </w:r>
    </w:p>
    <w:p>
      <w:pPr>
        <w:spacing w:line="360" w:lineRule="auto"/>
        <w:rPr>
          <w:b/>
          <w:sz w:val="24"/>
        </w:rPr>
      </w:pPr>
      <w:r>
        <w:rPr>
          <w:rFonts w:hint="eastAsia"/>
          <w:b/>
          <w:sz w:val="24"/>
        </w:rPr>
        <w:t>八、联系事项</w:t>
      </w:r>
    </w:p>
    <w:p>
      <w:pPr>
        <w:widowControl/>
        <w:spacing w:line="400" w:lineRule="exact"/>
        <w:ind w:firstLine="480" w:firstLineChars="200"/>
        <w:jc w:val="left"/>
        <w:rPr>
          <w:rFonts w:hint="eastAsia" w:ascii="宋体" w:hAnsi="宋体" w:cs="宋体"/>
          <w:sz w:val="24"/>
        </w:rPr>
      </w:pPr>
      <w:r>
        <w:rPr>
          <w:rFonts w:hint="eastAsia" w:ascii="宋体" w:hAnsi="宋体" w:cs="宋体"/>
          <w:sz w:val="24"/>
        </w:rPr>
        <w:t>招标人：</w:t>
      </w:r>
      <w:r>
        <w:rPr>
          <w:rFonts w:hint="eastAsia" w:ascii="宋体" w:hAnsi="宋体" w:cs="宋体"/>
          <w:sz w:val="24"/>
          <w:lang w:val="en-US" w:eastAsia="zh-CN"/>
        </w:rPr>
        <w:t>许昌新区建设投资有限公司</w:t>
      </w:r>
      <w:r>
        <w:rPr>
          <w:rFonts w:hint="eastAsia" w:ascii="宋体" w:hAnsi="宋体" w:cs="宋体"/>
          <w:sz w:val="24"/>
        </w:rPr>
        <w:t xml:space="preserve">   </w:t>
      </w:r>
    </w:p>
    <w:p>
      <w:pPr>
        <w:widowControl/>
        <w:spacing w:line="400" w:lineRule="exact"/>
        <w:ind w:firstLine="480" w:firstLineChars="200"/>
        <w:jc w:val="left"/>
        <w:rPr>
          <w:rFonts w:hint="eastAsia" w:ascii="宋体" w:hAnsi="宋体" w:cs="宋体"/>
          <w:sz w:val="24"/>
        </w:rPr>
      </w:pPr>
      <w:r>
        <w:rPr>
          <w:rFonts w:hint="eastAsia" w:ascii="宋体" w:hAnsi="宋体" w:cs="宋体"/>
          <w:sz w:val="24"/>
        </w:rPr>
        <w:t>地  址：许昌市城乡一体化示范区</w:t>
      </w:r>
      <w:r>
        <w:rPr>
          <w:rFonts w:hint="eastAsia" w:ascii="宋体" w:hAnsi="宋体" w:cs="宋体"/>
          <w:sz w:val="24"/>
          <w:lang w:eastAsia="zh-CN"/>
        </w:rPr>
        <w:t>金融大厦</w:t>
      </w:r>
      <w:r>
        <w:rPr>
          <w:rFonts w:hint="eastAsia" w:ascii="宋体" w:hAnsi="宋体" w:cs="宋体"/>
          <w:sz w:val="24"/>
          <w:lang w:val="en-US" w:eastAsia="zh-CN"/>
        </w:rPr>
        <w:t>10楼</w:t>
      </w:r>
      <w:r>
        <w:rPr>
          <w:rFonts w:hint="eastAsia" w:ascii="宋体" w:hAnsi="宋体" w:cs="宋体"/>
          <w:sz w:val="24"/>
        </w:rPr>
        <w:t xml:space="preserve"> </w:t>
      </w:r>
    </w:p>
    <w:p>
      <w:pPr>
        <w:widowControl/>
        <w:spacing w:line="400" w:lineRule="exact"/>
        <w:ind w:firstLine="480" w:firstLineChars="200"/>
        <w:jc w:val="left"/>
        <w:rPr>
          <w:rFonts w:hint="eastAsia" w:ascii="宋体" w:hAnsi="宋体" w:cs="宋体"/>
          <w:sz w:val="24"/>
        </w:rPr>
      </w:pPr>
      <w:r>
        <w:rPr>
          <w:rFonts w:hint="eastAsia" w:ascii="宋体" w:hAnsi="宋体" w:cs="宋体"/>
          <w:sz w:val="24"/>
        </w:rPr>
        <w:t xml:space="preserve">联系人： </w:t>
      </w:r>
      <w:r>
        <w:rPr>
          <w:rFonts w:hint="eastAsia" w:hAnsi="宋体" w:cs="宋体"/>
          <w:sz w:val="24"/>
          <w:lang w:eastAsia="zh-CN"/>
        </w:rPr>
        <w:t>袁</w:t>
      </w:r>
      <w:r>
        <w:rPr>
          <w:rFonts w:hint="eastAsia" w:hAnsi="宋体" w:cs="宋体"/>
          <w:sz w:val="24"/>
        </w:rPr>
        <w:t>先生</w:t>
      </w:r>
    </w:p>
    <w:p>
      <w:pPr>
        <w:widowControl/>
        <w:spacing w:line="400" w:lineRule="exact"/>
        <w:ind w:firstLine="480" w:firstLineChars="200"/>
        <w:jc w:val="left"/>
        <w:rPr>
          <w:rFonts w:hint="eastAsia" w:ascii="宋体" w:hAnsi="宋体" w:cs="宋体"/>
          <w:sz w:val="24"/>
          <w:lang w:val="en-US" w:eastAsia="zh-CN"/>
        </w:rPr>
      </w:pPr>
      <w:r>
        <w:rPr>
          <w:rFonts w:hint="eastAsia" w:ascii="宋体" w:hAnsi="宋体" w:cs="宋体"/>
          <w:sz w:val="24"/>
        </w:rPr>
        <w:t>电  话：</w:t>
      </w:r>
      <w:r>
        <w:rPr>
          <w:rFonts w:hint="eastAsia" w:ascii="宋体" w:hAnsi="宋体" w:cs="宋体"/>
          <w:sz w:val="24"/>
          <w:lang w:val="en-US" w:eastAsia="zh-CN"/>
        </w:rPr>
        <w:t>0374-3372969</w:t>
      </w:r>
    </w:p>
    <w:p>
      <w:pPr>
        <w:widowControl/>
        <w:spacing w:line="400" w:lineRule="exact"/>
        <w:ind w:firstLine="480" w:firstLineChars="200"/>
        <w:jc w:val="left"/>
        <w:rPr>
          <w:rFonts w:hint="eastAsia" w:ascii="宋体" w:hAnsi="宋体" w:eastAsia="宋体" w:cs="宋体"/>
          <w:sz w:val="24"/>
          <w:lang w:eastAsia="zh-CN"/>
        </w:rPr>
      </w:pPr>
      <w:r>
        <w:rPr>
          <w:rFonts w:hint="eastAsia" w:ascii="宋体" w:hAnsi="宋体" w:cs="宋体"/>
          <w:sz w:val="24"/>
        </w:rPr>
        <w:t>代理机构：</w:t>
      </w:r>
      <w:r>
        <w:rPr>
          <w:rFonts w:hint="eastAsia" w:ascii="宋体" w:hAnsi="宋体" w:cs="宋体"/>
          <w:sz w:val="24"/>
          <w:lang w:eastAsia="zh-CN"/>
        </w:rPr>
        <w:t>永明项目管理有限公司</w:t>
      </w:r>
    </w:p>
    <w:p>
      <w:pPr>
        <w:widowControl/>
        <w:spacing w:line="400" w:lineRule="exact"/>
        <w:ind w:firstLine="480" w:firstLineChars="200"/>
        <w:jc w:val="left"/>
        <w:rPr>
          <w:rFonts w:hint="eastAsia" w:ascii="宋体" w:hAnsi="宋体" w:eastAsia="宋体" w:cs="宋体"/>
          <w:sz w:val="24"/>
          <w:lang w:eastAsia="zh-CN"/>
        </w:rPr>
      </w:pPr>
      <w:r>
        <w:rPr>
          <w:rFonts w:hint="eastAsia" w:ascii="宋体" w:hAnsi="宋体" w:cs="宋体"/>
          <w:sz w:val="24"/>
        </w:rPr>
        <w:t>地    址：许昌市</w:t>
      </w:r>
      <w:r>
        <w:rPr>
          <w:rFonts w:hint="eastAsia" w:ascii="宋体" w:hAnsi="宋体" w:cs="宋体"/>
          <w:sz w:val="24"/>
          <w:lang w:eastAsia="zh-CN"/>
        </w:rPr>
        <w:t>瑞贝卡和天下</w:t>
      </w:r>
    </w:p>
    <w:p>
      <w:pPr>
        <w:widowControl/>
        <w:spacing w:line="400" w:lineRule="exact"/>
        <w:ind w:firstLine="480" w:firstLineChars="200"/>
        <w:jc w:val="left"/>
        <w:rPr>
          <w:rFonts w:hint="eastAsia" w:ascii="宋体" w:hAnsi="宋体" w:eastAsia="宋体" w:cs="宋体"/>
          <w:sz w:val="24"/>
          <w:lang w:eastAsia="zh-CN"/>
        </w:rPr>
      </w:pPr>
      <w:r>
        <w:rPr>
          <w:rFonts w:hint="eastAsia" w:ascii="宋体" w:hAnsi="宋体" w:cs="宋体"/>
          <w:sz w:val="24"/>
        </w:rPr>
        <w:t>联 系 人：</w:t>
      </w:r>
      <w:r>
        <w:rPr>
          <w:rFonts w:hint="eastAsia" w:ascii="宋体" w:hAnsi="宋体" w:cs="宋体"/>
          <w:sz w:val="24"/>
          <w:lang w:eastAsia="zh-CN"/>
        </w:rPr>
        <w:t>徐女士</w:t>
      </w:r>
    </w:p>
    <w:p>
      <w:pPr>
        <w:widowControl/>
        <w:spacing w:line="400" w:lineRule="exact"/>
        <w:ind w:firstLine="480" w:firstLineChars="200"/>
        <w:jc w:val="left"/>
        <w:rPr>
          <w:rFonts w:hint="default" w:ascii="宋体" w:hAnsi="宋体" w:eastAsia="宋体" w:cs="宋体"/>
          <w:sz w:val="24"/>
          <w:lang w:val="en-US" w:eastAsia="zh-CN"/>
        </w:rPr>
      </w:pPr>
      <w:r>
        <w:rPr>
          <w:rFonts w:hint="eastAsia" w:ascii="宋体" w:hAnsi="宋体" w:cs="宋体"/>
          <w:sz w:val="24"/>
        </w:rPr>
        <w:t>联系电话：</w:t>
      </w:r>
      <w:r>
        <w:rPr>
          <w:rFonts w:hint="eastAsia" w:ascii="宋体" w:hAnsi="宋体" w:cs="宋体"/>
          <w:sz w:val="24"/>
          <w:lang w:val="en-US" w:eastAsia="zh-CN"/>
        </w:rPr>
        <w:t>13333991768</w:t>
      </w:r>
    </w:p>
    <w:p>
      <w:pPr>
        <w:spacing w:line="360" w:lineRule="auto"/>
        <w:ind w:firstLine="480" w:firstLineChars="200"/>
        <w:rPr>
          <w:rFonts w:ascii="宋体" w:hAnsi="宋体"/>
          <w:sz w:val="24"/>
        </w:rPr>
      </w:pPr>
      <w:r>
        <w:rPr>
          <w:rFonts w:hint="eastAsia" w:ascii="宋体" w:hAnsi="宋体"/>
          <w:sz w:val="24"/>
        </w:rPr>
        <w:t xml:space="preserve">         </w:t>
      </w:r>
      <w:r>
        <w:rPr>
          <w:rFonts w:hAnsi="宋体"/>
          <w:sz w:val="24"/>
        </w:rPr>
        <w:t xml:space="preserve">  </w:t>
      </w:r>
    </w:p>
    <w:p>
      <w:pPr>
        <w:pStyle w:val="2"/>
        <w:ind w:firstLine="240"/>
        <w:jc w:val="right"/>
        <w:rPr>
          <w:sz w:val="24"/>
        </w:rPr>
      </w:pPr>
    </w:p>
    <w:p>
      <w:pPr>
        <w:pStyle w:val="2"/>
        <w:ind w:firstLine="240"/>
        <w:jc w:val="right"/>
        <w:rPr>
          <w:sz w:val="24"/>
        </w:rPr>
      </w:pPr>
      <w:r>
        <w:rPr>
          <w:rFonts w:hint="eastAsia" w:ascii="宋体" w:hAnsi="宋体" w:cs="宋体"/>
          <w:sz w:val="24"/>
          <w:lang w:val="en-US" w:eastAsia="zh-CN"/>
        </w:rPr>
        <w:t>许昌新区建设投资有限公司</w:t>
      </w:r>
    </w:p>
    <w:p>
      <w:pPr>
        <w:pStyle w:val="2"/>
        <w:ind w:right="480" w:firstLine="240"/>
        <w:jc w:val="center"/>
        <w:rPr>
          <w:color w:val="auto"/>
          <w:sz w:val="24"/>
        </w:rPr>
      </w:pPr>
      <w:r>
        <w:rPr>
          <w:sz w:val="24"/>
        </w:rPr>
        <w:t xml:space="preserve">                                         </w:t>
      </w:r>
      <w:r>
        <w:rPr>
          <w:rFonts w:hint="eastAsia"/>
          <w:sz w:val="24"/>
          <w:lang w:val="en-US" w:eastAsia="zh-CN"/>
        </w:rPr>
        <w:t xml:space="preserve">    </w:t>
      </w:r>
      <w:r>
        <w:rPr>
          <w:rFonts w:hint="eastAsia"/>
          <w:color w:val="auto"/>
          <w:sz w:val="24"/>
          <w:lang w:val="en-US" w:eastAsia="zh-CN"/>
        </w:rPr>
        <w:t xml:space="preserve">    </w:t>
      </w:r>
      <w:r>
        <w:rPr>
          <w:color w:val="auto"/>
          <w:sz w:val="24"/>
        </w:rPr>
        <w:t xml:space="preserve">  201</w:t>
      </w:r>
      <w:r>
        <w:rPr>
          <w:rFonts w:hint="eastAsia"/>
          <w:color w:val="auto"/>
          <w:sz w:val="24"/>
        </w:rPr>
        <w:t>9年</w:t>
      </w:r>
      <w:r>
        <w:rPr>
          <w:rFonts w:hint="eastAsia"/>
          <w:color w:val="auto"/>
          <w:sz w:val="24"/>
          <w:lang w:val="en-US" w:eastAsia="zh-CN"/>
        </w:rPr>
        <w:t>8</w:t>
      </w:r>
      <w:r>
        <w:rPr>
          <w:rFonts w:hint="eastAsia"/>
          <w:color w:val="auto"/>
          <w:sz w:val="24"/>
        </w:rPr>
        <w:t>月</w:t>
      </w:r>
      <w:r>
        <w:rPr>
          <w:rFonts w:hint="eastAsia"/>
          <w:color w:val="auto"/>
          <w:sz w:val="24"/>
          <w:lang w:val="en-US" w:eastAsia="zh-CN"/>
        </w:rPr>
        <w:t>26</w:t>
      </w:r>
      <w:r>
        <w:rPr>
          <w:rFonts w:hint="eastAsia"/>
          <w:color w:val="auto"/>
          <w:sz w:val="24"/>
        </w:rPr>
        <w:t>日</w:t>
      </w:r>
    </w:p>
    <w:p>
      <w:pPr>
        <w:spacing w:line="360" w:lineRule="auto"/>
        <w:ind w:firstLine="566" w:firstLineChars="236"/>
        <w:rPr>
          <w:rFonts w:hAnsi="宋体"/>
          <w:sz w:val="24"/>
        </w:rPr>
      </w:pPr>
    </w:p>
    <w:p>
      <w:pPr>
        <w:spacing w:line="400" w:lineRule="exact"/>
        <w:rPr>
          <w:rFonts w:hAnsi="宋体"/>
          <w:b/>
          <w:color w:val="000000"/>
          <w:sz w:val="28"/>
          <w:szCs w:val="28"/>
        </w:rPr>
      </w:pPr>
      <w:r>
        <w:rPr>
          <w:rFonts w:hint="eastAsia" w:hAnsi="宋体"/>
          <w:b/>
          <w:color w:val="000000"/>
          <w:sz w:val="28"/>
          <w:szCs w:val="28"/>
        </w:rPr>
        <w:t>温馨提示：</w:t>
      </w:r>
    </w:p>
    <w:p>
      <w:pPr>
        <w:spacing w:line="400" w:lineRule="exact"/>
        <w:ind w:firstLine="562" w:firstLineChars="200"/>
        <w:rPr>
          <w:rFonts w:hAnsi="宋体"/>
          <w:color w:val="000000"/>
          <w:sz w:val="28"/>
          <w:szCs w:val="28"/>
        </w:rPr>
      </w:pPr>
      <w:r>
        <w:rPr>
          <w:rFonts w:hint="eastAsia" w:hAnsi="宋体"/>
          <w:b/>
          <w:color w:val="000000"/>
          <w:sz w:val="28"/>
          <w:szCs w:val="28"/>
        </w:rPr>
        <w:t>本项目为全流程电子化交易项目，请认真阅读招标文件，并注意以下事项。</w:t>
      </w:r>
    </w:p>
    <w:p>
      <w:pPr>
        <w:tabs>
          <w:tab w:val="left" w:pos="7095"/>
        </w:tabs>
        <w:spacing w:line="400" w:lineRule="exact"/>
        <w:ind w:firstLine="482" w:firstLineChars="200"/>
        <w:contextualSpacing/>
        <w:rPr>
          <w:rFonts w:hint="eastAsia" w:hAnsi="宋体"/>
          <w:b/>
          <w:color w:val="000000"/>
          <w:sz w:val="24"/>
        </w:rPr>
      </w:pPr>
      <w:r>
        <w:rPr>
          <w:rFonts w:hAnsi="宋体"/>
          <w:b/>
          <w:color w:val="000000"/>
          <w:sz w:val="24"/>
        </w:rPr>
        <w:t>1.</w:t>
      </w:r>
      <w:r>
        <w:rPr>
          <w:rFonts w:hint="eastAsia" w:hAnsi="宋体"/>
          <w:b/>
          <w:color w:val="000000"/>
          <w:sz w:val="24"/>
        </w:rPr>
        <w:t>投标人应按招标文件规定下载、编制、提交电子投标文件。开、评标现场不接受投标人递交的电子投标文件的其他资料。</w:t>
      </w:r>
    </w:p>
    <w:p>
      <w:pPr>
        <w:tabs>
          <w:tab w:val="left" w:pos="7095"/>
        </w:tabs>
        <w:spacing w:line="400" w:lineRule="exact"/>
        <w:ind w:firstLine="482" w:firstLineChars="200"/>
        <w:contextualSpacing/>
        <w:rPr>
          <w:rFonts w:hAnsi="宋体"/>
          <w:b/>
          <w:color w:val="000000"/>
          <w:sz w:val="24"/>
        </w:rPr>
      </w:pPr>
      <w:r>
        <w:rPr>
          <w:rFonts w:hAnsi="宋体"/>
          <w:b/>
          <w:color w:val="000000"/>
          <w:sz w:val="24"/>
        </w:rPr>
        <w:t>2.</w:t>
      </w:r>
      <w:r>
        <w:rPr>
          <w:rFonts w:hint="eastAsia" w:hAnsi="宋体"/>
          <w:b/>
          <w:color w:val="000000"/>
          <w:sz w:val="24"/>
        </w:rPr>
        <w:t>电子文件下载、制作、提交期间和开标（电子投标文件的解密）环节，承包人须使用</w:t>
      </w:r>
      <w:r>
        <w:rPr>
          <w:rFonts w:hAnsi="宋体"/>
          <w:b/>
          <w:color w:val="000000"/>
          <w:sz w:val="24"/>
        </w:rPr>
        <w:t>CA</w:t>
      </w:r>
      <w:r>
        <w:rPr>
          <w:rFonts w:hint="eastAsia" w:hAnsi="宋体"/>
          <w:b/>
          <w:color w:val="000000"/>
          <w:sz w:val="24"/>
        </w:rPr>
        <w:t>数字证书（证书须在有效期内）。</w:t>
      </w:r>
    </w:p>
    <w:p>
      <w:pPr>
        <w:tabs>
          <w:tab w:val="left" w:pos="7095"/>
        </w:tabs>
        <w:spacing w:line="400" w:lineRule="exact"/>
        <w:ind w:firstLine="482" w:firstLineChars="200"/>
        <w:contextualSpacing/>
        <w:rPr>
          <w:rFonts w:hAnsi="宋体"/>
          <w:b/>
          <w:color w:val="000000"/>
          <w:sz w:val="24"/>
        </w:rPr>
      </w:pPr>
      <w:r>
        <w:rPr>
          <w:rFonts w:hAnsi="宋体"/>
          <w:b/>
          <w:color w:val="000000"/>
          <w:sz w:val="24"/>
        </w:rPr>
        <w:t>3.</w:t>
      </w:r>
      <w:r>
        <w:rPr>
          <w:rFonts w:hint="eastAsia" w:hAnsi="宋体"/>
          <w:b/>
          <w:color w:val="000000"/>
          <w:sz w:val="24"/>
        </w:rPr>
        <w:t>电子投标文件的制作</w:t>
      </w:r>
    </w:p>
    <w:p>
      <w:pPr>
        <w:tabs>
          <w:tab w:val="left" w:pos="7095"/>
        </w:tabs>
        <w:spacing w:line="400" w:lineRule="exact"/>
        <w:ind w:firstLine="480" w:firstLineChars="200"/>
        <w:contextualSpacing/>
        <w:rPr>
          <w:rFonts w:hAnsi="宋体"/>
          <w:color w:val="000000"/>
          <w:sz w:val="24"/>
        </w:rPr>
      </w:pPr>
      <w:r>
        <w:rPr>
          <w:rFonts w:hAnsi="宋体"/>
          <w:color w:val="000000"/>
          <w:sz w:val="24"/>
        </w:rPr>
        <w:t xml:space="preserve">3.1 </w:t>
      </w:r>
      <w:r>
        <w:rPr>
          <w:rFonts w:hint="eastAsia" w:hAnsi="宋体"/>
          <w:color w:val="000000"/>
          <w:sz w:val="24"/>
        </w:rPr>
        <w:t>投标人登录【全国公共资源交易平台</w:t>
      </w:r>
      <w:r>
        <w:rPr>
          <w:rFonts w:hAnsi="宋体"/>
          <w:color w:val="000000"/>
          <w:sz w:val="24"/>
        </w:rPr>
        <w:t>(</w:t>
      </w:r>
      <w:r>
        <w:rPr>
          <w:rFonts w:hint="eastAsia" w:hAnsi="宋体"/>
          <w:color w:val="000000"/>
          <w:sz w:val="24"/>
        </w:rPr>
        <w:t>河南省</w:t>
      </w:r>
      <w:r>
        <w:rPr>
          <w:rFonts w:hint="eastAsia" w:ascii="MS Mincho" w:hAnsi="MS Mincho" w:eastAsia="MS Mincho" w:cs="MS Mincho"/>
          <w:color w:val="000000"/>
          <w:sz w:val="24"/>
        </w:rPr>
        <w:t>▪</w:t>
      </w:r>
      <w:r>
        <w:rPr>
          <w:rFonts w:hint="eastAsia" w:hAnsi="宋体"/>
          <w:color w:val="000000"/>
          <w:sz w:val="24"/>
        </w:rPr>
        <w:t>许昌市</w:t>
      </w:r>
      <w:r>
        <w:rPr>
          <w:rFonts w:hAnsi="宋体"/>
          <w:color w:val="000000"/>
          <w:sz w:val="24"/>
        </w:rPr>
        <w:t>)</w:t>
      </w:r>
      <w:r>
        <w:rPr>
          <w:rFonts w:hint="eastAsia" w:hAnsi="宋体"/>
          <w:color w:val="000000"/>
          <w:sz w:val="24"/>
        </w:rPr>
        <w:t>】公共资源交易系统（</w:t>
      </w:r>
      <w:r>
        <w:fldChar w:fldCharType="begin"/>
      </w:r>
      <w:r>
        <w:instrText xml:space="preserve"> HYPERLINK "http://221.14.6.70:8088/ggzy/" </w:instrText>
      </w:r>
      <w:r>
        <w:fldChar w:fldCharType="separate"/>
      </w:r>
      <w:r>
        <w:rPr>
          <w:rStyle w:val="44"/>
          <w:rFonts w:hAnsi="宋体"/>
          <w:sz w:val="24"/>
        </w:rPr>
        <w:t>http://221.14.6.70:8088/ggzy/</w:t>
      </w:r>
      <w:r>
        <w:rPr>
          <w:rFonts w:hAnsi="宋体"/>
          <w:sz w:val="24"/>
        </w:rPr>
        <w:fldChar w:fldCharType="end"/>
      </w:r>
      <w:r>
        <w:rPr>
          <w:rFonts w:hint="eastAsia" w:hAnsi="宋体"/>
          <w:color w:val="000000"/>
          <w:sz w:val="24"/>
        </w:rPr>
        <w:t>）下载“许昌投标文件制作系统</w:t>
      </w:r>
      <w:r>
        <w:rPr>
          <w:rFonts w:hAnsi="宋体"/>
          <w:color w:val="000000"/>
          <w:sz w:val="24"/>
        </w:rPr>
        <w:t>SEARUN V1.</w:t>
      </w:r>
      <w:r>
        <w:rPr>
          <w:rFonts w:hint="eastAsia" w:hAnsi="宋体"/>
          <w:color w:val="000000"/>
          <w:sz w:val="24"/>
        </w:rPr>
        <w:t>1”，按招标文件要求制作电子投标文件。</w:t>
      </w:r>
    </w:p>
    <w:p>
      <w:pPr>
        <w:tabs>
          <w:tab w:val="left" w:pos="7095"/>
        </w:tabs>
        <w:spacing w:line="400" w:lineRule="exact"/>
        <w:ind w:firstLine="480" w:firstLineChars="200"/>
        <w:contextualSpacing/>
        <w:rPr>
          <w:rFonts w:hAnsi="宋体"/>
          <w:color w:val="000000"/>
          <w:sz w:val="24"/>
        </w:rPr>
      </w:pPr>
      <w:r>
        <w:rPr>
          <w:rFonts w:hint="eastAsia" w:hAnsi="宋体"/>
          <w:color w:val="000000"/>
          <w:sz w:val="24"/>
        </w:rPr>
        <w:t>电子投标文件的制作，参考【全国公共资源交易平台</w:t>
      </w:r>
      <w:r>
        <w:rPr>
          <w:rFonts w:hAnsi="宋体"/>
          <w:color w:val="000000"/>
          <w:sz w:val="24"/>
        </w:rPr>
        <w:t>(</w:t>
      </w:r>
      <w:r>
        <w:rPr>
          <w:rFonts w:hint="eastAsia" w:hAnsi="宋体"/>
          <w:color w:val="000000"/>
          <w:sz w:val="24"/>
        </w:rPr>
        <w:t>河南省</w:t>
      </w:r>
      <w:r>
        <w:rPr>
          <w:rFonts w:hint="eastAsia" w:ascii="MS Mincho" w:hAnsi="MS Mincho" w:eastAsia="MS Mincho" w:cs="MS Mincho"/>
          <w:color w:val="000000"/>
          <w:sz w:val="24"/>
        </w:rPr>
        <w:t>▪</w:t>
      </w:r>
      <w:r>
        <w:rPr>
          <w:rFonts w:hint="eastAsia" w:hAnsi="宋体"/>
          <w:color w:val="000000"/>
          <w:sz w:val="24"/>
        </w:rPr>
        <w:t>许昌市</w:t>
      </w:r>
      <w:r>
        <w:rPr>
          <w:rFonts w:hAnsi="宋体"/>
          <w:color w:val="000000"/>
          <w:sz w:val="24"/>
        </w:rPr>
        <w:t>)</w:t>
      </w:r>
      <w:r>
        <w:rPr>
          <w:rFonts w:hint="eastAsia" w:hAnsi="宋体"/>
          <w:color w:val="000000"/>
          <w:sz w:val="24"/>
        </w:rPr>
        <w:t>】公共资源交易系统</w:t>
      </w:r>
      <w:r>
        <w:rPr>
          <w:rFonts w:hAnsi="宋体"/>
          <w:color w:val="000000"/>
          <w:sz w:val="24"/>
        </w:rPr>
        <w:t>——</w:t>
      </w:r>
      <w:r>
        <w:rPr>
          <w:rFonts w:hint="eastAsia" w:hAnsi="宋体"/>
          <w:color w:val="000000"/>
          <w:sz w:val="24"/>
        </w:rPr>
        <w:t>组件下载</w:t>
      </w:r>
      <w:r>
        <w:rPr>
          <w:rFonts w:hAnsi="宋体"/>
          <w:color w:val="000000"/>
          <w:sz w:val="24"/>
        </w:rPr>
        <w:t>——</w:t>
      </w:r>
      <w:r>
        <w:rPr>
          <w:rFonts w:hint="eastAsia" w:hAnsi="宋体"/>
          <w:color w:val="000000"/>
          <w:sz w:val="24"/>
        </w:rPr>
        <w:t>交易系统操作手册（投标人、供应商）。</w:t>
      </w:r>
    </w:p>
    <w:p>
      <w:pPr>
        <w:tabs>
          <w:tab w:val="left" w:pos="7095"/>
        </w:tabs>
        <w:spacing w:line="400" w:lineRule="exact"/>
        <w:ind w:left="105" w:leftChars="50" w:firstLine="360" w:firstLineChars="150"/>
        <w:contextualSpacing/>
        <w:rPr>
          <w:rFonts w:hAnsi="宋体"/>
          <w:color w:val="000000"/>
          <w:sz w:val="24"/>
        </w:rPr>
      </w:pPr>
      <w:r>
        <w:rPr>
          <w:rFonts w:hAnsi="宋体"/>
          <w:color w:val="000000"/>
          <w:sz w:val="24"/>
        </w:rPr>
        <w:t xml:space="preserve">3.2 </w:t>
      </w:r>
      <w:r>
        <w:rPr>
          <w:rFonts w:hint="eastAsia" w:hAnsi="宋体"/>
          <w:color w:val="000000"/>
          <w:sz w:val="24"/>
        </w:rPr>
        <w:t>投标人须将招标文件要求的资质、业绩、荣誉及相关人员证明材料等资料原件扫描件（或图片）制作到所提交的电子投标文件中。</w:t>
      </w:r>
    </w:p>
    <w:p>
      <w:pPr>
        <w:tabs>
          <w:tab w:val="left" w:pos="7095"/>
        </w:tabs>
        <w:spacing w:line="400" w:lineRule="exact"/>
        <w:ind w:left="105" w:leftChars="50" w:firstLine="360" w:firstLineChars="150"/>
        <w:contextualSpacing/>
        <w:rPr>
          <w:rFonts w:hAnsi="宋体"/>
          <w:color w:val="000000"/>
          <w:sz w:val="24"/>
        </w:rPr>
      </w:pPr>
      <w:r>
        <w:rPr>
          <w:rFonts w:hAnsi="宋体"/>
          <w:color w:val="000000"/>
          <w:sz w:val="24"/>
        </w:rPr>
        <w:t>3.3</w:t>
      </w:r>
      <w:r>
        <w:rPr>
          <w:rFonts w:hint="eastAsia" w:hAnsi="宋体"/>
          <w:color w:val="000000"/>
          <w:sz w:val="24"/>
        </w:rPr>
        <w:t>投标人对同一项目多个标段进行投标的，应分别下载所投标段的招标文件，按标段制作电子投标文件，并按招标文件要求在相应位置加盖投标人电子印章和法人电子印章。</w:t>
      </w:r>
    </w:p>
    <w:p>
      <w:pPr>
        <w:tabs>
          <w:tab w:val="left" w:pos="7095"/>
        </w:tabs>
        <w:spacing w:line="400" w:lineRule="exact"/>
        <w:ind w:left="105" w:leftChars="50" w:firstLine="360" w:firstLineChars="150"/>
        <w:contextualSpacing/>
        <w:rPr>
          <w:rFonts w:hint="eastAsia" w:hAnsi="宋体"/>
          <w:color w:val="000000"/>
          <w:sz w:val="24"/>
        </w:rPr>
      </w:pPr>
      <w:r>
        <w:rPr>
          <w:rFonts w:hint="eastAsia" w:hAnsi="宋体"/>
          <w:color w:val="000000"/>
          <w:sz w:val="24"/>
        </w:rPr>
        <w:t>一个标段对应生成一个文件夹（</w:t>
      </w:r>
      <w:r>
        <w:rPr>
          <w:rFonts w:hAnsi="宋体"/>
          <w:color w:val="000000"/>
          <w:sz w:val="24"/>
        </w:rPr>
        <w:t>xxxx</w:t>
      </w:r>
      <w:r>
        <w:rPr>
          <w:rFonts w:hint="eastAsia" w:hAnsi="宋体"/>
          <w:color w:val="000000"/>
          <w:sz w:val="24"/>
        </w:rPr>
        <w:t>项目</w:t>
      </w:r>
      <w:r>
        <w:rPr>
          <w:rFonts w:hAnsi="宋体"/>
          <w:color w:val="000000"/>
          <w:sz w:val="24"/>
        </w:rPr>
        <w:t>xx</w:t>
      </w:r>
      <w:r>
        <w:rPr>
          <w:rFonts w:hint="eastAsia" w:hAnsi="宋体"/>
          <w:color w:val="000000"/>
          <w:sz w:val="24"/>
        </w:rPr>
        <w:t>标段）</w:t>
      </w:r>
      <w:r>
        <w:rPr>
          <w:rFonts w:hAnsi="宋体"/>
          <w:color w:val="000000"/>
          <w:sz w:val="24"/>
        </w:rPr>
        <w:t xml:space="preserve">, </w:t>
      </w:r>
      <w:r>
        <w:rPr>
          <w:rFonts w:hint="eastAsia" w:hAnsi="宋体"/>
          <w:color w:val="000000"/>
          <w:sz w:val="24"/>
        </w:rPr>
        <w:t>其中包含</w:t>
      </w:r>
      <w:r>
        <w:rPr>
          <w:rFonts w:hAnsi="宋体"/>
          <w:color w:val="000000"/>
          <w:sz w:val="24"/>
        </w:rPr>
        <w:t>2</w:t>
      </w:r>
      <w:r>
        <w:rPr>
          <w:rFonts w:hint="eastAsia" w:hAnsi="宋体"/>
          <w:color w:val="000000"/>
          <w:sz w:val="24"/>
        </w:rPr>
        <w:t>个文件和</w:t>
      </w:r>
      <w:r>
        <w:rPr>
          <w:rFonts w:hAnsi="宋体"/>
          <w:color w:val="000000"/>
          <w:sz w:val="24"/>
        </w:rPr>
        <w:t>1</w:t>
      </w:r>
      <w:r>
        <w:rPr>
          <w:rFonts w:hint="eastAsia" w:hAnsi="宋体"/>
          <w:color w:val="000000"/>
          <w:sz w:val="24"/>
        </w:rPr>
        <w:t>个文件夹。后缀名为“</w:t>
      </w:r>
      <w:r>
        <w:rPr>
          <w:rFonts w:hAnsi="宋体"/>
          <w:color w:val="000000"/>
          <w:sz w:val="24"/>
        </w:rPr>
        <w:t>.file</w:t>
      </w:r>
      <w:r>
        <w:rPr>
          <w:rFonts w:hint="eastAsia" w:hAnsi="宋体"/>
          <w:color w:val="000000"/>
          <w:sz w:val="24"/>
        </w:rPr>
        <w:t>”的文件用于电子投标使用，“备份文件夹”使用电子介质存储，供开标现场备用。</w:t>
      </w:r>
    </w:p>
    <w:p>
      <w:pPr>
        <w:tabs>
          <w:tab w:val="left" w:pos="7095"/>
        </w:tabs>
        <w:spacing w:line="400" w:lineRule="exact"/>
        <w:ind w:firstLine="482" w:firstLineChars="200"/>
        <w:contextualSpacing/>
        <w:rPr>
          <w:rFonts w:hAnsi="宋体"/>
          <w:b/>
          <w:color w:val="000000"/>
          <w:sz w:val="24"/>
        </w:rPr>
      </w:pPr>
      <w:r>
        <w:rPr>
          <w:rFonts w:hAnsi="宋体"/>
          <w:b/>
          <w:color w:val="000000"/>
          <w:sz w:val="24"/>
        </w:rPr>
        <w:t>4.</w:t>
      </w:r>
      <w:r>
        <w:rPr>
          <w:rFonts w:hint="eastAsia" w:hAnsi="宋体"/>
          <w:b/>
          <w:color w:val="000000"/>
          <w:sz w:val="24"/>
        </w:rPr>
        <w:t>电子投标文件的提交</w:t>
      </w:r>
    </w:p>
    <w:p>
      <w:pPr>
        <w:tabs>
          <w:tab w:val="left" w:pos="7095"/>
        </w:tabs>
        <w:spacing w:line="400" w:lineRule="exact"/>
        <w:ind w:firstLine="480" w:firstLineChars="200"/>
        <w:contextualSpacing/>
        <w:rPr>
          <w:rFonts w:hAnsi="宋体"/>
          <w:color w:val="000000"/>
          <w:sz w:val="24"/>
        </w:rPr>
      </w:pPr>
      <w:r>
        <w:rPr>
          <w:rFonts w:hAnsi="宋体"/>
          <w:color w:val="000000"/>
          <w:sz w:val="24"/>
        </w:rPr>
        <w:t>4.1</w:t>
      </w:r>
      <w:r>
        <w:rPr>
          <w:rFonts w:hint="eastAsia" w:hAnsi="宋体"/>
          <w:color w:val="000000"/>
          <w:sz w:val="24"/>
        </w:rPr>
        <w:t>电子投标文件应在招标文件规定的投标文件提交截止时间（开标时间）之前成功提交至【全国公共资源交易平台</w:t>
      </w:r>
      <w:r>
        <w:rPr>
          <w:rFonts w:hAnsi="宋体"/>
          <w:color w:val="000000"/>
          <w:sz w:val="24"/>
        </w:rPr>
        <w:t>(</w:t>
      </w:r>
      <w:r>
        <w:rPr>
          <w:rFonts w:hint="eastAsia" w:hAnsi="宋体"/>
          <w:color w:val="000000"/>
          <w:sz w:val="24"/>
        </w:rPr>
        <w:t>河南省</w:t>
      </w:r>
      <w:r>
        <w:rPr>
          <w:rFonts w:hint="eastAsia" w:ascii="MS Mincho" w:hAnsi="MS Mincho" w:eastAsia="MS Mincho" w:cs="MS Mincho"/>
          <w:color w:val="000000"/>
          <w:sz w:val="24"/>
        </w:rPr>
        <w:t>▪</w:t>
      </w:r>
      <w:r>
        <w:rPr>
          <w:rFonts w:hint="eastAsia" w:hAnsi="宋体"/>
          <w:color w:val="000000"/>
          <w:sz w:val="24"/>
        </w:rPr>
        <w:t>许昌市</w:t>
      </w:r>
      <w:r>
        <w:rPr>
          <w:rFonts w:hAnsi="宋体"/>
          <w:color w:val="000000"/>
          <w:sz w:val="24"/>
        </w:rPr>
        <w:t>)</w:t>
      </w:r>
      <w:r>
        <w:rPr>
          <w:rFonts w:hint="eastAsia" w:hAnsi="宋体"/>
          <w:color w:val="000000"/>
          <w:sz w:val="24"/>
        </w:rPr>
        <w:t>】公共资源交易系统（</w:t>
      </w:r>
      <w:r>
        <w:fldChar w:fldCharType="begin"/>
      </w:r>
      <w:r>
        <w:instrText xml:space="preserve"> HYPERLINK "http://221.14.6.70:8088/ggzy/" </w:instrText>
      </w:r>
      <w:r>
        <w:fldChar w:fldCharType="separate"/>
      </w:r>
      <w:r>
        <w:rPr>
          <w:rStyle w:val="44"/>
          <w:rFonts w:hAnsi="宋体"/>
          <w:sz w:val="24"/>
        </w:rPr>
        <w:t>http://221.14.6.70:8088/ggzy/</w:t>
      </w:r>
      <w:r>
        <w:rPr>
          <w:rFonts w:hAnsi="宋体"/>
          <w:sz w:val="24"/>
        </w:rPr>
        <w:fldChar w:fldCharType="end"/>
      </w:r>
      <w:r>
        <w:rPr>
          <w:rFonts w:hint="eastAsia" w:hAnsi="宋体"/>
          <w:color w:val="000000"/>
          <w:sz w:val="24"/>
        </w:rPr>
        <w:t>）。</w:t>
      </w:r>
    </w:p>
    <w:p>
      <w:pPr>
        <w:tabs>
          <w:tab w:val="left" w:pos="7095"/>
        </w:tabs>
        <w:spacing w:line="400" w:lineRule="exact"/>
        <w:ind w:firstLine="480" w:firstLineChars="200"/>
        <w:contextualSpacing/>
        <w:rPr>
          <w:rFonts w:hAnsi="宋体"/>
          <w:color w:val="000000"/>
          <w:sz w:val="24"/>
        </w:rPr>
      </w:pPr>
      <w:r>
        <w:rPr>
          <w:rFonts w:hint="eastAsia" w:hAnsi="宋体"/>
          <w:color w:val="000000"/>
          <w:sz w:val="24"/>
        </w:rPr>
        <w:t>投标人应充分考虑并预留技术处理和上传数据所需时间。</w:t>
      </w:r>
    </w:p>
    <w:p>
      <w:pPr>
        <w:tabs>
          <w:tab w:val="left" w:pos="7095"/>
        </w:tabs>
        <w:spacing w:line="400" w:lineRule="exact"/>
        <w:ind w:firstLine="480" w:firstLineChars="200"/>
        <w:contextualSpacing/>
        <w:rPr>
          <w:rFonts w:hAnsi="宋体"/>
          <w:color w:val="000000"/>
          <w:sz w:val="24"/>
        </w:rPr>
      </w:pPr>
      <w:r>
        <w:rPr>
          <w:rFonts w:hAnsi="宋体"/>
          <w:color w:val="000000"/>
          <w:sz w:val="24"/>
        </w:rPr>
        <w:t xml:space="preserve">4.2 </w:t>
      </w:r>
      <w:r>
        <w:rPr>
          <w:rFonts w:hint="eastAsia" w:hAnsi="宋体"/>
          <w:color w:val="000000"/>
          <w:sz w:val="24"/>
        </w:rPr>
        <w:t>投标人对同一项目多个标段进行投标的，电子投标文件应按标段分别提交。</w:t>
      </w:r>
    </w:p>
    <w:p>
      <w:pPr>
        <w:tabs>
          <w:tab w:val="left" w:pos="7095"/>
        </w:tabs>
        <w:spacing w:line="400" w:lineRule="exact"/>
        <w:ind w:firstLine="480" w:firstLineChars="200"/>
        <w:contextualSpacing/>
        <w:rPr>
          <w:rFonts w:hAnsi="宋体"/>
          <w:color w:val="000000"/>
          <w:sz w:val="24"/>
        </w:rPr>
      </w:pPr>
      <w:r>
        <w:rPr>
          <w:rFonts w:hAnsi="宋体"/>
          <w:color w:val="000000"/>
          <w:sz w:val="24"/>
        </w:rPr>
        <w:t xml:space="preserve">4.3 </w:t>
      </w:r>
      <w:r>
        <w:rPr>
          <w:rFonts w:hint="eastAsia" w:hAnsi="宋体"/>
          <w:color w:val="000000"/>
          <w:sz w:val="24"/>
        </w:rPr>
        <w:t>电子投标文件成功提交后，投标人应打印“投标文件提交回执单”，供开标现场备查。</w:t>
      </w:r>
    </w:p>
    <w:p>
      <w:pPr>
        <w:tabs>
          <w:tab w:val="left" w:pos="7095"/>
        </w:tabs>
        <w:spacing w:line="400" w:lineRule="exact"/>
        <w:ind w:firstLine="482" w:firstLineChars="200"/>
        <w:contextualSpacing/>
        <w:rPr>
          <w:rFonts w:hAnsi="宋体"/>
          <w:b/>
          <w:color w:val="000000"/>
          <w:sz w:val="24"/>
        </w:rPr>
      </w:pPr>
      <w:r>
        <w:rPr>
          <w:rFonts w:hAnsi="宋体"/>
          <w:b/>
          <w:color w:val="000000"/>
          <w:sz w:val="24"/>
        </w:rPr>
        <w:t>5.</w:t>
      </w:r>
      <w:r>
        <w:rPr>
          <w:rFonts w:hint="eastAsia" w:hAnsi="宋体"/>
          <w:b/>
          <w:color w:val="000000"/>
          <w:sz w:val="24"/>
        </w:rPr>
        <w:t>评标依据</w:t>
      </w:r>
    </w:p>
    <w:p>
      <w:pPr>
        <w:tabs>
          <w:tab w:val="left" w:pos="7095"/>
        </w:tabs>
        <w:spacing w:line="400" w:lineRule="exact"/>
        <w:ind w:firstLine="480" w:firstLineChars="200"/>
        <w:contextualSpacing/>
        <w:rPr>
          <w:rFonts w:hAnsi="宋体"/>
          <w:color w:val="000000"/>
          <w:sz w:val="24"/>
        </w:rPr>
      </w:pPr>
      <w:r>
        <w:rPr>
          <w:rFonts w:hAnsi="宋体"/>
          <w:color w:val="000000"/>
          <w:sz w:val="24"/>
        </w:rPr>
        <w:t>5.1</w:t>
      </w:r>
      <w:r>
        <w:rPr>
          <w:rFonts w:hint="eastAsia" w:hAnsi="宋体"/>
          <w:color w:val="000000"/>
          <w:sz w:val="24"/>
        </w:rPr>
        <w:t>采用全流程电子化交易评标时，评标委员会以电子投标文件为依据评标。</w:t>
      </w:r>
    </w:p>
    <w:p>
      <w:pPr>
        <w:tabs>
          <w:tab w:val="left" w:pos="7095"/>
        </w:tabs>
        <w:spacing w:line="400" w:lineRule="exact"/>
        <w:ind w:firstLine="480" w:firstLineChars="200"/>
        <w:contextualSpacing/>
        <w:rPr>
          <w:rFonts w:hint="eastAsia" w:hAnsi="宋体"/>
          <w:color w:val="000000"/>
          <w:sz w:val="24"/>
        </w:rPr>
      </w:pPr>
      <w:r>
        <w:rPr>
          <w:rFonts w:hint="eastAsia" w:hAnsi="宋体"/>
          <w:color w:val="000000"/>
          <w:sz w:val="24"/>
        </w:rPr>
        <w:t>5.2全流程电子化交易如因系统异常情况无法完成，将以人工方式进行。评标委员会以投标人提供的电子版投标文件为依据评标。</w:t>
      </w:r>
    </w:p>
    <w:p>
      <w:pPr>
        <w:pStyle w:val="2"/>
        <w:ind w:firstLine="210"/>
        <w:rPr>
          <w:color w:val="auto"/>
        </w:rPr>
      </w:pPr>
      <w:r>
        <w:rPr>
          <w:color w:val="auto"/>
        </w:rPr>
        <w:br w:type="page"/>
      </w:r>
    </w:p>
    <w:p>
      <w:pPr>
        <w:bidi w:val="0"/>
        <w:jc w:val="center"/>
        <w:rPr>
          <w:rFonts w:hint="eastAsia"/>
          <w:b/>
          <w:bCs/>
          <w:sz w:val="48"/>
          <w:szCs w:val="52"/>
        </w:rPr>
      </w:pPr>
      <w:r>
        <w:rPr>
          <w:rFonts w:hint="eastAsia"/>
          <w:b/>
          <w:bCs/>
          <w:sz w:val="48"/>
          <w:szCs w:val="52"/>
        </w:rPr>
        <w:t>第二章投标人须知</w:t>
      </w:r>
      <w:bookmarkEnd w:id="3"/>
      <w:bookmarkStart w:id="4" w:name="_Toc492300759"/>
    </w:p>
    <w:p>
      <w:pPr>
        <w:pStyle w:val="2"/>
        <w:rPr>
          <w:rFonts w:hint="eastAsia"/>
        </w:rPr>
      </w:pPr>
    </w:p>
    <w:p>
      <w:pPr>
        <w:bidi w:val="0"/>
        <w:jc w:val="center"/>
        <w:rPr>
          <w:rFonts w:hint="eastAsia"/>
          <w:sz w:val="36"/>
          <w:szCs w:val="40"/>
        </w:rPr>
      </w:pPr>
      <w:r>
        <w:rPr>
          <w:rFonts w:hint="eastAsia"/>
          <w:sz w:val="36"/>
          <w:szCs w:val="40"/>
        </w:rPr>
        <w:t>投标人须知前附表</w:t>
      </w:r>
    </w:p>
    <w:p>
      <w:pPr>
        <w:pStyle w:val="2"/>
      </w:pPr>
    </w:p>
    <w:tbl>
      <w:tblPr>
        <w:tblStyle w:val="38"/>
        <w:tblW w:w="10056" w:type="dxa"/>
        <w:jc w:val="center"/>
        <w:tblInd w:w="0" w:type="dxa"/>
        <w:tblLayout w:type="fixed"/>
        <w:tblCellMar>
          <w:top w:w="0" w:type="dxa"/>
          <w:left w:w="108" w:type="dxa"/>
          <w:bottom w:w="0" w:type="dxa"/>
          <w:right w:w="108" w:type="dxa"/>
        </w:tblCellMar>
      </w:tblPr>
      <w:tblGrid>
        <w:gridCol w:w="899"/>
        <w:gridCol w:w="52"/>
        <w:gridCol w:w="1964"/>
        <w:gridCol w:w="286"/>
        <w:gridCol w:w="6855"/>
      </w:tblGrid>
      <w:tr>
        <w:tblPrEx>
          <w:tblLayout w:type="fixed"/>
          <w:tblCellMar>
            <w:top w:w="0" w:type="dxa"/>
            <w:left w:w="108" w:type="dxa"/>
            <w:bottom w:w="0" w:type="dxa"/>
            <w:right w:w="108" w:type="dxa"/>
          </w:tblCellMar>
        </w:tblPrEx>
        <w:trPr>
          <w:trHeight w:val="570" w:hRule="atLeast"/>
          <w:jc w:val="center"/>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b/>
                <w:color w:val="auto"/>
                <w:sz w:val="22"/>
              </w:rPr>
            </w:pPr>
            <w:r>
              <w:rPr>
                <w:rFonts w:hint="eastAsia" w:ascii="宋体" w:hAnsi="宋体" w:cs="宋体"/>
                <w:b/>
                <w:color w:val="auto"/>
                <w:sz w:val="22"/>
              </w:rPr>
              <w:t>条款号</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b/>
                <w:color w:val="auto"/>
                <w:sz w:val="22"/>
              </w:rPr>
            </w:pPr>
            <w:r>
              <w:rPr>
                <w:rFonts w:hint="eastAsia" w:ascii="宋体" w:hAnsi="宋体" w:cs="宋体"/>
                <w:b/>
                <w:color w:val="auto"/>
                <w:sz w:val="22"/>
              </w:rPr>
              <w:t>条款名称</w:t>
            </w:r>
          </w:p>
        </w:tc>
        <w:tc>
          <w:tcPr>
            <w:tcW w:w="685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42"/>
              <w:jc w:val="center"/>
              <w:rPr>
                <w:rFonts w:ascii="宋体" w:hAnsi="宋体" w:cs="宋体"/>
                <w:b/>
                <w:color w:val="auto"/>
                <w:sz w:val="22"/>
              </w:rPr>
            </w:pPr>
            <w:r>
              <w:rPr>
                <w:rFonts w:hint="eastAsia" w:ascii="宋体" w:hAnsi="宋体" w:cs="宋体"/>
                <w:b/>
                <w:color w:val="auto"/>
                <w:sz w:val="22"/>
              </w:rPr>
              <w:t>编列内容</w:t>
            </w:r>
          </w:p>
        </w:tc>
      </w:tr>
      <w:tr>
        <w:tblPrEx>
          <w:tblLayout w:type="fixed"/>
          <w:tblCellMar>
            <w:top w:w="0" w:type="dxa"/>
            <w:left w:w="108" w:type="dxa"/>
            <w:bottom w:w="0" w:type="dxa"/>
            <w:right w:w="108" w:type="dxa"/>
          </w:tblCellMar>
        </w:tblPrEx>
        <w:trPr>
          <w:trHeight w:val="1270" w:hRule="atLeast"/>
          <w:jc w:val="center"/>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color w:val="auto"/>
                <w:sz w:val="24"/>
                <w:szCs w:val="24"/>
              </w:rPr>
            </w:pPr>
            <w:r>
              <w:rPr>
                <w:rFonts w:hint="eastAsia" w:ascii="宋体" w:hAnsi="宋体" w:eastAsia="宋体" w:cs="宋体"/>
                <w:color w:val="auto"/>
                <w:sz w:val="24"/>
                <w:szCs w:val="24"/>
              </w:rPr>
              <w:t>1.1.1</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color w:val="auto"/>
                <w:sz w:val="24"/>
                <w:szCs w:val="24"/>
              </w:rPr>
            </w:pPr>
            <w:r>
              <w:rPr>
                <w:rFonts w:hint="eastAsia" w:ascii="宋体" w:hAnsi="宋体" w:eastAsia="宋体" w:cs="宋体"/>
                <w:color w:val="auto"/>
                <w:sz w:val="24"/>
                <w:szCs w:val="24"/>
              </w:rPr>
              <w:t>招标人</w:t>
            </w:r>
          </w:p>
        </w:tc>
        <w:tc>
          <w:tcPr>
            <w:tcW w:w="685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eastAsia" w:ascii="宋体" w:hAnsi="宋体" w:cs="宋体"/>
                <w:sz w:val="24"/>
              </w:rPr>
            </w:pPr>
            <w:r>
              <w:rPr>
                <w:rFonts w:hint="eastAsia" w:ascii="宋体" w:hAnsi="宋体" w:cs="宋体"/>
                <w:sz w:val="24"/>
              </w:rPr>
              <w:t>招标人：</w:t>
            </w:r>
            <w:r>
              <w:rPr>
                <w:rFonts w:hint="eastAsia" w:ascii="宋体" w:hAnsi="宋体" w:cs="宋体"/>
                <w:sz w:val="24"/>
                <w:lang w:val="en-US" w:eastAsia="zh-CN"/>
              </w:rPr>
              <w:t>许昌新区建设投资有限公司</w:t>
            </w:r>
            <w:r>
              <w:rPr>
                <w:rFonts w:hint="eastAsia" w:ascii="宋体" w:hAnsi="宋体" w:cs="宋体"/>
                <w:sz w:val="24"/>
              </w:rPr>
              <w:t xml:space="preserve">   </w:t>
            </w:r>
          </w:p>
          <w:p>
            <w:pPr>
              <w:widowControl/>
              <w:spacing w:line="400" w:lineRule="exact"/>
              <w:jc w:val="left"/>
              <w:rPr>
                <w:rFonts w:hint="eastAsia" w:ascii="宋体" w:hAnsi="宋体" w:cs="宋体"/>
                <w:sz w:val="24"/>
              </w:rPr>
            </w:pPr>
            <w:r>
              <w:rPr>
                <w:rFonts w:hint="eastAsia" w:ascii="宋体" w:hAnsi="宋体" w:cs="宋体"/>
                <w:sz w:val="24"/>
              </w:rPr>
              <w:t>地  址：许昌市城乡一体化示范区</w:t>
            </w:r>
            <w:r>
              <w:rPr>
                <w:rFonts w:hint="eastAsia" w:ascii="宋体" w:hAnsi="宋体" w:cs="宋体"/>
                <w:sz w:val="24"/>
                <w:lang w:eastAsia="zh-CN"/>
              </w:rPr>
              <w:t>金融大厦</w:t>
            </w:r>
            <w:r>
              <w:rPr>
                <w:rFonts w:hint="eastAsia" w:ascii="宋体" w:hAnsi="宋体" w:cs="宋体"/>
                <w:sz w:val="24"/>
                <w:lang w:val="en-US" w:eastAsia="zh-CN"/>
              </w:rPr>
              <w:t>10楼</w:t>
            </w:r>
            <w:r>
              <w:rPr>
                <w:rFonts w:hint="eastAsia" w:ascii="宋体" w:hAnsi="宋体" w:cs="宋体"/>
                <w:sz w:val="24"/>
              </w:rPr>
              <w:t xml:space="preserve"> </w:t>
            </w:r>
          </w:p>
          <w:p>
            <w:pPr>
              <w:widowControl/>
              <w:spacing w:line="400" w:lineRule="exact"/>
              <w:jc w:val="left"/>
              <w:rPr>
                <w:rFonts w:hint="eastAsia" w:ascii="宋体" w:hAnsi="宋体" w:cs="宋体"/>
                <w:sz w:val="24"/>
              </w:rPr>
            </w:pPr>
            <w:r>
              <w:rPr>
                <w:rFonts w:hint="eastAsia" w:ascii="宋体" w:hAnsi="宋体" w:cs="宋体"/>
                <w:sz w:val="24"/>
              </w:rPr>
              <w:t xml:space="preserve">联系人： </w:t>
            </w:r>
            <w:r>
              <w:rPr>
                <w:rFonts w:hint="eastAsia" w:hAnsi="宋体" w:cs="宋体"/>
                <w:sz w:val="24"/>
                <w:lang w:eastAsia="zh-CN"/>
              </w:rPr>
              <w:t>袁</w:t>
            </w:r>
            <w:r>
              <w:rPr>
                <w:rFonts w:hint="eastAsia" w:hAnsi="宋体" w:cs="宋体"/>
                <w:sz w:val="24"/>
              </w:rPr>
              <w:t>先生</w:t>
            </w:r>
          </w:p>
          <w:p>
            <w:pPr>
              <w:widowControl/>
              <w:spacing w:line="400" w:lineRule="exact"/>
              <w:jc w:val="left"/>
              <w:rPr>
                <w:rFonts w:ascii="宋体" w:hAnsi="宋体" w:eastAsia="宋体" w:cs="宋体"/>
                <w:color w:val="auto"/>
                <w:sz w:val="24"/>
                <w:szCs w:val="24"/>
              </w:rPr>
            </w:pPr>
            <w:r>
              <w:rPr>
                <w:rFonts w:hint="eastAsia" w:ascii="宋体" w:hAnsi="宋体" w:cs="宋体"/>
                <w:sz w:val="24"/>
              </w:rPr>
              <w:t>电  话：</w:t>
            </w:r>
            <w:r>
              <w:rPr>
                <w:rFonts w:hint="eastAsia" w:ascii="宋体" w:hAnsi="宋体" w:cs="宋体"/>
                <w:sz w:val="24"/>
                <w:lang w:val="en-US" w:eastAsia="zh-CN"/>
              </w:rPr>
              <w:t>0374-3372969</w:t>
            </w:r>
          </w:p>
        </w:tc>
      </w:tr>
      <w:tr>
        <w:tblPrEx>
          <w:tblLayout w:type="fixed"/>
          <w:tblCellMar>
            <w:top w:w="0" w:type="dxa"/>
            <w:left w:w="108" w:type="dxa"/>
            <w:bottom w:w="0" w:type="dxa"/>
            <w:right w:w="108" w:type="dxa"/>
          </w:tblCellMar>
        </w:tblPrEx>
        <w:trPr>
          <w:trHeight w:val="1270" w:hRule="atLeast"/>
          <w:jc w:val="center"/>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color w:val="auto"/>
                <w:sz w:val="24"/>
                <w:szCs w:val="24"/>
              </w:rPr>
            </w:pPr>
            <w:r>
              <w:rPr>
                <w:rFonts w:hint="eastAsia" w:ascii="宋体" w:hAnsi="宋体" w:eastAsia="宋体" w:cs="宋体"/>
                <w:color w:val="auto"/>
                <w:sz w:val="24"/>
                <w:szCs w:val="24"/>
              </w:rPr>
              <w:t>1.1.2</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color w:val="auto"/>
                <w:sz w:val="24"/>
                <w:szCs w:val="24"/>
              </w:rPr>
            </w:pPr>
            <w:r>
              <w:rPr>
                <w:rFonts w:ascii="宋体" w:hAnsi="宋体" w:eastAsia="宋体" w:cs="Microsoft JhengHei"/>
                <w:color w:val="auto"/>
                <w:szCs w:val="21"/>
              </w:rPr>
              <w:t>招标</w:t>
            </w:r>
            <w:r>
              <w:rPr>
                <w:rFonts w:ascii="宋体" w:hAnsi="宋体" w:eastAsia="宋体" w:cs="Microsoft JhengHei"/>
                <w:color w:val="auto"/>
                <w:spacing w:val="-3"/>
                <w:szCs w:val="21"/>
              </w:rPr>
              <w:t>代</w:t>
            </w:r>
            <w:r>
              <w:rPr>
                <w:rFonts w:ascii="宋体" w:hAnsi="宋体" w:eastAsia="宋体" w:cs="Microsoft JhengHei"/>
                <w:color w:val="auto"/>
                <w:szCs w:val="21"/>
              </w:rPr>
              <w:t>理</w:t>
            </w:r>
            <w:r>
              <w:rPr>
                <w:rFonts w:ascii="宋体" w:hAnsi="宋体" w:eastAsia="宋体" w:cs="Microsoft JhengHei"/>
                <w:color w:val="auto"/>
                <w:spacing w:val="-3"/>
                <w:szCs w:val="21"/>
              </w:rPr>
              <w:t>机</w:t>
            </w:r>
            <w:r>
              <w:rPr>
                <w:rFonts w:ascii="宋体" w:hAnsi="宋体" w:eastAsia="宋体" w:cs="Microsoft JhengHei"/>
                <w:color w:val="auto"/>
                <w:szCs w:val="21"/>
              </w:rPr>
              <w:t>构</w:t>
            </w:r>
          </w:p>
        </w:tc>
        <w:tc>
          <w:tcPr>
            <w:tcW w:w="685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eastAsia" w:ascii="宋体" w:hAnsi="宋体" w:eastAsia="宋体" w:cs="宋体"/>
                <w:sz w:val="24"/>
                <w:lang w:eastAsia="zh-CN"/>
              </w:rPr>
            </w:pPr>
            <w:r>
              <w:rPr>
                <w:rFonts w:hint="eastAsia" w:ascii="宋体" w:hAnsi="宋体" w:cs="宋体"/>
                <w:sz w:val="24"/>
              </w:rPr>
              <w:t>代理机构：</w:t>
            </w:r>
            <w:r>
              <w:rPr>
                <w:rFonts w:hint="eastAsia" w:ascii="宋体" w:hAnsi="宋体" w:cs="宋体"/>
                <w:sz w:val="24"/>
                <w:lang w:eastAsia="zh-CN"/>
              </w:rPr>
              <w:t>永明项目管理有限公司</w:t>
            </w:r>
          </w:p>
          <w:p>
            <w:pPr>
              <w:widowControl/>
              <w:spacing w:line="400" w:lineRule="exact"/>
              <w:jc w:val="left"/>
              <w:rPr>
                <w:rFonts w:hint="eastAsia" w:ascii="宋体" w:hAnsi="宋体" w:eastAsia="宋体" w:cs="宋体"/>
                <w:sz w:val="24"/>
                <w:lang w:eastAsia="zh-CN"/>
              </w:rPr>
            </w:pPr>
            <w:r>
              <w:rPr>
                <w:rFonts w:hint="eastAsia" w:ascii="宋体" w:hAnsi="宋体" w:cs="宋体"/>
                <w:sz w:val="24"/>
              </w:rPr>
              <w:t>地    址：许昌市</w:t>
            </w:r>
            <w:r>
              <w:rPr>
                <w:rFonts w:hint="eastAsia" w:ascii="宋体" w:hAnsi="宋体" w:cs="宋体"/>
                <w:sz w:val="24"/>
                <w:lang w:eastAsia="zh-CN"/>
              </w:rPr>
              <w:t>瑞贝卡和天下</w:t>
            </w:r>
          </w:p>
          <w:p>
            <w:pPr>
              <w:widowControl/>
              <w:spacing w:line="400" w:lineRule="exact"/>
              <w:jc w:val="left"/>
              <w:rPr>
                <w:rFonts w:hint="eastAsia" w:ascii="宋体" w:hAnsi="宋体" w:eastAsia="宋体" w:cs="宋体"/>
                <w:sz w:val="24"/>
                <w:lang w:eastAsia="zh-CN"/>
              </w:rPr>
            </w:pPr>
            <w:r>
              <w:rPr>
                <w:rFonts w:hint="eastAsia" w:ascii="宋体" w:hAnsi="宋体" w:cs="宋体"/>
                <w:sz w:val="24"/>
              </w:rPr>
              <w:t>联 系 人：</w:t>
            </w:r>
            <w:r>
              <w:rPr>
                <w:rFonts w:hint="eastAsia" w:ascii="宋体" w:hAnsi="宋体" w:cs="宋体"/>
                <w:sz w:val="24"/>
                <w:lang w:eastAsia="zh-CN"/>
              </w:rPr>
              <w:t>徐女士</w:t>
            </w:r>
          </w:p>
          <w:p>
            <w:pPr>
              <w:widowControl/>
              <w:spacing w:line="400" w:lineRule="exact"/>
              <w:jc w:val="left"/>
              <w:rPr>
                <w:rFonts w:ascii="宋体" w:hAnsi="宋体" w:eastAsia="宋体" w:cs="宋体"/>
                <w:color w:val="auto"/>
                <w:sz w:val="24"/>
                <w:szCs w:val="24"/>
              </w:rPr>
            </w:pPr>
            <w:r>
              <w:rPr>
                <w:rFonts w:hint="eastAsia" w:ascii="宋体" w:hAnsi="宋体" w:cs="宋体"/>
                <w:sz w:val="24"/>
              </w:rPr>
              <w:t>联系电话：</w:t>
            </w:r>
            <w:r>
              <w:rPr>
                <w:rFonts w:hint="eastAsia" w:ascii="宋体" w:hAnsi="宋体" w:cs="宋体"/>
                <w:sz w:val="24"/>
                <w:lang w:val="en-US" w:eastAsia="zh-CN"/>
              </w:rPr>
              <w:t>13333991768</w:t>
            </w:r>
          </w:p>
        </w:tc>
      </w:tr>
      <w:tr>
        <w:tblPrEx>
          <w:tblLayout w:type="fixed"/>
          <w:tblCellMar>
            <w:top w:w="0" w:type="dxa"/>
            <w:left w:w="108" w:type="dxa"/>
            <w:bottom w:w="0" w:type="dxa"/>
            <w:right w:w="108" w:type="dxa"/>
          </w:tblCellMar>
        </w:tblPrEx>
        <w:trPr>
          <w:trHeight w:val="930" w:hRule="atLeast"/>
          <w:jc w:val="center"/>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color w:val="auto"/>
                <w:sz w:val="24"/>
                <w:szCs w:val="24"/>
              </w:rPr>
            </w:pPr>
            <w:r>
              <w:rPr>
                <w:rFonts w:hint="eastAsia" w:ascii="宋体" w:hAnsi="宋体" w:eastAsia="宋体" w:cs="宋体"/>
                <w:color w:val="auto"/>
                <w:sz w:val="24"/>
                <w:szCs w:val="24"/>
              </w:rPr>
              <w:t>1.1.3</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color w:val="auto"/>
                <w:sz w:val="24"/>
                <w:szCs w:val="24"/>
              </w:rPr>
            </w:pPr>
            <w:r>
              <w:rPr>
                <w:rFonts w:hint="eastAsia" w:ascii="宋体" w:hAnsi="宋体" w:eastAsia="宋体" w:cs="宋体"/>
                <w:color w:val="auto"/>
                <w:sz w:val="24"/>
                <w:szCs w:val="24"/>
              </w:rPr>
              <w:t>项目名称</w:t>
            </w:r>
          </w:p>
        </w:tc>
        <w:tc>
          <w:tcPr>
            <w:tcW w:w="6855"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许昌市城乡一体化示范区德仕堡生活广场项目勘察</w:t>
            </w:r>
          </w:p>
        </w:tc>
      </w:tr>
      <w:tr>
        <w:tblPrEx>
          <w:tblLayout w:type="fixed"/>
          <w:tblCellMar>
            <w:top w:w="0" w:type="dxa"/>
            <w:left w:w="108" w:type="dxa"/>
            <w:bottom w:w="0" w:type="dxa"/>
            <w:right w:w="108" w:type="dxa"/>
          </w:tblCellMar>
        </w:tblPrEx>
        <w:trPr>
          <w:trHeight w:val="910" w:hRule="atLeast"/>
          <w:jc w:val="center"/>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color w:val="auto"/>
                <w:sz w:val="24"/>
                <w:szCs w:val="24"/>
              </w:rPr>
            </w:pPr>
            <w:r>
              <w:rPr>
                <w:rFonts w:hint="eastAsia" w:ascii="宋体" w:hAnsi="宋体" w:eastAsia="宋体" w:cs="宋体"/>
                <w:color w:val="auto"/>
                <w:sz w:val="24"/>
                <w:szCs w:val="24"/>
              </w:rPr>
              <w:t>1.1.4</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color w:val="auto"/>
                <w:sz w:val="24"/>
                <w:szCs w:val="24"/>
              </w:rPr>
            </w:pPr>
            <w:r>
              <w:rPr>
                <w:rFonts w:hint="eastAsia" w:ascii="宋体" w:hAnsi="宋体" w:eastAsia="宋体" w:cs="宋体"/>
                <w:color w:val="auto"/>
                <w:sz w:val="24"/>
                <w:szCs w:val="24"/>
              </w:rPr>
              <w:t>建设地点</w:t>
            </w:r>
          </w:p>
        </w:tc>
        <w:tc>
          <w:tcPr>
            <w:tcW w:w="6855"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eastAsia="宋体" w:cs="宋体"/>
                <w:color w:val="auto"/>
                <w:sz w:val="24"/>
                <w:szCs w:val="24"/>
                <w:lang w:eastAsia="zh-CN"/>
              </w:rPr>
            </w:pPr>
            <w:r>
              <w:rPr>
                <w:rFonts w:hint="eastAsia" w:hAnsi="宋体" w:cs="宋体"/>
                <w:color w:val="000000"/>
                <w:sz w:val="24"/>
                <w:szCs w:val="22"/>
              </w:rPr>
              <w:t>位于</w:t>
            </w:r>
            <w:r>
              <w:rPr>
                <w:rFonts w:hint="eastAsia" w:hAnsi="宋体" w:cs="宋体"/>
                <w:color w:val="000000"/>
                <w:sz w:val="24"/>
                <w:szCs w:val="22"/>
                <w:lang w:eastAsia="zh-CN"/>
              </w:rPr>
              <w:t>许昌市城乡一体化示范区</w:t>
            </w:r>
            <w:r>
              <w:rPr>
                <w:rFonts w:hint="eastAsia" w:hAnsi="宋体" w:cs="宋体"/>
                <w:color w:val="000000"/>
                <w:sz w:val="24"/>
                <w:szCs w:val="22"/>
                <w:lang w:val="en-US" w:eastAsia="zh-CN"/>
              </w:rPr>
              <w:t>FD08-1地块，该地块用地面积（红线）为27602㎡，折合41.4亩；</w:t>
            </w:r>
            <w:r>
              <w:rPr>
                <w:rFonts w:hint="eastAsia" w:hAnsi="宋体" w:cs="宋体"/>
                <w:color w:val="000000"/>
                <w:sz w:val="24"/>
                <w:szCs w:val="22"/>
                <w:lang w:eastAsia="zh-CN"/>
              </w:rPr>
              <w:t>北至宏腾路，西至竹林路，南至隆昌路，东至</w:t>
            </w:r>
            <w:r>
              <w:rPr>
                <w:rFonts w:hint="eastAsia" w:hAnsi="宋体" w:cs="宋体"/>
                <w:color w:val="000000"/>
                <w:sz w:val="24"/>
                <w:szCs w:val="22"/>
                <w:lang w:val="en-US" w:eastAsia="zh-CN"/>
              </w:rPr>
              <w:t>F08-2地块。</w:t>
            </w:r>
          </w:p>
        </w:tc>
      </w:tr>
      <w:tr>
        <w:tblPrEx>
          <w:tblLayout w:type="fixed"/>
          <w:tblCellMar>
            <w:top w:w="0" w:type="dxa"/>
            <w:left w:w="108" w:type="dxa"/>
            <w:bottom w:w="0" w:type="dxa"/>
            <w:right w:w="108" w:type="dxa"/>
          </w:tblCellMar>
        </w:tblPrEx>
        <w:trPr>
          <w:trHeight w:val="665" w:hRule="atLeast"/>
          <w:jc w:val="center"/>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color w:val="auto"/>
                <w:sz w:val="24"/>
                <w:szCs w:val="24"/>
              </w:rPr>
            </w:pPr>
            <w:r>
              <w:rPr>
                <w:rFonts w:hint="eastAsia" w:ascii="宋体" w:hAnsi="宋体" w:eastAsia="宋体" w:cs="宋体"/>
                <w:color w:val="auto"/>
                <w:sz w:val="24"/>
                <w:szCs w:val="24"/>
              </w:rPr>
              <w:t>1.2.1</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color w:val="auto"/>
                <w:sz w:val="24"/>
                <w:szCs w:val="24"/>
              </w:rPr>
            </w:pPr>
            <w:r>
              <w:rPr>
                <w:rFonts w:hint="eastAsia" w:ascii="宋体" w:hAnsi="宋体" w:eastAsia="宋体" w:cs="宋体"/>
                <w:color w:val="auto"/>
                <w:sz w:val="24"/>
                <w:szCs w:val="24"/>
              </w:rPr>
              <w:t>资金来源</w:t>
            </w:r>
          </w:p>
        </w:tc>
        <w:tc>
          <w:tcPr>
            <w:tcW w:w="6855"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eastAsia="宋体" w:cs="宋体"/>
                <w:color w:val="auto"/>
                <w:sz w:val="24"/>
                <w:szCs w:val="24"/>
                <w:lang w:eastAsia="zh-CN"/>
              </w:rPr>
            </w:pPr>
            <w:r>
              <w:rPr>
                <w:rFonts w:hint="eastAsia" w:ascii="宋体" w:hAnsi="宋体" w:cs="宋体"/>
                <w:color w:val="auto"/>
                <w:sz w:val="24"/>
                <w:szCs w:val="24"/>
                <w:lang w:eastAsia="zh-CN"/>
              </w:rPr>
              <w:t>自筹</w:t>
            </w:r>
            <w:r>
              <w:rPr>
                <w:rFonts w:hint="eastAsia" w:ascii="宋体" w:hAnsi="宋体" w:eastAsia="宋体" w:cs="宋体"/>
                <w:color w:val="auto"/>
                <w:sz w:val="24"/>
                <w:szCs w:val="24"/>
                <w:lang w:eastAsia="zh-CN"/>
              </w:rPr>
              <w:t>资金</w:t>
            </w:r>
          </w:p>
        </w:tc>
      </w:tr>
      <w:tr>
        <w:tblPrEx>
          <w:tblLayout w:type="fixed"/>
          <w:tblCellMar>
            <w:top w:w="0" w:type="dxa"/>
            <w:left w:w="108" w:type="dxa"/>
            <w:bottom w:w="0" w:type="dxa"/>
            <w:right w:w="108" w:type="dxa"/>
          </w:tblCellMar>
        </w:tblPrEx>
        <w:trPr>
          <w:trHeight w:val="635" w:hRule="atLeast"/>
          <w:jc w:val="center"/>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color w:val="auto"/>
                <w:sz w:val="24"/>
                <w:szCs w:val="24"/>
              </w:rPr>
            </w:pPr>
            <w:r>
              <w:rPr>
                <w:rFonts w:hint="eastAsia" w:ascii="宋体" w:hAnsi="宋体" w:eastAsia="宋体" w:cs="宋体"/>
                <w:color w:val="auto"/>
                <w:sz w:val="24"/>
                <w:szCs w:val="24"/>
              </w:rPr>
              <w:t>1.2.2</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color w:val="auto"/>
                <w:sz w:val="24"/>
                <w:szCs w:val="24"/>
              </w:rPr>
            </w:pPr>
            <w:r>
              <w:rPr>
                <w:rFonts w:hint="eastAsia" w:ascii="宋体" w:hAnsi="宋体" w:eastAsia="宋体" w:cs="宋体"/>
                <w:color w:val="auto"/>
                <w:sz w:val="24"/>
                <w:szCs w:val="24"/>
              </w:rPr>
              <w:t>资金落实情况</w:t>
            </w:r>
          </w:p>
        </w:tc>
        <w:tc>
          <w:tcPr>
            <w:tcW w:w="685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eastAsia="宋体" w:cs="宋体"/>
                <w:color w:val="auto"/>
                <w:sz w:val="24"/>
                <w:szCs w:val="24"/>
              </w:rPr>
            </w:pPr>
            <w:r>
              <w:rPr>
                <w:rFonts w:hint="eastAsia" w:ascii="宋体" w:hAnsi="宋体" w:eastAsia="宋体" w:cs="宋体"/>
                <w:color w:val="auto"/>
                <w:sz w:val="24"/>
                <w:szCs w:val="24"/>
              </w:rPr>
              <w:t>已落实</w:t>
            </w:r>
          </w:p>
        </w:tc>
      </w:tr>
      <w:tr>
        <w:tblPrEx>
          <w:tblLayout w:type="fixed"/>
          <w:tblCellMar>
            <w:top w:w="0" w:type="dxa"/>
            <w:left w:w="108" w:type="dxa"/>
            <w:bottom w:w="0" w:type="dxa"/>
            <w:right w:w="108" w:type="dxa"/>
          </w:tblCellMar>
        </w:tblPrEx>
        <w:trPr>
          <w:jc w:val="center"/>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color w:val="auto"/>
                <w:sz w:val="24"/>
                <w:szCs w:val="24"/>
              </w:rPr>
            </w:pPr>
            <w:r>
              <w:rPr>
                <w:rFonts w:hint="eastAsia" w:ascii="宋体" w:hAnsi="宋体" w:eastAsia="宋体" w:cs="宋体"/>
                <w:color w:val="auto"/>
                <w:sz w:val="24"/>
                <w:szCs w:val="24"/>
              </w:rPr>
              <w:t>1.3.1</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招标范围</w:t>
            </w:r>
          </w:p>
        </w:tc>
        <w:tc>
          <w:tcPr>
            <w:tcW w:w="6855"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80" w:lineRule="exact"/>
              <w:ind w:left="0" w:leftChars="0" w:firstLine="0" w:firstLineChars="0"/>
              <w:outlineLvl w:val="0"/>
              <w:rPr>
                <w:rFonts w:ascii="宋体" w:hAnsi="宋体" w:eastAsia="宋体" w:cs="宋体"/>
                <w:color w:val="000000" w:themeColor="text1"/>
                <w:sz w:val="24"/>
                <w:szCs w:val="24"/>
                <w14:textFill>
                  <w14:solidFill>
                    <w14:schemeClr w14:val="tx1"/>
                  </w14:solidFill>
                </w14:textFill>
              </w:rPr>
            </w:pPr>
            <w:r>
              <w:rPr>
                <w:rFonts w:hint="eastAsia" w:hAnsi="宋体" w:cs="宋体"/>
                <w:sz w:val="24"/>
                <w:szCs w:val="22"/>
                <w:lang w:val="en-US" w:eastAsia="zh-CN"/>
              </w:rPr>
              <w:t>地质勘察及相关服务，按国家、省及市相关规定提供技术成果文件</w:t>
            </w:r>
            <w:r>
              <w:rPr>
                <w:rFonts w:hint="eastAsia" w:ascii="宋体" w:hAnsi="宋体" w:eastAsia="宋体" w:cs="宋体"/>
                <w:color w:val="000000" w:themeColor="text1"/>
                <w:sz w:val="24"/>
                <w:szCs w:val="24"/>
                <w14:textFill>
                  <w14:solidFill>
                    <w14:schemeClr w14:val="tx1"/>
                  </w14:solidFill>
                </w14:textFill>
              </w:rPr>
              <w:t>。</w:t>
            </w:r>
          </w:p>
        </w:tc>
      </w:tr>
      <w:tr>
        <w:tblPrEx>
          <w:tblLayout w:type="fixed"/>
          <w:tblCellMar>
            <w:top w:w="0" w:type="dxa"/>
            <w:left w:w="108" w:type="dxa"/>
            <w:bottom w:w="0" w:type="dxa"/>
            <w:right w:w="108" w:type="dxa"/>
          </w:tblCellMar>
        </w:tblPrEx>
        <w:trPr>
          <w:trHeight w:val="741" w:hRule="atLeast"/>
          <w:jc w:val="center"/>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color w:val="auto"/>
                <w:sz w:val="24"/>
                <w:szCs w:val="24"/>
              </w:rPr>
            </w:pPr>
            <w:r>
              <w:rPr>
                <w:rFonts w:hint="eastAsia" w:ascii="宋体" w:hAnsi="宋体" w:eastAsia="宋体" w:cs="宋体"/>
                <w:color w:val="auto"/>
                <w:sz w:val="24"/>
                <w:szCs w:val="24"/>
              </w:rPr>
              <w:t>1.3.2</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color w:val="auto"/>
                <w:sz w:val="24"/>
                <w:szCs w:val="24"/>
              </w:rPr>
            </w:pPr>
            <w:r>
              <w:rPr>
                <w:rFonts w:hint="eastAsia" w:ascii="宋体" w:hAnsi="宋体" w:eastAsia="宋体" w:cs="宋体"/>
                <w:color w:val="auto"/>
                <w:sz w:val="24"/>
                <w:szCs w:val="24"/>
              </w:rPr>
              <w:t>标段划分</w:t>
            </w:r>
          </w:p>
        </w:tc>
        <w:tc>
          <w:tcPr>
            <w:tcW w:w="685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80" w:lineRule="exact"/>
              <w:ind w:left="0" w:leftChars="0" w:firstLine="0" w:firstLineChars="0"/>
              <w:outlineLvl w:val="0"/>
              <w:rPr>
                <w:rFonts w:ascii="宋体" w:hAnsi="宋体" w:eastAsia="宋体" w:cs="宋体"/>
                <w:color w:val="C00000"/>
                <w:sz w:val="24"/>
                <w:szCs w:val="24"/>
              </w:rPr>
            </w:pPr>
            <w:r>
              <w:rPr>
                <w:rFonts w:hint="eastAsia" w:ascii="宋体" w:cs="宋体"/>
                <w:color w:val="auto"/>
                <w:sz w:val="24"/>
                <w:lang w:eastAsia="zh-CN"/>
              </w:rPr>
              <w:t>本</w:t>
            </w:r>
            <w:r>
              <w:rPr>
                <w:rFonts w:hint="eastAsia" w:ascii="宋体" w:cs="宋体"/>
                <w:color w:val="auto"/>
                <w:sz w:val="24"/>
              </w:rPr>
              <w:t>工程</w:t>
            </w:r>
            <w:r>
              <w:rPr>
                <w:rFonts w:hint="eastAsia" w:ascii="宋体" w:cs="宋体"/>
                <w:color w:val="auto"/>
                <w:sz w:val="24"/>
                <w:lang w:eastAsia="zh-CN"/>
              </w:rPr>
              <w:t>勘察工作</w:t>
            </w:r>
          </w:p>
        </w:tc>
      </w:tr>
      <w:tr>
        <w:tblPrEx>
          <w:tblLayout w:type="fixed"/>
          <w:tblCellMar>
            <w:top w:w="0" w:type="dxa"/>
            <w:left w:w="108" w:type="dxa"/>
            <w:bottom w:w="0" w:type="dxa"/>
            <w:right w:w="108" w:type="dxa"/>
          </w:tblCellMar>
        </w:tblPrEx>
        <w:trPr>
          <w:trHeight w:val="626" w:hRule="atLeast"/>
          <w:jc w:val="center"/>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color w:val="auto"/>
                <w:sz w:val="24"/>
                <w:szCs w:val="24"/>
              </w:rPr>
            </w:pPr>
            <w:r>
              <w:rPr>
                <w:rFonts w:hint="eastAsia" w:ascii="宋体" w:hAnsi="宋体" w:eastAsia="宋体" w:cs="宋体"/>
                <w:color w:val="auto"/>
                <w:sz w:val="24"/>
                <w:szCs w:val="24"/>
              </w:rPr>
              <w:t>1.3.3</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480"/>
              <w:rPr>
                <w:rFonts w:ascii="宋体" w:hAnsi="宋体" w:eastAsia="宋体" w:cs="宋体"/>
                <w:color w:val="auto"/>
                <w:sz w:val="24"/>
                <w:szCs w:val="24"/>
              </w:rPr>
            </w:pPr>
            <w:r>
              <w:rPr>
                <w:rFonts w:hint="eastAsia" w:ascii="宋体" w:hAnsi="宋体" w:cs="仿宋_GB2312"/>
                <w:color w:val="auto"/>
                <w:sz w:val="24"/>
              </w:rPr>
              <w:t>设计</w:t>
            </w:r>
            <w:r>
              <w:rPr>
                <w:rFonts w:hint="eastAsia"/>
                <w:color w:val="auto"/>
                <w:sz w:val="24"/>
              </w:rPr>
              <w:t>周</w:t>
            </w:r>
            <w:r>
              <w:rPr>
                <w:color w:val="auto"/>
                <w:sz w:val="24"/>
              </w:rPr>
              <w:t>期</w:t>
            </w:r>
          </w:p>
        </w:tc>
        <w:tc>
          <w:tcPr>
            <w:tcW w:w="685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ind w:firstLine="0" w:firstLineChars="0"/>
              <w:rPr>
                <w:rFonts w:ascii="宋体" w:hAnsi="宋体" w:eastAsia="宋体" w:cs="宋体"/>
                <w:color w:val="auto"/>
                <w:sz w:val="24"/>
                <w:szCs w:val="24"/>
              </w:rPr>
            </w:pPr>
            <w:r>
              <w:rPr>
                <w:rFonts w:hint="eastAsia" w:ascii="宋体" w:hAnsi="宋体" w:cs="宋体"/>
                <w:color w:val="auto"/>
                <w:sz w:val="24"/>
                <w:szCs w:val="24"/>
                <w:lang w:val="en-US" w:eastAsia="zh-CN"/>
              </w:rPr>
              <w:t>15</w:t>
            </w:r>
            <w:r>
              <w:rPr>
                <w:rFonts w:hint="eastAsia" w:ascii="宋体" w:hAnsi="宋体" w:cs="宋体"/>
                <w:color w:val="auto"/>
                <w:sz w:val="24"/>
                <w:szCs w:val="24"/>
                <w:lang w:eastAsia="zh-CN"/>
              </w:rPr>
              <w:t>日历天</w:t>
            </w:r>
          </w:p>
        </w:tc>
      </w:tr>
      <w:tr>
        <w:tblPrEx>
          <w:tblLayout w:type="fixed"/>
          <w:tblCellMar>
            <w:top w:w="0" w:type="dxa"/>
            <w:left w:w="108" w:type="dxa"/>
            <w:bottom w:w="0" w:type="dxa"/>
            <w:right w:w="108" w:type="dxa"/>
          </w:tblCellMar>
        </w:tblPrEx>
        <w:trPr>
          <w:trHeight w:val="670" w:hRule="atLeast"/>
          <w:jc w:val="center"/>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color w:val="auto"/>
                <w:sz w:val="24"/>
                <w:szCs w:val="24"/>
              </w:rPr>
            </w:pPr>
            <w:r>
              <w:rPr>
                <w:rFonts w:hint="eastAsia" w:ascii="宋体" w:hAnsi="宋体" w:eastAsia="宋体" w:cs="宋体"/>
                <w:color w:val="auto"/>
                <w:sz w:val="24"/>
                <w:szCs w:val="24"/>
              </w:rPr>
              <w:t>1.3.3</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color w:val="auto"/>
                <w:sz w:val="24"/>
                <w:szCs w:val="24"/>
              </w:rPr>
            </w:pPr>
            <w:r>
              <w:rPr>
                <w:rFonts w:hint="eastAsia"/>
                <w:color w:val="auto"/>
                <w:sz w:val="24"/>
              </w:rPr>
              <w:t>质量要求</w:t>
            </w:r>
          </w:p>
        </w:tc>
        <w:tc>
          <w:tcPr>
            <w:tcW w:w="685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rFonts w:ascii="宋体" w:hAnsi="宋体" w:eastAsia="宋体" w:cs="宋体"/>
                <w:color w:val="auto"/>
                <w:sz w:val="24"/>
                <w:szCs w:val="24"/>
              </w:rPr>
            </w:pPr>
            <w:r>
              <w:rPr>
                <w:rFonts w:hint="eastAsia" w:ascii="宋体" w:cs="宋体"/>
                <w:color w:val="auto"/>
                <w:sz w:val="24"/>
              </w:rPr>
              <w:t>符合国家现行规范、规程、规定、标准的要求(合格)</w:t>
            </w:r>
          </w:p>
        </w:tc>
      </w:tr>
      <w:tr>
        <w:tblPrEx>
          <w:tblLayout w:type="fixed"/>
          <w:tblCellMar>
            <w:top w:w="0" w:type="dxa"/>
            <w:left w:w="108" w:type="dxa"/>
            <w:bottom w:w="0" w:type="dxa"/>
            <w:right w:w="108" w:type="dxa"/>
          </w:tblCellMar>
        </w:tblPrEx>
        <w:trPr>
          <w:trHeight w:val="4184" w:hRule="atLeast"/>
          <w:jc w:val="center"/>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color w:val="auto"/>
                <w:sz w:val="24"/>
                <w:szCs w:val="24"/>
              </w:rPr>
            </w:pPr>
            <w:r>
              <w:rPr>
                <w:rFonts w:hint="eastAsia" w:ascii="宋体" w:hAnsi="宋体" w:eastAsia="宋体" w:cs="宋体"/>
                <w:color w:val="auto"/>
                <w:sz w:val="24"/>
                <w:szCs w:val="24"/>
              </w:rPr>
              <w:t>1.4.1</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color w:val="auto"/>
                <w:sz w:val="24"/>
                <w:szCs w:val="24"/>
              </w:rPr>
            </w:pPr>
            <w:r>
              <w:rPr>
                <w:rFonts w:hint="eastAsia" w:ascii="宋体" w:hAnsi="宋体" w:eastAsia="宋体" w:cs="宋体"/>
                <w:color w:val="auto"/>
                <w:sz w:val="24"/>
                <w:szCs w:val="24"/>
              </w:rPr>
              <w:t>投标人资质条件</w:t>
            </w:r>
          </w:p>
        </w:tc>
        <w:tc>
          <w:tcPr>
            <w:tcW w:w="6855"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80" w:lineRule="exact"/>
              <w:ind w:firstLine="480"/>
              <w:outlineLvl w:val="0"/>
              <w:rPr>
                <w:rFonts w:hint="eastAsia" w:ascii="宋体" w:hAnsi="宋体" w:eastAsia="宋体" w:cs="宋体"/>
                <w:color w:val="auto"/>
                <w:sz w:val="24"/>
                <w:szCs w:val="24"/>
              </w:rPr>
            </w:pPr>
            <w:r>
              <w:rPr>
                <w:rFonts w:hint="eastAsia" w:ascii="宋体" w:hAnsi="宋体" w:eastAsia="宋体" w:cs="宋体"/>
                <w:color w:val="auto"/>
                <w:sz w:val="24"/>
                <w:szCs w:val="24"/>
              </w:rPr>
              <w:t xml:space="preserve"> 1、资格要求：</w:t>
            </w:r>
            <w:r>
              <w:rPr>
                <w:rFonts w:hint="eastAsia" w:ascii="宋体" w:hAnsi="宋体" w:eastAsia="宋体" w:cs="宋体"/>
                <w:color w:val="auto"/>
                <w:sz w:val="24"/>
                <w:szCs w:val="24"/>
                <w:lang w:val="en-US" w:eastAsia="zh-CN"/>
              </w:rPr>
              <w:t>本工程勘查工作要求</w:t>
            </w:r>
            <w:r>
              <w:rPr>
                <w:rFonts w:hint="eastAsia" w:ascii="宋体" w:hAnsi="宋体" w:eastAsia="宋体" w:cs="宋体"/>
                <w:color w:val="auto"/>
                <w:sz w:val="24"/>
                <w:szCs w:val="24"/>
              </w:rPr>
              <w:t>投标人须具有独立法人资格，具备建设行政主管部门颁发的工程勘察综合类甲级资质或工程勘察（岩土工程）乙级及以上资质，</w:t>
            </w:r>
            <w:r>
              <w:rPr>
                <w:rFonts w:hint="eastAsia" w:asciiTheme="minorEastAsia" w:hAnsiTheme="minorEastAsia" w:cstheme="minorEastAsia"/>
                <w:color w:val="auto"/>
                <w:sz w:val="24"/>
                <w:szCs w:val="24"/>
              </w:rPr>
              <w:t>投标人</w:t>
            </w:r>
            <w:r>
              <w:rPr>
                <w:rFonts w:hint="eastAsia"/>
                <w:b w:val="0"/>
                <w:bCs/>
                <w:sz w:val="24"/>
                <w:lang w:val="en-US" w:eastAsia="zh-CN"/>
              </w:rPr>
              <w:t>拟派项目负责人须具备国家注册岩土工程师资格</w:t>
            </w:r>
            <w:r>
              <w:rPr>
                <w:rFonts w:hint="eastAsia" w:ascii="宋体" w:hAnsi="宋体" w:eastAsia="宋体" w:cs="宋体"/>
                <w:color w:val="auto"/>
                <w:sz w:val="24"/>
                <w:szCs w:val="24"/>
              </w:rPr>
              <w:t>。</w:t>
            </w:r>
          </w:p>
          <w:p>
            <w:pPr>
              <w:autoSpaceDE w:val="0"/>
              <w:autoSpaceDN w:val="0"/>
              <w:adjustRightInd w:val="0"/>
              <w:spacing w:line="380" w:lineRule="exact"/>
              <w:ind w:firstLine="480"/>
              <w:outlineLvl w:val="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未被列入“信用中国”网站(www.creditchina.gov.cn)失信被执行人名单、“国家企业信用公示系统”网站（www.gsxt.gov.cn）严重违法失信企业名单（黑名单）的投标人（招标人、代理机构或评标专家委员会于评标现场查询）；信用信息查询记录和证据留存具体方式：经评标委员会确认的查询结果截图作为查询记录和证据，与其他文件一并保存。</w:t>
            </w:r>
          </w:p>
          <w:p>
            <w:pPr>
              <w:autoSpaceDE w:val="0"/>
              <w:autoSpaceDN w:val="0"/>
              <w:adjustRightInd w:val="0"/>
              <w:spacing w:line="380" w:lineRule="exact"/>
              <w:ind w:firstLine="480"/>
              <w:outlineLvl w:val="0"/>
              <w:rPr>
                <w:rFonts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、本次招标实行资格后审。</w:t>
            </w:r>
          </w:p>
        </w:tc>
      </w:tr>
      <w:tr>
        <w:tblPrEx>
          <w:tblLayout w:type="fixed"/>
          <w:tblCellMar>
            <w:top w:w="0" w:type="dxa"/>
            <w:left w:w="108" w:type="dxa"/>
            <w:bottom w:w="0" w:type="dxa"/>
            <w:right w:w="108" w:type="dxa"/>
          </w:tblCellMar>
        </w:tblPrEx>
        <w:trPr>
          <w:trHeight w:val="695" w:hRule="atLeast"/>
          <w:jc w:val="center"/>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color w:val="auto"/>
                <w:sz w:val="24"/>
                <w:szCs w:val="24"/>
              </w:rPr>
            </w:pPr>
            <w:r>
              <w:rPr>
                <w:rFonts w:hint="eastAsia" w:ascii="宋体" w:hAnsi="宋体" w:eastAsia="宋体" w:cs="宋体"/>
                <w:color w:val="auto"/>
                <w:sz w:val="24"/>
                <w:szCs w:val="24"/>
              </w:rPr>
              <w:t>1.4.2</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宋体"/>
                <w:color w:val="auto"/>
                <w:sz w:val="24"/>
                <w:szCs w:val="24"/>
              </w:rPr>
            </w:pPr>
            <w:r>
              <w:rPr>
                <w:rFonts w:hint="eastAsia" w:ascii="宋体" w:hAnsi="宋体" w:eastAsia="宋体" w:cs="宋体"/>
                <w:color w:val="auto"/>
                <w:sz w:val="24"/>
                <w:szCs w:val="24"/>
              </w:rPr>
              <w:t>是否接受</w:t>
            </w:r>
          </w:p>
          <w:p>
            <w:pPr>
              <w:spacing w:line="360" w:lineRule="exact"/>
              <w:ind w:firstLine="0" w:firstLineChars="0"/>
              <w:jc w:val="center"/>
              <w:rPr>
                <w:rFonts w:ascii="宋体" w:hAnsi="宋体" w:eastAsia="宋体" w:cs="宋体"/>
                <w:color w:val="auto"/>
                <w:sz w:val="24"/>
                <w:szCs w:val="24"/>
              </w:rPr>
            </w:pPr>
            <w:r>
              <w:rPr>
                <w:rFonts w:hint="eastAsia" w:ascii="宋体" w:hAnsi="宋体" w:eastAsia="宋体" w:cs="宋体"/>
                <w:color w:val="auto"/>
                <w:sz w:val="24"/>
                <w:szCs w:val="24"/>
              </w:rPr>
              <w:t>联合体投标</w:t>
            </w:r>
          </w:p>
        </w:tc>
        <w:tc>
          <w:tcPr>
            <w:tcW w:w="685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80" w:firstLineChars="200"/>
              <w:jc w:val="both"/>
              <w:rPr>
                <w:rFonts w:ascii="宋体" w:hAnsi="宋体" w:eastAsia="宋体" w:cs="宋体"/>
                <w:color w:val="auto"/>
                <w:sz w:val="24"/>
                <w:szCs w:val="24"/>
              </w:rPr>
            </w:pPr>
            <w:r>
              <w:rPr>
                <w:rFonts w:hint="eastAsia" w:ascii="宋体" w:hAnsi="宋体" w:eastAsia="宋体" w:cs="宋体"/>
                <w:color w:val="auto"/>
                <w:sz w:val="24"/>
                <w:szCs w:val="24"/>
              </w:rPr>
              <w:t>不接受</w:t>
            </w:r>
          </w:p>
        </w:tc>
      </w:tr>
      <w:tr>
        <w:tblPrEx>
          <w:tblLayout w:type="fixed"/>
          <w:tblCellMar>
            <w:top w:w="0" w:type="dxa"/>
            <w:left w:w="108" w:type="dxa"/>
            <w:bottom w:w="0" w:type="dxa"/>
            <w:right w:w="108" w:type="dxa"/>
          </w:tblCellMar>
        </w:tblPrEx>
        <w:trPr>
          <w:trHeight w:val="685" w:hRule="atLeast"/>
          <w:jc w:val="center"/>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color w:val="auto"/>
                <w:sz w:val="24"/>
                <w:szCs w:val="24"/>
              </w:rPr>
            </w:pPr>
            <w:r>
              <w:rPr>
                <w:rFonts w:hint="eastAsia" w:ascii="宋体" w:hAnsi="宋体" w:eastAsia="宋体" w:cs="宋体"/>
                <w:color w:val="auto"/>
                <w:sz w:val="24"/>
                <w:szCs w:val="24"/>
              </w:rPr>
              <w:t>1.4.3</w:t>
            </w:r>
          </w:p>
        </w:tc>
        <w:tc>
          <w:tcPr>
            <w:tcW w:w="2250" w:type="dxa"/>
            <w:gridSpan w:val="2"/>
            <w:tcBorders>
              <w:top w:val="single" w:color="auto" w:sz="4" w:space="0"/>
              <w:left w:val="single" w:color="auto" w:sz="4" w:space="0"/>
              <w:bottom w:val="single" w:color="auto" w:sz="4" w:space="0"/>
              <w:right w:val="single" w:color="auto" w:sz="4" w:space="0"/>
            </w:tcBorders>
          </w:tcPr>
          <w:p>
            <w:pPr>
              <w:spacing w:line="360" w:lineRule="exact"/>
              <w:ind w:firstLine="0" w:firstLineChars="0"/>
              <w:jc w:val="center"/>
              <w:rPr>
                <w:rFonts w:ascii="宋体" w:hAnsi="宋体" w:eastAsia="宋体" w:cs="宋体"/>
                <w:color w:val="auto"/>
                <w:sz w:val="24"/>
                <w:szCs w:val="24"/>
              </w:rPr>
            </w:pPr>
            <w:r>
              <w:rPr>
                <w:rFonts w:hint="eastAsia" w:ascii="宋体" w:hAnsi="宋体" w:eastAsia="宋体" w:cs="宋体"/>
                <w:color w:val="auto"/>
                <w:sz w:val="24"/>
                <w:szCs w:val="24"/>
              </w:rPr>
              <w:t>投标人不得存在的其他情形</w:t>
            </w:r>
          </w:p>
        </w:tc>
        <w:tc>
          <w:tcPr>
            <w:tcW w:w="685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80" w:firstLineChars="200"/>
              <w:jc w:val="both"/>
              <w:rPr>
                <w:rFonts w:ascii="宋体" w:hAnsi="宋体" w:eastAsia="宋体" w:cs="宋体"/>
                <w:color w:val="auto"/>
                <w:sz w:val="24"/>
                <w:szCs w:val="24"/>
              </w:rPr>
            </w:pPr>
            <w:r>
              <w:rPr>
                <w:rFonts w:hint="eastAsia" w:ascii="宋体" w:hAnsi="宋体" w:eastAsia="宋体" w:cs="宋体"/>
                <w:color w:val="auto"/>
                <w:sz w:val="24"/>
                <w:szCs w:val="24"/>
              </w:rPr>
              <w:t>详见招标文件</w:t>
            </w:r>
          </w:p>
        </w:tc>
      </w:tr>
      <w:tr>
        <w:tblPrEx>
          <w:tblLayout w:type="fixed"/>
          <w:tblCellMar>
            <w:top w:w="0" w:type="dxa"/>
            <w:left w:w="108" w:type="dxa"/>
            <w:bottom w:w="0" w:type="dxa"/>
            <w:right w:w="108" w:type="dxa"/>
          </w:tblCellMar>
        </w:tblPrEx>
        <w:trPr>
          <w:trHeight w:val="550" w:hRule="atLeast"/>
          <w:jc w:val="center"/>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color w:val="auto"/>
                <w:sz w:val="24"/>
                <w:szCs w:val="24"/>
              </w:rPr>
            </w:pPr>
            <w:r>
              <w:rPr>
                <w:rFonts w:hint="eastAsia" w:ascii="宋体" w:hAnsi="宋体" w:eastAsia="宋体" w:cs="宋体"/>
                <w:color w:val="auto"/>
                <w:sz w:val="24"/>
                <w:szCs w:val="24"/>
              </w:rPr>
              <w:t>1.9.1</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color w:val="auto"/>
                <w:sz w:val="24"/>
                <w:szCs w:val="24"/>
              </w:rPr>
            </w:pPr>
            <w:r>
              <w:rPr>
                <w:rFonts w:hint="eastAsia" w:ascii="宋体" w:hAnsi="宋体" w:eastAsia="宋体" w:cs="宋体"/>
                <w:color w:val="auto"/>
                <w:sz w:val="24"/>
                <w:szCs w:val="24"/>
              </w:rPr>
              <w:t>踏勘现场</w:t>
            </w:r>
          </w:p>
        </w:tc>
        <w:tc>
          <w:tcPr>
            <w:tcW w:w="685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80" w:firstLineChars="200"/>
              <w:jc w:val="both"/>
              <w:rPr>
                <w:rFonts w:ascii="宋体" w:hAnsi="宋体" w:eastAsia="宋体" w:cs="宋体"/>
                <w:color w:val="auto"/>
                <w:sz w:val="24"/>
                <w:szCs w:val="24"/>
              </w:rPr>
            </w:pPr>
            <w:r>
              <w:rPr>
                <w:rFonts w:hint="eastAsia" w:ascii="宋体" w:hAnsi="宋体" w:eastAsia="宋体" w:cs="宋体"/>
                <w:color w:val="auto"/>
                <w:sz w:val="24"/>
                <w:szCs w:val="24"/>
              </w:rPr>
              <w:t>不组织</w:t>
            </w:r>
          </w:p>
        </w:tc>
      </w:tr>
      <w:tr>
        <w:tblPrEx>
          <w:tblLayout w:type="fixed"/>
          <w:tblCellMar>
            <w:top w:w="0" w:type="dxa"/>
            <w:left w:w="108" w:type="dxa"/>
            <w:bottom w:w="0" w:type="dxa"/>
            <w:right w:w="108" w:type="dxa"/>
          </w:tblCellMar>
        </w:tblPrEx>
        <w:trPr>
          <w:trHeight w:val="762" w:hRule="atLeast"/>
          <w:jc w:val="center"/>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color w:val="auto"/>
                <w:sz w:val="24"/>
                <w:szCs w:val="24"/>
              </w:rPr>
            </w:pPr>
            <w:r>
              <w:rPr>
                <w:rFonts w:hint="eastAsia" w:ascii="宋体" w:hAnsi="宋体" w:eastAsia="宋体" w:cs="宋体"/>
                <w:color w:val="auto"/>
                <w:sz w:val="24"/>
                <w:szCs w:val="24"/>
              </w:rPr>
              <w:t>1.10.1</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宋体"/>
                <w:color w:val="auto"/>
                <w:sz w:val="24"/>
                <w:szCs w:val="24"/>
              </w:rPr>
            </w:pPr>
            <w:r>
              <w:rPr>
                <w:rFonts w:hint="eastAsia" w:ascii="宋体" w:hAnsi="宋体" w:eastAsia="宋体" w:cs="宋体"/>
                <w:color w:val="auto"/>
                <w:sz w:val="24"/>
                <w:szCs w:val="24"/>
              </w:rPr>
              <w:t>投标预备会</w:t>
            </w:r>
          </w:p>
        </w:tc>
        <w:tc>
          <w:tcPr>
            <w:tcW w:w="685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80" w:firstLineChars="200"/>
              <w:jc w:val="both"/>
              <w:rPr>
                <w:rFonts w:ascii="宋体" w:hAnsi="宋体" w:eastAsia="宋体" w:cs="宋体"/>
                <w:color w:val="auto"/>
                <w:sz w:val="24"/>
                <w:szCs w:val="24"/>
              </w:rPr>
            </w:pPr>
            <w:r>
              <w:rPr>
                <w:rFonts w:hint="eastAsia" w:ascii="宋体" w:hAnsi="宋体" w:cs="仿宋_GB2312"/>
                <w:color w:val="auto"/>
                <w:sz w:val="24"/>
              </w:rPr>
              <w:t>不召开</w:t>
            </w:r>
          </w:p>
        </w:tc>
      </w:tr>
      <w:tr>
        <w:tblPrEx>
          <w:tblLayout w:type="fixed"/>
          <w:tblCellMar>
            <w:top w:w="0" w:type="dxa"/>
            <w:left w:w="108" w:type="dxa"/>
            <w:bottom w:w="0" w:type="dxa"/>
            <w:right w:w="108" w:type="dxa"/>
          </w:tblCellMar>
        </w:tblPrEx>
        <w:trPr>
          <w:trHeight w:val="752" w:hRule="atLeast"/>
          <w:jc w:val="center"/>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color w:val="auto"/>
                <w:sz w:val="24"/>
                <w:szCs w:val="24"/>
              </w:rPr>
            </w:pPr>
            <w:r>
              <w:rPr>
                <w:rFonts w:hint="eastAsia" w:ascii="宋体" w:hAnsi="宋体" w:eastAsia="宋体" w:cs="宋体"/>
                <w:color w:val="auto"/>
                <w:sz w:val="24"/>
                <w:szCs w:val="24"/>
              </w:rPr>
              <w:t>1.10.2</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color w:val="auto"/>
                <w:sz w:val="24"/>
                <w:szCs w:val="24"/>
              </w:rPr>
            </w:pPr>
            <w:r>
              <w:rPr>
                <w:rFonts w:hint="eastAsia" w:ascii="宋体" w:hAnsi="宋体" w:eastAsia="宋体" w:cs="宋体"/>
                <w:color w:val="auto"/>
                <w:sz w:val="24"/>
                <w:szCs w:val="24"/>
              </w:rPr>
              <w:t>招标文件澄清</w:t>
            </w:r>
          </w:p>
          <w:p>
            <w:pPr>
              <w:spacing w:line="400" w:lineRule="exact"/>
              <w:ind w:firstLine="0" w:firstLineChars="0"/>
              <w:jc w:val="center"/>
              <w:rPr>
                <w:rFonts w:ascii="宋体" w:hAnsi="宋体" w:eastAsia="宋体" w:cs="宋体"/>
                <w:color w:val="auto"/>
                <w:sz w:val="24"/>
                <w:szCs w:val="24"/>
              </w:rPr>
            </w:pPr>
            <w:r>
              <w:rPr>
                <w:rFonts w:hint="eastAsia" w:ascii="宋体" w:hAnsi="宋体" w:eastAsia="宋体" w:cs="宋体"/>
                <w:color w:val="auto"/>
                <w:sz w:val="24"/>
                <w:szCs w:val="24"/>
              </w:rPr>
              <w:t>发出的形式</w:t>
            </w:r>
          </w:p>
        </w:tc>
        <w:tc>
          <w:tcPr>
            <w:tcW w:w="6855" w:type="dxa"/>
            <w:tcBorders>
              <w:top w:val="single" w:color="auto" w:sz="4" w:space="0"/>
              <w:left w:val="single" w:color="auto" w:sz="4" w:space="0"/>
              <w:bottom w:val="single" w:color="auto" w:sz="4" w:space="0"/>
              <w:right w:val="single" w:color="auto" w:sz="4" w:space="0"/>
            </w:tcBorders>
          </w:tcPr>
          <w:p>
            <w:pPr>
              <w:spacing w:line="400" w:lineRule="exact"/>
              <w:ind w:firstLine="0" w:firstLineChars="0"/>
              <w:rPr>
                <w:rFonts w:ascii="宋体" w:hAnsi="宋体" w:eastAsia="宋体" w:cs="宋体"/>
                <w:color w:val="auto"/>
                <w:sz w:val="24"/>
                <w:szCs w:val="24"/>
              </w:rPr>
            </w:pPr>
            <w:r>
              <w:rPr>
                <w:rFonts w:hint="eastAsia" w:ascii="宋体" w:hAnsi="宋体" w:eastAsia="宋体" w:cs="宋体"/>
                <w:color w:val="auto"/>
                <w:sz w:val="24"/>
                <w:szCs w:val="24"/>
              </w:rPr>
              <w:t>以全国公共资源交易平台（河南省·许昌市）（http://www.xcggzy.gov.cn/）电子平台发出的为准，不再接受书面形式的递交。</w:t>
            </w:r>
          </w:p>
        </w:tc>
      </w:tr>
      <w:tr>
        <w:tblPrEx>
          <w:tblLayout w:type="fixed"/>
          <w:tblCellMar>
            <w:top w:w="0" w:type="dxa"/>
            <w:left w:w="108" w:type="dxa"/>
            <w:bottom w:w="0" w:type="dxa"/>
            <w:right w:w="108" w:type="dxa"/>
          </w:tblCellMar>
        </w:tblPrEx>
        <w:trPr>
          <w:trHeight w:val="535" w:hRule="atLeast"/>
          <w:jc w:val="center"/>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color w:val="auto"/>
                <w:sz w:val="24"/>
                <w:szCs w:val="24"/>
              </w:rPr>
            </w:pPr>
            <w:r>
              <w:rPr>
                <w:rFonts w:hint="eastAsia" w:ascii="宋体" w:hAnsi="宋体" w:eastAsia="宋体" w:cs="宋体"/>
                <w:color w:val="auto"/>
                <w:sz w:val="24"/>
                <w:szCs w:val="24"/>
              </w:rPr>
              <w:t>1.11.1</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color w:val="auto"/>
                <w:sz w:val="24"/>
                <w:szCs w:val="24"/>
              </w:rPr>
            </w:pPr>
            <w:r>
              <w:rPr>
                <w:rFonts w:hint="eastAsia" w:ascii="宋体" w:hAnsi="宋体" w:eastAsia="宋体" w:cs="宋体"/>
                <w:color w:val="auto"/>
                <w:sz w:val="24"/>
                <w:szCs w:val="24"/>
              </w:rPr>
              <w:t>分     包</w:t>
            </w:r>
          </w:p>
        </w:tc>
        <w:tc>
          <w:tcPr>
            <w:tcW w:w="685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80" w:firstLineChars="200"/>
              <w:jc w:val="both"/>
              <w:rPr>
                <w:rFonts w:ascii="宋体" w:hAnsi="宋体" w:eastAsia="宋体" w:cs="宋体"/>
                <w:color w:val="auto"/>
                <w:sz w:val="24"/>
                <w:szCs w:val="24"/>
              </w:rPr>
            </w:pPr>
            <w:r>
              <w:rPr>
                <w:rFonts w:hint="eastAsia" w:ascii="宋体" w:hAnsi="宋体" w:eastAsia="宋体" w:cs="宋体"/>
                <w:color w:val="auto"/>
                <w:sz w:val="24"/>
                <w:szCs w:val="24"/>
              </w:rPr>
              <w:t>不允许</w:t>
            </w:r>
          </w:p>
        </w:tc>
      </w:tr>
      <w:tr>
        <w:tblPrEx>
          <w:tblLayout w:type="fixed"/>
          <w:tblCellMar>
            <w:top w:w="0" w:type="dxa"/>
            <w:left w:w="108" w:type="dxa"/>
            <w:bottom w:w="0" w:type="dxa"/>
            <w:right w:w="108" w:type="dxa"/>
          </w:tblCellMar>
        </w:tblPrEx>
        <w:trPr>
          <w:trHeight w:val="572" w:hRule="atLeast"/>
          <w:jc w:val="center"/>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color w:val="auto"/>
                <w:sz w:val="24"/>
                <w:szCs w:val="24"/>
              </w:rPr>
            </w:pPr>
            <w:r>
              <w:rPr>
                <w:rFonts w:hint="eastAsia" w:ascii="宋体" w:hAnsi="宋体" w:eastAsia="宋体" w:cs="宋体"/>
                <w:color w:val="auto"/>
                <w:sz w:val="24"/>
                <w:szCs w:val="24"/>
              </w:rPr>
              <w:t>1.12.1</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color w:val="auto"/>
                <w:sz w:val="24"/>
                <w:szCs w:val="24"/>
              </w:rPr>
            </w:pPr>
            <w:r>
              <w:rPr>
                <w:rFonts w:hint="eastAsia" w:ascii="宋体" w:hAnsi="宋体" w:eastAsia="宋体" w:cs="宋体"/>
                <w:color w:val="auto"/>
                <w:sz w:val="24"/>
                <w:szCs w:val="24"/>
              </w:rPr>
              <w:t>实质性要求和条件</w:t>
            </w:r>
          </w:p>
        </w:tc>
        <w:tc>
          <w:tcPr>
            <w:tcW w:w="685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80" w:firstLineChars="200"/>
              <w:jc w:val="both"/>
              <w:rPr>
                <w:rFonts w:ascii="宋体" w:hAnsi="宋体" w:eastAsia="宋体" w:cs="宋体"/>
                <w:color w:val="auto"/>
                <w:sz w:val="24"/>
                <w:szCs w:val="24"/>
              </w:rPr>
            </w:pPr>
            <w:r>
              <w:rPr>
                <w:rFonts w:hint="eastAsia" w:ascii="宋体" w:hAnsi="宋体" w:eastAsia="宋体" w:cs="宋体"/>
                <w:color w:val="auto"/>
                <w:sz w:val="24"/>
                <w:szCs w:val="24"/>
              </w:rPr>
              <w:t>详见招标文件</w:t>
            </w:r>
          </w:p>
        </w:tc>
      </w:tr>
      <w:tr>
        <w:tblPrEx>
          <w:tblLayout w:type="fixed"/>
          <w:tblCellMar>
            <w:top w:w="0" w:type="dxa"/>
            <w:left w:w="108" w:type="dxa"/>
            <w:bottom w:w="0" w:type="dxa"/>
            <w:right w:w="108" w:type="dxa"/>
          </w:tblCellMar>
        </w:tblPrEx>
        <w:trPr>
          <w:trHeight w:val="557" w:hRule="atLeast"/>
          <w:jc w:val="center"/>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color w:val="auto"/>
                <w:sz w:val="24"/>
                <w:szCs w:val="24"/>
              </w:rPr>
            </w:pPr>
            <w:r>
              <w:rPr>
                <w:rFonts w:hint="eastAsia" w:ascii="宋体" w:hAnsi="宋体" w:eastAsia="宋体" w:cs="宋体"/>
                <w:color w:val="auto"/>
                <w:sz w:val="24"/>
                <w:szCs w:val="24"/>
              </w:rPr>
              <w:t>1.12.3</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color w:val="auto"/>
                <w:sz w:val="24"/>
                <w:szCs w:val="24"/>
              </w:rPr>
            </w:pPr>
            <w:r>
              <w:rPr>
                <w:rFonts w:hint="eastAsia" w:ascii="宋体" w:hAnsi="宋体" w:eastAsia="宋体" w:cs="宋体"/>
                <w:color w:val="auto"/>
                <w:sz w:val="24"/>
                <w:szCs w:val="24"/>
              </w:rPr>
              <w:t>偏     差</w:t>
            </w:r>
          </w:p>
        </w:tc>
        <w:tc>
          <w:tcPr>
            <w:tcW w:w="6855" w:type="dxa"/>
            <w:tcBorders>
              <w:top w:val="single" w:color="auto" w:sz="4" w:space="0"/>
              <w:left w:val="single" w:color="auto" w:sz="4" w:space="0"/>
              <w:bottom w:val="single" w:color="auto" w:sz="4" w:space="0"/>
              <w:right w:val="single" w:color="auto" w:sz="4" w:space="0"/>
            </w:tcBorders>
            <w:vAlign w:val="center"/>
          </w:tcPr>
          <w:p>
            <w:pPr>
              <w:pStyle w:val="17"/>
              <w:spacing w:line="400" w:lineRule="exact"/>
              <w:ind w:firstLine="480" w:firstLineChars="200"/>
              <w:jc w:val="both"/>
              <w:rPr>
                <w:rFonts w:hAnsi="宋体" w:eastAsia="宋体" w:cs="宋体"/>
                <w:color w:val="auto"/>
                <w:szCs w:val="24"/>
              </w:rPr>
            </w:pPr>
            <w:r>
              <w:rPr>
                <w:rFonts w:hint="eastAsia" w:hAnsi="宋体" w:eastAsia="宋体" w:cs="宋体"/>
                <w:color w:val="auto"/>
                <w:szCs w:val="24"/>
              </w:rPr>
              <w:t>不允许</w:t>
            </w:r>
          </w:p>
        </w:tc>
      </w:tr>
      <w:tr>
        <w:tblPrEx>
          <w:tblLayout w:type="fixed"/>
          <w:tblCellMar>
            <w:top w:w="0" w:type="dxa"/>
            <w:left w:w="108" w:type="dxa"/>
            <w:bottom w:w="0" w:type="dxa"/>
            <w:right w:w="108" w:type="dxa"/>
          </w:tblCellMar>
        </w:tblPrEx>
        <w:trPr>
          <w:trHeight w:val="725" w:hRule="atLeast"/>
          <w:jc w:val="center"/>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color w:val="auto"/>
                <w:sz w:val="24"/>
                <w:szCs w:val="24"/>
              </w:rPr>
            </w:pPr>
            <w:r>
              <w:rPr>
                <w:rFonts w:hint="eastAsia" w:ascii="宋体" w:hAnsi="宋体" w:eastAsia="宋体" w:cs="宋体"/>
                <w:color w:val="auto"/>
                <w:sz w:val="24"/>
                <w:szCs w:val="24"/>
              </w:rPr>
              <w:t>2.1</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宋体"/>
                <w:color w:val="auto"/>
                <w:sz w:val="24"/>
                <w:szCs w:val="24"/>
              </w:rPr>
            </w:pPr>
            <w:r>
              <w:rPr>
                <w:rFonts w:hint="eastAsia" w:ascii="宋体" w:hAnsi="宋体" w:eastAsia="宋体" w:cs="宋体"/>
                <w:color w:val="auto"/>
                <w:sz w:val="24"/>
                <w:szCs w:val="24"/>
              </w:rPr>
              <w:t>构成招标文件</w:t>
            </w:r>
          </w:p>
          <w:p>
            <w:pPr>
              <w:spacing w:line="360" w:lineRule="exact"/>
              <w:ind w:firstLine="0" w:firstLineChars="0"/>
              <w:jc w:val="center"/>
              <w:rPr>
                <w:rFonts w:ascii="宋体" w:hAnsi="宋体" w:eastAsia="宋体" w:cs="宋体"/>
                <w:color w:val="auto"/>
                <w:sz w:val="24"/>
                <w:szCs w:val="24"/>
              </w:rPr>
            </w:pPr>
            <w:r>
              <w:rPr>
                <w:rFonts w:hint="eastAsia" w:ascii="宋体" w:hAnsi="宋体" w:eastAsia="宋体" w:cs="宋体"/>
                <w:color w:val="auto"/>
                <w:sz w:val="24"/>
                <w:szCs w:val="24"/>
              </w:rPr>
              <w:t>的其他材料</w:t>
            </w:r>
          </w:p>
        </w:tc>
        <w:tc>
          <w:tcPr>
            <w:tcW w:w="6855"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eastAsia="宋体" w:cs="宋体"/>
                <w:color w:val="auto"/>
                <w:sz w:val="24"/>
                <w:szCs w:val="24"/>
              </w:rPr>
            </w:pPr>
            <w:r>
              <w:rPr>
                <w:rFonts w:hint="eastAsia" w:ascii="宋体" w:hAnsi="宋体" w:eastAsia="宋体" w:cs="宋体"/>
                <w:color w:val="auto"/>
                <w:sz w:val="24"/>
                <w:szCs w:val="24"/>
              </w:rPr>
              <w:t>经备案的答疑纪要、招标文件的补充和修改文件（如有）。</w:t>
            </w:r>
          </w:p>
        </w:tc>
      </w:tr>
      <w:tr>
        <w:tblPrEx>
          <w:tblLayout w:type="fixed"/>
          <w:tblCellMar>
            <w:top w:w="0" w:type="dxa"/>
            <w:left w:w="108" w:type="dxa"/>
            <w:bottom w:w="0" w:type="dxa"/>
            <w:right w:w="108" w:type="dxa"/>
          </w:tblCellMar>
        </w:tblPrEx>
        <w:trPr>
          <w:trHeight w:val="725" w:hRule="atLeast"/>
          <w:jc w:val="center"/>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color w:val="auto"/>
                <w:sz w:val="24"/>
                <w:szCs w:val="24"/>
              </w:rPr>
            </w:pPr>
            <w:r>
              <w:rPr>
                <w:rFonts w:hint="eastAsia" w:ascii="宋体" w:hAnsi="宋体" w:eastAsia="宋体" w:cs="宋体"/>
                <w:color w:val="auto"/>
                <w:sz w:val="24"/>
                <w:szCs w:val="24"/>
              </w:rPr>
              <w:t>2.2</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宋体"/>
                <w:color w:val="auto"/>
                <w:sz w:val="24"/>
                <w:szCs w:val="24"/>
              </w:rPr>
            </w:pPr>
            <w:r>
              <w:rPr>
                <w:rFonts w:hint="eastAsia" w:ascii="宋体" w:hAnsi="宋体" w:eastAsia="宋体" w:cs="宋体"/>
                <w:color w:val="auto"/>
                <w:sz w:val="24"/>
                <w:szCs w:val="24"/>
              </w:rPr>
              <w:t>招标文件的获取</w:t>
            </w:r>
          </w:p>
        </w:tc>
        <w:tc>
          <w:tcPr>
            <w:tcW w:w="6855"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rPr>
                <w:rFonts w:ascii="宋体" w:hAnsi="宋体" w:eastAsia="宋体" w:cs="宋体"/>
                <w:color w:val="auto"/>
                <w:sz w:val="24"/>
                <w:szCs w:val="24"/>
              </w:rPr>
            </w:pPr>
            <w:r>
              <w:rPr>
                <w:rFonts w:hint="eastAsia" w:ascii="宋体" w:hAnsi="宋体" w:eastAsia="宋体" w:cs="宋体"/>
                <w:color w:val="auto"/>
                <w:sz w:val="24"/>
                <w:szCs w:val="24"/>
              </w:rPr>
              <w:t>1、招标文件获取方式：报名截止日前均可在全国公共资源交易平台（河南省·许昌市）自行下载。</w:t>
            </w:r>
          </w:p>
          <w:p>
            <w:pPr>
              <w:spacing w:line="360" w:lineRule="exact"/>
              <w:ind w:firstLine="0" w:firstLineChars="0"/>
              <w:rPr>
                <w:rFonts w:ascii="宋体" w:hAnsi="宋体" w:eastAsia="宋体" w:cs="宋体"/>
                <w:color w:val="auto"/>
                <w:sz w:val="24"/>
                <w:szCs w:val="24"/>
              </w:rPr>
            </w:pPr>
            <w:r>
              <w:rPr>
                <w:rFonts w:hint="eastAsia" w:ascii="宋体" w:hAnsi="宋体" w:eastAsia="宋体" w:cs="宋体"/>
                <w:color w:val="auto"/>
                <w:sz w:val="24"/>
                <w:szCs w:val="24"/>
              </w:rPr>
              <w:t>2、售  价：300元/套，由投标人在递交投标文件时现场缴纳。</w:t>
            </w:r>
          </w:p>
        </w:tc>
      </w:tr>
      <w:tr>
        <w:tblPrEx>
          <w:tblLayout w:type="fixed"/>
          <w:tblCellMar>
            <w:top w:w="0" w:type="dxa"/>
            <w:left w:w="108" w:type="dxa"/>
            <w:bottom w:w="0" w:type="dxa"/>
            <w:right w:w="108" w:type="dxa"/>
          </w:tblCellMar>
        </w:tblPrEx>
        <w:trPr>
          <w:trHeight w:val="770" w:hRule="atLeast"/>
          <w:jc w:val="center"/>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color w:val="auto"/>
                <w:sz w:val="24"/>
                <w:szCs w:val="24"/>
              </w:rPr>
            </w:pPr>
            <w:r>
              <w:rPr>
                <w:rFonts w:hint="eastAsia" w:ascii="宋体" w:hAnsi="宋体" w:eastAsia="宋体" w:cs="宋体"/>
                <w:color w:val="auto"/>
                <w:sz w:val="24"/>
                <w:szCs w:val="24"/>
              </w:rPr>
              <w:t>2.2.1</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宋体"/>
                <w:color w:val="auto"/>
                <w:sz w:val="24"/>
                <w:szCs w:val="24"/>
              </w:rPr>
            </w:pPr>
            <w:r>
              <w:rPr>
                <w:rFonts w:hint="eastAsia" w:ascii="宋体" w:hAnsi="宋体" w:eastAsia="宋体" w:cs="宋体"/>
                <w:color w:val="auto"/>
                <w:sz w:val="24"/>
                <w:szCs w:val="24"/>
              </w:rPr>
              <w:t>投标人要求澄清</w:t>
            </w:r>
          </w:p>
          <w:p>
            <w:pPr>
              <w:spacing w:line="360" w:lineRule="exact"/>
              <w:ind w:firstLine="0" w:firstLineChars="0"/>
              <w:jc w:val="center"/>
              <w:rPr>
                <w:rFonts w:ascii="宋体" w:hAnsi="宋体" w:eastAsia="宋体" w:cs="宋体"/>
                <w:color w:val="auto"/>
                <w:sz w:val="24"/>
                <w:szCs w:val="24"/>
              </w:rPr>
            </w:pPr>
            <w:r>
              <w:rPr>
                <w:rFonts w:hint="eastAsia" w:ascii="宋体" w:hAnsi="宋体" w:eastAsia="宋体" w:cs="宋体"/>
                <w:color w:val="auto"/>
                <w:sz w:val="24"/>
                <w:szCs w:val="24"/>
              </w:rPr>
              <w:t>招标文件</w:t>
            </w:r>
          </w:p>
        </w:tc>
        <w:tc>
          <w:tcPr>
            <w:tcW w:w="6855"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rPr>
                <w:rFonts w:ascii="宋体" w:hAnsi="宋体" w:eastAsia="宋体" w:cs="宋体"/>
                <w:color w:val="auto"/>
                <w:sz w:val="24"/>
                <w:szCs w:val="24"/>
              </w:rPr>
            </w:pPr>
            <w:r>
              <w:rPr>
                <w:rFonts w:hint="eastAsia" w:ascii="宋体" w:hAnsi="宋体" w:eastAsia="宋体" w:cs="宋体"/>
                <w:color w:val="auto"/>
                <w:sz w:val="24"/>
                <w:szCs w:val="24"/>
              </w:rPr>
              <w:t>时间：投标截止时间10日前</w:t>
            </w:r>
          </w:p>
          <w:p>
            <w:pPr>
              <w:spacing w:line="360" w:lineRule="exact"/>
              <w:ind w:firstLine="0" w:firstLineChars="0"/>
              <w:rPr>
                <w:rFonts w:ascii="宋体" w:hAnsi="宋体" w:eastAsia="宋体" w:cs="宋体"/>
                <w:color w:val="auto"/>
                <w:sz w:val="24"/>
                <w:szCs w:val="24"/>
              </w:rPr>
            </w:pPr>
            <w:r>
              <w:rPr>
                <w:rFonts w:hint="eastAsia" w:ascii="宋体" w:hAnsi="宋体" w:eastAsia="宋体" w:cs="宋体"/>
                <w:color w:val="auto"/>
                <w:sz w:val="24"/>
                <w:szCs w:val="24"/>
              </w:rPr>
              <w:t>形式：将疑问通过全国公共资源交易平台（河南省·许昌市）（http://www.xcggzy.gov.cn/）提交。</w:t>
            </w:r>
          </w:p>
        </w:tc>
      </w:tr>
      <w:tr>
        <w:tblPrEx>
          <w:tblLayout w:type="fixed"/>
          <w:tblCellMar>
            <w:top w:w="0" w:type="dxa"/>
            <w:left w:w="108" w:type="dxa"/>
            <w:bottom w:w="0" w:type="dxa"/>
            <w:right w:w="108" w:type="dxa"/>
          </w:tblCellMar>
        </w:tblPrEx>
        <w:trPr>
          <w:trHeight w:val="672" w:hRule="atLeast"/>
          <w:jc w:val="center"/>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color w:val="auto"/>
                <w:sz w:val="24"/>
                <w:szCs w:val="24"/>
              </w:rPr>
            </w:pPr>
            <w:r>
              <w:rPr>
                <w:rFonts w:hint="eastAsia" w:ascii="宋体" w:hAnsi="宋体" w:eastAsia="宋体" w:cs="宋体"/>
                <w:color w:val="auto"/>
                <w:sz w:val="24"/>
                <w:szCs w:val="24"/>
              </w:rPr>
              <w:t>2.2.2</w:t>
            </w:r>
          </w:p>
        </w:tc>
        <w:tc>
          <w:tcPr>
            <w:tcW w:w="2250" w:type="dxa"/>
            <w:gridSpan w:val="2"/>
            <w:tcBorders>
              <w:top w:val="single" w:color="auto" w:sz="4" w:space="0"/>
              <w:left w:val="single" w:color="auto" w:sz="4" w:space="0"/>
              <w:bottom w:val="single" w:color="auto" w:sz="4" w:space="0"/>
              <w:right w:val="single" w:color="auto" w:sz="4" w:space="0"/>
            </w:tcBorders>
          </w:tcPr>
          <w:p>
            <w:pPr>
              <w:spacing w:line="360" w:lineRule="exact"/>
              <w:ind w:firstLine="0" w:firstLineChars="0"/>
              <w:jc w:val="center"/>
              <w:rPr>
                <w:rFonts w:ascii="宋体" w:hAnsi="宋体" w:eastAsia="宋体" w:cs="宋体"/>
                <w:color w:val="auto"/>
                <w:sz w:val="24"/>
                <w:szCs w:val="24"/>
              </w:rPr>
            </w:pPr>
            <w:r>
              <w:rPr>
                <w:rFonts w:hint="eastAsia" w:ascii="宋体" w:hAnsi="宋体" w:eastAsia="宋体" w:cs="宋体"/>
                <w:color w:val="auto"/>
                <w:sz w:val="24"/>
                <w:szCs w:val="24"/>
              </w:rPr>
              <w:t>招标文件澄清</w:t>
            </w:r>
          </w:p>
          <w:p>
            <w:pPr>
              <w:spacing w:line="360" w:lineRule="exact"/>
              <w:ind w:firstLine="0" w:firstLineChars="0"/>
              <w:jc w:val="center"/>
              <w:rPr>
                <w:rFonts w:ascii="宋体" w:hAnsi="宋体" w:eastAsia="宋体" w:cs="宋体"/>
                <w:color w:val="auto"/>
                <w:sz w:val="24"/>
                <w:szCs w:val="24"/>
              </w:rPr>
            </w:pPr>
            <w:r>
              <w:rPr>
                <w:rFonts w:hint="eastAsia" w:ascii="宋体" w:hAnsi="宋体" w:eastAsia="宋体" w:cs="宋体"/>
                <w:color w:val="auto"/>
                <w:sz w:val="24"/>
                <w:szCs w:val="24"/>
              </w:rPr>
              <w:t>发出的形式</w:t>
            </w:r>
          </w:p>
        </w:tc>
        <w:tc>
          <w:tcPr>
            <w:tcW w:w="685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left"/>
              <w:rPr>
                <w:rFonts w:hint="eastAsia" w:ascii="宋体" w:hAnsi="宋体" w:eastAsia="宋体" w:cs="宋体"/>
                <w:color w:val="auto"/>
                <w:sz w:val="24"/>
                <w:szCs w:val="24"/>
                <w:lang w:eastAsia="zh-CN"/>
              </w:rPr>
            </w:pPr>
            <w:r>
              <w:rPr>
                <w:rFonts w:hint="eastAsia"/>
                <w:color w:val="auto"/>
                <w:sz w:val="24"/>
              </w:rPr>
              <w:t>递交投标文件截止之日15日</w:t>
            </w:r>
            <w:r>
              <w:rPr>
                <w:color w:val="auto"/>
                <w:sz w:val="24"/>
              </w:rPr>
              <w:t>前</w:t>
            </w:r>
            <w:r>
              <w:rPr>
                <w:rFonts w:hint="eastAsia"/>
                <w:color w:val="auto"/>
                <w:sz w:val="24"/>
              </w:rPr>
              <w:t>通过公共资源交易系统电子平台发出</w:t>
            </w:r>
            <w:r>
              <w:rPr>
                <w:rFonts w:hint="eastAsia"/>
                <w:color w:val="auto"/>
                <w:sz w:val="24"/>
                <w:lang w:eastAsia="zh-CN"/>
              </w:rPr>
              <w:t>。</w:t>
            </w:r>
          </w:p>
        </w:tc>
      </w:tr>
      <w:tr>
        <w:tblPrEx>
          <w:tblLayout w:type="fixed"/>
          <w:tblCellMar>
            <w:top w:w="0" w:type="dxa"/>
            <w:left w:w="108" w:type="dxa"/>
            <w:bottom w:w="0" w:type="dxa"/>
            <w:right w:w="108" w:type="dxa"/>
          </w:tblCellMar>
        </w:tblPrEx>
        <w:trPr>
          <w:trHeight w:val="755" w:hRule="atLeast"/>
          <w:jc w:val="center"/>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color w:val="auto"/>
                <w:sz w:val="24"/>
                <w:szCs w:val="24"/>
              </w:rPr>
            </w:pPr>
            <w:r>
              <w:rPr>
                <w:rFonts w:hint="eastAsia" w:ascii="宋体" w:hAnsi="宋体" w:eastAsia="宋体" w:cs="宋体"/>
                <w:color w:val="auto"/>
                <w:sz w:val="24"/>
                <w:szCs w:val="24"/>
              </w:rPr>
              <w:t>2.2.3</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宋体"/>
                <w:color w:val="auto"/>
                <w:sz w:val="24"/>
                <w:szCs w:val="24"/>
              </w:rPr>
            </w:pPr>
            <w:r>
              <w:rPr>
                <w:rFonts w:hint="eastAsia" w:ascii="宋体" w:hAnsi="宋体" w:eastAsia="宋体" w:cs="宋体"/>
                <w:color w:val="auto"/>
                <w:sz w:val="24"/>
                <w:szCs w:val="24"/>
              </w:rPr>
              <w:t>投标人确认收到</w:t>
            </w:r>
          </w:p>
          <w:p>
            <w:pPr>
              <w:spacing w:line="360" w:lineRule="exact"/>
              <w:ind w:firstLine="0" w:firstLineChars="0"/>
              <w:jc w:val="center"/>
              <w:rPr>
                <w:rFonts w:ascii="宋体" w:hAnsi="宋体" w:eastAsia="宋体" w:cs="宋体"/>
                <w:color w:val="auto"/>
                <w:sz w:val="24"/>
                <w:szCs w:val="24"/>
              </w:rPr>
            </w:pPr>
            <w:r>
              <w:rPr>
                <w:rFonts w:hint="eastAsia" w:ascii="宋体" w:hAnsi="宋体" w:eastAsia="宋体" w:cs="宋体"/>
                <w:color w:val="auto"/>
                <w:sz w:val="24"/>
                <w:szCs w:val="24"/>
              </w:rPr>
              <w:t>招标文件澄清</w:t>
            </w:r>
          </w:p>
        </w:tc>
        <w:tc>
          <w:tcPr>
            <w:tcW w:w="685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w:t>
            </w:r>
          </w:p>
        </w:tc>
      </w:tr>
      <w:tr>
        <w:tblPrEx>
          <w:tblLayout w:type="fixed"/>
          <w:tblCellMar>
            <w:top w:w="0" w:type="dxa"/>
            <w:left w:w="108" w:type="dxa"/>
            <w:bottom w:w="0" w:type="dxa"/>
            <w:right w:w="108" w:type="dxa"/>
          </w:tblCellMar>
        </w:tblPrEx>
        <w:trPr>
          <w:trHeight w:val="785" w:hRule="atLeast"/>
          <w:jc w:val="center"/>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color w:val="auto"/>
                <w:sz w:val="24"/>
                <w:szCs w:val="24"/>
              </w:rPr>
            </w:pPr>
            <w:r>
              <w:rPr>
                <w:rFonts w:hint="eastAsia" w:ascii="宋体" w:hAnsi="宋体" w:eastAsia="宋体" w:cs="宋体"/>
                <w:color w:val="auto"/>
                <w:sz w:val="24"/>
                <w:szCs w:val="24"/>
              </w:rPr>
              <w:t>2.3.1</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color w:val="auto"/>
                <w:sz w:val="24"/>
                <w:szCs w:val="24"/>
              </w:rPr>
            </w:pPr>
            <w:r>
              <w:rPr>
                <w:rFonts w:hint="eastAsia" w:ascii="宋体" w:hAnsi="宋体" w:eastAsia="宋体" w:cs="宋体"/>
                <w:color w:val="auto"/>
                <w:sz w:val="24"/>
                <w:szCs w:val="24"/>
              </w:rPr>
              <w:t>招标文件修改</w:t>
            </w:r>
          </w:p>
          <w:p>
            <w:pPr>
              <w:spacing w:line="400" w:lineRule="exact"/>
              <w:ind w:firstLine="0" w:firstLineChars="0"/>
              <w:jc w:val="center"/>
              <w:rPr>
                <w:rFonts w:ascii="宋体" w:hAnsi="宋体" w:eastAsia="宋体" w:cs="宋体"/>
                <w:color w:val="auto"/>
                <w:sz w:val="24"/>
                <w:szCs w:val="24"/>
              </w:rPr>
            </w:pPr>
            <w:r>
              <w:rPr>
                <w:rFonts w:hint="eastAsia" w:ascii="宋体" w:hAnsi="宋体" w:eastAsia="宋体" w:cs="宋体"/>
                <w:color w:val="auto"/>
                <w:sz w:val="24"/>
                <w:szCs w:val="24"/>
              </w:rPr>
              <w:t>发出的形式</w:t>
            </w:r>
          </w:p>
        </w:tc>
        <w:tc>
          <w:tcPr>
            <w:tcW w:w="685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rFonts w:ascii="宋体" w:hAnsi="宋体" w:eastAsia="宋体" w:cs="宋体"/>
                <w:color w:val="auto"/>
                <w:sz w:val="24"/>
                <w:szCs w:val="24"/>
              </w:rPr>
            </w:pPr>
            <w:r>
              <w:rPr>
                <w:rFonts w:hint="eastAsia" w:ascii="宋体" w:hAnsi="宋体" w:eastAsia="宋体" w:cs="宋体"/>
                <w:color w:val="auto"/>
                <w:sz w:val="24"/>
                <w:szCs w:val="24"/>
              </w:rPr>
              <w:t>发布在《全国公共资源交易平台（河南省·许昌市）》网站。</w:t>
            </w:r>
          </w:p>
        </w:tc>
      </w:tr>
      <w:tr>
        <w:tblPrEx>
          <w:tblLayout w:type="fixed"/>
          <w:tblCellMar>
            <w:top w:w="0" w:type="dxa"/>
            <w:left w:w="108" w:type="dxa"/>
            <w:bottom w:w="0" w:type="dxa"/>
            <w:right w:w="108" w:type="dxa"/>
          </w:tblCellMar>
        </w:tblPrEx>
        <w:trPr>
          <w:trHeight w:val="785" w:hRule="atLeast"/>
          <w:jc w:val="center"/>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color w:val="auto"/>
                <w:sz w:val="24"/>
                <w:szCs w:val="24"/>
              </w:rPr>
            </w:pPr>
            <w:r>
              <w:rPr>
                <w:rFonts w:hint="eastAsia" w:ascii="宋体" w:hAnsi="宋体" w:eastAsia="宋体" w:cs="宋体"/>
                <w:color w:val="auto"/>
                <w:sz w:val="24"/>
                <w:szCs w:val="24"/>
              </w:rPr>
              <w:t>2.3.2</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宋体"/>
                <w:color w:val="auto"/>
                <w:sz w:val="24"/>
                <w:szCs w:val="24"/>
              </w:rPr>
            </w:pPr>
            <w:r>
              <w:rPr>
                <w:rFonts w:hint="eastAsia" w:ascii="宋体" w:hAnsi="宋体" w:eastAsia="宋体" w:cs="宋体"/>
                <w:color w:val="auto"/>
                <w:sz w:val="24"/>
                <w:szCs w:val="24"/>
              </w:rPr>
              <w:t>投标人确认收到</w:t>
            </w:r>
          </w:p>
          <w:p>
            <w:pPr>
              <w:spacing w:line="360" w:lineRule="exact"/>
              <w:ind w:firstLine="0" w:firstLineChars="0"/>
              <w:jc w:val="center"/>
              <w:rPr>
                <w:rFonts w:ascii="宋体" w:hAnsi="宋体" w:eastAsia="宋体" w:cs="宋体"/>
                <w:color w:val="auto"/>
                <w:sz w:val="24"/>
                <w:szCs w:val="24"/>
              </w:rPr>
            </w:pPr>
            <w:r>
              <w:rPr>
                <w:rFonts w:hint="eastAsia" w:ascii="宋体" w:hAnsi="宋体" w:eastAsia="宋体" w:cs="宋体"/>
                <w:color w:val="auto"/>
                <w:sz w:val="24"/>
                <w:szCs w:val="24"/>
              </w:rPr>
              <w:t>招标文件修改</w:t>
            </w:r>
          </w:p>
        </w:tc>
        <w:tc>
          <w:tcPr>
            <w:tcW w:w="6855"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w:t>
            </w:r>
          </w:p>
        </w:tc>
      </w:tr>
      <w:tr>
        <w:tblPrEx>
          <w:tblLayout w:type="fixed"/>
          <w:tblCellMar>
            <w:top w:w="0" w:type="dxa"/>
            <w:left w:w="108" w:type="dxa"/>
            <w:bottom w:w="0" w:type="dxa"/>
            <w:right w:w="108" w:type="dxa"/>
          </w:tblCellMar>
        </w:tblPrEx>
        <w:trPr>
          <w:trHeight w:val="728" w:hRule="atLeast"/>
          <w:jc w:val="center"/>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color w:val="auto"/>
                <w:sz w:val="24"/>
                <w:szCs w:val="24"/>
              </w:rPr>
            </w:pPr>
            <w:r>
              <w:rPr>
                <w:rFonts w:hint="eastAsia" w:ascii="宋体" w:hAnsi="宋体" w:eastAsia="宋体" w:cs="宋体"/>
                <w:color w:val="auto"/>
                <w:sz w:val="24"/>
                <w:szCs w:val="24"/>
              </w:rPr>
              <w:t>3.1.1</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宋体"/>
                <w:color w:val="auto"/>
                <w:sz w:val="24"/>
                <w:szCs w:val="24"/>
              </w:rPr>
            </w:pPr>
            <w:r>
              <w:rPr>
                <w:rFonts w:hint="eastAsia" w:ascii="宋体" w:hAnsi="宋体" w:eastAsia="宋体" w:cs="宋体"/>
                <w:color w:val="auto"/>
                <w:sz w:val="24"/>
                <w:szCs w:val="24"/>
              </w:rPr>
              <w:t>构成投标文件</w:t>
            </w:r>
          </w:p>
          <w:p>
            <w:pPr>
              <w:spacing w:line="360" w:lineRule="exact"/>
              <w:ind w:firstLine="0" w:firstLineChars="0"/>
              <w:jc w:val="center"/>
              <w:rPr>
                <w:rFonts w:ascii="宋体" w:hAnsi="宋体" w:eastAsia="宋体" w:cs="宋体"/>
                <w:color w:val="auto"/>
                <w:sz w:val="24"/>
                <w:szCs w:val="24"/>
              </w:rPr>
            </w:pPr>
            <w:r>
              <w:rPr>
                <w:rFonts w:hint="eastAsia" w:ascii="宋体" w:hAnsi="宋体" w:eastAsia="宋体" w:cs="宋体"/>
                <w:color w:val="auto"/>
                <w:sz w:val="24"/>
                <w:szCs w:val="24"/>
              </w:rPr>
              <w:t>的其他材料</w:t>
            </w:r>
          </w:p>
        </w:tc>
        <w:tc>
          <w:tcPr>
            <w:tcW w:w="6855"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详见招标文件</w:t>
            </w:r>
          </w:p>
        </w:tc>
      </w:tr>
      <w:tr>
        <w:tblPrEx>
          <w:tblLayout w:type="fixed"/>
          <w:tblCellMar>
            <w:top w:w="0" w:type="dxa"/>
            <w:left w:w="108" w:type="dxa"/>
            <w:bottom w:w="0" w:type="dxa"/>
            <w:right w:w="108" w:type="dxa"/>
          </w:tblCellMar>
        </w:tblPrEx>
        <w:trPr>
          <w:trHeight w:val="585" w:hRule="atLeast"/>
          <w:jc w:val="center"/>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color w:val="auto"/>
                <w:sz w:val="24"/>
                <w:szCs w:val="24"/>
              </w:rPr>
            </w:pPr>
            <w:r>
              <w:rPr>
                <w:rFonts w:hint="eastAsia" w:ascii="宋体" w:hAnsi="宋体" w:eastAsia="宋体" w:cs="宋体"/>
                <w:color w:val="auto"/>
                <w:sz w:val="24"/>
                <w:szCs w:val="24"/>
              </w:rPr>
              <w:t>3.2.3</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宋体"/>
                <w:color w:val="auto"/>
                <w:sz w:val="24"/>
                <w:szCs w:val="24"/>
              </w:rPr>
            </w:pPr>
            <w:r>
              <w:rPr>
                <w:rFonts w:hint="eastAsia" w:ascii="宋体" w:hAnsi="宋体" w:eastAsia="宋体" w:cs="宋体"/>
                <w:color w:val="auto"/>
                <w:sz w:val="24"/>
                <w:szCs w:val="24"/>
              </w:rPr>
              <w:t>最高投标限价</w:t>
            </w:r>
          </w:p>
        </w:tc>
        <w:tc>
          <w:tcPr>
            <w:tcW w:w="6855" w:type="dxa"/>
            <w:tcBorders>
              <w:top w:val="single" w:color="auto" w:sz="4" w:space="0"/>
              <w:left w:val="single" w:color="auto" w:sz="4" w:space="0"/>
              <w:bottom w:val="single" w:color="auto" w:sz="4" w:space="0"/>
              <w:right w:val="single" w:color="auto" w:sz="4" w:space="0"/>
            </w:tcBorders>
            <w:vAlign w:val="center"/>
          </w:tcPr>
          <w:p>
            <w:pPr>
              <w:spacing w:line="312" w:lineRule="auto"/>
              <w:rPr>
                <w:rFonts w:hint="eastAsia" w:ascii="宋体" w:hAnsi="宋体" w:cs="宋体"/>
                <w:color w:val="auto"/>
                <w:kern w:val="0"/>
                <w:sz w:val="24"/>
              </w:rPr>
            </w:pPr>
            <w:r>
              <w:rPr>
                <w:rFonts w:hint="eastAsia" w:ascii="宋体" w:hAnsi="宋体" w:cs="宋体"/>
                <w:color w:val="auto"/>
                <w:kern w:val="0"/>
                <w:sz w:val="24"/>
              </w:rPr>
              <w:t>本工程设招标控制价：</w:t>
            </w:r>
          </w:p>
          <w:p>
            <w:pPr>
              <w:numPr>
                <w:ilvl w:val="0"/>
                <w:numId w:val="1"/>
              </w:numPr>
              <w:spacing w:line="312" w:lineRule="auto"/>
              <w:rPr>
                <w:rFonts w:hint="eastAsia" w:ascii="宋体" w:hAnsi="宋体" w:cs="宋体"/>
                <w:b/>
                <w:color w:val="auto"/>
                <w:kern w:val="0"/>
                <w:sz w:val="24"/>
              </w:rPr>
            </w:pPr>
            <w:r>
              <w:rPr>
                <w:rFonts w:hint="eastAsia" w:ascii="宋体" w:hAnsi="宋体" w:cs="宋体"/>
                <w:b/>
                <w:color w:val="auto"/>
                <w:kern w:val="0"/>
                <w:sz w:val="24"/>
              </w:rPr>
              <w:t>大写：</w:t>
            </w:r>
            <w:r>
              <w:rPr>
                <w:rFonts w:hint="eastAsia" w:ascii="宋体" w:hAnsi="宋体" w:cs="宋体"/>
                <w:b/>
                <w:bCs/>
                <w:color w:val="auto"/>
                <w:kern w:val="0"/>
                <w:sz w:val="24"/>
                <w:lang w:eastAsia="zh-CN"/>
              </w:rPr>
              <w:t>叁拾玖万壹仟叁佰叁拾玖元贰角整</w:t>
            </w:r>
            <w:r>
              <w:rPr>
                <w:rFonts w:hint="eastAsia" w:ascii="宋体" w:hAnsi="宋体" w:cs="宋体"/>
                <w:b/>
                <w:color w:val="auto"/>
                <w:kern w:val="0"/>
                <w:sz w:val="24"/>
              </w:rPr>
              <w:t>；</w:t>
            </w:r>
          </w:p>
          <w:p>
            <w:pPr>
              <w:spacing w:line="312" w:lineRule="auto"/>
              <w:rPr>
                <w:rFonts w:hint="eastAsia" w:ascii="宋体" w:hAnsi="宋体" w:cs="宋体"/>
                <w:b/>
                <w:color w:val="auto"/>
                <w:kern w:val="0"/>
                <w:sz w:val="24"/>
              </w:rPr>
            </w:pPr>
            <w:r>
              <w:rPr>
                <w:rFonts w:hint="eastAsia" w:ascii="宋体" w:hAnsi="宋体" w:cs="宋体"/>
                <w:b/>
                <w:color w:val="auto"/>
                <w:kern w:val="0"/>
                <w:sz w:val="24"/>
              </w:rPr>
              <w:t xml:space="preserve">               小写：</w:t>
            </w:r>
            <w:r>
              <w:rPr>
                <w:rFonts w:hint="eastAsia" w:ascii="宋体" w:hAnsi="宋体" w:cs="宋体"/>
                <w:b/>
                <w:color w:val="auto"/>
                <w:kern w:val="0"/>
                <w:sz w:val="24"/>
                <w:lang w:val="en-US" w:eastAsia="zh-CN"/>
              </w:rPr>
              <w:t>391339.20</w:t>
            </w:r>
            <w:r>
              <w:rPr>
                <w:rFonts w:hint="eastAsia" w:ascii="宋体" w:hAnsi="宋体" w:cs="宋体"/>
                <w:b/>
                <w:color w:val="auto"/>
                <w:kern w:val="0"/>
                <w:sz w:val="24"/>
              </w:rPr>
              <w:t>元。</w:t>
            </w:r>
          </w:p>
          <w:p>
            <w:pPr>
              <w:spacing w:line="360" w:lineRule="exact"/>
              <w:jc w:val="both"/>
              <w:rPr>
                <w:rFonts w:ascii="宋体" w:hAnsi="宋体" w:eastAsia="宋体" w:cs="宋体"/>
                <w:color w:val="auto"/>
                <w:sz w:val="24"/>
                <w:szCs w:val="24"/>
              </w:rPr>
            </w:pPr>
            <w:r>
              <w:rPr>
                <w:rFonts w:hint="eastAsia" w:ascii="宋体" w:hAnsi="宋体" w:cs="宋体"/>
                <w:color w:val="auto"/>
                <w:kern w:val="0"/>
                <w:sz w:val="24"/>
              </w:rPr>
              <w:t>2、凡投标人的投标报价高于“招标控制价”（不含等于“招标控制价”）的，该投标人的投标文件应作废标处理。</w:t>
            </w:r>
          </w:p>
        </w:tc>
      </w:tr>
      <w:tr>
        <w:tblPrEx>
          <w:tblLayout w:type="fixed"/>
          <w:tblCellMar>
            <w:top w:w="0" w:type="dxa"/>
            <w:left w:w="108" w:type="dxa"/>
            <w:bottom w:w="0" w:type="dxa"/>
            <w:right w:w="108" w:type="dxa"/>
          </w:tblCellMar>
        </w:tblPrEx>
        <w:trPr>
          <w:trHeight w:val="620" w:hRule="atLeast"/>
          <w:jc w:val="center"/>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color w:val="auto"/>
                <w:sz w:val="24"/>
                <w:szCs w:val="24"/>
              </w:rPr>
            </w:pPr>
            <w:r>
              <w:rPr>
                <w:rFonts w:hint="eastAsia" w:ascii="宋体" w:hAnsi="宋体" w:eastAsia="宋体" w:cs="宋体"/>
                <w:color w:val="auto"/>
                <w:sz w:val="24"/>
                <w:szCs w:val="24"/>
              </w:rPr>
              <w:t>3.2.4</w:t>
            </w:r>
          </w:p>
        </w:tc>
        <w:tc>
          <w:tcPr>
            <w:tcW w:w="2250" w:type="dxa"/>
            <w:gridSpan w:val="2"/>
            <w:tcBorders>
              <w:top w:val="single" w:color="auto" w:sz="4" w:space="0"/>
              <w:left w:val="single" w:color="auto" w:sz="4" w:space="0"/>
              <w:bottom w:val="single" w:color="auto" w:sz="4" w:space="0"/>
              <w:right w:val="single" w:color="auto" w:sz="4" w:space="0"/>
            </w:tcBorders>
          </w:tcPr>
          <w:p>
            <w:pPr>
              <w:spacing w:line="360" w:lineRule="exact"/>
              <w:ind w:firstLine="0" w:firstLineChars="0"/>
              <w:jc w:val="center"/>
              <w:rPr>
                <w:rFonts w:ascii="宋体" w:hAnsi="宋体" w:eastAsia="宋体" w:cs="宋体"/>
                <w:color w:val="auto"/>
                <w:sz w:val="24"/>
                <w:szCs w:val="24"/>
              </w:rPr>
            </w:pPr>
            <w:r>
              <w:rPr>
                <w:rFonts w:hint="eastAsia" w:ascii="宋体" w:hAnsi="宋体" w:eastAsia="宋体" w:cs="宋体"/>
                <w:color w:val="auto"/>
                <w:sz w:val="24"/>
                <w:szCs w:val="24"/>
              </w:rPr>
              <w:t>投标报价的</w:t>
            </w:r>
          </w:p>
          <w:p>
            <w:pPr>
              <w:spacing w:line="360" w:lineRule="exact"/>
              <w:ind w:firstLine="0" w:firstLineChars="0"/>
              <w:jc w:val="center"/>
              <w:rPr>
                <w:rFonts w:ascii="宋体" w:hAnsi="宋体" w:eastAsia="宋体" w:cs="宋体"/>
                <w:color w:val="auto"/>
                <w:sz w:val="24"/>
                <w:szCs w:val="24"/>
              </w:rPr>
            </w:pPr>
            <w:r>
              <w:rPr>
                <w:rFonts w:hint="eastAsia" w:ascii="宋体" w:hAnsi="宋体" w:eastAsia="宋体" w:cs="宋体"/>
                <w:color w:val="auto"/>
                <w:sz w:val="24"/>
                <w:szCs w:val="24"/>
              </w:rPr>
              <w:t>其他要求</w:t>
            </w:r>
          </w:p>
        </w:tc>
        <w:tc>
          <w:tcPr>
            <w:tcW w:w="6855"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jc w:val="both"/>
              <w:rPr>
                <w:rFonts w:ascii="宋体" w:hAnsi="宋体" w:eastAsia="宋体" w:cs="宋体"/>
                <w:color w:val="auto"/>
                <w:sz w:val="24"/>
                <w:szCs w:val="24"/>
              </w:rPr>
            </w:pPr>
            <w:r>
              <w:rPr>
                <w:rFonts w:hint="eastAsia" w:ascii="宋体" w:hAnsi="宋体" w:eastAsia="宋体" w:cs="宋体"/>
                <w:color w:val="auto"/>
                <w:sz w:val="24"/>
                <w:szCs w:val="24"/>
              </w:rPr>
              <w:t>详见招标文件</w:t>
            </w:r>
          </w:p>
        </w:tc>
      </w:tr>
      <w:tr>
        <w:tblPrEx>
          <w:tblLayout w:type="fixed"/>
          <w:tblCellMar>
            <w:top w:w="0" w:type="dxa"/>
            <w:left w:w="108" w:type="dxa"/>
            <w:bottom w:w="0" w:type="dxa"/>
            <w:right w:w="108" w:type="dxa"/>
          </w:tblCellMar>
        </w:tblPrEx>
        <w:trPr>
          <w:trHeight w:val="620" w:hRule="atLeast"/>
          <w:jc w:val="center"/>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color w:val="auto"/>
                <w:sz w:val="24"/>
                <w:szCs w:val="24"/>
              </w:rPr>
            </w:pPr>
            <w:r>
              <w:rPr>
                <w:rFonts w:hint="eastAsia" w:ascii="宋体" w:hAnsi="宋体" w:eastAsia="宋体" w:cs="宋体"/>
                <w:color w:val="auto"/>
                <w:sz w:val="24"/>
                <w:szCs w:val="24"/>
              </w:rPr>
              <w:t>3.3.1</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color w:val="auto"/>
                <w:sz w:val="24"/>
                <w:szCs w:val="24"/>
              </w:rPr>
            </w:pPr>
            <w:r>
              <w:rPr>
                <w:rFonts w:hint="eastAsia" w:ascii="宋体" w:hAnsi="宋体" w:eastAsia="宋体" w:cs="宋体"/>
                <w:color w:val="auto"/>
                <w:sz w:val="24"/>
                <w:szCs w:val="24"/>
              </w:rPr>
              <w:t>投标有效期</w:t>
            </w:r>
          </w:p>
        </w:tc>
        <w:tc>
          <w:tcPr>
            <w:tcW w:w="685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80" w:firstLineChars="200"/>
              <w:jc w:val="both"/>
              <w:rPr>
                <w:rFonts w:ascii="宋体" w:hAnsi="宋体" w:eastAsia="宋体" w:cs="宋体"/>
                <w:color w:val="auto"/>
                <w:sz w:val="24"/>
                <w:szCs w:val="24"/>
              </w:rPr>
            </w:pPr>
            <w:r>
              <w:rPr>
                <w:rFonts w:hint="eastAsia" w:ascii="宋体" w:hAnsi="宋体"/>
                <w:sz w:val="24"/>
              </w:rPr>
              <w:t>60日历天（从投标截止之日算起）</w:t>
            </w:r>
          </w:p>
        </w:tc>
      </w:tr>
      <w:tr>
        <w:tblPrEx>
          <w:tblLayout w:type="fixed"/>
          <w:tblCellMar>
            <w:top w:w="0" w:type="dxa"/>
            <w:left w:w="108" w:type="dxa"/>
            <w:bottom w:w="0" w:type="dxa"/>
            <w:right w:w="108" w:type="dxa"/>
          </w:tblCellMar>
        </w:tblPrEx>
        <w:trPr>
          <w:trHeight w:val="668" w:hRule="atLeast"/>
          <w:jc w:val="center"/>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color w:val="auto"/>
                <w:sz w:val="24"/>
                <w:szCs w:val="24"/>
              </w:rPr>
            </w:pPr>
            <w:r>
              <w:rPr>
                <w:rFonts w:hint="eastAsia" w:ascii="宋体" w:hAnsi="宋体"/>
                <w:sz w:val="24"/>
              </w:rPr>
              <w:t>3.4.1</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C00000"/>
                <w:sz w:val="24"/>
                <w:szCs w:val="24"/>
              </w:rPr>
            </w:pPr>
            <w:r>
              <w:rPr>
                <w:rFonts w:hint="eastAsia" w:ascii="宋体" w:hAnsi="宋体"/>
                <w:sz w:val="24"/>
              </w:rPr>
              <w:t>投标保证金须知</w:t>
            </w:r>
          </w:p>
        </w:tc>
        <w:tc>
          <w:tcPr>
            <w:tcW w:w="6855" w:type="dxa"/>
            <w:tcBorders>
              <w:top w:val="single" w:color="auto" w:sz="4" w:space="0"/>
              <w:left w:val="single" w:color="auto" w:sz="4" w:space="0"/>
              <w:bottom w:val="single" w:color="auto" w:sz="4" w:space="0"/>
              <w:right w:val="single" w:color="auto" w:sz="4" w:space="0"/>
            </w:tcBorders>
            <w:vAlign w:val="top"/>
          </w:tcPr>
          <w:p>
            <w:pPr>
              <w:autoSpaceDE w:val="0"/>
              <w:autoSpaceDN w:val="0"/>
              <w:spacing w:line="360" w:lineRule="auto"/>
              <w:rPr>
                <w:rFonts w:hAnsi="宋体" w:cs="仿宋_GB2312"/>
                <w:sz w:val="24"/>
                <w:szCs w:val="22"/>
              </w:rPr>
            </w:pPr>
            <w:r>
              <w:rPr>
                <w:rFonts w:hAnsi="宋体" w:cs="仿宋_GB2312"/>
                <w:sz w:val="24"/>
                <w:szCs w:val="22"/>
              </w:rPr>
              <w:t>1</w:t>
            </w:r>
            <w:r>
              <w:rPr>
                <w:rFonts w:hint="eastAsia" w:hAnsi="宋体" w:cs="仿宋_GB2312"/>
                <w:sz w:val="24"/>
                <w:szCs w:val="22"/>
              </w:rPr>
              <w:t>、自文件发布之日起，投标人需进行基本户备案（建设工程项目），已备案的基本户开户银行、账户发生变化的，须在投标保证金缴纳前办理变更手续。</w:t>
            </w:r>
          </w:p>
          <w:p>
            <w:pPr>
              <w:autoSpaceDE w:val="0"/>
              <w:autoSpaceDN w:val="0"/>
              <w:spacing w:line="360" w:lineRule="auto"/>
              <w:rPr>
                <w:rFonts w:hAnsi="宋体" w:cs="仿宋_GB2312"/>
                <w:sz w:val="24"/>
                <w:szCs w:val="22"/>
              </w:rPr>
            </w:pPr>
            <w:r>
              <w:rPr>
                <w:rFonts w:hAnsi="宋体" w:cs="仿宋_GB2312"/>
                <w:sz w:val="24"/>
                <w:szCs w:val="22"/>
              </w:rPr>
              <w:t>2</w:t>
            </w:r>
            <w:r>
              <w:rPr>
                <w:rFonts w:hint="eastAsia" w:hAnsi="宋体" w:cs="仿宋_GB2312"/>
                <w:sz w:val="24"/>
                <w:szCs w:val="22"/>
              </w:rPr>
              <w:t>、基本户备案流程：</w:t>
            </w:r>
          </w:p>
          <w:p>
            <w:pPr>
              <w:autoSpaceDE w:val="0"/>
              <w:autoSpaceDN w:val="0"/>
              <w:spacing w:line="360" w:lineRule="auto"/>
              <w:rPr>
                <w:rFonts w:hint="eastAsia" w:hAnsi="宋体" w:eastAsia="宋体" w:cs="仿宋_GB2312"/>
                <w:sz w:val="24"/>
                <w:szCs w:val="22"/>
                <w:lang w:val="en-US" w:eastAsia="zh-CN"/>
              </w:rPr>
            </w:pPr>
            <w:r>
              <w:rPr>
                <w:rFonts w:hint="eastAsia" w:hAnsi="宋体" w:cs="仿宋_GB2312"/>
                <w:sz w:val="24"/>
                <w:szCs w:val="22"/>
              </w:rPr>
              <w:t>工程建设项目的投标人登录注册网址：</w:t>
            </w:r>
            <w:r>
              <w:rPr>
                <w:rFonts w:hAnsi="宋体" w:cs="仿宋_GB2312"/>
                <w:sz w:val="24"/>
                <w:szCs w:val="22"/>
              </w:rPr>
              <w:t>http://221.14.6.70:8088/ggzy/</w:t>
            </w:r>
            <w:r>
              <w:rPr>
                <w:rFonts w:hint="eastAsia" w:hAnsi="宋体" w:cs="仿宋_GB2312"/>
                <w:sz w:val="24"/>
                <w:szCs w:val="22"/>
              </w:rPr>
              <w:t>，进行系统用户注册，在注册流程中“银行账户”环节，增加“账户类别</w:t>
            </w:r>
            <w:r>
              <w:rPr>
                <w:rFonts w:hAnsi="宋体" w:cs="仿宋_GB2312"/>
                <w:sz w:val="24"/>
                <w:szCs w:val="22"/>
              </w:rPr>
              <w:t>-</w:t>
            </w:r>
            <w:r>
              <w:rPr>
                <w:rFonts w:hint="eastAsia" w:hAnsi="宋体" w:cs="仿宋_GB2312"/>
                <w:sz w:val="24"/>
                <w:szCs w:val="22"/>
              </w:rPr>
              <w:t>基本账户”，填写投标人基本账户信息，扫描上传基本户开户许可证（两者信息必须相符），保存备案信息，提交并绑定</w:t>
            </w:r>
            <w:r>
              <w:rPr>
                <w:rFonts w:hAnsi="宋体" w:cs="仿宋_GB2312"/>
                <w:sz w:val="24"/>
                <w:szCs w:val="22"/>
              </w:rPr>
              <w:t>CA</w:t>
            </w:r>
            <w:r>
              <w:rPr>
                <w:rFonts w:hint="eastAsia" w:hAnsi="宋体" w:cs="仿宋_GB2312"/>
                <w:sz w:val="24"/>
                <w:szCs w:val="22"/>
              </w:rPr>
              <w:t>后可缴纳、绑定投标保证金。</w:t>
            </w:r>
            <w:r>
              <w:rPr>
                <w:rFonts w:hint="eastAsia" w:hAnsi="宋体" w:cs="仿宋_GB2312"/>
                <w:sz w:val="24"/>
                <w:szCs w:val="22"/>
                <w:lang w:val="en-US" w:eastAsia="zh-CN"/>
              </w:rPr>
              <w:t>0</w:t>
            </w:r>
          </w:p>
          <w:p>
            <w:pPr>
              <w:autoSpaceDE w:val="0"/>
              <w:autoSpaceDN w:val="0"/>
              <w:spacing w:line="360" w:lineRule="auto"/>
              <w:rPr>
                <w:rFonts w:hAnsi="宋体" w:cs="仿宋_GB2312"/>
                <w:sz w:val="24"/>
                <w:szCs w:val="22"/>
              </w:rPr>
            </w:pPr>
            <w:r>
              <w:rPr>
                <w:rFonts w:hAnsi="宋体" w:cs="仿宋_GB2312"/>
                <w:sz w:val="24"/>
                <w:szCs w:val="22"/>
              </w:rPr>
              <w:t>3</w:t>
            </w:r>
            <w:r>
              <w:rPr>
                <w:rFonts w:hint="eastAsia" w:hAnsi="宋体" w:cs="仿宋_GB2312"/>
                <w:sz w:val="24"/>
                <w:szCs w:val="22"/>
              </w:rPr>
              <w:t>、特殊情况处理：</w:t>
            </w:r>
          </w:p>
          <w:p>
            <w:pPr>
              <w:autoSpaceDE w:val="0"/>
              <w:autoSpaceDN w:val="0"/>
              <w:spacing w:line="360" w:lineRule="auto"/>
              <w:rPr>
                <w:rFonts w:hAnsi="宋体" w:cs="仿宋_GB2312"/>
                <w:sz w:val="24"/>
                <w:szCs w:val="22"/>
              </w:rPr>
            </w:pPr>
            <w:r>
              <w:rPr>
                <w:rFonts w:hint="eastAsia" w:hAnsi="宋体" w:cs="仿宋_GB2312"/>
                <w:sz w:val="24"/>
                <w:szCs w:val="22"/>
              </w:rPr>
              <w:t>投标人投标过程中因账户开户银行、银行账号发生变化，不能按照来款途径原路返还投标保证金的，投标人须提供原账户开户银行相关证明及新开账户开户许可证，到中心一楼交易见证部办理退款手续（</w:t>
            </w:r>
            <w:r>
              <w:rPr>
                <w:rFonts w:hAnsi="宋体" w:cs="仿宋_GB2312"/>
                <w:sz w:val="24"/>
                <w:szCs w:val="22"/>
              </w:rPr>
              <w:t>0374-2968027</w:t>
            </w:r>
            <w:r>
              <w:rPr>
                <w:rFonts w:hint="eastAsia" w:hAnsi="宋体" w:cs="仿宋_GB2312"/>
                <w:sz w:val="24"/>
                <w:szCs w:val="22"/>
              </w:rPr>
              <w:t>）。</w:t>
            </w:r>
          </w:p>
          <w:p>
            <w:pPr>
              <w:pStyle w:val="2"/>
              <w:ind w:firstLine="0" w:firstLineChars="0"/>
              <w:rPr>
                <w:rFonts w:ascii="宋体" w:hAnsi="宋体" w:eastAsia="宋体" w:cs="宋体"/>
                <w:color w:val="C00000"/>
                <w:sz w:val="24"/>
                <w:szCs w:val="24"/>
              </w:rPr>
            </w:pPr>
            <w:r>
              <w:rPr>
                <w:rFonts w:hAnsi="宋体" w:cs="仿宋_GB2312"/>
                <w:sz w:val="24"/>
                <w:szCs w:val="22"/>
                <w:lang w:val="en-US" w:eastAsia="zh-CN"/>
              </w:rPr>
              <w:t>4</w:t>
            </w:r>
            <w:r>
              <w:rPr>
                <w:rFonts w:hint="eastAsia" w:hAnsi="宋体" w:cs="仿宋_GB2312"/>
                <w:sz w:val="24"/>
                <w:szCs w:val="22"/>
                <w:lang w:val="en-US" w:eastAsia="zh-CN"/>
              </w:rPr>
              <w:t>、因投标人的原因无法及时</w:t>
            </w:r>
            <w:r>
              <w:rPr>
                <w:rFonts w:hint="eastAsia" w:hAnsi="宋体" w:cs="仿宋_GB2312"/>
                <w:color w:val="000000"/>
                <w:sz w:val="24"/>
                <w:szCs w:val="22"/>
                <w:lang w:val="en-US" w:eastAsia="zh-CN"/>
              </w:rPr>
              <w:t>退还投标（竞买）保证金、滞留三年以上的，投标（竞买）保证金上缴同级国库</w:t>
            </w:r>
            <w:r>
              <w:rPr>
                <w:rFonts w:hint="eastAsia" w:hAnsi="宋体" w:cs="仿宋_GB2312"/>
                <w:sz w:val="24"/>
                <w:szCs w:val="22"/>
                <w:lang w:val="en-US" w:eastAsia="zh-CN"/>
              </w:rPr>
              <w:t>。</w:t>
            </w:r>
          </w:p>
        </w:tc>
      </w:tr>
      <w:tr>
        <w:tblPrEx>
          <w:tblLayout w:type="fixed"/>
          <w:tblCellMar>
            <w:top w:w="0" w:type="dxa"/>
            <w:left w:w="108" w:type="dxa"/>
            <w:bottom w:w="0" w:type="dxa"/>
            <w:right w:w="108" w:type="dxa"/>
          </w:tblCellMar>
        </w:tblPrEx>
        <w:trPr>
          <w:trHeight w:val="668" w:hRule="atLeast"/>
          <w:jc w:val="center"/>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hint="default" w:ascii="宋体" w:hAnsi="宋体" w:eastAsia="宋体" w:cs="宋体"/>
                <w:color w:val="auto"/>
                <w:sz w:val="24"/>
                <w:szCs w:val="24"/>
                <w:lang w:val="en-US" w:eastAsia="zh-CN"/>
              </w:rPr>
            </w:pPr>
            <w:r>
              <w:rPr>
                <w:rFonts w:hint="eastAsia" w:ascii="宋体" w:hAnsi="宋体"/>
                <w:sz w:val="24"/>
              </w:rPr>
              <w:t>3.4.2</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szCs w:val="24"/>
              </w:rPr>
            </w:pPr>
            <w:r>
              <w:rPr>
                <w:rFonts w:hint="eastAsia" w:ascii="宋体" w:hAnsi="宋体"/>
                <w:sz w:val="24"/>
              </w:rPr>
              <w:t>投标保证金</w:t>
            </w:r>
          </w:p>
        </w:tc>
        <w:tc>
          <w:tcPr>
            <w:tcW w:w="6855" w:type="dxa"/>
            <w:tcBorders>
              <w:top w:val="single" w:color="auto" w:sz="4" w:space="0"/>
              <w:left w:val="single" w:color="auto" w:sz="4" w:space="0"/>
              <w:bottom w:val="single" w:color="auto" w:sz="4" w:space="0"/>
              <w:right w:val="single" w:color="auto" w:sz="4" w:space="0"/>
            </w:tcBorders>
            <w:vAlign w:val="top"/>
          </w:tcPr>
          <w:p>
            <w:pPr>
              <w:spacing w:line="360" w:lineRule="auto"/>
              <w:rPr>
                <w:rFonts w:hint="eastAsia" w:ascii="宋体" w:hAnsi="宋体"/>
                <w:sz w:val="24"/>
              </w:rPr>
            </w:pPr>
            <w:r>
              <w:rPr>
                <w:rFonts w:hint="eastAsia" w:ascii="宋体" w:hAnsi="宋体"/>
                <w:sz w:val="24"/>
              </w:rPr>
              <w:t>投标保证金递交截止时间：</w:t>
            </w:r>
            <w:r>
              <w:rPr>
                <w:rFonts w:hint="eastAsia" w:hAnsi="宋体" w:cs="宋体"/>
                <w:b/>
                <w:sz w:val="24"/>
                <w:szCs w:val="22"/>
              </w:rPr>
              <w:t>同投标截止时间</w:t>
            </w:r>
            <w:r>
              <w:rPr>
                <w:rFonts w:hint="eastAsia" w:ascii="宋体" w:hAnsi="宋体"/>
                <w:sz w:val="24"/>
              </w:rPr>
              <w:t>。</w:t>
            </w:r>
          </w:p>
          <w:p>
            <w:pPr>
              <w:spacing w:line="360" w:lineRule="auto"/>
              <w:ind w:firstLine="482" w:firstLineChars="200"/>
              <w:rPr>
                <w:rFonts w:hint="eastAsia"/>
                <w:color w:val="FF0000"/>
              </w:rPr>
            </w:pPr>
            <w:r>
              <w:rPr>
                <w:rFonts w:hint="eastAsia" w:ascii="宋体" w:hAnsi="宋体"/>
                <w:b/>
                <w:sz w:val="24"/>
              </w:rPr>
              <w:t>金额</w:t>
            </w:r>
            <w:r>
              <w:rPr>
                <w:rFonts w:hint="eastAsia" w:ascii="宋体" w:hAnsi="宋体"/>
                <w:b/>
                <w:color w:val="auto"/>
                <w:sz w:val="24"/>
              </w:rPr>
              <w:t>：</w:t>
            </w:r>
            <w:r>
              <w:rPr>
                <w:rFonts w:hint="eastAsia" w:ascii="宋体" w:hAnsi="宋体"/>
                <w:b/>
                <w:color w:val="auto"/>
                <w:sz w:val="24"/>
                <w:lang w:eastAsia="zh-CN"/>
              </w:rPr>
              <w:t>柒仟元整</w:t>
            </w:r>
            <w:r>
              <w:rPr>
                <w:rFonts w:hint="eastAsia" w:ascii="宋体" w:hAnsi="宋体"/>
                <w:b/>
                <w:color w:val="auto"/>
                <w:sz w:val="24"/>
              </w:rPr>
              <w:t>（￥</w:t>
            </w:r>
            <w:r>
              <w:rPr>
                <w:rFonts w:hint="eastAsia" w:ascii="宋体" w:hAnsi="宋体"/>
                <w:b/>
                <w:color w:val="auto"/>
                <w:sz w:val="24"/>
                <w:lang w:val="en-US" w:eastAsia="zh-CN"/>
              </w:rPr>
              <w:t>7</w:t>
            </w:r>
            <w:r>
              <w:rPr>
                <w:rFonts w:hint="eastAsia" w:ascii="宋体" w:hAnsi="宋体"/>
                <w:b/>
                <w:color w:val="auto"/>
                <w:sz w:val="24"/>
              </w:rPr>
              <w:t>000.00元）</w:t>
            </w:r>
          </w:p>
          <w:p>
            <w:pPr>
              <w:autoSpaceDE w:val="0"/>
              <w:autoSpaceDN w:val="0"/>
              <w:spacing w:line="360" w:lineRule="auto"/>
              <w:rPr>
                <w:rFonts w:hAnsi="宋体" w:cs="宋体"/>
                <w:sz w:val="24"/>
                <w:szCs w:val="22"/>
                <w:lang w:val="zh-CN"/>
              </w:rPr>
            </w:pPr>
            <w:r>
              <w:rPr>
                <w:rFonts w:hAnsi="宋体" w:cs="宋体"/>
                <w:sz w:val="24"/>
                <w:szCs w:val="22"/>
                <w:lang w:val="zh-CN"/>
              </w:rPr>
              <w:t>1</w:t>
            </w:r>
            <w:r>
              <w:rPr>
                <w:rFonts w:hint="eastAsia" w:hAnsi="宋体" w:cs="宋体"/>
                <w:sz w:val="24"/>
                <w:szCs w:val="22"/>
                <w:lang w:val="zh-CN"/>
              </w:rPr>
              <w:t>、投标保证金的递交方式：银行转帐、银行电汇（均需从投标人的基本账户汇出），不接受以现金方式缴纳的投标保证金。凡以现金方式缴纳投标保证金而影响其投标结果的，由投标人自行负责。</w:t>
            </w:r>
          </w:p>
          <w:p>
            <w:pPr>
              <w:autoSpaceDE w:val="0"/>
              <w:autoSpaceDN w:val="0"/>
              <w:spacing w:line="360" w:lineRule="auto"/>
              <w:rPr>
                <w:rFonts w:hAnsi="宋体" w:cs="宋体"/>
                <w:sz w:val="24"/>
                <w:szCs w:val="22"/>
                <w:lang w:val="zh-CN"/>
              </w:rPr>
            </w:pPr>
            <w:r>
              <w:rPr>
                <w:rFonts w:hint="eastAsia" w:hAnsi="宋体" w:cs="宋体"/>
                <w:sz w:val="24"/>
                <w:szCs w:val="22"/>
                <w:lang w:val="zh-CN"/>
              </w:rPr>
              <w:t>使用银行转帐</w:t>
            </w:r>
            <w:r>
              <w:rPr>
                <w:rFonts w:hint="eastAsia" w:ascii="宋体" w:hAnsi="宋体" w:cs="宋体"/>
                <w:sz w:val="24"/>
                <w:szCs w:val="22"/>
                <w:lang w:val="zh-CN"/>
              </w:rPr>
              <w:t>方式</w:t>
            </w:r>
            <w:r>
              <w:rPr>
                <w:rFonts w:hint="eastAsia" w:hAnsi="宋体" w:cs="宋体"/>
                <w:sz w:val="24"/>
                <w:szCs w:val="22"/>
                <w:lang w:val="zh-CN"/>
              </w:rPr>
              <w:t>的，于截止时间前通过投标人基本账户将款项一次足额递交、成功绑定，以收款人到账时间为准，在途资金无效，视为未按时交纳。同时投标人应承担节假日银行系统不能支付的风险。</w:t>
            </w:r>
          </w:p>
          <w:p>
            <w:pPr>
              <w:autoSpaceDE w:val="0"/>
              <w:autoSpaceDN w:val="0"/>
              <w:spacing w:line="360" w:lineRule="auto"/>
              <w:rPr>
                <w:rFonts w:hAnsi="宋体" w:cs="宋体"/>
                <w:sz w:val="24"/>
                <w:szCs w:val="22"/>
                <w:lang w:val="zh-CN"/>
              </w:rPr>
            </w:pPr>
            <w:r>
              <w:rPr>
                <w:rFonts w:hAnsi="宋体" w:cs="宋体"/>
                <w:sz w:val="24"/>
                <w:szCs w:val="22"/>
                <w:lang w:val="zh-CN"/>
              </w:rPr>
              <w:t>2</w:t>
            </w:r>
            <w:r>
              <w:rPr>
                <w:rFonts w:hint="eastAsia" w:hAnsi="宋体" w:cs="宋体"/>
                <w:sz w:val="24"/>
                <w:szCs w:val="22"/>
                <w:lang w:val="zh-CN"/>
              </w:rPr>
              <w:t>、投标保证金缴纳方式：</w:t>
            </w:r>
          </w:p>
          <w:p>
            <w:pPr>
              <w:autoSpaceDE w:val="0"/>
              <w:autoSpaceDN w:val="0"/>
              <w:spacing w:line="360" w:lineRule="auto"/>
              <w:rPr>
                <w:rFonts w:hAnsi="宋体" w:cs="宋体"/>
                <w:sz w:val="24"/>
                <w:szCs w:val="22"/>
              </w:rPr>
            </w:pPr>
            <w:r>
              <w:rPr>
                <w:rFonts w:hAnsi="宋体" w:cs="宋体"/>
                <w:sz w:val="24"/>
                <w:szCs w:val="22"/>
                <w:lang w:val="zh-CN"/>
              </w:rPr>
              <w:t>2.</w:t>
            </w:r>
            <w:r>
              <w:rPr>
                <w:rFonts w:hAnsi="宋体" w:cs="宋体"/>
                <w:sz w:val="24"/>
                <w:szCs w:val="22"/>
              </w:rPr>
              <w:t>1</w:t>
            </w:r>
            <w:r>
              <w:rPr>
                <w:rFonts w:hint="eastAsia" w:hAnsi="宋体" w:cs="宋体"/>
                <w:sz w:val="24"/>
                <w:szCs w:val="22"/>
                <w:lang w:val="zh-CN"/>
              </w:rPr>
              <w:t>投标人网上报名后</w:t>
            </w:r>
            <w:r>
              <w:rPr>
                <w:rFonts w:hint="eastAsia" w:hAnsi="宋体" w:cs="宋体"/>
                <w:sz w:val="24"/>
                <w:szCs w:val="22"/>
              </w:rPr>
              <w:t>，</w:t>
            </w:r>
            <w:r>
              <w:rPr>
                <w:rFonts w:hint="eastAsia" w:hAnsi="宋体" w:cs="宋体"/>
                <w:sz w:val="24"/>
                <w:szCs w:val="22"/>
                <w:lang w:val="zh-CN"/>
              </w:rPr>
              <w:t>登录</w:t>
            </w:r>
            <w:r>
              <w:fldChar w:fldCharType="begin"/>
            </w:r>
            <w:r>
              <w:instrText xml:space="preserve"> HYPERLINK "http://221.14.6.70:8088/ggzy" </w:instrText>
            </w:r>
            <w:r>
              <w:fldChar w:fldCharType="separate"/>
            </w:r>
            <w:r>
              <w:rPr>
                <w:rFonts w:hAnsi="宋体" w:cs="宋体"/>
                <w:sz w:val="24"/>
                <w:szCs w:val="22"/>
              </w:rPr>
              <w:t>http://221.14.6.70:8088/ggzy</w:t>
            </w:r>
            <w:r>
              <w:rPr>
                <w:rFonts w:hAnsi="宋体" w:cs="宋体"/>
                <w:sz w:val="24"/>
                <w:szCs w:val="22"/>
              </w:rPr>
              <w:fldChar w:fldCharType="end"/>
            </w:r>
            <w:r>
              <w:rPr>
                <w:rFonts w:hint="eastAsia" w:hAnsi="宋体" w:cs="宋体"/>
                <w:sz w:val="24"/>
                <w:szCs w:val="22"/>
                <w:lang w:val="zh-CN"/>
              </w:rPr>
              <w:t>系统</w:t>
            </w:r>
            <w:r>
              <w:rPr>
                <w:rFonts w:hint="eastAsia" w:hAnsi="宋体" w:cs="宋体"/>
                <w:sz w:val="24"/>
                <w:szCs w:val="22"/>
              </w:rPr>
              <w:t>，</w:t>
            </w:r>
            <w:r>
              <w:rPr>
                <w:rFonts w:hint="eastAsia" w:hAnsi="宋体" w:cs="宋体"/>
                <w:sz w:val="24"/>
                <w:szCs w:val="22"/>
                <w:lang w:val="zh-CN"/>
              </w:rPr>
              <w:t>依次点击</w:t>
            </w:r>
            <w:r>
              <w:rPr>
                <w:rFonts w:hint="eastAsia" w:hAnsi="宋体" w:cs="宋体"/>
                <w:sz w:val="24"/>
                <w:szCs w:val="22"/>
              </w:rPr>
              <w:t>“</w:t>
            </w:r>
            <w:r>
              <w:rPr>
                <w:rFonts w:hint="eastAsia" w:hAnsi="宋体" w:cs="宋体"/>
                <w:sz w:val="24"/>
                <w:szCs w:val="22"/>
                <w:lang w:val="zh-CN"/>
              </w:rPr>
              <w:t>会员向导</w:t>
            </w:r>
            <w:r>
              <w:rPr>
                <w:rFonts w:hint="eastAsia" w:hAnsi="宋体" w:cs="宋体"/>
                <w:sz w:val="24"/>
                <w:szCs w:val="22"/>
              </w:rPr>
              <w:t>”→“</w:t>
            </w:r>
            <w:r>
              <w:rPr>
                <w:rFonts w:hint="eastAsia" w:hAnsi="宋体" w:cs="宋体"/>
                <w:sz w:val="24"/>
                <w:szCs w:val="22"/>
                <w:lang w:val="zh-CN"/>
              </w:rPr>
              <w:t>参与投标</w:t>
            </w:r>
            <w:r>
              <w:rPr>
                <w:rFonts w:hint="eastAsia" w:hAnsi="宋体" w:cs="宋体"/>
                <w:sz w:val="24"/>
                <w:szCs w:val="22"/>
              </w:rPr>
              <w:t>”→“</w:t>
            </w:r>
            <w:r>
              <w:rPr>
                <w:rFonts w:hint="eastAsia" w:hAnsi="宋体" w:cs="宋体"/>
                <w:sz w:val="24"/>
                <w:szCs w:val="22"/>
                <w:lang w:val="zh-CN"/>
              </w:rPr>
              <w:t>费用缴纳说明</w:t>
            </w:r>
            <w:r>
              <w:rPr>
                <w:rFonts w:hint="eastAsia" w:hAnsi="宋体" w:cs="宋体"/>
                <w:sz w:val="24"/>
                <w:szCs w:val="22"/>
              </w:rPr>
              <w:t>”→“</w:t>
            </w:r>
            <w:r>
              <w:rPr>
                <w:rFonts w:hint="eastAsia" w:hAnsi="宋体" w:cs="宋体"/>
                <w:sz w:val="24"/>
                <w:szCs w:val="22"/>
                <w:lang w:val="zh-CN"/>
              </w:rPr>
              <w:t>保证金缴纳说明单</w:t>
            </w:r>
            <w:r>
              <w:rPr>
                <w:rFonts w:hint="eastAsia" w:hAnsi="宋体" w:cs="宋体"/>
                <w:sz w:val="24"/>
                <w:szCs w:val="22"/>
              </w:rPr>
              <w:t>”，</w:t>
            </w:r>
            <w:r>
              <w:rPr>
                <w:rFonts w:hint="eastAsia" w:hAnsi="宋体" w:cs="宋体"/>
                <w:sz w:val="24"/>
                <w:szCs w:val="22"/>
                <w:lang w:val="zh-CN"/>
              </w:rPr>
              <w:t>获取缴费说明单</w:t>
            </w:r>
            <w:r>
              <w:rPr>
                <w:rFonts w:hint="eastAsia" w:hAnsi="宋体" w:cs="宋体"/>
                <w:sz w:val="24"/>
                <w:szCs w:val="22"/>
              </w:rPr>
              <w:t>，</w:t>
            </w:r>
            <w:r>
              <w:rPr>
                <w:rFonts w:hint="eastAsia" w:hAnsi="宋体" w:cs="宋体"/>
                <w:sz w:val="24"/>
                <w:szCs w:val="22"/>
                <w:lang w:val="zh-CN"/>
              </w:rPr>
              <w:t>根据每个标段的缴纳说明单在缴纳截止时间前缴纳</w:t>
            </w:r>
            <w:r>
              <w:rPr>
                <w:rFonts w:hint="eastAsia" w:hAnsi="宋体" w:cs="宋体"/>
                <w:sz w:val="24"/>
                <w:szCs w:val="22"/>
              </w:rPr>
              <w:t>；</w:t>
            </w:r>
          </w:p>
          <w:p>
            <w:pPr>
              <w:autoSpaceDE w:val="0"/>
              <w:autoSpaceDN w:val="0"/>
              <w:spacing w:line="360" w:lineRule="auto"/>
              <w:rPr>
                <w:rFonts w:hAnsi="宋体" w:cs="宋体"/>
                <w:sz w:val="24"/>
                <w:szCs w:val="22"/>
                <w:lang w:val="zh-CN"/>
              </w:rPr>
            </w:pPr>
            <w:r>
              <w:rPr>
                <w:rFonts w:hAnsi="宋体" w:cs="宋体"/>
                <w:sz w:val="24"/>
                <w:szCs w:val="22"/>
              </w:rPr>
              <w:t>2.2</w:t>
            </w:r>
            <w:r>
              <w:rPr>
                <w:rFonts w:hint="eastAsia" w:hAnsi="宋体" w:cs="宋体"/>
                <w:sz w:val="24"/>
                <w:szCs w:val="22"/>
                <w:lang w:val="zh-CN"/>
              </w:rPr>
              <w:t>成功缴纳后重新登录前述系统</w:t>
            </w:r>
            <w:r>
              <w:rPr>
                <w:rFonts w:hint="eastAsia" w:hAnsi="宋体" w:cs="宋体"/>
                <w:sz w:val="24"/>
                <w:szCs w:val="22"/>
              </w:rPr>
              <w:t>，</w:t>
            </w:r>
            <w:r>
              <w:rPr>
                <w:rFonts w:hint="eastAsia" w:hAnsi="宋体" w:cs="宋体"/>
                <w:sz w:val="24"/>
                <w:szCs w:val="22"/>
                <w:lang w:val="zh-CN"/>
              </w:rPr>
              <w:t>依次点击</w:t>
            </w:r>
            <w:r>
              <w:rPr>
                <w:rFonts w:hint="eastAsia" w:hAnsi="宋体" w:cs="宋体"/>
                <w:sz w:val="24"/>
                <w:szCs w:val="22"/>
              </w:rPr>
              <w:t>“</w:t>
            </w:r>
            <w:r>
              <w:rPr>
                <w:rFonts w:hint="eastAsia" w:hAnsi="宋体" w:cs="宋体"/>
                <w:sz w:val="24"/>
                <w:szCs w:val="22"/>
                <w:lang w:val="zh-CN"/>
              </w:rPr>
              <w:t>会员向导</w:t>
            </w:r>
            <w:r>
              <w:rPr>
                <w:rFonts w:hint="eastAsia" w:hAnsi="宋体" w:cs="宋体"/>
                <w:sz w:val="24"/>
                <w:szCs w:val="22"/>
              </w:rPr>
              <w:t>”→“</w:t>
            </w:r>
            <w:r>
              <w:rPr>
                <w:rFonts w:hint="eastAsia" w:hAnsi="宋体" w:cs="宋体"/>
                <w:sz w:val="24"/>
                <w:szCs w:val="22"/>
                <w:lang w:val="zh-CN"/>
              </w:rPr>
              <w:t>参与投标</w:t>
            </w:r>
            <w:r>
              <w:rPr>
                <w:rFonts w:hint="eastAsia" w:hAnsi="宋体" w:cs="宋体"/>
                <w:sz w:val="24"/>
                <w:szCs w:val="22"/>
              </w:rPr>
              <w:t>”→“</w:t>
            </w:r>
            <w:r>
              <w:rPr>
                <w:rFonts w:hint="eastAsia" w:hAnsi="宋体" w:cs="宋体"/>
                <w:sz w:val="24"/>
                <w:szCs w:val="22"/>
                <w:lang w:val="zh-CN"/>
              </w:rPr>
              <w:t>保证金绑定</w:t>
            </w:r>
            <w:r>
              <w:rPr>
                <w:rFonts w:hint="eastAsia" w:hAnsi="宋体" w:cs="宋体"/>
                <w:sz w:val="24"/>
                <w:szCs w:val="22"/>
              </w:rPr>
              <w:t>”→“</w:t>
            </w:r>
            <w:r>
              <w:rPr>
                <w:rFonts w:hint="eastAsia" w:hAnsi="宋体" w:cs="宋体"/>
                <w:sz w:val="24"/>
                <w:szCs w:val="22"/>
                <w:lang w:val="zh-CN"/>
              </w:rPr>
              <w:t>绑定</w:t>
            </w:r>
            <w:r>
              <w:rPr>
                <w:rFonts w:hint="eastAsia" w:hAnsi="宋体" w:cs="宋体"/>
                <w:sz w:val="24"/>
                <w:szCs w:val="22"/>
              </w:rPr>
              <w:t>”</w:t>
            </w:r>
            <w:r>
              <w:rPr>
                <w:rFonts w:hint="eastAsia" w:hAnsi="宋体" w:cs="宋体"/>
                <w:sz w:val="24"/>
                <w:szCs w:val="22"/>
                <w:lang w:val="zh-CN"/>
              </w:rPr>
              <w:t>进行投标保证金绑定。</w:t>
            </w:r>
          </w:p>
          <w:p>
            <w:pPr>
              <w:autoSpaceDE w:val="0"/>
              <w:autoSpaceDN w:val="0"/>
              <w:spacing w:line="360" w:lineRule="auto"/>
              <w:rPr>
                <w:rFonts w:hAnsi="宋体" w:cs="宋体"/>
                <w:sz w:val="24"/>
                <w:szCs w:val="22"/>
                <w:lang w:val="zh-CN"/>
              </w:rPr>
            </w:pPr>
            <w:r>
              <w:rPr>
                <w:rFonts w:hAnsi="宋体" w:cs="宋体"/>
                <w:sz w:val="24"/>
                <w:szCs w:val="22"/>
                <w:lang w:val="zh-CN"/>
              </w:rPr>
              <w:t>2.3</w:t>
            </w:r>
            <w:r>
              <w:rPr>
                <w:rFonts w:hint="eastAsia" w:hAnsi="宋体" w:cs="宋体"/>
                <w:sz w:val="24"/>
                <w:szCs w:val="22"/>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pPr>
              <w:autoSpaceDE w:val="0"/>
              <w:autoSpaceDN w:val="0"/>
              <w:spacing w:line="360" w:lineRule="auto"/>
              <w:rPr>
                <w:rFonts w:hAnsi="宋体" w:cs="宋体"/>
                <w:sz w:val="24"/>
                <w:szCs w:val="22"/>
                <w:lang w:val="zh-CN"/>
              </w:rPr>
            </w:pPr>
            <w:r>
              <w:rPr>
                <w:rFonts w:hAnsi="宋体" w:cs="宋体"/>
                <w:sz w:val="24"/>
                <w:szCs w:val="22"/>
                <w:lang w:val="zh-CN"/>
              </w:rPr>
              <w:t>2.4</w:t>
            </w:r>
            <w:r>
              <w:rPr>
                <w:rFonts w:hint="eastAsia" w:hAnsi="宋体" w:cs="宋体"/>
                <w:sz w:val="24"/>
                <w:szCs w:val="22"/>
                <w:lang w:val="zh-CN"/>
              </w:rPr>
              <w:t>每个投标人每个项目每个标段只有唯一缴纳账号，</w:t>
            </w:r>
            <w:r>
              <w:rPr>
                <w:rFonts w:hint="eastAsia" w:hAnsi="宋体" w:cs="宋体"/>
                <w:sz w:val="24"/>
                <w:szCs w:val="22"/>
              </w:rPr>
              <w:t>切勿重复缴纳或错误缴纳。</w:t>
            </w:r>
          </w:p>
          <w:p>
            <w:pPr>
              <w:autoSpaceDE w:val="0"/>
              <w:autoSpaceDN w:val="0"/>
              <w:spacing w:line="360" w:lineRule="auto"/>
              <w:rPr>
                <w:rFonts w:hAnsi="宋体" w:cs="宋体"/>
                <w:sz w:val="24"/>
                <w:szCs w:val="22"/>
              </w:rPr>
            </w:pPr>
            <w:r>
              <w:rPr>
                <w:rFonts w:hAnsi="宋体" w:cs="宋体"/>
                <w:sz w:val="24"/>
                <w:szCs w:val="22"/>
              </w:rPr>
              <w:t>3</w:t>
            </w:r>
            <w:r>
              <w:rPr>
                <w:rFonts w:hint="eastAsia" w:hAnsi="宋体" w:cs="宋体"/>
                <w:sz w:val="24"/>
                <w:szCs w:val="22"/>
              </w:rPr>
              <w:t>、未按上述规定操作引起的无效投标，由投标人自行负责。</w:t>
            </w:r>
          </w:p>
          <w:p>
            <w:pPr>
              <w:autoSpaceDE w:val="0"/>
              <w:autoSpaceDN w:val="0"/>
              <w:spacing w:line="360" w:lineRule="auto"/>
              <w:rPr>
                <w:rFonts w:hAnsi="宋体" w:cs="宋体"/>
                <w:sz w:val="24"/>
                <w:szCs w:val="22"/>
                <w:lang w:val="zh-CN"/>
              </w:rPr>
            </w:pPr>
            <w:r>
              <w:rPr>
                <w:rFonts w:hAnsi="宋体" w:cs="宋体"/>
                <w:sz w:val="24"/>
                <w:szCs w:val="22"/>
                <w:lang w:val="zh-CN"/>
              </w:rPr>
              <w:t>4</w:t>
            </w:r>
            <w:r>
              <w:rPr>
                <w:rFonts w:hint="eastAsia" w:hAnsi="宋体" w:cs="宋体"/>
                <w:sz w:val="24"/>
                <w:szCs w:val="22"/>
                <w:lang w:val="zh-CN"/>
              </w:rPr>
              <w:t>、汇款凭证无须备注项目编号和项目名称。</w:t>
            </w:r>
          </w:p>
          <w:p>
            <w:pPr>
              <w:autoSpaceDE w:val="0"/>
              <w:autoSpaceDN w:val="0"/>
              <w:spacing w:line="360" w:lineRule="auto"/>
              <w:rPr>
                <w:rFonts w:hAnsi="宋体" w:cs="宋体"/>
                <w:sz w:val="24"/>
                <w:szCs w:val="22"/>
              </w:rPr>
            </w:pPr>
            <w:r>
              <w:rPr>
                <w:rFonts w:hAnsi="宋体" w:cs="宋体"/>
                <w:sz w:val="24"/>
                <w:szCs w:val="22"/>
              </w:rPr>
              <w:t>5</w:t>
            </w:r>
            <w:r>
              <w:rPr>
                <w:rFonts w:hint="eastAsia" w:hAnsi="宋体" w:cs="宋体"/>
                <w:sz w:val="24"/>
                <w:szCs w:val="22"/>
              </w:rPr>
              <w:t>、出现以下情形造成的投标保证金无效，由投标人自行负责。</w:t>
            </w:r>
          </w:p>
          <w:p>
            <w:pPr>
              <w:autoSpaceDE w:val="0"/>
              <w:autoSpaceDN w:val="0"/>
              <w:spacing w:line="360" w:lineRule="auto"/>
              <w:rPr>
                <w:rFonts w:hAnsi="宋体" w:cs="宋体"/>
                <w:sz w:val="24"/>
                <w:szCs w:val="22"/>
              </w:rPr>
            </w:pPr>
            <w:r>
              <w:rPr>
                <w:rFonts w:hAnsi="宋体" w:cs="宋体"/>
                <w:sz w:val="24"/>
                <w:szCs w:val="22"/>
              </w:rPr>
              <w:t>(1)</w:t>
            </w:r>
            <w:r>
              <w:rPr>
                <w:rFonts w:hint="eastAsia" w:hAnsi="宋体" w:cs="宋体"/>
                <w:sz w:val="24"/>
                <w:szCs w:val="22"/>
              </w:rPr>
              <w:t>投标保证金未从投标人的基本账户转出；</w:t>
            </w:r>
          </w:p>
          <w:p>
            <w:pPr>
              <w:autoSpaceDE w:val="0"/>
              <w:autoSpaceDN w:val="0"/>
              <w:spacing w:line="360" w:lineRule="auto"/>
              <w:rPr>
                <w:rFonts w:hAnsi="宋体" w:cs="宋体"/>
                <w:sz w:val="24"/>
                <w:szCs w:val="22"/>
              </w:rPr>
            </w:pPr>
            <w:r>
              <w:rPr>
                <w:rFonts w:hAnsi="宋体" w:cs="宋体"/>
                <w:sz w:val="24"/>
                <w:szCs w:val="22"/>
              </w:rPr>
              <w:t>(2)</w:t>
            </w:r>
            <w:r>
              <w:rPr>
                <w:rFonts w:hint="eastAsia" w:hAnsi="宋体" w:cs="宋体"/>
                <w:sz w:val="24"/>
                <w:szCs w:val="22"/>
              </w:rPr>
              <w:t>投标保证金未按照招标文件划分的标段转账。</w:t>
            </w:r>
          </w:p>
          <w:p>
            <w:pPr>
              <w:autoSpaceDE w:val="0"/>
              <w:autoSpaceDN w:val="0"/>
              <w:spacing w:line="360" w:lineRule="auto"/>
              <w:rPr>
                <w:rFonts w:hAnsi="宋体" w:cs="宋体"/>
                <w:sz w:val="24"/>
                <w:szCs w:val="22"/>
                <w:lang w:val="zh-CN"/>
              </w:rPr>
            </w:pPr>
            <w:r>
              <w:rPr>
                <w:rFonts w:hAnsi="宋体" w:cs="宋体"/>
                <w:sz w:val="24"/>
                <w:szCs w:val="22"/>
                <w:lang w:val="zh-CN"/>
              </w:rPr>
              <w:t>6</w:t>
            </w:r>
            <w:r>
              <w:rPr>
                <w:rFonts w:hint="eastAsia" w:hAnsi="宋体" w:cs="宋体"/>
                <w:sz w:val="24"/>
                <w:szCs w:val="22"/>
                <w:lang w:val="zh-CN"/>
              </w:rPr>
              <w:t>、《保证金缴纳绑定操作指南》获取方法：</w:t>
            </w:r>
          </w:p>
          <w:p>
            <w:pPr>
              <w:autoSpaceDE w:val="0"/>
              <w:autoSpaceDN w:val="0"/>
              <w:spacing w:line="360" w:lineRule="auto"/>
              <w:jc w:val="left"/>
              <w:rPr>
                <w:rFonts w:hAnsi="宋体" w:cs="宋体"/>
                <w:sz w:val="24"/>
                <w:szCs w:val="22"/>
                <w:lang w:val="zh-CN"/>
              </w:rPr>
            </w:pPr>
            <w:r>
              <w:rPr>
                <w:rFonts w:hint="eastAsia" w:hAnsi="宋体" w:cs="宋体"/>
                <w:sz w:val="24"/>
                <w:szCs w:val="22"/>
                <w:lang w:val="zh-CN"/>
              </w:rPr>
              <w:t>登录许昌公共资源交易系统</w:t>
            </w:r>
            <w:r>
              <w:rPr>
                <w:rFonts w:hAnsi="宋体" w:cs="宋体"/>
                <w:sz w:val="24"/>
                <w:szCs w:val="22"/>
                <w:lang w:val="zh-CN"/>
              </w:rPr>
              <w:t>-</w:t>
            </w:r>
            <w:r>
              <w:rPr>
                <w:rFonts w:hint="eastAsia" w:hAnsi="宋体" w:cs="宋体"/>
                <w:sz w:val="24"/>
                <w:szCs w:val="22"/>
                <w:lang w:val="zh-CN"/>
              </w:rPr>
              <w:t>组件下载</w:t>
            </w:r>
            <w:r>
              <w:rPr>
                <w:rFonts w:hAnsi="宋体" w:cs="宋体"/>
                <w:sz w:val="24"/>
                <w:szCs w:val="22"/>
                <w:lang w:val="zh-CN"/>
              </w:rPr>
              <w:t>-</w:t>
            </w:r>
            <w:r>
              <w:rPr>
                <w:rFonts w:hint="eastAsia" w:hAnsi="宋体" w:cs="宋体"/>
                <w:sz w:val="24"/>
                <w:szCs w:val="22"/>
                <w:lang w:val="zh-CN"/>
              </w:rPr>
              <w:t>《保证金缴纳绑定操作指南》。</w:t>
            </w:r>
          </w:p>
          <w:p>
            <w:pPr>
              <w:spacing w:line="360" w:lineRule="auto"/>
              <w:rPr>
                <w:rFonts w:hint="eastAsia" w:hAnsi="宋体" w:cs="宋体"/>
                <w:sz w:val="24"/>
                <w:lang w:val="zh-CN"/>
              </w:rPr>
            </w:pPr>
            <w:r>
              <w:rPr>
                <w:rFonts w:hAnsi="宋体" w:cs="宋体"/>
                <w:sz w:val="24"/>
                <w:szCs w:val="22"/>
              </w:rPr>
              <w:t>7</w:t>
            </w:r>
            <w:r>
              <w:rPr>
                <w:rFonts w:hint="eastAsia" w:hAnsi="宋体" w:cs="宋体"/>
                <w:sz w:val="24"/>
                <w:szCs w:val="22"/>
              </w:rPr>
              <w:t>、</w:t>
            </w:r>
            <w:r>
              <w:rPr>
                <w:rFonts w:hint="eastAsia" w:hAnsi="宋体" w:cs="宋体"/>
                <w:sz w:val="24"/>
                <w:szCs w:val="22"/>
                <w:lang w:val="zh-CN"/>
              </w:rPr>
              <w:t>凡投标人投标保证金交纳至同一标段相同子账号的，保证金暂不予退还，并依照《许昌市公共资源交易当事人不良行为管理暂行办法》（许公管委〔</w:t>
            </w:r>
            <w:r>
              <w:rPr>
                <w:rFonts w:hAnsi="宋体" w:cs="宋体"/>
                <w:sz w:val="24"/>
                <w:szCs w:val="22"/>
                <w:lang w:val="zh-CN"/>
              </w:rPr>
              <w:t>2017</w:t>
            </w:r>
            <w:r>
              <w:rPr>
                <w:rFonts w:hint="eastAsia" w:hAnsi="宋体" w:cs="宋体"/>
                <w:sz w:val="24"/>
                <w:szCs w:val="22"/>
                <w:lang w:val="zh-CN"/>
              </w:rPr>
              <w:t>〕</w:t>
            </w:r>
            <w:r>
              <w:rPr>
                <w:rFonts w:hAnsi="宋体" w:cs="宋体"/>
                <w:sz w:val="24"/>
                <w:szCs w:val="22"/>
                <w:lang w:val="zh-CN"/>
              </w:rPr>
              <w:t>1</w:t>
            </w:r>
            <w:r>
              <w:rPr>
                <w:rFonts w:hint="eastAsia" w:hAnsi="宋体" w:cs="宋体"/>
                <w:sz w:val="24"/>
                <w:szCs w:val="22"/>
                <w:lang w:val="zh-CN"/>
              </w:rPr>
              <w:t>号）规定，进行调查、认定、记录、公示、公告。对涉嫌串通投标等违规行为的，经调查核实后，记录不良行为，移交有关部门进行查处。不予退还的保证金上缴国库。</w:t>
            </w:r>
          </w:p>
        </w:tc>
      </w:tr>
      <w:tr>
        <w:tblPrEx>
          <w:tblLayout w:type="fixed"/>
          <w:tblCellMar>
            <w:top w:w="0" w:type="dxa"/>
            <w:left w:w="108" w:type="dxa"/>
            <w:bottom w:w="0" w:type="dxa"/>
            <w:right w:w="108" w:type="dxa"/>
          </w:tblCellMar>
        </w:tblPrEx>
        <w:trPr>
          <w:trHeight w:val="755" w:hRule="atLeast"/>
          <w:jc w:val="center"/>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color w:val="auto"/>
                <w:sz w:val="24"/>
                <w:szCs w:val="24"/>
              </w:rPr>
            </w:pPr>
            <w:r>
              <w:rPr>
                <w:rFonts w:hint="eastAsia" w:ascii="宋体" w:hAnsi="宋体" w:eastAsia="宋体" w:cs="宋体"/>
                <w:color w:val="auto"/>
                <w:sz w:val="24"/>
                <w:szCs w:val="24"/>
              </w:rPr>
              <w:t>3.4.4</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color w:val="auto"/>
                <w:sz w:val="24"/>
                <w:szCs w:val="24"/>
              </w:rPr>
            </w:pPr>
            <w:r>
              <w:rPr>
                <w:rFonts w:hint="eastAsia" w:ascii="宋体" w:hAnsi="宋体" w:eastAsia="宋体" w:cs="宋体"/>
                <w:color w:val="auto"/>
                <w:sz w:val="24"/>
                <w:szCs w:val="24"/>
              </w:rPr>
              <w:t>其他可以不予退还投标保证金的情形</w:t>
            </w:r>
          </w:p>
        </w:tc>
        <w:tc>
          <w:tcPr>
            <w:tcW w:w="685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80"/>
              <w:jc w:val="both"/>
              <w:rPr>
                <w:rFonts w:ascii="宋体" w:hAnsi="宋体" w:eastAsia="宋体" w:cs="宋体"/>
                <w:color w:val="auto"/>
                <w:sz w:val="24"/>
                <w:szCs w:val="24"/>
              </w:rPr>
            </w:pPr>
            <w:r>
              <w:rPr>
                <w:rFonts w:hint="eastAsia" w:ascii="宋体" w:hAnsi="宋体" w:eastAsia="宋体" w:cs="宋体"/>
                <w:color w:val="auto"/>
                <w:sz w:val="24"/>
                <w:szCs w:val="24"/>
              </w:rPr>
              <w:t>详见招标文件</w:t>
            </w:r>
          </w:p>
        </w:tc>
      </w:tr>
      <w:tr>
        <w:tblPrEx>
          <w:tblLayout w:type="fixed"/>
          <w:tblCellMar>
            <w:top w:w="0" w:type="dxa"/>
            <w:left w:w="108" w:type="dxa"/>
            <w:bottom w:w="0" w:type="dxa"/>
            <w:right w:w="108" w:type="dxa"/>
          </w:tblCellMar>
        </w:tblPrEx>
        <w:trPr>
          <w:trHeight w:val="90" w:hRule="atLeast"/>
          <w:jc w:val="center"/>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color w:val="auto"/>
                <w:sz w:val="24"/>
                <w:szCs w:val="24"/>
              </w:rPr>
            </w:pPr>
            <w:r>
              <w:rPr>
                <w:rFonts w:hint="eastAsia" w:ascii="宋体" w:hAnsi="宋体" w:eastAsia="宋体" w:cs="宋体"/>
                <w:color w:val="auto"/>
                <w:sz w:val="24"/>
                <w:szCs w:val="24"/>
              </w:rPr>
              <w:t>3.5</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color w:val="auto"/>
                <w:sz w:val="24"/>
                <w:szCs w:val="24"/>
              </w:rPr>
            </w:pPr>
            <w:r>
              <w:rPr>
                <w:rFonts w:hint="eastAsia" w:ascii="宋体" w:hAnsi="宋体" w:eastAsia="宋体" w:cs="宋体"/>
                <w:color w:val="auto"/>
                <w:sz w:val="24"/>
                <w:szCs w:val="24"/>
              </w:rPr>
              <w:t>资格审查资料</w:t>
            </w:r>
          </w:p>
          <w:p>
            <w:pPr>
              <w:spacing w:line="400" w:lineRule="exact"/>
              <w:ind w:firstLine="0" w:firstLineChars="0"/>
              <w:jc w:val="center"/>
              <w:rPr>
                <w:rFonts w:ascii="宋体" w:hAnsi="宋体" w:eastAsia="宋体" w:cs="宋体"/>
                <w:color w:val="auto"/>
                <w:sz w:val="24"/>
                <w:szCs w:val="24"/>
              </w:rPr>
            </w:pPr>
            <w:r>
              <w:rPr>
                <w:rFonts w:hint="eastAsia" w:ascii="宋体" w:hAnsi="宋体" w:eastAsia="宋体" w:cs="宋体"/>
                <w:color w:val="auto"/>
                <w:sz w:val="24"/>
                <w:szCs w:val="24"/>
              </w:rPr>
              <w:t>的特殊要求</w:t>
            </w:r>
          </w:p>
        </w:tc>
        <w:tc>
          <w:tcPr>
            <w:tcW w:w="685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80"/>
              <w:jc w:val="both"/>
              <w:rPr>
                <w:rFonts w:ascii="宋体" w:hAnsi="宋体" w:eastAsia="宋体" w:cs="宋体"/>
                <w:color w:val="auto"/>
                <w:sz w:val="24"/>
                <w:szCs w:val="24"/>
              </w:rPr>
            </w:pPr>
            <w:r>
              <w:rPr>
                <w:rFonts w:hint="eastAsia" w:ascii="宋体" w:hAnsi="宋体" w:eastAsia="宋体" w:cs="宋体"/>
                <w:color w:val="auto"/>
                <w:sz w:val="24"/>
                <w:szCs w:val="24"/>
              </w:rPr>
              <w:t>无</w:t>
            </w:r>
          </w:p>
        </w:tc>
      </w:tr>
      <w:tr>
        <w:tblPrEx>
          <w:tblLayout w:type="fixed"/>
          <w:tblCellMar>
            <w:top w:w="0" w:type="dxa"/>
            <w:left w:w="108" w:type="dxa"/>
            <w:bottom w:w="0" w:type="dxa"/>
            <w:right w:w="108" w:type="dxa"/>
          </w:tblCellMar>
        </w:tblPrEx>
        <w:trPr>
          <w:trHeight w:val="805" w:hRule="atLeast"/>
          <w:jc w:val="center"/>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color w:val="auto"/>
                <w:sz w:val="24"/>
                <w:szCs w:val="24"/>
              </w:rPr>
            </w:pPr>
            <w:r>
              <w:rPr>
                <w:rFonts w:hint="eastAsia" w:ascii="宋体" w:hAnsi="宋体" w:eastAsia="宋体" w:cs="宋体"/>
                <w:color w:val="auto"/>
                <w:sz w:val="24"/>
                <w:szCs w:val="24"/>
              </w:rPr>
              <w:t>3.5.2</w:t>
            </w:r>
          </w:p>
        </w:tc>
        <w:tc>
          <w:tcPr>
            <w:tcW w:w="2250" w:type="dxa"/>
            <w:gridSpan w:val="2"/>
            <w:tcBorders>
              <w:top w:val="single" w:color="auto" w:sz="4" w:space="0"/>
              <w:left w:val="single" w:color="auto" w:sz="4" w:space="0"/>
              <w:bottom w:val="single" w:color="auto" w:sz="4" w:space="0"/>
              <w:right w:val="single" w:color="auto" w:sz="4" w:space="0"/>
            </w:tcBorders>
          </w:tcPr>
          <w:p>
            <w:pPr>
              <w:spacing w:line="400" w:lineRule="exact"/>
              <w:ind w:firstLine="0" w:firstLineChars="0"/>
              <w:jc w:val="center"/>
              <w:rPr>
                <w:rFonts w:ascii="宋体" w:hAnsi="宋体" w:eastAsia="宋体" w:cs="宋体"/>
                <w:color w:val="auto"/>
                <w:sz w:val="24"/>
                <w:szCs w:val="24"/>
              </w:rPr>
            </w:pPr>
            <w:r>
              <w:rPr>
                <w:rFonts w:hint="eastAsia" w:ascii="宋体" w:hAnsi="宋体" w:eastAsia="宋体" w:cs="宋体"/>
                <w:color w:val="auto"/>
                <w:sz w:val="24"/>
                <w:szCs w:val="24"/>
              </w:rPr>
              <w:t>近年财务状况</w:t>
            </w:r>
          </w:p>
          <w:p>
            <w:pPr>
              <w:spacing w:line="400" w:lineRule="exact"/>
              <w:ind w:firstLine="0" w:firstLineChars="0"/>
              <w:jc w:val="center"/>
              <w:rPr>
                <w:rFonts w:ascii="宋体" w:hAnsi="宋体" w:eastAsia="宋体" w:cs="宋体"/>
                <w:color w:val="auto"/>
                <w:sz w:val="24"/>
                <w:szCs w:val="24"/>
              </w:rPr>
            </w:pPr>
            <w:r>
              <w:rPr>
                <w:rFonts w:hint="eastAsia" w:ascii="宋体" w:hAnsi="宋体" w:eastAsia="宋体" w:cs="宋体"/>
                <w:color w:val="auto"/>
                <w:sz w:val="24"/>
                <w:szCs w:val="24"/>
              </w:rPr>
              <w:t>的年份要求</w:t>
            </w:r>
          </w:p>
        </w:tc>
        <w:tc>
          <w:tcPr>
            <w:tcW w:w="685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近年，指201</w:t>
            </w:r>
            <w:r>
              <w:rPr>
                <w:rFonts w:hint="eastAsia" w:ascii="宋体" w:hAnsi="宋体" w:cs="宋体"/>
                <w:color w:val="auto"/>
                <w:sz w:val="24"/>
                <w:szCs w:val="24"/>
                <w:lang w:val="en-US" w:eastAsia="zh-CN"/>
              </w:rPr>
              <w:t>6</w:t>
            </w:r>
            <w:r>
              <w:rPr>
                <w:rFonts w:hint="eastAsia" w:ascii="宋体" w:hAnsi="宋体" w:eastAsia="宋体" w:cs="宋体"/>
                <w:color w:val="auto"/>
                <w:sz w:val="24"/>
                <w:szCs w:val="24"/>
              </w:rPr>
              <w:t>年，201</w:t>
            </w:r>
            <w:r>
              <w:rPr>
                <w:rFonts w:hint="eastAsia" w:ascii="宋体" w:hAnsi="宋体" w:cs="宋体"/>
                <w:color w:val="auto"/>
                <w:sz w:val="24"/>
                <w:szCs w:val="24"/>
                <w:lang w:val="en-US" w:eastAsia="zh-CN"/>
              </w:rPr>
              <w:t>7</w:t>
            </w:r>
            <w:r>
              <w:rPr>
                <w:rFonts w:hint="eastAsia" w:ascii="宋体" w:hAnsi="宋体" w:eastAsia="宋体" w:cs="宋体"/>
                <w:color w:val="auto"/>
                <w:sz w:val="24"/>
                <w:szCs w:val="24"/>
              </w:rPr>
              <w:t>年，201</w:t>
            </w:r>
            <w:r>
              <w:rPr>
                <w:rFonts w:hint="eastAsia" w:ascii="宋体" w:hAnsi="宋体" w:cs="宋体"/>
                <w:color w:val="auto"/>
                <w:sz w:val="24"/>
                <w:szCs w:val="24"/>
                <w:lang w:val="en-US" w:eastAsia="zh-CN"/>
              </w:rPr>
              <w:t>8</w:t>
            </w:r>
            <w:r>
              <w:rPr>
                <w:rFonts w:hint="eastAsia" w:ascii="宋体" w:hAnsi="宋体" w:eastAsia="宋体" w:cs="宋体"/>
                <w:color w:val="auto"/>
                <w:sz w:val="24"/>
                <w:szCs w:val="24"/>
              </w:rPr>
              <w:t>年</w:t>
            </w:r>
          </w:p>
        </w:tc>
      </w:tr>
      <w:tr>
        <w:tblPrEx>
          <w:tblLayout w:type="fixed"/>
          <w:tblCellMar>
            <w:top w:w="0" w:type="dxa"/>
            <w:left w:w="108" w:type="dxa"/>
            <w:bottom w:w="0" w:type="dxa"/>
            <w:right w:w="108" w:type="dxa"/>
          </w:tblCellMar>
        </w:tblPrEx>
        <w:trPr>
          <w:trHeight w:val="805" w:hRule="atLeast"/>
          <w:jc w:val="center"/>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color w:val="auto"/>
                <w:sz w:val="24"/>
                <w:szCs w:val="24"/>
              </w:rPr>
            </w:pPr>
            <w:r>
              <w:rPr>
                <w:rFonts w:hint="eastAsia" w:ascii="宋体" w:hAnsi="宋体" w:eastAsia="宋体" w:cs="宋体"/>
                <w:color w:val="auto"/>
                <w:sz w:val="24"/>
                <w:szCs w:val="24"/>
              </w:rPr>
              <w:t>3.5.3</w:t>
            </w:r>
          </w:p>
        </w:tc>
        <w:tc>
          <w:tcPr>
            <w:tcW w:w="2250" w:type="dxa"/>
            <w:gridSpan w:val="2"/>
            <w:tcBorders>
              <w:top w:val="single" w:color="auto" w:sz="4" w:space="0"/>
              <w:left w:val="single" w:color="auto" w:sz="4" w:space="0"/>
              <w:bottom w:val="single" w:color="auto" w:sz="4" w:space="0"/>
              <w:right w:val="single" w:color="auto" w:sz="4" w:space="0"/>
            </w:tcBorders>
          </w:tcPr>
          <w:p>
            <w:pPr>
              <w:spacing w:line="400" w:lineRule="exact"/>
              <w:ind w:firstLine="0" w:firstLineChars="0"/>
              <w:jc w:val="both"/>
              <w:rPr>
                <w:rFonts w:ascii="宋体" w:hAnsi="宋体" w:eastAsia="宋体" w:cs="宋体"/>
                <w:color w:val="auto"/>
                <w:sz w:val="24"/>
                <w:szCs w:val="24"/>
              </w:rPr>
            </w:pPr>
            <w:r>
              <w:rPr>
                <w:rFonts w:hint="eastAsia" w:ascii="宋体" w:hAnsi="宋体" w:eastAsia="宋体" w:cs="宋体"/>
                <w:color w:val="auto"/>
                <w:sz w:val="24"/>
                <w:szCs w:val="24"/>
              </w:rPr>
              <w:t>近年完成的类似项目情况</w:t>
            </w:r>
            <w:r>
              <w:rPr>
                <w:rFonts w:hint="eastAsia" w:ascii="宋体" w:hAnsi="宋体" w:cs="宋体"/>
                <w:color w:val="auto"/>
                <w:sz w:val="24"/>
                <w:szCs w:val="24"/>
                <w:lang w:eastAsia="zh-CN"/>
              </w:rPr>
              <w:t>及</w:t>
            </w:r>
            <w:r>
              <w:rPr>
                <w:rFonts w:hint="eastAsia" w:ascii="宋体" w:hAnsi="宋体" w:eastAsia="宋体" w:cs="宋体"/>
                <w:color w:val="auto"/>
                <w:sz w:val="24"/>
                <w:szCs w:val="24"/>
              </w:rPr>
              <w:t>时间要求</w:t>
            </w:r>
          </w:p>
        </w:tc>
        <w:tc>
          <w:tcPr>
            <w:tcW w:w="6855" w:type="dxa"/>
            <w:tcBorders>
              <w:top w:val="single" w:color="auto" w:sz="4" w:space="0"/>
              <w:left w:val="single" w:color="auto" w:sz="4" w:space="0"/>
              <w:bottom w:val="single" w:color="auto" w:sz="4" w:space="0"/>
              <w:right w:val="single" w:color="auto" w:sz="4" w:space="0"/>
            </w:tcBorders>
            <w:vAlign w:val="center"/>
          </w:tcPr>
          <w:p>
            <w:pPr>
              <w:spacing w:line="400" w:lineRule="exact"/>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rPr>
              <w:t>201</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年1月1日</w:t>
            </w:r>
            <w:r>
              <w:rPr>
                <w:rFonts w:hint="eastAsia" w:ascii="宋体" w:hAnsi="宋体" w:cs="宋体"/>
                <w:color w:val="auto"/>
                <w:sz w:val="24"/>
                <w:szCs w:val="24"/>
                <w:lang w:eastAsia="zh-CN"/>
              </w:rPr>
              <w:t>至今完成的合同金额不小于本此招标控制价的建筑工程勘察项目</w:t>
            </w:r>
          </w:p>
        </w:tc>
      </w:tr>
      <w:tr>
        <w:tblPrEx>
          <w:tblLayout w:type="fixed"/>
          <w:tblCellMar>
            <w:top w:w="0" w:type="dxa"/>
            <w:left w:w="108" w:type="dxa"/>
            <w:bottom w:w="0" w:type="dxa"/>
            <w:right w:w="108" w:type="dxa"/>
          </w:tblCellMar>
        </w:tblPrEx>
        <w:trPr>
          <w:trHeight w:val="805" w:hRule="atLeast"/>
          <w:jc w:val="center"/>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color w:val="auto"/>
                <w:sz w:val="24"/>
                <w:szCs w:val="24"/>
              </w:rPr>
            </w:pPr>
            <w:r>
              <w:rPr>
                <w:rFonts w:hint="eastAsia" w:ascii="宋体" w:hAnsi="宋体" w:eastAsia="宋体" w:cs="宋体"/>
                <w:color w:val="auto"/>
                <w:sz w:val="24"/>
                <w:szCs w:val="24"/>
              </w:rPr>
              <w:t>3.5.4</w:t>
            </w:r>
          </w:p>
        </w:tc>
        <w:tc>
          <w:tcPr>
            <w:tcW w:w="2250" w:type="dxa"/>
            <w:gridSpan w:val="2"/>
            <w:tcBorders>
              <w:top w:val="single" w:color="auto" w:sz="4" w:space="0"/>
              <w:left w:val="single" w:color="auto" w:sz="4" w:space="0"/>
              <w:bottom w:val="single" w:color="auto" w:sz="4" w:space="0"/>
              <w:right w:val="single" w:color="auto" w:sz="4" w:space="0"/>
            </w:tcBorders>
          </w:tcPr>
          <w:p>
            <w:pPr>
              <w:spacing w:line="400" w:lineRule="exact"/>
              <w:ind w:firstLine="0" w:firstLineChars="0"/>
              <w:jc w:val="center"/>
              <w:rPr>
                <w:rFonts w:ascii="宋体" w:hAnsi="宋体" w:eastAsia="宋体" w:cs="宋体"/>
                <w:color w:val="auto"/>
                <w:spacing w:val="-11"/>
                <w:sz w:val="24"/>
                <w:szCs w:val="24"/>
              </w:rPr>
            </w:pPr>
            <w:r>
              <w:rPr>
                <w:rFonts w:hint="eastAsia" w:ascii="宋体" w:hAnsi="宋体" w:eastAsia="宋体" w:cs="宋体"/>
                <w:color w:val="auto"/>
                <w:spacing w:val="-11"/>
                <w:sz w:val="24"/>
                <w:szCs w:val="24"/>
              </w:rPr>
              <w:t>近年发生的诉讼及</w:t>
            </w:r>
          </w:p>
          <w:p>
            <w:pPr>
              <w:spacing w:line="400" w:lineRule="exact"/>
              <w:ind w:firstLine="0" w:firstLineChars="0"/>
              <w:jc w:val="center"/>
              <w:rPr>
                <w:rFonts w:ascii="宋体" w:hAnsi="宋体" w:eastAsia="宋体" w:cs="宋体"/>
                <w:color w:val="auto"/>
                <w:sz w:val="24"/>
                <w:szCs w:val="24"/>
              </w:rPr>
            </w:pPr>
            <w:r>
              <w:rPr>
                <w:rFonts w:hint="eastAsia" w:ascii="宋体" w:hAnsi="宋体" w:eastAsia="宋体" w:cs="宋体"/>
                <w:color w:val="auto"/>
                <w:spacing w:val="-11"/>
                <w:sz w:val="24"/>
                <w:szCs w:val="24"/>
              </w:rPr>
              <w:t>仲裁情况的时间要求</w:t>
            </w:r>
          </w:p>
        </w:tc>
        <w:tc>
          <w:tcPr>
            <w:tcW w:w="685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80"/>
              <w:jc w:val="both"/>
              <w:rPr>
                <w:rFonts w:hint="eastAsia" w:ascii="宋体" w:hAnsi="宋体" w:eastAsia="宋体" w:cs="宋体"/>
                <w:color w:val="auto"/>
                <w:sz w:val="24"/>
                <w:szCs w:val="24"/>
                <w:lang w:eastAsia="zh-CN"/>
              </w:rPr>
            </w:pPr>
            <w:r>
              <w:rPr>
                <w:rFonts w:hint="eastAsia" w:ascii="宋体" w:hAnsi="宋体" w:cs="宋体"/>
                <w:color w:val="auto"/>
                <w:sz w:val="24"/>
                <w:szCs w:val="24"/>
                <w:lang w:eastAsia="zh-CN"/>
              </w:rPr>
              <w:t>无要求</w:t>
            </w:r>
          </w:p>
        </w:tc>
      </w:tr>
      <w:tr>
        <w:tblPrEx>
          <w:tblLayout w:type="fixed"/>
          <w:tblCellMar>
            <w:top w:w="0" w:type="dxa"/>
            <w:left w:w="108" w:type="dxa"/>
            <w:bottom w:w="0" w:type="dxa"/>
            <w:right w:w="108" w:type="dxa"/>
          </w:tblCellMar>
        </w:tblPrEx>
        <w:trPr>
          <w:trHeight w:val="685" w:hRule="atLeast"/>
          <w:jc w:val="center"/>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color w:val="auto"/>
                <w:sz w:val="24"/>
                <w:szCs w:val="24"/>
              </w:rPr>
            </w:pPr>
            <w:r>
              <w:rPr>
                <w:rFonts w:hint="eastAsia" w:ascii="宋体" w:hAnsi="宋体" w:eastAsia="宋体" w:cs="宋体"/>
                <w:color w:val="auto"/>
                <w:sz w:val="24"/>
                <w:szCs w:val="24"/>
              </w:rPr>
              <w:t>3.6.1</w:t>
            </w:r>
          </w:p>
        </w:tc>
        <w:tc>
          <w:tcPr>
            <w:tcW w:w="2250" w:type="dxa"/>
            <w:gridSpan w:val="2"/>
            <w:tcBorders>
              <w:top w:val="single" w:color="auto" w:sz="4" w:space="0"/>
              <w:left w:val="single" w:color="auto" w:sz="4" w:space="0"/>
              <w:bottom w:val="single" w:color="auto" w:sz="4" w:space="0"/>
              <w:right w:val="single" w:color="auto" w:sz="4" w:space="0"/>
            </w:tcBorders>
          </w:tcPr>
          <w:p>
            <w:pPr>
              <w:spacing w:line="400" w:lineRule="exact"/>
              <w:ind w:firstLine="0" w:firstLineChars="0"/>
              <w:jc w:val="center"/>
              <w:rPr>
                <w:rFonts w:ascii="宋体" w:hAnsi="宋体" w:eastAsia="宋体" w:cs="宋体"/>
                <w:color w:val="auto"/>
                <w:sz w:val="24"/>
                <w:szCs w:val="24"/>
              </w:rPr>
            </w:pPr>
            <w:r>
              <w:rPr>
                <w:rFonts w:hint="eastAsia" w:ascii="宋体" w:hAnsi="宋体" w:eastAsia="宋体" w:cs="宋体"/>
                <w:color w:val="auto"/>
                <w:sz w:val="24"/>
                <w:szCs w:val="24"/>
              </w:rPr>
              <w:t>是否允许递交</w:t>
            </w:r>
          </w:p>
          <w:p>
            <w:pPr>
              <w:spacing w:line="400" w:lineRule="exact"/>
              <w:ind w:firstLine="0" w:firstLineChars="0"/>
              <w:jc w:val="center"/>
              <w:rPr>
                <w:rFonts w:ascii="宋体" w:hAnsi="宋体" w:eastAsia="宋体" w:cs="宋体"/>
                <w:color w:val="auto"/>
                <w:sz w:val="24"/>
                <w:szCs w:val="24"/>
              </w:rPr>
            </w:pPr>
            <w:r>
              <w:rPr>
                <w:rFonts w:hint="eastAsia" w:ascii="宋体" w:hAnsi="宋体" w:eastAsia="宋体" w:cs="宋体"/>
                <w:color w:val="auto"/>
                <w:sz w:val="24"/>
                <w:szCs w:val="24"/>
              </w:rPr>
              <w:t>备选投标方案</w:t>
            </w:r>
          </w:p>
        </w:tc>
        <w:tc>
          <w:tcPr>
            <w:tcW w:w="685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80"/>
              <w:jc w:val="both"/>
              <w:rPr>
                <w:rFonts w:ascii="宋体" w:hAnsi="宋体" w:eastAsia="宋体" w:cs="宋体"/>
                <w:color w:val="auto"/>
                <w:sz w:val="24"/>
                <w:szCs w:val="24"/>
              </w:rPr>
            </w:pPr>
            <w:r>
              <w:rPr>
                <w:rFonts w:hint="eastAsia" w:ascii="宋体" w:hAnsi="宋体" w:eastAsia="宋体" w:cs="宋体"/>
                <w:color w:val="auto"/>
                <w:sz w:val="24"/>
                <w:szCs w:val="24"/>
              </w:rPr>
              <w:t>不允许</w:t>
            </w:r>
          </w:p>
        </w:tc>
      </w:tr>
      <w:tr>
        <w:tblPrEx>
          <w:tblLayout w:type="fixed"/>
          <w:tblCellMar>
            <w:top w:w="0" w:type="dxa"/>
            <w:left w:w="108" w:type="dxa"/>
            <w:bottom w:w="0" w:type="dxa"/>
            <w:right w:w="108" w:type="dxa"/>
          </w:tblCellMar>
        </w:tblPrEx>
        <w:trPr>
          <w:jc w:val="center"/>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color w:val="auto"/>
                <w:sz w:val="24"/>
                <w:szCs w:val="24"/>
              </w:rPr>
            </w:pPr>
            <w:r>
              <w:rPr>
                <w:rFonts w:hint="eastAsia" w:ascii="宋体" w:hAnsi="宋体" w:eastAsia="宋体" w:cs="宋体"/>
                <w:color w:val="auto"/>
                <w:sz w:val="24"/>
                <w:szCs w:val="24"/>
              </w:rPr>
              <w:t>3.7.3</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投标文件份数</w:t>
            </w:r>
          </w:p>
        </w:tc>
        <w:tc>
          <w:tcPr>
            <w:tcW w:w="685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1、电子投标文件</w:t>
            </w:r>
          </w:p>
          <w:p>
            <w:pPr>
              <w:spacing w:line="400" w:lineRule="exact"/>
              <w:ind w:firstLine="0" w:firstLineChars="0"/>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（1）成功上传至【全国公共资源交易平台（河南省·许昌市）】公共资源交易系统电子投标文件1份（文件格式为：XX公司XXX项目编号.file）。</w:t>
            </w:r>
          </w:p>
          <w:p>
            <w:pPr>
              <w:spacing w:line="400" w:lineRule="exact"/>
              <w:ind w:firstLine="0" w:firstLineChars="0"/>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（2）使用电子介质存储的投标文件1份文件格式为：xxx公司XXX（项目编号）.bin）。</w:t>
            </w:r>
          </w:p>
          <w:p>
            <w:pPr>
              <w:spacing w:line="400" w:lineRule="exact"/>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注:投标人提交的电子投标文件，必须是通过“许昌投标文件制作系统SEARUN V1.</w:t>
            </w:r>
            <w:r>
              <w:rPr>
                <w:rFonts w:hint="eastAsia" w:ascii="宋体" w:hAnsi="宋体" w:cs="宋体"/>
                <w:color w:val="auto"/>
                <w:sz w:val="24"/>
                <w:szCs w:val="24"/>
                <w:lang w:val="en-US" w:eastAsia="zh-CN"/>
              </w:rPr>
              <w:t>1</w:t>
            </w:r>
            <w:r>
              <w:rPr>
                <w:rFonts w:hint="eastAsia" w:ascii="宋体" w:hAnsi="宋体" w:eastAsia="宋体" w:cs="宋体"/>
                <w:color w:val="auto"/>
                <w:sz w:val="24"/>
                <w:szCs w:val="24"/>
              </w:rPr>
              <w:t>”制作，并经过签章和加密后生成的电子投标文件。</w:t>
            </w:r>
          </w:p>
        </w:tc>
      </w:tr>
      <w:tr>
        <w:tblPrEx>
          <w:tblLayout w:type="fixed"/>
          <w:tblCellMar>
            <w:top w:w="0" w:type="dxa"/>
            <w:left w:w="108" w:type="dxa"/>
            <w:bottom w:w="0" w:type="dxa"/>
            <w:right w:w="108" w:type="dxa"/>
          </w:tblCellMar>
        </w:tblPrEx>
        <w:trPr>
          <w:jc w:val="center"/>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color w:val="auto"/>
                <w:sz w:val="24"/>
                <w:szCs w:val="24"/>
              </w:rPr>
            </w:pPr>
            <w:r>
              <w:rPr>
                <w:rFonts w:hint="eastAsia" w:ascii="宋体" w:hAnsi="宋体" w:eastAsia="宋体" w:cs="宋体"/>
                <w:color w:val="auto"/>
                <w:sz w:val="24"/>
                <w:szCs w:val="24"/>
              </w:rPr>
              <w:t>3.7.4</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投标文件是否需</w:t>
            </w:r>
          </w:p>
          <w:p>
            <w:pPr>
              <w:spacing w:line="400" w:lineRule="exact"/>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分册装订</w:t>
            </w:r>
          </w:p>
        </w:tc>
        <w:tc>
          <w:tcPr>
            <w:tcW w:w="685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left"/>
              <w:rPr>
                <w:rFonts w:hint="eastAsia" w:ascii="宋体" w:hAnsi="宋体" w:eastAsia="宋体" w:cs="宋体"/>
                <w:color w:val="auto"/>
                <w:sz w:val="24"/>
                <w:szCs w:val="24"/>
              </w:rPr>
            </w:pPr>
            <w:r>
              <w:rPr>
                <w:rFonts w:hint="eastAsia" w:ascii="宋体" w:hAnsi="宋体" w:cs="宋体"/>
                <w:color w:val="auto"/>
                <w:sz w:val="24"/>
                <w:szCs w:val="24"/>
                <w:lang w:val="en-US" w:eastAsia="zh-CN"/>
              </w:rPr>
              <w:t>1</w:t>
            </w:r>
            <w:r>
              <w:rPr>
                <w:rFonts w:hint="eastAsia" w:ascii="宋体" w:hAnsi="宋体" w:eastAsia="宋体" w:cs="宋体"/>
                <w:color w:val="auto"/>
                <w:sz w:val="24"/>
                <w:szCs w:val="24"/>
              </w:rPr>
              <w:t>、使用电子介质存储的投标文件单独密封、盖章提交。</w:t>
            </w:r>
          </w:p>
        </w:tc>
      </w:tr>
      <w:tr>
        <w:tblPrEx>
          <w:tblLayout w:type="fixed"/>
          <w:tblCellMar>
            <w:top w:w="0" w:type="dxa"/>
            <w:left w:w="108" w:type="dxa"/>
            <w:bottom w:w="0" w:type="dxa"/>
            <w:right w:w="108" w:type="dxa"/>
          </w:tblCellMar>
        </w:tblPrEx>
        <w:trPr>
          <w:trHeight w:val="785" w:hRule="atLeast"/>
          <w:jc w:val="center"/>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color w:val="auto"/>
                <w:sz w:val="24"/>
                <w:szCs w:val="24"/>
              </w:rPr>
            </w:pPr>
            <w:r>
              <w:rPr>
                <w:rFonts w:hint="eastAsia" w:ascii="宋体" w:hAnsi="宋体" w:eastAsia="宋体" w:cs="宋体"/>
                <w:color w:val="auto"/>
                <w:sz w:val="24"/>
                <w:szCs w:val="24"/>
              </w:rPr>
              <w:t>3.7.5</w:t>
            </w:r>
          </w:p>
        </w:tc>
        <w:tc>
          <w:tcPr>
            <w:tcW w:w="2250" w:type="dxa"/>
            <w:gridSpan w:val="2"/>
            <w:tcBorders>
              <w:top w:val="single" w:color="auto" w:sz="4" w:space="0"/>
              <w:left w:val="single" w:color="auto" w:sz="4" w:space="0"/>
              <w:bottom w:val="single" w:color="auto" w:sz="4" w:space="0"/>
              <w:right w:val="single" w:color="auto" w:sz="4" w:space="0"/>
            </w:tcBorders>
          </w:tcPr>
          <w:p>
            <w:pPr>
              <w:spacing w:line="400" w:lineRule="exact"/>
              <w:ind w:firstLine="0" w:firstLineChars="0"/>
              <w:jc w:val="center"/>
              <w:rPr>
                <w:rFonts w:ascii="宋体" w:hAnsi="宋体" w:eastAsia="宋体" w:cs="宋体"/>
                <w:color w:val="auto"/>
                <w:sz w:val="24"/>
                <w:szCs w:val="24"/>
              </w:rPr>
            </w:pPr>
            <w:r>
              <w:rPr>
                <w:rFonts w:hint="eastAsia" w:ascii="宋体" w:hAnsi="宋体" w:eastAsia="宋体" w:cs="宋体"/>
                <w:color w:val="auto"/>
                <w:sz w:val="24"/>
                <w:szCs w:val="24"/>
              </w:rPr>
              <w:t>投标文件所附证书证件要求</w:t>
            </w:r>
          </w:p>
        </w:tc>
        <w:tc>
          <w:tcPr>
            <w:tcW w:w="685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80"/>
              <w:jc w:val="both"/>
              <w:rPr>
                <w:rFonts w:ascii="宋体" w:hAnsi="宋体" w:eastAsia="宋体" w:cs="宋体"/>
                <w:color w:val="auto"/>
                <w:sz w:val="24"/>
                <w:szCs w:val="24"/>
              </w:rPr>
            </w:pPr>
            <w:r>
              <w:rPr>
                <w:rFonts w:hint="eastAsia" w:ascii="宋体" w:hAnsi="宋体" w:eastAsia="宋体" w:cs="宋体"/>
                <w:color w:val="auto"/>
                <w:sz w:val="24"/>
                <w:szCs w:val="24"/>
              </w:rPr>
              <w:t>与原件一致，并加盖公章。</w:t>
            </w:r>
          </w:p>
        </w:tc>
      </w:tr>
      <w:tr>
        <w:tblPrEx>
          <w:tblLayout w:type="fixed"/>
          <w:tblCellMar>
            <w:top w:w="0" w:type="dxa"/>
            <w:left w:w="108" w:type="dxa"/>
            <w:bottom w:w="0" w:type="dxa"/>
            <w:right w:w="108" w:type="dxa"/>
          </w:tblCellMar>
        </w:tblPrEx>
        <w:trPr>
          <w:trHeight w:val="785" w:hRule="atLeast"/>
          <w:jc w:val="center"/>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color w:val="auto"/>
                <w:sz w:val="24"/>
                <w:szCs w:val="24"/>
              </w:rPr>
            </w:pPr>
            <w:r>
              <w:rPr>
                <w:rFonts w:hint="eastAsia" w:ascii="宋体" w:hAnsi="宋体" w:eastAsia="宋体" w:cs="宋体"/>
                <w:color w:val="auto"/>
                <w:sz w:val="24"/>
                <w:szCs w:val="24"/>
              </w:rPr>
              <w:t>3.7.6</w:t>
            </w:r>
          </w:p>
        </w:tc>
        <w:tc>
          <w:tcPr>
            <w:tcW w:w="2250" w:type="dxa"/>
            <w:gridSpan w:val="2"/>
            <w:tcBorders>
              <w:top w:val="single" w:color="auto" w:sz="4" w:space="0"/>
              <w:left w:val="single" w:color="auto" w:sz="4" w:space="0"/>
              <w:bottom w:val="single" w:color="auto" w:sz="4" w:space="0"/>
              <w:right w:val="single" w:color="auto" w:sz="4" w:space="0"/>
            </w:tcBorders>
          </w:tcPr>
          <w:p>
            <w:pPr>
              <w:spacing w:line="400" w:lineRule="exact"/>
              <w:ind w:firstLine="0" w:firstLineChars="0"/>
              <w:jc w:val="center"/>
              <w:rPr>
                <w:rFonts w:ascii="宋体" w:hAnsi="宋体" w:eastAsia="宋体" w:cs="宋体"/>
                <w:color w:val="auto"/>
                <w:sz w:val="24"/>
                <w:szCs w:val="24"/>
              </w:rPr>
            </w:pPr>
            <w:r>
              <w:rPr>
                <w:rFonts w:hint="eastAsia" w:ascii="宋体" w:hAnsi="宋体" w:eastAsia="宋体" w:cs="宋体"/>
                <w:color w:val="auto"/>
                <w:sz w:val="24"/>
                <w:szCs w:val="24"/>
              </w:rPr>
              <w:t>投标文件</w:t>
            </w:r>
          </w:p>
          <w:p>
            <w:pPr>
              <w:spacing w:line="400" w:lineRule="exact"/>
              <w:ind w:firstLine="0" w:firstLineChars="0"/>
              <w:jc w:val="center"/>
              <w:rPr>
                <w:rFonts w:ascii="宋体" w:hAnsi="宋体" w:eastAsia="宋体" w:cs="宋体"/>
                <w:color w:val="auto"/>
                <w:sz w:val="24"/>
                <w:szCs w:val="24"/>
              </w:rPr>
            </w:pPr>
            <w:r>
              <w:rPr>
                <w:rFonts w:hint="eastAsia" w:ascii="宋体" w:hAnsi="宋体" w:eastAsia="宋体" w:cs="宋体"/>
                <w:color w:val="auto"/>
                <w:sz w:val="24"/>
                <w:szCs w:val="24"/>
              </w:rPr>
              <w:t>签字或盖章要求</w:t>
            </w:r>
          </w:p>
        </w:tc>
        <w:tc>
          <w:tcPr>
            <w:tcW w:w="6855" w:type="dxa"/>
            <w:tcBorders>
              <w:top w:val="single" w:color="auto" w:sz="4" w:space="0"/>
              <w:left w:val="single" w:color="auto" w:sz="4" w:space="0"/>
              <w:bottom w:val="single" w:color="auto" w:sz="4" w:space="0"/>
              <w:right w:val="single" w:color="auto" w:sz="4" w:space="0"/>
            </w:tcBorders>
          </w:tcPr>
          <w:p>
            <w:pPr>
              <w:spacing w:line="400" w:lineRule="exact"/>
              <w:ind w:firstLine="0" w:firstLineChars="0"/>
              <w:jc w:val="center"/>
              <w:rPr>
                <w:rFonts w:ascii="宋体" w:hAnsi="宋体" w:eastAsia="宋体" w:cs="宋体"/>
                <w:color w:val="auto"/>
                <w:sz w:val="24"/>
                <w:szCs w:val="24"/>
              </w:rPr>
            </w:pPr>
            <w:r>
              <w:rPr>
                <w:rFonts w:hint="eastAsia" w:hAnsi="宋体" w:cs="TimesNewRomanPSMT"/>
                <w:b/>
                <w:bCs/>
                <w:color w:val="auto"/>
                <w:sz w:val="24"/>
              </w:rPr>
              <w:t>电子投标文件：按招标文件要求加盖</w:t>
            </w:r>
            <w:r>
              <w:rPr>
                <w:rFonts w:hint="eastAsia" w:hAnsi="宋体" w:cs="TimesNewRomanPSMT"/>
                <w:b/>
                <w:bCs/>
                <w:color w:val="auto"/>
                <w:sz w:val="24"/>
                <w:lang w:val="zh-CN"/>
              </w:rPr>
              <w:t>电子印章和法人电子印章</w:t>
            </w:r>
            <w:r>
              <w:rPr>
                <w:rFonts w:hint="eastAsia" w:hAnsi="宋体" w:cs="TimesNewRomanPSMT"/>
                <w:b/>
                <w:bCs/>
                <w:color w:val="auto"/>
                <w:sz w:val="24"/>
              </w:rPr>
              <w:t>。</w:t>
            </w:r>
          </w:p>
        </w:tc>
      </w:tr>
      <w:tr>
        <w:tblPrEx>
          <w:tblLayout w:type="fixed"/>
          <w:tblCellMar>
            <w:top w:w="0" w:type="dxa"/>
            <w:left w:w="108" w:type="dxa"/>
            <w:bottom w:w="0" w:type="dxa"/>
            <w:right w:w="108" w:type="dxa"/>
          </w:tblCellMar>
        </w:tblPrEx>
        <w:trPr>
          <w:trHeight w:val="638" w:hRule="atLeast"/>
          <w:jc w:val="center"/>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color w:val="auto"/>
                <w:sz w:val="24"/>
                <w:szCs w:val="24"/>
              </w:rPr>
            </w:pPr>
            <w:r>
              <w:rPr>
                <w:rFonts w:hint="eastAsia" w:ascii="宋体" w:hAnsi="宋体" w:eastAsia="宋体" w:cs="宋体"/>
                <w:color w:val="auto"/>
                <w:sz w:val="24"/>
                <w:szCs w:val="24"/>
              </w:rPr>
              <w:t>4.1.1</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color w:val="auto"/>
                <w:sz w:val="24"/>
                <w:szCs w:val="24"/>
              </w:rPr>
            </w:pPr>
            <w:r>
              <w:rPr>
                <w:rFonts w:hint="eastAsia" w:ascii="宋体" w:hAnsi="宋体" w:eastAsia="宋体" w:cs="宋体"/>
                <w:color w:val="auto"/>
                <w:sz w:val="24"/>
                <w:szCs w:val="24"/>
              </w:rPr>
              <w:t>投标文件加密要求</w:t>
            </w:r>
          </w:p>
        </w:tc>
        <w:tc>
          <w:tcPr>
            <w:tcW w:w="685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80"/>
              <w:jc w:val="both"/>
              <w:rPr>
                <w:rFonts w:ascii="宋体" w:hAnsi="宋体" w:eastAsia="宋体" w:cs="宋体"/>
                <w:color w:val="auto"/>
                <w:sz w:val="24"/>
                <w:szCs w:val="24"/>
              </w:rPr>
            </w:pPr>
            <w:r>
              <w:rPr>
                <w:rFonts w:hint="eastAsia" w:ascii="宋体" w:hAnsi="宋体" w:eastAsia="宋体" w:cs="宋体"/>
                <w:color w:val="auto"/>
                <w:sz w:val="24"/>
                <w:szCs w:val="24"/>
              </w:rPr>
              <w:t>密封包装，并加盖</w:t>
            </w:r>
            <w:r>
              <w:rPr>
                <w:rFonts w:hint="eastAsia" w:ascii="宋体" w:hAnsi="宋体" w:cs="宋体"/>
                <w:color w:val="auto"/>
                <w:sz w:val="24"/>
                <w:szCs w:val="24"/>
                <w:lang w:eastAsia="zh-CN"/>
              </w:rPr>
              <w:t>公</w:t>
            </w:r>
            <w:r>
              <w:rPr>
                <w:rFonts w:hint="eastAsia" w:ascii="宋体" w:hAnsi="宋体" w:eastAsia="宋体" w:cs="宋体"/>
                <w:color w:val="auto"/>
                <w:sz w:val="24"/>
                <w:szCs w:val="24"/>
              </w:rPr>
              <w:t>章。</w:t>
            </w:r>
          </w:p>
        </w:tc>
      </w:tr>
      <w:tr>
        <w:tblPrEx>
          <w:tblLayout w:type="fixed"/>
          <w:tblCellMar>
            <w:top w:w="0" w:type="dxa"/>
            <w:left w:w="108" w:type="dxa"/>
            <w:bottom w:w="0" w:type="dxa"/>
            <w:right w:w="108" w:type="dxa"/>
          </w:tblCellMar>
        </w:tblPrEx>
        <w:trPr>
          <w:trHeight w:val="1685" w:hRule="atLeast"/>
          <w:jc w:val="center"/>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color w:val="auto"/>
                <w:sz w:val="24"/>
                <w:szCs w:val="24"/>
              </w:rPr>
            </w:pPr>
            <w:r>
              <w:rPr>
                <w:rFonts w:hint="eastAsia" w:ascii="宋体" w:hAnsi="宋体" w:eastAsia="宋体" w:cs="宋体"/>
                <w:color w:val="auto"/>
                <w:sz w:val="24"/>
                <w:szCs w:val="24"/>
              </w:rPr>
              <w:t>4.1.2</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color w:val="auto"/>
                <w:sz w:val="24"/>
                <w:szCs w:val="24"/>
              </w:rPr>
            </w:pPr>
            <w:r>
              <w:rPr>
                <w:rFonts w:hint="eastAsia" w:ascii="宋体" w:hAnsi="宋体" w:eastAsia="宋体" w:cs="宋体"/>
                <w:color w:val="auto"/>
                <w:sz w:val="24"/>
                <w:szCs w:val="24"/>
              </w:rPr>
              <w:t>封套上写明</w:t>
            </w:r>
          </w:p>
        </w:tc>
        <w:tc>
          <w:tcPr>
            <w:tcW w:w="6855" w:type="dxa"/>
            <w:tcBorders>
              <w:top w:val="single" w:color="auto" w:sz="4" w:space="0"/>
              <w:left w:val="single" w:color="auto" w:sz="4" w:space="0"/>
              <w:bottom w:val="single" w:color="auto" w:sz="4" w:space="0"/>
              <w:right w:val="single" w:color="auto" w:sz="4" w:space="0"/>
            </w:tcBorders>
            <w:vAlign w:val="center"/>
          </w:tcPr>
          <w:p>
            <w:pPr>
              <w:pStyle w:val="93"/>
              <w:spacing w:before="10" w:line="264" w:lineRule="auto"/>
              <w:ind w:right="2874" w:firstLine="0" w:firstLineChars="0"/>
              <w:rPr>
                <w:rFonts w:ascii="宋体" w:hAnsi="宋体" w:eastAsia="宋体" w:cs="Microsoft JhengHei"/>
                <w:color w:val="auto"/>
                <w:sz w:val="24"/>
                <w:szCs w:val="24"/>
              </w:rPr>
            </w:pPr>
            <w:r>
              <w:rPr>
                <w:rFonts w:ascii="宋体" w:hAnsi="宋体" w:eastAsia="宋体" w:cs="Microsoft JhengHei"/>
                <w:color w:val="auto"/>
                <w:sz w:val="24"/>
                <w:szCs w:val="24"/>
              </w:rPr>
              <w:t>招标</w:t>
            </w:r>
            <w:r>
              <w:rPr>
                <w:rFonts w:ascii="宋体" w:hAnsi="宋体" w:eastAsia="宋体" w:cs="Microsoft JhengHei"/>
                <w:color w:val="auto"/>
                <w:spacing w:val="-3"/>
                <w:sz w:val="24"/>
                <w:szCs w:val="24"/>
              </w:rPr>
              <w:t>人</w:t>
            </w:r>
            <w:r>
              <w:rPr>
                <w:rFonts w:ascii="宋体" w:hAnsi="宋体" w:eastAsia="宋体" w:cs="Microsoft JhengHei"/>
                <w:color w:val="auto"/>
                <w:sz w:val="24"/>
                <w:szCs w:val="24"/>
              </w:rPr>
              <w:t>名</w:t>
            </w:r>
            <w:r>
              <w:rPr>
                <w:rFonts w:ascii="宋体" w:hAnsi="宋体" w:eastAsia="宋体" w:cs="Microsoft JhengHei"/>
                <w:color w:val="auto"/>
                <w:spacing w:val="-3"/>
                <w:sz w:val="24"/>
                <w:szCs w:val="24"/>
              </w:rPr>
              <w:t>称</w:t>
            </w:r>
            <w:r>
              <w:rPr>
                <w:rFonts w:ascii="宋体" w:hAnsi="宋体" w:eastAsia="宋体" w:cs="Microsoft JhengHei"/>
                <w:color w:val="auto"/>
                <w:sz w:val="24"/>
                <w:szCs w:val="24"/>
              </w:rPr>
              <w:t xml:space="preserve">： </w:t>
            </w:r>
          </w:p>
          <w:p>
            <w:pPr>
              <w:pStyle w:val="93"/>
              <w:spacing w:before="10" w:line="264" w:lineRule="auto"/>
              <w:ind w:right="2874" w:firstLine="0" w:firstLineChars="0"/>
              <w:rPr>
                <w:rFonts w:ascii="宋体" w:hAnsi="宋体" w:eastAsia="宋体" w:cs="Microsoft JhengHei"/>
                <w:color w:val="auto"/>
                <w:sz w:val="24"/>
                <w:szCs w:val="24"/>
              </w:rPr>
            </w:pPr>
            <w:r>
              <w:rPr>
                <w:rFonts w:ascii="宋体" w:hAnsi="宋体" w:eastAsia="宋体" w:cs="Microsoft JhengHei"/>
                <w:color w:val="auto"/>
                <w:sz w:val="24"/>
                <w:szCs w:val="24"/>
              </w:rPr>
              <w:t>招标</w:t>
            </w:r>
            <w:r>
              <w:rPr>
                <w:rFonts w:ascii="宋体" w:hAnsi="宋体" w:eastAsia="宋体" w:cs="Microsoft JhengHei"/>
                <w:color w:val="auto"/>
                <w:spacing w:val="-3"/>
                <w:sz w:val="24"/>
                <w:szCs w:val="24"/>
              </w:rPr>
              <w:t>人</w:t>
            </w:r>
            <w:r>
              <w:rPr>
                <w:rFonts w:ascii="宋体" w:hAnsi="宋体" w:eastAsia="宋体" w:cs="Microsoft JhengHei"/>
                <w:color w:val="auto"/>
                <w:sz w:val="24"/>
                <w:szCs w:val="24"/>
              </w:rPr>
              <w:t>地</w:t>
            </w:r>
            <w:r>
              <w:rPr>
                <w:rFonts w:ascii="宋体" w:hAnsi="宋体" w:eastAsia="宋体" w:cs="Microsoft JhengHei"/>
                <w:color w:val="auto"/>
                <w:spacing w:val="-3"/>
                <w:sz w:val="24"/>
                <w:szCs w:val="24"/>
              </w:rPr>
              <w:t>址</w:t>
            </w:r>
            <w:r>
              <w:rPr>
                <w:rFonts w:ascii="宋体" w:hAnsi="宋体" w:eastAsia="宋体" w:cs="Microsoft JhengHei"/>
                <w:color w:val="auto"/>
                <w:sz w:val="24"/>
                <w:szCs w:val="24"/>
              </w:rPr>
              <w:t>：</w:t>
            </w:r>
          </w:p>
          <w:p>
            <w:pPr>
              <w:pStyle w:val="93"/>
              <w:tabs>
                <w:tab w:val="left" w:pos="1156"/>
              </w:tabs>
              <w:spacing w:before="11" w:line="266" w:lineRule="auto"/>
              <w:ind w:right="103" w:firstLine="0" w:firstLineChars="0"/>
              <w:rPr>
                <w:rFonts w:ascii="宋体" w:hAnsi="宋体" w:eastAsia="宋体" w:cs="Microsoft JhengHei"/>
                <w:color w:val="auto"/>
                <w:sz w:val="24"/>
                <w:szCs w:val="24"/>
              </w:rPr>
            </w:pPr>
            <w:r>
              <w:rPr>
                <w:rFonts w:ascii="宋体" w:hAnsi="宋体" w:eastAsia="宋体" w:cs="Microsoft JhengHei"/>
                <w:color w:val="auto"/>
                <w:w w:val="201"/>
                <w:sz w:val="24"/>
                <w:szCs w:val="24"/>
                <w:u w:val="single" w:color="000000"/>
              </w:rPr>
              <w:t xml:space="preserve"> </w:t>
            </w:r>
            <w:r>
              <w:rPr>
                <w:rFonts w:hint="eastAsia" w:ascii="宋体" w:hAnsi="宋体" w:eastAsia="宋体" w:cs="Microsoft JhengHei"/>
                <w:color w:val="auto"/>
                <w:w w:val="201"/>
                <w:sz w:val="24"/>
                <w:szCs w:val="24"/>
                <w:u w:val="single" w:color="000000"/>
              </w:rPr>
              <w:t xml:space="preserve">     </w:t>
            </w:r>
            <w:r>
              <w:rPr>
                <w:rFonts w:ascii="宋体" w:hAnsi="宋体" w:eastAsia="宋体" w:cs="Microsoft JhengHei"/>
                <w:color w:val="auto"/>
                <w:sz w:val="24"/>
                <w:szCs w:val="24"/>
                <w:u w:val="single" w:color="000000"/>
              </w:rPr>
              <w:tab/>
            </w:r>
            <w:r>
              <w:rPr>
                <w:rFonts w:ascii="宋体" w:hAnsi="宋体" w:eastAsia="宋体" w:cs="Microsoft JhengHei"/>
                <w:color w:val="auto"/>
                <w:sz w:val="24"/>
                <w:szCs w:val="24"/>
              </w:rPr>
              <w:t>（</w:t>
            </w:r>
            <w:r>
              <w:rPr>
                <w:rFonts w:ascii="宋体" w:hAnsi="宋体" w:eastAsia="宋体" w:cs="Microsoft JhengHei"/>
                <w:color w:val="auto"/>
                <w:spacing w:val="2"/>
                <w:sz w:val="24"/>
                <w:szCs w:val="24"/>
              </w:rPr>
              <w:t>项目名称</w:t>
            </w:r>
            <w:r>
              <w:rPr>
                <w:rFonts w:ascii="宋体" w:hAnsi="宋体" w:eastAsia="宋体" w:cs="Microsoft JhengHei"/>
                <w:color w:val="auto"/>
                <w:sz w:val="24"/>
                <w:szCs w:val="24"/>
              </w:rPr>
              <w:t>）</w:t>
            </w:r>
            <w:r>
              <w:rPr>
                <w:rFonts w:ascii="宋体" w:hAnsi="宋体" w:eastAsia="宋体" w:cs="Microsoft JhengHei"/>
                <w:color w:val="auto"/>
                <w:spacing w:val="2"/>
                <w:sz w:val="24"/>
                <w:szCs w:val="24"/>
              </w:rPr>
              <w:t>招标项</w:t>
            </w:r>
            <w:r>
              <w:rPr>
                <w:rFonts w:ascii="宋体" w:hAnsi="宋体" w:eastAsia="宋体" w:cs="Microsoft JhengHei"/>
                <w:color w:val="auto"/>
                <w:sz w:val="24"/>
                <w:szCs w:val="24"/>
              </w:rPr>
              <w:t>目</w:t>
            </w:r>
            <w:r>
              <w:rPr>
                <w:rFonts w:hint="eastAsia" w:ascii="宋体" w:hAnsi="宋体" w:cs="Microsoft JhengHei"/>
                <w:color w:val="auto"/>
                <w:sz w:val="24"/>
                <w:szCs w:val="24"/>
                <w:lang w:val="en-US" w:eastAsia="zh-CN"/>
              </w:rPr>
              <w:t xml:space="preserve">   标段</w:t>
            </w:r>
            <w:r>
              <w:rPr>
                <w:rFonts w:ascii="宋体" w:hAnsi="宋体" w:eastAsia="宋体" w:cs="Microsoft JhengHei"/>
                <w:color w:val="auto"/>
                <w:sz w:val="24"/>
                <w:szCs w:val="24"/>
              </w:rPr>
              <w:t>投标</w:t>
            </w:r>
            <w:r>
              <w:rPr>
                <w:rFonts w:ascii="宋体" w:hAnsi="宋体" w:eastAsia="宋体" w:cs="Microsoft JhengHei"/>
                <w:color w:val="auto"/>
                <w:spacing w:val="-3"/>
                <w:sz w:val="24"/>
                <w:szCs w:val="24"/>
              </w:rPr>
              <w:t>文</w:t>
            </w:r>
            <w:r>
              <w:rPr>
                <w:rFonts w:ascii="宋体" w:hAnsi="宋体" w:eastAsia="宋体" w:cs="Microsoft JhengHei"/>
                <w:color w:val="auto"/>
                <w:sz w:val="24"/>
                <w:szCs w:val="24"/>
              </w:rPr>
              <w:t>件</w:t>
            </w:r>
          </w:p>
          <w:p>
            <w:pPr>
              <w:pStyle w:val="93"/>
              <w:spacing w:before="6"/>
              <w:ind w:firstLine="0" w:firstLineChars="0"/>
              <w:rPr>
                <w:rFonts w:ascii="宋体" w:hAnsi="宋体" w:eastAsia="宋体" w:cs="Microsoft JhengHei"/>
                <w:color w:val="auto"/>
                <w:sz w:val="24"/>
                <w:szCs w:val="24"/>
              </w:rPr>
            </w:pPr>
            <w:r>
              <w:rPr>
                <w:rFonts w:ascii="宋体" w:hAnsi="宋体" w:eastAsia="宋体" w:cs="Microsoft JhengHei"/>
                <w:color w:val="auto"/>
                <w:sz w:val="24"/>
                <w:szCs w:val="24"/>
              </w:rPr>
              <w:t>招标</w:t>
            </w:r>
            <w:r>
              <w:rPr>
                <w:rFonts w:ascii="宋体" w:hAnsi="宋体" w:eastAsia="宋体" w:cs="Microsoft JhengHei"/>
                <w:color w:val="auto"/>
                <w:spacing w:val="-3"/>
                <w:sz w:val="24"/>
                <w:szCs w:val="24"/>
              </w:rPr>
              <w:t>项</w:t>
            </w:r>
            <w:r>
              <w:rPr>
                <w:rFonts w:ascii="宋体" w:hAnsi="宋体" w:eastAsia="宋体" w:cs="Microsoft JhengHei"/>
                <w:color w:val="auto"/>
                <w:sz w:val="24"/>
                <w:szCs w:val="24"/>
              </w:rPr>
              <w:t>目</w:t>
            </w:r>
            <w:r>
              <w:rPr>
                <w:rFonts w:ascii="宋体" w:hAnsi="宋体" w:eastAsia="宋体" w:cs="Microsoft JhengHei"/>
                <w:color w:val="auto"/>
                <w:spacing w:val="-3"/>
                <w:sz w:val="24"/>
                <w:szCs w:val="24"/>
              </w:rPr>
              <w:t>编</w:t>
            </w:r>
            <w:r>
              <w:rPr>
                <w:rFonts w:ascii="宋体" w:hAnsi="宋体" w:eastAsia="宋体" w:cs="Microsoft JhengHei"/>
                <w:color w:val="auto"/>
                <w:sz w:val="24"/>
                <w:szCs w:val="24"/>
              </w:rPr>
              <w:t>号：</w:t>
            </w:r>
          </w:p>
          <w:p>
            <w:pPr>
              <w:spacing w:line="400" w:lineRule="exact"/>
              <w:ind w:firstLine="0" w:firstLineChars="0"/>
              <w:rPr>
                <w:rFonts w:ascii="宋体" w:hAnsi="宋体" w:eastAsia="宋体" w:cs="宋体"/>
                <w:color w:val="auto"/>
                <w:sz w:val="24"/>
                <w:szCs w:val="24"/>
                <w:u w:val="single"/>
              </w:rPr>
            </w:pPr>
            <w:r>
              <w:rPr>
                <w:rFonts w:hint="eastAsia" w:ascii="宋体" w:hAnsi="宋体" w:eastAsia="宋体" w:cs="宋体"/>
                <w:color w:val="auto"/>
                <w:sz w:val="24"/>
                <w:szCs w:val="24"/>
              </w:rPr>
              <w:t>在</w:t>
            </w:r>
            <w:r>
              <w:rPr>
                <w:rFonts w:hint="eastAsia" w:ascii="宋体" w:hAnsi="宋体" w:eastAsia="宋体" w:cs="宋体"/>
                <w:color w:val="auto"/>
                <w:sz w:val="24"/>
                <w:szCs w:val="24"/>
                <w:lang w:eastAsia="zh-CN"/>
              </w:rPr>
              <w:t>201</w:t>
            </w:r>
            <w:r>
              <w:rPr>
                <w:rFonts w:hint="eastAsia" w:ascii="宋体" w:hAnsi="宋体" w:cs="宋体"/>
                <w:color w:val="auto"/>
                <w:sz w:val="24"/>
                <w:szCs w:val="24"/>
                <w:lang w:val="en-US" w:eastAsia="zh-CN"/>
              </w:rPr>
              <w:t>9</w:t>
            </w:r>
            <w:r>
              <w:rPr>
                <w:rFonts w:hint="eastAsia" w:ascii="宋体" w:hAnsi="宋体" w:eastAsia="宋体" w:cs="宋体"/>
                <w:color w:val="auto"/>
                <w:sz w:val="24"/>
                <w:szCs w:val="24"/>
                <w:lang w:eastAsia="zh-CN"/>
              </w:rPr>
              <w:t>年</w:t>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lang w:eastAsia="zh-CN"/>
              </w:rPr>
              <w:t>月</w:t>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lang w:eastAsia="zh-CN"/>
              </w:rPr>
              <w:t>日</w:t>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lang w:eastAsia="zh-CN"/>
              </w:rPr>
              <w:t>时</w:t>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lang w:eastAsia="zh-CN"/>
              </w:rPr>
              <w:t>分</w:t>
            </w:r>
            <w:r>
              <w:rPr>
                <w:rFonts w:hint="eastAsia" w:ascii="宋体" w:hAnsi="宋体" w:eastAsia="宋体" w:cs="宋体"/>
                <w:color w:val="auto"/>
                <w:sz w:val="24"/>
                <w:szCs w:val="24"/>
              </w:rPr>
              <w:t xml:space="preserve">前不得开启。               </w:t>
            </w:r>
          </w:p>
        </w:tc>
      </w:tr>
      <w:tr>
        <w:tblPrEx>
          <w:tblLayout w:type="fixed"/>
          <w:tblCellMar>
            <w:top w:w="0" w:type="dxa"/>
            <w:left w:w="108" w:type="dxa"/>
            <w:bottom w:w="0" w:type="dxa"/>
            <w:right w:w="108" w:type="dxa"/>
          </w:tblCellMar>
        </w:tblPrEx>
        <w:trPr>
          <w:trHeight w:val="618" w:hRule="atLeast"/>
          <w:jc w:val="center"/>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color w:val="auto"/>
                <w:sz w:val="24"/>
                <w:szCs w:val="24"/>
              </w:rPr>
            </w:pPr>
            <w:r>
              <w:rPr>
                <w:rFonts w:hint="eastAsia" w:ascii="宋体" w:hAnsi="宋体" w:eastAsia="宋体" w:cs="宋体"/>
                <w:color w:val="auto"/>
                <w:sz w:val="24"/>
                <w:szCs w:val="24"/>
              </w:rPr>
              <w:t>4.2.1</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color w:val="auto"/>
                <w:sz w:val="24"/>
                <w:szCs w:val="24"/>
              </w:rPr>
            </w:pPr>
            <w:r>
              <w:rPr>
                <w:rFonts w:hint="eastAsia" w:ascii="宋体" w:hAnsi="宋体" w:eastAsia="宋体" w:cs="宋体"/>
                <w:color w:val="auto"/>
                <w:sz w:val="24"/>
                <w:szCs w:val="24"/>
              </w:rPr>
              <w:t>投标截止时间</w:t>
            </w:r>
          </w:p>
        </w:tc>
        <w:tc>
          <w:tcPr>
            <w:tcW w:w="685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80" w:firstLineChars="0"/>
              <w:rPr>
                <w:rFonts w:ascii="宋体" w:hAnsi="宋体" w:eastAsia="宋体" w:cs="宋体"/>
                <w:color w:val="auto"/>
                <w:sz w:val="24"/>
                <w:szCs w:val="24"/>
              </w:rPr>
            </w:pPr>
            <w:r>
              <w:rPr>
                <w:rFonts w:hint="eastAsia" w:ascii="宋体" w:hAnsi="宋体" w:eastAsia="宋体" w:cs="宋体"/>
                <w:color w:val="auto"/>
                <w:sz w:val="24"/>
                <w:szCs w:val="24"/>
                <w:lang w:eastAsia="zh-CN"/>
              </w:rPr>
              <w:t>201</w:t>
            </w:r>
            <w:r>
              <w:rPr>
                <w:rFonts w:hint="eastAsia" w:ascii="宋体" w:hAnsi="宋体" w:cs="宋体"/>
                <w:color w:val="auto"/>
                <w:sz w:val="24"/>
                <w:szCs w:val="24"/>
                <w:lang w:val="en-US" w:eastAsia="zh-CN"/>
              </w:rPr>
              <w:t>9</w:t>
            </w:r>
            <w:r>
              <w:rPr>
                <w:rFonts w:hint="eastAsia" w:ascii="宋体" w:hAnsi="宋体" w:eastAsia="宋体" w:cs="宋体"/>
                <w:color w:val="auto"/>
                <w:sz w:val="24"/>
                <w:szCs w:val="24"/>
                <w:lang w:eastAsia="zh-CN"/>
              </w:rPr>
              <w:t>年</w:t>
            </w:r>
            <w:r>
              <w:rPr>
                <w:rFonts w:hint="eastAsia" w:ascii="宋体" w:hAnsi="宋体" w:cs="宋体"/>
                <w:color w:val="auto"/>
                <w:sz w:val="24"/>
                <w:szCs w:val="24"/>
                <w:lang w:val="en-US" w:eastAsia="zh-CN"/>
              </w:rPr>
              <w:t xml:space="preserve"> 9 </w:t>
            </w:r>
            <w:r>
              <w:rPr>
                <w:rFonts w:hint="eastAsia" w:ascii="宋体" w:hAnsi="宋体" w:eastAsia="宋体" w:cs="宋体"/>
                <w:color w:val="auto"/>
                <w:sz w:val="24"/>
                <w:szCs w:val="24"/>
                <w:lang w:eastAsia="zh-CN"/>
              </w:rPr>
              <w:t>月</w:t>
            </w:r>
            <w:r>
              <w:rPr>
                <w:rFonts w:hint="eastAsia" w:ascii="宋体" w:hAnsi="宋体" w:cs="宋体"/>
                <w:color w:val="auto"/>
                <w:sz w:val="24"/>
                <w:szCs w:val="24"/>
                <w:lang w:val="en-US" w:eastAsia="zh-CN"/>
              </w:rPr>
              <w:t xml:space="preserve">18 </w:t>
            </w:r>
            <w:r>
              <w:rPr>
                <w:rFonts w:hint="eastAsia" w:ascii="宋体" w:hAnsi="宋体" w:eastAsia="宋体" w:cs="宋体"/>
                <w:color w:val="auto"/>
                <w:sz w:val="24"/>
                <w:szCs w:val="24"/>
                <w:lang w:eastAsia="zh-CN"/>
              </w:rPr>
              <w:t>日</w:t>
            </w:r>
            <w:r>
              <w:rPr>
                <w:rFonts w:hint="eastAsia" w:ascii="宋体" w:hAnsi="宋体" w:cs="宋体"/>
                <w:color w:val="auto"/>
                <w:sz w:val="24"/>
                <w:szCs w:val="24"/>
                <w:lang w:val="en-US" w:eastAsia="zh-CN"/>
              </w:rPr>
              <w:t xml:space="preserve"> 9 </w:t>
            </w:r>
            <w:r>
              <w:rPr>
                <w:rFonts w:hint="eastAsia" w:ascii="宋体" w:hAnsi="宋体" w:eastAsia="宋体" w:cs="宋体"/>
                <w:color w:val="auto"/>
                <w:sz w:val="24"/>
                <w:szCs w:val="24"/>
                <w:lang w:eastAsia="zh-CN"/>
              </w:rPr>
              <w:t>时</w:t>
            </w:r>
            <w:r>
              <w:rPr>
                <w:rFonts w:hint="eastAsia" w:ascii="宋体" w:hAnsi="宋体" w:cs="宋体"/>
                <w:color w:val="auto"/>
                <w:sz w:val="24"/>
                <w:szCs w:val="24"/>
                <w:lang w:val="en-US" w:eastAsia="zh-CN"/>
              </w:rPr>
              <w:t xml:space="preserve"> 30</w:t>
            </w:r>
            <w:r>
              <w:rPr>
                <w:rFonts w:hint="eastAsia" w:ascii="宋体" w:hAnsi="宋体" w:eastAsia="宋体" w:cs="宋体"/>
                <w:color w:val="auto"/>
                <w:sz w:val="24"/>
                <w:szCs w:val="24"/>
                <w:lang w:eastAsia="zh-CN"/>
              </w:rPr>
              <w:t>分</w:t>
            </w:r>
            <w:r>
              <w:rPr>
                <w:rFonts w:hint="eastAsia" w:ascii="宋体" w:hAnsi="宋体" w:eastAsia="宋体" w:cs="宋体"/>
                <w:color w:val="auto"/>
                <w:sz w:val="24"/>
                <w:szCs w:val="24"/>
              </w:rPr>
              <w:t>（北京时间）</w:t>
            </w:r>
          </w:p>
        </w:tc>
      </w:tr>
      <w:tr>
        <w:tblPrEx>
          <w:tblLayout w:type="fixed"/>
          <w:tblCellMar>
            <w:top w:w="0" w:type="dxa"/>
            <w:left w:w="108" w:type="dxa"/>
            <w:bottom w:w="0" w:type="dxa"/>
            <w:right w:w="108" w:type="dxa"/>
          </w:tblCellMar>
        </w:tblPrEx>
        <w:trPr>
          <w:trHeight w:val="640" w:hRule="atLeast"/>
          <w:jc w:val="center"/>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color w:val="auto"/>
                <w:sz w:val="24"/>
                <w:szCs w:val="24"/>
              </w:rPr>
            </w:pPr>
            <w:r>
              <w:rPr>
                <w:rFonts w:hint="eastAsia" w:ascii="宋体" w:hAnsi="宋体" w:eastAsia="宋体" w:cs="宋体"/>
                <w:color w:val="auto"/>
                <w:sz w:val="24"/>
                <w:szCs w:val="24"/>
              </w:rPr>
              <w:t>4.2.2</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color w:val="auto"/>
                <w:sz w:val="24"/>
                <w:szCs w:val="24"/>
              </w:rPr>
            </w:pPr>
            <w:r>
              <w:rPr>
                <w:rFonts w:hint="eastAsia" w:ascii="宋体" w:hAnsi="宋体" w:eastAsia="宋体" w:cs="宋体"/>
                <w:color w:val="auto"/>
                <w:sz w:val="24"/>
                <w:szCs w:val="24"/>
              </w:rPr>
              <w:t>递交投标文件地点</w:t>
            </w:r>
          </w:p>
        </w:tc>
        <w:tc>
          <w:tcPr>
            <w:tcW w:w="6855" w:type="dxa"/>
            <w:tcBorders>
              <w:top w:val="single" w:color="auto" w:sz="4" w:space="0"/>
              <w:left w:val="single" w:color="auto" w:sz="4" w:space="0"/>
              <w:bottom w:val="single" w:color="auto" w:sz="4" w:space="0"/>
              <w:right w:val="single" w:color="auto" w:sz="4" w:space="0"/>
            </w:tcBorders>
            <w:vAlign w:val="center"/>
          </w:tcPr>
          <w:p>
            <w:pPr>
              <w:spacing w:line="400" w:lineRule="exact"/>
              <w:jc w:val="both"/>
              <w:rPr>
                <w:rFonts w:ascii="宋体" w:hAnsi="宋体" w:eastAsia="宋体" w:cs="宋体"/>
                <w:color w:val="auto"/>
                <w:sz w:val="24"/>
                <w:szCs w:val="24"/>
              </w:rPr>
            </w:pPr>
            <w:r>
              <w:rPr>
                <w:rFonts w:hint="eastAsia" w:ascii="宋体" w:hAnsi="宋体" w:eastAsia="宋体" w:cs="宋体"/>
                <w:color w:val="auto"/>
                <w:sz w:val="24"/>
                <w:szCs w:val="24"/>
                <w:lang w:eastAsia="zh-CN"/>
              </w:rPr>
              <w:t>（许昌市龙兴路竹林路交汇处公共资源大厦三楼）开标</w:t>
            </w:r>
            <w:r>
              <w:rPr>
                <w:rFonts w:hint="eastAsia" w:ascii="宋体" w:hAnsi="宋体" w:cs="宋体"/>
                <w:color w:val="auto"/>
                <w:sz w:val="24"/>
                <w:szCs w:val="24"/>
                <w:lang w:val="en-US" w:eastAsia="zh-CN"/>
              </w:rPr>
              <w:t xml:space="preserve"> </w:t>
            </w:r>
            <w:r>
              <w:rPr>
                <w:rFonts w:hint="eastAsia" w:ascii="宋体" w:hAnsi="宋体" w:cs="宋体"/>
                <w:color w:val="auto"/>
                <w:sz w:val="24"/>
                <w:szCs w:val="24"/>
                <w:lang w:eastAsia="zh-CN"/>
              </w:rPr>
              <w:t>三</w:t>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lang w:eastAsia="zh-CN"/>
              </w:rPr>
              <w:t>室。</w:t>
            </w:r>
          </w:p>
        </w:tc>
      </w:tr>
      <w:tr>
        <w:tblPrEx>
          <w:tblLayout w:type="fixed"/>
          <w:tblCellMar>
            <w:top w:w="0" w:type="dxa"/>
            <w:left w:w="108" w:type="dxa"/>
            <w:bottom w:w="0" w:type="dxa"/>
            <w:right w:w="108" w:type="dxa"/>
          </w:tblCellMar>
        </w:tblPrEx>
        <w:trPr>
          <w:trHeight w:val="680" w:hRule="atLeast"/>
          <w:jc w:val="center"/>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color w:val="auto"/>
                <w:sz w:val="24"/>
                <w:szCs w:val="24"/>
              </w:rPr>
            </w:pPr>
            <w:r>
              <w:rPr>
                <w:rFonts w:hint="eastAsia" w:ascii="宋体" w:hAnsi="宋体" w:eastAsia="宋体" w:cs="宋体"/>
                <w:color w:val="auto"/>
                <w:sz w:val="24"/>
                <w:szCs w:val="24"/>
              </w:rPr>
              <w:t>4.2.3</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color w:val="auto"/>
                <w:sz w:val="24"/>
                <w:szCs w:val="24"/>
              </w:rPr>
            </w:pPr>
            <w:r>
              <w:rPr>
                <w:rFonts w:hint="eastAsia" w:ascii="宋体" w:hAnsi="宋体" w:eastAsia="宋体" w:cs="宋体"/>
                <w:color w:val="auto"/>
                <w:sz w:val="24"/>
                <w:szCs w:val="24"/>
              </w:rPr>
              <w:t>投标文件是否退还</w:t>
            </w:r>
          </w:p>
        </w:tc>
        <w:tc>
          <w:tcPr>
            <w:tcW w:w="685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color w:val="auto"/>
                <w:sz w:val="24"/>
                <w:szCs w:val="24"/>
              </w:rPr>
            </w:pPr>
            <w:r>
              <w:rPr>
                <w:rFonts w:hint="eastAsia" w:ascii="宋体" w:hAnsi="宋体" w:eastAsia="宋体" w:cs="宋体"/>
                <w:color w:val="auto"/>
                <w:sz w:val="24"/>
                <w:szCs w:val="24"/>
              </w:rPr>
              <w:t>否</w:t>
            </w:r>
          </w:p>
        </w:tc>
      </w:tr>
      <w:tr>
        <w:tblPrEx>
          <w:tblLayout w:type="fixed"/>
          <w:tblCellMar>
            <w:top w:w="0" w:type="dxa"/>
            <w:left w:w="108" w:type="dxa"/>
            <w:bottom w:w="0" w:type="dxa"/>
            <w:right w:w="108" w:type="dxa"/>
          </w:tblCellMar>
        </w:tblPrEx>
        <w:trPr>
          <w:trHeight w:val="425" w:hRule="atLeast"/>
          <w:jc w:val="center"/>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color w:val="auto"/>
                <w:sz w:val="24"/>
                <w:szCs w:val="24"/>
              </w:rPr>
            </w:pPr>
            <w:r>
              <w:rPr>
                <w:rFonts w:hint="eastAsia" w:ascii="宋体" w:hAnsi="宋体" w:eastAsia="宋体" w:cs="宋体"/>
                <w:color w:val="auto"/>
                <w:sz w:val="24"/>
                <w:szCs w:val="24"/>
              </w:rPr>
              <w:t>5.1</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color w:val="auto"/>
                <w:sz w:val="24"/>
                <w:szCs w:val="24"/>
              </w:rPr>
            </w:pPr>
            <w:r>
              <w:rPr>
                <w:rFonts w:hint="eastAsia" w:ascii="宋体" w:hAnsi="宋体" w:eastAsia="宋体" w:cs="宋体"/>
                <w:color w:val="auto"/>
                <w:sz w:val="24"/>
                <w:szCs w:val="24"/>
              </w:rPr>
              <w:t>开标时间和地点</w:t>
            </w:r>
          </w:p>
        </w:tc>
        <w:tc>
          <w:tcPr>
            <w:tcW w:w="685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both"/>
              <w:rPr>
                <w:rFonts w:ascii="宋体" w:hAnsi="宋体" w:eastAsia="宋体" w:cs="宋体"/>
                <w:color w:val="auto"/>
                <w:sz w:val="24"/>
                <w:szCs w:val="24"/>
              </w:rPr>
            </w:pPr>
            <w:r>
              <w:rPr>
                <w:rFonts w:hint="eastAsia" w:ascii="宋体" w:hAnsi="宋体" w:eastAsia="宋体" w:cs="宋体"/>
                <w:color w:val="auto"/>
                <w:sz w:val="24"/>
                <w:szCs w:val="24"/>
              </w:rPr>
              <w:t>开标时间：同投标截止时间</w:t>
            </w:r>
          </w:p>
          <w:p>
            <w:pPr>
              <w:spacing w:line="400" w:lineRule="exact"/>
              <w:ind w:firstLine="0" w:firstLineChars="0"/>
              <w:jc w:val="both"/>
              <w:rPr>
                <w:rFonts w:ascii="宋体" w:hAnsi="宋体" w:eastAsia="宋体" w:cs="宋体"/>
                <w:color w:val="auto"/>
                <w:sz w:val="24"/>
                <w:szCs w:val="24"/>
              </w:rPr>
            </w:pPr>
            <w:r>
              <w:rPr>
                <w:rFonts w:hint="eastAsia" w:ascii="宋体" w:hAnsi="宋体" w:eastAsia="宋体" w:cs="宋体"/>
                <w:color w:val="auto"/>
                <w:sz w:val="24"/>
                <w:szCs w:val="24"/>
              </w:rPr>
              <w:t>开标地点：</w:t>
            </w:r>
            <w:r>
              <w:rPr>
                <w:rFonts w:hint="eastAsia" w:ascii="宋体" w:hAnsi="宋体" w:eastAsia="宋体" w:cs="宋体"/>
                <w:color w:val="auto"/>
                <w:sz w:val="24"/>
                <w:szCs w:val="24"/>
                <w:lang w:eastAsia="zh-CN"/>
              </w:rPr>
              <w:t>（许昌市龙兴路竹林路交汇处公共资源大厦三楼）开标</w:t>
            </w:r>
            <w:r>
              <w:rPr>
                <w:rFonts w:hint="eastAsia" w:ascii="宋体" w:hAnsi="宋体" w:cs="宋体"/>
                <w:color w:val="auto"/>
                <w:sz w:val="24"/>
                <w:szCs w:val="24"/>
                <w:lang w:val="en-US" w:eastAsia="zh-CN"/>
              </w:rPr>
              <w:t xml:space="preserve"> 三 </w:t>
            </w:r>
            <w:r>
              <w:rPr>
                <w:rFonts w:hint="eastAsia" w:ascii="宋体" w:hAnsi="宋体" w:eastAsia="宋体" w:cs="宋体"/>
                <w:color w:val="auto"/>
                <w:sz w:val="24"/>
                <w:szCs w:val="24"/>
                <w:lang w:eastAsia="zh-CN"/>
              </w:rPr>
              <w:t>室。</w:t>
            </w:r>
          </w:p>
        </w:tc>
      </w:tr>
      <w:tr>
        <w:tblPrEx>
          <w:tblLayout w:type="fixed"/>
          <w:tblCellMar>
            <w:top w:w="0" w:type="dxa"/>
            <w:left w:w="108" w:type="dxa"/>
            <w:bottom w:w="0" w:type="dxa"/>
            <w:right w:w="108" w:type="dxa"/>
          </w:tblCellMar>
        </w:tblPrEx>
        <w:trPr>
          <w:trHeight w:val="777" w:hRule="atLeast"/>
          <w:jc w:val="center"/>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color w:val="auto"/>
                <w:sz w:val="24"/>
                <w:szCs w:val="24"/>
              </w:rPr>
            </w:pPr>
            <w:r>
              <w:rPr>
                <w:rFonts w:hint="eastAsia" w:ascii="宋体" w:hAnsi="宋体" w:eastAsia="宋体" w:cs="宋体"/>
                <w:color w:val="auto"/>
                <w:sz w:val="24"/>
                <w:szCs w:val="24"/>
              </w:rPr>
              <w:t>5.2</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color w:val="auto"/>
                <w:sz w:val="24"/>
                <w:szCs w:val="24"/>
              </w:rPr>
            </w:pPr>
            <w:r>
              <w:rPr>
                <w:rFonts w:hint="eastAsia" w:ascii="宋体" w:hAnsi="宋体" w:eastAsia="宋体" w:cs="宋体"/>
                <w:color w:val="auto"/>
                <w:sz w:val="24"/>
                <w:szCs w:val="24"/>
              </w:rPr>
              <w:t>开标程序</w:t>
            </w:r>
          </w:p>
        </w:tc>
        <w:tc>
          <w:tcPr>
            <w:tcW w:w="685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rFonts w:ascii="宋体" w:hAnsi="宋体" w:eastAsia="宋体" w:cs="宋体"/>
                <w:color w:val="auto"/>
                <w:sz w:val="24"/>
                <w:szCs w:val="24"/>
              </w:rPr>
            </w:pPr>
            <w:r>
              <w:rPr>
                <w:rFonts w:hint="eastAsia" w:ascii="宋体" w:hAnsi="宋体" w:eastAsia="宋体" w:cs="宋体"/>
                <w:color w:val="auto"/>
                <w:sz w:val="24"/>
                <w:szCs w:val="24"/>
              </w:rPr>
              <w:t>密封情况检查：由投标人代表检查其投标文件是否密封完好。</w:t>
            </w:r>
          </w:p>
          <w:p>
            <w:pPr>
              <w:spacing w:line="400" w:lineRule="exact"/>
              <w:ind w:firstLine="0" w:firstLineChars="0"/>
              <w:rPr>
                <w:rFonts w:ascii="宋体" w:hAnsi="宋体" w:eastAsia="宋体" w:cs="宋体"/>
                <w:color w:val="auto"/>
                <w:sz w:val="24"/>
                <w:szCs w:val="24"/>
              </w:rPr>
            </w:pPr>
            <w:r>
              <w:rPr>
                <w:rFonts w:hint="eastAsia" w:ascii="宋体" w:hAnsi="宋体" w:eastAsia="宋体" w:cs="宋体"/>
                <w:color w:val="auto"/>
                <w:sz w:val="24"/>
                <w:szCs w:val="24"/>
              </w:rPr>
              <w:t>开标顺序：按送达投标文件的逆顺序开标。</w:t>
            </w:r>
          </w:p>
        </w:tc>
      </w:tr>
      <w:tr>
        <w:tblPrEx>
          <w:tblLayout w:type="fixed"/>
          <w:tblCellMar>
            <w:top w:w="0" w:type="dxa"/>
            <w:left w:w="108" w:type="dxa"/>
            <w:bottom w:w="0" w:type="dxa"/>
            <w:right w:w="108" w:type="dxa"/>
          </w:tblCellMar>
        </w:tblPrEx>
        <w:trPr>
          <w:trHeight w:val="840" w:hRule="atLeast"/>
          <w:jc w:val="center"/>
        </w:trPr>
        <w:tc>
          <w:tcPr>
            <w:tcW w:w="951" w:type="dxa"/>
            <w:gridSpan w:val="2"/>
            <w:tcBorders>
              <w:top w:val="single" w:color="auto" w:sz="4" w:space="0"/>
              <w:left w:val="single" w:color="auto" w:sz="4" w:space="0"/>
              <w:bottom w:val="nil"/>
              <w:right w:val="single" w:color="auto" w:sz="4" w:space="0"/>
            </w:tcBorders>
            <w:vAlign w:val="center"/>
          </w:tcPr>
          <w:p>
            <w:pPr>
              <w:spacing w:line="400" w:lineRule="exact"/>
              <w:ind w:firstLine="0" w:firstLineChars="0"/>
              <w:jc w:val="center"/>
              <w:rPr>
                <w:rFonts w:ascii="宋体" w:hAnsi="宋体" w:eastAsia="宋体" w:cs="宋体"/>
                <w:b/>
                <w:color w:val="auto"/>
                <w:sz w:val="24"/>
                <w:szCs w:val="24"/>
              </w:rPr>
            </w:pPr>
            <w:r>
              <w:rPr>
                <w:rFonts w:hint="eastAsia" w:ascii="宋体" w:hAnsi="宋体" w:eastAsia="宋体" w:cs="宋体"/>
                <w:color w:val="auto"/>
                <w:sz w:val="24"/>
                <w:szCs w:val="24"/>
              </w:rPr>
              <w:t>6.1.1</w:t>
            </w:r>
          </w:p>
        </w:tc>
        <w:tc>
          <w:tcPr>
            <w:tcW w:w="2250" w:type="dxa"/>
            <w:gridSpan w:val="2"/>
            <w:tcBorders>
              <w:top w:val="single" w:color="auto" w:sz="4" w:space="0"/>
              <w:left w:val="single" w:color="auto" w:sz="4" w:space="0"/>
              <w:bottom w:val="nil"/>
              <w:right w:val="single" w:color="auto" w:sz="4" w:space="0"/>
            </w:tcBorders>
            <w:vAlign w:val="center"/>
          </w:tcPr>
          <w:p>
            <w:pPr>
              <w:spacing w:line="400" w:lineRule="exact"/>
              <w:ind w:firstLine="0" w:firstLineChars="0"/>
              <w:jc w:val="center"/>
              <w:rPr>
                <w:rFonts w:ascii="宋体" w:hAnsi="宋体" w:eastAsia="宋体" w:cs="宋体"/>
                <w:color w:val="auto"/>
                <w:sz w:val="24"/>
                <w:szCs w:val="24"/>
              </w:rPr>
            </w:pPr>
            <w:r>
              <w:rPr>
                <w:rFonts w:hint="eastAsia" w:ascii="宋体" w:hAnsi="宋体" w:eastAsia="宋体" w:cs="宋体"/>
                <w:color w:val="auto"/>
                <w:sz w:val="24"/>
                <w:szCs w:val="24"/>
              </w:rPr>
              <w:t>评标委员会的组建</w:t>
            </w:r>
          </w:p>
        </w:tc>
        <w:tc>
          <w:tcPr>
            <w:tcW w:w="6855" w:type="dxa"/>
            <w:tcBorders>
              <w:top w:val="single" w:color="auto" w:sz="4" w:space="0"/>
              <w:left w:val="single" w:color="auto" w:sz="4" w:space="0"/>
              <w:bottom w:val="nil"/>
              <w:right w:val="single" w:color="auto" w:sz="4" w:space="0"/>
            </w:tcBorders>
            <w:vAlign w:val="center"/>
          </w:tcPr>
          <w:p>
            <w:pPr>
              <w:spacing w:line="400" w:lineRule="exact"/>
              <w:ind w:firstLine="0" w:firstLineChars="0"/>
              <w:rPr>
                <w:rFonts w:ascii="宋体" w:hAnsi="宋体" w:eastAsia="宋体" w:cs="宋体"/>
                <w:color w:val="auto"/>
                <w:sz w:val="24"/>
                <w:szCs w:val="24"/>
              </w:rPr>
            </w:pPr>
            <w:r>
              <w:rPr>
                <w:rFonts w:hint="eastAsia" w:ascii="宋体" w:hAnsi="宋体" w:eastAsia="宋体" w:cs="宋体"/>
                <w:color w:val="auto"/>
                <w:sz w:val="24"/>
                <w:szCs w:val="24"/>
              </w:rPr>
              <w:t>评标委员会构成：</w:t>
            </w:r>
            <w:r>
              <w:rPr>
                <w:rFonts w:hint="eastAsia" w:ascii="宋体" w:hAnsi="宋体" w:eastAsia="宋体" w:cs="宋体"/>
                <w:color w:val="auto"/>
                <w:sz w:val="24"/>
                <w:szCs w:val="24"/>
                <w:u w:val="single"/>
              </w:rPr>
              <w:t xml:space="preserve"> 5 </w:t>
            </w:r>
            <w:r>
              <w:rPr>
                <w:rFonts w:hint="eastAsia" w:ascii="宋体" w:hAnsi="宋体" w:eastAsia="宋体" w:cs="宋体"/>
                <w:color w:val="auto"/>
                <w:sz w:val="24"/>
                <w:szCs w:val="24"/>
              </w:rPr>
              <w:t>人，其中招标人代表</w:t>
            </w:r>
            <w:r>
              <w:rPr>
                <w:rFonts w:hint="eastAsia" w:ascii="宋体" w:hAnsi="宋体" w:eastAsia="宋体" w:cs="宋体"/>
                <w:color w:val="auto"/>
                <w:sz w:val="24"/>
                <w:szCs w:val="24"/>
                <w:u w:val="single"/>
              </w:rPr>
              <w:t xml:space="preserve"> 1 </w:t>
            </w:r>
            <w:r>
              <w:rPr>
                <w:rFonts w:hint="eastAsia" w:ascii="宋体" w:hAnsi="宋体" w:eastAsia="宋体" w:cs="宋体"/>
                <w:color w:val="auto"/>
                <w:sz w:val="24"/>
                <w:szCs w:val="24"/>
              </w:rPr>
              <w:t>人，评委专家</w:t>
            </w:r>
            <w:r>
              <w:rPr>
                <w:rFonts w:hint="eastAsia" w:ascii="宋体" w:hAnsi="宋体" w:eastAsia="宋体" w:cs="宋体"/>
                <w:color w:val="auto"/>
                <w:sz w:val="24"/>
                <w:szCs w:val="24"/>
                <w:u w:val="single"/>
              </w:rPr>
              <w:t xml:space="preserve"> 4 </w:t>
            </w:r>
            <w:r>
              <w:rPr>
                <w:rFonts w:hint="eastAsia" w:ascii="宋体" w:hAnsi="宋体" w:eastAsia="宋体" w:cs="宋体"/>
                <w:color w:val="auto"/>
                <w:sz w:val="24"/>
                <w:szCs w:val="24"/>
              </w:rPr>
              <w:t>人。</w:t>
            </w:r>
          </w:p>
          <w:p>
            <w:pPr>
              <w:spacing w:line="400" w:lineRule="exact"/>
              <w:ind w:firstLine="0" w:firstLineChars="0"/>
              <w:rPr>
                <w:rFonts w:ascii="宋体" w:hAnsi="宋体" w:eastAsia="宋体" w:cs="宋体"/>
                <w:color w:val="auto"/>
                <w:sz w:val="24"/>
                <w:szCs w:val="24"/>
              </w:rPr>
            </w:pPr>
            <w:r>
              <w:rPr>
                <w:rFonts w:hint="eastAsia" w:ascii="宋体" w:hAnsi="宋体" w:eastAsia="宋体" w:cs="宋体"/>
                <w:color w:val="auto"/>
                <w:sz w:val="24"/>
                <w:szCs w:val="24"/>
              </w:rPr>
              <w:t>评标专家确定方式：从河南省综合评标专家库中随机抽取。</w:t>
            </w:r>
          </w:p>
        </w:tc>
      </w:tr>
      <w:tr>
        <w:tblPrEx>
          <w:tblLayout w:type="fixed"/>
          <w:tblCellMar>
            <w:top w:w="0" w:type="dxa"/>
            <w:left w:w="108" w:type="dxa"/>
            <w:bottom w:w="0" w:type="dxa"/>
            <w:right w:w="108" w:type="dxa"/>
          </w:tblCellMar>
        </w:tblPrEx>
        <w:trPr>
          <w:trHeight w:val="775" w:hRule="atLeast"/>
          <w:jc w:val="center"/>
        </w:trPr>
        <w:tc>
          <w:tcPr>
            <w:tcW w:w="951" w:type="dxa"/>
            <w:gridSpan w:val="2"/>
            <w:tcBorders>
              <w:top w:val="single" w:color="auto" w:sz="4" w:space="0"/>
              <w:left w:val="single" w:color="auto" w:sz="4" w:space="0"/>
              <w:bottom w:val="single" w:color="auto" w:sz="2" w:space="0"/>
              <w:right w:val="single" w:color="auto" w:sz="4" w:space="0"/>
            </w:tcBorders>
            <w:vAlign w:val="center"/>
          </w:tcPr>
          <w:p>
            <w:pPr>
              <w:spacing w:line="400" w:lineRule="exact"/>
              <w:ind w:firstLine="0" w:firstLineChars="0"/>
              <w:jc w:val="center"/>
              <w:rPr>
                <w:rFonts w:ascii="宋体" w:hAnsi="宋体" w:eastAsia="宋体" w:cs="宋体"/>
                <w:color w:val="auto"/>
                <w:sz w:val="24"/>
                <w:szCs w:val="24"/>
              </w:rPr>
            </w:pPr>
            <w:r>
              <w:rPr>
                <w:rFonts w:hint="eastAsia" w:ascii="宋体" w:hAnsi="宋体" w:eastAsia="宋体" w:cs="宋体"/>
                <w:color w:val="auto"/>
                <w:sz w:val="24"/>
                <w:szCs w:val="24"/>
              </w:rPr>
              <w:t>6.3.2</w:t>
            </w:r>
          </w:p>
        </w:tc>
        <w:tc>
          <w:tcPr>
            <w:tcW w:w="2250" w:type="dxa"/>
            <w:gridSpan w:val="2"/>
            <w:tcBorders>
              <w:top w:val="single" w:color="auto" w:sz="4" w:space="0"/>
              <w:left w:val="single" w:color="auto" w:sz="4" w:space="0"/>
              <w:bottom w:val="single" w:color="auto" w:sz="2" w:space="0"/>
              <w:right w:val="single" w:color="auto" w:sz="4" w:space="0"/>
            </w:tcBorders>
            <w:vAlign w:val="center"/>
          </w:tcPr>
          <w:p>
            <w:pPr>
              <w:spacing w:line="400" w:lineRule="exact"/>
              <w:ind w:firstLine="0" w:firstLineChars="0"/>
              <w:jc w:val="center"/>
              <w:rPr>
                <w:rFonts w:ascii="宋体" w:hAnsi="宋体" w:eastAsia="宋体" w:cs="宋体"/>
                <w:color w:val="auto"/>
                <w:sz w:val="24"/>
                <w:szCs w:val="24"/>
              </w:rPr>
            </w:pPr>
            <w:r>
              <w:rPr>
                <w:rFonts w:hint="eastAsia" w:ascii="宋体" w:hAnsi="宋体" w:eastAsia="宋体" w:cs="宋体"/>
                <w:color w:val="auto"/>
                <w:sz w:val="24"/>
                <w:szCs w:val="24"/>
              </w:rPr>
              <w:t>评标委员会推荐</w:t>
            </w:r>
          </w:p>
          <w:p>
            <w:pPr>
              <w:spacing w:line="400" w:lineRule="exact"/>
              <w:ind w:firstLine="0" w:firstLineChars="0"/>
              <w:jc w:val="center"/>
              <w:rPr>
                <w:rFonts w:ascii="宋体" w:hAnsi="宋体" w:eastAsia="宋体" w:cs="宋体"/>
                <w:color w:val="auto"/>
                <w:sz w:val="24"/>
                <w:szCs w:val="24"/>
              </w:rPr>
            </w:pPr>
            <w:r>
              <w:rPr>
                <w:rFonts w:hint="eastAsia" w:ascii="宋体" w:hAnsi="宋体" w:eastAsia="宋体" w:cs="宋体"/>
                <w:color w:val="auto"/>
                <w:sz w:val="24"/>
                <w:szCs w:val="24"/>
              </w:rPr>
              <w:t>中标候选人的人数</w:t>
            </w:r>
          </w:p>
        </w:tc>
        <w:tc>
          <w:tcPr>
            <w:tcW w:w="6855" w:type="dxa"/>
            <w:tcBorders>
              <w:top w:val="single" w:color="auto" w:sz="4" w:space="0"/>
              <w:left w:val="single" w:color="auto" w:sz="4" w:space="0"/>
              <w:bottom w:val="single" w:color="auto" w:sz="2" w:space="0"/>
              <w:right w:val="single" w:color="auto" w:sz="4" w:space="0"/>
            </w:tcBorders>
            <w:vAlign w:val="center"/>
          </w:tcPr>
          <w:p>
            <w:pPr>
              <w:spacing w:line="400" w:lineRule="exact"/>
              <w:ind w:firstLine="480"/>
              <w:rPr>
                <w:rFonts w:ascii="宋体" w:hAnsi="宋体" w:eastAsia="宋体" w:cs="宋体"/>
                <w:color w:val="auto"/>
                <w:sz w:val="24"/>
                <w:szCs w:val="24"/>
              </w:rPr>
            </w:pPr>
            <w:r>
              <w:rPr>
                <w:rFonts w:hint="eastAsia" w:ascii="宋体" w:hAnsi="宋体" w:eastAsia="宋体" w:cs="宋体"/>
                <w:color w:val="auto"/>
                <w:sz w:val="24"/>
                <w:szCs w:val="24"/>
              </w:rPr>
              <w:t>推荐的中标候选人数：1-3名</w:t>
            </w:r>
          </w:p>
        </w:tc>
      </w:tr>
      <w:tr>
        <w:tblPrEx>
          <w:tblLayout w:type="fixed"/>
          <w:tblCellMar>
            <w:top w:w="0" w:type="dxa"/>
            <w:left w:w="108" w:type="dxa"/>
            <w:bottom w:w="0" w:type="dxa"/>
            <w:right w:w="108" w:type="dxa"/>
          </w:tblCellMar>
        </w:tblPrEx>
        <w:trPr>
          <w:trHeight w:val="775" w:hRule="atLeast"/>
          <w:jc w:val="center"/>
        </w:trPr>
        <w:tc>
          <w:tcPr>
            <w:tcW w:w="951" w:type="dxa"/>
            <w:gridSpan w:val="2"/>
            <w:tcBorders>
              <w:top w:val="single" w:color="auto" w:sz="4" w:space="0"/>
              <w:left w:val="single" w:color="auto" w:sz="4" w:space="0"/>
              <w:bottom w:val="single" w:color="auto" w:sz="2" w:space="0"/>
              <w:right w:val="single" w:color="auto" w:sz="4" w:space="0"/>
            </w:tcBorders>
            <w:vAlign w:val="center"/>
          </w:tcPr>
          <w:p>
            <w:pPr>
              <w:spacing w:line="400" w:lineRule="exact"/>
              <w:ind w:firstLine="0" w:firstLineChars="0"/>
              <w:jc w:val="center"/>
              <w:rPr>
                <w:rFonts w:ascii="宋体" w:hAnsi="宋体" w:eastAsia="宋体" w:cs="宋体"/>
                <w:color w:val="auto"/>
                <w:sz w:val="24"/>
                <w:szCs w:val="24"/>
              </w:rPr>
            </w:pPr>
            <w:r>
              <w:rPr>
                <w:rFonts w:hint="eastAsia" w:ascii="宋体" w:hAnsi="宋体" w:eastAsia="宋体" w:cs="宋体"/>
                <w:color w:val="auto"/>
                <w:sz w:val="24"/>
                <w:szCs w:val="24"/>
              </w:rPr>
              <w:t>7.1</w:t>
            </w:r>
          </w:p>
        </w:tc>
        <w:tc>
          <w:tcPr>
            <w:tcW w:w="2250" w:type="dxa"/>
            <w:gridSpan w:val="2"/>
            <w:tcBorders>
              <w:top w:val="single" w:color="auto" w:sz="4" w:space="0"/>
              <w:left w:val="single" w:color="auto" w:sz="4" w:space="0"/>
              <w:bottom w:val="single" w:color="auto" w:sz="2" w:space="0"/>
              <w:right w:val="single" w:color="auto" w:sz="4" w:space="0"/>
            </w:tcBorders>
          </w:tcPr>
          <w:p>
            <w:pPr>
              <w:spacing w:line="400" w:lineRule="exact"/>
              <w:ind w:firstLine="0" w:firstLineChars="0"/>
              <w:jc w:val="center"/>
              <w:rPr>
                <w:rFonts w:ascii="宋体" w:hAnsi="宋体" w:eastAsia="宋体" w:cs="宋体"/>
                <w:color w:val="auto"/>
                <w:sz w:val="24"/>
                <w:szCs w:val="24"/>
              </w:rPr>
            </w:pPr>
            <w:r>
              <w:rPr>
                <w:rFonts w:hint="eastAsia" w:ascii="宋体" w:hAnsi="宋体" w:eastAsia="宋体" w:cs="宋体"/>
                <w:color w:val="auto"/>
                <w:sz w:val="24"/>
                <w:szCs w:val="24"/>
              </w:rPr>
              <w:t>中标候选人</w:t>
            </w:r>
          </w:p>
          <w:p>
            <w:pPr>
              <w:spacing w:line="400" w:lineRule="exact"/>
              <w:ind w:firstLine="0" w:firstLineChars="0"/>
              <w:jc w:val="center"/>
              <w:rPr>
                <w:rFonts w:ascii="宋体" w:hAnsi="宋体" w:eastAsia="宋体" w:cs="宋体"/>
                <w:color w:val="auto"/>
                <w:sz w:val="24"/>
                <w:szCs w:val="24"/>
              </w:rPr>
            </w:pPr>
            <w:r>
              <w:rPr>
                <w:rFonts w:hint="eastAsia" w:ascii="宋体" w:hAnsi="宋体" w:eastAsia="宋体" w:cs="宋体"/>
                <w:color w:val="auto"/>
                <w:sz w:val="24"/>
                <w:szCs w:val="24"/>
              </w:rPr>
              <w:t>公示媒介及期限</w:t>
            </w:r>
          </w:p>
        </w:tc>
        <w:tc>
          <w:tcPr>
            <w:tcW w:w="6855" w:type="dxa"/>
            <w:tcBorders>
              <w:top w:val="single" w:color="auto" w:sz="4" w:space="0"/>
              <w:left w:val="single" w:color="auto" w:sz="4" w:space="0"/>
              <w:bottom w:val="single" w:color="auto" w:sz="2" w:space="0"/>
              <w:right w:val="single" w:color="auto" w:sz="4" w:space="0"/>
            </w:tcBorders>
          </w:tcPr>
          <w:p>
            <w:pPr>
              <w:spacing w:line="400" w:lineRule="exact"/>
              <w:ind w:firstLine="0" w:firstLineChars="0"/>
              <w:jc w:val="both"/>
              <w:rPr>
                <w:rFonts w:ascii="宋体" w:hAnsi="宋体" w:eastAsia="宋体" w:cs="宋体"/>
                <w:color w:val="auto"/>
                <w:sz w:val="24"/>
                <w:szCs w:val="24"/>
              </w:rPr>
            </w:pPr>
            <w:r>
              <w:rPr>
                <w:rFonts w:hint="eastAsia" w:ascii="宋体" w:hAnsi="宋体" w:eastAsia="宋体" w:cs="宋体"/>
                <w:color w:val="auto"/>
                <w:sz w:val="24"/>
                <w:szCs w:val="24"/>
              </w:rPr>
              <w:t>公示媒介：与本招标项目招标公告发布的同一媒介。</w:t>
            </w:r>
          </w:p>
          <w:p>
            <w:pPr>
              <w:spacing w:line="400" w:lineRule="exact"/>
              <w:ind w:firstLine="0" w:firstLineChars="0"/>
              <w:jc w:val="both"/>
              <w:rPr>
                <w:rFonts w:ascii="宋体" w:hAnsi="宋体" w:eastAsia="宋体" w:cs="宋体"/>
                <w:color w:val="auto"/>
                <w:sz w:val="24"/>
                <w:szCs w:val="24"/>
              </w:rPr>
            </w:pPr>
            <w:r>
              <w:rPr>
                <w:rFonts w:hint="eastAsia" w:ascii="宋体" w:hAnsi="宋体" w:eastAsia="宋体" w:cs="宋体"/>
                <w:color w:val="auto"/>
                <w:sz w:val="24"/>
                <w:szCs w:val="24"/>
              </w:rPr>
              <w:t>公示期限：3个工作日</w:t>
            </w:r>
          </w:p>
        </w:tc>
      </w:tr>
      <w:tr>
        <w:tblPrEx>
          <w:tblLayout w:type="fixed"/>
          <w:tblCellMar>
            <w:top w:w="0" w:type="dxa"/>
            <w:left w:w="108" w:type="dxa"/>
            <w:bottom w:w="0" w:type="dxa"/>
            <w:right w:w="108" w:type="dxa"/>
          </w:tblCellMar>
        </w:tblPrEx>
        <w:trPr>
          <w:trHeight w:val="775" w:hRule="atLeast"/>
          <w:jc w:val="center"/>
        </w:trPr>
        <w:tc>
          <w:tcPr>
            <w:tcW w:w="951" w:type="dxa"/>
            <w:gridSpan w:val="2"/>
            <w:tcBorders>
              <w:top w:val="single" w:color="auto" w:sz="4" w:space="0"/>
              <w:left w:val="single" w:color="auto" w:sz="4" w:space="0"/>
              <w:bottom w:val="single" w:color="auto" w:sz="2" w:space="0"/>
              <w:right w:val="single" w:color="auto" w:sz="4" w:space="0"/>
            </w:tcBorders>
            <w:vAlign w:val="center"/>
          </w:tcPr>
          <w:p>
            <w:pPr>
              <w:spacing w:line="400" w:lineRule="exact"/>
              <w:ind w:firstLine="0" w:firstLineChars="0"/>
              <w:jc w:val="center"/>
              <w:rPr>
                <w:rFonts w:ascii="宋体" w:hAnsi="宋体" w:eastAsia="宋体" w:cs="宋体"/>
                <w:color w:val="auto"/>
                <w:sz w:val="24"/>
                <w:szCs w:val="24"/>
              </w:rPr>
            </w:pPr>
            <w:r>
              <w:rPr>
                <w:rFonts w:hint="eastAsia" w:ascii="宋体" w:hAnsi="宋体" w:eastAsia="宋体" w:cs="宋体"/>
                <w:color w:val="auto"/>
                <w:sz w:val="24"/>
                <w:szCs w:val="24"/>
              </w:rPr>
              <w:t>7.6</w:t>
            </w:r>
          </w:p>
        </w:tc>
        <w:tc>
          <w:tcPr>
            <w:tcW w:w="2250" w:type="dxa"/>
            <w:gridSpan w:val="2"/>
            <w:tcBorders>
              <w:top w:val="single" w:color="auto" w:sz="4" w:space="0"/>
              <w:left w:val="single" w:color="auto" w:sz="4" w:space="0"/>
              <w:bottom w:val="single" w:color="auto" w:sz="2" w:space="0"/>
              <w:right w:val="single" w:color="auto" w:sz="4" w:space="0"/>
            </w:tcBorders>
            <w:vAlign w:val="center"/>
          </w:tcPr>
          <w:p>
            <w:pPr>
              <w:spacing w:line="400" w:lineRule="exact"/>
              <w:ind w:firstLine="0" w:firstLineChars="0"/>
              <w:jc w:val="center"/>
              <w:rPr>
                <w:rFonts w:ascii="宋体" w:hAnsi="宋体" w:eastAsia="宋体" w:cs="宋体"/>
                <w:color w:val="auto"/>
                <w:sz w:val="24"/>
                <w:szCs w:val="24"/>
              </w:rPr>
            </w:pPr>
            <w:r>
              <w:rPr>
                <w:rFonts w:hint="eastAsia" w:ascii="宋体" w:hAnsi="宋体" w:eastAsia="宋体" w:cs="宋体"/>
                <w:color w:val="auto"/>
                <w:sz w:val="24"/>
                <w:szCs w:val="24"/>
              </w:rPr>
              <w:t>技术成果经济补偿</w:t>
            </w:r>
          </w:p>
        </w:tc>
        <w:tc>
          <w:tcPr>
            <w:tcW w:w="6855" w:type="dxa"/>
            <w:tcBorders>
              <w:top w:val="single" w:color="auto" w:sz="4" w:space="0"/>
              <w:left w:val="single" w:color="auto" w:sz="4" w:space="0"/>
              <w:bottom w:val="single" w:color="auto" w:sz="2" w:space="0"/>
              <w:right w:val="single" w:color="auto" w:sz="4" w:space="0"/>
            </w:tcBorders>
            <w:vAlign w:val="center"/>
          </w:tcPr>
          <w:p>
            <w:pPr>
              <w:spacing w:line="400" w:lineRule="exact"/>
              <w:ind w:firstLine="0" w:firstLineChars="0"/>
              <w:jc w:val="center"/>
              <w:rPr>
                <w:rFonts w:ascii="宋体" w:hAnsi="宋体" w:eastAsia="宋体" w:cs="宋体"/>
                <w:color w:val="auto"/>
                <w:sz w:val="24"/>
                <w:szCs w:val="24"/>
              </w:rPr>
            </w:pPr>
            <w:r>
              <w:rPr>
                <w:rFonts w:hint="eastAsia" w:ascii="宋体" w:hAnsi="宋体" w:eastAsia="宋体" w:cs="宋体"/>
                <w:color w:val="auto"/>
                <w:sz w:val="24"/>
                <w:szCs w:val="24"/>
              </w:rPr>
              <w:t>不补偿</w:t>
            </w:r>
          </w:p>
        </w:tc>
      </w:tr>
      <w:tr>
        <w:tblPrEx>
          <w:tblLayout w:type="fixed"/>
          <w:tblCellMar>
            <w:top w:w="0" w:type="dxa"/>
            <w:left w:w="108" w:type="dxa"/>
            <w:bottom w:w="0" w:type="dxa"/>
            <w:right w:w="108" w:type="dxa"/>
          </w:tblCellMar>
        </w:tblPrEx>
        <w:trPr>
          <w:trHeight w:val="775" w:hRule="atLeast"/>
          <w:jc w:val="center"/>
        </w:trPr>
        <w:tc>
          <w:tcPr>
            <w:tcW w:w="951" w:type="dxa"/>
            <w:gridSpan w:val="2"/>
            <w:tcBorders>
              <w:top w:val="single" w:color="auto" w:sz="4" w:space="0"/>
              <w:left w:val="single" w:color="auto" w:sz="4" w:space="0"/>
              <w:bottom w:val="single" w:color="auto" w:sz="2" w:space="0"/>
              <w:right w:val="single" w:color="auto" w:sz="4" w:space="0"/>
            </w:tcBorders>
            <w:vAlign w:val="center"/>
          </w:tcPr>
          <w:p>
            <w:pPr>
              <w:spacing w:line="400" w:lineRule="exact"/>
              <w:ind w:firstLine="0" w:firstLineChars="0"/>
              <w:jc w:val="center"/>
              <w:rPr>
                <w:rFonts w:ascii="宋体" w:hAnsi="宋体" w:eastAsia="宋体" w:cs="宋体"/>
                <w:color w:val="auto"/>
                <w:sz w:val="24"/>
                <w:szCs w:val="24"/>
              </w:rPr>
            </w:pPr>
            <w:r>
              <w:rPr>
                <w:rFonts w:hint="eastAsia" w:ascii="宋体" w:hAnsi="宋体" w:eastAsia="宋体" w:cs="宋体"/>
                <w:color w:val="auto"/>
                <w:sz w:val="24"/>
                <w:szCs w:val="24"/>
              </w:rPr>
              <w:t>7.7.1</w:t>
            </w:r>
          </w:p>
        </w:tc>
        <w:tc>
          <w:tcPr>
            <w:tcW w:w="2250" w:type="dxa"/>
            <w:gridSpan w:val="2"/>
            <w:tcBorders>
              <w:top w:val="single" w:color="auto" w:sz="4" w:space="0"/>
              <w:left w:val="single" w:color="auto" w:sz="4" w:space="0"/>
              <w:bottom w:val="single" w:color="auto" w:sz="2" w:space="0"/>
              <w:right w:val="single" w:color="auto" w:sz="4" w:space="0"/>
            </w:tcBorders>
            <w:vAlign w:val="center"/>
          </w:tcPr>
          <w:p>
            <w:pPr>
              <w:spacing w:line="360" w:lineRule="exact"/>
              <w:ind w:firstLine="0" w:firstLineChars="0"/>
              <w:jc w:val="center"/>
              <w:rPr>
                <w:rFonts w:ascii="宋体" w:hAnsi="宋体" w:eastAsia="宋体" w:cs="宋体"/>
                <w:color w:val="auto"/>
                <w:sz w:val="24"/>
                <w:szCs w:val="24"/>
              </w:rPr>
            </w:pPr>
            <w:r>
              <w:rPr>
                <w:rFonts w:hint="eastAsia" w:ascii="宋体" w:hAnsi="宋体" w:eastAsia="宋体" w:cs="宋体"/>
                <w:color w:val="auto"/>
                <w:sz w:val="24"/>
                <w:szCs w:val="24"/>
              </w:rPr>
              <w:t>履约保证金</w:t>
            </w:r>
          </w:p>
        </w:tc>
        <w:tc>
          <w:tcPr>
            <w:tcW w:w="6855" w:type="dxa"/>
            <w:tcBorders>
              <w:top w:val="single" w:color="auto" w:sz="4" w:space="0"/>
              <w:left w:val="single" w:color="auto" w:sz="4" w:space="0"/>
              <w:bottom w:val="single" w:color="auto" w:sz="2" w:space="0"/>
              <w:right w:val="single" w:color="auto" w:sz="4" w:space="0"/>
            </w:tcBorders>
            <w:vAlign w:val="center"/>
          </w:tcPr>
          <w:p>
            <w:pPr>
              <w:spacing w:line="400" w:lineRule="exact"/>
              <w:ind w:firstLine="480" w:firstLineChars="200"/>
              <w:jc w:val="both"/>
              <w:rPr>
                <w:rFonts w:ascii="宋体" w:hAnsi="宋体" w:eastAsia="宋体" w:cs="宋体"/>
                <w:color w:val="auto"/>
                <w:sz w:val="24"/>
                <w:szCs w:val="24"/>
              </w:rPr>
            </w:pPr>
            <w:r>
              <w:rPr>
                <w:rFonts w:hint="eastAsia" w:ascii="宋体" w:hAnsi="宋体" w:eastAsia="宋体" w:cs="宋体"/>
                <w:color w:val="auto"/>
                <w:sz w:val="24"/>
                <w:szCs w:val="24"/>
              </w:rPr>
              <w:t>无</w:t>
            </w:r>
          </w:p>
        </w:tc>
      </w:tr>
      <w:tr>
        <w:tblPrEx>
          <w:tblLayout w:type="fixed"/>
          <w:tblCellMar>
            <w:top w:w="0" w:type="dxa"/>
            <w:left w:w="108" w:type="dxa"/>
            <w:bottom w:w="0" w:type="dxa"/>
            <w:right w:w="108" w:type="dxa"/>
          </w:tblCellMar>
        </w:tblPrEx>
        <w:trPr>
          <w:trHeight w:val="775" w:hRule="atLeast"/>
          <w:jc w:val="center"/>
        </w:trPr>
        <w:tc>
          <w:tcPr>
            <w:tcW w:w="951" w:type="dxa"/>
            <w:gridSpan w:val="2"/>
            <w:tcBorders>
              <w:top w:val="single" w:color="auto" w:sz="4" w:space="0"/>
              <w:left w:val="single" w:color="auto" w:sz="4" w:space="0"/>
              <w:bottom w:val="single" w:color="auto" w:sz="2" w:space="0"/>
              <w:right w:val="single" w:color="auto" w:sz="4" w:space="0"/>
            </w:tcBorders>
            <w:vAlign w:val="center"/>
          </w:tcPr>
          <w:p>
            <w:pPr>
              <w:spacing w:line="400" w:lineRule="exact"/>
              <w:ind w:firstLine="0" w:firstLineChars="0"/>
              <w:jc w:val="center"/>
              <w:rPr>
                <w:rFonts w:ascii="宋体" w:hAnsi="宋体" w:eastAsia="宋体" w:cs="宋体"/>
                <w:color w:val="auto"/>
                <w:sz w:val="24"/>
                <w:szCs w:val="24"/>
              </w:rPr>
            </w:pPr>
            <w:r>
              <w:rPr>
                <w:rFonts w:hint="eastAsia" w:ascii="宋体" w:hAnsi="宋体" w:eastAsia="宋体" w:cs="宋体"/>
                <w:color w:val="auto"/>
                <w:sz w:val="24"/>
                <w:szCs w:val="24"/>
              </w:rPr>
              <w:t>9</w:t>
            </w:r>
          </w:p>
        </w:tc>
        <w:tc>
          <w:tcPr>
            <w:tcW w:w="2250" w:type="dxa"/>
            <w:gridSpan w:val="2"/>
            <w:tcBorders>
              <w:top w:val="single" w:color="auto" w:sz="4" w:space="0"/>
              <w:left w:val="single" w:color="auto" w:sz="4" w:space="0"/>
              <w:bottom w:val="single" w:color="auto" w:sz="2" w:space="0"/>
              <w:right w:val="single" w:color="auto" w:sz="4" w:space="0"/>
            </w:tcBorders>
            <w:vAlign w:val="center"/>
          </w:tcPr>
          <w:p>
            <w:pPr>
              <w:spacing w:line="360" w:lineRule="exact"/>
              <w:ind w:firstLine="0" w:firstLineChars="0"/>
              <w:jc w:val="center"/>
              <w:rPr>
                <w:rFonts w:ascii="宋体" w:hAnsi="宋体" w:eastAsia="宋体" w:cs="宋体"/>
                <w:color w:val="auto"/>
                <w:sz w:val="24"/>
                <w:szCs w:val="24"/>
              </w:rPr>
            </w:pPr>
            <w:r>
              <w:rPr>
                <w:rFonts w:hint="eastAsia" w:ascii="宋体" w:hAnsi="宋体" w:eastAsia="宋体" w:cs="宋体"/>
                <w:color w:val="auto"/>
                <w:sz w:val="24"/>
                <w:szCs w:val="24"/>
              </w:rPr>
              <w:t>是否采用</w:t>
            </w:r>
          </w:p>
          <w:p>
            <w:pPr>
              <w:spacing w:line="360" w:lineRule="exact"/>
              <w:ind w:firstLine="0" w:firstLineChars="0"/>
              <w:jc w:val="center"/>
              <w:rPr>
                <w:rFonts w:ascii="宋体" w:hAnsi="宋体" w:eastAsia="宋体" w:cs="宋体"/>
                <w:color w:val="auto"/>
                <w:sz w:val="24"/>
                <w:szCs w:val="24"/>
              </w:rPr>
            </w:pPr>
            <w:r>
              <w:rPr>
                <w:rFonts w:hint="eastAsia" w:ascii="宋体" w:hAnsi="宋体" w:eastAsia="宋体" w:cs="宋体"/>
                <w:color w:val="auto"/>
                <w:sz w:val="24"/>
                <w:szCs w:val="24"/>
              </w:rPr>
              <w:t>电子招标投标</w:t>
            </w:r>
          </w:p>
        </w:tc>
        <w:tc>
          <w:tcPr>
            <w:tcW w:w="6855" w:type="dxa"/>
            <w:tcBorders>
              <w:top w:val="single" w:color="auto" w:sz="4" w:space="0"/>
              <w:left w:val="single" w:color="auto" w:sz="4" w:space="0"/>
              <w:bottom w:val="single" w:color="auto" w:sz="2" w:space="0"/>
              <w:right w:val="single" w:color="auto" w:sz="4" w:space="0"/>
            </w:tcBorders>
            <w:vAlign w:val="center"/>
          </w:tcPr>
          <w:p>
            <w:pPr>
              <w:spacing w:line="400" w:lineRule="exact"/>
              <w:ind w:firstLine="480" w:firstLineChars="200"/>
              <w:jc w:val="both"/>
              <w:rPr>
                <w:rFonts w:hint="eastAsia" w:ascii="宋体" w:hAnsi="宋体" w:eastAsia="宋体" w:cs="宋体"/>
                <w:color w:val="auto"/>
                <w:sz w:val="24"/>
                <w:szCs w:val="24"/>
                <w:lang w:eastAsia="zh-CN"/>
              </w:rPr>
            </w:pPr>
            <w:r>
              <w:rPr>
                <w:rFonts w:hint="eastAsia" w:ascii="宋体" w:hAnsi="宋体" w:cs="宋体"/>
                <w:color w:val="auto"/>
                <w:sz w:val="24"/>
                <w:szCs w:val="24"/>
                <w:lang w:eastAsia="zh-CN"/>
              </w:rPr>
              <w:t>是</w:t>
            </w:r>
          </w:p>
        </w:tc>
      </w:tr>
      <w:tr>
        <w:tblPrEx>
          <w:tblLayout w:type="fixed"/>
          <w:tblCellMar>
            <w:top w:w="0" w:type="dxa"/>
            <w:left w:w="108" w:type="dxa"/>
            <w:bottom w:w="0" w:type="dxa"/>
            <w:right w:w="108" w:type="dxa"/>
          </w:tblCellMar>
        </w:tblPrEx>
        <w:trPr>
          <w:trHeight w:val="680" w:hRule="atLeast"/>
          <w:jc w:val="center"/>
        </w:trPr>
        <w:tc>
          <w:tcPr>
            <w:tcW w:w="10056" w:type="dxa"/>
            <w:gridSpan w:val="5"/>
            <w:tcBorders>
              <w:top w:val="single" w:color="auto" w:sz="2" w:space="0"/>
              <w:left w:val="single" w:color="auto" w:sz="2" w:space="0"/>
              <w:bottom w:val="single" w:color="auto" w:sz="2" w:space="0"/>
              <w:right w:val="single" w:color="auto" w:sz="2" w:space="0"/>
            </w:tcBorders>
            <w:vAlign w:val="center"/>
          </w:tcPr>
          <w:p>
            <w:pPr>
              <w:spacing w:line="400" w:lineRule="exact"/>
              <w:ind w:firstLine="0" w:firstLineChars="0"/>
              <w:rPr>
                <w:rFonts w:ascii="宋体" w:hAnsi="宋体" w:eastAsia="宋体" w:cs="宋体"/>
                <w:color w:val="auto"/>
                <w:sz w:val="24"/>
                <w:szCs w:val="24"/>
              </w:rPr>
            </w:pPr>
            <w:r>
              <w:rPr>
                <w:rFonts w:hint="eastAsia" w:ascii="宋体" w:hAnsi="宋体" w:eastAsia="宋体" w:cs="宋体"/>
                <w:color w:val="auto"/>
                <w:sz w:val="24"/>
                <w:szCs w:val="24"/>
              </w:rPr>
              <w:t>10.招标人补充的其他内容</w:t>
            </w:r>
          </w:p>
        </w:tc>
      </w:tr>
      <w:tr>
        <w:tblPrEx>
          <w:tblLayout w:type="fixed"/>
          <w:tblCellMar>
            <w:top w:w="0" w:type="dxa"/>
            <w:left w:w="108" w:type="dxa"/>
            <w:bottom w:w="0" w:type="dxa"/>
            <w:right w:w="108" w:type="dxa"/>
          </w:tblCellMar>
        </w:tblPrEx>
        <w:trPr>
          <w:trHeight w:val="1550" w:hRule="atLeast"/>
          <w:jc w:val="center"/>
        </w:trPr>
        <w:tc>
          <w:tcPr>
            <w:tcW w:w="899"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color w:val="auto"/>
                <w:sz w:val="24"/>
                <w:szCs w:val="24"/>
              </w:rPr>
            </w:pPr>
            <w:r>
              <w:rPr>
                <w:rFonts w:hint="eastAsia" w:ascii="宋体" w:hAnsi="宋体" w:eastAsia="宋体" w:cs="宋体"/>
                <w:color w:val="auto"/>
                <w:sz w:val="24"/>
                <w:szCs w:val="24"/>
              </w:rPr>
              <w:t>10.1</w:t>
            </w:r>
          </w:p>
        </w:tc>
        <w:tc>
          <w:tcPr>
            <w:tcW w:w="2016"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color w:val="auto"/>
                <w:sz w:val="24"/>
                <w:szCs w:val="24"/>
              </w:rPr>
            </w:pPr>
            <w:r>
              <w:rPr>
                <w:rFonts w:hint="eastAsia" w:ascii="宋体" w:hAnsi="宋体" w:eastAsia="宋体" w:cs="宋体"/>
                <w:color w:val="auto"/>
                <w:sz w:val="24"/>
                <w:szCs w:val="24"/>
              </w:rPr>
              <w:t>投标人代表</w:t>
            </w:r>
          </w:p>
          <w:p>
            <w:pPr>
              <w:spacing w:line="400" w:lineRule="exact"/>
              <w:ind w:firstLine="0" w:firstLineChars="0"/>
              <w:jc w:val="center"/>
              <w:rPr>
                <w:rFonts w:ascii="宋体" w:hAnsi="宋体" w:eastAsia="宋体" w:cs="宋体"/>
                <w:color w:val="auto"/>
                <w:sz w:val="24"/>
                <w:szCs w:val="24"/>
              </w:rPr>
            </w:pPr>
            <w:r>
              <w:rPr>
                <w:rFonts w:hint="eastAsia" w:ascii="宋体" w:hAnsi="宋体" w:eastAsia="宋体" w:cs="宋体"/>
                <w:color w:val="auto"/>
                <w:sz w:val="24"/>
                <w:szCs w:val="24"/>
              </w:rPr>
              <w:t>出席开标会</w:t>
            </w:r>
          </w:p>
        </w:tc>
        <w:tc>
          <w:tcPr>
            <w:tcW w:w="7141" w:type="dxa"/>
            <w:gridSpan w:val="2"/>
            <w:tcBorders>
              <w:top w:val="single" w:color="auto" w:sz="4" w:space="0"/>
              <w:left w:val="single" w:color="auto" w:sz="4" w:space="0"/>
              <w:bottom w:val="single" w:color="auto" w:sz="4" w:space="0"/>
              <w:right w:val="single" w:color="auto" w:sz="4" w:space="0"/>
            </w:tcBorders>
            <w:vAlign w:val="center"/>
          </w:tcPr>
          <w:p>
            <w:pPr>
              <w:spacing w:line="360" w:lineRule="atLeast"/>
              <w:ind w:firstLine="0" w:firstLineChars="0"/>
              <w:rPr>
                <w:rFonts w:ascii="宋体" w:hAnsi="宋体" w:eastAsia="宋体" w:cs="宋体"/>
                <w:color w:val="auto"/>
                <w:sz w:val="24"/>
                <w:szCs w:val="24"/>
              </w:rPr>
            </w:pPr>
            <w:r>
              <w:rPr>
                <w:rFonts w:hint="eastAsia" w:ascii="宋体" w:hAnsi="宋体" w:eastAsia="宋体" w:cs="宋体"/>
                <w:color w:val="auto"/>
                <w:sz w:val="24"/>
                <w:szCs w:val="24"/>
              </w:rPr>
              <w:t>按照本须知第5.1款的规定，招标人邀请所有投标人的法定代表人（或其委托代理人）参加开标会，并在招标人按开标程序进行点名时，向招标人提交法定代表人（或法定代表人授权委托书）身份证，以证明其出席，否则，其投标文件按废标处理。</w:t>
            </w:r>
          </w:p>
        </w:tc>
      </w:tr>
      <w:tr>
        <w:tblPrEx>
          <w:tblLayout w:type="fixed"/>
          <w:tblCellMar>
            <w:top w:w="0" w:type="dxa"/>
            <w:left w:w="108" w:type="dxa"/>
            <w:bottom w:w="0" w:type="dxa"/>
            <w:right w:w="108" w:type="dxa"/>
          </w:tblCellMar>
        </w:tblPrEx>
        <w:trPr>
          <w:jc w:val="center"/>
        </w:trPr>
        <w:tc>
          <w:tcPr>
            <w:tcW w:w="899"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color w:val="auto"/>
                <w:sz w:val="24"/>
                <w:szCs w:val="24"/>
              </w:rPr>
            </w:pPr>
            <w:r>
              <w:rPr>
                <w:rFonts w:hint="eastAsia" w:ascii="宋体" w:hAnsi="宋体" w:eastAsia="宋体" w:cs="宋体"/>
                <w:color w:val="auto"/>
                <w:sz w:val="24"/>
                <w:szCs w:val="24"/>
              </w:rPr>
              <w:t>10.2</w:t>
            </w:r>
          </w:p>
        </w:tc>
        <w:tc>
          <w:tcPr>
            <w:tcW w:w="2016"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color w:val="auto"/>
                <w:sz w:val="24"/>
                <w:szCs w:val="24"/>
              </w:rPr>
            </w:pPr>
            <w:r>
              <w:rPr>
                <w:rFonts w:hint="eastAsia" w:ascii="宋体" w:hAnsi="宋体" w:eastAsia="宋体" w:cs="宋体"/>
                <w:color w:val="auto"/>
                <w:sz w:val="24"/>
                <w:szCs w:val="24"/>
              </w:rPr>
              <w:t>中标公示</w:t>
            </w:r>
          </w:p>
        </w:tc>
        <w:tc>
          <w:tcPr>
            <w:tcW w:w="7141" w:type="dxa"/>
            <w:gridSpan w:val="2"/>
            <w:tcBorders>
              <w:top w:val="single" w:color="auto" w:sz="4" w:space="0"/>
              <w:left w:val="single" w:color="auto" w:sz="4" w:space="0"/>
              <w:bottom w:val="single" w:color="auto" w:sz="4" w:space="0"/>
              <w:right w:val="single" w:color="auto" w:sz="4" w:space="0"/>
            </w:tcBorders>
            <w:vAlign w:val="center"/>
          </w:tcPr>
          <w:p>
            <w:pPr>
              <w:spacing w:line="360" w:lineRule="atLeast"/>
              <w:ind w:firstLine="0" w:firstLineChars="0"/>
              <w:rPr>
                <w:rFonts w:ascii="宋体" w:hAnsi="宋体" w:eastAsia="宋体" w:cs="宋体"/>
                <w:color w:val="auto"/>
                <w:sz w:val="24"/>
                <w:szCs w:val="24"/>
              </w:rPr>
            </w:pPr>
            <w:r>
              <w:rPr>
                <w:rFonts w:hint="eastAsia" w:ascii="宋体" w:hAnsi="宋体" w:eastAsia="宋体" w:cs="宋体"/>
                <w:color w:val="auto"/>
                <w:sz w:val="24"/>
                <w:szCs w:val="24"/>
              </w:rPr>
              <w:t>1、在中标通知书发出前，招标人将中标候选人的情况在《全国公共资源交易平台（河南省·许昌市）》、《河南省电子招标投标公共服务平台》予以公示，公示期不少于3个工作日。</w:t>
            </w:r>
          </w:p>
        </w:tc>
      </w:tr>
      <w:tr>
        <w:tblPrEx>
          <w:tblLayout w:type="fixed"/>
          <w:tblCellMar>
            <w:top w:w="0" w:type="dxa"/>
            <w:left w:w="108" w:type="dxa"/>
            <w:bottom w:w="0" w:type="dxa"/>
            <w:right w:w="108" w:type="dxa"/>
          </w:tblCellMar>
        </w:tblPrEx>
        <w:trPr>
          <w:trHeight w:val="1255" w:hRule="atLeast"/>
          <w:jc w:val="center"/>
        </w:trPr>
        <w:tc>
          <w:tcPr>
            <w:tcW w:w="899"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color w:val="auto"/>
                <w:sz w:val="24"/>
                <w:szCs w:val="24"/>
              </w:rPr>
            </w:pPr>
            <w:r>
              <w:rPr>
                <w:rFonts w:hint="eastAsia" w:ascii="宋体" w:hAnsi="宋体" w:eastAsia="宋体" w:cs="宋体"/>
                <w:color w:val="auto"/>
                <w:sz w:val="24"/>
                <w:szCs w:val="24"/>
              </w:rPr>
              <w:t>10.3</w:t>
            </w:r>
          </w:p>
        </w:tc>
        <w:tc>
          <w:tcPr>
            <w:tcW w:w="2016"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color w:val="auto"/>
                <w:sz w:val="24"/>
                <w:szCs w:val="24"/>
              </w:rPr>
            </w:pPr>
            <w:r>
              <w:rPr>
                <w:rFonts w:hint="eastAsia" w:ascii="宋体" w:hAnsi="宋体" w:eastAsia="宋体" w:cs="宋体"/>
                <w:color w:val="auto"/>
                <w:sz w:val="24"/>
                <w:szCs w:val="24"/>
              </w:rPr>
              <w:t>签      到</w:t>
            </w:r>
          </w:p>
        </w:tc>
        <w:tc>
          <w:tcPr>
            <w:tcW w:w="7141" w:type="dxa"/>
            <w:gridSpan w:val="2"/>
            <w:tcBorders>
              <w:top w:val="single" w:color="auto" w:sz="4" w:space="0"/>
              <w:left w:val="single" w:color="auto" w:sz="4" w:space="0"/>
              <w:bottom w:val="single" w:color="auto" w:sz="4" w:space="0"/>
              <w:right w:val="single" w:color="auto" w:sz="4" w:space="0"/>
            </w:tcBorders>
            <w:vAlign w:val="center"/>
          </w:tcPr>
          <w:p>
            <w:pPr>
              <w:spacing w:line="360" w:lineRule="atLeast"/>
              <w:ind w:firstLine="0" w:firstLineChars="0"/>
              <w:rPr>
                <w:rFonts w:ascii="宋体" w:hAnsi="宋体" w:eastAsia="宋体" w:cs="宋体"/>
                <w:color w:val="auto"/>
                <w:sz w:val="24"/>
                <w:szCs w:val="24"/>
              </w:rPr>
            </w:pPr>
            <w:r>
              <w:rPr>
                <w:rFonts w:hint="eastAsia" w:ascii="宋体" w:hAnsi="宋体" w:eastAsia="宋体" w:cs="宋体"/>
                <w:color w:val="auto"/>
                <w:sz w:val="24"/>
                <w:szCs w:val="24"/>
              </w:rPr>
              <w:t>开标时各投标人的法定代表人或委托代理人（持有效的授权委托书和身份证明原件参加开标会并签到，如未参加所投标书为无效标书。各投标单位参加会议人数不得多于2人。</w:t>
            </w:r>
          </w:p>
        </w:tc>
      </w:tr>
      <w:tr>
        <w:tblPrEx>
          <w:tblLayout w:type="fixed"/>
          <w:tblCellMar>
            <w:top w:w="0" w:type="dxa"/>
            <w:left w:w="108" w:type="dxa"/>
            <w:bottom w:w="0" w:type="dxa"/>
            <w:right w:w="108" w:type="dxa"/>
          </w:tblCellMar>
        </w:tblPrEx>
        <w:trPr>
          <w:trHeight w:val="430" w:hRule="atLeast"/>
          <w:jc w:val="center"/>
        </w:trPr>
        <w:tc>
          <w:tcPr>
            <w:tcW w:w="899"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color w:val="auto"/>
                <w:sz w:val="24"/>
                <w:szCs w:val="24"/>
              </w:rPr>
            </w:pPr>
            <w:r>
              <w:rPr>
                <w:rFonts w:hint="eastAsia" w:ascii="宋体" w:hAnsi="宋体" w:eastAsia="宋体" w:cs="宋体"/>
                <w:color w:val="auto"/>
                <w:sz w:val="24"/>
                <w:szCs w:val="24"/>
              </w:rPr>
              <w:t>10.4</w:t>
            </w:r>
          </w:p>
        </w:tc>
        <w:tc>
          <w:tcPr>
            <w:tcW w:w="2016"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color w:val="auto"/>
                <w:sz w:val="24"/>
                <w:szCs w:val="24"/>
              </w:rPr>
            </w:pPr>
            <w:r>
              <w:rPr>
                <w:rFonts w:hint="eastAsia" w:ascii="宋体" w:hAnsi="宋体" w:eastAsia="宋体" w:cs="宋体"/>
                <w:color w:val="auto"/>
                <w:sz w:val="24"/>
                <w:szCs w:val="24"/>
              </w:rPr>
              <w:t>投标文件的拒收</w:t>
            </w:r>
          </w:p>
        </w:tc>
        <w:tc>
          <w:tcPr>
            <w:tcW w:w="7141" w:type="dxa"/>
            <w:gridSpan w:val="2"/>
            <w:tcBorders>
              <w:top w:val="single" w:color="auto" w:sz="4" w:space="0"/>
              <w:left w:val="single" w:color="auto" w:sz="4" w:space="0"/>
              <w:bottom w:val="single" w:color="auto" w:sz="4" w:space="0"/>
              <w:right w:val="single" w:color="auto" w:sz="4" w:space="0"/>
            </w:tcBorders>
            <w:vAlign w:val="center"/>
          </w:tcPr>
          <w:p>
            <w:pPr>
              <w:spacing w:line="360" w:lineRule="atLeast"/>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1、逾期送达的或者未送达指定地点的</w:t>
            </w:r>
            <w:r>
              <w:rPr>
                <w:rFonts w:hint="eastAsia" w:ascii="宋体" w:hAnsi="宋体" w:cs="宋体"/>
                <w:color w:val="auto"/>
                <w:sz w:val="24"/>
                <w:szCs w:val="24"/>
                <w:lang w:val="en-US" w:eastAsia="zh-CN"/>
              </w:rPr>
              <w:t>电子</w:t>
            </w:r>
            <w:r>
              <w:rPr>
                <w:rFonts w:hint="eastAsia" w:ascii="宋体" w:hAnsi="宋体" w:eastAsia="宋体" w:cs="宋体"/>
                <w:color w:val="auto"/>
                <w:sz w:val="24"/>
                <w:szCs w:val="24"/>
              </w:rPr>
              <w:t>投标文件；</w:t>
            </w:r>
          </w:p>
          <w:p>
            <w:pPr>
              <w:spacing w:line="360" w:lineRule="atLeast"/>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2、电子介质存储的投标文件未按招标文件要求密封的；</w:t>
            </w:r>
          </w:p>
          <w:p>
            <w:pPr>
              <w:spacing w:line="360" w:lineRule="atLeast"/>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3、未按招标文件要求缴纳投标保证金的；</w:t>
            </w:r>
          </w:p>
          <w:p>
            <w:pPr>
              <w:spacing w:line="360" w:lineRule="atLeast"/>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4、开标时法人或授权委托人（持有效的授权委托书）未携带本人身份证到开标现场并签到的；</w:t>
            </w:r>
          </w:p>
          <w:p>
            <w:pPr>
              <w:spacing w:line="360" w:lineRule="atLeast"/>
              <w:ind w:firstLine="0" w:firstLineChars="0"/>
              <w:rPr>
                <w:rFonts w:ascii="宋体" w:hAnsi="宋体" w:eastAsia="宋体" w:cs="宋体"/>
                <w:color w:val="auto"/>
                <w:sz w:val="24"/>
                <w:szCs w:val="24"/>
              </w:rPr>
            </w:pPr>
            <w:r>
              <w:rPr>
                <w:rFonts w:hint="eastAsia" w:ascii="宋体" w:hAnsi="宋体" w:cs="宋体"/>
                <w:color w:val="auto"/>
                <w:sz w:val="24"/>
                <w:szCs w:val="24"/>
                <w:lang w:val="en-US" w:eastAsia="zh-CN"/>
              </w:rPr>
              <w:t>5</w:t>
            </w:r>
            <w:r>
              <w:rPr>
                <w:rFonts w:hint="eastAsia" w:ascii="宋体" w:hAnsi="宋体" w:eastAsia="宋体" w:cs="宋体"/>
                <w:color w:val="auto"/>
                <w:sz w:val="24"/>
                <w:szCs w:val="24"/>
              </w:rPr>
              <w:t>、未通过全国公共资源交易平台（河南省·许昌市）上下载招标文件的，视为自动放弃投标。</w:t>
            </w:r>
          </w:p>
        </w:tc>
      </w:tr>
      <w:tr>
        <w:tblPrEx>
          <w:tblLayout w:type="fixed"/>
          <w:tblCellMar>
            <w:top w:w="0" w:type="dxa"/>
            <w:left w:w="108" w:type="dxa"/>
            <w:bottom w:w="0" w:type="dxa"/>
            <w:right w:w="108" w:type="dxa"/>
          </w:tblCellMar>
        </w:tblPrEx>
        <w:trPr>
          <w:jc w:val="center"/>
        </w:trPr>
        <w:tc>
          <w:tcPr>
            <w:tcW w:w="899"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color w:val="auto"/>
                <w:sz w:val="24"/>
                <w:szCs w:val="24"/>
              </w:rPr>
            </w:pPr>
            <w:r>
              <w:rPr>
                <w:rFonts w:hint="eastAsia" w:ascii="宋体" w:hAnsi="宋体" w:eastAsia="宋体" w:cs="宋体"/>
                <w:color w:val="auto"/>
                <w:sz w:val="24"/>
                <w:szCs w:val="24"/>
              </w:rPr>
              <w:t>10.5</w:t>
            </w:r>
          </w:p>
        </w:tc>
        <w:tc>
          <w:tcPr>
            <w:tcW w:w="2016"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color w:val="auto"/>
                <w:sz w:val="24"/>
                <w:szCs w:val="24"/>
              </w:rPr>
            </w:pPr>
            <w:r>
              <w:rPr>
                <w:rFonts w:hint="eastAsia" w:ascii="宋体" w:hAnsi="宋体" w:eastAsia="宋体" w:cs="宋体"/>
                <w:color w:val="auto"/>
                <w:sz w:val="24"/>
                <w:szCs w:val="24"/>
              </w:rPr>
              <w:t>相关费用</w:t>
            </w:r>
          </w:p>
        </w:tc>
        <w:tc>
          <w:tcPr>
            <w:tcW w:w="7141"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rPr>
                <w:rFonts w:ascii="宋体" w:hAnsi="宋体" w:eastAsia="宋体" w:cs="宋体"/>
                <w:color w:val="auto"/>
                <w:sz w:val="24"/>
                <w:szCs w:val="24"/>
              </w:rPr>
            </w:pPr>
            <w:r>
              <w:rPr>
                <w:rFonts w:hint="eastAsia" w:ascii="宋体" w:hAnsi="宋体" w:eastAsia="宋体" w:cs="宋体"/>
                <w:color w:val="auto"/>
                <w:sz w:val="24"/>
                <w:szCs w:val="24"/>
              </w:rPr>
              <w:t>本项目招标代理费由中标人支付，收费标准参照国家计委《招标代理服务收费管理暂行办法》（计价格[2002]1980号文）、国家发展和改革委员会《关于招标代理服务收费有关问题的通知》（发改办价格[2003]857号文）及国家发展和改革委员会《国家发展改革委关于降低部分建设项目收费标准规范收费行为等有关问题的通知》（发改价格[2011]534号文）的规定。</w:t>
            </w:r>
          </w:p>
        </w:tc>
      </w:tr>
      <w:tr>
        <w:tblPrEx>
          <w:tblLayout w:type="fixed"/>
          <w:tblCellMar>
            <w:top w:w="0" w:type="dxa"/>
            <w:left w:w="108" w:type="dxa"/>
            <w:bottom w:w="0" w:type="dxa"/>
            <w:right w:w="108" w:type="dxa"/>
          </w:tblCellMar>
        </w:tblPrEx>
        <w:trPr>
          <w:jc w:val="center"/>
        </w:trPr>
        <w:tc>
          <w:tcPr>
            <w:tcW w:w="899"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10.6</w:t>
            </w:r>
          </w:p>
        </w:tc>
        <w:tc>
          <w:tcPr>
            <w:tcW w:w="2016"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特别提示</w:t>
            </w:r>
          </w:p>
        </w:tc>
        <w:tc>
          <w:tcPr>
            <w:tcW w:w="7141"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left"/>
              <w:outlineLvl w:val="0"/>
              <w:rPr>
                <w:sz w:val="24"/>
                <w:szCs w:val="24"/>
              </w:rPr>
            </w:pPr>
            <w:r>
              <w:rPr>
                <w:rFonts w:hint="eastAsia"/>
                <w:sz w:val="24"/>
                <w:szCs w:val="24"/>
              </w:rPr>
              <w:t>1、潜在投标人如对招标文件有异议，请在规定时间内在《全国公共资源交易平台（河南省·许昌市）》公共资源交易系统中提出，以其他方式递交的异议不予接受。</w:t>
            </w:r>
          </w:p>
          <w:p>
            <w:pPr>
              <w:autoSpaceDE w:val="0"/>
              <w:autoSpaceDN w:val="0"/>
              <w:spacing w:line="360" w:lineRule="auto"/>
              <w:jc w:val="left"/>
              <w:outlineLvl w:val="0"/>
              <w:rPr>
                <w:sz w:val="24"/>
                <w:szCs w:val="24"/>
              </w:rPr>
            </w:pPr>
            <w:r>
              <w:rPr>
                <w:rFonts w:hint="eastAsia"/>
                <w:sz w:val="24"/>
                <w:szCs w:val="24"/>
                <w:lang w:val="en-US" w:eastAsia="zh-CN"/>
              </w:rPr>
              <w:t>2</w:t>
            </w:r>
            <w:r>
              <w:rPr>
                <w:rFonts w:hint="eastAsia"/>
                <w:sz w:val="24"/>
                <w:szCs w:val="24"/>
              </w:rPr>
              <w:t>、投标人在投标截止时间前应随时关注《全国公共资源交易平台（河南省·许昌市）》公共资源交易系统发出的有关本项目的答疑、修改等相关内容。</w:t>
            </w:r>
          </w:p>
          <w:p>
            <w:pPr>
              <w:autoSpaceDE w:val="0"/>
              <w:autoSpaceDN w:val="0"/>
              <w:spacing w:line="360" w:lineRule="auto"/>
              <w:jc w:val="left"/>
              <w:outlineLvl w:val="0"/>
              <w:rPr>
                <w:sz w:val="24"/>
                <w:szCs w:val="24"/>
              </w:rPr>
            </w:pPr>
            <w:r>
              <w:rPr>
                <w:rFonts w:hint="eastAsia"/>
                <w:sz w:val="24"/>
                <w:szCs w:val="24"/>
                <w:lang w:val="en-US" w:eastAsia="zh-CN"/>
              </w:rPr>
              <w:t>3</w:t>
            </w:r>
            <w:r>
              <w:rPr>
                <w:rFonts w:hint="eastAsia"/>
                <w:sz w:val="24"/>
                <w:szCs w:val="24"/>
              </w:rPr>
              <w:t>、投标文件依据最终的招标文件进行编制。如果招标文件发生变更，投标人应以招标人最终发出的电子招标文件为准，编制投标文件，务请投标人随时关注项目变更信息。</w:t>
            </w:r>
          </w:p>
          <w:p>
            <w:pPr>
              <w:tabs>
                <w:tab w:val="left" w:pos="7095"/>
              </w:tabs>
              <w:spacing w:line="360" w:lineRule="auto"/>
              <w:rPr>
                <w:sz w:val="24"/>
                <w:szCs w:val="24"/>
              </w:rPr>
            </w:pPr>
            <w:r>
              <w:rPr>
                <w:rFonts w:hint="eastAsia"/>
                <w:sz w:val="24"/>
                <w:szCs w:val="24"/>
                <w:lang w:val="en-US" w:eastAsia="zh-CN"/>
              </w:rPr>
              <w:t>4</w:t>
            </w:r>
            <w:r>
              <w:rPr>
                <w:rFonts w:hint="eastAsia"/>
                <w:sz w:val="24"/>
                <w:szCs w:val="24"/>
              </w:rPr>
              <w:t>、投标人电子投标文件成功提交后，应打印“投标文件提交回执单”，供开标现场备查。</w:t>
            </w:r>
          </w:p>
          <w:p>
            <w:pPr>
              <w:autoSpaceDE w:val="0"/>
              <w:autoSpaceDN w:val="0"/>
              <w:spacing w:line="360" w:lineRule="auto"/>
              <w:jc w:val="left"/>
              <w:outlineLvl w:val="0"/>
              <w:rPr>
                <w:sz w:val="24"/>
                <w:szCs w:val="24"/>
              </w:rPr>
            </w:pPr>
            <w:r>
              <w:rPr>
                <w:rFonts w:hint="eastAsia"/>
                <w:sz w:val="24"/>
                <w:szCs w:val="24"/>
                <w:lang w:val="en-US" w:eastAsia="zh-CN"/>
              </w:rPr>
              <w:t>5</w:t>
            </w:r>
            <w:r>
              <w:rPr>
                <w:rFonts w:hint="eastAsia"/>
                <w:sz w:val="24"/>
                <w:szCs w:val="24"/>
              </w:rPr>
              <w:t>、商务标投标文件制作注意事项：</w:t>
            </w:r>
          </w:p>
          <w:p>
            <w:pPr>
              <w:autoSpaceDE w:val="0"/>
              <w:autoSpaceDN w:val="0"/>
              <w:spacing w:line="360" w:lineRule="auto"/>
              <w:jc w:val="left"/>
              <w:outlineLvl w:val="0"/>
              <w:rPr>
                <w:sz w:val="24"/>
                <w:szCs w:val="24"/>
              </w:rPr>
            </w:pPr>
            <w:r>
              <w:rPr>
                <w:rFonts w:hint="eastAsia"/>
                <w:sz w:val="24"/>
                <w:szCs w:val="24"/>
                <w:lang w:val="en-US" w:eastAsia="zh-CN"/>
              </w:rPr>
              <w:t>5</w:t>
            </w:r>
            <w:r>
              <w:rPr>
                <w:rFonts w:hint="eastAsia"/>
                <w:sz w:val="24"/>
                <w:szCs w:val="24"/>
              </w:rPr>
              <w:t>.1 投标人登录《全国公共资源交易平台（河南省·许昌市）》公共资源交易系统下载“许昌投标文件制作系统SEARUN V1.1” 和操作手册（工程项目），按招标文件要求制作商务标投标文件。</w:t>
            </w:r>
          </w:p>
          <w:p>
            <w:pPr>
              <w:autoSpaceDE w:val="0"/>
              <w:autoSpaceDN w:val="0"/>
              <w:spacing w:line="360" w:lineRule="auto"/>
              <w:jc w:val="left"/>
              <w:outlineLvl w:val="0"/>
              <w:rPr>
                <w:sz w:val="24"/>
                <w:szCs w:val="24"/>
              </w:rPr>
            </w:pPr>
            <w:r>
              <w:rPr>
                <w:rFonts w:hint="eastAsia"/>
                <w:sz w:val="24"/>
                <w:szCs w:val="24"/>
                <w:lang w:val="en-US" w:eastAsia="zh-CN"/>
              </w:rPr>
              <w:t>5</w:t>
            </w:r>
            <w:r>
              <w:rPr>
                <w:rFonts w:hint="eastAsia"/>
                <w:sz w:val="24"/>
                <w:szCs w:val="24"/>
              </w:rPr>
              <w:t>.2 商务标投标文件制作技术咨询：0374-2961598。</w:t>
            </w:r>
          </w:p>
          <w:p>
            <w:pPr>
              <w:autoSpaceDE w:val="0"/>
              <w:autoSpaceDN w:val="0"/>
              <w:spacing w:line="360" w:lineRule="auto"/>
              <w:jc w:val="left"/>
              <w:outlineLvl w:val="0"/>
              <w:rPr>
                <w:sz w:val="24"/>
                <w:szCs w:val="24"/>
              </w:rPr>
            </w:pPr>
            <w:r>
              <w:rPr>
                <w:rFonts w:hint="eastAsia"/>
                <w:sz w:val="24"/>
                <w:szCs w:val="24"/>
                <w:lang w:val="en-US" w:eastAsia="zh-CN"/>
              </w:rPr>
              <w:t>6</w:t>
            </w:r>
            <w:r>
              <w:rPr>
                <w:rFonts w:hint="eastAsia"/>
                <w:sz w:val="24"/>
                <w:szCs w:val="24"/>
              </w:rPr>
              <w:t>、根据《河南省支持建筑业发展厅际联席会议办公室关于印发2018年全省建筑业转型发展推进方案的通知》（豫建联办【2018】1号）文件指示，招标人将在招标时查询本省和外省进豫投标人在河南省建筑市场监管信息系统暨一体化工作平台的登记信息。</w:t>
            </w:r>
          </w:p>
          <w:p>
            <w:pPr>
              <w:tabs>
                <w:tab w:val="left" w:pos="7095"/>
              </w:tabs>
              <w:spacing w:line="360" w:lineRule="auto"/>
              <w:rPr>
                <w:rFonts w:hint="eastAsia"/>
                <w:sz w:val="24"/>
                <w:szCs w:val="24"/>
              </w:rPr>
            </w:pPr>
            <w:r>
              <w:rPr>
                <w:rFonts w:hint="eastAsia"/>
                <w:sz w:val="24"/>
                <w:szCs w:val="24"/>
                <w:lang w:val="en-US" w:eastAsia="zh-CN"/>
              </w:rPr>
              <w:t>7</w:t>
            </w:r>
            <w:r>
              <w:rPr>
                <w:rFonts w:hint="eastAsia"/>
                <w:sz w:val="24"/>
                <w:szCs w:val="24"/>
              </w:rPr>
              <w:t>、本项目执行《河南省住房和城乡建设厅关于在全省房屋建筑和市政基础设施工程建设领域推行劳务用工实名制管理的通知》（豫建建【2018】16号）以及许昌市住房和城乡建设局关于在全市房屋建筑和市政基础设施工程建设领域推行劳务用工实名制管理的通知》（许建发【2018】73号）文件，中标人须遵照以上文件的相关规定。</w:t>
            </w:r>
          </w:p>
          <w:p>
            <w:pPr>
              <w:snapToGrid w:val="0"/>
              <w:spacing w:line="360" w:lineRule="auto"/>
              <w:rPr>
                <w:rFonts w:hint="eastAsia" w:eastAsia="宋体"/>
                <w:sz w:val="24"/>
                <w:szCs w:val="24"/>
                <w:lang w:val="en-US" w:eastAsia="zh-CN"/>
              </w:rPr>
            </w:pPr>
            <w:r>
              <w:rPr>
                <w:rFonts w:hint="eastAsia" w:hAnsi="宋体" w:cs="宋体"/>
                <w:sz w:val="24"/>
                <w:szCs w:val="24"/>
                <w:lang w:val="en-US" w:eastAsia="zh-CN"/>
              </w:rPr>
              <w:t>8、</w:t>
            </w:r>
            <w:r>
              <w:rPr>
                <w:rFonts w:hint="eastAsia" w:ascii="宋体" w:hAnsi="宋体" w:eastAsia="宋体" w:cs="宋体"/>
                <w:sz w:val="24"/>
                <w:szCs w:val="24"/>
              </w:rPr>
              <w:t>不同投标人电子投标文件</w:t>
            </w:r>
            <w:r>
              <w:rPr>
                <w:rFonts w:hint="eastAsia" w:ascii="宋体" w:hAnsi="宋体" w:cs="宋体"/>
                <w:sz w:val="24"/>
                <w:szCs w:val="24"/>
                <w:lang w:eastAsia="zh-CN"/>
              </w:rPr>
              <w:t>记录的</w:t>
            </w:r>
            <w:r>
              <w:rPr>
                <w:rFonts w:hint="eastAsia" w:ascii="宋体" w:hAnsi="宋体" w:eastAsia="宋体" w:cs="宋体"/>
                <w:sz w:val="24"/>
                <w:szCs w:val="24"/>
              </w:rPr>
              <w:t>网卡MAC地址、CPU序号、硬盘序列号</w:t>
            </w:r>
            <w:r>
              <w:rPr>
                <w:rFonts w:hint="eastAsia" w:ascii="宋体" w:hAnsi="宋体" w:cs="宋体"/>
                <w:sz w:val="24"/>
                <w:szCs w:val="24"/>
                <w:lang w:eastAsia="zh-CN"/>
              </w:rPr>
              <w:t>等硬件特征码均相同</w:t>
            </w:r>
            <w:r>
              <w:rPr>
                <w:rFonts w:hint="eastAsia" w:ascii="宋体" w:hAnsi="宋体" w:eastAsia="宋体" w:cs="宋体"/>
                <w:sz w:val="24"/>
                <w:szCs w:val="24"/>
              </w:rPr>
              <w:t>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tc>
      </w:tr>
    </w:tbl>
    <w:p>
      <w:pPr>
        <w:pStyle w:val="5"/>
        <w:rPr>
          <w:rFonts w:ascii="Times New Roman" w:hAnsi="Times New Roman"/>
          <w:color w:val="auto"/>
        </w:rPr>
      </w:pPr>
      <w:r>
        <w:rPr>
          <w:rFonts w:ascii="Times New Roman" w:hAnsi="Times New Roman"/>
          <w:color w:val="auto"/>
        </w:rPr>
        <w:br w:type="page"/>
      </w:r>
    </w:p>
    <w:bookmarkEnd w:id="4"/>
    <w:p>
      <w:pPr>
        <w:spacing w:beforeLines="50" w:line="400" w:lineRule="exact"/>
        <w:ind w:firstLine="0" w:firstLineChars="0"/>
        <w:jc w:val="both"/>
        <w:rPr>
          <w:rFonts w:ascii="宋体" w:hAnsi="宋体" w:eastAsia="宋体" w:cs="宋体"/>
          <w:b/>
          <w:color w:val="auto"/>
          <w:sz w:val="24"/>
          <w:szCs w:val="24"/>
        </w:rPr>
      </w:pPr>
      <w:bookmarkStart w:id="5" w:name="_Toc492300815"/>
      <w:r>
        <w:rPr>
          <w:rFonts w:hint="eastAsia" w:ascii="宋体" w:hAnsi="宋体" w:eastAsia="宋体" w:cs="宋体"/>
          <w:b/>
          <w:color w:val="auto"/>
          <w:sz w:val="24"/>
          <w:szCs w:val="24"/>
        </w:rPr>
        <w:t>1.总则</w:t>
      </w:r>
    </w:p>
    <w:p>
      <w:pPr>
        <w:autoSpaceDE w:val="0"/>
        <w:autoSpaceDN w:val="0"/>
        <w:spacing w:line="400" w:lineRule="exact"/>
        <w:ind w:firstLine="0" w:firstLineChars="0"/>
        <w:outlineLvl w:val="0"/>
        <w:rPr>
          <w:rFonts w:ascii="宋体" w:hAnsi="宋体" w:eastAsia="宋体" w:cs="宋体"/>
          <w:b/>
          <w:color w:val="auto"/>
          <w:sz w:val="24"/>
          <w:szCs w:val="24"/>
        </w:rPr>
      </w:pPr>
      <w:r>
        <w:rPr>
          <w:rFonts w:hint="eastAsia" w:ascii="宋体" w:hAnsi="宋体" w:eastAsia="宋体" w:cs="宋体"/>
          <w:b/>
          <w:color w:val="auto"/>
          <w:sz w:val="24"/>
          <w:szCs w:val="24"/>
        </w:rPr>
        <w:t>1.1 招标项目概况</w:t>
      </w:r>
      <w:r>
        <w:rPr>
          <w:rFonts w:hint="eastAsia" w:ascii="宋体" w:hAnsi="宋体" w:eastAsia="宋体" w:cs="宋体"/>
          <w:b/>
          <w:color w:val="auto"/>
          <w:sz w:val="24"/>
          <w:szCs w:val="24"/>
        </w:rPr>
        <w:tab/>
      </w:r>
    </w:p>
    <w:p>
      <w:pPr>
        <w:autoSpaceDE w:val="0"/>
        <w:autoSpaceDN w:val="0"/>
        <w:adjustRightInd w:val="0"/>
        <w:spacing w:line="400" w:lineRule="exact"/>
        <w:ind w:firstLine="480"/>
        <w:rPr>
          <w:rFonts w:ascii="宋体" w:hAnsi="宋体" w:eastAsia="宋体" w:cs="宋体"/>
          <w:color w:val="auto"/>
          <w:sz w:val="24"/>
          <w:szCs w:val="24"/>
        </w:rPr>
      </w:pPr>
      <w:r>
        <w:rPr>
          <w:rFonts w:hint="eastAsia" w:ascii="宋体" w:hAnsi="宋体" w:eastAsia="宋体" w:cs="宋体"/>
          <w:color w:val="auto"/>
          <w:sz w:val="24"/>
          <w:szCs w:val="24"/>
        </w:rPr>
        <w:t>1.1.1 根据《中华人民共和国招标投标法》、《中华人民共和国招标投标法实施条例》等有关法律、法规和规章的规定，本招标项目已具备招标条件，现对</w:t>
      </w:r>
      <w:r>
        <w:rPr>
          <w:rFonts w:hint="eastAsia" w:ascii="宋体" w:hAnsi="宋体" w:cs="宋体"/>
          <w:color w:val="auto"/>
          <w:sz w:val="24"/>
          <w:szCs w:val="24"/>
          <w:lang w:eastAsia="zh-CN"/>
        </w:rPr>
        <w:t>勘察</w:t>
      </w:r>
      <w:r>
        <w:rPr>
          <w:rFonts w:hint="eastAsia" w:ascii="宋体" w:hAnsi="宋体" w:eastAsia="宋体" w:cs="宋体"/>
          <w:color w:val="auto"/>
          <w:sz w:val="24"/>
          <w:szCs w:val="24"/>
        </w:rPr>
        <w:t>进行招标。</w:t>
      </w:r>
    </w:p>
    <w:p>
      <w:pPr>
        <w:autoSpaceDE w:val="0"/>
        <w:autoSpaceDN w:val="0"/>
        <w:adjustRightInd w:val="0"/>
        <w:spacing w:line="400" w:lineRule="exact"/>
        <w:ind w:firstLine="480"/>
        <w:rPr>
          <w:rFonts w:ascii="宋体" w:hAnsi="宋体" w:eastAsia="宋体" w:cs="宋体"/>
          <w:color w:val="auto"/>
          <w:sz w:val="24"/>
          <w:szCs w:val="24"/>
        </w:rPr>
      </w:pPr>
      <w:r>
        <w:rPr>
          <w:rFonts w:hint="eastAsia" w:ascii="宋体" w:hAnsi="宋体" w:eastAsia="宋体" w:cs="宋体"/>
          <w:color w:val="auto"/>
          <w:sz w:val="24"/>
          <w:szCs w:val="24"/>
        </w:rPr>
        <w:t>1.1.2 招标人：见投标人须知前附表。</w:t>
      </w:r>
    </w:p>
    <w:p>
      <w:pPr>
        <w:autoSpaceDE w:val="0"/>
        <w:autoSpaceDN w:val="0"/>
        <w:adjustRightInd w:val="0"/>
        <w:spacing w:line="400" w:lineRule="exact"/>
        <w:ind w:firstLine="480"/>
        <w:rPr>
          <w:rFonts w:ascii="宋体" w:hAnsi="宋体" w:eastAsia="宋体" w:cs="宋体"/>
          <w:color w:val="auto"/>
          <w:sz w:val="24"/>
          <w:szCs w:val="24"/>
        </w:rPr>
      </w:pPr>
      <w:r>
        <w:rPr>
          <w:rFonts w:hint="eastAsia" w:ascii="宋体" w:hAnsi="宋体" w:eastAsia="宋体" w:cs="宋体"/>
          <w:color w:val="auto"/>
          <w:sz w:val="24"/>
          <w:szCs w:val="24"/>
        </w:rPr>
        <w:t>1.1.3 招标代理机构：见投标人须知前附表。</w:t>
      </w:r>
    </w:p>
    <w:p>
      <w:pPr>
        <w:autoSpaceDE w:val="0"/>
        <w:autoSpaceDN w:val="0"/>
        <w:adjustRightInd w:val="0"/>
        <w:spacing w:line="400" w:lineRule="exact"/>
        <w:ind w:firstLine="480"/>
        <w:rPr>
          <w:rFonts w:ascii="宋体" w:hAnsi="宋体" w:eastAsia="宋体" w:cs="宋体"/>
          <w:color w:val="auto"/>
          <w:sz w:val="24"/>
          <w:szCs w:val="24"/>
        </w:rPr>
      </w:pPr>
      <w:r>
        <w:rPr>
          <w:rFonts w:hint="eastAsia" w:ascii="宋体" w:hAnsi="宋体" w:eastAsia="宋体" w:cs="宋体"/>
          <w:color w:val="auto"/>
          <w:sz w:val="24"/>
          <w:szCs w:val="24"/>
        </w:rPr>
        <w:t>1.1.4 招标项目名称：见投标人须知前附表。</w:t>
      </w:r>
    </w:p>
    <w:p>
      <w:pPr>
        <w:autoSpaceDE w:val="0"/>
        <w:autoSpaceDN w:val="0"/>
        <w:adjustRightInd w:val="0"/>
        <w:spacing w:line="400" w:lineRule="exact"/>
        <w:ind w:firstLine="480"/>
        <w:rPr>
          <w:rFonts w:ascii="宋体" w:hAnsi="宋体" w:eastAsia="宋体" w:cs="宋体"/>
          <w:color w:val="auto"/>
          <w:sz w:val="24"/>
          <w:szCs w:val="24"/>
        </w:rPr>
      </w:pPr>
      <w:r>
        <w:rPr>
          <w:rFonts w:hint="eastAsia" w:ascii="宋体" w:hAnsi="宋体" w:eastAsia="宋体" w:cs="宋体"/>
          <w:color w:val="auto"/>
          <w:sz w:val="24"/>
          <w:szCs w:val="24"/>
        </w:rPr>
        <w:t>1.1.5 项目建设地点：见投标人须知前附表。</w:t>
      </w:r>
    </w:p>
    <w:p>
      <w:pPr>
        <w:autoSpaceDE w:val="0"/>
        <w:autoSpaceDN w:val="0"/>
        <w:adjustRightInd w:val="0"/>
        <w:spacing w:line="400" w:lineRule="exact"/>
        <w:ind w:firstLine="480"/>
        <w:rPr>
          <w:rFonts w:ascii="宋体" w:hAnsi="宋体" w:eastAsia="宋体" w:cs="宋体"/>
          <w:color w:val="auto"/>
          <w:sz w:val="24"/>
          <w:szCs w:val="24"/>
        </w:rPr>
      </w:pPr>
      <w:r>
        <w:rPr>
          <w:rFonts w:hint="eastAsia" w:ascii="宋体" w:hAnsi="宋体" w:eastAsia="宋体" w:cs="宋体"/>
          <w:color w:val="auto"/>
          <w:sz w:val="24"/>
          <w:szCs w:val="24"/>
        </w:rPr>
        <w:t>1.1.6 项目建设规模：见投标人须知前附表。</w:t>
      </w:r>
    </w:p>
    <w:p>
      <w:pPr>
        <w:autoSpaceDE w:val="0"/>
        <w:autoSpaceDN w:val="0"/>
        <w:adjustRightInd w:val="0"/>
        <w:spacing w:line="400" w:lineRule="exact"/>
        <w:ind w:firstLine="480"/>
        <w:rPr>
          <w:rFonts w:ascii="宋体" w:hAnsi="宋体" w:eastAsia="宋体" w:cs="宋体"/>
          <w:color w:val="auto"/>
          <w:sz w:val="24"/>
          <w:szCs w:val="24"/>
        </w:rPr>
      </w:pPr>
      <w:r>
        <w:rPr>
          <w:rFonts w:hint="eastAsia" w:ascii="宋体" w:hAnsi="宋体" w:eastAsia="宋体" w:cs="宋体"/>
          <w:color w:val="auto"/>
          <w:sz w:val="24"/>
          <w:szCs w:val="24"/>
        </w:rPr>
        <w:t>1.1.7 项目投资估算：见投标人须知前附表。</w:t>
      </w:r>
    </w:p>
    <w:p>
      <w:pPr>
        <w:autoSpaceDE w:val="0"/>
        <w:autoSpaceDN w:val="0"/>
        <w:spacing w:line="400" w:lineRule="exact"/>
        <w:ind w:firstLine="0" w:firstLineChars="0"/>
        <w:outlineLvl w:val="0"/>
        <w:rPr>
          <w:rFonts w:ascii="宋体" w:hAnsi="宋体" w:eastAsia="宋体" w:cs="宋体"/>
          <w:b/>
          <w:color w:val="auto"/>
          <w:sz w:val="24"/>
          <w:szCs w:val="24"/>
        </w:rPr>
      </w:pPr>
      <w:r>
        <w:rPr>
          <w:rFonts w:hint="eastAsia" w:ascii="宋体" w:hAnsi="宋体" w:eastAsia="宋体" w:cs="宋体"/>
          <w:b/>
          <w:color w:val="auto"/>
          <w:sz w:val="24"/>
          <w:szCs w:val="24"/>
        </w:rPr>
        <w:t>1.2 招标项目的资金来源和落实情况</w:t>
      </w:r>
    </w:p>
    <w:p>
      <w:pPr>
        <w:autoSpaceDE w:val="0"/>
        <w:autoSpaceDN w:val="0"/>
        <w:adjustRightInd w:val="0"/>
        <w:spacing w:line="400" w:lineRule="exact"/>
        <w:ind w:firstLine="480"/>
        <w:rPr>
          <w:rFonts w:ascii="宋体" w:hAnsi="宋体" w:eastAsia="宋体" w:cs="宋体"/>
          <w:color w:val="auto"/>
          <w:sz w:val="24"/>
          <w:szCs w:val="24"/>
        </w:rPr>
      </w:pPr>
      <w:r>
        <w:rPr>
          <w:rFonts w:hint="eastAsia" w:ascii="宋体" w:hAnsi="宋体" w:eastAsia="宋体" w:cs="宋体"/>
          <w:color w:val="auto"/>
          <w:sz w:val="24"/>
          <w:szCs w:val="24"/>
        </w:rPr>
        <w:t>1.2.1 资金来源及比例：见投标人须知前附表。</w:t>
      </w:r>
    </w:p>
    <w:p>
      <w:pPr>
        <w:autoSpaceDE w:val="0"/>
        <w:autoSpaceDN w:val="0"/>
        <w:adjustRightInd w:val="0"/>
        <w:spacing w:line="400" w:lineRule="exact"/>
        <w:ind w:firstLine="480"/>
        <w:rPr>
          <w:rFonts w:ascii="宋体" w:hAnsi="宋体" w:eastAsia="宋体" w:cs="宋体"/>
          <w:color w:val="auto"/>
          <w:sz w:val="24"/>
          <w:szCs w:val="24"/>
        </w:rPr>
      </w:pPr>
      <w:r>
        <w:rPr>
          <w:rFonts w:hint="eastAsia" w:ascii="宋体" w:hAnsi="宋体" w:eastAsia="宋体" w:cs="宋体"/>
          <w:color w:val="auto"/>
          <w:sz w:val="24"/>
          <w:szCs w:val="24"/>
        </w:rPr>
        <w:t>1.2.2 资金落实情况：见投标人须知前附表。</w:t>
      </w:r>
    </w:p>
    <w:p>
      <w:pPr>
        <w:autoSpaceDE w:val="0"/>
        <w:autoSpaceDN w:val="0"/>
        <w:spacing w:line="400" w:lineRule="exact"/>
        <w:ind w:firstLine="0" w:firstLineChars="0"/>
        <w:outlineLvl w:val="0"/>
        <w:rPr>
          <w:rFonts w:ascii="宋体" w:hAnsi="宋体" w:eastAsia="宋体" w:cs="宋体"/>
          <w:b/>
          <w:color w:val="auto"/>
          <w:sz w:val="24"/>
          <w:szCs w:val="24"/>
        </w:rPr>
      </w:pPr>
      <w:r>
        <w:rPr>
          <w:rFonts w:hint="eastAsia" w:ascii="宋体" w:hAnsi="宋体" w:eastAsia="宋体" w:cs="宋体"/>
          <w:b/>
          <w:color w:val="auto"/>
          <w:sz w:val="24"/>
          <w:szCs w:val="24"/>
        </w:rPr>
        <w:t>1.3 招标范围、交货期、交货地点和技术性能指标</w:t>
      </w:r>
    </w:p>
    <w:p>
      <w:pPr>
        <w:autoSpaceDE w:val="0"/>
        <w:autoSpaceDN w:val="0"/>
        <w:adjustRightInd w:val="0"/>
        <w:spacing w:line="400" w:lineRule="exact"/>
        <w:ind w:firstLine="480"/>
        <w:rPr>
          <w:rFonts w:ascii="宋体" w:hAnsi="宋体" w:eastAsia="宋体" w:cs="宋体"/>
          <w:color w:val="auto"/>
          <w:sz w:val="24"/>
          <w:szCs w:val="24"/>
        </w:rPr>
      </w:pPr>
      <w:r>
        <w:rPr>
          <w:rFonts w:hint="eastAsia" w:ascii="宋体" w:hAnsi="宋体" w:eastAsia="宋体" w:cs="宋体"/>
          <w:color w:val="auto"/>
          <w:sz w:val="24"/>
          <w:szCs w:val="24"/>
        </w:rPr>
        <w:t>1.3.1 招标范围：见投标人须知前附表。</w:t>
      </w:r>
    </w:p>
    <w:p>
      <w:pPr>
        <w:autoSpaceDE w:val="0"/>
        <w:autoSpaceDN w:val="0"/>
        <w:adjustRightInd w:val="0"/>
        <w:spacing w:line="400" w:lineRule="exact"/>
        <w:ind w:firstLine="480"/>
        <w:rPr>
          <w:rFonts w:ascii="宋体" w:hAnsi="宋体" w:eastAsia="宋体" w:cs="宋体"/>
          <w:color w:val="auto"/>
          <w:sz w:val="24"/>
          <w:szCs w:val="24"/>
        </w:rPr>
      </w:pPr>
      <w:r>
        <w:rPr>
          <w:rFonts w:hint="eastAsia" w:ascii="宋体" w:hAnsi="宋体" w:eastAsia="宋体" w:cs="宋体"/>
          <w:color w:val="auto"/>
          <w:sz w:val="24"/>
          <w:szCs w:val="24"/>
        </w:rPr>
        <w:t xml:space="preserve">1.3.2 </w:t>
      </w:r>
      <w:r>
        <w:rPr>
          <w:rFonts w:hint="eastAsia" w:ascii="宋体" w:hAnsi="宋体" w:cs="宋体"/>
          <w:color w:val="auto"/>
          <w:sz w:val="24"/>
          <w:szCs w:val="24"/>
          <w:lang w:eastAsia="zh-CN"/>
        </w:rPr>
        <w:t>勘察</w:t>
      </w:r>
      <w:r>
        <w:rPr>
          <w:rFonts w:hint="eastAsia" w:ascii="宋体" w:hAnsi="宋体" w:eastAsia="宋体" w:cs="宋体"/>
          <w:color w:val="auto"/>
          <w:sz w:val="24"/>
          <w:szCs w:val="24"/>
        </w:rPr>
        <w:t>服务期限：见投标人须知前附表。</w:t>
      </w:r>
    </w:p>
    <w:p>
      <w:pPr>
        <w:autoSpaceDE w:val="0"/>
        <w:autoSpaceDN w:val="0"/>
        <w:adjustRightInd w:val="0"/>
        <w:spacing w:line="400" w:lineRule="exact"/>
        <w:ind w:firstLine="480"/>
        <w:rPr>
          <w:rFonts w:ascii="宋体" w:hAnsi="宋体" w:eastAsia="宋体" w:cs="宋体"/>
          <w:color w:val="auto"/>
          <w:sz w:val="24"/>
          <w:szCs w:val="24"/>
        </w:rPr>
      </w:pPr>
      <w:r>
        <w:rPr>
          <w:rFonts w:hint="eastAsia" w:ascii="宋体" w:hAnsi="宋体" w:eastAsia="宋体" w:cs="宋体"/>
          <w:color w:val="auto"/>
          <w:sz w:val="24"/>
          <w:szCs w:val="24"/>
        </w:rPr>
        <w:t>1.3.3 质量标准：见投标人须知前附表。</w:t>
      </w:r>
    </w:p>
    <w:p>
      <w:pPr>
        <w:autoSpaceDE w:val="0"/>
        <w:autoSpaceDN w:val="0"/>
        <w:spacing w:line="400" w:lineRule="exact"/>
        <w:ind w:firstLine="0" w:firstLineChars="0"/>
        <w:outlineLvl w:val="0"/>
        <w:rPr>
          <w:rFonts w:ascii="宋体" w:hAnsi="宋体" w:eastAsia="宋体" w:cs="宋体"/>
          <w:b/>
          <w:color w:val="auto"/>
          <w:sz w:val="24"/>
          <w:szCs w:val="24"/>
        </w:rPr>
      </w:pPr>
      <w:r>
        <w:rPr>
          <w:rFonts w:hint="eastAsia" w:ascii="宋体" w:hAnsi="宋体" w:eastAsia="宋体" w:cs="宋体"/>
          <w:b/>
          <w:color w:val="auto"/>
          <w:sz w:val="24"/>
          <w:szCs w:val="24"/>
        </w:rPr>
        <w:t>1.4 投标人资格要求</w:t>
      </w:r>
    </w:p>
    <w:p>
      <w:pPr>
        <w:autoSpaceDE w:val="0"/>
        <w:autoSpaceDN w:val="0"/>
        <w:adjustRightInd w:val="0"/>
        <w:spacing w:line="400" w:lineRule="exact"/>
        <w:ind w:firstLine="480"/>
        <w:rPr>
          <w:rFonts w:ascii="宋体" w:hAnsi="宋体" w:eastAsia="宋体" w:cs="宋体"/>
          <w:color w:val="auto"/>
          <w:sz w:val="24"/>
          <w:szCs w:val="24"/>
        </w:rPr>
      </w:pPr>
      <w:r>
        <w:rPr>
          <w:rFonts w:hint="eastAsia" w:ascii="宋体" w:hAnsi="宋体" w:eastAsia="宋体" w:cs="宋体"/>
          <w:color w:val="auto"/>
          <w:sz w:val="24"/>
          <w:szCs w:val="24"/>
        </w:rPr>
        <w:t>1.4.1 投标人应具备承担本招标项目资质条件、能力和信誉。</w:t>
      </w:r>
    </w:p>
    <w:p>
      <w:pPr>
        <w:autoSpaceDE w:val="0"/>
        <w:autoSpaceDN w:val="0"/>
        <w:spacing w:line="400" w:lineRule="exact"/>
        <w:ind w:firstLine="480"/>
        <w:outlineLvl w:val="0"/>
        <w:rPr>
          <w:rFonts w:ascii="宋体" w:hAnsi="宋体" w:eastAsia="宋体" w:cs="宋体"/>
          <w:color w:val="auto"/>
          <w:sz w:val="24"/>
          <w:szCs w:val="24"/>
        </w:rPr>
      </w:pPr>
      <w:r>
        <w:rPr>
          <w:rFonts w:hint="eastAsia" w:ascii="宋体" w:hAnsi="宋体" w:eastAsia="宋体" w:cs="宋体"/>
          <w:color w:val="auto"/>
          <w:sz w:val="24"/>
          <w:szCs w:val="24"/>
        </w:rPr>
        <w:t>（1）资质要求：见投标人须知前附表；</w:t>
      </w:r>
    </w:p>
    <w:p>
      <w:pPr>
        <w:autoSpaceDE w:val="0"/>
        <w:autoSpaceDN w:val="0"/>
        <w:spacing w:line="400" w:lineRule="exact"/>
        <w:ind w:firstLine="480"/>
        <w:outlineLvl w:val="0"/>
        <w:rPr>
          <w:rFonts w:ascii="宋体" w:hAnsi="宋体" w:eastAsia="宋体" w:cs="宋体"/>
          <w:color w:val="auto"/>
          <w:sz w:val="24"/>
          <w:szCs w:val="24"/>
        </w:rPr>
      </w:pPr>
      <w:r>
        <w:rPr>
          <w:rFonts w:hint="eastAsia" w:ascii="宋体" w:hAnsi="宋体" w:eastAsia="宋体" w:cs="宋体"/>
          <w:color w:val="auto"/>
          <w:sz w:val="24"/>
          <w:szCs w:val="24"/>
        </w:rPr>
        <w:t>（2）财务要求：见投标人须知前附表；</w:t>
      </w:r>
    </w:p>
    <w:p>
      <w:pPr>
        <w:autoSpaceDE w:val="0"/>
        <w:autoSpaceDN w:val="0"/>
        <w:spacing w:line="400" w:lineRule="exact"/>
        <w:ind w:firstLine="480"/>
        <w:outlineLvl w:val="0"/>
        <w:rPr>
          <w:rFonts w:ascii="宋体" w:hAnsi="宋体" w:eastAsia="宋体" w:cs="宋体"/>
          <w:color w:val="auto"/>
          <w:sz w:val="24"/>
          <w:szCs w:val="24"/>
        </w:rPr>
      </w:pPr>
      <w:r>
        <w:rPr>
          <w:rFonts w:hint="eastAsia" w:ascii="宋体" w:hAnsi="宋体" w:eastAsia="宋体" w:cs="宋体"/>
          <w:color w:val="auto"/>
          <w:sz w:val="24"/>
          <w:szCs w:val="24"/>
        </w:rPr>
        <w:t>（3）业绩要求：见投标人须知前附表；</w:t>
      </w:r>
    </w:p>
    <w:p>
      <w:pPr>
        <w:autoSpaceDE w:val="0"/>
        <w:autoSpaceDN w:val="0"/>
        <w:spacing w:line="400" w:lineRule="exact"/>
        <w:ind w:firstLine="480"/>
        <w:outlineLvl w:val="0"/>
        <w:rPr>
          <w:rFonts w:ascii="宋体" w:hAnsi="宋体" w:eastAsia="宋体" w:cs="宋体"/>
          <w:color w:val="auto"/>
          <w:sz w:val="24"/>
          <w:szCs w:val="24"/>
        </w:rPr>
      </w:pPr>
      <w:r>
        <w:rPr>
          <w:rFonts w:hint="eastAsia" w:ascii="宋体" w:hAnsi="宋体" w:eastAsia="宋体" w:cs="宋体"/>
          <w:color w:val="auto"/>
          <w:sz w:val="24"/>
          <w:szCs w:val="24"/>
        </w:rPr>
        <w:t>（4）信誉要求：见投标人须知前附表；</w:t>
      </w:r>
    </w:p>
    <w:p>
      <w:pPr>
        <w:autoSpaceDE w:val="0"/>
        <w:autoSpaceDN w:val="0"/>
        <w:spacing w:line="400" w:lineRule="exact"/>
        <w:ind w:firstLine="480"/>
        <w:outlineLvl w:val="0"/>
        <w:rPr>
          <w:rFonts w:ascii="宋体" w:hAnsi="宋体" w:eastAsia="宋体" w:cs="宋体"/>
          <w:color w:val="auto"/>
          <w:sz w:val="24"/>
          <w:szCs w:val="24"/>
        </w:rPr>
      </w:pPr>
      <w:r>
        <w:rPr>
          <w:rFonts w:hint="eastAsia" w:ascii="宋体" w:hAnsi="宋体" w:eastAsia="宋体" w:cs="宋体"/>
          <w:color w:val="auto"/>
          <w:sz w:val="24"/>
          <w:szCs w:val="24"/>
        </w:rPr>
        <w:t>（5）项目负责人的资格要求：具体要求见投标人须知前附表；</w:t>
      </w:r>
    </w:p>
    <w:p>
      <w:pPr>
        <w:autoSpaceDE w:val="0"/>
        <w:autoSpaceDN w:val="0"/>
        <w:spacing w:line="400" w:lineRule="exact"/>
        <w:ind w:firstLine="480"/>
        <w:outlineLvl w:val="0"/>
        <w:rPr>
          <w:rFonts w:ascii="宋体" w:hAnsi="宋体" w:eastAsia="宋体" w:cs="宋体"/>
          <w:color w:val="auto"/>
          <w:sz w:val="24"/>
          <w:szCs w:val="24"/>
        </w:rPr>
      </w:pPr>
      <w:r>
        <w:rPr>
          <w:rFonts w:hint="eastAsia" w:ascii="宋体" w:hAnsi="宋体" w:eastAsia="宋体" w:cs="宋体"/>
          <w:color w:val="auto"/>
          <w:sz w:val="24"/>
          <w:szCs w:val="24"/>
        </w:rPr>
        <w:t>（6）其他主要人员要求：见投标人须知前附表。</w:t>
      </w:r>
    </w:p>
    <w:p>
      <w:pPr>
        <w:autoSpaceDE w:val="0"/>
        <w:autoSpaceDN w:val="0"/>
        <w:spacing w:line="400" w:lineRule="exact"/>
        <w:ind w:firstLine="480"/>
        <w:outlineLvl w:val="0"/>
        <w:rPr>
          <w:rFonts w:ascii="宋体" w:hAnsi="宋体" w:eastAsia="宋体" w:cs="宋体"/>
          <w:color w:val="auto"/>
          <w:sz w:val="24"/>
          <w:szCs w:val="24"/>
        </w:rPr>
      </w:pPr>
      <w:r>
        <w:rPr>
          <w:rFonts w:ascii="宋体" w:hAnsi="宋体" w:eastAsia="宋体" w:cs="宋体"/>
          <w:color w:val="auto"/>
          <w:sz w:val="24"/>
          <w:szCs w:val="24"/>
        </w:rPr>
        <mc:AlternateContent>
          <mc:Choice Requires="wps">
            <w:drawing>
              <wp:anchor distT="0" distB="0" distL="114300" distR="114300" simplePos="0" relativeHeight="251676672" behindDoc="1" locked="0" layoutInCell="1" allowOverlap="1">
                <wp:simplePos x="0" y="0"/>
                <wp:positionH relativeFrom="page">
                  <wp:posOffset>0</wp:posOffset>
                </wp:positionH>
                <wp:positionV relativeFrom="page">
                  <wp:posOffset>0</wp:posOffset>
                </wp:positionV>
                <wp:extent cx="7773670" cy="10059670"/>
                <wp:effectExtent l="0" t="0" r="17780" b="17780"/>
                <wp:wrapNone/>
                <wp:docPr id="1" name="WS_polygon1"/>
                <wp:cNvGraphicFramePr/>
                <a:graphic xmlns:a="http://schemas.openxmlformats.org/drawingml/2006/main">
                  <a:graphicData uri="http://schemas.microsoft.com/office/word/2010/wordprocessingShape">
                    <wps:wsp>
                      <wps:cNvSpPr/>
                      <wps:spPr>
                        <a:xfrm>
                          <a:off x="0" y="0"/>
                          <a:ext cx="7773670" cy="10059670"/>
                        </a:xfrm>
                        <a:prstGeom prst="star5">
                          <a:avLst/>
                        </a:prstGeom>
                        <a:solidFill>
                          <a:srgbClr val="FFFFFF"/>
                        </a:solidFill>
                        <a:ln w="9525">
                          <a:noFill/>
                        </a:ln>
                        <a:effectLst/>
                      </wps:spPr>
                      <wps:bodyPr upright="1"/>
                    </wps:wsp>
                  </a:graphicData>
                </a:graphic>
              </wp:anchor>
            </w:drawing>
          </mc:Choice>
          <mc:Fallback>
            <w:pict>
              <v:shape id="WS_polygon1" o:spid="_x0000_s1026" style="position:absolute;left:0pt;margin-left:0pt;margin-top:0pt;height:792.1pt;width:612.1pt;mso-position-horizontal-relative:page;mso-position-vertical-relative:page;z-index:-251639808;mso-width-relative:page;mso-height-relative:page;" fillcolor="#FFFFFF" filled="t" stroked="f" coordsize="7773670,10059670" o:gfxdata="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AAAAABkcnMvUEsBAhQAFAAAAAgAh07iQJLtHN3UAAAABwEAAA8AAAAAAAAAAQAgAAAAIgAA&#10;AGRycy9kb3ducmV2LnhtbFBLAQIUABQAAAAIAIdO4kDipJdomgEAAC4DAAAOAAAAAAAAAAEAIAAA&#10;ACMBAABkcnMvZTJvRG9jLnhtbFBLBQYAAAAABgAGAFkBAAAvBQAAAAA=&#10;" path="m8,3842442l2969294,3842469,3886835,0,4804375,3842469,7773661,3842442,5371447,6217191,6289026,10059644,3886835,7684851,1484643,10059644,2402222,6217191xe">
                <v:path o:connectlocs="3886835,0;8,3842442;1484643,10059644;6289026,10059644;7773661,3842442" o:connectangles="247,164,82,82,0"/>
                <v:fill on="t" focussize="0,0"/>
                <v:stroke on="f"/>
                <v:imagedata o:title=""/>
                <o:lock v:ext="edit" aspectratio="f"/>
              </v:shape>
            </w:pict>
          </mc:Fallback>
        </mc:AlternateContent>
      </w:r>
      <w:r>
        <w:rPr>
          <w:rFonts w:hint="eastAsia" w:ascii="宋体" w:hAnsi="宋体" w:eastAsia="宋体" w:cs="宋体"/>
          <w:color w:val="auto"/>
          <w:sz w:val="24"/>
          <w:szCs w:val="24"/>
        </w:rPr>
        <w:t>（7）其他要求：见投标人须知前附表。</w:t>
      </w:r>
    </w:p>
    <w:p>
      <w:pPr>
        <w:autoSpaceDE w:val="0"/>
        <w:autoSpaceDN w:val="0"/>
        <w:spacing w:line="400" w:lineRule="exact"/>
        <w:ind w:firstLine="480"/>
        <w:outlineLvl w:val="0"/>
        <w:rPr>
          <w:rFonts w:ascii="宋体" w:hAnsi="宋体" w:eastAsia="宋体" w:cs="宋体"/>
          <w:color w:val="auto"/>
          <w:sz w:val="24"/>
          <w:szCs w:val="24"/>
        </w:rPr>
      </w:pPr>
      <w:r>
        <w:rPr>
          <w:rFonts w:hint="eastAsia" w:ascii="宋体" w:hAnsi="宋体" w:eastAsia="宋体" w:cs="宋体"/>
          <w:color w:val="auto"/>
          <w:sz w:val="24"/>
          <w:szCs w:val="24"/>
        </w:rPr>
        <w:t xml:space="preserve">需要提交的相关证明材料见本章第3.5款的规定。 </w:t>
      </w:r>
    </w:p>
    <w:p>
      <w:pPr>
        <w:autoSpaceDE w:val="0"/>
        <w:autoSpaceDN w:val="0"/>
        <w:spacing w:line="400" w:lineRule="exact"/>
        <w:ind w:firstLine="480"/>
        <w:outlineLvl w:val="0"/>
        <w:rPr>
          <w:rFonts w:ascii="宋体" w:hAnsi="宋体" w:eastAsia="宋体" w:cs="宋体"/>
          <w:color w:val="auto"/>
          <w:sz w:val="24"/>
          <w:szCs w:val="24"/>
        </w:rPr>
      </w:pPr>
      <w:bookmarkStart w:id="6" w:name="_Toc152045535"/>
      <w:bookmarkStart w:id="7" w:name="_Toc179632552"/>
      <w:bookmarkStart w:id="8" w:name="_Toc152042311"/>
      <w:bookmarkStart w:id="9" w:name="_Toc144974503"/>
      <w:r>
        <w:rPr>
          <w:rFonts w:hint="eastAsia" w:ascii="宋体" w:hAnsi="宋体" w:eastAsia="宋体" w:cs="宋体"/>
          <w:color w:val="auto"/>
          <w:sz w:val="24"/>
          <w:szCs w:val="24"/>
        </w:rPr>
        <w:t>1.4.2 投标人须知前附表规定接受联合体投标的，联合体除应符合本章第1.4.1项和投标人须知前附表的要求外，还应遵守以下规定：</w:t>
      </w:r>
    </w:p>
    <w:p>
      <w:pPr>
        <w:autoSpaceDE w:val="0"/>
        <w:autoSpaceDN w:val="0"/>
        <w:spacing w:line="400" w:lineRule="exact"/>
        <w:ind w:firstLine="480"/>
        <w:outlineLvl w:val="0"/>
        <w:rPr>
          <w:rFonts w:ascii="宋体" w:hAnsi="宋体" w:eastAsia="宋体" w:cs="宋体"/>
          <w:color w:val="auto"/>
          <w:sz w:val="24"/>
          <w:szCs w:val="24"/>
        </w:rPr>
      </w:pPr>
      <w:r>
        <w:rPr>
          <w:rFonts w:hint="eastAsia" w:ascii="宋体" w:hAnsi="宋体" w:eastAsia="宋体" w:cs="宋体"/>
          <w:color w:val="auto"/>
          <w:sz w:val="24"/>
          <w:szCs w:val="24"/>
        </w:rPr>
        <w:t>（1）联合体各方应按招标文件提供的格式签订联合体协议书，明确联合体牵头人和各方权利义务，并承诺就中标项目向招标人承担连带责任；</w:t>
      </w:r>
    </w:p>
    <w:p>
      <w:pPr>
        <w:autoSpaceDE w:val="0"/>
        <w:autoSpaceDN w:val="0"/>
        <w:spacing w:line="400" w:lineRule="exact"/>
        <w:ind w:firstLine="480"/>
        <w:outlineLvl w:val="0"/>
        <w:rPr>
          <w:rFonts w:ascii="宋体" w:hAnsi="宋体" w:eastAsia="宋体" w:cs="宋体"/>
          <w:color w:val="auto"/>
          <w:sz w:val="24"/>
          <w:szCs w:val="24"/>
        </w:rPr>
      </w:pPr>
      <w:r>
        <w:rPr>
          <w:rFonts w:hint="eastAsia" w:ascii="宋体" w:hAnsi="宋体" w:eastAsia="宋体" w:cs="宋体"/>
          <w:color w:val="auto"/>
          <w:sz w:val="24"/>
          <w:szCs w:val="24"/>
        </w:rPr>
        <w:t>（2）由同一专业的单位组成的联合体，按照资质等级较低的单位确定资质等级；</w:t>
      </w:r>
    </w:p>
    <w:p>
      <w:pPr>
        <w:autoSpaceDE w:val="0"/>
        <w:autoSpaceDN w:val="0"/>
        <w:spacing w:line="400" w:lineRule="exact"/>
        <w:ind w:firstLine="480"/>
        <w:outlineLvl w:val="0"/>
        <w:rPr>
          <w:rFonts w:ascii="宋体" w:hAnsi="宋体" w:eastAsia="宋体" w:cs="宋体"/>
          <w:color w:val="auto"/>
          <w:sz w:val="24"/>
          <w:szCs w:val="24"/>
        </w:rPr>
      </w:pPr>
      <w:r>
        <w:rPr>
          <w:rFonts w:hint="eastAsia" w:ascii="宋体" w:hAnsi="宋体" w:eastAsia="宋体" w:cs="宋体"/>
          <w:color w:val="auto"/>
          <w:sz w:val="24"/>
          <w:szCs w:val="24"/>
        </w:rPr>
        <w:t>（3）联合体各方不得再以自己名义单独或参加其他联合体在本招标项目中投标，否则各相关投标均无效。</w:t>
      </w:r>
    </w:p>
    <w:p>
      <w:pPr>
        <w:autoSpaceDE w:val="0"/>
        <w:autoSpaceDN w:val="0"/>
        <w:spacing w:line="400" w:lineRule="exact"/>
        <w:ind w:firstLine="480"/>
        <w:outlineLvl w:val="0"/>
        <w:rPr>
          <w:rFonts w:ascii="宋体" w:hAnsi="宋体" w:eastAsia="宋体" w:cs="宋体"/>
          <w:color w:val="auto"/>
          <w:sz w:val="24"/>
          <w:szCs w:val="24"/>
        </w:rPr>
      </w:pPr>
      <w:r>
        <w:rPr>
          <w:rFonts w:hint="eastAsia" w:ascii="宋体" w:hAnsi="宋体" w:eastAsia="宋体" w:cs="宋体"/>
          <w:color w:val="auto"/>
          <w:sz w:val="24"/>
          <w:szCs w:val="24"/>
        </w:rPr>
        <w:t>1.4.3 投标人不得存在下列情形之一：</w:t>
      </w:r>
    </w:p>
    <w:p>
      <w:pPr>
        <w:autoSpaceDE w:val="0"/>
        <w:autoSpaceDN w:val="0"/>
        <w:spacing w:line="400" w:lineRule="exact"/>
        <w:ind w:firstLine="480"/>
        <w:outlineLvl w:val="0"/>
        <w:rPr>
          <w:rFonts w:ascii="宋体" w:hAnsi="宋体" w:eastAsia="宋体" w:cs="宋体"/>
          <w:color w:val="auto"/>
          <w:sz w:val="24"/>
          <w:szCs w:val="24"/>
        </w:rPr>
      </w:pPr>
      <w:r>
        <w:rPr>
          <w:rFonts w:hint="eastAsia" w:ascii="宋体" w:hAnsi="宋体" w:eastAsia="宋体" w:cs="宋体"/>
          <w:color w:val="auto"/>
          <w:sz w:val="24"/>
          <w:szCs w:val="24"/>
        </w:rPr>
        <w:t>（1）为招标人不具有独立法人资格的附属机构（单位）；</w:t>
      </w:r>
    </w:p>
    <w:p>
      <w:pPr>
        <w:autoSpaceDE w:val="0"/>
        <w:autoSpaceDN w:val="0"/>
        <w:spacing w:line="400" w:lineRule="exact"/>
        <w:ind w:firstLine="480"/>
        <w:outlineLvl w:val="0"/>
        <w:rPr>
          <w:rFonts w:ascii="宋体" w:hAnsi="宋体" w:eastAsia="宋体" w:cs="宋体"/>
          <w:color w:val="auto"/>
          <w:sz w:val="24"/>
          <w:szCs w:val="24"/>
        </w:rPr>
      </w:pPr>
      <w:r>
        <w:rPr>
          <w:rFonts w:hint="eastAsia" w:ascii="宋体" w:hAnsi="宋体" w:eastAsia="宋体" w:cs="宋体"/>
          <w:color w:val="auto"/>
          <w:sz w:val="24"/>
          <w:szCs w:val="24"/>
        </w:rPr>
        <w:t>（2）与招标人存在利害关系且可能影响招标公正性；</w:t>
      </w:r>
    </w:p>
    <w:p>
      <w:pPr>
        <w:autoSpaceDE w:val="0"/>
        <w:autoSpaceDN w:val="0"/>
        <w:spacing w:line="400" w:lineRule="exact"/>
        <w:ind w:firstLine="480"/>
        <w:outlineLvl w:val="0"/>
        <w:rPr>
          <w:rFonts w:ascii="宋体" w:hAnsi="宋体" w:eastAsia="宋体" w:cs="宋体"/>
          <w:color w:val="auto"/>
          <w:sz w:val="24"/>
          <w:szCs w:val="24"/>
        </w:rPr>
      </w:pPr>
      <w:r>
        <w:rPr>
          <w:rFonts w:hint="eastAsia" w:ascii="宋体" w:hAnsi="宋体" w:eastAsia="宋体" w:cs="宋体"/>
          <w:color w:val="auto"/>
          <w:sz w:val="24"/>
          <w:szCs w:val="24"/>
        </w:rPr>
        <w:t>（3）与本招标项目的其他投标人为同一个单位负责人；</w:t>
      </w:r>
    </w:p>
    <w:p>
      <w:pPr>
        <w:autoSpaceDE w:val="0"/>
        <w:autoSpaceDN w:val="0"/>
        <w:spacing w:line="400" w:lineRule="exact"/>
        <w:ind w:firstLine="480"/>
        <w:outlineLvl w:val="0"/>
        <w:rPr>
          <w:rFonts w:ascii="宋体" w:hAnsi="宋体" w:eastAsia="宋体" w:cs="宋体"/>
          <w:color w:val="auto"/>
          <w:sz w:val="24"/>
          <w:szCs w:val="24"/>
        </w:rPr>
      </w:pPr>
      <w:r>
        <w:rPr>
          <w:rFonts w:hint="eastAsia" w:ascii="宋体" w:hAnsi="宋体" w:eastAsia="宋体" w:cs="宋体"/>
          <w:color w:val="auto"/>
          <w:sz w:val="24"/>
          <w:szCs w:val="24"/>
        </w:rPr>
        <w:t>（4）与本招标项目的其他投标人存在控股、管理关系；</w:t>
      </w:r>
    </w:p>
    <w:p>
      <w:pPr>
        <w:autoSpaceDE w:val="0"/>
        <w:autoSpaceDN w:val="0"/>
        <w:spacing w:line="400" w:lineRule="exact"/>
        <w:ind w:firstLine="480"/>
        <w:outlineLvl w:val="0"/>
        <w:rPr>
          <w:rFonts w:ascii="宋体" w:hAnsi="宋体" w:eastAsia="宋体" w:cs="宋体"/>
          <w:color w:val="auto"/>
          <w:sz w:val="24"/>
          <w:szCs w:val="24"/>
        </w:rPr>
      </w:pPr>
      <w:r>
        <w:rPr>
          <w:rFonts w:hint="eastAsia" w:ascii="宋体" w:hAnsi="宋体" w:eastAsia="宋体" w:cs="宋体"/>
          <w:color w:val="auto"/>
          <w:sz w:val="24"/>
          <w:szCs w:val="24"/>
        </w:rPr>
        <w:t>（5）为本招标项目的代建人；</w:t>
      </w:r>
    </w:p>
    <w:p>
      <w:pPr>
        <w:autoSpaceDE w:val="0"/>
        <w:autoSpaceDN w:val="0"/>
        <w:spacing w:line="400" w:lineRule="exact"/>
        <w:ind w:firstLine="480"/>
        <w:outlineLvl w:val="0"/>
        <w:rPr>
          <w:rFonts w:ascii="宋体" w:hAnsi="宋体" w:eastAsia="宋体" w:cs="宋体"/>
          <w:color w:val="auto"/>
          <w:sz w:val="24"/>
          <w:szCs w:val="24"/>
        </w:rPr>
      </w:pPr>
      <w:r>
        <w:rPr>
          <w:rFonts w:hint="eastAsia" w:ascii="宋体" w:hAnsi="宋体" w:eastAsia="宋体" w:cs="宋体"/>
          <w:color w:val="auto"/>
          <w:sz w:val="24"/>
          <w:szCs w:val="24"/>
        </w:rPr>
        <w:t>（6）为本招标项目的招标代理机构；</w:t>
      </w:r>
    </w:p>
    <w:p>
      <w:pPr>
        <w:autoSpaceDE w:val="0"/>
        <w:autoSpaceDN w:val="0"/>
        <w:spacing w:line="400" w:lineRule="exact"/>
        <w:ind w:firstLine="480"/>
        <w:outlineLvl w:val="0"/>
        <w:rPr>
          <w:rFonts w:ascii="宋体" w:hAnsi="宋体" w:eastAsia="宋体" w:cs="宋体"/>
          <w:color w:val="auto"/>
          <w:sz w:val="24"/>
          <w:szCs w:val="24"/>
        </w:rPr>
      </w:pPr>
      <w:r>
        <w:rPr>
          <w:rFonts w:hint="eastAsia" w:ascii="宋体" w:hAnsi="宋体" w:eastAsia="宋体" w:cs="宋体"/>
          <w:color w:val="auto"/>
          <w:sz w:val="24"/>
          <w:szCs w:val="24"/>
        </w:rPr>
        <w:t>（7）与本招标项目的代建人或招标代理机构同为一个法定代表人；</w:t>
      </w:r>
    </w:p>
    <w:p>
      <w:pPr>
        <w:autoSpaceDE w:val="0"/>
        <w:autoSpaceDN w:val="0"/>
        <w:spacing w:line="400" w:lineRule="exact"/>
        <w:ind w:firstLine="480"/>
        <w:outlineLvl w:val="0"/>
        <w:rPr>
          <w:rFonts w:ascii="宋体" w:hAnsi="宋体" w:eastAsia="宋体" w:cs="宋体"/>
          <w:color w:val="auto"/>
          <w:sz w:val="24"/>
          <w:szCs w:val="24"/>
        </w:rPr>
      </w:pPr>
      <w:r>
        <w:rPr>
          <w:rFonts w:hint="eastAsia" w:ascii="宋体" w:hAnsi="宋体" w:eastAsia="宋体" w:cs="宋体"/>
          <w:color w:val="auto"/>
          <w:sz w:val="24"/>
          <w:szCs w:val="24"/>
        </w:rPr>
        <w:t>（8）与本招标项目的代建人或招标代理机构存在控股或参股关系；</w:t>
      </w:r>
    </w:p>
    <w:p>
      <w:pPr>
        <w:autoSpaceDE w:val="0"/>
        <w:autoSpaceDN w:val="0"/>
        <w:spacing w:line="400" w:lineRule="exact"/>
        <w:ind w:firstLine="480"/>
        <w:outlineLvl w:val="0"/>
        <w:rPr>
          <w:rFonts w:ascii="宋体" w:hAnsi="宋体" w:eastAsia="宋体" w:cs="宋体"/>
          <w:color w:val="auto"/>
          <w:sz w:val="24"/>
          <w:szCs w:val="24"/>
        </w:rPr>
      </w:pPr>
      <w:r>
        <w:rPr>
          <w:rFonts w:hint="eastAsia" w:ascii="宋体" w:hAnsi="宋体" w:eastAsia="宋体" w:cs="宋体"/>
          <w:color w:val="auto"/>
          <w:sz w:val="24"/>
          <w:szCs w:val="24"/>
        </w:rPr>
        <w:t>（9）被依法暂停或者取消投标资格；</w:t>
      </w:r>
    </w:p>
    <w:p>
      <w:pPr>
        <w:autoSpaceDE w:val="0"/>
        <w:autoSpaceDN w:val="0"/>
        <w:spacing w:line="400" w:lineRule="exact"/>
        <w:ind w:firstLine="480"/>
        <w:outlineLvl w:val="0"/>
        <w:rPr>
          <w:rFonts w:ascii="宋体" w:hAnsi="宋体" w:eastAsia="宋体" w:cs="宋体"/>
          <w:color w:val="auto"/>
          <w:sz w:val="24"/>
          <w:szCs w:val="24"/>
        </w:rPr>
      </w:pPr>
      <w:r>
        <w:rPr>
          <w:rFonts w:hint="eastAsia" w:ascii="宋体" w:hAnsi="宋体" w:eastAsia="宋体" w:cs="宋体"/>
          <w:color w:val="auto"/>
          <w:sz w:val="24"/>
          <w:szCs w:val="24"/>
        </w:rPr>
        <w:t>（10）被责令停产停业、暂扣或者吊销许可证、暂扣或者吊销执照；</w:t>
      </w:r>
    </w:p>
    <w:p>
      <w:pPr>
        <w:autoSpaceDE w:val="0"/>
        <w:autoSpaceDN w:val="0"/>
        <w:spacing w:line="400" w:lineRule="exact"/>
        <w:ind w:firstLine="480"/>
        <w:outlineLvl w:val="0"/>
        <w:rPr>
          <w:rFonts w:ascii="宋体" w:hAnsi="宋体" w:eastAsia="宋体" w:cs="宋体"/>
          <w:color w:val="auto"/>
          <w:sz w:val="24"/>
          <w:szCs w:val="24"/>
        </w:rPr>
      </w:pPr>
      <w:r>
        <w:rPr>
          <w:rFonts w:hint="eastAsia" w:ascii="宋体" w:hAnsi="宋体" w:eastAsia="宋体" w:cs="宋体"/>
          <w:color w:val="auto"/>
          <w:sz w:val="24"/>
          <w:szCs w:val="24"/>
        </w:rPr>
        <w:t>（11）进入清算程序，或被宣告破产，或其他丧失履约能力的情形；</w:t>
      </w:r>
    </w:p>
    <w:p>
      <w:pPr>
        <w:autoSpaceDE w:val="0"/>
        <w:autoSpaceDN w:val="0"/>
        <w:spacing w:line="400" w:lineRule="exact"/>
        <w:ind w:firstLine="480"/>
        <w:outlineLvl w:val="0"/>
        <w:rPr>
          <w:rFonts w:ascii="宋体" w:hAnsi="宋体" w:eastAsia="宋体" w:cs="宋体"/>
          <w:color w:val="auto"/>
          <w:sz w:val="24"/>
          <w:szCs w:val="24"/>
        </w:rPr>
      </w:pPr>
      <w:r>
        <w:rPr>
          <w:rFonts w:hint="eastAsia" w:ascii="宋体" w:hAnsi="宋体" w:eastAsia="宋体" w:cs="宋体"/>
          <w:color w:val="auto"/>
          <w:sz w:val="24"/>
          <w:szCs w:val="24"/>
        </w:rPr>
        <w:t>（12）在最近三年内发生重大</w:t>
      </w:r>
      <w:r>
        <w:rPr>
          <w:rFonts w:hint="eastAsia" w:ascii="宋体" w:hAnsi="宋体" w:cs="宋体"/>
          <w:color w:val="auto"/>
          <w:sz w:val="24"/>
          <w:szCs w:val="24"/>
          <w:lang w:eastAsia="zh-CN"/>
        </w:rPr>
        <w:t>勘察</w:t>
      </w:r>
      <w:r>
        <w:rPr>
          <w:rFonts w:hint="eastAsia" w:ascii="宋体" w:hAnsi="宋体" w:eastAsia="宋体" w:cs="宋体"/>
          <w:color w:val="auto"/>
          <w:sz w:val="24"/>
          <w:szCs w:val="24"/>
        </w:rPr>
        <w:t>质量问题（以相关行业主管部门的行政处罚决定或司法机关出具的有关法律文书为准）；</w:t>
      </w:r>
    </w:p>
    <w:p>
      <w:pPr>
        <w:autoSpaceDE w:val="0"/>
        <w:autoSpaceDN w:val="0"/>
        <w:spacing w:line="400" w:lineRule="exact"/>
        <w:ind w:firstLine="480"/>
        <w:outlineLvl w:val="0"/>
        <w:rPr>
          <w:rFonts w:ascii="宋体" w:hAnsi="宋体" w:eastAsia="宋体" w:cs="宋体"/>
          <w:color w:val="auto"/>
          <w:sz w:val="24"/>
          <w:szCs w:val="24"/>
        </w:rPr>
      </w:pPr>
      <w:r>
        <w:rPr>
          <w:rFonts w:hint="eastAsia" w:ascii="宋体" w:hAnsi="宋体" w:eastAsia="宋体" w:cs="宋体"/>
          <w:color w:val="auto"/>
          <w:sz w:val="24"/>
          <w:szCs w:val="24"/>
        </w:rPr>
        <w:t>（13）被工商行政管理机关在全国企业信用信息公示系统中列入严重违法失信企业名单；</w:t>
      </w:r>
    </w:p>
    <w:p>
      <w:pPr>
        <w:autoSpaceDE w:val="0"/>
        <w:autoSpaceDN w:val="0"/>
        <w:spacing w:line="400" w:lineRule="exact"/>
        <w:ind w:firstLine="480"/>
        <w:outlineLvl w:val="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（14）</w:t>
      </w:r>
      <w:r>
        <w:rPr>
          <w:rFonts w:hint="eastAsia" w:ascii="宋体" w:hAnsi="宋体" w:eastAsia="宋体" w:cs="宋体"/>
          <w:color w:val="auto"/>
          <w:sz w:val="24"/>
          <w:szCs w:val="24"/>
          <w:lang w:val="en-US" w:eastAsia="zh-CN"/>
        </w:rPr>
        <w:t>被列入“信用中国”网站(www.creditchina.gov.cn)失信被执行人名单、“国家企业信用公示系统”网站（www.gsxt.gov.cn）严重违法失信企业名单（黑名单）的投标人</w:t>
      </w:r>
      <w:r>
        <w:rPr>
          <w:rFonts w:hint="eastAsia" w:ascii="宋体" w:hAnsi="宋体" w:cs="宋体"/>
          <w:color w:val="auto"/>
          <w:sz w:val="24"/>
          <w:szCs w:val="24"/>
          <w:lang w:val="en-US" w:eastAsia="zh-CN"/>
        </w:rPr>
        <w:t>；</w:t>
      </w:r>
    </w:p>
    <w:p>
      <w:pPr>
        <w:autoSpaceDE w:val="0"/>
        <w:autoSpaceDN w:val="0"/>
        <w:spacing w:line="400" w:lineRule="exact"/>
        <w:ind w:firstLine="480" w:firstLineChars="200"/>
        <w:outlineLvl w:val="0"/>
        <w:rPr>
          <w:rFonts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cs="宋体"/>
          <w:color w:val="auto"/>
          <w:sz w:val="24"/>
          <w:szCs w:val="24"/>
          <w:lang w:val="en-US" w:eastAsia="zh-CN"/>
        </w:rPr>
        <w:t>15</w:t>
      </w:r>
      <w:r>
        <w:rPr>
          <w:rFonts w:hint="eastAsia" w:ascii="宋体" w:hAnsi="宋体" w:eastAsia="宋体" w:cs="宋体"/>
          <w:color w:val="auto"/>
          <w:sz w:val="24"/>
          <w:szCs w:val="24"/>
        </w:rPr>
        <w:t>）法律法规或投标人须知前附表规定的其他情形。</w:t>
      </w:r>
    </w:p>
    <w:p>
      <w:pPr>
        <w:autoSpaceDE w:val="0"/>
        <w:autoSpaceDN w:val="0"/>
        <w:spacing w:line="400" w:lineRule="exact"/>
        <w:ind w:firstLine="0" w:firstLineChars="0"/>
        <w:outlineLvl w:val="0"/>
        <w:rPr>
          <w:rFonts w:ascii="宋体" w:hAnsi="宋体" w:eastAsia="宋体" w:cs="宋体"/>
          <w:b/>
          <w:color w:val="auto"/>
          <w:sz w:val="24"/>
          <w:szCs w:val="24"/>
        </w:rPr>
      </w:pPr>
      <w:r>
        <w:rPr>
          <w:rFonts w:hint="eastAsia" w:ascii="宋体" w:hAnsi="宋体" w:eastAsia="宋体" w:cs="宋体"/>
          <w:b/>
          <w:color w:val="auto"/>
          <w:sz w:val="24"/>
          <w:szCs w:val="24"/>
        </w:rPr>
        <w:t>1.5 费用承担</w:t>
      </w:r>
      <w:bookmarkEnd w:id="6"/>
      <w:bookmarkEnd w:id="7"/>
      <w:bookmarkEnd w:id="8"/>
      <w:bookmarkEnd w:id="9"/>
    </w:p>
    <w:p>
      <w:pPr>
        <w:autoSpaceDE w:val="0"/>
        <w:autoSpaceDN w:val="0"/>
        <w:spacing w:line="400" w:lineRule="exact"/>
        <w:ind w:firstLine="480"/>
        <w:outlineLvl w:val="0"/>
        <w:rPr>
          <w:rFonts w:ascii="宋体" w:hAnsi="宋体" w:eastAsia="宋体" w:cs="宋体"/>
          <w:color w:val="auto"/>
          <w:sz w:val="24"/>
          <w:szCs w:val="24"/>
        </w:rPr>
      </w:pPr>
      <w:r>
        <w:rPr>
          <w:rFonts w:hint="eastAsia" w:ascii="宋体" w:hAnsi="宋体" w:eastAsia="宋体" w:cs="宋体"/>
          <w:color w:val="auto"/>
          <w:sz w:val="24"/>
          <w:szCs w:val="24"/>
        </w:rPr>
        <w:t>投标人准备和参加投标活动发生的费用自理。</w:t>
      </w:r>
    </w:p>
    <w:p>
      <w:pPr>
        <w:autoSpaceDE w:val="0"/>
        <w:autoSpaceDN w:val="0"/>
        <w:spacing w:line="400" w:lineRule="exact"/>
        <w:ind w:firstLine="0" w:firstLineChars="0"/>
        <w:outlineLvl w:val="0"/>
        <w:rPr>
          <w:rFonts w:ascii="宋体" w:hAnsi="宋体" w:eastAsia="宋体" w:cs="宋体"/>
          <w:b/>
          <w:color w:val="auto"/>
          <w:sz w:val="24"/>
          <w:szCs w:val="24"/>
        </w:rPr>
      </w:pPr>
      <w:bookmarkStart w:id="10" w:name="_Toc144974504"/>
      <w:bookmarkStart w:id="11" w:name="_Toc152045536"/>
      <w:bookmarkStart w:id="12" w:name="_Toc152042312"/>
      <w:bookmarkStart w:id="13" w:name="_Toc179632553"/>
      <w:r>
        <w:rPr>
          <w:rFonts w:hint="eastAsia" w:ascii="宋体" w:hAnsi="宋体" w:eastAsia="宋体" w:cs="宋体"/>
          <w:b/>
          <w:color w:val="auto"/>
          <w:sz w:val="24"/>
          <w:szCs w:val="24"/>
        </w:rPr>
        <w:t>1.6 保密</w:t>
      </w:r>
      <w:bookmarkEnd w:id="10"/>
      <w:bookmarkEnd w:id="11"/>
      <w:bookmarkEnd w:id="12"/>
      <w:bookmarkEnd w:id="13"/>
    </w:p>
    <w:p>
      <w:pPr>
        <w:autoSpaceDE w:val="0"/>
        <w:autoSpaceDN w:val="0"/>
        <w:spacing w:line="400" w:lineRule="exact"/>
        <w:ind w:firstLine="480"/>
        <w:outlineLvl w:val="0"/>
        <w:rPr>
          <w:rFonts w:ascii="宋体" w:hAnsi="宋体" w:eastAsia="宋体" w:cs="宋体"/>
          <w:color w:val="auto"/>
          <w:sz w:val="24"/>
          <w:szCs w:val="24"/>
        </w:rPr>
      </w:pPr>
      <w:r>
        <w:rPr>
          <w:rFonts w:hint="eastAsia" w:ascii="宋体" w:hAnsi="宋体" w:eastAsia="宋体" w:cs="宋体"/>
          <w:color w:val="auto"/>
          <w:sz w:val="24"/>
          <w:szCs w:val="24"/>
        </w:rPr>
        <w:t xml:space="preserve">参与招标投标活动的各方应对招标文件和投标文件中的商业和技术等秘密保密，违者应对由此造成的后果承担法律责任。 </w:t>
      </w:r>
    </w:p>
    <w:p>
      <w:pPr>
        <w:autoSpaceDE w:val="0"/>
        <w:autoSpaceDN w:val="0"/>
        <w:spacing w:line="400" w:lineRule="exact"/>
        <w:ind w:firstLine="0" w:firstLineChars="0"/>
        <w:outlineLvl w:val="0"/>
        <w:rPr>
          <w:rFonts w:ascii="宋体" w:hAnsi="宋体" w:eastAsia="宋体" w:cs="宋体"/>
          <w:b/>
          <w:color w:val="auto"/>
          <w:sz w:val="24"/>
          <w:szCs w:val="24"/>
        </w:rPr>
      </w:pPr>
      <w:bookmarkStart w:id="14" w:name="_Toc144974505"/>
      <w:bookmarkStart w:id="15" w:name="_Toc179632554"/>
      <w:bookmarkStart w:id="16" w:name="_Toc152042313"/>
      <w:bookmarkStart w:id="17" w:name="_Toc152045537"/>
      <w:r>
        <w:rPr>
          <w:rFonts w:hint="eastAsia" w:ascii="宋体" w:hAnsi="宋体" w:eastAsia="宋体" w:cs="宋体"/>
          <w:b/>
          <w:color w:val="auto"/>
          <w:sz w:val="24"/>
          <w:szCs w:val="24"/>
        </w:rPr>
        <w:t>1.7 语言</w:t>
      </w:r>
      <w:bookmarkEnd w:id="14"/>
      <w:r>
        <w:rPr>
          <w:rFonts w:hint="eastAsia" w:ascii="宋体" w:hAnsi="宋体" w:eastAsia="宋体" w:cs="宋体"/>
          <w:b/>
          <w:color w:val="auto"/>
          <w:sz w:val="24"/>
          <w:szCs w:val="24"/>
        </w:rPr>
        <w:t>文字</w:t>
      </w:r>
      <w:bookmarkEnd w:id="15"/>
      <w:bookmarkEnd w:id="16"/>
      <w:bookmarkEnd w:id="17"/>
    </w:p>
    <w:p>
      <w:pPr>
        <w:autoSpaceDE w:val="0"/>
        <w:autoSpaceDN w:val="0"/>
        <w:spacing w:line="400" w:lineRule="exact"/>
        <w:ind w:firstLine="480"/>
        <w:outlineLvl w:val="0"/>
        <w:rPr>
          <w:rFonts w:ascii="宋体" w:hAnsi="宋体" w:eastAsia="宋体" w:cs="宋体"/>
          <w:color w:val="auto"/>
          <w:sz w:val="24"/>
          <w:szCs w:val="24"/>
        </w:rPr>
      </w:pPr>
      <w:r>
        <w:rPr>
          <w:rFonts w:hint="eastAsia" w:ascii="宋体" w:hAnsi="宋体" w:eastAsia="宋体" w:cs="宋体"/>
          <w:color w:val="auto"/>
          <w:sz w:val="24"/>
          <w:szCs w:val="24"/>
        </w:rPr>
        <w:t>除专用术语外，与招标投标有关的语言均使用中文。必要时专用术语应附有中文注释。</w:t>
      </w:r>
    </w:p>
    <w:p>
      <w:pPr>
        <w:autoSpaceDE w:val="0"/>
        <w:autoSpaceDN w:val="0"/>
        <w:spacing w:line="400" w:lineRule="exact"/>
        <w:ind w:firstLine="0" w:firstLineChars="0"/>
        <w:outlineLvl w:val="0"/>
        <w:rPr>
          <w:rFonts w:ascii="宋体" w:hAnsi="宋体" w:eastAsia="宋体" w:cs="宋体"/>
          <w:b/>
          <w:color w:val="auto"/>
          <w:sz w:val="24"/>
          <w:szCs w:val="24"/>
        </w:rPr>
      </w:pPr>
      <w:bookmarkStart w:id="18" w:name="_Toc152045538"/>
      <w:bookmarkStart w:id="19" w:name="_Toc152042314"/>
      <w:bookmarkStart w:id="20" w:name="_Toc179632555"/>
      <w:bookmarkStart w:id="21" w:name="_Toc144974506"/>
      <w:r>
        <w:rPr>
          <w:rFonts w:hint="eastAsia" w:ascii="宋体" w:hAnsi="宋体" w:eastAsia="宋体" w:cs="宋体"/>
          <w:b/>
          <w:color w:val="auto"/>
          <w:sz w:val="24"/>
          <w:szCs w:val="24"/>
        </w:rPr>
        <w:t>1.8 计量单位</w:t>
      </w:r>
      <w:bookmarkEnd w:id="18"/>
      <w:bookmarkEnd w:id="19"/>
      <w:bookmarkEnd w:id="20"/>
      <w:bookmarkEnd w:id="21"/>
    </w:p>
    <w:p>
      <w:pPr>
        <w:autoSpaceDE w:val="0"/>
        <w:autoSpaceDN w:val="0"/>
        <w:spacing w:line="400" w:lineRule="exact"/>
        <w:ind w:firstLine="480"/>
        <w:outlineLvl w:val="0"/>
        <w:rPr>
          <w:rFonts w:ascii="宋体" w:hAnsi="宋体" w:eastAsia="宋体" w:cs="宋体"/>
          <w:color w:val="auto"/>
          <w:sz w:val="24"/>
          <w:szCs w:val="24"/>
        </w:rPr>
      </w:pPr>
      <w:r>
        <w:rPr>
          <w:rFonts w:hint="eastAsia" w:ascii="宋体" w:hAnsi="宋体" w:eastAsia="宋体" w:cs="宋体"/>
          <w:color w:val="auto"/>
          <w:sz w:val="24"/>
          <w:szCs w:val="24"/>
        </w:rPr>
        <w:t>所有计量均采用中华人民共和国法定计量单位。</w:t>
      </w:r>
    </w:p>
    <w:p>
      <w:pPr>
        <w:autoSpaceDE w:val="0"/>
        <w:autoSpaceDN w:val="0"/>
        <w:spacing w:line="400" w:lineRule="exact"/>
        <w:ind w:firstLine="0" w:firstLineChars="0"/>
        <w:outlineLvl w:val="0"/>
        <w:rPr>
          <w:rFonts w:ascii="宋体" w:hAnsi="宋体" w:eastAsia="宋体" w:cs="宋体"/>
          <w:b/>
          <w:color w:val="auto"/>
          <w:sz w:val="24"/>
          <w:szCs w:val="24"/>
        </w:rPr>
      </w:pPr>
      <w:r>
        <w:rPr>
          <w:rFonts w:hint="eastAsia" w:ascii="宋体" w:hAnsi="宋体" w:eastAsia="宋体" w:cs="宋体"/>
          <w:b/>
          <w:color w:val="auto"/>
          <w:sz w:val="24"/>
          <w:szCs w:val="24"/>
        </w:rPr>
        <w:t>1.9 踏勘现场</w:t>
      </w:r>
    </w:p>
    <w:p>
      <w:pPr>
        <w:autoSpaceDE w:val="0"/>
        <w:autoSpaceDN w:val="0"/>
        <w:spacing w:line="400" w:lineRule="exact"/>
        <w:ind w:firstLine="470" w:firstLineChars="196"/>
        <w:outlineLvl w:val="0"/>
        <w:rPr>
          <w:rFonts w:ascii="宋体" w:hAnsi="宋体" w:eastAsia="宋体" w:cs="宋体"/>
          <w:color w:val="auto"/>
          <w:sz w:val="24"/>
          <w:szCs w:val="24"/>
        </w:rPr>
      </w:pPr>
      <w:bookmarkStart w:id="22" w:name="_Toc283559948"/>
      <w:r>
        <w:rPr>
          <w:rFonts w:hint="eastAsia" w:ascii="宋体" w:hAnsi="宋体" w:eastAsia="宋体" w:cs="宋体"/>
          <w:color w:val="auto"/>
          <w:sz w:val="24"/>
          <w:szCs w:val="24"/>
        </w:rPr>
        <w:t>1.9.1 本项目不组织踏勘现场，投标人可自行踏勘现场。</w:t>
      </w:r>
    </w:p>
    <w:p>
      <w:pPr>
        <w:autoSpaceDE w:val="0"/>
        <w:autoSpaceDN w:val="0"/>
        <w:spacing w:line="400" w:lineRule="exact"/>
        <w:ind w:firstLine="470" w:firstLineChars="196"/>
        <w:outlineLvl w:val="0"/>
        <w:rPr>
          <w:rFonts w:ascii="宋体" w:hAnsi="宋体" w:eastAsia="宋体" w:cs="宋体"/>
          <w:color w:val="auto"/>
          <w:sz w:val="24"/>
          <w:szCs w:val="24"/>
        </w:rPr>
      </w:pPr>
      <w:r>
        <w:rPr>
          <w:rFonts w:hint="eastAsia" w:ascii="宋体" w:hAnsi="宋体" w:eastAsia="宋体" w:cs="宋体"/>
          <w:color w:val="auto"/>
          <w:sz w:val="24"/>
          <w:szCs w:val="24"/>
        </w:rPr>
        <w:t>1.9.2 投标人踏勘现场发生的费用自理。</w:t>
      </w:r>
    </w:p>
    <w:p>
      <w:pPr>
        <w:autoSpaceDE w:val="0"/>
        <w:autoSpaceDN w:val="0"/>
        <w:spacing w:line="400" w:lineRule="exact"/>
        <w:ind w:firstLine="470" w:firstLineChars="196"/>
        <w:outlineLvl w:val="0"/>
        <w:rPr>
          <w:rFonts w:ascii="宋体" w:hAnsi="宋体" w:eastAsia="宋体" w:cs="宋体"/>
          <w:color w:val="auto"/>
          <w:sz w:val="24"/>
          <w:szCs w:val="24"/>
        </w:rPr>
      </w:pPr>
      <w:r>
        <w:rPr>
          <w:rFonts w:hint="eastAsia" w:ascii="宋体" w:hAnsi="宋体" w:eastAsia="宋体" w:cs="宋体"/>
          <w:color w:val="auto"/>
          <w:sz w:val="24"/>
          <w:szCs w:val="24"/>
        </w:rPr>
        <w:t>1.9.3 除招标人的原因外，投标人自行负责在踏勘现场中所发生的人员伤亡和财产损失。</w:t>
      </w:r>
    </w:p>
    <w:p>
      <w:pPr>
        <w:autoSpaceDE w:val="0"/>
        <w:autoSpaceDN w:val="0"/>
        <w:spacing w:line="400" w:lineRule="exact"/>
        <w:ind w:firstLine="470" w:firstLineChars="196"/>
        <w:outlineLvl w:val="0"/>
        <w:rPr>
          <w:rFonts w:ascii="宋体" w:hAnsi="宋体" w:eastAsia="宋体" w:cs="宋体"/>
          <w:color w:val="auto"/>
          <w:sz w:val="24"/>
          <w:szCs w:val="24"/>
        </w:rPr>
      </w:pPr>
      <w:r>
        <w:rPr>
          <w:rFonts w:hint="eastAsia" w:ascii="宋体" w:hAnsi="宋体" w:eastAsia="宋体" w:cs="宋体"/>
          <w:color w:val="auto"/>
          <w:sz w:val="24"/>
          <w:szCs w:val="24"/>
        </w:rPr>
        <w:t>1.9.4 招标人在踏勘现场中介绍的工程场地和相关的周边环境情况，供投标人在编制投标文件时参考，招标人不对投标人据此作出的判断和决策负责。</w:t>
      </w:r>
    </w:p>
    <w:p>
      <w:pPr>
        <w:autoSpaceDE w:val="0"/>
        <w:autoSpaceDN w:val="0"/>
        <w:spacing w:line="400" w:lineRule="exact"/>
        <w:ind w:firstLine="0" w:firstLineChars="0"/>
        <w:outlineLvl w:val="0"/>
        <w:rPr>
          <w:rFonts w:ascii="宋体" w:hAnsi="宋体" w:eastAsia="宋体" w:cs="宋体"/>
          <w:b/>
          <w:color w:val="auto"/>
          <w:sz w:val="24"/>
          <w:szCs w:val="24"/>
        </w:rPr>
      </w:pPr>
      <w:r>
        <w:rPr>
          <w:rFonts w:hint="eastAsia" w:ascii="宋体" w:hAnsi="宋体" w:eastAsia="宋体" w:cs="宋体"/>
          <w:b/>
          <w:color w:val="auto"/>
          <w:sz w:val="24"/>
          <w:szCs w:val="24"/>
        </w:rPr>
        <w:t>1.10 投标预备会</w:t>
      </w:r>
      <w:bookmarkEnd w:id="22"/>
    </w:p>
    <w:p>
      <w:pPr>
        <w:autoSpaceDE w:val="0"/>
        <w:autoSpaceDN w:val="0"/>
        <w:spacing w:line="400" w:lineRule="exact"/>
        <w:ind w:firstLine="470" w:firstLineChars="196"/>
        <w:outlineLvl w:val="0"/>
        <w:rPr>
          <w:rFonts w:ascii="宋体" w:hAnsi="宋体" w:eastAsia="宋体" w:cs="宋体"/>
          <w:b/>
          <w:color w:val="auto"/>
          <w:sz w:val="24"/>
          <w:szCs w:val="24"/>
        </w:rPr>
      </w:pPr>
      <w:r>
        <w:rPr>
          <w:rFonts w:hint="eastAsia" w:ascii="宋体" w:hAnsi="宋体" w:eastAsia="宋体" w:cs="宋体"/>
          <w:color w:val="auto"/>
          <w:sz w:val="24"/>
          <w:szCs w:val="24"/>
        </w:rPr>
        <w:t>1.10.1 招标人不召开投标预备会。</w:t>
      </w:r>
    </w:p>
    <w:p>
      <w:pPr>
        <w:autoSpaceDE w:val="0"/>
        <w:autoSpaceDN w:val="0"/>
        <w:spacing w:line="400" w:lineRule="exact"/>
        <w:ind w:firstLine="480"/>
        <w:outlineLvl w:val="0"/>
        <w:rPr>
          <w:rFonts w:ascii="宋体" w:hAnsi="宋体" w:eastAsia="宋体" w:cs="宋体"/>
          <w:color w:val="auto"/>
          <w:sz w:val="24"/>
          <w:szCs w:val="24"/>
        </w:rPr>
      </w:pPr>
      <w:r>
        <w:rPr>
          <w:rFonts w:hint="eastAsia" w:ascii="宋体" w:hAnsi="宋体" w:eastAsia="宋体" w:cs="宋体"/>
          <w:color w:val="auto"/>
          <w:sz w:val="24"/>
          <w:szCs w:val="24"/>
        </w:rPr>
        <w:t>1.10.2 投标人应在投标人须知前附表规定的时间前，将问题在公共资源交易系统电子平台上提出。</w:t>
      </w:r>
    </w:p>
    <w:p>
      <w:pPr>
        <w:autoSpaceDE w:val="0"/>
        <w:autoSpaceDN w:val="0"/>
        <w:spacing w:line="400" w:lineRule="exact"/>
        <w:ind w:firstLine="480"/>
        <w:outlineLvl w:val="0"/>
        <w:rPr>
          <w:rFonts w:ascii="宋体" w:hAnsi="宋体" w:eastAsia="宋体" w:cs="宋体"/>
          <w:color w:val="auto"/>
          <w:szCs w:val="21"/>
        </w:rPr>
      </w:pPr>
      <w:r>
        <w:rPr>
          <w:rFonts w:hint="eastAsia" w:ascii="宋体" w:hAnsi="宋体" w:eastAsia="宋体" w:cs="宋体"/>
          <w:color w:val="auto"/>
          <w:sz w:val="24"/>
          <w:szCs w:val="24"/>
        </w:rPr>
        <w:t>1.10.3 招标人在投标人须知前附表规定的时间内，将对投标人所提问题的</w:t>
      </w:r>
      <w:r>
        <w:rPr>
          <w:rFonts w:hint="eastAsia" w:ascii="宋体" w:hAnsi="宋体" w:eastAsia="宋体" w:cs="宋体"/>
          <w:color w:val="auto"/>
          <w:szCs w:val="21"/>
        </w:rPr>
        <w:t>澄清，在公共资源交易系统电子平台上予以澄清。该澄清内容为招标文件的组成部分。</w:t>
      </w:r>
    </w:p>
    <w:p>
      <w:pPr>
        <w:autoSpaceDE w:val="0"/>
        <w:autoSpaceDN w:val="0"/>
        <w:spacing w:line="400" w:lineRule="exact"/>
        <w:ind w:firstLine="0" w:firstLineChars="0"/>
        <w:outlineLvl w:val="0"/>
        <w:rPr>
          <w:rFonts w:ascii="宋体" w:hAnsi="宋体" w:eastAsia="宋体" w:cs="宋体"/>
          <w:b/>
          <w:color w:val="auto"/>
          <w:szCs w:val="21"/>
        </w:rPr>
      </w:pPr>
      <w:bookmarkStart w:id="23" w:name="_Toc283559949"/>
      <w:r>
        <w:rPr>
          <w:rFonts w:hint="eastAsia" w:ascii="宋体" w:hAnsi="宋体" w:eastAsia="宋体" w:cs="宋体"/>
          <w:b/>
          <w:color w:val="auto"/>
          <w:szCs w:val="21"/>
        </w:rPr>
        <w:t>1.11 分包</w:t>
      </w:r>
      <w:bookmarkEnd w:id="23"/>
    </w:p>
    <w:p>
      <w:pPr>
        <w:autoSpaceDE w:val="0"/>
        <w:autoSpaceDN w:val="0"/>
        <w:adjustRightInd w:val="0"/>
        <w:spacing w:line="400" w:lineRule="exact"/>
        <w:ind w:firstLine="420"/>
        <w:outlineLvl w:val="0"/>
        <w:rPr>
          <w:rFonts w:ascii="宋体" w:hAnsi="宋体" w:eastAsia="宋体" w:cs="宋体"/>
          <w:color w:val="auto"/>
          <w:szCs w:val="21"/>
        </w:rPr>
      </w:pPr>
      <w:bookmarkStart w:id="24" w:name="_Toc283559950"/>
      <w:r>
        <w:rPr>
          <w:rFonts w:hint="eastAsia" w:ascii="宋体" w:hAnsi="宋体" w:eastAsia="宋体" w:cs="宋体"/>
          <w:color w:val="auto"/>
          <w:szCs w:val="21"/>
        </w:rPr>
        <w:t>本项目不允许分包。</w:t>
      </w:r>
    </w:p>
    <w:p>
      <w:pPr>
        <w:autoSpaceDE w:val="0"/>
        <w:autoSpaceDN w:val="0"/>
        <w:adjustRightInd w:val="0"/>
        <w:spacing w:line="400" w:lineRule="exact"/>
        <w:ind w:firstLine="0" w:firstLineChars="0"/>
        <w:outlineLvl w:val="0"/>
        <w:rPr>
          <w:rFonts w:ascii="宋体" w:hAnsi="宋体" w:eastAsia="宋体" w:cs="宋体"/>
          <w:b/>
          <w:color w:val="auto"/>
          <w:szCs w:val="21"/>
        </w:rPr>
      </w:pPr>
      <w:r>
        <w:rPr>
          <w:rFonts w:hint="eastAsia" w:ascii="宋体" w:hAnsi="宋体" w:eastAsia="宋体" w:cs="宋体"/>
          <w:b/>
          <w:color w:val="auto"/>
          <w:szCs w:val="21"/>
        </w:rPr>
        <w:t xml:space="preserve">1.12 </w:t>
      </w:r>
      <w:bookmarkEnd w:id="24"/>
      <w:r>
        <w:rPr>
          <w:rFonts w:hint="eastAsia" w:ascii="宋体" w:hAnsi="宋体" w:eastAsia="宋体" w:cs="宋体"/>
          <w:b/>
          <w:color w:val="auto"/>
          <w:szCs w:val="21"/>
        </w:rPr>
        <w:t>响应和偏差</w:t>
      </w:r>
    </w:p>
    <w:p>
      <w:pPr>
        <w:autoSpaceDE w:val="0"/>
        <w:autoSpaceDN w:val="0"/>
        <w:spacing w:line="400" w:lineRule="exact"/>
        <w:ind w:firstLine="420"/>
        <w:jc w:val="both"/>
        <w:outlineLvl w:val="0"/>
        <w:rPr>
          <w:rFonts w:ascii="宋体" w:hAnsi="宋体" w:eastAsia="宋体" w:cs="宋体"/>
          <w:color w:val="auto"/>
          <w:szCs w:val="21"/>
        </w:rPr>
      </w:pPr>
      <w:r>
        <w:rPr>
          <w:rFonts w:hint="eastAsia" w:ascii="宋体" w:hAnsi="宋体" w:eastAsia="宋体" w:cs="宋体"/>
          <w:color w:val="auto"/>
          <w:szCs w:val="21"/>
        </w:rPr>
        <w:t>1.12.1 投标文件应当对招标文件的实质性要求和条件作出满足性或更有利于招标人的响应，否则，投标人的投标将被否决。实质性要求和条件见投标人须知前附表。</w:t>
      </w:r>
    </w:p>
    <w:p>
      <w:pPr>
        <w:autoSpaceDE w:val="0"/>
        <w:autoSpaceDN w:val="0"/>
        <w:spacing w:line="400" w:lineRule="exact"/>
        <w:ind w:firstLine="480"/>
        <w:jc w:val="both"/>
        <w:outlineLvl w:val="0"/>
        <w:rPr>
          <w:rFonts w:ascii="宋体" w:hAnsi="宋体" w:eastAsia="宋体" w:cs="宋体"/>
          <w:color w:val="auto"/>
          <w:sz w:val="24"/>
          <w:szCs w:val="24"/>
        </w:rPr>
      </w:pPr>
      <w:r>
        <w:rPr>
          <w:rFonts w:hint="eastAsia" w:ascii="宋体" w:hAnsi="宋体" w:eastAsia="宋体" w:cs="宋体"/>
          <w:color w:val="auto"/>
          <w:sz w:val="24"/>
          <w:szCs w:val="24"/>
        </w:rPr>
        <w:t>1.12.2 投标人应根据招标文件的要求提供投标方案等内容以对招标文件作出响应。</w:t>
      </w:r>
    </w:p>
    <w:p>
      <w:pPr>
        <w:autoSpaceDE w:val="0"/>
        <w:autoSpaceDN w:val="0"/>
        <w:spacing w:line="400" w:lineRule="exact"/>
        <w:ind w:firstLine="480"/>
        <w:jc w:val="both"/>
        <w:outlineLvl w:val="0"/>
        <w:rPr>
          <w:rFonts w:ascii="宋体" w:hAnsi="宋体" w:eastAsia="宋体" w:cs="宋体"/>
          <w:color w:val="auto"/>
          <w:sz w:val="24"/>
          <w:szCs w:val="24"/>
        </w:rPr>
      </w:pPr>
      <w:r>
        <w:rPr>
          <w:rFonts w:hint="eastAsia" w:ascii="宋体" w:hAnsi="宋体" w:eastAsia="宋体" w:cs="宋体"/>
          <w:color w:val="auto"/>
          <w:sz w:val="24"/>
          <w:szCs w:val="24"/>
        </w:rPr>
        <w:t>1.12.3 投标人须知前附表允许投标文件偏离招标文件某些要求的，偏差应当符合招标文件规定的偏差范围和幅度。</w:t>
      </w:r>
    </w:p>
    <w:p>
      <w:pPr>
        <w:pStyle w:val="94"/>
        <w:spacing w:line="400" w:lineRule="exact"/>
        <w:jc w:val="both"/>
        <w:outlineLvl w:val="0"/>
        <w:rPr>
          <w:b/>
          <w:color w:val="auto"/>
        </w:rPr>
      </w:pPr>
      <w:bookmarkStart w:id="25" w:name="_Toc283559951"/>
      <w:r>
        <w:rPr>
          <w:rFonts w:hint="eastAsia"/>
          <w:b/>
          <w:color w:val="auto"/>
        </w:rPr>
        <w:t>2. 招标文件</w:t>
      </w:r>
      <w:bookmarkEnd w:id="25"/>
    </w:p>
    <w:p>
      <w:pPr>
        <w:autoSpaceDE w:val="0"/>
        <w:autoSpaceDN w:val="0"/>
        <w:spacing w:line="400" w:lineRule="exact"/>
        <w:ind w:firstLine="0" w:firstLineChars="0"/>
        <w:outlineLvl w:val="0"/>
        <w:rPr>
          <w:rFonts w:ascii="宋体" w:hAnsi="宋体" w:eastAsia="宋体" w:cs="宋体"/>
          <w:b/>
          <w:color w:val="auto"/>
          <w:sz w:val="24"/>
          <w:szCs w:val="24"/>
        </w:rPr>
      </w:pPr>
      <w:bookmarkStart w:id="26" w:name="_Toc283559952"/>
      <w:r>
        <w:rPr>
          <w:rFonts w:hint="eastAsia" w:ascii="宋体" w:hAnsi="宋体" w:eastAsia="宋体" w:cs="宋体"/>
          <w:b/>
          <w:color w:val="auto"/>
          <w:sz w:val="24"/>
          <w:szCs w:val="24"/>
        </w:rPr>
        <w:t>2.1 招标文件的组成</w:t>
      </w:r>
      <w:bookmarkEnd w:id="26"/>
    </w:p>
    <w:p>
      <w:pPr>
        <w:autoSpaceDE w:val="0"/>
        <w:autoSpaceDN w:val="0"/>
        <w:spacing w:line="400" w:lineRule="exact"/>
        <w:ind w:firstLine="480"/>
        <w:jc w:val="both"/>
        <w:outlineLvl w:val="0"/>
        <w:rPr>
          <w:rFonts w:ascii="宋体" w:hAnsi="宋体" w:eastAsia="宋体" w:cs="宋体"/>
          <w:color w:val="auto"/>
          <w:sz w:val="24"/>
          <w:szCs w:val="24"/>
        </w:rPr>
      </w:pPr>
      <w:bookmarkStart w:id="27" w:name="_Toc179632564"/>
      <w:bookmarkStart w:id="28" w:name="_Toc152045546"/>
      <w:bookmarkStart w:id="29" w:name="_Toc144974514"/>
      <w:bookmarkStart w:id="30" w:name="_Toc152042322"/>
      <w:r>
        <w:rPr>
          <w:rFonts w:hint="eastAsia" w:ascii="宋体" w:hAnsi="宋体" w:eastAsia="宋体" w:cs="宋体"/>
          <w:color w:val="auto"/>
          <w:sz w:val="24"/>
          <w:szCs w:val="24"/>
        </w:rPr>
        <w:t>本招标文件包括：</w:t>
      </w:r>
    </w:p>
    <w:p>
      <w:pPr>
        <w:autoSpaceDE w:val="0"/>
        <w:autoSpaceDN w:val="0"/>
        <w:spacing w:line="400" w:lineRule="exact"/>
        <w:ind w:firstLine="480"/>
        <w:jc w:val="both"/>
        <w:outlineLvl w:val="0"/>
        <w:rPr>
          <w:rFonts w:ascii="宋体" w:hAnsi="宋体" w:eastAsia="宋体" w:cs="宋体"/>
          <w:color w:val="auto"/>
          <w:sz w:val="24"/>
          <w:szCs w:val="24"/>
        </w:rPr>
      </w:pPr>
      <w:r>
        <w:rPr>
          <w:rFonts w:hint="eastAsia" w:ascii="宋体" w:hAnsi="宋体" w:eastAsia="宋体" w:cs="宋体"/>
          <w:color w:val="auto"/>
          <w:sz w:val="24"/>
          <w:szCs w:val="24"/>
        </w:rPr>
        <w:t>（1）招标公告；</w:t>
      </w:r>
    </w:p>
    <w:p>
      <w:pPr>
        <w:autoSpaceDE w:val="0"/>
        <w:autoSpaceDN w:val="0"/>
        <w:spacing w:line="400" w:lineRule="exact"/>
        <w:ind w:firstLine="480"/>
        <w:jc w:val="both"/>
        <w:outlineLvl w:val="0"/>
        <w:rPr>
          <w:rFonts w:ascii="宋体" w:hAnsi="宋体" w:eastAsia="宋体" w:cs="宋体"/>
          <w:color w:val="auto"/>
          <w:sz w:val="24"/>
          <w:szCs w:val="24"/>
        </w:rPr>
      </w:pPr>
      <w:r>
        <w:rPr>
          <w:rFonts w:hint="eastAsia" w:ascii="宋体" w:hAnsi="宋体" w:eastAsia="宋体" w:cs="宋体"/>
          <w:color w:val="auto"/>
          <w:sz w:val="24"/>
          <w:szCs w:val="24"/>
        </w:rPr>
        <w:t>（2）投标人须知；</w:t>
      </w:r>
    </w:p>
    <w:p>
      <w:pPr>
        <w:autoSpaceDE w:val="0"/>
        <w:autoSpaceDN w:val="0"/>
        <w:spacing w:line="400" w:lineRule="exact"/>
        <w:ind w:firstLine="480"/>
        <w:jc w:val="both"/>
        <w:outlineLvl w:val="0"/>
        <w:rPr>
          <w:rFonts w:ascii="宋体" w:hAnsi="宋体" w:eastAsia="宋体" w:cs="宋体"/>
          <w:color w:val="auto"/>
          <w:sz w:val="24"/>
          <w:szCs w:val="24"/>
        </w:rPr>
      </w:pPr>
      <w:r>
        <w:rPr>
          <w:rFonts w:hint="eastAsia" w:ascii="宋体" w:hAnsi="宋体" w:eastAsia="宋体" w:cs="宋体"/>
          <w:color w:val="auto"/>
          <w:sz w:val="24"/>
          <w:szCs w:val="24"/>
        </w:rPr>
        <w:t>（3）评标办法；</w:t>
      </w:r>
    </w:p>
    <w:p>
      <w:pPr>
        <w:autoSpaceDE w:val="0"/>
        <w:autoSpaceDN w:val="0"/>
        <w:spacing w:line="400" w:lineRule="exact"/>
        <w:ind w:firstLine="480"/>
        <w:jc w:val="both"/>
        <w:outlineLvl w:val="0"/>
        <w:rPr>
          <w:rFonts w:ascii="宋体" w:hAnsi="宋体" w:eastAsia="宋体" w:cs="宋体"/>
          <w:color w:val="auto"/>
          <w:sz w:val="24"/>
          <w:szCs w:val="24"/>
        </w:rPr>
      </w:pPr>
      <w:r>
        <w:rPr>
          <w:rFonts w:hint="eastAsia" w:ascii="宋体" w:hAnsi="宋体" w:eastAsia="宋体" w:cs="宋体"/>
          <w:color w:val="auto"/>
          <w:sz w:val="24"/>
          <w:szCs w:val="24"/>
        </w:rPr>
        <w:t>（4）合同条款及格式；</w:t>
      </w:r>
    </w:p>
    <w:p>
      <w:pPr>
        <w:autoSpaceDE w:val="0"/>
        <w:autoSpaceDN w:val="0"/>
        <w:spacing w:line="400" w:lineRule="exact"/>
        <w:ind w:firstLine="480"/>
        <w:jc w:val="both"/>
        <w:outlineLvl w:val="0"/>
        <w:rPr>
          <w:rFonts w:ascii="宋体" w:hAnsi="宋体" w:eastAsia="宋体" w:cs="宋体"/>
          <w:color w:val="auto"/>
          <w:sz w:val="24"/>
          <w:szCs w:val="24"/>
        </w:rPr>
      </w:pPr>
      <w:r>
        <w:rPr>
          <w:rFonts w:hint="eastAsia" w:ascii="宋体" w:hAnsi="宋体" w:eastAsia="宋体" w:cs="宋体"/>
          <w:color w:val="auto"/>
          <w:sz w:val="24"/>
          <w:szCs w:val="24"/>
        </w:rPr>
        <w:t>（5）发包人要求；</w:t>
      </w:r>
    </w:p>
    <w:p>
      <w:pPr>
        <w:autoSpaceDE w:val="0"/>
        <w:autoSpaceDN w:val="0"/>
        <w:spacing w:line="400" w:lineRule="exact"/>
        <w:ind w:firstLine="480"/>
        <w:jc w:val="both"/>
        <w:outlineLvl w:val="0"/>
        <w:rPr>
          <w:rFonts w:ascii="宋体" w:hAnsi="宋体" w:eastAsia="宋体" w:cs="宋体"/>
          <w:color w:val="auto"/>
          <w:sz w:val="24"/>
          <w:szCs w:val="24"/>
        </w:rPr>
      </w:pPr>
      <w:r>
        <w:rPr>
          <w:rFonts w:hint="eastAsia" w:ascii="宋体" w:hAnsi="宋体" w:eastAsia="宋体" w:cs="宋体"/>
          <w:color w:val="auto"/>
          <w:sz w:val="24"/>
          <w:szCs w:val="24"/>
        </w:rPr>
        <w:t>（6）投标文件格式；</w:t>
      </w:r>
    </w:p>
    <w:p>
      <w:pPr>
        <w:autoSpaceDE w:val="0"/>
        <w:autoSpaceDN w:val="0"/>
        <w:spacing w:line="400" w:lineRule="exact"/>
        <w:ind w:firstLine="480"/>
        <w:jc w:val="both"/>
        <w:outlineLvl w:val="0"/>
        <w:rPr>
          <w:rFonts w:ascii="宋体" w:hAnsi="宋体" w:eastAsia="宋体" w:cs="宋体"/>
          <w:color w:val="auto"/>
          <w:sz w:val="24"/>
          <w:szCs w:val="24"/>
        </w:rPr>
      </w:pPr>
      <w:r>
        <w:rPr>
          <w:rFonts w:hint="eastAsia" w:ascii="宋体" w:hAnsi="宋体" w:eastAsia="宋体" w:cs="宋体"/>
          <w:color w:val="auto"/>
          <w:sz w:val="24"/>
          <w:szCs w:val="24"/>
        </w:rPr>
        <w:t>（7）投标人须知前附表规定的其他资料。</w:t>
      </w:r>
    </w:p>
    <w:p>
      <w:pPr>
        <w:autoSpaceDE w:val="0"/>
        <w:autoSpaceDN w:val="0"/>
        <w:spacing w:line="400" w:lineRule="exact"/>
        <w:ind w:firstLine="480"/>
        <w:jc w:val="both"/>
        <w:outlineLvl w:val="0"/>
        <w:rPr>
          <w:rFonts w:ascii="宋体" w:hAnsi="宋体" w:eastAsia="宋体" w:cs="宋体"/>
          <w:color w:val="auto"/>
          <w:sz w:val="24"/>
        </w:rPr>
      </w:pPr>
      <w:r>
        <w:rPr>
          <w:rFonts w:hint="eastAsia" w:ascii="宋体" w:hAnsi="宋体" w:eastAsia="宋体" w:cs="宋体"/>
          <w:color w:val="auto"/>
          <w:sz w:val="24"/>
          <w:szCs w:val="24"/>
        </w:rPr>
        <w:t>根据本章第1.10款、第2.2款和第2.</w:t>
      </w:r>
      <w:r>
        <w:rPr>
          <w:rFonts w:hint="eastAsia" w:ascii="宋体" w:hAnsi="宋体" w:eastAsia="宋体" w:cs="宋体"/>
          <w:color w:val="auto"/>
          <w:sz w:val="24"/>
        </w:rPr>
        <w:t>3款对招标文件所作的澄清、修改，构成招标文件的组成部分。</w:t>
      </w:r>
    </w:p>
    <w:p>
      <w:pPr>
        <w:pStyle w:val="7"/>
        <w:spacing w:line="400" w:lineRule="exact"/>
        <w:ind w:firstLine="0" w:firstLineChars="0"/>
        <w:rPr>
          <w:rFonts w:ascii="宋体" w:hAnsi="宋体" w:eastAsia="宋体" w:cs="宋体"/>
          <w:color w:val="auto"/>
          <w:sz w:val="24"/>
          <w:szCs w:val="24"/>
        </w:rPr>
      </w:pPr>
      <w:r>
        <w:rPr>
          <w:rFonts w:hint="eastAsia" w:ascii="宋体" w:hAnsi="宋体" w:eastAsia="宋体" w:cs="宋体"/>
          <w:color w:val="auto"/>
          <w:sz w:val="24"/>
          <w:szCs w:val="24"/>
        </w:rPr>
        <w:t>2.2 招标文件的澄清</w:t>
      </w:r>
    </w:p>
    <w:p>
      <w:pPr>
        <w:autoSpaceDE w:val="0"/>
        <w:autoSpaceDN w:val="0"/>
        <w:adjustRightInd w:val="0"/>
        <w:spacing w:line="400" w:lineRule="exact"/>
        <w:ind w:firstLine="480"/>
        <w:jc w:val="both"/>
        <w:rPr>
          <w:rFonts w:ascii="宋体" w:hAnsi="宋体" w:eastAsia="宋体" w:cs="宋体"/>
          <w:color w:val="auto"/>
          <w:sz w:val="24"/>
        </w:rPr>
      </w:pPr>
      <w:bookmarkStart w:id="31" w:name="_Toc215282144"/>
      <w:r>
        <w:rPr>
          <w:rFonts w:hint="eastAsia" w:ascii="宋体" w:hAnsi="宋体" w:eastAsia="宋体" w:cs="宋体"/>
          <w:color w:val="auto"/>
          <w:sz w:val="24"/>
        </w:rPr>
        <w:t>2.2.1 投标人应仔细阅读和检查招标文件的全部内容。如发现缺页或附件不全，应及时向招 标人提出，以便补齐。如有疑问，应按投标人须知前附表规定的时间和形式将提出的问题送达 招标人，要求招标人对招标文件予以澄清。</w:t>
      </w:r>
    </w:p>
    <w:p>
      <w:pPr>
        <w:autoSpaceDE w:val="0"/>
        <w:autoSpaceDN w:val="0"/>
        <w:adjustRightInd w:val="0"/>
        <w:spacing w:line="400" w:lineRule="exact"/>
        <w:ind w:firstLine="480"/>
        <w:jc w:val="both"/>
        <w:rPr>
          <w:rFonts w:ascii="宋体" w:hAnsi="宋体" w:eastAsia="宋体" w:cs="宋体"/>
          <w:color w:val="auto"/>
          <w:sz w:val="24"/>
        </w:rPr>
      </w:pPr>
      <w:r>
        <w:rPr>
          <w:rFonts w:hint="eastAsia" w:ascii="宋体" w:hAnsi="宋体" w:eastAsia="宋体" w:cs="宋体"/>
          <w:color w:val="auto"/>
          <w:sz w:val="24"/>
        </w:rPr>
        <w:t>2.2.2 招标文件的澄清以投标人须知前附表规定的形式发给所有购买招标文件的投标人，但不指明澄清问题的来源。澄清发出的时间距本章第4.2.1项规定的投标截止时间不足 15日的，并且澄清内容可能影响投标文件编制的，将相应延长投标截止时间。</w:t>
      </w:r>
    </w:p>
    <w:p>
      <w:pPr>
        <w:autoSpaceDE w:val="0"/>
        <w:autoSpaceDN w:val="0"/>
        <w:adjustRightInd w:val="0"/>
        <w:spacing w:line="400" w:lineRule="exact"/>
        <w:ind w:firstLine="480"/>
        <w:jc w:val="both"/>
        <w:rPr>
          <w:rFonts w:ascii="宋体" w:hAnsi="宋体" w:eastAsia="宋体" w:cs="宋体"/>
          <w:color w:val="auto"/>
          <w:sz w:val="24"/>
        </w:rPr>
      </w:pPr>
      <w:r>
        <w:rPr>
          <w:rFonts w:hint="eastAsia" w:ascii="宋体" w:hAnsi="宋体" w:eastAsia="宋体" w:cs="宋体"/>
          <w:color w:val="auto"/>
          <w:sz w:val="24"/>
        </w:rPr>
        <w:t>2.2.3 投标人在收到澄清后，应按投标人须知前附表规定的时间和形式通知招标人，确认已收到该澄清。</w:t>
      </w:r>
    </w:p>
    <w:p>
      <w:pPr>
        <w:autoSpaceDE w:val="0"/>
        <w:autoSpaceDN w:val="0"/>
        <w:adjustRightInd w:val="0"/>
        <w:spacing w:line="400" w:lineRule="exact"/>
        <w:ind w:firstLine="480"/>
        <w:jc w:val="both"/>
        <w:rPr>
          <w:rFonts w:ascii="宋体" w:hAnsi="宋体" w:eastAsia="宋体" w:cs="宋体"/>
          <w:color w:val="auto"/>
          <w:sz w:val="24"/>
        </w:rPr>
      </w:pPr>
      <w:r>
        <w:rPr>
          <w:rFonts w:hint="eastAsia" w:ascii="宋体" w:hAnsi="宋体" w:eastAsia="宋体" w:cs="宋体"/>
          <w:color w:val="auto"/>
          <w:sz w:val="24"/>
        </w:rPr>
        <w:t>2.2.4 除非招标人认为确有必要答复，否则，招标人有权拒绝回复投标人在本章第2.2.1项规定的时间后的任何澄清要求。</w:t>
      </w:r>
    </w:p>
    <w:p>
      <w:pPr>
        <w:autoSpaceDE w:val="0"/>
        <w:autoSpaceDN w:val="0"/>
        <w:adjustRightInd w:val="0"/>
        <w:spacing w:line="400" w:lineRule="exact"/>
        <w:ind w:firstLine="480"/>
        <w:jc w:val="both"/>
        <w:rPr>
          <w:rFonts w:ascii="宋体" w:hAnsi="宋体" w:eastAsia="宋体" w:cs="宋体"/>
          <w:color w:val="auto"/>
          <w:sz w:val="24"/>
        </w:rPr>
      </w:pPr>
      <w:r>
        <w:rPr>
          <w:rFonts w:hint="eastAsia" w:ascii="宋体" w:hAnsi="宋体" w:eastAsia="宋体" w:cs="宋体"/>
          <w:color w:val="auto"/>
          <w:sz w:val="24"/>
        </w:rPr>
        <w:t>2.2.5 所有澄清、答疑全部以全国公共资源交易平台（河南省·许昌市）发出的为准，不再接受书面形式的递交。</w:t>
      </w:r>
    </w:p>
    <w:p>
      <w:pPr>
        <w:pStyle w:val="7"/>
        <w:spacing w:line="400" w:lineRule="exact"/>
        <w:ind w:firstLine="0" w:firstLineChars="0"/>
        <w:jc w:val="both"/>
        <w:rPr>
          <w:rFonts w:ascii="宋体" w:hAnsi="宋体" w:eastAsia="宋体" w:cs="宋体"/>
          <w:color w:val="auto"/>
          <w:sz w:val="24"/>
          <w:szCs w:val="24"/>
        </w:rPr>
      </w:pPr>
      <w:r>
        <w:rPr>
          <w:rFonts w:hint="eastAsia" w:ascii="宋体" w:hAnsi="宋体" w:eastAsia="宋体" w:cs="宋体"/>
          <w:color w:val="auto"/>
          <w:sz w:val="24"/>
          <w:szCs w:val="24"/>
        </w:rPr>
        <w:t>2.3 招标文件的修改</w:t>
      </w:r>
      <w:bookmarkEnd w:id="31"/>
    </w:p>
    <w:p>
      <w:pPr>
        <w:autoSpaceDE w:val="0"/>
        <w:autoSpaceDN w:val="0"/>
        <w:adjustRightInd w:val="0"/>
        <w:spacing w:line="400" w:lineRule="exact"/>
        <w:ind w:firstLine="616" w:firstLineChars="257"/>
        <w:jc w:val="both"/>
        <w:rPr>
          <w:rFonts w:ascii="宋体" w:hAnsi="宋体" w:eastAsia="宋体" w:cs="宋体"/>
          <w:color w:val="auto"/>
          <w:sz w:val="24"/>
          <w:szCs w:val="24"/>
        </w:rPr>
      </w:pPr>
      <w:r>
        <w:rPr>
          <w:rFonts w:hint="eastAsia" w:ascii="宋体" w:hAnsi="宋体" w:eastAsia="宋体" w:cs="宋体"/>
          <w:color w:val="auto"/>
          <w:sz w:val="24"/>
          <w:szCs w:val="24"/>
        </w:rPr>
        <w:t>2.3.1 招标人以投标人须知前附表规定的形式修改招标文件，并通知所有已购买招标文件的投标人。修改招标文件的时间距本章第4.2.1项规定的投标截止时间不足 15 日的，并且修改内容可能影响投标文件编制的，将相应延长投标截止时间。</w:t>
      </w:r>
    </w:p>
    <w:p>
      <w:pPr>
        <w:autoSpaceDE w:val="0"/>
        <w:autoSpaceDN w:val="0"/>
        <w:adjustRightInd w:val="0"/>
        <w:spacing w:line="400" w:lineRule="exact"/>
        <w:ind w:firstLine="616" w:firstLineChars="257"/>
        <w:jc w:val="both"/>
        <w:rPr>
          <w:rFonts w:ascii="宋体" w:hAnsi="宋体" w:eastAsia="宋体" w:cs="宋体"/>
          <w:color w:val="auto"/>
          <w:sz w:val="24"/>
          <w:szCs w:val="24"/>
        </w:rPr>
      </w:pPr>
      <w:r>
        <w:rPr>
          <w:rFonts w:hint="eastAsia" w:ascii="宋体" w:hAnsi="宋体" w:eastAsia="宋体" w:cs="宋体"/>
          <w:color w:val="auto"/>
          <w:sz w:val="24"/>
          <w:szCs w:val="24"/>
        </w:rPr>
        <w:t>2.3.2 投标人收到修改内容后，应按投标人须知前附表规定的时间和形式通知招标人，确认已收到该修改。</w:t>
      </w:r>
    </w:p>
    <w:p>
      <w:pPr>
        <w:autoSpaceDE w:val="0"/>
        <w:autoSpaceDN w:val="0"/>
        <w:adjustRightInd w:val="0"/>
        <w:spacing w:line="400" w:lineRule="exact"/>
        <w:ind w:firstLine="616" w:firstLineChars="257"/>
        <w:jc w:val="both"/>
        <w:rPr>
          <w:rFonts w:ascii="宋体" w:hAnsi="宋体" w:eastAsia="宋体" w:cs="宋体"/>
          <w:color w:val="auto"/>
          <w:sz w:val="24"/>
          <w:szCs w:val="24"/>
        </w:rPr>
      </w:pPr>
      <w:r>
        <w:rPr>
          <w:rFonts w:hint="eastAsia" w:ascii="宋体" w:hAnsi="宋体" w:eastAsia="宋体" w:cs="宋体"/>
          <w:color w:val="auto"/>
          <w:sz w:val="24"/>
          <w:szCs w:val="24"/>
        </w:rPr>
        <w:t>2.3.3 当招标文件（含评标、定标办法）、补充通知、答疑纪要，内容相互矛盾时，以最后发出的通知（或纪要）为准。</w:t>
      </w:r>
    </w:p>
    <w:p>
      <w:pPr>
        <w:pStyle w:val="7"/>
        <w:spacing w:line="400" w:lineRule="exact"/>
        <w:ind w:firstLine="0" w:firstLineChars="0"/>
        <w:jc w:val="both"/>
        <w:rPr>
          <w:rFonts w:ascii="宋体" w:hAnsi="宋体" w:eastAsia="宋体" w:cs="宋体"/>
          <w:color w:val="auto"/>
          <w:sz w:val="24"/>
          <w:szCs w:val="24"/>
        </w:rPr>
      </w:pPr>
      <w:r>
        <w:rPr>
          <w:rFonts w:ascii="宋体" w:hAnsi="宋体" w:eastAsia="宋体" w:cs="宋体"/>
          <w:color w:val="auto"/>
          <w:sz w:val="24"/>
          <w:szCs w:val="24"/>
        </w:rPr>
        <mc:AlternateContent>
          <mc:Choice Requires="wps">
            <w:drawing>
              <wp:anchor distT="0" distB="0" distL="114300" distR="114300" simplePos="0" relativeHeight="251714560" behindDoc="1" locked="0" layoutInCell="1" allowOverlap="1">
                <wp:simplePos x="0" y="0"/>
                <wp:positionH relativeFrom="page">
                  <wp:posOffset>-47625</wp:posOffset>
                </wp:positionH>
                <wp:positionV relativeFrom="page">
                  <wp:posOffset>0</wp:posOffset>
                </wp:positionV>
                <wp:extent cx="7773670" cy="10059670"/>
                <wp:effectExtent l="0" t="0" r="17780" b="17780"/>
                <wp:wrapNone/>
                <wp:docPr id="2" name="自选图形 8"/>
                <wp:cNvGraphicFramePr/>
                <a:graphic xmlns:a="http://schemas.openxmlformats.org/drawingml/2006/main">
                  <a:graphicData uri="http://schemas.microsoft.com/office/word/2010/wordprocessingShape">
                    <wps:wsp>
                      <wps:cNvSpPr/>
                      <wps:spPr>
                        <a:xfrm>
                          <a:off x="0" y="0"/>
                          <a:ext cx="7773670" cy="10059670"/>
                        </a:xfrm>
                        <a:prstGeom prst="star5">
                          <a:avLst/>
                        </a:prstGeom>
                        <a:solidFill>
                          <a:srgbClr val="FFFFFF"/>
                        </a:solidFill>
                        <a:ln w="9525">
                          <a:noFill/>
                        </a:ln>
                        <a:effectLst/>
                      </wps:spPr>
                      <wps:bodyPr upright="1"/>
                    </wps:wsp>
                  </a:graphicData>
                </a:graphic>
              </wp:anchor>
            </w:drawing>
          </mc:Choice>
          <mc:Fallback>
            <w:pict>
              <v:shape id="自选图形 8" o:spid="_x0000_s1026" style="position:absolute;left:0pt;margin-left:-3.75pt;margin-top:0pt;height:792.1pt;width:612.1pt;mso-position-horizontal-relative:page;mso-position-vertical-relative:page;z-index:-251601920;mso-width-relative:page;mso-height-relative:page;" fillcolor="#FFFFFF" filled="t" stroked="f" coordsize="7773670,10059670" o:gfxdata="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AQdyPNcA&#10;AAAJAQAADwAAAAAAAAABACAAAAAiAAAAZHJzL2Rvd25yZXYueG1sUEsBAhQAFAAAAAgAh07iQO3W&#10;4JGuAQAAMQMAAA4AAAAAAAAAAQAgAAAAJgEAAGRycy9lMm9Eb2MueG1sUEsFBgAAAAAGAAYAWQEA&#10;AEYFAAAAAA==&#10;" path="m8,3842442l2969294,3842469,3886835,0,4804375,3842469,7773661,3842442,5371447,6217191,6289026,10059644,3886835,7684851,1484643,10059644,2402222,6217191xe">
                <v:path o:connectlocs="3886835,0;8,3842442;1484643,10059644;6289026,10059644;7773661,3842442" o:connectangles="247,164,82,82,0"/>
                <v:fill on="t" focussize="0,0"/>
                <v:stroke on="f"/>
                <v:imagedata o:title=""/>
                <o:lock v:ext="edit" aspectratio="f"/>
              </v:shape>
            </w:pict>
          </mc:Fallback>
        </mc:AlternateContent>
      </w:r>
      <w:r>
        <w:rPr>
          <w:rFonts w:hint="eastAsia" w:ascii="宋体" w:hAnsi="宋体" w:eastAsia="宋体" w:cs="宋体"/>
          <w:color w:val="auto"/>
          <w:sz w:val="24"/>
          <w:szCs w:val="24"/>
        </w:rPr>
        <w:t>2.4 招标文件的异议</w:t>
      </w:r>
    </w:p>
    <w:p>
      <w:pPr>
        <w:autoSpaceDE w:val="0"/>
        <w:autoSpaceDN w:val="0"/>
        <w:adjustRightInd w:val="0"/>
        <w:spacing w:line="400" w:lineRule="exact"/>
        <w:ind w:firstLine="480"/>
        <w:jc w:val="both"/>
        <w:rPr>
          <w:rFonts w:ascii="宋体" w:hAnsi="宋体" w:eastAsia="宋体" w:cs="宋体"/>
          <w:color w:val="auto"/>
          <w:sz w:val="24"/>
          <w:szCs w:val="24"/>
        </w:rPr>
      </w:pPr>
      <w:r>
        <w:rPr>
          <w:rFonts w:hint="eastAsia" w:ascii="宋体" w:hAnsi="宋体" w:eastAsia="宋体" w:cs="宋体"/>
          <w:color w:val="auto"/>
          <w:sz w:val="24"/>
          <w:szCs w:val="24"/>
        </w:rPr>
        <w:t>投标人或者其他利害关系人对招标文件有异议的，应当在投标截止时间10日前以书面形式提出。招标人将在收到异议之日起3日内作出答复；作出答复前，将暂停招标投标活动。</w:t>
      </w:r>
    </w:p>
    <w:p>
      <w:pPr>
        <w:autoSpaceDE w:val="0"/>
        <w:autoSpaceDN w:val="0"/>
        <w:spacing w:line="400" w:lineRule="exact"/>
        <w:ind w:firstLine="0" w:firstLineChars="0"/>
        <w:outlineLvl w:val="0"/>
        <w:rPr>
          <w:rFonts w:ascii="宋体" w:hAnsi="宋体" w:eastAsia="宋体" w:cs="宋体"/>
          <w:b/>
          <w:color w:val="auto"/>
          <w:sz w:val="24"/>
          <w:szCs w:val="24"/>
        </w:rPr>
      </w:pPr>
      <w:r>
        <w:rPr>
          <w:rFonts w:hint="eastAsia" w:ascii="宋体" w:hAnsi="宋体" w:eastAsia="宋体" w:cs="宋体"/>
          <w:b/>
          <w:color w:val="auto"/>
          <w:sz w:val="24"/>
          <w:szCs w:val="24"/>
        </w:rPr>
        <w:t>3. 投标文件</w:t>
      </w:r>
      <w:bookmarkEnd w:id="27"/>
      <w:bookmarkEnd w:id="28"/>
      <w:bookmarkEnd w:id="29"/>
      <w:bookmarkEnd w:id="30"/>
    </w:p>
    <w:p>
      <w:pPr>
        <w:autoSpaceDE w:val="0"/>
        <w:autoSpaceDN w:val="0"/>
        <w:spacing w:line="400" w:lineRule="exact"/>
        <w:ind w:firstLine="0" w:firstLineChars="0"/>
        <w:outlineLvl w:val="0"/>
        <w:rPr>
          <w:rFonts w:ascii="宋体" w:hAnsi="宋体" w:eastAsia="宋体" w:cs="宋体"/>
          <w:b/>
          <w:color w:val="auto"/>
          <w:sz w:val="24"/>
          <w:szCs w:val="24"/>
        </w:rPr>
      </w:pPr>
      <w:bookmarkStart w:id="32" w:name="_Toc278443453"/>
      <w:r>
        <w:rPr>
          <w:rFonts w:hint="eastAsia" w:ascii="宋体" w:hAnsi="宋体" w:eastAsia="宋体" w:cs="宋体"/>
          <w:b/>
          <w:color w:val="auto"/>
          <w:sz w:val="24"/>
          <w:szCs w:val="24"/>
        </w:rPr>
        <w:t>3.1 投标文件的组成。</w:t>
      </w:r>
    </w:p>
    <w:p>
      <w:pPr>
        <w:autoSpaceDE w:val="0"/>
        <w:autoSpaceDN w:val="0"/>
        <w:adjustRightInd w:val="0"/>
        <w:spacing w:line="400" w:lineRule="exact"/>
        <w:ind w:firstLine="480"/>
        <w:rPr>
          <w:rFonts w:ascii="宋体" w:hAnsi="宋体" w:eastAsia="宋体" w:cs="宋体"/>
          <w:color w:val="auto"/>
          <w:sz w:val="24"/>
        </w:rPr>
      </w:pPr>
      <w:r>
        <w:rPr>
          <w:rFonts w:hint="eastAsia" w:ascii="宋体" w:hAnsi="宋体" w:eastAsia="宋体" w:cs="宋体"/>
          <w:color w:val="auto"/>
          <w:sz w:val="24"/>
        </w:rPr>
        <w:t>3.1.1 投标文件应包括下列内容：</w:t>
      </w:r>
    </w:p>
    <w:p>
      <w:pPr>
        <w:autoSpaceDE w:val="0"/>
        <w:autoSpaceDN w:val="0"/>
        <w:adjustRightInd w:val="0"/>
        <w:spacing w:line="400" w:lineRule="exact"/>
        <w:ind w:firstLine="480"/>
        <w:rPr>
          <w:rFonts w:hint="eastAsia" w:ascii="宋体" w:hAnsi="宋体" w:eastAsia="宋体" w:cs="宋体"/>
          <w:color w:val="auto"/>
          <w:sz w:val="24"/>
        </w:rPr>
      </w:pPr>
      <w:r>
        <w:rPr>
          <w:rFonts w:hint="eastAsia" w:ascii="宋体" w:hAnsi="宋体" w:eastAsia="宋体" w:cs="宋体"/>
          <w:color w:val="auto"/>
          <w:sz w:val="24"/>
        </w:rPr>
        <w:t>一、投标函；</w:t>
      </w:r>
    </w:p>
    <w:p>
      <w:pPr>
        <w:pStyle w:val="2"/>
        <w:rPr>
          <w:rFonts w:hint="eastAsia" w:eastAsia="宋体"/>
          <w:lang w:eastAsia="zh-CN"/>
        </w:rPr>
      </w:pPr>
      <w:r>
        <w:rPr>
          <w:rFonts w:hint="eastAsia" w:ascii="宋体" w:hAnsi="宋体" w:cs="宋体"/>
          <w:color w:val="auto"/>
          <w:sz w:val="24"/>
          <w:lang w:eastAsia="zh-CN"/>
        </w:rPr>
        <w:t>二、</w:t>
      </w:r>
      <w:r>
        <w:rPr>
          <w:rFonts w:hint="eastAsia" w:ascii="宋体" w:hAnsi="宋体" w:eastAsia="宋体" w:cs="宋体"/>
          <w:color w:val="auto"/>
          <w:sz w:val="24"/>
        </w:rPr>
        <w:t>投标函附录</w:t>
      </w:r>
      <w:r>
        <w:rPr>
          <w:rFonts w:hint="eastAsia" w:ascii="宋体" w:hAnsi="宋体" w:eastAsia="宋体" w:cs="宋体"/>
          <w:color w:val="auto"/>
          <w:sz w:val="24"/>
          <w:lang w:eastAsia="zh-CN"/>
        </w:rPr>
        <w:t>；</w:t>
      </w:r>
    </w:p>
    <w:p>
      <w:pPr>
        <w:autoSpaceDE w:val="0"/>
        <w:autoSpaceDN w:val="0"/>
        <w:adjustRightInd w:val="0"/>
        <w:spacing w:line="400" w:lineRule="exact"/>
        <w:ind w:firstLine="480"/>
        <w:rPr>
          <w:rFonts w:ascii="宋体" w:hAnsi="宋体" w:eastAsia="宋体" w:cs="宋体"/>
          <w:color w:val="auto"/>
          <w:sz w:val="24"/>
        </w:rPr>
      </w:pPr>
      <w:r>
        <w:rPr>
          <w:rFonts w:hint="eastAsia" w:ascii="宋体" w:hAnsi="宋体" w:cs="宋体"/>
          <w:color w:val="auto"/>
          <w:sz w:val="24"/>
          <w:lang w:eastAsia="zh-CN"/>
        </w:rPr>
        <w:t>三</w:t>
      </w:r>
      <w:r>
        <w:rPr>
          <w:rFonts w:hint="eastAsia" w:ascii="宋体" w:hAnsi="宋体" w:eastAsia="宋体" w:cs="宋体"/>
          <w:color w:val="auto"/>
          <w:sz w:val="24"/>
        </w:rPr>
        <w:t>、法定代表人（单位负责人）身份证明或授权委托书；</w:t>
      </w:r>
    </w:p>
    <w:p>
      <w:pPr>
        <w:autoSpaceDE w:val="0"/>
        <w:autoSpaceDN w:val="0"/>
        <w:adjustRightInd w:val="0"/>
        <w:spacing w:line="400" w:lineRule="exact"/>
        <w:ind w:firstLine="480"/>
        <w:rPr>
          <w:rFonts w:ascii="宋体" w:hAnsi="宋体" w:eastAsia="宋体" w:cs="宋体"/>
          <w:color w:val="auto"/>
          <w:sz w:val="24"/>
        </w:rPr>
      </w:pPr>
      <w:r>
        <w:rPr>
          <w:rFonts w:hint="eastAsia" w:ascii="宋体" w:hAnsi="宋体" w:cs="宋体"/>
          <w:color w:val="auto"/>
          <w:sz w:val="24"/>
          <w:lang w:eastAsia="zh-CN"/>
        </w:rPr>
        <w:t>四</w:t>
      </w:r>
      <w:r>
        <w:rPr>
          <w:rFonts w:hint="eastAsia" w:ascii="宋体" w:hAnsi="宋体" w:eastAsia="宋体" w:cs="宋体"/>
          <w:color w:val="auto"/>
          <w:sz w:val="24"/>
        </w:rPr>
        <w:t>、投标保证金；</w:t>
      </w:r>
    </w:p>
    <w:p>
      <w:pPr>
        <w:autoSpaceDE w:val="0"/>
        <w:autoSpaceDN w:val="0"/>
        <w:adjustRightInd w:val="0"/>
        <w:spacing w:line="400" w:lineRule="exact"/>
        <w:ind w:firstLine="480"/>
        <w:rPr>
          <w:rFonts w:ascii="宋体" w:hAnsi="宋体" w:eastAsia="宋体" w:cs="宋体"/>
          <w:color w:val="auto"/>
          <w:sz w:val="24"/>
        </w:rPr>
      </w:pPr>
      <w:r>
        <w:rPr>
          <w:rFonts w:hint="eastAsia" w:ascii="宋体" w:hAnsi="宋体" w:cs="宋体"/>
          <w:color w:val="auto"/>
          <w:sz w:val="24"/>
          <w:lang w:eastAsia="zh-CN"/>
        </w:rPr>
        <w:t>五</w:t>
      </w:r>
      <w:r>
        <w:rPr>
          <w:rFonts w:hint="eastAsia" w:ascii="宋体" w:hAnsi="宋体" w:eastAsia="宋体" w:cs="宋体"/>
          <w:color w:val="auto"/>
          <w:sz w:val="24"/>
        </w:rPr>
        <w:t>、</w:t>
      </w:r>
      <w:r>
        <w:rPr>
          <w:rFonts w:hint="eastAsia" w:ascii="宋体" w:hAnsi="宋体" w:cs="宋体"/>
          <w:color w:val="auto"/>
          <w:sz w:val="24"/>
          <w:lang w:eastAsia="zh-CN"/>
        </w:rPr>
        <w:t>勘察</w:t>
      </w:r>
      <w:r>
        <w:rPr>
          <w:rFonts w:hint="eastAsia" w:ascii="宋体" w:hAnsi="宋体" w:eastAsia="宋体" w:cs="宋体"/>
          <w:color w:val="auto"/>
          <w:sz w:val="24"/>
        </w:rPr>
        <w:t>费用清单；</w:t>
      </w:r>
    </w:p>
    <w:p>
      <w:pPr>
        <w:autoSpaceDE w:val="0"/>
        <w:autoSpaceDN w:val="0"/>
        <w:adjustRightInd w:val="0"/>
        <w:spacing w:line="400" w:lineRule="exact"/>
        <w:ind w:firstLine="480"/>
        <w:rPr>
          <w:rFonts w:ascii="宋体" w:hAnsi="宋体" w:eastAsia="宋体" w:cs="宋体"/>
          <w:color w:val="auto"/>
          <w:sz w:val="24"/>
        </w:rPr>
      </w:pPr>
      <w:r>
        <w:rPr>
          <w:rFonts w:hint="eastAsia" w:ascii="宋体" w:hAnsi="宋体" w:cs="宋体"/>
          <w:color w:val="auto"/>
          <w:sz w:val="24"/>
          <w:lang w:eastAsia="zh-CN"/>
        </w:rPr>
        <w:t>六</w:t>
      </w:r>
      <w:r>
        <w:rPr>
          <w:rFonts w:hint="eastAsia" w:ascii="宋体" w:hAnsi="宋体" w:eastAsia="宋体" w:cs="宋体"/>
          <w:color w:val="auto"/>
          <w:sz w:val="24"/>
        </w:rPr>
        <w:t>、资格审查资料；</w:t>
      </w:r>
    </w:p>
    <w:p>
      <w:pPr>
        <w:autoSpaceDE w:val="0"/>
        <w:autoSpaceDN w:val="0"/>
        <w:adjustRightInd w:val="0"/>
        <w:spacing w:line="400" w:lineRule="exact"/>
        <w:ind w:firstLine="480"/>
        <w:rPr>
          <w:rFonts w:ascii="宋体" w:hAnsi="宋体" w:eastAsia="宋体" w:cs="宋体"/>
          <w:color w:val="auto"/>
          <w:sz w:val="24"/>
        </w:rPr>
      </w:pPr>
      <w:r>
        <w:rPr>
          <w:rFonts w:hint="eastAsia" w:ascii="宋体" w:hAnsi="宋体" w:cs="宋体"/>
          <w:color w:val="auto"/>
          <w:sz w:val="24"/>
          <w:lang w:eastAsia="zh-CN"/>
        </w:rPr>
        <w:t>七</w:t>
      </w:r>
      <w:r>
        <w:rPr>
          <w:rFonts w:hint="eastAsia" w:ascii="宋体" w:hAnsi="宋体" w:eastAsia="宋体" w:cs="宋体"/>
          <w:color w:val="auto"/>
          <w:sz w:val="24"/>
        </w:rPr>
        <w:t>、</w:t>
      </w:r>
      <w:r>
        <w:rPr>
          <w:rFonts w:hint="eastAsia" w:ascii="宋体" w:hAnsi="宋体" w:cs="宋体"/>
          <w:color w:val="auto"/>
          <w:sz w:val="24"/>
          <w:lang w:eastAsia="zh-CN"/>
        </w:rPr>
        <w:t>勘察</w:t>
      </w:r>
      <w:r>
        <w:rPr>
          <w:rFonts w:hint="eastAsia" w:ascii="宋体" w:hAnsi="宋体" w:eastAsia="宋体" w:cs="宋体"/>
          <w:color w:val="auto"/>
          <w:sz w:val="24"/>
        </w:rPr>
        <w:t>方案；</w:t>
      </w:r>
    </w:p>
    <w:p>
      <w:pPr>
        <w:autoSpaceDE w:val="0"/>
        <w:autoSpaceDN w:val="0"/>
        <w:adjustRightInd w:val="0"/>
        <w:spacing w:line="400" w:lineRule="exact"/>
        <w:ind w:firstLine="480"/>
        <w:rPr>
          <w:rFonts w:ascii="宋体" w:hAnsi="宋体" w:eastAsia="宋体" w:cs="宋体"/>
          <w:color w:val="auto"/>
          <w:sz w:val="24"/>
        </w:rPr>
      </w:pPr>
      <w:r>
        <w:rPr>
          <w:rFonts w:hint="eastAsia" w:ascii="宋体" w:hAnsi="宋体" w:cs="宋体"/>
          <w:color w:val="auto"/>
          <w:sz w:val="24"/>
          <w:lang w:eastAsia="zh-CN"/>
        </w:rPr>
        <w:t>八</w:t>
      </w:r>
      <w:r>
        <w:rPr>
          <w:rFonts w:hint="eastAsia" w:ascii="宋体" w:hAnsi="宋体" w:eastAsia="宋体" w:cs="宋体"/>
          <w:color w:val="auto"/>
          <w:sz w:val="24"/>
        </w:rPr>
        <w:t>、投标人须知前附表规定的其他资料。</w:t>
      </w:r>
    </w:p>
    <w:p>
      <w:pPr>
        <w:tabs>
          <w:tab w:val="left" w:pos="1260"/>
        </w:tabs>
        <w:autoSpaceDE w:val="0"/>
        <w:autoSpaceDN w:val="0"/>
        <w:adjustRightInd w:val="0"/>
        <w:spacing w:line="400" w:lineRule="exact"/>
        <w:ind w:firstLine="480"/>
        <w:jc w:val="both"/>
        <w:rPr>
          <w:rFonts w:ascii="宋体" w:hAnsi="宋体" w:eastAsia="宋体" w:cs="宋体"/>
          <w:color w:val="auto"/>
          <w:sz w:val="24"/>
          <w:szCs w:val="24"/>
        </w:rPr>
      </w:pPr>
      <w:r>
        <w:rPr>
          <w:rFonts w:hint="eastAsia" w:ascii="宋体" w:hAnsi="宋体" w:eastAsia="宋体" w:cs="宋体"/>
          <w:color w:val="auto"/>
          <w:sz w:val="24"/>
          <w:szCs w:val="24"/>
        </w:rPr>
        <w:t>投标人在评标过程中作出的符合法律法规和招标文件规定的澄清确认，构成投标文件的组成部分。</w:t>
      </w:r>
    </w:p>
    <w:p>
      <w:pPr>
        <w:tabs>
          <w:tab w:val="left" w:pos="1260"/>
        </w:tabs>
        <w:autoSpaceDE w:val="0"/>
        <w:autoSpaceDN w:val="0"/>
        <w:adjustRightInd w:val="0"/>
        <w:spacing w:line="400" w:lineRule="exact"/>
        <w:ind w:firstLine="480"/>
        <w:jc w:val="both"/>
        <w:rPr>
          <w:rFonts w:ascii="宋体" w:hAnsi="宋体" w:eastAsia="宋体" w:cs="宋体"/>
          <w:color w:val="auto"/>
          <w:sz w:val="24"/>
          <w:szCs w:val="24"/>
        </w:rPr>
      </w:pPr>
      <w:r>
        <w:rPr>
          <w:rFonts w:hint="eastAsia" w:ascii="宋体" w:hAnsi="宋体" w:eastAsia="宋体" w:cs="宋体"/>
          <w:color w:val="auto"/>
          <w:sz w:val="24"/>
          <w:szCs w:val="24"/>
        </w:rPr>
        <w:t>3.1.2 投标人须知前附表规定不接受联合体投标的，或投标人没有组成联合体的，投标文件不包括本章第3.1.1（3）目所指的联合体协议书。</w:t>
      </w:r>
    </w:p>
    <w:p>
      <w:pPr>
        <w:tabs>
          <w:tab w:val="left" w:pos="1260"/>
        </w:tabs>
        <w:autoSpaceDE w:val="0"/>
        <w:autoSpaceDN w:val="0"/>
        <w:adjustRightInd w:val="0"/>
        <w:spacing w:line="400" w:lineRule="exact"/>
        <w:ind w:left="479" w:leftChars="228" w:firstLine="0" w:firstLineChars="0"/>
        <w:jc w:val="both"/>
        <w:rPr>
          <w:color w:val="auto"/>
        </w:rPr>
      </w:pPr>
      <w:r>
        <w:rPr>
          <w:rFonts w:hint="eastAsia" w:ascii="宋体" w:hAnsi="宋体" w:eastAsia="宋体" w:cs="宋体"/>
          <w:color w:val="auto"/>
          <w:sz w:val="24"/>
          <w:szCs w:val="24"/>
        </w:rPr>
        <w:t xml:space="preserve">3.1.3 投标人须知前附表未要求提交投标保证金的，投标文件不包括本章第 </w:t>
      </w:r>
    </w:p>
    <w:p>
      <w:pPr>
        <w:tabs>
          <w:tab w:val="left" w:pos="1260"/>
        </w:tabs>
        <w:autoSpaceDE w:val="0"/>
        <w:autoSpaceDN w:val="0"/>
        <w:adjustRightInd w:val="0"/>
        <w:spacing w:line="400" w:lineRule="exact"/>
        <w:ind w:firstLine="0" w:firstLineChars="0"/>
        <w:jc w:val="both"/>
        <w:rPr>
          <w:rFonts w:ascii="宋体" w:hAnsi="宋体" w:eastAsia="宋体" w:cs="宋体"/>
          <w:color w:val="auto"/>
          <w:sz w:val="24"/>
          <w:szCs w:val="24"/>
        </w:rPr>
      </w:pPr>
      <w:r>
        <w:rPr>
          <w:rFonts w:hint="eastAsia" w:ascii="宋体" w:hAnsi="宋体" w:eastAsia="宋体" w:cs="宋体"/>
          <w:color w:val="auto"/>
          <w:sz w:val="24"/>
          <w:szCs w:val="24"/>
        </w:rPr>
        <w:t>3.1.1（4）目所指的投标保证金。</w:t>
      </w:r>
    </w:p>
    <w:p>
      <w:pPr>
        <w:autoSpaceDE w:val="0"/>
        <w:autoSpaceDN w:val="0"/>
        <w:spacing w:line="400" w:lineRule="exact"/>
        <w:ind w:firstLine="0" w:firstLineChars="0"/>
        <w:outlineLvl w:val="0"/>
        <w:rPr>
          <w:rFonts w:ascii="宋体" w:hAnsi="宋体" w:eastAsia="宋体" w:cs="宋体"/>
          <w:b/>
          <w:bCs/>
          <w:color w:val="auto"/>
          <w:sz w:val="24"/>
          <w:szCs w:val="24"/>
        </w:rPr>
      </w:pPr>
      <w:r>
        <w:rPr>
          <w:rFonts w:hint="eastAsia" w:ascii="宋体" w:hAnsi="宋体" w:eastAsia="宋体" w:cs="宋体"/>
          <w:b/>
          <w:bCs/>
          <w:color w:val="auto"/>
          <w:sz w:val="24"/>
          <w:szCs w:val="24"/>
        </w:rPr>
        <w:t>3.2 投标报价</w:t>
      </w:r>
    </w:p>
    <w:p>
      <w:pPr>
        <w:pStyle w:val="3"/>
        <w:spacing w:line="400" w:lineRule="exact"/>
        <w:ind w:left="0" w:firstLine="480"/>
        <w:jc w:val="both"/>
        <w:rPr>
          <w:rFonts w:ascii="宋体" w:hAnsi="宋体" w:eastAsia="宋体" w:cs="宋体"/>
          <w:color w:val="auto"/>
          <w:sz w:val="24"/>
          <w:szCs w:val="24"/>
        </w:rPr>
      </w:pPr>
      <w:r>
        <w:rPr>
          <w:rFonts w:hint="eastAsia" w:ascii="宋体" w:hAnsi="宋体" w:eastAsia="宋体" w:cs="宋体"/>
          <w:color w:val="auto"/>
          <w:sz w:val="24"/>
          <w:szCs w:val="24"/>
        </w:rPr>
        <w:t>3.2.1 投标报价应包括国家规定的增值税税金，除投标人须知前附表另有规定外，增值税税金按一般计税方法计算。投标人应按第六章“投标文件格式”的要求在投标函中进行报价并填写费用清单。</w:t>
      </w:r>
    </w:p>
    <w:p>
      <w:pPr>
        <w:pStyle w:val="3"/>
        <w:spacing w:line="400" w:lineRule="exact"/>
        <w:ind w:left="0" w:firstLine="480"/>
        <w:jc w:val="both"/>
        <w:rPr>
          <w:rFonts w:ascii="宋体" w:hAnsi="宋体" w:eastAsia="宋体" w:cs="宋体"/>
          <w:color w:val="auto"/>
          <w:sz w:val="24"/>
          <w:szCs w:val="24"/>
        </w:rPr>
      </w:pPr>
      <w:r>
        <w:rPr>
          <w:rFonts w:hint="eastAsia" w:ascii="宋体" w:hAnsi="宋体" w:eastAsia="宋体" w:cs="宋体"/>
          <w:color w:val="auto"/>
          <w:sz w:val="24"/>
          <w:szCs w:val="24"/>
        </w:rPr>
        <w:t>3.2.2 投标人应充分了解该项目的总体情况以及影响投标报价的其他要素。</w:t>
      </w:r>
    </w:p>
    <w:p>
      <w:pPr>
        <w:pStyle w:val="3"/>
        <w:spacing w:line="400" w:lineRule="exact"/>
        <w:ind w:left="0" w:firstLine="480"/>
        <w:jc w:val="both"/>
        <w:rPr>
          <w:rFonts w:ascii="宋体" w:hAnsi="宋体" w:eastAsia="宋体" w:cs="宋体"/>
          <w:color w:val="auto"/>
          <w:sz w:val="24"/>
          <w:szCs w:val="24"/>
        </w:rPr>
      </w:pPr>
      <w:r>
        <w:rPr>
          <w:rFonts w:hint="eastAsia" w:ascii="宋体" w:hAnsi="宋体" w:eastAsia="宋体" w:cs="宋体"/>
          <w:color w:val="auto"/>
          <w:sz w:val="24"/>
          <w:szCs w:val="24"/>
        </w:rPr>
        <w:t>3.2.3 本项目的报价方式见投标人须知前附表。投标人在投标截止时间前修改投标函中的投标报价总额，应同时修改投标文件“费用清单”中的相应报价。此修改须符合本章第4.3款的有关要求。</w:t>
      </w:r>
    </w:p>
    <w:p>
      <w:pPr>
        <w:pStyle w:val="3"/>
        <w:spacing w:line="400" w:lineRule="exact"/>
        <w:ind w:left="0" w:firstLine="480"/>
        <w:jc w:val="both"/>
        <w:rPr>
          <w:rFonts w:ascii="宋体" w:hAnsi="宋体" w:eastAsia="宋体" w:cs="宋体"/>
          <w:color w:val="auto"/>
          <w:sz w:val="24"/>
          <w:szCs w:val="24"/>
        </w:rPr>
      </w:pPr>
      <w:r>
        <w:rPr>
          <w:rFonts w:hint="eastAsia" w:ascii="宋体" w:hAnsi="宋体" w:eastAsia="宋体" w:cs="宋体"/>
          <w:color w:val="auto"/>
          <w:sz w:val="24"/>
          <w:szCs w:val="24"/>
        </w:rPr>
        <w:t>3.2.4 招标人设有最高投标限价的，投标人的投标报价不得超过最高投标限价，最高投标限价在投标人须知前附表中载明。</w:t>
      </w:r>
    </w:p>
    <w:p>
      <w:pPr>
        <w:pStyle w:val="3"/>
        <w:spacing w:line="400" w:lineRule="exact"/>
        <w:ind w:left="0" w:firstLine="480"/>
        <w:jc w:val="both"/>
        <w:rPr>
          <w:rFonts w:ascii="宋体" w:hAnsi="宋体" w:eastAsia="宋体" w:cs="宋体"/>
          <w:color w:val="auto"/>
          <w:sz w:val="24"/>
          <w:szCs w:val="24"/>
        </w:rPr>
      </w:pPr>
      <w:r>
        <w:rPr>
          <w:rFonts w:hint="eastAsia" w:ascii="宋体" w:hAnsi="宋体" w:eastAsia="宋体" w:cs="宋体"/>
          <w:color w:val="auto"/>
          <w:sz w:val="24"/>
          <w:szCs w:val="24"/>
        </w:rPr>
        <w:t>3.2.5 投标报价的其他要求见投标人须知前附表。</w:t>
      </w:r>
    </w:p>
    <w:p>
      <w:pPr>
        <w:autoSpaceDE w:val="0"/>
        <w:autoSpaceDN w:val="0"/>
        <w:spacing w:line="400" w:lineRule="exact"/>
        <w:ind w:firstLine="0" w:firstLineChars="0"/>
        <w:outlineLvl w:val="0"/>
        <w:rPr>
          <w:rFonts w:ascii="宋体" w:hAnsi="宋体" w:eastAsia="宋体" w:cs="宋体"/>
          <w:b/>
          <w:bCs/>
          <w:color w:val="auto"/>
          <w:sz w:val="24"/>
          <w:szCs w:val="24"/>
        </w:rPr>
      </w:pPr>
      <w:r>
        <w:rPr>
          <w:rFonts w:hint="eastAsia" w:ascii="宋体" w:hAnsi="宋体" w:eastAsia="宋体" w:cs="宋体"/>
          <w:b/>
          <w:bCs/>
          <w:color w:val="auto"/>
          <w:sz w:val="24"/>
          <w:szCs w:val="24"/>
        </w:rPr>
        <w:t>3.3 投标有效期</w:t>
      </w:r>
      <w:bookmarkEnd w:id="32"/>
    </w:p>
    <w:p>
      <w:pPr>
        <w:pStyle w:val="3"/>
        <w:spacing w:line="400" w:lineRule="exact"/>
        <w:ind w:left="0" w:firstLine="480"/>
        <w:jc w:val="both"/>
        <w:rPr>
          <w:rFonts w:ascii="宋体" w:hAnsi="宋体" w:eastAsia="宋体" w:cs="宋体"/>
          <w:color w:val="auto"/>
          <w:sz w:val="24"/>
          <w:szCs w:val="24"/>
        </w:rPr>
      </w:pPr>
      <w:r>
        <w:rPr>
          <w:rFonts w:hint="eastAsia" w:ascii="宋体" w:hAnsi="宋体" w:eastAsia="宋体" w:cs="宋体"/>
          <w:color w:val="auto"/>
          <w:sz w:val="24"/>
          <w:szCs w:val="24"/>
        </w:rPr>
        <w:t>3.3.1见投标人须知前附表。</w:t>
      </w:r>
    </w:p>
    <w:p>
      <w:pPr>
        <w:pStyle w:val="3"/>
        <w:spacing w:before="39" w:line="400" w:lineRule="exact"/>
        <w:ind w:left="0" w:firstLine="480"/>
        <w:jc w:val="both"/>
        <w:rPr>
          <w:rFonts w:ascii="宋体" w:hAnsi="宋体" w:eastAsia="宋体" w:cs="宋体"/>
          <w:color w:val="auto"/>
          <w:sz w:val="24"/>
          <w:szCs w:val="24"/>
        </w:rPr>
      </w:pPr>
      <w:r>
        <w:rPr>
          <w:rFonts w:hint="eastAsia" w:ascii="宋体" w:hAnsi="宋体" w:eastAsia="宋体" w:cs="宋体"/>
          <w:color w:val="auto"/>
          <w:sz w:val="24"/>
          <w:szCs w:val="24"/>
        </w:rPr>
        <w:t>3.3.2 在投标有效期内，投标人撤销投标文件的，应承担招标文件和法律规定的责任。</w:t>
      </w:r>
    </w:p>
    <w:p>
      <w:pPr>
        <w:tabs>
          <w:tab w:val="left" w:pos="1260"/>
        </w:tabs>
        <w:autoSpaceDE w:val="0"/>
        <w:autoSpaceDN w:val="0"/>
        <w:adjustRightInd w:val="0"/>
        <w:spacing w:line="400" w:lineRule="exact"/>
        <w:ind w:firstLine="480"/>
        <w:jc w:val="both"/>
        <w:rPr>
          <w:rFonts w:ascii="宋体" w:hAnsi="宋体" w:eastAsia="宋体" w:cs="宋体"/>
          <w:color w:val="auto"/>
          <w:sz w:val="24"/>
          <w:szCs w:val="24"/>
        </w:rPr>
      </w:pPr>
      <w:r>
        <w:rPr>
          <w:rFonts w:hint="eastAsia" w:ascii="宋体" w:hAnsi="宋体" w:eastAsia="宋体" w:cs="宋体"/>
          <w:color w:val="auto"/>
          <w:sz w:val="24"/>
          <w:szCs w:val="24"/>
        </w:rPr>
        <w:t>3.3.3 出现特殊情况需要延长投标有效期的，招标人以书面形式通知所有投标人延长投标有效期。投标人应予以书面答复，同意延长的，应相应延长其投标保证金的有效期，但不得要求或被允许修改其投标文件；投标人拒绝延长的，其投标失效，但投标人有权收回其投标保证金及以现金或者支票形式递交的投标保证金的银行同期存款利息。</w:t>
      </w:r>
    </w:p>
    <w:p>
      <w:pPr>
        <w:tabs>
          <w:tab w:val="left" w:pos="1260"/>
        </w:tabs>
        <w:autoSpaceDE w:val="0"/>
        <w:autoSpaceDN w:val="0"/>
        <w:adjustRightInd w:val="0"/>
        <w:spacing w:line="400" w:lineRule="exact"/>
        <w:ind w:firstLine="0" w:firstLineChars="0"/>
        <w:jc w:val="both"/>
        <w:rPr>
          <w:rFonts w:ascii="宋体" w:hAnsi="宋体" w:eastAsia="宋体" w:cs="宋体"/>
          <w:b/>
          <w:bCs/>
          <w:color w:val="auto"/>
          <w:sz w:val="24"/>
          <w:szCs w:val="24"/>
        </w:rPr>
      </w:pPr>
      <w:bookmarkStart w:id="33" w:name="_Toc283559960"/>
      <w:r>
        <w:rPr>
          <w:rFonts w:hint="eastAsia" w:ascii="宋体" w:hAnsi="宋体" w:eastAsia="宋体" w:cs="宋体"/>
          <w:b/>
          <w:bCs/>
          <w:color w:val="auto"/>
          <w:sz w:val="24"/>
          <w:szCs w:val="24"/>
        </w:rPr>
        <w:t>3.4 投标保证金</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3.4.1 投标保证金的基本户备案：按《投标人须知前附表》规定。</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3.4.1.1 自招标文件发布之日起，投标人需进行基本户备案（建设工程项目），已备案的基本户开户银行、账户发生变化的，须重新办理备案手续。备案后方可提交投标（竞买）保证金。</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 xml:space="preserve">3.4.1.2 基本户备案流程： </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3.4.2 投标保证金缴纳：按《投标人须知前附表》第3.4.2条规定。</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lang w:val="zh-CN"/>
        </w:rPr>
        <w:t xml:space="preserve">3.4.2.1 投标保证金的递交方式：银行转帐、银行电汇（均需从投标人的基本账户汇出），不接受以现金方式缴纳的投标保证金。凡以现金方式缴纳投标保证金而影响其投标结果的，由投标人自行负责。 </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lang w:val="zh-CN"/>
        </w:rPr>
        <w:t>使用银行转帐方式的，于截止时间前通过投标人基本账户将款项一次足额递交、成功绑定，以收款人到账时间为准，在途资金无效，视为未按时交纳。同时投标人应承担节假日银行系统不能支付的风险。</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lang w:val="zh-CN"/>
        </w:rPr>
        <w:t>3.4.2.2 投标保证金缴纳方式：</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lang w:val="zh-CN"/>
        </w:rPr>
        <w:t>投标人网上报名后</w:t>
      </w:r>
      <w:r>
        <w:rPr>
          <w:rFonts w:hint="eastAsia" w:hAnsi="宋体" w:cs="宋体"/>
          <w:sz w:val="24"/>
        </w:rPr>
        <w:t>，</w:t>
      </w:r>
      <w:r>
        <w:rPr>
          <w:rFonts w:hint="eastAsia" w:hAnsi="宋体" w:cs="宋体"/>
          <w:sz w:val="24"/>
          <w:lang w:val="zh-CN"/>
        </w:rPr>
        <w:t>登录</w:t>
      </w:r>
      <w:r>
        <w:fldChar w:fldCharType="begin"/>
      </w:r>
      <w:r>
        <w:instrText xml:space="preserve"> HYPERLINK "http://221.14.6.70:8088/ggzy" </w:instrText>
      </w:r>
      <w:r>
        <w:fldChar w:fldCharType="separate"/>
      </w:r>
      <w:r>
        <w:rPr>
          <w:rFonts w:hint="eastAsia" w:hAnsi="宋体" w:cs="宋体"/>
          <w:sz w:val="24"/>
        </w:rPr>
        <w:t>http://221.14.6.70:8088/ggzy</w:t>
      </w:r>
      <w:r>
        <w:rPr>
          <w:rFonts w:hint="eastAsia" w:hAnsi="宋体" w:cs="宋体"/>
          <w:sz w:val="24"/>
        </w:rPr>
        <w:fldChar w:fldCharType="end"/>
      </w:r>
      <w:r>
        <w:rPr>
          <w:rFonts w:hint="eastAsia" w:hAnsi="宋体" w:cs="宋体"/>
          <w:sz w:val="24"/>
          <w:lang w:val="zh-CN"/>
        </w:rPr>
        <w:t>系统</w:t>
      </w:r>
      <w:r>
        <w:rPr>
          <w:rFonts w:hint="eastAsia" w:hAnsi="宋体" w:cs="宋体"/>
          <w:sz w:val="24"/>
        </w:rPr>
        <w:t>，</w:t>
      </w:r>
      <w:r>
        <w:rPr>
          <w:rFonts w:hint="eastAsia" w:hAnsi="宋体" w:cs="宋体"/>
          <w:sz w:val="24"/>
          <w:lang w:val="zh-CN"/>
        </w:rPr>
        <w:t>依次点击</w:t>
      </w:r>
      <w:r>
        <w:rPr>
          <w:rFonts w:hint="eastAsia" w:hAnsi="宋体" w:cs="宋体"/>
          <w:sz w:val="24"/>
        </w:rPr>
        <w:t>“</w:t>
      </w:r>
      <w:r>
        <w:rPr>
          <w:rFonts w:hint="eastAsia" w:hAnsi="宋体" w:cs="宋体"/>
          <w:sz w:val="24"/>
          <w:lang w:val="zh-CN"/>
        </w:rPr>
        <w:t>会员向导</w:t>
      </w:r>
      <w:r>
        <w:rPr>
          <w:rFonts w:hint="eastAsia" w:hAnsi="宋体" w:cs="宋体"/>
          <w:sz w:val="24"/>
        </w:rPr>
        <w:t>”→“</w:t>
      </w:r>
      <w:r>
        <w:rPr>
          <w:rFonts w:hint="eastAsia" w:hAnsi="宋体" w:cs="宋体"/>
          <w:sz w:val="24"/>
          <w:lang w:val="zh-CN"/>
        </w:rPr>
        <w:t>参与投标</w:t>
      </w:r>
      <w:r>
        <w:rPr>
          <w:rFonts w:hint="eastAsia" w:hAnsi="宋体" w:cs="宋体"/>
          <w:sz w:val="24"/>
        </w:rPr>
        <w:t>”→“</w:t>
      </w:r>
      <w:r>
        <w:rPr>
          <w:rFonts w:hint="eastAsia" w:hAnsi="宋体" w:cs="宋体"/>
          <w:sz w:val="24"/>
          <w:lang w:val="zh-CN"/>
        </w:rPr>
        <w:t>费用缴纳说明</w:t>
      </w:r>
      <w:r>
        <w:rPr>
          <w:rFonts w:hint="eastAsia" w:hAnsi="宋体" w:cs="宋体"/>
          <w:sz w:val="24"/>
        </w:rPr>
        <w:t>”→“</w:t>
      </w:r>
      <w:r>
        <w:rPr>
          <w:rFonts w:hint="eastAsia" w:hAnsi="宋体" w:cs="宋体"/>
          <w:sz w:val="24"/>
          <w:lang w:val="zh-CN"/>
        </w:rPr>
        <w:t>保证金缴纳说明单</w:t>
      </w:r>
      <w:r>
        <w:rPr>
          <w:rFonts w:hint="eastAsia" w:hAnsi="宋体" w:cs="宋体"/>
          <w:sz w:val="24"/>
        </w:rPr>
        <w:t>”，</w:t>
      </w:r>
      <w:r>
        <w:rPr>
          <w:rFonts w:hint="eastAsia" w:hAnsi="宋体" w:cs="宋体"/>
          <w:sz w:val="24"/>
          <w:lang w:val="zh-CN"/>
        </w:rPr>
        <w:t>获取缴费说明单</w:t>
      </w:r>
      <w:r>
        <w:rPr>
          <w:rFonts w:hint="eastAsia" w:hAnsi="宋体" w:cs="宋体"/>
          <w:sz w:val="24"/>
        </w:rPr>
        <w:t>，</w:t>
      </w:r>
      <w:r>
        <w:rPr>
          <w:rFonts w:hint="eastAsia" w:hAnsi="宋体" w:cs="宋体"/>
          <w:sz w:val="24"/>
          <w:lang w:val="zh-CN"/>
        </w:rPr>
        <w:t>根据每个标段的缴纳说明单在缴纳截止时间前缴纳</w:t>
      </w:r>
      <w:r>
        <w:rPr>
          <w:rFonts w:hint="eastAsia" w:hAnsi="宋体" w:cs="宋体"/>
          <w:sz w:val="24"/>
        </w:rPr>
        <w:t>；</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lang w:val="zh-CN"/>
        </w:rPr>
        <w:t>成功缴纳后重新登录前述系统</w:t>
      </w:r>
      <w:r>
        <w:rPr>
          <w:rFonts w:hint="eastAsia" w:hAnsi="宋体" w:cs="宋体"/>
          <w:sz w:val="24"/>
        </w:rPr>
        <w:t>，</w:t>
      </w:r>
      <w:r>
        <w:rPr>
          <w:rFonts w:hint="eastAsia" w:hAnsi="宋体" w:cs="宋体"/>
          <w:sz w:val="24"/>
          <w:lang w:val="zh-CN"/>
        </w:rPr>
        <w:t>依次点击</w:t>
      </w:r>
      <w:r>
        <w:rPr>
          <w:rFonts w:hint="eastAsia" w:hAnsi="宋体" w:cs="宋体"/>
          <w:sz w:val="24"/>
        </w:rPr>
        <w:t>“</w:t>
      </w:r>
      <w:r>
        <w:rPr>
          <w:rFonts w:hint="eastAsia" w:hAnsi="宋体" w:cs="宋体"/>
          <w:sz w:val="24"/>
          <w:lang w:val="zh-CN"/>
        </w:rPr>
        <w:t>会员向导</w:t>
      </w:r>
      <w:r>
        <w:rPr>
          <w:rFonts w:hint="eastAsia" w:hAnsi="宋体" w:cs="宋体"/>
          <w:sz w:val="24"/>
        </w:rPr>
        <w:t>”→“</w:t>
      </w:r>
      <w:r>
        <w:rPr>
          <w:rFonts w:hint="eastAsia" w:hAnsi="宋体" w:cs="宋体"/>
          <w:sz w:val="24"/>
          <w:lang w:val="zh-CN"/>
        </w:rPr>
        <w:t>参与投标</w:t>
      </w:r>
      <w:r>
        <w:rPr>
          <w:rFonts w:hint="eastAsia" w:hAnsi="宋体" w:cs="宋体"/>
          <w:sz w:val="24"/>
        </w:rPr>
        <w:t>”→“</w:t>
      </w:r>
      <w:r>
        <w:rPr>
          <w:rFonts w:hint="eastAsia" w:hAnsi="宋体" w:cs="宋体"/>
          <w:sz w:val="24"/>
          <w:lang w:val="zh-CN"/>
        </w:rPr>
        <w:t>保证金绑定</w:t>
      </w:r>
      <w:r>
        <w:rPr>
          <w:rFonts w:hint="eastAsia" w:hAnsi="宋体" w:cs="宋体"/>
          <w:sz w:val="24"/>
        </w:rPr>
        <w:t>”→“</w:t>
      </w:r>
      <w:r>
        <w:rPr>
          <w:rFonts w:hint="eastAsia" w:hAnsi="宋体" w:cs="宋体"/>
          <w:sz w:val="24"/>
          <w:lang w:val="zh-CN"/>
        </w:rPr>
        <w:t>绑定</w:t>
      </w:r>
      <w:r>
        <w:rPr>
          <w:rFonts w:hint="eastAsia" w:hAnsi="宋体" w:cs="宋体"/>
          <w:sz w:val="24"/>
        </w:rPr>
        <w:t>”</w:t>
      </w:r>
      <w:r>
        <w:rPr>
          <w:rFonts w:hint="eastAsia" w:hAnsi="宋体" w:cs="宋体"/>
          <w:sz w:val="24"/>
          <w:lang w:val="zh-CN"/>
        </w:rPr>
        <w:t>进行投标保证金绑定。</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lang w:val="zh-CN"/>
        </w:rPr>
        <w:t>3.4.2.3 每个投标人每个项目每个标段只有唯一缴纳账号，</w:t>
      </w:r>
      <w:r>
        <w:rPr>
          <w:rFonts w:hint="eastAsia" w:hAnsi="宋体" w:cs="宋体"/>
          <w:sz w:val="24"/>
        </w:rPr>
        <w:t>切勿重复缴纳或错误缴纳。</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lang w:val="zh-CN"/>
        </w:rPr>
        <w:t>3.4.2.4</w:t>
      </w:r>
      <w:r>
        <w:rPr>
          <w:rFonts w:hint="eastAsia" w:hAnsi="宋体" w:cs="宋体"/>
          <w:sz w:val="24"/>
        </w:rPr>
        <w:t>未按上述规定操作引起的无效投标，由投标人自行负责。</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lang w:val="zh-CN"/>
        </w:rPr>
        <w:t>3.4.2.5汇款凭证无须备注项目编号和项目名称。</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lang w:val="zh-CN"/>
        </w:rPr>
        <w:t xml:space="preserve">3.4.2.6 </w:t>
      </w:r>
      <w:r>
        <w:rPr>
          <w:rFonts w:hint="eastAsia" w:hAnsi="宋体" w:cs="宋体"/>
          <w:sz w:val="24"/>
        </w:rPr>
        <w:t>出现以下情形造成的投标保证金无效，由投标人自行负责。</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(1)投标保证金未从投标人的基本账户转出；</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(2)投标保证金未按照招标文件划分的标段转账。</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lang w:val="zh-CN"/>
        </w:rPr>
        <w:t>3.4.2.7 《保证金缴纳绑定操作指南》获取方法：</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lang w:val="zh-CN"/>
        </w:rPr>
        <w:t>登录许昌公共资源交易系统-组件下载-《保证金缴纳绑定操作指南》</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3.4.3 投标人不按本章第3.4.2项要求提交投标保证金的，拒收其投标文件。</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3.4.4 投标保证金的退还：</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（1）中标候选人公示期满后没有质疑或投诉的，退还非中标候选人投标保证金及银行同期存款利息；在书面合同签订后5日内向中标人和其他中标候选人退还投标保证金及银行同期存款利息。</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（2）法定期限内未签订书面合同的，按照有关规定向中标人和其他中标候选人退还投标保证金及银行同期活期存款利息。</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（3）项目废标或招标人终止招标的，在此后5个工作日内退还投标保证金及银行同期活期存利息。</w:t>
      </w:r>
      <w:r>
        <w:rPr>
          <w:rFonts w:hint="eastAsia" w:hAnsi="宋体" w:cs="宋体"/>
          <w:sz w:val="24"/>
        </w:rPr>
        <w:br w:type="textWrapping"/>
      </w:r>
      <w:r>
        <w:rPr>
          <w:rFonts w:hint="eastAsia" w:hAnsi="宋体" w:cs="宋体"/>
          <w:sz w:val="24"/>
        </w:rPr>
        <w:t xml:space="preserve">    （4）投标活动中出现质疑、投诉的，中标候选人、质疑人和被质疑人、投诉人和被投诉人的投标保证金暂停退还。</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（5）相关投标人有违法违规行为的项目，其投标保证金暂不退还，待行政监督部门对相关情况处置后，按照有关规定办理。</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（6）因投标人的原因无法及时退还投标（竞买）保证金、滞留三年以上的，投标（竞买）保证金上缴同级国库。</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（7）退还投标保证金，除另有规定外，一般以转账方式一次性退还至投标保证金的原提交账户。</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（8）特殊情况处理</w:t>
      </w:r>
    </w:p>
    <w:p>
      <w:pPr>
        <w:tabs>
          <w:tab w:val="left" w:pos="1260"/>
        </w:tabs>
        <w:autoSpaceDE w:val="0"/>
        <w:autoSpaceDN w:val="0"/>
        <w:adjustRightInd w:val="0"/>
        <w:spacing w:line="460" w:lineRule="exact"/>
        <w:ind w:firstLine="480" w:firstLineChars="200"/>
        <w:jc w:val="left"/>
        <w:rPr>
          <w:rFonts w:hAnsi="宋体" w:cs="宋体"/>
          <w:sz w:val="24"/>
          <w:szCs w:val="22"/>
        </w:rPr>
      </w:pPr>
      <w:r>
        <w:rPr>
          <w:rFonts w:hint="eastAsia" w:hAnsi="宋体" w:cs="宋体"/>
          <w:sz w:val="24"/>
        </w:rPr>
        <w:t>①投标人投标过程中因账户开户银行、银行账号发生变化，不能按照来款途径原路返还投标保证金的，投标人须提供原账户开户银行相关证明及新开账户开户许可证，到中心一楼交易见证部办理退款</w:t>
      </w:r>
      <w:r>
        <w:rPr>
          <w:rFonts w:hint="eastAsia" w:hAnsi="宋体" w:cs="宋体"/>
          <w:sz w:val="24"/>
          <w:szCs w:val="22"/>
        </w:rPr>
        <w:t>手续（0374-2968027）。</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szCs w:val="22"/>
        </w:rPr>
        <w:t>②投标截止后，确因投标人技术原因造成的投标文件无法解密、导入失败的，视为其撤销投标文件，投标保证金予以退还</w:t>
      </w:r>
      <w:r>
        <w:rPr>
          <w:rFonts w:hint="eastAsia" w:hAnsi="宋体" w:cs="宋体"/>
          <w:sz w:val="24"/>
        </w:rPr>
        <w:t>。</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3.4.5投标人有下列情形之一的，不予退还投标保证金：</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 xml:space="preserve">（1）在招标文件要求提交投标文件的截止时间后至投标文件有效期满前撤回投标的； </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 xml:space="preserve">（2）中标通知书发出后，中标人无故放弃中标项目或无正当理由在规定时间内不与招标人签订合同或未按招标文件规定提交履约担保的； </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 xml:space="preserve">（3）将中标项目转让给他人，或者在投标文件中未说明，且未经招标人同意，将中标项目分包给他人的； </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 xml:space="preserve"> （4）投标人在招投标活动中弄虚作假、围标串标、骗取中标等，并经招投标行政监督部门调查核实的； </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 xml:space="preserve"> （5）拒绝履行合同义务的；</w:t>
      </w:r>
    </w:p>
    <w:p>
      <w:pPr>
        <w:tabs>
          <w:tab w:val="left" w:pos="1260"/>
        </w:tabs>
        <w:autoSpaceDE w:val="0"/>
        <w:autoSpaceDN w:val="0"/>
        <w:adjustRightInd w:val="0"/>
        <w:spacing w:line="460" w:lineRule="exact"/>
        <w:ind w:firstLine="720" w:firstLineChars="300"/>
        <w:jc w:val="left"/>
        <w:rPr>
          <w:rFonts w:hAnsi="宋体" w:cs="宋体"/>
          <w:sz w:val="24"/>
          <w:lang w:val="zh-CN"/>
        </w:rPr>
      </w:pPr>
      <w:r>
        <w:rPr>
          <w:rFonts w:hint="eastAsia" w:hAnsi="宋体" w:cs="宋体"/>
          <w:sz w:val="24"/>
        </w:rPr>
        <w:t>（6）</w:t>
      </w:r>
      <w:r>
        <w:rPr>
          <w:rFonts w:hint="eastAsia" w:hAnsi="宋体" w:cs="宋体"/>
          <w:sz w:val="24"/>
          <w:lang w:val="zh-CN"/>
        </w:rPr>
        <w:t>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（7）相关法律、法规规定不予退还的其它情形</w:t>
      </w:r>
      <w:r>
        <w:rPr>
          <w:rFonts w:hint="eastAsia" w:hAnsi="宋体" w:cs="宋体"/>
          <w:sz w:val="24"/>
          <w:lang w:val="zh-CN"/>
        </w:rPr>
        <w:t>。</w:t>
      </w:r>
    </w:p>
    <w:p>
      <w:pPr>
        <w:autoSpaceDE w:val="0"/>
        <w:autoSpaceDN w:val="0"/>
        <w:spacing w:line="420" w:lineRule="exact"/>
        <w:jc w:val="left"/>
        <w:outlineLvl w:val="1"/>
        <w:rPr>
          <w:rFonts w:hint="eastAsia" w:hAnsi="宋体" w:eastAsia="宋体" w:cs="宋体"/>
          <w:b/>
          <w:bCs/>
          <w:sz w:val="28"/>
          <w:szCs w:val="24"/>
          <w:lang w:eastAsia="zh-CN"/>
        </w:rPr>
      </w:pPr>
      <w:r>
        <w:rPr>
          <w:rFonts w:hint="eastAsia" w:hAnsi="宋体" w:cs="宋体"/>
          <w:b/>
          <w:bCs/>
          <w:sz w:val="28"/>
          <w:szCs w:val="24"/>
        </w:rPr>
        <w:t>3.5 资格审查资料</w:t>
      </w:r>
      <w:r>
        <w:rPr>
          <w:rFonts w:hint="eastAsia" w:hAnsi="宋体" w:cs="宋体"/>
          <w:b/>
          <w:bCs/>
          <w:sz w:val="28"/>
          <w:szCs w:val="24"/>
          <w:lang w:eastAsia="zh-CN"/>
        </w:rPr>
        <w:t>（具体审查内容详见第三章评分办法）</w:t>
      </w:r>
    </w:p>
    <w:p>
      <w:pPr>
        <w:autoSpaceDE w:val="0"/>
        <w:autoSpaceDN w:val="0"/>
        <w:spacing w:line="440" w:lineRule="exact"/>
        <w:ind w:firstLine="480" w:firstLineChars="200"/>
        <w:jc w:val="left"/>
        <w:rPr>
          <w:rFonts w:hAnsi="宋体" w:cs="宋体"/>
          <w:sz w:val="24"/>
        </w:rPr>
      </w:pPr>
      <w:r>
        <w:rPr>
          <w:rFonts w:hint="eastAsia" w:hAnsi="宋体" w:cs="宋体"/>
          <w:sz w:val="24"/>
        </w:rPr>
        <w:t>3.5.1 “投标人基本情况表”应附投标人营业执照副本、资质证书副本等材料的原件扫描件（或图片）。</w:t>
      </w:r>
    </w:p>
    <w:p>
      <w:pPr>
        <w:autoSpaceDE w:val="0"/>
        <w:autoSpaceDN w:val="0"/>
        <w:spacing w:line="440" w:lineRule="exact"/>
        <w:ind w:firstLine="480" w:firstLineChars="200"/>
        <w:jc w:val="left"/>
        <w:rPr>
          <w:rFonts w:hAnsi="宋体" w:cs="宋体"/>
          <w:sz w:val="24"/>
        </w:rPr>
      </w:pPr>
      <w:r>
        <w:rPr>
          <w:rFonts w:hint="eastAsia" w:hAnsi="宋体" w:cs="宋体"/>
          <w:sz w:val="24"/>
        </w:rPr>
        <w:t>3.5.2 “近年财务状况表”应附经会计师事务所或审计机构审计的财务会计报表，包括资产负债表、现金流量表、利润表</w:t>
      </w:r>
      <w:r>
        <w:rPr>
          <w:rFonts w:hint="eastAsia" w:hAnsi="宋体" w:cs="宋体"/>
          <w:sz w:val="24"/>
          <w:lang w:eastAsia="zh-CN"/>
        </w:rPr>
        <w:t>等</w:t>
      </w:r>
      <w:r>
        <w:rPr>
          <w:rFonts w:hint="eastAsia" w:hAnsi="宋体" w:cs="宋体"/>
          <w:sz w:val="24"/>
        </w:rPr>
        <w:t>原件扫描件（或图片），具体年份要求见投标人须知前附表。</w:t>
      </w:r>
    </w:p>
    <w:p>
      <w:pPr>
        <w:autoSpaceDE w:val="0"/>
        <w:autoSpaceDN w:val="0"/>
        <w:spacing w:line="440" w:lineRule="exact"/>
        <w:jc w:val="left"/>
        <w:rPr>
          <w:rFonts w:hAnsi="宋体" w:cs="宋体"/>
          <w:sz w:val="24"/>
        </w:rPr>
      </w:pPr>
      <w:r>
        <w:rPr>
          <w:rFonts w:hint="eastAsia" w:hAnsi="宋体" w:cs="宋体"/>
          <w:sz w:val="24"/>
        </w:rPr>
        <w:t xml:space="preserve">    3.5.3 “近年完成的类似项目情况表”应附合同和中标通知书或合同和竣工验收备案登记表的原件扫描件（或图片），具体年份要求见投标人须知前附表。每张表格只填写一个项目，并标明序号。</w:t>
      </w:r>
    </w:p>
    <w:p>
      <w:pPr>
        <w:autoSpaceDE w:val="0"/>
        <w:autoSpaceDN w:val="0"/>
        <w:spacing w:line="440" w:lineRule="exact"/>
        <w:jc w:val="left"/>
        <w:rPr>
          <w:rFonts w:hAnsi="宋体" w:cs="宋体"/>
          <w:sz w:val="24"/>
        </w:rPr>
      </w:pPr>
      <w:r>
        <w:rPr>
          <w:rFonts w:hint="eastAsia" w:hAnsi="宋体" w:cs="宋体"/>
          <w:sz w:val="24"/>
        </w:rPr>
        <w:t xml:space="preserve">    3.5.4 “正在施工和新承接的项目情况表”应附中标通知书和合同协议书原件扫描件（或图片）。每张表格只填写一个项目，并标明序号。</w:t>
      </w:r>
    </w:p>
    <w:p>
      <w:pPr>
        <w:autoSpaceDE w:val="0"/>
        <w:autoSpaceDN w:val="0"/>
        <w:spacing w:line="400" w:lineRule="exact"/>
        <w:ind w:firstLine="0" w:firstLineChars="0"/>
        <w:rPr>
          <w:rFonts w:ascii="宋体" w:hAnsi="宋体" w:eastAsia="宋体" w:cs="宋体"/>
          <w:b/>
          <w:color w:val="auto"/>
          <w:sz w:val="24"/>
          <w:szCs w:val="24"/>
        </w:rPr>
      </w:pPr>
      <w:r>
        <w:rPr>
          <w:rFonts w:hint="eastAsia" w:ascii="宋体" w:hAnsi="宋体" w:eastAsia="宋体" w:cs="宋体"/>
          <w:b/>
          <w:color w:val="auto"/>
          <w:sz w:val="24"/>
          <w:szCs w:val="24"/>
        </w:rPr>
        <w:t xml:space="preserve">3.6 </w:t>
      </w:r>
      <w:bookmarkStart w:id="34" w:name="_Toc152045553"/>
      <w:bookmarkStart w:id="35" w:name="_Toc179632571"/>
      <w:bookmarkStart w:id="36" w:name="_Toc144974521"/>
      <w:bookmarkStart w:id="37" w:name="_Toc152042329"/>
      <w:r>
        <w:rPr>
          <w:rFonts w:hint="eastAsia" w:ascii="宋体" w:hAnsi="宋体" w:eastAsia="宋体" w:cs="宋体"/>
          <w:b/>
          <w:color w:val="auto"/>
          <w:sz w:val="24"/>
          <w:szCs w:val="24"/>
        </w:rPr>
        <w:t>备选投标方案（不允许）</w:t>
      </w:r>
    </w:p>
    <w:bookmarkEnd w:id="34"/>
    <w:bookmarkEnd w:id="35"/>
    <w:bookmarkEnd w:id="36"/>
    <w:bookmarkEnd w:id="37"/>
    <w:p>
      <w:pPr>
        <w:autoSpaceDE w:val="0"/>
        <w:autoSpaceDN w:val="0"/>
        <w:spacing w:line="400" w:lineRule="exact"/>
        <w:ind w:firstLine="480"/>
        <w:jc w:val="both"/>
        <w:outlineLvl w:val="0"/>
        <w:rPr>
          <w:rFonts w:ascii="宋体" w:hAnsi="宋体" w:eastAsia="宋体" w:cs="宋体"/>
          <w:color w:val="auto"/>
          <w:sz w:val="24"/>
        </w:rPr>
      </w:pPr>
      <w:r>
        <w:rPr>
          <w:rFonts w:hint="eastAsia" w:ascii="宋体" w:hAnsi="宋体" w:eastAsia="宋体" w:cs="宋体"/>
          <w:color w:val="auto"/>
          <w:sz w:val="24"/>
        </w:rPr>
        <w:t>3.6.1 除投标人须知前附表规定允许外，投标人不得递交备选投标方案，否则其投标将被否决。</w:t>
      </w:r>
    </w:p>
    <w:p>
      <w:pPr>
        <w:autoSpaceDE w:val="0"/>
        <w:autoSpaceDN w:val="0"/>
        <w:spacing w:line="400" w:lineRule="exact"/>
        <w:ind w:firstLine="480"/>
        <w:jc w:val="both"/>
        <w:outlineLvl w:val="0"/>
        <w:rPr>
          <w:rFonts w:ascii="宋体" w:hAnsi="宋体" w:eastAsia="宋体" w:cs="宋体"/>
          <w:color w:val="auto"/>
          <w:sz w:val="24"/>
        </w:rPr>
      </w:pPr>
      <w:r>
        <w:rPr>
          <w:rFonts w:hint="eastAsia" w:ascii="宋体" w:hAnsi="宋体" w:eastAsia="宋体" w:cs="宋体"/>
          <w:color w:val="auto"/>
          <w:sz w:val="24"/>
        </w:rPr>
        <w:t>3.6.2  允许投标人递交备选投标方案的，只有中标人所递交的备选投标方案方可予以考虑。评标委员会认为中标人的备选投标方案优于其按照招标文件要求编制的投标方案的，招标人可以接受该备选投标方案。</w:t>
      </w:r>
    </w:p>
    <w:p>
      <w:pPr>
        <w:autoSpaceDE w:val="0"/>
        <w:autoSpaceDN w:val="0"/>
        <w:spacing w:line="400" w:lineRule="exact"/>
        <w:ind w:firstLine="480"/>
        <w:jc w:val="both"/>
        <w:outlineLvl w:val="0"/>
        <w:rPr>
          <w:rFonts w:ascii="宋体" w:hAnsi="宋体" w:eastAsia="宋体" w:cs="宋体"/>
          <w:color w:val="auto"/>
          <w:sz w:val="24"/>
        </w:rPr>
      </w:pPr>
      <w:r>
        <w:rPr>
          <w:rFonts w:hint="eastAsia" w:ascii="宋体" w:hAnsi="宋体" w:eastAsia="宋体" w:cs="宋体"/>
          <w:color w:val="auto"/>
          <w:sz w:val="24"/>
        </w:rPr>
        <w:t>3.6.3 投标人提供两个或两个以上投标报价，或者在投标文件中提供一个报价，但同时提供两个或两个以上供货方案的，视为提供备选方案。</w:t>
      </w:r>
    </w:p>
    <w:p>
      <w:pPr>
        <w:autoSpaceDE w:val="0"/>
        <w:autoSpaceDN w:val="0"/>
        <w:spacing w:line="400" w:lineRule="exact"/>
        <w:ind w:firstLine="0" w:firstLineChars="0"/>
        <w:outlineLvl w:val="0"/>
        <w:rPr>
          <w:rFonts w:ascii="宋体" w:hAnsi="宋体" w:eastAsia="宋体" w:cs="宋体"/>
          <w:b/>
          <w:color w:val="auto"/>
          <w:sz w:val="24"/>
          <w:szCs w:val="24"/>
        </w:rPr>
      </w:pPr>
      <w:r>
        <w:rPr>
          <w:rFonts w:hint="eastAsia" w:ascii="宋体" w:hAnsi="宋体" w:eastAsia="宋体" w:cs="宋体"/>
          <w:b/>
          <w:color w:val="auto"/>
          <w:sz w:val="24"/>
          <w:szCs w:val="24"/>
        </w:rPr>
        <w:t>3.7 投标文件的编制</w:t>
      </w:r>
      <w:bookmarkEnd w:id="33"/>
    </w:p>
    <w:p>
      <w:pPr>
        <w:widowControl/>
        <w:autoSpaceDE w:val="0"/>
        <w:autoSpaceDN w:val="0"/>
        <w:adjustRightInd w:val="0"/>
        <w:spacing w:line="400" w:lineRule="exact"/>
        <w:ind w:firstLine="480"/>
        <w:jc w:val="both"/>
        <w:rPr>
          <w:rFonts w:ascii="宋体" w:hAnsi="宋体" w:eastAsia="宋体" w:cs="宋体"/>
          <w:bCs/>
          <w:color w:val="auto"/>
          <w:sz w:val="24"/>
        </w:rPr>
      </w:pPr>
      <w:bookmarkStart w:id="38" w:name="_Toc283559961"/>
      <w:r>
        <w:rPr>
          <w:rFonts w:hint="eastAsia" w:ascii="宋体" w:hAnsi="宋体" w:eastAsia="宋体" w:cs="宋体"/>
          <w:bCs/>
          <w:color w:val="auto"/>
          <w:sz w:val="24"/>
        </w:rPr>
        <w:t>3.7.1 投标文件应按第六章“投标文件格式”进行编写，如有必要，可以增加附页，作为投标文件的组成部分。</w:t>
      </w:r>
    </w:p>
    <w:p>
      <w:pPr>
        <w:widowControl/>
        <w:autoSpaceDE w:val="0"/>
        <w:autoSpaceDN w:val="0"/>
        <w:adjustRightInd w:val="0"/>
        <w:spacing w:line="400" w:lineRule="exact"/>
        <w:ind w:firstLine="480"/>
        <w:jc w:val="both"/>
        <w:rPr>
          <w:rFonts w:ascii="宋体" w:hAnsi="宋体" w:eastAsia="宋体" w:cs="宋体"/>
          <w:bCs/>
          <w:color w:val="auto"/>
          <w:sz w:val="24"/>
        </w:rPr>
      </w:pPr>
      <w:r>
        <w:rPr>
          <w:rFonts w:hint="eastAsia" w:ascii="宋体" w:hAnsi="宋体" w:eastAsia="宋体" w:cs="宋体"/>
          <w:bCs/>
          <w:color w:val="auto"/>
          <w:sz w:val="24"/>
        </w:rPr>
        <w:t>3.7.2 投标文件应当对招标文件有关服务期限、投标有效期、发包人要求、招标范围等实质性内容作出响应。投标文件在满足招标文件实质性要求的基础上，可以提出比招标文件要求更有利于招标人的承诺。</w:t>
      </w:r>
    </w:p>
    <w:p>
      <w:pPr>
        <w:autoSpaceDE w:val="0"/>
        <w:autoSpaceDN w:val="0"/>
        <w:adjustRightInd w:val="0"/>
        <w:spacing w:line="460" w:lineRule="exact"/>
        <w:ind w:firstLine="480" w:firstLineChars="200"/>
        <w:jc w:val="left"/>
        <w:rPr>
          <w:rFonts w:hAnsi="宋体" w:cs="宋体"/>
          <w:sz w:val="24"/>
        </w:rPr>
      </w:pPr>
      <w:r>
        <w:rPr>
          <w:rFonts w:hint="eastAsia" w:hAnsi="宋体" w:cs="宋体"/>
          <w:sz w:val="24"/>
        </w:rPr>
        <w:t>3.7.</w:t>
      </w:r>
      <w:r>
        <w:rPr>
          <w:rFonts w:hint="eastAsia" w:hAnsi="宋体" w:cs="宋体"/>
          <w:sz w:val="24"/>
          <w:lang w:val="en-US" w:eastAsia="zh-CN"/>
        </w:rPr>
        <w:t>3</w:t>
      </w:r>
      <w:r>
        <w:rPr>
          <w:rFonts w:hint="eastAsia" w:hAnsi="宋体" w:cs="宋体"/>
          <w:sz w:val="24"/>
        </w:rPr>
        <w:t xml:space="preserve"> 投标人登录许昌公共资源交易系统下载“许昌投标文件制作系统SEARUN V1.</w:t>
      </w:r>
      <w:r>
        <w:rPr>
          <w:rFonts w:hint="eastAsia" w:hAnsi="宋体" w:cs="宋体"/>
          <w:sz w:val="24"/>
          <w:lang w:val="en-US" w:eastAsia="zh-CN"/>
        </w:rPr>
        <w:t>1</w:t>
      </w:r>
      <w:r>
        <w:rPr>
          <w:rFonts w:hint="eastAsia" w:hAnsi="宋体" w:cs="宋体"/>
          <w:sz w:val="24"/>
        </w:rPr>
        <w:t>”，按招标文件要求制作电子投标文件（包括含工程量清单的商务标投标文件）。</w:t>
      </w:r>
    </w:p>
    <w:p>
      <w:pPr>
        <w:pStyle w:val="94"/>
        <w:spacing w:line="400" w:lineRule="exact"/>
        <w:ind w:firstLine="480" w:firstLineChars="200"/>
        <w:jc w:val="both"/>
        <w:outlineLvl w:val="0"/>
        <w:rPr>
          <w:rFonts w:hint="eastAsia"/>
          <w:b w:val="0"/>
          <w:bCs/>
          <w:color w:val="auto"/>
        </w:rPr>
      </w:pPr>
      <w:r>
        <w:rPr>
          <w:rFonts w:hint="eastAsia"/>
          <w:b w:val="0"/>
          <w:bCs/>
          <w:color w:val="auto"/>
        </w:rPr>
        <w:t>3.7.</w:t>
      </w:r>
      <w:r>
        <w:rPr>
          <w:rFonts w:hint="eastAsia"/>
          <w:b w:val="0"/>
          <w:bCs/>
          <w:color w:val="auto"/>
          <w:lang w:val="en-US" w:eastAsia="zh-CN"/>
        </w:rPr>
        <w:t>4</w:t>
      </w:r>
      <w:r>
        <w:rPr>
          <w:rFonts w:hint="eastAsia"/>
          <w:b w:val="0"/>
          <w:bCs/>
          <w:color w:val="auto"/>
        </w:rPr>
        <w:t>使用电子介质存储的备份文件1份。</w:t>
      </w:r>
    </w:p>
    <w:p>
      <w:pPr>
        <w:autoSpaceDE w:val="0"/>
        <w:autoSpaceDN w:val="0"/>
        <w:spacing w:line="440" w:lineRule="exact"/>
        <w:jc w:val="left"/>
        <w:rPr>
          <w:rFonts w:hAnsi="宋体" w:cs="宋体"/>
          <w:b/>
          <w:sz w:val="24"/>
        </w:rPr>
      </w:pPr>
      <w:r>
        <w:rPr>
          <w:rFonts w:hint="eastAsia" w:hAnsi="宋体" w:cs="宋体"/>
          <w:b/>
          <w:sz w:val="24"/>
        </w:rPr>
        <w:t>3.7.</w:t>
      </w:r>
      <w:r>
        <w:rPr>
          <w:rFonts w:hint="eastAsia" w:hAnsi="宋体" w:cs="宋体"/>
          <w:b/>
          <w:sz w:val="24"/>
          <w:lang w:val="en-US" w:eastAsia="zh-CN"/>
        </w:rPr>
        <w:t>5</w:t>
      </w:r>
      <w:r>
        <w:rPr>
          <w:rFonts w:hint="eastAsia" w:hAnsi="宋体" w:cs="宋体"/>
          <w:b/>
          <w:sz w:val="24"/>
        </w:rPr>
        <w:t xml:space="preserve"> 商务标投标文件制作注意事项：</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w:t>
      </w:r>
      <w:r>
        <w:rPr>
          <w:rFonts w:hint="eastAsia" w:hAnsi="宋体" w:cs="宋体"/>
          <w:sz w:val="24"/>
          <w:lang w:val="en-US" w:eastAsia="zh-CN"/>
        </w:rPr>
        <w:t>5</w:t>
      </w:r>
      <w:r>
        <w:rPr>
          <w:rFonts w:hint="eastAsia" w:hAnsi="宋体" w:cs="宋体"/>
          <w:sz w:val="24"/>
        </w:rPr>
        <w:t>.1 投标人登录【全国公共资源交易平台（河南省·许昌市）】公共资源交易系统下载“许昌投标文件制作系统SEARUN V1.</w:t>
      </w:r>
      <w:r>
        <w:rPr>
          <w:rFonts w:hint="eastAsia" w:hAnsi="宋体" w:cs="宋体"/>
          <w:sz w:val="24"/>
          <w:lang w:val="en-US" w:eastAsia="zh-CN"/>
        </w:rPr>
        <w:t>1</w:t>
      </w:r>
      <w:r>
        <w:rPr>
          <w:rFonts w:hint="eastAsia" w:hAnsi="宋体" w:cs="宋体"/>
          <w:sz w:val="24"/>
        </w:rPr>
        <w:t>” 和操作手册（工程项目），按招标文件要求制作商务标投标文件。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w:t>
      </w:r>
      <w:r>
        <w:rPr>
          <w:rFonts w:hint="eastAsia" w:hAnsi="宋体" w:cs="宋体"/>
          <w:sz w:val="24"/>
          <w:lang w:val="en-US" w:eastAsia="zh-CN"/>
        </w:rPr>
        <w:t>5</w:t>
      </w:r>
      <w:r>
        <w:rPr>
          <w:rFonts w:hint="eastAsia" w:hAnsi="宋体" w:cs="宋体"/>
          <w:sz w:val="24"/>
        </w:rPr>
        <w:t>.2 商务标投标文件制作技术咨询：0374-2961598。</w:t>
      </w:r>
    </w:p>
    <w:p>
      <w:pPr>
        <w:autoSpaceDE w:val="0"/>
        <w:autoSpaceDN w:val="0"/>
        <w:spacing w:line="400" w:lineRule="exact"/>
        <w:outlineLvl w:val="0"/>
        <w:rPr>
          <w:rFonts w:hint="eastAsia"/>
          <w:b/>
          <w:color w:val="auto"/>
          <w:sz w:val="24"/>
          <w:szCs w:val="28"/>
        </w:rPr>
      </w:pPr>
      <w:r>
        <w:rPr>
          <w:rFonts w:hint="eastAsia"/>
          <w:b/>
          <w:color w:val="auto"/>
          <w:sz w:val="24"/>
          <w:szCs w:val="28"/>
        </w:rPr>
        <w:t>4</w:t>
      </w:r>
      <w:bookmarkEnd w:id="38"/>
      <w:bookmarkStart w:id="39" w:name="_Toc283559963"/>
      <w:r>
        <w:rPr>
          <w:rFonts w:hint="eastAsia"/>
          <w:b/>
          <w:color w:val="auto"/>
          <w:sz w:val="24"/>
          <w:szCs w:val="28"/>
        </w:rPr>
        <w:t>. 投标</w:t>
      </w:r>
    </w:p>
    <w:p>
      <w:pPr>
        <w:autoSpaceDE w:val="0"/>
        <w:autoSpaceDN w:val="0"/>
        <w:spacing w:line="400" w:lineRule="exact"/>
        <w:ind w:firstLine="480"/>
        <w:outlineLvl w:val="0"/>
        <w:rPr>
          <w:rFonts w:hint="eastAsia"/>
          <w:b/>
          <w:color w:val="auto"/>
          <w:sz w:val="24"/>
          <w:szCs w:val="28"/>
        </w:rPr>
      </w:pPr>
      <w:bookmarkStart w:id="40" w:name="_Toc283559962"/>
      <w:r>
        <w:rPr>
          <w:rFonts w:hint="eastAsia"/>
          <w:b/>
          <w:color w:val="auto"/>
          <w:sz w:val="24"/>
          <w:szCs w:val="28"/>
        </w:rPr>
        <w:t>4.1 投标文件的密封和标记</w:t>
      </w:r>
      <w:bookmarkEnd w:id="40"/>
    </w:p>
    <w:p>
      <w:pPr>
        <w:autoSpaceDE w:val="0"/>
        <w:autoSpaceDN w:val="0"/>
        <w:spacing w:line="400" w:lineRule="exact"/>
        <w:ind w:firstLine="480"/>
        <w:outlineLvl w:val="0"/>
        <w:rPr>
          <w:rFonts w:hint="eastAsia"/>
          <w:b/>
          <w:color w:val="auto"/>
          <w:sz w:val="24"/>
          <w:szCs w:val="28"/>
        </w:rPr>
      </w:pPr>
      <w:r>
        <w:rPr>
          <w:rFonts w:hint="eastAsia"/>
          <w:b/>
          <w:color w:val="auto"/>
          <w:sz w:val="24"/>
          <w:szCs w:val="28"/>
        </w:rPr>
        <w:t>4.1.1 使用电子介质存储的投标文件应单独密封，并加盖单位公章。</w:t>
      </w:r>
    </w:p>
    <w:p>
      <w:pPr>
        <w:autoSpaceDE w:val="0"/>
        <w:autoSpaceDN w:val="0"/>
        <w:spacing w:line="400" w:lineRule="exact"/>
        <w:ind w:firstLine="480"/>
        <w:outlineLvl w:val="0"/>
        <w:rPr>
          <w:rFonts w:hint="eastAsia"/>
          <w:b/>
          <w:color w:val="auto"/>
          <w:sz w:val="24"/>
          <w:szCs w:val="28"/>
        </w:rPr>
      </w:pPr>
      <w:r>
        <w:rPr>
          <w:rFonts w:hint="eastAsia"/>
          <w:b/>
          <w:color w:val="auto"/>
          <w:sz w:val="24"/>
          <w:szCs w:val="28"/>
        </w:rPr>
        <w:t>4.1.2 未按本章第4.1.1项要求密封和加写标记的电子介质存储的投标文件，招标人不予受理。</w:t>
      </w:r>
    </w:p>
    <w:bookmarkEnd w:id="39"/>
    <w:p>
      <w:pPr>
        <w:autoSpaceDE w:val="0"/>
        <w:autoSpaceDN w:val="0"/>
        <w:spacing w:line="440" w:lineRule="exact"/>
        <w:jc w:val="left"/>
        <w:outlineLvl w:val="0"/>
        <w:rPr>
          <w:rFonts w:hAnsi="宋体" w:cs="宋体"/>
          <w:b/>
          <w:sz w:val="24"/>
        </w:rPr>
      </w:pPr>
      <w:r>
        <w:rPr>
          <w:rFonts w:hAnsi="宋体" w:cs="宋体"/>
          <w:b/>
          <w:sz w:val="24"/>
        </w:rPr>
        <w:t xml:space="preserve">4.2 </w:t>
      </w:r>
      <w:r>
        <w:rPr>
          <w:rFonts w:hint="eastAsia" w:hAnsi="宋体" w:cs="宋体"/>
          <w:b/>
          <w:sz w:val="24"/>
        </w:rPr>
        <w:t>投标文件的提交</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4.2.1 投标人应在投标人须知前附表中规定的投标截止时间前成功上传电子投标文件和现场提交电子介质存储的投标文件。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4.2.2 投标人提交电子介质存储的投标文件地点：见投标人须知前附表。</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4.2.3 除投标人须知前附表另有规定外，投标人所提交的电子投标文件、电子介质存储的投标文件不予退还。</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4.2.4 逾期送达的或者未送达指定地点的电子介质存储的投标文件，招标人不予受理。</w:t>
      </w:r>
    </w:p>
    <w:p>
      <w:pPr>
        <w:spacing w:line="400" w:lineRule="exact"/>
        <w:ind w:firstLine="482"/>
        <w:rPr>
          <w:rFonts w:ascii="宋体" w:hAnsi="宋体" w:eastAsia="宋体" w:cs="宋体"/>
          <w:b/>
          <w:color w:val="auto"/>
          <w:sz w:val="24"/>
          <w:szCs w:val="24"/>
        </w:rPr>
      </w:pPr>
      <w:r>
        <w:rPr>
          <w:rFonts w:hint="eastAsia" w:ascii="宋体" w:hAnsi="宋体" w:eastAsia="宋体" w:cs="宋体"/>
          <w:b/>
          <w:color w:val="auto"/>
          <w:sz w:val="24"/>
          <w:szCs w:val="24"/>
        </w:rPr>
        <w:t>4.2.4 出现以下情况，招标人不予受理：</w:t>
      </w:r>
    </w:p>
    <w:p>
      <w:pPr>
        <w:autoSpaceDE w:val="0"/>
        <w:autoSpaceDN w:val="0"/>
        <w:spacing w:line="400" w:lineRule="exact"/>
        <w:ind w:firstLine="480"/>
        <w:outlineLvl w:val="0"/>
        <w:rPr>
          <w:rFonts w:ascii="宋体" w:hAnsi="宋体" w:eastAsia="宋体" w:cs="宋体"/>
          <w:color w:val="auto"/>
          <w:sz w:val="24"/>
          <w:szCs w:val="24"/>
        </w:rPr>
      </w:pPr>
      <w:r>
        <w:rPr>
          <w:rFonts w:hint="eastAsia" w:ascii="宋体" w:hAnsi="宋体" w:eastAsia="宋体" w:cs="宋体"/>
          <w:color w:val="auto"/>
          <w:sz w:val="24"/>
          <w:szCs w:val="24"/>
        </w:rPr>
        <w:t>4.2.4.1 法定代表人未携带身份证明原件或委托代理人未携带委托书原件和身份证明原件在规定的时间出席开标现场的，其投标文件将被拒收。</w:t>
      </w:r>
    </w:p>
    <w:p>
      <w:pPr>
        <w:autoSpaceDE w:val="0"/>
        <w:autoSpaceDN w:val="0"/>
        <w:spacing w:line="400" w:lineRule="exact"/>
        <w:ind w:firstLine="480"/>
        <w:outlineLvl w:val="0"/>
        <w:rPr>
          <w:rFonts w:ascii="宋体" w:hAnsi="宋体" w:eastAsia="宋体" w:cs="宋体"/>
          <w:color w:val="auto"/>
          <w:sz w:val="24"/>
          <w:szCs w:val="24"/>
        </w:rPr>
      </w:pPr>
      <w:r>
        <w:rPr>
          <w:rFonts w:hint="eastAsia" w:ascii="宋体" w:hAnsi="宋体" w:eastAsia="宋体" w:cs="宋体"/>
          <w:color w:val="auto"/>
          <w:sz w:val="24"/>
          <w:szCs w:val="24"/>
        </w:rPr>
        <w:t>4.2.4.2 投标文件未按要求密封的，其投标文件将被拒收。</w:t>
      </w:r>
    </w:p>
    <w:p>
      <w:pPr>
        <w:autoSpaceDE w:val="0"/>
        <w:autoSpaceDN w:val="0"/>
        <w:spacing w:line="400" w:lineRule="exact"/>
        <w:ind w:firstLine="480"/>
        <w:outlineLvl w:val="0"/>
        <w:rPr>
          <w:rFonts w:ascii="宋体" w:hAnsi="宋体" w:eastAsia="宋体" w:cs="宋体"/>
          <w:color w:val="auto"/>
          <w:sz w:val="24"/>
          <w:szCs w:val="24"/>
        </w:rPr>
      </w:pPr>
      <w:r>
        <w:rPr>
          <w:rFonts w:hint="eastAsia" w:ascii="宋体" w:hAnsi="宋体" w:eastAsia="宋体" w:cs="宋体"/>
          <w:color w:val="auto"/>
          <w:sz w:val="24"/>
          <w:szCs w:val="24"/>
        </w:rPr>
        <w:t>4.2.4.3 逾期送达的或者未送达指定地点的投标文件将被拒收。</w:t>
      </w:r>
    </w:p>
    <w:p>
      <w:pPr>
        <w:autoSpaceDE w:val="0"/>
        <w:autoSpaceDN w:val="0"/>
        <w:spacing w:line="400" w:lineRule="exact"/>
        <w:ind w:firstLine="0" w:firstLineChars="0"/>
        <w:outlineLvl w:val="0"/>
        <w:rPr>
          <w:rFonts w:ascii="宋体" w:hAnsi="宋体" w:eastAsia="宋体" w:cs="宋体"/>
          <w:b/>
          <w:color w:val="auto"/>
          <w:sz w:val="24"/>
          <w:szCs w:val="24"/>
        </w:rPr>
      </w:pPr>
      <w:bookmarkStart w:id="41" w:name="_Toc283559964"/>
      <w:r>
        <w:rPr>
          <w:rFonts w:hint="eastAsia" w:ascii="宋体" w:hAnsi="宋体" w:eastAsia="宋体" w:cs="宋体"/>
          <w:b/>
          <w:color w:val="auto"/>
          <w:sz w:val="24"/>
          <w:szCs w:val="24"/>
        </w:rPr>
        <w:t>4.3 投标文件的修改与撤回</w:t>
      </w:r>
      <w:bookmarkEnd w:id="41"/>
    </w:p>
    <w:p>
      <w:pPr>
        <w:autoSpaceDE w:val="0"/>
        <w:autoSpaceDN w:val="0"/>
        <w:spacing w:line="400" w:lineRule="exact"/>
        <w:ind w:firstLine="480"/>
        <w:jc w:val="both"/>
        <w:outlineLvl w:val="0"/>
        <w:rPr>
          <w:rFonts w:ascii="宋体" w:hAnsi="宋体" w:eastAsia="宋体" w:cs="宋体"/>
          <w:color w:val="auto"/>
          <w:sz w:val="24"/>
          <w:szCs w:val="24"/>
        </w:rPr>
      </w:pPr>
      <w:r>
        <w:rPr>
          <w:rFonts w:hint="eastAsia" w:ascii="宋体" w:hAnsi="宋体" w:eastAsia="宋体" w:cs="宋体"/>
          <w:color w:val="auto"/>
          <w:sz w:val="24"/>
          <w:szCs w:val="24"/>
        </w:rPr>
        <w:t>4.3.1 在本章第 4.2.1 项规定的投标截止时间前，投标人可以修改或撤回已递交的投标文件，但应以书面形式通知招标人。</w:t>
      </w:r>
    </w:p>
    <w:p>
      <w:pPr>
        <w:autoSpaceDE w:val="0"/>
        <w:autoSpaceDN w:val="0"/>
        <w:spacing w:line="400" w:lineRule="exact"/>
        <w:ind w:firstLine="480"/>
        <w:jc w:val="both"/>
        <w:outlineLvl w:val="0"/>
        <w:rPr>
          <w:rFonts w:ascii="宋体" w:hAnsi="宋体" w:eastAsia="宋体" w:cs="宋体"/>
          <w:color w:val="auto"/>
          <w:sz w:val="24"/>
          <w:szCs w:val="24"/>
        </w:rPr>
      </w:pPr>
      <w:r>
        <w:rPr>
          <w:rFonts w:hint="eastAsia" w:ascii="宋体" w:hAnsi="宋体" w:eastAsia="宋体" w:cs="宋体"/>
          <w:color w:val="auto"/>
          <w:sz w:val="24"/>
          <w:szCs w:val="24"/>
        </w:rPr>
        <w:t>4.3.2 投标人修改或撤回已递交投标文件的书面通知应按照本章第 3.7.3项的要求签字或盖章。招标人收到书面通知后，向投标人出具签收凭证。</w:t>
      </w:r>
    </w:p>
    <w:p>
      <w:pPr>
        <w:autoSpaceDE w:val="0"/>
        <w:autoSpaceDN w:val="0"/>
        <w:spacing w:line="400" w:lineRule="exact"/>
        <w:ind w:firstLine="480"/>
        <w:jc w:val="both"/>
        <w:outlineLvl w:val="0"/>
        <w:rPr>
          <w:rFonts w:ascii="宋体" w:hAnsi="宋体" w:eastAsia="宋体" w:cs="宋体"/>
          <w:color w:val="auto"/>
          <w:sz w:val="24"/>
          <w:szCs w:val="24"/>
        </w:rPr>
      </w:pPr>
      <w:r>
        <w:rPr>
          <w:rFonts w:hint="eastAsia" w:ascii="宋体" w:hAnsi="宋体" w:eastAsia="宋体" w:cs="宋体"/>
          <w:color w:val="auto"/>
          <w:sz w:val="24"/>
          <w:szCs w:val="24"/>
        </w:rPr>
        <w:t>4.3.3 投标人撤回投标文件的，招标人自收到投标人书面撤回通知之日起 5 日内退还已收取的投标保证金。</w:t>
      </w:r>
    </w:p>
    <w:p>
      <w:pPr>
        <w:autoSpaceDE w:val="0"/>
        <w:autoSpaceDN w:val="0"/>
        <w:spacing w:line="400" w:lineRule="exact"/>
        <w:ind w:firstLine="480"/>
        <w:jc w:val="both"/>
        <w:outlineLvl w:val="0"/>
        <w:rPr>
          <w:rFonts w:ascii="宋体" w:hAnsi="宋体" w:eastAsia="宋体" w:cs="宋体"/>
          <w:color w:val="auto"/>
          <w:sz w:val="24"/>
          <w:szCs w:val="24"/>
        </w:rPr>
      </w:pPr>
      <w:r>
        <w:rPr>
          <w:rFonts w:hint="eastAsia" w:ascii="宋体" w:hAnsi="宋体" w:eastAsia="宋体" w:cs="宋体"/>
          <w:color w:val="auto"/>
          <w:sz w:val="24"/>
          <w:szCs w:val="24"/>
        </w:rPr>
        <w:t>4.3.4 修改的内容为投标文件的组成部分。修改的投标文件应按照本章第 3 条、第 4 条的规 定进行编制、密封、标记和递交，并标明“修改”字样。</w:t>
      </w:r>
    </w:p>
    <w:p>
      <w:pPr>
        <w:pStyle w:val="94"/>
        <w:spacing w:line="400" w:lineRule="exact"/>
        <w:jc w:val="both"/>
        <w:outlineLvl w:val="0"/>
        <w:rPr>
          <w:b/>
          <w:color w:val="auto"/>
        </w:rPr>
      </w:pPr>
      <w:bookmarkStart w:id="42" w:name="_Toc283559967"/>
      <w:r>
        <w:rPr>
          <w:rFonts w:hint="eastAsia"/>
          <w:b/>
          <w:color w:val="auto"/>
        </w:rPr>
        <w:t>5. 开标</w:t>
      </w:r>
      <w:bookmarkEnd w:id="42"/>
    </w:p>
    <w:p>
      <w:pPr>
        <w:autoSpaceDE w:val="0"/>
        <w:autoSpaceDN w:val="0"/>
        <w:adjustRightInd w:val="0"/>
        <w:spacing w:line="400" w:lineRule="exact"/>
        <w:ind w:firstLine="0" w:firstLineChars="0"/>
        <w:outlineLvl w:val="0"/>
        <w:rPr>
          <w:rFonts w:ascii="宋体" w:hAnsi="宋体" w:eastAsia="宋体" w:cs="宋体"/>
          <w:b/>
          <w:color w:val="auto"/>
          <w:sz w:val="24"/>
          <w:szCs w:val="24"/>
        </w:rPr>
      </w:pPr>
      <w:bookmarkStart w:id="43" w:name="_Toc283559968"/>
      <w:r>
        <w:rPr>
          <w:rFonts w:hint="eastAsia" w:ascii="宋体" w:hAnsi="宋体" w:eastAsia="宋体" w:cs="宋体"/>
          <w:b/>
          <w:color w:val="auto"/>
          <w:sz w:val="24"/>
          <w:szCs w:val="24"/>
        </w:rPr>
        <w:t>5.1 开标时间和地点</w:t>
      </w:r>
      <w:bookmarkEnd w:id="43"/>
    </w:p>
    <w:p>
      <w:pPr>
        <w:spacing w:line="400" w:lineRule="exact"/>
        <w:ind w:firstLine="480"/>
        <w:jc w:val="both"/>
        <w:rPr>
          <w:rFonts w:ascii="宋体" w:hAnsi="宋体" w:eastAsia="宋体" w:cs="宋体"/>
          <w:color w:val="auto"/>
          <w:sz w:val="24"/>
          <w:szCs w:val="24"/>
        </w:rPr>
      </w:pPr>
      <w:r>
        <w:rPr>
          <w:rFonts w:hint="eastAsia" w:ascii="宋体" w:hAnsi="宋体" w:eastAsia="宋体" w:cs="宋体"/>
          <w:color w:val="auto"/>
          <w:sz w:val="24"/>
          <w:szCs w:val="24"/>
        </w:rPr>
        <w:t>招标人在本章第 4.2.1 项规定的投标截止时间（开标时间）和投标人须知前附表规定的地点公开开标，并邀请所有投标人的法定代表人（单位负责人）或其委托代理人准时参加。</w:t>
      </w:r>
    </w:p>
    <w:p>
      <w:pPr>
        <w:autoSpaceDE w:val="0"/>
        <w:autoSpaceDN w:val="0"/>
        <w:adjustRightInd w:val="0"/>
        <w:spacing w:line="400" w:lineRule="exact"/>
        <w:ind w:firstLine="0" w:firstLineChars="0"/>
        <w:rPr>
          <w:rFonts w:ascii="宋体" w:hAnsi="宋体" w:eastAsia="宋体" w:cs="宋体"/>
          <w:b/>
          <w:color w:val="auto"/>
          <w:sz w:val="24"/>
          <w:szCs w:val="24"/>
        </w:rPr>
      </w:pPr>
      <w:r>
        <w:rPr>
          <w:rFonts w:hint="eastAsia" w:ascii="宋体" w:hAnsi="宋体" w:eastAsia="宋体" w:cs="宋体"/>
          <w:b/>
          <w:color w:val="auto"/>
          <w:sz w:val="24"/>
          <w:szCs w:val="24"/>
        </w:rPr>
        <w:t>5.2 开标程序</w:t>
      </w:r>
    </w:p>
    <w:p>
      <w:pPr>
        <w:spacing w:line="400" w:lineRule="exact"/>
        <w:ind w:firstLine="480"/>
        <w:rPr>
          <w:rFonts w:ascii="宋体" w:hAnsi="宋体" w:eastAsia="宋体" w:cs="宋体"/>
          <w:color w:val="auto"/>
          <w:sz w:val="24"/>
          <w:szCs w:val="24"/>
        </w:rPr>
      </w:pPr>
      <w:bookmarkStart w:id="44" w:name="_Toc283559970"/>
      <w:r>
        <w:rPr>
          <w:rFonts w:hint="eastAsia" w:ascii="宋体" w:hAnsi="宋体" w:eastAsia="宋体" w:cs="宋体"/>
          <w:color w:val="auto"/>
          <w:sz w:val="24"/>
          <w:szCs w:val="24"/>
        </w:rPr>
        <w:t>主持人按下列程序进行开标：</w:t>
      </w:r>
    </w:p>
    <w:p>
      <w:pPr>
        <w:widowControl/>
        <w:autoSpaceDE w:val="0"/>
        <w:autoSpaceDN w:val="0"/>
        <w:adjustRightInd w:val="0"/>
        <w:spacing w:line="400" w:lineRule="exact"/>
        <w:ind w:firstLine="410" w:firstLineChars="171"/>
        <w:rPr>
          <w:rFonts w:ascii="宋体" w:hAnsi="宋体" w:eastAsia="宋体" w:cs="宋体"/>
          <w:color w:val="auto"/>
          <w:sz w:val="24"/>
        </w:rPr>
      </w:pPr>
      <w:r>
        <w:rPr>
          <w:rFonts w:hint="eastAsia" w:ascii="宋体" w:hAnsi="宋体" w:eastAsia="宋体" w:cs="宋体"/>
          <w:color w:val="auto"/>
          <w:sz w:val="24"/>
        </w:rPr>
        <w:t>（1）宣布开标纪律；</w:t>
      </w:r>
    </w:p>
    <w:p>
      <w:pPr>
        <w:widowControl/>
        <w:autoSpaceDE w:val="0"/>
        <w:autoSpaceDN w:val="0"/>
        <w:adjustRightInd w:val="0"/>
        <w:spacing w:line="400" w:lineRule="exact"/>
        <w:ind w:firstLine="360" w:firstLineChars="150"/>
        <w:rPr>
          <w:rFonts w:ascii="宋体" w:hAnsi="宋体" w:eastAsia="宋体" w:cs="宋体"/>
          <w:color w:val="auto"/>
          <w:sz w:val="24"/>
        </w:rPr>
      </w:pPr>
      <w:r>
        <w:rPr>
          <w:rFonts w:hint="eastAsia" w:ascii="宋体" w:hAnsi="宋体" w:eastAsia="宋体" w:cs="宋体"/>
          <w:color w:val="auto"/>
          <w:sz w:val="24"/>
        </w:rPr>
        <w:t>（2）公布在投标截止时间前递交投标文件的投标人名称，并点名确认投标人是否派人到场；</w:t>
      </w:r>
    </w:p>
    <w:p>
      <w:pPr>
        <w:widowControl/>
        <w:autoSpaceDE w:val="0"/>
        <w:autoSpaceDN w:val="0"/>
        <w:adjustRightInd w:val="0"/>
        <w:spacing w:line="400" w:lineRule="exact"/>
        <w:ind w:firstLine="410" w:firstLineChars="171"/>
        <w:rPr>
          <w:rFonts w:ascii="宋体" w:hAnsi="宋体" w:eastAsia="宋体" w:cs="宋体"/>
          <w:color w:val="auto"/>
          <w:sz w:val="24"/>
        </w:rPr>
      </w:pPr>
      <w:r>
        <w:rPr>
          <w:rFonts w:hint="eastAsia" w:ascii="宋体" w:hAnsi="宋体" w:eastAsia="宋体" w:cs="宋体"/>
          <w:color w:val="auto"/>
          <w:sz w:val="24"/>
        </w:rPr>
        <w:t>（3）宣读经备案的招标文件的补充和修改文件的份数；</w:t>
      </w:r>
    </w:p>
    <w:p>
      <w:pPr>
        <w:widowControl/>
        <w:autoSpaceDE w:val="0"/>
        <w:autoSpaceDN w:val="0"/>
        <w:adjustRightInd w:val="0"/>
        <w:spacing w:line="400" w:lineRule="exact"/>
        <w:ind w:firstLine="410" w:firstLineChars="171"/>
        <w:rPr>
          <w:rFonts w:ascii="宋体" w:hAnsi="宋体" w:eastAsia="宋体" w:cs="宋体"/>
          <w:color w:val="auto"/>
          <w:sz w:val="24"/>
        </w:rPr>
      </w:pPr>
      <w:r>
        <w:rPr>
          <w:rFonts w:hint="eastAsia" w:ascii="宋体" w:hAnsi="宋体" w:eastAsia="宋体" w:cs="宋体"/>
          <w:color w:val="auto"/>
          <w:sz w:val="24"/>
        </w:rPr>
        <w:t>（4）宣布开标人、唱标人、记录人、监标人等有关人员姓名；</w:t>
      </w:r>
    </w:p>
    <w:p>
      <w:pPr>
        <w:widowControl/>
        <w:autoSpaceDE w:val="0"/>
        <w:autoSpaceDN w:val="0"/>
        <w:adjustRightInd w:val="0"/>
        <w:spacing w:line="400" w:lineRule="exact"/>
        <w:ind w:firstLine="410" w:firstLineChars="171"/>
        <w:rPr>
          <w:rFonts w:ascii="宋体" w:hAnsi="宋体" w:eastAsia="宋体" w:cs="宋体"/>
          <w:color w:val="auto"/>
          <w:sz w:val="24"/>
        </w:rPr>
      </w:pPr>
      <w:r>
        <w:rPr>
          <w:rFonts w:hint="eastAsia" w:ascii="宋体" w:hAnsi="宋体" w:eastAsia="宋体" w:cs="宋体"/>
          <w:color w:val="auto"/>
          <w:sz w:val="24"/>
        </w:rPr>
        <w:t>（5）按照投标人须知前附表规定检查投标文件的密封情况；</w:t>
      </w:r>
    </w:p>
    <w:p>
      <w:pPr>
        <w:widowControl/>
        <w:autoSpaceDE w:val="0"/>
        <w:autoSpaceDN w:val="0"/>
        <w:adjustRightInd w:val="0"/>
        <w:spacing w:line="400" w:lineRule="exact"/>
        <w:ind w:firstLine="410" w:firstLineChars="171"/>
        <w:rPr>
          <w:rFonts w:ascii="宋体" w:hAnsi="宋体" w:eastAsia="宋体" w:cs="宋体"/>
          <w:color w:val="auto"/>
          <w:sz w:val="24"/>
        </w:rPr>
      </w:pPr>
      <w:r>
        <w:rPr>
          <w:rFonts w:hint="eastAsia" w:ascii="宋体" w:hAnsi="宋体" w:eastAsia="宋体" w:cs="宋体"/>
          <w:color w:val="auto"/>
          <w:sz w:val="24"/>
        </w:rPr>
        <w:t>（6）按照投标人须知前附表的规定确定并宣布投标文件开标顺序；</w:t>
      </w:r>
    </w:p>
    <w:p>
      <w:pPr>
        <w:widowControl/>
        <w:autoSpaceDE w:val="0"/>
        <w:autoSpaceDN w:val="0"/>
        <w:adjustRightInd w:val="0"/>
        <w:spacing w:line="400" w:lineRule="exact"/>
        <w:ind w:firstLine="410" w:firstLineChars="171"/>
        <w:rPr>
          <w:rFonts w:ascii="宋体" w:hAnsi="宋体" w:eastAsia="宋体" w:cs="宋体"/>
          <w:color w:val="auto"/>
          <w:sz w:val="24"/>
        </w:rPr>
      </w:pPr>
      <w:r>
        <w:rPr>
          <w:rFonts w:hint="eastAsia" w:ascii="宋体" w:hAnsi="宋体" w:eastAsia="宋体" w:cs="宋体"/>
          <w:color w:val="auto"/>
          <w:sz w:val="24"/>
        </w:rPr>
        <w:t>（7）检查投标文件的密封情况，按照投标人须知前附表规定的开标顺序当众开标， 公布招标项目名称、投标人名称、投标保证金的递交情况、投标报价、服务周期及其他内容，并记录在案；</w:t>
      </w:r>
    </w:p>
    <w:p>
      <w:pPr>
        <w:widowControl/>
        <w:autoSpaceDE w:val="0"/>
        <w:autoSpaceDN w:val="0"/>
        <w:adjustRightInd w:val="0"/>
        <w:spacing w:line="400" w:lineRule="exact"/>
        <w:ind w:firstLine="410" w:firstLineChars="171"/>
        <w:rPr>
          <w:rFonts w:ascii="宋体" w:hAnsi="宋体" w:eastAsia="宋体" w:cs="宋体"/>
          <w:color w:val="auto"/>
          <w:sz w:val="24"/>
        </w:rPr>
      </w:pPr>
      <w:r>
        <w:rPr>
          <w:rFonts w:hint="eastAsia" w:ascii="宋体" w:hAnsi="宋体" w:eastAsia="宋体" w:cs="宋体"/>
          <w:color w:val="auto"/>
          <w:sz w:val="24"/>
        </w:rPr>
        <w:t>（8）宣布招标控制价；</w:t>
      </w:r>
    </w:p>
    <w:p>
      <w:pPr>
        <w:widowControl/>
        <w:autoSpaceDE w:val="0"/>
        <w:autoSpaceDN w:val="0"/>
        <w:adjustRightInd w:val="0"/>
        <w:spacing w:line="400" w:lineRule="exact"/>
        <w:ind w:firstLine="410" w:firstLineChars="171"/>
        <w:rPr>
          <w:rFonts w:ascii="宋体" w:hAnsi="宋体" w:eastAsia="宋体" w:cs="宋体"/>
          <w:color w:val="auto"/>
          <w:sz w:val="24"/>
        </w:rPr>
      </w:pPr>
      <w:r>
        <w:rPr>
          <w:rFonts w:hint="eastAsia" w:ascii="宋体" w:hAnsi="宋体" w:eastAsia="宋体" w:cs="宋体"/>
          <w:color w:val="auto"/>
          <w:sz w:val="24"/>
        </w:rPr>
        <w:t>（9）投标人代表、招标人代表、监标人、记录人等有关人员在开标记录上签字确认；</w:t>
      </w:r>
    </w:p>
    <w:p>
      <w:pPr>
        <w:widowControl/>
        <w:autoSpaceDE w:val="0"/>
        <w:autoSpaceDN w:val="0"/>
        <w:adjustRightInd w:val="0"/>
        <w:spacing w:line="400" w:lineRule="exact"/>
        <w:ind w:firstLine="410" w:firstLineChars="171"/>
        <w:rPr>
          <w:rFonts w:ascii="宋体" w:hAnsi="宋体" w:eastAsia="宋体" w:cs="宋体"/>
          <w:color w:val="auto"/>
          <w:sz w:val="24"/>
        </w:rPr>
      </w:pPr>
      <w:r>
        <w:rPr>
          <w:rFonts w:hint="eastAsia" w:ascii="宋体" w:hAnsi="宋体" w:eastAsia="宋体" w:cs="宋体"/>
          <w:color w:val="auto"/>
          <w:sz w:val="24"/>
        </w:rPr>
        <w:t>（10）开标结束。</w:t>
      </w:r>
    </w:p>
    <w:p>
      <w:pPr>
        <w:autoSpaceDE w:val="0"/>
        <w:autoSpaceDN w:val="0"/>
        <w:adjustRightInd w:val="0"/>
        <w:spacing w:line="400" w:lineRule="exact"/>
        <w:ind w:firstLine="0" w:firstLineChars="0"/>
        <w:rPr>
          <w:rFonts w:ascii="宋体" w:hAnsi="宋体" w:eastAsia="宋体" w:cs="宋体"/>
          <w:b/>
          <w:color w:val="auto"/>
          <w:sz w:val="24"/>
          <w:szCs w:val="24"/>
        </w:rPr>
      </w:pPr>
      <w:r>
        <w:rPr>
          <w:rFonts w:hint="eastAsia" w:ascii="宋体" w:hAnsi="宋体" w:eastAsia="宋体" w:cs="宋体"/>
          <w:b/>
          <w:color w:val="auto"/>
          <w:sz w:val="24"/>
          <w:szCs w:val="24"/>
        </w:rPr>
        <w:t>5.3 开标异议</w:t>
      </w:r>
    </w:p>
    <w:p>
      <w:pPr>
        <w:widowControl/>
        <w:autoSpaceDE w:val="0"/>
        <w:autoSpaceDN w:val="0"/>
        <w:adjustRightInd w:val="0"/>
        <w:spacing w:line="400" w:lineRule="exact"/>
        <w:ind w:firstLine="410" w:firstLineChars="171"/>
        <w:rPr>
          <w:rFonts w:ascii="宋体" w:hAnsi="宋体" w:eastAsia="宋体" w:cs="宋体"/>
          <w:color w:val="auto"/>
          <w:sz w:val="24"/>
        </w:rPr>
      </w:pPr>
      <w:r>
        <w:rPr>
          <w:rFonts w:hint="eastAsia" w:ascii="宋体" w:hAnsi="宋体" w:eastAsia="宋体" w:cs="宋体"/>
          <w:color w:val="auto"/>
          <w:sz w:val="24"/>
        </w:rPr>
        <w:t>投标人对开标有异议的，应当在开标现场提出，招标人当场作出答复，并制作记录。</w:t>
      </w:r>
    </w:p>
    <w:p>
      <w:pPr>
        <w:pStyle w:val="94"/>
        <w:spacing w:line="400" w:lineRule="exact"/>
        <w:jc w:val="both"/>
        <w:outlineLvl w:val="0"/>
        <w:rPr>
          <w:b/>
          <w:color w:val="auto"/>
        </w:rPr>
      </w:pPr>
      <w:r>
        <w:rPr>
          <w:rFonts w:hint="eastAsia"/>
          <w:b/>
          <w:color w:val="auto"/>
        </w:rPr>
        <w:t>6. 评标</w:t>
      </w:r>
      <w:bookmarkEnd w:id="44"/>
    </w:p>
    <w:p>
      <w:pPr>
        <w:autoSpaceDE w:val="0"/>
        <w:autoSpaceDN w:val="0"/>
        <w:adjustRightInd w:val="0"/>
        <w:spacing w:line="400" w:lineRule="exact"/>
        <w:ind w:firstLine="0" w:firstLineChars="0"/>
        <w:outlineLvl w:val="0"/>
        <w:rPr>
          <w:rFonts w:ascii="宋体" w:hAnsi="宋体" w:eastAsia="宋体" w:cs="宋体"/>
          <w:b/>
          <w:color w:val="auto"/>
          <w:sz w:val="24"/>
          <w:szCs w:val="24"/>
        </w:rPr>
      </w:pPr>
      <w:bookmarkStart w:id="45" w:name="_Toc283559971"/>
      <w:r>
        <w:rPr>
          <w:rFonts w:hint="eastAsia" w:ascii="宋体" w:hAnsi="宋体" w:eastAsia="宋体" w:cs="宋体"/>
          <w:b/>
          <w:color w:val="auto"/>
          <w:sz w:val="24"/>
          <w:szCs w:val="24"/>
        </w:rPr>
        <w:t>6.1 评标委员会</w:t>
      </w:r>
      <w:bookmarkEnd w:id="45"/>
    </w:p>
    <w:p>
      <w:pPr>
        <w:autoSpaceDE w:val="0"/>
        <w:autoSpaceDN w:val="0"/>
        <w:spacing w:line="400" w:lineRule="exact"/>
        <w:ind w:firstLine="480"/>
        <w:jc w:val="both"/>
        <w:outlineLvl w:val="0"/>
        <w:rPr>
          <w:rFonts w:ascii="宋体" w:hAnsi="宋体" w:eastAsia="宋体" w:cs="宋体"/>
          <w:color w:val="auto"/>
          <w:sz w:val="24"/>
          <w:szCs w:val="24"/>
        </w:rPr>
      </w:pPr>
      <w:r>
        <w:rPr>
          <w:rFonts w:hint="eastAsia" w:ascii="宋体" w:hAnsi="宋体" w:eastAsia="宋体" w:cs="宋体"/>
          <w:color w:val="auto"/>
          <w:sz w:val="24"/>
          <w:szCs w:val="24"/>
        </w:rPr>
        <w:t>6.1.1 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pPr>
        <w:autoSpaceDE w:val="0"/>
        <w:autoSpaceDN w:val="0"/>
        <w:spacing w:line="400" w:lineRule="exact"/>
        <w:ind w:firstLine="480"/>
        <w:jc w:val="both"/>
        <w:outlineLvl w:val="0"/>
        <w:rPr>
          <w:rFonts w:ascii="宋体" w:hAnsi="宋体" w:eastAsia="宋体" w:cs="宋体"/>
          <w:color w:val="auto"/>
          <w:sz w:val="24"/>
          <w:szCs w:val="24"/>
        </w:rPr>
      </w:pPr>
      <w:r>
        <w:rPr>
          <w:rFonts w:hint="eastAsia" w:ascii="宋体" w:hAnsi="宋体" w:eastAsia="宋体" w:cs="宋体"/>
          <w:color w:val="auto"/>
          <w:sz w:val="24"/>
          <w:szCs w:val="24"/>
        </w:rPr>
        <w:t>6.1.2 评标委员会成员有下列情形之一的，应当回避：</w:t>
      </w:r>
    </w:p>
    <w:p>
      <w:pPr>
        <w:autoSpaceDE w:val="0"/>
        <w:autoSpaceDN w:val="0"/>
        <w:spacing w:line="400" w:lineRule="exact"/>
        <w:ind w:firstLine="480"/>
        <w:jc w:val="both"/>
        <w:outlineLvl w:val="0"/>
        <w:rPr>
          <w:rFonts w:ascii="宋体" w:hAnsi="宋体" w:eastAsia="宋体" w:cs="宋体"/>
          <w:color w:val="auto"/>
          <w:sz w:val="24"/>
          <w:szCs w:val="24"/>
        </w:rPr>
      </w:pPr>
      <w:r>
        <w:rPr>
          <w:rFonts w:hint="eastAsia" w:ascii="宋体" w:hAnsi="宋体" w:eastAsia="宋体" w:cs="宋体"/>
          <w:color w:val="auto"/>
          <w:sz w:val="24"/>
          <w:szCs w:val="24"/>
        </w:rPr>
        <w:t>（1）投标人或投标人主要负责人的近亲属；</w:t>
      </w:r>
    </w:p>
    <w:p>
      <w:pPr>
        <w:autoSpaceDE w:val="0"/>
        <w:autoSpaceDN w:val="0"/>
        <w:spacing w:line="400" w:lineRule="exact"/>
        <w:ind w:firstLine="480"/>
        <w:jc w:val="both"/>
        <w:outlineLvl w:val="0"/>
        <w:rPr>
          <w:rFonts w:ascii="宋体" w:hAnsi="宋体" w:eastAsia="宋体" w:cs="宋体"/>
          <w:color w:val="auto"/>
          <w:sz w:val="24"/>
          <w:szCs w:val="24"/>
        </w:rPr>
      </w:pPr>
      <w:r>
        <w:rPr>
          <w:rFonts w:hint="eastAsia" w:ascii="宋体" w:hAnsi="宋体" w:eastAsia="宋体" w:cs="宋体"/>
          <w:color w:val="auto"/>
          <w:sz w:val="24"/>
          <w:szCs w:val="24"/>
        </w:rPr>
        <w:t>（2）项目主管部门或者行政监督部门的人员；</w:t>
      </w:r>
    </w:p>
    <w:p>
      <w:pPr>
        <w:autoSpaceDE w:val="0"/>
        <w:autoSpaceDN w:val="0"/>
        <w:spacing w:line="400" w:lineRule="exact"/>
        <w:ind w:firstLine="480"/>
        <w:jc w:val="both"/>
        <w:outlineLvl w:val="0"/>
        <w:rPr>
          <w:rFonts w:ascii="宋体" w:hAnsi="宋体" w:eastAsia="宋体" w:cs="宋体"/>
          <w:color w:val="auto"/>
          <w:sz w:val="24"/>
          <w:szCs w:val="24"/>
        </w:rPr>
      </w:pPr>
      <w:r>
        <w:rPr>
          <w:rFonts w:hint="eastAsia" w:ascii="宋体" w:hAnsi="宋体" w:eastAsia="宋体" w:cs="宋体"/>
          <w:color w:val="auto"/>
          <w:sz w:val="24"/>
          <w:szCs w:val="24"/>
        </w:rPr>
        <w:t>（3）与投标人有经济利益关系，可能影响对投标公正评审的；</w:t>
      </w:r>
    </w:p>
    <w:p>
      <w:pPr>
        <w:autoSpaceDE w:val="0"/>
        <w:autoSpaceDN w:val="0"/>
        <w:spacing w:line="400" w:lineRule="exact"/>
        <w:ind w:firstLine="480"/>
        <w:jc w:val="both"/>
        <w:outlineLvl w:val="0"/>
        <w:rPr>
          <w:rFonts w:ascii="宋体" w:hAnsi="宋体" w:eastAsia="宋体" w:cs="宋体"/>
          <w:color w:val="auto"/>
          <w:sz w:val="24"/>
          <w:szCs w:val="24"/>
        </w:rPr>
      </w:pPr>
      <w:r>
        <w:rPr>
          <w:rFonts w:hint="eastAsia" w:ascii="宋体" w:hAnsi="宋体" w:eastAsia="宋体" w:cs="宋体"/>
          <w:color w:val="auto"/>
          <w:sz w:val="24"/>
          <w:szCs w:val="24"/>
        </w:rPr>
        <w:t>（4）曾因在招标、评标以及其他与招标投标有关活动中从事违法行为而受过行政处罚 或刑事处罚的；</w:t>
      </w:r>
    </w:p>
    <w:p>
      <w:pPr>
        <w:autoSpaceDE w:val="0"/>
        <w:autoSpaceDN w:val="0"/>
        <w:spacing w:line="400" w:lineRule="exact"/>
        <w:ind w:firstLine="480"/>
        <w:jc w:val="both"/>
        <w:outlineLvl w:val="0"/>
        <w:rPr>
          <w:rFonts w:ascii="宋体" w:hAnsi="宋体" w:eastAsia="宋体" w:cs="宋体"/>
          <w:color w:val="auto"/>
          <w:sz w:val="24"/>
          <w:szCs w:val="24"/>
        </w:rPr>
      </w:pPr>
      <w:r>
        <w:rPr>
          <w:rFonts w:hint="eastAsia" w:ascii="宋体" w:hAnsi="宋体" w:eastAsia="宋体" w:cs="宋体"/>
          <w:color w:val="auto"/>
          <w:sz w:val="24"/>
          <w:szCs w:val="24"/>
        </w:rPr>
        <w:t>（5）与投标人有其他利害关系。</w:t>
      </w:r>
    </w:p>
    <w:p>
      <w:pPr>
        <w:autoSpaceDE w:val="0"/>
        <w:autoSpaceDN w:val="0"/>
        <w:spacing w:line="400" w:lineRule="exact"/>
        <w:ind w:firstLine="480"/>
        <w:jc w:val="both"/>
        <w:outlineLvl w:val="0"/>
        <w:rPr>
          <w:rFonts w:ascii="宋体" w:hAnsi="宋体" w:eastAsia="宋体" w:cs="宋体"/>
          <w:color w:val="auto"/>
          <w:sz w:val="24"/>
          <w:szCs w:val="24"/>
        </w:rPr>
      </w:pPr>
      <w:r>
        <w:rPr>
          <w:rFonts w:hint="eastAsia" w:ascii="宋体" w:hAnsi="宋体" w:eastAsia="宋体" w:cs="宋体"/>
          <w:color w:val="auto"/>
          <w:sz w:val="24"/>
          <w:szCs w:val="24"/>
        </w:rPr>
        <w:t>6.1.3 评标过程中，评标委员会成员有回避事由、擅离职守或者因健康等原因不能继续评标的，招标人有权更换。被更换的评标委员会成员作出的评审结论无效，由更换后的评标委员会成员重新进行评审。</w:t>
      </w:r>
    </w:p>
    <w:p>
      <w:pPr>
        <w:autoSpaceDE w:val="0"/>
        <w:autoSpaceDN w:val="0"/>
        <w:spacing w:line="400" w:lineRule="exact"/>
        <w:ind w:firstLine="0" w:firstLineChars="0"/>
        <w:outlineLvl w:val="0"/>
        <w:rPr>
          <w:rFonts w:ascii="宋体" w:hAnsi="宋体" w:eastAsia="宋体" w:cs="宋体"/>
          <w:b/>
          <w:color w:val="auto"/>
          <w:sz w:val="24"/>
          <w:szCs w:val="24"/>
        </w:rPr>
      </w:pPr>
      <w:bookmarkStart w:id="46" w:name="_Toc283559972"/>
      <w:r>
        <w:rPr>
          <w:rFonts w:hint="eastAsia" w:ascii="宋体" w:hAnsi="宋体" w:eastAsia="宋体" w:cs="宋体"/>
          <w:b/>
          <w:color w:val="auto"/>
          <w:sz w:val="24"/>
          <w:szCs w:val="24"/>
        </w:rPr>
        <w:t>6.2 评标原则</w:t>
      </w:r>
      <w:bookmarkEnd w:id="46"/>
    </w:p>
    <w:p>
      <w:pPr>
        <w:autoSpaceDE w:val="0"/>
        <w:autoSpaceDN w:val="0"/>
        <w:spacing w:line="400" w:lineRule="exact"/>
        <w:ind w:firstLine="480"/>
        <w:outlineLvl w:val="0"/>
        <w:rPr>
          <w:rFonts w:ascii="宋体" w:hAnsi="宋体" w:eastAsia="宋体" w:cs="宋体"/>
          <w:color w:val="auto"/>
          <w:sz w:val="24"/>
          <w:szCs w:val="24"/>
        </w:rPr>
      </w:pPr>
      <w:r>
        <w:rPr>
          <w:rFonts w:hint="eastAsia" w:ascii="宋体" w:hAnsi="宋体" w:eastAsia="宋体" w:cs="宋体"/>
          <w:color w:val="auto"/>
          <w:sz w:val="24"/>
          <w:szCs w:val="24"/>
        </w:rPr>
        <w:t>评标活动遵循公平、公正、科学和择优的原则。</w:t>
      </w:r>
    </w:p>
    <w:p>
      <w:pPr>
        <w:autoSpaceDE w:val="0"/>
        <w:autoSpaceDN w:val="0"/>
        <w:spacing w:line="400" w:lineRule="exact"/>
        <w:ind w:firstLine="0" w:firstLineChars="0"/>
        <w:outlineLvl w:val="0"/>
        <w:rPr>
          <w:rFonts w:ascii="宋体" w:hAnsi="宋体" w:eastAsia="宋体" w:cs="宋体"/>
          <w:b/>
          <w:color w:val="auto"/>
          <w:sz w:val="24"/>
          <w:szCs w:val="24"/>
        </w:rPr>
      </w:pPr>
      <w:bookmarkStart w:id="47" w:name="_Toc283559973"/>
      <w:r>
        <w:rPr>
          <w:rFonts w:hint="eastAsia" w:ascii="宋体" w:hAnsi="宋体" w:eastAsia="宋体" w:cs="宋体"/>
          <w:b/>
          <w:color w:val="auto"/>
          <w:sz w:val="24"/>
          <w:szCs w:val="24"/>
        </w:rPr>
        <w:t>6.3 评标</w:t>
      </w:r>
      <w:bookmarkEnd w:id="47"/>
    </w:p>
    <w:p>
      <w:pPr>
        <w:widowControl/>
        <w:autoSpaceDE w:val="0"/>
        <w:autoSpaceDN w:val="0"/>
        <w:adjustRightInd w:val="0"/>
        <w:spacing w:line="400" w:lineRule="exact"/>
        <w:ind w:firstLine="480"/>
        <w:rPr>
          <w:rFonts w:ascii="宋体" w:hAnsi="宋体" w:eastAsia="宋体" w:cs="宋体"/>
          <w:color w:val="auto"/>
          <w:sz w:val="24"/>
        </w:rPr>
      </w:pPr>
      <w:r>
        <w:rPr>
          <w:rFonts w:hint="eastAsia" w:ascii="宋体" w:hAnsi="宋体" w:eastAsia="宋体" w:cs="宋体"/>
          <w:color w:val="auto"/>
          <w:sz w:val="24"/>
        </w:rPr>
        <w:t>6.3.1 评标委员会按照第三章“评标办法”规定的方法、评审因素、标准和程序对投标文件进行评审。“评标办法”没有规定的方法、评审因素和标准，不作为评标依据。</w:t>
      </w:r>
    </w:p>
    <w:p>
      <w:pPr>
        <w:widowControl/>
        <w:autoSpaceDE w:val="0"/>
        <w:autoSpaceDN w:val="0"/>
        <w:adjustRightInd w:val="0"/>
        <w:spacing w:line="400" w:lineRule="exact"/>
        <w:ind w:firstLine="480"/>
        <w:rPr>
          <w:rFonts w:ascii="宋体" w:hAnsi="宋体" w:eastAsia="宋体" w:cs="宋体"/>
          <w:color w:val="auto"/>
          <w:sz w:val="24"/>
        </w:rPr>
      </w:pPr>
      <w:r>
        <w:rPr>
          <w:rFonts w:hint="eastAsia" w:ascii="宋体" w:hAnsi="宋体" w:eastAsia="宋体" w:cs="宋体"/>
          <w:color w:val="auto"/>
          <w:sz w:val="24"/>
        </w:rPr>
        <w:t>6.3.2 评标完成后，评标委员会应当向招标人提交书面评标报告和中标候选人名单。评标委员会推荐中标候选人的人数见投标人须知前附表。</w:t>
      </w:r>
    </w:p>
    <w:p>
      <w:pPr>
        <w:pStyle w:val="94"/>
        <w:spacing w:line="400" w:lineRule="exact"/>
        <w:jc w:val="both"/>
        <w:outlineLvl w:val="0"/>
        <w:rPr>
          <w:b/>
          <w:color w:val="auto"/>
        </w:rPr>
      </w:pPr>
      <w:bookmarkStart w:id="48" w:name="_Toc283559974"/>
      <w:r>
        <w:rPr>
          <w:rFonts w:hint="eastAsia"/>
          <w:b/>
          <w:color w:val="auto"/>
        </w:rPr>
        <w:t>7. 合同授予</w:t>
      </w:r>
      <w:bookmarkEnd w:id="48"/>
    </w:p>
    <w:p>
      <w:pPr>
        <w:autoSpaceDE w:val="0"/>
        <w:autoSpaceDN w:val="0"/>
        <w:spacing w:line="400" w:lineRule="exact"/>
        <w:ind w:firstLine="0" w:firstLineChars="0"/>
        <w:outlineLvl w:val="0"/>
        <w:rPr>
          <w:rFonts w:ascii="宋体" w:hAnsi="宋体" w:eastAsia="宋体" w:cs="宋体"/>
          <w:b/>
          <w:color w:val="auto"/>
          <w:sz w:val="24"/>
          <w:szCs w:val="24"/>
        </w:rPr>
      </w:pPr>
      <w:bookmarkStart w:id="49" w:name="_Toc283559975"/>
      <w:r>
        <w:rPr>
          <w:rFonts w:hint="eastAsia" w:ascii="宋体" w:hAnsi="宋体" w:eastAsia="宋体" w:cs="宋体"/>
          <w:b/>
          <w:color w:val="auto"/>
          <w:sz w:val="24"/>
          <w:szCs w:val="24"/>
        </w:rPr>
        <w:t xml:space="preserve">7.1 </w:t>
      </w:r>
      <w:bookmarkEnd w:id="49"/>
      <w:r>
        <w:rPr>
          <w:rFonts w:hint="eastAsia" w:ascii="宋体" w:hAnsi="宋体" w:eastAsia="宋体" w:cs="宋体"/>
          <w:b/>
          <w:color w:val="auto"/>
          <w:sz w:val="24"/>
          <w:szCs w:val="24"/>
        </w:rPr>
        <w:t>中标候选人公示</w:t>
      </w:r>
    </w:p>
    <w:p>
      <w:pPr>
        <w:widowControl/>
        <w:autoSpaceDE w:val="0"/>
        <w:autoSpaceDN w:val="0"/>
        <w:adjustRightInd w:val="0"/>
        <w:spacing w:line="400" w:lineRule="exact"/>
        <w:ind w:firstLine="480"/>
        <w:jc w:val="both"/>
        <w:rPr>
          <w:rFonts w:ascii="宋体" w:hAnsi="宋体" w:eastAsia="宋体" w:cs="宋体"/>
          <w:color w:val="auto"/>
          <w:sz w:val="24"/>
        </w:rPr>
      </w:pPr>
      <w:bookmarkStart w:id="50" w:name="_Toc283559976"/>
      <w:r>
        <w:rPr>
          <w:rFonts w:hint="eastAsia" w:ascii="宋体" w:hAnsi="宋体" w:eastAsia="宋体" w:cs="宋体"/>
          <w:color w:val="auto"/>
          <w:sz w:val="24"/>
        </w:rPr>
        <w:t>招标人在收到评标报告之日起3日内，按照投标人须知前附表规定的公示媒介和期限公示中标候选人，公示期不得少于3天。</w:t>
      </w:r>
    </w:p>
    <w:p>
      <w:pPr>
        <w:autoSpaceDE w:val="0"/>
        <w:autoSpaceDN w:val="0"/>
        <w:spacing w:line="400" w:lineRule="exact"/>
        <w:ind w:firstLine="0" w:firstLineChars="0"/>
        <w:outlineLvl w:val="0"/>
        <w:rPr>
          <w:rFonts w:ascii="宋体" w:hAnsi="宋体" w:eastAsia="宋体" w:cs="宋体"/>
          <w:b/>
          <w:color w:val="auto"/>
          <w:sz w:val="24"/>
          <w:szCs w:val="24"/>
        </w:rPr>
      </w:pPr>
      <w:r>
        <w:rPr>
          <w:rFonts w:hint="eastAsia" w:ascii="宋体" w:hAnsi="宋体" w:eastAsia="宋体" w:cs="宋体"/>
          <w:b/>
          <w:color w:val="auto"/>
          <w:sz w:val="24"/>
          <w:szCs w:val="24"/>
        </w:rPr>
        <w:t>7.2 评标结果异议</w:t>
      </w:r>
    </w:p>
    <w:p>
      <w:pPr>
        <w:widowControl/>
        <w:autoSpaceDE w:val="0"/>
        <w:autoSpaceDN w:val="0"/>
        <w:adjustRightInd w:val="0"/>
        <w:spacing w:line="400" w:lineRule="exact"/>
        <w:ind w:firstLine="480"/>
        <w:jc w:val="both"/>
        <w:rPr>
          <w:rFonts w:ascii="宋体" w:hAnsi="宋体" w:eastAsia="宋体" w:cs="宋体"/>
          <w:color w:val="auto"/>
          <w:sz w:val="24"/>
        </w:rPr>
      </w:pPr>
      <w:r>
        <w:rPr>
          <w:rFonts w:hint="eastAsia" w:ascii="宋体" w:hAnsi="宋体" w:eastAsia="宋体" w:cs="宋体"/>
          <w:color w:val="auto"/>
          <w:sz w:val="24"/>
        </w:rPr>
        <w:t>投标人或者其他利害关系人对评标结果有异议的，应当在中标候选人公示期间提出。招标人将在收到异议之日起3日内作出答复；作出答复前，将暂停招标投标活动。</w:t>
      </w:r>
    </w:p>
    <w:p>
      <w:pPr>
        <w:widowControl/>
        <w:autoSpaceDE w:val="0"/>
        <w:autoSpaceDN w:val="0"/>
        <w:adjustRightInd w:val="0"/>
        <w:spacing w:line="400" w:lineRule="exact"/>
        <w:ind w:firstLine="0" w:firstLineChars="0"/>
        <w:rPr>
          <w:rFonts w:ascii="宋体" w:hAnsi="宋体" w:eastAsia="宋体" w:cs="宋体"/>
          <w:b/>
          <w:color w:val="auto"/>
          <w:sz w:val="24"/>
          <w:szCs w:val="24"/>
        </w:rPr>
      </w:pPr>
      <w:r>
        <w:rPr>
          <w:rFonts w:hint="eastAsia" w:ascii="宋体" w:hAnsi="宋体" w:eastAsia="宋体" w:cs="宋体"/>
          <w:b/>
          <w:color w:val="auto"/>
          <w:sz w:val="24"/>
          <w:szCs w:val="24"/>
        </w:rPr>
        <w:t>7.3 中标候选人履约能力审查</w:t>
      </w:r>
    </w:p>
    <w:p>
      <w:pPr>
        <w:pStyle w:val="3"/>
        <w:spacing w:line="400" w:lineRule="exact"/>
        <w:ind w:left="0" w:right="113" w:firstLine="480"/>
        <w:jc w:val="both"/>
        <w:rPr>
          <w:rFonts w:ascii="宋体" w:hAnsi="宋体" w:eastAsia="宋体"/>
          <w:color w:val="auto"/>
          <w:sz w:val="24"/>
          <w:szCs w:val="24"/>
        </w:rPr>
      </w:pPr>
      <w:r>
        <w:rPr>
          <w:rFonts w:ascii="宋体" w:hAnsi="宋体" w:eastAsia="宋体"/>
          <w:color w:val="auto"/>
          <w:sz w:val="24"/>
          <w:szCs w:val="24"/>
        </w:rPr>
        <w:t>中标候选人的经营</w:t>
      </w:r>
      <w:r>
        <w:rPr>
          <w:rFonts w:ascii="宋体" w:hAnsi="宋体" w:eastAsia="宋体"/>
          <w:color w:val="auto"/>
          <w:spacing w:val="-3"/>
          <w:sz w:val="24"/>
          <w:szCs w:val="24"/>
        </w:rPr>
        <w:t>、</w:t>
      </w:r>
      <w:r>
        <w:rPr>
          <w:rFonts w:ascii="宋体" w:hAnsi="宋体" w:eastAsia="宋体"/>
          <w:color w:val="auto"/>
          <w:sz w:val="24"/>
          <w:szCs w:val="24"/>
        </w:rPr>
        <w:t>财</w:t>
      </w:r>
      <w:r>
        <w:rPr>
          <w:rFonts w:ascii="宋体" w:hAnsi="宋体" w:eastAsia="宋体"/>
          <w:color w:val="auto"/>
          <w:spacing w:val="-3"/>
          <w:sz w:val="24"/>
          <w:szCs w:val="24"/>
        </w:rPr>
        <w:t>务</w:t>
      </w:r>
      <w:r>
        <w:rPr>
          <w:rFonts w:ascii="宋体" w:hAnsi="宋体" w:eastAsia="宋体"/>
          <w:color w:val="auto"/>
          <w:sz w:val="24"/>
          <w:szCs w:val="24"/>
        </w:rPr>
        <w:t>状况发生较大变化</w:t>
      </w:r>
      <w:r>
        <w:rPr>
          <w:rFonts w:ascii="宋体" w:hAnsi="宋体" w:eastAsia="宋体"/>
          <w:color w:val="auto"/>
          <w:spacing w:val="-3"/>
          <w:sz w:val="24"/>
          <w:szCs w:val="24"/>
        </w:rPr>
        <w:t>或</w:t>
      </w:r>
      <w:r>
        <w:rPr>
          <w:rFonts w:ascii="宋体" w:hAnsi="宋体" w:eastAsia="宋体"/>
          <w:color w:val="auto"/>
          <w:sz w:val="24"/>
          <w:szCs w:val="24"/>
        </w:rPr>
        <w:t>存</w:t>
      </w:r>
      <w:r>
        <w:rPr>
          <w:rFonts w:ascii="宋体" w:hAnsi="宋体" w:eastAsia="宋体"/>
          <w:color w:val="auto"/>
          <w:spacing w:val="-3"/>
          <w:sz w:val="24"/>
          <w:szCs w:val="24"/>
        </w:rPr>
        <w:t>在</w:t>
      </w:r>
      <w:r>
        <w:rPr>
          <w:rFonts w:ascii="宋体" w:hAnsi="宋体" w:eastAsia="宋体"/>
          <w:color w:val="auto"/>
          <w:sz w:val="24"/>
          <w:szCs w:val="24"/>
        </w:rPr>
        <w:t>违法行为，招标人</w:t>
      </w:r>
      <w:r>
        <w:rPr>
          <w:rFonts w:ascii="宋体" w:hAnsi="宋体" w:eastAsia="宋体"/>
          <w:color w:val="auto"/>
          <w:spacing w:val="-3"/>
          <w:sz w:val="24"/>
          <w:szCs w:val="24"/>
        </w:rPr>
        <w:t>认</w:t>
      </w:r>
      <w:r>
        <w:rPr>
          <w:rFonts w:ascii="宋体" w:hAnsi="宋体" w:eastAsia="宋体"/>
          <w:color w:val="auto"/>
          <w:sz w:val="24"/>
          <w:szCs w:val="24"/>
        </w:rPr>
        <w:t>为</w:t>
      </w:r>
      <w:r>
        <w:rPr>
          <w:rFonts w:ascii="宋体" w:hAnsi="宋体" w:eastAsia="宋体"/>
          <w:color w:val="auto"/>
          <w:spacing w:val="-3"/>
          <w:sz w:val="24"/>
          <w:szCs w:val="24"/>
        </w:rPr>
        <w:t>可</w:t>
      </w:r>
      <w:r>
        <w:rPr>
          <w:rFonts w:ascii="宋体" w:hAnsi="宋体" w:eastAsia="宋体"/>
          <w:color w:val="auto"/>
          <w:sz w:val="24"/>
          <w:szCs w:val="24"/>
        </w:rPr>
        <w:t>能影响其履约能力的，</w:t>
      </w:r>
      <w:r>
        <w:rPr>
          <w:rFonts w:hint="eastAsia" w:ascii="宋体" w:hAnsi="宋体" w:eastAsia="宋体"/>
          <w:color w:val="auto"/>
          <w:sz w:val="24"/>
          <w:szCs w:val="24"/>
        </w:rPr>
        <w:t>将</w:t>
      </w:r>
      <w:r>
        <w:rPr>
          <w:rFonts w:ascii="宋体" w:hAnsi="宋体" w:eastAsia="宋体"/>
          <w:color w:val="auto"/>
          <w:sz w:val="24"/>
          <w:szCs w:val="24"/>
        </w:rPr>
        <w:t>在发</w:t>
      </w:r>
      <w:r>
        <w:rPr>
          <w:rFonts w:ascii="宋体" w:hAnsi="宋体" w:eastAsia="宋体"/>
          <w:color w:val="auto"/>
          <w:spacing w:val="-3"/>
          <w:sz w:val="24"/>
          <w:szCs w:val="24"/>
        </w:rPr>
        <w:t>出</w:t>
      </w:r>
      <w:r>
        <w:rPr>
          <w:rFonts w:ascii="宋体" w:hAnsi="宋体" w:eastAsia="宋体"/>
          <w:color w:val="auto"/>
          <w:sz w:val="24"/>
          <w:szCs w:val="24"/>
        </w:rPr>
        <w:t>中标</w:t>
      </w:r>
      <w:r>
        <w:rPr>
          <w:rFonts w:ascii="宋体" w:hAnsi="宋体" w:eastAsia="宋体"/>
          <w:color w:val="auto"/>
          <w:spacing w:val="-3"/>
          <w:sz w:val="24"/>
          <w:szCs w:val="24"/>
        </w:rPr>
        <w:t>通</w:t>
      </w:r>
      <w:r>
        <w:rPr>
          <w:rFonts w:ascii="宋体" w:hAnsi="宋体" w:eastAsia="宋体"/>
          <w:color w:val="auto"/>
          <w:sz w:val="24"/>
          <w:szCs w:val="24"/>
        </w:rPr>
        <w:t>知书前提请原评</w:t>
      </w:r>
      <w:r>
        <w:rPr>
          <w:rFonts w:ascii="宋体" w:hAnsi="宋体" w:eastAsia="宋体"/>
          <w:color w:val="auto"/>
          <w:spacing w:val="-3"/>
          <w:sz w:val="24"/>
          <w:szCs w:val="24"/>
        </w:rPr>
        <w:t>标</w:t>
      </w:r>
      <w:r>
        <w:rPr>
          <w:rFonts w:ascii="宋体" w:hAnsi="宋体" w:eastAsia="宋体"/>
          <w:color w:val="auto"/>
          <w:sz w:val="24"/>
          <w:szCs w:val="24"/>
        </w:rPr>
        <w:t>委员</w:t>
      </w:r>
      <w:r>
        <w:rPr>
          <w:rFonts w:ascii="宋体" w:hAnsi="宋体" w:eastAsia="宋体"/>
          <w:color w:val="auto"/>
          <w:spacing w:val="-3"/>
          <w:sz w:val="24"/>
          <w:szCs w:val="24"/>
        </w:rPr>
        <w:t>会</w:t>
      </w:r>
      <w:r>
        <w:rPr>
          <w:rFonts w:ascii="宋体" w:hAnsi="宋体" w:eastAsia="宋体"/>
          <w:color w:val="auto"/>
          <w:sz w:val="24"/>
          <w:szCs w:val="24"/>
        </w:rPr>
        <w:t>按照招标文件规</w:t>
      </w:r>
      <w:r>
        <w:rPr>
          <w:rFonts w:ascii="宋体" w:hAnsi="宋体" w:eastAsia="宋体"/>
          <w:color w:val="auto"/>
          <w:spacing w:val="-3"/>
          <w:sz w:val="24"/>
          <w:szCs w:val="24"/>
        </w:rPr>
        <w:t>定</w:t>
      </w:r>
      <w:r>
        <w:rPr>
          <w:rFonts w:ascii="宋体" w:hAnsi="宋体" w:eastAsia="宋体"/>
          <w:color w:val="auto"/>
          <w:sz w:val="24"/>
          <w:szCs w:val="24"/>
        </w:rPr>
        <w:t>的标</w:t>
      </w:r>
      <w:r>
        <w:rPr>
          <w:rFonts w:ascii="宋体" w:hAnsi="宋体" w:eastAsia="宋体"/>
          <w:color w:val="auto"/>
          <w:spacing w:val="-3"/>
          <w:sz w:val="24"/>
          <w:szCs w:val="24"/>
        </w:rPr>
        <w:t>准</w:t>
      </w:r>
      <w:r>
        <w:rPr>
          <w:rFonts w:ascii="宋体" w:hAnsi="宋体" w:eastAsia="宋体"/>
          <w:color w:val="auto"/>
          <w:sz w:val="24"/>
          <w:szCs w:val="24"/>
        </w:rPr>
        <w:t>和方法进行审</w:t>
      </w:r>
      <w:r>
        <w:rPr>
          <w:rFonts w:ascii="宋体" w:hAnsi="宋体" w:eastAsia="宋体"/>
          <w:color w:val="auto"/>
          <w:spacing w:val="-3"/>
          <w:sz w:val="24"/>
          <w:szCs w:val="24"/>
        </w:rPr>
        <w:t>查</w:t>
      </w:r>
      <w:r>
        <w:rPr>
          <w:rFonts w:ascii="宋体" w:hAnsi="宋体" w:eastAsia="宋体"/>
          <w:color w:val="auto"/>
          <w:sz w:val="24"/>
          <w:szCs w:val="24"/>
        </w:rPr>
        <w:t>确认。</w:t>
      </w:r>
    </w:p>
    <w:p>
      <w:pPr>
        <w:widowControl/>
        <w:autoSpaceDE w:val="0"/>
        <w:autoSpaceDN w:val="0"/>
        <w:adjustRightInd w:val="0"/>
        <w:spacing w:line="400" w:lineRule="exact"/>
        <w:ind w:firstLine="0" w:firstLineChars="0"/>
        <w:rPr>
          <w:rFonts w:ascii="宋体" w:hAnsi="宋体" w:eastAsia="宋体" w:cs="宋体"/>
          <w:b/>
          <w:color w:val="auto"/>
          <w:sz w:val="24"/>
          <w:szCs w:val="24"/>
        </w:rPr>
      </w:pPr>
      <w:r>
        <w:rPr>
          <w:rFonts w:hint="eastAsia" w:ascii="宋体" w:hAnsi="宋体" w:eastAsia="宋体" w:cs="宋体"/>
          <w:b/>
          <w:color w:val="auto"/>
          <w:sz w:val="24"/>
          <w:szCs w:val="24"/>
        </w:rPr>
        <w:t>7.4 定标</w:t>
      </w:r>
    </w:p>
    <w:p>
      <w:pPr>
        <w:widowControl/>
        <w:autoSpaceDE w:val="0"/>
        <w:autoSpaceDN w:val="0"/>
        <w:adjustRightInd w:val="0"/>
        <w:spacing w:line="400" w:lineRule="exact"/>
        <w:ind w:firstLine="480"/>
        <w:rPr>
          <w:rFonts w:ascii="宋体" w:hAnsi="宋体" w:eastAsia="宋体" w:cs="宋体"/>
          <w:color w:val="auto"/>
          <w:sz w:val="24"/>
        </w:rPr>
      </w:pPr>
      <w:r>
        <w:rPr>
          <w:rFonts w:hint="eastAsia" w:ascii="宋体" w:hAnsi="宋体" w:eastAsia="宋体" w:cs="宋体"/>
          <w:color w:val="auto"/>
          <w:sz w:val="24"/>
        </w:rPr>
        <w:t>按照投标人须知前附表的规定，招标人或招标人授权的评标委员会依法确定中标人。</w:t>
      </w:r>
    </w:p>
    <w:p>
      <w:pPr>
        <w:autoSpaceDE w:val="0"/>
        <w:autoSpaceDN w:val="0"/>
        <w:spacing w:line="400" w:lineRule="exact"/>
        <w:ind w:firstLine="0" w:firstLineChars="0"/>
        <w:outlineLvl w:val="0"/>
        <w:rPr>
          <w:rFonts w:ascii="宋体" w:hAnsi="宋体" w:eastAsia="宋体" w:cs="宋体"/>
          <w:b/>
          <w:color w:val="auto"/>
          <w:sz w:val="24"/>
          <w:szCs w:val="24"/>
        </w:rPr>
      </w:pPr>
      <w:r>
        <w:rPr>
          <w:rFonts w:hint="eastAsia" w:ascii="宋体" w:hAnsi="宋体" w:eastAsia="宋体" w:cs="宋体"/>
          <w:b/>
          <w:color w:val="auto"/>
          <w:sz w:val="24"/>
          <w:szCs w:val="24"/>
        </w:rPr>
        <w:t>7.5 中标通知</w:t>
      </w:r>
      <w:bookmarkEnd w:id="50"/>
    </w:p>
    <w:p>
      <w:pPr>
        <w:autoSpaceDE w:val="0"/>
        <w:autoSpaceDN w:val="0"/>
        <w:spacing w:line="400" w:lineRule="exact"/>
        <w:ind w:firstLine="480"/>
        <w:outlineLvl w:val="0"/>
        <w:rPr>
          <w:rFonts w:ascii="宋体" w:hAnsi="宋体" w:eastAsia="宋体" w:cs="宋体"/>
          <w:color w:val="auto"/>
          <w:sz w:val="24"/>
          <w:szCs w:val="24"/>
        </w:rPr>
      </w:pPr>
      <w:r>
        <w:rPr>
          <w:rFonts w:hint="eastAsia" w:ascii="宋体" w:hAnsi="宋体" w:eastAsia="宋体" w:cs="宋体"/>
          <w:color w:val="auto"/>
          <w:sz w:val="24"/>
          <w:szCs w:val="24"/>
        </w:rPr>
        <w:t>在本章第3.3 款规定的投标有效期内，招标人以书面形式向中标人发出中标通知书，同时将中标结果通知未中标的投标人。</w:t>
      </w:r>
      <w:bookmarkStart w:id="51" w:name="_Toc152045569"/>
      <w:bookmarkStart w:id="52" w:name="_Toc152042345"/>
      <w:bookmarkStart w:id="53" w:name="_Toc144974537"/>
      <w:bookmarkStart w:id="54" w:name="_Toc179632587"/>
    </w:p>
    <w:bookmarkEnd w:id="51"/>
    <w:bookmarkEnd w:id="52"/>
    <w:bookmarkEnd w:id="53"/>
    <w:bookmarkEnd w:id="54"/>
    <w:p>
      <w:pPr>
        <w:autoSpaceDE w:val="0"/>
        <w:autoSpaceDN w:val="0"/>
        <w:spacing w:line="400" w:lineRule="exact"/>
        <w:ind w:firstLine="0" w:firstLineChars="0"/>
        <w:outlineLvl w:val="0"/>
        <w:rPr>
          <w:rFonts w:ascii="宋体" w:hAnsi="宋体" w:eastAsia="宋体" w:cs="宋体"/>
          <w:b/>
          <w:color w:val="auto"/>
          <w:sz w:val="24"/>
          <w:szCs w:val="24"/>
        </w:rPr>
      </w:pPr>
      <w:bookmarkStart w:id="55" w:name="_Toc283559978"/>
      <w:r>
        <w:rPr>
          <w:rFonts w:hint="eastAsia" w:ascii="宋体" w:hAnsi="宋体" w:eastAsia="宋体" w:cs="宋体"/>
          <w:b/>
          <w:color w:val="auto"/>
          <w:sz w:val="24"/>
          <w:szCs w:val="24"/>
        </w:rPr>
        <w:t>7.6 技术成果经济补偿</w:t>
      </w:r>
    </w:p>
    <w:p>
      <w:pPr>
        <w:autoSpaceDE w:val="0"/>
        <w:autoSpaceDN w:val="0"/>
        <w:spacing w:line="400" w:lineRule="exact"/>
        <w:ind w:firstLine="480"/>
        <w:jc w:val="both"/>
        <w:outlineLvl w:val="0"/>
        <w:rPr>
          <w:rFonts w:ascii="宋体" w:hAnsi="宋体" w:eastAsia="宋体" w:cs="宋体"/>
          <w:color w:val="auto"/>
          <w:sz w:val="24"/>
          <w:szCs w:val="24"/>
        </w:rPr>
      </w:pPr>
      <w:r>
        <w:rPr>
          <w:rFonts w:hint="eastAsia" w:ascii="宋体" w:hAnsi="宋体" w:eastAsia="宋体" w:cs="宋体"/>
          <w:color w:val="auto"/>
          <w:sz w:val="24"/>
          <w:szCs w:val="24"/>
        </w:rPr>
        <w:t>招标人对符合招标文件规定的未中标人的技术成果进行补偿的，招标人将按投标人须知前附表规定的标准给予经济补偿，未中标人在投标文件中声明放弃技术成果经济补偿费的除外。招标人将于中标通知书发出后30日内向未中标人支付技术成果经济补偿费。</w:t>
      </w:r>
    </w:p>
    <w:p>
      <w:pPr>
        <w:autoSpaceDE w:val="0"/>
        <w:autoSpaceDN w:val="0"/>
        <w:spacing w:line="400" w:lineRule="exact"/>
        <w:ind w:firstLine="0" w:firstLineChars="0"/>
        <w:outlineLvl w:val="0"/>
        <w:rPr>
          <w:rFonts w:ascii="宋体" w:hAnsi="宋体" w:eastAsia="宋体" w:cs="宋体"/>
          <w:b/>
          <w:color w:val="auto"/>
          <w:sz w:val="24"/>
          <w:szCs w:val="24"/>
        </w:rPr>
      </w:pPr>
      <w:r>
        <w:rPr>
          <w:rFonts w:hint="eastAsia" w:ascii="宋体" w:hAnsi="宋体" w:eastAsia="宋体" w:cs="宋体"/>
          <w:b/>
          <w:color w:val="auto"/>
          <w:sz w:val="24"/>
          <w:szCs w:val="24"/>
        </w:rPr>
        <w:t>7.7 履约保证金</w:t>
      </w:r>
    </w:p>
    <w:p>
      <w:pPr>
        <w:autoSpaceDE w:val="0"/>
        <w:autoSpaceDN w:val="0"/>
        <w:spacing w:line="400" w:lineRule="exact"/>
        <w:ind w:firstLine="480"/>
        <w:jc w:val="both"/>
        <w:outlineLvl w:val="0"/>
        <w:rPr>
          <w:rFonts w:ascii="宋体" w:hAnsi="宋体" w:eastAsia="宋体" w:cs="宋体"/>
          <w:color w:val="auto"/>
          <w:sz w:val="24"/>
          <w:szCs w:val="24"/>
        </w:rPr>
      </w:pPr>
      <w:r>
        <w:rPr>
          <w:rFonts w:hint="eastAsia" w:ascii="宋体" w:hAnsi="宋体" w:eastAsia="宋体" w:cs="宋体"/>
          <w:color w:val="auto"/>
          <w:sz w:val="24"/>
          <w:szCs w:val="24"/>
        </w:rPr>
        <w:t>7.7.1 无</w:t>
      </w:r>
    </w:p>
    <w:p>
      <w:pPr>
        <w:autoSpaceDE w:val="0"/>
        <w:autoSpaceDN w:val="0"/>
        <w:spacing w:line="400" w:lineRule="exact"/>
        <w:ind w:firstLine="0" w:firstLineChars="0"/>
        <w:outlineLvl w:val="0"/>
        <w:rPr>
          <w:rFonts w:ascii="宋体" w:hAnsi="宋体" w:eastAsia="宋体" w:cs="宋体"/>
          <w:b/>
          <w:color w:val="auto"/>
          <w:sz w:val="24"/>
          <w:szCs w:val="24"/>
        </w:rPr>
      </w:pPr>
      <w:r>
        <w:rPr>
          <w:rFonts w:hint="eastAsia" w:ascii="宋体" w:hAnsi="宋体" w:eastAsia="宋体" w:cs="宋体"/>
          <w:b/>
          <w:color w:val="auto"/>
          <w:sz w:val="24"/>
          <w:szCs w:val="24"/>
        </w:rPr>
        <w:t>7.</w:t>
      </w:r>
      <w:bookmarkStart w:id="56" w:name="_Toc283559977"/>
      <w:r>
        <w:rPr>
          <w:rFonts w:hint="eastAsia" w:ascii="宋体" w:hAnsi="宋体" w:eastAsia="宋体" w:cs="宋体"/>
          <w:b/>
          <w:color w:val="auto"/>
          <w:sz w:val="24"/>
          <w:szCs w:val="24"/>
        </w:rPr>
        <w:t>8 签订合同</w:t>
      </w:r>
      <w:bookmarkEnd w:id="56"/>
    </w:p>
    <w:p>
      <w:pPr>
        <w:autoSpaceDE w:val="0"/>
        <w:autoSpaceDN w:val="0"/>
        <w:spacing w:line="400" w:lineRule="exact"/>
        <w:ind w:firstLine="480"/>
        <w:jc w:val="both"/>
        <w:outlineLvl w:val="0"/>
        <w:rPr>
          <w:rFonts w:ascii="宋体" w:hAnsi="宋体" w:eastAsia="宋体" w:cs="宋体"/>
          <w:color w:val="auto"/>
          <w:sz w:val="24"/>
          <w:szCs w:val="24"/>
        </w:rPr>
      </w:pPr>
      <w:r>
        <w:rPr>
          <w:rFonts w:hint="eastAsia" w:ascii="宋体" w:hAnsi="宋体" w:eastAsia="宋体" w:cs="宋体"/>
          <w:color w:val="auto"/>
          <w:sz w:val="24"/>
          <w:szCs w:val="24"/>
        </w:rPr>
        <w:t>7.8.1 招标人和中标人应当在中标通知书发出之日起 30 日内，根据招标文件和中标人的投标文件订立书面合同。中标人无正当理由拒签合同，在签订合同时向招标人提出附加条件，或者不按照招标文件要求提交履约保证金的，招标人有权取消其中标资格，其投标保证金不予退还；给招标人造成的损失超过投标保证金数额的，中标人还应当对超过部分予以赔偿。</w:t>
      </w:r>
    </w:p>
    <w:p>
      <w:pPr>
        <w:autoSpaceDE w:val="0"/>
        <w:autoSpaceDN w:val="0"/>
        <w:spacing w:line="400" w:lineRule="exact"/>
        <w:ind w:firstLine="480"/>
        <w:jc w:val="both"/>
        <w:outlineLvl w:val="0"/>
        <w:rPr>
          <w:rFonts w:ascii="宋体" w:hAnsi="宋体" w:eastAsia="宋体" w:cs="宋体"/>
          <w:color w:val="auto"/>
          <w:sz w:val="24"/>
          <w:szCs w:val="24"/>
        </w:rPr>
      </w:pPr>
      <w:r>
        <w:rPr>
          <w:rFonts w:hint="eastAsia" w:ascii="宋体" w:hAnsi="宋体" w:eastAsia="宋体" w:cs="宋体"/>
          <w:color w:val="auto"/>
          <w:sz w:val="24"/>
          <w:szCs w:val="24"/>
        </w:rPr>
        <w:t>7.8.2 发出中标通知书后，招标人无正当理由拒签合同，或者在签订合同时向中标人提出附加条件的，招标人向中标人退还投标保证金；给中标人造成损失的，还应当赔偿损失。</w:t>
      </w:r>
    </w:p>
    <w:p>
      <w:pPr>
        <w:autoSpaceDE w:val="0"/>
        <w:autoSpaceDN w:val="0"/>
        <w:spacing w:line="400" w:lineRule="exact"/>
        <w:ind w:firstLine="480"/>
        <w:jc w:val="both"/>
        <w:outlineLvl w:val="0"/>
        <w:rPr>
          <w:rFonts w:ascii="宋体" w:hAnsi="宋体" w:eastAsia="宋体" w:cs="宋体"/>
          <w:b/>
          <w:color w:val="auto"/>
          <w:sz w:val="24"/>
          <w:szCs w:val="24"/>
        </w:rPr>
      </w:pPr>
      <w:r>
        <w:rPr>
          <w:rFonts w:hint="eastAsia" w:ascii="宋体" w:hAnsi="宋体" w:eastAsia="宋体" w:cs="宋体"/>
          <w:color w:val="auto"/>
          <w:sz w:val="24"/>
          <w:szCs w:val="24"/>
        </w:rPr>
        <w:t>7.8.3 联合体中标的，联合体各方应当共同与招标人签订合同，就中标项目向招标人承担连带责任。</w:t>
      </w:r>
    </w:p>
    <w:bookmarkEnd w:id="55"/>
    <w:p>
      <w:pPr>
        <w:pStyle w:val="94"/>
        <w:spacing w:line="400" w:lineRule="exact"/>
        <w:jc w:val="both"/>
        <w:outlineLvl w:val="0"/>
        <w:rPr>
          <w:b/>
          <w:color w:val="auto"/>
        </w:rPr>
      </w:pPr>
      <w:bookmarkStart w:id="57" w:name="_Toc283559981"/>
      <w:r>
        <w:rPr>
          <w:rFonts w:hint="eastAsia"/>
          <w:b/>
          <w:color w:val="auto"/>
        </w:rPr>
        <w:t>8. 纪律和监督</w:t>
      </w:r>
      <w:bookmarkEnd w:id="57"/>
    </w:p>
    <w:p>
      <w:pPr>
        <w:autoSpaceDE w:val="0"/>
        <w:autoSpaceDN w:val="0"/>
        <w:adjustRightInd w:val="0"/>
        <w:spacing w:line="400" w:lineRule="exact"/>
        <w:ind w:firstLine="0" w:firstLineChars="0"/>
        <w:outlineLvl w:val="0"/>
        <w:rPr>
          <w:rFonts w:ascii="宋体" w:hAnsi="宋体" w:eastAsia="宋体" w:cs="宋体"/>
          <w:b/>
          <w:color w:val="auto"/>
          <w:sz w:val="24"/>
          <w:szCs w:val="24"/>
        </w:rPr>
      </w:pPr>
      <w:bookmarkStart w:id="58" w:name="_Toc283559982"/>
      <w:r>
        <w:rPr>
          <w:rFonts w:hint="eastAsia" w:ascii="宋体" w:hAnsi="宋体" w:eastAsia="宋体" w:cs="宋体"/>
          <w:b/>
          <w:color w:val="auto"/>
          <w:sz w:val="24"/>
          <w:szCs w:val="24"/>
        </w:rPr>
        <w:t>8.1 对招标人的纪律要求</w:t>
      </w:r>
      <w:bookmarkEnd w:id="58"/>
    </w:p>
    <w:p>
      <w:pPr>
        <w:autoSpaceDE w:val="0"/>
        <w:autoSpaceDN w:val="0"/>
        <w:adjustRightInd w:val="0"/>
        <w:spacing w:line="400" w:lineRule="exact"/>
        <w:ind w:firstLine="480"/>
        <w:rPr>
          <w:rFonts w:ascii="宋体" w:hAnsi="宋体" w:eastAsia="宋体" w:cs="宋体"/>
          <w:color w:val="auto"/>
          <w:sz w:val="24"/>
          <w:szCs w:val="24"/>
        </w:rPr>
      </w:pPr>
      <w:r>
        <w:rPr>
          <w:rFonts w:hint="eastAsia" w:ascii="宋体" w:hAnsi="宋体" w:eastAsia="宋体" w:cs="宋体"/>
          <w:color w:val="auto"/>
          <w:sz w:val="24"/>
          <w:szCs w:val="24"/>
        </w:rPr>
        <w:t>招标人不得泄漏招标投标活动中应当保密的情况和资料，不得与投标人串通损害国家利益、社会公共利益或者他人合法权益。</w:t>
      </w:r>
    </w:p>
    <w:p>
      <w:pPr>
        <w:autoSpaceDE w:val="0"/>
        <w:autoSpaceDN w:val="0"/>
        <w:adjustRightInd w:val="0"/>
        <w:spacing w:line="400" w:lineRule="exact"/>
        <w:ind w:firstLine="0" w:firstLineChars="0"/>
        <w:outlineLvl w:val="0"/>
        <w:rPr>
          <w:rFonts w:ascii="宋体" w:hAnsi="宋体" w:eastAsia="宋体" w:cs="宋体"/>
          <w:b/>
          <w:color w:val="auto"/>
          <w:sz w:val="24"/>
          <w:szCs w:val="24"/>
        </w:rPr>
      </w:pPr>
      <w:bookmarkStart w:id="59" w:name="_Toc283559983"/>
      <w:r>
        <w:rPr>
          <w:rFonts w:hint="eastAsia" w:ascii="宋体" w:hAnsi="宋体" w:eastAsia="宋体" w:cs="宋体"/>
          <w:b/>
          <w:color w:val="auto"/>
          <w:sz w:val="24"/>
          <w:szCs w:val="24"/>
        </w:rPr>
        <w:t>8.2 对投标人的纪律要求</w:t>
      </w:r>
      <w:bookmarkEnd w:id="59"/>
    </w:p>
    <w:p>
      <w:pPr>
        <w:autoSpaceDE w:val="0"/>
        <w:autoSpaceDN w:val="0"/>
        <w:adjustRightInd w:val="0"/>
        <w:spacing w:line="400" w:lineRule="exact"/>
        <w:ind w:firstLine="480"/>
        <w:rPr>
          <w:rFonts w:ascii="宋体" w:hAnsi="宋体" w:eastAsia="宋体" w:cs="宋体"/>
          <w:color w:val="auto"/>
          <w:sz w:val="24"/>
          <w:szCs w:val="24"/>
        </w:rPr>
      </w:pPr>
      <w:r>
        <w:rPr>
          <w:rFonts w:hint="eastAsia" w:ascii="宋体" w:hAnsi="宋体" w:eastAsia="宋体" w:cs="宋体"/>
          <w:color w:val="auto"/>
          <w:sz w:val="24"/>
          <w:szCs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spacing w:line="400" w:lineRule="exact"/>
        <w:ind w:firstLine="0" w:firstLineChars="0"/>
        <w:outlineLvl w:val="0"/>
        <w:rPr>
          <w:rFonts w:ascii="宋体" w:hAnsi="宋体" w:eastAsia="宋体" w:cs="宋体"/>
          <w:b/>
          <w:color w:val="auto"/>
          <w:sz w:val="24"/>
          <w:szCs w:val="24"/>
        </w:rPr>
      </w:pPr>
      <w:bookmarkStart w:id="60" w:name="_Toc283559984"/>
      <w:r>
        <w:rPr>
          <w:rFonts w:hint="eastAsia" w:ascii="宋体" w:hAnsi="宋体" w:eastAsia="宋体" w:cs="宋体"/>
          <w:b/>
          <w:color w:val="auto"/>
          <w:sz w:val="24"/>
          <w:szCs w:val="24"/>
        </w:rPr>
        <w:t>8.3 对评标委员会成员的纪律要求</w:t>
      </w:r>
      <w:bookmarkEnd w:id="60"/>
    </w:p>
    <w:p>
      <w:pPr>
        <w:autoSpaceDE w:val="0"/>
        <w:autoSpaceDN w:val="0"/>
        <w:adjustRightInd w:val="0"/>
        <w:spacing w:line="400" w:lineRule="exact"/>
        <w:ind w:firstLine="480"/>
        <w:rPr>
          <w:rFonts w:ascii="宋体" w:hAnsi="宋体" w:eastAsia="宋体" w:cs="宋体"/>
          <w:color w:val="auto"/>
          <w:sz w:val="24"/>
          <w:szCs w:val="24"/>
        </w:rPr>
      </w:pPr>
      <w:r>
        <w:rPr>
          <w:rFonts w:hint="eastAsia" w:ascii="宋体" w:hAnsi="宋体" w:eastAsia="宋体" w:cs="宋体"/>
          <w:color w:val="auto"/>
          <w:sz w:val="24"/>
          <w:szCs w:val="24"/>
        </w:rPr>
        <w:t>评标委员会成员不得收受他人的财物或者其他好处，不得向他人透露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pPr>
        <w:autoSpaceDE w:val="0"/>
        <w:autoSpaceDN w:val="0"/>
        <w:adjustRightInd w:val="0"/>
        <w:spacing w:line="400" w:lineRule="exact"/>
        <w:ind w:firstLine="0" w:firstLineChars="0"/>
        <w:outlineLvl w:val="0"/>
        <w:rPr>
          <w:rFonts w:ascii="宋体" w:hAnsi="宋体" w:eastAsia="宋体" w:cs="宋体"/>
          <w:b/>
          <w:color w:val="auto"/>
          <w:sz w:val="24"/>
          <w:szCs w:val="24"/>
        </w:rPr>
      </w:pPr>
      <w:bookmarkStart w:id="61" w:name="_Toc283559985"/>
      <w:r>
        <w:rPr>
          <w:rFonts w:hint="eastAsia" w:ascii="宋体" w:hAnsi="宋体" w:eastAsia="宋体" w:cs="宋体"/>
          <w:b/>
          <w:color w:val="auto"/>
          <w:sz w:val="24"/>
          <w:szCs w:val="24"/>
        </w:rPr>
        <w:t>8.4 对与评标活动有关的工作人员的纪律要求</w:t>
      </w:r>
      <w:bookmarkEnd w:id="61"/>
    </w:p>
    <w:p>
      <w:pPr>
        <w:autoSpaceDE w:val="0"/>
        <w:autoSpaceDN w:val="0"/>
        <w:adjustRightInd w:val="0"/>
        <w:spacing w:line="400" w:lineRule="exact"/>
        <w:ind w:firstLine="480"/>
        <w:rPr>
          <w:rFonts w:ascii="宋体" w:hAnsi="宋体" w:eastAsia="宋体" w:cs="宋体"/>
          <w:color w:val="auto"/>
          <w:sz w:val="24"/>
          <w:szCs w:val="24"/>
        </w:rPr>
      </w:pPr>
      <w:r>
        <w:rPr>
          <w:rFonts w:hint="eastAsia" w:ascii="宋体" w:hAnsi="宋体" w:eastAsia="宋体" w:cs="宋体"/>
          <w:color w:val="auto"/>
          <w:sz w:val="24"/>
          <w:szCs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autoSpaceDE w:val="0"/>
        <w:autoSpaceDN w:val="0"/>
        <w:adjustRightInd w:val="0"/>
        <w:spacing w:line="400" w:lineRule="exact"/>
        <w:ind w:firstLine="0" w:firstLineChars="0"/>
        <w:outlineLvl w:val="0"/>
        <w:rPr>
          <w:rFonts w:ascii="宋体" w:hAnsi="宋体" w:eastAsia="宋体" w:cs="宋体"/>
          <w:b/>
          <w:color w:val="auto"/>
          <w:sz w:val="24"/>
          <w:szCs w:val="24"/>
        </w:rPr>
      </w:pPr>
      <w:bookmarkStart w:id="62" w:name="_Toc283559986"/>
      <w:r>
        <w:rPr>
          <w:rFonts w:hint="eastAsia" w:ascii="宋体" w:hAnsi="宋体" w:eastAsia="宋体" w:cs="宋体"/>
          <w:b/>
          <w:color w:val="auto"/>
          <w:sz w:val="24"/>
          <w:szCs w:val="24"/>
        </w:rPr>
        <w:t>8.5 投诉</w:t>
      </w:r>
      <w:bookmarkEnd w:id="62"/>
    </w:p>
    <w:p>
      <w:pPr>
        <w:autoSpaceDE w:val="0"/>
        <w:autoSpaceDN w:val="0"/>
        <w:adjustRightInd w:val="0"/>
        <w:spacing w:line="400" w:lineRule="exact"/>
        <w:ind w:firstLine="480"/>
        <w:jc w:val="both"/>
        <w:rPr>
          <w:rFonts w:ascii="宋体" w:hAnsi="宋体" w:eastAsia="宋体" w:cs="宋体"/>
          <w:color w:val="auto"/>
          <w:sz w:val="24"/>
          <w:szCs w:val="24"/>
        </w:rPr>
      </w:pPr>
      <w:r>
        <w:rPr>
          <w:rFonts w:hint="eastAsia" w:ascii="宋体" w:hAnsi="宋体" w:eastAsia="宋体" w:cs="宋体"/>
          <w:color w:val="auto"/>
          <w:sz w:val="24"/>
          <w:szCs w:val="24"/>
        </w:rPr>
        <w:t>8.5.1 投标人或者其他利害关系人认为招标投标活动不符合法律、行政法规规定的，可以自知道或者应当知道之日起10日内向有关行政监督部门投诉。投诉应当有明确的请求和必要的证明材料。</w:t>
      </w:r>
    </w:p>
    <w:p>
      <w:pPr>
        <w:autoSpaceDE w:val="0"/>
        <w:autoSpaceDN w:val="0"/>
        <w:adjustRightInd w:val="0"/>
        <w:spacing w:line="400" w:lineRule="exact"/>
        <w:ind w:firstLine="480"/>
        <w:jc w:val="both"/>
        <w:rPr>
          <w:rFonts w:ascii="宋体" w:hAnsi="宋体" w:eastAsia="宋体" w:cs="宋体"/>
          <w:color w:val="auto"/>
          <w:sz w:val="24"/>
          <w:szCs w:val="24"/>
        </w:rPr>
      </w:pPr>
      <w:r>
        <w:rPr>
          <w:rFonts w:hint="eastAsia" w:ascii="宋体" w:hAnsi="宋体" w:eastAsia="宋体" w:cs="宋体"/>
          <w:color w:val="auto"/>
          <w:sz w:val="24"/>
          <w:szCs w:val="24"/>
        </w:rPr>
        <w:t>8.5.2 投标人或者其他利害关系人对招标文件、开标和评标结果提出投诉的，应当按照投标人须知第2.4款、第5.3款和第7.2款的规定先向招标人提出异议。异议答复期间不计算在第8.5.1项规定的期限内。</w:t>
      </w:r>
    </w:p>
    <w:p>
      <w:pPr>
        <w:pStyle w:val="94"/>
        <w:spacing w:line="400" w:lineRule="exact"/>
        <w:jc w:val="both"/>
        <w:outlineLvl w:val="0"/>
        <w:rPr>
          <w:b/>
          <w:color w:val="auto"/>
        </w:rPr>
      </w:pPr>
      <w:bookmarkStart w:id="63" w:name="_Toc283559987"/>
      <w:r>
        <w:rPr>
          <w:rFonts w:hint="eastAsia"/>
          <w:b/>
          <w:color w:val="auto"/>
        </w:rPr>
        <w:t>9. 是否采用电子招标投标</w:t>
      </w:r>
    </w:p>
    <w:p>
      <w:pPr>
        <w:autoSpaceDE w:val="0"/>
        <w:autoSpaceDN w:val="0"/>
        <w:adjustRightInd w:val="0"/>
        <w:spacing w:line="400" w:lineRule="exact"/>
        <w:ind w:firstLine="480"/>
        <w:jc w:val="both"/>
        <w:rPr>
          <w:rFonts w:ascii="宋体" w:hAnsi="宋体" w:eastAsia="宋体" w:cs="宋体"/>
          <w:color w:val="auto"/>
          <w:sz w:val="24"/>
          <w:szCs w:val="24"/>
        </w:rPr>
      </w:pPr>
      <w:r>
        <w:rPr>
          <w:rFonts w:hint="eastAsia" w:ascii="宋体" w:hAnsi="宋体" w:eastAsia="宋体" w:cs="宋体"/>
          <w:color w:val="auto"/>
          <w:sz w:val="24"/>
          <w:szCs w:val="24"/>
        </w:rPr>
        <w:t>本招标项目是否采用电子招标投标方式，见投标人须知前附表。</w:t>
      </w:r>
    </w:p>
    <w:bookmarkEnd w:id="63"/>
    <w:p>
      <w:pPr>
        <w:pStyle w:val="94"/>
        <w:spacing w:line="400" w:lineRule="exact"/>
        <w:jc w:val="both"/>
        <w:outlineLvl w:val="0"/>
        <w:rPr>
          <w:b/>
          <w:color w:val="auto"/>
        </w:rPr>
      </w:pPr>
      <w:r>
        <w:rPr>
          <w:rFonts w:hint="eastAsia"/>
          <w:b/>
          <w:color w:val="auto"/>
        </w:rPr>
        <w:t>10.需要补充的其他内容</w:t>
      </w:r>
    </w:p>
    <w:p>
      <w:pPr>
        <w:autoSpaceDE w:val="0"/>
        <w:autoSpaceDN w:val="0"/>
        <w:adjustRightInd w:val="0"/>
        <w:spacing w:line="400" w:lineRule="exact"/>
        <w:ind w:firstLine="480"/>
        <w:jc w:val="both"/>
        <w:rPr>
          <w:rFonts w:ascii="宋体" w:hAnsi="宋体" w:eastAsia="宋体" w:cs="宋体"/>
          <w:color w:val="auto"/>
          <w:sz w:val="24"/>
          <w:szCs w:val="24"/>
        </w:rPr>
      </w:pPr>
      <w:r>
        <w:rPr>
          <w:rFonts w:hint="eastAsia" w:ascii="宋体" w:hAnsi="宋体" w:eastAsia="宋体" w:cs="宋体"/>
          <w:color w:val="auto"/>
          <w:sz w:val="24"/>
          <w:szCs w:val="24"/>
        </w:rPr>
        <w:t>需要补充的其他内容：见投标人须知前附表。</w:t>
      </w:r>
    </w:p>
    <w:p>
      <w:pPr>
        <w:pStyle w:val="6"/>
        <w:ind w:firstLine="137"/>
        <w:rPr>
          <w:rFonts w:hint="eastAsia" w:ascii="Times New Roman" w:hAnsi="Times New Roman"/>
          <w:color w:val="auto"/>
        </w:rPr>
      </w:pPr>
      <w:r>
        <w:rPr>
          <w:rFonts w:hint="eastAsia" w:ascii="Times New Roman" w:hAnsi="Times New Roman"/>
          <w:color w:val="auto"/>
        </w:rPr>
        <w:br w:type="page"/>
      </w:r>
    </w:p>
    <w:p>
      <w:pPr>
        <w:pStyle w:val="6"/>
        <w:ind w:firstLine="137"/>
        <w:rPr>
          <w:rFonts w:ascii="Times New Roman" w:hAnsi="Times New Roman"/>
          <w:color w:val="auto"/>
        </w:rPr>
      </w:pPr>
      <w:r>
        <w:rPr>
          <w:rFonts w:hint="eastAsia" w:ascii="Times New Roman" w:hAnsi="Times New Roman"/>
          <w:color w:val="auto"/>
        </w:rPr>
        <w:t>附件一：开标记录表</w:t>
      </w:r>
      <w:bookmarkEnd w:id="5"/>
    </w:p>
    <w:p>
      <w:pPr>
        <w:spacing w:line="440" w:lineRule="exact"/>
        <w:jc w:val="center"/>
        <w:rPr>
          <w:rFonts w:ascii="Times New Roman" w:hAnsi="Times New Roman" w:eastAsia="黑体"/>
          <w:color w:val="auto"/>
          <w:sz w:val="28"/>
        </w:rPr>
      </w:pPr>
      <w:r>
        <w:rPr>
          <w:rFonts w:ascii="Times New Roman" w:hAnsi="Times New Roman" w:eastAsia="黑体"/>
          <w:color w:val="auto"/>
          <w:sz w:val="28"/>
        </w:rPr>
        <w:t>开标记录表</w:t>
      </w:r>
    </w:p>
    <w:p>
      <w:pPr>
        <w:spacing w:beforeLines="50" w:afterLines="50" w:line="400" w:lineRule="exact"/>
        <w:ind w:right="420"/>
        <w:jc w:val="right"/>
        <w:rPr>
          <w:rFonts w:ascii="Times New Roman" w:hAnsi="Times New Roman"/>
          <w:color w:val="auto"/>
        </w:rPr>
      </w:pPr>
      <w:r>
        <w:rPr>
          <w:rFonts w:ascii="Times New Roman" w:hAnsi="Times New Roman"/>
          <w:color w:val="auto"/>
        </w:rPr>
        <w:t>开标时间：</w:t>
      </w:r>
      <w:r>
        <w:rPr>
          <w:rFonts w:ascii="Times New Roman" w:hAnsi="Times New Roman"/>
          <w:color w:val="auto"/>
          <w:u w:val="single"/>
        </w:rPr>
        <w:t xml:space="preserve">         </w:t>
      </w:r>
      <w:r>
        <w:rPr>
          <w:rFonts w:ascii="Times New Roman" w:hAnsi="Times New Roman"/>
          <w:color w:val="auto"/>
        </w:rPr>
        <w:t>年</w:t>
      </w:r>
      <w:r>
        <w:rPr>
          <w:rFonts w:ascii="Times New Roman" w:hAnsi="Times New Roman"/>
          <w:color w:val="auto"/>
          <w:u w:val="single"/>
        </w:rPr>
        <w:t xml:space="preserve">         </w:t>
      </w:r>
      <w:r>
        <w:rPr>
          <w:rFonts w:ascii="Times New Roman" w:hAnsi="Times New Roman"/>
          <w:color w:val="auto"/>
        </w:rPr>
        <w:t>月</w:t>
      </w:r>
      <w:r>
        <w:rPr>
          <w:rFonts w:ascii="Times New Roman" w:hAnsi="Times New Roman"/>
          <w:color w:val="auto"/>
          <w:u w:val="single"/>
        </w:rPr>
        <w:t xml:space="preserve">         </w:t>
      </w:r>
      <w:r>
        <w:rPr>
          <w:rFonts w:ascii="Times New Roman" w:hAnsi="Times New Roman"/>
          <w:color w:val="auto"/>
        </w:rPr>
        <w:t>日</w:t>
      </w:r>
      <w:r>
        <w:rPr>
          <w:rFonts w:ascii="Times New Roman" w:hAnsi="Times New Roman"/>
          <w:color w:val="auto"/>
          <w:u w:val="single"/>
        </w:rPr>
        <w:t xml:space="preserve">         </w:t>
      </w:r>
      <w:r>
        <w:rPr>
          <w:rFonts w:ascii="Times New Roman" w:hAnsi="Times New Roman"/>
          <w:color w:val="auto"/>
        </w:rPr>
        <w:t>时</w:t>
      </w:r>
      <w:r>
        <w:rPr>
          <w:rFonts w:ascii="Times New Roman" w:hAnsi="Times New Roman"/>
          <w:color w:val="auto"/>
          <w:u w:val="single"/>
        </w:rPr>
        <w:t xml:space="preserve">         </w:t>
      </w:r>
      <w:r>
        <w:rPr>
          <w:rFonts w:ascii="Times New Roman" w:hAnsi="Times New Roman"/>
          <w:color w:val="auto"/>
        </w:rPr>
        <w:t>分</w:t>
      </w:r>
    </w:p>
    <w:tbl>
      <w:tblPr>
        <w:tblStyle w:val="38"/>
        <w:tblW w:w="8330" w:type="dxa"/>
        <w:tblInd w:w="0" w:type="dxa"/>
        <w:tblLayout w:type="fixed"/>
        <w:tblCellMar>
          <w:top w:w="0" w:type="dxa"/>
          <w:left w:w="108" w:type="dxa"/>
          <w:bottom w:w="0" w:type="dxa"/>
          <w:right w:w="108" w:type="dxa"/>
        </w:tblCellMar>
      </w:tblPr>
      <w:tblGrid>
        <w:gridCol w:w="649"/>
        <w:gridCol w:w="1019"/>
        <w:gridCol w:w="992"/>
        <w:gridCol w:w="992"/>
        <w:gridCol w:w="1134"/>
        <w:gridCol w:w="851"/>
        <w:gridCol w:w="992"/>
        <w:gridCol w:w="709"/>
        <w:gridCol w:w="992"/>
      </w:tblGrid>
      <w:tr>
        <w:tblPrEx>
          <w:tblLayout w:type="fixed"/>
          <w:tblCellMar>
            <w:top w:w="0" w:type="dxa"/>
            <w:left w:w="108" w:type="dxa"/>
            <w:bottom w:w="0" w:type="dxa"/>
            <w:right w:w="108" w:type="dxa"/>
          </w:tblCellMar>
        </w:tblPrEx>
        <w:tc>
          <w:tcPr>
            <w:tcW w:w="64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imes New Roman" w:hAnsi="Times New Roman"/>
                <w:color w:val="auto"/>
                <w:sz w:val="18"/>
              </w:rPr>
            </w:pPr>
            <w:r>
              <w:rPr>
                <w:rFonts w:ascii="Times New Roman" w:hAnsi="Times New Roman"/>
                <w:color w:val="auto"/>
                <w:sz w:val="18"/>
              </w:rPr>
              <w:t>序号</w:t>
            </w:r>
          </w:p>
        </w:tc>
        <w:tc>
          <w:tcPr>
            <w:tcW w:w="101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imes New Roman" w:hAnsi="Times New Roman"/>
                <w:color w:val="auto"/>
                <w:sz w:val="18"/>
              </w:rPr>
            </w:pPr>
            <w:r>
              <w:rPr>
                <w:rFonts w:ascii="Times New Roman" w:hAnsi="Times New Roman"/>
                <w:color w:val="auto"/>
                <w:sz w:val="18"/>
              </w:rPr>
              <w:t>投标人</w:t>
            </w:r>
          </w:p>
        </w:tc>
        <w:tc>
          <w:tcPr>
            <w:tcW w:w="992"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Times New Roman" w:hAnsi="Times New Roman"/>
                <w:color w:val="auto"/>
                <w:sz w:val="18"/>
              </w:rPr>
            </w:pPr>
            <w:r>
              <w:rPr>
                <w:rFonts w:ascii="Times New Roman" w:hAnsi="Times New Roman"/>
                <w:color w:val="auto"/>
                <w:sz w:val="18"/>
              </w:rPr>
              <w:t>密封情况</w:t>
            </w:r>
          </w:p>
        </w:tc>
        <w:tc>
          <w:tcPr>
            <w:tcW w:w="992"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imes New Roman" w:hAnsi="Times New Roman"/>
                <w:color w:val="auto"/>
                <w:sz w:val="18"/>
              </w:rPr>
            </w:pPr>
            <w:r>
              <w:rPr>
                <w:rFonts w:ascii="Times New Roman" w:hAnsi="Times New Roman"/>
                <w:color w:val="auto"/>
                <w:sz w:val="18"/>
              </w:rPr>
              <w:t>投标保证金</w:t>
            </w:r>
          </w:p>
        </w:tc>
        <w:tc>
          <w:tcPr>
            <w:tcW w:w="11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imes New Roman" w:hAnsi="Times New Roman"/>
                <w:color w:val="auto"/>
                <w:sz w:val="18"/>
              </w:rPr>
            </w:pPr>
            <w:r>
              <w:rPr>
                <w:rFonts w:ascii="Times New Roman" w:hAnsi="Times New Roman"/>
                <w:color w:val="auto"/>
                <w:sz w:val="18"/>
              </w:rPr>
              <w:t>投标报价</w:t>
            </w:r>
          </w:p>
          <w:p>
            <w:pPr>
              <w:spacing w:line="500" w:lineRule="exact"/>
              <w:jc w:val="center"/>
              <w:rPr>
                <w:rFonts w:ascii="Times New Roman" w:hAnsi="Times New Roman"/>
                <w:color w:val="auto"/>
                <w:sz w:val="18"/>
              </w:rPr>
            </w:pPr>
            <w:r>
              <w:rPr>
                <w:rFonts w:ascii="Times New Roman" w:hAnsi="Times New Roman"/>
                <w:color w:val="auto"/>
                <w:sz w:val="18"/>
              </w:rPr>
              <w:t>（万元）</w:t>
            </w:r>
          </w:p>
        </w:tc>
        <w:tc>
          <w:tcPr>
            <w:tcW w:w="85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imes New Roman" w:hAnsi="Times New Roman"/>
                <w:color w:val="auto"/>
                <w:sz w:val="18"/>
              </w:rPr>
            </w:pPr>
            <w:r>
              <w:rPr>
                <w:rFonts w:ascii="Times New Roman" w:hAnsi="Times New Roman"/>
                <w:color w:val="auto"/>
                <w:sz w:val="18"/>
              </w:rPr>
              <w:t>项目负责人</w:t>
            </w:r>
          </w:p>
        </w:tc>
        <w:tc>
          <w:tcPr>
            <w:tcW w:w="992"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imes New Roman" w:hAnsi="Times New Roman"/>
                <w:color w:val="auto"/>
                <w:sz w:val="18"/>
              </w:rPr>
            </w:pPr>
            <w:r>
              <w:rPr>
                <w:rFonts w:ascii="Times New Roman" w:hAnsi="Times New Roman"/>
                <w:color w:val="auto"/>
                <w:sz w:val="18"/>
              </w:rPr>
              <w:t>勘察服务期限</w:t>
            </w:r>
          </w:p>
        </w:tc>
        <w:tc>
          <w:tcPr>
            <w:tcW w:w="70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imes New Roman" w:hAnsi="Times New Roman"/>
                <w:color w:val="auto"/>
                <w:sz w:val="18"/>
              </w:rPr>
            </w:pPr>
            <w:r>
              <w:rPr>
                <w:rFonts w:ascii="Times New Roman" w:hAnsi="Times New Roman"/>
                <w:color w:val="auto"/>
                <w:sz w:val="18"/>
              </w:rPr>
              <w:t>备注</w:t>
            </w:r>
          </w:p>
        </w:tc>
        <w:tc>
          <w:tcPr>
            <w:tcW w:w="992"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imes New Roman" w:hAnsi="Times New Roman"/>
                <w:color w:val="auto"/>
                <w:sz w:val="18"/>
              </w:rPr>
            </w:pPr>
            <w:r>
              <w:rPr>
                <w:rFonts w:ascii="Times New Roman" w:hAnsi="Times New Roman"/>
                <w:color w:val="auto"/>
                <w:sz w:val="18"/>
              </w:rPr>
              <w:t>投标人代表签名</w:t>
            </w:r>
          </w:p>
        </w:tc>
      </w:tr>
      <w:tr>
        <w:tblPrEx>
          <w:tblLayout w:type="fixed"/>
          <w:tblCellMar>
            <w:top w:w="0" w:type="dxa"/>
            <w:left w:w="108" w:type="dxa"/>
            <w:bottom w:w="0" w:type="dxa"/>
            <w:right w:w="108" w:type="dxa"/>
          </w:tblCellMar>
        </w:tblPrEx>
        <w:tc>
          <w:tcPr>
            <w:tcW w:w="649"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color w:val="auto"/>
              </w:rPr>
            </w:pPr>
          </w:p>
        </w:tc>
        <w:tc>
          <w:tcPr>
            <w:tcW w:w="1019"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color w:val="auto"/>
              </w:rPr>
            </w:pPr>
          </w:p>
        </w:tc>
        <w:tc>
          <w:tcPr>
            <w:tcW w:w="992"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color w:val="auto"/>
              </w:rPr>
            </w:pPr>
          </w:p>
        </w:tc>
        <w:tc>
          <w:tcPr>
            <w:tcW w:w="992"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color w:val="auto"/>
              </w:rPr>
            </w:pPr>
          </w:p>
        </w:tc>
        <w:tc>
          <w:tcPr>
            <w:tcW w:w="1134"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color w:val="auto"/>
              </w:rPr>
            </w:pPr>
          </w:p>
        </w:tc>
        <w:tc>
          <w:tcPr>
            <w:tcW w:w="851"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color w:val="auto"/>
              </w:rPr>
            </w:pPr>
          </w:p>
        </w:tc>
        <w:tc>
          <w:tcPr>
            <w:tcW w:w="992"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color w:val="auto"/>
              </w:rPr>
            </w:pPr>
          </w:p>
        </w:tc>
        <w:tc>
          <w:tcPr>
            <w:tcW w:w="709"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color w:val="auto"/>
              </w:rPr>
            </w:pPr>
          </w:p>
        </w:tc>
        <w:tc>
          <w:tcPr>
            <w:tcW w:w="992"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color w:val="auto"/>
              </w:rPr>
            </w:pPr>
          </w:p>
        </w:tc>
      </w:tr>
      <w:tr>
        <w:tblPrEx>
          <w:tblLayout w:type="fixed"/>
          <w:tblCellMar>
            <w:top w:w="0" w:type="dxa"/>
            <w:left w:w="108" w:type="dxa"/>
            <w:bottom w:w="0" w:type="dxa"/>
            <w:right w:w="108" w:type="dxa"/>
          </w:tblCellMar>
        </w:tblPrEx>
        <w:tc>
          <w:tcPr>
            <w:tcW w:w="649"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color w:val="auto"/>
              </w:rPr>
            </w:pPr>
          </w:p>
        </w:tc>
        <w:tc>
          <w:tcPr>
            <w:tcW w:w="1019"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color w:val="auto"/>
              </w:rPr>
            </w:pPr>
          </w:p>
        </w:tc>
        <w:tc>
          <w:tcPr>
            <w:tcW w:w="992"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color w:val="auto"/>
              </w:rPr>
            </w:pPr>
          </w:p>
        </w:tc>
        <w:tc>
          <w:tcPr>
            <w:tcW w:w="992"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color w:val="auto"/>
              </w:rPr>
            </w:pPr>
          </w:p>
        </w:tc>
        <w:tc>
          <w:tcPr>
            <w:tcW w:w="1134"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color w:val="auto"/>
              </w:rPr>
            </w:pPr>
          </w:p>
        </w:tc>
        <w:tc>
          <w:tcPr>
            <w:tcW w:w="851"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color w:val="auto"/>
              </w:rPr>
            </w:pPr>
          </w:p>
        </w:tc>
        <w:tc>
          <w:tcPr>
            <w:tcW w:w="992"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color w:val="auto"/>
              </w:rPr>
            </w:pPr>
          </w:p>
        </w:tc>
        <w:tc>
          <w:tcPr>
            <w:tcW w:w="709"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color w:val="auto"/>
              </w:rPr>
            </w:pPr>
          </w:p>
        </w:tc>
        <w:tc>
          <w:tcPr>
            <w:tcW w:w="992"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color w:val="auto"/>
              </w:rPr>
            </w:pPr>
          </w:p>
        </w:tc>
      </w:tr>
      <w:tr>
        <w:tblPrEx>
          <w:tblLayout w:type="fixed"/>
          <w:tblCellMar>
            <w:top w:w="0" w:type="dxa"/>
            <w:left w:w="108" w:type="dxa"/>
            <w:bottom w:w="0" w:type="dxa"/>
            <w:right w:w="108" w:type="dxa"/>
          </w:tblCellMar>
        </w:tblPrEx>
        <w:tc>
          <w:tcPr>
            <w:tcW w:w="649"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color w:val="auto"/>
              </w:rPr>
            </w:pPr>
          </w:p>
        </w:tc>
        <w:tc>
          <w:tcPr>
            <w:tcW w:w="1019"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color w:val="auto"/>
              </w:rPr>
            </w:pPr>
          </w:p>
        </w:tc>
        <w:tc>
          <w:tcPr>
            <w:tcW w:w="992"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color w:val="auto"/>
              </w:rPr>
            </w:pPr>
          </w:p>
        </w:tc>
        <w:tc>
          <w:tcPr>
            <w:tcW w:w="992"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color w:val="auto"/>
              </w:rPr>
            </w:pPr>
          </w:p>
        </w:tc>
        <w:tc>
          <w:tcPr>
            <w:tcW w:w="1134"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color w:val="auto"/>
              </w:rPr>
            </w:pPr>
          </w:p>
        </w:tc>
        <w:tc>
          <w:tcPr>
            <w:tcW w:w="851"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color w:val="auto"/>
              </w:rPr>
            </w:pPr>
          </w:p>
        </w:tc>
        <w:tc>
          <w:tcPr>
            <w:tcW w:w="992"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color w:val="auto"/>
              </w:rPr>
            </w:pPr>
          </w:p>
        </w:tc>
        <w:tc>
          <w:tcPr>
            <w:tcW w:w="709"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color w:val="auto"/>
              </w:rPr>
            </w:pPr>
          </w:p>
        </w:tc>
        <w:tc>
          <w:tcPr>
            <w:tcW w:w="992"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color w:val="auto"/>
              </w:rPr>
            </w:pPr>
          </w:p>
        </w:tc>
      </w:tr>
      <w:tr>
        <w:tblPrEx>
          <w:tblLayout w:type="fixed"/>
          <w:tblCellMar>
            <w:top w:w="0" w:type="dxa"/>
            <w:left w:w="108" w:type="dxa"/>
            <w:bottom w:w="0" w:type="dxa"/>
            <w:right w:w="108" w:type="dxa"/>
          </w:tblCellMar>
        </w:tblPrEx>
        <w:tc>
          <w:tcPr>
            <w:tcW w:w="649"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color w:val="auto"/>
              </w:rPr>
            </w:pPr>
          </w:p>
        </w:tc>
        <w:tc>
          <w:tcPr>
            <w:tcW w:w="1019"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color w:val="auto"/>
              </w:rPr>
            </w:pPr>
          </w:p>
        </w:tc>
        <w:tc>
          <w:tcPr>
            <w:tcW w:w="992"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color w:val="auto"/>
              </w:rPr>
            </w:pPr>
          </w:p>
        </w:tc>
        <w:tc>
          <w:tcPr>
            <w:tcW w:w="992"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color w:val="auto"/>
              </w:rPr>
            </w:pPr>
          </w:p>
        </w:tc>
        <w:tc>
          <w:tcPr>
            <w:tcW w:w="1134"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color w:val="auto"/>
              </w:rPr>
            </w:pPr>
          </w:p>
        </w:tc>
        <w:tc>
          <w:tcPr>
            <w:tcW w:w="851"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color w:val="auto"/>
              </w:rPr>
            </w:pPr>
          </w:p>
        </w:tc>
        <w:tc>
          <w:tcPr>
            <w:tcW w:w="992"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color w:val="auto"/>
              </w:rPr>
            </w:pPr>
          </w:p>
        </w:tc>
        <w:tc>
          <w:tcPr>
            <w:tcW w:w="709"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color w:val="auto"/>
              </w:rPr>
            </w:pPr>
          </w:p>
        </w:tc>
        <w:tc>
          <w:tcPr>
            <w:tcW w:w="992"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color w:val="auto"/>
              </w:rPr>
            </w:pPr>
          </w:p>
        </w:tc>
      </w:tr>
      <w:tr>
        <w:tblPrEx>
          <w:tblLayout w:type="fixed"/>
          <w:tblCellMar>
            <w:top w:w="0" w:type="dxa"/>
            <w:left w:w="108" w:type="dxa"/>
            <w:bottom w:w="0" w:type="dxa"/>
            <w:right w:w="108" w:type="dxa"/>
          </w:tblCellMar>
        </w:tblPrEx>
        <w:tc>
          <w:tcPr>
            <w:tcW w:w="649"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color w:val="auto"/>
              </w:rPr>
            </w:pPr>
          </w:p>
        </w:tc>
        <w:tc>
          <w:tcPr>
            <w:tcW w:w="1019"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color w:val="auto"/>
              </w:rPr>
            </w:pPr>
          </w:p>
        </w:tc>
        <w:tc>
          <w:tcPr>
            <w:tcW w:w="992"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color w:val="auto"/>
              </w:rPr>
            </w:pPr>
          </w:p>
        </w:tc>
        <w:tc>
          <w:tcPr>
            <w:tcW w:w="992"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color w:val="auto"/>
              </w:rPr>
            </w:pPr>
          </w:p>
        </w:tc>
        <w:tc>
          <w:tcPr>
            <w:tcW w:w="1134"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color w:val="auto"/>
              </w:rPr>
            </w:pPr>
          </w:p>
        </w:tc>
        <w:tc>
          <w:tcPr>
            <w:tcW w:w="851"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color w:val="auto"/>
              </w:rPr>
            </w:pPr>
          </w:p>
        </w:tc>
        <w:tc>
          <w:tcPr>
            <w:tcW w:w="992"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color w:val="auto"/>
              </w:rPr>
            </w:pPr>
          </w:p>
        </w:tc>
        <w:tc>
          <w:tcPr>
            <w:tcW w:w="709"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color w:val="auto"/>
              </w:rPr>
            </w:pPr>
          </w:p>
        </w:tc>
        <w:tc>
          <w:tcPr>
            <w:tcW w:w="992"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color w:val="auto"/>
              </w:rPr>
            </w:pPr>
          </w:p>
        </w:tc>
      </w:tr>
      <w:tr>
        <w:tblPrEx>
          <w:tblLayout w:type="fixed"/>
          <w:tblCellMar>
            <w:top w:w="0" w:type="dxa"/>
            <w:left w:w="108" w:type="dxa"/>
            <w:bottom w:w="0" w:type="dxa"/>
            <w:right w:w="108" w:type="dxa"/>
          </w:tblCellMar>
        </w:tblPrEx>
        <w:tc>
          <w:tcPr>
            <w:tcW w:w="649"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color w:val="auto"/>
              </w:rPr>
            </w:pPr>
          </w:p>
        </w:tc>
        <w:tc>
          <w:tcPr>
            <w:tcW w:w="1019"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color w:val="auto"/>
              </w:rPr>
            </w:pPr>
          </w:p>
        </w:tc>
        <w:tc>
          <w:tcPr>
            <w:tcW w:w="992"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color w:val="auto"/>
              </w:rPr>
            </w:pPr>
          </w:p>
        </w:tc>
        <w:tc>
          <w:tcPr>
            <w:tcW w:w="992"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color w:val="auto"/>
              </w:rPr>
            </w:pPr>
          </w:p>
        </w:tc>
        <w:tc>
          <w:tcPr>
            <w:tcW w:w="1134"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color w:val="auto"/>
              </w:rPr>
            </w:pPr>
          </w:p>
        </w:tc>
        <w:tc>
          <w:tcPr>
            <w:tcW w:w="851"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color w:val="auto"/>
              </w:rPr>
            </w:pPr>
          </w:p>
        </w:tc>
        <w:tc>
          <w:tcPr>
            <w:tcW w:w="992"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color w:val="auto"/>
              </w:rPr>
            </w:pPr>
          </w:p>
        </w:tc>
        <w:tc>
          <w:tcPr>
            <w:tcW w:w="709"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color w:val="auto"/>
              </w:rPr>
            </w:pPr>
          </w:p>
        </w:tc>
        <w:tc>
          <w:tcPr>
            <w:tcW w:w="992"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color w:val="auto"/>
              </w:rPr>
            </w:pPr>
          </w:p>
        </w:tc>
      </w:tr>
      <w:tr>
        <w:tblPrEx>
          <w:tblLayout w:type="fixed"/>
          <w:tblCellMar>
            <w:top w:w="0" w:type="dxa"/>
            <w:left w:w="108" w:type="dxa"/>
            <w:bottom w:w="0" w:type="dxa"/>
            <w:right w:w="108" w:type="dxa"/>
          </w:tblCellMar>
        </w:tblPrEx>
        <w:tc>
          <w:tcPr>
            <w:tcW w:w="649"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color w:val="auto"/>
              </w:rPr>
            </w:pPr>
          </w:p>
        </w:tc>
        <w:tc>
          <w:tcPr>
            <w:tcW w:w="1019"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color w:val="auto"/>
              </w:rPr>
            </w:pPr>
          </w:p>
        </w:tc>
        <w:tc>
          <w:tcPr>
            <w:tcW w:w="992"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color w:val="auto"/>
              </w:rPr>
            </w:pPr>
          </w:p>
        </w:tc>
        <w:tc>
          <w:tcPr>
            <w:tcW w:w="992"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color w:val="auto"/>
              </w:rPr>
            </w:pPr>
          </w:p>
        </w:tc>
        <w:tc>
          <w:tcPr>
            <w:tcW w:w="1134"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color w:val="auto"/>
              </w:rPr>
            </w:pPr>
          </w:p>
        </w:tc>
        <w:tc>
          <w:tcPr>
            <w:tcW w:w="851"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color w:val="auto"/>
              </w:rPr>
            </w:pPr>
          </w:p>
        </w:tc>
        <w:tc>
          <w:tcPr>
            <w:tcW w:w="992"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color w:val="auto"/>
              </w:rPr>
            </w:pPr>
          </w:p>
        </w:tc>
        <w:tc>
          <w:tcPr>
            <w:tcW w:w="709"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color w:val="auto"/>
              </w:rPr>
            </w:pPr>
          </w:p>
        </w:tc>
        <w:tc>
          <w:tcPr>
            <w:tcW w:w="992"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color w:val="auto"/>
              </w:rPr>
            </w:pPr>
          </w:p>
        </w:tc>
      </w:tr>
      <w:tr>
        <w:tblPrEx>
          <w:tblLayout w:type="fixed"/>
          <w:tblCellMar>
            <w:top w:w="0" w:type="dxa"/>
            <w:left w:w="108" w:type="dxa"/>
            <w:bottom w:w="0" w:type="dxa"/>
            <w:right w:w="108" w:type="dxa"/>
          </w:tblCellMar>
        </w:tblPrEx>
        <w:tc>
          <w:tcPr>
            <w:tcW w:w="649"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color w:val="auto"/>
              </w:rPr>
            </w:pPr>
          </w:p>
        </w:tc>
        <w:tc>
          <w:tcPr>
            <w:tcW w:w="1019"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color w:val="auto"/>
              </w:rPr>
            </w:pPr>
          </w:p>
        </w:tc>
        <w:tc>
          <w:tcPr>
            <w:tcW w:w="992"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color w:val="auto"/>
              </w:rPr>
            </w:pPr>
          </w:p>
        </w:tc>
        <w:tc>
          <w:tcPr>
            <w:tcW w:w="992"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color w:val="auto"/>
              </w:rPr>
            </w:pPr>
          </w:p>
        </w:tc>
        <w:tc>
          <w:tcPr>
            <w:tcW w:w="1134"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color w:val="auto"/>
              </w:rPr>
            </w:pPr>
          </w:p>
        </w:tc>
        <w:tc>
          <w:tcPr>
            <w:tcW w:w="851"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color w:val="auto"/>
              </w:rPr>
            </w:pPr>
          </w:p>
        </w:tc>
        <w:tc>
          <w:tcPr>
            <w:tcW w:w="992"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color w:val="auto"/>
              </w:rPr>
            </w:pPr>
          </w:p>
        </w:tc>
        <w:tc>
          <w:tcPr>
            <w:tcW w:w="709"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color w:val="auto"/>
              </w:rPr>
            </w:pPr>
          </w:p>
        </w:tc>
        <w:tc>
          <w:tcPr>
            <w:tcW w:w="992"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color w:val="auto"/>
              </w:rPr>
            </w:pPr>
          </w:p>
        </w:tc>
      </w:tr>
      <w:tr>
        <w:tblPrEx>
          <w:tblLayout w:type="fixed"/>
          <w:tblCellMar>
            <w:top w:w="0" w:type="dxa"/>
            <w:left w:w="108" w:type="dxa"/>
            <w:bottom w:w="0" w:type="dxa"/>
            <w:right w:w="108" w:type="dxa"/>
          </w:tblCellMar>
        </w:tblPrEx>
        <w:trPr>
          <w:trHeight w:val="502" w:hRule="atLeast"/>
        </w:trPr>
        <w:tc>
          <w:tcPr>
            <w:tcW w:w="649"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color w:val="auto"/>
              </w:rPr>
            </w:pPr>
          </w:p>
        </w:tc>
        <w:tc>
          <w:tcPr>
            <w:tcW w:w="1019"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color w:val="auto"/>
              </w:rPr>
            </w:pPr>
          </w:p>
        </w:tc>
        <w:tc>
          <w:tcPr>
            <w:tcW w:w="992"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color w:val="auto"/>
              </w:rPr>
            </w:pPr>
          </w:p>
        </w:tc>
        <w:tc>
          <w:tcPr>
            <w:tcW w:w="992"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color w:val="auto"/>
              </w:rPr>
            </w:pPr>
          </w:p>
        </w:tc>
        <w:tc>
          <w:tcPr>
            <w:tcW w:w="1134"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color w:val="auto"/>
              </w:rPr>
            </w:pPr>
          </w:p>
        </w:tc>
        <w:tc>
          <w:tcPr>
            <w:tcW w:w="851"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color w:val="auto"/>
              </w:rPr>
            </w:pPr>
          </w:p>
        </w:tc>
        <w:tc>
          <w:tcPr>
            <w:tcW w:w="992"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color w:val="auto"/>
              </w:rPr>
            </w:pPr>
          </w:p>
        </w:tc>
        <w:tc>
          <w:tcPr>
            <w:tcW w:w="709"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color w:val="auto"/>
              </w:rPr>
            </w:pPr>
          </w:p>
        </w:tc>
        <w:tc>
          <w:tcPr>
            <w:tcW w:w="992"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color w:val="auto"/>
              </w:rPr>
            </w:pPr>
          </w:p>
        </w:tc>
      </w:tr>
      <w:tr>
        <w:tblPrEx>
          <w:tblLayout w:type="fixed"/>
          <w:tblCellMar>
            <w:top w:w="0" w:type="dxa"/>
            <w:left w:w="108" w:type="dxa"/>
            <w:bottom w:w="0" w:type="dxa"/>
            <w:right w:w="108" w:type="dxa"/>
          </w:tblCellMar>
        </w:tblPrEx>
        <w:tc>
          <w:tcPr>
            <w:tcW w:w="649"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color w:val="auto"/>
              </w:rPr>
            </w:pPr>
          </w:p>
        </w:tc>
        <w:tc>
          <w:tcPr>
            <w:tcW w:w="1019"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color w:val="auto"/>
              </w:rPr>
            </w:pPr>
          </w:p>
        </w:tc>
        <w:tc>
          <w:tcPr>
            <w:tcW w:w="992"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color w:val="auto"/>
              </w:rPr>
            </w:pPr>
          </w:p>
        </w:tc>
        <w:tc>
          <w:tcPr>
            <w:tcW w:w="992"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color w:val="auto"/>
              </w:rPr>
            </w:pPr>
          </w:p>
        </w:tc>
        <w:tc>
          <w:tcPr>
            <w:tcW w:w="1134"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color w:val="auto"/>
              </w:rPr>
            </w:pPr>
          </w:p>
        </w:tc>
        <w:tc>
          <w:tcPr>
            <w:tcW w:w="851"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color w:val="auto"/>
              </w:rPr>
            </w:pPr>
          </w:p>
        </w:tc>
        <w:tc>
          <w:tcPr>
            <w:tcW w:w="992"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color w:val="auto"/>
              </w:rPr>
            </w:pPr>
          </w:p>
        </w:tc>
        <w:tc>
          <w:tcPr>
            <w:tcW w:w="709"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color w:val="auto"/>
              </w:rPr>
            </w:pPr>
          </w:p>
        </w:tc>
        <w:tc>
          <w:tcPr>
            <w:tcW w:w="992"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color w:val="auto"/>
              </w:rPr>
            </w:pPr>
            <w:bookmarkStart w:id="64" w:name="_Toc17638"/>
          </w:p>
        </w:tc>
      </w:tr>
      <w:tr>
        <w:tblPrEx>
          <w:tblLayout w:type="fixed"/>
          <w:tblCellMar>
            <w:top w:w="0" w:type="dxa"/>
            <w:left w:w="108" w:type="dxa"/>
            <w:bottom w:w="0" w:type="dxa"/>
            <w:right w:w="108" w:type="dxa"/>
          </w:tblCellMar>
        </w:tblPrEx>
        <w:tc>
          <w:tcPr>
            <w:tcW w:w="649"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color w:val="auto"/>
              </w:rPr>
            </w:pPr>
          </w:p>
        </w:tc>
        <w:tc>
          <w:tcPr>
            <w:tcW w:w="1019"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color w:val="auto"/>
              </w:rPr>
            </w:pPr>
          </w:p>
        </w:tc>
        <w:tc>
          <w:tcPr>
            <w:tcW w:w="992"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color w:val="auto"/>
              </w:rPr>
            </w:pPr>
          </w:p>
        </w:tc>
        <w:tc>
          <w:tcPr>
            <w:tcW w:w="992"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color w:val="auto"/>
              </w:rPr>
            </w:pPr>
          </w:p>
        </w:tc>
        <w:tc>
          <w:tcPr>
            <w:tcW w:w="1134"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color w:val="auto"/>
              </w:rPr>
            </w:pPr>
          </w:p>
        </w:tc>
        <w:tc>
          <w:tcPr>
            <w:tcW w:w="851"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color w:val="auto"/>
              </w:rPr>
            </w:pPr>
          </w:p>
        </w:tc>
        <w:tc>
          <w:tcPr>
            <w:tcW w:w="992"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color w:val="auto"/>
              </w:rPr>
            </w:pPr>
          </w:p>
        </w:tc>
        <w:tc>
          <w:tcPr>
            <w:tcW w:w="709"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color w:val="auto"/>
              </w:rPr>
            </w:pPr>
          </w:p>
        </w:tc>
        <w:tc>
          <w:tcPr>
            <w:tcW w:w="992"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color w:val="auto"/>
              </w:rPr>
            </w:pPr>
          </w:p>
        </w:tc>
      </w:tr>
      <w:bookmarkEnd w:id="64"/>
      <w:tr>
        <w:tblPrEx>
          <w:tblLayout w:type="fixed"/>
          <w:tblCellMar>
            <w:top w:w="0" w:type="dxa"/>
            <w:left w:w="108" w:type="dxa"/>
            <w:bottom w:w="0" w:type="dxa"/>
            <w:right w:w="108" w:type="dxa"/>
          </w:tblCellMar>
        </w:tblPrEx>
        <w:tc>
          <w:tcPr>
            <w:tcW w:w="2660" w:type="dxa"/>
            <w:gridSpan w:val="3"/>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color w:val="auto"/>
              </w:rPr>
            </w:pPr>
            <w:r>
              <w:rPr>
                <w:rFonts w:ascii="Times New Roman" w:hAnsi="Times New Roman"/>
                <w:color w:val="auto"/>
              </w:rPr>
              <w:t>最高投标限价：</w:t>
            </w:r>
          </w:p>
        </w:tc>
        <w:tc>
          <w:tcPr>
            <w:tcW w:w="5670" w:type="dxa"/>
            <w:gridSpan w:val="6"/>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color w:val="auto"/>
              </w:rPr>
            </w:pPr>
          </w:p>
        </w:tc>
      </w:tr>
    </w:tbl>
    <w:p>
      <w:pPr>
        <w:spacing w:line="440" w:lineRule="exact"/>
        <w:rPr>
          <w:rFonts w:ascii="Times New Roman" w:hAnsi="Times New Roman"/>
          <w:color w:val="auto"/>
        </w:rPr>
      </w:pPr>
      <w:r>
        <w:rPr>
          <w:rFonts w:ascii="Times New Roman" w:hAnsi="Times New Roman"/>
          <w:color w:val="auto"/>
        </w:rPr>
        <w:t>　　　</w:t>
      </w:r>
    </w:p>
    <w:p>
      <w:pPr>
        <w:spacing w:line="620" w:lineRule="exact"/>
        <w:rPr>
          <w:rFonts w:ascii="Times New Roman" w:hAnsi="Times New Roman"/>
          <w:color w:val="auto"/>
        </w:rPr>
      </w:pPr>
      <w:r>
        <w:rPr>
          <w:rFonts w:ascii="Times New Roman" w:hAnsi="Times New Roman"/>
          <w:color w:val="auto"/>
        </w:rPr>
        <w:t>招标人代表：</w:t>
      </w:r>
      <w:r>
        <w:rPr>
          <w:rFonts w:ascii="Times New Roman" w:hAnsi="Times New Roman"/>
          <w:color w:val="auto"/>
          <w:u w:val="single"/>
        </w:rPr>
        <w:t xml:space="preserve">       </w:t>
      </w:r>
      <w:r>
        <w:rPr>
          <w:rFonts w:ascii="Times New Roman" w:hAnsi="Times New Roman"/>
          <w:color w:val="auto"/>
        </w:rPr>
        <w:t xml:space="preserve">        记录人：</w:t>
      </w:r>
      <w:r>
        <w:rPr>
          <w:rFonts w:ascii="Times New Roman" w:hAnsi="Times New Roman"/>
          <w:color w:val="auto"/>
          <w:u w:val="single"/>
        </w:rPr>
        <w:t xml:space="preserve">       </w:t>
      </w:r>
      <w:r>
        <w:rPr>
          <w:rFonts w:ascii="Times New Roman" w:hAnsi="Times New Roman"/>
          <w:color w:val="auto"/>
        </w:rPr>
        <w:t xml:space="preserve">       监标人：</w:t>
      </w:r>
      <w:r>
        <w:rPr>
          <w:rFonts w:ascii="Times New Roman" w:hAnsi="Times New Roman"/>
          <w:color w:val="auto"/>
          <w:u w:val="single"/>
        </w:rPr>
        <w:t xml:space="preserve">       </w:t>
      </w:r>
    </w:p>
    <w:p>
      <w:pPr>
        <w:spacing w:line="620" w:lineRule="exact"/>
        <w:jc w:val="right"/>
        <w:rPr>
          <w:rFonts w:ascii="Times New Roman" w:hAnsi="Times New Roman"/>
          <w:color w:val="auto"/>
          <w:sz w:val="20"/>
        </w:rPr>
      </w:pPr>
      <w:r>
        <w:rPr>
          <w:rFonts w:ascii="Times New Roman" w:hAnsi="Times New Roman"/>
          <w:color w:val="auto"/>
          <w:u w:val="single"/>
        </w:rPr>
        <w:t xml:space="preserve">       </w:t>
      </w:r>
      <w:r>
        <w:rPr>
          <w:rFonts w:ascii="Times New Roman" w:hAnsi="Times New Roman"/>
          <w:color w:val="auto"/>
        </w:rPr>
        <w:t>年</w:t>
      </w:r>
      <w:r>
        <w:rPr>
          <w:rFonts w:ascii="Times New Roman" w:hAnsi="Times New Roman"/>
          <w:color w:val="auto"/>
          <w:u w:val="single"/>
        </w:rPr>
        <w:t xml:space="preserve">       </w:t>
      </w:r>
      <w:r>
        <w:rPr>
          <w:rFonts w:ascii="Times New Roman" w:hAnsi="Times New Roman"/>
          <w:color w:val="auto"/>
        </w:rPr>
        <w:t>月</w:t>
      </w:r>
      <w:r>
        <w:rPr>
          <w:rFonts w:ascii="Times New Roman" w:hAnsi="Times New Roman"/>
          <w:color w:val="auto"/>
          <w:u w:val="single"/>
        </w:rPr>
        <w:t xml:space="preserve">       </w:t>
      </w:r>
      <w:r>
        <w:rPr>
          <w:rFonts w:ascii="Times New Roman" w:hAnsi="Times New Roman"/>
          <w:color w:val="auto"/>
        </w:rPr>
        <w:t>日</w:t>
      </w:r>
    </w:p>
    <w:p>
      <w:pPr>
        <w:spacing w:line="440" w:lineRule="exact"/>
        <w:rPr>
          <w:rFonts w:ascii="Times New Roman" w:hAnsi="Times New Roman"/>
          <w:color w:val="auto"/>
        </w:rPr>
      </w:pPr>
      <w:r>
        <w:rPr>
          <w:rFonts w:ascii="Times New Roman" w:hAnsi="Times New Roman"/>
          <w:color w:val="auto"/>
        </w:rPr>
        <w:br w:type="page"/>
      </w:r>
    </w:p>
    <w:p>
      <w:pPr>
        <w:pStyle w:val="6"/>
        <w:ind w:firstLine="137"/>
        <w:rPr>
          <w:rFonts w:ascii="Times New Roman" w:hAnsi="Times New Roman"/>
          <w:color w:val="auto"/>
        </w:rPr>
      </w:pPr>
      <w:bookmarkStart w:id="65" w:name="_Toc492300816"/>
      <w:r>
        <w:rPr>
          <w:rFonts w:hint="eastAsia" w:ascii="Times New Roman" w:hAnsi="Times New Roman"/>
          <w:color w:val="auto"/>
        </w:rPr>
        <w:t>附件二：问题澄清通知</w:t>
      </w:r>
      <w:bookmarkEnd w:id="65"/>
    </w:p>
    <w:p>
      <w:pPr>
        <w:spacing w:line="440" w:lineRule="exact"/>
        <w:jc w:val="center"/>
        <w:rPr>
          <w:rFonts w:ascii="Times New Roman" w:hAnsi="Times New Roman"/>
          <w:color w:val="auto"/>
        </w:rPr>
      </w:pPr>
    </w:p>
    <w:p>
      <w:pPr>
        <w:spacing w:line="440" w:lineRule="exact"/>
        <w:jc w:val="center"/>
        <w:rPr>
          <w:rFonts w:ascii="Times New Roman" w:hAnsi="Times New Roman" w:eastAsia="黑体"/>
          <w:color w:val="auto"/>
          <w:sz w:val="28"/>
        </w:rPr>
      </w:pPr>
      <w:r>
        <w:rPr>
          <w:rFonts w:ascii="Times New Roman" w:hAnsi="Times New Roman" w:eastAsia="黑体"/>
          <w:color w:val="auto"/>
          <w:sz w:val="28"/>
        </w:rPr>
        <w:t>问题澄清通知</w:t>
      </w:r>
    </w:p>
    <w:p>
      <w:pPr>
        <w:spacing w:line="440" w:lineRule="exact"/>
        <w:jc w:val="center"/>
        <w:rPr>
          <w:rFonts w:ascii="Times New Roman" w:hAnsi="Times New Roman"/>
          <w:color w:val="auto"/>
        </w:rPr>
      </w:pPr>
      <w:r>
        <w:rPr>
          <w:rFonts w:ascii="Times New Roman" w:hAnsi="Times New Roman"/>
          <w:color w:val="auto"/>
        </w:rPr>
        <w:t>（编号：</w:t>
      </w:r>
      <w:r>
        <w:rPr>
          <w:rFonts w:ascii="Times New Roman" w:hAnsi="Times New Roman" w:eastAsia="黑体"/>
          <w:color w:val="auto"/>
          <w:sz w:val="28"/>
          <w:u w:val="single"/>
        </w:rPr>
        <w:t xml:space="preserve">               </w:t>
      </w:r>
      <w:r>
        <w:rPr>
          <w:rFonts w:ascii="Times New Roman" w:hAnsi="Times New Roman"/>
          <w:color w:val="auto"/>
        </w:rPr>
        <w:t>）</w:t>
      </w:r>
    </w:p>
    <w:p>
      <w:pPr>
        <w:spacing w:line="440" w:lineRule="exact"/>
        <w:rPr>
          <w:rFonts w:ascii="Times New Roman" w:hAnsi="Times New Roman"/>
          <w:color w:val="auto"/>
        </w:rPr>
      </w:pPr>
    </w:p>
    <w:p>
      <w:pPr>
        <w:spacing w:line="440" w:lineRule="exact"/>
        <w:rPr>
          <w:rFonts w:ascii="Times New Roman" w:hAnsi="Times New Roman"/>
          <w:color w:val="auto"/>
        </w:rPr>
      </w:pPr>
      <w:r>
        <w:rPr>
          <w:rFonts w:ascii="Times New Roman" w:hAnsi="Times New Roman"/>
          <w:color w:val="auto"/>
          <w:u w:val="single"/>
        </w:rPr>
        <w:t xml:space="preserve">                     </w:t>
      </w:r>
      <w:r>
        <w:rPr>
          <w:rFonts w:ascii="Times New Roman" w:hAnsi="Times New Roman"/>
          <w:color w:val="auto"/>
        </w:rPr>
        <w:t>（投标人名称）：</w:t>
      </w:r>
    </w:p>
    <w:p>
      <w:pPr>
        <w:spacing w:line="440" w:lineRule="exact"/>
        <w:rPr>
          <w:rFonts w:ascii="Times New Roman" w:hAnsi="Times New Roman"/>
          <w:color w:val="auto"/>
        </w:rPr>
      </w:pPr>
    </w:p>
    <w:p>
      <w:pPr>
        <w:spacing w:line="440" w:lineRule="exact"/>
        <w:rPr>
          <w:rFonts w:ascii="Times New Roman" w:hAnsi="Times New Roman"/>
          <w:color w:val="auto"/>
        </w:rPr>
      </w:pPr>
      <w:r>
        <w:rPr>
          <w:rFonts w:ascii="Times New Roman" w:hAnsi="Times New Roman"/>
          <w:color w:val="auto"/>
        </w:rPr>
        <w:t>　　评标委员会对你方的投标文件进行了仔细的审查，现需你方对下列问题以书</w:t>
      </w:r>
      <w:bookmarkStart w:id="66" w:name="_Toc152042352"/>
      <w:bookmarkStart w:id="67" w:name="_Toc247527601"/>
      <w:bookmarkStart w:id="68" w:name="_Toc384308260"/>
      <w:bookmarkStart w:id="69" w:name="_Toc361508634"/>
      <w:bookmarkStart w:id="70" w:name="_Toc23050"/>
      <w:bookmarkStart w:id="71" w:name="_Toc152045576"/>
      <w:bookmarkStart w:id="72" w:name="_Toc369531565"/>
      <w:bookmarkStart w:id="73" w:name="_Toc144974544"/>
      <w:bookmarkStart w:id="74" w:name="_Toc352691521"/>
      <w:bookmarkStart w:id="75" w:name="_Toc300834996"/>
      <w:bookmarkStart w:id="76" w:name="_Toc247514000"/>
      <w:r>
        <w:rPr>
          <w:rFonts w:ascii="Times New Roman" w:hAnsi="Times New Roman"/>
          <w:color w:val="auto"/>
        </w:rPr>
        <w:t>面形式予以澄清、说明或补正：</w:t>
      </w:r>
    </w:p>
    <w:p>
      <w:pPr>
        <w:spacing w:line="440" w:lineRule="exact"/>
        <w:rPr>
          <w:rFonts w:ascii="Times New Roman" w:hAnsi="Times New Roman"/>
          <w:color w:val="auto"/>
        </w:rPr>
      </w:pPr>
      <w:r>
        <w:rPr>
          <w:rFonts w:ascii="Times New Roman" w:hAnsi="Times New Roman"/>
          <w:color w:val="auto"/>
        </w:rPr>
        <w:t>　　</w:t>
      </w:r>
    </w:p>
    <w:bookmarkEnd w:id="66"/>
    <w:bookmarkEnd w:id="67"/>
    <w:bookmarkEnd w:id="68"/>
    <w:bookmarkEnd w:id="69"/>
    <w:bookmarkEnd w:id="70"/>
    <w:bookmarkEnd w:id="71"/>
    <w:bookmarkEnd w:id="72"/>
    <w:bookmarkEnd w:id="73"/>
    <w:bookmarkEnd w:id="74"/>
    <w:bookmarkEnd w:id="75"/>
    <w:bookmarkEnd w:id="76"/>
    <w:p>
      <w:pPr>
        <w:spacing w:line="440" w:lineRule="exact"/>
        <w:rPr>
          <w:rFonts w:ascii="Times New Roman" w:hAnsi="Times New Roman"/>
          <w:color w:val="auto"/>
        </w:rPr>
      </w:pPr>
      <w:r>
        <w:rPr>
          <w:rFonts w:ascii="Times New Roman" w:hAnsi="Times New Roman"/>
          <w:color w:val="auto"/>
        </w:rPr>
        <w:t xml:space="preserve">    1.</w:t>
      </w:r>
    </w:p>
    <w:p>
      <w:pPr>
        <w:spacing w:line="440" w:lineRule="exact"/>
        <w:rPr>
          <w:rFonts w:ascii="Times New Roman" w:hAnsi="Times New Roman"/>
          <w:color w:val="auto"/>
        </w:rPr>
      </w:pPr>
      <w:r>
        <w:rPr>
          <w:rFonts w:ascii="Times New Roman" w:hAnsi="Times New Roman"/>
          <w:color w:val="auto"/>
        </w:rPr>
        <w:t xml:space="preserve">    2.</w:t>
      </w:r>
    </w:p>
    <w:p>
      <w:pPr>
        <w:spacing w:line="440" w:lineRule="exact"/>
        <w:rPr>
          <w:rFonts w:ascii="Times New Roman" w:hAnsi="Times New Roman"/>
          <w:color w:val="auto"/>
        </w:rPr>
      </w:pPr>
      <w:r>
        <w:rPr>
          <w:rFonts w:ascii="Times New Roman" w:hAnsi="Times New Roman"/>
          <w:color w:val="auto"/>
        </w:rPr>
        <w:t xml:space="preserve">     ......   </w:t>
      </w:r>
    </w:p>
    <w:p>
      <w:pPr>
        <w:spacing w:line="440" w:lineRule="exact"/>
        <w:rPr>
          <w:rFonts w:ascii="Times New Roman" w:hAnsi="Times New Roman"/>
          <w:color w:val="auto"/>
        </w:rPr>
      </w:pPr>
      <w:r>
        <w:rPr>
          <w:rFonts w:ascii="Times New Roman" w:hAnsi="Times New Roman"/>
          <w:color w:val="auto"/>
        </w:rPr>
        <w:t>　　　</w:t>
      </w:r>
    </w:p>
    <w:p>
      <w:pPr>
        <w:spacing w:line="440" w:lineRule="exact"/>
        <w:ind w:firstLine="405"/>
        <w:rPr>
          <w:rFonts w:ascii="Times New Roman" w:hAnsi="Times New Roman"/>
          <w:color w:val="auto"/>
        </w:rPr>
      </w:pPr>
      <w:r>
        <w:rPr>
          <w:rFonts w:ascii="Times New Roman" w:hAnsi="Times New Roman"/>
          <w:color w:val="auto"/>
        </w:rPr>
        <w:t>请将上述问题的澄清、说明或补正于</w:t>
      </w:r>
      <w:r>
        <w:rPr>
          <w:rFonts w:ascii="Times New Roman" w:hAnsi="Times New Roman"/>
          <w:color w:val="auto"/>
          <w:u w:val="single"/>
        </w:rPr>
        <w:t xml:space="preserve">       </w:t>
      </w:r>
      <w:r>
        <w:rPr>
          <w:rFonts w:ascii="Times New Roman" w:hAnsi="Times New Roman"/>
          <w:color w:val="auto"/>
        </w:rPr>
        <w:t>年</w:t>
      </w:r>
      <w:r>
        <w:rPr>
          <w:rFonts w:ascii="Times New Roman" w:hAnsi="Times New Roman"/>
          <w:color w:val="auto"/>
          <w:u w:val="single"/>
        </w:rPr>
        <w:t xml:space="preserve">       </w:t>
      </w:r>
      <w:r>
        <w:rPr>
          <w:rFonts w:ascii="Times New Roman" w:hAnsi="Times New Roman"/>
          <w:color w:val="auto"/>
        </w:rPr>
        <w:t>月</w:t>
      </w:r>
      <w:r>
        <w:rPr>
          <w:rFonts w:ascii="Times New Roman" w:hAnsi="Times New Roman"/>
          <w:color w:val="auto"/>
          <w:u w:val="single"/>
        </w:rPr>
        <w:t xml:space="preserve">       </w:t>
      </w:r>
      <w:r>
        <w:rPr>
          <w:rFonts w:ascii="Times New Roman" w:hAnsi="Times New Roman"/>
          <w:color w:val="auto"/>
        </w:rPr>
        <w:t>日</w:t>
      </w:r>
      <w:r>
        <w:rPr>
          <w:rFonts w:ascii="Times New Roman" w:hAnsi="Times New Roman"/>
          <w:color w:val="auto"/>
          <w:u w:val="single"/>
        </w:rPr>
        <w:t xml:space="preserve">       </w:t>
      </w:r>
      <w:r>
        <w:rPr>
          <w:rFonts w:ascii="Times New Roman" w:hAnsi="Times New Roman"/>
          <w:color w:val="auto"/>
        </w:rPr>
        <w:t>时前递交至</w:t>
      </w:r>
      <w:bookmarkStart w:id="77" w:name="_Toc247527602"/>
      <w:bookmarkStart w:id="78" w:name="_Toc300834997"/>
      <w:bookmarkStart w:id="79" w:name="_Toc361508635"/>
      <w:bookmarkStart w:id="80" w:name="_Toc384308261"/>
      <w:bookmarkStart w:id="81" w:name="_Toc152045577"/>
      <w:bookmarkStart w:id="82" w:name="_Toc247514001"/>
      <w:bookmarkStart w:id="83" w:name="_Toc369531566"/>
      <w:bookmarkStart w:id="84" w:name="_Toc28385"/>
      <w:bookmarkStart w:id="85" w:name="_Toc352691522"/>
      <w:bookmarkStart w:id="86" w:name="_Toc152042353"/>
      <w:bookmarkStart w:id="87" w:name="_Toc144974545"/>
    </w:p>
    <w:p>
      <w:pPr>
        <w:spacing w:line="440" w:lineRule="exact"/>
        <w:rPr>
          <w:rFonts w:ascii="Times New Roman" w:hAnsi="Times New Roman"/>
          <w:color w:val="auto"/>
        </w:rPr>
      </w:pPr>
      <w:r>
        <w:rPr>
          <w:rFonts w:ascii="Times New Roman" w:hAnsi="Times New Roman"/>
          <w:color w:val="auto"/>
          <w:u w:val="single"/>
        </w:rPr>
        <w:t xml:space="preserve">                            </w:t>
      </w:r>
      <w:r>
        <w:rPr>
          <w:rFonts w:ascii="Times New Roman" w:hAnsi="Times New Roman"/>
          <w:color w:val="auto"/>
        </w:rPr>
        <w:t>（详细地址）或传真至</w:t>
      </w:r>
      <w:bookmarkEnd w:id="77"/>
      <w:bookmarkEnd w:id="78"/>
      <w:bookmarkEnd w:id="79"/>
      <w:bookmarkEnd w:id="80"/>
      <w:bookmarkEnd w:id="81"/>
      <w:bookmarkEnd w:id="82"/>
      <w:bookmarkEnd w:id="83"/>
      <w:bookmarkEnd w:id="84"/>
      <w:bookmarkEnd w:id="85"/>
      <w:bookmarkEnd w:id="86"/>
      <w:bookmarkEnd w:id="87"/>
      <w:r>
        <w:rPr>
          <w:rFonts w:ascii="Times New Roman" w:hAnsi="Times New Roman"/>
          <w:color w:val="auto"/>
          <w:u w:val="single"/>
        </w:rPr>
        <w:t xml:space="preserve">                     </w:t>
      </w:r>
      <w:r>
        <w:rPr>
          <w:rFonts w:ascii="Times New Roman" w:hAnsi="Times New Roman"/>
          <w:color w:val="auto"/>
        </w:rPr>
        <w:t>（传真号码）或通过下载招标</w:t>
      </w:r>
      <w:r>
        <w:rPr>
          <w:rFonts w:hint="eastAsia" w:ascii="Times New Roman" w:hAnsi="Times New Roman"/>
          <w:color w:val="auto"/>
        </w:rPr>
        <w:t>文</w:t>
      </w:r>
      <w:r>
        <w:rPr>
          <w:rFonts w:ascii="Times New Roman" w:hAnsi="Times New Roman"/>
          <w:color w:val="auto"/>
        </w:rPr>
        <w:t>件的电子招标交易平台上传。采用传真方式的，应在</w:t>
      </w:r>
      <w:r>
        <w:rPr>
          <w:rFonts w:ascii="Times New Roman" w:hAnsi="Times New Roman"/>
          <w:color w:val="auto"/>
          <w:u w:val="single"/>
        </w:rPr>
        <w:t xml:space="preserve">       </w:t>
      </w:r>
      <w:r>
        <w:rPr>
          <w:rFonts w:ascii="Times New Roman" w:hAnsi="Times New Roman"/>
          <w:color w:val="auto"/>
        </w:rPr>
        <w:t>年</w:t>
      </w:r>
      <w:r>
        <w:rPr>
          <w:rFonts w:ascii="Times New Roman" w:hAnsi="Times New Roman"/>
          <w:color w:val="auto"/>
          <w:u w:val="single"/>
        </w:rPr>
        <w:t xml:space="preserve">       </w:t>
      </w:r>
      <w:r>
        <w:rPr>
          <w:rFonts w:ascii="Times New Roman" w:hAnsi="Times New Roman"/>
          <w:color w:val="auto"/>
        </w:rPr>
        <w:t>月</w:t>
      </w:r>
    </w:p>
    <w:p>
      <w:pPr>
        <w:spacing w:line="440" w:lineRule="exact"/>
        <w:rPr>
          <w:rFonts w:ascii="Times New Roman" w:hAnsi="Times New Roman"/>
          <w:color w:val="auto"/>
        </w:rPr>
      </w:pPr>
      <w:r>
        <w:rPr>
          <w:rFonts w:ascii="Times New Roman" w:hAnsi="Times New Roman"/>
          <w:color w:val="auto"/>
          <w:u w:val="single"/>
        </w:rPr>
        <w:t xml:space="preserve">       </w:t>
      </w:r>
      <w:r>
        <w:rPr>
          <w:rFonts w:ascii="Times New Roman" w:hAnsi="Times New Roman"/>
          <w:color w:val="auto"/>
        </w:rPr>
        <w:t>日</w:t>
      </w:r>
      <w:r>
        <w:rPr>
          <w:rFonts w:ascii="Times New Roman" w:hAnsi="Times New Roman"/>
          <w:color w:val="auto"/>
          <w:u w:val="single"/>
        </w:rPr>
        <w:t xml:space="preserve">       </w:t>
      </w:r>
      <w:r>
        <w:rPr>
          <w:rFonts w:ascii="Times New Roman" w:hAnsi="Times New Roman"/>
          <w:color w:val="auto"/>
        </w:rPr>
        <w:t>时前将原件递交至</w:t>
      </w:r>
      <w:r>
        <w:rPr>
          <w:rFonts w:ascii="Times New Roman" w:hAnsi="Times New Roman"/>
          <w:color w:val="auto"/>
          <w:u w:val="single"/>
        </w:rPr>
        <w:t xml:space="preserve">                     </w:t>
      </w:r>
      <w:r>
        <w:rPr>
          <w:rFonts w:ascii="Times New Roman" w:hAnsi="Times New Roman"/>
          <w:color w:val="auto"/>
        </w:rPr>
        <w:t>（详细地址）。</w:t>
      </w:r>
    </w:p>
    <w:p>
      <w:pPr>
        <w:spacing w:line="440" w:lineRule="exact"/>
        <w:rPr>
          <w:rFonts w:ascii="Times New Roman" w:hAnsi="Times New Roman"/>
          <w:color w:val="auto"/>
        </w:rPr>
      </w:pPr>
    </w:p>
    <w:p>
      <w:pPr>
        <w:spacing w:line="440" w:lineRule="exact"/>
        <w:rPr>
          <w:rFonts w:ascii="Times New Roman" w:hAnsi="Times New Roman"/>
          <w:color w:val="auto"/>
        </w:rPr>
      </w:pPr>
    </w:p>
    <w:p>
      <w:pPr>
        <w:spacing w:line="440" w:lineRule="exact"/>
        <w:ind w:firstLine="2100" w:firstLineChars="1000"/>
        <w:rPr>
          <w:rFonts w:ascii="Times New Roman" w:hAnsi="Times New Roman"/>
          <w:color w:val="auto"/>
        </w:rPr>
      </w:pPr>
      <w:r>
        <w:rPr>
          <w:rFonts w:ascii="Times New Roman" w:hAnsi="Times New Roman"/>
          <w:color w:val="auto"/>
        </w:rPr>
        <w:t>评标委员会授权的招标人或招标代理机构：</w:t>
      </w:r>
      <w:r>
        <w:rPr>
          <w:rFonts w:ascii="Times New Roman" w:hAnsi="Times New Roman" w:eastAsia="黑体"/>
          <w:color w:val="auto"/>
          <w:sz w:val="28"/>
          <w:u w:val="single"/>
        </w:rPr>
        <w:t xml:space="preserve">      </w:t>
      </w:r>
      <w:r>
        <w:rPr>
          <w:rFonts w:ascii="Times New Roman" w:hAnsi="Times New Roman"/>
          <w:color w:val="auto"/>
        </w:rPr>
        <w:t>（签字或盖章）</w:t>
      </w:r>
      <w:bookmarkStart w:id="88" w:name="_Toc152045578"/>
      <w:bookmarkStart w:id="89" w:name="_Toc247527603"/>
      <w:bookmarkStart w:id="90" w:name="_Toc369531567"/>
      <w:bookmarkStart w:id="91" w:name="_Toc384308262"/>
      <w:bookmarkStart w:id="92" w:name="_Toc300834998"/>
      <w:bookmarkStart w:id="93" w:name="_Toc361508636"/>
      <w:bookmarkStart w:id="94" w:name="_Toc6580"/>
      <w:bookmarkStart w:id="95" w:name="_Toc247514002"/>
      <w:bookmarkStart w:id="96" w:name="_Toc152042354"/>
      <w:bookmarkStart w:id="97" w:name="_Toc352691523"/>
      <w:bookmarkStart w:id="98" w:name="_Toc144974546"/>
    </w:p>
    <w:bookmarkEnd w:id="88"/>
    <w:bookmarkEnd w:id="89"/>
    <w:bookmarkEnd w:id="90"/>
    <w:bookmarkEnd w:id="91"/>
    <w:bookmarkEnd w:id="92"/>
    <w:bookmarkEnd w:id="93"/>
    <w:bookmarkEnd w:id="94"/>
    <w:bookmarkEnd w:id="95"/>
    <w:bookmarkEnd w:id="96"/>
    <w:bookmarkEnd w:id="97"/>
    <w:p>
      <w:pPr>
        <w:spacing w:line="440" w:lineRule="exact"/>
        <w:rPr>
          <w:rFonts w:ascii="Times New Roman" w:hAnsi="Times New Roman"/>
          <w:color w:val="auto"/>
        </w:rPr>
      </w:pPr>
      <w:bookmarkStart w:id="99" w:name="_Toc152042355"/>
    </w:p>
    <w:p>
      <w:pPr>
        <w:spacing w:line="440" w:lineRule="exact"/>
        <w:ind w:right="840"/>
        <w:jc w:val="right"/>
        <w:rPr>
          <w:rFonts w:ascii="Times New Roman" w:hAnsi="Times New Roman"/>
          <w:color w:val="auto"/>
        </w:rPr>
      </w:pPr>
      <w:r>
        <w:rPr>
          <w:rFonts w:ascii="Times New Roman" w:hAnsi="Times New Roman"/>
          <w:color w:val="auto"/>
          <w:u w:val="single"/>
        </w:rPr>
        <w:t xml:space="preserve">        </w:t>
      </w:r>
      <w:r>
        <w:rPr>
          <w:rFonts w:ascii="Times New Roman" w:hAnsi="Times New Roman"/>
          <w:color w:val="auto"/>
        </w:rPr>
        <w:t>年</w:t>
      </w:r>
      <w:r>
        <w:rPr>
          <w:rFonts w:ascii="Times New Roman" w:hAnsi="Times New Roman"/>
          <w:color w:val="auto"/>
          <w:u w:val="single"/>
        </w:rPr>
        <w:t xml:space="preserve">       </w:t>
      </w:r>
      <w:r>
        <w:rPr>
          <w:rFonts w:ascii="Times New Roman" w:hAnsi="Times New Roman"/>
          <w:color w:val="auto"/>
        </w:rPr>
        <w:t>月</w:t>
      </w:r>
      <w:r>
        <w:rPr>
          <w:rFonts w:ascii="Times New Roman" w:hAnsi="Times New Roman"/>
          <w:color w:val="auto"/>
          <w:u w:val="single"/>
        </w:rPr>
        <w:t xml:space="preserve">       </w:t>
      </w:r>
      <w:r>
        <w:rPr>
          <w:rFonts w:ascii="Times New Roman" w:hAnsi="Times New Roman"/>
          <w:color w:val="auto"/>
        </w:rPr>
        <w:t>日</w:t>
      </w:r>
    </w:p>
    <w:p>
      <w:pPr>
        <w:spacing w:line="400" w:lineRule="exact"/>
        <w:rPr>
          <w:rFonts w:ascii="Times New Roman" w:hAnsi="Times New Roman"/>
          <w:color w:val="auto"/>
        </w:rPr>
      </w:pPr>
    </w:p>
    <w:p>
      <w:pPr>
        <w:spacing w:line="400" w:lineRule="exact"/>
        <w:rPr>
          <w:rFonts w:ascii="Times New Roman" w:hAnsi="Times New Roman"/>
          <w:color w:val="auto"/>
        </w:rPr>
      </w:pPr>
      <w:r>
        <w:rPr>
          <w:rFonts w:ascii="Times New Roman" w:hAnsi="Times New Roman"/>
          <w:color w:val="auto"/>
        </w:rPr>
        <w:br w:type="page"/>
      </w:r>
    </w:p>
    <w:p>
      <w:pPr>
        <w:pStyle w:val="6"/>
        <w:ind w:firstLine="137"/>
        <w:rPr>
          <w:rFonts w:ascii="Times New Roman" w:hAnsi="Times New Roman"/>
          <w:color w:val="auto"/>
        </w:rPr>
      </w:pPr>
      <w:bookmarkStart w:id="100" w:name="_Toc492300817"/>
      <w:r>
        <w:rPr>
          <w:rFonts w:hint="eastAsia" w:ascii="Times New Roman" w:hAnsi="Times New Roman"/>
          <w:color w:val="auto"/>
        </w:rPr>
        <w:t>附件三：问题的澄清</w:t>
      </w:r>
      <w:bookmarkEnd w:id="100"/>
    </w:p>
    <w:p>
      <w:pPr>
        <w:spacing w:line="400" w:lineRule="exact"/>
        <w:jc w:val="center"/>
        <w:rPr>
          <w:rFonts w:ascii="Times New Roman" w:hAnsi="Times New Roman" w:eastAsia="黑体"/>
          <w:color w:val="auto"/>
          <w:sz w:val="28"/>
        </w:rPr>
      </w:pPr>
    </w:p>
    <w:p>
      <w:pPr>
        <w:spacing w:line="400" w:lineRule="exact"/>
        <w:jc w:val="center"/>
        <w:rPr>
          <w:rFonts w:ascii="Times New Roman" w:hAnsi="Times New Roman" w:eastAsia="黑体"/>
          <w:color w:val="auto"/>
          <w:sz w:val="28"/>
        </w:rPr>
      </w:pPr>
      <w:r>
        <w:rPr>
          <w:rFonts w:ascii="Times New Roman" w:hAnsi="Times New Roman" w:eastAsia="黑体"/>
          <w:color w:val="auto"/>
          <w:sz w:val="28"/>
        </w:rPr>
        <w:t>问</w:t>
      </w:r>
      <w:bookmarkEnd w:id="99"/>
      <w:r>
        <w:rPr>
          <w:rFonts w:ascii="Times New Roman" w:hAnsi="Times New Roman" w:eastAsia="黑体"/>
          <w:color w:val="auto"/>
          <w:sz w:val="28"/>
        </w:rPr>
        <w:t>题</w:t>
      </w:r>
      <w:bookmarkStart w:id="101" w:name="_Toc384308263"/>
      <w:bookmarkStart w:id="102" w:name="_Toc300834999"/>
      <w:bookmarkStart w:id="103" w:name="_Toc247527604"/>
      <w:bookmarkStart w:id="104" w:name="_Toc3622"/>
      <w:bookmarkStart w:id="105" w:name="_Toc152042356"/>
      <w:bookmarkStart w:id="106" w:name="_Toc247514003"/>
      <w:bookmarkStart w:id="107" w:name="_Toc352691524"/>
      <w:bookmarkStart w:id="108" w:name="_Toc361508637"/>
      <w:bookmarkStart w:id="109" w:name="_Toc152045579"/>
      <w:bookmarkStart w:id="110" w:name="_Toc369531568"/>
      <w:r>
        <w:rPr>
          <w:rFonts w:ascii="Times New Roman" w:hAnsi="Times New Roman" w:eastAsia="黑体"/>
          <w:color w:val="auto"/>
          <w:sz w:val="28"/>
        </w:rPr>
        <w:t>的澄清</w:t>
      </w:r>
    </w:p>
    <w:p>
      <w:pPr>
        <w:spacing w:line="400" w:lineRule="exact"/>
        <w:ind w:firstLine="3465" w:firstLineChars="1650"/>
        <w:rPr>
          <w:rFonts w:ascii="Times New Roman" w:hAnsi="Times New Roman"/>
          <w:color w:val="auto"/>
        </w:rPr>
      </w:pPr>
      <w:r>
        <w:rPr>
          <w:rFonts w:ascii="Times New Roman" w:hAnsi="Times New Roman"/>
          <w:color w:val="auto"/>
        </w:rPr>
        <w:t>（编号</w:t>
      </w:r>
      <w:bookmarkEnd w:id="98"/>
      <w:bookmarkEnd w:id="101"/>
      <w:bookmarkEnd w:id="102"/>
      <w:bookmarkEnd w:id="103"/>
      <w:bookmarkEnd w:id="104"/>
      <w:bookmarkEnd w:id="105"/>
      <w:bookmarkEnd w:id="106"/>
      <w:bookmarkEnd w:id="107"/>
      <w:bookmarkEnd w:id="108"/>
      <w:bookmarkEnd w:id="109"/>
      <w:bookmarkEnd w:id="110"/>
      <w:r>
        <w:rPr>
          <w:rFonts w:ascii="Times New Roman" w:hAnsi="Times New Roman"/>
          <w:color w:val="auto"/>
        </w:rPr>
        <w:t>：</w:t>
      </w:r>
      <w:r>
        <w:rPr>
          <w:rFonts w:ascii="Times New Roman" w:hAnsi="Times New Roman" w:eastAsia="黑体"/>
          <w:color w:val="auto"/>
          <w:sz w:val="28"/>
          <w:u w:val="single"/>
        </w:rPr>
        <w:t xml:space="preserve">           </w:t>
      </w:r>
      <w:r>
        <w:rPr>
          <w:rFonts w:ascii="Times New Roman" w:hAnsi="Times New Roman"/>
          <w:color w:val="auto"/>
        </w:rPr>
        <w:t>）</w:t>
      </w:r>
    </w:p>
    <w:p>
      <w:pPr>
        <w:spacing w:line="400" w:lineRule="exact"/>
        <w:rPr>
          <w:rFonts w:ascii="Times New Roman" w:hAnsi="Times New Roman"/>
          <w:color w:val="auto"/>
        </w:rPr>
      </w:pPr>
    </w:p>
    <w:p>
      <w:pPr>
        <w:spacing w:line="440" w:lineRule="exact"/>
        <w:rPr>
          <w:rFonts w:ascii="Times New Roman" w:hAnsi="Times New Roman"/>
          <w:color w:val="auto"/>
        </w:rPr>
      </w:pPr>
      <w:r>
        <w:rPr>
          <w:rFonts w:ascii="Times New Roman" w:hAnsi="Times New Roman"/>
          <w:color w:val="auto"/>
        </w:rPr>
        <w:t>评标委员会：</w:t>
      </w:r>
    </w:p>
    <w:p>
      <w:pPr>
        <w:spacing w:line="440" w:lineRule="exact"/>
        <w:rPr>
          <w:rFonts w:ascii="Times New Roman" w:hAnsi="Times New Roman"/>
          <w:color w:val="auto"/>
        </w:rPr>
      </w:pPr>
    </w:p>
    <w:p>
      <w:pPr>
        <w:spacing w:line="440" w:lineRule="exact"/>
        <w:rPr>
          <w:rFonts w:ascii="Times New Roman" w:hAnsi="Times New Roman"/>
          <w:color w:val="auto"/>
        </w:rPr>
      </w:pPr>
      <w:r>
        <w:rPr>
          <w:rFonts w:ascii="Times New Roman" w:hAnsi="Times New Roman"/>
          <w:color w:val="auto"/>
        </w:rPr>
        <w:t>　　问题澄清通知（编号：</w:t>
      </w:r>
      <w:r>
        <w:rPr>
          <w:rFonts w:ascii="Times New Roman" w:hAnsi="Times New Roman" w:eastAsia="黑体"/>
          <w:color w:val="auto"/>
          <w:sz w:val="28"/>
          <w:u w:val="single"/>
        </w:rPr>
        <w:t xml:space="preserve">      </w:t>
      </w:r>
      <w:r>
        <w:rPr>
          <w:rFonts w:ascii="Times New Roman" w:hAnsi="Times New Roman"/>
          <w:color w:val="auto"/>
        </w:rPr>
        <w:t>）已收悉，现澄清、说明或补正如下：</w:t>
      </w:r>
    </w:p>
    <w:p>
      <w:pPr>
        <w:spacing w:line="440" w:lineRule="exact"/>
        <w:rPr>
          <w:rFonts w:ascii="Times New Roman" w:hAnsi="Times New Roman"/>
          <w:color w:val="auto"/>
        </w:rPr>
      </w:pPr>
      <w:r>
        <w:rPr>
          <w:rFonts w:ascii="Times New Roman" w:hAnsi="Times New Roman"/>
          <w:color w:val="auto"/>
        </w:rPr>
        <w:t>　     1.</w:t>
      </w:r>
    </w:p>
    <w:p>
      <w:pPr>
        <w:spacing w:line="440" w:lineRule="exact"/>
        <w:rPr>
          <w:rFonts w:ascii="Times New Roman" w:hAnsi="Times New Roman"/>
          <w:color w:val="auto"/>
        </w:rPr>
      </w:pPr>
      <w:r>
        <w:rPr>
          <w:rFonts w:ascii="Times New Roman" w:hAnsi="Times New Roman"/>
          <w:color w:val="auto"/>
        </w:rPr>
        <w:t>　     2.</w:t>
      </w:r>
    </w:p>
    <w:p>
      <w:pPr>
        <w:spacing w:line="440" w:lineRule="exact"/>
        <w:rPr>
          <w:rFonts w:ascii="Times New Roman" w:hAnsi="Times New Roman"/>
          <w:color w:val="auto"/>
        </w:rPr>
      </w:pPr>
      <w:r>
        <w:rPr>
          <w:rFonts w:ascii="Times New Roman" w:hAnsi="Times New Roman"/>
          <w:color w:val="auto"/>
        </w:rPr>
        <w:t>　    .....</w:t>
      </w:r>
    </w:p>
    <w:p>
      <w:pPr>
        <w:spacing w:line="440" w:lineRule="exact"/>
        <w:rPr>
          <w:rFonts w:ascii="Times New Roman" w:hAnsi="Times New Roman"/>
          <w:color w:val="auto"/>
        </w:rPr>
      </w:pPr>
    </w:p>
    <w:p>
      <w:pPr>
        <w:spacing w:line="440" w:lineRule="exact"/>
        <w:rPr>
          <w:rFonts w:ascii="Times New Roman" w:hAnsi="Times New Roman"/>
          <w:color w:val="auto"/>
        </w:rPr>
      </w:pPr>
      <w:r>
        <w:rPr>
          <w:rFonts w:ascii="Times New Roman" w:hAnsi="Times New Roman"/>
          <w:color w:val="auto"/>
        </w:rPr>
        <w:t>　</w:t>
      </w:r>
    </w:p>
    <w:p>
      <w:pPr>
        <w:spacing w:line="440" w:lineRule="exact"/>
        <w:rPr>
          <w:rFonts w:ascii="Times New Roman" w:hAnsi="Times New Roman"/>
          <w:color w:val="auto"/>
        </w:rPr>
      </w:pPr>
    </w:p>
    <w:p>
      <w:pPr>
        <w:spacing w:line="440" w:lineRule="exact"/>
        <w:ind w:firstLine="420" w:firstLineChars="200"/>
        <w:rPr>
          <w:rFonts w:ascii="Times New Roman" w:hAnsi="Times New Roman"/>
          <w:color w:val="auto"/>
        </w:rPr>
      </w:pPr>
      <w:r>
        <w:rPr>
          <w:rFonts w:ascii="Times New Roman" w:hAnsi="Times New Roman"/>
          <w:color w:val="auto"/>
        </w:rPr>
        <w:t>上述问题澄清、说明或补正，不改变我方投标文件的实质性内容，构成我方投标文件的组成部分。</w:t>
      </w:r>
    </w:p>
    <w:p>
      <w:pPr>
        <w:spacing w:line="440" w:lineRule="exact"/>
        <w:rPr>
          <w:rFonts w:ascii="Times New Roman" w:hAnsi="Times New Roman"/>
          <w:color w:val="auto"/>
        </w:rPr>
      </w:pPr>
    </w:p>
    <w:p>
      <w:pPr>
        <w:spacing w:line="440" w:lineRule="exact"/>
        <w:rPr>
          <w:rFonts w:ascii="Times New Roman" w:hAnsi="Times New Roman"/>
          <w:color w:val="auto"/>
        </w:rPr>
      </w:pPr>
    </w:p>
    <w:p>
      <w:pPr>
        <w:spacing w:line="480" w:lineRule="auto"/>
        <w:rPr>
          <w:rFonts w:ascii="Times New Roman" w:hAnsi="Times New Roman"/>
          <w:color w:val="auto"/>
        </w:rPr>
      </w:pPr>
      <w:r>
        <w:rPr>
          <w:rFonts w:ascii="Times New Roman" w:hAnsi="Times New Roman"/>
          <w:color w:val="auto"/>
        </w:rPr>
        <w:t>　　　　　　　　　　　　　　投标人：</w:t>
      </w:r>
      <w:r>
        <w:rPr>
          <w:rFonts w:ascii="Times New Roman" w:hAnsi="Times New Roman" w:eastAsia="黑体"/>
          <w:color w:val="auto"/>
          <w:sz w:val="28"/>
          <w:u w:val="single"/>
        </w:rPr>
        <w:t xml:space="preserve">                         </w:t>
      </w:r>
      <w:r>
        <w:rPr>
          <w:rFonts w:ascii="Times New Roman" w:hAnsi="Times New Roman"/>
          <w:color w:val="auto"/>
        </w:rPr>
        <w:t>（盖单位章）</w:t>
      </w:r>
    </w:p>
    <w:p>
      <w:pPr>
        <w:spacing w:line="480" w:lineRule="auto"/>
        <w:ind w:firstLine="2835" w:firstLineChars="1350"/>
        <w:rPr>
          <w:rFonts w:ascii="Times New Roman" w:hAnsi="Times New Roman"/>
          <w:color w:val="auto"/>
        </w:rPr>
      </w:pPr>
      <w:r>
        <w:rPr>
          <w:rFonts w:hint="eastAsia" w:ascii="Times New Roman" w:hAnsi="Times New Roman"/>
          <w:color w:val="auto"/>
        </w:rPr>
        <w:t xml:space="preserve"> </w:t>
      </w:r>
      <w:r>
        <w:rPr>
          <w:rFonts w:ascii="Times New Roman" w:hAnsi="Times New Roman"/>
          <w:color w:val="auto"/>
        </w:rPr>
        <w:t>法定代表人或其委托代理人：</w:t>
      </w:r>
      <w:r>
        <w:rPr>
          <w:rFonts w:ascii="Times New Roman" w:hAnsi="Times New Roman"/>
          <w:color w:val="auto"/>
          <w:u w:val="single"/>
        </w:rPr>
        <w:t xml:space="preserve">        </w:t>
      </w:r>
      <w:r>
        <w:rPr>
          <w:rFonts w:ascii="Times New Roman" w:hAnsi="Times New Roman"/>
          <w:color w:val="auto"/>
        </w:rPr>
        <w:t>（签字）</w:t>
      </w:r>
    </w:p>
    <w:p>
      <w:pPr>
        <w:spacing w:line="440" w:lineRule="exact"/>
        <w:rPr>
          <w:rFonts w:ascii="Times New Roman" w:hAnsi="Times New Roman"/>
          <w:color w:val="auto"/>
        </w:rPr>
      </w:pPr>
      <w:r>
        <w:rPr>
          <w:rFonts w:ascii="Times New Roman" w:hAnsi="Times New Roman"/>
          <w:color w:val="auto"/>
        </w:rPr>
        <w:t>　　　　　　　　　　　　　　　</w:t>
      </w:r>
    </w:p>
    <w:p>
      <w:pPr>
        <w:spacing w:line="440" w:lineRule="exact"/>
        <w:jc w:val="right"/>
        <w:rPr>
          <w:rFonts w:ascii="Times New Roman" w:hAnsi="Times New Roman"/>
          <w:color w:val="auto"/>
        </w:rPr>
      </w:pPr>
      <w:r>
        <w:rPr>
          <w:rFonts w:ascii="Times New Roman" w:hAnsi="Times New Roman"/>
          <w:color w:val="auto"/>
        </w:rPr>
        <w:t>　　　　　　　　　　　　　　　</w:t>
      </w:r>
      <w:r>
        <w:rPr>
          <w:rFonts w:ascii="Times New Roman" w:hAnsi="Times New Roman"/>
          <w:color w:val="auto"/>
          <w:u w:val="single"/>
        </w:rPr>
        <w:t xml:space="preserve">        </w:t>
      </w:r>
      <w:r>
        <w:rPr>
          <w:rFonts w:ascii="Times New Roman" w:hAnsi="Times New Roman"/>
          <w:color w:val="auto"/>
        </w:rPr>
        <w:t>年</w:t>
      </w:r>
      <w:bookmarkStart w:id="111" w:name="_Toc247527606"/>
      <w:bookmarkStart w:id="112" w:name="_Toc369531571"/>
      <w:bookmarkStart w:id="113" w:name="_Toc247514005"/>
      <w:bookmarkStart w:id="114" w:name="_Toc300835002"/>
      <w:bookmarkStart w:id="115" w:name="_Toc384308266"/>
      <w:bookmarkStart w:id="116" w:name="_Toc361508640"/>
      <w:bookmarkStart w:id="117" w:name="_Toc352691527"/>
      <w:bookmarkStart w:id="118" w:name="_Toc152045581"/>
      <w:bookmarkStart w:id="119" w:name="_Toc152042358"/>
      <w:bookmarkStart w:id="120" w:name="_Toc15139"/>
      <w:bookmarkStart w:id="121" w:name="_Toc144974548"/>
      <w:r>
        <w:rPr>
          <w:rFonts w:ascii="Times New Roman" w:hAnsi="Times New Roman"/>
          <w:color w:val="auto"/>
          <w:u w:val="single"/>
        </w:rPr>
        <w:t xml:space="preserve">        </w:t>
      </w:r>
      <w:r>
        <w:rPr>
          <w:rFonts w:ascii="Times New Roman" w:hAnsi="Times New Roman"/>
          <w:color w:val="auto"/>
        </w:rPr>
        <w:t>月</w:t>
      </w:r>
      <w:r>
        <w:rPr>
          <w:rFonts w:ascii="Times New Roman" w:hAnsi="Times New Roman"/>
          <w:color w:val="auto"/>
          <w:u w:val="single"/>
        </w:rPr>
        <w:t xml:space="preserve">        </w:t>
      </w:r>
      <w:r>
        <w:rPr>
          <w:rFonts w:ascii="Times New Roman" w:hAnsi="Times New Roman"/>
          <w:color w:val="auto"/>
        </w:rPr>
        <w:t>日</w:t>
      </w:r>
    </w:p>
    <w:bookmarkEnd w:id="111"/>
    <w:bookmarkEnd w:id="112"/>
    <w:bookmarkEnd w:id="113"/>
    <w:bookmarkEnd w:id="114"/>
    <w:bookmarkEnd w:id="115"/>
    <w:bookmarkEnd w:id="116"/>
    <w:bookmarkEnd w:id="117"/>
    <w:bookmarkEnd w:id="118"/>
    <w:bookmarkEnd w:id="119"/>
    <w:bookmarkEnd w:id="120"/>
    <w:bookmarkEnd w:id="121"/>
    <w:p>
      <w:pPr>
        <w:spacing w:line="400" w:lineRule="exact"/>
        <w:rPr>
          <w:rFonts w:ascii="Times New Roman" w:hAnsi="Times New Roman"/>
          <w:color w:val="auto"/>
        </w:rPr>
      </w:pPr>
    </w:p>
    <w:p>
      <w:pPr>
        <w:spacing w:line="400" w:lineRule="exact"/>
        <w:rPr>
          <w:rFonts w:ascii="Times New Roman" w:hAnsi="Times New Roman"/>
          <w:color w:val="auto"/>
        </w:rPr>
      </w:pPr>
      <w:r>
        <w:rPr>
          <w:rFonts w:ascii="Times New Roman" w:hAnsi="Times New Roman"/>
          <w:color w:val="auto"/>
        </w:rPr>
        <w:br w:type="page"/>
      </w:r>
    </w:p>
    <w:p>
      <w:pPr>
        <w:pStyle w:val="6"/>
        <w:ind w:firstLine="137"/>
        <w:rPr>
          <w:rFonts w:ascii="Times New Roman" w:hAnsi="Times New Roman"/>
          <w:color w:val="auto"/>
        </w:rPr>
      </w:pPr>
      <w:bookmarkStart w:id="122" w:name="_Toc492300818"/>
      <w:r>
        <w:rPr>
          <w:rFonts w:hint="eastAsia" w:ascii="Times New Roman" w:hAnsi="Times New Roman"/>
          <w:color w:val="auto"/>
        </w:rPr>
        <w:t>附件四：中标通知书</w:t>
      </w:r>
      <w:bookmarkEnd w:id="122"/>
    </w:p>
    <w:p>
      <w:pPr>
        <w:spacing w:line="400" w:lineRule="exact"/>
        <w:rPr>
          <w:rFonts w:ascii="Times New Roman" w:hAnsi="Times New Roman"/>
          <w:color w:val="auto"/>
        </w:rPr>
      </w:pPr>
    </w:p>
    <w:p>
      <w:pPr>
        <w:spacing w:line="400" w:lineRule="exact"/>
        <w:jc w:val="center"/>
        <w:rPr>
          <w:rFonts w:ascii="Times New Roman" w:hAnsi="Times New Roman" w:eastAsia="黑体"/>
          <w:color w:val="auto"/>
          <w:sz w:val="28"/>
        </w:rPr>
      </w:pPr>
      <w:r>
        <w:rPr>
          <w:rFonts w:ascii="Times New Roman" w:hAnsi="Times New Roman" w:eastAsia="黑体"/>
          <w:color w:val="auto"/>
          <w:sz w:val="28"/>
        </w:rPr>
        <w:t>中标通知书</w:t>
      </w:r>
    </w:p>
    <w:p>
      <w:pPr>
        <w:spacing w:line="400" w:lineRule="exact"/>
        <w:rPr>
          <w:rFonts w:ascii="Times New Roman" w:hAnsi="Times New Roman"/>
          <w:color w:val="auto"/>
        </w:rPr>
      </w:pPr>
    </w:p>
    <w:p>
      <w:pPr>
        <w:spacing w:line="440" w:lineRule="exact"/>
        <w:rPr>
          <w:rFonts w:ascii="Times New Roman" w:hAnsi="Times New Roman"/>
          <w:color w:val="auto"/>
        </w:rPr>
      </w:pPr>
      <w:r>
        <w:rPr>
          <w:rFonts w:ascii="Times New Roman" w:hAnsi="Times New Roman"/>
          <w:color w:val="auto"/>
          <w:u w:val="single"/>
        </w:rPr>
        <w:t xml:space="preserve">                        </w:t>
      </w:r>
      <w:r>
        <w:rPr>
          <w:rFonts w:ascii="Times New Roman" w:hAnsi="Times New Roman"/>
          <w:color w:val="auto"/>
        </w:rPr>
        <w:t>（中标人名称）：</w:t>
      </w:r>
    </w:p>
    <w:p>
      <w:pPr>
        <w:spacing w:line="440" w:lineRule="exact"/>
        <w:rPr>
          <w:rFonts w:ascii="Times New Roman" w:hAnsi="Times New Roman"/>
          <w:color w:val="auto"/>
        </w:rPr>
      </w:pPr>
    </w:p>
    <w:p>
      <w:pPr>
        <w:spacing w:line="440" w:lineRule="exact"/>
        <w:rPr>
          <w:rFonts w:ascii="Times New Roman" w:hAnsi="Times New Roman"/>
          <w:color w:val="auto"/>
        </w:rPr>
      </w:pPr>
      <w:r>
        <w:rPr>
          <w:rFonts w:ascii="Times New Roman" w:hAnsi="Times New Roman"/>
          <w:color w:val="auto"/>
        </w:rPr>
        <w:t>　　你方于</w:t>
      </w:r>
      <w:r>
        <w:rPr>
          <w:rFonts w:ascii="Times New Roman" w:hAnsi="Times New Roman"/>
          <w:color w:val="auto"/>
          <w:u w:val="single"/>
        </w:rPr>
        <w:t xml:space="preserve">                </w:t>
      </w:r>
      <w:r>
        <w:rPr>
          <w:rFonts w:ascii="Times New Roman" w:hAnsi="Times New Roman"/>
          <w:color w:val="auto"/>
        </w:rPr>
        <w:t>（投标日期）所递交的</w:t>
      </w:r>
      <w:r>
        <w:rPr>
          <w:rFonts w:ascii="Times New Roman" w:hAnsi="Times New Roman"/>
          <w:color w:val="auto"/>
          <w:u w:val="single"/>
        </w:rPr>
        <w:t xml:space="preserve">                 </w:t>
      </w:r>
      <w:r>
        <w:rPr>
          <w:rFonts w:ascii="Times New Roman" w:hAnsi="Times New Roman"/>
          <w:color w:val="auto"/>
        </w:rPr>
        <w:t>（项目名称）勘察招标的投标文件已被我方接受，被确定为中标人。</w:t>
      </w:r>
    </w:p>
    <w:p>
      <w:pPr>
        <w:spacing w:line="440" w:lineRule="exact"/>
        <w:ind w:firstLine="405"/>
        <w:rPr>
          <w:rFonts w:ascii="Times New Roman" w:hAnsi="Times New Roman"/>
          <w:color w:val="auto"/>
        </w:rPr>
      </w:pPr>
      <w:r>
        <w:rPr>
          <w:rFonts w:ascii="Times New Roman" w:hAnsi="Times New Roman"/>
          <w:color w:val="auto"/>
        </w:rPr>
        <w:t>中标价：</w:t>
      </w:r>
      <w:r>
        <w:rPr>
          <w:rFonts w:ascii="Times New Roman" w:hAnsi="Times New Roman"/>
          <w:color w:val="auto"/>
          <w:u w:val="single"/>
        </w:rPr>
        <w:t xml:space="preserve">                </w:t>
      </w:r>
      <w:r>
        <w:rPr>
          <w:rFonts w:ascii="Times New Roman" w:hAnsi="Times New Roman"/>
          <w:color w:val="auto"/>
        </w:rPr>
        <w:t>元。</w:t>
      </w:r>
    </w:p>
    <w:p>
      <w:pPr>
        <w:spacing w:line="440" w:lineRule="exact"/>
        <w:ind w:firstLine="405"/>
        <w:rPr>
          <w:rFonts w:ascii="Times New Roman" w:hAnsi="Times New Roman"/>
          <w:color w:val="auto"/>
        </w:rPr>
      </w:pPr>
      <w:r>
        <w:rPr>
          <w:rFonts w:ascii="Times New Roman" w:hAnsi="Times New Roman"/>
          <w:color w:val="auto"/>
        </w:rPr>
        <w:t>勘察服务期限：</w:t>
      </w:r>
      <w:r>
        <w:rPr>
          <w:rFonts w:ascii="Times New Roman" w:hAnsi="Times New Roman"/>
          <w:color w:val="auto"/>
          <w:u w:val="single"/>
        </w:rPr>
        <w:t xml:space="preserve">      </w:t>
      </w:r>
      <w:r>
        <w:rPr>
          <w:rFonts w:ascii="Times New Roman" w:hAnsi="Times New Roman"/>
          <w:color w:val="auto"/>
        </w:rPr>
        <w:t>日历天。</w:t>
      </w:r>
    </w:p>
    <w:p>
      <w:pPr>
        <w:spacing w:line="440" w:lineRule="exact"/>
        <w:ind w:firstLine="405"/>
        <w:rPr>
          <w:rFonts w:ascii="Times New Roman" w:hAnsi="Times New Roman"/>
          <w:color w:val="auto"/>
        </w:rPr>
      </w:pPr>
      <w:r>
        <w:rPr>
          <w:rFonts w:ascii="Times New Roman" w:hAnsi="Times New Roman"/>
          <w:color w:val="auto"/>
        </w:rPr>
        <w:t>项目负责人：</w:t>
      </w:r>
      <w:r>
        <w:rPr>
          <w:rFonts w:ascii="Times New Roman" w:hAnsi="Times New Roman"/>
          <w:color w:val="auto"/>
          <w:u w:val="single"/>
        </w:rPr>
        <w:t xml:space="preserve">                 </w:t>
      </w:r>
      <w:r>
        <w:rPr>
          <w:rFonts w:ascii="Times New Roman" w:hAnsi="Times New Roman"/>
          <w:color w:val="auto"/>
        </w:rPr>
        <w:t>（姓名）。</w:t>
      </w:r>
    </w:p>
    <w:p>
      <w:pPr>
        <w:spacing w:line="440" w:lineRule="exact"/>
        <w:ind w:firstLine="420"/>
        <w:rPr>
          <w:rFonts w:ascii="Times New Roman" w:hAnsi="Times New Roman"/>
          <w:color w:val="auto"/>
        </w:rPr>
      </w:pPr>
      <w:r>
        <w:rPr>
          <w:rFonts w:ascii="Times New Roman" w:hAnsi="Times New Roman"/>
          <w:color w:val="auto"/>
        </w:rPr>
        <w:t>请你方在接到本通知书后的</w:t>
      </w:r>
      <w:r>
        <w:rPr>
          <w:rFonts w:ascii="Times New Roman" w:hAnsi="Times New Roman"/>
          <w:color w:val="auto"/>
          <w:u w:val="single"/>
        </w:rPr>
        <w:t xml:space="preserve">        </w:t>
      </w:r>
      <w:r>
        <w:rPr>
          <w:rFonts w:ascii="Times New Roman" w:hAnsi="Times New Roman"/>
          <w:color w:val="auto"/>
        </w:rPr>
        <w:t>日内到</w:t>
      </w:r>
      <w:r>
        <w:rPr>
          <w:rFonts w:ascii="Times New Roman" w:hAnsi="Times New Roman"/>
          <w:color w:val="auto"/>
          <w:u w:val="single"/>
        </w:rPr>
        <w:t xml:space="preserve">                   </w:t>
      </w:r>
      <w:r>
        <w:rPr>
          <w:rFonts w:ascii="Times New Roman" w:hAnsi="Times New Roman"/>
          <w:color w:val="auto"/>
        </w:rPr>
        <w:t>（指定地点）与我方签订勘察合同，并按招标文件第二章“投标人须知”第7.6款规定向我方提交履约保证金。</w:t>
      </w:r>
    </w:p>
    <w:p>
      <w:pPr>
        <w:spacing w:line="440" w:lineRule="exact"/>
        <w:rPr>
          <w:rFonts w:ascii="Times New Roman" w:hAnsi="Times New Roman"/>
          <w:color w:val="auto"/>
        </w:rPr>
      </w:pPr>
      <w:r>
        <w:rPr>
          <w:rFonts w:ascii="Times New Roman" w:hAnsi="Times New Roman"/>
          <w:color w:val="auto"/>
        </w:rPr>
        <w:t>　　特此通知。</w:t>
      </w:r>
    </w:p>
    <w:p>
      <w:pPr>
        <w:spacing w:line="440" w:lineRule="exact"/>
        <w:rPr>
          <w:rFonts w:ascii="Times New Roman" w:hAnsi="Times New Roman"/>
          <w:color w:val="auto"/>
        </w:rPr>
      </w:pPr>
    </w:p>
    <w:p>
      <w:pPr>
        <w:spacing w:line="540" w:lineRule="exact"/>
        <w:ind w:firstLine="3238" w:firstLineChars="1542"/>
        <w:rPr>
          <w:rFonts w:ascii="Times New Roman" w:hAnsi="Times New Roman"/>
          <w:color w:val="auto"/>
        </w:rPr>
      </w:pPr>
      <w:r>
        <w:rPr>
          <w:rFonts w:ascii="Times New Roman" w:hAnsi="Times New Roman"/>
          <w:color w:val="auto"/>
        </w:rPr>
        <w:t>招标人：</w:t>
      </w:r>
      <w:r>
        <w:rPr>
          <w:rFonts w:ascii="Times New Roman" w:hAnsi="Times New Roman"/>
          <w:color w:val="auto"/>
          <w:u w:val="single"/>
        </w:rPr>
        <w:t xml:space="preserve">                             </w:t>
      </w:r>
      <w:r>
        <w:rPr>
          <w:rFonts w:ascii="Times New Roman" w:hAnsi="Times New Roman"/>
          <w:color w:val="auto"/>
        </w:rPr>
        <w:t>（盖单位章）</w:t>
      </w:r>
      <w:bookmarkStart w:id="123" w:name="_Toc384308267"/>
      <w:bookmarkStart w:id="124" w:name="_Toc152042359"/>
      <w:bookmarkStart w:id="125" w:name="_Toc25205"/>
      <w:bookmarkStart w:id="126" w:name="_Toc300835003"/>
      <w:bookmarkStart w:id="127" w:name="_Toc361508641"/>
      <w:bookmarkStart w:id="128" w:name="_Toc247514006"/>
      <w:bookmarkStart w:id="129" w:name="_Toc352691528"/>
      <w:bookmarkStart w:id="130" w:name="_Toc152045582"/>
      <w:bookmarkStart w:id="131" w:name="_Toc144974549"/>
      <w:bookmarkStart w:id="132" w:name="_Toc247527607"/>
      <w:bookmarkStart w:id="133" w:name="_Toc369531572"/>
    </w:p>
    <w:p>
      <w:pPr>
        <w:spacing w:line="540" w:lineRule="exact"/>
        <w:ind w:firstLine="3238" w:firstLineChars="1542"/>
        <w:rPr>
          <w:rFonts w:ascii="Times New Roman" w:hAnsi="Times New Roman"/>
          <w:color w:val="auto"/>
        </w:rPr>
      </w:pPr>
      <w:r>
        <w:rPr>
          <w:rFonts w:ascii="Times New Roman" w:hAnsi="Times New Roman"/>
          <w:color w:val="auto"/>
        </w:rPr>
        <w:t>法定代表人</w:t>
      </w:r>
      <w:r>
        <w:rPr>
          <w:rFonts w:hint="eastAsia" w:ascii="Times New Roman" w:hAnsi="Times New Roman"/>
          <w:color w:val="auto"/>
        </w:rPr>
        <w:t>：</w:t>
      </w:r>
      <w:r>
        <w:rPr>
          <w:rFonts w:ascii="Times New Roman" w:hAnsi="Times New Roman"/>
          <w:color w:val="auto"/>
          <w:u w:val="single"/>
        </w:rPr>
        <w:t xml:space="preserve">               </w:t>
      </w:r>
      <w:r>
        <w:rPr>
          <w:rFonts w:ascii="Times New Roman" w:hAnsi="Times New Roman"/>
          <w:color w:val="auto"/>
        </w:rPr>
        <w:t>（签字）</w:t>
      </w:r>
    </w:p>
    <w:bookmarkEnd w:id="123"/>
    <w:bookmarkEnd w:id="124"/>
    <w:bookmarkEnd w:id="125"/>
    <w:bookmarkEnd w:id="126"/>
    <w:bookmarkEnd w:id="127"/>
    <w:bookmarkEnd w:id="128"/>
    <w:bookmarkEnd w:id="129"/>
    <w:bookmarkEnd w:id="130"/>
    <w:bookmarkEnd w:id="131"/>
    <w:bookmarkEnd w:id="132"/>
    <w:bookmarkEnd w:id="133"/>
    <w:p>
      <w:pPr>
        <w:spacing w:line="540" w:lineRule="exact"/>
        <w:ind w:firstLine="3863" w:firstLineChars="1840"/>
        <w:jc w:val="center"/>
        <w:rPr>
          <w:rFonts w:ascii="Times New Roman" w:hAnsi="Times New Roman"/>
          <w:color w:val="auto"/>
        </w:rPr>
      </w:pPr>
      <w:r>
        <w:rPr>
          <w:rFonts w:ascii="Times New Roman" w:hAnsi="Times New Roman"/>
          <w:color w:val="auto"/>
          <w:u w:val="single"/>
        </w:rPr>
        <w:t xml:space="preserve">       </w:t>
      </w:r>
      <w:r>
        <w:rPr>
          <w:rFonts w:ascii="Times New Roman" w:hAnsi="Times New Roman"/>
          <w:color w:val="auto"/>
        </w:rPr>
        <w:t>年</w:t>
      </w:r>
      <w:r>
        <w:rPr>
          <w:rFonts w:ascii="Times New Roman" w:hAnsi="Times New Roman"/>
          <w:color w:val="auto"/>
          <w:u w:val="single"/>
        </w:rPr>
        <w:t xml:space="preserve">       </w:t>
      </w:r>
      <w:r>
        <w:rPr>
          <w:rFonts w:ascii="Times New Roman" w:hAnsi="Times New Roman"/>
          <w:color w:val="auto"/>
        </w:rPr>
        <w:t>月</w:t>
      </w:r>
      <w:r>
        <w:rPr>
          <w:rFonts w:ascii="Times New Roman" w:hAnsi="Times New Roman"/>
          <w:color w:val="auto"/>
          <w:u w:val="single"/>
        </w:rPr>
        <w:t xml:space="preserve">       </w:t>
      </w:r>
      <w:r>
        <w:rPr>
          <w:rFonts w:ascii="Times New Roman" w:hAnsi="Times New Roman"/>
          <w:color w:val="auto"/>
        </w:rPr>
        <w:t>日</w:t>
      </w:r>
    </w:p>
    <w:p>
      <w:pPr>
        <w:spacing w:line="400" w:lineRule="exact"/>
        <w:rPr>
          <w:rFonts w:ascii="Times New Roman" w:hAnsi="Times New Roman"/>
          <w:color w:val="auto"/>
        </w:rPr>
      </w:pPr>
    </w:p>
    <w:p>
      <w:pPr>
        <w:spacing w:line="400" w:lineRule="exact"/>
        <w:rPr>
          <w:rFonts w:ascii="Times New Roman" w:hAnsi="Times New Roman"/>
          <w:color w:val="auto"/>
        </w:rPr>
      </w:pPr>
      <w:r>
        <w:rPr>
          <w:rFonts w:ascii="Times New Roman" w:hAnsi="Times New Roman"/>
          <w:color w:val="auto"/>
        </w:rPr>
        <w:br w:type="page"/>
      </w:r>
    </w:p>
    <w:p>
      <w:pPr>
        <w:pStyle w:val="6"/>
        <w:ind w:firstLine="137"/>
        <w:rPr>
          <w:rFonts w:ascii="Times New Roman" w:hAnsi="Times New Roman"/>
          <w:color w:val="auto"/>
        </w:rPr>
      </w:pPr>
      <w:bookmarkStart w:id="134" w:name="_Toc492300819"/>
      <w:r>
        <w:rPr>
          <w:rFonts w:hint="eastAsia" w:ascii="Times New Roman" w:hAnsi="Times New Roman"/>
          <w:color w:val="auto"/>
        </w:rPr>
        <w:t>附件五：中标结果通知书</w:t>
      </w:r>
      <w:bookmarkEnd w:id="134"/>
    </w:p>
    <w:p>
      <w:pPr>
        <w:spacing w:line="400" w:lineRule="exact"/>
        <w:rPr>
          <w:rFonts w:ascii="Times New Roman" w:hAnsi="Times New Roman"/>
          <w:color w:val="auto"/>
        </w:rPr>
      </w:pPr>
    </w:p>
    <w:p>
      <w:pPr>
        <w:spacing w:line="400" w:lineRule="exact"/>
        <w:jc w:val="center"/>
        <w:rPr>
          <w:rFonts w:ascii="Times New Roman" w:hAnsi="Times New Roman" w:eastAsia="黑体"/>
          <w:color w:val="auto"/>
          <w:sz w:val="28"/>
        </w:rPr>
      </w:pPr>
      <w:r>
        <w:rPr>
          <w:rFonts w:ascii="Times New Roman" w:hAnsi="Times New Roman" w:eastAsia="黑体"/>
          <w:color w:val="auto"/>
          <w:sz w:val="28"/>
        </w:rPr>
        <w:t>中标结果通知书</w:t>
      </w:r>
    </w:p>
    <w:p>
      <w:pPr>
        <w:spacing w:line="400" w:lineRule="exact"/>
        <w:rPr>
          <w:rFonts w:ascii="Times New Roman" w:hAnsi="Times New Roman"/>
          <w:color w:val="auto"/>
        </w:rPr>
      </w:pPr>
    </w:p>
    <w:p>
      <w:pPr>
        <w:spacing w:line="440" w:lineRule="exact"/>
        <w:rPr>
          <w:rFonts w:ascii="Times New Roman" w:hAnsi="Times New Roman"/>
          <w:color w:val="auto"/>
        </w:rPr>
      </w:pPr>
      <w:r>
        <w:rPr>
          <w:rFonts w:ascii="Times New Roman" w:hAnsi="Times New Roman"/>
          <w:color w:val="auto"/>
          <w:u w:val="single"/>
        </w:rPr>
        <w:t xml:space="preserve">                     </w:t>
      </w:r>
      <w:r>
        <w:rPr>
          <w:rFonts w:ascii="Times New Roman" w:hAnsi="Times New Roman"/>
          <w:color w:val="auto"/>
        </w:rPr>
        <w:t>（未中标人名称）：</w:t>
      </w:r>
    </w:p>
    <w:p>
      <w:pPr>
        <w:spacing w:line="440" w:lineRule="exact"/>
        <w:rPr>
          <w:rFonts w:ascii="Times New Roman" w:hAnsi="Times New Roman"/>
          <w:color w:val="auto"/>
        </w:rPr>
      </w:pPr>
    </w:p>
    <w:p>
      <w:pPr>
        <w:spacing w:line="440" w:lineRule="exact"/>
        <w:ind w:firstLine="420"/>
        <w:rPr>
          <w:rFonts w:ascii="Times New Roman" w:hAnsi="Times New Roman"/>
          <w:color w:val="auto"/>
        </w:rPr>
      </w:pPr>
      <w:r>
        <w:rPr>
          <w:rFonts w:ascii="Times New Roman" w:hAnsi="Times New Roman"/>
          <w:color w:val="auto"/>
        </w:rPr>
        <w:t>我方已接受</w:t>
      </w:r>
      <w:r>
        <w:rPr>
          <w:rFonts w:ascii="Times New Roman" w:hAnsi="Times New Roman"/>
          <w:color w:val="auto"/>
          <w:u w:val="single"/>
        </w:rPr>
        <w:t xml:space="preserve">          </w:t>
      </w:r>
      <w:r>
        <w:rPr>
          <w:rFonts w:ascii="Times New Roman" w:hAnsi="Times New Roman"/>
          <w:color w:val="auto"/>
        </w:rPr>
        <w:t>（中标人名称）于</w:t>
      </w:r>
      <w:r>
        <w:rPr>
          <w:rFonts w:ascii="Times New Roman" w:hAnsi="Times New Roman"/>
          <w:color w:val="auto"/>
          <w:u w:val="single"/>
        </w:rPr>
        <w:t xml:space="preserve">        </w:t>
      </w:r>
      <w:r>
        <w:rPr>
          <w:rFonts w:ascii="Times New Roman" w:hAnsi="Times New Roman"/>
          <w:color w:val="auto"/>
        </w:rPr>
        <w:t>（投标日期）所递交的</w:t>
      </w:r>
      <w:r>
        <w:rPr>
          <w:rFonts w:ascii="Times New Roman" w:hAnsi="Times New Roman"/>
          <w:color w:val="auto"/>
          <w:u w:val="single"/>
        </w:rPr>
        <w:t xml:space="preserve">               </w:t>
      </w:r>
      <w:r>
        <w:rPr>
          <w:rFonts w:ascii="Times New Roman" w:hAnsi="Times New Roman"/>
          <w:color w:val="auto"/>
        </w:rPr>
        <w:t>（项目名称）勘察招标的投标文件，确定</w:t>
      </w:r>
      <w:r>
        <w:rPr>
          <w:rFonts w:ascii="Times New Roman" w:hAnsi="Times New Roman"/>
          <w:color w:val="auto"/>
          <w:u w:val="single"/>
        </w:rPr>
        <w:t xml:space="preserve">                     </w:t>
      </w:r>
      <w:r>
        <w:rPr>
          <w:rFonts w:ascii="Times New Roman" w:hAnsi="Times New Roman"/>
          <w:color w:val="auto"/>
        </w:rPr>
        <w:t>（中标人名称）为中标人。</w:t>
      </w:r>
    </w:p>
    <w:p>
      <w:pPr>
        <w:spacing w:line="440" w:lineRule="exact"/>
        <w:rPr>
          <w:rFonts w:ascii="Times New Roman" w:hAnsi="Times New Roman"/>
          <w:color w:val="auto"/>
        </w:rPr>
      </w:pPr>
      <w:r>
        <w:rPr>
          <w:rFonts w:ascii="Times New Roman" w:hAnsi="Times New Roman"/>
          <w:color w:val="auto"/>
        </w:rPr>
        <w:t>　　感谢你单位对招标项目的参与！</w:t>
      </w:r>
    </w:p>
    <w:p>
      <w:pPr>
        <w:spacing w:line="440" w:lineRule="exact"/>
        <w:rPr>
          <w:rFonts w:ascii="Times New Roman" w:hAnsi="Times New Roman"/>
          <w:color w:val="auto"/>
        </w:rPr>
      </w:pPr>
    </w:p>
    <w:p>
      <w:pPr>
        <w:spacing w:line="440" w:lineRule="exact"/>
        <w:rPr>
          <w:rFonts w:ascii="Times New Roman" w:hAnsi="Times New Roman"/>
          <w:color w:val="auto"/>
        </w:rPr>
      </w:pPr>
    </w:p>
    <w:p>
      <w:pPr>
        <w:spacing w:line="440" w:lineRule="exact"/>
        <w:rPr>
          <w:rFonts w:ascii="Times New Roman" w:hAnsi="Times New Roman"/>
          <w:color w:val="auto"/>
        </w:rPr>
      </w:pPr>
    </w:p>
    <w:p>
      <w:pPr>
        <w:spacing w:line="440" w:lineRule="exact"/>
        <w:ind w:firstLine="3045" w:firstLineChars="1450"/>
        <w:rPr>
          <w:rFonts w:ascii="Times New Roman" w:hAnsi="Times New Roman"/>
          <w:color w:val="auto"/>
        </w:rPr>
      </w:pPr>
      <w:r>
        <w:rPr>
          <w:rFonts w:ascii="Times New Roman" w:hAnsi="Times New Roman"/>
          <w:color w:val="auto"/>
        </w:rPr>
        <w:t>招标人：</w:t>
      </w:r>
      <w:r>
        <w:rPr>
          <w:rFonts w:ascii="Times New Roman" w:hAnsi="Times New Roman" w:eastAsia="黑体"/>
          <w:color w:val="auto"/>
          <w:sz w:val="28"/>
          <w:u w:val="single"/>
        </w:rPr>
        <w:t xml:space="preserve">               </w:t>
      </w:r>
      <w:r>
        <w:rPr>
          <w:rFonts w:ascii="Times New Roman" w:hAnsi="Times New Roman"/>
          <w:color w:val="auto"/>
        </w:rPr>
        <w:t>（盖单位章）</w:t>
      </w:r>
    </w:p>
    <w:p>
      <w:pPr>
        <w:spacing w:line="440" w:lineRule="exact"/>
        <w:rPr>
          <w:rFonts w:ascii="Times New Roman" w:hAnsi="Times New Roman"/>
          <w:color w:val="auto"/>
        </w:rPr>
      </w:pPr>
    </w:p>
    <w:p>
      <w:pPr>
        <w:spacing w:line="440" w:lineRule="exact"/>
        <w:jc w:val="right"/>
        <w:rPr>
          <w:rFonts w:ascii="Times New Roman" w:hAnsi="Times New Roman"/>
          <w:color w:val="auto"/>
        </w:rPr>
      </w:pPr>
      <w:r>
        <w:rPr>
          <w:rFonts w:ascii="Times New Roman" w:hAnsi="Times New Roman"/>
          <w:color w:val="auto"/>
          <w:u w:val="single"/>
        </w:rPr>
        <w:t xml:space="preserve">      </w:t>
      </w:r>
      <w:r>
        <w:rPr>
          <w:rFonts w:ascii="Times New Roman" w:hAnsi="Times New Roman"/>
          <w:color w:val="auto"/>
        </w:rPr>
        <w:t>年</w:t>
      </w:r>
      <w:r>
        <w:rPr>
          <w:rFonts w:ascii="Times New Roman" w:hAnsi="Times New Roman"/>
          <w:color w:val="auto"/>
          <w:u w:val="single"/>
        </w:rPr>
        <w:t xml:space="preserve">      </w:t>
      </w:r>
      <w:r>
        <w:rPr>
          <w:rFonts w:ascii="Times New Roman" w:hAnsi="Times New Roman"/>
          <w:color w:val="auto"/>
        </w:rPr>
        <w:t>月</w:t>
      </w:r>
      <w:r>
        <w:rPr>
          <w:rFonts w:ascii="Times New Roman" w:hAnsi="Times New Roman"/>
          <w:color w:val="auto"/>
          <w:u w:val="single"/>
        </w:rPr>
        <w:t xml:space="preserve">      </w:t>
      </w:r>
      <w:r>
        <w:rPr>
          <w:rFonts w:ascii="Times New Roman" w:hAnsi="Times New Roman"/>
          <w:color w:val="auto"/>
        </w:rPr>
        <w:t>日</w:t>
      </w:r>
    </w:p>
    <w:p>
      <w:pPr>
        <w:spacing w:line="400" w:lineRule="exact"/>
        <w:rPr>
          <w:rFonts w:ascii="Times New Roman" w:hAnsi="Times New Roman"/>
          <w:color w:val="auto"/>
        </w:rPr>
      </w:pPr>
    </w:p>
    <w:p>
      <w:pPr>
        <w:spacing w:line="400" w:lineRule="exact"/>
        <w:rPr>
          <w:rFonts w:ascii="Times New Roman" w:hAnsi="Times New Roman"/>
          <w:color w:val="auto"/>
        </w:rPr>
      </w:pPr>
      <w:r>
        <w:rPr>
          <w:rFonts w:ascii="Times New Roman" w:hAnsi="Times New Roman"/>
          <w:color w:val="auto"/>
        </w:rPr>
        <w:br w:type="page"/>
      </w:r>
    </w:p>
    <w:p>
      <w:pPr>
        <w:pStyle w:val="6"/>
        <w:ind w:firstLine="137"/>
        <w:rPr>
          <w:rFonts w:ascii="Times New Roman" w:hAnsi="Times New Roman"/>
          <w:color w:val="auto"/>
        </w:rPr>
      </w:pPr>
      <w:bookmarkStart w:id="135" w:name="_Toc492300820"/>
      <w:r>
        <w:rPr>
          <w:rFonts w:hint="eastAsia" w:ascii="Times New Roman" w:hAnsi="Times New Roman"/>
          <w:color w:val="auto"/>
        </w:rPr>
        <w:t>附件六：确认通知</w:t>
      </w:r>
      <w:bookmarkEnd w:id="135"/>
    </w:p>
    <w:p>
      <w:pPr>
        <w:spacing w:line="400" w:lineRule="exact"/>
        <w:rPr>
          <w:rFonts w:ascii="Times New Roman" w:hAnsi="Times New Roman"/>
          <w:color w:val="auto"/>
        </w:rPr>
      </w:pPr>
    </w:p>
    <w:p>
      <w:pPr>
        <w:spacing w:line="400" w:lineRule="exact"/>
        <w:jc w:val="center"/>
        <w:rPr>
          <w:rFonts w:ascii="Times New Roman" w:hAnsi="Times New Roman" w:eastAsia="黑体"/>
          <w:color w:val="auto"/>
          <w:sz w:val="28"/>
        </w:rPr>
      </w:pPr>
      <w:r>
        <w:rPr>
          <w:rFonts w:ascii="Times New Roman" w:hAnsi="Times New Roman" w:eastAsia="黑体"/>
          <w:color w:val="auto"/>
          <w:sz w:val="28"/>
        </w:rPr>
        <w:t>确认通知</w:t>
      </w:r>
    </w:p>
    <w:p>
      <w:pPr>
        <w:spacing w:line="400" w:lineRule="exact"/>
        <w:rPr>
          <w:rFonts w:ascii="Times New Roman" w:hAnsi="Times New Roman"/>
          <w:color w:val="auto"/>
        </w:rPr>
      </w:pPr>
    </w:p>
    <w:p>
      <w:pPr>
        <w:spacing w:line="440" w:lineRule="exact"/>
        <w:rPr>
          <w:rFonts w:ascii="Times New Roman" w:hAnsi="Times New Roman"/>
          <w:color w:val="auto"/>
        </w:rPr>
      </w:pPr>
      <w:r>
        <w:rPr>
          <w:rFonts w:ascii="Times New Roman" w:hAnsi="Times New Roman"/>
          <w:color w:val="auto"/>
          <w:u w:val="single"/>
        </w:rPr>
        <w:t xml:space="preserve">                     </w:t>
      </w:r>
      <w:r>
        <w:rPr>
          <w:rFonts w:ascii="Times New Roman" w:hAnsi="Times New Roman"/>
          <w:color w:val="auto"/>
        </w:rPr>
        <w:t>（招标人名称）：</w:t>
      </w:r>
    </w:p>
    <w:p>
      <w:pPr>
        <w:spacing w:line="440" w:lineRule="exact"/>
        <w:rPr>
          <w:rFonts w:ascii="Times New Roman" w:hAnsi="Times New Roman"/>
          <w:color w:val="auto"/>
        </w:rPr>
      </w:pPr>
      <w:r>
        <w:rPr>
          <w:rFonts w:ascii="Times New Roman" w:hAnsi="Times New Roman"/>
          <w:color w:val="auto"/>
        </w:rPr>
        <w:t>　　</w:t>
      </w:r>
    </w:p>
    <w:p>
      <w:pPr>
        <w:spacing w:line="440" w:lineRule="exact"/>
        <w:ind w:firstLine="420" w:firstLineChars="200"/>
        <w:rPr>
          <w:rFonts w:ascii="Times New Roman" w:hAnsi="Times New Roman"/>
          <w:color w:val="auto"/>
        </w:rPr>
      </w:pPr>
      <w:r>
        <w:rPr>
          <w:rFonts w:ascii="Times New Roman" w:hAnsi="Times New Roman"/>
          <w:color w:val="auto"/>
        </w:rPr>
        <w:t>你方于</w:t>
      </w:r>
      <w:r>
        <w:rPr>
          <w:rFonts w:ascii="Times New Roman" w:hAnsi="Times New Roman"/>
          <w:color w:val="auto"/>
          <w:u w:val="single"/>
        </w:rPr>
        <w:t xml:space="preserve">       </w:t>
      </w:r>
      <w:r>
        <w:rPr>
          <w:rFonts w:ascii="Times New Roman" w:hAnsi="Times New Roman"/>
          <w:color w:val="auto"/>
        </w:rPr>
        <w:t>年</w:t>
      </w:r>
      <w:r>
        <w:rPr>
          <w:rFonts w:ascii="Times New Roman" w:hAnsi="Times New Roman"/>
          <w:color w:val="auto"/>
          <w:u w:val="single"/>
        </w:rPr>
        <w:t xml:space="preserve">       </w:t>
      </w:r>
      <w:r>
        <w:rPr>
          <w:rFonts w:ascii="Times New Roman" w:hAnsi="Times New Roman"/>
          <w:color w:val="auto"/>
        </w:rPr>
        <w:t>月</w:t>
      </w:r>
      <w:r>
        <w:rPr>
          <w:rFonts w:ascii="Times New Roman" w:hAnsi="Times New Roman"/>
          <w:color w:val="auto"/>
          <w:u w:val="single"/>
        </w:rPr>
        <w:t xml:space="preserve">       </w:t>
      </w:r>
      <w:r>
        <w:rPr>
          <w:rFonts w:ascii="Times New Roman" w:hAnsi="Times New Roman"/>
          <w:color w:val="auto"/>
        </w:rPr>
        <w:t>日发出的</w:t>
      </w:r>
      <w:r>
        <w:rPr>
          <w:rFonts w:ascii="Times New Roman" w:hAnsi="Times New Roman"/>
          <w:color w:val="auto"/>
          <w:u w:val="single"/>
        </w:rPr>
        <w:t xml:space="preserve">         </w:t>
      </w:r>
      <w:r>
        <w:rPr>
          <w:rFonts w:ascii="Times New Roman" w:hAnsi="Times New Roman"/>
          <w:color w:val="auto"/>
        </w:rPr>
        <w:t>（项目名称）勘察招标关于</w:t>
      </w:r>
      <w:r>
        <w:rPr>
          <w:rFonts w:ascii="Times New Roman" w:hAnsi="Times New Roman"/>
          <w:color w:val="auto"/>
          <w:u w:val="single"/>
        </w:rPr>
        <w:t>招标文件的澄清/修改</w:t>
      </w:r>
      <w:r>
        <w:rPr>
          <w:rFonts w:ascii="Times New Roman" w:hAnsi="Times New Roman"/>
          <w:color w:val="auto"/>
        </w:rPr>
        <w:t>的通知，我方已于</w:t>
      </w:r>
      <w:r>
        <w:rPr>
          <w:rFonts w:ascii="Times New Roman" w:hAnsi="Times New Roman"/>
          <w:color w:val="auto"/>
          <w:u w:val="single"/>
        </w:rPr>
        <w:t xml:space="preserve">       </w:t>
      </w:r>
      <w:r>
        <w:rPr>
          <w:rFonts w:ascii="Times New Roman" w:hAnsi="Times New Roman"/>
          <w:color w:val="auto"/>
        </w:rPr>
        <w:t>年</w:t>
      </w:r>
      <w:r>
        <w:rPr>
          <w:rFonts w:ascii="Times New Roman" w:hAnsi="Times New Roman"/>
          <w:color w:val="auto"/>
          <w:u w:val="single"/>
        </w:rPr>
        <w:t xml:space="preserve">       </w:t>
      </w:r>
      <w:r>
        <w:rPr>
          <w:rFonts w:ascii="Times New Roman" w:hAnsi="Times New Roman"/>
          <w:color w:val="auto"/>
        </w:rPr>
        <w:t>月</w:t>
      </w:r>
      <w:r>
        <w:rPr>
          <w:rFonts w:ascii="Times New Roman" w:hAnsi="Times New Roman"/>
          <w:color w:val="auto"/>
          <w:u w:val="single"/>
        </w:rPr>
        <w:t xml:space="preserve">       </w:t>
      </w:r>
      <w:r>
        <w:rPr>
          <w:rFonts w:ascii="Times New Roman" w:hAnsi="Times New Roman"/>
          <w:color w:val="auto"/>
        </w:rPr>
        <w:t>日收到。</w:t>
      </w:r>
    </w:p>
    <w:p>
      <w:pPr>
        <w:spacing w:line="440" w:lineRule="exact"/>
        <w:rPr>
          <w:rFonts w:ascii="Times New Roman" w:hAnsi="Times New Roman"/>
          <w:color w:val="auto"/>
        </w:rPr>
      </w:pPr>
      <w:r>
        <w:rPr>
          <w:rFonts w:ascii="Times New Roman" w:hAnsi="Times New Roman"/>
          <w:color w:val="auto"/>
        </w:rPr>
        <w:t>　　特此确认。</w:t>
      </w:r>
    </w:p>
    <w:p>
      <w:pPr>
        <w:spacing w:line="440" w:lineRule="exact"/>
        <w:rPr>
          <w:rFonts w:ascii="Times New Roman" w:hAnsi="Times New Roman"/>
          <w:color w:val="auto"/>
        </w:rPr>
      </w:pPr>
    </w:p>
    <w:p>
      <w:pPr>
        <w:spacing w:line="440" w:lineRule="exact"/>
        <w:rPr>
          <w:rFonts w:ascii="Times New Roman" w:hAnsi="Times New Roman"/>
          <w:color w:val="auto"/>
        </w:rPr>
      </w:pPr>
    </w:p>
    <w:p>
      <w:pPr>
        <w:spacing w:line="480" w:lineRule="auto"/>
        <w:ind w:firstLine="2415" w:firstLineChars="1150"/>
        <w:jc w:val="left"/>
        <w:rPr>
          <w:rFonts w:ascii="Times New Roman" w:hAnsi="Times New Roman"/>
          <w:color w:val="auto"/>
        </w:rPr>
      </w:pPr>
      <w:r>
        <w:rPr>
          <w:rFonts w:ascii="Times New Roman" w:hAnsi="Times New Roman"/>
          <w:color w:val="auto"/>
        </w:rPr>
        <w:t>投标人：</w:t>
      </w:r>
      <w:r>
        <w:rPr>
          <w:rFonts w:ascii="Times New Roman" w:hAnsi="Times New Roman" w:eastAsia="黑体"/>
          <w:color w:val="auto"/>
          <w:sz w:val="28"/>
          <w:u w:val="single"/>
        </w:rPr>
        <w:t xml:space="preserve">                           </w:t>
      </w:r>
      <w:r>
        <w:rPr>
          <w:rFonts w:ascii="Times New Roman" w:hAnsi="Times New Roman"/>
          <w:color w:val="auto"/>
        </w:rPr>
        <w:t>（盖单位章）</w:t>
      </w:r>
    </w:p>
    <w:p>
      <w:pPr>
        <w:spacing w:line="480" w:lineRule="auto"/>
        <w:ind w:firstLine="2415" w:firstLineChars="1150"/>
        <w:jc w:val="left"/>
        <w:rPr>
          <w:rFonts w:ascii="Times New Roman" w:hAnsi="Times New Roman"/>
          <w:color w:val="auto"/>
        </w:rPr>
      </w:pPr>
      <w:r>
        <w:rPr>
          <w:rFonts w:ascii="Times New Roman" w:hAnsi="Times New Roman"/>
          <w:color w:val="auto"/>
        </w:rPr>
        <w:t>法定代表人或委托代理人：</w:t>
      </w:r>
      <w:r>
        <w:rPr>
          <w:rFonts w:ascii="Times New Roman" w:hAnsi="Times New Roman" w:eastAsia="黑体"/>
          <w:color w:val="auto"/>
          <w:sz w:val="28"/>
          <w:u w:val="single"/>
        </w:rPr>
        <w:t xml:space="preserve">      </w:t>
      </w:r>
      <w:r>
        <w:rPr>
          <w:rFonts w:ascii="Times New Roman" w:hAnsi="Times New Roman"/>
          <w:color w:val="auto"/>
        </w:rPr>
        <w:t>（签字）</w:t>
      </w:r>
    </w:p>
    <w:p>
      <w:pPr>
        <w:spacing w:line="440" w:lineRule="exact"/>
        <w:rPr>
          <w:rFonts w:ascii="Times New Roman" w:hAnsi="Times New Roman"/>
          <w:color w:val="auto"/>
        </w:rPr>
      </w:pPr>
    </w:p>
    <w:p>
      <w:pPr>
        <w:spacing w:line="440" w:lineRule="exact"/>
        <w:ind w:firstLine="105" w:firstLineChars="50"/>
        <w:jc w:val="right"/>
        <w:rPr>
          <w:rFonts w:ascii="Times New Roman" w:hAnsi="Times New Roman"/>
          <w:color w:val="auto"/>
        </w:rPr>
      </w:pPr>
      <w:r>
        <w:rPr>
          <w:rFonts w:ascii="Times New Roman" w:hAnsi="Times New Roman"/>
          <w:color w:val="auto"/>
          <w:u w:val="single"/>
        </w:rPr>
        <w:t xml:space="preserve">       </w:t>
      </w:r>
      <w:r>
        <w:rPr>
          <w:rFonts w:ascii="Times New Roman" w:hAnsi="Times New Roman"/>
          <w:color w:val="auto"/>
        </w:rPr>
        <w:t>年</w:t>
      </w:r>
      <w:r>
        <w:rPr>
          <w:rFonts w:ascii="Times New Roman" w:hAnsi="Times New Roman"/>
          <w:color w:val="auto"/>
          <w:u w:val="single"/>
        </w:rPr>
        <w:t xml:space="preserve">       </w:t>
      </w:r>
      <w:r>
        <w:rPr>
          <w:rFonts w:ascii="Times New Roman" w:hAnsi="Times New Roman"/>
          <w:color w:val="auto"/>
        </w:rPr>
        <w:t>月</w:t>
      </w:r>
      <w:r>
        <w:rPr>
          <w:rFonts w:ascii="Times New Roman" w:hAnsi="Times New Roman"/>
          <w:color w:val="auto"/>
          <w:u w:val="single"/>
        </w:rPr>
        <w:t xml:space="preserve">       </w:t>
      </w:r>
      <w:r>
        <w:rPr>
          <w:rFonts w:ascii="Times New Roman" w:hAnsi="Times New Roman"/>
          <w:color w:val="auto"/>
        </w:rPr>
        <w:t>日</w:t>
      </w:r>
    </w:p>
    <w:p>
      <w:pPr>
        <w:rPr>
          <w:rFonts w:ascii="Times New Roman" w:hAnsi="Times New Roman"/>
          <w:color w:val="auto"/>
        </w:rPr>
      </w:pPr>
    </w:p>
    <w:p>
      <w:pPr>
        <w:bidi w:val="0"/>
        <w:jc w:val="center"/>
        <w:rPr>
          <w:rFonts w:hint="eastAsia"/>
          <w:b/>
          <w:bCs/>
          <w:sz w:val="48"/>
          <w:szCs w:val="52"/>
        </w:rPr>
      </w:pPr>
      <w:r>
        <w:rPr>
          <w:color w:val="auto"/>
        </w:rPr>
        <w:br w:type="page"/>
      </w:r>
      <w:bookmarkStart w:id="136" w:name="_Toc492300821"/>
      <w:r>
        <w:rPr>
          <w:rFonts w:hint="eastAsia"/>
          <w:b/>
          <w:bCs/>
          <w:sz w:val="48"/>
          <w:szCs w:val="52"/>
        </w:rPr>
        <w:t>第三章评标办法（综合评估法）</w:t>
      </w:r>
      <w:bookmarkEnd w:id="136"/>
      <w:bookmarkStart w:id="137" w:name="_Toc492300822"/>
    </w:p>
    <w:p>
      <w:pPr>
        <w:pStyle w:val="2"/>
        <w:rPr>
          <w:rFonts w:hint="eastAsia"/>
        </w:rPr>
      </w:pPr>
    </w:p>
    <w:p>
      <w:pPr>
        <w:bidi w:val="0"/>
        <w:rPr>
          <w:sz w:val="24"/>
          <w:szCs w:val="28"/>
        </w:rPr>
      </w:pPr>
      <w:r>
        <w:rPr>
          <w:rFonts w:hint="eastAsia"/>
          <w:sz w:val="24"/>
          <w:szCs w:val="28"/>
        </w:rPr>
        <w:t>依据：九大部委联合出台的中华人民共和国标准</w:t>
      </w:r>
      <w:r>
        <w:rPr>
          <w:rFonts w:hint="eastAsia"/>
          <w:sz w:val="24"/>
          <w:szCs w:val="28"/>
          <w:lang w:eastAsia="zh-CN"/>
        </w:rPr>
        <w:t>勘察</w:t>
      </w:r>
      <w:r>
        <w:rPr>
          <w:rFonts w:hint="eastAsia"/>
          <w:sz w:val="24"/>
          <w:szCs w:val="28"/>
        </w:rPr>
        <w:t>招标文件</w:t>
      </w:r>
    </w:p>
    <w:p>
      <w:pPr>
        <w:pStyle w:val="5"/>
        <w:rPr>
          <w:rFonts w:ascii="Times New Roman" w:hAnsi="Times New Roman"/>
          <w:color w:val="auto"/>
        </w:rPr>
      </w:pPr>
      <w:r>
        <w:rPr>
          <w:rFonts w:hint="eastAsia" w:ascii="Times New Roman" w:hAnsi="Times New Roman"/>
          <w:color w:val="auto"/>
        </w:rPr>
        <w:t>评标办法前附表</w:t>
      </w:r>
      <w:bookmarkEnd w:id="137"/>
    </w:p>
    <w:tbl>
      <w:tblPr>
        <w:tblStyle w:val="38"/>
        <w:tblW w:w="8650" w:type="dxa"/>
        <w:jc w:val="center"/>
        <w:tblInd w:w="-5" w:type="dxa"/>
        <w:tblLayout w:type="fixed"/>
        <w:tblCellMar>
          <w:top w:w="0" w:type="dxa"/>
          <w:left w:w="0" w:type="dxa"/>
          <w:bottom w:w="0" w:type="dxa"/>
          <w:right w:w="0" w:type="dxa"/>
        </w:tblCellMar>
      </w:tblPr>
      <w:tblGrid>
        <w:gridCol w:w="776"/>
        <w:gridCol w:w="967"/>
        <w:gridCol w:w="1733"/>
        <w:gridCol w:w="5174"/>
      </w:tblGrid>
      <w:tr>
        <w:tblPrEx>
          <w:tblLayout w:type="fixed"/>
          <w:tblCellMar>
            <w:top w:w="0" w:type="dxa"/>
            <w:left w:w="0" w:type="dxa"/>
            <w:bottom w:w="0" w:type="dxa"/>
            <w:right w:w="0" w:type="dxa"/>
          </w:tblCellMar>
        </w:tblPrEx>
        <w:trPr>
          <w:trHeight w:val="585" w:hRule="atLeast"/>
          <w:jc w:val="center"/>
        </w:trPr>
        <w:tc>
          <w:tcPr>
            <w:tcW w:w="1743" w:type="dxa"/>
            <w:gridSpan w:val="2"/>
            <w:tcBorders>
              <w:top w:val="single" w:color="000000" w:sz="4" w:space="0"/>
              <w:left w:val="single" w:color="000000" w:sz="4" w:space="0"/>
              <w:bottom w:val="single" w:color="000000" w:sz="4" w:space="0"/>
              <w:right w:val="single" w:color="000000" w:sz="4" w:space="0"/>
            </w:tcBorders>
            <w:vAlign w:val="center"/>
          </w:tcPr>
          <w:p>
            <w:pPr>
              <w:pStyle w:val="93"/>
              <w:spacing w:line="400" w:lineRule="exact"/>
              <w:ind w:right="672" w:firstLine="0" w:firstLineChars="0"/>
              <w:jc w:val="center"/>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 xml:space="preserve">     条款号</w:t>
            </w:r>
          </w:p>
        </w:tc>
        <w:tc>
          <w:tcPr>
            <w:tcW w:w="1733" w:type="dxa"/>
            <w:tcBorders>
              <w:top w:val="single" w:color="000000" w:sz="4" w:space="0"/>
              <w:left w:val="single" w:color="000000" w:sz="4" w:space="0"/>
              <w:bottom w:val="single" w:color="000000" w:sz="4" w:space="0"/>
              <w:right w:val="single" w:color="000000" w:sz="4" w:space="0"/>
            </w:tcBorders>
            <w:vAlign w:val="center"/>
          </w:tcPr>
          <w:p>
            <w:pPr>
              <w:pStyle w:val="93"/>
              <w:spacing w:line="400" w:lineRule="exact"/>
              <w:ind w:firstLine="0" w:firstLineChars="0"/>
              <w:jc w:val="center"/>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评审因素</w:t>
            </w:r>
          </w:p>
        </w:tc>
        <w:tc>
          <w:tcPr>
            <w:tcW w:w="5174" w:type="dxa"/>
            <w:tcBorders>
              <w:top w:val="single" w:color="000000" w:sz="4" w:space="0"/>
              <w:left w:val="single" w:color="000000" w:sz="4" w:space="0"/>
              <w:bottom w:val="single" w:color="000000" w:sz="4" w:space="0"/>
              <w:right w:val="single" w:color="000000" w:sz="4" w:space="0"/>
            </w:tcBorders>
            <w:vAlign w:val="center"/>
          </w:tcPr>
          <w:p>
            <w:pPr>
              <w:pStyle w:val="93"/>
              <w:spacing w:line="400" w:lineRule="exact"/>
              <w:ind w:right="1685" w:firstLine="0" w:firstLineChars="0"/>
              <w:jc w:val="center"/>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评审标准</w:t>
            </w:r>
          </w:p>
        </w:tc>
      </w:tr>
      <w:tr>
        <w:tblPrEx>
          <w:tblLayout w:type="fixed"/>
          <w:tblCellMar>
            <w:top w:w="0" w:type="dxa"/>
            <w:left w:w="0" w:type="dxa"/>
            <w:bottom w:w="0" w:type="dxa"/>
            <w:right w:w="0" w:type="dxa"/>
          </w:tblCellMar>
        </w:tblPrEx>
        <w:trPr>
          <w:trHeight w:val="565" w:hRule="atLeast"/>
          <w:jc w:val="center"/>
        </w:trPr>
        <w:tc>
          <w:tcPr>
            <w:tcW w:w="776" w:type="dxa"/>
            <w:vMerge w:val="restart"/>
            <w:tcBorders>
              <w:top w:val="single" w:color="000000" w:sz="4" w:space="0"/>
              <w:left w:val="single" w:color="000000" w:sz="4" w:space="0"/>
              <w:right w:val="single" w:color="000000" w:sz="4" w:space="0"/>
            </w:tcBorders>
          </w:tcPr>
          <w:p>
            <w:pPr>
              <w:snapToGrid w:val="0"/>
              <w:spacing w:line="400" w:lineRule="exact"/>
              <w:ind w:firstLine="0" w:firstLineChars="0"/>
              <w:jc w:val="center"/>
              <w:rPr>
                <w:rFonts w:ascii="宋体" w:hAnsi="宋体" w:eastAsia="宋体"/>
                <w:color w:val="auto"/>
                <w:spacing w:val="2"/>
                <w:sz w:val="24"/>
                <w:szCs w:val="24"/>
              </w:rPr>
            </w:pPr>
          </w:p>
          <w:p>
            <w:pPr>
              <w:snapToGrid w:val="0"/>
              <w:spacing w:line="400" w:lineRule="exact"/>
              <w:ind w:firstLine="0" w:firstLineChars="0"/>
              <w:jc w:val="center"/>
              <w:rPr>
                <w:rFonts w:ascii="宋体" w:hAnsi="宋体" w:eastAsia="宋体"/>
                <w:color w:val="auto"/>
                <w:spacing w:val="2"/>
                <w:sz w:val="24"/>
                <w:szCs w:val="24"/>
              </w:rPr>
            </w:pPr>
          </w:p>
          <w:p>
            <w:pPr>
              <w:snapToGrid w:val="0"/>
              <w:spacing w:line="400" w:lineRule="exact"/>
              <w:ind w:firstLine="0" w:firstLineChars="0"/>
              <w:jc w:val="both"/>
              <w:rPr>
                <w:rFonts w:ascii="宋体" w:hAnsi="宋体" w:eastAsia="宋体"/>
                <w:color w:val="auto"/>
                <w:spacing w:val="2"/>
                <w:sz w:val="24"/>
                <w:szCs w:val="24"/>
              </w:rPr>
            </w:pPr>
          </w:p>
          <w:p>
            <w:pPr>
              <w:snapToGrid w:val="0"/>
              <w:spacing w:line="400" w:lineRule="exact"/>
              <w:ind w:firstLine="0" w:firstLineChars="0"/>
              <w:jc w:val="center"/>
              <w:rPr>
                <w:rFonts w:ascii="宋体" w:hAnsi="宋体" w:eastAsia="宋体"/>
                <w:color w:val="auto"/>
                <w:spacing w:val="2"/>
                <w:sz w:val="24"/>
                <w:szCs w:val="24"/>
              </w:rPr>
            </w:pPr>
            <w:r>
              <w:rPr>
                <w:rFonts w:hint="eastAsia" w:ascii="宋体" w:hAnsi="宋体" w:eastAsia="宋体"/>
                <w:color w:val="auto"/>
                <w:spacing w:val="2"/>
                <w:sz w:val="24"/>
                <w:szCs w:val="24"/>
              </w:rPr>
              <w:t>2.1.1</w:t>
            </w:r>
          </w:p>
        </w:tc>
        <w:tc>
          <w:tcPr>
            <w:tcW w:w="967" w:type="dxa"/>
            <w:vMerge w:val="restart"/>
            <w:tcBorders>
              <w:top w:val="single" w:color="000000" w:sz="4" w:space="0"/>
              <w:left w:val="single" w:color="000000" w:sz="4" w:space="0"/>
              <w:right w:val="single" w:color="000000" w:sz="4" w:space="0"/>
            </w:tcBorders>
          </w:tcPr>
          <w:p>
            <w:pPr>
              <w:snapToGrid w:val="0"/>
              <w:spacing w:line="400" w:lineRule="exact"/>
              <w:ind w:firstLine="0" w:firstLineChars="0"/>
              <w:jc w:val="center"/>
              <w:rPr>
                <w:rFonts w:ascii="宋体" w:hAnsi="宋体" w:eastAsia="宋体"/>
                <w:color w:val="auto"/>
                <w:spacing w:val="2"/>
                <w:sz w:val="24"/>
                <w:szCs w:val="24"/>
              </w:rPr>
            </w:pPr>
          </w:p>
          <w:p>
            <w:pPr>
              <w:snapToGrid w:val="0"/>
              <w:spacing w:line="400" w:lineRule="exact"/>
              <w:ind w:firstLine="0" w:firstLineChars="0"/>
              <w:jc w:val="both"/>
              <w:rPr>
                <w:rFonts w:ascii="宋体" w:hAnsi="宋体" w:eastAsia="宋体"/>
                <w:color w:val="auto"/>
                <w:spacing w:val="2"/>
                <w:sz w:val="24"/>
                <w:szCs w:val="24"/>
              </w:rPr>
            </w:pPr>
          </w:p>
          <w:p>
            <w:pPr>
              <w:snapToGrid w:val="0"/>
              <w:spacing w:line="400" w:lineRule="exact"/>
              <w:ind w:firstLine="0" w:firstLineChars="0"/>
              <w:jc w:val="center"/>
              <w:rPr>
                <w:rFonts w:ascii="宋体" w:hAnsi="宋体" w:eastAsia="宋体"/>
                <w:color w:val="auto"/>
                <w:spacing w:val="2"/>
                <w:sz w:val="24"/>
                <w:szCs w:val="24"/>
              </w:rPr>
            </w:pPr>
            <w:r>
              <w:rPr>
                <w:rFonts w:hint="eastAsia" w:ascii="宋体" w:hAnsi="宋体" w:eastAsia="宋体"/>
                <w:color w:val="auto"/>
                <w:spacing w:val="2"/>
                <w:sz w:val="24"/>
                <w:szCs w:val="24"/>
              </w:rPr>
              <w:t>形式评审</w:t>
            </w:r>
          </w:p>
          <w:p>
            <w:pPr>
              <w:snapToGrid w:val="0"/>
              <w:spacing w:line="400" w:lineRule="exact"/>
              <w:ind w:firstLine="0" w:firstLineChars="0"/>
              <w:jc w:val="center"/>
              <w:rPr>
                <w:rFonts w:ascii="宋体" w:hAnsi="宋体" w:eastAsia="宋体"/>
                <w:color w:val="auto"/>
                <w:spacing w:val="2"/>
                <w:sz w:val="24"/>
                <w:szCs w:val="24"/>
              </w:rPr>
            </w:pPr>
          </w:p>
          <w:p>
            <w:pPr>
              <w:snapToGrid w:val="0"/>
              <w:spacing w:line="400" w:lineRule="exact"/>
              <w:ind w:firstLine="0" w:firstLineChars="0"/>
              <w:jc w:val="center"/>
              <w:rPr>
                <w:rFonts w:ascii="宋体" w:hAnsi="宋体" w:eastAsia="宋体"/>
                <w:color w:val="auto"/>
                <w:spacing w:val="2"/>
                <w:sz w:val="24"/>
                <w:szCs w:val="24"/>
              </w:rPr>
            </w:pPr>
            <w:r>
              <w:rPr>
                <w:rFonts w:hint="eastAsia" w:ascii="宋体" w:hAnsi="宋体" w:eastAsia="宋体"/>
                <w:color w:val="auto"/>
                <w:spacing w:val="2"/>
                <w:sz w:val="24"/>
                <w:szCs w:val="24"/>
              </w:rPr>
              <w:t>标准</w:t>
            </w:r>
          </w:p>
        </w:tc>
        <w:tc>
          <w:tcPr>
            <w:tcW w:w="1733"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ind w:firstLine="0" w:firstLineChars="0"/>
              <w:jc w:val="center"/>
              <w:rPr>
                <w:rFonts w:ascii="宋体" w:hAnsi="宋体" w:eastAsia="宋体"/>
                <w:color w:val="auto"/>
                <w:spacing w:val="2"/>
                <w:sz w:val="24"/>
                <w:szCs w:val="24"/>
              </w:rPr>
            </w:pPr>
            <w:r>
              <w:rPr>
                <w:rFonts w:hint="eastAsia" w:ascii="宋体" w:hAnsi="宋体" w:eastAsia="宋体"/>
                <w:color w:val="auto"/>
                <w:spacing w:val="2"/>
                <w:sz w:val="24"/>
                <w:szCs w:val="24"/>
              </w:rPr>
              <w:t>投标人名称</w:t>
            </w:r>
          </w:p>
        </w:tc>
        <w:tc>
          <w:tcPr>
            <w:tcW w:w="5174"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ind w:firstLine="0" w:firstLineChars="0"/>
              <w:jc w:val="center"/>
              <w:rPr>
                <w:rFonts w:ascii="宋体" w:hAnsi="宋体" w:eastAsia="宋体"/>
                <w:color w:val="auto"/>
                <w:spacing w:val="2"/>
                <w:sz w:val="24"/>
                <w:szCs w:val="24"/>
              </w:rPr>
            </w:pPr>
            <w:r>
              <w:rPr>
                <w:rFonts w:hint="eastAsia" w:ascii="宋体" w:hAnsi="宋体" w:eastAsia="宋体" w:cs="宋体"/>
                <w:color w:val="auto"/>
                <w:sz w:val="24"/>
                <w:szCs w:val="24"/>
              </w:rPr>
              <w:t>与营业执照、资质证书一致</w:t>
            </w:r>
          </w:p>
        </w:tc>
      </w:tr>
      <w:tr>
        <w:tblPrEx>
          <w:tblLayout w:type="fixed"/>
          <w:tblCellMar>
            <w:top w:w="0" w:type="dxa"/>
            <w:left w:w="0" w:type="dxa"/>
            <w:bottom w:w="0" w:type="dxa"/>
            <w:right w:w="0" w:type="dxa"/>
          </w:tblCellMar>
        </w:tblPrEx>
        <w:trPr>
          <w:trHeight w:val="312" w:hRule="atLeast"/>
          <w:jc w:val="center"/>
        </w:trPr>
        <w:tc>
          <w:tcPr>
            <w:tcW w:w="776" w:type="dxa"/>
            <w:vMerge w:val="continue"/>
            <w:tcBorders>
              <w:left w:val="single" w:color="000000" w:sz="4" w:space="0"/>
              <w:bottom w:val="nil"/>
              <w:right w:val="single" w:color="000000" w:sz="4" w:space="0"/>
            </w:tcBorders>
          </w:tcPr>
          <w:p>
            <w:pPr>
              <w:snapToGrid w:val="0"/>
              <w:spacing w:line="400" w:lineRule="exact"/>
              <w:ind w:firstLine="0" w:firstLineChars="0"/>
              <w:jc w:val="center"/>
              <w:rPr>
                <w:rFonts w:ascii="宋体" w:hAnsi="宋体" w:eastAsia="宋体"/>
                <w:color w:val="auto"/>
                <w:spacing w:val="2"/>
                <w:sz w:val="24"/>
                <w:szCs w:val="24"/>
              </w:rPr>
            </w:pPr>
          </w:p>
        </w:tc>
        <w:tc>
          <w:tcPr>
            <w:tcW w:w="967" w:type="dxa"/>
            <w:vMerge w:val="continue"/>
            <w:tcBorders>
              <w:left w:val="single" w:color="000000" w:sz="4" w:space="0"/>
              <w:right w:val="single" w:color="000000" w:sz="4" w:space="0"/>
            </w:tcBorders>
          </w:tcPr>
          <w:p>
            <w:pPr>
              <w:snapToGrid w:val="0"/>
              <w:spacing w:line="400" w:lineRule="exact"/>
              <w:ind w:firstLine="0" w:firstLineChars="0"/>
              <w:jc w:val="center"/>
              <w:rPr>
                <w:rFonts w:ascii="宋体" w:hAnsi="宋体" w:eastAsia="宋体"/>
                <w:color w:val="auto"/>
                <w:spacing w:val="2"/>
                <w:sz w:val="24"/>
                <w:szCs w:val="24"/>
              </w:rPr>
            </w:pPr>
          </w:p>
        </w:tc>
        <w:tc>
          <w:tcPr>
            <w:tcW w:w="1733" w:type="dxa"/>
            <w:tcBorders>
              <w:top w:val="single" w:color="000000" w:sz="4" w:space="0"/>
              <w:left w:val="single" w:color="000000" w:sz="4" w:space="0"/>
              <w:bottom w:val="single" w:color="auto" w:sz="4" w:space="0"/>
              <w:right w:val="single" w:color="000000" w:sz="4" w:space="0"/>
            </w:tcBorders>
            <w:vAlign w:val="center"/>
          </w:tcPr>
          <w:p>
            <w:pPr>
              <w:snapToGrid w:val="0"/>
              <w:spacing w:line="400" w:lineRule="exact"/>
              <w:ind w:firstLine="0" w:firstLineChars="0"/>
              <w:jc w:val="center"/>
              <w:rPr>
                <w:rFonts w:ascii="宋体" w:hAnsi="宋体" w:eastAsia="宋体"/>
                <w:color w:val="auto"/>
                <w:spacing w:val="2"/>
                <w:sz w:val="24"/>
                <w:szCs w:val="24"/>
              </w:rPr>
            </w:pPr>
            <w:r>
              <w:rPr>
                <w:rFonts w:hint="eastAsia" w:ascii="宋体" w:hAnsi="宋体" w:eastAsia="宋体"/>
                <w:color w:val="auto"/>
                <w:spacing w:val="2"/>
                <w:sz w:val="24"/>
                <w:szCs w:val="24"/>
              </w:rPr>
              <w:t>投标函及投标函附录</w:t>
            </w:r>
          </w:p>
          <w:p>
            <w:pPr>
              <w:snapToGrid w:val="0"/>
              <w:spacing w:line="400" w:lineRule="exact"/>
              <w:ind w:firstLine="0" w:firstLineChars="0"/>
              <w:jc w:val="center"/>
              <w:rPr>
                <w:rFonts w:ascii="宋体" w:hAnsi="宋体" w:eastAsia="宋体"/>
                <w:color w:val="auto"/>
                <w:spacing w:val="2"/>
                <w:sz w:val="24"/>
                <w:szCs w:val="24"/>
              </w:rPr>
            </w:pPr>
            <w:r>
              <w:rPr>
                <w:rFonts w:hint="eastAsia" w:ascii="宋体" w:hAnsi="宋体" w:eastAsia="宋体"/>
                <w:color w:val="auto"/>
                <w:spacing w:val="2"/>
                <w:sz w:val="24"/>
                <w:szCs w:val="24"/>
              </w:rPr>
              <w:t>签字盖章</w:t>
            </w:r>
          </w:p>
        </w:tc>
        <w:tc>
          <w:tcPr>
            <w:tcW w:w="5174" w:type="dxa"/>
            <w:tcBorders>
              <w:top w:val="single" w:color="000000" w:sz="4" w:space="0"/>
              <w:left w:val="single" w:color="000000" w:sz="4" w:space="0"/>
              <w:bottom w:val="single" w:color="auto" w:sz="4" w:space="0"/>
              <w:right w:val="single" w:color="000000" w:sz="4" w:space="0"/>
            </w:tcBorders>
            <w:vAlign w:val="center"/>
          </w:tcPr>
          <w:p>
            <w:pPr>
              <w:snapToGrid w:val="0"/>
              <w:spacing w:line="400" w:lineRule="exact"/>
              <w:ind w:firstLine="480"/>
              <w:jc w:val="both"/>
              <w:rPr>
                <w:rFonts w:ascii="宋体" w:hAnsi="宋体" w:eastAsia="宋体"/>
                <w:color w:val="auto"/>
                <w:spacing w:val="2"/>
                <w:sz w:val="24"/>
                <w:szCs w:val="24"/>
              </w:rPr>
            </w:pPr>
            <w:r>
              <w:rPr>
                <w:rFonts w:hint="eastAsia" w:ascii="宋体" w:hAnsi="宋体" w:eastAsia="宋体" w:cs="宋体"/>
                <w:color w:val="auto"/>
                <w:sz w:val="24"/>
                <w:szCs w:val="24"/>
              </w:rPr>
              <w:t>有法定代表人或其委托代理人签字或加盖单位章。由法定代表人签字的，应附法定代表人身份证明，由代理人签字的，应附授权委托书，身份证明或授权委托书应符合第六章“投标文件格式”的规定。</w:t>
            </w:r>
          </w:p>
        </w:tc>
      </w:tr>
      <w:tr>
        <w:tblPrEx>
          <w:tblLayout w:type="fixed"/>
          <w:tblCellMar>
            <w:top w:w="0" w:type="dxa"/>
            <w:left w:w="0" w:type="dxa"/>
            <w:bottom w:w="0" w:type="dxa"/>
            <w:right w:w="0" w:type="dxa"/>
          </w:tblCellMar>
        </w:tblPrEx>
        <w:trPr>
          <w:trHeight w:val="400" w:hRule="atLeast"/>
          <w:jc w:val="center"/>
        </w:trPr>
        <w:tc>
          <w:tcPr>
            <w:tcW w:w="776" w:type="dxa"/>
            <w:vMerge w:val="continue"/>
            <w:tcBorders>
              <w:left w:val="single" w:color="000000" w:sz="4" w:space="0"/>
              <w:right w:val="single" w:color="000000" w:sz="4" w:space="0"/>
            </w:tcBorders>
          </w:tcPr>
          <w:p>
            <w:pPr>
              <w:snapToGrid w:val="0"/>
              <w:spacing w:line="400" w:lineRule="exact"/>
              <w:ind w:firstLine="0" w:firstLineChars="0"/>
              <w:jc w:val="center"/>
              <w:rPr>
                <w:rFonts w:ascii="宋体" w:hAnsi="宋体" w:eastAsia="宋体"/>
                <w:color w:val="auto"/>
                <w:spacing w:val="2"/>
                <w:sz w:val="24"/>
                <w:szCs w:val="24"/>
              </w:rPr>
            </w:pPr>
          </w:p>
        </w:tc>
        <w:tc>
          <w:tcPr>
            <w:tcW w:w="967" w:type="dxa"/>
            <w:vMerge w:val="continue"/>
            <w:tcBorders>
              <w:left w:val="single" w:color="000000" w:sz="4" w:space="0"/>
              <w:right w:val="single" w:color="auto" w:sz="4" w:space="0"/>
            </w:tcBorders>
          </w:tcPr>
          <w:p>
            <w:pPr>
              <w:snapToGrid w:val="0"/>
              <w:spacing w:line="400" w:lineRule="exact"/>
              <w:ind w:firstLine="0" w:firstLineChars="0"/>
              <w:jc w:val="both"/>
              <w:rPr>
                <w:rFonts w:ascii="宋体" w:hAnsi="宋体" w:eastAsia="宋体"/>
                <w:color w:val="auto"/>
                <w:spacing w:val="2"/>
                <w:sz w:val="24"/>
                <w:szCs w:val="24"/>
              </w:rPr>
            </w:pPr>
          </w:p>
        </w:tc>
        <w:tc>
          <w:tcPr>
            <w:tcW w:w="1733" w:type="dxa"/>
            <w:tcBorders>
              <w:top w:val="single" w:color="auto" w:sz="4" w:space="0"/>
              <w:left w:val="single" w:color="auto" w:sz="4" w:space="0"/>
              <w:bottom w:val="single" w:color="auto" w:sz="4" w:space="0"/>
              <w:right w:val="single" w:color="000000" w:sz="4" w:space="0"/>
            </w:tcBorders>
            <w:vAlign w:val="center"/>
          </w:tcPr>
          <w:p>
            <w:pPr>
              <w:snapToGrid w:val="0"/>
              <w:spacing w:line="400" w:lineRule="exact"/>
              <w:ind w:firstLine="0" w:firstLineChars="0"/>
              <w:jc w:val="center"/>
              <w:rPr>
                <w:rFonts w:ascii="宋体" w:hAnsi="宋体" w:eastAsia="宋体"/>
                <w:color w:val="auto"/>
                <w:spacing w:val="2"/>
                <w:sz w:val="24"/>
                <w:szCs w:val="24"/>
              </w:rPr>
            </w:pPr>
            <w:r>
              <w:rPr>
                <w:rFonts w:hint="eastAsia" w:ascii="宋体" w:hAnsi="宋体" w:eastAsia="宋体"/>
                <w:color w:val="auto"/>
                <w:spacing w:val="2"/>
                <w:sz w:val="24"/>
                <w:szCs w:val="24"/>
              </w:rPr>
              <w:t>投标文件格式</w:t>
            </w:r>
          </w:p>
        </w:tc>
        <w:tc>
          <w:tcPr>
            <w:tcW w:w="5174" w:type="dxa"/>
            <w:tcBorders>
              <w:top w:val="single" w:color="auto" w:sz="4" w:space="0"/>
              <w:left w:val="single" w:color="000000" w:sz="4" w:space="0"/>
              <w:bottom w:val="single" w:color="auto" w:sz="4" w:space="0"/>
              <w:right w:val="single" w:color="auto" w:sz="4" w:space="0"/>
            </w:tcBorders>
            <w:vAlign w:val="center"/>
          </w:tcPr>
          <w:p>
            <w:pPr>
              <w:snapToGrid w:val="0"/>
              <w:spacing w:line="400" w:lineRule="exact"/>
              <w:ind w:firstLine="0" w:firstLineChars="0"/>
              <w:jc w:val="center"/>
              <w:rPr>
                <w:rFonts w:ascii="宋体" w:hAnsi="宋体" w:eastAsia="宋体"/>
                <w:color w:val="auto"/>
                <w:spacing w:val="2"/>
                <w:sz w:val="24"/>
                <w:szCs w:val="24"/>
              </w:rPr>
            </w:pPr>
            <w:r>
              <w:rPr>
                <w:rFonts w:hint="eastAsia" w:ascii="宋体" w:hAnsi="宋体" w:eastAsia="宋体"/>
                <w:color w:val="auto"/>
                <w:spacing w:val="2"/>
                <w:sz w:val="24"/>
                <w:szCs w:val="24"/>
              </w:rPr>
              <w:t>符合第六章“投标文件格式”的规定</w:t>
            </w:r>
          </w:p>
        </w:tc>
      </w:tr>
      <w:tr>
        <w:tblPrEx>
          <w:tblLayout w:type="fixed"/>
          <w:tblCellMar>
            <w:top w:w="0" w:type="dxa"/>
            <w:left w:w="0" w:type="dxa"/>
            <w:bottom w:w="0" w:type="dxa"/>
            <w:right w:w="0" w:type="dxa"/>
          </w:tblCellMar>
        </w:tblPrEx>
        <w:trPr>
          <w:trHeight w:val="420" w:hRule="atLeast"/>
          <w:jc w:val="center"/>
        </w:trPr>
        <w:tc>
          <w:tcPr>
            <w:tcW w:w="776" w:type="dxa"/>
            <w:vMerge w:val="restart"/>
            <w:tcBorders>
              <w:top w:val="single" w:color="auto" w:sz="4" w:space="0"/>
              <w:left w:val="single" w:color="000000" w:sz="4" w:space="0"/>
              <w:right w:val="single" w:color="000000" w:sz="4" w:space="0"/>
            </w:tcBorders>
            <w:vAlign w:val="center"/>
          </w:tcPr>
          <w:p>
            <w:pPr>
              <w:snapToGrid w:val="0"/>
              <w:spacing w:line="400" w:lineRule="exact"/>
              <w:ind w:firstLine="0" w:firstLineChars="0"/>
              <w:jc w:val="center"/>
              <w:rPr>
                <w:rFonts w:ascii="宋体" w:hAnsi="宋体" w:eastAsia="宋体"/>
                <w:color w:val="auto"/>
                <w:spacing w:val="2"/>
                <w:sz w:val="24"/>
                <w:szCs w:val="24"/>
              </w:rPr>
            </w:pPr>
            <w:r>
              <w:rPr>
                <w:rFonts w:hint="eastAsia" w:ascii="宋体" w:hAnsi="宋体" w:eastAsia="宋体"/>
                <w:color w:val="auto"/>
                <w:spacing w:val="2"/>
                <w:sz w:val="24"/>
                <w:szCs w:val="24"/>
              </w:rPr>
              <w:t>2.1.2</w:t>
            </w:r>
          </w:p>
        </w:tc>
        <w:tc>
          <w:tcPr>
            <w:tcW w:w="967" w:type="dxa"/>
            <w:vMerge w:val="restart"/>
            <w:tcBorders>
              <w:top w:val="single" w:color="auto" w:sz="4" w:space="0"/>
              <w:left w:val="single" w:color="000000" w:sz="4" w:space="0"/>
              <w:right w:val="single" w:color="000000" w:sz="4" w:space="0"/>
            </w:tcBorders>
            <w:vAlign w:val="center"/>
          </w:tcPr>
          <w:p>
            <w:pPr>
              <w:snapToGrid w:val="0"/>
              <w:spacing w:line="400" w:lineRule="exact"/>
              <w:ind w:firstLine="0" w:firstLineChars="0"/>
              <w:jc w:val="center"/>
              <w:rPr>
                <w:rFonts w:ascii="宋体" w:hAnsi="宋体" w:eastAsia="宋体"/>
                <w:color w:val="auto"/>
                <w:spacing w:val="2"/>
                <w:sz w:val="24"/>
                <w:szCs w:val="24"/>
              </w:rPr>
            </w:pPr>
            <w:r>
              <w:rPr>
                <w:rFonts w:hint="eastAsia" w:ascii="宋体" w:hAnsi="宋体" w:eastAsia="宋体"/>
                <w:color w:val="auto"/>
                <w:spacing w:val="2"/>
                <w:sz w:val="24"/>
                <w:szCs w:val="24"/>
              </w:rPr>
              <w:t>资格评审</w:t>
            </w:r>
          </w:p>
          <w:p>
            <w:pPr>
              <w:snapToGrid w:val="0"/>
              <w:spacing w:line="400" w:lineRule="exact"/>
              <w:ind w:firstLine="0" w:firstLineChars="0"/>
              <w:jc w:val="center"/>
              <w:rPr>
                <w:rFonts w:ascii="宋体" w:hAnsi="宋体" w:eastAsia="宋体"/>
                <w:color w:val="auto"/>
                <w:spacing w:val="2"/>
                <w:sz w:val="24"/>
                <w:szCs w:val="24"/>
              </w:rPr>
            </w:pPr>
          </w:p>
          <w:p>
            <w:pPr>
              <w:snapToGrid w:val="0"/>
              <w:spacing w:line="400" w:lineRule="exact"/>
              <w:ind w:firstLine="0" w:firstLineChars="0"/>
              <w:jc w:val="center"/>
              <w:rPr>
                <w:rFonts w:ascii="宋体" w:hAnsi="宋体" w:eastAsia="宋体"/>
                <w:color w:val="auto"/>
                <w:spacing w:val="2"/>
                <w:sz w:val="24"/>
                <w:szCs w:val="24"/>
              </w:rPr>
            </w:pPr>
          </w:p>
          <w:p>
            <w:pPr>
              <w:snapToGrid w:val="0"/>
              <w:spacing w:line="400" w:lineRule="exact"/>
              <w:ind w:firstLine="0" w:firstLineChars="0"/>
              <w:jc w:val="center"/>
              <w:rPr>
                <w:rFonts w:ascii="宋体" w:hAnsi="宋体" w:eastAsia="宋体"/>
                <w:color w:val="auto"/>
                <w:spacing w:val="2"/>
                <w:sz w:val="24"/>
                <w:szCs w:val="24"/>
              </w:rPr>
            </w:pPr>
            <w:r>
              <w:rPr>
                <w:rFonts w:hint="eastAsia" w:ascii="宋体" w:hAnsi="宋体" w:eastAsia="宋体"/>
                <w:color w:val="auto"/>
                <w:spacing w:val="2"/>
                <w:sz w:val="24"/>
                <w:szCs w:val="24"/>
              </w:rPr>
              <w:t>标准</w:t>
            </w:r>
          </w:p>
        </w:tc>
        <w:tc>
          <w:tcPr>
            <w:tcW w:w="1733" w:type="dxa"/>
            <w:tcBorders>
              <w:top w:val="single" w:color="auto" w:sz="4" w:space="0"/>
              <w:left w:val="single" w:color="000000" w:sz="4" w:space="0"/>
              <w:bottom w:val="single" w:color="000000" w:sz="4" w:space="0"/>
              <w:right w:val="single" w:color="000000" w:sz="4" w:space="0"/>
            </w:tcBorders>
            <w:vAlign w:val="center"/>
          </w:tcPr>
          <w:p>
            <w:pPr>
              <w:spacing w:line="400" w:lineRule="exact"/>
              <w:ind w:firstLine="0" w:firstLineChars="0"/>
              <w:jc w:val="center"/>
              <w:rPr>
                <w:rFonts w:ascii="宋体" w:hAnsi="宋体" w:eastAsia="宋体" w:cs="宋体"/>
                <w:color w:val="auto"/>
                <w:sz w:val="24"/>
                <w:szCs w:val="24"/>
              </w:rPr>
            </w:pPr>
            <w:r>
              <w:rPr>
                <w:rFonts w:hint="eastAsia" w:ascii="宋体" w:hAnsi="宋体" w:eastAsia="宋体" w:cs="宋体"/>
                <w:color w:val="auto"/>
                <w:sz w:val="24"/>
                <w:szCs w:val="24"/>
              </w:rPr>
              <w:t>营业执照和</w:t>
            </w:r>
          </w:p>
          <w:p>
            <w:pPr>
              <w:snapToGrid w:val="0"/>
              <w:spacing w:line="400" w:lineRule="exact"/>
              <w:ind w:firstLine="0" w:firstLineChars="0"/>
              <w:jc w:val="center"/>
              <w:rPr>
                <w:rFonts w:ascii="宋体" w:hAnsi="宋体" w:eastAsia="宋体"/>
                <w:color w:val="auto"/>
                <w:spacing w:val="2"/>
                <w:sz w:val="24"/>
                <w:szCs w:val="24"/>
              </w:rPr>
            </w:pPr>
            <w:r>
              <w:rPr>
                <w:rFonts w:hint="eastAsia" w:ascii="宋体" w:hAnsi="宋体" w:eastAsia="宋体" w:cs="宋体"/>
                <w:color w:val="auto"/>
                <w:sz w:val="24"/>
                <w:szCs w:val="24"/>
              </w:rPr>
              <w:t>组织机构代码证</w:t>
            </w:r>
          </w:p>
        </w:tc>
        <w:tc>
          <w:tcPr>
            <w:tcW w:w="5174" w:type="dxa"/>
            <w:tcBorders>
              <w:top w:val="single" w:color="auto" w:sz="4" w:space="0"/>
              <w:left w:val="single" w:color="000000" w:sz="4" w:space="0"/>
              <w:bottom w:val="single" w:color="000000" w:sz="4" w:space="0"/>
              <w:right w:val="single" w:color="000000" w:sz="4" w:space="0"/>
            </w:tcBorders>
            <w:vAlign w:val="center"/>
          </w:tcPr>
          <w:p>
            <w:pPr>
              <w:snapToGrid w:val="0"/>
              <w:spacing w:line="400" w:lineRule="exact"/>
              <w:ind w:firstLine="480"/>
              <w:jc w:val="both"/>
              <w:rPr>
                <w:rFonts w:ascii="宋体" w:hAnsi="宋体" w:eastAsia="宋体"/>
                <w:color w:val="auto"/>
                <w:spacing w:val="2"/>
                <w:sz w:val="24"/>
                <w:szCs w:val="24"/>
              </w:rPr>
            </w:pPr>
            <w:r>
              <w:rPr>
                <w:rFonts w:hint="eastAsia" w:ascii="宋体" w:hAnsi="宋体" w:eastAsia="宋体" w:cs="宋体"/>
                <w:color w:val="auto"/>
                <w:sz w:val="24"/>
                <w:szCs w:val="24"/>
              </w:rPr>
              <w:t>符合第二章“投标人须知”第 3.5.1 项规定，具备有效的营业执照和组织机构代码证。</w:t>
            </w:r>
          </w:p>
        </w:tc>
      </w:tr>
      <w:tr>
        <w:tblPrEx>
          <w:tblLayout w:type="fixed"/>
          <w:tblCellMar>
            <w:top w:w="0" w:type="dxa"/>
            <w:left w:w="0" w:type="dxa"/>
            <w:bottom w:w="0" w:type="dxa"/>
            <w:right w:w="0" w:type="dxa"/>
          </w:tblCellMar>
        </w:tblPrEx>
        <w:trPr>
          <w:trHeight w:val="530" w:hRule="atLeast"/>
          <w:jc w:val="center"/>
        </w:trPr>
        <w:tc>
          <w:tcPr>
            <w:tcW w:w="776" w:type="dxa"/>
            <w:vMerge w:val="continue"/>
            <w:tcBorders>
              <w:left w:val="single" w:color="000000" w:sz="4" w:space="0"/>
              <w:right w:val="single" w:color="000000" w:sz="4" w:space="0"/>
            </w:tcBorders>
          </w:tcPr>
          <w:p>
            <w:pPr>
              <w:snapToGrid w:val="0"/>
              <w:spacing w:line="400" w:lineRule="exact"/>
              <w:ind w:firstLine="0" w:firstLineChars="0"/>
              <w:jc w:val="center"/>
              <w:rPr>
                <w:rFonts w:ascii="宋体" w:hAnsi="宋体" w:eastAsia="宋体"/>
                <w:color w:val="auto"/>
                <w:spacing w:val="2"/>
                <w:sz w:val="24"/>
                <w:szCs w:val="24"/>
              </w:rPr>
            </w:pPr>
          </w:p>
        </w:tc>
        <w:tc>
          <w:tcPr>
            <w:tcW w:w="967" w:type="dxa"/>
            <w:vMerge w:val="continue"/>
            <w:tcBorders>
              <w:left w:val="single" w:color="000000" w:sz="4" w:space="0"/>
              <w:right w:val="single" w:color="000000" w:sz="4" w:space="0"/>
            </w:tcBorders>
          </w:tcPr>
          <w:p>
            <w:pPr>
              <w:snapToGrid w:val="0"/>
              <w:spacing w:line="400" w:lineRule="exact"/>
              <w:ind w:firstLine="0" w:firstLineChars="0"/>
              <w:jc w:val="both"/>
              <w:rPr>
                <w:rFonts w:ascii="宋体" w:hAnsi="宋体" w:eastAsia="宋体"/>
                <w:color w:val="auto"/>
                <w:spacing w:val="2"/>
                <w:sz w:val="24"/>
                <w:szCs w:val="24"/>
              </w:rPr>
            </w:pPr>
          </w:p>
        </w:tc>
        <w:tc>
          <w:tcPr>
            <w:tcW w:w="1733" w:type="dxa"/>
            <w:tcBorders>
              <w:left w:val="single" w:color="000000" w:sz="4" w:space="0"/>
              <w:bottom w:val="single" w:color="000000" w:sz="4" w:space="0"/>
              <w:right w:val="single" w:color="000000" w:sz="4" w:space="0"/>
            </w:tcBorders>
            <w:vAlign w:val="center"/>
          </w:tcPr>
          <w:p>
            <w:pPr>
              <w:snapToGrid w:val="0"/>
              <w:spacing w:line="400" w:lineRule="exact"/>
              <w:ind w:firstLine="0" w:firstLineChars="0"/>
              <w:jc w:val="center"/>
              <w:rPr>
                <w:rFonts w:ascii="宋体" w:hAnsi="宋体" w:eastAsia="宋体" w:cs="宋体"/>
                <w:color w:val="auto"/>
                <w:sz w:val="24"/>
                <w:szCs w:val="24"/>
              </w:rPr>
            </w:pPr>
            <w:r>
              <w:rPr>
                <w:rFonts w:hint="eastAsia" w:ascii="宋体" w:hAnsi="宋体" w:eastAsia="宋体"/>
                <w:color w:val="auto"/>
                <w:spacing w:val="2"/>
                <w:sz w:val="24"/>
                <w:szCs w:val="24"/>
              </w:rPr>
              <w:t>资质要求</w:t>
            </w:r>
          </w:p>
        </w:tc>
        <w:tc>
          <w:tcPr>
            <w:tcW w:w="5174" w:type="dxa"/>
            <w:tcBorders>
              <w:left w:val="single" w:color="000000" w:sz="4" w:space="0"/>
              <w:bottom w:val="single" w:color="000000" w:sz="4" w:space="0"/>
              <w:right w:val="single" w:color="000000" w:sz="4" w:space="0"/>
            </w:tcBorders>
            <w:vAlign w:val="center"/>
          </w:tcPr>
          <w:p>
            <w:pPr>
              <w:autoSpaceDE w:val="0"/>
              <w:autoSpaceDN w:val="0"/>
              <w:adjustRightInd w:val="0"/>
              <w:spacing w:line="400" w:lineRule="exact"/>
              <w:ind w:firstLine="480"/>
              <w:outlineLvl w:val="0"/>
              <w:rPr>
                <w:rFonts w:ascii="宋体" w:hAnsi="宋体" w:eastAsia="宋体" w:cs="宋体"/>
                <w:color w:val="auto"/>
                <w:sz w:val="24"/>
                <w:szCs w:val="24"/>
              </w:rPr>
            </w:pPr>
            <w:r>
              <w:rPr>
                <w:rFonts w:hint="eastAsia" w:ascii="宋体" w:hAnsi="宋体" w:eastAsia="宋体" w:cs="宋体"/>
                <w:color w:val="auto"/>
                <w:sz w:val="24"/>
                <w:szCs w:val="24"/>
              </w:rPr>
              <w:t>符合第二章“投标人须知”第 1.4.1 项规定</w:t>
            </w:r>
          </w:p>
        </w:tc>
      </w:tr>
      <w:tr>
        <w:tblPrEx>
          <w:tblLayout w:type="fixed"/>
          <w:tblCellMar>
            <w:top w:w="0" w:type="dxa"/>
            <w:left w:w="0" w:type="dxa"/>
            <w:bottom w:w="0" w:type="dxa"/>
            <w:right w:w="0" w:type="dxa"/>
          </w:tblCellMar>
        </w:tblPrEx>
        <w:trPr>
          <w:trHeight w:val="545" w:hRule="atLeast"/>
          <w:jc w:val="center"/>
        </w:trPr>
        <w:tc>
          <w:tcPr>
            <w:tcW w:w="776" w:type="dxa"/>
            <w:vMerge w:val="continue"/>
            <w:tcBorders>
              <w:left w:val="single" w:color="000000" w:sz="4" w:space="0"/>
              <w:right w:val="single" w:color="000000" w:sz="4" w:space="0"/>
            </w:tcBorders>
          </w:tcPr>
          <w:p>
            <w:pPr>
              <w:snapToGrid w:val="0"/>
              <w:spacing w:line="400" w:lineRule="exact"/>
              <w:ind w:firstLine="0" w:firstLineChars="0"/>
              <w:jc w:val="center"/>
              <w:rPr>
                <w:rFonts w:ascii="宋体" w:hAnsi="宋体" w:eastAsia="宋体"/>
                <w:color w:val="auto"/>
                <w:spacing w:val="2"/>
                <w:sz w:val="24"/>
                <w:szCs w:val="24"/>
              </w:rPr>
            </w:pPr>
          </w:p>
        </w:tc>
        <w:tc>
          <w:tcPr>
            <w:tcW w:w="967" w:type="dxa"/>
            <w:vMerge w:val="continue"/>
            <w:tcBorders>
              <w:left w:val="single" w:color="000000" w:sz="4" w:space="0"/>
              <w:right w:val="single" w:color="000000" w:sz="4" w:space="0"/>
            </w:tcBorders>
          </w:tcPr>
          <w:p>
            <w:pPr>
              <w:snapToGrid w:val="0"/>
              <w:spacing w:line="400" w:lineRule="exact"/>
              <w:ind w:firstLine="0" w:firstLineChars="0"/>
              <w:jc w:val="both"/>
              <w:rPr>
                <w:rFonts w:ascii="宋体" w:hAnsi="宋体" w:eastAsia="宋体"/>
                <w:color w:val="auto"/>
                <w:spacing w:val="2"/>
                <w:sz w:val="24"/>
                <w:szCs w:val="24"/>
              </w:rPr>
            </w:pPr>
          </w:p>
        </w:tc>
        <w:tc>
          <w:tcPr>
            <w:tcW w:w="1733" w:type="dxa"/>
            <w:tcBorders>
              <w:left w:val="single" w:color="000000" w:sz="4" w:space="0"/>
              <w:bottom w:val="single" w:color="000000" w:sz="4" w:space="0"/>
              <w:right w:val="single" w:color="000000" w:sz="4" w:space="0"/>
            </w:tcBorders>
            <w:vAlign w:val="center"/>
          </w:tcPr>
          <w:p>
            <w:pPr>
              <w:snapToGrid w:val="0"/>
              <w:spacing w:line="400" w:lineRule="exact"/>
              <w:ind w:firstLine="0" w:firstLineChars="0"/>
              <w:jc w:val="center"/>
              <w:rPr>
                <w:rFonts w:ascii="宋体" w:hAnsi="宋体" w:eastAsia="宋体" w:cs="宋体"/>
                <w:color w:val="auto"/>
                <w:sz w:val="24"/>
                <w:szCs w:val="24"/>
              </w:rPr>
            </w:pPr>
            <w:r>
              <w:rPr>
                <w:rFonts w:hint="eastAsia" w:ascii="宋体" w:hAnsi="宋体" w:eastAsia="宋体"/>
                <w:color w:val="auto"/>
                <w:spacing w:val="2"/>
                <w:sz w:val="24"/>
                <w:szCs w:val="24"/>
              </w:rPr>
              <w:t>财务要求</w:t>
            </w:r>
          </w:p>
        </w:tc>
        <w:tc>
          <w:tcPr>
            <w:tcW w:w="5174" w:type="dxa"/>
            <w:tcBorders>
              <w:left w:val="single" w:color="000000" w:sz="4" w:space="0"/>
              <w:bottom w:val="single" w:color="000000" w:sz="4" w:space="0"/>
              <w:right w:val="single" w:color="000000" w:sz="4" w:space="0"/>
            </w:tcBorders>
            <w:vAlign w:val="center"/>
          </w:tcPr>
          <w:p>
            <w:pPr>
              <w:snapToGrid w:val="0"/>
              <w:spacing w:line="400" w:lineRule="exact"/>
              <w:ind w:firstLine="240" w:firstLineChars="100"/>
              <w:jc w:val="both"/>
              <w:rPr>
                <w:rFonts w:ascii="宋体" w:hAnsi="宋体" w:eastAsia="宋体"/>
                <w:color w:val="auto"/>
                <w:spacing w:val="2"/>
                <w:sz w:val="24"/>
                <w:szCs w:val="24"/>
              </w:rPr>
            </w:pPr>
            <w:r>
              <w:rPr>
                <w:rFonts w:hint="eastAsia" w:ascii="宋体" w:hAnsi="宋体" w:eastAsia="宋体" w:cs="宋体"/>
                <w:color w:val="auto"/>
                <w:sz w:val="24"/>
                <w:szCs w:val="24"/>
              </w:rPr>
              <w:t>近三年度经会计师事务所出具的财务审计报告。</w:t>
            </w:r>
          </w:p>
        </w:tc>
      </w:tr>
      <w:tr>
        <w:tblPrEx>
          <w:tblLayout w:type="fixed"/>
          <w:tblCellMar>
            <w:top w:w="0" w:type="dxa"/>
            <w:left w:w="0" w:type="dxa"/>
            <w:bottom w:w="0" w:type="dxa"/>
            <w:right w:w="0" w:type="dxa"/>
          </w:tblCellMar>
        </w:tblPrEx>
        <w:trPr>
          <w:trHeight w:val="565" w:hRule="atLeast"/>
          <w:jc w:val="center"/>
        </w:trPr>
        <w:tc>
          <w:tcPr>
            <w:tcW w:w="776" w:type="dxa"/>
            <w:vMerge w:val="continue"/>
            <w:tcBorders>
              <w:left w:val="single" w:color="000000" w:sz="4" w:space="0"/>
              <w:right w:val="single" w:color="000000" w:sz="4" w:space="0"/>
            </w:tcBorders>
          </w:tcPr>
          <w:p>
            <w:pPr>
              <w:snapToGrid w:val="0"/>
              <w:spacing w:line="400" w:lineRule="exact"/>
              <w:ind w:firstLine="0" w:firstLineChars="0"/>
              <w:jc w:val="center"/>
              <w:rPr>
                <w:rFonts w:ascii="宋体" w:hAnsi="宋体" w:eastAsia="宋体"/>
                <w:color w:val="auto"/>
                <w:spacing w:val="2"/>
                <w:sz w:val="24"/>
                <w:szCs w:val="24"/>
              </w:rPr>
            </w:pPr>
          </w:p>
        </w:tc>
        <w:tc>
          <w:tcPr>
            <w:tcW w:w="967" w:type="dxa"/>
            <w:vMerge w:val="continue"/>
            <w:tcBorders>
              <w:left w:val="single" w:color="000000" w:sz="4" w:space="0"/>
              <w:right w:val="single" w:color="000000" w:sz="4" w:space="0"/>
            </w:tcBorders>
          </w:tcPr>
          <w:p>
            <w:pPr>
              <w:snapToGrid w:val="0"/>
              <w:spacing w:line="400" w:lineRule="exact"/>
              <w:ind w:firstLine="0" w:firstLineChars="0"/>
              <w:jc w:val="both"/>
              <w:rPr>
                <w:rFonts w:ascii="宋体" w:hAnsi="宋体" w:eastAsia="宋体"/>
                <w:color w:val="auto"/>
                <w:spacing w:val="2"/>
                <w:sz w:val="24"/>
                <w:szCs w:val="24"/>
              </w:rPr>
            </w:pPr>
          </w:p>
        </w:tc>
        <w:tc>
          <w:tcPr>
            <w:tcW w:w="1733" w:type="dxa"/>
            <w:tcBorders>
              <w:left w:val="single" w:color="000000" w:sz="4" w:space="0"/>
              <w:bottom w:val="single" w:color="000000" w:sz="4" w:space="0"/>
              <w:right w:val="single" w:color="000000" w:sz="4" w:space="0"/>
            </w:tcBorders>
            <w:vAlign w:val="center"/>
          </w:tcPr>
          <w:p>
            <w:pPr>
              <w:snapToGrid w:val="0"/>
              <w:spacing w:line="400" w:lineRule="exact"/>
              <w:ind w:firstLine="0" w:firstLineChars="0"/>
              <w:jc w:val="center"/>
              <w:rPr>
                <w:rFonts w:ascii="宋体" w:hAnsi="宋体" w:eastAsia="宋体" w:cs="宋体"/>
                <w:color w:val="auto"/>
                <w:sz w:val="24"/>
                <w:szCs w:val="24"/>
              </w:rPr>
            </w:pPr>
            <w:r>
              <w:rPr>
                <w:rFonts w:hint="eastAsia" w:ascii="宋体" w:hAnsi="宋体" w:eastAsia="宋体"/>
                <w:color w:val="auto"/>
                <w:spacing w:val="2"/>
                <w:sz w:val="24"/>
                <w:szCs w:val="24"/>
              </w:rPr>
              <w:t>业绩要求</w:t>
            </w:r>
          </w:p>
        </w:tc>
        <w:tc>
          <w:tcPr>
            <w:tcW w:w="5174" w:type="dxa"/>
            <w:tcBorders>
              <w:left w:val="single" w:color="000000" w:sz="4" w:space="0"/>
              <w:bottom w:val="single" w:color="000000" w:sz="4" w:space="0"/>
              <w:right w:val="single" w:color="000000" w:sz="4" w:space="0"/>
            </w:tcBorders>
            <w:vAlign w:val="center"/>
          </w:tcPr>
          <w:p>
            <w:pPr>
              <w:snapToGrid w:val="0"/>
              <w:spacing w:line="400" w:lineRule="exact"/>
              <w:ind w:firstLine="240" w:firstLineChars="100"/>
              <w:jc w:val="both"/>
              <w:rPr>
                <w:rFonts w:ascii="宋体" w:hAnsi="宋体" w:eastAsia="宋体"/>
                <w:color w:val="auto"/>
                <w:spacing w:val="2"/>
                <w:sz w:val="24"/>
                <w:szCs w:val="24"/>
              </w:rPr>
            </w:pPr>
            <w:r>
              <w:rPr>
                <w:rFonts w:hint="eastAsia" w:ascii="宋体" w:hAnsi="宋体" w:eastAsia="宋体" w:cs="宋体"/>
                <w:color w:val="auto"/>
                <w:sz w:val="24"/>
                <w:szCs w:val="24"/>
              </w:rPr>
              <w:t>符合第二章“投标人须知”第 1.4.1 项规定</w:t>
            </w:r>
          </w:p>
        </w:tc>
      </w:tr>
      <w:tr>
        <w:tblPrEx>
          <w:tblLayout w:type="fixed"/>
          <w:tblCellMar>
            <w:top w:w="0" w:type="dxa"/>
            <w:left w:w="0" w:type="dxa"/>
            <w:bottom w:w="0" w:type="dxa"/>
            <w:right w:w="0" w:type="dxa"/>
          </w:tblCellMar>
        </w:tblPrEx>
        <w:trPr>
          <w:trHeight w:val="550" w:hRule="atLeast"/>
          <w:jc w:val="center"/>
        </w:trPr>
        <w:tc>
          <w:tcPr>
            <w:tcW w:w="776" w:type="dxa"/>
            <w:vMerge w:val="continue"/>
            <w:tcBorders>
              <w:left w:val="single" w:color="000000" w:sz="4" w:space="0"/>
              <w:right w:val="single" w:color="000000" w:sz="4" w:space="0"/>
            </w:tcBorders>
          </w:tcPr>
          <w:p>
            <w:pPr>
              <w:snapToGrid w:val="0"/>
              <w:spacing w:line="400" w:lineRule="exact"/>
              <w:ind w:firstLine="0" w:firstLineChars="0"/>
              <w:jc w:val="center"/>
              <w:rPr>
                <w:rFonts w:ascii="宋体" w:hAnsi="宋体" w:eastAsia="宋体"/>
                <w:color w:val="auto"/>
                <w:spacing w:val="2"/>
                <w:sz w:val="24"/>
                <w:szCs w:val="24"/>
              </w:rPr>
            </w:pPr>
          </w:p>
        </w:tc>
        <w:tc>
          <w:tcPr>
            <w:tcW w:w="967" w:type="dxa"/>
            <w:vMerge w:val="continue"/>
            <w:tcBorders>
              <w:left w:val="single" w:color="000000" w:sz="4" w:space="0"/>
              <w:right w:val="single" w:color="000000" w:sz="4" w:space="0"/>
            </w:tcBorders>
          </w:tcPr>
          <w:p>
            <w:pPr>
              <w:snapToGrid w:val="0"/>
              <w:spacing w:line="400" w:lineRule="exact"/>
              <w:ind w:firstLine="0" w:firstLineChars="0"/>
              <w:jc w:val="both"/>
              <w:rPr>
                <w:rFonts w:ascii="宋体" w:hAnsi="宋体" w:eastAsia="宋体"/>
                <w:color w:val="auto"/>
                <w:spacing w:val="2"/>
                <w:sz w:val="24"/>
                <w:szCs w:val="24"/>
              </w:rPr>
            </w:pPr>
          </w:p>
        </w:tc>
        <w:tc>
          <w:tcPr>
            <w:tcW w:w="1733" w:type="dxa"/>
            <w:tcBorders>
              <w:left w:val="single" w:color="000000" w:sz="4" w:space="0"/>
              <w:bottom w:val="single" w:color="000000" w:sz="4" w:space="0"/>
              <w:right w:val="single" w:color="000000" w:sz="4" w:space="0"/>
            </w:tcBorders>
            <w:vAlign w:val="center"/>
          </w:tcPr>
          <w:p>
            <w:pPr>
              <w:snapToGrid w:val="0"/>
              <w:spacing w:line="400" w:lineRule="exact"/>
              <w:ind w:firstLine="0" w:firstLineChars="0"/>
              <w:jc w:val="center"/>
              <w:rPr>
                <w:rFonts w:ascii="宋体" w:hAnsi="宋体" w:eastAsia="宋体" w:cs="宋体"/>
                <w:color w:val="auto"/>
                <w:sz w:val="24"/>
                <w:szCs w:val="24"/>
              </w:rPr>
            </w:pPr>
            <w:r>
              <w:rPr>
                <w:rFonts w:hint="eastAsia" w:ascii="宋体" w:hAnsi="宋体" w:eastAsia="宋体"/>
                <w:color w:val="auto"/>
                <w:spacing w:val="2"/>
                <w:sz w:val="24"/>
                <w:szCs w:val="24"/>
              </w:rPr>
              <w:t>信誉要求</w:t>
            </w:r>
          </w:p>
        </w:tc>
        <w:tc>
          <w:tcPr>
            <w:tcW w:w="5174" w:type="dxa"/>
            <w:tcBorders>
              <w:left w:val="single" w:color="000000" w:sz="4" w:space="0"/>
              <w:bottom w:val="single" w:color="000000" w:sz="4" w:space="0"/>
              <w:right w:val="single" w:color="000000" w:sz="4" w:space="0"/>
            </w:tcBorders>
            <w:vAlign w:val="center"/>
          </w:tcPr>
          <w:p>
            <w:pPr>
              <w:snapToGrid w:val="0"/>
              <w:spacing w:line="400" w:lineRule="exact"/>
              <w:ind w:firstLine="0" w:firstLineChars="0"/>
              <w:jc w:val="center"/>
              <w:rPr>
                <w:rFonts w:ascii="宋体" w:hAnsi="宋体" w:eastAsia="宋体"/>
                <w:color w:val="auto"/>
                <w:spacing w:val="2"/>
                <w:sz w:val="24"/>
                <w:szCs w:val="24"/>
              </w:rPr>
            </w:pPr>
            <w:r>
              <w:rPr>
                <w:rFonts w:hint="eastAsia" w:ascii="宋体" w:hAnsi="宋体" w:eastAsia="宋体"/>
                <w:color w:val="auto"/>
                <w:spacing w:val="2"/>
                <w:sz w:val="24"/>
                <w:szCs w:val="24"/>
              </w:rPr>
              <w:t>符合第二章“投标人须知”第 1.4.1 项规定</w:t>
            </w:r>
          </w:p>
        </w:tc>
      </w:tr>
      <w:tr>
        <w:tblPrEx>
          <w:tblLayout w:type="fixed"/>
          <w:tblCellMar>
            <w:top w:w="0" w:type="dxa"/>
            <w:left w:w="0" w:type="dxa"/>
            <w:bottom w:w="0" w:type="dxa"/>
            <w:right w:w="0" w:type="dxa"/>
          </w:tblCellMar>
        </w:tblPrEx>
        <w:trPr>
          <w:trHeight w:val="550" w:hRule="atLeast"/>
          <w:jc w:val="center"/>
        </w:trPr>
        <w:tc>
          <w:tcPr>
            <w:tcW w:w="776" w:type="dxa"/>
            <w:vMerge w:val="continue"/>
            <w:tcBorders>
              <w:left w:val="single" w:color="000000" w:sz="4" w:space="0"/>
              <w:right w:val="single" w:color="000000" w:sz="4" w:space="0"/>
            </w:tcBorders>
          </w:tcPr>
          <w:p>
            <w:pPr>
              <w:snapToGrid w:val="0"/>
              <w:spacing w:line="400" w:lineRule="exact"/>
              <w:ind w:firstLine="0" w:firstLineChars="0"/>
              <w:jc w:val="center"/>
              <w:rPr>
                <w:rFonts w:ascii="宋体" w:hAnsi="宋体" w:eastAsia="宋体"/>
                <w:color w:val="auto"/>
                <w:spacing w:val="2"/>
                <w:sz w:val="24"/>
                <w:szCs w:val="24"/>
              </w:rPr>
            </w:pPr>
          </w:p>
        </w:tc>
        <w:tc>
          <w:tcPr>
            <w:tcW w:w="967" w:type="dxa"/>
            <w:vMerge w:val="continue"/>
            <w:tcBorders>
              <w:left w:val="single" w:color="000000" w:sz="4" w:space="0"/>
              <w:right w:val="single" w:color="000000" w:sz="4" w:space="0"/>
            </w:tcBorders>
          </w:tcPr>
          <w:p>
            <w:pPr>
              <w:snapToGrid w:val="0"/>
              <w:spacing w:line="400" w:lineRule="exact"/>
              <w:ind w:firstLine="0" w:firstLineChars="0"/>
              <w:jc w:val="both"/>
              <w:rPr>
                <w:rFonts w:ascii="宋体" w:hAnsi="宋体" w:eastAsia="宋体"/>
                <w:color w:val="auto"/>
                <w:spacing w:val="2"/>
                <w:sz w:val="24"/>
                <w:szCs w:val="24"/>
              </w:rPr>
            </w:pPr>
          </w:p>
        </w:tc>
        <w:tc>
          <w:tcPr>
            <w:tcW w:w="1733" w:type="dxa"/>
            <w:tcBorders>
              <w:left w:val="single" w:color="000000" w:sz="4" w:space="0"/>
              <w:bottom w:val="single" w:color="000000" w:sz="4" w:space="0"/>
              <w:right w:val="single" w:color="000000" w:sz="4" w:space="0"/>
            </w:tcBorders>
            <w:shd w:val="clear" w:color="auto" w:fill="auto"/>
            <w:vAlign w:val="center"/>
          </w:tcPr>
          <w:p>
            <w:pPr>
              <w:snapToGrid w:val="0"/>
              <w:spacing w:line="400" w:lineRule="exact"/>
              <w:ind w:firstLine="0" w:firstLineChars="0"/>
              <w:jc w:val="center"/>
              <w:rPr>
                <w:rFonts w:ascii="宋体" w:hAnsi="宋体" w:eastAsia="宋体"/>
                <w:color w:val="auto"/>
                <w:spacing w:val="2"/>
                <w:sz w:val="24"/>
                <w:szCs w:val="24"/>
              </w:rPr>
            </w:pPr>
            <w:r>
              <w:rPr>
                <w:rFonts w:hint="eastAsia" w:ascii="宋体" w:hAnsi="宋体" w:eastAsia="宋体"/>
                <w:color w:val="auto"/>
                <w:spacing w:val="2"/>
                <w:sz w:val="24"/>
                <w:szCs w:val="24"/>
              </w:rPr>
              <w:t>项目负责人</w:t>
            </w:r>
          </w:p>
        </w:tc>
        <w:tc>
          <w:tcPr>
            <w:tcW w:w="5174" w:type="dxa"/>
            <w:tcBorders>
              <w:left w:val="single" w:color="000000" w:sz="4" w:space="0"/>
              <w:bottom w:val="single" w:color="000000" w:sz="4" w:space="0"/>
              <w:right w:val="single" w:color="000000" w:sz="4" w:space="0"/>
            </w:tcBorders>
            <w:vAlign w:val="center"/>
          </w:tcPr>
          <w:p>
            <w:pPr>
              <w:snapToGrid w:val="0"/>
              <w:spacing w:line="400" w:lineRule="exact"/>
              <w:ind w:firstLine="0" w:firstLineChars="0"/>
              <w:jc w:val="center"/>
              <w:rPr>
                <w:rFonts w:ascii="宋体" w:hAnsi="宋体" w:eastAsia="宋体" w:cs="宋体"/>
                <w:color w:val="auto"/>
                <w:sz w:val="24"/>
                <w:szCs w:val="24"/>
              </w:rPr>
            </w:pPr>
            <w:r>
              <w:rPr>
                <w:rFonts w:hint="eastAsia" w:ascii="宋体" w:hAnsi="宋体" w:eastAsia="宋体" w:cs="宋体"/>
                <w:color w:val="auto"/>
                <w:sz w:val="24"/>
                <w:szCs w:val="24"/>
              </w:rPr>
              <w:t>符合第二章“投标人须知”第 1.4.1 项规定</w:t>
            </w:r>
          </w:p>
        </w:tc>
      </w:tr>
      <w:tr>
        <w:tblPrEx>
          <w:tblLayout w:type="fixed"/>
          <w:tblCellMar>
            <w:top w:w="0" w:type="dxa"/>
            <w:left w:w="0" w:type="dxa"/>
            <w:bottom w:w="0" w:type="dxa"/>
            <w:right w:w="0" w:type="dxa"/>
          </w:tblCellMar>
        </w:tblPrEx>
        <w:trPr>
          <w:trHeight w:val="595" w:hRule="atLeast"/>
          <w:jc w:val="center"/>
        </w:trPr>
        <w:tc>
          <w:tcPr>
            <w:tcW w:w="776" w:type="dxa"/>
            <w:vMerge w:val="continue"/>
            <w:tcBorders>
              <w:left w:val="single" w:color="000000" w:sz="4" w:space="0"/>
              <w:right w:val="single" w:color="000000" w:sz="4" w:space="0"/>
            </w:tcBorders>
          </w:tcPr>
          <w:p>
            <w:pPr>
              <w:snapToGrid w:val="0"/>
              <w:spacing w:line="400" w:lineRule="exact"/>
              <w:ind w:firstLine="0" w:firstLineChars="0"/>
              <w:jc w:val="center"/>
              <w:rPr>
                <w:rFonts w:ascii="宋体" w:hAnsi="宋体" w:eastAsia="宋体"/>
                <w:color w:val="auto"/>
                <w:spacing w:val="2"/>
                <w:sz w:val="24"/>
                <w:szCs w:val="24"/>
              </w:rPr>
            </w:pPr>
          </w:p>
        </w:tc>
        <w:tc>
          <w:tcPr>
            <w:tcW w:w="967" w:type="dxa"/>
            <w:vMerge w:val="continue"/>
            <w:tcBorders>
              <w:left w:val="single" w:color="000000" w:sz="4" w:space="0"/>
              <w:right w:val="single" w:color="000000" w:sz="4" w:space="0"/>
            </w:tcBorders>
          </w:tcPr>
          <w:p>
            <w:pPr>
              <w:snapToGrid w:val="0"/>
              <w:spacing w:line="400" w:lineRule="exact"/>
              <w:ind w:firstLine="0" w:firstLineChars="0"/>
              <w:jc w:val="both"/>
              <w:rPr>
                <w:rFonts w:ascii="宋体" w:hAnsi="宋体" w:eastAsia="宋体"/>
                <w:color w:val="auto"/>
                <w:spacing w:val="2"/>
                <w:sz w:val="24"/>
                <w:szCs w:val="24"/>
              </w:rPr>
            </w:pPr>
          </w:p>
        </w:tc>
        <w:tc>
          <w:tcPr>
            <w:tcW w:w="1733" w:type="dxa"/>
            <w:tcBorders>
              <w:left w:val="single" w:color="000000" w:sz="4" w:space="0"/>
              <w:bottom w:val="single" w:color="000000" w:sz="4" w:space="0"/>
              <w:right w:val="single" w:color="000000" w:sz="4" w:space="0"/>
            </w:tcBorders>
            <w:vAlign w:val="center"/>
          </w:tcPr>
          <w:p>
            <w:pPr>
              <w:snapToGrid w:val="0"/>
              <w:spacing w:line="400" w:lineRule="exact"/>
              <w:ind w:firstLine="0" w:firstLineChars="0"/>
              <w:jc w:val="center"/>
              <w:rPr>
                <w:rFonts w:ascii="宋体" w:hAnsi="宋体" w:eastAsia="宋体" w:cs="宋体"/>
                <w:color w:val="auto"/>
                <w:sz w:val="24"/>
                <w:szCs w:val="24"/>
              </w:rPr>
            </w:pPr>
            <w:r>
              <w:rPr>
                <w:rFonts w:hint="eastAsia" w:ascii="宋体" w:hAnsi="宋体" w:eastAsia="宋体"/>
                <w:color w:val="auto"/>
                <w:spacing w:val="2"/>
                <w:sz w:val="24"/>
                <w:szCs w:val="24"/>
              </w:rPr>
              <w:t>其他要求</w:t>
            </w:r>
          </w:p>
        </w:tc>
        <w:tc>
          <w:tcPr>
            <w:tcW w:w="5174" w:type="dxa"/>
            <w:tcBorders>
              <w:left w:val="single" w:color="000000" w:sz="4" w:space="0"/>
              <w:bottom w:val="single" w:color="000000" w:sz="4" w:space="0"/>
              <w:right w:val="single" w:color="000000" w:sz="4" w:space="0"/>
            </w:tcBorders>
            <w:vAlign w:val="center"/>
          </w:tcPr>
          <w:p>
            <w:pPr>
              <w:snapToGrid w:val="0"/>
              <w:spacing w:line="400" w:lineRule="exact"/>
              <w:ind w:firstLine="240" w:firstLineChars="100"/>
              <w:jc w:val="both"/>
              <w:rPr>
                <w:rFonts w:ascii="宋体" w:hAnsi="宋体" w:eastAsia="宋体"/>
                <w:color w:val="auto"/>
                <w:spacing w:val="2"/>
                <w:sz w:val="24"/>
                <w:szCs w:val="24"/>
              </w:rPr>
            </w:pPr>
            <w:r>
              <w:rPr>
                <w:rFonts w:hint="eastAsia" w:ascii="宋体" w:hAnsi="宋体" w:eastAsia="宋体" w:cs="宋体"/>
                <w:color w:val="auto"/>
                <w:sz w:val="24"/>
                <w:szCs w:val="24"/>
              </w:rPr>
              <w:t>具有履行合同所必须的设备和专业技术能力。</w:t>
            </w:r>
          </w:p>
        </w:tc>
      </w:tr>
      <w:tr>
        <w:tblPrEx>
          <w:tblLayout w:type="fixed"/>
          <w:tblCellMar>
            <w:top w:w="0" w:type="dxa"/>
            <w:left w:w="0" w:type="dxa"/>
            <w:bottom w:w="0" w:type="dxa"/>
            <w:right w:w="0" w:type="dxa"/>
          </w:tblCellMar>
        </w:tblPrEx>
        <w:trPr>
          <w:trHeight w:val="420" w:hRule="atLeast"/>
          <w:jc w:val="center"/>
        </w:trPr>
        <w:tc>
          <w:tcPr>
            <w:tcW w:w="776" w:type="dxa"/>
            <w:vMerge w:val="continue"/>
            <w:tcBorders>
              <w:left w:val="single" w:color="000000" w:sz="4" w:space="0"/>
              <w:bottom w:val="single" w:color="auto" w:sz="4" w:space="0"/>
              <w:right w:val="single" w:color="000000" w:sz="4" w:space="0"/>
            </w:tcBorders>
          </w:tcPr>
          <w:p>
            <w:pPr>
              <w:snapToGrid w:val="0"/>
              <w:spacing w:line="400" w:lineRule="exact"/>
              <w:ind w:firstLine="0" w:firstLineChars="0"/>
              <w:jc w:val="center"/>
              <w:rPr>
                <w:rFonts w:ascii="宋体" w:hAnsi="宋体" w:eastAsia="宋体"/>
                <w:color w:val="auto"/>
                <w:spacing w:val="2"/>
                <w:sz w:val="24"/>
                <w:szCs w:val="24"/>
              </w:rPr>
            </w:pPr>
          </w:p>
        </w:tc>
        <w:tc>
          <w:tcPr>
            <w:tcW w:w="967" w:type="dxa"/>
            <w:vMerge w:val="continue"/>
            <w:tcBorders>
              <w:left w:val="single" w:color="000000" w:sz="4" w:space="0"/>
              <w:bottom w:val="single" w:color="auto" w:sz="4" w:space="0"/>
              <w:right w:val="single" w:color="000000" w:sz="4" w:space="0"/>
            </w:tcBorders>
          </w:tcPr>
          <w:p>
            <w:pPr>
              <w:snapToGrid w:val="0"/>
              <w:spacing w:line="400" w:lineRule="exact"/>
              <w:ind w:firstLine="0" w:firstLineChars="0"/>
              <w:jc w:val="both"/>
              <w:rPr>
                <w:rFonts w:ascii="宋体" w:hAnsi="宋体" w:eastAsia="宋体"/>
                <w:color w:val="auto"/>
                <w:spacing w:val="2"/>
                <w:sz w:val="24"/>
                <w:szCs w:val="24"/>
              </w:rPr>
            </w:pPr>
          </w:p>
        </w:tc>
        <w:tc>
          <w:tcPr>
            <w:tcW w:w="1733" w:type="dxa"/>
            <w:tcBorders>
              <w:left w:val="single" w:color="000000" w:sz="4" w:space="0"/>
              <w:bottom w:val="single" w:color="000000" w:sz="4" w:space="0"/>
              <w:right w:val="single" w:color="000000" w:sz="4" w:space="0"/>
            </w:tcBorders>
            <w:vAlign w:val="center"/>
          </w:tcPr>
          <w:p>
            <w:pPr>
              <w:snapToGrid w:val="0"/>
              <w:spacing w:line="400" w:lineRule="exact"/>
              <w:ind w:firstLine="0" w:firstLineChars="0"/>
              <w:jc w:val="center"/>
              <w:rPr>
                <w:rFonts w:ascii="宋体" w:hAnsi="宋体" w:eastAsia="宋体"/>
                <w:color w:val="auto"/>
                <w:spacing w:val="2"/>
                <w:sz w:val="24"/>
                <w:szCs w:val="24"/>
              </w:rPr>
            </w:pPr>
            <w:r>
              <w:rPr>
                <w:rFonts w:hint="eastAsia" w:ascii="宋体" w:hAnsi="宋体" w:eastAsia="宋体"/>
                <w:color w:val="auto"/>
                <w:spacing w:val="2"/>
                <w:sz w:val="24"/>
                <w:szCs w:val="24"/>
              </w:rPr>
              <w:t>不存在</w:t>
            </w:r>
          </w:p>
          <w:p>
            <w:pPr>
              <w:snapToGrid w:val="0"/>
              <w:spacing w:line="400" w:lineRule="exact"/>
              <w:ind w:firstLine="0" w:firstLineChars="0"/>
              <w:jc w:val="center"/>
              <w:rPr>
                <w:rFonts w:ascii="宋体" w:hAnsi="宋体" w:eastAsia="宋体"/>
                <w:color w:val="auto"/>
                <w:spacing w:val="2"/>
                <w:sz w:val="24"/>
                <w:szCs w:val="24"/>
              </w:rPr>
            </w:pPr>
            <w:r>
              <w:rPr>
                <w:rFonts w:hint="eastAsia" w:ascii="宋体" w:hAnsi="宋体" w:eastAsia="宋体"/>
                <w:color w:val="auto"/>
                <w:spacing w:val="2"/>
                <w:sz w:val="24"/>
                <w:szCs w:val="24"/>
              </w:rPr>
              <w:t>禁止投标的情形</w:t>
            </w:r>
          </w:p>
        </w:tc>
        <w:tc>
          <w:tcPr>
            <w:tcW w:w="5174" w:type="dxa"/>
            <w:tcBorders>
              <w:left w:val="single" w:color="000000" w:sz="4" w:space="0"/>
              <w:bottom w:val="single" w:color="000000" w:sz="4" w:space="0"/>
              <w:right w:val="single" w:color="000000" w:sz="4" w:space="0"/>
            </w:tcBorders>
          </w:tcPr>
          <w:p>
            <w:pPr>
              <w:snapToGrid w:val="0"/>
              <w:spacing w:line="400" w:lineRule="exact"/>
              <w:ind w:firstLine="488"/>
              <w:jc w:val="both"/>
              <w:rPr>
                <w:rFonts w:ascii="宋体" w:hAnsi="宋体" w:eastAsia="宋体"/>
                <w:color w:val="auto"/>
                <w:spacing w:val="2"/>
                <w:sz w:val="24"/>
                <w:szCs w:val="24"/>
              </w:rPr>
            </w:pPr>
            <w:r>
              <w:rPr>
                <w:rFonts w:hint="eastAsia" w:ascii="宋体" w:hAnsi="宋体" w:eastAsia="宋体"/>
                <w:color w:val="auto"/>
                <w:spacing w:val="2"/>
                <w:sz w:val="24"/>
                <w:szCs w:val="24"/>
              </w:rPr>
              <w:t>不存在第二章“投标人须知”第 1.4.3 项规定的任何一种情形。</w:t>
            </w:r>
          </w:p>
        </w:tc>
      </w:tr>
      <w:tr>
        <w:tblPrEx>
          <w:tblLayout w:type="fixed"/>
          <w:tblCellMar>
            <w:top w:w="0" w:type="dxa"/>
            <w:left w:w="0" w:type="dxa"/>
            <w:bottom w:w="0" w:type="dxa"/>
            <w:right w:w="0" w:type="dxa"/>
          </w:tblCellMar>
        </w:tblPrEx>
        <w:trPr>
          <w:trHeight w:val="610" w:hRule="atLeast"/>
          <w:jc w:val="center"/>
        </w:trPr>
        <w:tc>
          <w:tcPr>
            <w:tcW w:w="776" w:type="dxa"/>
            <w:vMerge w:val="restart"/>
            <w:tcBorders>
              <w:top w:val="single" w:color="auto" w:sz="4" w:space="0"/>
              <w:left w:val="single" w:color="000000" w:sz="4" w:space="0"/>
              <w:right w:val="single" w:color="000000" w:sz="4" w:space="0"/>
            </w:tcBorders>
            <w:vAlign w:val="center"/>
          </w:tcPr>
          <w:p>
            <w:pPr>
              <w:snapToGrid w:val="0"/>
              <w:spacing w:line="400" w:lineRule="exact"/>
              <w:ind w:firstLine="0" w:firstLineChars="0"/>
              <w:jc w:val="center"/>
              <w:rPr>
                <w:rFonts w:ascii="宋体" w:hAnsi="宋体" w:eastAsia="宋体"/>
                <w:color w:val="auto"/>
                <w:spacing w:val="2"/>
                <w:sz w:val="24"/>
                <w:szCs w:val="24"/>
              </w:rPr>
            </w:pPr>
          </w:p>
          <w:p>
            <w:pPr>
              <w:snapToGrid w:val="0"/>
              <w:spacing w:line="400" w:lineRule="exact"/>
              <w:ind w:firstLine="0" w:firstLineChars="0"/>
              <w:jc w:val="center"/>
              <w:rPr>
                <w:rFonts w:ascii="宋体" w:hAnsi="宋体" w:eastAsia="宋体"/>
                <w:color w:val="auto"/>
                <w:spacing w:val="2"/>
                <w:sz w:val="24"/>
                <w:szCs w:val="24"/>
              </w:rPr>
            </w:pPr>
          </w:p>
          <w:p>
            <w:pPr>
              <w:snapToGrid w:val="0"/>
              <w:spacing w:line="400" w:lineRule="exact"/>
              <w:ind w:firstLine="0" w:firstLineChars="0"/>
              <w:jc w:val="center"/>
              <w:rPr>
                <w:rFonts w:ascii="宋体" w:hAnsi="宋体" w:eastAsia="宋体"/>
                <w:color w:val="auto"/>
                <w:spacing w:val="2"/>
                <w:sz w:val="24"/>
                <w:szCs w:val="24"/>
              </w:rPr>
            </w:pPr>
            <w:r>
              <w:rPr>
                <w:rFonts w:hint="eastAsia" w:ascii="宋体" w:hAnsi="宋体" w:eastAsia="宋体"/>
                <w:color w:val="auto"/>
                <w:spacing w:val="2"/>
                <w:sz w:val="24"/>
                <w:szCs w:val="24"/>
              </w:rPr>
              <w:t>2.1.3</w:t>
            </w:r>
          </w:p>
          <w:p>
            <w:pPr>
              <w:snapToGrid w:val="0"/>
              <w:spacing w:line="400" w:lineRule="exact"/>
              <w:ind w:firstLine="0" w:firstLineChars="0"/>
              <w:jc w:val="both"/>
              <w:rPr>
                <w:color w:val="auto"/>
              </w:rPr>
            </w:pPr>
          </w:p>
          <w:p>
            <w:pPr>
              <w:pStyle w:val="33"/>
              <w:ind w:left="2250" w:hanging="1200"/>
              <w:rPr>
                <w:color w:val="auto"/>
              </w:rPr>
            </w:pPr>
          </w:p>
        </w:tc>
        <w:tc>
          <w:tcPr>
            <w:tcW w:w="967" w:type="dxa"/>
            <w:vMerge w:val="restart"/>
            <w:tcBorders>
              <w:top w:val="single" w:color="auto" w:sz="4" w:space="0"/>
              <w:left w:val="single" w:color="000000" w:sz="4" w:space="0"/>
              <w:right w:val="single" w:color="000000" w:sz="4" w:space="0"/>
            </w:tcBorders>
            <w:vAlign w:val="center"/>
          </w:tcPr>
          <w:p>
            <w:pPr>
              <w:snapToGrid w:val="0"/>
              <w:spacing w:line="400" w:lineRule="exact"/>
              <w:ind w:firstLine="0" w:firstLineChars="0"/>
              <w:jc w:val="center"/>
              <w:rPr>
                <w:rFonts w:ascii="宋体" w:hAnsi="宋体" w:eastAsia="宋体"/>
                <w:color w:val="auto"/>
                <w:spacing w:val="2"/>
                <w:sz w:val="24"/>
                <w:szCs w:val="24"/>
              </w:rPr>
            </w:pPr>
          </w:p>
          <w:p>
            <w:pPr>
              <w:snapToGrid w:val="0"/>
              <w:spacing w:line="400" w:lineRule="exact"/>
              <w:ind w:firstLine="0" w:firstLineChars="0"/>
              <w:jc w:val="both"/>
              <w:rPr>
                <w:rFonts w:ascii="宋体" w:hAnsi="宋体" w:eastAsia="宋体"/>
                <w:color w:val="auto"/>
                <w:spacing w:val="2"/>
                <w:sz w:val="24"/>
                <w:szCs w:val="24"/>
              </w:rPr>
            </w:pPr>
          </w:p>
          <w:p>
            <w:pPr>
              <w:snapToGrid w:val="0"/>
              <w:spacing w:line="400" w:lineRule="exact"/>
              <w:ind w:firstLine="0" w:firstLineChars="0"/>
              <w:jc w:val="center"/>
              <w:rPr>
                <w:rFonts w:ascii="宋体" w:hAnsi="宋体" w:eastAsia="宋体"/>
                <w:color w:val="auto"/>
                <w:spacing w:val="2"/>
                <w:sz w:val="24"/>
                <w:szCs w:val="24"/>
              </w:rPr>
            </w:pPr>
            <w:r>
              <w:rPr>
                <w:rFonts w:hint="eastAsia" w:ascii="宋体" w:hAnsi="宋体" w:eastAsia="宋体"/>
                <w:color w:val="auto"/>
                <w:spacing w:val="2"/>
                <w:sz w:val="24"/>
                <w:szCs w:val="24"/>
              </w:rPr>
              <w:t>响应性</w:t>
            </w:r>
          </w:p>
          <w:p>
            <w:pPr>
              <w:snapToGrid w:val="0"/>
              <w:spacing w:line="400" w:lineRule="exact"/>
              <w:ind w:firstLine="0" w:firstLineChars="0"/>
              <w:jc w:val="center"/>
              <w:rPr>
                <w:rFonts w:ascii="宋体" w:hAnsi="宋体" w:eastAsia="宋体"/>
                <w:color w:val="auto"/>
                <w:spacing w:val="2"/>
                <w:sz w:val="24"/>
                <w:szCs w:val="24"/>
              </w:rPr>
            </w:pPr>
          </w:p>
          <w:p>
            <w:pPr>
              <w:snapToGrid w:val="0"/>
              <w:spacing w:line="400" w:lineRule="exact"/>
              <w:ind w:firstLine="0" w:firstLineChars="0"/>
              <w:jc w:val="center"/>
              <w:rPr>
                <w:rFonts w:ascii="宋体" w:hAnsi="宋体" w:eastAsia="宋体"/>
                <w:color w:val="auto"/>
                <w:spacing w:val="2"/>
                <w:sz w:val="24"/>
                <w:szCs w:val="24"/>
              </w:rPr>
            </w:pPr>
          </w:p>
          <w:p>
            <w:pPr>
              <w:snapToGrid w:val="0"/>
              <w:spacing w:line="400" w:lineRule="exact"/>
              <w:ind w:firstLine="0" w:firstLineChars="0"/>
              <w:jc w:val="center"/>
              <w:rPr>
                <w:rFonts w:ascii="宋体" w:hAnsi="宋体" w:eastAsia="宋体"/>
                <w:color w:val="auto"/>
                <w:spacing w:val="2"/>
                <w:sz w:val="24"/>
                <w:szCs w:val="24"/>
              </w:rPr>
            </w:pPr>
          </w:p>
          <w:p>
            <w:pPr>
              <w:snapToGrid w:val="0"/>
              <w:spacing w:line="400" w:lineRule="exact"/>
              <w:ind w:firstLine="0" w:firstLineChars="0"/>
              <w:jc w:val="center"/>
              <w:rPr>
                <w:rFonts w:ascii="宋体" w:hAnsi="宋体" w:eastAsia="宋体"/>
                <w:color w:val="auto"/>
                <w:spacing w:val="2"/>
                <w:sz w:val="24"/>
                <w:szCs w:val="24"/>
              </w:rPr>
            </w:pPr>
          </w:p>
          <w:p>
            <w:pPr>
              <w:snapToGrid w:val="0"/>
              <w:spacing w:line="400" w:lineRule="exact"/>
              <w:ind w:firstLine="0" w:firstLineChars="0"/>
              <w:jc w:val="center"/>
              <w:rPr>
                <w:rFonts w:ascii="宋体" w:hAnsi="宋体" w:eastAsia="宋体"/>
                <w:color w:val="auto"/>
                <w:spacing w:val="2"/>
                <w:sz w:val="24"/>
                <w:szCs w:val="24"/>
              </w:rPr>
            </w:pPr>
            <w:r>
              <w:rPr>
                <w:rFonts w:hint="eastAsia" w:ascii="宋体" w:hAnsi="宋体" w:eastAsia="宋体"/>
                <w:color w:val="auto"/>
                <w:spacing w:val="2"/>
                <w:sz w:val="24"/>
                <w:szCs w:val="24"/>
              </w:rPr>
              <w:t>评审标准</w:t>
            </w:r>
          </w:p>
        </w:tc>
        <w:tc>
          <w:tcPr>
            <w:tcW w:w="1733"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ind w:firstLine="0" w:firstLineChars="0"/>
              <w:jc w:val="center"/>
              <w:rPr>
                <w:rFonts w:ascii="宋体" w:hAnsi="宋体" w:eastAsia="宋体"/>
                <w:color w:val="auto"/>
                <w:spacing w:val="2"/>
                <w:sz w:val="24"/>
                <w:szCs w:val="24"/>
              </w:rPr>
            </w:pPr>
            <w:r>
              <w:rPr>
                <w:rFonts w:hint="eastAsia" w:ascii="宋体" w:hAnsi="宋体" w:eastAsia="宋体"/>
                <w:color w:val="auto"/>
                <w:spacing w:val="2"/>
                <w:sz w:val="24"/>
                <w:szCs w:val="24"/>
              </w:rPr>
              <w:t>投标报价</w:t>
            </w:r>
          </w:p>
        </w:tc>
        <w:tc>
          <w:tcPr>
            <w:tcW w:w="5174"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ind w:firstLine="0" w:firstLineChars="0"/>
              <w:jc w:val="center"/>
              <w:rPr>
                <w:rFonts w:ascii="宋体" w:hAnsi="宋体" w:eastAsia="宋体"/>
                <w:color w:val="auto"/>
                <w:spacing w:val="2"/>
                <w:sz w:val="24"/>
                <w:szCs w:val="24"/>
              </w:rPr>
            </w:pPr>
            <w:r>
              <w:rPr>
                <w:rFonts w:hint="eastAsia" w:ascii="宋体" w:hAnsi="宋体" w:eastAsia="宋体"/>
                <w:color w:val="auto"/>
                <w:spacing w:val="2"/>
                <w:sz w:val="24"/>
                <w:szCs w:val="24"/>
              </w:rPr>
              <w:t>符合第二章“投标人须知”第 3.2 款规定</w:t>
            </w:r>
          </w:p>
        </w:tc>
      </w:tr>
      <w:tr>
        <w:tblPrEx>
          <w:tblLayout w:type="fixed"/>
          <w:tblCellMar>
            <w:top w:w="0" w:type="dxa"/>
            <w:left w:w="0" w:type="dxa"/>
            <w:bottom w:w="0" w:type="dxa"/>
            <w:right w:w="0" w:type="dxa"/>
          </w:tblCellMar>
        </w:tblPrEx>
        <w:trPr>
          <w:trHeight w:val="610" w:hRule="atLeast"/>
          <w:jc w:val="center"/>
        </w:trPr>
        <w:tc>
          <w:tcPr>
            <w:tcW w:w="776" w:type="dxa"/>
            <w:vMerge w:val="continue"/>
            <w:tcBorders>
              <w:left w:val="single" w:color="000000" w:sz="4" w:space="0"/>
              <w:right w:val="single" w:color="000000" w:sz="4" w:space="0"/>
            </w:tcBorders>
          </w:tcPr>
          <w:p>
            <w:pPr>
              <w:pStyle w:val="33"/>
              <w:ind w:left="2250" w:hanging="1200"/>
              <w:rPr>
                <w:color w:val="auto"/>
              </w:rPr>
            </w:pPr>
          </w:p>
        </w:tc>
        <w:tc>
          <w:tcPr>
            <w:tcW w:w="967" w:type="dxa"/>
            <w:vMerge w:val="continue"/>
            <w:tcBorders>
              <w:left w:val="single" w:color="000000" w:sz="4" w:space="0"/>
              <w:right w:val="single" w:color="000000" w:sz="4" w:space="0"/>
            </w:tcBorders>
          </w:tcPr>
          <w:p>
            <w:pPr>
              <w:snapToGrid w:val="0"/>
              <w:spacing w:line="400" w:lineRule="exact"/>
              <w:ind w:firstLine="0" w:firstLineChars="0"/>
              <w:jc w:val="both"/>
              <w:rPr>
                <w:rFonts w:ascii="宋体" w:hAnsi="宋体" w:eastAsia="宋体"/>
                <w:color w:val="auto"/>
                <w:spacing w:val="2"/>
                <w:sz w:val="24"/>
                <w:szCs w:val="24"/>
              </w:rPr>
            </w:pPr>
          </w:p>
        </w:tc>
        <w:tc>
          <w:tcPr>
            <w:tcW w:w="1733"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ind w:firstLine="0" w:firstLineChars="0"/>
              <w:jc w:val="center"/>
              <w:rPr>
                <w:rFonts w:ascii="宋体" w:hAnsi="宋体" w:eastAsia="宋体"/>
                <w:color w:val="auto"/>
                <w:spacing w:val="2"/>
                <w:sz w:val="24"/>
                <w:szCs w:val="24"/>
              </w:rPr>
            </w:pPr>
            <w:r>
              <w:rPr>
                <w:rFonts w:hint="eastAsia" w:ascii="宋体" w:hAnsi="宋体" w:eastAsia="宋体"/>
                <w:color w:val="auto"/>
                <w:spacing w:val="2"/>
                <w:sz w:val="24"/>
                <w:szCs w:val="24"/>
              </w:rPr>
              <w:t>投标内容</w:t>
            </w:r>
          </w:p>
        </w:tc>
        <w:tc>
          <w:tcPr>
            <w:tcW w:w="5174"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ind w:firstLine="0" w:firstLineChars="0"/>
              <w:jc w:val="center"/>
              <w:rPr>
                <w:rFonts w:ascii="宋体" w:hAnsi="宋体" w:eastAsia="宋体"/>
                <w:color w:val="auto"/>
                <w:spacing w:val="2"/>
                <w:sz w:val="24"/>
                <w:szCs w:val="24"/>
              </w:rPr>
            </w:pPr>
            <w:r>
              <w:rPr>
                <w:rFonts w:hint="eastAsia" w:ascii="宋体" w:hAnsi="宋体" w:eastAsia="宋体"/>
                <w:color w:val="auto"/>
                <w:spacing w:val="2"/>
                <w:sz w:val="24"/>
                <w:szCs w:val="24"/>
              </w:rPr>
              <w:t>符合第二章“投标人须知”第 1.3.1 项规定</w:t>
            </w:r>
          </w:p>
        </w:tc>
      </w:tr>
      <w:tr>
        <w:tblPrEx>
          <w:tblLayout w:type="fixed"/>
          <w:tblCellMar>
            <w:top w:w="0" w:type="dxa"/>
            <w:left w:w="0" w:type="dxa"/>
            <w:bottom w:w="0" w:type="dxa"/>
            <w:right w:w="0" w:type="dxa"/>
          </w:tblCellMar>
        </w:tblPrEx>
        <w:trPr>
          <w:trHeight w:val="595" w:hRule="atLeast"/>
          <w:jc w:val="center"/>
        </w:trPr>
        <w:tc>
          <w:tcPr>
            <w:tcW w:w="776" w:type="dxa"/>
            <w:vMerge w:val="continue"/>
            <w:tcBorders>
              <w:left w:val="single" w:color="000000" w:sz="4" w:space="0"/>
              <w:bottom w:val="single" w:color="auto" w:sz="4" w:space="0"/>
              <w:right w:val="single" w:color="000000" w:sz="4" w:space="0"/>
            </w:tcBorders>
          </w:tcPr>
          <w:p>
            <w:pPr>
              <w:pStyle w:val="33"/>
              <w:ind w:left="2250" w:hanging="1200"/>
              <w:rPr>
                <w:color w:val="auto"/>
              </w:rPr>
            </w:pPr>
          </w:p>
        </w:tc>
        <w:tc>
          <w:tcPr>
            <w:tcW w:w="967" w:type="dxa"/>
            <w:vMerge w:val="continue"/>
            <w:tcBorders>
              <w:left w:val="single" w:color="000000" w:sz="4" w:space="0"/>
              <w:bottom w:val="single" w:color="auto" w:sz="4" w:space="0"/>
              <w:right w:val="single" w:color="000000" w:sz="4" w:space="0"/>
            </w:tcBorders>
          </w:tcPr>
          <w:p>
            <w:pPr>
              <w:snapToGrid w:val="0"/>
              <w:spacing w:line="400" w:lineRule="exact"/>
              <w:ind w:firstLine="0" w:firstLineChars="0"/>
              <w:jc w:val="both"/>
              <w:rPr>
                <w:rFonts w:ascii="宋体" w:hAnsi="宋体" w:eastAsia="宋体"/>
                <w:color w:val="auto"/>
                <w:spacing w:val="2"/>
                <w:sz w:val="24"/>
                <w:szCs w:val="24"/>
              </w:rPr>
            </w:pPr>
          </w:p>
        </w:tc>
        <w:tc>
          <w:tcPr>
            <w:tcW w:w="1733"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ind w:firstLine="0" w:firstLineChars="0"/>
              <w:jc w:val="center"/>
              <w:rPr>
                <w:rFonts w:ascii="宋体" w:hAnsi="宋体" w:eastAsia="宋体"/>
                <w:color w:val="auto"/>
                <w:spacing w:val="2"/>
                <w:sz w:val="24"/>
                <w:szCs w:val="24"/>
              </w:rPr>
            </w:pPr>
            <w:r>
              <w:rPr>
                <w:rFonts w:hint="eastAsia" w:ascii="宋体" w:hAnsi="宋体"/>
                <w:color w:val="auto"/>
                <w:spacing w:val="2"/>
                <w:sz w:val="24"/>
                <w:szCs w:val="24"/>
                <w:lang w:eastAsia="zh-CN"/>
              </w:rPr>
              <w:t>勘察</w:t>
            </w:r>
            <w:r>
              <w:rPr>
                <w:rFonts w:hint="eastAsia" w:ascii="宋体" w:hAnsi="宋体" w:eastAsia="宋体"/>
                <w:color w:val="auto"/>
                <w:spacing w:val="2"/>
                <w:sz w:val="24"/>
                <w:szCs w:val="24"/>
              </w:rPr>
              <w:t>服务期限</w:t>
            </w:r>
          </w:p>
        </w:tc>
        <w:tc>
          <w:tcPr>
            <w:tcW w:w="5174"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ind w:firstLine="0" w:firstLineChars="0"/>
              <w:jc w:val="center"/>
              <w:rPr>
                <w:rFonts w:ascii="宋体" w:hAnsi="宋体" w:eastAsia="宋体"/>
                <w:color w:val="auto"/>
                <w:spacing w:val="2"/>
                <w:sz w:val="24"/>
                <w:szCs w:val="24"/>
              </w:rPr>
            </w:pPr>
            <w:r>
              <w:rPr>
                <w:rFonts w:hint="eastAsia" w:ascii="宋体" w:hAnsi="宋体"/>
                <w:color w:val="auto"/>
                <w:spacing w:val="2"/>
                <w:sz w:val="24"/>
                <w:szCs w:val="24"/>
                <w:lang w:val="en-US" w:eastAsia="zh-CN"/>
              </w:rPr>
              <w:t>15日历天</w:t>
            </w:r>
          </w:p>
        </w:tc>
      </w:tr>
      <w:tr>
        <w:tblPrEx>
          <w:tblLayout w:type="fixed"/>
          <w:tblCellMar>
            <w:top w:w="0" w:type="dxa"/>
            <w:left w:w="0" w:type="dxa"/>
            <w:bottom w:w="0" w:type="dxa"/>
            <w:right w:w="0" w:type="dxa"/>
          </w:tblCellMar>
        </w:tblPrEx>
        <w:trPr>
          <w:trHeight w:val="610" w:hRule="atLeast"/>
          <w:jc w:val="center"/>
        </w:trPr>
        <w:tc>
          <w:tcPr>
            <w:tcW w:w="776" w:type="dxa"/>
            <w:vMerge w:val="continue"/>
            <w:tcBorders>
              <w:top w:val="single" w:color="auto" w:sz="4" w:space="0"/>
              <w:left w:val="single" w:color="000000" w:sz="4" w:space="0"/>
              <w:bottom w:val="single" w:color="auto" w:sz="4" w:space="0"/>
              <w:right w:val="single" w:color="000000" w:sz="4" w:space="0"/>
            </w:tcBorders>
          </w:tcPr>
          <w:p>
            <w:pPr>
              <w:pStyle w:val="33"/>
              <w:ind w:left="2250" w:hanging="1200"/>
              <w:rPr>
                <w:color w:val="auto"/>
              </w:rPr>
            </w:pPr>
          </w:p>
        </w:tc>
        <w:tc>
          <w:tcPr>
            <w:tcW w:w="967" w:type="dxa"/>
            <w:vMerge w:val="continue"/>
            <w:tcBorders>
              <w:top w:val="single" w:color="auto" w:sz="4" w:space="0"/>
              <w:left w:val="single" w:color="000000" w:sz="4" w:space="0"/>
              <w:bottom w:val="single" w:color="auto" w:sz="4" w:space="0"/>
              <w:right w:val="single" w:color="000000" w:sz="4" w:space="0"/>
            </w:tcBorders>
          </w:tcPr>
          <w:p>
            <w:pPr>
              <w:snapToGrid w:val="0"/>
              <w:spacing w:line="400" w:lineRule="exact"/>
              <w:ind w:firstLine="0" w:firstLineChars="0"/>
              <w:jc w:val="both"/>
              <w:rPr>
                <w:rFonts w:ascii="宋体" w:hAnsi="宋体" w:eastAsia="宋体"/>
                <w:color w:val="auto"/>
                <w:spacing w:val="2"/>
                <w:sz w:val="24"/>
                <w:szCs w:val="24"/>
              </w:rPr>
            </w:pPr>
          </w:p>
        </w:tc>
        <w:tc>
          <w:tcPr>
            <w:tcW w:w="1733"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ind w:firstLine="0" w:firstLineChars="0"/>
              <w:jc w:val="center"/>
              <w:rPr>
                <w:rFonts w:ascii="宋体" w:hAnsi="宋体" w:eastAsia="宋体"/>
                <w:color w:val="auto"/>
                <w:spacing w:val="2"/>
                <w:sz w:val="24"/>
                <w:szCs w:val="24"/>
              </w:rPr>
            </w:pPr>
            <w:r>
              <w:rPr>
                <w:rFonts w:hint="eastAsia" w:ascii="宋体" w:hAnsi="宋体" w:eastAsia="宋体"/>
                <w:color w:val="auto"/>
                <w:spacing w:val="2"/>
                <w:sz w:val="24"/>
                <w:szCs w:val="24"/>
              </w:rPr>
              <w:t>质量标准</w:t>
            </w:r>
          </w:p>
        </w:tc>
        <w:tc>
          <w:tcPr>
            <w:tcW w:w="5174"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ind w:firstLine="0" w:firstLineChars="0"/>
              <w:jc w:val="center"/>
              <w:rPr>
                <w:rFonts w:ascii="宋体" w:hAnsi="宋体" w:eastAsia="宋体"/>
                <w:color w:val="auto"/>
                <w:spacing w:val="2"/>
                <w:sz w:val="24"/>
                <w:szCs w:val="24"/>
              </w:rPr>
            </w:pPr>
            <w:r>
              <w:rPr>
                <w:rFonts w:hint="eastAsia" w:ascii="宋体" w:hAnsi="宋体" w:eastAsia="宋体"/>
                <w:color w:val="auto"/>
                <w:spacing w:val="2"/>
                <w:sz w:val="24"/>
                <w:szCs w:val="24"/>
              </w:rPr>
              <w:t>符合国家现行规范、规程、规定、标准的要求(合格)</w:t>
            </w:r>
          </w:p>
        </w:tc>
      </w:tr>
      <w:tr>
        <w:tblPrEx>
          <w:tblLayout w:type="fixed"/>
          <w:tblCellMar>
            <w:top w:w="0" w:type="dxa"/>
            <w:left w:w="0" w:type="dxa"/>
            <w:bottom w:w="0" w:type="dxa"/>
            <w:right w:w="0" w:type="dxa"/>
          </w:tblCellMar>
        </w:tblPrEx>
        <w:trPr>
          <w:trHeight w:val="610" w:hRule="atLeast"/>
          <w:jc w:val="center"/>
        </w:trPr>
        <w:tc>
          <w:tcPr>
            <w:tcW w:w="776" w:type="dxa"/>
            <w:vMerge w:val="continue"/>
            <w:tcBorders>
              <w:top w:val="single" w:color="auto" w:sz="4" w:space="0"/>
              <w:left w:val="single" w:color="000000" w:sz="4" w:space="0"/>
              <w:bottom w:val="single" w:color="auto" w:sz="4" w:space="0"/>
              <w:right w:val="single" w:color="000000" w:sz="4" w:space="0"/>
            </w:tcBorders>
          </w:tcPr>
          <w:p>
            <w:pPr>
              <w:snapToGrid w:val="0"/>
              <w:spacing w:line="400" w:lineRule="exact"/>
              <w:ind w:firstLine="0" w:firstLineChars="0"/>
              <w:jc w:val="both"/>
              <w:rPr>
                <w:rFonts w:ascii="宋体" w:hAnsi="宋体" w:eastAsia="宋体"/>
                <w:color w:val="auto"/>
                <w:spacing w:val="2"/>
                <w:sz w:val="24"/>
                <w:szCs w:val="24"/>
              </w:rPr>
            </w:pPr>
          </w:p>
        </w:tc>
        <w:tc>
          <w:tcPr>
            <w:tcW w:w="967" w:type="dxa"/>
            <w:vMerge w:val="continue"/>
            <w:tcBorders>
              <w:top w:val="single" w:color="auto" w:sz="4" w:space="0"/>
              <w:left w:val="single" w:color="000000" w:sz="4" w:space="0"/>
              <w:bottom w:val="single" w:color="auto" w:sz="4" w:space="0"/>
              <w:right w:val="single" w:color="000000" w:sz="4" w:space="0"/>
            </w:tcBorders>
          </w:tcPr>
          <w:p>
            <w:pPr>
              <w:snapToGrid w:val="0"/>
              <w:spacing w:line="400" w:lineRule="exact"/>
              <w:ind w:firstLine="0" w:firstLineChars="0"/>
              <w:jc w:val="both"/>
              <w:rPr>
                <w:rFonts w:ascii="宋体" w:hAnsi="宋体" w:eastAsia="宋体"/>
                <w:color w:val="auto"/>
                <w:spacing w:val="2"/>
                <w:sz w:val="24"/>
                <w:szCs w:val="24"/>
              </w:rPr>
            </w:pPr>
          </w:p>
        </w:tc>
        <w:tc>
          <w:tcPr>
            <w:tcW w:w="1733"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ind w:firstLine="0" w:firstLineChars="0"/>
              <w:jc w:val="center"/>
              <w:rPr>
                <w:rFonts w:ascii="宋体" w:hAnsi="宋体" w:eastAsia="宋体"/>
                <w:color w:val="auto"/>
                <w:spacing w:val="2"/>
                <w:sz w:val="24"/>
                <w:szCs w:val="24"/>
              </w:rPr>
            </w:pPr>
            <w:r>
              <w:rPr>
                <w:rFonts w:hint="eastAsia" w:ascii="宋体" w:hAnsi="宋体" w:eastAsia="宋体"/>
                <w:color w:val="auto"/>
                <w:spacing w:val="2"/>
                <w:sz w:val="24"/>
                <w:szCs w:val="24"/>
              </w:rPr>
              <w:t>投标有效期</w:t>
            </w:r>
          </w:p>
        </w:tc>
        <w:tc>
          <w:tcPr>
            <w:tcW w:w="5174"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ind w:firstLine="480"/>
              <w:jc w:val="both"/>
              <w:rPr>
                <w:rFonts w:ascii="宋体" w:hAnsi="宋体" w:eastAsia="宋体"/>
                <w:color w:val="auto"/>
                <w:spacing w:val="2"/>
                <w:sz w:val="24"/>
                <w:szCs w:val="24"/>
              </w:rPr>
            </w:pPr>
            <w:r>
              <w:rPr>
                <w:rFonts w:hint="eastAsia" w:ascii="宋体" w:hAnsi="宋体" w:eastAsia="宋体" w:cs="宋体"/>
                <w:color w:val="auto"/>
                <w:sz w:val="24"/>
                <w:szCs w:val="24"/>
              </w:rPr>
              <w:t>在投标文件递交截止时间结束后60天内。</w:t>
            </w:r>
          </w:p>
        </w:tc>
      </w:tr>
      <w:tr>
        <w:tblPrEx>
          <w:tblLayout w:type="fixed"/>
          <w:tblCellMar>
            <w:top w:w="0" w:type="dxa"/>
            <w:left w:w="0" w:type="dxa"/>
            <w:bottom w:w="0" w:type="dxa"/>
            <w:right w:w="0" w:type="dxa"/>
          </w:tblCellMar>
        </w:tblPrEx>
        <w:trPr>
          <w:trHeight w:val="557" w:hRule="atLeast"/>
          <w:jc w:val="center"/>
        </w:trPr>
        <w:tc>
          <w:tcPr>
            <w:tcW w:w="776" w:type="dxa"/>
            <w:vMerge w:val="continue"/>
            <w:tcBorders>
              <w:top w:val="single" w:color="auto" w:sz="4" w:space="0"/>
              <w:left w:val="single" w:color="000000" w:sz="4" w:space="0"/>
              <w:bottom w:val="single" w:color="auto" w:sz="4" w:space="0"/>
              <w:right w:val="single" w:color="000000" w:sz="4" w:space="0"/>
            </w:tcBorders>
          </w:tcPr>
          <w:p>
            <w:pPr>
              <w:snapToGrid w:val="0"/>
              <w:spacing w:line="400" w:lineRule="exact"/>
              <w:ind w:firstLine="0" w:firstLineChars="0"/>
              <w:jc w:val="both"/>
              <w:rPr>
                <w:rFonts w:ascii="宋体" w:hAnsi="宋体" w:eastAsia="宋体"/>
                <w:color w:val="auto"/>
                <w:spacing w:val="2"/>
                <w:sz w:val="24"/>
                <w:szCs w:val="24"/>
              </w:rPr>
            </w:pPr>
          </w:p>
        </w:tc>
        <w:tc>
          <w:tcPr>
            <w:tcW w:w="967" w:type="dxa"/>
            <w:vMerge w:val="continue"/>
            <w:tcBorders>
              <w:top w:val="single" w:color="auto" w:sz="4" w:space="0"/>
              <w:left w:val="single" w:color="000000" w:sz="4" w:space="0"/>
              <w:bottom w:val="single" w:color="auto" w:sz="4" w:space="0"/>
              <w:right w:val="single" w:color="000000" w:sz="4" w:space="0"/>
            </w:tcBorders>
          </w:tcPr>
          <w:p>
            <w:pPr>
              <w:snapToGrid w:val="0"/>
              <w:spacing w:line="400" w:lineRule="exact"/>
              <w:ind w:firstLine="0" w:firstLineChars="0"/>
              <w:jc w:val="both"/>
              <w:rPr>
                <w:rFonts w:ascii="宋体" w:hAnsi="宋体" w:eastAsia="宋体"/>
                <w:color w:val="auto"/>
                <w:spacing w:val="2"/>
                <w:sz w:val="24"/>
                <w:szCs w:val="24"/>
              </w:rPr>
            </w:pPr>
          </w:p>
        </w:tc>
        <w:tc>
          <w:tcPr>
            <w:tcW w:w="1733"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ind w:firstLine="0" w:firstLineChars="0"/>
              <w:jc w:val="center"/>
              <w:rPr>
                <w:rFonts w:ascii="宋体" w:hAnsi="宋体" w:eastAsia="宋体"/>
                <w:color w:val="auto"/>
                <w:spacing w:val="2"/>
                <w:sz w:val="24"/>
                <w:szCs w:val="24"/>
              </w:rPr>
            </w:pPr>
            <w:r>
              <w:rPr>
                <w:rFonts w:hint="eastAsia" w:ascii="宋体" w:hAnsi="宋体" w:eastAsia="宋体"/>
                <w:color w:val="auto"/>
                <w:spacing w:val="2"/>
                <w:sz w:val="24"/>
                <w:szCs w:val="24"/>
              </w:rPr>
              <w:t>投标保证金</w:t>
            </w:r>
          </w:p>
        </w:tc>
        <w:tc>
          <w:tcPr>
            <w:tcW w:w="5174"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ind w:firstLine="0" w:firstLineChars="0"/>
              <w:jc w:val="center"/>
              <w:rPr>
                <w:rFonts w:ascii="宋体" w:hAnsi="宋体" w:eastAsia="宋体"/>
                <w:color w:val="auto"/>
                <w:spacing w:val="2"/>
                <w:sz w:val="24"/>
                <w:szCs w:val="24"/>
              </w:rPr>
            </w:pPr>
            <w:r>
              <w:rPr>
                <w:rFonts w:hint="eastAsia" w:ascii="宋体" w:hAnsi="宋体" w:eastAsia="宋体"/>
                <w:color w:val="auto"/>
                <w:spacing w:val="2"/>
                <w:sz w:val="24"/>
                <w:szCs w:val="24"/>
              </w:rPr>
              <w:t>符合第二章“投标人须知”第 3.4.1 项规定</w:t>
            </w:r>
          </w:p>
        </w:tc>
      </w:tr>
      <w:tr>
        <w:tblPrEx>
          <w:tblLayout w:type="fixed"/>
          <w:tblCellMar>
            <w:top w:w="0" w:type="dxa"/>
            <w:left w:w="0" w:type="dxa"/>
            <w:bottom w:w="0" w:type="dxa"/>
            <w:right w:w="0" w:type="dxa"/>
          </w:tblCellMar>
        </w:tblPrEx>
        <w:trPr>
          <w:trHeight w:val="610" w:hRule="atLeast"/>
          <w:jc w:val="center"/>
        </w:trPr>
        <w:tc>
          <w:tcPr>
            <w:tcW w:w="776" w:type="dxa"/>
            <w:vMerge w:val="continue"/>
            <w:tcBorders>
              <w:top w:val="single" w:color="auto" w:sz="4" w:space="0"/>
              <w:left w:val="single" w:color="000000" w:sz="4" w:space="0"/>
              <w:bottom w:val="single" w:color="auto" w:sz="4" w:space="0"/>
              <w:right w:val="single" w:color="000000" w:sz="4" w:space="0"/>
            </w:tcBorders>
          </w:tcPr>
          <w:p>
            <w:pPr>
              <w:snapToGrid w:val="0"/>
              <w:spacing w:line="400" w:lineRule="exact"/>
              <w:ind w:firstLine="0" w:firstLineChars="0"/>
              <w:jc w:val="both"/>
              <w:rPr>
                <w:rFonts w:ascii="宋体" w:hAnsi="宋体" w:eastAsia="宋体"/>
                <w:color w:val="auto"/>
                <w:spacing w:val="2"/>
                <w:sz w:val="24"/>
                <w:szCs w:val="24"/>
              </w:rPr>
            </w:pPr>
          </w:p>
        </w:tc>
        <w:tc>
          <w:tcPr>
            <w:tcW w:w="967" w:type="dxa"/>
            <w:vMerge w:val="continue"/>
            <w:tcBorders>
              <w:top w:val="single" w:color="auto" w:sz="4" w:space="0"/>
              <w:left w:val="single" w:color="000000" w:sz="4" w:space="0"/>
              <w:bottom w:val="single" w:color="auto" w:sz="4" w:space="0"/>
              <w:right w:val="single" w:color="000000" w:sz="4" w:space="0"/>
            </w:tcBorders>
          </w:tcPr>
          <w:p>
            <w:pPr>
              <w:snapToGrid w:val="0"/>
              <w:spacing w:line="400" w:lineRule="exact"/>
              <w:ind w:firstLine="0" w:firstLineChars="0"/>
              <w:jc w:val="both"/>
              <w:rPr>
                <w:rFonts w:ascii="宋体" w:hAnsi="宋体" w:eastAsia="宋体"/>
                <w:color w:val="auto"/>
                <w:spacing w:val="2"/>
                <w:sz w:val="24"/>
                <w:szCs w:val="24"/>
              </w:rPr>
            </w:pPr>
          </w:p>
        </w:tc>
        <w:tc>
          <w:tcPr>
            <w:tcW w:w="1733"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exact"/>
              <w:ind w:firstLine="0" w:firstLineChars="0"/>
              <w:jc w:val="center"/>
              <w:rPr>
                <w:rFonts w:ascii="宋体" w:hAnsi="宋体" w:eastAsia="宋体"/>
                <w:color w:val="auto"/>
                <w:spacing w:val="2"/>
                <w:sz w:val="24"/>
                <w:szCs w:val="24"/>
              </w:rPr>
            </w:pPr>
            <w:r>
              <w:rPr>
                <w:rFonts w:hint="eastAsia" w:ascii="宋体" w:hAnsi="宋体" w:eastAsia="宋体"/>
                <w:color w:val="auto"/>
                <w:spacing w:val="2"/>
                <w:sz w:val="24"/>
                <w:szCs w:val="24"/>
              </w:rPr>
              <w:t>权利义务</w:t>
            </w:r>
          </w:p>
        </w:tc>
        <w:tc>
          <w:tcPr>
            <w:tcW w:w="5174"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exact"/>
              <w:ind w:firstLine="488"/>
              <w:jc w:val="both"/>
              <w:rPr>
                <w:rFonts w:ascii="宋体" w:hAnsi="宋体" w:eastAsia="宋体"/>
                <w:color w:val="auto"/>
                <w:spacing w:val="2"/>
                <w:sz w:val="24"/>
                <w:szCs w:val="24"/>
              </w:rPr>
            </w:pPr>
            <w:r>
              <w:rPr>
                <w:rFonts w:hint="eastAsia" w:ascii="宋体" w:hAnsi="宋体" w:eastAsia="宋体"/>
                <w:color w:val="auto"/>
                <w:spacing w:val="2"/>
                <w:sz w:val="24"/>
                <w:szCs w:val="24"/>
              </w:rPr>
              <w:t>符合第二章“投标人须知”第 1.12.1 项规定和第四章“合同条款及格式”中的实质性要求和条件。</w:t>
            </w:r>
          </w:p>
        </w:tc>
      </w:tr>
      <w:tr>
        <w:tblPrEx>
          <w:tblLayout w:type="fixed"/>
          <w:tblCellMar>
            <w:top w:w="0" w:type="dxa"/>
            <w:left w:w="0" w:type="dxa"/>
            <w:bottom w:w="0" w:type="dxa"/>
            <w:right w:w="0" w:type="dxa"/>
          </w:tblCellMar>
        </w:tblPrEx>
        <w:trPr>
          <w:trHeight w:val="570" w:hRule="atLeast"/>
          <w:jc w:val="center"/>
        </w:trPr>
        <w:tc>
          <w:tcPr>
            <w:tcW w:w="776" w:type="dxa"/>
            <w:vMerge w:val="continue"/>
            <w:tcBorders>
              <w:top w:val="single" w:color="auto" w:sz="4" w:space="0"/>
              <w:left w:val="single" w:color="000000" w:sz="4" w:space="0"/>
              <w:bottom w:val="single" w:color="auto" w:sz="4" w:space="0"/>
              <w:right w:val="single" w:color="000000" w:sz="4" w:space="0"/>
            </w:tcBorders>
          </w:tcPr>
          <w:p>
            <w:pPr>
              <w:snapToGrid w:val="0"/>
              <w:spacing w:line="400" w:lineRule="exact"/>
              <w:ind w:firstLine="0" w:firstLineChars="0"/>
              <w:jc w:val="both"/>
              <w:rPr>
                <w:rFonts w:ascii="宋体" w:hAnsi="宋体" w:eastAsia="宋体"/>
                <w:color w:val="auto"/>
                <w:spacing w:val="2"/>
                <w:sz w:val="24"/>
                <w:szCs w:val="24"/>
              </w:rPr>
            </w:pPr>
          </w:p>
        </w:tc>
        <w:tc>
          <w:tcPr>
            <w:tcW w:w="967" w:type="dxa"/>
            <w:vMerge w:val="continue"/>
            <w:tcBorders>
              <w:top w:val="single" w:color="auto" w:sz="4" w:space="0"/>
              <w:left w:val="single" w:color="000000" w:sz="4" w:space="0"/>
              <w:bottom w:val="single" w:color="auto" w:sz="4" w:space="0"/>
              <w:right w:val="single" w:color="000000" w:sz="4" w:space="0"/>
            </w:tcBorders>
          </w:tcPr>
          <w:p>
            <w:pPr>
              <w:snapToGrid w:val="0"/>
              <w:spacing w:line="400" w:lineRule="exact"/>
              <w:ind w:firstLine="0" w:firstLineChars="0"/>
              <w:jc w:val="both"/>
              <w:rPr>
                <w:rFonts w:ascii="宋体" w:hAnsi="宋体" w:eastAsia="宋体"/>
                <w:color w:val="auto"/>
                <w:spacing w:val="2"/>
                <w:sz w:val="24"/>
                <w:szCs w:val="24"/>
              </w:rPr>
            </w:pP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360" w:lineRule="exact"/>
              <w:ind w:firstLine="0" w:firstLineChars="0"/>
              <w:jc w:val="center"/>
              <w:rPr>
                <w:rFonts w:ascii="宋体" w:hAnsi="宋体" w:eastAsia="宋体"/>
                <w:color w:val="auto"/>
                <w:spacing w:val="2"/>
                <w:sz w:val="24"/>
                <w:szCs w:val="24"/>
              </w:rPr>
            </w:pPr>
            <w:r>
              <w:rPr>
                <w:rFonts w:hint="eastAsia" w:ascii="宋体" w:hAnsi="宋体"/>
                <w:color w:val="auto"/>
                <w:spacing w:val="2"/>
                <w:sz w:val="24"/>
                <w:szCs w:val="24"/>
                <w:lang w:eastAsia="zh-CN"/>
              </w:rPr>
              <w:t>勘察纲要</w:t>
            </w:r>
          </w:p>
        </w:tc>
        <w:tc>
          <w:tcPr>
            <w:tcW w:w="517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360" w:lineRule="exact"/>
              <w:ind w:firstLine="0" w:firstLineChars="0"/>
              <w:jc w:val="center"/>
              <w:rPr>
                <w:rFonts w:ascii="宋体" w:hAnsi="宋体" w:eastAsia="宋体"/>
                <w:color w:val="auto"/>
                <w:spacing w:val="2"/>
                <w:sz w:val="24"/>
                <w:szCs w:val="24"/>
              </w:rPr>
            </w:pPr>
            <w:r>
              <w:rPr>
                <w:rFonts w:hint="eastAsia" w:ascii="宋体" w:hAnsi="宋体" w:eastAsia="宋体"/>
                <w:color w:val="auto"/>
                <w:spacing w:val="2"/>
                <w:sz w:val="24"/>
                <w:szCs w:val="24"/>
              </w:rPr>
              <w:t>符合第五章“发包人要求”中的实质性要求和条件。</w:t>
            </w:r>
          </w:p>
        </w:tc>
      </w:tr>
      <w:tr>
        <w:tblPrEx>
          <w:tblLayout w:type="fixed"/>
          <w:tblCellMar>
            <w:top w:w="0" w:type="dxa"/>
            <w:left w:w="0" w:type="dxa"/>
            <w:bottom w:w="0" w:type="dxa"/>
            <w:right w:w="0" w:type="dxa"/>
          </w:tblCellMar>
        </w:tblPrEx>
        <w:trPr>
          <w:trHeight w:val="572" w:hRule="atLeast"/>
          <w:jc w:val="center"/>
        </w:trPr>
        <w:tc>
          <w:tcPr>
            <w:tcW w:w="1743" w:type="dxa"/>
            <w:gridSpan w:val="2"/>
            <w:tcBorders>
              <w:top w:val="single" w:color="auto" w:sz="4" w:space="0"/>
              <w:left w:val="single" w:color="000000" w:sz="4" w:space="0"/>
              <w:bottom w:val="single" w:color="auto" w:sz="4" w:space="0"/>
              <w:right w:val="single" w:color="000000" w:sz="4" w:space="0"/>
            </w:tcBorders>
            <w:vAlign w:val="center"/>
          </w:tcPr>
          <w:p>
            <w:pPr>
              <w:snapToGrid w:val="0"/>
              <w:spacing w:line="400" w:lineRule="exact"/>
              <w:ind w:firstLine="0" w:firstLineChars="0"/>
              <w:jc w:val="center"/>
              <w:rPr>
                <w:rFonts w:ascii="宋体" w:hAnsi="宋体" w:eastAsia="宋体"/>
                <w:color w:val="auto"/>
                <w:spacing w:val="2"/>
                <w:sz w:val="24"/>
                <w:szCs w:val="24"/>
              </w:rPr>
            </w:pPr>
            <w:r>
              <w:rPr>
                <w:rFonts w:hint="eastAsia" w:ascii="宋体" w:hAnsi="宋体" w:eastAsia="宋体"/>
                <w:color w:val="auto"/>
                <w:spacing w:val="2"/>
                <w:sz w:val="24"/>
                <w:szCs w:val="24"/>
              </w:rPr>
              <w:t>条款号</w:t>
            </w:r>
          </w:p>
        </w:tc>
        <w:tc>
          <w:tcPr>
            <w:tcW w:w="1733"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ind w:firstLine="0" w:firstLineChars="0"/>
              <w:jc w:val="center"/>
              <w:rPr>
                <w:rFonts w:ascii="宋体" w:hAnsi="宋体" w:eastAsia="宋体"/>
                <w:color w:val="auto"/>
                <w:spacing w:val="2"/>
                <w:sz w:val="24"/>
                <w:szCs w:val="24"/>
              </w:rPr>
            </w:pPr>
            <w:r>
              <w:rPr>
                <w:rFonts w:hint="eastAsia" w:ascii="宋体" w:hAnsi="宋体" w:eastAsia="宋体"/>
                <w:color w:val="auto"/>
                <w:spacing w:val="2"/>
                <w:sz w:val="24"/>
                <w:szCs w:val="24"/>
              </w:rPr>
              <w:t>评分因素</w:t>
            </w:r>
          </w:p>
        </w:tc>
        <w:tc>
          <w:tcPr>
            <w:tcW w:w="5174"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ind w:firstLine="0" w:firstLineChars="0"/>
              <w:jc w:val="center"/>
              <w:rPr>
                <w:rFonts w:ascii="宋体" w:hAnsi="宋体" w:eastAsia="宋体"/>
                <w:color w:val="auto"/>
                <w:spacing w:val="2"/>
                <w:sz w:val="24"/>
                <w:szCs w:val="24"/>
              </w:rPr>
            </w:pPr>
            <w:r>
              <w:rPr>
                <w:rFonts w:hint="eastAsia" w:ascii="宋体" w:hAnsi="宋体" w:eastAsia="宋体"/>
                <w:color w:val="auto"/>
                <w:spacing w:val="2"/>
                <w:sz w:val="24"/>
                <w:szCs w:val="24"/>
              </w:rPr>
              <w:t>评分标准</w:t>
            </w:r>
          </w:p>
        </w:tc>
      </w:tr>
      <w:tr>
        <w:tblPrEx>
          <w:tblLayout w:type="fixed"/>
          <w:tblCellMar>
            <w:top w:w="0" w:type="dxa"/>
            <w:left w:w="0" w:type="dxa"/>
            <w:bottom w:w="0" w:type="dxa"/>
            <w:right w:w="0" w:type="dxa"/>
          </w:tblCellMar>
        </w:tblPrEx>
        <w:trPr>
          <w:trHeight w:val="620" w:hRule="atLeast"/>
          <w:jc w:val="center"/>
        </w:trPr>
        <w:tc>
          <w:tcPr>
            <w:tcW w:w="1743" w:type="dxa"/>
            <w:gridSpan w:val="2"/>
            <w:tcBorders>
              <w:top w:val="single" w:color="auto" w:sz="4" w:space="0"/>
              <w:left w:val="single" w:color="000000" w:sz="4" w:space="0"/>
              <w:bottom w:val="single" w:color="auto" w:sz="4" w:space="0"/>
              <w:right w:val="single" w:color="000000" w:sz="4" w:space="0"/>
            </w:tcBorders>
            <w:vAlign w:val="center"/>
          </w:tcPr>
          <w:p>
            <w:pPr>
              <w:spacing w:line="400" w:lineRule="exact"/>
              <w:ind w:firstLine="0" w:firstLineChars="0"/>
              <w:jc w:val="center"/>
              <w:rPr>
                <w:rFonts w:ascii="宋体" w:hAnsi="宋体" w:eastAsia="宋体"/>
                <w:color w:val="auto"/>
                <w:spacing w:val="2"/>
                <w:sz w:val="24"/>
                <w:szCs w:val="24"/>
              </w:rPr>
            </w:pPr>
            <w:r>
              <w:rPr>
                <w:rFonts w:hint="eastAsia" w:ascii="宋体" w:hAnsi="宋体" w:eastAsia="宋体" w:cs="宋体"/>
                <w:color w:val="auto"/>
                <w:sz w:val="24"/>
                <w:szCs w:val="24"/>
              </w:rPr>
              <w:t>2.2.1</w:t>
            </w:r>
          </w:p>
        </w:tc>
        <w:tc>
          <w:tcPr>
            <w:tcW w:w="1733"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0" w:firstLineChars="0"/>
              <w:jc w:val="center"/>
              <w:rPr>
                <w:rFonts w:ascii="宋体" w:hAnsi="宋体" w:eastAsia="宋体" w:cs="宋体"/>
                <w:color w:val="auto"/>
                <w:sz w:val="24"/>
                <w:szCs w:val="24"/>
              </w:rPr>
            </w:pPr>
            <w:r>
              <w:rPr>
                <w:rFonts w:hint="eastAsia" w:ascii="宋体" w:hAnsi="宋体" w:eastAsia="宋体" w:cs="宋体"/>
                <w:color w:val="auto"/>
                <w:sz w:val="24"/>
                <w:szCs w:val="24"/>
              </w:rPr>
              <w:t>分值构成</w:t>
            </w:r>
          </w:p>
          <w:p>
            <w:pPr>
              <w:spacing w:line="400" w:lineRule="exact"/>
              <w:ind w:firstLine="0" w:firstLineChars="0"/>
              <w:jc w:val="center"/>
              <w:rPr>
                <w:rFonts w:ascii="宋体" w:hAnsi="宋体" w:eastAsia="宋体"/>
                <w:color w:val="auto"/>
                <w:spacing w:val="2"/>
                <w:sz w:val="24"/>
                <w:szCs w:val="24"/>
              </w:rPr>
            </w:pPr>
            <w:r>
              <w:rPr>
                <w:rFonts w:hint="eastAsia" w:ascii="宋体" w:hAnsi="宋体" w:eastAsia="宋体" w:cs="宋体"/>
                <w:color w:val="auto"/>
                <w:sz w:val="24"/>
                <w:szCs w:val="24"/>
              </w:rPr>
              <w:t>(总分100分)</w:t>
            </w:r>
          </w:p>
        </w:tc>
        <w:tc>
          <w:tcPr>
            <w:tcW w:w="5174"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exact"/>
              <w:ind w:firstLine="488"/>
              <w:jc w:val="both"/>
              <w:rPr>
                <w:rFonts w:ascii="宋体" w:hAnsi="宋体" w:eastAsia="宋体"/>
                <w:color w:val="auto"/>
                <w:spacing w:val="2"/>
                <w:sz w:val="24"/>
                <w:szCs w:val="24"/>
              </w:rPr>
            </w:pPr>
            <w:r>
              <w:rPr>
                <w:rFonts w:hint="eastAsia" w:ascii="宋体" w:hAnsi="宋体" w:eastAsia="宋体"/>
                <w:color w:val="auto"/>
                <w:spacing w:val="2"/>
                <w:sz w:val="24"/>
                <w:szCs w:val="24"/>
              </w:rPr>
              <w:t>投标报价部分：</w:t>
            </w:r>
            <w:r>
              <w:rPr>
                <w:rFonts w:hint="eastAsia" w:ascii="宋体" w:hAnsi="宋体"/>
                <w:color w:val="auto"/>
                <w:spacing w:val="2"/>
                <w:sz w:val="24"/>
                <w:szCs w:val="24"/>
                <w:lang w:val="en-US" w:eastAsia="zh-CN"/>
              </w:rPr>
              <w:t>2</w:t>
            </w:r>
            <w:r>
              <w:rPr>
                <w:rFonts w:hint="eastAsia" w:ascii="宋体" w:hAnsi="宋体" w:eastAsia="宋体"/>
                <w:color w:val="auto"/>
                <w:spacing w:val="2"/>
                <w:sz w:val="24"/>
                <w:szCs w:val="24"/>
              </w:rPr>
              <w:t>0分</w:t>
            </w:r>
          </w:p>
          <w:p>
            <w:pPr>
              <w:snapToGrid w:val="0"/>
              <w:spacing w:line="360" w:lineRule="exact"/>
              <w:ind w:firstLine="488"/>
              <w:jc w:val="both"/>
              <w:rPr>
                <w:rFonts w:ascii="宋体" w:hAnsi="宋体" w:eastAsia="宋体"/>
                <w:color w:val="auto"/>
                <w:spacing w:val="2"/>
                <w:sz w:val="24"/>
                <w:szCs w:val="24"/>
              </w:rPr>
            </w:pPr>
            <w:r>
              <w:rPr>
                <w:rFonts w:hint="eastAsia" w:ascii="宋体" w:hAnsi="宋体" w:eastAsia="宋体"/>
                <w:color w:val="auto"/>
                <w:spacing w:val="2"/>
                <w:sz w:val="24"/>
                <w:szCs w:val="24"/>
              </w:rPr>
              <w:t>资信业绩部分：40分</w:t>
            </w:r>
          </w:p>
          <w:p>
            <w:pPr>
              <w:snapToGrid w:val="0"/>
              <w:spacing w:line="360" w:lineRule="exact"/>
              <w:ind w:firstLine="488"/>
              <w:jc w:val="both"/>
              <w:rPr>
                <w:rFonts w:ascii="宋体" w:hAnsi="宋体" w:eastAsia="宋体"/>
                <w:color w:val="auto"/>
                <w:spacing w:val="2"/>
                <w:sz w:val="24"/>
                <w:szCs w:val="24"/>
              </w:rPr>
            </w:pPr>
            <w:r>
              <w:rPr>
                <w:rFonts w:hint="eastAsia" w:ascii="宋体" w:hAnsi="宋体"/>
                <w:color w:val="auto"/>
                <w:spacing w:val="2"/>
                <w:sz w:val="24"/>
                <w:szCs w:val="24"/>
                <w:lang w:eastAsia="zh-CN"/>
              </w:rPr>
              <w:t>勘察</w:t>
            </w:r>
            <w:r>
              <w:rPr>
                <w:rFonts w:hint="eastAsia" w:ascii="宋体" w:hAnsi="宋体" w:eastAsia="宋体"/>
                <w:color w:val="auto"/>
                <w:spacing w:val="2"/>
                <w:sz w:val="24"/>
                <w:szCs w:val="24"/>
              </w:rPr>
              <w:t>方案部分：</w:t>
            </w:r>
            <w:r>
              <w:rPr>
                <w:rFonts w:hint="eastAsia" w:ascii="宋体" w:hAnsi="宋体"/>
                <w:color w:val="auto"/>
                <w:spacing w:val="2"/>
                <w:sz w:val="24"/>
                <w:szCs w:val="24"/>
                <w:lang w:val="en-US" w:eastAsia="zh-CN"/>
              </w:rPr>
              <w:t>4</w:t>
            </w:r>
            <w:r>
              <w:rPr>
                <w:rFonts w:hint="eastAsia" w:ascii="宋体" w:hAnsi="宋体" w:eastAsia="宋体"/>
                <w:color w:val="auto"/>
                <w:spacing w:val="2"/>
                <w:sz w:val="24"/>
                <w:szCs w:val="24"/>
              </w:rPr>
              <w:t>0分</w:t>
            </w:r>
          </w:p>
        </w:tc>
      </w:tr>
      <w:tr>
        <w:tblPrEx>
          <w:tblLayout w:type="fixed"/>
          <w:tblCellMar>
            <w:top w:w="0" w:type="dxa"/>
            <w:left w:w="0" w:type="dxa"/>
            <w:bottom w:w="0" w:type="dxa"/>
            <w:right w:w="0" w:type="dxa"/>
          </w:tblCellMar>
        </w:tblPrEx>
        <w:trPr>
          <w:trHeight w:val="1278" w:hRule="atLeast"/>
          <w:jc w:val="center"/>
        </w:trPr>
        <w:tc>
          <w:tcPr>
            <w:tcW w:w="1743" w:type="dxa"/>
            <w:gridSpan w:val="2"/>
            <w:tcBorders>
              <w:top w:val="single" w:color="auto" w:sz="4" w:space="0"/>
              <w:left w:val="single" w:color="000000" w:sz="4" w:space="0"/>
              <w:bottom w:val="single" w:color="auto" w:sz="4" w:space="0"/>
              <w:right w:val="single" w:color="000000" w:sz="4" w:space="0"/>
            </w:tcBorders>
            <w:vAlign w:val="center"/>
          </w:tcPr>
          <w:p>
            <w:pPr>
              <w:spacing w:line="400" w:lineRule="exact"/>
              <w:ind w:firstLine="0" w:firstLineChars="0"/>
              <w:jc w:val="center"/>
              <w:rPr>
                <w:rFonts w:ascii="宋体" w:hAnsi="宋体" w:eastAsia="宋体" w:cs="宋体"/>
                <w:color w:val="auto"/>
                <w:sz w:val="24"/>
                <w:szCs w:val="24"/>
              </w:rPr>
            </w:pPr>
            <w:r>
              <w:rPr>
                <w:rFonts w:hint="eastAsia" w:ascii="宋体" w:hAnsi="宋体" w:eastAsia="宋体" w:cs="宋体"/>
                <w:color w:val="auto"/>
                <w:sz w:val="24"/>
                <w:szCs w:val="24"/>
              </w:rPr>
              <w:t>2.2.2</w:t>
            </w:r>
          </w:p>
        </w:tc>
        <w:tc>
          <w:tcPr>
            <w:tcW w:w="1733"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ind w:firstLine="0" w:firstLineChars="0"/>
              <w:jc w:val="center"/>
              <w:rPr>
                <w:rFonts w:hint="eastAsia" w:ascii="宋体" w:hAnsi="宋体" w:eastAsia="宋体"/>
                <w:color w:val="auto"/>
                <w:spacing w:val="2"/>
                <w:sz w:val="24"/>
                <w:szCs w:val="24"/>
              </w:rPr>
            </w:pPr>
            <w:r>
              <w:rPr>
                <w:rFonts w:hint="eastAsia" w:ascii="宋体" w:hAnsi="宋体" w:eastAsia="宋体"/>
                <w:color w:val="auto"/>
                <w:spacing w:val="2"/>
                <w:sz w:val="24"/>
                <w:szCs w:val="24"/>
              </w:rPr>
              <w:t>投标报价</w:t>
            </w:r>
          </w:p>
          <w:p>
            <w:pPr>
              <w:snapToGrid w:val="0"/>
              <w:spacing w:line="400" w:lineRule="exact"/>
              <w:ind w:firstLine="0" w:firstLineChars="0"/>
              <w:jc w:val="center"/>
              <w:rPr>
                <w:rFonts w:ascii="宋体" w:hAnsi="宋体" w:eastAsia="宋体" w:cs="宋体"/>
                <w:color w:val="auto"/>
                <w:sz w:val="24"/>
                <w:szCs w:val="24"/>
              </w:rPr>
            </w:pPr>
            <w:r>
              <w:rPr>
                <w:rFonts w:hint="eastAsia" w:ascii="宋体" w:hAnsi="宋体" w:eastAsia="宋体"/>
                <w:color w:val="auto"/>
                <w:spacing w:val="2"/>
                <w:sz w:val="24"/>
                <w:szCs w:val="24"/>
              </w:rPr>
              <w:t>（</w:t>
            </w:r>
            <w:r>
              <w:rPr>
                <w:rFonts w:hint="eastAsia" w:ascii="宋体" w:hAnsi="宋体"/>
                <w:color w:val="auto"/>
                <w:spacing w:val="2"/>
                <w:sz w:val="24"/>
                <w:szCs w:val="24"/>
                <w:lang w:val="en-US" w:eastAsia="zh-CN"/>
              </w:rPr>
              <w:t>2</w:t>
            </w:r>
            <w:r>
              <w:rPr>
                <w:rFonts w:hint="eastAsia" w:ascii="宋体" w:hAnsi="宋体" w:eastAsia="宋体"/>
                <w:color w:val="auto"/>
                <w:spacing w:val="2"/>
                <w:sz w:val="24"/>
                <w:szCs w:val="24"/>
              </w:rPr>
              <w:t>0分）</w:t>
            </w:r>
          </w:p>
        </w:tc>
        <w:tc>
          <w:tcPr>
            <w:tcW w:w="5174" w:type="dxa"/>
            <w:tcBorders>
              <w:top w:val="single" w:color="000000" w:sz="4" w:space="0"/>
              <w:left w:val="single" w:color="000000" w:sz="4" w:space="0"/>
              <w:bottom w:val="single" w:color="000000" w:sz="4" w:space="0"/>
              <w:right w:val="single" w:color="000000" w:sz="4" w:space="0"/>
            </w:tcBorders>
          </w:tcPr>
          <w:p>
            <w:pPr>
              <w:spacing w:line="440" w:lineRule="exact"/>
              <w:ind w:firstLine="468" w:firstLineChars="200"/>
              <w:rPr>
                <w:rFonts w:ascii="宋体" w:hAnsi="宋体"/>
                <w:color w:val="000000" w:themeColor="text1"/>
                <w:spacing w:val="-3"/>
                <w:sz w:val="24"/>
                <w:szCs w:val="24"/>
                <w:highlight w:val="none"/>
                <w14:textFill>
                  <w14:solidFill>
                    <w14:schemeClr w14:val="tx1"/>
                  </w14:solidFill>
                </w14:textFill>
              </w:rPr>
            </w:pPr>
            <w:r>
              <w:rPr>
                <w:rFonts w:hint="eastAsia" w:ascii="宋体" w:hAnsi="宋体"/>
                <w:color w:val="000000" w:themeColor="text1"/>
                <w:spacing w:val="-3"/>
                <w:sz w:val="24"/>
                <w:szCs w:val="24"/>
                <w:highlight w:val="none"/>
                <w14:textFill>
                  <w14:solidFill>
                    <w14:schemeClr w14:val="tx1"/>
                  </w14:solidFill>
                </w14:textFill>
              </w:rPr>
              <w:t>评标基准价</w:t>
            </w:r>
            <w:r>
              <w:rPr>
                <w:rFonts w:ascii="宋体" w:hAnsi="宋体"/>
                <w:color w:val="000000" w:themeColor="text1"/>
                <w:spacing w:val="-3"/>
                <w:sz w:val="24"/>
                <w:szCs w:val="24"/>
                <w:highlight w:val="none"/>
                <w14:textFill>
                  <w14:solidFill>
                    <w14:schemeClr w14:val="tx1"/>
                  </w14:solidFill>
                </w14:textFill>
              </w:rPr>
              <w:t>=</w:t>
            </w:r>
            <w:bookmarkStart w:id="138" w:name="OLE_LINK18"/>
            <w:r>
              <w:rPr>
                <w:rFonts w:hint="eastAsia" w:ascii="宋体" w:hAnsi="宋体"/>
                <w:color w:val="000000" w:themeColor="text1"/>
                <w:spacing w:val="-3"/>
                <w:sz w:val="24"/>
                <w:szCs w:val="24"/>
                <w:highlight w:val="none"/>
                <w14:textFill>
                  <w14:solidFill>
                    <w14:schemeClr w14:val="tx1"/>
                  </w14:solidFill>
                </w14:textFill>
              </w:rPr>
              <w:t>招标控制价×K</w:t>
            </w:r>
            <w:r>
              <w:rPr>
                <w:rFonts w:ascii="宋体" w:hAnsi="宋体"/>
                <w:color w:val="000000" w:themeColor="text1"/>
                <w:spacing w:val="-3"/>
                <w:sz w:val="24"/>
                <w:szCs w:val="24"/>
                <w:highlight w:val="none"/>
                <w14:textFill>
                  <w14:solidFill>
                    <w14:schemeClr w14:val="tx1"/>
                  </w14:solidFill>
                </w14:textFill>
              </w:rPr>
              <w:t>+</w:t>
            </w:r>
            <w:r>
              <w:rPr>
                <w:rFonts w:hint="eastAsia" w:ascii="宋体" w:hAnsi="宋体"/>
                <w:color w:val="000000" w:themeColor="text1"/>
                <w:spacing w:val="-3"/>
                <w:sz w:val="24"/>
                <w:szCs w:val="24"/>
                <w:highlight w:val="none"/>
                <w14:textFill>
                  <w14:solidFill>
                    <w14:schemeClr w14:val="tx1"/>
                  </w14:solidFill>
                </w14:textFill>
              </w:rPr>
              <w:t>投标总报价×(1-K）</w:t>
            </w:r>
          </w:p>
          <w:p>
            <w:pPr>
              <w:spacing w:line="440" w:lineRule="exact"/>
              <w:ind w:firstLine="468" w:firstLineChars="200"/>
              <w:rPr>
                <w:rFonts w:ascii="宋体"/>
                <w:color w:val="000000" w:themeColor="text1"/>
                <w:spacing w:val="-3"/>
                <w:sz w:val="24"/>
                <w:szCs w:val="24"/>
                <w:highlight w:val="none"/>
                <w14:textFill>
                  <w14:solidFill>
                    <w14:schemeClr w14:val="tx1"/>
                  </w14:solidFill>
                </w14:textFill>
              </w:rPr>
            </w:pPr>
            <w:r>
              <w:rPr>
                <w:rFonts w:hint="eastAsia" w:ascii="宋体" w:hAnsi="宋体"/>
                <w:color w:val="000000" w:themeColor="text1"/>
                <w:spacing w:val="-3"/>
                <w:sz w:val="24"/>
                <w:szCs w:val="24"/>
                <w:highlight w:val="none"/>
                <w14:textFill>
                  <w14:solidFill>
                    <w14:schemeClr w14:val="tx1"/>
                  </w14:solidFill>
                </w14:textFill>
              </w:rPr>
              <w:t>其中：</w:t>
            </w:r>
          </w:p>
          <w:p>
            <w:pPr>
              <w:spacing w:line="440" w:lineRule="exact"/>
              <w:ind w:firstLine="468" w:firstLineChars="200"/>
              <w:rPr>
                <w:rFonts w:hint="eastAsia" w:ascii="宋体"/>
                <w:color w:val="000000" w:themeColor="text1"/>
                <w:spacing w:val="-3"/>
                <w:sz w:val="24"/>
                <w:szCs w:val="24"/>
                <w:highlight w:val="none"/>
                <w14:textFill>
                  <w14:solidFill>
                    <w14:schemeClr w14:val="tx1"/>
                  </w14:solidFill>
                </w14:textFill>
              </w:rPr>
            </w:pPr>
            <w:r>
              <w:rPr>
                <w:rFonts w:hint="eastAsia" w:ascii="宋体"/>
                <w:color w:val="000000" w:themeColor="text1"/>
                <w:spacing w:val="-3"/>
                <w:sz w:val="24"/>
                <w:szCs w:val="24"/>
                <w:highlight w:val="none"/>
                <w14:textFill>
                  <w14:solidFill>
                    <w14:schemeClr w14:val="tx1"/>
                  </w14:solidFill>
                </w14:textFill>
              </w:rPr>
              <w:t>投标总报价为各有效投标人报价总报价，</w:t>
            </w:r>
            <w:r>
              <w:rPr>
                <w:rFonts w:hint="eastAsia" w:ascii="宋体" w:hAnsi="宋体"/>
                <w:color w:val="000000" w:themeColor="text1"/>
                <w:spacing w:val="-3"/>
                <w:sz w:val="24"/>
                <w:szCs w:val="24"/>
                <w:highlight w:val="none"/>
                <w14:textFill>
                  <w14:solidFill>
                    <w14:schemeClr w14:val="tx1"/>
                  </w14:solidFill>
                </w14:textFill>
              </w:rPr>
              <w:t>当有效投标人超过</w:t>
            </w:r>
            <w:r>
              <w:rPr>
                <w:rFonts w:ascii="宋体" w:hAnsi="宋体"/>
                <w:color w:val="000000" w:themeColor="text1"/>
                <w:spacing w:val="-3"/>
                <w:sz w:val="24"/>
                <w:szCs w:val="24"/>
                <w:highlight w:val="none"/>
                <w14:textFill>
                  <w14:solidFill>
                    <w14:schemeClr w14:val="tx1"/>
                  </w14:solidFill>
                </w14:textFill>
              </w:rPr>
              <w:t>5</w:t>
            </w:r>
            <w:r>
              <w:rPr>
                <w:rFonts w:hint="eastAsia" w:ascii="宋体" w:hAnsi="宋体"/>
                <w:color w:val="000000" w:themeColor="text1"/>
                <w:spacing w:val="-3"/>
                <w:sz w:val="24"/>
                <w:szCs w:val="24"/>
                <w:highlight w:val="none"/>
                <w14:textFill>
                  <w14:solidFill>
                    <w14:schemeClr w14:val="tx1"/>
                  </w14:solidFill>
                </w14:textFill>
              </w:rPr>
              <w:t>家时</w:t>
            </w:r>
            <w:r>
              <w:rPr>
                <w:rFonts w:hint="eastAsia" w:ascii="宋体" w:hAnsi="宋体"/>
                <w:color w:val="000000" w:themeColor="text1"/>
                <w:spacing w:val="-3"/>
                <w:sz w:val="24"/>
                <w:szCs w:val="24"/>
                <w:highlight w:val="none"/>
                <w:lang w:eastAsia="zh-CN"/>
                <w14:textFill>
                  <w14:solidFill>
                    <w14:schemeClr w14:val="tx1"/>
                  </w14:solidFill>
                </w14:textFill>
              </w:rPr>
              <w:t>，</w:t>
            </w:r>
            <w:r>
              <w:rPr>
                <w:rFonts w:hint="eastAsia" w:ascii="宋体"/>
                <w:color w:val="000000" w:themeColor="text1"/>
                <w:spacing w:val="-3"/>
                <w:sz w:val="24"/>
                <w:szCs w:val="24"/>
                <w:highlight w:val="none"/>
                <w14:textFill>
                  <w14:solidFill>
                    <w14:schemeClr w14:val="tx1"/>
                  </w14:solidFill>
                </w14:textFill>
              </w:rPr>
              <w:t>去掉</w:t>
            </w:r>
            <w:r>
              <w:rPr>
                <w:rFonts w:hint="eastAsia" w:ascii="宋体" w:hAnsi="宋体"/>
                <w:color w:val="000000" w:themeColor="text1"/>
                <w:spacing w:val="-3"/>
                <w:sz w:val="24"/>
                <w:szCs w:val="24"/>
                <w:highlight w:val="none"/>
                <w14:textFill>
                  <w14:solidFill>
                    <w14:schemeClr w14:val="tx1"/>
                  </w14:solidFill>
                </w14:textFill>
              </w:rPr>
              <w:t>一个最高报价和一个最低报价后的算术平均值。当有效投标人不超过</w:t>
            </w:r>
            <w:r>
              <w:rPr>
                <w:rFonts w:ascii="宋体" w:hAnsi="宋体"/>
                <w:color w:val="000000" w:themeColor="text1"/>
                <w:spacing w:val="-3"/>
                <w:sz w:val="24"/>
                <w:szCs w:val="24"/>
                <w:highlight w:val="none"/>
                <w14:textFill>
                  <w14:solidFill>
                    <w14:schemeClr w14:val="tx1"/>
                  </w14:solidFill>
                </w14:textFill>
              </w:rPr>
              <w:t>5</w:t>
            </w:r>
            <w:r>
              <w:rPr>
                <w:rFonts w:hint="eastAsia" w:ascii="宋体" w:hAnsi="宋体"/>
                <w:color w:val="000000" w:themeColor="text1"/>
                <w:spacing w:val="-3"/>
                <w:sz w:val="24"/>
                <w:szCs w:val="24"/>
                <w:highlight w:val="none"/>
                <w14:textFill>
                  <w14:solidFill>
                    <w14:schemeClr w14:val="tx1"/>
                  </w14:solidFill>
                </w14:textFill>
              </w:rPr>
              <w:t>家（含</w:t>
            </w:r>
            <w:r>
              <w:rPr>
                <w:rFonts w:ascii="宋体" w:hAnsi="宋体"/>
                <w:color w:val="000000" w:themeColor="text1"/>
                <w:spacing w:val="-3"/>
                <w:sz w:val="24"/>
                <w:szCs w:val="24"/>
                <w:highlight w:val="none"/>
                <w14:textFill>
                  <w14:solidFill>
                    <w14:schemeClr w14:val="tx1"/>
                  </w14:solidFill>
                </w14:textFill>
              </w:rPr>
              <w:t>5</w:t>
            </w:r>
            <w:r>
              <w:rPr>
                <w:rFonts w:hint="eastAsia" w:ascii="宋体" w:hAnsi="宋体"/>
                <w:color w:val="000000" w:themeColor="text1"/>
                <w:spacing w:val="-3"/>
                <w:sz w:val="24"/>
                <w:szCs w:val="24"/>
                <w:highlight w:val="none"/>
                <w14:textFill>
                  <w14:solidFill>
                    <w14:schemeClr w14:val="tx1"/>
                  </w14:solidFill>
                </w14:textFill>
              </w:rPr>
              <w:t>家）时，则以所有有效投标报价的算术平均值作为</w:t>
            </w:r>
            <w:r>
              <w:rPr>
                <w:rFonts w:hint="eastAsia" w:ascii="宋体"/>
                <w:color w:val="000000" w:themeColor="text1"/>
                <w:spacing w:val="-3"/>
                <w:sz w:val="24"/>
                <w:szCs w:val="24"/>
                <w:highlight w:val="none"/>
                <w14:textFill>
                  <w14:solidFill>
                    <w14:schemeClr w14:val="tx1"/>
                  </w14:solidFill>
                </w14:textFill>
              </w:rPr>
              <w:t>投标总报价。</w:t>
            </w:r>
          </w:p>
          <w:p>
            <w:pPr>
              <w:pStyle w:val="2"/>
              <w:rPr>
                <w:color w:val="000000" w:themeColor="text1"/>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2. 有效投标人为通过初步审查的投标</w:t>
            </w:r>
          </w:p>
          <w:p>
            <w:pPr>
              <w:spacing w:line="440" w:lineRule="exact"/>
              <w:ind w:firstLine="468" w:firstLineChars="200"/>
              <w:rPr>
                <w:rFonts w:ascii="宋体" w:hAnsi="宋体"/>
                <w:color w:val="000000" w:themeColor="text1"/>
                <w:spacing w:val="-3"/>
                <w:sz w:val="24"/>
                <w:szCs w:val="24"/>
                <w:highlight w:val="none"/>
                <w14:textFill>
                  <w14:solidFill>
                    <w14:schemeClr w14:val="tx1"/>
                  </w14:solidFill>
                </w14:textFill>
              </w:rPr>
            </w:pPr>
            <w:r>
              <w:rPr>
                <w:rFonts w:hint="eastAsia" w:ascii="宋体" w:hAnsi="宋体"/>
                <w:color w:val="000000" w:themeColor="text1"/>
                <w:spacing w:val="-3"/>
                <w:sz w:val="24"/>
                <w:szCs w:val="24"/>
                <w:highlight w:val="none"/>
                <w14:textFill>
                  <w14:solidFill>
                    <w14:schemeClr w14:val="tx1"/>
                  </w14:solidFill>
                </w14:textFill>
              </w:rPr>
              <w:t xml:space="preserve"> K</w:t>
            </w:r>
            <w:r>
              <w:rPr>
                <w:rFonts w:ascii="宋体" w:hAnsi="宋体"/>
                <w:color w:val="000000" w:themeColor="text1"/>
                <w:spacing w:val="-3"/>
                <w:sz w:val="24"/>
                <w:szCs w:val="24"/>
                <w:highlight w:val="none"/>
                <w14:textFill>
                  <w14:solidFill>
                    <w14:schemeClr w14:val="tx1"/>
                  </w14:solidFill>
                </w14:textFill>
              </w:rPr>
              <w:t xml:space="preserve"> -</w:t>
            </w:r>
            <w:r>
              <w:rPr>
                <w:rFonts w:hint="eastAsia" w:ascii="宋体" w:hAnsi="宋体"/>
                <w:color w:val="000000" w:themeColor="text1"/>
                <w:spacing w:val="-3"/>
                <w:sz w:val="24"/>
                <w:szCs w:val="24"/>
                <w:highlight w:val="none"/>
                <w14:textFill>
                  <w14:solidFill>
                    <w14:schemeClr w14:val="tx1"/>
                  </w14:solidFill>
                </w14:textFill>
              </w:rPr>
              <w:t>为招标控制价的权重系数，取值</w:t>
            </w:r>
            <w:r>
              <w:rPr>
                <w:rFonts w:hint="eastAsia" w:ascii="宋体" w:hAnsi="宋体"/>
                <w:color w:val="000000" w:themeColor="text1"/>
                <w:spacing w:val="-3"/>
                <w:sz w:val="24"/>
                <w:szCs w:val="24"/>
                <w:highlight w:val="none"/>
                <w:lang w:eastAsia="zh-CN"/>
                <w14:textFill>
                  <w14:solidFill>
                    <w14:schemeClr w14:val="tx1"/>
                  </w14:solidFill>
                </w14:textFill>
              </w:rPr>
              <w:t>为</w:t>
            </w:r>
            <w:r>
              <w:rPr>
                <w:rFonts w:hint="eastAsia" w:ascii="宋体" w:hAnsi="宋体"/>
                <w:color w:val="000000" w:themeColor="text1"/>
                <w:spacing w:val="-3"/>
                <w:sz w:val="24"/>
                <w:szCs w:val="24"/>
                <w:highlight w:val="none"/>
                <w:lang w:val="en-US" w:eastAsia="zh-CN"/>
                <w14:textFill>
                  <w14:solidFill>
                    <w14:schemeClr w14:val="tx1"/>
                  </w14:solidFill>
                </w14:textFill>
              </w:rPr>
              <w:t>0</w:t>
            </w:r>
            <w:r>
              <w:rPr>
                <w:rFonts w:hint="eastAsia" w:ascii="宋体" w:hAnsi="宋体"/>
                <w:color w:val="000000" w:themeColor="text1"/>
                <w:spacing w:val="-3"/>
                <w:sz w:val="24"/>
                <w:szCs w:val="24"/>
                <w:highlight w:val="none"/>
                <w14:textFill>
                  <w14:solidFill>
                    <w14:schemeClr w14:val="tx1"/>
                  </w14:solidFill>
                </w14:textFill>
              </w:rPr>
              <w:t>.5。</w:t>
            </w:r>
          </w:p>
          <w:p>
            <w:pPr>
              <w:pStyle w:val="2"/>
              <w:rPr>
                <w:rFonts w:eastAsiaTheme="minorEastAsia"/>
                <w:color w:val="000000" w:themeColor="text1"/>
                <w:sz w:val="24"/>
                <w:szCs w:val="24"/>
                <w:highlight w:val="none"/>
                <w14:textFill>
                  <w14:solidFill>
                    <w14:schemeClr w14:val="tx1"/>
                  </w14:solidFill>
                </w14:textFill>
              </w:rPr>
            </w:pPr>
            <w:r>
              <w:rPr>
                <w:rFonts w:hint="eastAsia" w:eastAsiaTheme="minorEastAsia"/>
                <w:color w:val="000000" w:themeColor="text1"/>
                <w:sz w:val="24"/>
                <w:szCs w:val="24"/>
                <w:highlight w:val="none"/>
                <w14:textFill>
                  <w14:solidFill>
                    <w14:schemeClr w14:val="tx1"/>
                  </w14:solidFill>
                </w14:textFill>
              </w:rPr>
              <w:t>投标报价与评标基准价相等得基本分</w:t>
            </w:r>
            <w:r>
              <w:rPr>
                <w:rFonts w:hint="eastAsia" w:eastAsiaTheme="minorEastAsia"/>
                <w:color w:val="000000" w:themeColor="text1"/>
                <w:sz w:val="24"/>
                <w:szCs w:val="24"/>
                <w:highlight w:val="none"/>
                <w:lang w:val="en-US" w:eastAsia="zh-CN"/>
                <w14:textFill>
                  <w14:solidFill>
                    <w14:schemeClr w14:val="tx1"/>
                  </w14:solidFill>
                </w14:textFill>
              </w:rPr>
              <w:t>20</w:t>
            </w:r>
            <w:r>
              <w:rPr>
                <w:rFonts w:hint="eastAsia" w:eastAsiaTheme="minorEastAsia"/>
                <w:color w:val="000000" w:themeColor="text1"/>
                <w:sz w:val="24"/>
                <w:szCs w:val="24"/>
                <w:highlight w:val="none"/>
                <w14:textFill>
                  <w14:solidFill>
                    <w14:schemeClr w14:val="tx1"/>
                  </w14:solidFill>
                </w14:textFill>
              </w:rPr>
              <w:t>分。当投标报价低于评标基准价时，每低1%在基本分</w:t>
            </w:r>
            <w:r>
              <w:rPr>
                <w:rFonts w:hint="eastAsia" w:eastAsiaTheme="minorEastAsia"/>
                <w:color w:val="000000" w:themeColor="text1"/>
                <w:sz w:val="24"/>
                <w:szCs w:val="24"/>
                <w:highlight w:val="none"/>
                <w:lang w:val="en-US" w:eastAsia="zh-CN"/>
                <w14:textFill>
                  <w14:solidFill>
                    <w14:schemeClr w14:val="tx1"/>
                  </w14:solidFill>
                </w14:textFill>
              </w:rPr>
              <w:t>20</w:t>
            </w:r>
            <w:r>
              <w:rPr>
                <w:rFonts w:hint="eastAsia" w:eastAsiaTheme="minorEastAsia"/>
                <w:color w:val="000000" w:themeColor="text1"/>
                <w:sz w:val="24"/>
                <w:szCs w:val="24"/>
                <w:highlight w:val="none"/>
                <w14:textFill>
                  <w14:solidFill>
                    <w14:schemeClr w14:val="tx1"/>
                  </w14:solidFill>
                </w14:textFill>
              </w:rPr>
              <w:t>分的基础上</w:t>
            </w:r>
            <w:r>
              <w:rPr>
                <w:rFonts w:hint="eastAsia" w:eastAsiaTheme="minorEastAsia"/>
                <w:color w:val="000000" w:themeColor="text1"/>
                <w:sz w:val="24"/>
                <w:szCs w:val="24"/>
                <w:highlight w:val="none"/>
                <w:lang w:eastAsia="zh-CN"/>
                <w14:textFill>
                  <w14:solidFill>
                    <w14:schemeClr w14:val="tx1"/>
                  </w14:solidFill>
                </w14:textFill>
              </w:rPr>
              <w:t>扣</w:t>
            </w:r>
            <w:r>
              <w:rPr>
                <w:rFonts w:hint="eastAsia" w:eastAsiaTheme="minorEastAsia"/>
                <w:color w:val="000000" w:themeColor="text1"/>
                <w:sz w:val="24"/>
                <w:szCs w:val="24"/>
                <w:highlight w:val="none"/>
                <w14:textFill>
                  <w14:solidFill>
                    <w14:schemeClr w14:val="tx1"/>
                  </w14:solidFill>
                </w14:textFill>
              </w:rPr>
              <w:t>1分，</w:t>
            </w:r>
            <w:r>
              <w:rPr>
                <w:rFonts w:hint="eastAsia" w:eastAsiaTheme="minorEastAsia"/>
                <w:color w:val="000000" w:themeColor="text1"/>
                <w:sz w:val="24"/>
                <w:szCs w:val="24"/>
                <w:highlight w:val="none"/>
                <w:lang w:eastAsia="zh-CN"/>
                <w14:textFill>
                  <w14:solidFill>
                    <w14:schemeClr w14:val="tx1"/>
                  </w14:solidFill>
                </w14:textFill>
              </w:rPr>
              <w:t>扣完为止</w:t>
            </w:r>
            <w:r>
              <w:rPr>
                <w:rFonts w:hint="eastAsia" w:eastAsiaTheme="minorEastAsia"/>
                <w:color w:val="000000" w:themeColor="text1"/>
                <w:sz w:val="24"/>
                <w:szCs w:val="24"/>
                <w:highlight w:val="none"/>
                <w14:textFill>
                  <w14:solidFill>
                    <w14:schemeClr w14:val="tx1"/>
                  </w14:solidFill>
                </w14:textFill>
              </w:rPr>
              <w:t>；当投标报价高于评标基准价时，每高1%在基本分</w:t>
            </w:r>
            <w:r>
              <w:rPr>
                <w:rFonts w:hint="eastAsia" w:eastAsiaTheme="minorEastAsia"/>
                <w:color w:val="000000" w:themeColor="text1"/>
                <w:sz w:val="24"/>
                <w:szCs w:val="24"/>
                <w:highlight w:val="none"/>
                <w:lang w:val="en-US" w:eastAsia="zh-CN"/>
                <w14:textFill>
                  <w14:solidFill>
                    <w14:schemeClr w14:val="tx1"/>
                  </w14:solidFill>
                </w14:textFill>
              </w:rPr>
              <w:t>20</w:t>
            </w:r>
            <w:r>
              <w:rPr>
                <w:rFonts w:hint="eastAsia" w:eastAsiaTheme="minorEastAsia"/>
                <w:color w:val="000000" w:themeColor="text1"/>
                <w:sz w:val="24"/>
                <w:szCs w:val="24"/>
                <w:highlight w:val="none"/>
                <w14:textFill>
                  <w14:solidFill>
                    <w14:schemeClr w14:val="tx1"/>
                  </w14:solidFill>
                </w14:textFill>
              </w:rPr>
              <w:t>分的基础上扣1分，扣完为止。</w:t>
            </w:r>
          </w:p>
          <w:bookmarkEnd w:id="138"/>
          <w:p>
            <w:pPr>
              <w:spacing w:line="360" w:lineRule="exact"/>
              <w:ind w:firstLine="234" w:firstLineChars="100"/>
              <w:outlineLvl w:val="0"/>
              <w:rPr>
                <w:rFonts w:ascii="宋体" w:hAnsi="宋体" w:eastAsia="宋体" w:cs="宋体"/>
                <w:color w:val="auto"/>
                <w:sz w:val="24"/>
                <w:szCs w:val="24"/>
              </w:rPr>
            </w:pPr>
            <w:r>
              <w:rPr>
                <w:rFonts w:hint="eastAsia" w:ascii="宋体" w:hAnsi="宋体"/>
                <w:color w:val="000000" w:themeColor="text1"/>
                <w:spacing w:val="-3"/>
                <w:sz w:val="24"/>
                <w:szCs w:val="24"/>
                <w:highlight w:val="none"/>
                <w14:textFill>
                  <w14:solidFill>
                    <w14:schemeClr w14:val="tx1"/>
                  </w14:solidFill>
                </w14:textFill>
              </w:rPr>
              <w:t>投标报价</w:t>
            </w:r>
            <w:r>
              <w:rPr>
                <w:rFonts w:hint="eastAsia" w:ascii="宋体" w:hAnsi="宋体"/>
                <w:color w:val="000000" w:themeColor="text1"/>
                <w:spacing w:val="-3"/>
                <w:sz w:val="24"/>
                <w:szCs w:val="24"/>
                <w:highlight w:val="none"/>
                <w:lang w:eastAsia="zh-CN"/>
                <w14:textFill>
                  <w14:solidFill>
                    <w14:schemeClr w14:val="tx1"/>
                  </w14:solidFill>
                </w14:textFill>
              </w:rPr>
              <w:t>在</w:t>
            </w:r>
            <w:r>
              <w:rPr>
                <w:rFonts w:hint="eastAsia" w:ascii="宋体" w:hAnsi="宋体"/>
                <w:color w:val="000000" w:themeColor="text1"/>
                <w:spacing w:val="-3"/>
                <w:sz w:val="24"/>
                <w:szCs w:val="24"/>
                <w:highlight w:val="none"/>
                <w14:textFill>
                  <w14:solidFill>
                    <w14:schemeClr w14:val="tx1"/>
                  </w14:solidFill>
                </w14:textFill>
              </w:rPr>
              <w:t>招标控制价</w:t>
            </w:r>
            <w:r>
              <w:rPr>
                <w:rFonts w:hint="eastAsia" w:ascii="宋体" w:hAnsi="宋体"/>
                <w:color w:val="000000" w:themeColor="text1"/>
                <w:spacing w:val="-3"/>
                <w:sz w:val="24"/>
                <w:szCs w:val="24"/>
                <w:highlight w:val="none"/>
                <w:lang w:val="en-US" w:eastAsia="zh-CN"/>
                <w14:textFill>
                  <w14:solidFill>
                    <w14:schemeClr w14:val="tx1"/>
                  </w14:solidFill>
                </w14:textFill>
              </w:rPr>
              <w:t>100%-95%之间参与基准值计算；</w:t>
            </w:r>
            <w:r>
              <w:rPr>
                <w:rFonts w:hint="eastAsia" w:ascii="宋体" w:hAnsi="宋体"/>
                <w:color w:val="000000" w:themeColor="text1"/>
                <w:spacing w:val="-3"/>
                <w:sz w:val="24"/>
                <w:szCs w:val="24"/>
                <w:highlight w:val="none"/>
                <w14:textFill>
                  <w14:solidFill>
                    <w14:schemeClr w14:val="tx1"/>
                  </w14:solidFill>
                </w14:textFill>
              </w:rPr>
              <w:t>投标报价</w:t>
            </w:r>
            <w:r>
              <w:rPr>
                <w:rFonts w:hint="eastAsia" w:ascii="宋体" w:hAnsi="宋体"/>
                <w:color w:val="000000" w:themeColor="text1"/>
                <w:spacing w:val="-3"/>
                <w:sz w:val="24"/>
                <w:szCs w:val="24"/>
                <w:highlight w:val="none"/>
                <w:lang w:eastAsia="zh-CN"/>
                <w14:textFill>
                  <w14:solidFill>
                    <w14:schemeClr w14:val="tx1"/>
                  </w14:solidFill>
                </w14:textFill>
              </w:rPr>
              <w:t>不在</w:t>
            </w:r>
            <w:r>
              <w:rPr>
                <w:rFonts w:hint="eastAsia" w:ascii="宋体" w:hAnsi="宋体"/>
                <w:color w:val="000000" w:themeColor="text1"/>
                <w:spacing w:val="-3"/>
                <w:sz w:val="24"/>
                <w:szCs w:val="24"/>
                <w:highlight w:val="none"/>
                <w14:textFill>
                  <w14:solidFill>
                    <w14:schemeClr w14:val="tx1"/>
                  </w14:solidFill>
                </w14:textFill>
              </w:rPr>
              <w:t>招标控制价</w:t>
            </w:r>
            <w:r>
              <w:rPr>
                <w:rFonts w:hint="eastAsia" w:ascii="宋体" w:hAnsi="宋体"/>
                <w:color w:val="000000" w:themeColor="text1"/>
                <w:spacing w:val="-3"/>
                <w:sz w:val="24"/>
                <w:szCs w:val="24"/>
                <w:highlight w:val="none"/>
                <w:lang w:val="en-US" w:eastAsia="zh-CN"/>
                <w14:textFill>
                  <w14:solidFill>
                    <w14:schemeClr w14:val="tx1"/>
                  </w14:solidFill>
                </w14:textFill>
              </w:rPr>
              <w:t>100%-95%之间不参与基准值计算</w:t>
            </w:r>
            <w:r>
              <w:rPr>
                <w:rFonts w:hint="eastAsia" w:ascii="宋体" w:hAnsi="宋体"/>
                <w:color w:val="000000" w:themeColor="text1"/>
                <w:spacing w:val="-3"/>
                <w:sz w:val="24"/>
                <w:szCs w:val="24"/>
                <w:highlight w:val="none"/>
                <w14:textFill>
                  <w14:solidFill>
                    <w14:schemeClr w14:val="tx1"/>
                  </w14:solidFill>
                </w14:textFill>
              </w:rPr>
              <w:t>。</w:t>
            </w:r>
          </w:p>
        </w:tc>
      </w:tr>
      <w:tr>
        <w:tblPrEx>
          <w:tblLayout w:type="fixed"/>
          <w:tblCellMar>
            <w:top w:w="0" w:type="dxa"/>
            <w:left w:w="0" w:type="dxa"/>
            <w:bottom w:w="0" w:type="dxa"/>
            <w:right w:w="0" w:type="dxa"/>
          </w:tblCellMar>
        </w:tblPrEx>
        <w:trPr>
          <w:trHeight w:val="565" w:hRule="atLeast"/>
          <w:jc w:val="center"/>
        </w:trPr>
        <w:tc>
          <w:tcPr>
            <w:tcW w:w="776" w:type="dxa"/>
            <w:vMerge w:val="restart"/>
            <w:tcBorders>
              <w:top w:val="single" w:color="auto" w:sz="4" w:space="0"/>
              <w:left w:val="single" w:color="000000" w:sz="4" w:space="0"/>
              <w:bottom w:val="single" w:color="auto" w:sz="4" w:space="0"/>
              <w:right w:val="single" w:color="auto" w:sz="4" w:space="0"/>
            </w:tcBorders>
            <w:vAlign w:val="center"/>
          </w:tcPr>
          <w:p>
            <w:pPr>
              <w:snapToGrid w:val="0"/>
              <w:spacing w:line="400" w:lineRule="exact"/>
              <w:ind w:firstLine="0" w:firstLineChars="0"/>
              <w:jc w:val="center"/>
              <w:rPr>
                <w:rFonts w:ascii="宋体" w:hAnsi="宋体" w:eastAsia="宋体" w:cs="宋体"/>
                <w:color w:val="auto"/>
                <w:sz w:val="24"/>
                <w:szCs w:val="24"/>
              </w:rPr>
            </w:pPr>
            <w:r>
              <w:rPr>
                <w:rFonts w:hint="eastAsia" w:ascii="宋体" w:hAnsi="宋体" w:eastAsia="宋体"/>
                <w:color w:val="auto"/>
                <w:spacing w:val="2"/>
                <w:sz w:val="24"/>
                <w:szCs w:val="24"/>
              </w:rPr>
              <w:t>2.2.3</w:t>
            </w:r>
          </w:p>
        </w:tc>
        <w:tc>
          <w:tcPr>
            <w:tcW w:w="967" w:type="dxa"/>
            <w:vMerge w:val="restart"/>
            <w:tcBorders>
              <w:top w:val="single" w:color="auto" w:sz="4" w:space="0"/>
              <w:left w:val="single" w:color="auto" w:sz="4" w:space="0"/>
              <w:bottom w:val="single" w:color="auto" w:sz="4" w:space="0"/>
              <w:right w:val="single" w:color="000000" w:sz="4" w:space="0"/>
            </w:tcBorders>
            <w:vAlign w:val="center"/>
          </w:tcPr>
          <w:p>
            <w:pPr>
              <w:snapToGrid w:val="0"/>
              <w:spacing w:line="400" w:lineRule="exact"/>
              <w:ind w:firstLine="0" w:firstLineChars="0"/>
              <w:jc w:val="center"/>
              <w:rPr>
                <w:rFonts w:ascii="宋体" w:hAnsi="宋体" w:eastAsia="宋体"/>
                <w:color w:val="auto"/>
                <w:spacing w:val="2"/>
                <w:sz w:val="24"/>
                <w:szCs w:val="24"/>
              </w:rPr>
            </w:pPr>
            <w:r>
              <w:rPr>
                <w:rFonts w:hint="eastAsia" w:ascii="宋体" w:hAnsi="宋体" w:eastAsia="宋体"/>
                <w:color w:val="auto"/>
                <w:spacing w:val="2"/>
                <w:sz w:val="24"/>
                <w:szCs w:val="24"/>
              </w:rPr>
              <w:t>资信业绩</w:t>
            </w:r>
          </w:p>
          <w:p>
            <w:pPr>
              <w:snapToGrid w:val="0"/>
              <w:spacing w:line="400" w:lineRule="exact"/>
              <w:ind w:firstLine="0" w:firstLineChars="0"/>
              <w:jc w:val="center"/>
              <w:rPr>
                <w:rFonts w:hint="eastAsia" w:ascii="宋体" w:hAnsi="宋体" w:eastAsia="宋体"/>
                <w:color w:val="auto"/>
                <w:spacing w:val="2"/>
                <w:sz w:val="24"/>
                <w:szCs w:val="24"/>
              </w:rPr>
            </w:pPr>
            <w:r>
              <w:rPr>
                <w:rFonts w:hint="eastAsia" w:ascii="宋体" w:hAnsi="宋体" w:eastAsia="宋体"/>
                <w:color w:val="auto"/>
                <w:spacing w:val="2"/>
                <w:sz w:val="24"/>
                <w:szCs w:val="24"/>
              </w:rPr>
              <w:t>评分标准</w:t>
            </w:r>
          </w:p>
          <w:p>
            <w:pPr>
              <w:snapToGrid w:val="0"/>
              <w:spacing w:line="400" w:lineRule="exact"/>
              <w:ind w:firstLine="0" w:firstLineChars="0"/>
              <w:jc w:val="center"/>
              <w:rPr>
                <w:rFonts w:ascii="宋体" w:hAnsi="宋体" w:eastAsia="宋体" w:cs="宋体"/>
                <w:color w:val="auto"/>
                <w:sz w:val="24"/>
                <w:szCs w:val="24"/>
              </w:rPr>
            </w:pPr>
            <w:r>
              <w:rPr>
                <w:rFonts w:hint="eastAsia" w:ascii="宋体" w:hAnsi="宋体" w:eastAsia="宋体"/>
                <w:color w:val="auto"/>
                <w:spacing w:val="2"/>
                <w:sz w:val="24"/>
                <w:szCs w:val="24"/>
              </w:rPr>
              <w:t>（4</w:t>
            </w:r>
            <w:r>
              <w:rPr>
                <w:rFonts w:hint="eastAsia" w:ascii="宋体" w:hAnsi="宋体"/>
                <w:color w:val="auto"/>
                <w:spacing w:val="2"/>
                <w:sz w:val="24"/>
                <w:szCs w:val="24"/>
                <w:lang w:val="en-US" w:eastAsia="zh-CN"/>
              </w:rPr>
              <w:t>0</w:t>
            </w:r>
            <w:r>
              <w:rPr>
                <w:rFonts w:hint="eastAsia" w:ascii="宋体" w:hAnsi="宋体" w:eastAsia="宋体"/>
                <w:color w:val="auto"/>
                <w:spacing w:val="2"/>
                <w:sz w:val="24"/>
                <w:szCs w:val="24"/>
              </w:rPr>
              <w:t>分）</w:t>
            </w:r>
          </w:p>
        </w:tc>
        <w:tc>
          <w:tcPr>
            <w:tcW w:w="1733"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0" w:firstLineChars="0"/>
              <w:jc w:val="both"/>
              <w:rPr>
                <w:rFonts w:hint="eastAsia" w:ascii="宋体" w:hAnsi="宋体" w:eastAsia="宋体" w:cs="宋体"/>
                <w:color w:val="auto"/>
                <w:sz w:val="24"/>
                <w:szCs w:val="24"/>
              </w:rPr>
            </w:pPr>
            <w:r>
              <w:rPr>
                <w:rFonts w:hint="eastAsia" w:ascii="宋体" w:hAnsi="宋体" w:eastAsia="宋体" w:cs="宋体"/>
                <w:color w:val="auto"/>
                <w:sz w:val="24"/>
                <w:szCs w:val="24"/>
              </w:rPr>
              <w:t xml:space="preserve"> 1、项目班子配备</w:t>
            </w:r>
          </w:p>
          <w:p>
            <w:pPr>
              <w:spacing w:line="400" w:lineRule="exact"/>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1</w:t>
            </w:r>
            <w:r>
              <w:rPr>
                <w:rFonts w:hint="eastAsia" w:ascii="宋体" w:hAnsi="宋体" w:cs="宋体"/>
                <w:color w:val="auto"/>
                <w:sz w:val="24"/>
                <w:szCs w:val="24"/>
                <w:lang w:val="en-US" w:eastAsia="zh-CN"/>
              </w:rPr>
              <w:t>7</w:t>
            </w:r>
            <w:r>
              <w:rPr>
                <w:rFonts w:hint="eastAsia" w:ascii="宋体" w:hAnsi="宋体" w:eastAsia="宋体" w:cs="宋体"/>
                <w:color w:val="auto"/>
                <w:sz w:val="24"/>
                <w:szCs w:val="24"/>
              </w:rPr>
              <w:t>分）</w:t>
            </w:r>
          </w:p>
        </w:tc>
        <w:tc>
          <w:tcPr>
            <w:tcW w:w="5174" w:type="dxa"/>
            <w:tcBorders>
              <w:top w:val="single" w:color="000000" w:sz="4" w:space="0"/>
              <w:left w:val="single" w:color="000000" w:sz="4" w:space="0"/>
              <w:bottom w:val="single" w:color="000000" w:sz="4" w:space="0"/>
              <w:right w:val="single" w:color="000000" w:sz="4" w:space="0"/>
            </w:tcBorders>
          </w:tcPr>
          <w:p>
            <w:pPr>
              <w:spacing w:line="400" w:lineRule="exact"/>
              <w:ind w:firstLine="0" w:firstLineChars="0"/>
              <w:jc w:val="both"/>
              <w:rPr>
                <w:rFonts w:hint="eastAsia" w:ascii="宋体" w:hAnsi="宋体" w:eastAsia="宋体" w:cs="宋体"/>
                <w:color w:val="auto"/>
                <w:sz w:val="24"/>
                <w:szCs w:val="24"/>
              </w:rPr>
            </w:pPr>
            <w:r>
              <w:rPr>
                <w:rFonts w:hint="eastAsia" w:ascii="宋体" w:hAnsi="宋体" w:eastAsia="宋体" w:cs="宋体"/>
                <w:color w:val="auto"/>
                <w:sz w:val="24"/>
                <w:szCs w:val="24"/>
              </w:rPr>
              <w:t>1、项目负责人具有高级工程师职称的得</w:t>
            </w:r>
            <w:r>
              <w:rPr>
                <w:rFonts w:hint="eastAsia" w:ascii="宋体" w:hAnsi="宋体" w:cs="宋体"/>
                <w:color w:val="auto"/>
                <w:sz w:val="24"/>
                <w:szCs w:val="24"/>
                <w:lang w:val="en-US" w:eastAsia="zh-CN"/>
              </w:rPr>
              <w:t>3</w:t>
            </w:r>
            <w:r>
              <w:rPr>
                <w:rFonts w:hint="eastAsia" w:ascii="宋体" w:hAnsi="宋体" w:eastAsia="宋体" w:cs="宋体"/>
                <w:color w:val="auto"/>
                <w:sz w:val="24"/>
                <w:szCs w:val="24"/>
              </w:rPr>
              <w:t xml:space="preserve">分（以证书为准） </w:t>
            </w:r>
          </w:p>
          <w:p>
            <w:pPr>
              <w:spacing w:line="400" w:lineRule="exact"/>
              <w:ind w:firstLine="0" w:firstLineChars="0"/>
              <w:jc w:val="both"/>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、项目</w:t>
            </w:r>
            <w:r>
              <w:rPr>
                <w:rFonts w:hint="eastAsia" w:ascii="宋体" w:hAnsi="宋体" w:cs="宋体"/>
                <w:color w:val="auto"/>
                <w:sz w:val="24"/>
                <w:szCs w:val="24"/>
                <w:lang w:eastAsia="zh-CN"/>
              </w:rPr>
              <w:t>勘察</w:t>
            </w:r>
            <w:r>
              <w:rPr>
                <w:rFonts w:hint="eastAsia" w:ascii="宋体" w:hAnsi="宋体" w:eastAsia="宋体" w:cs="宋体"/>
                <w:color w:val="auto"/>
                <w:sz w:val="24"/>
                <w:szCs w:val="24"/>
              </w:rPr>
              <w:t>组人员各专业配备、人员素质，进行对比在</w:t>
            </w:r>
            <w:r>
              <w:rPr>
                <w:rFonts w:hint="eastAsia" w:ascii="宋体" w:hAnsi="宋体" w:cs="宋体"/>
                <w:color w:val="auto"/>
                <w:sz w:val="24"/>
                <w:szCs w:val="24"/>
                <w:lang w:val="en-US" w:eastAsia="zh-CN"/>
              </w:rPr>
              <w:t>1</w:t>
            </w:r>
            <w:r>
              <w:rPr>
                <w:rFonts w:hint="eastAsia" w:ascii="宋体" w:hAnsi="宋体" w:eastAsia="宋体" w:cs="宋体"/>
                <w:color w:val="auto"/>
                <w:sz w:val="24"/>
                <w:szCs w:val="24"/>
              </w:rPr>
              <w:t>-</w:t>
            </w:r>
            <w:r>
              <w:rPr>
                <w:rFonts w:hint="eastAsia" w:ascii="宋体" w:hAnsi="宋体" w:cs="宋体"/>
                <w:color w:val="auto"/>
                <w:sz w:val="24"/>
                <w:szCs w:val="24"/>
                <w:lang w:val="en-US" w:eastAsia="zh-CN"/>
              </w:rPr>
              <w:t>4</w:t>
            </w:r>
            <w:r>
              <w:rPr>
                <w:rFonts w:hint="eastAsia" w:ascii="宋体" w:hAnsi="宋体" w:eastAsia="宋体" w:cs="宋体"/>
                <w:color w:val="auto"/>
                <w:sz w:val="24"/>
                <w:szCs w:val="24"/>
              </w:rPr>
              <w:t>分范围内进行打分。</w:t>
            </w:r>
          </w:p>
          <w:p>
            <w:pPr>
              <w:spacing w:line="400" w:lineRule="exact"/>
              <w:ind w:firstLine="0" w:firstLineChars="0"/>
              <w:jc w:val="both"/>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w:t>
            </w:r>
            <w:r>
              <w:rPr>
                <w:rFonts w:hint="eastAsia" w:ascii="宋体" w:hAnsi="宋体" w:cs="宋体"/>
                <w:color w:val="auto"/>
                <w:sz w:val="24"/>
                <w:szCs w:val="24"/>
                <w:lang w:val="en-US" w:eastAsia="zh-CN"/>
              </w:rPr>
              <w:t>项目负责人2016年1月1日以来有类似勘察项目业绩者每项得2分，</w:t>
            </w:r>
            <w:r>
              <w:rPr>
                <w:rFonts w:hint="eastAsia" w:ascii="宋体" w:hAnsi="宋体" w:cs="宋体"/>
                <w:color w:val="auto"/>
                <w:sz w:val="24"/>
                <w:szCs w:val="24"/>
              </w:rPr>
              <w:t>本项最高得</w:t>
            </w:r>
            <w:r>
              <w:rPr>
                <w:rFonts w:hint="eastAsia" w:ascii="宋体" w:hAnsi="宋体" w:cs="宋体"/>
                <w:color w:val="auto"/>
                <w:sz w:val="24"/>
                <w:szCs w:val="24"/>
                <w:lang w:val="en-US" w:eastAsia="zh-CN"/>
              </w:rPr>
              <w:t>6</w:t>
            </w:r>
            <w:r>
              <w:rPr>
                <w:rFonts w:hint="eastAsia" w:ascii="宋体" w:hAnsi="宋体" w:cs="宋体"/>
                <w:color w:val="auto"/>
                <w:sz w:val="24"/>
                <w:szCs w:val="24"/>
              </w:rPr>
              <w:t>分。（以</w:t>
            </w:r>
            <w:r>
              <w:rPr>
                <w:rFonts w:hint="eastAsia" w:ascii="宋体" w:hAnsi="宋体" w:cs="宋体"/>
                <w:color w:val="auto"/>
                <w:sz w:val="24"/>
                <w:szCs w:val="24"/>
                <w:lang w:eastAsia="zh-CN"/>
              </w:rPr>
              <w:t>勘察</w:t>
            </w:r>
            <w:r>
              <w:rPr>
                <w:rFonts w:hint="eastAsia" w:ascii="宋体" w:hAnsi="宋体" w:cs="宋体"/>
                <w:color w:val="auto"/>
                <w:sz w:val="24"/>
                <w:szCs w:val="24"/>
              </w:rPr>
              <w:t>合同为准）</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项目负责人2016年1月1日以来获得</w:t>
            </w:r>
            <w:r>
              <w:rPr>
                <w:rFonts w:hint="eastAsia" w:ascii="宋体" w:hAnsi="宋体" w:eastAsia="宋体" w:cs="宋体"/>
                <w:color w:val="auto"/>
                <w:sz w:val="24"/>
                <w:szCs w:val="24"/>
              </w:rPr>
              <w:t>省级优</w:t>
            </w:r>
            <w:r>
              <w:rPr>
                <w:rFonts w:hint="eastAsia" w:ascii="宋体" w:hAnsi="宋体" w:cs="宋体"/>
                <w:color w:val="auto"/>
                <w:sz w:val="24"/>
                <w:szCs w:val="24"/>
                <w:lang w:eastAsia="zh-CN"/>
              </w:rPr>
              <w:t>质工程或优秀工程勘察的每项得</w:t>
            </w:r>
            <w:r>
              <w:rPr>
                <w:rFonts w:hint="eastAsia" w:ascii="宋体" w:hAnsi="宋体" w:cs="宋体"/>
                <w:color w:val="auto"/>
                <w:sz w:val="24"/>
                <w:szCs w:val="24"/>
                <w:lang w:val="en-US" w:eastAsia="zh-CN"/>
              </w:rPr>
              <w:t>2分，</w:t>
            </w:r>
            <w:r>
              <w:rPr>
                <w:rFonts w:hint="eastAsia" w:ascii="宋体" w:hAnsi="宋体" w:cs="宋体"/>
                <w:color w:val="auto"/>
                <w:sz w:val="24"/>
                <w:szCs w:val="24"/>
              </w:rPr>
              <w:t>本项最高得</w:t>
            </w:r>
            <w:r>
              <w:rPr>
                <w:rFonts w:hint="eastAsia" w:ascii="宋体" w:hAnsi="宋体" w:cs="宋体"/>
                <w:color w:val="auto"/>
                <w:sz w:val="24"/>
                <w:szCs w:val="24"/>
                <w:lang w:val="en-US" w:eastAsia="zh-CN"/>
              </w:rPr>
              <w:t>4</w:t>
            </w:r>
            <w:r>
              <w:rPr>
                <w:rFonts w:hint="eastAsia" w:ascii="宋体" w:hAnsi="宋体" w:cs="宋体"/>
                <w:color w:val="auto"/>
                <w:sz w:val="24"/>
                <w:szCs w:val="24"/>
              </w:rPr>
              <w:t>分。</w:t>
            </w:r>
          </w:p>
        </w:tc>
      </w:tr>
      <w:tr>
        <w:tblPrEx>
          <w:tblLayout w:type="fixed"/>
          <w:tblCellMar>
            <w:top w:w="0" w:type="dxa"/>
            <w:left w:w="0" w:type="dxa"/>
            <w:bottom w:w="0" w:type="dxa"/>
            <w:right w:w="0" w:type="dxa"/>
          </w:tblCellMar>
        </w:tblPrEx>
        <w:trPr>
          <w:trHeight w:val="830" w:hRule="atLeast"/>
          <w:jc w:val="center"/>
        </w:trPr>
        <w:tc>
          <w:tcPr>
            <w:tcW w:w="776" w:type="dxa"/>
            <w:vMerge w:val="continue"/>
            <w:tcBorders>
              <w:top w:val="single" w:color="auto" w:sz="4" w:space="0"/>
              <w:left w:val="single" w:color="000000" w:sz="4" w:space="0"/>
              <w:bottom w:val="single" w:color="auto" w:sz="4" w:space="0"/>
              <w:right w:val="single" w:color="auto" w:sz="4" w:space="0"/>
            </w:tcBorders>
            <w:vAlign w:val="center"/>
          </w:tcPr>
          <w:p>
            <w:pPr>
              <w:snapToGrid w:val="0"/>
              <w:spacing w:line="400" w:lineRule="exact"/>
              <w:ind w:firstLine="0" w:firstLineChars="0"/>
              <w:jc w:val="center"/>
              <w:rPr>
                <w:rFonts w:ascii="宋体" w:hAnsi="宋体" w:eastAsia="宋体"/>
                <w:color w:val="auto"/>
                <w:spacing w:val="2"/>
                <w:sz w:val="24"/>
                <w:szCs w:val="24"/>
              </w:rPr>
            </w:pPr>
          </w:p>
        </w:tc>
        <w:tc>
          <w:tcPr>
            <w:tcW w:w="967" w:type="dxa"/>
            <w:vMerge w:val="continue"/>
            <w:tcBorders>
              <w:top w:val="single" w:color="auto" w:sz="4" w:space="0"/>
              <w:left w:val="single" w:color="auto" w:sz="4" w:space="0"/>
              <w:bottom w:val="single" w:color="auto" w:sz="4" w:space="0"/>
              <w:right w:val="single" w:color="000000" w:sz="4" w:space="0"/>
            </w:tcBorders>
            <w:vAlign w:val="center"/>
          </w:tcPr>
          <w:p>
            <w:pPr>
              <w:snapToGrid w:val="0"/>
              <w:spacing w:line="400" w:lineRule="exact"/>
              <w:ind w:firstLine="0" w:firstLineChars="0"/>
              <w:jc w:val="center"/>
              <w:rPr>
                <w:rFonts w:ascii="宋体" w:hAnsi="宋体" w:eastAsia="宋体"/>
                <w:color w:val="auto"/>
                <w:spacing w:val="2"/>
                <w:sz w:val="24"/>
                <w:szCs w:val="24"/>
              </w:rPr>
            </w:pPr>
          </w:p>
        </w:tc>
        <w:tc>
          <w:tcPr>
            <w:tcW w:w="1733"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0" w:firstLineChars="0"/>
              <w:jc w:val="center"/>
              <w:rPr>
                <w:rFonts w:ascii="宋体" w:hAnsi="宋体" w:eastAsia="宋体" w:cs="宋体"/>
                <w:color w:val="auto"/>
                <w:sz w:val="24"/>
                <w:szCs w:val="24"/>
              </w:rPr>
            </w:pPr>
            <w:r>
              <w:rPr>
                <w:rFonts w:hint="eastAsia" w:ascii="宋体" w:hAnsi="宋体" w:eastAsia="宋体" w:cs="宋体"/>
                <w:color w:val="auto"/>
                <w:sz w:val="24"/>
                <w:szCs w:val="24"/>
              </w:rPr>
              <w:t xml:space="preserve"> 2、企业综合实力</w:t>
            </w:r>
          </w:p>
          <w:p>
            <w:pPr>
              <w:spacing w:line="400" w:lineRule="exact"/>
              <w:ind w:firstLine="0" w:firstLineChars="0"/>
              <w:jc w:val="center"/>
              <w:rPr>
                <w:rFonts w:ascii="宋体" w:hAnsi="宋体" w:eastAsia="宋体"/>
                <w:color w:val="auto"/>
                <w:spacing w:val="2"/>
                <w:sz w:val="24"/>
                <w:szCs w:val="24"/>
              </w:rPr>
            </w:pPr>
            <w:r>
              <w:rPr>
                <w:rFonts w:hint="eastAsia" w:ascii="宋体" w:hAnsi="宋体" w:eastAsia="宋体" w:cs="宋体"/>
                <w:color w:val="auto"/>
                <w:sz w:val="24"/>
                <w:szCs w:val="24"/>
              </w:rPr>
              <w:t xml:space="preserve"> （</w:t>
            </w:r>
            <w:r>
              <w:rPr>
                <w:rFonts w:hint="eastAsia" w:ascii="宋体" w:hAnsi="宋体" w:cs="宋体"/>
                <w:color w:val="auto"/>
                <w:sz w:val="24"/>
                <w:szCs w:val="24"/>
                <w:lang w:val="en-US" w:eastAsia="zh-CN"/>
              </w:rPr>
              <w:t>16</w:t>
            </w:r>
            <w:r>
              <w:rPr>
                <w:rFonts w:hint="eastAsia" w:ascii="宋体" w:hAnsi="宋体" w:eastAsia="宋体" w:cs="宋体"/>
                <w:color w:val="auto"/>
                <w:sz w:val="24"/>
                <w:szCs w:val="24"/>
              </w:rPr>
              <w:t>分）</w:t>
            </w:r>
          </w:p>
        </w:tc>
        <w:tc>
          <w:tcPr>
            <w:tcW w:w="5174" w:type="dxa"/>
            <w:tcBorders>
              <w:top w:val="single" w:color="000000" w:sz="4" w:space="0"/>
              <w:left w:val="single" w:color="000000" w:sz="4" w:space="0"/>
              <w:bottom w:val="single" w:color="000000" w:sz="4" w:space="0"/>
              <w:right w:val="single" w:color="000000" w:sz="4" w:space="0"/>
            </w:tcBorders>
          </w:tcPr>
          <w:p>
            <w:pPr>
              <w:spacing w:line="400" w:lineRule="exact"/>
              <w:ind w:firstLine="0" w:firstLineChars="0"/>
              <w:jc w:val="both"/>
              <w:rPr>
                <w:rFonts w:hint="eastAsia" w:ascii="宋体" w:hAnsi="宋体" w:eastAsia="宋体" w:cs="宋体"/>
                <w:color w:val="auto"/>
                <w:sz w:val="24"/>
                <w:szCs w:val="24"/>
              </w:rPr>
            </w:pPr>
            <w:r>
              <w:rPr>
                <w:rFonts w:hint="eastAsia" w:ascii="宋体" w:hAnsi="宋体" w:eastAsia="宋体" w:cs="宋体"/>
                <w:color w:val="auto"/>
                <w:sz w:val="24"/>
                <w:szCs w:val="24"/>
              </w:rPr>
              <w:t>1、企业201</w:t>
            </w:r>
            <w:r>
              <w:rPr>
                <w:rFonts w:hint="eastAsia" w:ascii="宋体" w:hAnsi="宋体" w:cs="宋体"/>
                <w:color w:val="auto"/>
                <w:sz w:val="24"/>
                <w:szCs w:val="24"/>
                <w:lang w:val="en-US" w:eastAsia="zh-CN"/>
              </w:rPr>
              <w:t>6</w:t>
            </w:r>
            <w:r>
              <w:rPr>
                <w:rFonts w:hint="eastAsia" w:ascii="宋体" w:hAnsi="宋体" w:eastAsia="宋体" w:cs="宋体"/>
                <w:color w:val="auto"/>
                <w:sz w:val="24"/>
                <w:szCs w:val="24"/>
              </w:rPr>
              <w:t>年1月1日以来有类似</w:t>
            </w:r>
            <w:r>
              <w:rPr>
                <w:rFonts w:hint="eastAsia" w:ascii="宋体" w:hAnsi="宋体" w:cs="宋体"/>
                <w:color w:val="auto"/>
                <w:sz w:val="24"/>
                <w:szCs w:val="24"/>
                <w:lang w:eastAsia="zh-CN"/>
              </w:rPr>
              <w:t>勘察</w:t>
            </w:r>
            <w:r>
              <w:rPr>
                <w:rFonts w:hint="eastAsia" w:ascii="宋体" w:hAnsi="宋体" w:eastAsia="宋体" w:cs="宋体"/>
                <w:color w:val="auto"/>
                <w:sz w:val="24"/>
                <w:szCs w:val="24"/>
              </w:rPr>
              <w:t>项目业绩者每项得</w:t>
            </w:r>
            <w:r>
              <w:rPr>
                <w:rFonts w:hint="eastAsia" w:ascii="宋体" w:hAnsi="宋体" w:cs="宋体"/>
                <w:color w:val="auto"/>
                <w:sz w:val="24"/>
                <w:szCs w:val="24"/>
                <w:lang w:val="en-US" w:eastAsia="zh-CN"/>
              </w:rPr>
              <w:t>2</w:t>
            </w:r>
            <w:r>
              <w:rPr>
                <w:rFonts w:hint="eastAsia" w:ascii="宋体" w:hAnsi="宋体" w:eastAsia="宋体" w:cs="宋体"/>
                <w:color w:val="auto"/>
                <w:sz w:val="24"/>
                <w:szCs w:val="24"/>
              </w:rPr>
              <w:t>分，本项最高得</w:t>
            </w:r>
            <w:r>
              <w:rPr>
                <w:rFonts w:hint="eastAsia" w:ascii="宋体" w:hAnsi="宋体" w:cs="宋体"/>
                <w:color w:val="auto"/>
                <w:sz w:val="24"/>
                <w:szCs w:val="24"/>
                <w:lang w:val="en-US" w:eastAsia="zh-CN"/>
              </w:rPr>
              <w:t>6</w:t>
            </w:r>
            <w:r>
              <w:rPr>
                <w:rFonts w:hint="eastAsia" w:ascii="宋体" w:hAnsi="宋体" w:eastAsia="宋体" w:cs="宋体"/>
                <w:color w:val="auto"/>
                <w:sz w:val="24"/>
                <w:szCs w:val="24"/>
              </w:rPr>
              <w:t>分。（以</w:t>
            </w:r>
            <w:r>
              <w:rPr>
                <w:rFonts w:hint="eastAsia" w:ascii="宋体" w:hAnsi="宋体" w:cs="宋体"/>
                <w:color w:val="auto"/>
                <w:sz w:val="24"/>
                <w:szCs w:val="24"/>
                <w:lang w:eastAsia="zh-CN"/>
              </w:rPr>
              <w:t>勘察</w:t>
            </w:r>
            <w:r>
              <w:rPr>
                <w:rFonts w:hint="eastAsia" w:ascii="宋体" w:hAnsi="宋体" w:eastAsia="宋体" w:cs="宋体"/>
                <w:color w:val="auto"/>
                <w:sz w:val="24"/>
                <w:szCs w:val="24"/>
              </w:rPr>
              <w:t>合同为准）</w:t>
            </w:r>
          </w:p>
          <w:p>
            <w:pPr>
              <w:spacing w:line="400" w:lineRule="exact"/>
              <w:ind w:firstLine="0" w:firstLineChars="0"/>
              <w:jc w:val="both"/>
              <w:rPr>
                <w:rFonts w:hint="eastAsia" w:ascii="宋体" w:hAnsi="宋体" w:eastAsia="宋体" w:cs="宋体"/>
                <w:color w:val="auto"/>
                <w:sz w:val="24"/>
                <w:szCs w:val="24"/>
              </w:rPr>
            </w:pPr>
            <w:r>
              <w:rPr>
                <w:rFonts w:hint="eastAsia" w:ascii="宋体" w:hAnsi="宋体" w:eastAsia="宋体" w:cs="宋体"/>
                <w:color w:val="auto"/>
                <w:sz w:val="24"/>
                <w:szCs w:val="24"/>
              </w:rPr>
              <w:t>2.投标人201</w:t>
            </w:r>
            <w:r>
              <w:rPr>
                <w:rFonts w:hint="eastAsia" w:ascii="宋体" w:hAnsi="宋体" w:cs="宋体"/>
                <w:color w:val="auto"/>
                <w:sz w:val="24"/>
                <w:szCs w:val="24"/>
                <w:lang w:val="en-US" w:eastAsia="zh-CN"/>
              </w:rPr>
              <w:t>6</w:t>
            </w:r>
            <w:r>
              <w:rPr>
                <w:rFonts w:hint="eastAsia" w:ascii="宋体" w:hAnsi="宋体" w:eastAsia="宋体" w:cs="宋体"/>
                <w:color w:val="auto"/>
                <w:sz w:val="24"/>
                <w:szCs w:val="24"/>
              </w:rPr>
              <w:t>年1月1日以来获省级优</w:t>
            </w:r>
            <w:r>
              <w:rPr>
                <w:rFonts w:hint="eastAsia" w:ascii="宋体" w:hAnsi="宋体" w:cs="宋体"/>
                <w:color w:val="auto"/>
                <w:sz w:val="24"/>
                <w:szCs w:val="24"/>
                <w:lang w:eastAsia="zh-CN"/>
              </w:rPr>
              <w:t>质工程</w:t>
            </w:r>
            <w:r>
              <w:rPr>
                <w:rFonts w:hint="eastAsia" w:ascii="宋体" w:hAnsi="宋体" w:eastAsia="宋体" w:cs="宋体"/>
                <w:color w:val="auto"/>
                <w:sz w:val="24"/>
                <w:szCs w:val="24"/>
              </w:rPr>
              <w:t>的每项得到</w:t>
            </w:r>
            <w:r>
              <w:rPr>
                <w:rFonts w:hint="eastAsia" w:ascii="宋体" w:hAnsi="宋体" w:cs="宋体"/>
                <w:color w:val="auto"/>
                <w:sz w:val="24"/>
                <w:szCs w:val="24"/>
                <w:lang w:val="en-US" w:eastAsia="zh-CN"/>
              </w:rPr>
              <w:t>2</w:t>
            </w:r>
            <w:r>
              <w:rPr>
                <w:rFonts w:hint="eastAsia" w:ascii="宋体" w:hAnsi="宋体" w:eastAsia="宋体" w:cs="宋体"/>
                <w:color w:val="auto"/>
                <w:sz w:val="24"/>
                <w:szCs w:val="24"/>
              </w:rPr>
              <w:t>分，最多</w:t>
            </w:r>
            <w:r>
              <w:rPr>
                <w:rFonts w:hint="eastAsia" w:ascii="宋体" w:hAnsi="宋体" w:cs="宋体"/>
                <w:color w:val="auto"/>
                <w:sz w:val="24"/>
                <w:szCs w:val="24"/>
                <w:lang w:val="en-US" w:eastAsia="zh-CN"/>
              </w:rPr>
              <w:t>2</w:t>
            </w:r>
            <w:r>
              <w:rPr>
                <w:rFonts w:hint="eastAsia" w:ascii="宋体" w:hAnsi="宋体" w:eastAsia="宋体" w:cs="宋体"/>
                <w:color w:val="auto"/>
                <w:sz w:val="24"/>
                <w:szCs w:val="24"/>
              </w:rPr>
              <w:t>分。</w:t>
            </w:r>
          </w:p>
          <w:p>
            <w:pPr>
              <w:spacing w:line="400" w:lineRule="exact"/>
              <w:ind w:firstLine="0" w:firstLineChars="0"/>
              <w:jc w:val="both"/>
              <w:rPr>
                <w:rFonts w:hint="eastAsia" w:ascii="宋体" w:hAnsi="宋体" w:eastAsia="宋体" w:cs="宋体"/>
                <w:color w:val="auto"/>
                <w:sz w:val="24"/>
                <w:szCs w:val="24"/>
              </w:rPr>
            </w:pPr>
            <w:r>
              <w:rPr>
                <w:rFonts w:hint="eastAsia" w:ascii="宋体" w:hAnsi="宋体" w:eastAsia="宋体" w:cs="宋体"/>
                <w:color w:val="auto"/>
                <w:sz w:val="24"/>
                <w:szCs w:val="24"/>
              </w:rPr>
              <w:t>3、企业具有质量管理体系认证证书者得1分。具有环境管理体系认证证书的得1分，具有职业健康安全管理体系认证证书的得到1分，本项最高得3分。（以证书为准）</w:t>
            </w:r>
          </w:p>
          <w:p>
            <w:pPr>
              <w:spacing w:line="400" w:lineRule="exact"/>
              <w:ind w:firstLine="0" w:firstLineChars="0"/>
              <w:jc w:val="both"/>
              <w:rPr>
                <w:rFonts w:hint="eastAsia" w:ascii="宋体" w:hAnsi="宋体" w:eastAsia="宋体" w:cs="宋体"/>
                <w:color w:val="auto"/>
                <w:sz w:val="24"/>
                <w:szCs w:val="24"/>
              </w:rPr>
            </w:pPr>
            <w:r>
              <w:rPr>
                <w:rFonts w:hint="eastAsia" w:ascii="宋体" w:hAnsi="宋体" w:eastAsia="宋体" w:cs="宋体"/>
                <w:color w:val="auto"/>
                <w:sz w:val="24"/>
                <w:szCs w:val="24"/>
              </w:rPr>
              <w:t>4、近年来，企业获得3A诚信单位者得3分</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2A</w:t>
            </w:r>
            <w:r>
              <w:rPr>
                <w:rFonts w:hint="eastAsia" w:ascii="宋体" w:hAnsi="宋体" w:eastAsia="宋体" w:cs="宋体"/>
                <w:color w:val="auto"/>
                <w:sz w:val="24"/>
                <w:szCs w:val="24"/>
              </w:rPr>
              <w:t>诚信单位者得</w:t>
            </w:r>
            <w:r>
              <w:rPr>
                <w:rFonts w:hint="eastAsia" w:ascii="宋体" w:hAnsi="宋体" w:cs="宋体"/>
                <w:color w:val="auto"/>
                <w:sz w:val="24"/>
                <w:szCs w:val="24"/>
                <w:lang w:val="en-US" w:eastAsia="zh-CN"/>
              </w:rPr>
              <w:t>2</w:t>
            </w:r>
            <w:r>
              <w:rPr>
                <w:rFonts w:hint="eastAsia" w:ascii="宋体" w:hAnsi="宋体" w:eastAsia="宋体" w:cs="宋体"/>
                <w:color w:val="auto"/>
                <w:sz w:val="24"/>
                <w:szCs w:val="24"/>
              </w:rPr>
              <w:t>分</w:t>
            </w:r>
            <w:r>
              <w:rPr>
                <w:rFonts w:hint="eastAsia" w:ascii="宋体" w:hAnsi="宋体" w:cs="宋体"/>
                <w:color w:val="auto"/>
                <w:sz w:val="24"/>
                <w:szCs w:val="24"/>
                <w:lang w:eastAsia="zh-CN"/>
              </w:rPr>
              <w:t>，否则不得分</w:t>
            </w:r>
            <w:r>
              <w:rPr>
                <w:rFonts w:hint="eastAsia" w:ascii="宋体" w:hAnsi="宋体" w:eastAsia="宋体" w:cs="宋体"/>
                <w:color w:val="auto"/>
                <w:sz w:val="24"/>
                <w:szCs w:val="24"/>
              </w:rPr>
              <w:t>。（以证书为准）</w:t>
            </w:r>
          </w:p>
          <w:p>
            <w:pPr>
              <w:spacing w:line="400" w:lineRule="exact"/>
              <w:ind w:firstLine="0" w:firstLineChars="0"/>
              <w:jc w:val="both"/>
              <w:rPr>
                <w:rFonts w:ascii="宋体" w:hAnsi="宋体" w:eastAsia="宋体" w:cs="宋体"/>
                <w:color w:val="auto"/>
                <w:sz w:val="24"/>
                <w:szCs w:val="24"/>
              </w:rPr>
            </w:pPr>
            <w:r>
              <w:rPr>
                <w:rFonts w:hint="eastAsia" w:ascii="宋体" w:hAnsi="宋体" w:eastAsia="宋体" w:cs="宋体"/>
                <w:color w:val="auto"/>
                <w:sz w:val="24"/>
                <w:szCs w:val="24"/>
              </w:rPr>
              <w:t>5、投标人须提供工商企业信用信息公示报告（国家企业信用信息公示系统http://www.gsxt.gov.cn）、企业所在地税务主管部门出具的纳税情况证明等信用情况，无不良信息者每项得1分，未提供或有不良信息者不得分。本项最高得2分。</w:t>
            </w:r>
          </w:p>
        </w:tc>
      </w:tr>
      <w:tr>
        <w:tblPrEx>
          <w:tblLayout w:type="fixed"/>
          <w:tblCellMar>
            <w:top w:w="0" w:type="dxa"/>
            <w:left w:w="0" w:type="dxa"/>
            <w:bottom w:w="0" w:type="dxa"/>
            <w:right w:w="0" w:type="dxa"/>
          </w:tblCellMar>
        </w:tblPrEx>
        <w:trPr>
          <w:trHeight w:val="598" w:hRule="atLeast"/>
          <w:jc w:val="center"/>
        </w:trPr>
        <w:tc>
          <w:tcPr>
            <w:tcW w:w="776" w:type="dxa"/>
            <w:vMerge w:val="continue"/>
            <w:tcBorders>
              <w:top w:val="single" w:color="auto" w:sz="4" w:space="0"/>
              <w:left w:val="single" w:color="000000" w:sz="4" w:space="0"/>
              <w:bottom w:val="single" w:color="auto" w:sz="4" w:space="0"/>
              <w:right w:val="single" w:color="auto" w:sz="4" w:space="0"/>
            </w:tcBorders>
            <w:vAlign w:val="center"/>
          </w:tcPr>
          <w:p>
            <w:pPr>
              <w:snapToGrid w:val="0"/>
              <w:spacing w:line="400" w:lineRule="exact"/>
              <w:ind w:firstLine="0" w:firstLineChars="0"/>
              <w:jc w:val="center"/>
              <w:rPr>
                <w:rFonts w:ascii="宋体" w:hAnsi="宋体" w:eastAsia="宋体"/>
                <w:color w:val="auto"/>
                <w:spacing w:val="2"/>
                <w:sz w:val="24"/>
                <w:szCs w:val="24"/>
              </w:rPr>
            </w:pPr>
          </w:p>
        </w:tc>
        <w:tc>
          <w:tcPr>
            <w:tcW w:w="967" w:type="dxa"/>
            <w:vMerge w:val="continue"/>
            <w:tcBorders>
              <w:top w:val="single" w:color="auto" w:sz="4" w:space="0"/>
              <w:left w:val="single" w:color="auto" w:sz="4" w:space="0"/>
              <w:bottom w:val="single" w:color="auto" w:sz="4" w:space="0"/>
              <w:right w:val="single" w:color="000000" w:sz="4" w:space="0"/>
            </w:tcBorders>
            <w:vAlign w:val="center"/>
          </w:tcPr>
          <w:p>
            <w:pPr>
              <w:snapToGrid w:val="0"/>
              <w:spacing w:line="400" w:lineRule="exact"/>
              <w:ind w:firstLine="0" w:firstLineChars="0"/>
              <w:jc w:val="center"/>
              <w:rPr>
                <w:rFonts w:ascii="宋体" w:hAnsi="宋体" w:eastAsia="宋体"/>
                <w:color w:val="auto"/>
                <w:spacing w:val="2"/>
                <w:sz w:val="24"/>
                <w:szCs w:val="24"/>
              </w:rPr>
            </w:pPr>
          </w:p>
        </w:tc>
        <w:tc>
          <w:tcPr>
            <w:tcW w:w="1733" w:type="dxa"/>
            <w:tcBorders>
              <w:top w:val="single" w:color="000000" w:sz="4" w:space="0"/>
              <w:left w:val="single" w:color="000000" w:sz="4" w:space="0"/>
              <w:bottom w:val="single" w:color="000000" w:sz="4" w:space="0"/>
              <w:right w:val="single" w:color="000000" w:sz="4" w:space="0"/>
            </w:tcBorders>
            <w:vAlign w:val="center"/>
          </w:tcPr>
          <w:p>
            <w:pPr>
              <w:numPr>
                <w:ilvl w:val="0"/>
                <w:numId w:val="1"/>
              </w:numPr>
              <w:snapToGrid w:val="0"/>
              <w:spacing w:line="400" w:lineRule="exact"/>
              <w:ind w:left="0" w:leftChars="0"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投标工期</w:t>
            </w:r>
          </w:p>
          <w:p>
            <w:pPr>
              <w:numPr>
                <w:ilvl w:val="0"/>
                <w:numId w:val="0"/>
              </w:numPr>
              <w:snapToGrid w:val="0"/>
              <w:spacing w:line="400" w:lineRule="exact"/>
              <w:ind w:leftChars="0" w:firstLine="480" w:firstLineChars="200"/>
              <w:jc w:val="both"/>
              <w:rPr>
                <w:rFonts w:ascii="宋体" w:hAnsi="宋体" w:eastAsia="宋体"/>
                <w:color w:val="auto"/>
                <w:spacing w:val="2"/>
                <w:sz w:val="24"/>
                <w:szCs w:val="24"/>
              </w:rPr>
            </w:pPr>
            <w:r>
              <w:rPr>
                <w:rFonts w:hint="eastAsia" w:ascii="宋体" w:hAnsi="宋体" w:eastAsia="宋体" w:cs="宋体"/>
                <w:color w:val="auto"/>
                <w:sz w:val="24"/>
                <w:szCs w:val="24"/>
              </w:rPr>
              <w:t>（0-2分）</w:t>
            </w:r>
          </w:p>
        </w:tc>
        <w:tc>
          <w:tcPr>
            <w:tcW w:w="5174"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480"/>
              <w:jc w:val="both"/>
              <w:rPr>
                <w:rFonts w:ascii="宋体" w:hAnsi="宋体" w:eastAsia="宋体" w:cs="宋体"/>
                <w:color w:val="auto"/>
                <w:sz w:val="24"/>
                <w:szCs w:val="24"/>
              </w:rPr>
            </w:pPr>
            <w:r>
              <w:rPr>
                <w:rFonts w:hint="eastAsia" w:ascii="宋体" w:hAnsi="宋体" w:eastAsia="宋体" w:cs="宋体"/>
                <w:color w:val="auto"/>
                <w:sz w:val="24"/>
                <w:szCs w:val="24"/>
              </w:rPr>
              <w:t>每低于目标工期2天者得1分，最高得2分。</w:t>
            </w:r>
          </w:p>
        </w:tc>
      </w:tr>
      <w:tr>
        <w:tblPrEx>
          <w:tblLayout w:type="fixed"/>
          <w:tblCellMar>
            <w:top w:w="0" w:type="dxa"/>
            <w:left w:w="0" w:type="dxa"/>
            <w:bottom w:w="0" w:type="dxa"/>
            <w:right w:w="0" w:type="dxa"/>
          </w:tblCellMar>
        </w:tblPrEx>
        <w:trPr>
          <w:trHeight w:val="822" w:hRule="atLeast"/>
          <w:jc w:val="center"/>
        </w:trPr>
        <w:tc>
          <w:tcPr>
            <w:tcW w:w="776" w:type="dxa"/>
            <w:vMerge w:val="continue"/>
            <w:tcBorders>
              <w:top w:val="single" w:color="auto" w:sz="4" w:space="0"/>
              <w:left w:val="single" w:color="000000"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color w:val="auto"/>
                <w:sz w:val="24"/>
                <w:szCs w:val="24"/>
              </w:rPr>
            </w:pPr>
          </w:p>
        </w:tc>
        <w:tc>
          <w:tcPr>
            <w:tcW w:w="967" w:type="dxa"/>
            <w:vMerge w:val="continue"/>
            <w:tcBorders>
              <w:top w:val="single" w:color="auto" w:sz="4" w:space="0"/>
              <w:left w:val="single" w:color="auto" w:sz="4" w:space="0"/>
              <w:bottom w:val="single" w:color="auto" w:sz="4" w:space="0"/>
              <w:right w:val="single" w:color="000000" w:sz="4" w:space="0"/>
            </w:tcBorders>
            <w:vAlign w:val="center"/>
          </w:tcPr>
          <w:p>
            <w:pPr>
              <w:spacing w:line="400" w:lineRule="exact"/>
              <w:ind w:firstLine="0" w:firstLineChars="0"/>
              <w:jc w:val="center"/>
              <w:rPr>
                <w:rFonts w:ascii="宋体" w:hAnsi="宋体" w:eastAsia="宋体" w:cs="宋体"/>
                <w:color w:val="auto"/>
                <w:sz w:val="24"/>
                <w:szCs w:val="24"/>
              </w:rPr>
            </w:pPr>
          </w:p>
        </w:tc>
        <w:tc>
          <w:tcPr>
            <w:tcW w:w="1733" w:type="dxa"/>
            <w:tcBorders>
              <w:top w:val="single" w:color="000000" w:sz="4" w:space="0"/>
              <w:left w:val="single" w:color="000000" w:sz="4" w:space="0"/>
              <w:bottom w:val="single" w:color="000000" w:sz="4" w:space="0"/>
              <w:right w:val="single" w:color="000000" w:sz="4" w:space="0"/>
            </w:tcBorders>
            <w:vAlign w:val="center"/>
          </w:tcPr>
          <w:p>
            <w:pPr>
              <w:numPr>
                <w:ilvl w:val="0"/>
                <w:numId w:val="0"/>
              </w:numPr>
              <w:snapToGrid w:val="0"/>
              <w:spacing w:line="400" w:lineRule="exact"/>
              <w:ind w:firstLine="240" w:firstLineChars="100"/>
              <w:rPr>
                <w:rFonts w:hint="eastAsia" w:ascii="宋体" w:hAnsi="宋体" w:eastAsia="宋体" w:cs="宋体"/>
                <w:color w:val="auto"/>
                <w:sz w:val="24"/>
                <w:szCs w:val="24"/>
              </w:rPr>
            </w:pPr>
            <w:r>
              <w:rPr>
                <w:rFonts w:hint="eastAsia" w:ascii="宋体" w:hAnsi="宋体" w:cs="宋体"/>
                <w:color w:val="auto"/>
                <w:sz w:val="24"/>
                <w:szCs w:val="24"/>
                <w:lang w:val="en-US" w:eastAsia="zh-CN"/>
              </w:rPr>
              <w:t>3、</w:t>
            </w:r>
            <w:r>
              <w:rPr>
                <w:rFonts w:hint="eastAsia" w:ascii="宋体" w:hAnsi="宋体" w:eastAsia="宋体" w:cs="宋体"/>
                <w:color w:val="auto"/>
                <w:sz w:val="24"/>
                <w:szCs w:val="24"/>
              </w:rPr>
              <w:t>服务承诺</w:t>
            </w:r>
          </w:p>
          <w:p>
            <w:pPr>
              <w:numPr>
                <w:ilvl w:val="0"/>
                <w:numId w:val="0"/>
              </w:numPr>
              <w:snapToGrid w:val="0"/>
              <w:spacing w:line="400" w:lineRule="exact"/>
              <w:ind w:firstLine="240" w:firstLineChars="100"/>
              <w:rPr>
                <w:rFonts w:ascii="宋体" w:hAnsi="宋体" w:eastAsia="宋体"/>
                <w:color w:val="auto"/>
                <w:spacing w:val="2"/>
                <w:sz w:val="24"/>
                <w:szCs w:val="24"/>
              </w:rPr>
            </w:pPr>
            <w:r>
              <w:rPr>
                <w:rFonts w:hint="eastAsia" w:ascii="宋体" w:hAnsi="宋体" w:eastAsia="宋体" w:cs="宋体"/>
                <w:color w:val="auto"/>
                <w:sz w:val="24"/>
                <w:szCs w:val="24"/>
              </w:rPr>
              <w:t>（1-5分）</w:t>
            </w:r>
          </w:p>
        </w:tc>
        <w:tc>
          <w:tcPr>
            <w:tcW w:w="5174"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480"/>
              <w:jc w:val="both"/>
              <w:rPr>
                <w:rFonts w:ascii="宋体" w:hAnsi="宋体" w:eastAsia="宋体" w:cs="宋体"/>
                <w:color w:val="auto"/>
                <w:sz w:val="24"/>
                <w:szCs w:val="24"/>
              </w:rPr>
            </w:pPr>
            <w:r>
              <w:rPr>
                <w:rFonts w:hint="eastAsia" w:ascii="宋体" w:hAnsi="宋体" w:eastAsia="宋体" w:cs="宋体"/>
                <w:color w:val="auto"/>
                <w:sz w:val="24"/>
                <w:szCs w:val="24"/>
              </w:rPr>
              <w:t>投标人针对招标项目的特点和要求，结合自身条件和潜力为招标人排忧解难，有优惠承诺者由评委进行综合评分，在1—5分范围内进行打分。</w:t>
            </w:r>
          </w:p>
        </w:tc>
      </w:tr>
      <w:tr>
        <w:tblPrEx>
          <w:tblLayout w:type="fixed"/>
          <w:tblCellMar>
            <w:top w:w="0" w:type="dxa"/>
            <w:left w:w="0" w:type="dxa"/>
            <w:bottom w:w="0" w:type="dxa"/>
            <w:right w:w="0" w:type="dxa"/>
          </w:tblCellMar>
        </w:tblPrEx>
        <w:trPr>
          <w:trHeight w:val="90" w:hRule="atLeast"/>
          <w:jc w:val="center"/>
        </w:trPr>
        <w:tc>
          <w:tcPr>
            <w:tcW w:w="776" w:type="dxa"/>
            <w:vMerge w:val="restart"/>
            <w:tcBorders>
              <w:top w:val="single" w:color="auto" w:sz="4" w:space="0"/>
              <w:left w:val="single" w:color="000000" w:sz="4" w:space="0"/>
              <w:bottom w:val="single" w:color="auto" w:sz="4" w:space="0"/>
              <w:right w:val="single" w:color="000000" w:sz="4" w:space="0"/>
            </w:tcBorders>
            <w:vAlign w:val="center"/>
          </w:tcPr>
          <w:p>
            <w:pPr>
              <w:snapToGrid w:val="0"/>
              <w:spacing w:line="400" w:lineRule="exact"/>
              <w:ind w:firstLine="0" w:firstLineChars="0"/>
              <w:jc w:val="center"/>
              <w:rPr>
                <w:rFonts w:ascii="宋体" w:hAnsi="宋体" w:eastAsia="宋体"/>
                <w:color w:val="auto"/>
                <w:spacing w:val="2"/>
                <w:sz w:val="24"/>
                <w:szCs w:val="24"/>
              </w:rPr>
            </w:pPr>
            <w:r>
              <w:rPr>
                <w:rFonts w:hint="eastAsia" w:ascii="宋体" w:hAnsi="宋体" w:eastAsia="宋体"/>
                <w:color w:val="auto"/>
                <w:spacing w:val="2"/>
                <w:sz w:val="24"/>
                <w:szCs w:val="24"/>
              </w:rPr>
              <w:t>2.2.4</w:t>
            </w:r>
          </w:p>
        </w:tc>
        <w:tc>
          <w:tcPr>
            <w:tcW w:w="967" w:type="dxa"/>
            <w:vMerge w:val="restart"/>
            <w:tcBorders>
              <w:top w:val="single" w:color="auto" w:sz="4" w:space="0"/>
              <w:left w:val="single" w:color="000000" w:sz="4" w:space="0"/>
              <w:bottom w:val="single" w:color="auto" w:sz="4" w:space="0"/>
              <w:right w:val="single" w:color="000000" w:sz="4" w:space="0"/>
            </w:tcBorders>
            <w:vAlign w:val="center"/>
          </w:tcPr>
          <w:p>
            <w:pPr>
              <w:spacing w:line="400" w:lineRule="exact"/>
              <w:ind w:firstLine="0" w:firstLineChars="0"/>
              <w:rPr>
                <w:rFonts w:hint="eastAsia" w:ascii="宋体" w:hAnsi="宋体" w:eastAsia="宋体"/>
                <w:color w:val="auto"/>
                <w:spacing w:val="2"/>
                <w:sz w:val="24"/>
                <w:szCs w:val="24"/>
              </w:rPr>
            </w:pPr>
            <w:r>
              <w:rPr>
                <w:rFonts w:hint="eastAsia" w:ascii="宋体" w:hAnsi="宋体"/>
                <w:color w:val="auto"/>
                <w:spacing w:val="2"/>
                <w:sz w:val="24"/>
                <w:szCs w:val="24"/>
                <w:lang w:eastAsia="zh-CN"/>
              </w:rPr>
              <w:t>勘察纲要</w:t>
            </w:r>
            <w:r>
              <w:rPr>
                <w:rFonts w:hint="eastAsia" w:ascii="宋体" w:hAnsi="宋体" w:eastAsia="宋体"/>
                <w:color w:val="auto"/>
                <w:spacing w:val="2"/>
                <w:sz w:val="24"/>
                <w:szCs w:val="24"/>
              </w:rPr>
              <w:t>评分标准</w:t>
            </w:r>
          </w:p>
          <w:p>
            <w:pPr>
              <w:spacing w:line="400" w:lineRule="exact"/>
              <w:ind w:firstLine="0" w:firstLineChars="0"/>
              <w:rPr>
                <w:rFonts w:ascii="宋体" w:hAnsi="宋体" w:eastAsia="宋体"/>
                <w:color w:val="auto"/>
                <w:spacing w:val="2"/>
                <w:sz w:val="24"/>
                <w:szCs w:val="24"/>
              </w:rPr>
            </w:pPr>
            <w:r>
              <w:rPr>
                <w:rFonts w:hint="eastAsia" w:ascii="宋体" w:hAnsi="宋体" w:eastAsia="宋体"/>
                <w:color w:val="auto"/>
                <w:spacing w:val="2"/>
                <w:sz w:val="24"/>
                <w:szCs w:val="24"/>
              </w:rPr>
              <w:t>（</w:t>
            </w:r>
            <w:r>
              <w:rPr>
                <w:rFonts w:hint="eastAsia" w:ascii="宋体" w:hAnsi="宋体"/>
                <w:color w:val="auto"/>
                <w:spacing w:val="2"/>
                <w:sz w:val="24"/>
                <w:szCs w:val="24"/>
                <w:lang w:val="en-US" w:eastAsia="zh-CN"/>
              </w:rPr>
              <w:t>40</w:t>
            </w:r>
            <w:r>
              <w:rPr>
                <w:rFonts w:hint="eastAsia" w:ascii="宋体" w:hAnsi="宋体" w:eastAsia="宋体"/>
                <w:color w:val="auto"/>
                <w:spacing w:val="2"/>
                <w:sz w:val="24"/>
                <w:szCs w:val="24"/>
              </w:rPr>
              <w:t>分）</w:t>
            </w:r>
          </w:p>
        </w:tc>
        <w:tc>
          <w:tcPr>
            <w:tcW w:w="1733" w:type="dxa"/>
            <w:tcBorders>
              <w:top w:val="single" w:color="000000" w:sz="4" w:space="0"/>
              <w:left w:val="single" w:color="000000" w:sz="4" w:space="0"/>
              <w:bottom w:val="single" w:color="000000" w:sz="4" w:space="0"/>
              <w:right w:val="single" w:color="000000" w:sz="4" w:space="0"/>
            </w:tcBorders>
            <w:vAlign w:val="center"/>
          </w:tcPr>
          <w:p>
            <w:pPr>
              <w:numPr>
                <w:ilvl w:val="0"/>
                <w:numId w:val="2"/>
              </w:numPr>
              <w:spacing w:line="400" w:lineRule="exact"/>
              <w:ind w:firstLine="0" w:firstLineChars="0"/>
              <w:jc w:val="center"/>
              <w:rPr>
                <w:rFonts w:hint="eastAsia" w:ascii="宋体" w:hAnsi="宋体" w:eastAsia="宋体"/>
                <w:color w:val="auto"/>
                <w:spacing w:val="2"/>
                <w:sz w:val="24"/>
                <w:szCs w:val="24"/>
              </w:rPr>
            </w:pPr>
            <w:r>
              <w:rPr>
                <w:rFonts w:hint="eastAsia" w:ascii="宋体" w:hAnsi="宋体"/>
                <w:color w:val="auto"/>
                <w:spacing w:val="2"/>
                <w:sz w:val="24"/>
                <w:szCs w:val="24"/>
                <w:lang w:eastAsia="zh-CN"/>
              </w:rPr>
              <w:t>勘察</w:t>
            </w:r>
            <w:r>
              <w:rPr>
                <w:rFonts w:hint="eastAsia" w:ascii="宋体" w:hAnsi="宋体" w:eastAsia="宋体"/>
                <w:color w:val="auto"/>
                <w:spacing w:val="2"/>
                <w:sz w:val="24"/>
                <w:szCs w:val="24"/>
              </w:rPr>
              <w:t>范围、</w:t>
            </w:r>
            <w:r>
              <w:rPr>
                <w:rFonts w:hint="eastAsia" w:ascii="宋体" w:hAnsi="宋体"/>
                <w:color w:val="auto"/>
                <w:spacing w:val="2"/>
                <w:sz w:val="24"/>
                <w:szCs w:val="24"/>
                <w:lang w:eastAsia="zh-CN"/>
              </w:rPr>
              <w:t>勘察</w:t>
            </w:r>
            <w:r>
              <w:rPr>
                <w:rFonts w:hint="eastAsia" w:ascii="宋体" w:hAnsi="宋体" w:eastAsia="宋体"/>
                <w:color w:val="auto"/>
                <w:spacing w:val="2"/>
                <w:sz w:val="24"/>
                <w:szCs w:val="24"/>
              </w:rPr>
              <w:t>内容</w:t>
            </w:r>
          </w:p>
          <w:p>
            <w:pPr>
              <w:numPr>
                <w:ilvl w:val="0"/>
                <w:numId w:val="0"/>
              </w:numPr>
              <w:spacing w:line="400" w:lineRule="exact"/>
              <w:ind w:firstLine="244" w:firstLineChars="100"/>
              <w:jc w:val="both"/>
              <w:rPr>
                <w:rFonts w:ascii="宋体" w:hAnsi="宋体" w:eastAsia="宋体"/>
                <w:color w:val="auto"/>
                <w:spacing w:val="2"/>
                <w:sz w:val="24"/>
                <w:szCs w:val="24"/>
              </w:rPr>
            </w:pPr>
            <w:r>
              <w:rPr>
                <w:rFonts w:hint="eastAsia" w:ascii="宋体" w:hAnsi="宋体" w:eastAsia="宋体"/>
                <w:color w:val="auto"/>
                <w:spacing w:val="2"/>
                <w:sz w:val="24"/>
                <w:szCs w:val="24"/>
              </w:rPr>
              <w:t>（1-</w:t>
            </w:r>
            <w:r>
              <w:rPr>
                <w:rFonts w:hint="eastAsia" w:ascii="宋体" w:hAnsi="宋体"/>
                <w:color w:val="auto"/>
                <w:spacing w:val="2"/>
                <w:sz w:val="24"/>
                <w:szCs w:val="24"/>
                <w:lang w:val="en-US" w:eastAsia="zh-CN"/>
              </w:rPr>
              <w:t>5</w:t>
            </w:r>
            <w:r>
              <w:rPr>
                <w:rFonts w:hint="eastAsia" w:ascii="宋体" w:hAnsi="宋体" w:eastAsia="宋体"/>
                <w:color w:val="auto"/>
                <w:spacing w:val="2"/>
                <w:sz w:val="24"/>
                <w:szCs w:val="24"/>
              </w:rPr>
              <w:t>分）</w:t>
            </w:r>
          </w:p>
        </w:tc>
        <w:tc>
          <w:tcPr>
            <w:tcW w:w="5174"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480"/>
              <w:jc w:val="both"/>
              <w:rPr>
                <w:rFonts w:ascii="宋体" w:hAnsi="宋体" w:eastAsia="宋体"/>
                <w:color w:val="auto"/>
                <w:spacing w:val="2"/>
                <w:sz w:val="24"/>
                <w:szCs w:val="24"/>
              </w:rPr>
            </w:pPr>
            <w:r>
              <w:rPr>
                <w:rFonts w:hint="eastAsia" w:ascii="宋体" w:hAnsi="宋体" w:eastAsia="宋体" w:cs="宋体"/>
                <w:color w:val="auto"/>
                <w:sz w:val="24"/>
                <w:szCs w:val="24"/>
              </w:rPr>
              <w:t>根据</w:t>
            </w:r>
            <w:r>
              <w:rPr>
                <w:rFonts w:hint="eastAsia" w:ascii="宋体" w:hAnsi="宋体"/>
                <w:color w:val="auto"/>
                <w:spacing w:val="2"/>
                <w:sz w:val="24"/>
                <w:szCs w:val="24"/>
                <w:lang w:eastAsia="zh-CN"/>
              </w:rPr>
              <w:t>勘察</w:t>
            </w:r>
            <w:r>
              <w:rPr>
                <w:rFonts w:hint="eastAsia" w:ascii="宋体" w:hAnsi="宋体" w:eastAsia="宋体" w:cs="宋体"/>
                <w:color w:val="auto"/>
                <w:sz w:val="24"/>
                <w:szCs w:val="24"/>
              </w:rPr>
              <w:t>范围、</w:t>
            </w:r>
            <w:r>
              <w:rPr>
                <w:rFonts w:hint="eastAsia" w:ascii="宋体" w:hAnsi="宋体"/>
                <w:color w:val="auto"/>
                <w:spacing w:val="2"/>
                <w:sz w:val="24"/>
                <w:szCs w:val="24"/>
                <w:lang w:eastAsia="zh-CN"/>
              </w:rPr>
              <w:t>勘察</w:t>
            </w:r>
            <w:r>
              <w:rPr>
                <w:rFonts w:hint="eastAsia" w:ascii="宋体" w:hAnsi="宋体" w:eastAsia="宋体" w:cs="宋体"/>
                <w:color w:val="auto"/>
                <w:sz w:val="24"/>
                <w:szCs w:val="24"/>
              </w:rPr>
              <w:t>内容等方面进行对比，在1-</w:t>
            </w:r>
            <w:r>
              <w:rPr>
                <w:rFonts w:hint="eastAsia" w:ascii="宋体" w:hAnsi="宋体" w:cs="宋体"/>
                <w:color w:val="auto"/>
                <w:sz w:val="24"/>
                <w:szCs w:val="24"/>
                <w:lang w:val="en-US" w:eastAsia="zh-CN"/>
              </w:rPr>
              <w:t>5</w:t>
            </w:r>
            <w:r>
              <w:rPr>
                <w:rFonts w:hint="eastAsia" w:ascii="宋体" w:hAnsi="宋体" w:eastAsia="宋体" w:cs="宋体"/>
                <w:color w:val="auto"/>
                <w:sz w:val="24"/>
                <w:szCs w:val="24"/>
              </w:rPr>
              <w:t>分范围内酌情打分。缺项为0分。</w:t>
            </w:r>
          </w:p>
        </w:tc>
      </w:tr>
      <w:tr>
        <w:tblPrEx>
          <w:tblLayout w:type="fixed"/>
          <w:tblCellMar>
            <w:top w:w="0" w:type="dxa"/>
            <w:left w:w="0" w:type="dxa"/>
            <w:bottom w:w="0" w:type="dxa"/>
            <w:right w:w="0" w:type="dxa"/>
          </w:tblCellMar>
        </w:tblPrEx>
        <w:trPr>
          <w:trHeight w:val="23" w:hRule="atLeast"/>
          <w:jc w:val="center"/>
        </w:trPr>
        <w:tc>
          <w:tcPr>
            <w:tcW w:w="776" w:type="dxa"/>
            <w:vMerge w:val="continue"/>
            <w:tcBorders>
              <w:top w:val="single" w:color="auto" w:sz="4" w:space="0"/>
              <w:left w:val="single" w:color="000000" w:sz="4" w:space="0"/>
              <w:bottom w:val="single" w:color="auto" w:sz="4" w:space="0"/>
              <w:right w:val="single" w:color="000000" w:sz="4" w:space="0"/>
            </w:tcBorders>
            <w:vAlign w:val="center"/>
          </w:tcPr>
          <w:p>
            <w:pPr>
              <w:snapToGrid w:val="0"/>
              <w:spacing w:line="400" w:lineRule="exact"/>
              <w:ind w:firstLine="0" w:firstLineChars="0"/>
              <w:jc w:val="center"/>
              <w:rPr>
                <w:rFonts w:ascii="宋体" w:hAnsi="宋体" w:eastAsia="宋体"/>
                <w:color w:val="auto"/>
                <w:spacing w:val="2"/>
                <w:sz w:val="24"/>
                <w:szCs w:val="24"/>
              </w:rPr>
            </w:pPr>
          </w:p>
        </w:tc>
        <w:tc>
          <w:tcPr>
            <w:tcW w:w="967" w:type="dxa"/>
            <w:vMerge w:val="continue"/>
            <w:tcBorders>
              <w:top w:val="single" w:color="auto" w:sz="4" w:space="0"/>
              <w:left w:val="single" w:color="000000" w:sz="4" w:space="0"/>
              <w:bottom w:val="single" w:color="auto" w:sz="4" w:space="0"/>
              <w:right w:val="single" w:color="000000" w:sz="4" w:space="0"/>
            </w:tcBorders>
            <w:vAlign w:val="center"/>
          </w:tcPr>
          <w:p>
            <w:pPr>
              <w:snapToGrid w:val="0"/>
              <w:spacing w:line="400" w:lineRule="exact"/>
              <w:ind w:firstLine="0" w:firstLineChars="0"/>
              <w:jc w:val="center"/>
              <w:rPr>
                <w:rFonts w:ascii="宋体" w:hAnsi="宋体" w:eastAsia="宋体"/>
                <w:color w:val="auto"/>
                <w:spacing w:val="2"/>
                <w:sz w:val="24"/>
                <w:szCs w:val="24"/>
              </w:rPr>
            </w:pPr>
          </w:p>
        </w:tc>
        <w:tc>
          <w:tcPr>
            <w:tcW w:w="1733" w:type="dxa"/>
            <w:tcBorders>
              <w:top w:val="single" w:color="000000" w:sz="4" w:space="0"/>
              <w:left w:val="single" w:color="000000" w:sz="4" w:space="0"/>
              <w:bottom w:val="single" w:color="000000" w:sz="4" w:space="0"/>
              <w:right w:val="single" w:color="000000" w:sz="4" w:space="0"/>
            </w:tcBorders>
            <w:vAlign w:val="center"/>
          </w:tcPr>
          <w:p>
            <w:pPr>
              <w:numPr>
                <w:ilvl w:val="0"/>
                <w:numId w:val="2"/>
              </w:numPr>
              <w:spacing w:line="400" w:lineRule="exact"/>
              <w:ind w:left="0" w:leftChars="0" w:firstLine="0" w:firstLineChars="0"/>
              <w:jc w:val="center"/>
              <w:rPr>
                <w:rFonts w:hint="eastAsia" w:ascii="宋体" w:hAnsi="宋体" w:eastAsia="宋体"/>
                <w:color w:val="auto"/>
                <w:spacing w:val="2"/>
                <w:sz w:val="24"/>
                <w:szCs w:val="24"/>
              </w:rPr>
            </w:pPr>
            <w:r>
              <w:rPr>
                <w:rFonts w:hint="eastAsia" w:ascii="宋体" w:hAnsi="宋体"/>
                <w:color w:val="auto"/>
                <w:spacing w:val="2"/>
                <w:sz w:val="24"/>
                <w:szCs w:val="24"/>
                <w:lang w:eastAsia="zh-CN"/>
              </w:rPr>
              <w:t>勘察</w:t>
            </w:r>
            <w:r>
              <w:rPr>
                <w:rFonts w:hint="eastAsia" w:ascii="宋体" w:hAnsi="宋体" w:eastAsia="宋体"/>
                <w:color w:val="auto"/>
                <w:spacing w:val="2"/>
                <w:sz w:val="24"/>
                <w:szCs w:val="24"/>
              </w:rPr>
              <w:t>依据、</w:t>
            </w:r>
            <w:r>
              <w:rPr>
                <w:rFonts w:hint="eastAsia" w:ascii="宋体" w:hAnsi="宋体"/>
                <w:color w:val="auto"/>
                <w:spacing w:val="2"/>
                <w:sz w:val="24"/>
                <w:szCs w:val="24"/>
                <w:lang w:eastAsia="zh-CN"/>
              </w:rPr>
              <w:t>勘察</w:t>
            </w:r>
            <w:r>
              <w:rPr>
                <w:rFonts w:hint="eastAsia" w:ascii="宋体" w:hAnsi="宋体" w:eastAsia="宋体"/>
                <w:color w:val="auto"/>
                <w:spacing w:val="2"/>
                <w:sz w:val="24"/>
                <w:szCs w:val="24"/>
              </w:rPr>
              <w:t>工作目标</w:t>
            </w:r>
          </w:p>
          <w:p>
            <w:pPr>
              <w:numPr>
                <w:ilvl w:val="0"/>
                <w:numId w:val="0"/>
              </w:numPr>
              <w:spacing w:line="400" w:lineRule="exact"/>
              <w:ind w:leftChars="0" w:firstLine="488" w:firstLineChars="200"/>
              <w:jc w:val="both"/>
              <w:rPr>
                <w:rFonts w:ascii="宋体" w:hAnsi="宋体" w:eastAsia="宋体"/>
                <w:color w:val="auto"/>
                <w:spacing w:val="2"/>
                <w:sz w:val="24"/>
                <w:szCs w:val="24"/>
              </w:rPr>
            </w:pPr>
            <w:r>
              <w:rPr>
                <w:rFonts w:hint="eastAsia" w:ascii="宋体" w:hAnsi="宋体" w:eastAsia="宋体"/>
                <w:color w:val="auto"/>
                <w:spacing w:val="2"/>
                <w:sz w:val="24"/>
                <w:szCs w:val="24"/>
              </w:rPr>
              <w:t>（1-</w:t>
            </w:r>
            <w:r>
              <w:rPr>
                <w:rFonts w:hint="eastAsia" w:ascii="宋体" w:hAnsi="宋体"/>
                <w:color w:val="auto"/>
                <w:spacing w:val="2"/>
                <w:sz w:val="24"/>
                <w:szCs w:val="24"/>
                <w:lang w:val="en-US" w:eastAsia="zh-CN"/>
              </w:rPr>
              <w:t>5</w:t>
            </w:r>
            <w:r>
              <w:rPr>
                <w:rFonts w:hint="eastAsia" w:ascii="宋体" w:hAnsi="宋体" w:eastAsia="宋体"/>
                <w:color w:val="auto"/>
                <w:spacing w:val="2"/>
                <w:sz w:val="24"/>
                <w:szCs w:val="24"/>
              </w:rPr>
              <w:t>分）</w:t>
            </w:r>
          </w:p>
        </w:tc>
        <w:tc>
          <w:tcPr>
            <w:tcW w:w="5174"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480"/>
              <w:jc w:val="both"/>
              <w:rPr>
                <w:rFonts w:ascii="宋体" w:hAnsi="宋体" w:eastAsia="宋体"/>
                <w:color w:val="auto"/>
                <w:spacing w:val="2"/>
                <w:sz w:val="24"/>
                <w:szCs w:val="24"/>
              </w:rPr>
            </w:pPr>
            <w:r>
              <w:rPr>
                <w:rFonts w:hint="eastAsia" w:ascii="宋体" w:hAnsi="宋体" w:eastAsia="宋体" w:cs="宋体"/>
                <w:color w:val="auto"/>
                <w:sz w:val="24"/>
                <w:szCs w:val="24"/>
              </w:rPr>
              <w:t>根据</w:t>
            </w:r>
            <w:r>
              <w:rPr>
                <w:rFonts w:hint="eastAsia" w:ascii="宋体" w:hAnsi="宋体"/>
                <w:color w:val="auto"/>
                <w:spacing w:val="2"/>
                <w:sz w:val="24"/>
                <w:szCs w:val="24"/>
                <w:lang w:eastAsia="zh-CN"/>
              </w:rPr>
              <w:t>勘察</w:t>
            </w:r>
            <w:r>
              <w:rPr>
                <w:rFonts w:hint="eastAsia" w:ascii="宋体" w:hAnsi="宋体" w:eastAsia="宋体"/>
                <w:color w:val="auto"/>
                <w:spacing w:val="2"/>
                <w:sz w:val="24"/>
                <w:szCs w:val="24"/>
              </w:rPr>
              <w:t>依据、</w:t>
            </w:r>
            <w:r>
              <w:rPr>
                <w:rFonts w:hint="eastAsia" w:ascii="宋体" w:hAnsi="宋体"/>
                <w:color w:val="auto"/>
                <w:spacing w:val="2"/>
                <w:sz w:val="24"/>
                <w:szCs w:val="24"/>
                <w:lang w:eastAsia="zh-CN"/>
              </w:rPr>
              <w:t>勘察</w:t>
            </w:r>
            <w:r>
              <w:rPr>
                <w:rFonts w:hint="eastAsia" w:ascii="宋体" w:hAnsi="宋体" w:eastAsia="宋体"/>
                <w:color w:val="auto"/>
                <w:spacing w:val="2"/>
                <w:sz w:val="24"/>
                <w:szCs w:val="24"/>
              </w:rPr>
              <w:t>工作目标</w:t>
            </w:r>
            <w:r>
              <w:rPr>
                <w:rFonts w:hint="eastAsia" w:ascii="宋体" w:hAnsi="宋体" w:eastAsia="宋体" w:cs="宋体"/>
                <w:color w:val="auto"/>
                <w:sz w:val="24"/>
                <w:szCs w:val="24"/>
              </w:rPr>
              <w:t>等方面进行对比在1-</w:t>
            </w:r>
            <w:r>
              <w:rPr>
                <w:rFonts w:hint="eastAsia" w:ascii="宋体" w:hAnsi="宋体" w:cs="宋体"/>
                <w:color w:val="auto"/>
                <w:sz w:val="24"/>
                <w:szCs w:val="24"/>
                <w:lang w:val="en-US" w:eastAsia="zh-CN"/>
              </w:rPr>
              <w:t>5</w:t>
            </w:r>
            <w:r>
              <w:rPr>
                <w:rFonts w:hint="eastAsia" w:ascii="宋体" w:hAnsi="宋体" w:eastAsia="宋体" w:cs="宋体"/>
                <w:color w:val="auto"/>
                <w:sz w:val="24"/>
                <w:szCs w:val="24"/>
              </w:rPr>
              <w:t>分范围内酌情打分。缺项为0分。</w:t>
            </w:r>
          </w:p>
        </w:tc>
      </w:tr>
      <w:tr>
        <w:tblPrEx>
          <w:tblLayout w:type="fixed"/>
          <w:tblCellMar>
            <w:top w:w="0" w:type="dxa"/>
            <w:left w:w="0" w:type="dxa"/>
            <w:bottom w:w="0" w:type="dxa"/>
            <w:right w:w="0" w:type="dxa"/>
          </w:tblCellMar>
        </w:tblPrEx>
        <w:trPr>
          <w:trHeight w:val="633" w:hRule="atLeast"/>
          <w:jc w:val="center"/>
        </w:trPr>
        <w:tc>
          <w:tcPr>
            <w:tcW w:w="776" w:type="dxa"/>
            <w:vMerge w:val="continue"/>
            <w:tcBorders>
              <w:top w:val="single" w:color="auto" w:sz="4" w:space="0"/>
              <w:left w:val="single" w:color="000000" w:sz="4" w:space="0"/>
              <w:bottom w:val="single" w:color="auto" w:sz="4" w:space="0"/>
              <w:right w:val="single" w:color="000000" w:sz="4" w:space="0"/>
            </w:tcBorders>
            <w:vAlign w:val="center"/>
          </w:tcPr>
          <w:p>
            <w:pPr>
              <w:snapToGrid w:val="0"/>
              <w:spacing w:line="400" w:lineRule="exact"/>
              <w:ind w:firstLine="0" w:firstLineChars="0"/>
              <w:jc w:val="center"/>
              <w:rPr>
                <w:rFonts w:ascii="宋体" w:hAnsi="宋体" w:eastAsia="宋体"/>
                <w:color w:val="auto"/>
                <w:spacing w:val="2"/>
                <w:sz w:val="24"/>
                <w:szCs w:val="24"/>
              </w:rPr>
            </w:pPr>
          </w:p>
        </w:tc>
        <w:tc>
          <w:tcPr>
            <w:tcW w:w="967" w:type="dxa"/>
            <w:vMerge w:val="continue"/>
            <w:tcBorders>
              <w:top w:val="single" w:color="auto" w:sz="4" w:space="0"/>
              <w:left w:val="single" w:color="000000" w:sz="4" w:space="0"/>
              <w:bottom w:val="single" w:color="auto" w:sz="4" w:space="0"/>
              <w:right w:val="single" w:color="000000" w:sz="4" w:space="0"/>
            </w:tcBorders>
            <w:vAlign w:val="center"/>
          </w:tcPr>
          <w:p>
            <w:pPr>
              <w:snapToGrid w:val="0"/>
              <w:spacing w:line="400" w:lineRule="exact"/>
              <w:ind w:firstLine="0" w:firstLineChars="0"/>
              <w:jc w:val="center"/>
              <w:rPr>
                <w:rFonts w:ascii="宋体" w:hAnsi="宋体" w:eastAsia="宋体"/>
                <w:color w:val="auto"/>
                <w:spacing w:val="2"/>
                <w:sz w:val="24"/>
                <w:szCs w:val="24"/>
              </w:rPr>
            </w:pPr>
          </w:p>
        </w:tc>
        <w:tc>
          <w:tcPr>
            <w:tcW w:w="1733" w:type="dxa"/>
            <w:tcBorders>
              <w:top w:val="single" w:color="000000" w:sz="4" w:space="0"/>
              <w:left w:val="single" w:color="000000" w:sz="4" w:space="0"/>
              <w:bottom w:val="single" w:color="000000" w:sz="4" w:space="0"/>
              <w:right w:val="single" w:color="000000" w:sz="4" w:space="0"/>
            </w:tcBorders>
            <w:vAlign w:val="center"/>
          </w:tcPr>
          <w:p>
            <w:pPr>
              <w:numPr>
                <w:ilvl w:val="0"/>
                <w:numId w:val="1"/>
              </w:numPr>
              <w:spacing w:line="400" w:lineRule="exact"/>
              <w:ind w:left="0" w:leftChars="0" w:firstLine="0" w:firstLineChars="0"/>
              <w:jc w:val="center"/>
              <w:rPr>
                <w:rFonts w:hint="eastAsia" w:ascii="宋体" w:hAnsi="宋体" w:eastAsia="宋体"/>
                <w:color w:val="auto"/>
                <w:spacing w:val="2"/>
                <w:sz w:val="24"/>
                <w:szCs w:val="24"/>
              </w:rPr>
            </w:pPr>
            <w:r>
              <w:rPr>
                <w:rFonts w:hint="eastAsia" w:ascii="宋体" w:hAnsi="宋体"/>
                <w:color w:val="auto"/>
                <w:spacing w:val="2"/>
                <w:sz w:val="24"/>
                <w:szCs w:val="24"/>
                <w:lang w:eastAsia="zh-CN"/>
              </w:rPr>
              <w:t>勘察</w:t>
            </w:r>
            <w:r>
              <w:rPr>
                <w:rFonts w:hint="eastAsia" w:ascii="宋体" w:hAnsi="宋体" w:eastAsia="宋体"/>
                <w:color w:val="auto"/>
                <w:spacing w:val="2"/>
                <w:sz w:val="24"/>
                <w:szCs w:val="24"/>
              </w:rPr>
              <w:t>机构设置和岗位职责</w:t>
            </w:r>
          </w:p>
          <w:p>
            <w:pPr>
              <w:numPr>
                <w:ilvl w:val="0"/>
                <w:numId w:val="0"/>
              </w:numPr>
              <w:spacing w:line="400" w:lineRule="exact"/>
              <w:ind w:leftChars="0" w:firstLine="244" w:firstLineChars="100"/>
              <w:jc w:val="both"/>
              <w:rPr>
                <w:rFonts w:ascii="宋体" w:hAnsi="宋体" w:eastAsia="宋体"/>
                <w:color w:val="auto"/>
                <w:spacing w:val="2"/>
                <w:sz w:val="24"/>
                <w:szCs w:val="24"/>
              </w:rPr>
            </w:pPr>
            <w:r>
              <w:rPr>
                <w:rFonts w:hint="eastAsia" w:ascii="宋体" w:hAnsi="宋体" w:eastAsia="宋体"/>
                <w:color w:val="auto"/>
                <w:spacing w:val="2"/>
                <w:sz w:val="24"/>
                <w:szCs w:val="24"/>
              </w:rPr>
              <w:t>（1-</w:t>
            </w:r>
            <w:r>
              <w:rPr>
                <w:rFonts w:hint="eastAsia" w:ascii="宋体" w:hAnsi="宋体"/>
                <w:color w:val="auto"/>
                <w:spacing w:val="2"/>
                <w:sz w:val="24"/>
                <w:szCs w:val="24"/>
                <w:lang w:val="en-US" w:eastAsia="zh-CN"/>
              </w:rPr>
              <w:t>5</w:t>
            </w:r>
            <w:r>
              <w:rPr>
                <w:rFonts w:hint="eastAsia" w:ascii="宋体" w:hAnsi="宋体" w:eastAsia="宋体"/>
                <w:color w:val="auto"/>
                <w:spacing w:val="2"/>
                <w:sz w:val="24"/>
                <w:szCs w:val="24"/>
              </w:rPr>
              <w:t>分）</w:t>
            </w:r>
          </w:p>
        </w:tc>
        <w:tc>
          <w:tcPr>
            <w:tcW w:w="5174"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480"/>
              <w:jc w:val="both"/>
              <w:rPr>
                <w:rFonts w:ascii="宋体" w:hAnsi="宋体" w:eastAsia="宋体"/>
                <w:color w:val="auto"/>
                <w:spacing w:val="2"/>
                <w:sz w:val="24"/>
                <w:szCs w:val="24"/>
              </w:rPr>
            </w:pPr>
            <w:r>
              <w:rPr>
                <w:rFonts w:hint="eastAsia" w:ascii="宋体" w:hAnsi="宋体" w:eastAsia="宋体" w:cs="宋体"/>
                <w:color w:val="auto"/>
                <w:sz w:val="24"/>
                <w:szCs w:val="24"/>
              </w:rPr>
              <w:t>根据</w:t>
            </w:r>
            <w:r>
              <w:rPr>
                <w:rFonts w:hint="eastAsia" w:ascii="宋体" w:hAnsi="宋体"/>
                <w:color w:val="auto"/>
                <w:spacing w:val="2"/>
                <w:sz w:val="24"/>
                <w:szCs w:val="24"/>
                <w:lang w:eastAsia="zh-CN"/>
              </w:rPr>
              <w:t>勘察</w:t>
            </w:r>
            <w:r>
              <w:rPr>
                <w:rFonts w:hint="eastAsia" w:ascii="宋体" w:hAnsi="宋体" w:eastAsia="宋体"/>
                <w:color w:val="auto"/>
                <w:spacing w:val="2"/>
                <w:sz w:val="24"/>
                <w:szCs w:val="24"/>
              </w:rPr>
              <w:t>机构设置和岗位职责</w:t>
            </w:r>
            <w:r>
              <w:rPr>
                <w:rFonts w:hint="eastAsia" w:ascii="宋体" w:hAnsi="宋体" w:eastAsia="宋体" w:cs="宋体"/>
                <w:color w:val="auto"/>
                <w:sz w:val="24"/>
                <w:szCs w:val="24"/>
              </w:rPr>
              <w:t>的合理、科学性等方面进行对比，在1-</w:t>
            </w:r>
            <w:r>
              <w:rPr>
                <w:rFonts w:hint="eastAsia" w:ascii="宋体" w:hAnsi="宋体" w:cs="宋体"/>
                <w:color w:val="auto"/>
                <w:sz w:val="24"/>
                <w:szCs w:val="24"/>
                <w:lang w:val="en-US" w:eastAsia="zh-CN"/>
              </w:rPr>
              <w:t>5</w:t>
            </w:r>
            <w:r>
              <w:rPr>
                <w:rFonts w:hint="eastAsia" w:ascii="宋体" w:hAnsi="宋体" w:eastAsia="宋体" w:cs="宋体"/>
                <w:color w:val="auto"/>
                <w:sz w:val="24"/>
                <w:szCs w:val="24"/>
              </w:rPr>
              <w:t>分范围内酌情打分。缺项为0分。</w:t>
            </w:r>
          </w:p>
        </w:tc>
      </w:tr>
      <w:tr>
        <w:tblPrEx>
          <w:tblLayout w:type="fixed"/>
          <w:tblCellMar>
            <w:top w:w="0" w:type="dxa"/>
            <w:left w:w="0" w:type="dxa"/>
            <w:bottom w:w="0" w:type="dxa"/>
            <w:right w:w="0" w:type="dxa"/>
          </w:tblCellMar>
        </w:tblPrEx>
        <w:trPr>
          <w:trHeight w:val="633" w:hRule="atLeast"/>
          <w:jc w:val="center"/>
        </w:trPr>
        <w:tc>
          <w:tcPr>
            <w:tcW w:w="776" w:type="dxa"/>
            <w:vMerge w:val="continue"/>
            <w:tcBorders>
              <w:top w:val="single" w:color="auto" w:sz="4" w:space="0"/>
              <w:left w:val="single" w:color="000000" w:sz="4" w:space="0"/>
              <w:bottom w:val="single" w:color="auto" w:sz="4" w:space="0"/>
              <w:right w:val="single" w:color="000000" w:sz="4" w:space="0"/>
            </w:tcBorders>
            <w:vAlign w:val="center"/>
          </w:tcPr>
          <w:p>
            <w:pPr>
              <w:snapToGrid w:val="0"/>
              <w:spacing w:line="400" w:lineRule="exact"/>
              <w:ind w:firstLine="0" w:firstLineChars="0"/>
              <w:jc w:val="center"/>
              <w:rPr>
                <w:rFonts w:ascii="宋体" w:hAnsi="宋体" w:eastAsia="宋体"/>
                <w:color w:val="auto"/>
                <w:spacing w:val="2"/>
                <w:sz w:val="24"/>
                <w:szCs w:val="24"/>
              </w:rPr>
            </w:pPr>
          </w:p>
        </w:tc>
        <w:tc>
          <w:tcPr>
            <w:tcW w:w="967" w:type="dxa"/>
            <w:vMerge w:val="continue"/>
            <w:tcBorders>
              <w:top w:val="single" w:color="auto" w:sz="4" w:space="0"/>
              <w:left w:val="single" w:color="000000" w:sz="4" w:space="0"/>
              <w:bottom w:val="single" w:color="auto" w:sz="4" w:space="0"/>
              <w:right w:val="single" w:color="000000" w:sz="4" w:space="0"/>
            </w:tcBorders>
            <w:vAlign w:val="center"/>
          </w:tcPr>
          <w:p>
            <w:pPr>
              <w:snapToGrid w:val="0"/>
              <w:spacing w:line="400" w:lineRule="exact"/>
              <w:ind w:firstLine="0" w:firstLineChars="0"/>
              <w:jc w:val="center"/>
              <w:rPr>
                <w:rFonts w:ascii="宋体" w:hAnsi="宋体" w:eastAsia="宋体"/>
                <w:color w:val="auto"/>
                <w:spacing w:val="2"/>
                <w:sz w:val="24"/>
                <w:szCs w:val="24"/>
              </w:rPr>
            </w:pPr>
          </w:p>
        </w:tc>
        <w:tc>
          <w:tcPr>
            <w:tcW w:w="1733" w:type="dxa"/>
            <w:tcBorders>
              <w:top w:val="single" w:color="000000" w:sz="4" w:space="0"/>
              <w:left w:val="single" w:color="000000" w:sz="4" w:space="0"/>
              <w:bottom w:val="single" w:color="000000" w:sz="4" w:space="0"/>
              <w:right w:val="single" w:color="000000" w:sz="4" w:space="0"/>
            </w:tcBorders>
            <w:vAlign w:val="center"/>
          </w:tcPr>
          <w:p>
            <w:pPr>
              <w:numPr>
                <w:ilvl w:val="0"/>
                <w:numId w:val="1"/>
              </w:numPr>
              <w:spacing w:line="400" w:lineRule="exact"/>
              <w:ind w:left="0" w:leftChars="0" w:firstLine="0" w:firstLineChars="0"/>
              <w:jc w:val="center"/>
              <w:rPr>
                <w:rFonts w:hint="eastAsia" w:ascii="宋体" w:hAnsi="宋体" w:eastAsia="宋体"/>
                <w:color w:val="auto"/>
                <w:spacing w:val="2"/>
                <w:sz w:val="24"/>
                <w:szCs w:val="24"/>
              </w:rPr>
            </w:pPr>
            <w:r>
              <w:rPr>
                <w:rFonts w:hint="eastAsia" w:ascii="宋体" w:hAnsi="宋体"/>
                <w:color w:val="auto"/>
                <w:spacing w:val="2"/>
                <w:sz w:val="24"/>
                <w:szCs w:val="24"/>
                <w:lang w:eastAsia="zh-CN"/>
              </w:rPr>
              <w:t>勘察</w:t>
            </w:r>
            <w:r>
              <w:rPr>
                <w:rFonts w:hint="eastAsia" w:ascii="宋体" w:hAnsi="宋体" w:eastAsia="宋体"/>
                <w:color w:val="auto"/>
                <w:spacing w:val="2"/>
                <w:sz w:val="24"/>
                <w:szCs w:val="24"/>
              </w:rPr>
              <w:t>说明和</w:t>
            </w:r>
            <w:r>
              <w:rPr>
                <w:rFonts w:hint="eastAsia" w:ascii="宋体" w:hAnsi="宋体"/>
                <w:color w:val="auto"/>
                <w:spacing w:val="2"/>
                <w:sz w:val="24"/>
                <w:szCs w:val="24"/>
                <w:lang w:eastAsia="zh-CN"/>
              </w:rPr>
              <w:t>勘察</w:t>
            </w:r>
            <w:r>
              <w:rPr>
                <w:rFonts w:hint="eastAsia" w:ascii="宋体" w:hAnsi="宋体" w:eastAsia="宋体"/>
                <w:color w:val="auto"/>
                <w:spacing w:val="2"/>
                <w:sz w:val="24"/>
                <w:szCs w:val="24"/>
              </w:rPr>
              <w:t>方案</w:t>
            </w:r>
          </w:p>
          <w:p>
            <w:pPr>
              <w:numPr>
                <w:ilvl w:val="0"/>
                <w:numId w:val="0"/>
              </w:numPr>
              <w:spacing w:line="400" w:lineRule="exact"/>
              <w:ind w:leftChars="0"/>
              <w:jc w:val="both"/>
              <w:rPr>
                <w:rFonts w:ascii="宋体" w:hAnsi="宋体" w:eastAsia="宋体"/>
                <w:color w:val="auto"/>
                <w:spacing w:val="2"/>
                <w:sz w:val="24"/>
                <w:szCs w:val="24"/>
              </w:rPr>
            </w:pPr>
            <w:r>
              <w:rPr>
                <w:rFonts w:hint="eastAsia" w:ascii="宋体" w:hAnsi="宋体" w:eastAsia="宋体"/>
                <w:color w:val="auto"/>
                <w:spacing w:val="2"/>
                <w:sz w:val="24"/>
                <w:szCs w:val="24"/>
              </w:rPr>
              <w:t>（1-</w:t>
            </w:r>
            <w:r>
              <w:rPr>
                <w:rFonts w:hint="eastAsia" w:ascii="宋体" w:hAnsi="宋体"/>
                <w:color w:val="auto"/>
                <w:spacing w:val="2"/>
                <w:sz w:val="24"/>
                <w:szCs w:val="24"/>
                <w:lang w:val="en-US" w:eastAsia="zh-CN"/>
              </w:rPr>
              <w:t>6</w:t>
            </w:r>
            <w:r>
              <w:rPr>
                <w:rFonts w:hint="eastAsia" w:ascii="宋体" w:hAnsi="宋体" w:eastAsia="宋体"/>
                <w:color w:val="auto"/>
                <w:spacing w:val="2"/>
                <w:sz w:val="24"/>
                <w:szCs w:val="24"/>
              </w:rPr>
              <w:t>分）</w:t>
            </w:r>
          </w:p>
        </w:tc>
        <w:tc>
          <w:tcPr>
            <w:tcW w:w="5174"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480"/>
              <w:jc w:val="both"/>
              <w:rPr>
                <w:rFonts w:ascii="宋体" w:hAnsi="宋体" w:eastAsia="宋体" w:cs="宋体"/>
                <w:color w:val="auto"/>
                <w:sz w:val="24"/>
                <w:szCs w:val="24"/>
              </w:rPr>
            </w:pPr>
            <w:r>
              <w:rPr>
                <w:rFonts w:hint="eastAsia" w:ascii="宋体" w:hAnsi="宋体" w:eastAsia="宋体" w:cs="宋体"/>
                <w:color w:val="auto"/>
                <w:sz w:val="24"/>
                <w:szCs w:val="24"/>
              </w:rPr>
              <w:t>根据</w:t>
            </w:r>
            <w:r>
              <w:rPr>
                <w:rFonts w:hint="eastAsia" w:ascii="宋体" w:hAnsi="宋体"/>
                <w:color w:val="auto"/>
                <w:spacing w:val="2"/>
                <w:sz w:val="24"/>
                <w:szCs w:val="24"/>
                <w:lang w:eastAsia="zh-CN"/>
              </w:rPr>
              <w:t>勘察</w:t>
            </w:r>
            <w:r>
              <w:rPr>
                <w:rFonts w:hint="eastAsia" w:ascii="宋体" w:hAnsi="宋体" w:eastAsia="宋体"/>
                <w:color w:val="auto"/>
                <w:spacing w:val="2"/>
                <w:sz w:val="24"/>
                <w:szCs w:val="24"/>
              </w:rPr>
              <w:t>说明和</w:t>
            </w:r>
            <w:r>
              <w:rPr>
                <w:rFonts w:hint="eastAsia" w:ascii="宋体" w:hAnsi="宋体"/>
                <w:color w:val="auto"/>
                <w:spacing w:val="2"/>
                <w:sz w:val="24"/>
                <w:szCs w:val="24"/>
                <w:lang w:eastAsia="zh-CN"/>
              </w:rPr>
              <w:t>勘察</w:t>
            </w:r>
            <w:r>
              <w:rPr>
                <w:rFonts w:hint="eastAsia" w:ascii="宋体" w:hAnsi="宋体" w:eastAsia="宋体"/>
                <w:color w:val="auto"/>
                <w:spacing w:val="2"/>
                <w:sz w:val="24"/>
                <w:szCs w:val="24"/>
              </w:rPr>
              <w:t>方案</w:t>
            </w:r>
            <w:r>
              <w:rPr>
                <w:rFonts w:hint="eastAsia" w:ascii="宋体" w:hAnsi="宋体" w:eastAsia="宋体" w:cs="宋体"/>
                <w:color w:val="auto"/>
                <w:sz w:val="24"/>
                <w:szCs w:val="24"/>
              </w:rPr>
              <w:t>是否合理、科学等方面进行对比，在1-</w:t>
            </w:r>
            <w:r>
              <w:rPr>
                <w:rFonts w:hint="eastAsia" w:ascii="宋体" w:hAnsi="宋体" w:cs="宋体"/>
                <w:color w:val="auto"/>
                <w:sz w:val="24"/>
                <w:szCs w:val="24"/>
                <w:lang w:val="en-US" w:eastAsia="zh-CN"/>
              </w:rPr>
              <w:t>6</w:t>
            </w:r>
            <w:r>
              <w:rPr>
                <w:rFonts w:hint="eastAsia" w:ascii="宋体" w:hAnsi="宋体" w:eastAsia="宋体" w:cs="宋体"/>
                <w:color w:val="auto"/>
                <w:sz w:val="24"/>
                <w:szCs w:val="24"/>
              </w:rPr>
              <w:t>分范围内酌情打分。缺项为0分。</w:t>
            </w:r>
          </w:p>
        </w:tc>
      </w:tr>
      <w:tr>
        <w:tblPrEx>
          <w:tblLayout w:type="fixed"/>
          <w:tblCellMar>
            <w:top w:w="0" w:type="dxa"/>
            <w:left w:w="0" w:type="dxa"/>
            <w:bottom w:w="0" w:type="dxa"/>
            <w:right w:w="0" w:type="dxa"/>
          </w:tblCellMar>
        </w:tblPrEx>
        <w:trPr>
          <w:trHeight w:val="633" w:hRule="atLeast"/>
          <w:jc w:val="center"/>
        </w:trPr>
        <w:tc>
          <w:tcPr>
            <w:tcW w:w="776" w:type="dxa"/>
            <w:vMerge w:val="continue"/>
            <w:tcBorders>
              <w:top w:val="single" w:color="auto" w:sz="4" w:space="0"/>
              <w:left w:val="single" w:color="000000" w:sz="4" w:space="0"/>
              <w:bottom w:val="single" w:color="auto" w:sz="4" w:space="0"/>
              <w:right w:val="single" w:color="000000" w:sz="4" w:space="0"/>
            </w:tcBorders>
            <w:vAlign w:val="center"/>
          </w:tcPr>
          <w:p>
            <w:pPr>
              <w:snapToGrid w:val="0"/>
              <w:spacing w:line="400" w:lineRule="exact"/>
              <w:ind w:firstLine="0" w:firstLineChars="0"/>
              <w:jc w:val="center"/>
              <w:rPr>
                <w:rFonts w:ascii="宋体" w:hAnsi="宋体" w:eastAsia="宋体"/>
                <w:color w:val="auto"/>
                <w:spacing w:val="2"/>
                <w:sz w:val="24"/>
                <w:szCs w:val="24"/>
              </w:rPr>
            </w:pPr>
          </w:p>
        </w:tc>
        <w:tc>
          <w:tcPr>
            <w:tcW w:w="967" w:type="dxa"/>
            <w:vMerge w:val="continue"/>
            <w:tcBorders>
              <w:top w:val="single" w:color="auto" w:sz="4" w:space="0"/>
              <w:left w:val="single" w:color="000000" w:sz="4" w:space="0"/>
              <w:bottom w:val="single" w:color="auto" w:sz="4" w:space="0"/>
              <w:right w:val="single" w:color="000000" w:sz="4" w:space="0"/>
            </w:tcBorders>
            <w:vAlign w:val="center"/>
          </w:tcPr>
          <w:p>
            <w:pPr>
              <w:snapToGrid w:val="0"/>
              <w:spacing w:line="400" w:lineRule="exact"/>
              <w:ind w:firstLine="0" w:firstLineChars="0"/>
              <w:jc w:val="center"/>
              <w:rPr>
                <w:rFonts w:ascii="宋体" w:hAnsi="宋体" w:eastAsia="宋体"/>
                <w:color w:val="auto"/>
                <w:spacing w:val="2"/>
                <w:sz w:val="24"/>
                <w:szCs w:val="24"/>
              </w:rPr>
            </w:pPr>
          </w:p>
        </w:tc>
        <w:tc>
          <w:tcPr>
            <w:tcW w:w="1733"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0" w:firstLineChars="0"/>
              <w:jc w:val="center"/>
              <w:rPr>
                <w:rFonts w:ascii="宋体" w:hAnsi="宋体" w:eastAsia="宋体"/>
                <w:color w:val="auto"/>
                <w:spacing w:val="2"/>
                <w:sz w:val="24"/>
                <w:szCs w:val="24"/>
              </w:rPr>
            </w:pPr>
            <w:r>
              <w:rPr>
                <w:rFonts w:hint="eastAsia" w:ascii="宋体" w:hAnsi="宋体" w:eastAsia="宋体"/>
                <w:color w:val="auto"/>
                <w:spacing w:val="2"/>
                <w:sz w:val="24"/>
                <w:szCs w:val="24"/>
              </w:rPr>
              <w:t>5、</w:t>
            </w:r>
            <w:r>
              <w:rPr>
                <w:rFonts w:hint="eastAsia" w:ascii="宋体" w:hAnsi="宋体"/>
                <w:color w:val="auto"/>
                <w:spacing w:val="2"/>
                <w:sz w:val="24"/>
                <w:szCs w:val="24"/>
                <w:lang w:eastAsia="zh-CN"/>
              </w:rPr>
              <w:t>勘察</w:t>
            </w:r>
            <w:r>
              <w:rPr>
                <w:rFonts w:hint="eastAsia" w:ascii="宋体" w:hAnsi="宋体" w:eastAsia="宋体"/>
                <w:color w:val="auto"/>
                <w:spacing w:val="2"/>
                <w:sz w:val="24"/>
                <w:szCs w:val="24"/>
              </w:rPr>
              <w:t>质量、进度等保证措施（1-</w:t>
            </w:r>
            <w:r>
              <w:rPr>
                <w:rFonts w:hint="eastAsia" w:ascii="宋体" w:hAnsi="宋体"/>
                <w:color w:val="auto"/>
                <w:spacing w:val="2"/>
                <w:sz w:val="24"/>
                <w:szCs w:val="24"/>
                <w:lang w:val="en-US" w:eastAsia="zh-CN"/>
              </w:rPr>
              <w:t>6</w:t>
            </w:r>
            <w:r>
              <w:rPr>
                <w:rFonts w:hint="eastAsia" w:ascii="宋体" w:hAnsi="宋体" w:eastAsia="宋体"/>
                <w:color w:val="auto"/>
                <w:spacing w:val="2"/>
                <w:sz w:val="24"/>
                <w:szCs w:val="24"/>
              </w:rPr>
              <w:t>分）</w:t>
            </w:r>
          </w:p>
        </w:tc>
        <w:tc>
          <w:tcPr>
            <w:tcW w:w="5174"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480"/>
              <w:jc w:val="both"/>
              <w:rPr>
                <w:rFonts w:ascii="宋体" w:hAnsi="宋体" w:eastAsia="宋体" w:cs="宋体"/>
                <w:color w:val="auto"/>
                <w:sz w:val="24"/>
                <w:szCs w:val="24"/>
              </w:rPr>
            </w:pPr>
            <w:r>
              <w:rPr>
                <w:rFonts w:hint="eastAsia" w:ascii="宋体" w:hAnsi="宋体" w:eastAsia="宋体" w:cs="宋体"/>
                <w:color w:val="auto"/>
                <w:sz w:val="24"/>
                <w:szCs w:val="24"/>
              </w:rPr>
              <w:t>根据</w:t>
            </w:r>
            <w:r>
              <w:rPr>
                <w:rFonts w:hint="eastAsia" w:ascii="宋体" w:hAnsi="宋体"/>
                <w:color w:val="auto"/>
                <w:spacing w:val="2"/>
                <w:sz w:val="24"/>
                <w:szCs w:val="24"/>
                <w:lang w:eastAsia="zh-CN"/>
              </w:rPr>
              <w:t>勘察</w:t>
            </w:r>
            <w:r>
              <w:rPr>
                <w:rFonts w:hint="eastAsia" w:ascii="宋体" w:hAnsi="宋体" w:eastAsia="宋体"/>
                <w:color w:val="auto"/>
                <w:spacing w:val="2"/>
                <w:sz w:val="24"/>
                <w:szCs w:val="24"/>
              </w:rPr>
              <w:t>质量、进度等保证措施</w:t>
            </w:r>
            <w:r>
              <w:rPr>
                <w:rFonts w:hint="eastAsia" w:ascii="宋体" w:hAnsi="宋体" w:eastAsia="宋体" w:cs="宋体"/>
                <w:color w:val="auto"/>
                <w:sz w:val="24"/>
                <w:szCs w:val="24"/>
              </w:rPr>
              <w:t>是否合理、科学等方面进行对比，在1-</w:t>
            </w:r>
            <w:r>
              <w:rPr>
                <w:rFonts w:hint="eastAsia" w:ascii="宋体" w:hAnsi="宋体" w:cs="宋体"/>
                <w:color w:val="auto"/>
                <w:sz w:val="24"/>
                <w:szCs w:val="24"/>
                <w:lang w:val="en-US" w:eastAsia="zh-CN"/>
              </w:rPr>
              <w:t>6</w:t>
            </w:r>
            <w:r>
              <w:rPr>
                <w:rFonts w:hint="eastAsia" w:ascii="宋体" w:hAnsi="宋体" w:eastAsia="宋体" w:cs="宋体"/>
                <w:color w:val="auto"/>
                <w:sz w:val="24"/>
                <w:szCs w:val="24"/>
              </w:rPr>
              <w:t>分范围内酌情打分。缺项为0分。</w:t>
            </w:r>
          </w:p>
        </w:tc>
      </w:tr>
      <w:tr>
        <w:tblPrEx>
          <w:tblLayout w:type="fixed"/>
          <w:tblCellMar>
            <w:top w:w="0" w:type="dxa"/>
            <w:left w:w="0" w:type="dxa"/>
            <w:bottom w:w="0" w:type="dxa"/>
            <w:right w:w="0" w:type="dxa"/>
          </w:tblCellMar>
        </w:tblPrEx>
        <w:trPr>
          <w:trHeight w:val="633" w:hRule="atLeast"/>
          <w:jc w:val="center"/>
        </w:trPr>
        <w:tc>
          <w:tcPr>
            <w:tcW w:w="776" w:type="dxa"/>
            <w:vMerge w:val="continue"/>
            <w:tcBorders>
              <w:top w:val="single" w:color="auto" w:sz="4" w:space="0"/>
              <w:left w:val="single" w:color="000000" w:sz="4" w:space="0"/>
              <w:bottom w:val="single" w:color="auto" w:sz="4" w:space="0"/>
              <w:right w:val="single" w:color="000000" w:sz="4" w:space="0"/>
            </w:tcBorders>
            <w:vAlign w:val="center"/>
          </w:tcPr>
          <w:p>
            <w:pPr>
              <w:snapToGrid w:val="0"/>
              <w:spacing w:line="400" w:lineRule="exact"/>
              <w:ind w:firstLine="0" w:firstLineChars="0"/>
              <w:jc w:val="center"/>
              <w:rPr>
                <w:rFonts w:ascii="宋体" w:hAnsi="宋体" w:eastAsia="宋体"/>
                <w:color w:val="auto"/>
                <w:spacing w:val="2"/>
                <w:sz w:val="24"/>
                <w:szCs w:val="24"/>
              </w:rPr>
            </w:pPr>
          </w:p>
        </w:tc>
        <w:tc>
          <w:tcPr>
            <w:tcW w:w="967" w:type="dxa"/>
            <w:vMerge w:val="continue"/>
            <w:tcBorders>
              <w:top w:val="single" w:color="auto" w:sz="4" w:space="0"/>
              <w:left w:val="single" w:color="000000" w:sz="4" w:space="0"/>
              <w:bottom w:val="single" w:color="auto" w:sz="4" w:space="0"/>
              <w:right w:val="single" w:color="000000" w:sz="4" w:space="0"/>
            </w:tcBorders>
            <w:vAlign w:val="center"/>
          </w:tcPr>
          <w:p>
            <w:pPr>
              <w:snapToGrid w:val="0"/>
              <w:spacing w:line="400" w:lineRule="exact"/>
              <w:ind w:firstLine="0" w:firstLineChars="0"/>
              <w:jc w:val="center"/>
              <w:rPr>
                <w:rFonts w:ascii="宋体" w:hAnsi="宋体" w:eastAsia="宋体"/>
                <w:color w:val="auto"/>
                <w:spacing w:val="2"/>
                <w:sz w:val="24"/>
                <w:szCs w:val="24"/>
              </w:rPr>
            </w:pPr>
          </w:p>
        </w:tc>
        <w:tc>
          <w:tcPr>
            <w:tcW w:w="1733"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0" w:firstLineChars="0"/>
              <w:jc w:val="center"/>
              <w:rPr>
                <w:rFonts w:ascii="宋体" w:hAnsi="宋体" w:eastAsia="宋体"/>
                <w:color w:val="auto"/>
                <w:spacing w:val="2"/>
                <w:sz w:val="24"/>
                <w:szCs w:val="24"/>
              </w:rPr>
            </w:pPr>
            <w:r>
              <w:rPr>
                <w:rFonts w:hint="eastAsia" w:ascii="宋体" w:hAnsi="宋体" w:eastAsia="宋体"/>
                <w:color w:val="auto"/>
                <w:spacing w:val="2"/>
                <w:sz w:val="24"/>
                <w:szCs w:val="24"/>
              </w:rPr>
              <w:t>6、</w:t>
            </w:r>
            <w:r>
              <w:rPr>
                <w:rFonts w:hint="eastAsia" w:ascii="宋体" w:hAnsi="宋体"/>
                <w:color w:val="auto"/>
                <w:spacing w:val="2"/>
                <w:sz w:val="24"/>
                <w:szCs w:val="24"/>
                <w:lang w:eastAsia="zh-CN"/>
              </w:rPr>
              <w:t>勘察</w:t>
            </w:r>
            <w:r>
              <w:rPr>
                <w:rFonts w:hint="eastAsia" w:ascii="宋体" w:hAnsi="宋体" w:eastAsia="宋体"/>
                <w:color w:val="auto"/>
                <w:spacing w:val="2"/>
                <w:sz w:val="24"/>
                <w:szCs w:val="24"/>
              </w:rPr>
              <w:t>工作重点、难点分析（1-</w:t>
            </w:r>
            <w:r>
              <w:rPr>
                <w:rFonts w:hint="eastAsia" w:ascii="宋体" w:hAnsi="宋体"/>
                <w:color w:val="auto"/>
                <w:spacing w:val="2"/>
                <w:sz w:val="24"/>
                <w:szCs w:val="24"/>
                <w:lang w:val="en-US" w:eastAsia="zh-CN"/>
              </w:rPr>
              <w:t>5</w:t>
            </w:r>
            <w:r>
              <w:rPr>
                <w:rFonts w:hint="eastAsia" w:ascii="宋体" w:hAnsi="宋体" w:eastAsia="宋体"/>
                <w:color w:val="auto"/>
                <w:spacing w:val="2"/>
                <w:sz w:val="24"/>
                <w:szCs w:val="24"/>
              </w:rPr>
              <w:t>分）</w:t>
            </w:r>
          </w:p>
        </w:tc>
        <w:tc>
          <w:tcPr>
            <w:tcW w:w="5174"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480"/>
              <w:jc w:val="both"/>
              <w:rPr>
                <w:rFonts w:ascii="宋体" w:hAnsi="宋体" w:eastAsia="宋体" w:cs="宋体"/>
                <w:color w:val="auto"/>
                <w:sz w:val="24"/>
                <w:szCs w:val="24"/>
              </w:rPr>
            </w:pPr>
            <w:r>
              <w:rPr>
                <w:rFonts w:hint="eastAsia" w:ascii="宋体" w:hAnsi="宋体" w:eastAsia="宋体" w:cs="宋体"/>
                <w:color w:val="auto"/>
                <w:sz w:val="24"/>
                <w:szCs w:val="24"/>
              </w:rPr>
              <w:t>根据</w:t>
            </w:r>
            <w:r>
              <w:rPr>
                <w:rFonts w:hint="eastAsia" w:ascii="宋体" w:hAnsi="宋体"/>
                <w:color w:val="auto"/>
                <w:spacing w:val="2"/>
                <w:sz w:val="24"/>
                <w:szCs w:val="24"/>
                <w:lang w:eastAsia="zh-CN"/>
              </w:rPr>
              <w:t>勘察</w:t>
            </w:r>
            <w:r>
              <w:rPr>
                <w:rFonts w:hint="eastAsia" w:ascii="宋体" w:hAnsi="宋体" w:eastAsia="宋体"/>
                <w:color w:val="auto"/>
                <w:spacing w:val="2"/>
                <w:sz w:val="24"/>
                <w:szCs w:val="24"/>
              </w:rPr>
              <w:t>工作重点、难点分析</w:t>
            </w:r>
            <w:r>
              <w:rPr>
                <w:rFonts w:hint="eastAsia" w:ascii="宋体" w:hAnsi="宋体" w:eastAsia="宋体" w:cs="宋体"/>
                <w:color w:val="auto"/>
                <w:sz w:val="24"/>
                <w:szCs w:val="24"/>
              </w:rPr>
              <w:t>是否合理、科学等方面进行对比，在1-</w:t>
            </w:r>
            <w:r>
              <w:rPr>
                <w:rFonts w:hint="eastAsia" w:ascii="宋体" w:hAnsi="宋体" w:cs="宋体"/>
                <w:color w:val="auto"/>
                <w:sz w:val="24"/>
                <w:szCs w:val="24"/>
                <w:lang w:val="en-US" w:eastAsia="zh-CN"/>
              </w:rPr>
              <w:t>5</w:t>
            </w:r>
            <w:r>
              <w:rPr>
                <w:rFonts w:hint="eastAsia" w:ascii="宋体" w:hAnsi="宋体" w:eastAsia="宋体" w:cs="宋体"/>
                <w:color w:val="auto"/>
                <w:sz w:val="24"/>
                <w:szCs w:val="24"/>
              </w:rPr>
              <w:t>分范围内酌情打分。缺项为0分。</w:t>
            </w:r>
          </w:p>
        </w:tc>
      </w:tr>
      <w:tr>
        <w:tblPrEx>
          <w:tblLayout w:type="fixed"/>
          <w:tblCellMar>
            <w:top w:w="0" w:type="dxa"/>
            <w:left w:w="0" w:type="dxa"/>
            <w:bottom w:w="0" w:type="dxa"/>
            <w:right w:w="0" w:type="dxa"/>
          </w:tblCellMar>
        </w:tblPrEx>
        <w:trPr>
          <w:trHeight w:val="633" w:hRule="atLeast"/>
          <w:jc w:val="center"/>
        </w:trPr>
        <w:tc>
          <w:tcPr>
            <w:tcW w:w="776" w:type="dxa"/>
            <w:vMerge w:val="continue"/>
            <w:tcBorders>
              <w:top w:val="single" w:color="auto" w:sz="4" w:space="0"/>
              <w:left w:val="single" w:color="000000" w:sz="4" w:space="0"/>
              <w:bottom w:val="single" w:color="auto" w:sz="4" w:space="0"/>
              <w:right w:val="single" w:color="000000" w:sz="4" w:space="0"/>
            </w:tcBorders>
            <w:vAlign w:val="center"/>
          </w:tcPr>
          <w:p>
            <w:pPr>
              <w:snapToGrid w:val="0"/>
              <w:spacing w:line="400" w:lineRule="exact"/>
              <w:ind w:firstLine="0" w:firstLineChars="0"/>
              <w:jc w:val="center"/>
              <w:rPr>
                <w:rFonts w:ascii="宋体" w:hAnsi="宋体" w:eastAsia="宋体"/>
                <w:color w:val="auto"/>
                <w:spacing w:val="2"/>
                <w:sz w:val="24"/>
                <w:szCs w:val="24"/>
              </w:rPr>
            </w:pPr>
          </w:p>
        </w:tc>
        <w:tc>
          <w:tcPr>
            <w:tcW w:w="967" w:type="dxa"/>
            <w:vMerge w:val="continue"/>
            <w:tcBorders>
              <w:top w:val="single" w:color="auto" w:sz="4" w:space="0"/>
              <w:left w:val="single" w:color="000000" w:sz="4" w:space="0"/>
              <w:bottom w:val="single" w:color="auto" w:sz="4" w:space="0"/>
              <w:right w:val="single" w:color="000000" w:sz="4" w:space="0"/>
            </w:tcBorders>
            <w:vAlign w:val="center"/>
          </w:tcPr>
          <w:p>
            <w:pPr>
              <w:snapToGrid w:val="0"/>
              <w:spacing w:line="400" w:lineRule="exact"/>
              <w:ind w:firstLine="0" w:firstLineChars="0"/>
              <w:jc w:val="center"/>
              <w:rPr>
                <w:rFonts w:ascii="宋体" w:hAnsi="宋体" w:eastAsia="宋体"/>
                <w:color w:val="auto"/>
                <w:spacing w:val="2"/>
                <w:sz w:val="24"/>
                <w:szCs w:val="24"/>
              </w:rPr>
            </w:pPr>
          </w:p>
        </w:tc>
        <w:tc>
          <w:tcPr>
            <w:tcW w:w="1733" w:type="dxa"/>
            <w:tcBorders>
              <w:top w:val="single" w:color="000000" w:sz="4" w:space="0"/>
              <w:left w:val="single" w:color="000000" w:sz="4" w:space="0"/>
              <w:bottom w:val="single" w:color="000000" w:sz="4" w:space="0"/>
              <w:right w:val="single" w:color="000000" w:sz="4" w:space="0"/>
            </w:tcBorders>
            <w:vAlign w:val="center"/>
          </w:tcPr>
          <w:p>
            <w:pPr>
              <w:numPr>
                <w:ilvl w:val="0"/>
                <w:numId w:val="3"/>
              </w:numPr>
              <w:spacing w:line="400" w:lineRule="exact"/>
              <w:ind w:firstLine="0" w:firstLineChars="0"/>
              <w:jc w:val="center"/>
              <w:rPr>
                <w:rFonts w:hint="eastAsia" w:ascii="宋体" w:hAnsi="宋体" w:eastAsia="宋体"/>
                <w:color w:val="auto"/>
                <w:spacing w:val="2"/>
                <w:sz w:val="24"/>
                <w:szCs w:val="24"/>
              </w:rPr>
            </w:pPr>
            <w:r>
              <w:rPr>
                <w:rFonts w:hint="eastAsia" w:ascii="宋体" w:hAnsi="宋体" w:eastAsia="宋体"/>
                <w:color w:val="auto"/>
                <w:spacing w:val="2"/>
                <w:sz w:val="24"/>
                <w:szCs w:val="24"/>
              </w:rPr>
              <w:t>合理化建议</w:t>
            </w:r>
          </w:p>
          <w:p>
            <w:pPr>
              <w:numPr>
                <w:ilvl w:val="0"/>
                <w:numId w:val="0"/>
              </w:numPr>
              <w:spacing w:line="400" w:lineRule="exact"/>
              <w:ind w:firstLine="488" w:firstLineChars="200"/>
              <w:jc w:val="both"/>
              <w:rPr>
                <w:rFonts w:ascii="宋体" w:hAnsi="宋体" w:eastAsia="宋体"/>
                <w:color w:val="auto"/>
                <w:spacing w:val="2"/>
                <w:sz w:val="24"/>
                <w:szCs w:val="24"/>
              </w:rPr>
            </w:pPr>
            <w:r>
              <w:rPr>
                <w:rFonts w:hint="eastAsia" w:ascii="宋体" w:hAnsi="宋体" w:eastAsia="宋体"/>
                <w:color w:val="auto"/>
                <w:spacing w:val="2"/>
                <w:sz w:val="24"/>
                <w:szCs w:val="24"/>
              </w:rPr>
              <w:t>（1-</w:t>
            </w:r>
            <w:r>
              <w:rPr>
                <w:rFonts w:hint="eastAsia" w:ascii="宋体" w:hAnsi="宋体"/>
                <w:color w:val="auto"/>
                <w:spacing w:val="2"/>
                <w:sz w:val="24"/>
                <w:szCs w:val="24"/>
                <w:lang w:val="en-US" w:eastAsia="zh-CN"/>
              </w:rPr>
              <w:t>4</w:t>
            </w:r>
            <w:r>
              <w:rPr>
                <w:rFonts w:hint="eastAsia" w:ascii="宋体" w:hAnsi="宋体" w:eastAsia="宋体"/>
                <w:color w:val="auto"/>
                <w:spacing w:val="2"/>
                <w:sz w:val="24"/>
                <w:szCs w:val="24"/>
              </w:rPr>
              <w:t>分）</w:t>
            </w:r>
          </w:p>
        </w:tc>
        <w:tc>
          <w:tcPr>
            <w:tcW w:w="5174"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480"/>
              <w:jc w:val="both"/>
              <w:rPr>
                <w:rFonts w:ascii="宋体" w:hAnsi="宋体" w:eastAsia="宋体"/>
                <w:color w:val="auto"/>
                <w:spacing w:val="2"/>
                <w:sz w:val="24"/>
                <w:szCs w:val="24"/>
              </w:rPr>
            </w:pPr>
            <w:r>
              <w:rPr>
                <w:rFonts w:hint="eastAsia" w:ascii="宋体" w:hAnsi="宋体" w:eastAsia="宋体" w:cs="宋体"/>
                <w:color w:val="auto"/>
                <w:sz w:val="24"/>
                <w:szCs w:val="24"/>
              </w:rPr>
              <w:t>根据</w:t>
            </w:r>
            <w:r>
              <w:rPr>
                <w:rFonts w:hint="eastAsia" w:ascii="宋体" w:hAnsi="宋体" w:eastAsia="宋体"/>
                <w:color w:val="auto"/>
                <w:spacing w:val="2"/>
                <w:sz w:val="24"/>
                <w:szCs w:val="24"/>
              </w:rPr>
              <w:t>合理化建议</w:t>
            </w:r>
            <w:r>
              <w:rPr>
                <w:rFonts w:hint="eastAsia" w:ascii="宋体" w:hAnsi="宋体" w:eastAsia="宋体" w:cs="宋体"/>
                <w:color w:val="auto"/>
                <w:sz w:val="24"/>
                <w:szCs w:val="24"/>
              </w:rPr>
              <w:t>的合理、科学性等方面进行对比，在1-4分范围内酌情打分。缺项为0分。</w:t>
            </w:r>
          </w:p>
        </w:tc>
      </w:tr>
      <w:tr>
        <w:tblPrEx>
          <w:tblLayout w:type="fixed"/>
          <w:tblCellMar>
            <w:top w:w="0" w:type="dxa"/>
            <w:left w:w="0" w:type="dxa"/>
            <w:bottom w:w="0" w:type="dxa"/>
            <w:right w:w="0" w:type="dxa"/>
          </w:tblCellMar>
        </w:tblPrEx>
        <w:trPr>
          <w:trHeight w:val="600" w:hRule="atLeast"/>
          <w:jc w:val="center"/>
        </w:trPr>
        <w:tc>
          <w:tcPr>
            <w:tcW w:w="776" w:type="dxa"/>
            <w:vMerge w:val="continue"/>
            <w:tcBorders>
              <w:top w:val="single" w:color="auto" w:sz="4" w:space="0"/>
              <w:left w:val="single" w:color="000000" w:sz="4" w:space="0"/>
              <w:bottom w:val="single" w:color="auto" w:sz="4" w:space="0"/>
              <w:right w:val="single" w:color="000000" w:sz="4" w:space="0"/>
            </w:tcBorders>
          </w:tcPr>
          <w:p>
            <w:pPr>
              <w:snapToGrid w:val="0"/>
              <w:spacing w:line="400" w:lineRule="exact"/>
              <w:ind w:firstLine="0" w:firstLineChars="0"/>
              <w:jc w:val="both"/>
              <w:rPr>
                <w:rFonts w:ascii="宋体" w:hAnsi="宋体" w:eastAsia="宋体"/>
                <w:color w:val="auto"/>
                <w:spacing w:val="2"/>
                <w:sz w:val="24"/>
                <w:szCs w:val="24"/>
              </w:rPr>
            </w:pPr>
          </w:p>
        </w:tc>
        <w:tc>
          <w:tcPr>
            <w:tcW w:w="967" w:type="dxa"/>
            <w:vMerge w:val="continue"/>
            <w:tcBorders>
              <w:top w:val="single" w:color="auto" w:sz="4" w:space="0"/>
              <w:left w:val="single" w:color="000000" w:sz="4" w:space="0"/>
              <w:bottom w:val="single" w:color="auto" w:sz="4" w:space="0"/>
              <w:right w:val="single" w:color="000000" w:sz="4" w:space="0"/>
            </w:tcBorders>
          </w:tcPr>
          <w:p>
            <w:pPr>
              <w:snapToGrid w:val="0"/>
              <w:spacing w:line="400" w:lineRule="exact"/>
              <w:ind w:firstLine="0" w:firstLineChars="0"/>
              <w:jc w:val="both"/>
              <w:rPr>
                <w:rFonts w:ascii="宋体" w:hAnsi="宋体" w:eastAsia="宋体"/>
                <w:color w:val="auto"/>
                <w:spacing w:val="2"/>
                <w:sz w:val="24"/>
                <w:szCs w:val="24"/>
              </w:rPr>
            </w:pPr>
          </w:p>
        </w:tc>
        <w:tc>
          <w:tcPr>
            <w:tcW w:w="1733" w:type="dxa"/>
            <w:tcBorders>
              <w:top w:val="single" w:color="000000" w:sz="4" w:space="0"/>
              <w:left w:val="single" w:color="000000" w:sz="4" w:space="0"/>
              <w:bottom w:val="single" w:color="000000" w:sz="4" w:space="0"/>
              <w:right w:val="single" w:color="000000" w:sz="4" w:space="0"/>
            </w:tcBorders>
            <w:vAlign w:val="center"/>
          </w:tcPr>
          <w:p>
            <w:pPr>
              <w:numPr>
                <w:ilvl w:val="0"/>
                <w:numId w:val="3"/>
              </w:numPr>
              <w:spacing w:line="400" w:lineRule="exact"/>
              <w:ind w:left="0" w:leftChars="0" w:firstLine="0" w:firstLineChars="0"/>
              <w:jc w:val="center"/>
              <w:rPr>
                <w:rFonts w:hint="eastAsia" w:ascii="宋体" w:hAnsi="宋体" w:eastAsia="宋体"/>
                <w:color w:val="auto"/>
                <w:spacing w:val="2"/>
                <w:sz w:val="24"/>
                <w:szCs w:val="24"/>
              </w:rPr>
            </w:pPr>
            <w:r>
              <w:rPr>
                <w:rFonts w:hint="eastAsia" w:ascii="宋体" w:hAnsi="宋体" w:eastAsia="宋体"/>
                <w:color w:val="auto"/>
                <w:spacing w:val="2"/>
                <w:sz w:val="24"/>
                <w:szCs w:val="24"/>
              </w:rPr>
              <w:t>后续服务工作安排</w:t>
            </w:r>
          </w:p>
          <w:p>
            <w:pPr>
              <w:numPr>
                <w:ilvl w:val="0"/>
                <w:numId w:val="0"/>
              </w:numPr>
              <w:spacing w:line="400" w:lineRule="exact"/>
              <w:ind w:leftChars="0" w:firstLine="244" w:firstLineChars="100"/>
              <w:jc w:val="both"/>
              <w:rPr>
                <w:rFonts w:ascii="宋体" w:hAnsi="宋体" w:eastAsia="宋体"/>
                <w:color w:val="auto"/>
                <w:spacing w:val="2"/>
                <w:sz w:val="24"/>
                <w:szCs w:val="24"/>
              </w:rPr>
            </w:pPr>
            <w:r>
              <w:rPr>
                <w:rFonts w:hint="eastAsia" w:ascii="宋体" w:hAnsi="宋体" w:eastAsia="宋体"/>
                <w:color w:val="auto"/>
                <w:spacing w:val="2"/>
                <w:sz w:val="24"/>
                <w:szCs w:val="24"/>
              </w:rPr>
              <w:t>（1-</w:t>
            </w:r>
            <w:r>
              <w:rPr>
                <w:rFonts w:hint="eastAsia" w:ascii="宋体" w:hAnsi="宋体"/>
                <w:color w:val="auto"/>
                <w:spacing w:val="2"/>
                <w:sz w:val="24"/>
                <w:szCs w:val="24"/>
                <w:lang w:val="en-US" w:eastAsia="zh-CN"/>
              </w:rPr>
              <w:t>4</w:t>
            </w:r>
            <w:r>
              <w:rPr>
                <w:rFonts w:hint="eastAsia" w:ascii="宋体" w:hAnsi="宋体" w:eastAsia="宋体"/>
                <w:color w:val="auto"/>
                <w:spacing w:val="2"/>
                <w:sz w:val="24"/>
                <w:szCs w:val="24"/>
              </w:rPr>
              <w:t>分）</w:t>
            </w:r>
          </w:p>
        </w:tc>
        <w:tc>
          <w:tcPr>
            <w:tcW w:w="5174"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480"/>
              <w:jc w:val="both"/>
              <w:rPr>
                <w:rFonts w:ascii="宋体" w:hAnsi="宋体" w:eastAsia="宋体"/>
                <w:color w:val="auto"/>
                <w:spacing w:val="2"/>
                <w:sz w:val="24"/>
                <w:szCs w:val="24"/>
              </w:rPr>
            </w:pPr>
            <w:r>
              <w:rPr>
                <w:rFonts w:hint="eastAsia" w:ascii="宋体" w:hAnsi="宋体" w:eastAsia="宋体" w:cs="宋体"/>
                <w:color w:val="auto"/>
                <w:sz w:val="24"/>
                <w:szCs w:val="24"/>
              </w:rPr>
              <w:t>根据</w:t>
            </w:r>
            <w:r>
              <w:rPr>
                <w:rFonts w:hint="eastAsia" w:ascii="宋体" w:hAnsi="宋体" w:eastAsia="宋体"/>
                <w:color w:val="auto"/>
                <w:spacing w:val="2"/>
                <w:sz w:val="24"/>
                <w:szCs w:val="24"/>
              </w:rPr>
              <w:t>后续服务工作安排是否合理、科学</w:t>
            </w:r>
            <w:r>
              <w:rPr>
                <w:rFonts w:hint="eastAsia" w:ascii="宋体" w:hAnsi="宋体" w:eastAsia="宋体" w:cs="宋体"/>
                <w:color w:val="auto"/>
                <w:sz w:val="24"/>
                <w:szCs w:val="24"/>
              </w:rPr>
              <w:t>等方面进行对比，在1-4分范围内酌情打分。缺项为0分。</w:t>
            </w:r>
          </w:p>
        </w:tc>
      </w:tr>
    </w:tbl>
    <w:p>
      <w:pPr>
        <w:rPr>
          <w:rFonts w:ascii="Times New Roman" w:hAnsi="Times New Roman"/>
          <w:color w:val="auto"/>
        </w:rPr>
      </w:pPr>
    </w:p>
    <w:p>
      <w:pPr>
        <w:spacing w:line="400" w:lineRule="exact"/>
        <w:rPr>
          <w:rFonts w:ascii="宋体" w:hAnsi="宋体" w:eastAsia="宋体" w:cs="宋体"/>
          <w:b/>
          <w:bCs/>
          <w:color w:val="auto"/>
          <w:sz w:val="24"/>
          <w:szCs w:val="24"/>
        </w:rPr>
      </w:pPr>
      <w:bookmarkStart w:id="139" w:name="_Toc492300823"/>
      <w:r>
        <w:rPr>
          <w:rFonts w:hint="eastAsia" w:ascii="宋体" w:hAnsi="宋体" w:eastAsia="宋体" w:cs="宋体"/>
          <w:b/>
          <w:bCs/>
          <w:color w:val="auto"/>
          <w:sz w:val="24"/>
          <w:szCs w:val="24"/>
        </w:rPr>
        <w:t>备注：</w:t>
      </w:r>
    </w:p>
    <w:p>
      <w:pPr>
        <w:spacing w:line="400" w:lineRule="exact"/>
        <w:ind w:firstLine="0" w:firstLineChars="0"/>
        <w:rPr>
          <w:rFonts w:ascii="宋体" w:hAnsi="宋体" w:eastAsia="宋体" w:cs="宋体"/>
          <w:b/>
          <w:bCs/>
          <w:color w:val="auto"/>
          <w:sz w:val="24"/>
          <w:szCs w:val="24"/>
        </w:rPr>
      </w:pPr>
      <w:r>
        <w:rPr>
          <w:rFonts w:hint="eastAsia" w:ascii="宋体" w:hAnsi="宋体" w:eastAsia="宋体" w:cs="宋体"/>
          <w:b/>
          <w:bCs/>
          <w:color w:val="auto"/>
          <w:sz w:val="24"/>
          <w:szCs w:val="24"/>
        </w:rPr>
        <w:t>（1）以上涉及到的资料均需提供原件</w:t>
      </w:r>
      <w:r>
        <w:rPr>
          <w:rFonts w:hint="eastAsia" w:ascii="宋体" w:hAnsi="宋体" w:eastAsia="宋体" w:cs="宋体"/>
          <w:b/>
          <w:bCs/>
          <w:color w:val="auto"/>
          <w:sz w:val="24"/>
          <w:szCs w:val="24"/>
          <w:lang w:eastAsia="zh-CN"/>
        </w:rPr>
        <w:t>的扫描件或照片</w:t>
      </w:r>
      <w:r>
        <w:rPr>
          <w:rFonts w:hint="eastAsia" w:ascii="宋体" w:hAnsi="宋体" w:eastAsia="宋体" w:cs="宋体"/>
          <w:b/>
          <w:bCs/>
          <w:color w:val="auto"/>
          <w:sz w:val="24"/>
          <w:szCs w:val="24"/>
        </w:rPr>
        <w:t>，</w:t>
      </w:r>
      <w:r>
        <w:rPr>
          <w:rFonts w:hint="eastAsia" w:ascii="宋体" w:hAnsi="宋体" w:eastAsia="宋体" w:cs="宋体"/>
          <w:b/>
          <w:bCs/>
          <w:color w:val="auto"/>
          <w:sz w:val="24"/>
          <w:szCs w:val="24"/>
          <w:lang w:eastAsia="zh-CN"/>
        </w:rPr>
        <w:t>附入</w:t>
      </w:r>
      <w:r>
        <w:rPr>
          <w:rFonts w:hint="eastAsia" w:ascii="宋体" w:hAnsi="宋体" w:eastAsia="宋体" w:cs="宋体"/>
          <w:b/>
          <w:bCs/>
          <w:color w:val="auto"/>
          <w:sz w:val="24"/>
          <w:szCs w:val="24"/>
        </w:rPr>
        <w:t>投标文件中</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rPr>
        <w:t>否则无效。</w:t>
      </w:r>
    </w:p>
    <w:p>
      <w:pPr>
        <w:spacing w:line="400" w:lineRule="exact"/>
        <w:ind w:firstLine="0" w:firstLineChars="0"/>
        <w:outlineLvl w:val="0"/>
        <w:rPr>
          <w:rFonts w:ascii="宋体" w:hAnsi="宋体" w:eastAsia="宋体" w:cs="宋体"/>
          <w:b/>
          <w:color w:val="auto"/>
          <w:sz w:val="24"/>
          <w:szCs w:val="24"/>
        </w:rPr>
      </w:pPr>
      <w:r>
        <w:rPr>
          <w:rFonts w:hint="eastAsia" w:ascii="宋体" w:hAnsi="宋体" w:eastAsia="宋体" w:cs="宋体"/>
          <w:b/>
          <w:bCs/>
          <w:color w:val="auto"/>
          <w:sz w:val="24"/>
          <w:szCs w:val="24"/>
        </w:rPr>
        <w:t>（2）所有证件如遇延期办理的应提供相关行政主管部门出具的证明。</w:t>
      </w:r>
    </w:p>
    <w:p>
      <w:pPr>
        <w:pStyle w:val="5"/>
        <w:rPr>
          <w:rFonts w:ascii="Times New Roman" w:hAnsi="Times New Roman"/>
          <w:color w:val="auto"/>
        </w:rPr>
      </w:pPr>
    </w:p>
    <w:p>
      <w:pPr>
        <w:pStyle w:val="5"/>
        <w:rPr>
          <w:rFonts w:ascii="Times New Roman" w:hAnsi="Times New Roman"/>
          <w:color w:val="auto"/>
        </w:rPr>
      </w:pPr>
      <w:r>
        <w:rPr>
          <w:rFonts w:ascii="Times New Roman" w:hAnsi="Times New Roman"/>
          <w:color w:val="auto"/>
        </w:rPr>
        <w:br w:type="page"/>
      </w:r>
    </w:p>
    <w:p>
      <w:pPr>
        <w:pStyle w:val="5"/>
        <w:rPr>
          <w:rFonts w:ascii="Times New Roman" w:hAnsi="Times New Roman"/>
          <w:color w:val="auto"/>
        </w:rPr>
      </w:pPr>
      <w:r>
        <w:rPr>
          <w:rFonts w:ascii="Times New Roman" w:hAnsi="Times New Roman"/>
          <w:color w:val="auto"/>
        </w:rPr>
        <w:t>1. 评标方法</w:t>
      </w:r>
      <w:bookmarkEnd w:id="139"/>
    </w:p>
    <w:p>
      <w:pPr>
        <w:spacing w:line="360" w:lineRule="auto"/>
        <w:ind w:firstLine="480" w:firstLineChars="200"/>
        <w:rPr>
          <w:rFonts w:ascii="Times New Roman" w:hAnsi="Times New Roman"/>
          <w:color w:val="auto"/>
          <w:sz w:val="24"/>
          <w:szCs w:val="24"/>
        </w:rPr>
      </w:pPr>
      <w:r>
        <w:rPr>
          <w:rFonts w:ascii="Times New Roman" w:hAnsi="Times New Roman"/>
          <w:color w:val="auto"/>
          <w:sz w:val="24"/>
          <w:szCs w:val="24"/>
        </w:rPr>
        <w:t>本次评标采用综合评估法。评标委员会对满足招标文件实质性要求的投标文件，按照本章第2.2款规定的评分标准进行打分，并按得分由高到低顺序推荐中标候选人，或根据招标人授权直接确定中标人，但投标报价低于其成本的除</w:t>
      </w:r>
      <w:bookmarkStart w:id="140" w:name="_Toc152045598"/>
      <w:bookmarkStart w:id="141" w:name="_Toc300835008"/>
      <w:bookmarkStart w:id="142" w:name="_Toc247527623"/>
      <w:bookmarkStart w:id="143" w:name="_Toc152042375"/>
      <w:bookmarkStart w:id="144" w:name="_Toc144974565"/>
      <w:bookmarkStart w:id="145" w:name="_Toc384308272"/>
      <w:bookmarkStart w:id="146" w:name="_Toc361508646"/>
      <w:bookmarkStart w:id="147" w:name="_Toc247514022"/>
      <w:bookmarkStart w:id="148" w:name="_Toc4497"/>
      <w:bookmarkStart w:id="149" w:name="_Toc352691533"/>
      <w:bookmarkStart w:id="150" w:name="_Toc369531577"/>
      <w:r>
        <w:rPr>
          <w:rFonts w:ascii="Times New Roman" w:hAnsi="Times New Roman"/>
          <w:color w:val="auto"/>
          <w:sz w:val="24"/>
          <w:szCs w:val="24"/>
        </w:rPr>
        <w:t>外。综合评分相等</w:t>
      </w:r>
      <w:bookmarkEnd w:id="140"/>
      <w:bookmarkEnd w:id="141"/>
      <w:bookmarkEnd w:id="142"/>
      <w:bookmarkEnd w:id="143"/>
      <w:bookmarkEnd w:id="144"/>
      <w:bookmarkEnd w:id="145"/>
      <w:bookmarkEnd w:id="146"/>
      <w:bookmarkEnd w:id="147"/>
      <w:r>
        <w:rPr>
          <w:rFonts w:ascii="Times New Roman" w:hAnsi="Times New Roman"/>
          <w:color w:val="auto"/>
          <w:sz w:val="24"/>
          <w:szCs w:val="24"/>
        </w:rPr>
        <w:t>时，以投标报价低的</w:t>
      </w:r>
      <w:bookmarkEnd w:id="148"/>
      <w:bookmarkEnd w:id="149"/>
      <w:bookmarkEnd w:id="150"/>
      <w:r>
        <w:rPr>
          <w:rFonts w:ascii="Times New Roman" w:hAnsi="Times New Roman"/>
          <w:color w:val="auto"/>
          <w:sz w:val="24"/>
          <w:szCs w:val="24"/>
        </w:rPr>
        <w:t>优</w:t>
      </w:r>
      <w:bookmarkStart w:id="151" w:name="_Toc352691534"/>
      <w:bookmarkStart w:id="152" w:name="_Toc369531578"/>
      <w:bookmarkStart w:id="153" w:name="_Toc152042376"/>
      <w:bookmarkStart w:id="154" w:name="_Toc300835009"/>
      <w:bookmarkStart w:id="155" w:name="_Toc39"/>
      <w:bookmarkStart w:id="156" w:name="_Toc152045599"/>
      <w:bookmarkStart w:id="157" w:name="_Toc144974566"/>
      <w:bookmarkStart w:id="158" w:name="_Toc247527624"/>
      <w:bookmarkStart w:id="159" w:name="_Toc247514023"/>
      <w:bookmarkStart w:id="160" w:name="_Toc361508647"/>
      <w:bookmarkStart w:id="161" w:name="_Toc384308273"/>
      <w:r>
        <w:rPr>
          <w:rFonts w:ascii="Times New Roman" w:hAnsi="Times New Roman"/>
          <w:color w:val="auto"/>
          <w:sz w:val="24"/>
          <w:szCs w:val="24"/>
        </w:rPr>
        <w:t>先；投标报价也相等</w:t>
      </w:r>
      <w:bookmarkEnd w:id="151"/>
      <w:bookmarkEnd w:id="152"/>
      <w:bookmarkEnd w:id="153"/>
      <w:bookmarkEnd w:id="154"/>
      <w:bookmarkEnd w:id="155"/>
      <w:bookmarkEnd w:id="156"/>
      <w:bookmarkEnd w:id="157"/>
      <w:bookmarkEnd w:id="158"/>
      <w:bookmarkEnd w:id="159"/>
      <w:bookmarkEnd w:id="160"/>
      <w:bookmarkEnd w:id="161"/>
      <w:r>
        <w:rPr>
          <w:rFonts w:ascii="Times New Roman" w:hAnsi="Times New Roman"/>
          <w:color w:val="auto"/>
          <w:sz w:val="24"/>
          <w:szCs w:val="24"/>
        </w:rPr>
        <w:t>的</w:t>
      </w:r>
      <w:r>
        <w:rPr>
          <w:rFonts w:hint="eastAsia" w:ascii="Times New Roman" w:hAnsi="Times New Roman"/>
          <w:color w:val="auto"/>
          <w:sz w:val="24"/>
          <w:szCs w:val="24"/>
        </w:rPr>
        <w:t>，以</w:t>
      </w:r>
      <w:r>
        <w:rPr>
          <w:rFonts w:ascii="Times New Roman" w:hAnsi="Times New Roman"/>
          <w:color w:val="auto"/>
          <w:sz w:val="24"/>
          <w:szCs w:val="24"/>
        </w:rPr>
        <w:t>勘察纲要得分高的优先</w:t>
      </w:r>
      <w:r>
        <w:rPr>
          <w:rFonts w:hint="eastAsia" w:ascii="Times New Roman" w:hAnsi="Times New Roman"/>
          <w:color w:val="auto"/>
          <w:sz w:val="24"/>
          <w:szCs w:val="24"/>
        </w:rPr>
        <w:t>；</w:t>
      </w:r>
      <w:r>
        <w:rPr>
          <w:rFonts w:ascii="Times New Roman" w:hAnsi="Times New Roman"/>
          <w:color w:val="auto"/>
          <w:sz w:val="24"/>
          <w:szCs w:val="24"/>
        </w:rPr>
        <w:t>如果勘察纲要得分也相</w:t>
      </w:r>
      <w:r>
        <w:rPr>
          <w:rFonts w:hint="eastAsia" w:ascii="Times New Roman" w:hAnsi="Times New Roman"/>
          <w:color w:val="auto"/>
          <w:sz w:val="24"/>
          <w:szCs w:val="24"/>
        </w:rPr>
        <w:t>等</w:t>
      </w:r>
      <w:r>
        <w:rPr>
          <w:rFonts w:ascii="Times New Roman" w:hAnsi="Times New Roman"/>
          <w:color w:val="auto"/>
          <w:sz w:val="24"/>
          <w:szCs w:val="24"/>
        </w:rPr>
        <w:t>，按照评标办法前附表的规定确定中标候选人顺序。</w:t>
      </w:r>
    </w:p>
    <w:p>
      <w:pPr>
        <w:pStyle w:val="5"/>
        <w:rPr>
          <w:rFonts w:ascii="Times New Roman" w:hAnsi="Times New Roman"/>
          <w:color w:val="auto"/>
        </w:rPr>
      </w:pPr>
      <w:bookmarkStart w:id="162" w:name="_Toc492300824"/>
      <w:r>
        <w:rPr>
          <w:rFonts w:ascii="Times New Roman" w:hAnsi="Times New Roman"/>
          <w:color w:val="auto"/>
        </w:rPr>
        <w:t xml:space="preserve">2. </w:t>
      </w:r>
      <w:r>
        <w:rPr>
          <w:rFonts w:hint="eastAsia" w:ascii="Times New Roman" w:hAnsi="Times New Roman"/>
          <w:color w:val="auto"/>
        </w:rPr>
        <w:t>评审标准</w:t>
      </w:r>
      <w:bookmarkEnd w:id="162"/>
    </w:p>
    <w:p>
      <w:pPr>
        <w:pStyle w:val="6"/>
        <w:spacing w:line="240" w:lineRule="auto"/>
        <w:ind w:firstLine="137"/>
        <w:rPr>
          <w:rFonts w:ascii="Times New Roman" w:hAnsi="Times New Roman"/>
          <w:color w:val="auto"/>
          <w:sz w:val="32"/>
          <w:szCs w:val="21"/>
        </w:rPr>
      </w:pPr>
      <w:bookmarkStart w:id="163" w:name="_Toc492300825"/>
      <w:r>
        <w:rPr>
          <w:rFonts w:ascii="Times New Roman" w:hAnsi="Times New Roman"/>
          <w:color w:val="auto"/>
          <w:sz w:val="32"/>
          <w:szCs w:val="21"/>
        </w:rPr>
        <w:t xml:space="preserve">2.1 </w:t>
      </w:r>
      <w:r>
        <w:rPr>
          <w:rFonts w:hint="eastAsia" w:ascii="Times New Roman" w:hAnsi="Times New Roman"/>
          <w:color w:val="auto"/>
          <w:sz w:val="32"/>
          <w:szCs w:val="21"/>
        </w:rPr>
        <w:t>初步评审标准</w:t>
      </w:r>
      <w:bookmarkEnd w:id="163"/>
    </w:p>
    <w:p>
      <w:pPr>
        <w:spacing w:line="400" w:lineRule="exact"/>
        <w:ind w:firstLine="480" w:firstLineChars="200"/>
        <w:rPr>
          <w:rFonts w:ascii="Times New Roman" w:hAnsi="Times New Roman"/>
          <w:color w:val="auto"/>
          <w:sz w:val="24"/>
          <w:szCs w:val="28"/>
        </w:rPr>
      </w:pPr>
      <w:r>
        <w:rPr>
          <w:rFonts w:ascii="Times New Roman" w:hAnsi="Times New Roman"/>
          <w:color w:val="auto"/>
          <w:sz w:val="24"/>
          <w:szCs w:val="28"/>
        </w:rPr>
        <w:t>2.1.1 形式评审标准：见评标办法前附表。</w:t>
      </w:r>
    </w:p>
    <w:p>
      <w:pPr>
        <w:spacing w:line="400" w:lineRule="exact"/>
        <w:ind w:firstLine="480" w:firstLineChars="200"/>
        <w:rPr>
          <w:rFonts w:ascii="Times New Roman" w:hAnsi="Times New Roman"/>
          <w:color w:val="auto"/>
          <w:sz w:val="24"/>
          <w:szCs w:val="28"/>
        </w:rPr>
      </w:pPr>
      <w:r>
        <w:rPr>
          <w:rFonts w:ascii="Times New Roman" w:hAnsi="Times New Roman"/>
          <w:color w:val="auto"/>
          <w:sz w:val="24"/>
          <w:szCs w:val="28"/>
        </w:rPr>
        <w:t>2.1.2 资格评审标准：见评标办法前附表。</w:t>
      </w:r>
    </w:p>
    <w:p>
      <w:pPr>
        <w:spacing w:line="400" w:lineRule="exact"/>
        <w:ind w:firstLine="480" w:firstLineChars="200"/>
        <w:rPr>
          <w:rFonts w:ascii="Times New Roman" w:hAnsi="Times New Roman"/>
          <w:color w:val="auto"/>
          <w:sz w:val="24"/>
          <w:szCs w:val="28"/>
        </w:rPr>
      </w:pPr>
      <w:r>
        <w:rPr>
          <w:rFonts w:ascii="Times New Roman" w:hAnsi="Times New Roman"/>
          <w:color w:val="auto"/>
          <w:sz w:val="24"/>
          <w:szCs w:val="28"/>
        </w:rPr>
        <w:t>2.1.3 响应性评审标准：见评标办法前附表。</w:t>
      </w:r>
    </w:p>
    <w:p>
      <w:pPr>
        <w:pStyle w:val="6"/>
        <w:spacing w:line="240" w:lineRule="auto"/>
        <w:ind w:firstLine="137"/>
        <w:rPr>
          <w:rFonts w:ascii="Times New Roman" w:hAnsi="Times New Roman"/>
          <w:color w:val="auto"/>
          <w:sz w:val="32"/>
          <w:szCs w:val="21"/>
        </w:rPr>
      </w:pPr>
      <w:bookmarkStart w:id="164" w:name="_Toc492300826"/>
      <w:r>
        <w:rPr>
          <w:rFonts w:ascii="Times New Roman" w:hAnsi="Times New Roman"/>
          <w:color w:val="auto"/>
          <w:sz w:val="32"/>
          <w:szCs w:val="21"/>
        </w:rPr>
        <w:t xml:space="preserve">2.2 </w:t>
      </w:r>
      <w:r>
        <w:rPr>
          <w:rFonts w:hint="eastAsia" w:ascii="Times New Roman" w:hAnsi="Times New Roman"/>
          <w:color w:val="auto"/>
          <w:sz w:val="32"/>
          <w:szCs w:val="21"/>
        </w:rPr>
        <w:t>分值构成与评分标准</w:t>
      </w:r>
      <w:bookmarkEnd w:id="164"/>
    </w:p>
    <w:p>
      <w:pPr>
        <w:spacing w:line="400" w:lineRule="exact"/>
        <w:ind w:firstLine="480" w:firstLineChars="200"/>
        <w:rPr>
          <w:rFonts w:ascii="Times New Roman" w:hAnsi="Times New Roman"/>
          <w:color w:val="auto"/>
          <w:sz w:val="24"/>
          <w:szCs w:val="28"/>
        </w:rPr>
      </w:pPr>
      <w:r>
        <w:rPr>
          <w:rFonts w:ascii="Times New Roman" w:hAnsi="Times New Roman"/>
          <w:color w:val="auto"/>
          <w:sz w:val="24"/>
          <w:szCs w:val="28"/>
        </w:rPr>
        <w:t>2.2.1 分值构成</w:t>
      </w:r>
    </w:p>
    <w:p>
      <w:pPr>
        <w:spacing w:line="400" w:lineRule="exact"/>
        <w:ind w:firstLine="480" w:firstLineChars="200"/>
        <w:rPr>
          <w:rFonts w:ascii="Times New Roman" w:hAnsi="Times New Roman"/>
          <w:color w:val="auto"/>
          <w:sz w:val="24"/>
          <w:szCs w:val="28"/>
        </w:rPr>
      </w:pPr>
      <w:r>
        <w:rPr>
          <w:rFonts w:ascii="Times New Roman" w:hAnsi="Times New Roman"/>
          <w:color w:val="auto"/>
          <w:sz w:val="24"/>
          <w:szCs w:val="28"/>
        </w:rPr>
        <w:t>（1）资信业绩部分：见评标办法前附表；</w:t>
      </w:r>
    </w:p>
    <w:p>
      <w:pPr>
        <w:spacing w:line="400" w:lineRule="exact"/>
        <w:ind w:firstLine="480" w:firstLineChars="200"/>
        <w:rPr>
          <w:rFonts w:ascii="Times New Roman" w:hAnsi="Times New Roman"/>
          <w:color w:val="auto"/>
          <w:sz w:val="24"/>
          <w:szCs w:val="28"/>
        </w:rPr>
      </w:pPr>
      <w:r>
        <w:rPr>
          <w:rFonts w:ascii="Times New Roman" w:hAnsi="Times New Roman"/>
          <w:color w:val="auto"/>
          <w:sz w:val="24"/>
          <w:szCs w:val="28"/>
        </w:rPr>
        <w:t>（2）勘察纲要部分：见评标办法前附表；</w:t>
      </w:r>
    </w:p>
    <w:p>
      <w:pPr>
        <w:spacing w:line="400" w:lineRule="exact"/>
        <w:ind w:firstLine="480" w:firstLineChars="200"/>
        <w:rPr>
          <w:rFonts w:ascii="Times New Roman" w:hAnsi="Times New Roman"/>
          <w:color w:val="auto"/>
          <w:sz w:val="24"/>
          <w:szCs w:val="28"/>
        </w:rPr>
      </w:pPr>
      <w:r>
        <w:rPr>
          <w:rFonts w:ascii="Times New Roman" w:hAnsi="Times New Roman"/>
          <w:color w:val="auto"/>
          <w:sz w:val="24"/>
          <w:szCs w:val="28"/>
        </w:rPr>
        <w:t>（3）投标报价：见评标办法前附表；</w:t>
      </w:r>
    </w:p>
    <w:p>
      <w:pPr>
        <w:spacing w:line="400" w:lineRule="exact"/>
        <w:ind w:firstLine="480" w:firstLineChars="200"/>
        <w:rPr>
          <w:rFonts w:ascii="Times New Roman" w:hAnsi="Times New Roman"/>
          <w:color w:val="auto"/>
          <w:sz w:val="24"/>
          <w:szCs w:val="28"/>
        </w:rPr>
      </w:pPr>
      <w:r>
        <w:rPr>
          <w:rFonts w:ascii="Times New Roman" w:hAnsi="Times New Roman"/>
          <w:color w:val="auto"/>
          <w:sz w:val="24"/>
          <w:szCs w:val="28"/>
        </w:rPr>
        <w:t>（4）其他评分因素：见评标办法前附表。</w:t>
      </w:r>
    </w:p>
    <w:p>
      <w:pPr>
        <w:spacing w:line="400" w:lineRule="exact"/>
        <w:ind w:firstLine="480" w:firstLineChars="200"/>
        <w:rPr>
          <w:rFonts w:ascii="Times New Roman" w:hAnsi="Times New Roman"/>
          <w:color w:val="auto"/>
          <w:sz w:val="24"/>
          <w:szCs w:val="28"/>
        </w:rPr>
      </w:pPr>
      <w:r>
        <w:rPr>
          <w:rFonts w:ascii="Times New Roman" w:hAnsi="Times New Roman"/>
          <w:color w:val="auto"/>
          <w:sz w:val="24"/>
          <w:szCs w:val="28"/>
        </w:rPr>
        <w:t>2.2.2 评标基准价计算</w:t>
      </w:r>
    </w:p>
    <w:p>
      <w:pPr>
        <w:spacing w:line="400" w:lineRule="exact"/>
        <w:ind w:firstLine="480" w:firstLineChars="200"/>
        <w:rPr>
          <w:rFonts w:ascii="Times New Roman" w:hAnsi="Times New Roman"/>
          <w:color w:val="auto"/>
          <w:sz w:val="24"/>
          <w:szCs w:val="28"/>
        </w:rPr>
      </w:pPr>
      <w:r>
        <w:rPr>
          <w:rFonts w:ascii="Times New Roman" w:hAnsi="Times New Roman"/>
          <w:color w:val="auto"/>
          <w:sz w:val="24"/>
          <w:szCs w:val="28"/>
        </w:rPr>
        <w:t>评标基准价计算方法：见评标办法前附表。</w:t>
      </w:r>
    </w:p>
    <w:p>
      <w:pPr>
        <w:spacing w:line="400" w:lineRule="exact"/>
        <w:ind w:firstLine="480" w:firstLineChars="200"/>
        <w:rPr>
          <w:rFonts w:ascii="Times New Roman" w:hAnsi="Times New Roman"/>
          <w:color w:val="auto"/>
          <w:sz w:val="24"/>
          <w:szCs w:val="28"/>
        </w:rPr>
      </w:pPr>
      <w:r>
        <w:rPr>
          <w:rFonts w:ascii="Times New Roman" w:hAnsi="Times New Roman"/>
          <w:color w:val="auto"/>
          <w:sz w:val="24"/>
          <w:szCs w:val="28"/>
        </w:rPr>
        <w:t>2.2.3 投标报价的偏差率计算</w:t>
      </w:r>
    </w:p>
    <w:p>
      <w:pPr>
        <w:spacing w:line="400" w:lineRule="exact"/>
        <w:ind w:firstLine="480" w:firstLineChars="200"/>
        <w:rPr>
          <w:rFonts w:ascii="Times New Roman" w:hAnsi="Times New Roman"/>
          <w:color w:val="auto"/>
          <w:sz w:val="24"/>
          <w:szCs w:val="28"/>
        </w:rPr>
      </w:pPr>
      <w:r>
        <w:rPr>
          <w:rFonts w:ascii="Times New Roman" w:hAnsi="Times New Roman"/>
          <w:color w:val="auto"/>
          <w:sz w:val="24"/>
          <w:szCs w:val="28"/>
        </w:rPr>
        <w:t>投标报价的偏差率计算公式：见评标办法前附表。</w:t>
      </w:r>
    </w:p>
    <w:p>
      <w:pPr>
        <w:spacing w:line="400" w:lineRule="exact"/>
        <w:ind w:firstLine="480" w:firstLineChars="200"/>
        <w:rPr>
          <w:rFonts w:ascii="Times New Roman" w:hAnsi="Times New Roman"/>
          <w:color w:val="auto"/>
          <w:sz w:val="24"/>
          <w:szCs w:val="28"/>
        </w:rPr>
      </w:pPr>
      <w:r>
        <w:rPr>
          <w:rFonts w:ascii="Times New Roman" w:hAnsi="Times New Roman"/>
          <w:color w:val="auto"/>
          <w:sz w:val="24"/>
          <w:szCs w:val="28"/>
        </w:rPr>
        <w:t>2.2.4 评分标准</w:t>
      </w:r>
    </w:p>
    <w:p>
      <w:pPr>
        <w:spacing w:line="400" w:lineRule="exact"/>
        <w:ind w:firstLine="480" w:firstLineChars="200"/>
        <w:rPr>
          <w:rFonts w:ascii="Times New Roman" w:hAnsi="Times New Roman"/>
          <w:color w:val="auto"/>
          <w:sz w:val="24"/>
          <w:szCs w:val="28"/>
        </w:rPr>
      </w:pPr>
      <w:r>
        <w:rPr>
          <w:rFonts w:ascii="Times New Roman" w:hAnsi="Times New Roman"/>
          <w:color w:val="auto"/>
          <w:sz w:val="24"/>
          <w:szCs w:val="28"/>
        </w:rPr>
        <w:t>（1）资信业绩评分标准：见评标办法前附表；</w:t>
      </w:r>
    </w:p>
    <w:p>
      <w:pPr>
        <w:spacing w:line="400" w:lineRule="exact"/>
        <w:ind w:firstLine="480" w:firstLineChars="200"/>
        <w:rPr>
          <w:rFonts w:ascii="Times New Roman" w:hAnsi="Times New Roman"/>
          <w:color w:val="auto"/>
          <w:sz w:val="24"/>
          <w:szCs w:val="28"/>
        </w:rPr>
      </w:pPr>
      <w:r>
        <w:rPr>
          <w:rFonts w:ascii="Times New Roman" w:hAnsi="Times New Roman"/>
          <w:color w:val="auto"/>
          <w:sz w:val="24"/>
          <w:szCs w:val="28"/>
        </w:rPr>
        <w:t>（2）勘察纲要评分标准：见评标办法前附表；</w:t>
      </w:r>
    </w:p>
    <w:p>
      <w:pPr>
        <w:spacing w:line="400" w:lineRule="exact"/>
        <w:ind w:firstLine="480" w:firstLineChars="200"/>
        <w:rPr>
          <w:rFonts w:ascii="Times New Roman" w:hAnsi="Times New Roman"/>
          <w:color w:val="auto"/>
          <w:sz w:val="24"/>
          <w:szCs w:val="28"/>
        </w:rPr>
      </w:pPr>
      <w:r>
        <w:rPr>
          <w:rFonts w:ascii="Times New Roman" w:hAnsi="Times New Roman"/>
          <w:color w:val="auto"/>
          <w:sz w:val="24"/>
          <w:szCs w:val="28"/>
        </w:rPr>
        <w:t>（3）投标报价评分标准：见评标办法前附表；</w:t>
      </w:r>
    </w:p>
    <w:p>
      <w:pPr>
        <w:spacing w:line="400" w:lineRule="exact"/>
        <w:ind w:firstLine="480" w:firstLineChars="200"/>
        <w:rPr>
          <w:rFonts w:ascii="Times New Roman" w:hAnsi="Times New Roman"/>
          <w:color w:val="auto"/>
          <w:sz w:val="24"/>
          <w:szCs w:val="28"/>
        </w:rPr>
      </w:pPr>
      <w:r>
        <w:rPr>
          <w:rFonts w:ascii="Times New Roman" w:hAnsi="Times New Roman"/>
          <w:color w:val="auto"/>
          <w:sz w:val="24"/>
          <w:szCs w:val="28"/>
        </w:rPr>
        <w:t>（4）其他因素评分标准：见评标办法前附表。</w:t>
      </w:r>
    </w:p>
    <w:p>
      <w:pPr>
        <w:pStyle w:val="5"/>
        <w:rPr>
          <w:rFonts w:ascii="Times New Roman" w:hAnsi="Times New Roman"/>
          <w:color w:val="auto"/>
        </w:rPr>
      </w:pPr>
      <w:bookmarkStart w:id="165" w:name="_Toc492300827"/>
      <w:r>
        <w:rPr>
          <w:rFonts w:ascii="Times New Roman" w:hAnsi="Times New Roman"/>
          <w:color w:val="auto"/>
        </w:rPr>
        <w:t xml:space="preserve">3. </w:t>
      </w:r>
      <w:r>
        <w:rPr>
          <w:rFonts w:hint="eastAsia" w:ascii="Times New Roman" w:hAnsi="Times New Roman"/>
          <w:color w:val="auto"/>
        </w:rPr>
        <w:t>评标程序</w:t>
      </w:r>
      <w:bookmarkEnd w:id="165"/>
    </w:p>
    <w:p>
      <w:pPr>
        <w:pStyle w:val="6"/>
        <w:spacing w:line="240" w:lineRule="auto"/>
        <w:ind w:firstLine="137"/>
        <w:rPr>
          <w:rFonts w:ascii="Times New Roman" w:hAnsi="Times New Roman"/>
          <w:color w:val="auto"/>
          <w:sz w:val="32"/>
          <w:szCs w:val="21"/>
        </w:rPr>
      </w:pPr>
      <w:bookmarkStart w:id="166" w:name="_Toc492300828"/>
      <w:r>
        <w:rPr>
          <w:rFonts w:ascii="Times New Roman" w:hAnsi="Times New Roman"/>
          <w:color w:val="auto"/>
          <w:sz w:val="32"/>
          <w:szCs w:val="21"/>
        </w:rPr>
        <w:t xml:space="preserve">3.1 </w:t>
      </w:r>
      <w:r>
        <w:rPr>
          <w:rFonts w:hint="eastAsia" w:ascii="Times New Roman" w:hAnsi="Times New Roman"/>
          <w:color w:val="auto"/>
          <w:sz w:val="32"/>
          <w:szCs w:val="21"/>
        </w:rPr>
        <w:t>初步评审</w:t>
      </w:r>
      <w:bookmarkEnd w:id="166"/>
    </w:p>
    <w:p>
      <w:pPr>
        <w:spacing w:line="400" w:lineRule="exact"/>
        <w:ind w:firstLine="480" w:firstLineChars="200"/>
        <w:rPr>
          <w:rFonts w:ascii="Times New Roman" w:hAnsi="Times New Roman"/>
          <w:color w:val="auto"/>
          <w:sz w:val="24"/>
          <w:szCs w:val="28"/>
        </w:rPr>
      </w:pPr>
      <w:r>
        <w:rPr>
          <w:rFonts w:ascii="Times New Roman" w:hAnsi="Times New Roman"/>
          <w:color w:val="auto"/>
          <w:sz w:val="24"/>
          <w:szCs w:val="28"/>
        </w:rPr>
        <w:t>3.1.1 评标委员会可以要求投标人提交第二章“投标人须知”规定的有关证明</w:t>
      </w:r>
      <w:r>
        <w:rPr>
          <w:rFonts w:hint="eastAsia" w:ascii="Times New Roman" w:hAnsi="Times New Roman"/>
          <w:color w:val="auto"/>
          <w:sz w:val="24"/>
          <w:szCs w:val="28"/>
          <w:lang w:val="en-US" w:eastAsia="zh-CN"/>
        </w:rPr>
        <w:t>文件</w:t>
      </w:r>
      <w:r>
        <w:rPr>
          <w:rFonts w:ascii="Times New Roman" w:hAnsi="Times New Roman"/>
          <w:color w:val="auto"/>
          <w:sz w:val="24"/>
          <w:szCs w:val="28"/>
        </w:rPr>
        <w:t>，以便核验。评标委员会依据本章第2.1款规定的标准对投标文件进行初步评审。有一项不符合评审标准的，评标委员会应当否决其投标。</w:t>
      </w:r>
    </w:p>
    <w:p>
      <w:pPr>
        <w:spacing w:line="400" w:lineRule="exact"/>
        <w:ind w:firstLine="480" w:firstLineChars="200"/>
        <w:rPr>
          <w:rFonts w:ascii="Times New Roman" w:hAnsi="Times New Roman"/>
          <w:color w:val="auto"/>
          <w:sz w:val="24"/>
          <w:szCs w:val="28"/>
        </w:rPr>
      </w:pPr>
      <w:r>
        <w:rPr>
          <w:rFonts w:ascii="Times New Roman" w:hAnsi="Times New Roman"/>
          <w:color w:val="auto"/>
          <w:sz w:val="24"/>
          <w:szCs w:val="28"/>
        </w:rPr>
        <w:t>3.1.2 投标人有以下情形之一的，评标委员会应当否决其投标：</w:t>
      </w:r>
    </w:p>
    <w:p>
      <w:pPr>
        <w:spacing w:line="400" w:lineRule="exact"/>
        <w:ind w:firstLine="480" w:firstLineChars="200"/>
        <w:rPr>
          <w:rFonts w:ascii="Times New Roman" w:hAnsi="Times New Roman"/>
          <w:color w:val="auto"/>
          <w:sz w:val="24"/>
          <w:szCs w:val="28"/>
        </w:rPr>
      </w:pPr>
      <w:r>
        <w:rPr>
          <w:rFonts w:ascii="Times New Roman" w:hAnsi="Times New Roman"/>
          <w:color w:val="auto"/>
          <w:sz w:val="24"/>
          <w:szCs w:val="28"/>
        </w:rPr>
        <w:t>（1）投标文件没有对招标文件的实质性要求和条件作出响应，或者对招标文件的偏差超出招标文件规定的偏差范围或最高项数；</w:t>
      </w:r>
    </w:p>
    <w:p>
      <w:pPr>
        <w:spacing w:line="400" w:lineRule="exact"/>
        <w:ind w:firstLine="480" w:firstLineChars="200"/>
        <w:rPr>
          <w:rFonts w:ascii="Times New Roman" w:hAnsi="Times New Roman"/>
          <w:color w:val="auto"/>
          <w:sz w:val="24"/>
          <w:szCs w:val="28"/>
        </w:rPr>
      </w:pPr>
      <w:r>
        <w:rPr>
          <w:rFonts w:ascii="Times New Roman" w:hAnsi="Times New Roman"/>
          <w:color w:val="auto"/>
          <w:sz w:val="24"/>
          <w:szCs w:val="28"/>
        </w:rPr>
        <w:t>（2）有串通投标、弄虚作假、行贿等违法行为。</w:t>
      </w:r>
    </w:p>
    <w:p>
      <w:pPr>
        <w:spacing w:line="400" w:lineRule="exact"/>
        <w:ind w:firstLine="480" w:firstLineChars="200"/>
        <w:rPr>
          <w:rFonts w:ascii="Times New Roman" w:hAnsi="Times New Roman"/>
          <w:color w:val="auto"/>
          <w:sz w:val="24"/>
          <w:szCs w:val="28"/>
        </w:rPr>
      </w:pPr>
      <w:r>
        <w:rPr>
          <w:rFonts w:ascii="Times New Roman" w:hAnsi="Times New Roman"/>
          <w:color w:val="auto"/>
          <w:sz w:val="24"/>
          <w:szCs w:val="28"/>
        </w:rPr>
        <w:t>3.1.3 投标报价有算术错误及其他错误的，评标委员会按以下原则要求投标人对投标报价进</w:t>
      </w:r>
      <w:bookmarkStart w:id="167" w:name="_Toc2907"/>
      <w:bookmarkStart w:id="168" w:name="_Toc152042380"/>
      <w:bookmarkStart w:id="169" w:name="_Toc144974570"/>
      <w:bookmarkStart w:id="170" w:name="_Toc300835013"/>
      <w:bookmarkStart w:id="171" w:name="_Toc352691538"/>
      <w:bookmarkStart w:id="172" w:name="_Toc369531582"/>
      <w:bookmarkStart w:id="173" w:name="_Toc152045603"/>
      <w:bookmarkStart w:id="174" w:name="_Toc384308277"/>
      <w:bookmarkStart w:id="175" w:name="_Toc361508651"/>
      <w:bookmarkStart w:id="176" w:name="_Toc247527628"/>
      <w:bookmarkStart w:id="177" w:name="_Toc247514027"/>
      <w:r>
        <w:rPr>
          <w:rFonts w:ascii="Times New Roman" w:hAnsi="Times New Roman"/>
          <w:color w:val="auto"/>
          <w:sz w:val="24"/>
          <w:szCs w:val="28"/>
        </w:rPr>
        <w:t>行修正，并要求投标人书面澄清确认。</w:t>
      </w:r>
      <w:bookmarkEnd w:id="167"/>
      <w:bookmarkEnd w:id="168"/>
      <w:bookmarkEnd w:id="169"/>
      <w:bookmarkEnd w:id="170"/>
      <w:bookmarkEnd w:id="171"/>
      <w:bookmarkEnd w:id="172"/>
      <w:bookmarkEnd w:id="173"/>
      <w:bookmarkEnd w:id="174"/>
      <w:bookmarkEnd w:id="175"/>
      <w:bookmarkEnd w:id="176"/>
      <w:bookmarkEnd w:id="177"/>
      <w:r>
        <w:rPr>
          <w:rFonts w:ascii="Times New Roman" w:hAnsi="Times New Roman"/>
          <w:color w:val="auto"/>
          <w:sz w:val="24"/>
          <w:szCs w:val="28"/>
        </w:rPr>
        <w:t>投标人拒不澄清确认的，评标委员会应当否决其投标：</w:t>
      </w:r>
    </w:p>
    <w:p>
      <w:pPr>
        <w:spacing w:line="400" w:lineRule="exact"/>
        <w:ind w:firstLine="480" w:firstLineChars="200"/>
        <w:rPr>
          <w:rFonts w:ascii="Times New Roman" w:hAnsi="Times New Roman"/>
          <w:color w:val="auto"/>
          <w:sz w:val="24"/>
          <w:szCs w:val="28"/>
        </w:rPr>
      </w:pPr>
      <w:r>
        <w:rPr>
          <w:rFonts w:ascii="Times New Roman" w:hAnsi="Times New Roman"/>
          <w:color w:val="auto"/>
          <w:sz w:val="24"/>
          <w:szCs w:val="28"/>
        </w:rPr>
        <w:t>（1）投标文件中的大写金额与小写金额不一致的，以大写金额为准；</w:t>
      </w:r>
    </w:p>
    <w:p>
      <w:pPr>
        <w:spacing w:line="400" w:lineRule="exact"/>
        <w:ind w:firstLine="480" w:firstLineChars="200"/>
        <w:rPr>
          <w:rFonts w:ascii="Times New Roman" w:hAnsi="Times New Roman"/>
          <w:color w:val="auto"/>
          <w:sz w:val="24"/>
          <w:szCs w:val="28"/>
        </w:rPr>
      </w:pPr>
      <w:r>
        <w:rPr>
          <w:rFonts w:ascii="Times New Roman" w:hAnsi="Times New Roman"/>
          <w:color w:val="auto"/>
          <w:sz w:val="24"/>
          <w:szCs w:val="28"/>
        </w:rPr>
        <w:t>（2）总价金额与单价金额不一致的，以单价金额为准，但单价金额小数点有明显错误的除外</w:t>
      </w:r>
      <w:r>
        <w:rPr>
          <w:rFonts w:hint="eastAsia" w:ascii="Times New Roman" w:hAnsi="Times New Roman"/>
          <w:color w:val="auto"/>
          <w:sz w:val="24"/>
          <w:szCs w:val="28"/>
        </w:rPr>
        <w:t>。</w:t>
      </w:r>
    </w:p>
    <w:p>
      <w:pPr>
        <w:pStyle w:val="6"/>
        <w:spacing w:line="240" w:lineRule="auto"/>
        <w:ind w:firstLine="137"/>
        <w:rPr>
          <w:rFonts w:ascii="Times New Roman" w:hAnsi="Times New Roman"/>
          <w:color w:val="auto"/>
          <w:sz w:val="32"/>
          <w:szCs w:val="21"/>
        </w:rPr>
      </w:pPr>
      <w:bookmarkStart w:id="178" w:name="_Toc492300829"/>
      <w:r>
        <w:rPr>
          <w:rFonts w:ascii="Times New Roman" w:hAnsi="Times New Roman"/>
          <w:color w:val="auto"/>
          <w:sz w:val="32"/>
          <w:szCs w:val="21"/>
        </w:rPr>
        <w:t xml:space="preserve">3.2 </w:t>
      </w:r>
      <w:r>
        <w:rPr>
          <w:rFonts w:hint="eastAsia" w:ascii="Times New Roman" w:hAnsi="Times New Roman"/>
          <w:color w:val="auto"/>
          <w:sz w:val="32"/>
          <w:szCs w:val="21"/>
        </w:rPr>
        <w:t>详细评审</w:t>
      </w:r>
      <w:bookmarkEnd w:id="178"/>
    </w:p>
    <w:p>
      <w:pPr>
        <w:spacing w:line="400" w:lineRule="exact"/>
        <w:ind w:firstLine="480" w:firstLineChars="200"/>
        <w:rPr>
          <w:rFonts w:ascii="Times New Roman" w:hAnsi="Times New Roman"/>
          <w:color w:val="auto"/>
          <w:sz w:val="24"/>
          <w:szCs w:val="28"/>
        </w:rPr>
      </w:pPr>
      <w:r>
        <w:rPr>
          <w:rFonts w:ascii="Times New Roman" w:hAnsi="Times New Roman"/>
          <w:color w:val="auto"/>
          <w:sz w:val="24"/>
          <w:szCs w:val="28"/>
        </w:rPr>
        <w:t>3.2.1 评标委员会按本章第2.2款规定的量化因素和分值进行打分，并计算出综合评估得分。</w:t>
      </w:r>
    </w:p>
    <w:p>
      <w:pPr>
        <w:spacing w:line="400" w:lineRule="exact"/>
        <w:ind w:firstLine="480" w:firstLineChars="200"/>
        <w:rPr>
          <w:rFonts w:ascii="Times New Roman" w:hAnsi="Times New Roman"/>
          <w:color w:val="auto"/>
          <w:sz w:val="24"/>
          <w:szCs w:val="28"/>
        </w:rPr>
      </w:pPr>
      <w:r>
        <w:rPr>
          <w:rFonts w:ascii="Times New Roman" w:hAnsi="Times New Roman"/>
          <w:color w:val="auto"/>
          <w:sz w:val="24"/>
          <w:szCs w:val="28"/>
        </w:rPr>
        <w:t>（1）按本章第2.2.4（1）目规定的评审因素和分值对资信业绩部分计算出得分A；</w:t>
      </w:r>
    </w:p>
    <w:p>
      <w:pPr>
        <w:spacing w:line="400" w:lineRule="exact"/>
        <w:ind w:firstLine="480" w:firstLineChars="200"/>
        <w:rPr>
          <w:rFonts w:ascii="Times New Roman" w:hAnsi="Times New Roman"/>
          <w:color w:val="auto"/>
          <w:sz w:val="24"/>
          <w:szCs w:val="28"/>
        </w:rPr>
      </w:pPr>
      <w:r>
        <w:rPr>
          <w:rFonts w:ascii="Times New Roman" w:hAnsi="Times New Roman"/>
          <w:color w:val="auto"/>
          <w:sz w:val="24"/>
          <w:szCs w:val="28"/>
        </w:rPr>
        <w:t>（2）按本章第2.2.4（2）目规定的评审因素和分值对勘察纲要部分计算出得分B；</w:t>
      </w:r>
    </w:p>
    <w:p>
      <w:pPr>
        <w:spacing w:line="400" w:lineRule="exact"/>
        <w:ind w:firstLine="480" w:firstLineChars="200"/>
        <w:rPr>
          <w:rFonts w:ascii="Times New Roman" w:hAnsi="Times New Roman"/>
          <w:color w:val="auto"/>
          <w:sz w:val="24"/>
          <w:szCs w:val="28"/>
        </w:rPr>
      </w:pPr>
      <w:r>
        <w:rPr>
          <w:rFonts w:ascii="Times New Roman" w:hAnsi="Times New Roman"/>
          <w:color w:val="auto"/>
          <w:sz w:val="24"/>
          <w:szCs w:val="28"/>
        </w:rPr>
        <w:t>（3）按本章第2.2.4（3）目规定的评审因素和</w:t>
      </w:r>
      <w:bookmarkStart w:id="179" w:name="_Toc361508652"/>
      <w:bookmarkStart w:id="180" w:name="_Toc369531583"/>
      <w:bookmarkStart w:id="181" w:name="_Toc384308278"/>
      <w:bookmarkStart w:id="182" w:name="_Toc152045604"/>
      <w:bookmarkStart w:id="183" w:name="_Toc247527629"/>
      <w:bookmarkStart w:id="184" w:name="_Toc144974571"/>
      <w:bookmarkStart w:id="185" w:name="_Toc152042381"/>
      <w:bookmarkStart w:id="186" w:name="_Toc24330"/>
      <w:bookmarkStart w:id="187" w:name="_Toc352691539"/>
      <w:bookmarkStart w:id="188" w:name="_Toc247514028"/>
      <w:bookmarkStart w:id="189" w:name="_Toc300835014"/>
      <w:r>
        <w:rPr>
          <w:rFonts w:ascii="Times New Roman" w:hAnsi="Times New Roman"/>
          <w:color w:val="auto"/>
          <w:sz w:val="24"/>
          <w:szCs w:val="28"/>
        </w:rPr>
        <w:t>分值对投标报价</w:t>
      </w:r>
      <w:bookmarkEnd w:id="179"/>
      <w:bookmarkEnd w:id="180"/>
      <w:bookmarkEnd w:id="181"/>
      <w:bookmarkEnd w:id="182"/>
      <w:bookmarkEnd w:id="183"/>
      <w:bookmarkEnd w:id="184"/>
      <w:bookmarkEnd w:id="185"/>
      <w:bookmarkEnd w:id="186"/>
      <w:bookmarkEnd w:id="187"/>
      <w:bookmarkEnd w:id="188"/>
      <w:bookmarkEnd w:id="189"/>
      <w:r>
        <w:rPr>
          <w:rFonts w:ascii="Times New Roman" w:hAnsi="Times New Roman"/>
          <w:color w:val="auto"/>
          <w:sz w:val="24"/>
          <w:szCs w:val="28"/>
        </w:rPr>
        <w:t>计</w:t>
      </w:r>
      <w:bookmarkStart w:id="190" w:name="_Toc247514029"/>
      <w:bookmarkStart w:id="191" w:name="_Toc152045605"/>
      <w:bookmarkStart w:id="192" w:name="_Toc152042382"/>
      <w:bookmarkStart w:id="193" w:name="_Toc18141"/>
      <w:bookmarkStart w:id="194" w:name="_Toc144974572"/>
      <w:bookmarkStart w:id="195" w:name="_Toc384308279"/>
      <w:bookmarkStart w:id="196" w:name="_Toc369531584"/>
      <w:bookmarkStart w:id="197" w:name="_Toc361508653"/>
      <w:bookmarkStart w:id="198" w:name="_Toc300835015"/>
      <w:bookmarkStart w:id="199" w:name="_Toc352691540"/>
      <w:bookmarkStart w:id="200" w:name="_Toc247527630"/>
      <w:r>
        <w:rPr>
          <w:rFonts w:ascii="Times New Roman" w:hAnsi="Times New Roman"/>
          <w:color w:val="auto"/>
          <w:sz w:val="24"/>
          <w:szCs w:val="28"/>
        </w:rPr>
        <w:t>算出得分C；</w:t>
      </w:r>
    </w:p>
    <w:p>
      <w:pPr>
        <w:spacing w:line="400" w:lineRule="exact"/>
        <w:ind w:firstLine="480" w:firstLineChars="200"/>
        <w:rPr>
          <w:rFonts w:ascii="Times New Roman" w:hAnsi="Times New Roman"/>
          <w:color w:val="auto"/>
          <w:sz w:val="24"/>
          <w:szCs w:val="28"/>
        </w:rPr>
      </w:pPr>
      <w:r>
        <w:rPr>
          <w:rFonts w:ascii="Times New Roman" w:hAnsi="Times New Roman"/>
          <w:color w:val="auto"/>
          <w:sz w:val="24"/>
          <w:szCs w:val="28"/>
        </w:rPr>
        <w:t>（</w:t>
      </w:r>
      <w:bookmarkEnd w:id="190"/>
      <w:bookmarkEnd w:id="191"/>
      <w:bookmarkEnd w:id="192"/>
      <w:bookmarkEnd w:id="193"/>
      <w:bookmarkEnd w:id="194"/>
      <w:bookmarkEnd w:id="195"/>
      <w:bookmarkEnd w:id="196"/>
      <w:bookmarkEnd w:id="197"/>
      <w:bookmarkEnd w:id="198"/>
      <w:bookmarkEnd w:id="199"/>
      <w:bookmarkEnd w:id="200"/>
      <w:r>
        <w:rPr>
          <w:rFonts w:ascii="Times New Roman" w:hAnsi="Times New Roman"/>
          <w:color w:val="auto"/>
          <w:sz w:val="24"/>
          <w:szCs w:val="28"/>
        </w:rPr>
        <w:t>4）按本章第2.2.4（4）目规定的评审因素和分值对其他部分计算出得分D。</w:t>
      </w:r>
    </w:p>
    <w:p>
      <w:pPr>
        <w:spacing w:line="400" w:lineRule="exact"/>
        <w:ind w:firstLine="480" w:firstLineChars="200"/>
        <w:rPr>
          <w:rFonts w:ascii="Times New Roman" w:hAnsi="Times New Roman"/>
          <w:color w:val="auto"/>
          <w:sz w:val="24"/>
          <w:szCs w:val="28"/>
        </w:rPr>
      </w:pPr>
      <w:r>
        <w:rPr>
          <w:rFonts w:ascii="Times New Roman" w:hAnsi="Times New Roman"/>
          <w:color w:val="auto"/>
          <w:sz w:val="24"/>
          <w:szCs w:val="28"/>
        </w:rPr>
        <w:t>3.2.2 评分分值计算保留小数点后两位，小数点后第三位“四舍五入”。</w:t>
      </w:r>
    </w:p>
    <w:p>
      <w:pPr>
        <w:spacing w:line="400" w:lineRule="exact"/>
        <w:ind w:firstLine="480" w:firstLineChars="200"/>
        <w:rPr>
          <w:rFonts w:ascii="Times New Roman" w:hAnsi="Times New Roman"/>
          <w:color w:val="auto"/>
          <w:sz w:val="24"/>
          <w:szCs w:val="28"/>
        </w:rPr>
      </w:pPr>
      <w:r>
        <w:rPr>
          <w:rFonts w:ascii="Times New Roman" w:hAnsi="Times New Roman"/>
          <w:color w:val="auto"/>
          <w:sz w:val="24"/>
          <w:szCs w:val="28"/>
        </w:rPr>
        <w:t>3.2.3 投标人得分=A+B+C+D。</w:t>
      </w:r>
    </w:p>
    <w:p>
      <w:pPr>
        <w:spacing w:line="400" w:lineRule="exact"/>
        <w:ind w:firstLine="480" w:firstLineChars="200"/>
        <w:rPr>
          <w:rFonts w:ascii="Times New Roman" w:hAnsi="Times New Roman"/>
          <w:color w:val="auto"/>
          <w:sz w:val="24"/>
          <w:szCs w:val="28"/>
        </w:rPr>
      </w:pPr>
      <w:r>
        <w:rPr>
          <w:rFonts w:ascii="Times New Roman" w:hAnsi="Times New Roman"/>
          <w:color w:val="auto"/>
          <w:sz w:val="24"/>
          <w:szCs w:val="28"/>
        </w:rPr>
        <w:t>3.2.4 评标委员会发现投标人的报价明显低于其他投标报价，使得其投标报价可能低于其个别成本的，应当要求该投标人作出书面说明并提供相应的证明材料。投标人不能合理说明或者不能提供相应证明材料的，评标委员会应当认定该投标人以低于成本报价竞标，并否决其投标。</w:t>
      </w:r>
    </w:p>
    <w:p>
      <w:pPr>
        <w:pStyle w:val="6"/>
        <w:spacing w:line="240" w:lineRule="auto"/>
        <w:ind w:firstLine="137"/>
        <w:rPr>
          <w:rFonts w:ascii="Times New Roman" w:hAnsi="Times New Roman"/>
          <w:color w:val="auto"/>
          <w:sz w:val="32"/>
          <w:szCs w:val="21"/>
        </w:rPr>
      </w:pPr>
      <w:bookmarkStart w:id="201" w:name="_Toc492300830"/>
      <w:r>
        <w:rPr>
          <w:rFonts w:ascii="Times New Roman" w:hAnsi="Times New Roman"/>
          <w:color w:val="auto"/>
          <w:sz w:val="32"/>
          <w:szCs w:val="21"/>
        </w:rPr>
        <w:t xml:space="preserve">3.3 </w:t>
      </w:r>
      <w:r>
        <w:rPr>
          <w:rFonts w:hint="eastAsia" w:ascii="Times New Roman" w:hAnsi="Times New Roman"/>
          <w:color w:val="auto"/>
          <w:sz w:val="32"/>
          <w:szCs w:val="21"/>
        </w:rPr>
        <w:t>投标文件的澄清</w:t>
      </w:r>
      <w:bookmarkEnd w:id="201"/>
    </w:p>
    <w:p>
      <w:pPr>
        <w:spacing w:line="400" w:lineRule="exact"/>
        <w:ind w:firstLine="480" w:firstLineChars="200"/>
        <w:rPr>
          <w:rFonts w:ascii="Times New Roman" w:hAnsi="Times New Roman"/>
          <w:color w:val="auto"/>
          <w:sz w:val="24"/>
          <w:szCs w:val="28"/>
        </w:rPr>
      </w:pPr>
      <w:r>
        <w:rPr>
          <w:rFonts w:ascii="Times New Roman" w:hAnsi="Times New Roman"/>
          <w:color w:val="auto"/>
          <w:sz w:val="24"/>
          <w:szCs w:val="28"/>
        </w:rPr>
        <w:t>3.3.1 在评标过程中，评标委员会可以书面形式要求投标人对投标文件中含义不明确、对同类问题表述不一致或者有明显文字和计算错误的内容作必要的澄清、说明或补正。澄清、说明或补正应以书面方式进行。评标委员会不接受投标人主动提出的澄清、说明或补正。</w:t>
      </w:r>
    </w:p>
    <w:p>
      <w:pPr>
        <w:spacing w:line="400" w:lineRule="exact"/>
        <w:ind w:firstLine="480" w:firstLineChars="200"/>
        <w:rPr>
          <w:rFonts w:ascii="Times New Roman" w:hAnsi="Times New Roman"/>
          <w:color w:val="auto"/>
          <w:sz w:val="24"/>
          <w:szCs w:val="28"/>
        </w:rPr>
      </w:pPr>
      <w:r>
        <w:rPr>
          <w:rFonts w:ascii="Times New Roman" w:hAnsi="Times New Roman"/>
          <w:color w:val="auto"/>
          <w:sz w:val="24"/>
          <w:szCs w:val="28"/>
        </w:rPr>
        <w:t>3.3.2 澄清、说明或补正不得超出投标文件的范围且不得改变投标文件的实质性内容，并构成投标文件的组成部分。</w:t>
      </w:r>
    </w:p>
    <w:p>
      <w:pPr>
        <w:spacing w:line="400" w:lineRule="exact"/>
        <w:ind w:firstLine="480" w:firstLineChars="200"/>
        <w:rPr>
          <w:rFonts w:ascii="Times New Roman" w:hAnsi="Times New Roman"/>
          <w:color w:val="auto"/>
          <w:sz w:val="24"/>
          <w:szCs w:val="28"/>
        </w:rPr>
      </w:pPr>
      <w:r>
        <w:rPr>
          <w:rFonts w:ascii="Times New Roman" w:hAnsi="Times New Roman"/>
          <w:color w:val="auto"/>
          <w:sz w:val="24"/>
          <w:szCs w:val="28"/>
        </w:rPr>
        <w:t>3.3.3 评标委员会对投标人提交的澄清、说明或补正有疑问的，可以要求投标人进一步澄清、说明或补正，直至满足评标委员会的要求。</w:t>
      </w:r>
    </w:p>
    <w:p>
      <w:pPr>
        <w:pStyle w:val="6"/>
        <w:spacing w:line="240" w:lineRule="auto"/>
        <w:ind w:firstLine="137"/>
        <w:rPr>
          <w:rFonts w:ascii="Times New Roman" w:hAnsi="Times New Roman"/>
          <w:color w:val="auto"/>
          <w:sz w:val="32"/>
          <w:szCs w:val="21"/>
        </w:rPr>
      </w:pPr>
      <w:bookmarkStart w:id="202" w:name="_Toc492300831"/>
      <w:r>
        <w:rPr>
          <w:rFonts w:ascii="Times New Roman" w:hAnsi="Times New Roman"/>
          <w:color w:val="auto"/>
          <w:sz w:val="32"/>
          <w:szCs w:val="21"/>
        </w:rPr>
        <w:t xml:space="preserve">3.4 </w:t>
      </w:r>
      <w:r>
        <w:rPr>
          <w:rFonts w:hint="eastAsia" w:ascii="Times New Roman" w:hAnsi="Times New Roman"/>
          <w:color w:val="auto"/>
          <w:sz w:val="32"/>
          <w:szCs w:val="21"/>
        </w:rPr>
        <w:t>评标结果</w:t>
      </w:r>
      <w:bookmarkEnd w:id="202"/>
    </w:p>
    <w:p>
      <w:pPr>
        <w:spacing w:line="400" w:lineRule="exact"/>
        <w:ind w:firstLine="480" w:firstLineChars="200"/>
        <w:rPr>
          <w:rFonts w:ascii="Times New Roman" w:hAnsi="Times New Roman"/>
          <w:color w:val="auto"/>
          <w:sz w:val="24"/>
          <w:szCs w:val="28"/>
        </w:rPr>
      </w:pPr>
      <w:r>
        <w:rPr>
          <w:rFonts w:ascii="Times New Roman" w:hAnsi="Times New Roman"/>
          <w:color w:val="auto"/>
          <w:sz w:val="24"/>
          <w:szCs w:val="28"/>
        </w:rPr>
        <w:t>3.4.1 除第二章“投标人须知”前附表授权直接确定中标人外，评标委员会按照得分由高到低的顺序推荐中标候选人，并标明排序。</w:t>
      </w:r>
    </w:p>
    <w:p>
      <w:pPr>
        <w:spacing w:line="400" w:lineRule="exact"/>
        <w:ind w:firstLine="480" w:firstLineChars="200"/>
        <w:rPr>
          <w:rFonts w:ascii="Times New Roman" w:hAnsi="Times New Roman"/>
          <w:color w:val="auto"/>
          <w:sz w:val="24"/>
          <w:szCs w:val="28"/>
        </w:rPr>
      </w:pPr>
      <w:r>
        <w:rPr>
          <w:rFonts w:ascii="Times New Roman" w:hAnsi="Times New Roman"/>
          <w:color w:val="auto"/>
          <w:sz w:val="24"/>
          <w:szCs w:val="28"/>
        </w:rPr>
        <w:t>3.4.2 评标委员会完成评标后，应当向招标人提交书面评标报告和中标候选人名单。</w:t>
      </w:r>
    </w:p>
    <w:p>
      <w:pPr>
        <w:pStyle w:val="4"/>
        <w:jc w:val="center"/>
        <w:rPr>
          <w:color w:val="auto"/>
        </w:rPr>
      </w:pPr>
      <w:r>
        <w:rPr>
          <w:color w:val="auto"/>
        </w:rPr>
        <w:br w:type="page"/>
      </w:r>
    </w:p>
    <w:p>
      <w:pPr>
        <w:pStyle w:val="4"/>
        <w:jc w:val="center"/>
        <w:rPr>
          <w:color w:val="auto"/>
        </w:rPr>
      </w:pPr>
      <w:bookmarkStart w:id="203" w:name="_Toc492300832"/>
      <w:r>
        <w:rPr>
          <w:rFonts w:hint="eastAsia"/>
          <w:color w:val="auto"/>
        </w:rPr>
        <w:t>第四章合同条款及格式</w:t>
      </w:r>
      <w:bookmarkEnd w:id="203"/>
    </w:p>
    <w:p>
      <w:pPr>
        <w:pStyle w:val="18"/>
        <w:snapToGrid w:val="0"/>
        <w:spacing w:line="400" w:lineRule="atLeast"/>
        <w:ind w:left="0" w:leftChars="0"/>
        <w:rPr>
          <w:rFonts w:eastAsiaTheme="minorEastAsia"/>
          <w:color w:val="auto"/>
          <w:szCs w:val="21"/>
        </w:rPr>
      </w:pPr>
      <w:r>
        <w:rPr>
          <w:rFonts w:hAnsiTheme="minorEastAsia" w:eastAsiaTheme="minorEastAsia"/>
          <w:color w:val="auto"/>
          <w:szCs w:val="21"/>
        </w:rPr>
        <w:t>说明：</w:t>
      </w:r>
    </w:p>
    <w:p>
      <w:pPr>
        <w:pStyle w:val="18"/>
        <w:snapToGrid w:val="0"/>
        <w:spacing w:line="400" w:lineRule="atLeast"/>
        <w:ind w:left="0" w:leftChars="0" w:firstLine="420" w:firstLineChars="200"/>
        <w:rPr>
          <w:rFonts w:eastAsiaTheme="minorEastAsia"/>
          <w:color w:val="auto"/>
          <w:szCs w:val="21"/>
        </w:rPr>
      </w:pPr>
      <w:r>
        <w:rPr>
          <w:rFonts w:hAnsiTheme="minorEastAsia" w:eastAsiaTheme="minorEastAsia"/>
          <w:color w:val="auto"/>
          <w:szCs w:val="21"/>
        </w:rPr>
        <w:t>房屋建筑和市政工程等工程勘察项目招标可以使用《建设工程勘察合同（示范文本）》（</w:t>
      </w:r>
      <w:r>
        <w:rPr>
          <w:rFonts w:eastAsiaTheme="minorEastAsia"/>
          <w:color w:val="auto"/>
          <w:szCs w:val="21"/>
        </w:rPr>
        <w:t>GF-2016-0203</w:t>
      </w:r>
      <w:r>
        <w:rPr>
          <w:rFonts w:hAnsiTheme="minorEastAsia" w:eastAsiaTheme="minorEastAsia"/>
          <w:color w:val="auto"/>
          <w:szCs w:val="21"/>
        </w:rPr>
        <w:t>）。</w:t>
      </w:r>
    </w:p>
    <w:p>
      <w:pPr>
        <w:rPr>
          <w:color w:val="auto"/>
        </w:rPr>
      </w:pPr>
    </w:p>
    <w:p>
      <w:pPr>
        <w:pStyle w:val="4"/>
        <w:jc w:val="center"/>
        <w:rPr>
          <w:color w:val="auto"/>
        </w:rPr>
      </w:pPr>
      <w:r>
        <w:rPr>
          <w:color w:val="auto"/>
        </w:rPr>
        <w:br w:type="page"/>
      </w:r>
    </w:p>
    <w:p>
      <w:pPr>
        <w:pStyle w:val="5"/>
        <w:jc w:val="center"/>
        <w:rPr>
          <w:rFonts w:ascii="Times New Roman" w:hAnsi="Times New Roman"/>
          <w:color w:val="auto"/>
        </w:rPr>
      </w:pPr>
      <w:bookmarkStart w:id="204" w:name="_Toc492300833"/>
      <w:r>
        <w:rPr>
          <w:rFonts w:hint="eastAsia" w:ascii="Times New Roman" w:hAnsi="Times New Roman"/>
          <w:color w:val="auto"/>
        </w:rPr>
        <w:t>第一节通用合同条款</w:t>
      </w:r>
      <w:bookmarkEnd w:id="204"/>
    </w:p>
    <w:p>
      <w:pPr>
        <w:pStyle w:val="5"/>
        <w:ind w:firstLine="105"/>
        <w:rPr>
          <w:rFonts w:ascii="Times New Roman" w:hAnsi="Times New Roman"/>
          <w:color w:val="auto"/>
        </w:rPr>
      </w:pPr>
      <w:bookmarkStart w:id="205" w:name="_Toc492300834"/>
      <w:bookmarkStart w:id="206" w:name="_Toc482188546"/>
      <w:r>
        <w:rPr>
          <w:rFonts w:ascii="Times New Roman" w:hAnsi="Times New Roman"/>
          <w:color w:val="auto"/>
        </w:rPr>
        <w:t xml:space="preserve">1. </w:t>
      </w:r>
      <w:r>
        <w:rPr>
          <w:rFonts w:hint="eastAsia" w:ascii="Times New Roman" w:hAnsi="Times New Roman"/>
          <w:color w:val="auto"/>
        </w:rPr>
        <w:t>一般约定</w:t>
      </w:r>
      <w:bookmarkEnd w:id="205"/>
      <w:bookmarkEnd w:id="206"/>
    </w:p>
    <w:p>
      <w:pPr>
        <w:pStyle w:val="6"/>
        <w:spacing w:line="240" w:lineRule="auto"/>
        <w:ind w:firstLine="137"/>
        <w:rPr>
          <w:rFonts w:ascii="Times New Roman" w:hAnsi="Times New Roman"/>
          <w:color w:val="auto"/>
        </w:rPr>
      </w:pPr>
      <w:bookmarkStart w:id="207" w:name="_Toc482188547"/>
      <w:bookmarkStart w:id="208" w:name="_Toc492300835"/>
      <w:r>
        <w:rPr>
          <w:rFonts w:ascii="Times New Roman" w:hAnsi="Times New Roman"/>
          <w:color w:val="auto"/>
        </w:rPr>
        <w:t xml:space="preserve">1.1 </w:t>
      </w:r>
      <w:r>
        <w:rPr>
          <w:rFonts w:hint="eastAsia" w:ascii="Times New Roman" w:hAnsi="Times New Roman"/>
          <w:color w:val="auto"/>
        </w:rPr>
        <w:t>词语定义</w:t>
      </w:r>
      <w:bookmarkEnd w:id="207"/>
      <w:bookmarkEnd w:id="208"/>
    </w:p>
    <w:p>
      <w:pPr>
        <w:spacing w:line="360" w:lineRule="auto"/>
        <w:ind w:firstLine="420" w:firstLineChars="200"/>
        <w:rPr>
          <w:rFonts w:ascii="Times New Roman" w:hAnsi="Times New Roman"/>
          <w:color w:val="auto"/>
          <w:szCs w:val="21"/>
        </w:rPr>
      </w:pPr>
      <w:r>
        <w:rPr>
          <w:rFonts w:ascii="Times New Roman" w:hAnsi="Times New Roman"/>
          <w:color w:val="auto"/>
          <w:szCs w:val="21"/>
        </w:rPr>
        <w:t>通用合同条款、专用合同条款中的下列词语应具有本款所赋予的含义。</w:t>
      </w:r>
    </w:p>
    <w:p>
      <w:pPr>
        <w:spacing w:line="360" w:lineRule="auto"/>
        <w:ind w:firstLine="413" w:firstLineChars="196"/>
        <w:rPr>
          <w:rFonts w:ascii="Times New Roman" w:hAnsi="Times New Roman"/>
          <w:b/>
          <w:color w:val="auto"/>
        </w:rPr>
      </w:pPr>
      <w:r>
        <w:rPr>
          <w:rFonts w:ascii="Times New Roman" w:hAnsi="Times New Roman"/>
          <w:b/>
          <w:color w:val="auto"/>
        </w:rPr>
        <w:t>1.1.1 合同</w:t>
      </w:r>
    </w:p>
    <w:p>
      <w:pPr>
        <w:spacing w:line="360" w:lineRule="auto"/>
        <w:ind w:firstLine="420" w:firstLineChars="200"/>
        <w:rPr>
          <w:rFonts w:ascii="Times New Roman" w:hAnsi="Times New Roman"/>
          <w:color w:val="auto"/>
          <w:szCs w:val="21"/>
        </w:rPr>
      </w:pPr>
      <w:r>
        <w:rPr>
          <w:rFonts w:ascii="Times New Roman" w:hAnsi="Times New Roman"/>
          <w:color w:val="auto"/>
        </w:rPr>
        <w:t>1.1.1.1</w:t>
      </w:r>
      <w:r>
        <w:rPr>
          <w:rFonts w:ascii="Times New Roman" w:hAnsi="Times New Roman"/>
          <w:color w:val="auto"/>
          <w:szCs w:val="21"/>
        </w:rPr>
        <w:t xml:space="preserve"> 合同文件（或称合同）：指合同协议书、中标通知书、投标函和投标函附录、专用合同条款、通用合同条款、发包人要求、勘察费用清单</w:t>
      </w:r>
      <w:r>
        <w:rPr>
          <w:rFonts w:hint="eastAsia" w:ascii="Times New Roman" w:hAnsi="Times New Roman"/>
          <w:color w:val="auto"/>
          <w:szCs w:val="21"/>
        </w:rPr>
        <w:t>、</w:t>
      </w:r>
      <w:r>
        <w:rPr>
          <w:rFonts w:ascii="Times New Roman" w:hAnsi="Times New Roman"/>
          <w:color w:val="auto"/>
          <w:szCs w:val="21"/>
        </w:rPr>
        <w:t>勘察纲要</w:t>
      </w:r>
      <w:r>
        <w:rPr>
          <w:rFonts w:hint="eastAsia" w:ascii="Times New Roman" w:hAnsi="Times New Roman"/>
          <w:color w:val="auto"/>
          <w:szCs w:val="21"/>
        </w:rPr>
        <w:t>，</w:t>
      </w:r>
      <w:r>
        <w:rPr>
          <w:rFonts w:ascii="Times New Roman" w:hAnsi="Times New Roman"/>
          <w:color w:val="auto"/>
          <w:szCs w:val="21"/>
        </w:rPr>
        <w:t>以及其他构成合同组成部分的文件。</w:t>
      </w:r>
    </w:p>
    <w:p>
      <w:pPr>
        <w:spacing w:line="360" w:lineRule="auto"/>
        <w:ind w:firstLine="420" w:firstLineChars="200"/>
        <w:rPr>
          <w:rFonts w:ascii="Times New Roman" w:hAnsi="Times New Roman"/>
          <w:color w:val="auto"/>
          <w:szCs w:val="21"/>
        </w:rPr>
      </w:pPr>
      <w:r>
        <w:rPr>
          <w:rFonts w:ascii="Times New Roman" w:hAnsi="Times New Roman"/>
          <w:color w:val="auto"/>
        </w:rPr>
        <w:t>1.1.1.2</w:t>
      </w:r>
      <w:r>
        <w:rPr>
          <w:rFonts w:ascii="Times New Roman" w:hAnsi="Times New Roman"/>
          <w:color w:val="auto"/>
          <w:szCs w:val="21"/>
        </w:rPr>
        <w:t xml:space="preserve"> 合同协议书：指发包人和勘察人共同签署的合同协议书。</w:t>
      </w:r>
    </w:p>
    <w:p>
      <w:pPr>
        <w:spacing w:line="360" w:lineRule="auto"/>
        <w:ind w:firstLine="420" w:firstLineChars="200"/>
        <w:rPr>
          <w:rFonts w:ascii="Times New Roman" w:hAnsi="Times New Roman"/>
          <w:color w:val="auto"/>
          <w:szCs w:val="21"/>
        </w:rPr>
      </w:pPr>
      <w:r>
        <w:rPr>
          <w:rFonts w:ascii="Times New Roman" w:hAnsi="Times New Roman"/>
          <w:color w:val="auto"/>
        </w:rPr>
        <w:t>1.1.1.3</w:t>
      </w:r>
      <w:r>
        <w:rPr>
          <w:rFonts w:ascii="Times New Roman" w:hAnsi="Times New Roman"/>
          <w:color w:val="auto"/>
          <w:szCs w:val="21"/>
        </w:rPr>
        <w:t xml:space="preserve"> 中标通知书：</w:t>
      </w:r>
      <w:r>
        <w:rPr>
          <w:rFonts w:ascii="Times New Roman" w:hAnsi="Times New Roman"/>
          <w:color w:val="auto"/>
        </w:rPr>
        <w:t>指</w:t>
      </w:r>
      <w:r>
        <w:rPr>
          <w:rFonts w:ascii="Times New Roman" w:hAnsi="Times New Roman"/>
          <w:color w:val="auto"/>
          <w:szCs w:val="21"/>
        </w:rPr>
        <w:t>发包人通知勘察人中标的函件。</w:t>
      </w:r>
    </w:p>
    <w:p>
      <w:pPr>
        <w:spacing w:line="360" w:lineRule="auto"/>
        <w:ind w:firstLine="420" w:firstLineChars="200"/>
        <w:rPr>
          <w:rFonts w:ascii="Times New Roman" w:hAnsi="Times New Roman"/>
          <w:color w:val="auto"/>
          <w:szCs w:val="21"/>
        </w:rPr>
      </w:pPr>
      <w:r>
        <w:rPr>
          <w:rFonts w:ascii="Times New Roman" w:hAnsi="Times New Roman"/>
          <w:color w:val="auto"/>
        </w:rPr>
        <w:t>1.1.1.4</w:t>
      </w:r>
      <w:r>
        <w:rPr>
          <w:rFonts w:ascii="Times New Roman" w:hAnsi="Times New Roman"/>
          <w:color w:val="auto"/>
          <w:szCs w:val="21"/>
        </w:rPr>
        <w:t xml:space="preserve"> 投标函：指由勘察人填写并签署的，名为“投标函”的函件。</w:t>
      </w:r>
    </w:p>
    <w:p>
      <w:pPr>
        <w:spacing w:line="360" w:lineRule="auto"/>
        <w:ind w:firstLine="420" w:firstLineChars="200"/>
        <w:rPr>
          <w:rFonts w:ascii="Times New Roman" w:hAnsi="Times New Roman"/>
          <w:color w:val="auto"/>
          <w:szCs w:val="21"/>
        </w:rPr>
      </w:pPr>
      <w:r>
        <w:rPr>
          <w:rFonts w:ascii="Times New Roman" w:hAnsi="Times New Roman"/>
          <w:color w:val="auto"/>
        </w:rPr>
        <w:t>1.1.1.5</w:t>
      </w:r>
      <w:r>
        <w:rPr>
          <w:rFonts w:ascii="Times New Roman" w:hAnsi="Times New Roman"/>
          <w:color w:val="auto"/>
          <w:szCs w:val="21"/>
        </w:rPr>
        <w:t xml:space="preserve"> 投标函附录：指由勘察人填写并签署的</w:t>
      </w:r>
      <w:r>
        <w:rPr>
          <w:rFonts w:hint="eastAsia" w:ascii="Times New Roman" w:hAnsi="Times New Roman"/>
          <w:color w:val="auto"/>
          <w:szCs w:val="21"/>
        </w:rPr>
        <w:t>、</w:t>
      </w:r>
      <w:r>
        <w:rPr>
          <w:rFonts w:ascii="Times New Roman" w:hAnsi="Times New Roman"/>
          <w:color w:val="auto"/>
          <w:szCs w:val="21"/>
        </w:rPr>
        <w:t>附在投标函后，名为“投标函附录”的函件。</w:t>
      </w:r>
    </w:p>
    <w:p>
      <w:pPr>
        <w:spacing w:line="360" w:lineRule="auto"/>
        <w:ind w:firstLine="420" w:firstLineChars="200"/>
        <w:rPr>
          <w:rFonts w:ascii="Times New Roman" w:hAnsi="Times New Roman"/>
          <w:color w:val="auto"/>
          <w:szCs w:val="21"/>
        </w:rPr>
      </w:pPr>
      <w:r>
        <w:rPr>
          <w:rFonts w:ascii="Times New Roman" w:hAnsi="Times New Roman"/>
          <w:color w:val="auto"/>
        </w:rPr>
        <w:t>1.1.1.6</w:t>
      </w:r>
      <w:r>
        <w:rPr>
          <w:rFonts w:ascii="Times New Roman" w:hAnsi="Times New Roman"/>
          <w:color w:val="auto"/>
          <w:szCs w:val="21"/>
        </w:rPr>
        <w:t xml:space="preserve"> 发包人要求：指合同文件中名为“发包人要求”的文件。</w:t>
      </w:r>
    </w:p>
    <w:p>
      <w:pPr>
        <w:spacing w:line="360" w:lineRule="auto"/>
        <w:ind w:firstLine="420" w:firstLineChars="200"/>
        <w:rPr>
          <w:rFonts w:ascii="Times New Roman" w:hAnsi="Times New Roman"/>
          <w:color w:val="auto"/>
          <w:szCs w:val="21"/>
        </w:rPr>
      </w:pPr>
      <w:r>
        <w:rPr>
          <w:rFonts w:ascii="Times New Roman" w:hAnsi="Times New Roman"/>
          <w:color w:val="auto"/>
          <w:szCs w:val="21"/>
        </w:rPr>
        <w:t>1.1.1.7 勘察纲要：指勘察人在投标文件中的勘察纲要。</w:t>
      </w:r>
    </w:p>
    <w:p>
      <w:pPr>
        <w:spacing w:line="360" w:lineRule="auto"/>
        <w:ind w:firstLine="420" w:firstLineChars="200"/>
        <w:rPr>
          <w:rFonts w:ascii="Times New Roman" w:hAnsi="Times New Roman"/>
          <w:color w:val="auto"/>
          <w:szCs w:val="21"/>
        </w:rPr>
      </w:pPr>
      <w:r>
        <w:rPr>
          <w:rFonts w:ascii="Times New Roman" w:hAnsi="Times New Roman"/>
          <w:color w:val="auto"/>
        </w:rPr>
        <w:t>1.1.1.8</w:t>
      </w:r>
      <w:r>
        <w:rPr>
          <w:rFonts w:ascii="Times New Roman" w:hAnsi="Times New Roman"/>
          <w:color w:val="auto"/>
          <w:szCs w:val="21"/>
        </w:rPr>
        <w:t xml:space="preserve"> 勘察费用清单：指勘察人投标文件中的勘察费用清单。</w:t>
      </w:r>
    </w:p>
    <w:p>
      <w:pPr>
        <w:spacing w:line="360" w:lineRule="auto"/>
        <w:ind w:firstLine="420" w:firstLineChars="200"/>
        <w:rPr>
          <w:rFonts w:ascii="Times New Roman" w:hAnsi="Times New Roman"/>
          <w:color w:val="auto"/>
          <w:szCs w:val="21"/>
        </w:rPr>
      </w:pPr>
      <w:r>
        <w:rPr>
          <w:rFonts w:ascii="Times New Roman" w:hAnsi="Times New Roman"/>
          <w:color w:val="auto"/>
        </w:rPr>
        <w:t>1.1.1.9</w:t>
      </w:r>
      <w:r>
        <w:rPr>
          <w:rFonts w:ascii="Times New Roman" w:hAnsi="Times New Roman"/>
          <w:color w:val="auto"/>
          <w:szCs w:val="21"/>
        </w:rPr>
        <w:t xml:space="preserve"> 其他合同文件：指经合同双方当事人确认构成合同文件的其他文件。</w:t>
      </w:r>
    </w:p>
    <w:p>
      <w:pPr>
        <w:spacing w:line="360" w:lineRule="auto"/>
        <w:ind w:firstLine="413" w:firstLineChars="196"/>
        <w:rPr>
          <w:rFonts w:ascii="Times New Roman" w:hAnsi="Times New Roman"/>
          <w:b/>
          <w:color w:val="auto"/>
        </w:rPr>
      </w:pPr>
      <w:r>
        <w:rPr>
          <w:rFonts w:ascii="Times New Roman" w:hAnsi="Times New Roman"/>
          <w:b/>
          <w:color w:val="auto"/>
        </w:rPr>
        <w:t>1.1.2 合同当事人和人员</w:t>
      </w:r>
    </w:p>
    <w:p>
      <w:pPr>
        <w:spacing w:line="360" w:lineRule="auto"/>
        <w:ind w:firstLine="420" w:firstLineChars="200"/>
        <w:rPr>
          <w:rFonts w:ascii="Times New Roman" w:hAnsi="Times New Roman"/>
          <w:color w:val="auto"/>
          <w:szCs w:val="21"/>
        </w:rPr>
      </w:pPr>
      <w:r>
        <w:rPr>
          <w:rFonts w:ascii="Times New Roman" w:hAnsi="Times New Roman"/>
          <w:color w:val="auto"/>
          <w:szCs w:val="21"/>
        </w:rPr>
        <w:t>1.1.2.1 合同当事人：指发包人和（或）勘察人。</w:t>
      </w:r>
    </w:p>
    <w:p>
      <w:pPr>
        <w:spacing w:line="360" w:lineRule="auto"/>
        <w:ind w:firstLine="420" w:firstLineChars="200"/>
        <w:rPr>
          <w:rFonts w:ascii="Times New Roman" w:hAnsi="Times New Roman"/>
          <w:color w:val="auto"/>
          <w:szCs w:val="21"/>
        </w:rPr>
      </w:pPr>
      <w:r>
        <w:rPr>
          <w:rFonts w:ascii="Times New Roman" w:hAnsi="Times New Roman"/>
          <w:color w:val="auto"/>
          <w:szCs w:val="21"/>
        </w:rPr>
        <w:t>1.1.2.2 发包人：指与勘察人签订合同协议书的当事人</w:t>
      </w:r>
      <w:r>
        <w:rPr>
          <w:rFonts w:ascii="Times New Roman" w:hAnsi="Times New Roman"/>
          <w:color w:val="auto"/>
          <w:kern w:val="0"/>
          <w:szCs w:val="21"/>
        </w:rPr>
        <w:t>，及其</w:t>
      </w:r>
      <w:r>
        <w:rPr>
          <w:rFonts w:ascii="Times New Roman" w:hAnsi="Times New Roman"/>
          <w:color w:val="auto"/>
          <w:kern w:val="0"/>
          <w:szCs w:val="24"/>
        </w:rPr>
        <w:t>合法继承人</w:t>
      </w:r>
      <w:r>
        <w:rPr>
          <w:rFonts w:ascii="Times New Roman" w:hAnsi="Times New Roman"/>
          <w:color w:val="auto"/>
          <w:szCs w:val="21"/>
        </w:rPr>
        <w:t>。</w:t>
      </w:r>
    </w:p>
    <w:p>
      <w:pPr>
        <w:spacing w:line="360" w:lineRule="auto"/>
        <w:ind w:firstLine="420" w:firstLineChars="200"/>
        <w:rPr>
          <w:rFonts w:ascii="Times New Roman" w:hAnsi="Times New Roman"/>
          <w:color w:val="auto"/>
          <w:szCs w:val="21"/>
        </w:rPr>
      </w:pPr>
      <w:r>
        <w:rPr>
          <w:rFonts w:ascii="Times New Roman" w:hAnsi="Times New Roman"/>
          <w:color w:val="auto"/>
          <w:szCs w:val="21"/>
        </w:rPr>
        <w:t>1.1.2.3 勘察人：指与发包人签订合同协议书的当事人</w:t>
      </w:r>
      <w:r>
        <w:rPr>
          <w:rFonts w:ascii="Times New Roman" w:hAnsi="Times New Roman"/>
          <w:color w:val="auto"/>
          <w:kern w:val="0"/>
          <w:szCs w:val="21"/>
        </w:rPr>
        <w:t>，及其</w:t>
      </w:r>
      <w:r>
        <w:rPr>
          <w:rFonts w:ascii="Times New Roman" w:hAnsi="Times New Roman"/>
          <w:color w:val="auto"/>
          <w:kern w:val="0"/>
          <w:szCs w:val="24"/>
        </w:rPr>
        <w:t>合法继承人</w:t>
      </w:r>
      <w:r>
        <w:rPr>
          <w:rFonts w:ascii="Times New Roman" w:hAnsi="Times New Roman"/>
          <w:color w:val="auto"/>
          <w:szCs w:val="21"/>
        </w:rPr>
        <w:t>。</w:t>
      </w:r>
    </w:p>
    <w:p>
      <w:pPr>
        <w:spacing w:line="360" w:lineRule="auto"/>
        <w:ind w:firstLine="420" w:firstLineChars="200"/>
        <w:rPr>
          <w:rFonts w:ascii="Times New Roman" w:hAnsi="Times New Roman"/>
          <w:color w:val="auto"/>
          <w:szCs w:val="21"/>
        </w:rPr>
      </w:pPr>
      <w:r>
        <w:rPr>
          <w:rFonts w:ascii="Times New Roman" w:hAnsi="Times New Roman"/>
          <w:color w:val="auto"/>
          <w:szCs w:val="21"/>
        </w:rPr>
        <w:t>1.1.2.4 发包人代表：指由发包人任命，并在授权范围和期限内代表发包人行使权利和履行义务的全权负责人。</w:t>
      </w:r>
    </w:p>
    <w:p>
      <w:pPr>
        <w:spacing w:line="360" w:lineRule="auto"/>
        <w:ind w:firstLine="420" w:firstLineChars="200"/>
        <w:rPr>
          <w:rFonts w:ascii="Times New Roman" w:hAnsi="Times New Roman"/>
          <w:color w:val="auto"/>
          <w:szCs w:val="21"/>
        </w:rPr>
      </w:pPr>
      <w:r>
        <w:rPr>
          <w:rFonts w:ascii="Times New Roman" w:hAnsi="Times New Roman"/>
          <w:color w:val="auto"/>
          <w:szCs w:val="21"/>
        </w:rPr>
        <w:t>1.1.2.5 项目负责人：指由勘察人任命，代表勘察人行使权利和履行义务的全权负责人。</w:t>
      </w:r>
    </w:p>
    <w:p>
      <w:pPr>
        <w:spacing w:line="360" w:lineRule="auto"/>
        <w:ind w:firstLine="420" w:firstLineChars="200"/>
        <w:rPr>
          <w:rFonts w:ascii="Times New Roman" w:hAnsi="Times New Roman"/>
          <w:color w:val="auto"/>
          <w:szCs w:val="21"/>
        </w:rPr>
      </w:pPr>
      <w:r>
        <w:rPr>
          <w:rFonts w:ascii="Times New Roman" w:hAnsi="Times New Roman"/>
          <w:color w:val="auto"/>
          <w:szCs w:val="21"/>
        </w:rPr>
        <w:t>1.1.2.6 分包人：指从勘察人处分包合同中某一部分工作，并与其签订分包合同的分包人。</w:t>
      </w:r>
    </w:p>
    <w:p>
      <w:pPr>
        <w:spacing w:line="360" w:lineRule="auto"/>
        <w:ind w:firstLine="413" w:firstLineChars="196"/>
        <w:rPr>
          <w:rFonts w:ascii="Times New Roman" w:hAnsi="Times New Roman"/>
          <w:b/>
          <w:color w:val="auto"/>
        </w:rPr>
      </w:pPr>
      <w:r>
        <w:rPr>
          <w:rFonts w:ascii="Times New Roman" w:hAnsi="Times New Roman"/>
          <w:b/>
          <w:color w:val="auto"/>
        </w:rPr>
        <w:t>1.1.3 工程和勘察</w:t>
      </w:r>
    </w:p>
    <w:p>
      <w:pPr>
        <w:spacing w:line="360" w:lineRule="auto"/>
        <w:ind w:firstLine="420" w:firstLineChars="200"/>
        <w:rPr>
          <w:rFonts w:ascii="Times New Roman" w:hAnsi="Times New Roman"/>
          <w:color w:val="auto"/>
          <w:szCs w:val="21"/>
        </w:rPr>
      </w:pPr>
      <w:r>
        <w:rPr>
          <w:rFonts w:ascii="Times New Roman" w:hAnsi="Times New Roman"/>
          <w:color w:val="auto"/>
          <w:szCs w:val="21"/>
        </w:rPr>
        <w:t>1.1.3.1 工程：</w:t>
      </w:r>
      <w:r>
        <w:rPr>
          <w:rFonts w:ascii="Times New Roman" w:hAnsi="Times New Roman"/>
          <w:color w:val="auto"/>
        </w:rPr>
        <w:t>指专用合同条款中指明进行勘察招标的工程。</w:t>
      </w:r>
    </w:p>
    <w:p>
      <w:pPr>
        <w:spacing w:line="360" w:lineRule="auto"/>
        <w:ind w:firstLine="420" w:firstLineChars="200"/>
        <w:rPr>
          <w:rFonts w:ascii="Times New Roman" w:hAnsi="Times New Roman"/>
          <w:color w:val="auto"/>
        </w:rPr>
      </w:pPr>
      <w:r>
        <w:rPr>
          <w:rFonts w:ascii="Times New Roman" w:hAnsi="Times New Roman"/>
          <w:color w:val="auto"/>
        </w:rPr>
        <w:t>1.1.3.2 勘察服务：指勘察人按照合同约定履行的服务，包括制订勘察纲要、进行测绘、勘探、取样和试验等，查明、分析和评估地质特征和工程条件，编制勘察报告和提供发包人委托的其他服务。</w:t>
      </w:r>
    </w:p>
    <w:p>
      <w:pPr>
        <w:spacing w:line="360" w:lineRule="auto"/>
        <w:ind w:firstLine="420" w:firstLineChars="200"/>
        <w:rPr>
          <w:rFonts w:ascii="Times New Roman" w:hAnsi="Times New Roman"/>
          <w:color w:val="auto"/>
          <w:szCs w:val="21"/>
        </w:rPr>
      </w:pPr>
      <w:r>
        <w:rPr>
          <w:rFonts w:ascii="Times New Roman" w:hAnsi="Times New Roman"/>
          <w:color w:val="auto"/>
          <w:szCs w:val="21"/>
        </w:rPr>
        <w:t>1.1.3.3 勘察设备：指为完成合同约定的各项工作所需的设备、器具和其他物品，不包括临时工程和材料。</w:t>
      </w:r>
    </w:p>
    <w:p>
      <w:pPr>
        <w:spacing w:line="360" w:lineRule="auto"/>
        <w:ind w:firstLine="420" w:firstLineChars="200"/>
        <w:rPr>
          <w:rFonts w:ascii="Times New Roman" w:hAnsi="Times New Roman"/>
          <w:color w:val="auto"/>
          <w:szCs w:val="21"/>
        </w:rPr>
      </w:pPr>
      <w:r>
        <w:rPr>
          <w:rFonts w:ascii="Times New Roman" w:hAnsi="Times New Roman"/>
          <w:color w:val="auto"/>
          <w:szCs w:val="21"/>
        </w:rPr>
        <w:t>1.1.3.4 勘探场地：指用于工程勘探的场所，以及在合同中指定作为勘探场地组成的其他场所。</w:t>
      </w:r>
    </w:p>
    <w:p>
      <w:pPr>
        <w:spacing w:line="360" w:lineRule="auto"/>
        <w:ind w:firstLine="420" w:firstLineChars="200"/>
        <w:rPr>
          <w:rFonts w:ascii="Times New Roman" w:hAnsi="Times New Roman"/>
          <w:color w:val="auto"/>
          <w:szCs w:val="21"/>
        </w:rPr>
      </w:pPr>
      <w:r>
        <w:rPr>
          <w:rFonts w:ascii="Times New Roman" w:hAnsi="Times New Roman"/>
          <w:color w:val="auto"/>
        </w:rPr>
        <w:t>1.1.3.5 勘察资料：是发包人按合同约定向勘察人提供的，用于完成勘察服务范围与内容所需要的资料。</w:t>
      </w:r>
    </w:p>
    <w:p>
      <w:pPr>
        <w:spacing w:line="360" w:lineRule="auto"/>
        <w:ind w:firstLine="420" w:firstLineChars="200"/>
        <w:rPr>
          <w:rFonts w:ascii="Times New Roman" w:hAnsi="Times New Roman"/>
          <w:color w:val="auto"/>
          <w:szCs w:val="21"/>
        </w:rPr>
      </w:pPr>
      <w:r>
        <w:rPr>
          <w:rFonts w:ascii="Times New Roman" w:hAnsi="Times New Roman"/>
          <w:color w:val="auto"/>
          <w:szCs w:val="21"/>
        </w:rPr>
        <w:t>1.1.3.6 勘察文件：</w:t>
      </w:r>
      <w:r>
        <w:rPr>
          <w:rFonts w:ascii="Times New Roman" w:hAnsi="Times New Roman"/>
          <w:color w:val="auto"/>
        </w:rPr>
        <w:t>指勘察人按合同约定向发包人提交的工程勘察报告、服务大纲、勘察方案、外业指导书、进度计划、图纸、计算书、软件和其他文件等，包括阶段性文件和最终文件，且应当采用合同中双方约定的格式和载体。</w:t>
      </w:r>
    </w:p>
    <w:p>
      <w:pPr>
        <w:spacing w:line="360" w:lineRule="auto"/>
        <w:ind w:firstLine="413" w:firstLineChars="196"/>
        <w:rPr>
          <w:rFonts w:ascii="Times New Roman" w:hAnsi="Times New Roman"/>
          <w:b/>
          <w:color w:val="auto"/>
        </w:rPr>
      </w:pPr>
      <w:r>
        <w:rPr>
          <w:rFonts w:ascii="Times New Roman" w:hAnsi="Times New Roman"/>
          <w:b/>
          <w:color w:val="auto"/>
        </w:rPr>
        <w:t>1.1.4 日期</w:t>
      </w:r>
    </w:p>
    <w:p>
      <w:pPr>
        <w:spacing w:line="360" w:lineRule="auto"/>
        <w:ind w:firstLine="420" w:firstLineChars="200"/>
        <w:rPr>
          <w:rFonts w:ascii="Times New Roman" w:hAnsi="Times New Roman"/>
          <w:color w:val="auto"/>
          <w:szCs w:val="21"/>
        </w:rPr>
      </w:pPr>
      <w:r>
        <w:rPr>
          <w:rFonts w:ascii="Times New Roman" w:hAnsi="Times New Roman"/>
          <w:color w:val="auto"/>
          <w:szCs w:val="21"/>
        </w:rPr>
        <w:t>1.1.4.1 开始勘察通知：指发包人按第6.1款通知勘察人开始勘察的函件。</w:t>
      </w:r>
    </w:p>
    <w:p>
      <w:pPr>
        <w:spacing w:line="360" w:lineRule="auto"/>
        <w:ind w:firstLine="420" w:firstLineChars="200"/>
        <w:rPr>
          <w:rFonts w:ascii="Times New Roman" w:hAnsi="Times New Roman"/>
          <w:color w:val="auto"/>
          <w:szCs w:val="21"/>
        </w:rPr>
      </w:pPr>
      <w:r>
        <w:rPr>
          <w:rFonts w:ascii="Times New Roman" w:hAnsi="Times New Roman"/>
          <w:color w:val="auto"/>
          <w:szCs w:val="21"/>
        </w:rPr>
        <w:t>1.1.4.2 开始勘察日期：指发包人按第6.1款发出的开始勘察通知中写明的开始勘察日期。</w:t>
      </w:r>
    </w:p>
    <w:p>
      <w:pPr>
        <w:spacing w:line="360" w:lineRule="auto"/>
        <w:ind w:firstLine="420" w:firstLineChars="200"/>
        <w:rPr>
          <w:rFonts w:ascii="Times New Roman" w:hAnsi="Times New Roman"/>
          <w:color w:val="auto"/>
          <w:szCs w:val="21"/>
        </w:rPr>
      </w:pPr>
      <w:r>
        <w:rPr>
          <w:rFonts w:ascii="Times New Roman" w:hAnsi="Times New Roman"/>
          <w:color w:val="auto"/>
          <w:szCs w:val="21"/>
        </w:rPr>
        <w:t>1.1.4.3 勘察服务期限：指勘察人在投标函中承诺的完成合同勘察服务所需的期限，包括按第6.2款、第6.3款</w:t>
      </w:r>
      <w:r>
        <w:rPr>
          <w:rFonts w:hint="eastAsia" w:ascii="Times New Roman" w:hAnsi="Times New Roman"/>
          <w:color w:val="auto"/>
          <w:szCs w:val="21"/>
        </w:rPr>
        <w:t>、第6.5款</w:t>
      </w:r>
      <w:r>
        <w:rPr>
          <w:rFonts w:ascii="Times New Roman" w:hAnsi="Times New Roman"/>
          <w:color w:val="auto"/>
          <w:szCs w:val="21"/>
        </w:rPr>
        <w:t>和第6.7款约定所作的调整。</w:t>
      </w:r>
    </w:p>
    <w:p>
      <w:pPr>
        <w:spacing w:line="360" w:lineRule="auto"/>
        <w:ind w:firstLine="420" w:firstLineChars="200"/>
        <w:rPr>
          <w:rFonts w:ascii="Times New Roman" w:hAnsi="Times New Roman"/>
          <w:color w:val="auto"/>
          <w:szCs w:val="21"/>
        </w:rPr>
      </w:pPr>
      <w:r>
        <w:rPr>
          <w:rFonts w:ascii="Times New Roman" w:hAnsi="Times New Roman"/>
          <w:color w:val="auto"/>
          <w:szCs w:val="21"/>
        </w:rPr>
        <w:t>1.1.4.4 完成勘察日期：指第1.1.4.3目约定勘察服务期限届满时的日期。</w:t>
      </w:r>
    </w:p>
    <w:p>
      <w:pPr>
        <w:spacing w:line="360" w:lineRule="auto"/>
        <w:ind w:firstLine="420" w:firstLineChars="200"/>
        <w:rPr>
          <w:rFonts w:ascii="Times New Roman" w:hAnsi="Times New Roman"/>
          <w:color w:val="auto"/>
          <w:szCs w:val="21"/>
        </w:rPr>
      </w:pPr>
      <w:r>
        <w:rPr>
          <w:rFonts w:ascii="Times New Roman" w:hAnsi="Times New Roman"/>
          <w:color w:val="auto"/>
          <w:szCs w:val="21"/>
        </w:rPr>
        <w:t>1.1.4.5 基准日：指投标截止时间前28天的日期。</w:t>
      </w:r>
    </w:p>
    <w:p>
      <w:pPr>
        <w:spacing w:line="360" w:lineRule="auto"/>
        <w:ind w:firstLine="420" w:firstLineChars="200"/>
        <w:rPr>
          <w:rFonts w:ascii="Times New Roman" w:hAnsi="Times New Roman"/>
          <w:color w:val="auto"/>
          <w:szCs w:val="21"/>
        </w:rPr>
      </w:pPr>
      <w:r>
        <w:rPr>
          <w:rFonts w:ascii="Times New Roman" w:hAnsi="Times New Roman"/>
          <w:color w:val="auto"/>
          <w:szCs w:val="21"/>
        </w:rPr>
        <w:t>1.1.4.6 天：除特别指明外，指日历天。合同中按天计算时间的，开始当天不计入，从次日开始计算。期限最后一天的截止时间为当天24:00。</w:t>
      </w:r>
    </w:p>
    <w:p>
      <w:pPr>
        <w:spacing w:line="360" w:lineRule="auto"/>
        <w:ind w:firstLine="413" w:firstLineChars="196"/>
        <w:rPr>
          <w:rFonts w:ascii="Times New Roman" w:hAnsi="Times New Roman"/>
          <w:b/>
          <w:color w:val="auto"/>
        </w:rPr>
      </w:pPr>
      <w:r>
        <w:rPr>
          <w:rFonts w:ascii="Times New Roman" w:hAnsi="Times New Roman"/>
          <w:b/>
          <w:color w:val="auto"/>
        </w:rPr>
        <w:t>1.1.5 合同价格和费用</w:t>
      </w:r>
    </w:p>
    <w:p>
      <w:pPr>
        <w:spacing w:line="360" w:lineRule="auto"/>
        <w:ind w:firstLine="420" w:firstLineChars="200"/>
        <w:rPr>
          <w:rFonts w:ascii="Times New Roman" w:hAnsi="Times New Roman"/>
          <w:color w:val="auto"/>
          <w:szCs w:val="21"/>
        </w:rPr>
      </w:pPr>
      <w:r>
        <w:rPr>
          <w:rFonts w:ascii="Times New Roman" w:hAnsi="Times New Roman"/>
          <w:color w:val="auto"/>
          <w:szCs w:val="21"/>
        </w:rPr>
        <w:t>1.1.5.1 签约合同价：指签订合同时合同协议书中写明的勘察费用总金额。</w:t>
      </w:r>
    </w:p>
    <w:p>
      <w:pPr>
        <w:spacing w:line="360" w:lineRule="auto"/>
        <w:ind w:firstLine="420" w:firstLineChars="200"/>
        <w:rPr>
          <w:rFonts w:ascii="Times New Roman" w:hAnsi="Times New Roman"/>
          <w:color w:val="auto"/>
          <w:szCs w:val="21"/>
        </w:rPr>
      </w:pPr>
      <w:r>
        <w:rPr>
          <w:rFonts w:ascii="Times New Roman" w:hAnsi="Times New Roman"/>
          <w:color w:val="auto"/>
          <w:szCs w:val="21"/>
        </w:rPr>
        <w:t>1.1.5.2 合同价格：指勘察人按合同约定完成了全部勘察工作后，发包人应付给勘察人的金额，包括在履行合同过程中按合同约定进行的变更和调整。</w:t>
      </w:r>
    </w:p>
    <w:p>
      <w:pPr>
        <w:spacing w:line="360" w:lineRule="auto"/>
        <w:ind w:firstLine="420" w:firstLineChars="200"/>
        <w:rPr>
          <w:rFonts w:ascii="Times New Roman" w:hAnsi="Times New Roman"/>
          <w:color w:val="auto"/>
          <w:szCs w:val="21"/>
        </w:rPr>
      </w:pPr>
      <w:r>
        <w:rPr>
          <w:rFonts w:ascii="Times New Roman" w:hAnsi="Times New Roman"/>
          <w:color w:val="auto"/>
          <w:szCs w:val="21"/>
        </w:rPr>
        <w:t>1.1.5.3 费用：指为履行合同所发生的或将要发生的所有合理开支，包括管理费和应分摊的其他费用，但不包括利润。</w:t>
      </w:r>
    </w:p>
    <w:p>
      <w:pPr>
        <w:spacing w:line="360" w:lineRule="auto"/>
        <w:ind w:firstLine="413" w:firstLineChars="196"/>
        <w:rPr>
          <w:rFonts w:ascii="Times New Roman" w:hAnsi="Times New Roman"/>
          <w:b/>
          <w:color w:val="auto"/>
        </w:rPr>
      </w:pPr>
      <w:r>
        <w:rPr>
          <w:rFonts w:ascii="Times New Roman" w:hAnsi="Times New Roman"/>
          <w:b/>
          <w:color w:val="auto"/>
        </w:rPr>
        <w:t>1.1.6 其他</w:t>
      </w:r>
    </w:p>
    <w:p>
      <w:pPr>
        <w:spacing w:line="360" w:lineRule="auto"/>
        <w:ind w:firstLine="420" w:firstLineChars="200"/>
        <w:rPr>
          <w:rFonts w:ascii="Times New Roman" w:hAnsi="Times New Roman"/>
          <w:color w:val="auto"/>
          <w:szCs w:val="21"/>
        </w:rPr>
      </w:pPr>
      <w:r>
        <w:rPr>
          <w:rFonts w:ascii="Times New Roman" w:hAnsi="Times New Roman"/>
          <w:color w:val="auto"/>
          <w:szCs w:val="21"/>
        </w:rPr>
        <w:t>1.1.6.1 书面形式：指合同文件、信件和数据电文（包括电报、电传、传真、电子数据交换和电子邮件）等可以有形地表现所载内容的形式。</w:t>
      </w:r>
    </w:p>
    <w:p>
      <w:pPr>
        <w:pStyle w:val="6"/>
        <w:spacing w:line="240" w:lineRule="auto"/>
        <w:ind w:firstLine="137"/>
        <w:rPr>
          <w:rFonts w:ascii="Times New Roman" w:hAnsi="Times New Roman"/>
          <w:color w:val="auto"/>
        </w:rPr>
      </w:pPr>
      <w:bookmarkStart w:id="209" w:name="_Toc482188548"/>
      <w:bookmarkStart w:id="210" w:name="_Toc492300836"/>
      <w:r>
        <w:rPr>
          <w:rFonts w:ascii="Times New Roman" w:hAnsi="Times New Roman"/>
          <w:color w:val="auto"/>
        </w:rPr>
        <w:t xml:space="preserve">1.2 </w:t>
      </w:r>
      <w:r>
        <w:rPr>
          <w:rFonts w:hint="eastAsia" w:ascii="Times New Roman" w:hAnsi="Times New Roman"/>
          <w:color w:val="auto"/>
        </w:rPr>
        <w:t>语言文字</w:t>
      </w:r>
      <w:bookmarkEnd w:id="209"/>
      <w:bookmarkEnd w:id="210"/>
    </w:p>
    <w:p>
      <w:pPr>
        <w:spacing w:line="360" w:lineRule="auto"/>
        <w:ind w:firstLine="420" w:firstLineChars="200"/>
        <w:rPr>
          <w:rFonts w:ascii="Times New Roman" w:hAnsi="Times New Roman"/>
          <w:color w:val="auto"/>
          <w:szCs w:val="21"/>
        </w:rPr>
      </w:pPr>
      <w:r>
        <w:rPr>
          <w:rFonts w:ascii="Times New Roman" w:hAnsi="Times New Roman"/>
          <w:color w:val="auto"/>
          <w:szCs w:val="21"/>
        </w:rPr>
        <w:t>合同使用的语言文字为中文。专用术语使用外文的，应附有中文注释。</w:t>
      </w:r>
    </w:p>
    <w:p>
      <w:pPr>
        <w:pStyle w:val="6"/>
        <w:spacing w:line="240" w:lineRule="auto"/>
        <w:ind w:firstLine="137"/>
        <w:rPr>
          <w:rFonts w:ascii="Times New Roman" w:hAnsi="Times New Roman"/>
          <w:color w:val="auto"/>
        </w:rPr>
      </w:pPr>
      <w:bookmarkStart w:id="211" w:name="_Toc482188549"/>
      <w:bookmarkStart w:id="212" w:name="_Toc492300837"/>
      <w:r>
        <w:rPr>
          <w:rFonts w:ascii="Times New Roman" w:hAnsi="Times New Roman"/>
          <w:color w:val="auto"/>
        </w:rPr>
        <w:t xml:space="preserve">1.3 </w:t>
      </w:r>
      <w:r>
        <w:rPr>
          <w:rFonts w:hint="eastAsia" w:ascii="Times New Roman" w:hAnsi="Times New Roman"/>
          <w:color w:val="auto"/>
        </w:rPr>
        <w:t>适用法律</w:t>
      </w:r>
      <w:bookmarkEnd w:id="211"/>
      <w:bookmarkEnd w:id="212"/>
    </w:p>
    <w:p>
      <w:pPr>
        <w:spacing w:line="360" w:lineRule="auto"/>
        <w:ind w:firstLine="420" w:firstLineChars="200"/>
        <w:rPr>
          <w:rFonts w:ascii="Times New Roman" w:hAnsi="Times New Roman"/>
          <w:color w:val="auto"/>
          <w:szCs w:val="21"/>
        </w:rPr>
      </w:pPr>
      <w:r>
        <w:rPr>
          <w:rFonts w:ascii="Times New Roman" w:hAnsi="Times New Roman"/>
          <w:color w:val="auto"/>
          <w:szCs w:val="21"/>
        </w:rPr>
        <w:t>适用于合同的法律包括中华人民共和国法律、行政法规、部门规章，以及工程所在地的地方法规、自治条例、单行条例和地方政府规章。</w:t>
      </w:r>
    </w:p>
    <w:p>
      <w:pPr>
        <w:spacing w:line="360" w:lineRule="auto"/>
        <w:ind w:firstLine="420" w:firstLineChars="200"/>
        <w:rPr>
          <w:rFonts w:ascii="Times New Roman" w:hAnsi="Times New Roman"/>
          <w:color w:val="auto"/>
        </w:rPr>
      </w:pPr>
      <w:r>
        <w:rPr>
          <w:rFonts w:ascii="Times New Roman" w:hAnsi="Times New Roman"/>
          <w:color w:val="auto"/>
        </w:rPr>
        <w:t>本合同适用的其他规范性文件，可在专用合同条款中约定。</w:t>
      </w:r>
    </w:p>
    <w:p>
      <w:pPr>
        <w:pStyle w:val="6"/>
        <w:spacing w:line="240" w:lineRule="auto"/>
        <w:ind w:firstLine="137"/>
        <w:rPr>
          <w:rFonts w:ascii="Times New Roman" w:hAnsi="Times New Roman"/>
          <w:color w:val="auto"/>
        </w:rPr>
      </w:pPr>
      <w:bookmarkStart w:id="213" w:name="_Toc482188550"/>
      <w:bookmarkStart w:id="214" w:name="_Toc492300838"/>
      <w:r>
        <w:rPr>
          <w:rFonts w:ascii="Times New Roman" w:hAnsi="Times New Roman"/>
          <w:color w:val="auto"/>
        </w:rPr>
        <w:t xml:space="preserve">1.4 </w:t>
      </w:r>
      <w:r>
        <w:rPr>
          <w:rFonts w:hint="eastAsia" w:ascii="Times New Roman" w:hAnsi="Times New Roman"/>
          <w:color w:val="auto"/>
        </w:rPr>
        <w:t>合同文件的优先顺序</w:t>
      </w:r>
      <w:bookmarkEnd w:id="213"/>
      <w:bookmarkEnd w:id="214"/>
    </w:p>
    <w:p>
      <w:pPr>
        <w:spacing w:line="360" w:lineRule="auto"/>
        <w:ind w:firstLine="420" w:firstLineChars="200"/>
        <w:rPr>
          <w:rFonts w:ascii="Times New Roman" w:hAnsi="Times New Roman"/>
          <w:color w:val="auto"/>
          <w:szCs w:val="21"/>
        </w:rPr>
      </w:pPr>
      <w:r>
        <w:rPr>
          <w:rFonts w:ascii="Times New Roman" w:hAnsi="Times New Roman"/>
          <w:color w:val="auto"/>
          <w:szCs w:val="21"/>
        </w:rPr>
        <w:t>组成合同的各项文件应互相解释，互为说明。除专用合同条款另有约定外，解释合同文件的优先顺序如下：</w:t>
      </w:r>
    </w:p>
    <w:p>
      <w:pPr>
        <w:spacing w:line="360" w:lineRule="auto"/>
        <w:ind w:firstLine="420"/>
        <w:rPr>
          <w:rFonts w:ascii="Times New Roman" w:hAnsi="Times New Roman"/>
          <w:color w:val="auto"/>
        </w:rPr>
      </w:pPr>
      <w:r>
        <w:rPr>
          <w:rFonts w:ascii="Times New Roman" w:hAnsi="Times New Roman"/>
          <w:color w:val="auto"/>
        </w:rPr>
        <w:t>（1）合同协议书；</w:t>
      </w:r>
    </w:p>
    <w:p>
      <w:pPr>
        <w:spacing w:line="360" w:lineRule="auto"/>
        <w:ind w:firstLine="420"/>
        <w:rPr>
          <w:rFonts w:ascii="Times New Roman" w:hAnsi="Times New Roman"/>
          <w:color w:val="auto"/>
        </w:rPr>
      </w:pPr>
      <w:r>
        <w:rPr>
          <w:rFonts w:ascii="Times New Roman" w:hAnsi="Times New Roman"/>
          <w:color w:val="auto"/>
        </w:rPr>
        <w:t>（2）中标通知书；</w:t>
      </w:r>
    </w:p>
    <w:p>
      <w:pPr>
        <w:spacing w:line="360" w:lineRule="auto"/>
        <w:ind w:firstLine="420"/>
        <w:rPr>
          <w:rFonts w:ascii="Times New Roman" w:hAnsi="Times New Roman"/>
          <w:color w:val="auto"/>
        </w:rPr>
      </w:pPr>
      <w:r>
        <w:rPr>
          <w:rFonts w:ascii="Times New Roman" w:hAnsi="Times New Roman"/>
          <w:color w:val="auto"/>
        </w:rPr>
        <w:t>（3）投标函及投标函附录；</w:t>
      </w:r>
    </w:p>
    <w:p>
      <w:pPr>
        <w:spacing w:line="360" w:lineRule="auto"/>
        <w:ind w:firstLine="420"/>
        <w:rPr>
          <w:rFonts w:ascii="Times New Roman" w:hAnsi="Times New Roman"/>
          <w:color w:val="auto"/>
        </w:rPr>
      </w:pPr>
      <w:r>
        <w:rPr>
          <w:rFonts w:ascii="Times New Roman" w:hAnsi="Times New Roman"/>
          <w:color w:val="auto"/>
        </w:rPr>
        <w:t>（4）专用合同条款；</w:t>
      </w:r>
    </w:p>
    <w:p>
      <w:pPr>
        <w:spacing w:line="360" w:lineRule="auto"/>
        <w:ind w:firstLine="420"/>
        <w:rPr>
          <w:rFonts w:ascii="Times New Roman" w:hAnsi="Times New Roman"/>
          <w:color w:val="auto"/>
        </w:rPr>
      </w:pPr>
      <w:r>
        <w:rPr>
          <w:rFonts w:ascii="Times New Roman" w:hAnsi="Times New Roman"/>
          <w:color w:val="auto"/>
        </w:rPr>
        <w:t>（5）通用合同条款；</w:t>
      </w:r>
    </w:p>
    <w:p>
      <w:pPr>
        <w:spacing w:line="360" w:lineRule="auto"/>
        <w:ind w:firstLine="420"/>
        <w:rPr>
          <w:rFonts w:ascii="Times New Roman" w:hAnsi="Times New Roman"/>
          <w:color w:val="auto"/>
        </w:rPr>
      </w:pPr>
      <w:r>
        <w:rPr>
          <w:rFonts w:ascii="Times New Roman" w:hAnsi="Times New Roman"/>
          <w:color w:val="auto"/>
        </w:rPr>
        <w:t>（6）发包人要求；</w:t>
      </w:r>
    </w:p>
    <w:p>
      <w:pPr>
        <w:spacing w:line="360" w:lineRule="auto"/>
        <w:ind w:firstLine="420"/>
        <w:rPr>
          <w:rFonts w:ascii="Times New Roman" w:hAnsi="Times New Roman"/>
          <w:color w:val="auto"/>
        </w:rPr>
      </w:pPr>
      <w:r>
        <w:rPr>
          <w:rFonts w:ascii="Times New Roman" w:hAnsi="Times New Roman"/>
          <w:color w:val="auto"/>
        </w:rPr>
        <w:t>（</w:t>
      </w:r>
      <w:r>
        <w:rPr>
          <w:rFonts w:hint="eastAsia" w:ascii="Times New Roman" w:hAnsi="Times New Roman"/>
          <w:color w:val="auto"/>
        </w:rPr>
        <w:t>7</w:t>
      </w:r>
      <w:r>
        <w:rPr>
          <w:rFonts w:ascii="Times New Roman" w:hAnsi="Times New Roman"/>
          <w:color w:val="auto"/>
        </w:rPr>
        <w:t>）勘察费用清单；</w:t>
      </w:r>
    </w:p>
    <w:p>
      <w:pPr>
        <w:spacing w:line="360" w:lineRule="auto"/>
        <w:ind w:firstLine="420"/>
        <w:rPr>
          <w:rFonts w:ascii="Times New Roman" w:hAnsi="Times New Roman"/>
          <w:color w:val="auto"/>
        </w:rPr>
      </w:pPr>
      <w:r>
        <w:rPr>
          <w:rFonts w:ascii="Times New Roman" w:hAnsi="Times New Roman"/>
          <w:color w:val="auto"/>
        </w:rPr>
        <w:t>（</w:t>
      </w:r>
      <w:r>
        <w:rPr>
          <w:rFonts w:hint="eastAsia" w:ascii="Times New Roman" w:hAnsi="Times New Roman"/>
          <w:color w:val="auto"/>
        </w:rPr>
        <w:t>8</w:t>
      </w:r>
      <w:r>
        <w:rPr>
          <w:rFonts w:ascii="Times New Roman" w:hAnsi="Times New Roman"/>
          <w:color w:val="auto"/>
        </w:rPr>
        <w:t>）勘察纲要；</w:t>
      </w:r>
    </w:p>
    <w:p>
      <w:pPr>
        <w:spacing w:line="360" w:lineRule="auto"/>
        <w:ind w:firstLine="420"/>
        <w:rPr>
          <w:rFonts w:ascii="Times New Roman" w:hAnsi="Times New Roman"/>
          <w:color w:val="auto"/>
          <w:szCs w:val="21"/>
        </w:rPr>
      </w:pPr>
      <w:r>
        <w:rPr>
          <w:rFonts w:ascii="Times New Roman" w:hAnsi="Times New Roman"/>
          <w:color w:val="auto"/>
        </w:rPr>
        <w:t>（9）其他合同</w:t>
      </w:r>
      <w:r>
        <w:rPr>
          <w:rFonts w:ascii="Times New Roman" w:hAnsi="Times New Roman"/>
          <w:color w:val="auto"/>
          <w:szCs w:val="21"/>
        </w:rPr>
        <w:t>文件。</w:t>
      </w:r>
    </w:p>
    <w:p>
      <w:pPr>
        <w:pStyle w:val="6"/>
        <w:spacing w:line="240" w:lineRule="auto"/>
        <w:ind w:firstLine="137"/>
        <w:rPr>
          <w:rFonts w:ascii="Times New Roman" w:hAnsi="Times New Roman"/>
          <w:color w:val="auto"/>
        </w:rPr>
      </w:pPr>
      <w:bookmarkStart w:id="215" w:name="_Toc482188551"/>
      <w:bookmarkStart w:id="216" w:name="_Toc492300839"/>
      <w:r>
        <w:rPr>
          <w:rFonts w:ascii="Times New Roman" w:hAnsi="Times New Roman"/>
          <w:color w:val="auto"/>
        </w:rPr>
        <w:t xml:space="preserve">1.5 </w:t>
      </w:r>
      <w:r>
        <w:rPr>
          <w:rFonts w:hint="eastAsia" w:ascii="Times New Roman" w:hAnsi="Times New Roman"/>
          <w:color w:val="auto"/>
        </w:rPr>
        <w:t>合同协议书</w:t>
      </w:r>
      <w:bookmarkEnd w:id="215"/>
      <w:bookmarkEnd w:id="216"/>
    </w:p>
    <w:p>
      <w:pPr>
        <w:spacing w:line="360" w:lineRule="auto"/>
        <w:ind w:firstLine="420" w:firstLineChars="200"/>
        <w:rPr>
          <w:rFonts w:ascii="Times New Roman" w:hAnsi="Times New Roman"/>
          <w:color w:val="auto"/>
          <w:szCs w:val="21"/>
        </w:rPr>
      </w:pPr>
      <w:r>
        <w:rPr>
          <w:rFonts w:ascii="Times New Roman" w:hAnsi="Times New Roman"/>
          <w:color w:val="auto"/>
          <w:szCs w:val="21"/>
        </w:rPr>
        <w:t>勘察人按中标通知书规定的时间与发包人签订合同协议书。除法律另有规定或合同另有约定外，发包人和勘察人的法定代表人或其委托代理人在合同协议书上签字并盖单位章后，合同生效。</w:t>
      </w:r>
    </w:p>
    <w:p>
      <w:pPr>
        <w:pStyle w:val="6"/>
        <w:spacing w:line="240" w:lineRule="auto"/>
        <w:ind w:firstLine="137"/>
        <w:rPr>
          <w:rFonts w:ascii="Times New Roman" w:hAnsi="Times New Roman"/>
          <w:color w:val="auto"/>
        </w:rPr>
      </w:pPr>
      <w:bookmarkStart w:id="217" w:name="_Toc492300840"/>
      <w:bookmarkStart w:id="218" w:name="_Toc482188552"/>
      <w:r>
        <w:rPr>
          <w:rFonts w:ascii="Times New Roman" w:hAnsi="Times New Roman"/>
          <w:color w:val="auto"/>
        </w:rPr>
        <w:t xml:space="preserve">1.6 </w:t>
      </w:r>
      <w:r>
        <w:rPr>
          <w:rFonts w:hint="eastAsia" w:ascii="Times New Roman" w:hAnsi="Times New Roman"/>
          <w:color w:val="auto"/>
        </w:rPr>
        <w:t>文件的提供和照管</w:t>
      </w:r>
      <w:bookmarkEnd w:id="217"/>
      <w:bookmarkEnd w:id="218"/>
    </w:p>
    <w:p>
      <w:pPr>
        <w:spacing w:line="360" w:lineRule="auto"/>
        <w:ind w:firstLine="422" w:firstLineChars="200"/>
        <w:rPr>
          <w:rFonts w:ascii="Times New Roman" w:hAnsi="Times New Roman"/>
          <w:b/>
          <w:color w:val="auto"/>
        </w:rPr>
      </w:pPr>
      <w:r>
        <w:rPr>
          <w:rFonts w:ascii="Times New Roman" w:hAnsi="Times New Roman"/>
          <w:b/>
          <w:color w:val="auto"/>
        </w:rPr>
        <w:t>1.6.1 勘察文件的提供</w:t>
      </w:r>
    </w:p>
    <w:p>
      <w:pPr>
        <w:spacing w:line="360" w:lineRule="auto"/>
        <w:ind w:firstLine="420" w:firstLineChars="200"/>
        <w:rPr>
          <w:rFonts w:ascii="Times New Roman" w:hAnsi="Times New Roman"/>
          <w:color w:val="auto"/>
          <w:szCs w:val="21"/>
        </w:rPr>
      </w:pPr>
      <w:r>
        <w:rPr>
          <w:rFonts w:ascii="Times New Roman" w:hAnsi="Times New Roman"/>
          <w:color w:val="auto"/>
          <w:szCs w:val="21"/>
        </w:rPr>
        <w:t>除专用合同条款另有约定外，勘察人应在合理的期限内按照合同约定的数量向发包人提供勘察文件。合同约定勘察文件应经发包人批复的，发包人应当在合同约定的期限内批复或提出修改意见。</w:t>
      </w:r>
    </w:p>
    <w:p>
      <w:pPr>
        <w:spacing w:line="360" w:lineRule="auto"/>
        <w:ind w:firstLine="422" w:firstLineChars="200"/>
        <w:rPr>
          <w:rFonts w:ascii="Times New Roman" w:hAnsi="Times New Roman"/>
          <w:b/>
          <w:color w:val="auto"/>
          <w:szCs w:val="21"/>
        </w:rPr>
      </w:pPr>
      <w:r>
        <w:rPr>
          <w:rFonts w:ascii="Times New Roman" w:hAnsi="Times New Roman"/>
          <w:b/>
          <w:color w:val="auto"/>
        </w:rPr>
        <w:t xml:space="preserve">1.6.2 </w:t>
      </w:r>
      <w:r>
        <w:rPr>
          <w:rFonts w:ascii="Times New Roman" w:hAnsi="Times New Roman"/>
          <w:b/>
          <w:color w:val="auto"/>
          <w:szCs w:val="21"/>
        </w:rPr>
        <w:t>发包人提供的文件</w:t>
      </w:r>
    </w:p>
    <w:p>
      <w:pPr>
        <w:spacing w:line="360" w:lineRule="auto"/>
        <w:ind w:firstLine="420" w:firstLineChars="200"/>
        <w:rPr>
          <w:rFonts w:ascii="Times New Roman" w:hAnsi="Times New Roman"/>
          <w:color w:val="auto"/>
          <w:szCs w:val="21"/>
        </w:rPr>
      </w:pPr>
      <w:r>
        <w:rPr>
          <w:rFonts w:ascii="Times New Roman" w:hAnsi="Times New Roman"/>
          <w:color w:val="auto"/>
          <w:szCs w:val="21"/>
        </w:rPr>
        <w:t>按专用合同条款约定由发包人提供的文件，包括</w:t>
      </w:r>
      <w:r>
        <w:rPr>
          <w:rFonts w:hint="eastAsia" w:ascii="Times New Roman" w:hAnsi="Times New Roman"/>
          <w:color w:val="auto"/>
          <w:szCs w:val="21"/>
        </w:rPr>
        <w:t>基础资料、</w:t>
      </w:r>
      <w:r>
        <w:rPr>
          <w:rFonts w:ascii="Times New Roman" w:hAnsi="Times New Roman"/>
          <w:color w:val="auto"/>
          <w:szCs w:val="21"/>
        </w:rPr>
        <w:t>勘察任务书等，发包人应按约定的数量和期限交给勘察人。由于发包人未按时提供文件造成勘察服务期限延误的，按第</w:t>
      </w:r>
      <w:r>
        <w:rPr>
          <w:rFonts w:ascii="Times New Roman" w:hAnsi="Times New Roman"/>
          <w:color w:val="auto"/>
        </w:rPr>
        <w:t>6.2</w:t>
      </w:r>
      <w:r>
        <w:rPr>
          <w:rFonts w:ascii="Times New Roman" w:hAnsi="Times New Roman"/>
          <w:color w:val="auto"/>
          <w:szCs w:val="21"/>
        </w:rPr>
        <w:t>款约定执行。</w:t>
      </w:r>
    </w:p>
    <w:p>
      <w:pPr>
        <w:spacing w:line="360" w:lineRule="auto"/>
        <w:ind w:firstLine="422" w:firstLineChars="200"/>
        <w:rPr>
          <w:rFonts w:ascii="Times New Roman" w:hAnsi="Times New Roman"/>
          <w:b/>
          <w:color w:val="auto"/>
          <w:szCs w:val="21"/>
        </w:rPr>
      </w:pPr>
      <w:r>
        <w:rPr>
          <w:rFonts w:ascii="Times New Roman" w:hAnsi="Times New Roman"/>
          <w:b/>
          <w:color w:val="auto"/>
        </w:rPr>
        <w:t xml:space="preserve">1.6.3 </w:t>
      </w:r>
      <w:r>
        <w:rPr>
          <w:rFonts w:ascii="Times New Roman" w:hAnsi="Times New Roman"/>
          <w:b/>
          <w:color w:val="auto"/>
          <w:szCs w:val="21"/>
        </w:rPr>
        <w:t>文件错误的通知</w:t>
      </w:r>
    </w:p>
    <w:p>
      <w:pPr>
        <w:spacing w:line="360" w:lineRule="auto"/>
        <w:ind w:firstLine="420" w:firstLineChars="200"/>
        <w:rPr>
          <w:rFonts w:ascii="Times New Roman" w:hAnsi="Times New Roman"/>
          <w:color w:val="auto"/>
          <w:szCs w:val="21"/>
        </w:rPr>
      </w:pPr>
      <w:r>
        <w:rPr>
          <w:rFonts w:ascii="Times New Roman" w:hAnsi="Times New Roman"/>
          <w:color w:val="auto"/>
          <w:szCs w:val="21"/>
        </w:rPr>
        <w:t>任何一方当事人发现文件中存在的明显错误或疏忽，均应及时通知对方当事人，并应立即采取适当的措施防止损失扩大。</w:t>
      </w:r>
    </w:p>
    <w:p>
      <w:pPr>
        <w:pStyle w:val="6"/>
        <w:spacing w:line="240" w:lineRule="auto"/>
        <w:ind w:firstLine="137"/>
        <w:rPr>
          <w:rFonts w:ascii="Times New Roman" w:hAnsi="Times New Roman"/>
          <w:color w:val="auto"/>
        </w:rPr>
      </w:pPr>
      <w:bookmarkStart w:id="219" w:name="_Toc492300841"/>
      <w:bookmarkStart w:id="220" w:name="_Toc482188553"/>
      <w:r>
        <w:rPr>
          <w:rFonts w:ascii="Times New Roman" w:hAnsi="Times New Roman"/>
          <w:color w:val="auto"/>
        </w:rPr>
        <w:t xml:space="preserve">1.7 </w:t>
      </w:r>
      <w:r>
        <w:rPr>
          <w:rFonts w:hint="eastAsia" w:ascii="Times New Roman" w:hAnsi="Times New Roman"/>
          <w:color w:val="auto"/>
        </w:rPr>
        <w:t>联络</w:t>
      </w:r>
      <w:bookmarkEnd w:id="219"/>
      <w:bookmarkEnd w:id="220"/>
    </w:p>
    <w:p>
      <w:pPr>
        <w:spacing w:line="360" w:lineRule="auto"/>
        <w:ind w:firstLine="420" w:firstLineChars="200"/>
        <w:rPr>
          <w:rFonts w:ascii="Times New Roman" w:hAnsi="Times New Roman"/>
          <w:color w:val="auto"/>
          <w:szCs w:val="21"/>
        </w:rPr>
      </w:pPr>
      <w:r>
        <w:rPr>
          <w:rFonts w:ascii="Times New Roman" w:hAnsi="Times New Roman"/>
          <w:color w:val="auto"/>
        </w:rPr>
        <w:t>1.7.1</w:t>
      </w:r>
      <w:r>
        <w:rPr>
          <w:rFonts w:ascii="Times New Roman" w:hAnsi="Times New Roman"/>
          <w:color w:val="auto"/>
          <w:szCs w:val="21"/>
        </w:rPr>
        <w:t xml:space="preserve"> 与合同有关的通知、批准、证明、证书、指示、要求、请求、同意、意见、确定和决定等，均应采用书面形式。</w:t>
      </w:r>
    </w:p>
    <w:p>
      <w:pPr>
        <w:spacing w:line="360" w:lineRule="auto"/>
        <w:ind w:firstLine="420" w:firstLineChars="200"/>
        <w:rPr>
          <w:rFonts w:ascii="Times New Roman" w:hAnsi="Times New Roman"/>
          <w:color w:val="auto"/>
          <w:szCs w:val="21"/>
        </w:rPr>
      </w:pPr>
      <w:r>
        <w:rPr>
          <w:rFonts w:ascii="Times New Roman" w:hAnsi="Times New Roman"/>
          <w:color w:val="auto"/>
        </w:rPr>
        <w:t>1.7.2</w:t>
      </w:r>
      <w:r>
        <w:rPr>
          <w:rFonts w:ascii="Times New Roman" w:hAnsi="Times New Roman"/>
          <w:color w:val="auto"/>
          <w:szCs w:val="21"/>
        </w:rPr>
        <w:t xml:space="preserve"> 上述通知、批准、证明、证书、指示、要求、请求、同意、意见、确定和决定等来往函件，均应在合同约定的期限内送达指定的地点和指定的接收人，并办理签收手续。</w:t>
      </w:r>
    </w:p>
    <w:p>
      <w:pPr>
        <w:pStyle w:val="6"/>
        <w:spacing w:line="240" w:lineRule="auto"/>
        <w:ind w:firstLine="137"/>
        <w:rPr>
          <w:rFonts w:ascii="Times New Roman" w:hAnsi="Times New Roman"/>
          <w:color w:val="auto"/>
        </w:rPr>
      </w:pPr>
      <w:bookmarkStart w:id="221" w:name="_Toc492300842"/>
      <w:bookmarkStart w:id="222" w:name="_Toc482188554"/>
      <w:r>
        <w:rPr>
          <w:rFonts w:ascii="Times New Roman" w:hAnsi="Times New Roman"/>
          <w:color w:val="auto"/>
        </w:rPr>
        <w:t xml:space="preserve">1.8 </w:t>
      </w:r>
      <w:r>
        <w:rPr>
          <w:rFonts w:hint="eastAsia" w:ascii="Times New Roman" w:hAnsi="Times New Roman"/>
          <w:color w:val="auto"/>
        </w:rPr>
        <w:t>转让</w:t>
      </w:r>
      <w:bookmarkEnd w:id="221"/>
      <w:bookmarkEnd w:id="222"/>
    </w:p>
    <w:p>
      <w:pPr>
        <w:spacing w:line="360" w:lineRule="auto"/>
        <w:ind w:firstLine="420" w:firstLineChars="200"/>
        <w:rPr>
          <w:rFonts w:ascii="Times New Roman" w:hAnsi="Times New Roman"/>
          <w:color w:val="auto"/>
          <w:szCs w:val="21"/>
        </w:rPr>
      </w:pPr>
      <w:r>
        <w:rPr>
          <w:rFonts w:ascii="Times New Roman" w:hAnsi="Times New Roman"/>
          <w:color w:val="auto"/>
          <w:szCs w:val="21"/>
        </w:rPr>
        <w:t>除专用合同条款另有约定外，未经对方当事人同意，一方当事人不得将合同权利全部或部分转让给第三人，也不得全部或部分转移合同义务。</w:t>
      </w:r>
    </w:p>
    <w:p>
      <w:pPr>
        <w:pStyle w:val="6"/>
        <w:spacing w:line="240" w:lineRule="auto"/>
        <w:ind w:firstLine="137"/>
        <w:rPr>
          <w:rFonts w:ascii="Times New Roman" w:hAnsi="Times New Roman"/>
          <w:color w:val="auto"/>
        </w:rPr>
      </w:pPr>
      <w:bookmarkStart w:id="223" w:name="_Toc492300843"/>
      <w:bookmarkStart w:id="224" w:name="_Toc482188555"/>
      <w:r>
        <w:rPr>
          <w:rFonts w:ascii="Times New Roman" w:hAnsi="Times New Roman"/>
          <w:color w:val="auto"/>
        </w:rPr>
        <w:t xml:space="preserve">1.9 </w:t>
      </w:r>
      <w:r>
        <w:rPr>
          <w:rFonts w:hint="eastAsia" w:ascii="Times New Roman" w:hAnsi="Times New Roman"/>
          <w:color w:val="auto"/>
        </w:rPr>
        <w:t>严禁贿赂</w:t>
      </w:r>
      <w:bookmarkEnd w:id="223"/>
      <w:bookmarkEnd w:id="224"/>
    </w:p>
    <w:p>
      <w:pPr>
        <w:spacing w:line="360" w:lineRule="auto"/>
        <w:ind w:firstLine="420" w:firstLineChars="200"/>
        <w:rPr>
          <w:rFonts w:ascii="Times New Roman" w:hAnsi="Times New Roman"/>
          <w:color w:val="auto"/>
          <w:szCs w:val="21"/>
        </w:rPr>
      </w:pPr>
      <w:r>
        <w:rPr>
          <w:rFonts w:ascii="Times New Roman" w:hAnsi="Times New Roman"/>
          <w:color w:val="auto"/>
          <w:szCs w:val="21"/>
        </w:rPr>
        <w:t>合同双方当事人不得以贿赂或变相贿赂的方式，谋取不当利益或损害对方权益。因贿赂造成对方当事人损失的，行为人应当赔偿损失，并承担相应的法律责任。</w:t>
      </w:r>
    </w:p>
    <w:p>
      <w:pPr>
        <w:pStyle w:val="6"/>
        <w:spacing w:line="240" w:lineRule="auto"/>
        <w:ind w:firstLine="137"/>
        <w:rPr>
          <w:rFonts w:ascii="Times New Roman" w:hAnsi="Times New Roman"/>
          <w:color w:val="auto"/>
        </w:rPr>
      </w:pPr>
      <w:bookmarkStart w:id="225" w:name="_Toc482188556"/>
      <w:bookmarkStart w:id="226" w:name="_Toc492300844"/>
      <w:r>
        <w:rPr>
          <w:rFonts w:ascii="Times New Roman" w:hAnsi="Times New Roman"/>
          <w:color w:val="auto"/>
        </w:rPr>
        <w:t xml:space="preserve">1.10 </w:t>
      </w:r>
      <w:r>
        <w:rPr>
          <w:rFonts w:hint="eastAsia" w:ascii="Times New Roman" w:hAnsi="Times New Roman"/>
          <w:color w:val="auto"/>
        </w:rPr>
        <w:t>知识产权</w:t>
      </w:r>
      <w:bookmarkEnd w:id="225"/>
      <w:bookmarkEnd w:id="226"/>
    </w:p>
    <w:p>
      <w:pPr>
        <w:spacing w:line="360" w:lineRule="auto"/>
        <w:ind w:firstLine="420" w:firstLineChars="200"/>
        <w:rPr>
          <w:rFonts w:ascii="Times New Roman" w:hAnsi="Times New Roman"/>
          <w:color w:val="auto"/>
          <w:szCs w:val="21"/>
        </w:rPr>
      </w:pPr>
      <w:r>
        <w:rPr>
          <w:rFonts w:ascii="Times New Roman" w:hAnsi="Times New Roman"/>
          <w:color w:val="auto"/>
        </w:rPr>
        <w:t>1.10.1除专用合同条款另有约定外，</w:t>
      </w:r>
      <w:r>
        <w:rPr>
          <w:rFonts w:ascii="Times New Roman" w:hAnsi="Times New Roman"/>
          <w:color w:val="auto"/>
          <w:szCs w:val="21"/>
        </w:rPr>
        <w:t>勘察人完成的勘察工作成果，除署名权以外的著作权和其他知识产权均归发包人享有。</w:t>
      </w:r>
    </w:p>
    <w:p>
      <w:pPr>
        <w:spacing w:line="360" w:lineRule="auto"/>
        <w:ind w:firstLine="420" w:firstLineChars="200"/>
        <w:rPr>
          <w:rFonts w:ascii="Times New Roman" w:hAnsi="Times New Roman"/>
          <w:color w:val="auto"/>
          <w:szCs w:val="21"/>
        </w:rPr>
      </w:pPr>
      <w:r>
        <w:rPr>
          <w:rFonts w:ascii="Times New Roman" w:hAnsi="Times New Roman"/>
          <w:color w:val="auto"/>
        </w:rPr>
        <w:t xml:space="preserve">1.10.2 </w:t>
      </w:r>
      <w:r>
        <w:rPr>
          <w:rFonts w:ascii="Times New Roman" w:hAnsi="Times New Roman"/>
          <w:color w:val="auto"/>
          <w:szCs w:val="21"/>
        </w:rPr>
        <w:t>勘察人在从事勘察活动时，不得侵犯他人的知识产权。因侵犯专利权或其他知识产权所引起的责任，由勘察人自行承担。因发包人提供的勘察资料导致侵权的，由发包人承担责任。</w:t>
      </w:r>
    </w:p>
    <w:p>
      <w:pPr>
        <w:spacing w:line="360" w:lineRule="auto"/>
        <w:ind w:firstLine="420" w:firstLineChars="200"/>
        <w:rPr>
          <w:rFonts w:ascii="Times New Roman" w:hAnsi="Times New Roman"/>
          <w:color w:val="auto"/>
        </w:rPr>
      </w:pPr>
      <w:r>
        <w:rPr>
          <w:rFonts w:ascii="Times New Roman" w:hAnsi="Times New Roman"/>
          <w:color w:val="auto"/>
        </w:rPr>
        <w:t xml:space="preserve">1.10.3 </w:t>
      </w:r>
      <w:r>
        <w:rPr>
          <w:rFonts w:ascii="Times New Roman" w:hAnsi="Times New Roman"/>
          <w:color w:val="auto"/>
          <w:szCs w:val="21"/>
        </w:rPr>
        <w:t>勘察人在投标文件中采用专利技术、专有技术的，相应的使用费视为已包含在</w:t>
      </w:r>
      <w:r>
        <w:rPr>
          <w:rFonts w:hint="eastAsia" w:ascii="Times New Roman" w:hAnsi="Times New Roman"/>
          <w:color w:val="auto"/>
          <w:szCs w:val="21"/>
        </w:rPr>
        <w:t>投标报价</w:t>
      </w:r>
      <w:r>
        <w:rPr>
          <w:rFonts w:ascii="Times New Roman" w:hAnsi="Times New Roman"/>
          <w:color w:val="auto"/>
          <w:szCs w:val="21"/>
        </w:rPr>
        <w:t>之中。</w:t>
      </w:r>
    </w:p>
    <w:p>
      <w:pPr>
        <w:pStyle w:val="6"/>
        <w:spacing w:line="240" w:lineRule="auto"/>
        <w:ind w:firstLine="137"/>
        <w:rPr>
          <w:rFonts w:ascii="Times New Roman" w:hAnsi="Times New Roman"/>
          <w:color w:val="auto"/>
        </w:rPr>
      </w:pPr>
      <w:bookmarkStart w:id="227" w:name="_Toc482188557"/>
      <w:bookmarkStart w:id="228" w:name="_Toc492300845"/>
      <w:r>
        <w:rPr>
          <w:rFonts w:ascii="Times New Roman" w:hAnsi="Times New Roman"/>
          <w:color w:val="auto"/>
        </w:rPr>
        <w:t xml:space="preserve">1.11 </w:t>
      </w:r>
      <w:r>
        <w:rPr>
          <w:rFonts w:hint="eastAsia" w:ascii="Times New Roman" w:hAnsi="Times New Roman"/>
          <w:color w:val="auto"/>
        </w:rPr>
        <w:t>文件及信息的保密</w:t>
      </w:r>
      <w:bookmarkEnd w:id="227"/>
      <w:bookmarkEnd w:id="228"/>
    </w:p>
    <w:p>
      <w:pPr>
        <w:spacing w:line="360" w:lineRule="auto"/>
        <w:ind w:firstLine="420" w:firstLineChars="200"/>
        <w:rPr>
          <w:rFonts w:ascii="Times New Roman" w:hAnsi="Times New Roman"/>
          <w:color w:val="auto"/>
          <w:szCs w:val="21"/>
        </w:rPr>
      </w:pPr>
      <w:r>
        <w:rPr>
          <w:rFonts w:ascii="Times New Roman" w:hAnsi="Times New Roman"/>
          <w:color w:val="auto"/>
          <w:szCs w:val="21"/>
        </w:rPr>
        <w:t>未经对方同意，任何一方当事人不得将有关文件、技术秘密、需要保密的资料和信息泄露给他人或公开发表与引用。</w:t>
      </w:r>
    </w:p>
    <w:p>
      <w:pPr>
        <w:pStyle w:val="6"/>
        <w:spacing w:line="240" w:lineRule="auto"/>
        <w:ind w:firstLine="137"/>
        <w:rPr>
          <w:rFonts w:ascii="Times New Roman" w:hAnsi="Times New Roman"/>
          <w:color w:val="auto"/>
        </w:rPr>
      </w:pPr>
      <w:bookmarkStart w:id="229" w:name="_Toc492300846"/>
      <w:bookmarkStart w:id="230" w:name="_Toc482188558"/>
      <w:r>
        <w:rPr>
          <w:rFonts w:ascii="Times New Roman" w:hAnsi="Times New Roman"/>
          <w:color w:val="auto"/>
        </w:rPr>
        <w:t xml:space="preserve">1.12 </w:t>
      </w:r>
      <w:r>
        <w:rPr>
          <w:rFonts w:hint="eastAsia" w:ascii="Times New Roman" w:hAnsi="Times New Roman"/>
          <w:color w:val="auto"/>
        </w:rPr>
        <w:t>发包人要求</w:t>
      </w:r>
      <w:bookmarkEnd w:id="229"/>
      <w:bookmarkEnd w:id="230"/>
    </w:p>
    <w:p>
      <w:pPr>
        <w:spacing w:line="360" w:lineRule="auto"/>
        <w:ind w:firstLine="420"/>
        <w:rPr>
          <w:rFonts w:ascii="Times New Roman" w:hAnsi="Times New Roman"/>
          <w:color w:val="auto"/>
          <w:szCs w:val="21"/>
        </w:rPr>
      </w:pPr>
      <w:r>
        <w:rPr>
          <w:rFonts w:ascii="Times New Roman" w:hAnsi="Times New Roman"/>
          <w:color w:val="auto"/>
        </w:rPr>
        <w:t xml:space="preserve">1.12.1 </w:t>
      </w:r>
      <w:r>
        <w:rPr>
          <w:rFonts w:ascii="Times New Roman" w:hAnsi="Times New Roman"/>
          <w:color w:val="auto"/>
          <w:szCs w:val="21"/>
        </w:rPr>
        <w:t>勘察人应认真阅读、复核发包人要求，</w:t>
      </w:r>
      <w:r>
        <w:rPr>
          <w:rFonts w:ascii="Times New Roman" w:hAnsi="Times New Roman"/>
          <w:color w:val="auto"/>
        </w:rPr>
        <w:t>发现错误的，应及时书面通知发包人。无论是否存在错误，发包人均有权修改发包人要求，并在修改后3日内通知勘察人。除专用合同</w:t>
      </w:r>
      <w:bookmarkStart w:id="231" w:name="_Toc265955390"/>
      <w:bookmarkStart w:id="232" w:name="_Toc300835045"/>
      <w:bookmarkStart w:id="233" w:name="_Toc247527649"/>
      <w:bookmarkStart w:id="234" w:name="_Toc247514048"/>
      <w:r>
        <w:rPr>
          <w:rFonts w:ascii="Times New Roman" w:hAnsi="Times New Roman"/>
          <w:color w:val="auto"/>
        </w:rPr>
        <w:t>条款另有约定外，由此</w:t>
      </w:r>
      <w:bookmarkEnd w:id="231"/>
      <w:bookmarkEnd w:id="232"/>
      <w:bookmarkEnd w:id="233"/>
      <w:bookmarkEnd w:id="234"/>
      <w:r>
        <w:rPr>
          <w:rFonts w:ascii="Times New Roman" w:hAnsi="Times New Roman"/>
          <w:color w:val="auto"/>
          <w:szCs w:val="21"/>
        </w:rPr>
        <w:t>导致勘察人费用增加和(或)周期延误的，发包人应当相应地增加费用和(或)延长周期。</w:t>
      </w:r>
    </w:p>
    <w:p>
      <w:pPr>
        <w:spacing w:line="360" w:lineRule="auto"/>
        <w:ind w:firstLine="420"/>
        <w:rPr>
          <w:rFonts w:ascii="Times New Roman" w:hAnsi="Times New Roman"/>
          <w:color w:val="auto"/>
          <w:szCs w:val="21"/>
        </w:rPr>
      </w:pPr>
      <w:r>
        <w:rPr>
          <w:rFonts w:ascii="Times New Roman" w:hAnsi="Times New Roman"/>
          <w:color w:val="auto"/>
        </w:rPr>
        <w:t>1.12.2 如果</w:t>
      </w:r>
      <w:r>
        <w:rPr>
          <w:rFonts w:ascii="Times New Roman" w:hAnsi="Times New Roman"/>
          <w:color w:val="auto"/>
          <w:szCs w:val="21"/>
        </w:rPr>
        <w:t>发包人要求违反法律规定，勘察人应在</w:t>
      </w:r>
      <w:r>
        <w:rPr>
          <w:rFonts w:ascii="Times New Roman" w:hAnsi="Times New Roman"/>
          <w:color w:val="auto"/>
        </w:rPr>
        <w:t>发现后及时书面通知发包人，要求其改正。发包人收到通知书后不予改正或不予答复的，勘察人有权拒绝履行合同义务，直至解除合同；</w:t>
      </w:r>
      <w:r>
        <w:rPr>
          <w:rFonts w:ascii="Times New Roman" w:hAnsi="Times New Roman"/>
          <w:color w:val="auto"/>
          <w:szCs w:val="21"/>
        </w:rPr>
        <w:t>由此引起的勘察人的全部损失由发包人承担。</w:t>
      </w:r>
    </w:p>
    <w:p>
      <w:pPr>
        <w:pStyle w:val="5"/>
        <w:rPr>
          <w:rFonts w:ascii="Times New Roman" w:hAnsi="Times New Roman"/>
          <w:color w:val="auto"/>
        </w:rPr>
      </w:pPr>
      <w:bookmarkStart w:id="235" w:name="_Toc492300847"/>
      <w:bookmarkStart w:id="236" w:name="_Toc482188559"/>
      <w:r>
        <w:rPr>
          <w:rFonts w:ascii="Times New Roman" w:hAnsi="Times New Roman"/>
          <w:color w:val="auto"/>
        </w:rPr>
        <w:t>2. 发包人义务</w:t>
      </w:r>
      <w:bookmarkEnd w:id="235"/>
      <w:bookmarkEnd w:id="236"/>
    </w:p>
    <w:p>
      <w:pPr>
        <w:pStyle w:val="6"/>
        <w:spacing w:line="240" w:lineRule="auto"/>
        <w:ind w:firstLine="137"/>
        <w:rPr>
          <w:rFonts w:ascii="Times New Roman" w:hAnsi="Times New Roman"/>
          <w:color w:val="auto"/>
        </w:rPr>
      </w:pPr>
      <w:bookmarkStart w:id="237" w:name="_Toc492300848"/>
      <w:bookmarkStart w:id="238" w:name="_Toc482188560"/>
      <w:r>
        <w:rPr>
          <w:rFonts w:ascii="Times New Roman" w:hAnsi="Times New Roman"/>
          <w:color w:val="auto"/>
        </w:rPr>
        <w:t xml:space="preserve">2.1 </w:t>
      </w:r>
      <w:r>
        <w:rPr>
          <w:rFonts w:hint="eastAsia" w:ascii="Times New Roman" w:hAnsi="Times New Roman"/>
          <w:color w:val="auto"/>
        </w:rPr>
        <w:t>遵守法律</w:t>
      </w:r>
      <w:bookmarkEnd w:id="237"/>
      <w:bookmarkEnd w:id="238"/>
    </w:p>
    <w:p>
      <w:pPr>
        <w:spacing w:line="360" w:lineRule="auto"/>
        <w:ind w:firstLine="420" w:firstLineChars="200"/>
        <w:rPr>
          <w:rFonts w:ascii="Times New Roman" w:hAnsi="Times New Roman"/>
          <w:color w:val="auto"/>
        </w:rPr>
      </w:pPr>
      <w:r>
        <w:rPr>
          <w:rFonts w:ascii="Times New Roman" w:hAnsi="Times New Roman"/>
          <w:color w:val="auto"/>
          <w:szCs w:val="21"/>
        </w:rPr>
        <w:t>发包人在履行合同过程中应遵守法律，并保证勘察人免于承担因发包人违反法律而引起的</w:t>
      </w:r>
      <w:bookmarkStart w:id="239" w:name="_Toc385942918"/>
      <w:bookmarkStart w:id="240" w:name="_Toc247514049"/>
      <w:bookmarkStart w:id="241" w:name="_Toc247527650"/>
      <w:bookmarkStart w:id="242" w:name="_Toc370281722"/>
      <w:bookmarkStart w:id="243" w:name="_Toc300835048"/>
      <w:bookmarkStart w:id="244" w:name="_Toc184635099"/>
      <w:bookmarkStart w:id="245" w:name="_Toc385592087"/>
      <w:r>
        <w:rPr>
          <w:rFonts w:ascii="Times New Roman" w:hAnsi="Times New Roman"/>
          <w:color w:val="auto"/>
          <w:szCs w:val="21"/>
        </w:rPr>
        <w:t>任何责任。</w:t>
      </w:r>
    </w:p>
    <w:p>
      <w:pPr>
        <w:pStyle w:val="6"/>
        <w:spacing w:line="240" w:lineRule="auto"/>
        <w:ind w:firstLine="137"/>
        <w:rPr>
          <w:rFonts w:ascii="Times New Roman" w:hAnsi="Times New Roman"/>
          <w:color w:val="auto"/>
        </w:rPr>
      </w:pPr>
      <w:bookmarkStart w:id="246" w:name="_Toc482188561"/>
      <w:bookmarkStart w:id="247" w:name="_Toc492300849"/>
      <w:r>
        <w:rPr>
          <w:rFonts w:ascii="Times New Roman" w:hAnsi="Times New Roman"/>
          <w:color w:val="auto"/>
        </w:rPr>
        <w:t>2</w:t>
      </w:r>
      <w:bookmarkEnd w:id="239"/>
      <w:bookmarkEnd w:id="240"/>
      <w:bookmarkEnd w:id="241"/>
      <w:bookmarkEnd w:id="242"/>
      <w:bookmarkEnd w:id="243"/>
      <w:bookmarkEnd w:id="244"/>
      <w:bookmarkEnd w:id="245"/>
      <w:r>
        <w:rPr>
          <w:rFonts w:ascii="Times New Roman" w:hAnsi="Times New Roman"/>
          <w:color w:val="auto"/>
        </w:rPr>
        <w:t>.2</w:t>
      </w:r>
      <w:bookmarkStart w:id="248" w:name="_Toc247514050"/>
      <w:bookmarkStart w:id="249" w:name="_Toc300835049"/>
      <w:bookmarkStart w:id="250" w:name="_Toc247527651"/>
      <w:bookmarkStart w:id="251" w:name="_Toc370281723"/>
      <w:bookmarkStart w:id="252" w:name="_Toc300835052"/>
      <w:bookmarkStart w:id="253" w:name="_Toc247514053"/>
      <w:bookmarkStart w:id="254" w:name="_Toc385942919"/>
      <w:bookmarkStart w:id="255" w:name="_Toc247527654"/>
      <w:r>
        <w:rPr>
          <w:rFonts w:ascii="Times New Roman" w:hAnsi="Times New Roman"/>
          <w:color w:val="auto"/>
        </w:rPr>
        <w:t xml:space="preserve"> </w:t>
      </w:r>
      <w:r>
        <w:rPr>
          <w:rFonts w:hint="eastAsia" w:ascii="Times New Roman" w:hAnsi="Times New Roman"/>
          <w:color w:val="auto"/>
        </w:rPr>
        <w:t>发出开始勘察通</w:t>
      </w:r>
      <w:bookmarkEnd w:id="248"/>
      <w:bookmarkEnd w:id="249"/>
      <w:bookmarkEnd w:id="250"/>
      <w:r>
        <w:rPr>
          <w:rFonts w:hint="eastAsia" w:ascii="Times New Roman" w:hAnsi="Times New Roman"/>
          <w:color w:val="auto"/>
        </w:rPr>
        <w:t>知</w:t>
      </w:r>
      <w:bookmarkEnd w:id="246"/>
      <w:bookmarkEnd w:id="247"/>
    </w:p>
    <w:p>
      <w:pPr>
        <w:spacing w:line="360" w:lineRule="auto"/>
        <w:ind w:firstLine="420" w:firstLineChars="200"/>
        <w:rPr>
          <w:rFonts w:ascii="Times New Roman" w:hAnsi="Times New Roman"/>
          <w:color w:val="auto"/>
          <w:szCs w:val="21"/>
        </w:rPr>
      </w:pPr>
      <w:r>
        <w:rPr>
          <w:rFonts w:ascii="Times New Roman" w:hAnsi="Times New Roman"/>
          <w:color w:val="auto"/>
          <w:szCs w:val="21"/>
        </w:rPr>
        <w:t>发包人应按第</w:t>
      </w:r>
      <w:r>
        <w:rPr>
          <w:rFonts w:hint="eastAsia" w:ascii="Times New Roman" w:hAnsi="Times New Roman"/>
          <w:color w:val="auto"/>
          <w:szCs w:val="21"/>
        </w:rPr>
        <w:t>6</w:t>
      </w:r>
      <w:r>
        <w:rPr>
          <w:rFonts w:ascii="Times New Roman" w:hAnsi="Times New Roman"/>
          <w:color w:val="auto"/>
          <w:szCs w:val="21"/>
        </w:rPr>
        <w:t>.1款的约定向勘察人发出开始勘察通知。</w:t>
      </w:r>
    </w:p>
    <w:p>
      <w:pPr>
        <w:pStyle w:val="6"/>
        <w:spacing w:line="240" w:lineRule="auto"/>
        <w:ind w:firstLine="137"/>
        <w:rPr>
          <w:rFonts w:ascii="Times New Roman" w:hAnsi="Times New Roman"/>
          <w:color w:val="auto"/>
        </w:rPr>
      </w:pPr>
      <w:bookmarkStart w:id="256" w:name="_Toc492300850"/>
      <w:bookmarkStart w:id="257" w:name="_Toc482188562"/>
      <w:r>
        <w:rPr>
          <w:rFonts w:ascii="Times New Roman" w:hAnsi="Times New Roman"/>
          <w:color w:val="auto"/>
        </w:rPr>
        <w:t>2.</w:t>
      </w:r>
      <w:bookmarkStart w:id="258" w:name="_Toc247514052"/>
      <w:bookmarkStart w:id="259" w:name="_Toc300835051"/>
      <w:bookmarkStart w:id="260" w:name="_Toc247527653"/>
      <w:r>
        <w:rPr>
          <w:rFonts w:ascii="Times New Roman" w:hAnsi="Times New Roman"/>
          <w:color w:val="auto"/>
        </w:rPr>
        <w:t xml:space="preserve">3 </w:t>
      </w:r>
      <w:r>
        <w:rPr>
          <w:rFonts w:hint="eastAsia" w:ascii="Times New Roman" w:hAnsi="Times New Roman"/>
          <w:color w:val="auto"/>
        </w:rPr>
        <w:t>办理证件</w:t>
      </w:r>
      <w:bookmarkEnd w:id="258"/>
      <w:bookmarkEnd w:id="259"/>
      <w:bookmarkEnd w:id="260"/>
      <w:r>
        <w:rPr>
          <w:rFonts w:hint="eastAsia" w:ascii="Times New Roman" w:hAnsi="Times New Roman"/>
          <w:color w:val="auto"/>
        </w:rPr>
        <w:t>和批件</w:t>
      </w:r>
      <w:bookmarkEnd w:id="256"/>
      <w:bookmarkEnd w:id="257"/>
    </w:p>
    <w:p>
      <w:pPr>
        <w:spacing w:line="360" w:lineRule="auto"/>
        <w:ind w:firstLine="420" w:firstLineChars="200"/>
        <w:rPr>
          <w:rFonts w:ascii="Times New Roman" w:hAnsi="Times New Roman"/>
          <w:color w:val="auto"/>
          <w:szCs w:val="21"/>
        </w:rPr>
      </w:pPr>
      <w:r>
        <w:rPr>
          <w:rFonts w:ascii="Times New Roman" w:hAnsi="Times New Roman"/>
          <w:color w:val="auto"/>
          <w:szCs w:val="21"/>
        </w:rPr>
        <w:t>法律规定和（或）合同约定由发包人负责办理的工程建设项目必须履行的各类审批、核准或备案手续，发包人应当按时办理，勘察人应给予必要的协助。</w:t>
      </w:r>
    </w:p>
    <w:p>
      <w:pPr>
        <w:spacing w:line="360" w:lineRule="auto"/>
        <w:ind w:firstLine="420" w:firstLineChars="200"/>
        <w:rPr>
          <w:rFonts w:ascii="Times New Roman" w:hAnsi="Times New Roman"/>
          <w:color w:val="auto"/>
          <w:szCs w:val="21"/>
        </w:rPr>
      </w:pPr>
      <w:r>
        <w:rPr>
          <w:rFonts w:ascii="Times New Roman" w:hAnsi="Times New Roman"/>
          <w:color w:val="auto"/>
          <w:szCs w:val="21"/>
        </w:rPr>
        <w:t>法律规定和（或）合同约定由勘察人负责办理的勘察所需的证件和批件，发包人应给予必要的协助。</w:t>
      </w:r>
    </w:p>
    <w:p>
      <w:pPr>
        <w:pStyle w:val="6"/>
        <w:spacing w:line="240" w:lineRule="auto"/>
        <w:ind w:firstLine="137"/>
        <w:rPr>
          <w:rFonts w:ascii="Times New Roman" w:hAnsi="Times New Roman"/>
          <w:color w:val="auto"/>
        </w:rPr>
      </w:pPr>
      <w:bookmarkStart w:id="261" w:name="_Toc492300851"/>
      <w:bookmarkStart w:id="262" w:name="_Toc482188563"/>
      <w:r>
        <w:rPr>
          <w:rFonts w:ascii="Times New Roman" w:hAnsi="Times New Roman"/>
          <w:color w:val="auto"/>
        </w:rPr>
        <w:t xml:space="preserve">2.4 </w:t>
      </w:r>
      <w:r>
        <w:rPr>
          <w:rFonts w:hint="eastAsia" w:ascii="Times New Roman" w:hAnsi="Times New Roman"/>
          <w:color w:val="auto"/>
        </w:rPr>
        <w:t>支付合同价款</w:t>
      </w:r>
      <w:bookmarkEnd w:id="261"/>
      <w:bookmarkEnd w:id="262"/>
    </w:p>
    <w:p>
      <w:pPr>
        <w:spacing w:line="360" w:lineRule="auto"/>
        <w:ind w:firstLine="420" w:firstLineChars="200"/>
        <w:rPr>
          <w:rFonts w:ascii="Times New Roman" w:hAnsi="Times New Roman"/>
          <w:color w:val="auto"/>
          <w:szCs w:val="21"/>
        </w:rPr>
      </w:pPr>
      <w:r>
        <w:rPr>
          <w:rFonts w:ascii="Times New Roman" w:hAnsi="Times New Roman"/>
          <w:color w:val="auto"/>
          <w:szCs w:val="21"/>
        </w:rPr>
        <w:t>发包人应按合同约定向勘察人及时支付合同价款。</w:t>
      </w:r>
    </w:p>
    <w:p>
      <w:pPr>
        <w:pStyle w:val="6"/>
        <w:spacing w:line="240" w:lineRule="auto"/>
        <w:ind w:firstLine="137"/>
        <w:rPr>
          <w:rFonts w:ascii="Times New Roman" w:hAnsi="Times New Roman"/>
          <w:color w:val="auto"/>
        </w:rPr>
      </w:pPr>
      <w:bookmarkStart w:id="263" w:name="_Toc474833987"/>
      <w:bookmarkStart w:id="264" w:name="_Toc482188564"/>
      <w:bookmarkStart w:id="265" w:name="_Toc492300852"/>
      <w:r>
        <w:rPr>
          <w:rFonts w:ascii="Times New Roman" w:hAnsi="Times New Roman"/>
          <w:color w:val="auto"/>
        </w:rPr>
        <w:t xml:space="preserve">2.5 </w:t>
      </w:r>
      <w:r>
        <w:rPr>
          <w:rFonts w:hint="eastAsia" w:ascii="Times New Roman" w:hAnsi="Times New Roman"/>
          <w:color w:val="auto"/>
        </w:rPr>
        <w:t>提供勘察资料</w:t>
      </w:r>
      <w:bookmarkEnd w:id="263"/>
      <w:bookmarkEnd w:id="264"/>
      <w:bookmarkEnd w:id="265"/>
    </w:p>
    <w:p>
      <w:pPr>
        <w:spacing w:line="360" w:lineRule="auto"/>
        <w:ind w:firstLine="420" w:firstLineChars="200"/>
        <w:rPr>
          <w:rFonts w:ascii="Times New Roman" w:hAnsi="Times New Roman"/>
          <w:color w:val="auto"/>
          <w:szCs w:val="21"/>
        </w:rPr>
      </w:pPr>
      <w:r>
        <w:rPr>
          <w:rFonts w:ascii="Times New Roman" w:hAnsi="Times New Roman"/>
          <w:color w:val="auto"/>
          <w:szCs w:val="21"/>
        </w:rPr>
        <w:t>发包人应按第1.6.2项的约定向勘察人提供勘察资料。</w:t>
      </w:r>
    </w:p>
    <w:bookmarkEnd w:id="251"/>
    <w:bookmarkEnd w:id="252"/>
    <w:bookmarkEnd w:id="253"/>
    <w:bookmarkEnd w:id="254"/>
    <w:bookmarkEnd w:id="255"/>
    <w:p>
      <w:pPr>
        <w:pStyle w:val="6"/>
        <w:spacing w:line="240" w:lineRule="auto"/>
        <w:ind w:firstLine="137"/>
        <w:rPr>
          <w:rFonts w:ascii="Times New Roman" w:hAnsi="Times New Roman"/>
          <w:color w:val="auto"/>
        </w:rPr>
      </w:pPr>
      <w:bookmarkStart w:id="266" w:name="_Toc492300853"/>
      <w:bookmarkStart w:id="267" w:name="_Toc482188565"/>
      <w:r>
        <w:rPr>
          <w:rFonts w:ascii="Times New Roman" w:hAnsi="Times New Roman"/>
          <w:color w:val="auto"/>
        </w:rPr>
        <w:t xml:space="preserve">2.6 </w:t>
      </w:r>
      <w:r>
        <w:rPr>
          <w:rFonts w:hint="eastAsia" w:ascii="Times New Roman" w:hAnsi="Times New Roman"/>
          <w:color w:val="auto"/>
        </w:rPr>
        <w:t>其他义务</w:t>
      </w:r>
      <w:bookmarkEnd w:id="266"/>
      <w:bookmarkEnd w:id="267"/>
    </w:p>
    <w:p>
      <w:pPr>
        <w:spacing w:line="360" w:lineRule="auto"/>
        <w:ind w:firstLine="420" w:firstLineChars="200"/>
        <w:rPr>
          <w:rFonts w:ascii="Times New Roman" w:hAnsi="Times New Roman"/>
          <w:color w:val="auto"/>
          <w:szCs w:val="21"/>
        </w:rPr>
      </w:pPr>
      <w:r>
        <w:rPr>
          <w:rFonts w:ascii="Times New Roman" w:hAnsi="Times New Roman"/>
          <w:color w:val="auto"/>
          <w:szCs w:val="21"/>
        </w:rPr>
        <w:t>发包人应履行合同约定的其他义务</w:t>
      </w:r>
      <w:bookmarkStart w:id="268" w:name="_Toc385942924"/>
      <w:bookmarkStart w:id="269" w:name="_Toc370281728"/>
      <w:r>
        <w:rPr>
          <w:rFonts w:ascii="Times New Roman" w:hAnsi="Times New Roman"/>
          <w:color w:val="auto"/>
          <w:szCs w:val="21"/>
        </w:rPr>
        <w:t>。</w:t>
      </w:r>
    </w:p>
    <w:p>
      <w:pPr>
        <w:pStyle w:val="5"/>
        <w:rPr>
          <w:rFonts w:ascii="Times New Roman" w:hAnsi="Times New Roman"/>
          <w:color w:val="auto"/>
        </w:rPr>
      </w:pPr>
      <w:bookmarkStart w:id="270" w:name="_Toc492300854"/>
      <w:bookmarkStart w:id="271" w:name="_Toc482188566"/>
      <w:r>
        <w:rPr>
          <w:rFonts w:ascii="Times New Roman" w:hAnsi="Times New Roman"/>
          <w:color w:val="auto"/>
        </w:rPr>
        <w:t>3. 发包人管</w:t>
      </w:r>
      <w:bookmarkEnd w:id="268"/>
      <w:bookmarkEnd w:id="269"/>
      <w:r>
        <w:rPr>
          <w:rFonts w:ascii="Times New Roman" w:hAnsi="Times New Roman"/>
          <w:color w:val="auto"/>
        </w:rPr>
        <w:t>理</w:t>
      </w:r>
      <w:bookmarkEnd w:id="270"/>
      <w:bookmarkEnd w:id="271"/>
    </w:p>
    <w:p>
      <w:pPr>
        <w:pStyle w:val="6"/>
        <w:spacing w:line="240" w:lineRule="auto"/>
        <w:ind w:firstLine="137"/>
        <w:rPr>
          <w:rFonts w:ascii="Times New Roman" w:hAnsi="Times New Roman"/>
          <w:color w:val="auto"/>
        </w:rPr>
      </w:pPr>
      <w:bookmarkStart w:id="272" w:name="_Toc492300855"/>
      <w:bookmarkStart w:id="273" w:name="_Toc482188567"/>
      <w:r>
        <w:rPr>
          <w:rFonts w:ascii="Times New Roman" w:hAnsi="Times New Roman"/>
          <w:color w:val="auto"/>
        </w:rPr>
        <w:t xml:space="preserve">3.1 </w:t>
      </w:r>
      <w:r>
        <w:rPr>
          <w:rFonts w:hint="eastAsia" w:ascii="Times New Roman" w:hAnsi="Times New Roman"/>
          <w:color w:val="auto"/>
        </w:rPr>
        <w:t>发包人代表</w:t>
      </w:r>
      <w:bookmarkEnd w:id="272"/>
      <w:bookmarkEnd w:id="273"/>
    </w:p>
    <w:p>
      <w:pPr>
        <w:spacing w:line="360" w:lineRule="auto"/>
        <w:ind w:firstLine="420" w:firstLineChars="200"/>
        <w:rPr>
          <w:rFonts w:ascii="Times New Roman" w:hAnsi="Times New Roman"/>
          <w:color w:val="auto"/>
        </w:rPr>
      </w:pPr>
      <w:r>
        <w:rPr>
          <w:rFonts w:ascii="Times New Roman" w:hAnsi="Times New Roman"/>
          <w:color w:val="auto"/>
        </w:rPr>
        <w:t>3.1.1除专用合同条款</w:t>
      </w:r>
      <w:bookmarkStart w:id="274" w:name="_Toc247514057"/>
      <w:bookmarkStart w:id="275" w:name="_Toc385942925"/>
      <w:bookmarkStart w:id="276" w:name="_Toc300835055"/>
      <w:bookmarkStart w:id="277" w:name="_Toc370281729"/>
      <w:bookmarkStart w:id="278" w:name="_Toc247527658"/>
      <w:r>
        <w:rPr>
          <w:rFonts w:ascii="Times New Roman" w:hAnsi="Times New Roman"/>
          <w:color w:val="auto"/>
        </w:rPr>
        <w:t>另有约定外，发包</w:t>
      </w:r>
      <w:bookmarkEnd w:id="274"/>
      <w:bookmarkEnd w:id="275"/>
      <w:bookmarkEnd w:id="276"/>
      <w:bookmarkEnd w:id="277"/>
      <w:bookmarkEnd w:id="278"/>
      <w:r>
        <w:rPr>
          <w:rFonts w:ascii="Times New Roman" w:hAnsi="Times New Roman"/>
          <w:color w:val="auto"/>
        </w:rPr>
        <w:t>人应在合同签订后14天内，将发包人代</w:t>
      </w:r>
      <w:bookmarkStart w:id="279" w:name="_Toc247514058"/>
      <w:bookmarkStart w:id="280" w:name="_Toc184635100"/>
      <w:bookmarkStart w:id="281" w:name="_Toc247527659"/>
      <w:bookmarkStart w:id="282" w:name="_Toc300835056"/>
      <w:r>
        <w:rPr>
          <w:rFonts w:ascii="Times New Roman" w:hAnsi="Times New Roman"/>
          <w:color w:val="auto"/>
        </w:rPr>
        <w:t>表的姓名、职</w:t>
      </w:r>
      <w:bookmarkEnd w:id="279"/>
      <w:bookmarkEnd w:id="280"/>
      <w:bookmarkEnd w:id="281"/>
      <w:bookmarkEnd w:id="282"/>
      <w:r>
        <w:rPr>
          <w:rFonts w:ascii="Times New Roman" w:hAnsi="Times New Roman"/>
          <w:color w:val="auto"/>
        </w:rPr>
        <w:t>务、联</w:t>
      </w:r>
      <w:bookmarkStart w:id="283" w:name="_Toc351203511"/>
      <w:r>
        <w:rPr>
          <w:rFonts w:ascii="Times New Roman" w:hAnsi="Times New Roman"/>
          <w:color w:val="auto"/>
        </w:rPr>
        <w:t>系方式、授权范围和</w:t>
      </w:r>
      <w:bookmarkEnd w:id="283"/>
      <w:r>
        <w:rPr>
          <w:rFonts w:ascii="Times New Roman" w:hAnsi="Times New Roman"/>
          <w:color w:val="auto"/>
        </w:rPr>
        <w:t>授权期限书面通知勘察人，由发包人代表在其授权范围和授权期限内，代表发包人行使权利、履行义务和处理合同履行中的具体事宜。发包人代表在授权范围内的行为由发包人承担法律责任。</w:t>
      </w:r>
    </w:p>
    <w:p>
      <w:pPr>
        <w:spacing w:line="360" w:lineRule="auto"/>
        <w:ind w:firstLine="420" w:firstLineChars="200"/>
        <w:rPr>
          <w:rFonts w:ascii="Times New Roman" w:hAnsi="Times New Roman"/>
          <w:color w:val="auto"/>
        </w:rPr>
      </w:pPr>
      <w:r>
        <w:rPr>
          <w:rFonts w:ascii="Times New Roman" w:hAnsi="Times New Roman"/>
          <w:color w:val="auto"/>
        </w:rPr>
        <w:t>3.1.2发包人代表违反法律法规、违背职业道德守则或者不按合同约定履行职责及义务，导致合同无法继续正常履行的，勘察人有权通知发包人更换发包人代表。发包人收到通知后7天内，应当核实完毕并将处理结果通知勘察人。</w:t>
      </w:r>
    </w:p>
    <w:p>
      <w:pPr>
        <w:spacing w:line="360" w:lineRule="auto"/>
        <w:ind w:firstLine="420" w:firstLineChars="200"/>
        <w:rPr>
          <w:rFonts w:ascii="Times New Roman" w:hAnsi="Times New Roman"/>
          <w:color w:val="auto"/>
        </w:rPr>
      </w:pPr>
      <w:r>
        <w:rPr>
          <w:rFonts w:ascii="Times New Roman" w:hAnsi="Times New Roman"/>
          <w:color w:val="auto"/>
        </w:rPr>
        <w:t>3.1.3 发包人更换发包人代表的，应提前14天将更换人员的姓名、职务、联系方式、授权范围和授权期限书面通知勘察人。</w:t>
      </w:r>
    </w:p>
    <w:p>
      <w:pPr>
        <w:spacing w:line="360" w:lineRule="auto"/>
        <w:ind w:firstLine="420" w:firstLineChars="200"/>
        <w:rPr>
          <w:rFonts w:ascii="Times New Roman" w:hAnsi="Times New Roman"/>
          <w:color w:val="auto"/>
          <w:szCs w:val="21"/>
        </w:rPr>
      </w:pPr>
      <w:r>
        <w:rPr>
          <w:rFonts w:ascii="Times New Roman" w:hAnsi="Times New Roman"/>
          <w:color w:val="auto"/>
        </w:rPr>
        <w:t>3.1.4</w:t>
      </w:r>
      <w:r>
        <w:rPr>
          <w:rFonts w:ascii="Times New Roman" w:hAnsi="Times New Roman"/>
          <w:color w:val="auto"/>
          <w:szCs w:val="21"/>
        </w:rPr>
        <w:t xml:space="preserve"> 发包人代表可以授权发包人的其他人员负责执行其指派的一项或多项工作。发包人代表应</w:t>
      </w:r>
      <w:bookmarkStart w:id="284" w:name="_Toc300835059"/>
      <w:bookmarkStart w:id="285" w:name="_Toc247514061"/>
      <w:bookmarkStart w:id="286" w:name="_Toc247527662"/>
      <w:r>
        <w:rPr>
          <w:rFonts w:ascii="Times New Roman" w:hAnsi="Times New Roman"/>
          <w:color w:val="auto"/>
          <w:szCs w:val="21"/>
        </w:rPr>
        <w:t>将被授权人员的姓名及其</w:t>
      </w:r>
      <w:bookmarkEnd w:id="284"/>
      <w:bookmarkEnd w:id="285"/>
      <w:bookmarkEnd w:id="286"/>
      <w:r>
        <w:rPr>
          <w:rFonts w:ascii="Times New Roman" w:hAnsi="Times New Roman"/>
          <w:color w:val="auto"/>
          <w:szCs w:val="21"/>
        </w:rPr>
        <w:t>授权范围通知勘察人。被授权人员在授权范围内发出的指示视为已得到发包人代表的同意，与发包人代表发出的指示具有同等效力。</w:t>
      </w:r>
    </w:p>
    <w:p>
      <w:pPr>
        <w:pStyle w:val="6"/>
        <w:spacing w:line="240" w:lineRule="auto"/>
        <w:ind w:firstLine="137"/>
        <w:rPr>
          <w:rFonts w:ascii="Times New Roman" w:hAnsi="Times New Roman"/>
          <w:color w:val="auto"/>
        </w:rPr>
      </w:pPr>
      <w:bookmarkStart w:id="287" w:name="_Toc482188568"/>
      <w:bookmarkStart w:id="288" w:name="_Toc492300856"/>
      <w:r>
        <w:rPr>
          <w:rFonts w:ascii="Times New Roman" w:hAnsi="Times New Roman"/>
          <w:color w:val="auto"/>
        </w:rPr>
        <w:t xml:space="preserve">3.2 </w:t>
      </w:r>
      <w:r>
        <w:rPr>
          <w:rFonts w:hint="eastAsia" w:ascii="Times New Roman" w:hAnsi="Times New Roman"/>
          <w:color w:val="auto"/>
        </w:rPr>
        <w:t>监理人</w:t>
      </w:r>
      <w:bookmarkEnd w:id="287"/>
      <w:bookmarkEnd w:id="288"/>
    </w:p>
    <w:p>
      <w:pPr>
        <w:spacing w:line="360" w:lineRule="auto"/>
        <w:ind w:firstLine="420" w:firstLineChars="200"/>
        <w:rPr>
          <w:rFonts w:ascii="Times New Roman" w:hAnsi="Times New Roman"/>
          <w:color w:val="auto"/>
          <w:szCs w:val="21"/>
        </w:rPr>
      </w:pPr>
      <w:r>
        <w:rPr>
          <w:rFonts w:ascii="Times New Roman" w:hAnsi="Times New Roman"/>
          <w:color w:val="auto"/>
          <w:szCs w:val="21"/>
        </w:rPr>
        <w:t>3.2.1 发包人可以根据工程建设需要确定是否委托监理人进行勘察监理。如果委托监理，则监理人享有合同约定的权力，其所发出的任何指示应视为已得到发包人的批准。监理人的监理范围、职责权限和总监理工程师信息，应在专用合同条款中指明。未经发包人批准，监理人无权修改合同。</w:t>
      </w:r>
    </w:p>
    <w:p>
      <w:pPr>
        <w:spacing w:line="360" w:lineRule="auto"/>
        <w:ind w:firstLine="420" w:firstLineChars="200"/>
        <w:rPr>
          <w:rFonts w:ascii="Times New Roman" w:hAnsi="Times New Roman"/>
          <w:color w:val="auto"/>
          <w:szCs w:val="21"/>
        </w:rPr>
      </w:pPr>
      <w:r>
        <w:rPr>
          <w:rFonts w:ascii="Times New Roman" w:hAnsi="Times New Roman"/>
          <w:color w:val="auto"/>
          <w:szCs w:val="21"/>
        </w:rPr>
        <w:t>3.2.2 合同约定应由勘察人承担的义务和责任，不因监理人对勘察文件的审查或批准，以及为实施监理作出的指示等职务行为而减轻或解除。</w:t>
      </w:r>
    </w:p>
    <w:p>
      <w:pPr>
        <w:pStyle w:val="6"/>
        <w:spacing w:line="240" w:lineRule="auto"/>
        <w:ind w:firstLine="137"/>
        <w:rPr>
          <w:rFonts w:ascii="Times New Roman" w:hAnsi="Times New Roman"/>
          <w:color w:val="auto"/>
        </w:rPr>
      </w:pPr>
      <w:bookmarkStart w:id="289" w:name="_Toc482188569"/>
      <w:bookmarkStart w:id="290" w:name="_Toc492300857"/>
      <w:r>
        <w:rPr>
          <w:rFonts w:ascii="Times New Roman" w:hAnsi="Times New Roman"/>
          <w:color w:val="auto"/>
        </w:rPr>
        <w:t xml:space="preserve">3.3 </w:t>
      </w:r>
      <w:r>
        <w:rPr>
          <w:rFonts w:hint="eastAsia" w:ascii="Times New Roman" w:hAnsi="Times New Roman"/>
          <w:color w:val="auto"/>
        </w:rPr>
        <w:t>发包人的指示</w:t>
      </w:r>
      <w:bookmarkEnd w:id="289"/>
      <w:bookmarkEnd w:id="290"/>
    </w:p>
    <w:p>
      <w:pPr>
        <w:spacing w:line="360" w:lineRule="auto"/>
        <w:ind w:firstLine="420" w:firstLineChars="200"/>
        <w:rPr>
          <w:rFonts w:ascii="Times New Roman" w:hAnsi="Times New Roman"/>
          <w:color w:val="auto"/>
          <w:szCs w:val="21"/>
        </w:rPr>
      </w:pPr>
      <w:r>
        <w:rPr>
          <w:rFonts w:ascii="Times New Roman" w:hAnsi="Times New Roman"/>
          <w:color w:val="auto"/>
        </w:rPr>
        <w:t xml:space="preserve">3.3.1 </w:t>
      </w:r>
      <w:r>
        <w:rPr>
          <w:rFonts w:ascii="Times New Roman" w:hAnsi="Times New Roman"/>
          <w:color w:val="auto"/>
          <w:szCs w:val="21"/>
        </w:rPr>
        <w:t>发包人应按合同约定向勘察人发出指示，发包人的指示应盖有发包人单位章</w:t>
      </w:r>
      <w:bookmarkStart w:id="291" w:name="_Toc247527663"/>
      <w:bookmarkStart w:id="292" w:name="_Toc247514062"/>
      <w:bookmarkStart w:id="293" w:name="_Toc300835060"/>
      <w:r>
        <w:rPr>
          <w:rFonts w:ascii="Times New Roman" w:hAnsi="Times New Roman"/>
          <w:color w:val="auto"/>
          <w:szCs w:val="21"/>
        </w:rPr>
        <w:t>，并由发</w:t>
      </w:r>
      <w:bookmarkEnd w:id="291"/>
      <w:bookmarkEnd w:id="292"/>
      <w:bookmarkEnd w:id="293"/>
      <w:r>
        <w:rPr>
          <w:rFonts w:ascii="Times New Roman" w:hAnsi="Times New Roman"/>
          <w:color w:val="auto"/>
          <w:szCs w:val="21"/>
        </w:rPr>
        <w:t>包人代表签字确认。</w:t>
      </w:r>
    </w:p>
    <w:p>
      <w:pPr>
        <w:spacing w:line="360" w:lineRule="auto"/>
        <w:ind w:firstLine="420" w:firstLineChars="200"/>
        <w:rPr>
          <w:rFonts w:ascii="Times New Roman" w:hAnsi="Times New Roman"/>
          <w:color w:val="auto"/>
          <w:szCs w:val="21"/>
        </w:rPr>
      </w:pPr>
      <w:r>
        <w:rPr>
          <w:rFonts w:ascii="Times New Roman" w:hAnsi="Times New Roman"/>
          <w:color w:val="auto"/>
        </w:rPr>
        <w:t xml:space="preserve">3.3.2 </w:t>
      </w:r>
      <w:r>
        <w:rPr>
          <w:rFonts w:ascii="Times New Roman" w:hAnsi="Times New Roman"/>
          <w:color w:val="auto"/>
          <w:szCs w:val="21"/>
        </w:rPr>
        <w:t>勘察人收到发包人作出的指示后应遵照执行。指示构成变更的，应按第</w:t>
      </w:r>
      <w:r>
        <w:rPr>
          <w:rFonts w:ascii="Times New Roman" w:hAnsi="Times New Roman"/>
          <w:color w:val="auto"/>
        </w:rPr>
        <w:t>11</w:t>
      </w:r>
      <w:r>
        <w:rPr>
          <w:rFonts w:ascii="Times New Roman" w:hAnsi="Times New Roman"/>
          <w:color w:val="auto"/>
          <w:szCs w:val="21"/>
        </w:rPr>
        <w:t>条执行。</w:t>
      </w:r>
    </w:p>
    <w:p>
      <w:pPr>
        <w:spacing w:line="360" w:lineRule="auto"/>
        <w:ind w:firstLine="420" w:firstLineChars="200"/>
        <w:rPr>
          <w:rFonts w:ascii="Times New Roman" w:hAnsi="Times New Roman"/>
          <w:color w:val="auto"/>
          <w:szCs w:val="21"/>
        </w:rPr>
      </w:pPr>
      <w:r>
        <w:rPr>
          <w:rFonts w:ascii="Times New Roman" w:hAnsi="Times New Roman"/>
          <w:color w:val="auto"/>
        </w:rPr>
        <w:t xml:space="preserve">3.3.3 </w:t>
      </w:r>
      <w:r>
        <w:rPr>
          <w:rFonts w:ascii="Times New Roman" w:hAnsi="Times New Roman"/>
          <w:color w:val="auto"/>
          <w:szCs w:val="21"/>
        </w:rPr>
        <w:t>在紧急情况下，发包人代表或其授权人员可以当场签发临时书面指示，勘察人应遵照执行。发包人代表应在临时书面指示发出后24小时内发出书面确认函，逾期未发出书面确认函的，该临时书面指示应被视为发包人的正式指示。</w:t>
      </w:r>
    </w:p>
    <w:p>
      <w:pPr>
        <w:spacing w:line="360" w:lineRule="auto"/>
        <w:ind w:firstLine="420" w:firstLineChars="200"/>
        <w:rPr>
          <w:rFonts w:ascii="Times New Roman" w:hAnsi="Times New Roman"/>
          <w:color w:val="auto"/>
          <w:szCs w:val="21"/>
        </w:rPr>
      </w:pPr>
      <w:r>
        <w:rPr>
          <w:rFonts w:ascii="Times New Roman" w:hAnsi="Times New Roman"/>
          <w:color w:val="auto"/>
        </w:rPr>
        <w:t xml:space="preserve">3.3.4 </w:t>
      </w:r>
      <w:r>
        <w:rPr>
          <w:rFonts w:ascii="Times New Roman" w:hAnsi="Times New Roman"/>
          <w:color w:val="auto"/>
          <w:szCs w:val="21"/>
        </w:rPr>
        <w:t>除专用合同条款另有约定外，勘察人只从发包人代表或</w:t>
      </w:r>
      <w:r>
        <w:rPr>
          <w:rFonts w:ascii="Times New Roman" w:hAnsi="Times New Roman"/>
          <w:color w:val="auto"/>
        </w:rPr>
        <w:t>按第3.1.4项约定的被</w:t>
      </w:r>
      <w:r>
        <w:rPr>
          <w:rFonts w:ascii="Times New Roman" w:hAnsi="Times New Roman"/>
          <w:color w:val="auto"/>
          <w:szCs w:val="21"/>
        </w:rPr>
        <w:t>授权人员处取得指示。</w:t>
      </w:r>
    </w:p>
    <w:p>
      <w:pPr>
        <w:spacing w:line="360" w:lineRule="auto"/>
        <w:ind w:firstLine="420"/>
        <w:rPr>
          <w:rFonts w:ascii="Times New Roman" w:hAnsi="Times New Roman"/>
          <w:color w:val="auto"/>
          <w:szCs w:val="21"/>
        </w:rPr>
      </w:pPr>
      <w:r>
        <w:rPr>
          <w:rFonts w:ascii="Times New Roman" w:hAnsi="Times New Roman"/>
          <w:color w:val="auto"/>
        </w:rPr>
        <w:t xml:space="preserve">3.3.5 </w:t>
      </w:r>
      <w:r>
        <w:rPr>
          <w:rFonts w:ascii="Times New Roman" w:hAnsi="Times New Roman"/>
          <w:color w:val="auto"/>
          <w:szCs w:val="21"/>
        </w:rPr>
        <w:t>由于发包人未能按合同约定发出指示、指示延误或指示错误而导致勘察人费用增加和（或）周期延误的，发包人应承担由此增加的费用和（或）周期延误。</w:t>
      </w:r>
    </w:p>
    <w:p>
      <w:pPr>
        <w:pStyle w:val="6"/>
        <w:spacing w:line="240" w:lineRule="auto"/>
        <w:ind w:firstLine="137"/>
        <w:rPr>
          <w:rFonts w:ascii="Times New Roman" w:hAnsi="Times New Roman"/>
          <w:color w:val="auto"/>
        </w:rPr>
      </w:pPr>
      <w:bookmarkStart w:id="294" w:name="_Toc492300858"/>
      <w:bookmarkStart w:id="295" w:name="_Toc482188570"/>
      <w:r>
        <w:rPr>
          <w:rFonts w:ascii="Times New Roman" w:hAnsi="Times New Roman"/>
          <w:color w:val="auto"/>
        </w:rPr>
        <w:t xml:space="preserve">3.4 </w:t>
      </w:r>
      <w:r>
        <w:rPr>
          <w:rFonts w:hint="eastAsia" w:ascii="Times New Roman" w:hAnsi="Times New Roman"/>
          <w:color w:val="auto"/>
        </w:rPr>
        <w:t>决定或答复</w:t>
      </w:r>
      <w:bookmarkEnd w:id="294"/>
      <w:bookmarkEnd w:id="295"/>
    </w:p>
    <w:p>
      <w:pPr>
        <w:spacing w:line="360" w:lineRule="auto"/>
        <w:ind w:firstLine="420" w:firstLineChars="200"/>
        <w:rPr>
          <w:rFonts w:ascii="Times New Roman" w:hAnsi="Times New Roman"/>
          <w:color w:val="auto"/>
          <w:szCs w:val="21"/>
        </w:rPr>
      </w:pPr>
      <w:r>
        <w:rPr>
          <w:rFonts w:ascii="Times New Roman" w:hAnsi="Times New Roman"/>
          <w:color w:val="auto"/>
          <w:szCs w:val="21"/>
        </w:rPr>
        <w:t>3.4.1 发包人在法律允许的范围内有权对勘察人的勘察工作和/或勘察文件作出处理决定</w:t>
      </w:r>
      <w:bookmarkStart w:id="296" w:name="_Toc247527665"/>
      <w:bookmarkStart w:id="297" w:name="_Toc247514064"/>
      <w:bookmarkStart w:id="298" w:name="_Toc184635101"/>
      <w:bookmarkStart w:id="299" w:name="_Toc300835062"/>
      <w:bookmarkStart w:id="300" w:name="_Toc385942926"/>
      <w:bookmarkStart w:id="301" w:name="_Toc385592088"/>
      <w:bookmarkStart w:id="302" w:name="_Toc370281730"/>
      <w:r>
        <w:rPr>
          <w:rFonts w:ascii="Times New Roman" w:hAnsi="Times New Roman"/>
          <w:color w:val="auto"/>
          <w:szCs w:val="21"/>
        </w:rPr>
        <w:t>，勘察人应按照发包人的决定执行，涉及勘察服务期限或勘察费用等问题按第</w:t>
      </w:r>
      <w:r>
        <w:rPr>
          <w:rFonts w:ascii="Times New Roman" w:hAnsi="Times New Roman"/>
          <w:color w:val="auto"/>
        </w:rPr>
        <w:t>11</w:t>
      </w:r>
      <w:r>
        <w:rPr>
          <w:rFonts w:ascii="Times New Roman" w:hAnsi="Times New Roman"/>
          <w:color w:val="auto"/>
          <w:szCs w:val="21"/>
        </w:rPr>
        <w:t>条的约定处理。</w:t>
      </w:r>
    </w:p>
    <w:p>
      <w:pPr>
        <w:spacing w:line="360" w:lineRule="auto"/>
        <w:ind w:firstLine="420" w:firstLineChars="200"/>
        <w:rPr>
          <w:rFonts w:ascii="Times New Roman" w:hAnsi="Times New Roman"/>
          <w:color w:val="auto"/>
          <w:szCs w:val="21"/>
        </w:rPr>
      </w:pPr>
      <w:r>
        <w:rPr>
          <w:rFonts w:ascii="Times New Roman" w:hAnsi="Times New Roman"/>
          <w:color w:val="auto"/>
          <w:szCs w:val="21"/>
        </w:rPr>
        <w:t>3.4.2 发包人应在专用合同条款约定的时间之内，对勘察人书面提出的事项作出书面答复；逾期没有做出答复的，视为已获得发包人的批准。</w:t>
      </w:r>
    </w:p>
    <w:p>
      <w:pPr>
        <w:pStyle w:val="5"/>
        <w:rPr>
          <w:rFonts w:ascii="Times New Roman" w:hAnsi="Times New Roman"/>
          <w:color w:val="auto"/>
        </w:rPr>
      </w:pPr>
      <w:bookmarkStart w:id="303" w:name="_Toc482188571"/>
      <w:bookmarkStart w:id="304" w:name="_Toc492300859"/>
      <w:r>
        <w:rPr>
          <w:rFonts w:ascii="Times New Roman" w:hAnsi="Times New Roman"/>
          <w:color w:val="auto"/>
        </w:rPr>
        <w:t>4. 勘察人义务</w:t>
      </w:r>
      <w:bookmarkEnd w:id="303"/>
      <w:bookmarkEnd w:id="304"/>
    </w:p>
    <w:p>
      <w:pPr>
        <w:pStyle w:val="6"/>
        <w:spacing w:line="240" w:lineRule="auto"/>
        <w:ind w:firstLine="137"/>
        <w:rPr>
          <w:rFonts w:ascii="Times New Roman" w:hAnsi="Times New Roman"/>
          <w:color w:val="auto"/>
        </w:rPr>
      </w:pPr>
      <w:bookmarkStart w:id="305" w:name="_Toc492300860"/>
      <w:bookmarkStart w:id="306" w:name="_Toc482188572"/>
      <w:r>
        <w:rPr>
          <w:rFonts w:ascii="Times New Roman" w:hAnsi="Times New Roman"/>
          <w:color w:val="auto"/>
        </w:rPr>
        <w:t xml:space="preserve">4.1 </w:t>
      </w:r>
      <w:r>
        <w:rPr>
          <w:rFonts w:hint="eastAsia" w:ascii="Times New Roman" w:hAnsi="Times New Roman"/>
          <w:color w:val="auto"/>
        </w:rPr>
        <w:t>勘察人的一般义务</w:t>
      </w:r>
      <w:bookmarkEnd w:id="305"/>
      <w:bookmarkEnd w:id="306"/>
    </w:p>
    <w:p>
      <w:pPr>
        <w:spacing w:line="360" w:lineRule="auto"/>
        <w:ind w:firstLine="422" w:firstLineChars="200"/>
        <w:rPr>
          <w:rFonts w:ascii="Times New Roman" w:hAnsi="Times New Roman"/>
          <w:b/>
          <w:color w:val="auto"/>
          <w:szCs w:val="21"/>
        </w:rPr>
      </w:pPr>
      <w:r>
        <w:rPr>
          <w:rFonts w:ascii="Times New Roman" w:hAnsi="Times New Roman"/>
          <w:b/>
          <w:color w:val="auto"/>
        </w:rPr>
        <w:t xml:space="preserve">4.1.1 </w:t>
      </w:r>
      <w:r>
        <w:rPr>
          <w:rFonts w:ascii="Times New Roman" w:hAnsi="Times New Roman"/>
          <w:b/>
          <w:color w:val="auto"/>
          <w:szCs w:val="21"/>
        </w:rPr>
        <w:t>遵守法律</w:t>
      </w:r>
    </w:p>
    <w:p>
      <w:pPr>
        <w:spacing w:line="360" w:lineRule="auto"/>
        <w:ind w:firstLine="420" w:firstLineChars="200"/>
        <w:rPr>
          <w:rFonts w:ascii="Times New Roman" w:hAnsi="Times New Roman"/>
          <w:color w:val="auto"/>
          <w:szCs w:val="21"/>
        </w:rPr>
      </w:pPr>
      <w:r>
        <w:rPr>
          <w:rFonts w:ascii="Times New Roman" w:hAnsi="Times New Roman"/>
          <w:color w:val="auto"/>
          <w:szCs w:val="21"/>
        </w:rPr>
        <w:t>勘察人在履行合同过程中应遵守法律，并保证发包人免于承担因</w:t>
      </w:r>
      <w:bookmarkEnd w:id="296"/>
      <w:bookmarkEnd w:id="297"/>
      <w:bookmarkEnd w:id="298"/>
      <w:bookmarkEnd w:id="299"/>
      <w:r>
        <w:rPr>
          <w:rFonts w:ascii="Times New Roman" w:hAnsi="Times New Roman"/>
          <w:color w:val="auto"/>
          <w:szCs w:val="21"/>
        </w:rPr>
        <w:t>勘察</w:t>
      </w:r>
      <w:bookmarkEnd w:id="300"/>
      <w:bookmarkEnd w:id="301"/>
      <w:bookmarkEnd w:id="302"/>
      <w:r>
        <w:rPr>
          <w:rFonts w:ascii="Times New Roman" w:hAnsi="Times New Roman"/>
          <w:color w:val="auto"/>
          <w:szCs w:val="21"/>
        </w:rPr>
        <w:t>人</w:t>
      </w:r>
      <w:bookmarkStart w:id="307" w:name="_Toc385942927"/>
      <w:bookmarkStart w:id="308" w:name="_Toc247514065"/>
      <w:bookmarkStart w:id="309" w:name="_Toc247527666"/>
      <w:bookmarkStart w:id="310" w:name="_Toc370281731"/>
      <w:bookmarkStart w:id="311" w:name="_Toc300835063"/>
      <w:r>
        <w:rPr>
          <w:rFonts w:ascii="Times New Roman" w:hAnsi="Times New Roman"/>
          <w:color w:val="auto"/>
          <w:szCs w:val="21"/>
        </w:rPr>
        <w:t>违反法律而引起的任何责任。</w:t>
      </w:r>
    </w:p>
    <w:bookmarkEnd w:id="307"/>
    <w:bookmarkEnd w:id="308"/>
    <w:bookmarkEnd w:id="309"/>
    <w:bookmarkEnd w:id="310"/>
    <w:bookmarkEnd w:id="311"/>
    <w:p>
      <w:pPr>
        <w:spacing w:line="360" w:lineRule="auto"/>
        <w:ind w:firstLine="422" w:firstLineChars="200"/>
        <w:rPr>
          <w:rFonts w:ascii="Times New Roman" w:hAnsi="Times New Roman"/>
          <w:b/>
          <w:color w:val="auto"/>
          <w:szCs w:val="21"/>
        </w:rPr>
      </w:pPr>
      <w:r>
        <w:rPr>
          <w:rFonts w:ascii="Times New Roman" w:hAnsi="Times New Roman"/>
          <w:b/>
          <w:color w:val="auto"/>
        </w:rPr>
        <w:t xml:space="preserve">4.1.2 </w:t>
      </w:r>
      <w:r>
        <w:rPr>
          <w:rFonts w:ascii="Times New Roman" w:hAnsi="Times New Roman"/>
          <w:b/>
          <w:color w:val="auto"/>
          <w:szCs w:val="21"/>
        </w:rPr>
        <w:t>依法纳税</w:t>
      </w:r>
    </w:p>
    <w:p>
      <w:pPr>
        <w:spacing w:line="360" w:lineRule="auto"/>
        <w:ind w:firstLine="420" w:firstLineChars="200"/>
        <w:rPr>
          <w:rFonts w:ascii="Times New Roman" w:hAnsi="Times New Roman"/>
          <w:color w:val="auto"/>
          <w:szCs w:val="21"/>
        </w:rPr>
      </w:pPr>
      <w:r>
        <w:rPr>
          <w:rFonts w:ascii="Times New Roman" w:hAnsi="Times New Roman"/>
          <w:color w:val="auto"/>
          <w:szCs w:val="21"/>
        </w:rPr>
        <w:t>勘察人应按有关法律规定纳税，应缴纳的税金（含增值税）包括在合同价格之中。</w:t>
      </w:r>
    </w:p>
    <w:p>
      <w:pPr>
        <w:spacing w:line="360" w:lineRule="auto"/>
        <w:ind w:firstLine="422" w:firstLineChars="200"/>
        <w:rPr>
          <w:rFonts w:ascii="Times New Roman" w:hAnsi="Times New Roman"/>
          <w:b/>
          <w:color w:val="auto"/>
          <w:szCs w:val="21"/>
        </w:rPr>
      </w:pPr>
      <w:r>
        <w:rPr>
          <w:rFonts w:ascii="Times New Roman" w:hAnsi="Times New Roman"/>
          <w:b/>
          <w:color w:val="auto"/>
        </w:rPr>
        <w:t xml:space="preserve">4.1.3 </w:t>
      </w:r>
      <w:r>
        <w:rPr>
          <w:rFonts w:ascii="Times New Roman" w:hAnsi="Times New Roman"/>
          <w:b/>
          <w:color w:val="auto"/>
          <w:szCs w:val="21"/>
        </w:rPr>
        <w:t>完成全部勘察工作</w:t>
      </w:r>
    </w:p>
    <w:p>
      <w:pPr>
        <w:spacing w:line="360" w:lineRule="auto"/>
        <w:ind w:firstLine="420" w:firstLineChars="200"/>
        <w:rPr>
          <w:rFonts w:ascii="Times New Roman" w:hAnsi="Times New Roman"/>
          <w:color w:val="auto"/>
          <w:szCs w:val="21"/>
        </w:rPr>
      </w:pPr>
      <w:r>
        <w:rPr>
          <w:rFonts w:ascii="Times New Roman" w:hAnsi="Times New Roman"/>
          <w:color w:val="auto"/>
          <w:szCs w:val="21"/>
        </w:rPr>
        <w:t>勘察人应按合同约定以及发包人要求，完成合同约定的全部工作，并对工作中的任何缺陷进行整改、完善和修补，使其满足合同约定的目的。勘察人应按合同约定提供勘察文件，以及为完成勘察服务所需的劳务、材料、勘察设备、实验设施等，并应自行承担勘探场地临时设施的搭设、维护、管理和拆除。</w:t>
      </w:r>
    </w:p>
    <w:p>
      <w:pPr>
        <w:spacing w:line="360" w:lineRule="auto"/>
        <w:ind w:firstLine="422" w:firstLineChars="200"/>
        <w:rPr>
          <w:rFonts w:ascii="Times New Roman" w:hAnsi="Times New Roman"/>
          <w:b/>
          <w:color w:val="auto"/>
          <w:szCs w:val="21"/>
        </w:rPr>
      </w:pPr>
      <w:r>
        <w:rPr>
          <w:rFonts w:ascii="Times New Roman" w:hAnsi="Times New Roman"/>
          <w:b/>
          <w:color w:val="auto"/>
        </w:rPr>
        <w:t>4.1.4</w:t>
      </w:r>
      <w:r>
        <w:rPr>
          <w:rFonts w:ascii="Times New Roman" w:hAnsi="Times New Roman"/>
          <w:b/>
          <w:color w:val="auto"/>
          <w:szCs w:val="21"/>
        </w:rPr>
        <w:t xml:space="preserve"> 保证勘察作业规范、安全和环保</w:t>
      </w:r>
    </w:p>
    <w:p>
      <w:pPr>
        <w:spacing w:line="360" w:lineRule="auto"/>
        <w:ind w:firstLine="420" w:firstLineChars="200"/>
        <w:rPr>
          <w:rFonts w:ascii="Times New Roman" w:hAnsi="Times New Roman"/>
          <w:color w:val="auto"/>
          <w:szCs w:val="21"/>
        </w:rPr>
      </w:pPr>
      <w:r>
        <w:rPr>
          <w:rFonts w:ascii="Times New Roman" w:hAnsi="Times New Roman"/>
          <w:color w:val="auto"/>
          <w:szCs w:val="21"/>
        </w:rPr>
        <w:t>勘察人应按法律、规范标准和发包人要求，采取各项有效措施，确保勘察作业操作规范、安全、文明和环保，在风险性较大的环境中作业时应当编制安全防护方案并制定应急预案，防止因勘察作业造成的人身伤害和财产损失。</w:t>
      </w:r>
    </w:p>
    <w:p>
      <w:pPr>
        <w:spacing w:line="360" w:lineRule="auto"/>
        <w:ind w:firstLine="422" w:firstLineChars="200"/>
        <w:rPr>
          <w:rFonts w:ascii="Times New Roman" w:hAnsi="Times New Roman"/>
          <w:b/>
          <w:color w:val="auto"/>
          <w:szCs w:val="21"/>
        </w:rPr>
      </w:pPr>
      <w:r>
        <w:rPr>
          <w:rFonts w:ascii="Times New Roman" w:hAnsi="Times New Roman"/>
          <w:b/>
          <w:color w:val="auto"/>
        </w:rPr>
        <w:t xml:space="preserve">4.1.5 </w:t>
      </w:r>
      <w:r>
        <w:rPr>
          <w:rFonts w:ascii="Times New Roman" w:hAnsi="Times New Roman"/>
          <w:b/>
          <w:color w:val="auto"/>
          <w:szCs w:val="21"/>
        </w:rPr>
        <w:t>避免勘探对公众与他人的利益造成损害</w:t>
      </w:r>
    </w:p>
    <w:p>
      <w:pPr>
        <w:spacing w:line="360" w:lineRule="auto"/>
        <w:ind w:firstLine="420" w:firstLineChars="200"/>
        <w:rPr>
          <w:rFonts w:ascii="Times New Roman" w:hAnsi="Times New Roman"/>
          <w:color w:val="auto"/>
          <w:szCs w:val="21"/>
        </w:rPr>
      </w:pPr>
      <w:r>
        <w:rPr>
          <w:rFonts w:ascii="Times New Roman" w:hAnsi="Times New Roman"/>
          <w:color w:val="auto"/>
          <w:szCs w:val="21"/>
        </w:rPr>
        <w:t>勘察人在进行合同约定的各项工作时，不得侵害发包人与他人使用公用道路、水源、市政管网等公共设施的权利，避免对邻近的公共设施产生干扰，保证勘探场地的周边设施、建构筑物、地下管线、架空线和其他物体的安全运行。勘察人占用或使用他人的施工场地，影响他人作业或生活的，应承担相应责任。</w:t>
      </w:r>
    </w:p>
    <w:p>
      <w:pPr>
        <w:spacing w:line="360" w:lineRule="auto"/>
        <w:ind w:firstLine="422" w:firstLineChars="200"/>
        <w:rPr>
          <w:rFonts w:ascii="Times New Roman" w:hAnsi="Times New Roman"/>
          <w:b/>
          <w:color w:val="auto"/>
          <w:szCs w:val="21"/>
        </w:rPr>
      </w:pPr>
      <w:r>
        <w:rPr>
          <w:rFonts w:ascii="Times New Roman" w:hAnsi="Times New Roman"/>
          <w:b/>
          <w:color w:val="auto"/>
        </w:rPr>
        <w:t xml:space="preserve">4.1.6 </w:t>
      </w:r>
      <w:r>
        <w:rPr>
          <w:rFonts w:ascii="Times New Roman" w:hAnsi="Times New Roman"/>
          <w:b/>
          <w:color w:val="auto"/>
          <w:szCs w:val="21"/>
        </w:rPr>
        <w:t>其他义务</w:t>
      </w:r>
    </w:p>
    <w:p>
      <w:pPr>
        <w:spacing w:line="360" w:lineRule="auto"/>
        <w:ind w:firstLine="420" w:firstLineChars="200"/>
        <w:rPr>
          <w:rFonts w:ascii="Times New Roman" w:hAnsi="Times New Roman"/>
          <w:color w:val="auto"/>
        </w:rPr>
      </w:pPr>
      <w:r>
        <w:rPr>
          <w:rFonts w:ascii="Times New Roman" w:hAnsi="Times New Roman"/>
          <w:color w:val="auto"/>
          <w:szCs w:val="21"/>
        </w:rPr>
        <w:t>勘察人应履行合同约定的其他义务。</w:t>
      </w:r>
    </w:p>
    <w:p>
      <w:pPr>
        <w:pStyle w:val="6"/>
        <w:spacing w:line="240" w:lineRule="auto"/>
        <w:ind w:firstLine="137"/>
        <w:rPr>
          <w:rFonts w:ascii="Times New Roman" w:hAnsi="Times New Roman"/>
          <w:color w:val="auto"/>
        </w:rPr>
      </w:pPr>
      <w:bookmarkStart w:id="312" w:name="_Toc13239"/>
      <w:bookmarkStart w:id="313" w:name="_Toc485303383"/>
      <w:bookmarkStart w:id="314" w:name="_Toc492300861"/>
      <w:bookmarkStart w:id="315" w:name="_Toc382920065"/>
      <w:bookmarkStart w:id="316" w:name="_Toc482188573"/>
      <w:bookmarkStart w:id="317" w:name="_Toc247514076"/>
      <w:bookmarkStart w:id="318" w:name="_Toc247527677"/>
      <w:bookmarkStart w:id="319" w:name="_Toc300835075"/>
      <w:bookmarkStart w:id="320" w:name="_Toc300835076"/>
      <w:r>
        <w:rPr>
          <w:rFonts w:ascii="Times New Roman" w:hAnsi="Times New Roman"/>
          <w:color w:val="auto"/>
        </w:rPr>
        <w:t xml:space="preserve">4.2 </w:t>
      </w:r>
      <w:r>
        <w:rPr>
          <w:rFonts w:hint="eastAsia" w:ascii="Times New Roman" w:hAnsi="Times New Roman"/>
          <w:color w:val="auto"/>
        </w:rPr>
        <w:t>履约保证金</w:t>
      </w:r>
      <w:bookmarkEnd w:id="312"/>
      <w:bookmarkEnd w:id="313"/>
      <w:bookmarkEnd w:id="314"/>
      <w:bookmarkEnd w:id="315"/>
    </w:p>
    <w:p>
      <w:pPr>
        <w:spacing w:line="360" w:lineRule="auto"/>
        <w:ind w:firstLine="420" w:firstLineChars="200"/>
        <w:rPr>
          <w:rFonts w:ascii="Times New Roman" w:hAnsi="Times New Roman"/>
          <w:color w:val="auto"/>
          <w:szCs w:val="21"/>
        </w:rPr>
      </w:pPr>
      <w:r>
        <w:rPr>
          <w:rFonts w:ascii="Times New Roman" w:hAnsi="Times New Roman"/>
          <w:color w:val="auto"/>
          <w:szCs w:val="21"/>
        </w:rPr>
        <w:t>除专用合同条款另有约定外，履约保证金自合同生效之日起生效，在</w:t>
      </w:r>
      <w:r>
        <w:rPr>
          <w:rFonts w:hint="eastAsia" w:ascii="Times New Roman" w:hAnsi="Times New Roman"/>
          <w:color w:val="auto"/>
          <w:szCs w:val="21"/>
        </w:rPr>
        <w:t>发包人签收最后一批勘察成果文件</w:t>
      </w:r>
      <w:r>
        <w:rPr>
          <w:rFonts w:ascii="Times New Roman" w:hAnsi="Times New Roman"/>
          <w:color w:val="auto"/>
          <w:szCs w:val="21"/>
        </w:rPr>
        <w:t>之日起28日后失效。如果勘察人不履行合同约定的义务或其履行不符合合同的约定，发包人有权扣划相应金额的履约保证金。</w:t>
      </w:r>
    </w:p>
    <w:p>
      <w:pPr>
        <w:pStyle w:val="6"/>
        <w:spacing w:line="240" w:lineRule="auto"/>
        <w:ind w:firstLine="137"/>
        <w:rPr>
          <w:rFonts w:ascii="Times New Roman" w:hAnsi="Times New Roman"/>
          <w:color w:val="auto"/>
        </w:rPr>
      </w:pPr>
      <w:bookmarkStart w:id="321" w:name="_Toc492300862"/>
      <w:r>
        <w:rPr>
          <w:rFonts w:ascii="Times New Roman" w:hAnsi="Times New Roman"/>
          <w:color w:val="auto"/>
        </w:rPr>
        <w:t xml:space="preserve">4.3 </w:t>
      </w:r>
      <w:r>
        <w:rPr>
          <w:rFonts w:hint="eastAsia" w:ascii="Times New Roman" w:hAnsi="Times New Roman"/>
          <w:color w:val="auto"/>
        </w:rPr>
        <w:t>分包和不得转包</w:t>
      </w:r>
      <w:bookmarkEnd w:id="316"/>
      <w:bookmarkEnd w:id="321"/>
    </w:p>
    <w:p>
      <w:pPr>
        <w:spacing w:line="360" w:lineRule="auto"/>
        <w:ind w:firstLine="420" w:firstLineChars="200"/>
        <w:rPr>
          <w:rFonts w:ascii="Times New Roman" w:hAnsi="Times New Roman"/>
          <w:color w:val="auto"/>
          <w:szCs w:val="21"/>
        </w:rPr>
      </w:pPr>
      <w:r>
        <w:rPr>
          <w:rFonts w:ascii="Times New Roman" w:hAnsi="Times New Roman"/>
          <w:color w:val="auto"/>
        </w:rPr>
        <w:t>4.</w:t>
      </w:r>
      <w:r>
        <w:rPr>
          <w:rFonts w:hint="eastAsia" w:ascii="Times New Roman" w:hAnsi="Times New Roman"/>
          <w:color w:val="auto"/>
        </w:rPr>
        <w:t>3</w:t>
      </w:r>
      <w:r>
        <w:rPr>
          <w:rFonts w:ascii="Times New Roman" w:hAnsi="Times New Roman"/>
          <w:color w:val="auto"/>
        </w:rPr>
        <w:t>.1</w:t>
      </w:r>
      <w:r>
        <w:rPr>
          <w:rFonts w:ascii="Times New Roman" w:hAnsi="Times New Roman"/>
          <w:color w:val="auto"/>
          <w:szCs w:val="21"/>
        </w:rPr>
        <w:t xml:space="preserve"> 勘察人不得将其勘察的全部工作转包给第三人。</w:t>
      </w:r>
    </w:p>
    <w:p>
      <w:pPr>
        <w:spacing w:line="360" w:lineRule="auto"/>
        <w:ind w:firstLine="420" w:firstLineChars="200"/>
        <w:rPr>
          <w:rFonts w:ascii="Times New Roman" w:hAnsi="Times New Roman"/>
          <w:color w:val="auto"/>
          <w:szCs w:val="21"/>
        </w:rPr>
      </w:pPr>
      <w:r>
        <w:rPr>
          <w:rFonts w:ascii="Times New Roman" w:hAnsi="Times New Roman"/>
          <w:color w:val="auto"/>
        </w:rPr>
        <w:t>4.</w:t>
      </w:r>
      <w:r>
        <w:rPr>
          <w:rFonts w:hint="eastAsia" w:ascii="Times New Roman" w:hAnsi="Times New Roman"/>
          <w:color w:val="auto"/>
        </w:rPr>
        <w:t>3</w:t>
      </w:r>
      <w:r>
        <w:rPr>
          <w:rFonts w:ascii="Times New Roman" w:hAnsi="Times New Roman"/>
          <w:color w:val="auto"/>
        </w:rPr>
        <w:t xml:space="preserve">.2 </w:t>
      </w:r>
      <w:r>
        <w:rPr>
          <w:rFonts w:ascii="Times New Roman" w:hAnsi="Times New Roman"/>
          <w:color w:val="auto"/>
          <w:szCs w:val="21"/>
        </w:rPr>
        <w:t>勘察人不得将勘察的主体、关键性工作分包给第三人。除专用合同条款另有约定外，未经发包人同意，勘察人也不得将非主体、非关键性工作分包给第三人。</w:t>
      </w:r>
    </w:p>
    <w:p>
      <w:pPr>
        <w:spacing w:line="360" w:lineRule="auto"/>
        <w:ind w:firstLine="420" w:firstLineChars="200"/>
        <w:rPr>
          <w:rFonts w:ascii="Times New Roman" w:hAnsi="Times New Roman"/>
          <w:color w:val="auto"/>
          <w:szCs w:val="21"/>
        </w:rPr>
      </w:pPr>
      <w:r>
        <w:rPr>
          <w:rFonts w:ascii="Times New Roman" w:hAnsi="Times New Roman"/>
          <w:color w:val="auto"/>
        </w:rPr>
        <w:t>4.</w:t>
      </w:r>
      <w:r>
        <w:rPr>
          <w:rFonts w:hint="eastAsia" w:ascii="Times New Roman" w:hAnsi="Times New Roman"/>
          <w:color w:val="auto"/>
        </w:rPr>
        <w:t>3</w:t>
      </w:r>
      <w:r>
        <w:rPr>
          <w:rFonts w:ascii="Times New Roman" w:hAnsi="Times New Roman"/>
          <w:color w:val="auto"/>
        </w:rPr>
        <w:t>.3</w:t>
      </w:r>
      <w:r>
        <w:rPr>
          <w:rFonts w:ascii="Times New Roman" w:hAnsi="Times New Roman"/>
          <w:color w:val="auto"/>
          <w:szCs w:val="21"/>
        </w:rPr>
        <w:t xml:space="preserve"> 发包人同意勘察人分包工作的，勘察人应向发包人提交1份分包合同副本，并对分包勘察工作质量承担连带责任。除专用合同条款另有约定外，分包人的勘察费用由勘察人与分包人自行支付。</w:t>
      </w:r>
    </w:p>
    <w:p>
      <w:pPr>
        <w:spacing w:line="360" w:lineRule="auto"/>
        <w:ind w:firstLine="420" w:firstLineChars="200"/>
        <w:rPr>
          <w:rFonts w:ascii="Times New Roman" w:hAnsi="Times New Roman"/>
          <w:color w:val="auto"/>
          <w:szCs w:val="21"/>
        </w:rPr>
      </w:pPr>
      <w:r>
        <w:rPr>
          <w:rFonts w:ascii="Times New Roman" w:hAnsi="Times New Roman"/>
          <w:color w:val="auto"/>
        </w:rPr>
        <w:t>4.</w:t>
      </w:r>
      <w:r>
        <w:rPr>
          <w:rFonts w:hint="eastAsia" w:ascii="Times New Roman" w:hAnsi="Times New Roman"/>
          <w:color w:val="auto"/>
        </w:rPr>
        <w:t>3</w:t>
      </w:r>
      <w:r>
        <w:rPr>
          <w:rFonts w:ascii="Times New Roman" w:hAnsi="Times New Roman"/>
          <w:color w:val="auto"/>
        </w:rPr>
        <w:t xml:space="preserve">.4 </w:t>
      </w:r>
      <w:r>
        <w:rPr>
          <w:rFonts w:ascii="Times New Roman" w:hAnsi="Times New Roman"/>
          <w:color w:val="auto"/>
          <w:szCs w:val="21"/>
        </w:rPr>
        <w:t>分包人的资格能力应与其分包工作的标准和规模相适应，包括必要的企业资质、人员、设备和类似业绩等。</w:t>
      </w:r>
    </w:p>
    <w:p>
      <w:pPr>
        <w:pStyle w:val="6"/>
        <w:spacing w:line="240" w:lineRule="auto"/>
        <w:ind w:firstLine="137"/>
        <w:rPr>
          <w:rFonts w:ascii="Times New Roman" w:hAnsi="Times New Roman"/>
          <w:color w:val="auto"/>
        </w:rPr>
      </w:pPr>
      <w:bookmarkStart w:id="322" w:name="_Toc492300863"/>
      <w:bookmarkStart w:id="323" w:name="_Toc482188574"/>
      <w:r>
        <w:rPr>
          <w:rFonts w:ascii="Times New Roman" w:hAnsi="Times New Roman"/>
          <w:color w:val="auto"/>
        </w:rPr>
        <w:t xml:space="preserve">4.4 </w:t>
      </w:r>
      <w:r>
        <w:rPr>
          <w:rFonts w:hint="eastAsia" w:ascii="Times New Roman" w:hAnsi="Times New Roman"/>
          <w:color w:val="auto"/>
        </w:rPr>
        <w:t>联合体</w:t>
      </w:r>
      <w:bookmarkEnd w:id="322"/>
      <w:bookmarkEnd w:id="323"/>
    </w:p>
    <w:p>
      <w:pPr>
        <w:spacing w:line="360" w:lineRule="auto"/>
        <w:ind w:firstLine="420" w:firstLineChars="200"/>
        <w:rPr>
          <w:rFonts w:ascii="Times New Roman" w:hAnsi="Times New Roman"/>
          <w:color w:val="auto"/>
          <w:szCs w:val="21"/>
        </w:rPr>
      </w:pPr>
      <w:r>
        <w:rPr>
          <w:rFonts w:ascii="Times New Roman" w:hAnsi="Times New Roman"/>
          <w:color w:val="auto"/>
        </w:rPr>
        <w:t>4.</w:t>
      </w:r>
      <w:r>
        <w:rPr>
          <w:rFonts w:hint="eastAsia" w:ascii="Times New Roman" w:hAnsi="Times New Roman"/>
          <w:color w:val="auto"/>
        </w:rPr>
        <w:t>4</w:t>
      </w:r>
      <w:r>
        <w:rPr>
          <w:rFonts w:ascii="Times New Roman" w:hAnsi="Times New Roman"/>
          <w:color w:val="auto"/>
        </w:rPr>
        <w:t xml:space="preserve">.1 </w:t>
      </w:r>
      <w:r>
        <w:rPr>
          <w:rFonts w:ascii="Times New Roman" w:hAnsi="Times New Roman"/>
          <w:color w:val="auto"/>
          <w:szCs w:val="21"/>
        </w:rPr>
        <w:t>联合体各方应共同与发包人签订合同。联合体各方应为履行合同承担连带责任。</w:t>
      </w:r>
    </w:p>
    <w:p>
      <w:pPr>
        <w:spacing w:line="360" w:lineRule="auto"/>
        <w:ind w:firstLine="420" w:firstLineChars="200"/>
        <w:rPr>
          <w:rFonts w:ascii="Times New Roman" w:hAnsi="Times New Roman"/>
          <w:color w:val="auto"/>
          <w:szCs w:val="21"/>
        </w:rPr>
      </w:pPr>
      <w:r>
        <w:rPr>
          <w:rFonts w:ascii="Times New Roman" w:hAnsi="Times New Roman"/>
          <w:color w:val="auto"/>
        </w:rPr>
        <w:t>4.</w:t>
      </w:r>
      <w:r>
        <w:rPr>
          <w:rFonts w:hint="eastAsia" w:ascii="Times New Roman" w:hAnsi="Times New Roman"/>
          <w:color w:val="auto"/>
        </w:rPr>
        <w:t>4</w:t>
      </w:r>
      <w:r>
        <w:rPr>
          <w:rFonts w:ascii="Times New Roman" w:hAnsi="Times New Roman"/>
          <w:color w:val="auto"/>
        </w:rPr>
        <w:t>.2</w:t>
      </w:r>
      <w:r>
        <w:rPr>
          <w:rFonts w:ascii="Times New Roman" w:hAnsi="Times New Roman"/>
          <w:color w:val="auto"/>
          <w:szCs w:val="21"/>
        </w:rPr>
        <w:t xml:space="preserve"> 联合体协议经发包人确认后作为合同附件。在履行合同过程中，未经发包人同意，不得修改联合体协议。</w:t>
      </w:r>
    </w:p>
    <w:p>
      <w:pPr>
        <w:spacing w:line="360" w:lineRule="auto"/>
        <w:ind w:firstLine="420" w:firstLineChars="200"/>
        <w:rPr>
          <w:rFonts w:ascii="Times New Roman" w:hAnsi="Times New Roman"/>
          <w:color w:val="auto"/>
          <w:szCs w:val="21"/>
        </w:rPr>
      </w:pPr>
      <w:r>
        <w:rPr>
          <w:rFonts w:ascii="Times New Roman" w:hAnsi="Times New Roman"/>
          <w:color w:val="auto"/>
        </w:rPr>
        <w:t>4.</w:t>
      </w:r>
      <w:r>
        <w:rPr>
          <w:rFonts w:hint="eastAsia" w:ascii="Times New Roman" w:hAnsi="Times New Roman"/>
          <w:color w:val="auto"/>
        </w:rPr>
        <w:t>4</w:t>
      </w:r>
      <w:r>
        <w:rPr>
          <w:rFonts w:ascii="Times New Roman" w:hAnsi="Times New Roman"/>
          <w:color w:val="auto"/>
        </w:rPr>
        <w:t>.</w:t>
      </w:r>
      <w:r>
        <w:rPr>
          <w:rFonts w:hint="eastAsia" w:ascii="Times New Roman" w:hAnsi="Times New Roman"/>
          <w:color w:val="auto"/>
        </w:rPr>
        <w:t>3</w:t>
      </w:r>
      <w:r>
        <w:rPr>
          <w:rFonts w:ascii="Times New Roman" w:hAnsi="Times New Roman"/>
          <w:color w:val="auto"/>
        </w:rPr>
        <w:t xml:space="preserve"> </w:t>
      </w:r>
      <w:r>
        <w:rPr>
          <w:rFonts w:ascii="Times New Roman" w:hAnsi="Times New Roman"/>
          <w:color w:val="auto"/>
          <w:szCs w:val="21"/>
        </w:rPr>
        <w:t>联合体牵头人或联合体授权的代表负责与发包人联系，并接受指示，负责组织联合体各成员全面履行合同。</w:t>
      </w:r>
    </w:p>
    <w:p>
      <w:pPr>
        <w:pStyle w:val="6"/>
        <w:spacing w:line="240" w:lineRule="auto"/>
        <w:ind w:firstLine="137"/>
        <w:rPr>
          <w:rFonts w:ascii="Times New Roman" w:hAnsi="Times New Roman"/>
          <w:color w:val="auto"/>
        </w:rPr>
      </w:pPr>
      <w:bookmarkStart w:id="324" w:name="_Toc492300864"/>
      <w:bookmarkStart w:id="325" w:name="_Toc482188575"/>
      <w:r>
        <w:rPr>
          <w:rFonts w:ascii="Times New Roman" w:hAnsi="Times New Roman"/>
          <w:color w:val="auto"/>
        </w:rPr>
        <w:t xml:space="preserve">4.5 </w:t>
      </w:r>
      <w:r>
        <w:rPr>
          <w:rFonts w:hint="eastAsia" w:ascii="Times New Roman" w:hAnsi="Times New Roman"/>
          <w:color w:val="auto"/>
        </w:rPr>
        <w:t>项目负责人</w:t>
      </w:r>
      <w:bookmarkEnd w:id="324"/>
      <w:bookmarkEnd w:id="325"/>
    </w:p>
    <w:p>
      <w:pPr>
        <w:spacing w:line="360" w:lineRule="auto"/>
        <w:ind w:firstLine="420" w:firstLineChars="200"/>
        <w:rPr>
          <w:rFonts w:ascii="Times New Roman" w:hAnsi="Times New Roman"/>
          <w:color w:val="auto"/>
          <w:szCs w:val="21"/>
        </w:rPr>
      </w:pPr>
      <w:r>
        <w:rPr>
          <w:rFonts w:ascii="Times New Roman" w:hAnsi="Times New Roman"/>
          <w:color w:val="auto"/>
        </w:rPr>
        <w:t>4.5.1</w:t>
      </w:r>
      <w:r>
        <w:rPr>
          <w:rFonts w:ascii="Times New Roman" w:hAnsi="Times New Roman"/>
          <w:color w:val="auto"/>
          <w:szCs w:val="21"/>
        </w:rPr>
        <w:t xml:space="preserve"> 勘察人应按合同协议书的约定指派项目负责人，并在约定的期限内到职。勘察人更换项目负责</w:t>
      </w:r>
      <w:bookmarkStart w:id="326" w:name="_Toc247527670"/>
      <w:bookmarkStart w:id="327" w:name="_Toc247514069"/>
      <w:bookmarkStart w:id="328" w:name="_Toc300835067"/>
      <w:r>
        <w:rPr>
          <w:rFonts w:ascii="Times New Roman" w:hAnsi="Times New Roman"/>
          <w:color w:val="auto"/>
          <w:szCs w:val="21"/>
        </w:rPr>
        <w:t>人应事先征得</w:t>
      </w:r>
      <w:bookmarkEnd w:id="326"/>
      <w:bookmarkEnd w:id="327"/>
      <w:bookmarkEnd w:id="328"/>
      <w:r>
        <w:rPr>
          <w:rFonts w:ascii="Times New Roman" w:hAnsi="Times New Roman"/>
          <w:color w:val="auto"/>
          <w:szCs w:val="21"/>
        </w:rPr>
        <w:t>发包人同意，并应在更换14天前将拟更换的项目负责人的姓名和详细资料提交发包人。项目负责人2天内不能履行职责的，应事先征得发包人同意，并委派代表代行其职责。</w:t>
      </w:r>
    </w:p>
    <w:p>
      <w:pPr>
        <w:spacing w:line="360" w:lineRule="auto"/>
        <w:ind w:firstLine="420" w:firstLineChars="200"/>
        <w:rPr>
          <w:rFonts w:ascii="Times New Roman" w:hAnsi="Times New Roman"/>
          <w:color w:val="auto"/>
          <w:szCs w:val="21"/>
        </w:rPr>
      </w:pPr>
      <w:r>
        <w:rPr>
          <w:rFonts w:ascii="Times New Roman" w:hAnsi="Times New Roman"/>
          <w:color w:val="auto"/>
        </w:rPr>
        <w:t>4.5.2</w:t>
      </w:r>
      <w:r>
        <w:rPr>
          <w:rFonts w:ascii="Times New Roman" w:hAnsi="Times New Roman"/>
          <w:color w:val="auto"/>
          <w:szCs w:val="21"/>
        </w:rPr>
        <w:t>项目负责人应按合同约定以及发包人要求，负责组织合同工作的实施。在情况紧急且无法与发包人取得联系时，可采取保证工程和人员生命财产安全的紧急措施，并在采取措施后24小时内向发包人提交书面报告。</w:t>
      </w:r>
    </w:p>
    <w:p>
      <w:pPr>
        <w:spacing w:line="360" w:lineRule="auto"/>
        <w:ind w:firstLine="420" w:firstLineChars="200"/>
        <w:rPr>
          <w:rFonts w:ascii="Times New Roman" w:hAnsi="Times New Roman"/>
          <w:color w:val="auto"/>
          <w:szCs w:val="21"/>
        </w:rPr>
      </w:pPr>
      <w:r>
        <w:rPr>
          <w:rFonts w:ascii="Times New Roman" w:hAnsi="Times New Roman"/>
          <w:color w:val="auto"/>
        </w:rPr>
        <w:t>4.5.3</w:t>
      </w:r>
      <w:r>
        <w:rPr>
          <w:rFonts w:ascii="Times New Roman" w:hAnsi="Times New Roman"/>
          <w:color w:val="auto"/>
          <w:szCs w:val="21"/>
        </w:rPr>
        <w:t xml:space="preserve"> 勘察人为履行合同发出的一切函件均应盖有勘察人单位章，并由勘察人的项目负责人签字确认。</w:t>
      </w:r>
    </w:p>
    <w:p>
      <w:pPr>
        <w:spacing w:line="360" w:lineRule="auto"/>
        <w:ind w:firstLine="420" w:firstLineChars="200"/>
        <w:rPr>
          <w:rFonts w:ascii="Times New Roman" w:hAnsi="Times New Roman"/>
          <w:color w:val="auto"/>
          <w:szCs w:val="21"/>
        </w:rPr>
      </w:pPr>
      <w:bookmarkStart w:id="329" w:name="_Toc482188576"/>
      <w:r>
        <w:rPr>
          <w:rFonts w:ascii="Times New Roman" w:hAnsi="Times New Roman"/>
          <w:color w:val="auto"/>
        </w:rPr>
        <w:t>4.</w:t>
      </w:r>
      <w:r>
        <w:rPr>
          <w:rFonts w:hint="eastAsia" w:ascii="Times New Roman" w:hAnsi="Times New Roman"/>
          <w:color w:val="auto"/>
        </w:rPr>
        <w:t>5</w:t>
      </w:r>
      <w:r>
        <w:rPr>
          <w:rFonts w:ascii="Times New Roman" w:hAnsi="Times New Roman"/>
          <w:color w:val="auto"/>
        </w:rPr>
        <w:t>.4</w:t>
      </w:r>
      <w:r>
        <w:rPr>
          <w:rFonts w:ascii="Times New Roman" w:hAnsi="Times New Roman"/>
          <w:color w:val="auto"/>
          <w:szCs w:val="21"/>
        </w:rPr>
        <w:t xml:space="preserve"> </w:t>
      </w:r>
      <w:r>
        <w:rPr>
          <w:rFonts w:hint="eastAsia" w:ascii="Times New Roman" w:hAnsi="Times New Roman"/>
          <w:color w:val="auto"/>
          <w:szCs w:val="21"/>
        </w:rPr>
        <w:t>按照专用合同条款约定，项目负责人</w:t>
      </w:r>
      <w:r>
        <w:rPr>
          <w:rFonts w:ascii="Times New Roman" w:hAnsi="Times New Roman"/>
          <w:color w:val="auto"/>
          <w:szCs w:val="21"/>
        </w:rPr>
        <w:t>可以授权其下属人员履行其某项职责，但事先应将这些人员的姓名和授权范围书面通知</w:t>
      </w:r>
      <w:r>
        <w:rPr>
          <w:rFonts w:hint="eastAsia" w:ascii="Times New Roman" w:hAnsi="Times New Roman"/>
          <w:color w:val="auto"/>
          <w:szCs w:val="21"/>
        </w:rPr>
        <w:t>发包</w:t>
      </w:r>
      <w:r>
        <w:rPr>
          <w:rFonts w:ascii="Times New Roman" w:hAnsi="Times New Roman"/>
          <w:color w:val="auto"/>
          <w:szCs w:val="21"/>
        </w:rPr>
        <w:t>人</w:t>
      </w:r>
      <w:r>
        <w:rPr>
          <w:rFonts w:hint="eastAsia" w:ascii="Times New Roman" w:hAnsi="Times New Roman"/>
          <w:color w:val="auto"/>
          <w:szCs w:val="21"/>
        </w:rPr>
        <w:t>。</w:t>
      </w:r>
    </w:p>
    <w:p>
      <w:pPr>
        <w:pStyle w:val="6"/>
        <w:spacing w:line="240" w:lineRule="auto"/>
        <w:ind w:firstLine="137"/>
        <w:rPr>
          <w:rFonts w:ascii="Times New Roman" w:hAnsi="Times New Roman"/>
          <w:color w:val="auto"/>
        </w:rPr>
      </w:pPr>
      <w:bookmarkStart w:id="330" w:name="_Toc492300865"/>
      <w:r>
        <w:rPr>
          <w:rFonts w:ascii="Times New Roman" w:hAnsi="Times New Roman"/>
          <w:color w:val="auto"/>
        </w:rPr>
        <w:t xml:space="preserve">4.6 </w:t>
      </w:r>
      <w:r>
        <w:rPr>
          <w:rFonts w:hint="eastAsia" w:ascii="Times New Roman" w:hAnsi="Times New Roman"/>
          <w:color w:val="auto"/>
        </w:rPr>
        <w:t>勘察人员的管理</w:t>
      </w:r>
      <w:bookmarkEnd w:id="329"/>
      <w:bookmarkEnd w:id="330"/>
    </w:p>
    <w:p>
      <w:pPr>
        <w:spacing w:line="360" w:lineRule="auto"/>
        <w:ind w:firstLine="420" w:firstLineChars="200"/>
        <w:rPr>
          <w:rFonts w:ascii="Times New Roman" w:hAnsi="Times New Roman"/>
          <w:color w:val="auto"/>
          <w:szCs w:val="21"/>
        </w:rPr>
      </w:pPr>
      <w:r>
        <w:rPr>
          <w:rFonts w:ascii="Times New Roman" w:hAnsi="Times New Roman"/>
          <w:color w:val="auto"/>
        </w:rPr>
        <w:t>4.6.1</w:t>
      </w:r>
      <w:r>
        <w:rPr>
          <w:rFonts w:ascii="Times New Roman" w:hAnsi="Times New Roman"/>
          <w:color w:val="auto"/>
          <w:szCs w:val="21"/>
        </w:rPr>
        <w:t xml:space="preserve"> 勘察人应在接到开始勘察通知之日起7天内，向发包人提交勘察项目机构以及</w:t>
      </w:r>
      <w:bookmarkStart w:id="331" w:name="_Toc247514070"/>
      <w:bookmarkStart w:id="332" w:name="_Toc300835068"/>
      <w:bookmarkStart w:id="333" w:name="_Toc247527671"/>
      <w:r>
        <w:rPr>
          <w:rFonts w:ascii="Times New Roman" w:hAnsi="Times New Roman"/>
          <w:color w:val="auto"/>
          <w:szCs w:val="21"/>
        </w:rPr>
        <w:t>人员安排的报告，其内容应</w:t>
      </w:r>
      <w:bookmarkEnd w:id="331"/>
      <w:bookmarkEnd w:id="332"/>
      <w:bookmarkEnd w:id="333"/>
      <w:r>
        <w:rPr>
          <w:rFonts w:ascii="Times New Roman" w:hAnsi="Times New Roman"/>
          <w:color w:val="auto"/>
          <w:szCs w:val="21"/>
        </w:rPr>
        <w:t>包括项目机构设置、主要勘察人员和作业人员的名单及资格条件。主要</w:t>
      </w:r>
      <w:r>
        <w:rPr>
          <w:rFonts w:hint="eastAsia" w:ascii="Times New Roman" w:hAnsi="Times New Roman"/>
          <w:color w:val="auto"/>
          <w:szCs w:val="21"/>
        </w:rPr>
        <w:t>勘察</w:t>
      </w:r>
      <w:r>
        <w:rPr>
          <w:rFonts w:ascii="Times New Roman" w:hAnsi="Times New Roman"/>
          <w:color w:val="auto"/>
          <w:szCs w:val="21"/>
        </w:rPr>
        <w:t>人员应相对稳定，更换主要</w:t>
      </w:r>
      <w:r>
        <w:rPr>
          <w:rFonts w:hint="eastAsia" w:ascii="Times New Roman" w:hAnsi="Times New Roman"/>
          <w:color w:val="auto"/>
          <w:szCs w:val="21"/>
        </w:rPr>
        <w:t>勘察</w:t>
      </w:r>
      <w:r>
        <w:rPr>
          <w:rFonts w:ascii="Times New Roman" w:hAnsi="Times New Roman"/>
          <w:color w:val="auto"/>
          <w:szCs w:val="21"/>
        </w:rPr>
        <w:t>人员的，应取得发包人的同意,并向发包人提交继任人员的资格、管理经验等资料。项目负责人的更换，应按照本章第4.5.1项规定执行。</w:t>
      </w:r>
    </w:p>
    <w:p>
      <w:pPr>
        <w:spacing w:line="360" w:lineRule="auto"/>
        <w:ind w:firstLine="420" w:firstLineChars="200"/>
        <w:rPr>
          <w:rFonts w:ascii="Times New Roman" w:hAnsi="Times New Roman"/>
          <w:color w:val="auto"/>
          <w:szCs w:val="21"/>
        </w:rPr>
      </w:pPr>
      <w:r>
        <w:rPr>
          <w:rFonts w:ascii="Times New Roman" w:hAnsi="Times New Roman"/>
          <w:color w:val="auto"/>
        </w:rPr>
        <w:t>4.6.2 除专用合同条款另有约定外，</w:t>
      </w:r>
      <w:r>
        <w:rPr>
          <w:rFonts w:ascii="Times New Roman" w:hAnsi="Times New Roman"/>
          <w:color w:val="auto"/>
          <w:szCs w:val="21"/>
        </w:rPr>
        <w:t>主要勘察人员包括项目负责人、勘探负责人、试验负责人等；作业人员包括勘探描述（记录）员、机长、观测员、试验员等。</w:t>
      </w:r>
    </w:p>
    <w:p>
      <w:pPr>
        <w:spacing w:line="360" w:lineRule="auto"/>
        <w:ind w:firstLine="420" w:firstLineChars="200"/>
        <w:rPr>
          <w:rFonts w:ascii="Times New Roman" w:hAnsi="Times New Roman"/>
          <w:color w:val="auto"/>
          <w:szCs w:val="21"/>
        </w:rPr>
      </w:pPr>
      <w:r>
        <w:rPr>
          <w:rFonts w:ascii="Times New Roman" w:hAnsi="Times New Roman"/>
          <w:color w:val="auto"/>
        </w:rPr>
        <w:t>4.6.3</w:t>
      </w:r>
      <w:r>
        <w:rPr>
          <w:rFonts w:ascii="Times New Roman" w:hAnsi="Times New Roman"/>
          <w:color w:val="auto"/>
          <w:szCs w:val="21"/>
        </w:rPr>
        <w:t>勘察人应保证其主要勘察人员（含分包人）在合同期限内的任何时候，都能按时参加发包人组织的工作会议。</w:t>
      </w:r>
    </w:p>
    <w:p>
      <w:pPr>
        <w:spacing w:line="360" w:lineRule="auto"/>
        <w:ind w:firstLine="420" w:firstLineChars="200"/>
        <w:rPr>
          <w:rFonts w:ascii="Times New Roman" w:hAnsi="Times New Roman"/>
          <w:color w:val="auto"/>
          <w:szCs w:val="21"/>
        </w:rPr>
      </w:pPr>
      <w:r>
        <w:rPr>
          <w:rFonts w:ascii="Times New Roman" w:hAnsi="Times New Roman"/>
          <w:color w:val="auto"/>
        </w:rPr>
        <w:t xml:space="preserve">4.6.4 </w:t>
      </w:r>
      <w:r>
        <w:rPr>
          <w:rFonts w:ascii="Times New Roman" w:hAnsi="Times New Roman"/>
          <w:color w:val="auto"/>
          <w:szCs w:val="21"/>
        </w:rPr>
        <w:t>国家规定应当持证上岗的工作人员均应持有相应的资格证明，发包人有权随时检查。发包人认为有必要时，可以进行现场考核。</w:t>
      </w:r>
    </w:p>
    <w:p>
      <w:pPr>
        <w:pStyle w:val="6"/>
        <w:spacing w:line="240" w:lineRule="auto"/>
        <w:ind w:firstLine="137"/>
        <w:rPr>
          <w:rFonts w:ascii="Times New Roman" w:hAnsi="Times New Roman"/>
          <w:color w:val="auto"/>
        </w:rPr>
      </w:pPr>
      <w:bookmarkStart w:id="334" w:name="_Toc482188577"/>
      <w:bookmarkStart w:id="335" w:name="_Toc492300866"/>
      <w:r>
        <w:rPr>
          <w:rFonts w:ascii="Times New Roman" w:hAnsi="Times New Roman"/>
          <w:color w:val="auto"/>
        </w:rPr>
        <w:t xml:space="preserve">4.7 </w:t>
      </w:r>
      <w:r>
        <w:rPr>
          <w:rFonts w:hint="eastAsia" w:ascii="Times New Roman" w:hAnsi="Times New Roman"/>
          <w:color w:val="auto"/>
        </w:rPr>
        <w:t>撤换项目负责人和其他人员</w:t>
      </w:r>
      <w:bookmarkEnd w:id="334"/>
      <w:bookmarkEnd w:id="335"/>
    </w:p>
    <w:p>
      <w:pPr>
        <w:spacing w:line="360" w:lineRule="auto"/>
        <w:ind w:firstLine="420" w:firstLineChars="200"/>
        <w:rPr>
          <w:rFonts w:ascii="Times New Roman" w:hAnsi="Times New Roman"/>
          <w:color w:val="auto"/>
          <w:szCs w:val="21"/>
        </w:rPr>
      </w:pPr>
      <w:r>
        <w:rPr>
          <w:rFonts w:ascii="Times New Roman" w:hAnsi="Times New Roman"/>
          <w:color w:val="auto"/>
          <w:szCs w:val="21"/>
        </w:rPr>
        <w:t>勘察人应对其项目负责人和其他人员进行有效管理。发包人要求撤换不能胜任本职工作、行</w:t>
      </w:r>
      <w:bookmarkStart w:id="336" w:name="_Toc247527672"/>
      <w:bookmarkStart w:id="337" w:name="_Toc300835069"/>
      <w:bookmarkStart w:id="338" w:name="_Toc247514071"/>
      <w:r>
        <w:rPr>
          <w:rFonts w:ascii="Times New Roman" w:hAnsi="Times New Roman"/>
          <w:color w:val="auto"/>
          <w:szCs w:val="21"/>
        </w:rPr>
        <w:t>为不端或玩忽职守的项目负责人和其</w:t>
      </w:r>
      <w:bookmarkEnd w:id="336"/>
      <w:bookmarkEnd w:id="337"/>
      <w:bookmarkEnd w:id="338"/>
      <w:r>
        <w:rPr>
          <w:rFonts w:ascii="Times New Roman" w:hAnsi="Times New Roman"/>
          <w:color w:val="auto"/>
          <w:szCs w:val="21"/>
        </w:rPr>
        <w:t>他人员的，勘察人应予以撤换。</w:t>
      </w:r>
    </w:p>
    <w:p>
      <w:pPr>
        <w:pStyle w:val="6"/>
        <w:spacing w:line="240" w:lineRule="auto"/>
        <w:ind w:firstLine="137"/>
        <w:rPr>
          <w:rFonts w:ascii="Times New Roman" w:hAnsi="Times New Roman"/>
          <w:color w:val="auto"/>
        </w:rPr>
      </w:pPr>
      <w:bookmarkStart w:id="339" w:name="_Toc482188578"/>
      <w:bookmarkStart w:id="340" w:name="_Toc492300867"/>
      <w:r>
        <w:rPr>
          <w:rFonts w:ascii="Times New Roman" w:hAnsi="Times New Roman"/>
          <w:color w:val="auto"/>
        </w:rPr>
        <w:t xml:space="preserve">4.8 </w:t>
      </w:r>
      <w:r>
        <w:rPr>
          <w:rFonts w:hint="eastAsia" w:ascii="Times New Roman" w:hAnsi="Times New Roman"/>
          <w:color w:val="auto"/>
        </w:rPr>
        <w:t>保障人员的合法权益</w:t>
      </w:r>
      <w:bookmarkEnd w:id="339"/>
      <w:bookmarkEnd w:id="340"/>
    </w:p>
    <w:p>
      <w:pPr>
        <w:spacing w:line="360" w:lineRule="auto"/>
        <w:ind w:firstLine="420" w:firstLineChars="200"/>
        <w:rPr>
          <w:rFonts w:ascii="Times New Roman" w:hAnsi="Times New Roman"/>
          <w:color w:val="auto"/>
          <w:szCs w:val="21"/>
        </w:rPr>
      </w:pPr>
      <w:r>
        <w:rPr>
          <w:rFonts w:ascii="Times New Roman" w:hAnsi="Times New Roman"/>
          <w:color w:val="auto"/>
        </w:rPr>
        <w:t>4.8.1</w:t>
      </w:r>
      <w:r>
        <w:rPr>
          <w:rFonts w:ascii="Times New Roman" w:hAnsi="Times New Roman"/>
          <w:color w:val="auto"/>
          <w:szCs w:val="21"/>
        </w:rPr>
        <w:t xml:space="preserve"> 勘察人应与其雇佣的人员签订劳动合同，并按时发放工资。</w:t>
      </w:r>
    </w:p>
    <w:p>
      <w:pPr>
        <w:spacing w:line="360" w:lineRule="auto"/>
        <w:ind w:firstLine="420" w:firstLineChars="200"/>
        <w:rPr>
          <w:rFonts w:ascii="Times New Roman" w:hAnsi="Times New Roman"/>
          <w:color w:val="auto"/>
          <w:szCs w:val="21"/>
        </w:rPr>
      </w:pPr>
      <w:r>
        <w:rPr>
          <w:rFonts w:ascii="Times New Roman" w:hAnsi="Times New Roman"/>
          <w:color w:val="auto"/>
        </w:rPr>
        <w:t>4.8.2</w:t>
      </w:r>
      <w:r>
        <w:rPr>
          <w:rFonts w:ascii="Times New Roman" w:hAnsi="Times New Roman"/>
          <w:color w:val="auto"/>
          <w:szCs w:val="21"/>
        </w:rPr>
        <w:t xml:space="preserve"> 勘察人应</w:t>
      </w:r>
      <w:bookmarkStart w:id="341" w:name="_Toc247527673"/>
      <w:bookmarkStart w:id="342" w:name="_Toc300835070"/>
      <w:bookmarkStart w:id="343" w:name="_Toc247514072"/>
      <w:r>
        <w:rPr>
          <w:rFonts w:ascii="Times New Roman" w:hAnsi="Times New Roman"/>
          <w:color w:val="auto"/>
          <w:szCs w:val="21"/>
        </w:rPr>
        <w:t>按劳动法的规定安排工作时间</w:t>
      </w:r>
      <w:bookmarkEnd w:id="341"/>
      <w:bookmarkEnd w:id="342"/>
      <w:bookmarkEnd w:id="343"/>
      <w:r>
        <w:rPr>
          <w:rFonts w:ascii="Times New Roman" w:hAnsi="Times New Roman"/>
          <w:color w:val="auto"/>
          <w:szCs w:val="21"/>
        </w:rPr>
        <w:t>，保证其雇佣人员享有休息和休假的权利。因勘察需要占用休假日或延长工作时间的，应不超过法律规定的限度，并按法律规定给予补休或付酬。</w:t>
      </w:r>
    </w:p>
    <w:p>
      <w:pPr>
        <w:spacing w:line="360" w:lineRule="auto"/>
        <w:ind w:firstLine="420" w:firstLineChars="200"/>
        <w:rPr>
          <w:rFonts w:ascii="Times New Roman" w:hAnsi="Times New Roman"/>
          <w:color w:val="auto"/>
          <w:szCs w:val="21"/>
        </w:rPr>
      </w:pPr>
      <w:r>
        <w:rPr>
          <w:rFonts w:ascii="Times New Roman" w:hAnsi="Times New Roman"/>
          <w:color w:val="auto"/>
        </w:rPr>
        <w:t>4.8.3</w:t>
      </w:r>
      <w:r>
        <w:rPr>
          <w:rFonts w:ascii="Times New Roman" w:hAnsi="Times New Roman"/>
          <w:color w:val="auto"/>
          <w:szCs w:val="21"/>
        </w:rPr>
        <w:t xml:space="preserve"> 勘察人应为其现场人员提供必要的食宿条件，以及符合环境保护和卫生要求的生活环境，在远离城镇的勘探场地，还应配备必要的伤病防治和急救设施。</w:t>
      </w:r>
    </w:p>
    <w:p>
      <w:pPr>
        <w:spacing w:line="360" w:lineRule="auto"/>
        <w:ind w:firstLine="420" w:firstLineChars="200"/>
        <w:rPr>
          <w:rFonts w:ascii="Times New Roman" w:hAnsi="Times New Roman"/>
          <w:color w:val="auto"/>
          <w:szCs w:val="21"/>
        </w:rPr>
      </w:pPr>
      <w:r>
        <w:rPr>
          <w:rFonts w:ascii="Times New Roman" w:hAnsi="Times New Roman"/>
          <w:color w:val="auto"/>
        </w:rPr>
        <w:t>4.8.4</w:t>
      </w:r>
      <w:r>
        <w:rPr>
          <w:rFonts w:ascii="Times New Roman" w:hAnsi="Times New Roman"/>
          <w:color w:val="auto"/>
          <w:szCs w:val="21"/>
        </w:rPr>
        <w:t xml:space="preserve"> 勘察人应按国家有关劳动保护的规定，采取有效的防止粉尘、降低噪声、控制有害气体和保障高温、高寒、高空作业安全等劳动保护措施。其雇佣人员在勘探作业中受到伤害的，勘察人应立即采取有效措施进行抢救和治疗。</w:t>
      </w:r>
    </w:p>
    <w:p>
      <w:pPr>
        <w:spacing w:line="360" w:lineRule="auto"/>
        <w:ind w:firstLine="420" w:firstLineChars="200"/>
        <w:rPr>
          <w:rFonts w:ascii="Times New Roman" w:hAnsi="Times New Roman"/>
          <w:color w:val="auto"/>
          <w:szCs w:val="21"/>
        </w:rPr>
      </w:pPr>
      <w:r>
        <w:rPr>
          <w:rFonts w:ascii="Times New Roman" w:hAnsi="Times New Roman"/>
          <w:color w:val="auto"/>
        </w:rPr>
        <w:t>4.8.5</w:t>
      </w:r>
      <w:r>
        <w:rPr>
          <w:rFonts w:ascii="Times New Roman" w:hAnsi="Times New Roman"/>
          <w:color w:val="auto"/>
          <w:szCs w:val="21"/>
        </w:rPr>
        <w:t xml:space="preserve"> 勘察人应按有关法律规定和合同约定，为其雇佣人员办理保险。</w:t>
      </w:r>
    </w:p>
    <w:p>
      <w:pPr>
        <w:pStyle w:val="6"/>
        <w:spacing w:line="240" w:lineRule="auto"/>
        <w:ind w:firstLine="137"/>
        <w:rPr>
          <w:rFonts w:ascii="Times New Roman" w:hAnsi="Times New Roman"/>
          <w:color w:val="auto"/>
        </w:rPr>
      </w:pPr>
      <w:bookmarkStart w:id="344" w:name="_Toc482188579"/>
      <w:bookmarkStart w:id="345" w:name="_Toc492300868"/>
      <w:r>
        <w:rPr>
          <w:rFonts w:ascii="Times New Roman" w:hAnsi="Times New Roman"/>
          <w:color w:val="auto"/>
        </w:rPr>
        <w:t xml:space="preserve">4.9 </w:t>
      </w:r>
      <w:r>
        <w:rPr>
          <w:rFonts w:hint="eastAsia" w:ascii="Times New Roman" w:hAnsi="Times New Roman"/>
          <w:color w:val="auto"/>
        </w:rPr>
        <w:t>合同价款应专款专用</w:t>
      </w:r>
      <w:bookmarkEnd w:id="344"/>
      <w:bookmarkEnd w:id="345"/>
    </w:p>
    <w:p>
      <w:pPr>
        <w:spacing w:line="360" w:lineRule="auto"/>
        <w:ind w:firstLine="420" w:firstLineChars="200"/>
        <w:rPr>
          <w:rFonts w:ascii="Times New Roman" w:hAnsi="Times New Roman"/>
          <w:color w:val="auto"/>
          <w:szCs w:val="21"/>
        </w:rPr>
      </w:pPr>
      <w:r>
        <w:rPr>
          <w:rFonts w:ascii="Times New Roman" w:hAnsi="Times New Roman"/>
          <w:color w:val="auto"/>
          <w:szCs w:val="21"/>
        </w:rPr>
        <w:t>发包人按合同约定支付给勘察人的各项价款，应专用于合同勘察工作。</w:t>
      </w:r>
    </w:p>
    <w:bookmarkEnd w:id="317"/>
    <w:bookmarkEnd w:id="318"/>
    <w:bookmarkEnd w:id="319"/>
    <w:p>
      <w:pPr>
        <w:pStyle w:val="5"/>
        <w:rPr>
          <w:rFonts w:ascii="Times New Roman" w:hAnsi="Times New Roman"/>
          <w:color w:val="auto"/>
        </w:rPr>
      </w:pPr>
      <w:bookmarkStart w:id="346" w:name="_Toc482188580"/>
      <w:bookmarkStart w:id="347" w:name="_Toc492300869"/>
      <w:r>
        <w:rPr>
          <w:rFonts w:ascii="Times New Roman" w:hAnsi="Times New Roman"/>
          <w:color w:val="auto"/>
        </w:rPr>
        <w:t>5. 勘察要求</w:t>
      </w:r>
      <w:bookmarkEnd w:id="346"/>
      <w:bookmarkEnd w:id="347"/>
    </w:p>
    <w:p>
      <w:pPr>
        <w:pStyle w:val="6"/>
        <w:spacing w:line="240" w:lineRule="auto"/>
        <w:ind w:firstLine="137"/>
        <w:rPr>
          <w:rFonts w:ascii="Times New Roman" w:hAnsi="Times New Roman"/>
          <w:color w:val="auto"/>
        </w:rPr>
      </w:pPr>
      <w:bookmarkStart w:id="348" w:name="_Toc492300870"/>
      <w:bookmarkStart w:id="349" w:name="_Toc482188581"/>
      <w:r>
        <w:rPr>
          <w:rFonts w:ascii="Times New Roman" w:hAnsi="Times New Roman"/>
          <w:color w:val="auto"/>
        </w:rPr>
        <w:t xml:space="preserve">5.1 </w:t>
      </w:r>
      <w:r>
        <w:rPr>
          <w:rFonts w:hint="eastAsia" w:ascii="Times New Roman" w:hAnsi="Times New Roman"/>
          <w:color w:val="auto"/>
        </w:rPr>
        <w:t>一般要求</w:t>
      </w:r>
      <w:bookmarkEnd w:id="348"/>
      <w:bookmarkEnd w:id="349"/>
    </w:p>
    <w:p>
      <w:pPr>
        <w:spacing w:line="360" w:lineRule="auto"/>
        <w:ind w:firstLine="420" w:firstLineChars="200"/>
        <w:rPr>
          <w:rFonts w:ascii="Times New Roman" w:hAnsi="Times New Roman"/>
          <w:color w:val="auto"/>
          <w:szCs w:val="21"/>
        </w:rPr>
      </w:pPr>
      <w:r>
        <w:rPr>
          <w:rFonts w:ascii="Times New Roman" w:hAnsi="Times New Roman"/>
          <w:color w:val="auto"/>
          <w:szCs w:val="21"/>
        </w:rPr>
        <w:t>5.1.1 发包人应当遵守法律和规范标准，不得以任何理由要求勘察人违反法律和工程质量、安全标准进行勘察服务，降低工程质量。</w:t>
      </w:r>
    </w:p>
    <w:p>
      <w:pPr>
        <w:spacing w:line="360" w:lineRule="auto"/>
        <w:ind w:firstLine="420" w:firstLineChars="200"/>
        <w:rPr>
          <w:rFonts w:ascii="Times New Roman" w:hAnsi="Times New Roman"/>
          <w:color w:val="auto"/>
          <w:szCs w:val="21"/>
        </w:rPr>
      </w:pPr>
      <w:r>
        <w:rPr>
          <w:rFonts w:ascii="Times New Roman" w:hAnsi="Times New Roman"/>
          <w:color w:val="auto"/>
        </w:rPr>
        <w:t xml:space="preserve">5.1.2 </w:t>
      </w:r>
      <w:r>
        <w:rPr>
          <w:rFonts w:ascii="Times New Roman" w:hAnsi="Times New Roman"/>
          <w:color w:val="auto"/>
          <w:szCs w:val="21"/>
        </w:rPr>
        <w:t>勘察人应按照法律规定，以及国家、行业和地方的规范和标准完成勘察工作，并应符合发包人要求。各项规范、标准和发包人要求之间如对同一内容的描述不一致时，应以描述更为严格的内容为准。</w:t>
      </w:r>
    </w:p>
    <w:p>
      <w:pPr>
        <w:spacing w:line="360" w:lineRule="auto"/>
        <w:ind w:firstLine="420" w:firstLineChars="200"/>
        <w:rPr>
          <w:rFonts w:ascii="Times New Roman" w:hAnsi="Times New Roman"/>
          <w:color w:val="auto"/>
          <w:szCs w:val="21"/>
        </w:rPr>
      </w:pPr>
      <w:r>
        <w:rPr>
          <w:rFonts w:ascii="Times New Roman" w:hAnsi="Times New Roman"/>
          <w:color w:val="auto"/>
        </w:rPr>
        <w:t>5.1.3</w:t>
      </w:r>
      <w:r>
        <w:rPr>
          <w:rFonts w:ascii="Times New Roman" w:hAnsi="Times New Roman"/>
          <w:color w:val="auto"/>
          <w:szCs w:val="21"/>
        </w:rPr>
        <w:t xml:space="preserve"> 除专用合同条款另有约定外，勘察人完成勘察工作所应遵守的法律规定，以及国家、行业和地方的规范和标准，均应视为在基准日适用的版本。基准日之后，前述版本发生重大变化，或者有新的法律，以及国家、行业和地方的规范和标准实施的，勘察人应向发包人提出遵守新规定的建议。发包人应在收到建议后7天内发出是否遵守新规定的指示。发包人指示遵守新规定的，按照第</w:t>
      </w:r>
      <w:r>
        <w:rPr>
          <w:rFonts w:ascii="Times New Roman" w:hAnsi="Times New Roman"/>
          <w:color w:val="auto"/>
        </w:rPr>
        <w:t>11</w:t>
      </w:r>
      <w:r>
        <w:rPr>
          <w:rFonts w:ascii="Times New Roman" w:hAnsi="Times New Roman"/>
          <w:color w:val="auto"/>
          <w:szCs w:val="21"/>
        </w:rPr>
        <w:t>条约定执行。</w:t>
      </w:r>
    </w:p>
    <w:p>
      <w:pPr>
        <w:pStyle w:val="6"/>
        <w:spacing w:line="240" w:lineRule="auto"/>
        <w:ind w:firstLine="137"/>
        <w:rPr>
          <w:rFonts w:ascii="Times New Roman" w:hAnsi="Times New Roman"/>
          <w:color w:val="auto"/>
        </w:rPr>
      </w:pPr>
      <w:bookmarkStart w:id="350" w:name="_Toc492300871"/>
      <w:bookmarkStart w:id="351" w:name="_Toc482188582"/>
      <w:r>
        <w:rPr>
          <w:rFonts w:ascii="Times New Roman" w:hAnsi="Times New Roman"/>
          <w:color w:val="auto"/>
        </w:rPr>
        <w:t xml:space="preserve">5.2 </w:t>
      </w:r>
      <w:r>
        <w:rPr>
          <w:rFonts w:hint="eastAsia" w:ascii="Times New Roman" w:hAnsi="Times New Roman"/>
          <w:color w:val="auto"/>
        </w:rPr>
        <w:t>勘察依据</w:t>
      </w:r>
      <w:bookmarkEnd w:id="350"/>
      <w:bookmarkEnd w:id="351"/>
    </w:p>
    <w:p>
      <w:pPr>
        <w:spacing w:line="360" w:lineRule="auto"/>
        <w:ind w:firstLine="420" w:firstLineChars="200"/>
        <w:rPr>
          <w:rFonts w:ascii="Times New Roman" w:hAnsi="Times New Roman"/>
          <w:color w:val="auto"/>
          <w:szCs w:val="21"/>
        </w:rPr>
      </w:pPr>
      <w:r>
        <w:rPr>
          <w:rFonts w:ascii="Times New Roman" w:hAnsi="Times New Roman"/>
          <w:color w:val="auto"/>
          <w:szCs w:val="21"/>
        </w:rPr>
        <w:t>除专用合同条款另有约定外，本工程的勘察依据如下：</w:t>
      </w:r>
    </w:p>
    <w:p>
      <w:pPr>
        <w:spacing w:line="360" w:lineRule="auto"/>
        <w:ind w:firstLine="420" w:firstLineChars="200"/>
        <w:rPr>
          <w:rFonts w:ascii="Times New Roman" w:hAnsi="Times New Roman"/>
          <w:color w:val="auto"/>
          <w:szCs w:val="21"/>
        </w:rPr>
      </w:pPr>
      <w:r>
        <w:rPr>
          <w:rFonts w:ascii="Times New Roman" w:hAnsi="Times New Roman"/>
          <w:color w:val="auto"/>
          <w:szCs w:val="21"/>
        </w:rPr>
        <w:t>（1）适用的法律、行政法规及部门规章；</w:t>
      </w:r>
    </w:p>
    <w:p>
      <w:pPr>
        <w:spacing w:line="360" w:lineRule="auto"/>
        <w:ind w:firstLine="420" w:firstLineChars="200"/>
        <w:rPr>
          <w:rFonts w:ascii="Times New Roman" w:hAnsi="Times New Roman"/>
          <w:color w:val="auto"/>
          <w:szCs w:val="21"/>
        </w:rPr>
      </w:pPr>
      <w:r>
        <w:rPr>
          <w:rFonts w:ascii="Times New Roman" w:hAnsi="Times New Roman"/>
          <w:color w:val="auto"/>
          <w:szCs w:val="21"/>
        </w:rPr>
        <w:t>（2）与工程有关的规范、标准、规程；</w:t>
      </w:r>
    </w:p>
    <w:p>
      <w:pPr>
        <w:spacing w:line="360" w:lineRule="auto"/>
        <w:ind w:firstLine="420" w:firstLineChars="200"/>
        <w:rPr>
          <w:rFonts w:ascii="Times New Roman" w:hAnsi="Times New Roman"/>
          <w:color w:val="auto"/>
          <w:szCs w:val="21"/>
        </w:rPr>
      </w:pPr>
      <w:r>
        <w:rPr>
          <w:rFonts w:ascii="Times New Roman" w:hAnsi="Times New Roman"/>
          <w:color w:val="auto"/>
          <w:szCs w:val="21"/>
        </w:rPr>
        <w:t>（3）工程基础资料及其他文件；</w:t>
      </w:r>
    </w:p>
    <w:p>
      <w:pPr>
        <w:spacing w:line="360" w:lineRule="auto"/>
        <w:ind w:firstLine="420" w:firstLineChars="200"/>
        <w:rPr>
          <w:rFonts w:ascii="Times New Roman" w:hAnsi="Times New Roman"/>
          <w:color w:val="auto"/>
          <w:szCs w:val="21"/>
        </w:rPr>
      </w:pPr>
      <w:r>
        <w:rPr>
          <w:rFonts w:ascii="Times New Roman" w:hAnsi="Times New Roman"/>
          <w:color w:val="auto"/>
          <w:szCs w:val="21"/>
        </w:rPr>
        <w:t>（4）本勘察服务合同及补充合同；</w:t>
      </w:r>
    </w:p>
    <w:p>
      <w:pPr>
        <w:spacing w:line="360" w:lineRule="auto"/>
        <w:ind w:firstLine="420" w:firstLineChars="200"/>
        <w:rPr>
          <w:rFonts w:ascii="Times New Roman" w:hAnsi="Times New Roman"/>
          <w:color w:val="auto"/>
          <w:szCs w:val="21"/>
        </w:rPr>
      </w:pPr>
      <w:r>
        <w:rPr>
          <w:rFonts w:ascii="Times New Roman" w:hAnsi="Times New Roman"/>
          <w:color w:val="auto"/>
          <w:szCs w:val="21"/>
        </w:rPr>
        <w:t>（5）本工程设计和施工需求；</w:t>
      </w:r>
    </w:p>
    <w:p>
      <w:pPr>
        <w:spacing w:line="360" w:lineRule="auto"/>
        <w:ind w:firstLine="420" w:firstLineChars="200"/>
        <w:rPr>
          <w:rFonts w:ascii="Times New Roman" w:hAnsi="Times New Roman"/>
          <w:color w:val="auto"/>
          <w:szCs w:val="21"/>
        </w:rPr>
      </w:pPr>
      <w:r>
        <w:rPr>
          <w:rFonts w:ascii="Times New Roman" w:hAnsi="Times New Roman"/>
          <w:color w:val="auto"/>
          <w:szCs w:val="21"/>
        </w:rPr>
        <w:t>（6）合同履行中与勘察服务有关的来往函件；</w:t>
      </w:r>
    </w:p>
    <w:p>
      <w:pPr>
        <w:spacing w:line="360" w:lineRule="auto"/>
        <w:ind w:firstLine="420" w:firstLineChars="200"/>
        <w:rPr>
          <w:rFonts w:ascii="Times New Roman" w:hAnsi="Times New Roman"/>
          <w:color w:val="auto"/>
          <w:szCs w:val="21"/>
        </w:rPr>
      </w:pPr>
      <w:r>
        <w:rPr>
          <w:rFonts w:ascii="Times New Roman" w:hAnsi="Times New Roman"/>
          <w:color w:val="auto"/>
          <w:szCs w:val="21"/>
        </w:rPr>
        <w:t>（7）其他勘察依据。</w:t>
      </w:r>
    </w:p>
    <w:p>
      <w:pPr>
        <w:pStyle w:val="6"/>
        <w:spacing w:line="240" w:lineRule="auto"/>
        <w:ind w:firstLine="137"/>
        <w:rPr>
          <w:rFonts w:ascii="Times New Roman" w:hAnsi="Times New Roman"/>
          <w:color w:val="auto"/>
        </w:rPr>
      </w:pPr>
      <w:bookmarkStart w:id="352" w:name="_Toc492300872"/>
      <w:bookmarkStart w:id="353" w:name="_Toc482188583"/>
      <w:r>
        <w:rPr>
          <w:rFonts w:ascii="Times New Roman" w:hAnsi="Times New Roman"/>
          <w:color w:val="auto"/>
        </w:rPr>
        <w:t xml:space="preserve">5.3 </w:t>
      </w:r>
      <w:r>
        <w:rPr>
          <w:rFonts w:hint="eastAsia" w:ascii="Times New Roman" w:hAnsi="Times New Roman"/>
          <w:color w:val="auto"/>
        </w:rPr>
        <w:t>勘察范围</w:t>
      </w:r>
      <w:bookmarkEnd w:id="352"/>
      <w:bookmarkEnd w:id="353"/>
    </w:p>
    <w:p>
      <w:pPr>
        <w:spacing w:line="360" w:lineRule="auto"/>
        <w:ind w:firstLine="420" w:firstLineChars="200"/>
        <w:rPr>
          <w:rFonts w:ascii="Times New Roman" w:hAnsi="Times New Roman"/>
          <w:color w:val="auto"/>
          <w:szCs w:val="21"/>
        </w:rPr>
      </w:pPr>
      <w:r>
        <w:rPr>
          <w:rFonts w:ascii="Times New Roman" w:hAnsi="Times New Roman"/>
          <w:color w:val="auto"/>
          <w:szCs w:val="21"/>
        </w:rPr>
        <w:t>5.3.1 本合同的勘察范围包括工程范围、阶段范围和工作范围，具体勘察范围应当根据三者之间的关联内容进行确定。</w:t>
      </w:r>
    </w:p>
    <w:p>
      <w:pPr>
        <w:spacing w:line="360" w:lineRule="auto"/>
        <w:ind w:firstLine="420" w:firstLineChars="200"/>
        <w:rPr>
          <w:rFonts w:ascii="Times New Roman" w:hAnsi="Times New Roman"/>
          <w:color w:val="auto"/>
          <w:szCs w:val="21"/>
        </w:rPr>
      </w:pPr>
      <w:r>
        <w:rPr>
          <w:rFonts w:ascii="Times New Roman" w:hAnsi="Times New Roman"/>
          <w:color w:val="auto"/>
          <w:szCs w:val="21"/>
        </w:rPr>
        <w:t>5.3.2 工程范围指所勘察工程的建设内容，具体范围</w:t>
      </w:r>
      <w:r>
        <w:rPr>
          <w:rFonts w:ascii="Times New Roman" w:hAnsi="Times New Roman"/>
          <w:color w:val="auto"/>
          <w:kern w:val="0"/>
          <w:szCs w:val="21"/>
        </w:rPr>
        <w:t>在专用合同条款中约定</w:t>
      </w:r>
      <w:r>
        <w:rPr>
          <w:rFonts w:ascii="Times New Roman" w:hAnsi="Times New Roman"/>
          <w:color w:val="auto"/>
          <w:szCs w:val="21"/>
        </w:rPr>
        <w:t>。</w:t>
      </w:r>
    </w:p>
    <w:p>
      <w:pPr>
        <w:spacing w:line="360" w:lineRule="auto"/>
        <w:ind w:firstLine="420" w:firstLineChars="200"/>
        <w:rPr>
          <w:rFonts w:ascii="Times New Roman" w:hAnsi="Times New Roman"/>
          <w:color w:val="auto"/>
          <w:szCs w:val="21"/>
        </w:rPr>
      </w:pPr>
      <w:r>
        <w:rPr>
          <w:rFonts w:ascii="Times New Roman" w:hAnsi="Times New Roman"/>
          <w:color w:val="auto"/>
          <w:szCs w:val="21"/>
        </w:rPr>
        <w:t>5.3.3 阶段范围指工程建设程序中的可行性研究勘察、初步勘察、详细勘察、施工勘察等阶段中的一个或者多个阶段，具体范围</w:t>
      </w:r>
      <w:r>
        <w:rPr>
          <w:rFonts w:ascii="Times New Roman" w:hAnsi="Times New Roman"/>
          <w:color w:val="auto"/>
          <w:kern w:val="0"/>
          <w:szCs w:val="21"/>
        </w:rPr>
        <w:t>在专用合同条款中约定</w:t>
      </w:r>
      <w:r>
        <w:rPr>
          <w:rFonts w:ascii="Times New Roman" w:hAnsi="Times New Roman"/>
          <w:color w:val="auto"/>
          <w:szCs w:val="21"/>
        </w:rPr>
        <w:t>。</w:t>
      </w:r>
    </w:p>
    <w:p>
      <w:pPr>
        <w:spacing w:line="360" w:lineRule="auto"/>
        <w:ind w:firstLine="420" w:firstLineChars="200"/>
        <w:rPr>
          <w:rFonts w:ascii="Times New Roman" w:hAnsi="Times New Roman"/>
          <w:color w:val="auto"/>
          <w:szCs w:val="21"/>
        </w:rPr>
      </w:pPr>
      <w:r>
        <w:rPr>
          <w:rFonts w:ascii="Times New Roman" w:hAnsi="Times New Roman"/>
          <w:color w:val="auto"/>
          <w:szCs w:val="21"/>
        </w:rPr>
        <w:t>5.3.4 工作范围指工程</w:t>
      </w:r>
      <w:r>
        <w:rPr>
          <w:rFonts w:ascii="Times New Roman" w:hAnsi="Times New Roman"/>
          <w:color w:val="auto"/>
        </w:rPr>
        <w:t>测量、岩土工程勘察、岩土工程设计（如有）、提供技术交底、施工配合、参加试车（试运行）、竣工验收和发包人委托的其他服务中的一项或者多项工作，</w:t>
      </w:r>
      <w:r>
        <w:rPr>
          <w:rFonts w:ascii="Times New Roman" w:hAnsi="Times New Roman"/>
          <w:color w:val="auto"/>
          <w:szCs w:val="21"/>
        </w:rPr>
        <w:t>具体范围</w:t>
      </w:r>
      <w:r>
        <w:rPr>
          <w:rFonts w:ascii="Times New Roman" w:hAnsi="Times New Roman"/>
          <w:color w:val="auto"/>
          <w:kern w:val="0"/>
          <w:szCs w:val="21"/>
        </w:rPr>
        <w:t>在专用合同条款中约定</w:t>
      </w:r>
      <w:r>
        <w:rPr>
          <w:rFonts w:ascii="Times New Roman" w:hAnsi="Times New Roman"/>
          <w:color w:val="auto"/>
          <w:szCs w:val="21"/>
        </w:rPr>
        <w:t>。</w:t>
      </w:r>
    </w:p>
    <w:p>
      <w:pPr>
        <w:pStyle w:val="6"/>
        <w:spacing w:line="240" w:lineRule="auto"/>
        <w:ind w:firstLine="137"/>
        <w:rPr>
          <w:rFonts w:ascii="Times New Roman" w:hAnsi="Times New Roman"/>
          <w:color w:val="auto"/>
        </w:rPr>
      </w:pPr>
      <w:bookmarkStart w:id="354" w:name="_Toc482188584"/>
      <w:bookmarkStart w:id="355" w:name="_Toc492300873"/>
      <w:r>
        <w:rPr>
          <w:rFonts w:ascii="Times New Roman" w:hAnsi="Times New Roman"/>
          <w:color w:val="auto"/>
        </w:rPr>
        <w:t xml:space="preserve">5.4 </w:t>
      </w:r>
      <w:r>
        <w:rPr>
          <w:rFonts w:hint="eastAsia" w:ascii="Times New Roman" w:hAnsi="Times New Roman"/>
          <w:color w:val="auto"/>
        </w:rPr>
        <w:t>勘察作业要求</w:t>
      </w:r>
      <w:bookmarkEnd w:id="354"/>
      <w:bookmarkEnd w:id="355"/>
    </w:p>
    <w:bookmarkEnd w:id="320"/>
    <w:p>
      <w:pPr>
        <w:spacing w:line="360" w:lineRule="auto"/>
        <w:ind w:firstLine="422" w:firstLineChars="200"/>
        <w:rPr>
          <w:rFonts w:ascii="Times New Roman" w:hAnsi="Times New Roman"/>
          <w:b/>
          <w:color w:val="auto"/>
          <w:szCs w:val="21"/>
        </w:rPr>
      </w:pPr>
      <w:r>
        <w:rPr>
          <w:rFonts w:ascii="Times New Roman" w:hAnsi="Times New Roman"/>
          <w:b/>
          <w:color w:val="auto"/>
          <w:szCs w:val="21"/>
        </w:rPr>
        <w:t>5.4.1 测绘</w:t>
      </w:r>
    </w:p>
    <w:p>
      <w:pPr>
        <w:spacing w:line="360" w:lineRule="auto"/>
        <w:ind w:firstLine="420" w:firstLineChars="200"/>
        <w:rPr>
          <w:rFonts w:ascii="Times New Roman" w:hAnsi="Times New Roman"/>
          <w:color w:val="auto"/>
          <w:szCs w:val="21"/>
        </w:rPr>
      </w:pPr>
      <w:r>
        <w:rPr>
          <w:rFonts w:ascii="Times New Roman" w:hAnsi="Times New Roman"/>
          <w:color w:val="auto"/>
          <w:szCs w:val="21"/>
        </w:rPr>
        <w:t>（1）除专用合同条款另有约定外，发包人应在开始勘察前7日内，向勘</w:t>
      </w:r>
      <w:bookmarkStart w:id="356" w:name="_Toc247527704"/>
      <w:bookmarkStart w:id="357" w:name="_Toc300835106"/>
      <w:bookmarkStart w:id="358" w:name="_Toc184635105"/>
      <w:bookmarkStart w:id="359" w:name="_Toc247514103"/>
      <w:r>
        <w:rPr>
          <w:rFonts w:ascii="Times New Roman" w:hAnsi="Times New Roman"/>
          <w:color w:val="auto"/>
          <w:szCs w:val="21"/>
        </w:rPr>
        <w:t>察人</w:t>
      </w:r>
      <w:bookmarkEnd w:id="356"/>
      <w:bookmarkEnd w:id="357"/>
      <w:bookmarkEnd w:id="358"/>
      <w:bookmarkEnd w:id="359"/>
      <w:r>
        <w:rPr>
          <w:rFonts w:ascii="Times New Roman" w:hAnsi="Times New Roman"/>
          <w:color w:val="auto"/>
          <w:szCs w:val="21"/>
        </w:rPr>
        <w:t>提供测量基准点、水准点和书</w:t>
      </w:r>
      <w:bookmarkStart w:id="360" w:name="_Toc247514104"/>
      <w:bookmarkStart w:id="361" w:name="_Toc300835107"/>
      <w:bookmarkStart w:id="362" w:name="_Toc247527705"/>
      <w:r>
        <w:rPr>
          <w:rFonts w:ascii="Times New Roman" w:hAnsi="Times New Roman"/>
          <w:color w:val="auto"/>
          <w:szCs w:val="21"/>
        </w:rPr>
        <w:t>面资料等</w:t>
      </w:r>
      <w:bookmarkEnd w:id="360"/>
      <w:bookmarkEnd w:id="361"/>
      <w:bookmarkEnd w:id="362"/>
      <w:r>
        <w:rPr>
          <w:rFonts w:ascii="Times New Roman" w:hAnsi="Times New Roman"/>
          <w:color w:val="auto"/>
          <w:szCs w:val="21"/>
        </w:rPr>
        <w:t>；勘察人应根据国家测绘基准、测绘系统和工程测量技术规范，按发包人要求的基准点以及合同工程精度要求，进行测绘。</w:t>
      </w:r>
    </w:p>
    <w:p>
      <w:pPr>
        <w:spacing w:line="360" w:lineRule="auto"/>
        <w:ind w:firstLine="420" w:firstLineChars="200"/>
        <w:rPr>
          <w:rFonts w:ascii="Times New Roman" w:hAnsi="Times New Roman"/>
          <w:color w:val="auto"/>
          <w:szCs w:val="21"/>
        </w:rPr>
      </w:pPr>
      <w:r>
        <w:rPr>
          <w:rFonts w:ascii="Times New Roman" w:hAnsi="Times New Roman"/>
          <w:color w:val="auto"/>
          <w:szCs w:val="21"/>
        </w:rPr>
        <w:t>（2）勘察人测绘之前，应当认真核对测绘数据，保证引用数据和原始数据准确无误。测绘工作应由测量人员如实记录，不得补记、涂改或者损坏。</w:t>
      </w:r>
    </w:p>
    <w:p>
      <w:pPr>
        <w:spacing w:line="360" w:lineRule="auto"/>
        <w:ind w:firstLine="420" w:firstLineChars="200"/>
        <w:rPr>
          <w:rFonts w:ascii="Times New Roman" w:hAnsi="Times New Roman"/>
          <w:color w:val="auto"/>
          <w:szCs w:val="21"/>
        </w:rPr>
      </w:pPr>
      <w:r>
        <w:rPr>
          <w:rFonts w:ascii="Times New Roman" w:hAnsi="Times New Roman"/>
          <w:color w:val="auto"/>
          <w:szCs w:val="21"/>
        </w:rPr>
        <w:t>（3）工程勘探之前，勘察人应当严格按照勘察方案的孔位坐标，进行测量放线并在实地位置定位，埋设带有编号且不易移动的标志桩进行定位控制。</w:t>
      </w:r>
    </w:p>
    <w:p>
      <w:pPr>
        <w:spacing w:line="360" w:lineRule="auto"/>
        <w:ind w:firstLine="422" w:firstLineChars="200"/>
        <w:rPr>
          <w:rFonts w:ascii="Times New Roman" w:hAnsi="Times New Roman"/>
          <w:b/>
          <w:color w:val="auto"/>
          <w:szCs w:val="21"/>
        </w:rPr>
      </w:pPr>
      <w:r>
        <w:rPr>
          <w:rFonts w:ascii="Times New Roman" w:hAnsi="Times New Roman"/>
          <w:b/>
          <w:color w:val="auto"/>
          <w:szCs w:val="21"/>
        </w:rPr>
        <w:t>5.4.2 勘探</w:t>
      </w:r>
    </w:p>
    <w:p>
      <w:pPr>
        <w:spacing w:line="360" w:lineRule="auto"/>
        <w:ind w:firstLine="420" w:firstLineChars="200"/>
        <w:rPr>
          <w:rFonts w:ascii="Times New Roman" w:hAnsi="Times New Roman"/>
          <w:color w:val="auto"/>
        </w:rPr>
      </w:pPr>
      <w:r>
        <w:rPr>
          <w:rFonts w:ascii="Times New Roman" w:hAnsi="Times New Roman"/>
          <w:color w:val="auto"/>
        </w:rPr>
        <w:t>（1）勘察人应当根据勘察目的和岩土特性，合理选择钻探、井探、槽探、洞</w:t>
      </w:r>
      <w:bookmarkStart w:id="363" w:name="_Toc247514086"/>
      <w:bookmarkStart w:id="364" w:name="_Toc300835085"/>
      <w:bookmarkStart w:id="365" w:name="_Toc247527687"/>
      <w:bookmarkStart w:id="366" w:name="_Toc184635102"/>
      <w:r>
        <w:rPr>
          <w:rFonts w:ascii="Times New Roman" w:hAnsi="Times New Roman"/>
          <w:color w:val="auto"/>
        </w:rPr>
        <w:t>探和地球物理勘</w:t>
      </w:r>
      <w:bookmarkEnd w:id="363"/>
      <w:bookmarkEnd w:id="364"/>
      <w:bookmarkEnd w:id="365"/>
      <w:bookmarkEnd w:id="366"/>
      <w:r>
        <w:rPr>
          <w:rFonts w:ascii="Times New Roman" w:hAnsi="Times New Roman"/>
          <w:color w:val="auto"/>
        </w:rPr>
        <w:t>探等勘探方</w:t>
      </w:r>
      <w:bookmarkStart w:id="367" w:name="_Toc247527688"/>
      <w:bookmarkStart w:id="368" w:name="_Toc300835086"/>
      <w:bookmarkStart w:id="369" w:name="_Toc247514087"/>
      <w:r>
        <w:rPr>
          <w:rFonts w:ascii="Times New Roman" w:hAnsi="Times New Roman"/>
          <w:color w:val="auto"/>
        </w:rPr>
        <w:t>法，为完成</w:t>
      </w:r>
      <w:bookmarkEnd w:id="367"/>
      <w:bookmarkEnd w:id="368"/>
      <w:bookmarkEnd w:id="369"/>
      <w:r>
        <w:rPr>
          <w:rFonts w:ascii="Times New Roman" w:hAnsi="Times New Roman"/>
          <w:color w:val="auto"/>
        </w:rPr>
        <w:t>合同约定的勘察任务创造条件。勘察人对于勘察方法的正确性、适用性和可靠性完全负责。</w:t>
      </w:r>
    </w:p>
    <w:p>
      <w:pPr>
        <w:spacing w:line="360" w:lineRule="auto"/>
        <w:ind w:firstLine="420" w:firstLineChars="200"/>
        <w:rPr>
          <w:rFonts w:ascii="Times New Roman" w:hAnsi="Times New Roman"/>
          <w:color w:val="auto"/>
        </w:rPr>
      </w:pPr>
      <w:r>
        <w:rPr>
          <w:rFonts w:ascii="Times New Roman" w:hAnsi="Times New Roman"/>
          <w:color w:val="auto"/>
        </w:rPr>
        <w:t>（2）勘察人布置勘探工作时，应当充分考虑勘探方法对于自然环境、周边设施、建构筑物、地下管线、架空线和其他物体的影响，采用切实有效的措施进行防范控制，不得造成损坏或中断运行，否则由此导致的费用增加和（或）周期延误由勘察人自行承担。</w:t>
      </w:r>
    </w:p>
    <w:p>
      <w:pPr>
        <w:spacing w:line="360" w:lineRule="auto"/>
        <w:ind w:firstLine="420" w:firstLineChars="200"/>
        <w:rPr>
          <w:rFonts w:ascii="Times New Roman" w:hAnsi="Times New Roman"/>
          <w:color w:val="auto"/>
          <w:szCs w:val="21"/>
        </w:rPr>
      </w:pPr>
      <w:r>
        <w:rPr>
          <w:rFonts w:ascii="Times New Roman" w:hAnsi="Times New Roman"/>
          <w:color w:val="auto"/>
          <w:szCs w:val="21"/>
        </w:rPr>
        <w:t>（3）勘察人应在标定的孔位处进行勘探，不得随意改动位置。勘探方法、勘探机具、勘探记录、取样编录与描述，孔位标记、孔位封闭等事项，应当严格执行规范标准，按实填写勘探报表和勘探日志。</w:t>
      </w:r>
    </w:p>
    <w:p>
      <w:pPr>
        <w:spacing w:line="360" w:lineRule="auto"/>
        <w:ind w:firstLine="420" w:firstLineChars="200"/>
        <w:rPr>
          <w:rFonts w:ascii="Times New Roman" w:hAnsi="Times New Roman"/>
          <w:color w:val="auto"/>
          <w:szCs w:val="21"/>
        </w:rPr>
      </w:pPr>
      <w:r>
        <w:rPr>
          <w:rFonts w:ascii="Times New Roman" w:hAnsi="Times New Roman"/>
          <w:color w:val="auto"/>
        </w:rPr>
        <w:t>（4）勘探工作完成后，勘察人应当按照规范要求及时封孔，并将封孔记录整理存档，勘探场地应当地面平整、清洁卫生，并通知发包人、行政主管部门及使用维护单位进行现场验收。验收通过之后如果发生沉陷，勘察人应当及时进行二次封孔和现场验收。</w:t>
      </w:r>
    </w:p>
    <w:p>
      <w:pPr>
        <w:spacing w:line="360" w:lineRule="auto"/>
        <w:ind w:firstLine="422" w:firstLineChars="200"/>
        <w:rPr>
          <w:rFonts w:ascii="Times New Roman" w:hAnsi="Times New Roman"/>
          <w:b/>
          <w:color w:val="auto"/>
          <w:szCs w:val="21"/>
        </w:rPr>
      </w:pPr>
      <w:r>
        <w:rPr>
          <w:rFonts w:ascii="Times New Roman" w:hAnsi="Times New Roman"/>
          <w:b/>
          <w:color w:val="auto"/>
          <w:szCs w:val="21"/>
        </w:rPr>
        <w:t>5.4.3 取样</w:t>
      </w:r>
    </w:p>
    <w:p>
      <w:pPr>
        <w:spacing w:line="360" w:lineRule="auto"/>
        <w:ind w:firstLine="420" w:firstLineChars="200"/>
        <w:rPr>
          <w:rFonts w:ascii="Times New Roman" w:hAnsi="Times New Roman"/>
          <w:color w:val="auto"/>
          <w:szCs w:val="21"/>
        </w:rPr>
      </w:pPr>
      <w:r>
        <w:rPr>
          <w:rFonts w:ascii="Times New Roman" w:hAnsi="Times New Roman"/>
          <w:color w:val="auto"/>
          <w:szCs w:val="21"/>
        </w:rPr>
        <w:t>（1）勘察人应当针对不同的岩土地质，按照勘探取样规范规程中的相关规定，根据地层特征、取样深度、设备条件和试验项目的不同，合理选用取样方法和取样工具进行取样，包括并不限于土样、水样、岩芯等。</w:t>
      </w:r>
    </w:p>
    <w:p>
      <w:pPr>
        <w:spacing w:line="360" w:lineRule="auto"/>
        <w:ind w:firstLine="420" w:firstLineChars="200"/>
        <w:rPr>
          <w:rFonts w:ascii="Times New Roman" w:hAnsi="Times New Roman"/>
          <w:color w:val="auto"/>
          <w:szCs w:val="21"/>
        </w:rPr>
      </w:pPr>
      <w:r>
        <w:rPr>
          <w:rFonts w:ascii="Times New Roman" w:hAnsi="Times New Roman"/>
          <w:color w:val="auto"/>
          <w:szCs w:val="21"/>
        </w:rPr>
        <w:t>（2）取样后的样品应当根据其类别、性质和特点等进行封装、贮存和运输。样品搬运之前，宜用数码相机进行现场拍照；运输途中应当采用柔软材料充填、尽量避免震动和阳光曝晒；装卸之时尽量轻拿轻放，以免样品损坏。</w:t>
      </w:r>
    </w:p>
    <w:p>
      <w:pPr>
        <w:spacing w:line="360" w:lineRule="auto"/>
        <w:ind w:firstLine="420" w:firstLineChars="200"/>
        <w:rPr>
          <w:rFonts w:ascii="Times New Roman" w:hAnsi="Times New Roman"/>
          <w:color w:val="auto"/>
          <w:szCs w:val="21"/>
        </w:rPr>
      </w:pPr>
      <w:r>
        <w:rPr>
          <w:rFonts w:ascii="Times New Roman" w:hAnsi="Times New Roman"/>
          <w:color w:val="auto"/>
          <w:szCs w:val="21"/>
        </w:rPr>
        <w:t>（3）取样后的样品应当填写和粘贴标签，标签内容包括并不限于工程名称、孔号、样品编号、取样深度、样品名称、取样日期、取样人姓名、施工机组等。</w:t>
      </w:r>
    </w:p>
    <w:p>
      <w:pPr>
        <w:spacing w:line="360" w:lineRule="auto"/>
        <w:ind w:firstLine="422" w:firstLineChars="200"/>
        <w:rPr>
          <w:rFonts w:ascii="Times New Roman" w:hAnsi="Times New Roman"/>
          <w:b/>
          <w:color w:val="auto"/>
          <w:szCs w:val="21"/>
        </w:rPr>
      </w:pPr>
      <w:r>
        <w:rPr>
          <w:rFonts w:ascii="Times New Roman" w:hAnsi="Times New Roman"/>
          <w:b/>
          <w:color w:val="auto"/>
          <w:szCs w:val="21"/>
        </w:rPr>
        <w:t>5.4.4 试验</w:t>
      </w:r>
    </w:p>
    <w:p>
      <w:pPr>
        <w:spacing w:line="360" w:lineRule="auto"/>
        <w:ind w:firstLine="420" w:firstLineChars="200"/>
        <w:rPr>
          <w:rFonts w:ascii="Times New Roman" w:hAnsi="Times New Roman"/>
          <w:color w:val="auto"/>
          <w:szCs w:val="21"/>
        </w:rPr>
      </w:pPr>
      <w:r>
        <w:rPr>
          <w:rFonts w:ascii="Times New Roman" w:hAnsi="Times New Roman"/>
          <w:color w:val="auto"/>
          <w:szCs w:val="21"/>
        </w:rPr>
        <w:t>（1）勘察人应当根据岩土条件、设计要求、勘察经验和测试方法特点，选用合适的原位测试方法和勘察设备进行原位测试。原位测试成果应与室内试验数据进行对比分析，检验其可靠性。</w:t>
      </w:r>
    </w:p>
    <w:p>
      <w:pPr>
        <w:spacing w:line="360" w:lineRule="auto"/>
        <w:ind w:firstLine="420" w:firstLineChars="200"/>
        <w:rPr>
          <w:rFonts w:ascii="Times New Roman" w:hAnsi="Times New Roman"/>
          <w:color w:val="auto"/>
          <w:szCs w:val="21"/>
        </w:rPr>
      </w:pPr>
      <w:r>
        <w:rPr>
          <w:rFonts w:ascii="Times New Roman" w:hAnsi="Times New Roman"/>
          <w:color w:val="auto"/>
          <w:szCs w:val="21"/>
        </w:rPr>
        <w:t>（2）勘察人的试验室应当通过行业管理部门认可的CMA计量认证，具有相应的资格证书、试验人员和试验条件，否则应当委托第三方试验室进行室内试验。</w:t>
      </w:r>
    </w:p>
    <w:p>
      <w:pPr>
        <w:spacing w:line="360" w:lineRule="auto"/>
        <w:ind w:firstLine="420" w:firstLineChars="200"/>
        <w:rPr>
          <w:rFonts w:ascii="Times New Roman" w:hAnsi="Times New Roman"/>
          <w:color w:val="auto"/>
          <w:szCs w:val="21"/>
        </w:rPr>
      </w:pPr>
      <w:r>
        <w:rPr>
          <w:rFonts w:ascii="Times New Roman" w:hAnsi="Times New Roman"/>
          <w:color w:val="auto"/>
          <w:szCs w:val="21"/>
        </w:rPr>
        <w:t>（3）勘察人应在试验之前按照要求清点样品数目，认定取样质量及数量是否满足试验需要；勘察设备应当检定合格，性能参数满足试验要求，严格按照规范标准的相应规定进行试验操作；试验之后应在有效期内保留备样，以备复核试验成果之用，并按规范标准规定处理余土和废液，符合环境保护、健康卫生等要求。</w:t>
      </w:r>
    </w:p>
    <w:p>
      <w:pPr>
        <w:spacing w:line="360" w:lineRule="auto"/>
        <w:ind w:firstLine="420" w:firstLineChars="200"/>
        <w:rPr>
          <w:rFonts w:ascii="Times New Roman" w:hAnsi="Times New Roman"/>
          <w:color w:val="auto"/>
          <w:szCs w:val="21"/>
        </w:rPr>
      </w:pPr>
      <w:r>
        <w:rPr>
          <w:rFonts w:ascii="Times New Roman" w:hAnsi="Times New Roman"/>
          <w:color w:val="auto"/>
          <w:szCs w:val="21"/>
        </w:rPr>
        <w:t>（4）试验报告的格式应当符合CMA计量认证体系要求，加盖CMA章并由试验负责人签字确认；试验负责人应当通过计量认证考核，并由项目负责人授权许可。</w:t>
      </w:r>
    </w:p>
    <w:p>
      <w:pPr>
        <w:pStyle w:val="6"/>
        <w:spacing w:line="240" w:lineRule="auto"/>
        <w:ind w:firstLine="137"/>
        <w:rPr>
          <w:rFonts w:ascii="Times New Roman" w:hAnsi="Times New Roman"/>
          <w:color w:val="auto"/>
        </w:rPr>
      </w:pPr>
      <w:bookmarkStart w:id="370" w:name="_Toc482188585"/>
      <w:bookmarkStart w:id="371" w:name="_Toc492300874"/>
      <w:r>
        <w:rPr>
          <w:rFonts w:ascii="Times New Roman" w:hAnsi="Times New Roman"/>
          <w:color w:val="auto"/>
        </w:rPr>
        <w:t xml:space="preserve">5.5 </w:t>
      </w:r>
      <w:r>
        <w:rPr>
          <w:rFonts w:hint="eastAsia" w:ascii="Times New Roman" w:hAnsi="Times New Roman"/>
          <w:color w:val="auto"/>
        </w:rPr>
        <w:t>勘察设备要求</w:t>
      </w:r>
      <w:bookmarkEnd w:id="370"/>
      <w:bookmarkEnd w:id="371"/>
    </w:p>
    <w:p>
      <w:pPr>
        <w:spacing w:line="360" w:lineRule="auto"/>
        <w:ind w:firstLine="420" w:firstLineChars="200"/>
        <w:rPr>
          <w:rFonts w:ascii="Times New Roman" w:hAnsi="Times New Roman"/>
          <w:color w:val="auto"/>
        </w:rPr>
      </w:pPr>
      <w:r>
        <w:rPr>
          <w:rFonts w:ascii="Times New Roman" w:hAnsi="Times New Roman"/>
          <w:color w:val="auto"/>
        </w:rPr>
        <w:t>5.5.1 勘察人应按合同进度计划的要求，及时配置勘察设备进行作业。勘察人更换合</w:t>
      </w:r>
      <w:bookmarkStart w:id="372" w:name="_Toc300835090"/>
      <w:bookmarkStart w:id="373" w:name="_Toc247527691"/>
      <w:bookmarkStart w:id="374" w:name="_Toc247514090"/>
      <w:r>
        <w:rPr>
          <w:rFonts w:ascii="Times New Roman" w:hAnsi="Times New Roman"/>
          <w:color w:val="auto"/>
        </w:rPr>
        <w:t>同约定的勘察设备的，应报发包人批准。</w:t>
      </w:r>
    </w:p>
    <w:p>
      <w:pPr>
        <w:spacing w:line="360" w:lineRule="auto"/>
        <w:ind w:firstLine="420" w:firstLineChars="200"/>
        <w:rPr>
          <w:rFonts w:ascii="Times New Roman" w:hAnsi="Times New Roman"/>
          <w:color w:val="auto"/>
        </w:rPr>
      </w:pPr>
      <w:r>
        <w:rPr>
          <w:rFonts w:ascii="Times New Roman" w:hAnsi="Times New Roman"/>
          <w:color w:val="auto"/>
        </w:rPr>
        <w:t>5.5.2 勘察人应当按照规范要求，及时维修、保养或更换勘察设备，包括并不限于钻机、触探仪、全站仪、水准仪、探测仪、测井平台、天平、固结仪、振筛机、干燥箱、直剪仪、收缩仪、膨胀仪、渗透仪等，保证勘察设备能够随时进场使用。</w:t>
      </w:r>
    </w:p>
    <w:p>
      <w:pPr>
        <w:spacing w:line="360" w:lineRule="auto"/>
        <w:ind w:firstLine="420" w:firstLineChars="200"/>
        <w:rPr>
          <w:rFonts w:ascii="Times New Roman" w:hAnsi="Times New Roman"/>
          <w:color w:val="auto"/>
        </w:rPr>
      </w:pPr>
      <w:r>
        <w:rPr>
          <w:rFonts w:ascii="Times New Roman" w:hAnsi="Times New Roman"/>
          <w:color w:val="auto"/>
        </w:rPr>
        <w:t>5.5.3 勘察人使用的勘察设备不能满足合同进度计划和（或）质量要求时，发包人有权要求勘察人增加或更换勘察设备，勘察人应及时增加或更换，由此增加的费用和（或）周期延误由勘察人自行承担。</w:t>
      </w:r>
    </w:p>
    <w:p>
      <w:pPr>
        <w:pStyle w:val="6"/>
        <w:spacing w:line="240" w:lineRule="auto"/>
        <w:ind w:firstLine="137"/>
        <w:rPr>
          <w:rFonts w:ascii="Times New Roman" w:hAnsi="Times New Roman"/>
          <w:color w:val="auto"/>
        </w:rPr>
      </w:pPr>
      <w:bookmarkStart w:id="375" w:name="_Toc492300875"/>
      <w:bookmarkStart w:id="376" w:name="_Toc482188586"/>
      <w:r>
        <w:rPr>
          <w:rFonts w:ascii="Times New Roman" w:hAnsi="Times New Roman"/>
          <w:color w:val="auto"/>
        </w:rPr>
        <w:t xml:space="preserve">5.6 </w:t>
      </w:r>
      <w:r>
        <w:rPr>
          <w:rFonts w:hint="eastAsia" w:ascii="Times New Roman" w:hAnsi="Times New Roman"/>
          <w:color w:val="auto"/>
        </w:rPr>
        <w:t>临时占地和设施要求</w:t>
      </w:r>
      <w:bookmarkEnd w:id="375"/>
      <w:bookmarkEnd w:id="376"/>
    </w:p>
    <w:p>
      <w:pPr>
        <w:spacing w:line="360" w:lineRule="auto"/>
        <w:ind w:firstLine="420" w:firstLineChars="200"/>
        <w:rPr>
          <w:rFonts w:ascii="Times New Roman" w:hAnsi="Times New Roman"/>
          <w:color w:val="auto"/>
        </w:rPr>
      </w:pPr>
      <w:r>
        <w:rPr>
          <w:rFonts w:ascii="Times New Roman" w:hAnsi="Times New Roman"/>
          <w:color w:val="auto"/>
        </w:rPr>
        <w:t>5.6.1 勘察人应当根据勘察服务方案制订临时占地计划，报请发包人批准</w:t>
      </w:r>
      <w:bookmarkEnd w:id="372"/>
      <w:bookmarkEnd w:id="373"/>
      <w:bookmarkEnd w:id="374"/>
      <w:bookmarkStart w:id="377" w:name="_Toc184635103"/>
      <w:bookmarkStart w:id="378" w:name="_Toc300835092"/>
      <w:bookmarkStart w:id="379" w:name="_Toc247527692"/>
      <w:bookmarkStart w:id="380" w:name="_Toc247514091"/>
      <w:r>
        <w:rPr>
          <w:rFonts w:ascii="Times New Roman" w:hAnsi="Times New Roman"/>
          <w:color w:val="auto"/>
        </w:rPr>
        <w:t>。</w:t>
      </w:r>
    </w:p>
    <w:p>
      <w:pPr>
        <w:spacing w:line="360" w:lineRule="auto"/>
        <w:ind w:firstLine="420" w:firstLineChars="200"/>
        <w:rPr>
          <w:rFonts w:ascii="Times New Roman" w:hAnsi="Times New Roman"/>
          <w:color w:val="auto"/>
        </w:rPr>
      </w:pPr>
      <w:r>
        <w:rPr>
          <w:rFonts w:ascii="Times New Roman" w:hAnsi="Times New Roman"/>
          <w:color w:val="auto"/>
        </w:rPr>
        <w:t>5.6.2 位于本工</w:t>
      </w:r>
      <w:bookmarkEnd w:id="377"/>
      <w:bookmarkEnd w:id="378"/>
      <w:bookmarkEnd w:id="379"/>
      <w:bookmarkEnd w:id="380"/>
      <w:r>
        <w:rPr>
          <w:rFonts w:ascii="Times New Roman" w:hAnsi="Times New Roman"/>
          <w:color w:val="auto"/>
        </w:rPr>
        <w:t>程</w:t>
      </w:r>
      <w:bookmarkStart w:id="381" w:name="_Toc247514092"/>
      <w:bookmarkStart w:id="382" w:name="_Toc247527693"/>
      <w:bookmarkStart w:id="383" w:name="_Toc300835093"/>
      <w:r>
        <w:rPr>
          <w:rFonts w:ascii="Times New Roman" w:hAnsi="Times New Roman"/>
          <w:color w:val="auto"/>
        </w:rPr>
        <w:t>区域内的</w:t>
      </w:r>
      <w:bookmarkEnd w:id="381"/>
      <w:bookmarkEnd w:id="382"/>
      <w:bookmarkEnd w:id="383"/>
      <w:r>
        <w:rPr>
          <w:rFonts w:ascii="Times New Roman" w:hAnsi="Times New Roman"/>
          <w:color w:val="auto"/>
        </w:rPr>
        <w:t>临时占地，由发包人协调提供。位于道路、绿化或者其他市政设施内的临时占地，由勘察人向行政管理部门报建申请，按照要求制定占地施工方案，并据此实施。</w:t>
      </w:r>
    </w:p>
    <w:p>
      <w:pPr>
        <w:spacing w:line="360" w:lineRule="auto"/>
        <w:ind w:firstLine="420" w:firstLineChars="200"/>
        <w:rPr>
          <w:rFonts w:ascii="Times New Roman" w:hAnsi="Times New Roman"/>
          <w:color w:val="auto"/>
          <w:szCs w:val="21"/>
        </w:rPr>
      </w:pPr>
      <w:r>
        <w:rPr>
          <w:rFonts w:ascii="Times New Roman" w:hAnsi="Times New Roman"/>
          <w:color w:val="auto"/>
          <w:szCs w:val="21"/>
        </w:rPr>
        <w:t>5.6.3 临时占地使用完毕后，勘察人应当按照发包人要求或行政管理部门规定恢复临时占地。如果恢复或清理标准不能满足要求的，发包人有权委托他人代为恢复或清理，由此发生的费用从拟支付给勘察人的勘察费用中扣除。</w:t>
      </w:r>
    </w:p>
    <w:p>
      <w:pPr>
        <w:spacing w:line="360" w:lineRule="auto"/>
        <w:ind w:firstLine="420" w:firstLineChars="200"/>
        <w:rPr>
          <w:rFonts w:ascii="Times New Roman" w:hAnsi="Times New Roman"/>
          <w:color w:val="auto"/>
          <w:szCs w:val="21"/>
        </w:rPr>
      </w:pPr>
      <w:r>
        <w:rPr>
          <w:rFonts w:ascii="Times New Roman" w:hAnsi="Times New Roman"/>
          <w:color w:val="auto"/>
        </w:rPr>
        <w:t>5.6.4 勘察人应当配备或搭设足够的临时设施，保证勘探工作能够正常开展。临时设施包括并不限于施工围挡、交通</w:t>
      </w:r>
      <w:r>
        <w:rPr>
          <w:rFonts w:ascii="Times New Roman" w:hAnsi="Times New Roman"/>
          <w:color w:val="auto"/>
          <w:szCs w:val="21"/>
        </w:rPr>
        <w:t>疏导设施、安全防范设施、钻机防护设施、安全文明施工设施、办公生活用房、取样存放场所等。</w:t>
      </w:r>
    </w:p>
    <w:p>
      <w:pPr>
        <w:spacing w:line="360" w:lineRule="auto"/>
        <w:ind w:firstLine="420" w:firstLineChars="200"/>
        <w:rPr>
          <w:rFonts w:ascii="Times New Roman" w:hAnsi="Times New Roman"/>
          <w:color w:val="auto"/>
        </w:rPr>
      </w:pPr>
      <w:r>
        <w:rPr>
          <w:rFonts w:ascii="Times New Roman" w:hAnsi="Times New Roman"/>
          <w:color w:val="auto"/>
          <w:szCs w:val="21"/>
        </w:rPr>
        <w:t>5.6.5 临时设施应当满足规范标准、发包人要求和行政管理部门的规定等。除专用合同条款另有约定外，临时设施的修建、拆除和恢复费用由勘察人自行承担。</w:t>
      </w:r>
    </w:p>
    <w:p>
      <w:pPr>
        <w:pStyle w:val="6"/>
        <w:spacing w:line="240" w:lineRule="auto"/>
        <w:ind w:firstLine="137"/>
        <w:rPr>
          <w:rFonts w:ascii="Times New Roman" w:hAnsi="Times New Roman"/>
          <w:color w:val="auto"/>
        </w:rPr>
      </w:pPr>
      <w:bookmarkStart w:id="384" w:name="_Toc492300876"/>
      <w:bookmarkStart w:id="385" w:name="_Toc482188587"/>
      <w:r>
        <w:rPr>
          <w:rFonts w:ascii="Times New Roman" w:hAnsi="Times New Roman"/>
          <w:color w:val="auto"/>
        </w:rPr>
        <w:t xml:space="preserve">5.7 </w:t>
      </w:r>
      <w:r>
        <w:rPr>
          <w:rFonts w:hint="eastAsia" w:ascii="Times New Roman" w:hAnsi="Times New Roman"/>
          <w:color w:val="auto"/>
        </w:rPr>
        <w:t>安全作业要求</w:t>
      </w:r>
      <w:bookmarkEnd w:id="384"/>
      <w:bookmarkEnd w:id="385"/>
    </w:p>
    <w:p>
      <w:pPr>
        <w:spacing w:line="360" w:lineRule="auto"/>
        <w:ind w:firstLine="420" w:firstLineChars="200"/>
        <w:rPr>
          <w:rFonts w:ascii="Times New Roman" w:hAnsi="Times New Roman"/>
          <w:color w:val="auto"/>
          <w:szCs w:val="21"/>
        </w:rPr>
      </w:pPr>
      <w:r>
        <w:rPr>
          <w:rFonts w:ascii="Times New Roman" w:hAnsi="Times New Roman"/>
          <w:color w:val="auto"/>
        </w:rPr>
        <w:t>5.7.1</w:t>
      </w:r>
      <w:r>
        <w:rPr>
          <w:rFonts w:ascii="Times New Roman" w:hAnsi="Times New Roman"/>
          <w:color w:val="auto"/>
          <w:szCs w:val="21"/>
        </w:rPr>
        <w:t xml:space="preserve"> 勘察人应按合同约定履行安全职责，执行发包人有关安全工作的指示，并在专用合同条</w:t>
      </w:r>
      <w:bookmarkStart w:id="386" w:name="_Toc247527711"/>
      <w:bookmarkStart w:id="387" w:name="_Toc247514110"/>
      <w:bookmarkStart w:id="388" w:name="_Toc300835113"/>
      <w:r>
        <w:rPr>
          <w:rFonts w:ascii="Times New Roman" w:hAnsi="Times New Roman"/>
          <w:color w:val="auto"/>
          <w:szCs w:val="21"/>
        </w:rPr>
        <w:t>款约定的期限内，按合同约</w:t>
      </w:r>
      <w:bookmarkEnd w:id="386"/>
      <w:bookmarkEnd w:id="387"/>
      <w:bookmarkEnd w:id="388"/>
      <w:r>
        <w:rPr>
          <w:rFonts w:ascii="Times New Roman" w:hAnsi="Times New Roman"/>
          <w:color w:val="auto"/>
          <w:szCs w:val="21"/>
        </w:rPr>
        <w:t>定的安全工作内容，编制安全措施计划报送发包人批准。</w:t>
      </w:r>
    </w:p>
    <w:p>
      <w:pPr>
        <w:spacing w:line="360" w:lineRule="auto"/>
        <w:ind w:firstLine="420" w:firstLineChars="200"/>
        <w:rPr>
          <w:rFonts w:ascii="Times New Roman" w:hAnsi="Times New Roman"/>
          <w:color w:val="auto"/>
          <w:szCs w:val="21"/>
        </w:rPr>
      </w:pPr>
      <w:r>
        <w:rPr>
          <w:rFonts w:ascii="Times New Roman" w:hAnsi="Times New Roman"/>
          <w:color w:val="auto"/>
        </w:rPr>
        <w:t>5.7.2</w:t>
      </w:r>
      <w:r>
        <w:rPr>
          <w:rFonts w:ascii="Times New Roman" w:hAnsi="Times New Roman"/>
          <w:color w:val="auto"/>
          <w:szCs w:val="21"/>
        </w:rPr>
        <w:t xml:space="preserve"> 勘察人应当严格执行操作规程，采取有效措施保证道路、桥梁、交通安全设施、</w:t>
      </w:r>
      <w:r>
        <w:rPr>
          <w:rFonts w:ascii="Times New Roman" w:hAnsi="Times New Roman"/>
          <w:color w:val="auto"/>
        </w:rPr>
        <w:t>建构筑物、地下管线、架空线和其他周边设施等安全正常地运行。</w:t>
      </w:r>
    </w:p>
    <w:p>
      <w:pPr>
        <w:spacing w:line="360" w:lineRule="auto"/>
        <w:ind w:firstLine="420" w:firstLineChars="200"/>
        <w:rPr>
          <w:rFonts w:ascii="Times New Roman" w:hAnsi="Times New Roman"/>
          <w:color w:val="auto"/>
          <w:szCs w:val="21"/>
        </w:rPr>
      </w:pPr>
      <w:r>
        <w:rPr>
          <w:rFonts w:ascii="Times New Roman" w:hAnsi="Times New Roman"/>
          <w:color w:val="auto"/>
        </w:rPr>
        <w:t>5.7.3</w:t>
      </w:r>
      <w:r>
        <w:rPr>
          <w:rFonts w:ascii="Times New Roman" w:hAnsi="Times New Roman"/>
          <w:color w:val="auto"/>
          <w:szCs w:val="21"/>
        </w:rPr>
        <w:t xml:space="preserve"> 勘察人应当按照法律、法规和工程建设强制性标准进行勘察，加强勘察作业安全管理，特别加强易燃、易爆材料、火工器材、有毒与腐蚀性材料和其他危险品的管理。</w:t>
      </w:r>
    </w:p>
    <w:p>
      <w:pPr>
        <w:spacing w:line="360" w:lineRule="auto"/>
        <w:ind w:firstLine="420" w:firstLineChars="200"/>
        <w:rPr>
          <w:rFonts w:ascii="Times New Roman" w:hAnsi="Times New Roman"/>
          <w:color w:val="auto"/>
          <w:szCs w:val="21"/>
        </w:rPr>
      </w:pPr>
      <w:r>
        <w:rPr>
          <w:rFonts w:ascii="Times New Roman" w:hAnsi="Times New Roman"/>
          <w:color w:val="auto"/>
        </w:rPr>
        <w:t>5.7.4</w:t>
      </w:r>
      <w:r>
        <w:rPr>
          <w:rFonts w:ascii="Times New Roman" w:hAnsi="Times New Roman"/>
          <w:color w:val="auto"/>
          <w:szCs w:val="21"/>
        </w:rPr>
        <w:t xml:space="preserve"> 勘察人应严格按照国家安全标准制定施工安全操作规程，配备必要的安全生产和劳动保护设施，加强对勘察人人员的安全教育，并且发放安全工作手册和劳动保护用具。</w:t>
      </w:r>
    </w:p>
    <w:p>
      <w:pPr>
        <w:spacing w:line="360" w:lineRule="auto"/>
        <w:ind w:firstLine="420" w:firstLineChars="200"/>
        <w:rPr>
          <w:rFonts w:ascii="Times New Roman" w:hAnsi="Times New Roman"/>
          <w:color w:val="auto"/>
          <w:szCs w:val="21"/>
        </w:rPr>
      </w:pPr>
      <w:r>
        <w:rPr>
          <w:rFonts w:ascii="Times New Roman" w:hAnsi="Times New Roman"/>
          <w:color w:val="auto"/>
        </w:rPr>
        <w:t>5.7.</w:t>
      </w:r>
      <w:r>
        <w:rPr>
          <w:rFonts w:ascii="Times New Roman" w:hAnsi="Times New Roman"/>
          <w:color w:val="auto"/>
          <w:szCs w:val="21"/>
        </w:rPr>
        <w:t>5勘察人应按发包人的指示制定应对灾害的紧急预案，报送发包人批准。勘察人还应按预案做好安全检查，配置必要的救助物资和器材，切实保护好有关人员的人身和财产安全。</w:t>
      </w:r>
    </w:p>
    <w:p>
      <w:pPr>
        <w:spacing w:line="360" w:lineRule="auto"/>
        <w:ind w:firstLine="420" w:firstLineChars="200"/>
        <w:rPr>
          <w:rFonts w:ascii="Times New Roman" w:hAnsi="Times New Roman"/>
          <w:color w:val="auto"/>
          <w:szCs w:val="21"/>
        </w:rPr>
      </w:pPr>
      <w:r>
        <w:rPr>
          <w:rFonts w:ascii="Times New Roman" w:hAnsi="Times New Roman"/>
          <w:color w:val="auto"/>
        </w:rPr>
        <w:t>5.7.6</w:t>
      </w:r>
      <w:r>
        <w:rPr>
          <w:rFonts w:ascii="Times New Roman" w:hAnsi="Times New Roman"/>
          <w:color w:val="auto"/>
          <w:szCs w:val="21"/>
        </w:rPr>
        <w:t xml:space="preserve"> 勘察人应对其履行合同所雇佣的全部人员，包括分包人人员的工伤事故承担责任，但由于发包人原因造成勘察人人员工伤事故的，应由发包人承担责任。</w:t>
      </w:r>
    </w:p>
    <w:p>
      <w:pPr>
        <w:spacing w:line="360" w:lineRule="auto"/>
        <w:ind w:firstLine="420" w:firstLineChars="200"/>
        <w:rPr>
          <w:rFonts w:ascii="Times New Roman" w:hAnsi="Times New Roman"/>
          <w:color w:val="auto"/>
          <w:szCs w:val="21"/>
        </w:rPr>
      </w:pPr>
      <w:r>
        <w:rPr>
          <w:rFonts w:ascii="Times New Roman" w:hAnsi="Times New Roman"/>
          <w:color w:val="auto"/>
        </w:rPr>
        <w:t>5.7.7</w:t>
      </w:r>
      <w:r>
        <w:rPr>
          <w:rFonts w:ascii="Times New Roman" w:hAnsi="Times New Roman"/>
          <w:color w:val="auto"/>
          <w:szCs w:val="21"/>
        </w:rPr>
        <w:t xml:space="preserve"> 由于勘察人原因在施工场地内及其毗邻地带造成的第三者人员伤亡和财产损失，由勘察人负责赔偿。</w:t>
      </w:r>
    </w:p>
    <w:p>
      <w:pPr>
        <w:pStyle w:val="6"/>
        <w:spacing w:line="240" w:lineRule="auto"/>
        <w:ind w:firstLine="137"/>
        <w:rPr>
          <w:rFonts w:ascii="Times New Roman" w:hAnsi="Times New Roman"/>
          <w:color w:val="auto"/>
        </w:rPr>
      </w:pPr>
      <w:bookmarkStart w:id="389" w:name="_Toc492300877"/>
      <w:bookmarkStart w:id="390" w:name="_Toc482188588"/>
      <w:r>
        <w:rPr>
          <w:rFonts w:ascii="Times New Roman" w:hAnsi="Times New Roman"/>
          <w:color w:val="auto"/>
        </w:rPr>
        <w:t xml:space="preserve">5.8 </w:t>
      </w:r>
      <w:r>
        <w:rPr>
          <w:rFonts w:hint="eastAsia" w:ascii="Times New Roman" w:hAnsi="Times New Roman"/>
          <w:color w:val="auto"/>
        </w:rPr>
        <w:t>环境保护要求</w:t>
      </w:r>
      <w:bookmarkEnd w:id="389"/>
      <w:bookmarkEnd w:id="390"/>
    </w:p>
    <w:p>
      <w:pPr>
        <w:spacing w:line="360" w:lineRule="auto"/>
        <w:ind w:firstLine="420" w:firstLineChars="200"/>
        <w:rPr>
          <w:rFonts w:ascii="Times New Roman" w:hAnsi="Times New Roman"/>
          <w:color w:val="auto"/>
          <w:szCs w:val="21"/>
        </w:rPr>
      </w:pPr>
      <w:r>
        <w:rPr>
          <w:rFonts w:ascii="Times New Roman" w:hAnsi="Times New Roman"/>
          <w:color w:val="auto"/>
        </w:rPr>
        <w:t>5.8.1</w:t>
      </w:r>
      <w:r>
        <w:rPr>
          <w:rFonts w:ascii="Times New Roman" w:hAnsi="Times New Roman"/>
          <w:color w:val="auto"/>
          <w:szCs w:val="21"/>
        </w:rPr>
        <w:t xml:space="preserve"> 勘察人在履行合同过程中，应遵守有关环境保护的法律，履行合同约定的环境保护义务，并对违</w:t>
      </w:r>
      <w:bookmarkStart w:id="391" w:name="_Toc247527713"/>
      <w:bookmarkStart w:id="392" w:name="_Toc300835115"/>
      <w:bookmarkStart w:id="393" w:name="_Toc247514112"/>
      <w:r>
        <w:rPr>
          <w:rFonts w:ascii="Times New Roman" w:hAnsi="Times New Roman"/>
          <w:color w:val="auto"/>
          <w:szCs w:val="21"/>
        </w:rPr>
        <w:t>反法律和合同约定</w:t>
      </w:r>
      <w:bookmarkEnd w:id="391"/>
      <w:bookmarkEnd w:id="392"/>
      <w:bookmarkEnd w:id="393"/>
      <w:r>
        <w:rPr>
          <w:rFonts w:ascii="Times New Roman" w:hAnsi="Times New Roman"/>
          <w:color w:val="auto"/>
          <w:szCs w:val="21"/>
        </w:rPr>
        <w:t>义务所造成的环境破坏、人身伤害和财产损失负责。</w:t>
      </w:r>
    </w:p>
    <w:p>
      <w:pPr>
        <w:spacing w:line="360" w:lineRule="auto"/>
        <w:ind w:firstLine="420" w:firstLineChars="200"/>
        <w:rPr>
          <w:rFonts w:ascii="Times New Roman" w:hAnsi="Times New Roman"/>
          <w:color w:val="auto"/>
          <w:szCs w:val="21"/>
        </w:rPr>
      </w:pPr>
      <w:r>
        <w:rPr>
          <w:rFonts w:ascii="Times New Roman" w:hAnsi="Times New Roman"/>
          <w:color w:val="auto"/>
        </w:rPr>
        <w:t>5.8.2</w:t>
      </w:r>
      <w:r>
        <w:rPr>
          <w:rFonts w:ascii="Times New Roman" w:hAnsi="Times New Roman"/>
          <w:color w:val="auto"/>
          <w:szCs w:val="21"/>
        </w:rPr>
        <w:t xml:space="preserve"> 勘察人应按合同约定的环保工作内容，编制环保措施计划，报送发包人批准。</w:t>
      </w:r>
    </w:p>
    <w:p>
      <w:pPr>
        <w:spacing w:line="360" w:lineRule="auto"/>
        <w:ind w:firstLine="420" w:firstLineChars="200"/>
        <w:rPr>
          <w:rFonts w:ascii="Times New Roman" w:hAnsi="Times New Roman"/>
          <w:color w:val="auto"/>
          <w:szCs w:val="21"/>
        </w:rPr>
      </w:pPr>
      <w:r>
        <w:rPr>
          <w:rFonts w:ascii="Times New Roman" w:hAnsi="Times New Roman"/>
          <w:color w:val="auto"/>
        </w:rPr>
        <w:t xml:space="preserve">5.8.3 </w:t>
      </w:r>
      <w:r>
        <w:rPr>
          <w:rFonts w:ascii="Times New Roman" w:hAnsi="Times New Roman"/>
          <w:color w:val="auto"/>
          <w:szCs w:val="21"/>
        </w:rPr>
        <w:t>勘察人应确保勘探过程中产生的气体排放物、</w:t>
      </w:r>
      <w:r>
        <w:rPr>
          <w:rFonts w:ascii="Times New Roman" w:hAnsi="Times New Roman"/>
          <w:color w:val="auto"/>
        </w:rPr>
        <w:t>粉尘、噪声、</w:t>
      </w:r>
      <w:r>
        <w:rPr>
          <w:rFonts w:ascii="Times New Roman" w:hAnsi="Times New Roman"/>
          <w:color w:val="auto"/>
          <w:szCs w:val="21"/>
        </w:rPr>
        <w:t>地面排水及排污等，符合法律规定和发包人要求。</w:t>
      </w:r>
    </w:p>
    <w:p>
      <w:pPr>
        <w:pStyle w:val="6"/>
        <w:spacing w:line="240" w:lineRule="auto"/>
        <w:ind w:firstLine="137"/>
        <w:rPr>
          <w:rFonts w:ascii="Times New Roman" w:hAnsi="Times New Roman"/>
          <w:color w:val="auto"/>
        </w:rPr>
      </w:pPr>
      <w:bookmarkStart w:id="394" w:name="_Toc492300878"/>
      <w:bookmarkStart w:id="395" w:name="_Toc482188589"/>
      <w:r>
        <w:rPr>
          <w:rFonts w:ascii="Times New Roman" w:hAnsi="Times New Roman"/>
          <w:color w:val="auto"/>
        </w:rPr>
        <w:t xml:space="preserve">5.9 </w:t>
      </w:r>
      <w:r>
        <w:rPr>
          <w:rFonts w:hint="eastAsia" w:ascii="Times New Roman" w:hAnsi="Times New Roman"/>
          <w:color w:val="auto"/>
        </w:rPr>
        <w:t>事故处理要求</w:t>
      </w:r>
      <w:bookmarkEnd w:id="394"/>
      <w:bookmarkEnd w:id="395"/>
    </w:p>
    <w:p>
      <w:pPr>
        <w:spacing w:line="360" w:lineRule="auto"/>
        <w:ind w:firstLine="420" w:firstLineChars="200"/>
        <w:rPr>
          <w:rFonts w:ascii="Times New Roman" w:hAnsi="Times New Roman"/>
          <w:color w:val="auto"/>
          <w:szCs w:val="21"/>
        </w:rPr>
      </w:pPr>
      <w:r>
        <w:rPr>
          <w:rFonts w:ascii="Times New Roman" w:hAnsi="Times New Roman"/>
          <w:color w:val="auto"/>
          <w:szCs w:val="21"/>
        </w:rPr>
        <w:t>5.9.1 合同履行过程中发生事故的，勘察人应立即通知发包人。</w:t>
      </w:r>
    </w:p>
    <w:p>
      <w:pPr>
        <w:spacing w:line="360" w:lineRule="auto"/>
        <w:ind w:firstLine="420" w:firstLineChars="200"/>
        <w:rPr>
          <w:rFonts w:ascii="Times New Roman" w:hAnsi="Times New Roman"/>
          <w:color w:val="auto"/>
          <w:szCs w:val="21"/>
        </w:rPr>
      </w:pPr>
      <w:r>
        <w:rPr>
          <w:rFonts w:ascii="Times New Roman" w:hAnsi="Times New Roman"/>
          <w:color w:val="auto"/>
          <w:szCs w:val="21"/>
        </w:rPr>
        <w:t>5.9.2 发包人和勘察人应立即组织人员和设备进行紧急抢救</w:t>
      </w:r>
      <w:bookmarkStart w:id="396" w:name="_Toc247527714"/>
      <w:bookmarkStart w:id="397" w:name="_Toc300835116"/>
      <w:bookmarkStart w:id="398" w:name="_Toc247514113"/>
      <w:r>
        <w:rPr>
          <w:rFonts w:ascii="Times New Roman" w:hAnsi="Times New Roman"/>
          <w:color w:val="auto"/>
          <w:szCs w:val="21"/>
        </w:rPr>
        <w:t>和抢修，减少人员</w:t>
      </w:r>
      <w:bookmarkEnd w:id="396"/>
      <w:bookmarkEnd w:id="397"/>
      <w:bookmarkEnd w:id="398"/>
      <w:r>
        <w:rPr>
          <w:rFonts w:ascii="Times New Roman" w:hAnsi="Times New Roman"/>
          <w:color w:val="auto"/>
          <w:szCs w:val="21"/>
        </w:rPr>
        <w:t>伤亡和财产损失，防止事故扩大，并保护事故现场。需要移动现场物品时，应作出标记和书面记录，妥善保管有关证据。发包人和勘察人应按国家有关规定，及时如实地向有关部门报告事故发生的情况，以及正在采取的紧急措施等。</w:t>
      </w:r>
    </w:p>
    <w:p>
      <w:pPr>
        <w:pStyle w:val="6"/>
        <w:spacing w:line="240" w:lineRule="auto"/>
        <w:ind w:firstLine="137"/>
        <w:rPr>
          <w:rFonts w:ascii="Times New Roman" w:hAnsi="Times New Roman"/>
          <w:color w:val="auto"/>
        </w:rPr>
      </w:pPr>
      <w:bookmarkStart w:id="399" w:name="_Toc492300879"/>
      <w:bookmarkStart w:id="400" w:name="_Toc482188590"/>
      <w:r>
        <w:rPr>
          <w:rFonts w:ascii="Times New Roman" w:hAnsi="Times New Roman"/>
          <w:color w:val="auto"/>
        </w:rPr>
        <w:t xml:space="preserve">5.10 </w:t>
      </w:r>
      <w:r>
        <w:rPr>
          <w:rFonts w:hint="eastAsia" w:ascii="Times New Roman" w:hAnsi="Times New Roman"/>
          <w:color w:val="auto"/>
        </w:rPr>
        <w:t>勘察文件要求</w:t>
      </w:r>
      <w:bookmarkEnd w:id="399"/>
      <w:bookmarkEnd w:id="400"/>
    </w:p>
    <w:p>
      <w:pPr>
        <w:spacing w:line="360" w:lineRule="auto"/>
        <w:ind w:firstLine="420" w:firstLineChars="200"/>
        <w:rPr>
          <w:rFonts w:ascii="Times New Roman" w:hAnsi="Times New Roman"/>
          <w:color w:val="auto"/>
          <w:szCs w:val="21"/>
        </w:rPr>
      </w:pPr>
      <w:r>
        <w:rPr>
          <w:rFonts w:ascii="Times New Roman" w:hAnsi="Times New Roman"/>
          <w:color w:val="auto"/>
          <w:szCs w:val="21"/>
        </w:rPr>
        <w:t>5.10.1 勘察文件的编制应符合法律法规、规范标准的强制性规定和发包人要求，相关勘察依据应完整、准确、可靠，勘察方案论证充分，计算成果规范可靠，并能够实施。</w:t>
      </w:r>
    </w:p>
    <w:p>
      <w:pPr>
        <w:spacing w:line="360" w:lineRule="auto"/>
        <w:ind w:firstLine="420" w:firstLineChars="200"/>
        <w:rPr>
          <w:rFonts w:ascii="Times New Roman" w:hAnsi="Times New Roman"/>
          <w:color w:val="auto"/>
          <w:szCs w:val="21"/>
        </w:rPr>
      </w:pPr>
      <w:r>
        <w:rPr>
          <w:rFonts w:ascii="Times New Roman" w:hAnsi="Times New Roman"/>
          <w:color w:val="auto"/>
          <w:szCs w:val="21"/>
        </w:rPr>
        <w:t>5.10.2 勘察文件的深度应满足本合同相应勘察阶段的规定要求，满足发包人的下步工作需要，并应符合国家和行业现行规定。</w:t>
      </w:r>
    </w:p>
    <w:p>
      <w:pPr>
        <w:pStyle w:val="5"/>
        <w:rPr>
          <w:rFonts w:ascii="Times New Roman" w:hAnsi="Times New Roman"/>
          <w:color w:val="auto"/>
        </w:rPr>
      </w:pPr>
      <w:bookmarkStart w:id="401" w:name="_Toc492300880"/>
      <w:bookmarkStart w:id="402" w:name="_Toc482188591"/>
      <w:r>
        <w:rPr>
          <w:rFonts w:ascii="Times New Roman" w:hAnsi="Times New Roman"/>
          <w:color w:val="auto"/>
        </w:rPr>
        <w:t>6. 开始勘察和完成勘察</w:t>
      </w:r>
      <w:bookmarkEnd w:id="401"/>
      <w:bookmarkEnd w:id="402"/>
    </w:p>
    <w:p>
      <w:pPr>
        <w:pStyle w:val="6"/>
        <w:spacing w:line="240" w:lineRule="auto"/>
        <w:ind w:firstLine="137"/>
        <w:rPr>
          <w:rFonts w:ascii="Times New Roman" w:hAnsi="Times New Roman"/>
          <w:color w:val="auto"/>
        </w:rPr>
      </w:pPr>
      <w:bookmarkStart w:id="403" w:name="_Toc492300881"/>
      <w:bookmarkStart w:id="404" w:name="_Toc482188592"/>
      <w:r>
        <w:rPr>
          <w:rFonts w:ascii="Times New Roman" w:hAnsi="Times New Roman"/>
          <w:color w:val="auto"/>
        </w:rPr>
        <w:t xml:space="preserve">6.1 </w:t>
      </w:r>
      <w:r>
        <w:rPr>
          <w:rFonts w:hint="eastAsia" w:ascii="Times New Roman" w:hAnsi="Times New Roman"/>
          <w:color w:val="auto"/>
        </w:rPr>
        <w:t>开始勘察</w:t>
      </w:r>
      <w:bookmarkEnd w:id="403"/>
      <w:bookmarkEnd w:id="404"/>
    </w:p>
    <w:p>
      <w:pPr>
        <w:spacing w:line="360" w:lineRule="auto"/>
        <w:ind w:firstLine="420" w:firstLineChars="200"/>
        <w:rPr>
          <w:rFonts w:ascii="Times New Roman" w:hAnsi="Times New Roman"/>
          <w:color w:val="auto"/>
          <w:szCs w:val="21"/>
        </w:rPr>
      </w:pPr>
      <w:r>
        <w:rPr>
          <w:rFonts w:ascii="Times New Roman" w:hAnsi="Times New Roman"/>
          <w:color w:val="auto"/>
          <w:szCs w:val="21"/>
        </w:rPr>
        <w:t>6.1.1符合专用合同条款约定的开始勘察条件的，发包人应提前7</w:t>
      </w:r>
      <w:bookmarkStart w:id="405" w:name="_Toc247514114"/>
      <w:bookmarkStart w:id="406" w:name="_Toc247527715"/>
      <w:bookmarkStart w:id="407" w:name="_Toc300835117"/>
      <w:bookmarkStart w:id="408" w:name="_Toc184635108"/>
      <w:r>
        <w:rPr>
          <w:rFonts w:ascii="Times New Roman" w:hAnsi="Times New Roman"/>
          <w:color w:val="auto"/>
          <w:szCs w:val="21"/>
        </w:rPr>
        <w:t>天向勘察人发出开始</w:t>
      </w:r>
      <w:bookmarkEnd w:id="405"/>
      <w:bookmarkEnd w:id="406"/>
      <w:bookmarkEnd w:id="407"/>
      <w:bookmarkEnd w:id="408"/>
      <w:r>
        <w:rPr>
          <w:rFonts w:ascii="Times New Roman" w:hAnsi="Times New Roman"/>
          <w:color w:val="auto"/>
          <w:szCs w:val="21"/>
        </w:rPr>
        <w:t>勘察通知。</w:t>
      </w:r>
      <w:bookmarkStart w:id="409" w:name="_Toc300835118"/>
      <w:bookmarkStart w:id="410" w:name="_Toc247514115"/>
      <w:bookmarkStart w:id="411" w:name="_Toc247527716"/>
      <w:bookmarkStart w:id="412" w:name="_Toc247514117"/>
      <w:bookmarkStart w:id="413" w:name="_Toc247527718"/>
      <w:bookmarkStart w:id="414" w:name="_Toc300835120"/>
      <w:r>
        <w:rPr>
          <w:rFonts w:ascii="Times New Roman" w:hAnsi="Times New Roman"/>
          <w:color w:val="auto"/>
          <w:szCs w:val="21"/>
        </w:rPr>
        <w:t>勘察服务期限自开始</w:t>
      </w:r>
      <w:bookmarkEnd w:id="409"/>
      <w:bookmarkEnd w:id="410"/>
      <w:bookmarkEnd w:id="411"/>
      <w:r>
        <w:rPr>
          <w:rFonts w:ascii="Times New Roman" w:hAnsi="Times New Roman"/>
          <w:color w:val="auto"/>
          <w:szCs w:val="21"/>
        </w:rPr>
        <w:t>勘察通知中载明的开始勘察日期起计算。</w:t>
      </w:r>
    </w:p>
    <w:p>
      <w:pPr>
        <w:spacing w:line="360" w:lineRule="auto"/>
        <w:ind w:firstLine="420" w:firstLineChars="200"/>
        <w:rPr>
          <w:rFonts w:ascii="Times New Roman" w:hAnsi="Times New Roman"/>
          <w:color w:val="auto"/>
          <w:szCs w:val="21"/>
        </w:rPr>
      </w:pPr>
      <w:r>
        <w:rPr>
          <w:rFonts w:ascii="Times New Roman" w:hAnsi="Times New Roman"/>
          <w:color w:val="auto"/>
          <w:szCs w:val="21"/>
        </w:rPr>
        <w:t>6.1.2除专用合同条款另有约定外，因发包人原因造成合同签订之日起90天内未能发出开始勘察通知的，勘察人有权提出价格调整要求，或者解除合同。发包人应当承担由此增加的费用和（或）周期延误。</w:t>
      </w:r>
    </w:p>
    <w:p>
      <w:pPr>
        <w:pStyle w:val="6"/>
        <w:spacing w:line="240" w:lineRule="auto"/>
        <w:ind w:firstLine="137"/>
        <w:rPr>
          <w:rFonts w:ascii="Times New Roman" w:hAnsi="Times New Roman"/>
          <w:color w:val="auto"/>
        </w:rPr>
      </w:pPr>
      <w:bookmarkStart w:id="415" w:name="_Toc492300882"/>
      <w:bookmarkStart w:id="416" w:name="_Toc482188593"/>
      <w:r>
        <w:rPr>
          <w:rFonts w:ascii="Times New Roman" w:hAnsi="Times New Roman"/>
          <w:color w:val="auto"/>
        </w:rPr>
        <w:t xml:space="preserve">6.2 </w:t>
      </w:r>
      <w:r>
        <w:rPr>
          <w:rFonts w:hint="eastAsia" w:ascii="Times New Roman" w:hAnsi="Times New Roman"/>
          <w:color w:val="auto"/>
        </w:rPr>
        <w:t>发包人引起的周期延误</w:t>
      </w:r>
      <w:bookmarkEnd w:id="415"/>
      <w:bookmarkEnd w:id="416"/>
    </w:p>
    <w:p>
      <w:pPr>
        <w:spacing w:line="360" w:lineRule="auto"/>
        <w:ind w:firstLine="420" w:firstLineChars="200"/>
        <w:rPr>
          <w:rFonts w:ascii="Times New Roman" w:hAnsi="Times New Roman"/>
          <w:color w:val="auto"/>
          <w:szCs w:val="21"/>
        </w:rPr>
      </w:pPr>
      <w:r>
        <w:rPr>
          <w:rFonts w:ascii="Times New Roman" w:hAnsi="Times New Roman"/>
          <w:color w:val="auto"/>
          <w:szCs w:val="21"/>
        </w:rPr>
        <w:t>在履行合同过程中，由于发包人的下列原因造成勘察服务期限延误的，发包人应当延长勘察服务期限并增加勘察费用，具体方法</w:t>
      </w:r>
      <w:r>
        <w:rPr>
          <w:rFonts w:ascii="Times New Roman" w:hAnsi="Times New Roman"/>
          <w:color w:val="auto"/>
          <w:kern w:val="0"/>
          <w:szCs w:val="21"/>
        </w:rPr>
        <w:t>在专用合同条款中约定</w:t>
      </w:r>
      <w:r>
        <w:rPr>
          <w:rFonts w:ascii="Times New Roman" w:hAnsi="Times New Roman"/>
          <w:color w:val="auto"/>
          <w:szCs w:val="21"/>
        </w:rPr>
        <w:t>。</w:t>
      </w:r>
      <w:bookmarkEnd w:id="412"/>
      <w:bookmarkEnd w:id="413"/>
      <w:bookmarkEnd w:id="414"/>
    </w:p>
    <w:p>
      <w:pPr>
        <w:spacing w:line="360" w:lineRule="auto"/>
        <w:ind w:firstLine="420" w:firstLineChars="200"/>
        <w:rPr>
          <w:rFonts w:ascii="Times New Roman" w:hAnsi="Times New Roman"/>
          <w:color w:val="auto"/>
        </w:rPr>
      </w:pPr>
      <w:r>
        <w:rPr>
          <w:rFonts w:ascii="Times New Roman" w:hAnsi="Times New Roman"/>
          <w:color w:val="auto"/>
        </w:rPr>
        <w:t>（1）合同变更；</w:t>
      </w:r>
    </w:p>
    <w:p>
      <w:pPr>
        <w:spacing w:line="360" w:lineRule="auto"/>
        <w:ind w:firstLine="420" w:firstLineChars="200"/>
        <w:rPr>
          <w:rFonts w:ascii="Times New Roman" w:hAnsi="Times New Roman"/>
          <w:color w:val="auto"/>
        </w:rPr>
      </w:pPr>
      <w:r>
        <w:rPr>
          <w:rFonts w:ascii="Times New Roman" w:hAnsi="Times New Roman"/>
          <w:color w:val="auto"/>
        </w:rPr>
        <w:t>（2）未按合同约定期限及时答复勘察事项；</w:t>
      </w:r>
    </w:p>
    <w:p>
      <w:pPr>
        <w:spacing w:line="360" w:lineRule="auto"/>
        <w:ind w:firstLine="420" w:firstLineChars="200"/>
        <w:rPr>
          <w:rFonts w:ascii="Times New Roman" w:hAnsi="Times New Roman"/>
          <w:color w:val="auto"/>
        </w:rPr>
      </w:pPr>
      <w:r>
        <w:rPr>
          <w:rFonts w:ascii="Times New Roman" w:hAnsi="Times New Roman"/>
          <w:color w:val="auto"/>
        </w:rPr>
        <w:t xml:space="preserve">（3）因发包人原因导致的暂停勘察； </w:t>
      </w:r>
    </w:p>
    <w:p>
      <w:pPr>
        <w:spacing w:line="360" w:lineRule="auto"/>
        <w:ind w:firstLine="420" w:firstLineChars="200"/>
        <w:rPr>
          <w:rFonts w:ascii="Times New Roman" w:hAnsi="Times New Roman"/>
          <w:color w:val="auto"/>
        </w:rPr>
      </w:pPr>
      <w:r>
        <w:rPr>
          <w:rFonts w:ascii="Times New Roman" w:hAnsi="Times New Roman"/>
          <w:color w:val="auto"/>
        </w:rPr>
        <w:t>（4）未按合同约定及时支付勘察费用；</w:t>
      </w:r>
    </w:p>
    <w:p>
      <w:pPr>
        <w:spacing w:line="360" w:lineRule="auto"/>
        <w:ind w:firstLine="420" w:firstLineChars="200"/>
        <w:rPr>
          <w:rFonts w:ascii="Times New Roman" w:hAnsi="Times New Roman"/>
          <w:color w:val="auto"/>
        </w:rPr>
      </w:pPr>
      <w:r>
        <w:rPr>
          <w:rFonts w:ascii="Times New Roman" w:hAnsi="Times New Roman"/>
          <w:color w:val="auto"/>
        </w:rPr>
        <w:t>（5）发包人提供的基准资料错误；</w:t>
      </w:r>
    </w:p>
    <w:p>
      <w:pPr>
        <w:spacing w:line="360" w:lineRule="auto"/>
        <w:ind w:firstLine="420" w:firstLineChars="200"/>
        <w:rPr>
          <w:rFonts w:ascii="Times New Roman" w:hAnsi="Times New Roman"/>
          <w:color w:val="auto"/>
        </w:rPr>
      </w:pPr>
      <w:r>
        <w:rPr>
          <w:rFonts w:ascii="Times New Roman" w:hAnsi="Times New Roman"/>
          <w:color w:val="auto"/>
        </w:rPr>
        <w:t>（6）未及时按照履行合同约定的相关义务；</w:t>
      </w:r>
    </w:p>
    <w:p>
      <w:pPr>
        <w:spacing w:line="360" w:lineRule="auto"/>
        <w:ind w:firstLine="420" w:firstLineChars="200"/>
        <w:rPr>
          <w:rFonts w:ascii="Times New Roman" w:hAnsi="Times New Roman"/>
          <w:color w:val="auto"/>
        </w:rPr>
      </w:pPr>
      <w:r>
        <w:rPr>
          <w:rFonts w:ascii="Times New Roman" w:hAnsi="Times New Roman"/>
          <w:color w:val="auto"/>
        </w:rPr>
        <w:t>（7）未能按照合同约定期限对勘察文件进行审查；</w:t>
      </w:r>
    </w:p>
    <w:p>
      <w:pPr>
        <w:spacing w:line="360" w:lineRule="auto"/>
        <w:ind w:firstLine="420" w:firstLineChars="200"/>
        <w:rPr>
          <w:rFonts w:ascii="Times New Roman" w:hAnsi="Times New Roman"/>
          <w:color w:val="auto"/>
          <w:szCs w:val="21"/>
        </w:rPr>
      </w:pPr>
      <w:r>
        <w:rPr>
          <w:rFonts w:ascii="Times New Roman" w:hAnsi="Times New Roman"/>
          <w:color w:val="auto"/>
        </w:rPr>
        <w:t>（8）发包人造成</w:t>
      </w:r>
      <w:r>
        <w:rPr>
          <w:rFonts w:ascii="Times New Roman" w:hAnsi="Times New Roman"/>
          <w:color w:val="auto"/>
          <w:szCs w:val="21"/>
        </w:rPr>
        <w:t>周期延误的其他原因。</w:t>
      </w:r>
    </w:p>
    <w:p>
      <w:pPr>
        <w:pStyle w:val="6"/>
        <w:spacing w:line="240" w:lineRule="auto"/>
        <w:ind w:firstLine="137"/>
        <w:rPr>
          <w:rFonts w:ascii="Times New Roman" w:hAnsi="Times New Roman"/>
          <w:color w:val="auto"/>
        </w:rPr>
      </w:pPr>
      <w:bookmarkStart w:id="417" w:name="_Toc492300883"/>
      <w:bookmarkStart w:id="418" w:name="_Toc482188594"/>
      <w:r>
        <w:rPr>
          <w:rFonts w:ascii="Times New Roman" w:hAnsi="Times New Roman"/>
          <w:color w:val="auto"/>
        </w:rPr>
        <w:t xml:space="preserve">6.3 </w:t>
      </w:r>
      <w:r>
        <w:rPr>
          <w:rFonts w:hint="eastAsia" w:ascii="Times New Roman" w:hAnsi="Times New Roman"/>
          <w:color w:val="auto"/>
        </w:rPr>
        <w:t>非人为因素引起的周期延误</w:t>
      </w:r>
      <w:bookmarkEnd w:id="417"/>
      <w:bookmarkEnd w:id="418"/>
    </w:p>
    <w:p>
      <w:pPr>
        <w:spacing w:line="360" w:lineRule="auto"/>
        <w:ind w:firstLine="420" w:firstLineChars="200"/>
        <w:rPr>
          <w:rFonts w:ascii="Times New Roman" w:hAnsi="Times New Roman"/>
          <w:color w:val="auto"/>
          <w:szCs w:val="21"/>
        </w:rPr>
      </w:pPr>
      <w:r>
        <w:rPr>
          <w:rFonts w:ascii="Times New Roman" w:hAnsi="Times New Roman"/>
          <w:color w:val="auto"/>
          <w:szCs w:val="21"/>
        </w:rPr>
        <w:t>6.3.1 由于出现专用合同条款规定的异常恶劣气候条件、不利物质条件等因素导致周期延误的，勘察人有权要求发包人延长</w:t>
      </w:r>
      <w:bookmarkStart w:id="419" w:name="_Toc247514118"/>
      <w:bookmarkStart w:id="420" w:name="_Toc247527719"/>
      <w:bookmarkStart w:id="421" w:name="_Toc300835121"/>
      <w:r>
        <w:rPr>
          <w:rFonts w:ascii="Times New Roman" w:hAnsi="Times New Roman"/>
          <w:color w:val="auto"/>
          <w:szCs w:val="21"/>
        </w:rPr>
        <w:t>周期和（或）增加费用。</w:t>
      </w:r>
    </w:p>
    <w:p>
      <w:pPr>
        <w:spacing w:line="360" w:lineRule="auto"/>
        <w:ind w:firstLine="420" w:firstLineChars="200"/>
        <w:rPr>
          <w:rFonts w:ascii="Times New Roman" w:hAnsi="Times New Roman"/>
          <w:color w:val="auto"/>
          <w:szCs w:val="21"/>
        </w:rPr>
      </w:pPr>
      <w:r>
        <w:rPr>
          <w:rFonts w:ascii="Times New Roman" w:hAnsi="Times New Roman"/>
          <w:color w:val="auto"/>
          <w:szCs w:val="21"/>
        </w:rPr>
        <w:t>6.3.2 勘察人发现地下文物或化石时，应按规定及时报告发包人和文物部门，并采取有效措施进行保护；勘察人有权要求发包人延长周期和（或）增加费用。</w:t>
      </w:r>
    </w:p>
    <w:bookmarkEnd w:id="419"/>
    <w:bookmarkEnd w:id="420"/>
    <w:bookmarkEnd w:id="421"/>
    <w:p>
      <w:pPr>
        <w:pStyle w:val="6"/>
        <w:spacing w:line="240" w:lineRule="auto"/>
        <w:ind w:firstLine="137"/>
        <w:rPr>
          <w:rFonts w:ascii="Times New Roman" w:hAnsi="Times New Roman"/>
          <w:color w:val="auto"/>
        </w:rPr>
      </w:pPr>
      <w:bookmarkStart w:id="422" w:name="_Toc492300884"/>
      <w:bookmarkStart w:id="423" w:name="_Toc482188595"/>
      <w:r>
        <w:rPr>
          <w:rFonts w:ascii="Times New Roman" w:hAnsi="Times New Roman"/>
          <w:color w:val="auto"/>
        </w:rPr>
        <w:t xml:space="preserve">6.4 </w:t>
      </w:r>
      <w:r>
        <w:rPr>
          <w:rFonts w:hint="eastAsia" w:ascii="Times New Roman" w:hAnsi="Times New Roman"/>
          <w:color w:val="auto"/>
        </w:rPr>
        <w:t>勘察人引起的周期延误</w:t>
      </w:r>
      <w:bookmarkEnd w:id="422"/>
      <w:bookmarkEnd w:id="423"/>
    </w:p>
    <w:p>
      <w:pPr>
        <w:spacing w:line="360" w:lineRule="auto"/>
        <w:ind w:firstLine="420" w:firstLineChars="200"/>
        <w:rPr>
          <w:rFonts w:ascii="Times New Roman" w:hAnsi="Times New Roman"/>
          <w:color w:val="auto"/>
          <w:szCs w:val="21"/>
        </w:rPr>
      </w:pPr>
      <w:r>
        <w:rPr>
          <w:rFonts w:ascii="Times New Roman" w:hAnsi="Times New Roman"/>
          <w:color w:val="auto"/>
          <w:szCs w:val="21"/>
        </w:rPr>
        <w:t>由于勘察人原因造成周期延误，勘察人应支付逾期违约金。逾期违约金的计算方法和最高限额在专用合同条款中约定。</w:t>
      </w:r>
    </w:p>
    <w:p>
      <w:pPr>
        <w:pStyle w:val="6"/>
        <w:spacing w:line="240" w:lineRule="auto"/>
        <w:ind w:firstLine="137"/>
        <w:rPr>
          <w:rFonts w:ascii="Times New Roman" w:hAnsi="Times New Roman"/>
          <w:color w:val="auto"/>
        </w:rPr>
      </w:pPr>
      <w:bookmarkStart w:id="424" w:name="_Toc482188596"/>
      <w:bookmarkStart w:id="425" w:name="_Toc474834020"/>
      <w:bookmarkStart w:id="426" w:name="_Toc492300885"/>
      <w:r>
        <w:rPr>
          <w:rFonts w:ascii="Times New Roman" w:hAnsi="Times New Roman"/>
          <w:color w:val="auto"/>
        </w:rPr>
        <w:t xml:space="preserve">6.5 </w:t>
      </w:r>
      <w:r>
        <w:rPr>
          <w:rFonts w:hint="eastAsia" w:ascii="Times New Roman" w:hAnsi="Times New Roman"/>
          <w:color w:val="auto"/>
        </w:rPr>
        <w:t>第三人引起的周期延误</w:t>
      </w:r>
      <w:bookmarkEnd w:id="424"/>
      <w:bookmarkEnd w:id="425"/>
      <w:bookmarkEnd w:id="426"/>
    </w:p>
    <w:p>
      <w:pPr>
        <w:spacing w:line="360" w:lineRule="auto"/>
        <w:ind w:firstLine="420" w:firstLineChars="200"/>
        <w:rPr>
          <w:rFonts w:ascii="Times New Roman" w:hAnsi="Times New Roman"/>
          <w:color w:val="auto"/>
          <w:szCs w:val="21"/>
        </w:rPr>
      </w:pPr>
      <w:r>
        <w:rPr>
          <w:rFonts w:ascii="Times New Roman" w:hAnsi="Times New Roman"/>
          <w:color w:val="auto"/>
          <w:szCs w:val="21"/>
        </w:rPr>
        <w:t>由于行政管理部门审查或其他第三人原因造成费用增加和（或）周期延误的，由发包人承担。</w:t>
      </w:r>
    </w:p>
    <w:p>
      <w:pPr>
        <w:pStyle w:val="6"/>
        <w:spacing w:line="240" w:lineRule="auto"/>
        <w:ind w:firstLine="137"/>
        <w:rPr>
          <w:rFonts w:ascii="Times New Roman" w:hAnsi="Times New Roman"/>
          <w:color w:val="auto"/>
        </w:rPr>
      </w:pPr>
      <w:bookmarkStart w:id="427" w:name="_Toc492300886"/>
      <w:bookmarkStart w:id="428" w:name="_Toc482188597"/>
      <w:r>
        <w:rPr>
          <w:rFonts w:ascii="Times New Roman" w:hAnsi="Times New Roman"/>
          <w:color w:val="auto"/>
        </w:rPr>
        <w:t xml:space="preserve">6.6 </w:t>
      </w:r>
      <w:r>
        <w:rPr>
          <w:rFonts w:hint="eastAsia" w:ascii="Times New Roman" w:hAnsi="Times New Roman"/>
          <w:color w:val="auto"/>
        </w:rPr>
        <w:t>完成勘察</w:t>
      </w:r>
      <w:bookmarkEnd w:id="427"/>
      <w:bookmarkEnd w:id="428"/>
      <w:r>
        <w:rPr>
          <w:rFonts w:ascii="Times New Roman" w:hAnsi="Times New Roman"/>
          <w:color w:val="auto"/>
        </w:rPr>
        <w:t xml:space="preserve"> </w:t>
      </w:r>
    </w:p>
    <w:p>
      <w:pPr>
        <w:spacing w:line="360" w:lineRule="auto"/>
        <w:ind w:firstLine="420" w:firstLineChars="200"/>
        <w:rPr>
          <w:rFonts w:ascii="Times New Roman" w:hAnsi="Times New Roman"/>
          <w:color w:val="auto"/>
        </w:rPr>
      </w:pPr>
      <w:r>
        <w:rPr>
          <w:rFonts w:ascii="Times New Roman" w:hAnsi="Times New Roman"/>
          <w:color w:val="auto"/>
        </w:rPr>
        <w:t>6.6.1 勘察人完成勘察服务之后，应当根据法律、规范标准、合同约定和发包人要</w:t>
      </w:r>
      <w:bookmarkStart w:id="429" w:name="_Toc300835157"/>
      <w:bookmarkStart w:id="430" w:name="_Toc247514153"/>
      <w:bookmarkStart w:id="431" w:name="_Toc247527754"/>
      <w:bookmarkStart w:id="432" w:name="_Toc184635115"/>
      <w:r>
        <w:rPr>
          <w:rFonts w:ascii="Times New Roman" w:hAnsi="Times New Roman"/>
          <w:color w:val="auto"/>
        </w:rPr>
        <w:t>求编制勘察文件。</w:t>
      </w:r>
      <w:bookmarkEnd w:id="429"/>
      <w:bookmarkEnd w:id="430"/>
      <w:bookmarkEnd w:id="431"/>
      <w:bookmarkEnd w:id="432"/>
    </w:p>
    <w:p>
      <w:pPr>
        <w:spacing w:line="360" w:lineRule="auto"/>
        <w:ind w:firstLine="420" w:firstLineChars="200"/>
        <w:rPr>
          <w:rFonts w:ascii="Times New Roman" w:hAnsi="Times New Roman"/>
          <w:color w:val="auto"/>
        </w:rPr>
      </w:pPr>
      <w:r>
        <w:rPr>
          <w:rFonts w:ascii="Times New Roman" w:hAnsi="Times New Roman"/>
          <w:color w:val="auto"/>
        </w:rPr>
        <w:t>6.6</w:t>
      </w:r>
      <w:bookmarkStart w:id="433" w:name="_Toc300835158"/>
      <w:bookmarkStart w:id="434" w:name="_Toc247514154"/>
      <w:bookmarkStart w:id="435" w:name="_Toc247527755"/>
      <w:r>
        <w:rPr>
          <w:rFonts w:ascii="Times New Roman" w:hAnsi="Times New Roman"/>
          <w:color w:val="auto"/>
        </w:rPr>
        <w:t>.2 勘察</w:t>
      </w:r>
      <w:bookmarkEnd w:id="433"/>
      <w:r>
        <w:rPr>
          <w:rFonts w:ascii="Times New Roman" w:hAnsi="Times New Roman"/>
          <w:color w:val="auto"/>
        </w:rPr>
        <w:t>文件是工程勘察的最终成果和设计施工的重要依据，</w:t>
      </w:r>
      <w:r>
        <w:rPr>
          <w:rFonts w:ascii="Times New Roman" w:hAnsi="Times New Roman"/>
          <w:color w:val="auto"/>
          <w:szCs w:val="21"/>
        </w:rPr>
        <w:t>应当根据本工程的勘察内容和不同阶段的勘察任务、目的和要求等进行编制。</w:t>
      </w:r>
      <w:r>
        <w:rPr>
          <w:rFonts w:ascii="Times New Roman" w:hAnsi="Times New Roman"/>
          <w:color w:val="auto"/>
        </w:rPr>
        <w:t>勘察文件的内容和深度应当满足对应阶段的设计需求。</w:t>
      </w:r>
    </w:p>
    <w:p>
      <w:pPr>
        <w:spacing w:line="360" w:lineRule="auto"/>
        <w:ind w:firstLine="420" w:firstLineChars="200"/>
        <w:rPr>
          <w:rFonts w:ascii="Times New Roman" w:hAnsi="Times New Roman"/>
          <w:color w:val="auto"/>
        </w:rPr>
      </w:pPr>
      <w:r>
        <w:rPr>
          <w:rFonts w:ascii="Times New Roman" w:hAnsi="Times New Roman"/>
          <w:color w:val="auto"/>
        </w:rPr>
        <w:t>6.6.3 除专用合同条款另有约定外，勘察文件包括纸质文件和电子文件两种形式，两者若有不一致时，应以纸质文件为准。纸质文件一式八份，应当加盖</w:t>
      </w:r>
      <w:bookmarkEnd w:id="434"/>
      <w:bookmarkEnd w:id="435"/>
      <w:r>
        <w:rPr>
          <w:rFonts w:ascii="Times New Roman" w:hAnsi="Times New Roman"/>
          <w:color w:val="auto"/>
        </w:rPr>
        <w:t>单位章和项目负责人注册执业印章；电子文件中的文字为WORD格式、图形为CAD格式，并应使用光盘和U盘分别贮存。</w:t>
      </w:r>
    </w:p>
    <w:p>
      <w:pPr>
        <w:pStyle w:val="6"/>
        <w:spacing w:line="240" w:lineRule="auto"/>
        <w:ind w:firstLine="137"/>
        <w:rPr>
          <w:rFonts w:ascii="Times New Roman" w:hAnsi="Times New Roman"/>
          <w:color w:val="auto"/>
        </w:rPr>
      </w:pPr>
      <w:bookmarkStart w:id="436" w:name="_Toc482188598"/>
      <w:bookmarkStart w:id="437" w:name="_Toc492300887"/>
      <w:r>
        <w:rPr>
          <w:rFonts w:ascii="Times New Roman" w:hAnsi="Times New Roman"/>
          <w:color w:val="auto"/>
        </w:rPr>
        <w:t xml:space="preserve">6.7 </w:t>
      </w:r>
      <w:r>
        <w:rPr>
          <w:rFonts w:hint="eastAsia" w:ascii="Times New Roman" w:hAnsi="Times New Roman"/>
          <w:color w:val="auto"/>
        </w:rPr>
        <w:t>提前完成勘察</w:t>
      </w:r>
      <w:bookmarkEnd w:id="436"/>
      <w:bookmarkEnd w:id="437"/>
    </w:p>
    <w:p>
      <w:pPr>
        <w:spacing w:line="360" w:lineRule="auto"/>
        <w:ind w:firstLine="420" w:firstLineChars="200"/>
        <w:rPr>
          <w:rFonts w:ascii="Times New Roman" w:hAnsi="Times New Roman"/>
          <w:color w:val="auto"/>
        </w:rPr>
      </w:pPr>
      <w:r>
        <w:rPr>
          <w:rFonts w:ascii="Times New Roman" w:hAnsi="Times New Roman"/>
          <w:color w:val="auto"/>
        </w:rPr>
        <w:t>6.7.1 根据发包人要求或者基于专业能力判断，勘察人认为能够提前完成勘察的，可向发包人递交一份提前完成勘察建议书，包括实施方案、提前时间、勘察费用变动等内容。除专用合同条款另有约定之外，发包人接受建议书的，不因提前完成勘察而减少勘察费用；增加勘察费用的，所增费用由发包人承担。</w:t>
      </w:r>
    </w:p>
    <w:p>
      <w:pPr>
        <w:spacing w:line="360" w:lineRule="auto"/>
        <w:ind w:firstLine="420" w:firstLineChars="200"/>
        <w:rPr>
          <w:rFonts w:ascii="Times New Roman" w:hAnsi="Times New Roman"/>
          <w:color w:val="auto"/>
        </w:rPr>
      </w:pPr>
      <w:r>
        <w:rPr>
          <w:rFonts w:ascii="Times New Roman" w:hAnsi="Times New Roman"/>
          <w:color w:val="auto"/>
        </w:rPr>
        <w:t>6.7.2 发包人要求提前完成勘察但勘察人认为无法实施的，应在收到发包人书面指示后7天内提出异议，说明不能提前完成的理由。发包人应在收到异议后7天内予以答复。任何情况下，发包人不得压缩合理的勘察服务期限。</w:t>
      </w:r>
    </w:p>
    <w:p>
      <w:pPr>
        <w:spacing w:line="360" w:lineRule="auto"/>
        <w:ind w:firstLine="420" w:firstLineChars="200"/>
        <w:rPr>
          <w:rFonts w:ascii="Times New Roman" w:hAnsi="Times New Roman"/>
          <w:color w:val="auto"/>
          <w:szCs w:val="21"/>
        </w:rPr>
      </w:pPr>
      <w:r>
        <w:rPr>
          <w:rFonts w:ascii="Times New Roman" w:hAnsi="Times New Roman"/>
          <w:color w:val="auto"/>
        </w:rPr>
        <w:t>6.7.3 由于勘察人提前完成勘察而给发包人带来经济效益的，发包人可以在专用合同条款中约定勘察人因此获得的奖励内容。</w:t>
      </w:r>
    </w:p>
    <w:p>
      <w:pPr>
        <w:pStyle w:val="5"/>
        <w:rPr>
          <w:rFonts w:ascii="Times New Roman" w:hAnsi="Times New Roman"/>
          <w:color w:val="auto"/>
        </w:rPr>
      </w:pPr>
      <w:bookmarkStart w:id="438" w:name="_Toc482188599"/>
      <w:bookmarkStart w:id="439" w:name="_Toc492300888"/>
      <w:r>
        <w:rPr>
          <w:rFonts w:ascii="Times New Roman" w:hAnsi="Times New Roman"/>
          <w:color w:val="auto"/>
        </w:rPr>
        <w:t>7. 暂停勘察</w:t>
      </w:r>
      <w:bookmarkEnd w:id="438"/>
      <w:bookmarkEnd w:id="439"/>
    </w:p>
    <w:p>
      <w:pPr>
        <w:pStyle w:val="6"/>
        <w:spacing w:line="240" w:lineRule="auto"/>
        <w:ind w:firstLine="137"/>
        <w:rPr>
          <w:rFonts w:ascii="Times New Roman" w:hAnsi="Times New Roman"/>
          <w:color w:val="auto"/>
        </w:rPr>
      </w:pPr>
      <w:bookmarkStart w:id="440" w:name="_Toc467651003"/>
      <w:bookmarkStart w:id="441" w:name="_Toc482188600"/>
      <w:bookmarkStart w:id="442" w:name="_Toc492300889"/>
      <w:r>
        <w:rPr>
          <w:rFonts w:ascii="Times New Roman" w:hAnsi="Times New Roman"/>
          <w:color w:val="auto"/>
        </w:rPr>
        <w:t xml:space="preserve">7.1 </w:t>
      </w:r>
      <w:bookmarkEnd w:id="440"/>
      <w:r>
        <w:rPr>
          <w:rFonts w:hint="eastAsia" w:ascii="Times New Roman" w:hAnsi="Times New Roman"/>
          <w:color w:val="auto"/>
        </w:rPr>
        <w:t>发包人原因暂停勘察</w:t>
      </w:r>
      <w:bookmarkEnd w:id="441"/>
      <w:bookmarkEnd w:id="442"/>
    </w:p>
    <w:p>
      <w:pPr>
        <w:spacing w:line="360" w:lineRule="auto"/>
        <w:ind w:firstLine="420" w:firstLineChars="200"/>
        <w:rPr>
          <w:rFonts w:ascii="Times New Roman" w:hAnsi="Times New Roman"/>
          <w:color w:val="auto"/>
          <w:szCs w:val="21"/>
        </w:rPr>
      </w:pPr>
      <w:r>
        <w:rPr>
          <w:rFonts w:ascii="Times New Roman" w:hAnsi="Times New Roman"/>
          <w:color w:val="auto"/>
          <w:szCs w:val="21"/>
        </w:rPr>
        <w:t>合同履行中发生下列情形之一的，勘察人可向发包人发出通知，要求发包人采取有效措施予以纠正。发包人收到勘察人通知后的28天内仍不履行合同义务时，勘察人有权暂停勘察并通知发包人；发包人应承担由此导致的费用增加和（或）周期延误。</w:t>
      </w:r>
    </w:p>
    <w:p>
      <w:pPr>
        <w:spacing w:line="360" w:lineRule="auto"/>
        <w:ind w:firstLine="420" w:firstLineChars="200"/>
        <w:rPr>
          <w:rFonts w:ascii="Times New Roman" w:hAnsi="Times New Roman"/>
          <w:color w:val="auto"/>
        </w:rPr>
      </w:pPr>
      <w:r>
        <w:rPr>
          <w:rFonts w:ascii="Times New Roman" w:hAnsi="Times New Roman"/>
          <w:color w:val="auto"/>
        </w:rPr>
        <w:t>（1）发包人违约；</w:t>
      </w:r>
    </w:p>
    <w:p>
      <w:pPr>
        <w:spacing w:line="360" w:lineRule="auto"/>
        <w:ind w:firstLine="420" w:firstLineChars="200"/>
        <w:rPr>
          <w:rFonts w:ascii="Times New Roman" w:hAnsi="Times New Roman"/>
          <w:color w:val="auto"/>
        </w:rPr>
      </w:pPr>
      <w:r>
        <w:rPr>
          <w:rFonts w:ascii="Times New Roman" w:hAnsi="Times New Roman"/>
          <w:color w:val="auto"/>
        </w:rPr>
        <w:t>（2）发包人确定暂停勘察；</w:t>
      </w:r>
    </w:p>
    <w:p>
      <w:pPr>
        <w:spacing w:line="360" w:lineRule="auto"/>
        <w:ind w:firstLine="420" w:firstLineChars="200"/>
        <w:rPr>
          <w:rFonts w:ascii="Times New Roman" w:hAnsi="Times New Roman"/>
          <w:color w:val="auto"/>
        </w:rPr>
      </w:pPr>
      <w:r>
        <w:rPr>
          <w:rFonts w:ascii="Times New Roman" w:hAnsi="Times New Roman"/>
          <w:color w:val="auto"/>
        </w:rPr>
        <w:t>（3）合同约</w:t>
      </w:r>
      <w:r>
        <w:rPr>
          <w:rFonts w:ascii="Times New Roman" w:hAnsi="Times New Roman"/>
          <w:color w:val="auto"/>
          <w:szCs w:val="21"/>
        </w:rPr>
        <w:t>定由发包人承担责任的其他情形。</w:t>
      </w:r>
    </w:p>
    <w:p>
      <w:pPr>
        <w:pStyle w:val="6"/>
        <w:spacing w:line="240" w:lineRule="auto"/>
        <w:ind w:firstLine="137"/>
        <w:rPr>
          <w:rFonts w:ascii="Times New Roman" w:hAnsi="Times New Roman"/>
          <w:color w:val="auto"/>
        </w:rPr>
      </w:pPr>
      <w:bookmarkStart w:id="443" w:name="_Toc467651004"/>
      <w:bookmarkStart w:id="444" w:name="_Toc492300890"/>
      <w:bookmarkStart w:id="445" w:name="_Toc482188601"/>
      <w:r>
        <w:rPr>
          <w:rFonts w:ascii="Times New Roman" w:hAnsi="Times New Roman"/>
          <w:color w:val="auto"/>
        </w:rPr>
        <w:t xml:space="preserve">7.2 </w:t>
      </w:r>
      <w:r>
        <w:rPr>
          <w:rFonts w:hint="eastAsia" w:ascii="Times New Roman" w:hAnsi="Times New Roman"/>
          <w:color w:val="auto"/>
        </w:rPr>
        <w:t>勘察人原因暂停</w:t>
      </w:r>
      <w:bookmarkEnd w:id="443"/>
      <w:r>
        <w:rPr>
          <w:rFonts w:hint="eastAsia" w:ascii="Times New Roman" w:hAnsi="Times New Roman"/>
          <w:color w:val="auto"/>
        </w:rPr>
        <w:t>勘察</w:t>
      </w:r>
      <w:bookmarkEnd w:id="444"/>
      <w:bookmarkEnd w:id="445"/>
    </w:p>
    <w:p>
      <w:pPr>
        <w:spacing w:line="360" w:lineRule="auto"/>
        <w:ind w:firstLine="420" w:firstLineChars="200"/>
        <w:rPr>
          <w:rFonts w:ascii="Times New Roman" w:hAnsi="Times New Roman"/>
          <w:color w:val="auto"/>
          <w:szCs w:val="21"/>
        </w:rPr>
      </w:pPr>
      <w:r>
        <w:rPr>
          <w:rFonts w:ascii="Times New Roman" w:hAnsi="Times New Roman"/>
          <w:color w:val="auto"/>
        </w:rPr>
        <w:t>合同履行中发生下列情形之一的，发包人可向勘察人发出通知</w:t>
      </w:r>
      <w:r>
        <w:rPr>
          <w:rFonts w:ascii="Times New Roman" w:hAnsi="Times New Roman"/>
          <w:color w:val="auto"/>
          <w:szCs w:val="21"/>
        </w:rPr>
        <w:t>暂停勘察，由此造成费用的增加和（或）周期延误由勘察人承担：</w:t>
      </w:r>
    </w:p>
    <w:p>
      <w:pPr>
        <w:spacing w:line="360" w:lineRule="auto"/>
        <w:ind w:firstLine="420" w:firstLineChars="200"/>
        <w:rPr>
          <w:rFonts w:ascii="Times New Roman" w:hAnsi="Times New Roman"/>
          <w:color w:val="auto"/>
        </w:rPr>
      </w:pPr>
      <w:r>
        <w:rPr>
          <w:rFonts w:ascii="Times New Roman" w:hAnsi="Times New Roman"/>
          <w:color w:val="auto"/>
        </w:rPr>
        <w:t>（1）勘察人违约；</w:t>
      </w:r>
    </w:p>
    <w:p>
      <w:pPr>
        <w:spacing w:line="360" w:lineRule="auto"/>
        <w:ind w:firstLine="420" w:firstLineChars="200"/>
        <w:rPr>
          <w:rFonts w:ascii="Times New Roman" w:hAnsi="Times New Roman"/>
          <w:color w:val="auto"/>
        </w:rPr>
      </w:pPr>
      <w:r>
        <w:rPr>
          <w:rFonts w:ascii="Times New Roman" w:hAnsi="Times New Roman"/>
          <w:color w:val="auto"/>
        </w:rPr>
        <w:t>（2）勘察人擅自暂停勘察；</w:t>
      </w:r>
    </w:p>
    <w:p>
      <w:pPr>
        <w:spacing w:line="360" w:lineRule="auto"/>
        <w:ind w:firstLine="420" w:firstLineChars="200"/>
        <w:rPr>
          <w:rFonts w:ascii="Times New Roman" w:hAnsi="Times New Roman"/>
          <w:color w:val="auto"/>
          <w:szCs w:val="21"/>
        </w:rPr>
      </w:pPr>
      <w:r>
        <w:rPr>
          <w:rFonts w:ascii="Times New Roman" w:hAnsi="Times New Roman"/>
          <w:color w:val="auto"/>
        </w:rPr>
        <w:t>（3）合同约</w:t>
      </w:r>
      <w:r>
        <w:rPr>
          <w:rFonts w:ascii="Times New Roman" w:hAnsi="Times New Roman"/>
          <w:color w:val="auto"/>
          <w:szCs w:val="21"/>
        </w:rPr>
        <w:t>定由勘察人承担责任的其他情形。</w:t>
      </w:r>
      <w:bookmarkStart w:id="446" w:name="_Toc247527728"/>
      <w:bookmarkStart w:id="447" w:name="_Toc184635110"/>
      <w:bookmarkStart w:id="448" w:name="_Toc247514127"/>
    </w:p>
    <w:p>
      <w:pPr>
        <w:pStyle w:val="6"/>
        <w:spacing w:line="240" w:lineRule="auto"/>
        <w:ind w:firstLine="137"/>
        <w:rPr>
          <w:rFonts w:ascii="Times New Roman" w:hAnsi="Times New Roman"/>
          <w:color w:val="auto"/>
        </w:rPr>
      </w:pPr>
      <w:bookmarkStart w:id="449" w:name="_Toc492300891"/>
      <w:bookmarkStart w:id="450" w:name="_Toc482188602"/>
      <w:r>
        <w:rPr>
          <w:rFonts w:ascii="Times New Roman" w:hAnsi="Times New Roman"/>
          <w:color w:val="auto"/>
        </w:rPr>
        <w:t xml:space="preserve">7.3 </w:t>
      </w:r>
      <w:r>
        <w:rPr>
          <w:rFonts w:hint="eastAsia" w:ascii="Times New Roman" w:hAnsi="Times New Roman"/>
          <w:color w:val="auto"/>
        </w:rPr>
        <w:t>暂停期间的文件照管</w:t>
      </w:r>
      <w:bookmarkEnd w:id="449"/>
      <w:bookmarkEnd w:id="450"/>
    </w:p>
    <w:p>
      <w:pPr>
        <w:spacing w:line="360" w:lineRule="auto"/>
        <w:ind w:firstLine="420" w:firstLineChars="200"/>
        <w:rPr>
          <w:rFonts w:ascii="Times New Roman" w:hAnsi="Times New Roman"/>
          <w:color w:val="auto"/>
          <w:szCs w:val="21"/>
        </w:rPr>
      </w:pPr>
      <w:r>
        <w:rPr>
          <w:rFonts w:ascii="Times New Roman" w:hAnsi="Times New Roman"/>
          <w:color w:val="auto"/>
          <w:szCs w:val="21"/>
        </w:rPr>
        <w:t>不论由于何种原因引起暂停勘察的，暂停期间勘察人应负责妥善保护已完部分的勘察文件，由此</w:t>
      </w:r>
      <w:bookmarkStart w:id="451" w:name="_Toc300835128"/>
      <w:r>
        <w:rPr>
          <w:rFonts w:ascii="Times New Roman" w:hAnsi="Times New Roman"/>
          <w:color w:val="auto"/>
          <w:szCs w:val="21"/>
        </w:rPr>
        <w:t>增加的费用由责任方承担。</w:t>
      </w:r>
    </w:p>
    <w:bookmarkEnd w:id="451"/>
    <w:p>
      <w:pPr>
        <w:pStyle w:val="5"/>
        <w:rPr>
          <w:rFonts w:ascii="Times New Roman" w:hAnsi="Times New Roman"/>
          <w:color w:val="auto"/>
        </w:rPr>
      </w:pPr>
      <w:bookmarkStart w:id="452" w:name="_Toc492300892"/>
      <w:bookmarkStart w:id="453" w:name="_Toc482188603"/>
      <w:r>
        <w:rPr>
          <w:rFonts w:ascii="Times New Roman" w:hAnsi="Times New Roman"/>
          <w:color w:val="auto"/>
        </w:rPr>
        <w:t>8. 勘察文件</w:t>
      </w:r>
      <w:bookmarkEnd w:id="452"/>
      <w:bookmarkEnd w:id="453"/>
    </w:p>
    <w:p>
      <w:pPr>
        <w:pStyle w:val="6"/>
        <w:spacing w:line="240" w:lineRule="auto"/>
        <w:ind w:firstLine="137"/>
        <w:rPr>
          <w:rFonts w:ascii="Times New Roman" w:hAnsi="Times New Roman"/>
          <w:color w:val="auto"/>
        </w:rPr>
      </w:pPr>
      <w:bookmarkStart w:id="454" w:name="_Toc492300893"/>
      <w:bookmarkStart w:id="455" w:name="_Toc482188604"/>
      <w:r>
        <w:rPr>
          <w:rFonts w:ascii="Times New Roman" w:hAnsi="Times New Roman"/>
          <w:color w:val="auto"/>
        </w:rPr>
        <w:t xml:space="preserve">8.1 </w:t>
      </w:r>
      <w:r>
        <w:rPr>
          <w:rFonts w:hint="eastAsia" w:ascii="Times New Roman" w:hAnsi="Times New Roman"/>
          <w:color w:val="auto"/>
        </w:rPr>
        <w:t>勘察文件接收</w:t>
      </w:r>
      <w:bookmarkEnd w:id="454"/>
      <w:bookmarkEnd w:id="455"/>
    </w:p>
    <w:p>
      <w:pPr>
        <w:spacing w:line="360" w:lineRule="auto"/>
        <w:ind w:firstLine="420" w:firstLineChars="200"/>
        <w:rPr>
          <w:rFonts w:ascii="Times New Roman" w:hAnsi="Times New Roman"/>
          <w:color w:val="auto"/>
        </w:rPr>
      </w:pPr>
      <w:r>
        <w:rPr>
          <w:rFonts w:ascii="Times New Roman" w:hAnsi="Times New Roman"/>
          <w:color w:val="auto"/>
        </w:rPr>
        <w:t>8.1.1 发包人应当及时接收勘察人提交的勘察文件。如无正当理由拒收的，视为发包人已经接收勘察文件。</w:t>
      </w:r>
    </w:p>
    <w:p>
      <w:pPr>
        <w:spacing w:line="360" w:lineRule="auto"/>
        <w:ind w:firstLine="420" w:firstLineChars="200"/>
        <w:rPr>
          <w:rFonts w:ascii="Times New Roman" w:hAnsi="Times New Roman"/>
          <w:color w:val="auto"/>
        </w:rPr>
      </w:pPr>
      <w:r>
        <w:rPr>
          <w:rFonts w:ascii="Times New Roman" w:hAnsi="Times New Roman"/>
          <w:color w:val="auto"/>
        </w:rPr>
        <w:t>8.1.2 发包人接收勘察文件时，应向勘察人出具文件签收凭证，凭证内容包括文件名称、文件内容、文件形式、份数、提交和接收日期、提交人与接收人的亲笔签名等。</w:t>
      </w:r>
    </w:p>
    <w:p>
      <w:pPr>
        <w:spacing w:line="360" w:lineRule="auto"/>
        <w:ind w:firstLine="420" w:firstLineChars="200"/>
        <w:rPr>
          <w:rFonts w:ascii="Times New Roman" w:hAnsi="Times New Roman"/>
          <w:color w:val="auto"/>
        </w:rPr>
      </w:pPr>
      <w:r>
        <w:rPr>
          <w:rFonts w:ascii="Times New Roman" w:hAnsi="Times New Roman"/>
          <w:color w:val="auto"/>
        </w:rPr>
        <w:t>8.1.3 勘察文件提交的份数、内容、纸幅、装订格式、电子文件等要求，</w:t>
      </w:r>
      <w:r>
        <w:rPr>
          <w:rFonts w:ascii="Times New Roman" w:hAnsi="Times New Roman"/>
          <w:color w:val="auto"/>
          <w:kern w:val="0"/>
          <w:szCs w:val="21"/>
        </w:rPr>
        <w:t>在专用合同条款中约定</w:t>
      </w:r>
      <w:r>
        <w:rPr>
          <w:rFonts w:ascii="Times New Roman" w:hAnsi="Times New Roman"/>
          <w:color w:val="auto"/>
        </w:rPr>
        <w:t>。</w:t>
      </w:r>
    </w:p>
    <w:p>
      <w:pPr>
        <w:pStyle w:val="6"/>
        <w:spacing w:line="240" w:lineRule="auto"/>
        <w:ind w:firstLine="137"/>
        <w:rPr>
          <w:rFonts w:ascii="Times New Roman" w:hAnsi="Times New Roman"/>
          <w:color w:val="auto"/>
        </w:rPr>
      </w:pPr>
      <w:bookmarkStart w:id="456" w:name="_Toc482188605"/>
      <w:bookmarkStart w:id="457" w:name="_Toc492300894"/>
      <w:r>
        <w:rPr>
          <w:rFonts w:ascii="Times New Roman" w:hAnsi="Times New Roman"/>
          <w:color w:val="auto"/>
        </w:rPr>
        <w:t xml:space="preserve">8.2 </w:t>
      </w:r>
      <w:r>
        <w:rPr>
          <w:rFonts w:hint="eastAsia" w:ascii="Times New Roman" w:hAnsi="Times New Roman"/>
          <w:color w:val="auto"/>
        </w:rPr>
        <w:t>发包人审查勘察文件</w:t>
      </w:r>
      <w:bookmarkEnd w:id="456"/>
      <w:bookmarkEnd w:id="457"/>
    </w:p>
    <w:p>
      <w:pPr>
        <w:spacing w:line="360" w:lineRule="auto"/>
        <w:ind w:firstLine="420" w:firstLineChars="200"/>
        <w:rPr>
          <w:rFonts w:ascii="Times New Roman" w:hAnsi="Times New Roman"/>
          <w:color w:val="auto"/>
        </w:rPr>
      </w:pPr>
      <w:r>
        <w:rPr>
          <w:rFonts w:ascii="Times New Roman" w:hAnsi="Times New Roman"/>
          <w:color w:val="auto"/>
        </w:rPr>
        <w:t>8.2.1 发包人接收勘察文件之后，可以自行或者组织专家会进行审查，勘察人应当给予配合。审查标准应当符合法律、规范标准、合同约定和发包人要求等；审查的具体范围、明细内容和费用分担，</w:t>
      </w:r>
      <w:r>
        <w:rPr>
          <w:rFonts w:ascii="Times New Roman" w:hAnsi="Times New Roman"/>
          <w:color w:val="auto"/>
          <w:kern w:val="0"/>
          <w:szCs w:val="21"/>
        </w:rPr>
        <w:t>在专用合同条款中约定</w:t>
      </w:r>
      <w:r>
        <w:rPr>
          <w:rFonts w:ascii="Times New Roman" w:hAnsi="Times New Roman"/>
          <w:color w:val="auto"/>
        </w:rPr>
        <w:t>。</w:t>
      </w:r>
    </w:p>
    <w:p>
      <w:pPr>
        <w:spacing w:line="360" w:lineRule="auto"/>
        <w:ind w:firstLine="420" w:firstLineChars="200"/>
        <w:rPr>
          <w:rFonts w:ascii="Times New Roman" w:hAnsi="Times New Roman"/>
          <w:color w:val="auto"/>
        </w:rPr>
      </w:pPr>
      <w:r>
        <w:rPr>
          <w:rFonts w:ascii="Times New Roman" w:hAnsi="Times New Roman"/>
          <w:color w:val="auto"/>
        </w:rPr>
        <w:t>8.2.2 除专用合同条款另有约定外，发包人对于勘察文件的审查期限，自文件接收之日起不应超过14天。发包人逾期未做出审查结论且未提出异议的，视为勘察人的勘察文件已经通过发包人审查。</w:t>
      </w:r>
    </w:p>
    <w:p>
      <w:pPr>
        <w:spacing w:line="360" w:lineRule="auto"/>
        <w:ind w:firstLine="420" w:firstLineChars="200"/>
        <w:rPr>
          <w:rFonts w:ascii="Times New Roman" w:hAnsi="Times New Roman"/>
          <w:color w:val="auto"/>
        </w:rPr>
      </w:pPr>
      <w:r>
        <w:rPr>
          <w:rFonts w:ascii="Times New Roman" w:hAnsi="Times New Roman"/>
          <w:color w:val="auto"/>
        </w:rPr>
        <w:t>8.2.3 发包人审查后不同意勘察文件的，应以书面形式通知勘察人，说明审查不通过的理由及其具体内容。勘察人应根据发包人的审查意见修改完善勘察文件，并重新报送发包人审查，审查期限重新起算。</w:t>
      </w:r>
    </w:p>
    <w:p>
      <w:pPr>
        <w:pStyle w:val="6"/>
        <w:spacing w:line="240" w:lineRule="auto"/>
        <w:ind w:firstLine="137"/>
        <w:rPr>
          <w:rFonts w:ascii="Times New Roman" w:hAnsi="Times New Roman"/>
          <w:color w:val="auto"/>
        </w:rPr>
      </w:pPr>
      <w:bookmarkStart w:id="458" w:name="_Toc482188606"/>
      <w:bookmarkStart w:id="459" w:name="_Toc492300895"/>
      <w:r>
        <w:rPr>
          <w:rFonts w:ascii="Times New Roman" w:hAnsi="Times New Roman"/>
          <w:color w:val="auto"/>
        </w:rPr>
        <w:t xml:space="preserve">8.3 </w:t>
      </w:r>
      <w:r>
        <w:rPr>
          <w:rFonts w:hint="eastAsia" w:ascii="Times New Roman" w:hAnsi="Times New Roman"/>
          <w:color w:val="auto"/>
        </w:rPr>
        <w:t>审查机构审查勘察文件</w:t>
      </w:r>
      <w:bookmarkEnd w:id="458"/>
      <w:bookmarkEnd w:id="459"/>
    </w:p>
    <w:p>
      <w:pPr>
        <w:spacing w:line="360" w:lineRule="auto"/>
        <w:ind w:firstLine="420" w:firstLineChars="200"/>
        <w:rPr>
          <w:rFonts w:ascii="Times New Roman" w:hAnsi="Times New Roman"/>
          <w:color w:val="auto"/>
        </w:rPr>
      </w:pPr>
      <w:r>
        <w:rPr>
          <w:rFonts w:ascii="Times New Roman" w:hAnsi="Times New Roman"/>
          <w:color w:val="auto"/>
        </w:rPr>
        <w:t>8.3.1 勘察文件需经政府有关部门审查或批准的，发包人应在审查同意后，按照</w:t>
      </w:r>
      <w:r>
        <w:rPr>
          <w:rFonts w:hint="eastAsia" w:ascii="Times New Roman" w:hAnsi="Times New Roman"/>
          <w:color w:val="auto"/>
        </w:rPr>
        <w:t>有关</w:t>
      </w:r>
      <w:r>
        <w:rPr>
          <w:rFonts w:ascii="Times New Roman" w:hAnsi="Times New Roman"/>
          <w:color w:val="auto"/>
        </w:rPr>
        <w:t>主管部门要求，将勘察文件和相关资料报送施工图审查机构进行审查。发包人的审查和施工图审查机构的审查不减免勘察人因为质量问题而应承担的勘察责任。</w:t>
      </w:r>
    </w:p>
    <w:p>
      <w:pPr>
        <w:spacing w:line="360" w:lineRule="auto"/>
        <w:ind w:firstLine="420" w:firstLineChars="200"/>
        <w:rPr>
          <w:rFonts w:ascii="Times New Roman" w:hAnsi="Times New Roman"/>
          <w:color w:val="auto"/>
        </w:rPr>
      </w:pPr>
      <w:r>
        <w:rPr>
          <w:rFonts w:ascii="Times New Roman" w:hAnsi="Times New Roman"/>
          <w:color w:val="auto"/>
        </w:rPr>
        <w:t>8.3.2 对于施工图审查机构的审查意见，如不需要修改发包人要求的，应由勘察人按照审查意见修改完善勘察文件；如需修改发包人要求的，则由发包人重新修改和提出发包人要求，再由勘察人根据新的发包人要求修改完善勘察文件。</w:t>
      </w:r>
    </w:p>
    <w:p>
      <w:pPr>
        <w:spacing w:line="360" w:lineRule="auto"/>
        <w:ind w:firstLine="420" w:firstLineChars="200"/>
        <w:rPr>
          <w:rFonts w:ascii="Times New Roman" w:hAnsi="Times New Roman"/>
          <w:color w:val="auto"/>
        </w:rPr>
      </w:pPr>
      <w:r>
        <w:rPr>
          <w:rFonts w:ascii="Times New Roman" w:hAnsi="Times New Roman"/>
          <w:color w:val="auto"/>
        </w:rPr>
        <w:t>8.3.3 由于自身原因造成勘察文件未通过审查机构审查的，勘察人应当承担违约责任，采取补救措施直至达到合同约定的质量标准，并自行承担由此导致的费用增加和（或）周期延误。</w:t>
      </w:r>
    </w:p>
    <w:p>
      <w:pPr>
        <w:pStyle w:val="5"/>
        <w:rPr>
          <w:rFonts w:ascii="Times New Roman" w:hAnsi="Times New Roman"/>
          <w:color w:val="auto"/>
        </w:rPr>
      </w:pPr>
      <w:bookmarkStart w:id="460" w:name="_Toc492300896"/>
      <w:bookmarkStart w:id="461" w:name="_Toc482188607"/>
      <w:r>
        <w:rPr>
          <w:rFonts w:ascii="Times New Roman" w:hAnsi="Times New Roman"/>
          <w:color w:val="auto"/>
        </w:rPr>
        <w:t>9. 勘察责任与保险</w:t>
      </w:r>
      <w:bookmarkEnd w:id="460"/>
      <w:bookmarkEnd w:id="461"/>
    </w:p>
    <w:p>
      <w:pPr>
        <w:pStyle w:val="6"/>
        <w:spacing w:line="240" w:lineRule="auto"/>
        <w:ind w:firstLine="137"/>
        <w:rPr>
          <w:rFonts w:ascii="Times New Roman" w:hAnsi="Times New Roman"/>
          <w:color w:val="auto"/>
        </w:rPr>
      </w:pPr>
      <w:bookmarkStart w:id="462" w:name="_Toc482188608"/>
      <w:bookmarkStart w:id="463" w:name="_Toc492300897"/>
      <w:r>
        <w:rPr>
          <w:rFonts w:ascii="Times New Roman" w:hAnsi="Times New Roman"/>
          <w:color w:val="auto"/>
        </w:rPr>
        <w:t xml:space="preserve">9.1 </w:t>
      </w:r>
      <w:r>
        <w:rPr>
          <w:rFonts w:hint="eastAsia" w:ascii="Times New Roman" w:hAnsi="Times New Roman"/>
          <w:color w:val="auto"/>
        </w:rPr>
        <w:t>工作质量责任</w:t>
      </w:r>
      <w:bookmarkEnd w:id="462"/>
      <w:bookmarkEnd w:id="463"/>
    </w:p>
    <w:p>
      <w:pPr>
        <w:spacing w:line="360" w:lineRule="auto"/>
        <w:ind w:firstLine="420" w:firstLineChars="200"/>
        <w:rPr>
          <w:rFonts w:ascii="Times New Roman" w:hAnsi="Times New Roman"/>
          <w:color w:val="auto"/>
          <w:szCs w:val="21"/>
        </w:rPr>
      </w:pPr>
      <w:r>
        <w:rPr>
          <w:rFonts w:ascii="Times New Roman" w:hAnsi="Times New Roman"/>
          <w:color w:val="auto"/>
        </w:rPr>
        <w:t xml:space="preserve">9.1.1 </w:t>
      </w:r>
      <w:r>
        <w:rPr>
          <w:rFonts w:ascii="Times New Roman" w:hAnsi="Times New Roman"/>
          <w:color w:val="auto"/>
          <w:szCs w:val="21"/>
        </w:rPr>
        <w:t>勘察工作质量应满足法律规定、规范标准、合同约定和发包人要求等。</w:t>
      </w:r>
      <w:bookmarkEnd w:id="446"/>
      <w:bookmarkEnd w:id="447"/>
      <w:bookmarkEnd w:id="448"/>
    </w:p>
    <w:p>
      <w:pPr>
        <w:spacing w:line="360" w:lineRule="auto"/>
        <w:ind w:firstLine="420" w:firstLineChars="200"/>
        <w:rPr>
          <w:rFonts w:ascii="Times New Roman" w:hAnsi="Times New Roman"/>
          <w:color w:val="auto"/>
          <w:szCs w:val="21"/>
        </w:rPr>
      </w:pPr>
      <w:r>
        <w:rPr>
          <w:rFonts w:ascii="Times New Roman" w:hAnsi="Times New Roman"/>
          <w:color w:val="auto"/>
          <w:szCs w:val="21"/>
        </w:rPr>
        <w:t>9.1.2 勘察人应做好勘察服务的质量与技术管理工作，建立健全内部质量</w:t>
      </w:r>
      <w:bookmarkStart w:id="464" w:name="_Toc300835131"/>
      <w:r>
        <w:rPr>
          <w:rFonts w:ascii="Times New Roman" w:hAnsi="Times New Roman"/>
          <w:color w:val="auto"/>
          <w:szCs w:val="21"/>
        </w:rPr>
        <w:t>管理体系和质量责</w:t>
      </w:r>
      <w:bookmarkEnd w:id="464"/>
      <w:r>
        <w:rPr>
          <w:rFonts w:ascii="Times New Roman" w:hAnsi="Times New Roman"/>
          <w:color w:val="auto"/>
          <w:szCs w:val="21"/>
        </w:rPr>
        <w:t>任</w:t>
      </w:r>
      <w:bookmarkStart w:id="465" w:name="_Toc247514128"/>
      <w:bookmarkStart w:id="466" w:name="_Toc300835132"/>
      <w:bookmarkStart w:id="467" w:name="_Toc247527729"/>
      <w:r>
        <w:rPr>
          <w:rFonts w:ascii="Times New Roman" w:hAnsi="Times New Roman"/>
          <w:color w:val="auto"/>
          <w:szCs w:val="21"/>
        </w:rPr>
        <w:t>制度，加强勘察服务全过程的质量控制，建立完整的勘察文件的设计、复核、审核、会签和批准制度，明确各阶段的责任人。</w:t>
      </w:r>
      <w:bookmarkEnd w:id="465"/>
      <w:bookmarkEnd w:id="466"/>
      <w:bookmarkEnd w:id="467"/>
    </w:p>
    <w:p>
      <w:pPr>
        <w:spacing w:line="360" w:lineRule="auto"/>
        <w:ind w:firstLine="420" w:firstLineChars="200"/>
        <w:rPr>
          <w:rFonts w:ascii="Times New Roman" w:hAnsi="Times New Roman"/>
          <w:color w:val="auto"/>
          <w:szCs w:val="21"/>
        </w:rPr>
      </w:pPr>
      <w:r>
        <w:rPr>
          <w:rFonts w:ascii="Times New Roman" w:hAnsi="Times New Roman"/>
          <w:color w:val="auto"/>
          <w:szCs w:val="21"/>
        </w:rPr>
        <w:t>9.1.3 勘察人应当强化现场作业质量和试验工作管理，保证原始记录和试验数据的可靠性、真实性和完整性，严禁离开现场进行追记、补记和修改记录。</w:t>
      </w:r>
    </w:p>
    <w:p>
      <w:pPr>
        <w:spacing w:line="360" w:lineRule="auto"/>
        <w:ind w:firstLine="420" w:firstLineChars="200"/>
        <w:rPr>
          <w:rFonts w:ascii="Times New Roman" w:hAnsi="Times New Roman"/>
          <w:color w:val="auto"/>
          <w:szCs w:val="21"/>
        </w:rPr>
      </w:pPr>
      <w:r>
        <w:rPr>
          <w:rFonts w:ascii="Times New Roman" w:hAnsi="Times New Roman"/>
          <w:color w:val="auto"/>
          <w:szCs w:val="21"/>
        </w:rPr>
        <w:t>9.1.4 勘察人应按合同约定对勘察服务进行全过程的质量检查和检验，并作详细记录，编制勘察工作质量报表</w:t>
      </w:r>
      <w:bookmarkStart w:id="468" w:name="_Toc300835133"/>
      <w:bookmarkStart w:id="469" w:name="_Toc247514130"/>
      <w:bookmarkStart w:id="470" w:name="_Toc247527731"/>
      <w:r>
        <w:rPr>
          <w:rFonts w:ascii="Times New Roman" w:hAnsi="Times New Roman"/>
          <w:color w:val="auto"/>
          <w:szCs w:val="21"/>
        </w:rPr>
        <w:t>，报送发包人审查。</w:t>
      </w:r>
    </w:p>
    <w:bookmarkEnd w:id="468"/>
    <w:bookmarkEnd w:id="469"/>
    <w:bookmarkEnd w:id="470"/>
    <w:p>
      <w:pPr>
        <w:spacing w:line="360" w:lineRule="auto"/>
        <w:ind w:firstLine="420" w:firstLineChars="200"/>
        <w:rPr>
          <w:rFonts w:ascii="Times New Roman" w:hAnsi="Times New Roman"/>
          <w:color w:val="auto"/>
          <w:szCs w:val="21"/>
        </w:rPr>
      </w:pPr>
      <w:r>
        <w:rPr>
          <w:rFonts w:ascii="Times New Roman" w:hAnsi="Times New Roman"/>
          <w:color w:val="auto"/>
          <w:szCs w:val="21"/>
        </w:rPr>
        <w:t>9.1.5 发包人有权对勘察工作质量进行检查和审核。勘察人应为发包人的检查和检验提供方便，包括发包人到</w:t>
      </w:r>
      <w:bookmarkStart w:id="471" w:name="_Toc300835134"/>
      <w:bookmarkStart w:id="472" w:name="_Toc247514131"/>
      <w:bookmarkStart w:id="473" w:name="_Toc247527732"/>
      <w:r>
        <w:rPr>
          <w:rFonts w:ascii="Times New Roman" w:hAnsi="Times New Roman"/>
          <w:color w:val="auto"/>
          <w:szCs w:val="21"/>
        </w:rPr>
        <w:t>勘察场地、试验室或合同约定</w:t>
      </w:r>
      <w:bookmarkEnd w:id="471"/>
      <w:bookmarkEnd w:id="472"/>
      <w:bookmarkEnd w:id="473"/>
      <w:r>
        <w:rPr>
          <w:rFonts w:ascii="Times New Roman" w:hAnsi="Times New Roman"/>
          <w:color w:val="auto"/>
          <w:szCs w:val="21"/>
        </w:rPr>
        <w:t>的其他地方进行察看，查阅、审核勘察的原始记录和其他文件。发包人的检查和审核，不免除勘察人按合同约定应负的责任。</w:t>
      </w:r>
    </w:p>
    <w:p>
      <w:pPr>
        <w:pStyle w:val="6"/>
        <w:spacing w:line="240" w:lineRule="auto"/>
        <w:ind w:firstLine="137"/>
        <w:rPr>
          <w:rFonts w:ascii="Times New Roman" w:hAnsi="Times New Roman"/>
          <w:color w:val="auto"/>
        </w:rPr>
      </w:pPr>
      <w:bookmarkStart w:id="474" w:name="_Toc482188609"/>
      <w:bookmarkStart w:id="475" w:name="_Toc492300898"/>
      <w:r>
        <w:rPr>
          <w:rFonts w:ascii="Times New Roman" w:hAnsi="Times New Roman"/>
          <w:color w:val="auto"/>
        </w:rPr>
        <w:t xml:space="preserve">9.2 </w:t>
      </w:r>
      <w:r>
        <w:rPr>
          <w:rFonts w:hint="eastAsia" w:ascii="Times New Roman" w:hAnsi="Times New Roman"/>
          <w:color w:val="auto"/>
        </w:rPr>
        <w:t>勘察文件错误责任</w:t>
      </w:r>
      <w:bookmarkEnd w:id="474"/>
      <w:bookmarkEnd w:id="475"/>
    </w:p>
    <w:p>
      <w:pPr>
        <w:spacing w:line="360" w:lineRule="auto"/>
        <w:ind w:firstLine="420" w:firstLineChars="200"/>
        <w:rPr>
          <w:rFonts w:ascii="Times New Roman" w:hAnsi="Times New Roman"/>
          <w:color w:val="auto"/>
          <w:szCs w:val="21"/>
        </w:rPr>
      </w:pPr>
      <w:r>
        <w:rPr>
          <w:rFonts w:ascii="Times New Roman" w:hAnsi="Times New Roman"/>
          <w:color w:val="auto"/>
        </w:rPr>
        <w:t>9.2.1 勘察文件存在错误、遗漏、含混、矛盾、不充分之处或其他缺陷，无论勘察人是否通过了发包人审查或</w:t>
      </w:r>
      <w:bookmarkStart w:id="476" w:name="_Toc247527686"/>
      <w:bookmarkStart w:id="477" w:name="_Toc247514085"/>
      <w:bookmarkStart w:id="478" w:name="_Toc300835084"/>
      <w:r>
        <w:rPr>
          <w:rFonts w:ascii="Times New Roman" w:hAnsi="Times New Roman"/>
          <w:color w:val="auto"/>
        </w:rPr>
        <w:t>审查机构审查，勘察人均</w:t>
      </w:r>
      <w:bookmarkEnd w:id="476"/>
      <w:bookmarkEnd w:id="477"/>
      <w:bookmarkEnd w:id="478"/>
      <w:r>
        <w:rPr>
          <w:rFonts w:ascii="Times New Roman" w:hAnsi="Times New Roman"/>
          <w:color w:val="auto"/>
        </w:rPr>
        <w:t>应自费对前述问题带来的缺陷和工程问题进行改正，但因第1.6.2项</w:t>
      </w:r>
      <w:r>
        <w:rPr>
          <w:rFonts w:hint="eastAsia" w:ascii="Times New Roman" w:hAnsi="Times New Roman"/>
          <w:color w:val="auto"/>
        </w:rPr>
        <w:t>约定由</w:t>
      </w:r>
      <w:r>
        <w:rPr>
          <w:rFonts w:ascii="Times New Roman" w:hAnsi="Times New Roman"/>
          <w:color w:val="auto"/>
          <w:szCs w:val="21"/>
        </w:rPr>
        <w:t>发包人提供的文件错误导致</w:t>
      </w:r>
      <w:r>
        <w:rPr>
          <w:rFonts w:ascii="Times New Roman" w:hAnsi="Times New Roman"/>
          <w:color w:val="auto"/>
        </w:rPr>
        <w:t>的</w:t>
      </w:r>
      <w:r>
        <w:rPr>
          <w:rFonts w:ascii="Times New Roman" w:hAnsi="Times New Roman"/>
          <w:color w:val="auto"/>
          <w:szCs w:val="21"/>
        </w:rPr>
        <w:t>除外。</w:t>
      </w:r>
    </w:p>
    <w:p>
      <w:pPr>
        <w:spacing w:line="360" w:lineRule="auto"/>
        <w:ind w:firstLine="420" w:firstLineChars="200"/>
        <w:rPr>
          <w:rFonts w:ascii="Times New Roman" w:hAnsi="Times New Roman"/>
          <w:color w:val="auto"/>
          <w:szCs w:val="21"/>
        </w:rPr>
      </w:pPr>
      <w:r>
        <w:rPr>
          <w:rFonts w:ascii="Times New Roman" w:hAnsi="Times New Roman"/>
          <w:color w:val="auto"/>
          <w:szCs w:val="21"/>
        </w:rPr>
        <w:t xml:space="preserve">9.2.2 因勘察人原因造成勘察文件不合格的，发包人有权要求勘察人采取补救措施，直至达到合同要求的质量标准，并按第14.1款的约定承担责任。 </w:t>
      </w:r>
    </w:p>
    <w:p>
      <w:pPr>
        <w:spacing w:line="360" w:lineRule="auto"/>
        <w:ind w:firstLine="420" w:firstLineChars="200"/>
        <w:rPr>
          <w:rFonts w:ascii="Times New Roman" w:hAnsi="Times New Roman"/>
          <w:color w:val="auto"/>
          <w:szCs w:val="21"/>
        </w:rPr>
      </w:pPr>
      <w:r>
        <w:rPr>
          <w:rFonts w:ascii="Times New Roman" w:hAnsi="Times New Roman"/>
          <w:color w:val="auto"/>
          <w:szCs w:val="21"/>
        </w:rPr>
        <w:t>9.2.3 因发包人原因造成勘察文件不合格的，勘察人应当采取补救措施，直至达到合同要求的质量标准，由此造成的勘察费用增加和（或）勘察服务期限延误由发包人承担。</w:t>
      </w:r>
    </w:p>
    <w:p>
      <w:pPr>
        <w:pStyle w:val="6"/>
        <w:spacing w:line="240" w:lineRule="auto"/>
        <w:ind w:firstLine="137"/>
        <w:rPr>
          <w:rFonts w:ascii="Times New Roman" w:hAnsi="Times New Roman"/>
          <w:color w:val="auto"/>
        </w:rPr>
      </w:pPr>
      <w:bookmarkStart w:id="479" w:name="_Toc492300899"/>
      <w:bookmarkStart w:id="480" w:name="_Toc482188610"/>
      <w:r>
        <w:rPr>
          <w:rFonts w:ascii="Times New Roman" w:hAnsi="Times New Roman"/>
          <w:color w:val="auto"/>
        </w:rPr>
        <w:t xml:space="preserve">9.3 </w:t>
      </w:r>
      <w:r>
        <w:rPr>
          <w:rFonts w:hint="eastAsia" w:ascii="Times New Roman" w:hAnsi="Times New Roman"/>
          <w:color w:val="auto"/>
        </w:rPr>
        <w:t>勘察责任主体</w:t>
      </w:r>
      <w:bookmarkEnd w:id="479"/>
      <w:bookmarkEnd w:id="480"/>
    </w:p>
    <w:p>
      <w:pPr>
        <w:spacing w:line="360" w:lineRule="auto"/>
        <w:ind w:firstLine="420" w:firstLineChars="200"/>
        <w:rPr>
          <w:rFonts w:ascii="Times New Roman" w:hAnsi="Times New Roman"/>
          <w:color w:val="auto"/>
        </w:rPr>
      </w:pPr>
      <w:r>
        <w:rPr>
          <w:rFonts w:ascii="Times New Roman" w:hAnsi="Times New Roman"/>
          <w:color w:val="auto"/>
        </w:rPr>
        <w:t>9.3.1 勘察人应运用一切合理的专业技术、知识技能和项目经验，按照职业道德准则和行业公认标准尽其全部职责，勤勉、谨慎、公正地履行其在本合同项下的责任和义务。</w:t>
      </w:r>
    </w:p>
    <w:p>
      <w:pPr>
        <w:spacing w:line="360" w:lineRule="auto"/>
        <w:ind w:firstLine="420" w:firstLineChars="200"/>
        <w:rPr>
          <w:rFonts w:ascii="Times New Roman" w:hAnsi="Times New Roman"/>
          <w:color w:val="auto"/>
        </w:rPr>
      </w:pPr>
      <w:r>
        <w:rPr>
          <w:rFonts w:ascii="Times New Roman" w:hAnsi="Times New Roman"/>
          <w:color w:val="auto"/>
        </w:rPr>
        <w:t>9.3.2 勘察责任为勘察单位项目负责人终身责任制。项目负责人应当保证勘察文件符合法律法规和工程建设强制性标准的要求，对因勘察导致的工程质量事故或质量问题承担责任。</w:t>
      </w:r>
    </w:p>
    <w:p>
      <w:pPr>
        <w:spacing w:line="360" w:lineRule="auto"/>
        <w:ind w:firstLine="420" w:firstLineChars="200"/>
        <w:rPr>
          <w:rFonts w:ascii="Times New Roman" w:hAnsi="Times New Roman"/>
          <w:color w:val="auto"/>
        </w:rPr>
      </w:pPr>
      <w:r>
        <w:rPr>
          <w:rFonts w:ascii="Times New Roman" w:hAnsi="Times New Roman"/>
          <w:color w:val="auto"/>
        </w:rPr>
        <w:t>9.3.3 项目负责人应当在办理工程质量监督手续前签署工程质量终身责任承诺书，连同法定代表人出具的授权书，报工程质量监督机构备案。</w:t>
      </w:r>
    </w:p>
    <w:p>
      <w:pPr>
        <w:pStyle w:val="6"/>
        <w:spacing w:line="240" w:lineRule="auto"/>
        <w:ind w:firstLine="137"/>
        <w:rPr>
          <w:rFonts w:ascii="Times New Roman" w:hAnsi="Times New Roman"/>
          <w:color w:val="auto"/>
        </w:rPr>
      </w:pPr>
      <w:bookmarkStart w:id="481" w:name="_Toc482188611"/>
      <w:bookmarkStart w:id="482" w:name="_Toc492300900"/>
      <w:r>
        <w:rPr>
          <w:rFonts w:ascii="Times New Roman" w:hAnsi="Times New Roman"/>
          <w:color w:val="auto"/>
        </w:rPr>
        <w:t xml:space="preserve">9.4 </w:t>
      </w:r>
      <w:r>
        <w:rPr>
          <w:rFonts w:hint="eastAsia" w:ascii="Times New Roman" w:hAnsi="Times New Roman"/>
          <w:color w:val="auto"/>
        </w:rPr>
        <w:t>勘察责任保险</w:t>
      </w:r>
      <w:bookmarkEnd w:id="481"/>
      <w:bookmarkEnd w:id="482"/>
    </w:p>
    <w:p>
      <w:pPr>
        <w:spacing w:line="360" w:lineRule="auto"/>
        <w:ind w:firstLine="420" w:firstLineChars="200"/>
        <w:rPr>
          <w:rFonts w:ascii="Times New Roman" w:hAnsi="Times New Roman"/>
          <w:color w:val="auto"/>
        </w:rPr>
      </w:pPr>
      <w:r>
        <w:rPr>
          <w:rFonts w:ascii="Times New Roman" w:hAnsi="Times New Roman"/>
          <w:color w:val="auto"/>
        </w:rPr>
        <w:t>9.4.1 除专用合同条款另有约定外，勘察人应具有发包人认可的、履行本合同所需要的工程勘察责任险，</w:t>
      </w:r>
      <w:r>
        <w:rPr>
          <w:rFonts w:ascii="Times New Roman" w:hAnsi="Times New Roman"/>
          <w:color w:val="auto"/>
          <w:szCs w:val="21"/>
        </w:rPr>
        <w:t>于合同签订后28天内向发包人提交工程勘察责任险的保险单副本或者其他有效证明，</w:t>
      </w:r>
      <w:r>
        <w:rPr>
          <w:rFonts w:ascii="Times New Roman" w:hAnsi="Times New Roman"/>
          <w:color w:val="auto"/>
        </w:rPr>
        <w:t>并在合同履行期间保持足额、有效。</w:t>
      </w:r>
    </w:p>
    <w:p>
      <w:pPr>
        <w:spacing w:line="360" w:lineRule="auto"/>
        <w:ind w:firstLine="420" w:firstLineChars="200"/>
        <w:rPr>
          <w:rFonts w:ascii="Times New Roman" w:hAnsi="Times New Roman"/>
          <w:color w:val="auto"/>
        </w:rPr>
      </w:pPr>
      <w:r>
        <w:rPr>
          <w:rFonts w:ascii="Times New Roman" w:hAnsi="Times New Roman"/>
          <w:color w:val="auto"/>
        </w:rPr>
        <w:t>9.4.2 工程勘察责任险的保险范围，应当包括由于勘察人的疏忽或过失而造成的工程质量事故损失，以及由于事故引发的第三者人身伤亡、财产损失或费用赔偿等。</w:t>
      </w:r>
    </w:p>
    <w:p>
      <w:pPr>
        <w:spacing w:line="360" w:lineRule="auto"/>
        <w:ind w:firstLine="420" w:firstLineChars="200"/>
        <w:rPr>
          <w:rFonts w:ascii="Times New Roman" w:hAnsi="Times New Roman"/>
          <w:color w:val="auto"/>
          <w:szCs w:val="21"/>
        </w:rPr>
      </w:pPr>
      <w:r>
        <w:rPr>
          <w:rFonts w:ascii="Times New Roman" w:hAnsi="Times New Roman"/>
          <w:color w:val="auto"/>
        </w:rPr>
        <w:t>9.4.3 发生工程勘察保险事故后，勘察人应按保险人要求进行报告，并负责办理保险理赔业务；</w:t>
      </w:r>
      <w:r>
        <w:rPr>
          <w:rFonts w:ascii="Times New Roman" w:hAnsi="Times New Roman"/>
          <w:color w:val="auto"/>
          <w:szCs w:val="21"/>
        </w:rPr>
        <w:t>保险金不足以补偿损失的，由勘察人自行补偿。</w:t>
      </w:r>
    </w:p>
    <w:p>
      <w:pPr>
        <w:pStyle w:val="5"/>
        <w:rPr>
          <w:rFonts w:ascii="Times New Roman" w:hAnsi="Times New Roman"/>
          <w:color w:val="auto"/>
        </w:rPr>
      </w:pPr>
      <w:bookmarkStart w:id="483" w:name="_Toc492300901"/>
      <w:bookmarkStart w:id="484" w:name="_Toc482188612"/>
      <w:r>
        <w:rPr>
          <w:rFonts w:ascii="Times New Roman" w:hAnsi="Times New Roman"/>
          <w:color w:val="auto"/>
        </w:rPr>
        <w:t>10. 设计和施工期间配合</w:t>
      </w:r>
      <w:bookmarkEnd w:id="483"/>
      <w:bookmarkEnd w:id="484"/>
    </w:p>
    <w:p>
      <w:pPr>
        <w:pStyle w:val="6"/>
        <w:spacing w:line="240" w:lineRule="auto"/>
        <w:ind w:firstLine="137"/>
        <w:rPr>
          <w:rFonts w:ascii="Times New Roman" w:hAnsi="Times New Roman"/>
          <w:color w:val="auto"/>
        </w:rPr>
      </w:pPr>
      <w:bookmarkStart w:id="485" w:name="_Toc492300902"/>
      <w:bookmarkStart w:id="486" w:name="_Toc482188613"/>
      <w:r>
        <w:rPr>
          <w:rFonts w:ascii="Times New Roman" w:hAnsi="Times New Roman"/>
          <w:color w:val="auto"/>
        </w:rPr>
        <w:t xml:space="preserve">10.1 </w:t>
      </w:r>
      <w:r>
        <w:rPr>
          <w:rFonts w:hint="eastAsia" w:ascii="Times New Roman" w:hAnsi="Times New Roman"/>
          <w:color w:val="auto"/>
        </w:rPr>
        <w:t>设计期间配合</w:t>
      </w:r>
      <w:bookmarkEnd w:id="485"/>
      <w:bookmarkEnd w:id="486"/>
    </w:p>
    <w:p>
      <w:pPr>
        <w:spacing w:line="360" w:lineRule="auto"/>
        <w:ind w:firstLine="420" w:firstLineChars="200"/>
        <w:rPr>
          <w:rFonts w:ascii="Times New Roman" w:hAnsi="Times New Roman"/>
          <w:color w:val="auto"/>
        </w:rPr>
      </w:pPr>
      <w:r>
        <w:rPr>
          <w:rFonts w:ascii="Times New Roman" w:hAnsi="Times New Roman"/>
          <w:color w:val="auto"/>
        </w:rPr>
        <w:t>10.1.1 设计配合指勘察人配合设计人，在设计期间对本工程进行的补充勘察或其他配合工作。</w:t>
      </w:r>
    </w:p>
    <w:p>
      <w:pPr>
        <w:spacing w:line="360" w:lineRule="auto"/>
        <w:ind w:firstLine="420" w:firstLineChars="200"/>
        <w:rPr>
          <w:rFonts w:ascii="Times New Roman" w:hAnsi="Times New Roman"/>
          <w:color w:val="auto"/>
          <w:szCs w:val="21"/>
        </w:rPr>
      </w:pPr>
      <w:bookmarkStart w:id="487" w:name="_Toc55654492"/>
      <w:bookmarkStart w:id="488" w:name="_Toc14102102"/>
      <w:bookmarkStart w:id="489" w:name="_Toc55707625"/>
      <w:bookmarkStart w:id="490" w:name="_Toc54372619"/>
      <w:bookmarkStart w:id="491" w:name="_Toc59896652"/>
      <w:bookmarkStart w:id="492" w:name="_Toc54372201"/>
      <w:bookmarkStart w:id="493" w:name="_Toc55639357"/>
      <w:bookmarkStart w:id="494" w:name="_Toc56141844"/>
      <w:bookmarkStart w:id="495" w:name="_Toc54329115"/>
      <w:bookmarkStart w:id="496" w:name="_Toc59900920"/>
      <w:bookmarkStart w:id="497" w:name="_Toc53290166"/>
      <w:bookmarkStart w:id="498" w:name="_Toc56409059"/>
      <w:bookmarkStart w:id="499" w:name="_Toc56139034"/>
      <w:bookmarkStart w:id="500" w:name="_Toc54372035"/>
      <w:bookmarkStart w:id="501" w:name="_Toc26108574"/>
      <w:bookmarkStart w:id="502" w:name="_Toc54330944"/>
      <w:bookmarkStart w:id="503" w:name="_Toc56153806"/>
      <w:bookmarkStart w:id="504" w:name="_Toc55705120"/>
      <w:bookmarkStart w:id="505" w:name="_Toc25930148"/>
      <w:bookmarkStart w:id="506" w:name="_Toc402386798"/>
      <w:bookmarkStart w:id="507" w:name="_Toc54368850"/>
      <w:r>
        <w:rPr>
          <w:rFonts w:ascii="Times New Roman" w:hAnsi="Times New Roman"/>
          <w:color w:val="auto"/>
        </w:rPr>
        <w:t xml:space="preserve">10.1.2 </w:t>
      </w:r>
      <w:r>
        <w:rPr>
          <w:rFonts w:ascii="Times New Roman" w:hAnsi="Times New Roman"/>
          <w:color w:val="auto"/>
          <w:szCs w:val="21"/>
        </w:rPr>
        <w:t>勘察人</w:t>
      </w:r>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r>
        <w:rPr>
          <w:rFonts w:ascii="Times New Roman" w:hAnsi="Times New Roman"/>
          <w:color w:val="auto"/>
          <w:szCs w:val="21"/>
        </w:rPr>
        <w:t>应当根据设计工作需要，对勘察报告和资料文件中的不完善或者错误之处，进行验证、补充或者修改；如遇不利的工程地质条件，勘察人应与设计人研讨并提出解决建议。</w:t>
      </w:r>
    </w:p>
    <w:p>
      <w:pPr>
        <w:pStyle w:val="6"/>
        <w:spacing w:line="240" w:lineRule="auto"/>
        <w:ind w:firstLine="137"/>
        <w:rPr>
          <w:rFonts w:ascii="Times New Roman" w:hAnsi="Times New Roman"/>
          <w:color w:val="auto"/>
        </w:rPr>
      </w:pPr>
      <w:bookmarkStart w:id="508" w:name="_Toc492300903"/>
      <w:bookmarkStart w:id="509" w:name="_Toc482188614"/>
      <w:r>
        <w:rPr>
          <w:rFonts w:ascii="Times New Roman" w:hAnsi="Times New Roman"/>
          <w:color w:val="auto"/>
        </w:rPr>
        <w:t>10.2</w:t>
      </w:r>
      <w:r>
        <w:rPr>
          <w:rFonts w:hint="eastAsia" w:ascii="Times New Roman" w:hAnsi="Times New Roman"/>
          <w:color w:val="auto"/>
        </w:rPr>
        <w:t>施工期间配合</w:t>
      </w:r>
      <w:bookmarkEnd w:id="508"/>
      <w:bookmarkEnd w:id="509"/>
    </w:p>
    <w:p>
      <w:pPr>
        <w:spacing w:line="360" w:lineRule="auto"/>
        <w:ind w:firstLine="420" w:firstLineChars="200"/>
        <w:rPr>
          <w:rFonts w:ascii="Times New Roman" w:hAnsi="Times New Roman"/>
          <w:color w:val="auto"/>
        </w:rPr>
      </w:pPr>
      <w:r>
        <w:rPr>
          <w:rFonts w:ascii="Times New Roman" w:hAnsi="Times New Roman"/>
          <w:color w:val="auto"/>
        </w:rPr>
        <w:t>10.2.1 施工配合指勘察人配合施工承包人，在施工期间对本工程进行的补充勘察或其他配合工作，直至</w:t>
      </w:r>
      <w:bookmarkStart w:id="510" w:name="_Toc54330945"/>
      <w:bookmarkStart w:id="511" w:name="_Toc402386799"/>
      <w:bookmarkStart w:id="512" w:name="_Toc56153807"/>
      <w:bookmarkStart w:id="513" w:name="_Toc56141845"/>
      <w:bookmarkStart w:id="514" w:name="_Toc54329116"/>
      <w:bookmarkStart w:id="515" w:name="_Toc54372620"/>
      <w:bookmarkStart w:id="516" w:name="_Toc55705121"/>
      <w:bookmarkStart w:id="517" w:name="_Toc54372036"/>
      <w:bookmarkStart w:id="518" w:name="_Toc54372202"/>
      <w:bookmarkStart w:id="519" w:name="_Toc55639358"/>
      <w:bookmarkStart w:id="520" w:name="_Toc55654493"/>
      <w:bookmarkStart w:id="521" w:name="_Toc55707626"/>
      <w:bookmarkStart w:id="522" w:name="_Toc59896653"/>
      <w:bookmarkStart w:id="523" w:name="_Toc56409060"/>
      <w:bookmarkStart w:id="524" w:name="_Toc53290167"/>
      <w:bookmarkStart w:id="525" w:name="_Toc14102103"/>
      <w:bookmarkStart w:id="526" w:name="_Toc54368851"/>
      <w:bookmarkStart w:id="527" w:name="_Toc59900921"/>
      <w:bookmarkStart w:id="528" w:name="_Toc25930149"/>
      <w:bookmarkStart w:id="529" w:name="_Toc56139035"/>
      <w:bookmarkStart w:id="530" w:name="_Toc26108575"/>
      <w:r>
        <w:rPr>
          <w:rFonts w:ascii="Times New Roman" w:hAnsi="Times New Roman"/>
          <w:color w:val="auto"/>
        </w:rPr>
        <w:t>工程通过</w:t>
      </w:r>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r>
        <w:rPr>
          <w:rFonts w:ascii="Times New Roman" w:hAnsi="Times New Roman"/>
          <w:color w:val="auto"/>
        </w:rPr>
        <w:t>竣工验收为止。</w:t>
      </w:r>
    </w:p>
    <w:p>
      <w:pPr>
        <w:spacing w:line="360" w:lineRule="auto"/>
        <w:ind w:firstLine="420" w:firstLineChars="200"/>
        <w:rPr>
          <w:rFonts w:ascii="Times New Roman" w:hAnsi="Times New Roman"/>
          <w:color w:val="auto"/>
        </w:rPr>
      </w:pPr>
      <w:r>
        <w:rPr>
          <w:rFonts w:ascii="Times New Roman" w:hAnsi="Times New Roman"/>
          <w:color w:val="auto"/>
        </w:rPr>
        <w:t>10.2.2 除专用合同条款另有约定外，发包人应为勘察人派赴施工现场的工作人员，在施工期间提供办公房间、办公桌椅、互联网接口、冷暖设施、生活设施、进出现场交通服务和其他便利条件。</w:t>
      </w:r>
    </w:p>
    <w:p>
      <w:pPr>
        <w:spacing w:line="360" w:lineRule="auto"/>
        <w:ind w:firstLine="420" w:firstLineChars="200"/>
        <w:rPr>
          <w:rFonts w:ascii="Times New Roman" w:hAnsi="Times New Roman"/>
          <w:color w:val="auto"/>
          <w:szCs w:val="21"/>
        </w:rPr>
      </w:pPr>
      <w:r>
        <w:rPr>
          <w:rFonts w:ascii="Times New Roman" w:hAnsi="Times New Roman"/>
          <w:color w:val="auto"/>
          <w:szCs w:val="21"/>
        </w:rPr>
        <w:t>10.2.3 勘察人应在本工程的施工期间，积极提供勘察配合服务，进行勘察技术交底，委派专业人员配合施工承包人及时解决与勘察有关的问题，参与基坑基底验收和工程竣工验收等工作。</w:t>
      </w:r>
    </w:p>
    <w:p>
      <w:pPr>
        <w:spacing w:line="360" w:lineRule="auto"/>
        <w:ind w:firstLine="420" w:firstLineChars="200"/>
        <w:rPr>
          <w:rFonts w:ascii="Times New Roman" w:hAnsi="Times New Roman"/>
          <w:color w:val="auto"/>
        </w:rPr>
      </w:pPr>
      <w:r>
        <w:rPr>
          <w:rFonts w:ascii="Times New Roman" w:hAnsi="Times New Roman"/>
          <w:color w:val="auto"/>
        </w:rPr>
        <w:t>10.2.4 发包人应当组织勘察技术交底会，由勘察人向发包人、监理人和施工承包人等进行勘察交底，对本工程的勘察意图、勘察文件和施工要求等进行系统地说明和解释。</w:t>
      </w:r>
    </w:p>
    <w:p>
      <w:pPr>
        <w:spacing w:line="360" w:lineRule="auto"/>
        <w:ind w:firstLine="420" w:firstLineChars="200"/>
        <w:rPr>
          <w:rFonts w:ascii="Times New Roman" w:hAnsi="Times New Roman"/>
          <w:color w:val="auto"/>
          <w:szCs w:val="21"/>
        </w:rPr>
      </w:pPr>
      <w:r>
        <w:rPr>
          <w:rFonts w:ascii="Times New Roman" w:hAnsi="Times New Roman"/>
          <w:color w:val="auto"/>
        </w:rPr>
        <w:t>10.2.5 工程施工完毕后，发包人应当组织投产试车（试运行）和工程竣工验收，勘察人参加验收并出具本单位的验收结论。</w:t>
      </w:r>
    </w:p>
    <w:p>
      <w:pPr>
        <w:pStyle w:val="5"/>
        <w:rPr>
          <w:rFonts w:ascii="Times New Roman" w:hAnsi="Times New Roman"/>
          <w:color w:val="auto"/>
        </w:rPr>
      </w:pPr>
      <w:bookmarkStart w:id="531" w:name="_Toc482188615"/>
      <w:bookmarkStart w:id="532" w:name="_Toc492300904"/>
      <w:r>
        <w:rPr>
          <w:rFonts w:ascii="Times New Roman" w:hAnsi="Times New Roman"/>
          <w:color w:val="auto"/>
        </w:rPr>
        <w:t>11. 合同变更</w:t>
      </w:r>
      <w:bookmarkEnd w:id="531"/>
      <w:bookmarkEnd w:id="532"/>
    </w:p>
    <w:p>
      <w:pPr>
        <w:pStyle w:val="6"/>
        <w:spacing w:line="240" w:lineRule="auto"/>
        <w:ind w:firstLine="137"/>
        <w:rPr>
          <w:rFonts w:ascii="Times New Roman" w:hAnsi="Times New Roman"/>
          <w:color w:val="auto"/>
        </w:rPr>
      </w:pPr>
      <w:bookmarkStart w:id="533" w:name="_Toc482188616"/>
      <w:bookmarkStart w:id="534" w:name="_Toc492300905"/>
      <w:bookmarkStart w:id="535" w:name="_Toc467651025"/>
      <w:r>
        <w:rPr>
          <w:rFonts w:ascii="Times New Roman" w:hAnsi="Times New Roman"/>
          <w:color w:val="auto"/>
        </w:rPr>
        <w:t xml:space="preserve">11.1 </w:t>
      </w:r>
      <w:r>
        <w:rPr>
          <w:rFonts w:hint="eastAsia" w:ascii="Times New Roman" w:hAnsi="Times New Roman"/>
          <w:color w:val="auto"/>
        </w:rPr>
        <w:t>变更情形</w:t>
      </w:r>
      <w:bookmarkEnd w:id="533"/>
      <w:bookmarkEnd w:id="534"/>
      <w:bookmarkEnd w:id="535"/>
    </w:p>
    <w:p>
      <w:pPr>
        <w:spacing w:line="360" w:lineRule="auto"/>
        <w:ind w:firstLine="420" w:firstLineChars="200"/>
        <w:rPr>
          <w:rFonts w:ascii="Times New Roman" w:hAnsi="Times New Roman"/>
          <w:color w:val="auto"/>
          <w:szCs w:val="21"/>
        </w:rPr>
      </w:pPr>
      <w:r>
        <w:rPr>
          <w:rFonts w:ascii="Times New Roman" w:hAnsi="Times New Roman"/>
          <w:color w:val="auto"/>
          <w:szCs w:val="21"/>
        </w:rPr>
        <w:t>11.1.1 合同履行中发生下述情形时，合同一方均可向对方提出变更请求，经双方协商一致后进行变更，勘察服务期限和勘察费用的调整方法</w:t>
      </w:r>
      <w:r>
        <w:rPr>
          <w:rFonts w:ascii="Times New Roman" w:hAnsi="Times New Roman"/>
          <w:color w:val="auto"/>
          <w:kern w:val="0"/>
          <w:szCs w:val="21"/>
        </w:rPr>
        <w:t>在专用合同条款中约定</w:t>
      </w:r>
      <w:r>
        <w:rPr>
          <w:rFonts w:ascii="Times New Roman" w:hAnsi="Times New Roman"/>
          <w:color w:val="auto"/>
          <w:szCs w:val="21"/>
        </w:rPr>
        <w:t>。</w:t>
      </w:r>
    </w:p>
    <w:p>
      <w:pPr>
        <w:spacing w:line="360" w:lineRule="auto"/>
        <w:ind w:firstLine="420" w:firstLineChars="200"/>
        <w:rPr>
          <w:rFonts w:ascii="Times New Roman" w:hAnsi="Times New Roman"/>
          <w:color w:val="auto"/>
          <w:szCs w:val="21"/>
        </w:rPr>
      </w:pPr>
      <w:r>
        <w:rPr>
          <w:rFonts w:ascii="Times New Roman" w:hAnsi="Times New Roman"/>
          <w:color w:val="auto"/>
          <w:szCs w:val="21"/>
        </w:rPr>
        <w:t>（1）勘察范围发生变化；</w:t>
      </w:r>
    </w:p>
    <w:p>
      <w:pPr>
        <w:spacing w:line="360" w:lineRule="auto"/>
        <w:ind w:firstLine="420" w:firstLineChars="200"/>
        <w:rPr>
          <w:rFonts w:ascii="Times New Roman" w:hAnsi="Times New Roman"/>
          <w:color w:val="auto"/>
          <w:szCs w:val="21"/>
        </w:rPr>
      </w:pPr>
      <w:r>
        <w:rPr>
          <w:rFonts w:ascii="Times New Roman" w:hAnsi="Times New Roman"/>
          <w:color w:val="auto"/>
          <w:szCs w:val="21"/>
        </w:rPr>
        <w:t>（2）除不可抗力外，非勘察人的原因引起的周期延误；</w:t>
      </w:r>
    </w:p>
    <w:p>
      <w:pPr>
        <w:spacing w:line="360" w:lineRule="auto"/>
        <w:ind w:firstLine="420" w:firstLineChars="200"/>
        <w:rPr>
          <w:rFonts w:ascii="Times New Roman" w:hAnsi="Times New Roman"/>
          <w:color w:val="auto"/>
          <w:szCs w:val="21"/>
        </w:rPr>
      </w:pPr>
      <w:r>
        <w:rPr>
          <w:rFonts w:ascii="Times New Roman" w:hAnsi="Times New Roman"/>
          <w:color w:val="auto"/>
          <w:szCs w:val="21"/>
        </w:rPr>
        <w:t>（3）非勘察人的原因，对工程同一部分重复进行勘察；</w:t>
      </w:r>
    </w:p>
    <w:p>
      <w:pPr>
        <w:spacing w:line="360" w:lineRule="auto"/>
        <w:ind w:firstLine="420" w:firstLineChars="200"/>
        <w:rPr>
          <w:rFonts w:ascii="Times New Roman" w:hAnsi="Times New Roman"/>
          <w:color w:val="auto"/>
          <w:szCs w:val="21"/>
        </w:rPr>
      </w:pPr>
      <w:r>
        <w:rPr>
          <w:rFonts w:ascii="Times New Roman" w:hAnsi="Times New Roman"/>
          <w:color w:val="auto"/>
          <w:szCs w:val="21"/>
        </w:rPr>
        <w:t>（4）非勘察人的原因，对工程暂停勘察及恢复勘察。</w:t>
      </w:r>
    </w:p>
    <w:p>
      <w:pPr>
        <w:spacing w:line="360" w:lineRule="auto"/>
        <w:ind w:firstLine="420" w:firstLineChars="200"/>
        <w:rPr>
          <w:rFonts w:ascii="Times New Roman" w:hAnsi="Times New Roman"/>
          <w:color w:val="auto"/>
          <w:szCs w:val="21"/>
        </w:rPr>
      </w:pPr>
      <w:r>
        <w:rPr>
          <w:rFonts w:ascii="Times New Roman" w:hAnsi="Times New Roman"/>
          <w:color w:val="auto"/>
          <w:szCs w:val="21"/>
        </w:rPr>
        <w:t>11.1.2 基准日后，因颁布新的或修订原有法律、法规、规范和标准等引发合同变更情形的，按照上述约定进行调整。</w:t>
      </w:r>
    </w:p>
    <w:p>
      <w:pPr>
        <w:pStyle w:val="6"/>
        <w:spacing w:line="240" w:lineRule="auto"/>
        <w:ind w:firstLine="137"/>
        <w:rPr>
          <w:rFonts w:ascii="Times New Roman" w:hAnsi="Times New Roman"/>
          <w:color w:val="auto"/>
        </w:rPr>
      </w:pPr>
      <w:bookmarkStart w:id="536" w:name="_Toc482188617"/>
      <w:bookmarkStart w:id="537" w:name="_Toc467651026"/>
      <w:bookmarkStart w:id="538" w:name="_Toc492300906"/>
      <w:r>
        <w:rPr>
          <w:rFonts w:ascii="Times New Roman" w:hAnsi="Times New Roman"/>
          <w:color w:val="auto"/>
        </w:rPr>
        <w:t xml:space="preserve">11.2 </w:t>
      </w:r>
      <w:r>
        <w:rPr>
          <w:rFonts w:hint="eastAsia" w:ascii="Times New Roman" w:hAnsi="Times New Roman"/>
          <w:color w:val="auto"/>
        </w:rPr>
        <w:t>合理化建议</w:t>
      </w:r>
      <w:bookmarkEnd w:id="536"/>
      <w:bookmarkEnd w:id="537"/>
      <w:bookmarkEnd w:id="538"/>
    </w:p>
    <w:p>
      <w:pPr>
        <w:spacing w:line="360" w:lineRule="auto"/>
        <w:ind w:firstLine="420" w:firstLineChars="200"/>
        <w:rPr>
          <w:rFonts w:ascii="Times New Roman" w:hAnsi="Times New Roman"/>
          <w:color w:val="auto"/>
          <w:szCs w:val="21"/>
        </w:rPr>
      </w:pPr>
      <w:r>
        <w:rPr>
          <w:rFonts w:ascii="Times New Roman" w:hAnsi="Times New Roman"/>
          <w:color w:val="auto"/>
        </w:rPr>
        <w:t xml:space="preserve">11.2.1 </w:t>
      </w:r>
      <w:r>
        <w:rPr>
          <w:rFonts w:ascii="Times New Roman" w:hAnsi="Times New Roman"/>
          <w:color w:val="auto"/>
          <w:szCs w:val="21"/>
        </w:rPr>
        <w:t>合同履行中，勘察人可对发包人要求提出合理化建议。合理化建议应以书面形式提交发包人，被发包人采纳并构成变更的，执行第</w:t>
      </w:r>
      <w:r>
        <w:rPr>
          <w:rFonts w:ascii="Times New Roman" w:hAnsi="Times New Roman"/>
          <w:color w:val="auto"/>
        </w:rPr>
        <w:t>11.1</w:t>
      </w:r>
      <w:r>
        <w:rPr>
          <w:rFonts w:ascii="Times New Roman" w:hAnsi="Times New Roman"/>
          <w:color w:val="auto"/>
          <w:szCs w:val="21"/>
        </w:rPr>
        <w:t>款约定。</w:t>
      </w:r>
    </w:p>
    <w:p>
      <w:pPr>
        <w:spacing w:line="360" w:lineRule="auto"/>
        <w:ind w:firstLine="420" w:firstLineChars="200"/>
        <w:rPr>
          <w:rFonts w:ascii="Times New Roman" w:hAnsi="Times New Roman"/>
          <w:color w:val="auto"/>
          <w:szCs w:val="21"/>
        </w:rPr>
      </w:pPr>
      <w:r>
        <w:rPr>
          <w:rFonts w:ascii="Times New Roman" w:hAnsi="Times New Roman"/>
          <w:color w:val="auto"/>
        </w:rPr>
        <w:t>11.2.2</w:t>
      </w:r>
      <w:r>
        <w:rPr>
          <w:rFonts w:ascii="Times New Roman" w:hAnsi="Times New Roman"/>
          <w:color w:val="auto"/>
          <w:szCs w:val="21"/>
        </w:rPr>
        <w:t xml:space="preserve"> 勘察人提出的合理化建议降低了工程投资、缩短了施工期限或者提高了工程经济效益的，发包人应按专用合同条款中的约定给予奖励。</w:t>
      </w:r>
    </w:p>
    <w:p>
      <w:pPr>
        <w:pStyle w:val="5"/>
        <w:rPr>
          <w:rFonts w:ascii="Times New Roman" w:hAnsi="Times New Roman"/>
          <w:color w:val="auto"/>
        </w:rPr>
      </w:pPr>
      <w:bookmarkStart w:id="539" w:name="_Toc482188618"/>
      <w:bookmarkStart w:id="540" w:name="_Toc492300907"/>
      <w:r>
        <w:rPr>
          <w:rFonts w:ascii="Times New Roman" w:hAnsi="Times New Roman"/>
          <w:color w:val="auto"/>
        </w:rPr>
        <w:t>12. 合同价格与支付</w:t>
      </w:r>
      <w:bookmarkEnd w:id="539"/>
      <w:bookmarkEnd w:id="540"/>
    </w:p>
    <w:p>
      <w:pPr>
        <w:pStyle w:val="6"/>
        <w:spacing w:line="240" w:lineRule="auto"/>
        <w:ind w:firstLine="137"/>
        <w:rPr>
          <w:rFonts w:ascii="Times New Roman" w:hAnsi="Times New Roman"/>
          <w:color w:val="auto"/>
        </w:rPr>
      </w:pPr>
      <w:bookmarkStart w:id="541" w:name="_Toc492300908"/>
      <w:bookmarkStart w:id="542" w:name="_Toc482188619"/>
      <w:r>
        <w:rPr>
          <w:rFonts w:ascii="Times New Roman" w:hAnsi="Times New Roman"/>
          <w:color w:val="auto"/>
        </w:rPr>
        <w:t xml:space="preserve">12.1 </w:t>
      </w:r>
      <w:r>
        <w:rPr>
          <w:rFonts w:hint="eastAsia" w:ascii="Times New Roman" w:hAnsi="Times New Roman"/>
          <w:color w:val="auto"/>
        </w:rPr>
        <w:t>合同价格</w:t>
      </w:r>
      <w:bookmarkEnd w:id="541"/>
      <w:bookmarkEnd w:id="542"/>
    </w:p>
    <w:p>
      <w:pPr>
        <w:spacing w:line="360" w:lineRule="auto"/>
        <w:ind w:firstLine="420" w:firstLineChars="200"/>
        <w:rPr>
          <w:rFonts w:ascii="Times New Roman" w:hAnsi="Times New Roman"/>
          <w:color w:val="auto"/>
        </w:rPr>
      </w:pPr>
      <w:r>
        <w:rPr>
          <w:rFonts w:ascii="Times New Roman" w:hAnsi="Times New Roman"/>
          <w:color w:val="auto"/>
        </w:rPr>
        <w:t xml:space="preserve">12.1.1 </w:t>
      </w:r>
      <w:r>
        <w:rPr>
          <w:rFonts w:hint="eastAsia" w:ascii="Times New Roman" w:hAnsi="Times New Roman"/>
          <w:color w:val="auto"/>
        </w:rPr>
        <w:t>本合同的价款确定方式、调整方式和风险范围划分，</w:t>
      </w:r>
      <w:r>
        <w:rPr>
          <w:rFonts w:hint="eastAsia" w:ascii="Times New Roman" w:hAnsi="Times New Roman"/>
          <w:color w:val="auto"/>
          <w:kern w:val="0"/>
          <w:szCs w:val="21"/>
        </w:rPr>
        <w:t>在专用合同条款中约定</w:t>
      </w:r>
      <w:r>
        <w:rPr>
          <w:rFonts w:hint="eastAsia" w:ascii="Times New Roman" w:hAnsi="Times New Roman"/>
          <w:color w:val="auto"/>
        </w:rPr>
        <w:t>。</w:t>
      </w:r>
    </w:p>
    <w:p>
      <w:pPr>
        <w:spacing w:line="360" w:lineRule="auto"/>
        <w:ind w:firstLine="420" w:firstLineChars="200"/>
        <w:rPr>
          <w:rFonts w:ascii="Times New Roman" w:hAnsi="Times New Roman"/>
          <w:color w:val="auto"/>
        </w:rPr>
      </w:pPr>
      <w:r>
        <w:rPr>
          <w:rFonts w:ascii="Times New Roman" w:hAnsi="Times New Roman"/>
          <w:color w:val="auto"/>
        </w:rPr>
        <w:t>12.1.2 勘察费用实行发包人签证制度，即勘察人完成勘察项目后通知发包人进行验收，通过验收后由发包人代表对实施的勘察项目、数量、质量和实施时间签字确认，以此作为计算勘察费用的依据之一。</w:t>
      </w:r>
    </w:p>
    <w:p>
      <w:pPr>
        <w:spacing w:line="360" w:lineRule="auto"/>
        <w:ind w:firstLine="420" w:firstLineChars="200"/>
        <w:rPr>
          <w:rFonts w:ascii="Times New Roman" w:hAnsi="Times New Roman"/>
          <w:color w:val="auto"/>
        </w:rPr>
      </w:pPr>
      <w:r>
        <w:rPr>
          <w:rFonts w:ascii="Times New Roman" w:hAnsi="Times New Roman"/>
          <w:color w:val="auto"/>
        </w:rPr>
        <w:t>12.1.3 除专用合同条款另有约定外，合同价格应当包括收集资料，踏勘现场，制订纲要，进行测绘、勘探、取样、试验、测试、分析、评估、配合审查等，编制勘察文件，设计施工配合，青苗和园林绿化补偿，占地补偿，扰民及民扰，占道施工，安全防护、文明施工、环境保护，农民工工伤保险等全部费用和国家规定的增值税税金。</w:t>
      </w:r>
    </w:p>
    <w:p>
      <w:pPr>
        <w:spacing w:line="360" w:lineRule="auto"/>
        <w:ind w:firstLine="420" w:firstLineChars="200"/>
        <w:rPr>
          <w:rFonts w:ascii="Times New Roman" w:hAnsi="Times New Roman"/>
          <w:color w:val="auto"/>
          <w:szCs w:val="21"/>
        </w:rPr>
      </w:pPr>
      <w:r>
        <w:rPr>
          <w:rFonts w:ascii="Times New Roman" w:hAnsi="Times New Roman"/>
          <w:color w:val="auto"/>
        </w:rPr>
        <w:t>12.1.4 发包人要求勘察人进行外出考察、试验检测、专项咨询或专家评审时，相应费用不含在合同价格之中，由发包人另行支付。</w:t>
      </w:r>
    </w:p>
    <w:p>
      <w:pPr>
        <w:pStyle w:val="6"/>
        <w:spacing w:line="240" w:lineRule="auto"/>
        <w:ind w:firstLine="137"/>
        <w:rPr>
          <w:rFonts w:ascii="Times New Roman" w:hAnsi="Times New Roman"/>
          <w:color w:val="auto"/>
        </w:rPr>
      </w:pPr>
      <w:bookmarkStart w:id="543" w:name="_Toc482188620"/>
      <w:bookmarkStart w:id="544" w:name="_Toc492300909"/>
      <w:r>
        <w:rPr>
          <w:rFonts w:ascii="Times New Roman" w:hAnsi="Times New Roman"/>
          <w:color w:val="auto"/>
        </w:rPr>
        <w:t xml:space="preserve">12.2 </w:t>
      </w:r>
      <w:r>
        <w:rPr>
          <w:rFonts w:hint="eastAsia" w:ascii="Times New Roman" w:hAnsi="Times New Roman"/>
          <w:color w:val="auto"/>
        </w:rPr>
        <w:t>定金</w:t>
      </w:r>
      <w:bookmarkEnd w:id="543"/>
      <w:r>
        <w:rPr>
          <w:rFonts w:hint="eastAsia" w:ascii="Times New Roman" w:hAnsi="Times New Roman"/>
          <w:color w:val="auto"/>
        </w:rPr>
        <w:t>或预付款</w:t>
      </w:r>
      <w:bookmarkEnd w:id="544"/>
    </w:p>
    <w:p>
      <w:pPr>
        <w:spacing w:line="360" w:lineRule="auto"/>
        <w:ind w:firstLine="420" w:firstLineChars="200"/>
        <w:rPr>
          <w:rFonts w:ascii="Times New Roman" w:hAnsi="Times New Roman"/>
          <w:color w:val="auto"/>
        </w:rPr>
      </w:pPr>
      <w:r>
        <w:rPr>
          <w:rFonts w:ascii="Times New Roman" w:hAnsi="Times New Roman"/>
          <w:color w:val="auto"/>
        </w:rPr>
        <w:t>12.2.1</w:t>
      </w:r>
      <w:r>
        <w:rPr>
          <w:rFonts w:hint="eastAsia" w:ascii="Times New Roman" w:hAnsi="Times New Roman"/>
          <w:color w:val="auto"/>
          <w:szCs w:val="21"/>
        </w:rPr>
        <w:t>定金或预付款应专用于本工程的勘察。定金或预付款的额度、支付方式及抵扣方式</w:t>
      </w:r>
      <w:r>
        <w:rPr>
          <w:rFonts w:hint="eastAsia" w:ascii="Times New Roman" w:hAnsi="Times New Roman"/>
          <w:color w:val="auto"/>
          <w:kern w:val="0"/>
          <w:szCs w:val="21"/>
        </w:rPr>
        <w:t>在专用合同条款中约定</w:t>
      </w:r>
      <w:r>
        <w:rPr>
          <w:rFonts w:hint="eastAsia" w:ascii="Times New Roman" w:hAnsi="Times New Roman"/>
          <w:color w:val="auto"/>
        </w:rPr>
        <w:t>。</w:t>
      </w:r>
    </w:p>
    <w:p>
      <w:pPr>
        <w:spacing w:line="360" w:lineRule="auto"/>
        <w:ind w:firstLine="420" w:firstLineChars="200"/>
        <w:rPr>
          <w:rFonts w:ascii="Times New Roman" w:hAnsi="Times New Roman"/>
          <w:color w:val="auto"/>
        </w:rPr>
      </w:pPr>
      <w:r>
        <w:rPr>
          <w:rFonts w:ascii="Times New Roman" w:hAnsi="Times New Roman"/>
          <w:color w:val="auto"/>
        </w:rPr>
        <w:t>12.2.2 发包人应在收到定金</w:t>
      </w:r>
      <w:r>
        <w:rPr>
          <w:rFonts w:hint="eastAsia" w:ascii="Times New Roman" w:hAnsi="Times New Roman"/>
          <w:color w:val="auto"/>
        </w:rPr>
        <w:t>或预付款</w:t>
      </w:r>
      <w:r>
        <w:rPr>
          <w:rFonts w:ascii="Times New Roman" w:hAnsi="Times New Roman"/>
          <w:color w:val="auto"/>
        </w:rPr>
        <w:t>支付</w:t>
      </w:r>
      <w:r>
        <w:rPr>
          <w:rFonts w:ascii="Times New Roman" w:hAnsi="Times New Roman"/>
          <w:color w:val="auto"/>
          <w:szCs w:val="21"/>
        </w:rPr>
        <w:t>申请</w:t>
      </w:r>
      <w:r>
        <w:rPr>
          <w:rFonts w:ascii="Times New Roman" w:hAnsi="Times New Roman"/>
          <w:color w:val="auto"/>
        </w:rPr>
        <w:t>后28天内，将定金</w:t>
      </w:r>
      <w:r>
        <w:rPr>
          <w:rFonts w:hint="eastAsia" w:ascii="Times New Roman" w:hAnsi="Times New Roman"/>
          <w:color w:val="auto"/>
        </w:rPr>
        <w:t>或预付款</w:t>
      </w:r>
      <w:r>
        <w:rPr>
          <w:rFonts w:ascii="Times New Roman" w:hAnsi="Times New Roman"/>
          <w:color w:val="auto"/>
        </w:rPr>
        <w:t>支付给勘察人；勘察人应当提供等额的增值税发票。</w:t>
      </w:r>
    </w:p>
    <w:p>
      <w:pPr>
        <w:spacing w:line="360" w:lineRule="auto"/>
        <w:ind w:firstLine="420" w:firstLineChars="200"/>
        <w:rPr>
          <w:rFonts w:ascii="Times New Roman" w:hAnsi="Times New Roman"/>
          <w:color w:val="auto"/>
          <w:szCs w:val="21"/>
        </w:rPr>
      </w:pPr>
      <w:r>
        <w:rPr>
          <w:rFonts w:ascii="Times New Roman" w:hAnsi="Times New Roman"/>
          <w:color w:val="auto"/>
        </w:rPr>
        <w:t xml:space="preserve">12.2.3 </w:t>
      </w:r>
      <w:r>
        <w:rPr>
          <w:rFonts w:ascii="Times New Roman" w:hAnsi="Times New Roman"/>
          <w:color w:val="auto"/>
          <w:szCs w:val="21"/>
        </w:rPr>
        <w:t>勘察服务完成之前，由于不可抗力或其他非勘察人的原因解除合同时，定金不予退还。</w:t>
      </w:r>
    </w:p>
    <w:p>
      <w:pPr>
        <w:pStyle w:val="6"/>
        <w:spacing w:line="240" w:lineRule="auto"/>
        <w:ind w:firstLine="137"/>
        <w:rPr>
          <w:rFonts w:ascii="Times New Roman" w:hAnsi="Times New Roman"/>
          <w:color w:val="auto"/>
        </w:rPr>
      </w:pPr>
      <w:bookmarkStart w:id="545" w:name="_Toc467651035"/>
      <w:bookmarkStart w:id="546" w:name="_Toc482188621"/>
      <w:bookmarkStart w:id="547" w:name="_Toc492300910"/>
      <w:r>
        <w:rPr>
          <w:rFonts w:ascii="Times New Roman" w:hAnsi="Times New Roman"/>
          <w:color w:val="auto"/>
        </w:rPr>
        <w:t xml:space="preserve">12.3 </w:t>
      </w:r>
      <w:r>
        <w:rPr>
          <w:rFonts w:hint="eastAsia" w:ascii="Times New Roman" w:hAnsi="Times New Roman"/>
          <w:color w:val="auto"/>
        </w:rPr>
        <w:t>中期支付</w:t>
      </w:r>
      <w:bookmarkEnd w:id="545"/>
      <w:bookmarkEnd w:id="546"/>
      <w:bookmarkEnd w:id="547"/>
    </w:p>
    <w:p>
      <w:pPr>
        <w:spacing w:line="360" w:lineRule="auto"/>
        <w:ind w:firstLine="420" w:firstLineChars="200"/>
        <w:rPr>
          <w:rFonts w:ascii="Times New Roman" w:hAnsi="Times New Roman"/>
          <w:color w:val="auto"/>
          <w:szCs w:val="21"/>
        </w:rPr>
      </w:pPr>
      <w:r>
        <w:rPr>
          <w:rFonts w:ascii="Times New Roman" w:hAnsi="Times New Roman"/>
          <w:color w:val="auto"/>
        </w:rPr>
        <w:t>12.3.1</w:t>
      </w:r>
      <w:r>
        <w:rPr>
          <w:rFonts w:ascii="Times New Roman" w:hAnsi="Times New Roman"/>
          <w:color w:val="auto"/>
          <w:szCs w:val="21"/>
        </w:rPr>
        <w:t xml:space="preserve"> 勘察人应按发包人批准或专用合同条款约定的格式及份数，向发包人提交中期支付申请，并附相应的支持性证明文件。</w:t>
      </w:r>
    </w:p>
    <w:p>
      <w:pPr>
        <w:spacing w:line="360" w:lineRule="auto"/>
        <w:ind w:firstLine="420" w:firstLineChars="200"/>
        <w:rPr>
          <w:rFonts w:ascii="Times New Roman" w:hAnsi="Times New Roman"/>
          <w:color w:val="auto"/>
        </w:rPr>
      </w:pPr>
      <w:r>
        <w:rPr>
          <w:rFonts w:ascii="Times New Roman" w:hAnsi="Times New Roman"/>
          <w:color w:val="auto"/>
        </w:rPr>
        <w:t>12.3.2 发包人应在收到</w:t>
      </w:r>
      <w:r>
        <w:rPr>
          <w:rFonts w:ascii="Times New Roman" w:hAnsi="Times New Roman"/>
          <w:color w:val="auto"/>
          <w:szCs w:val="21"/>
        </w:rPr>
        <w:t>中期支付申请</w:t>
      </w:r>
      <w:r>
        <w:rPr>
          <w:rFonts w:ascii="Times New Roman" w:hAnsi="Times New Roman"/>
          <w:color w:val="auto"/>
        </w:rPr>
        <w:t>后的28天内，将应付款项支付给勘察人；勘察人应当提供等额的增值税发票。发包人未能在前述时间内完成审批或不予答复的，视为发包人同意</w:t>
      </w:r>
      <w:r>
        <w:rPr>
          <w:rFonts w:ascii="Times New Roman" w:hAnsi="Times New Roman"/>
          <w:color w:val="auto"/>
          <w:szCs w:val="21"/>
        </w:rPr>
        <w:t>中期支付申请</w:t>
      </w:r>
      <w:r>
        <w:rPr>
          <w:rFonts w:ascii="Times New Roman" w:hAnsi="Times New Roman"/>
          <w:color w:val="auto"/>
        </w:rPr>
        <w:t>。发包人不按期支付的，按专用合同条款的约定支付逾期付款违约金。</w:t>
      </w:r>
    </w:p>
    <w:p>
      <w:pPr>
        <w:spacing w:line="360" w:lineRule="auto"/>
        <w:ind w:firstLine="420" w:firstLineChars="200"/>
        <w:rPr>
          <w:rFonts w:ascii="Times New Roman" w:hAnsi="Times New Roman"/>
          <w:color w:val="auto"/>
          <w:szCs w:val="21"/>
        </w:rPr>
      </w:pPr>
      <w:r>
        <w:rPr>
          <w:rFonts w:ascii="Times New Roman" w:hAnsi="Times New Roman"/>
          <w:color w:val="auto"/>
        </w:rPr>
        <w:t xml:space="preserve">12.3.3 </w:t>
      </w:r>
      <w:r>
        <w:rPr>
          <w:rFonts w:ascii="Times New Roman" w:hAnsi="Times New Roman"/>
          <w:color w:val="auto"/>
          <w:szCs w:val="21"/>
        </w:rPr>
        <w:t>中期支付涉及政府投资资金的，按照国库集中支付等国家相关规定和专用合同条款的约定执行。</w:t>
      </w:r>
    </w:p>
    <w:p>
      <w:pPr>
        <w:pStyle w:val="6"/>
        <w:spacing w:line="240" w:lineRule="auto"/>
        <w:ind w:firstLine="137"/>
        <w:rPr>
          <w:rFonts w:ascii="Times New Roman" w:hAnsi="Times New Roman"/>
          <w:color w:val="auto"/>
        </w:rPr>
      </w:pPr>
      <w:bookmarkStart w:id="548" w:name="_Toc467651036"/>
      <w:bookmarkStart w:id="549" w:name="_Toc492300911"/>
      <w:bookmarkStart w:id="550" w:name="_Toc482188622"/>
      <w:r>
        <w:rPr>
          <w:rFonts w:ascii="Times New Roman" w:hAnsi="Times New Roman"/>
          <w:color w:val="auto"/>
        </w:rPr>
        <w:t xml:space="preserve">12.4 </w:t>
      </w:r>
      <w:r>
        <w:rPr>
          <w:rFonts w:hint="eastAsia" w:ascii="Times New Roman" w:hAnsi="Times New Roman"/>
          <w:color w:val="auto"/>
        </w:rPr>
        <w:t>费用结算</w:t>
      </w:r>
      <w:bookmarkEnd w:id="548"/>
      <w:bookmarkEnd w:id="549"/>
      <w:bookmarkEnd w:id="550"/>
    </w:p>
    <w:p>
      <w:pPr>
        <w:spacing w:line="360" w:lineRule="auto"/>
        <w:ind w:firstLine="420" w:firstLineChars="200"/>
        <w:rPr>
          <w:rFonts w:ascii="Times New Roman" w:hAnsi="Times New Roman"/>
          <w:color w:val="auto"/>
        </w:rPr>
      </w:pPr>
      <w:r>
        <w:rPr>
          <w:rFonts w:ascii="Times New Roman" w:hAnsi="Times New Roman"/>
          <w:color w:val="auto"/>
        </w:rPr>
        <w:t>12.4.1</w:t>
      </w:r>
      <w:r>
        <w:rPr>
          <w:rFonts w:ascii="Times New Roman" w:hAnsi="Times New Roman"/>
          <w:color w:val="auto"/>
          <w:szCs w:val="21"/>
        </w:rPr>
        <w:t xml:space="preserve"> 合同工作完成后</w:t>
      </w:r>
      <w:r>
        <w:rPr>
          <w:rFonts w:ascii="Times New Roman" w:hAnsi="Times New Roman"/>
          <w:color w:val="auto"/>
        </w:rPr>
        <w:t>，勘察人可按专用合同条款约定的份数和期限，向发包人提交勘察费用结算申请，并提供相关证明材料。</w:t>
      </w:r>
    </w:p>
    <w:p>
      <w:pPr>
        <w:spacing w:line="360" w:lineRule="auto"/>
        <w:ind w:firstLine="420" w:firstLineChars="200"/>
        <w:rPr>
          <w:rFonts w:ascii="Times New Roman" w:hAnsi="Times New Roman"/>
          <w:color w:val="auto"/>
        </w:rPr>
      </w:pPr>
      <w:r>
        <w:rPr>
          <w:rFonts w:ascii="Times New Roman" w:hAnsi="Times New Roman"/>
          <w:color w:val="auto"/>
        </w:rPr>
        <w:t>12.4.2 发包人应在收到费用结算申请后的28天内，将应付款项支付给勘察人；勘察人应当提供等额的增值税发票。发包人未能在前述时间内完成审批或不予答复的，视为发包人同意费用结算申请。发包人不按期支付的，按专用合同条款的约定支付逾期付款违约金。</w:t>
      </w:r>
    </w:p>
    <w:p>
      <w:pPr>
        <w:spacing w:line="360" w:lineRule="auto"/>
        <w:ind w:firstLine="420" w:firstLineChars="200"/>
        <w:rPr>
          <w:rFonts w:ascii="Times New Roman" w:hAnsi="Times New Roman"/>
          <w:color w:val="auto"/>
        </w:rPr>
      </w:pPr>
      <w:r>
        <w:rPr>
          <w:rFonts w:ascii="Times New Roman" w:hAnsi="Times New Roman"/>
          <w:color w:val="auto"/>
        </w:rPr>
        <w:t>12.4.3 发包人对费用结算申请内容有异议的，有权要求勘察人进行修正和提供补充资料，由勘察人重新提交</w:t>
      </w:r>
      <w:r>
        <w:rPr>
          <w:rFonts w:ascii="Times New Roman" w:hAnsi="Times New Roman"/>
          <w:color w:val="auto"/>
          <w:szCs w:val="21"/>
        </w:rPr>
        <w:t>。</w:t>
      </w:r>
      <w:r>
        <w:rPr>
          <w:rFonts w:ascii="Times New Roman" w:hAnsi="Times New Roman"/>
          <w:color w:val="auto"/>
        </w:rPr>
        <w:t>勘察人对此有异议的，按第15条的约定执行。</w:t>
      </w:r>
    </w:p>
    <w:p>
      <w:pPr>
        <w:spacing w:line="360" w:lineRule="auto"/>
        <w:ind w:firstLine="420" w:firstLineChars="200"/>
        <w:rPr>
          <w:rFonts w:ascii="Times New Roman" w:hAnsi="Times New Roman"/>
          <w:color w:val="auto"/>
          <w:szCs w:val="21"/>
        </w:rPr>
      </w:pPr>
      <w:r>
        <w:rPr>
          <w:rFonts w:ascii="Times New Roman" w:hAnsi="Times New Roman"/>
          <w:color w:val="auto"/>
        </w:rPr>
        <w:t>12.4.4 最终结清</w:t>
      </w:r>
      <w:r>
        <w:rPr>
          <w:rFonts w:ascii="Times New Roman" w:hAnsi="Times New Roman"/>
          <w:color w:val="auto"/>
          <w:szCs w:val="21"/>
        </w:rPr>
        <w:t>付款涉及政府投资资金的，</w:t>
      </w:r>
      <w:r>
        <w:rPr>
          <w:rFonts w:ascii="Times New Roman" w:hAnsi="Times New Roman"/>
          <w:color w:val="auto"/>
        </w:rPr>
        <w:t>按第12.3.3项的</w:t>
      </w:r>
      <w:r>
        <w:rPr>
          <w:rFonts w:ascii="Times New Roman" w:hAnsi="Times New Roman"/>
          <w:color w:val="auto"/>
          <w:szCs w:val="21"/>
        </w:rPr>
        <w:t>约定执行。</w:t>
      </w:r>
    </w:p>
    <w:p>
      <w:pPr>
        <w:pStyle w:val="5"/>
        <w:rPr>
          <w:rFonts w:ascii="Times New Roman" w:hAnsi="Times New Roman"/>
          <w:color w:val="auto"/>
        </w:rPr>
      </w:pPr>
      <w:bookmarkStart w:id="551" w:name="_Toc482188623"/>
      <w:bookmarkStart w:id="552" w:name="_Toc492300912"/>
      <w:r>
        <w:rPr>
          <w:rFonts w:ascii="Times New Roman" w:hAnsi="Times New Roman"/>
          <w:color w:val="auto"/>
        </w:rPr>
        <w:t>13. 不可抗力</w:t>
      </w:r>
      <w:bookmarkEnd w:id="551"/>
      <w:bookmarkEnd w:id="552"/>
    </w:p>
    <w:p>
      <w:pPr>
        <w:pStyle w:val="6"/>
        <w:spacing w:line="240" w:lineRule="auto"/>
        <w:ind w:firstLine="137"/>
        <w:rPr>
          <w:rFonts w:ascii="Times New Roman" w:hAnsi="Times New Roman"/>
          <w:color w:val="auto"/>
        </w:rPr>
      </w:pPr>
      <w:bookmarkStart w:id="553" w:name="_Toc492300913"/>
      <w:bookmarkStart w:id="554" w:name="_Toc482188624"/>
      <w:r>
        <w:rPr>
          <w:rFonts w:ascii="Times New Roman" w:hAnsi="Times New Roman"/>
          <w:color w:val="auto"/>
        </w:rPr>
        <w:t xml:space="preserve">13.1 </w:t>
      </w:r>
      <w:r>
        <w:rPr>
          <w:rFonts w:hint="eastAsia" w:ascii="Times New Roman" w:hAnsi="Times New Roman"/>
          <w:color w:val="auto"/>
        </w:rPr>
        <w:t>不可抗力的确认</w:t>
      </w:r>
      <w:bookmarkEnd w:id="553"/>
      <w:bookmarkEnd w:id="554"/>
    </w:p>
    <w:p>
      <w:pPr>
        <w:spacing w:line="360" w:lineRule="auto"/>
        <w:ind w:firstLine="420" w:firstLineChars="200"/>
        <w:rPr>
          <w:rFonts w:ascii="Times New Roman" w:hAnsi="Times New Roman"/>
          <w:color w:val="auto"/>
        </w:rPr>
      </w:pPr>
      <w:r>
        <w:rPr>
          <w:rFonts w:ascii="Times New Roman" w:hAnsi="Times New Roman"/>
          <w:color w:val="auto"/>
        </w:rPr>
        <w:t>13.1.1</w:t>
      </w:r>
      <w:r>
        <w:rPr>
          <w:rFonts w:ascii="Times New Roman" w:hAnsi="Times New Roman"/>
          <w:color w:val="auto"/>
          <w:szCs w:val="21"/>
        </w:rPr>
        <w:t xml:space="preserve"> 不可抗力是指勘察人和发包人在订立合同时不可预见，在履行合</w:t>
      </w:r>
      <w:bookmarkStart w:id="555" w:name="_Toc300835182"/>
      <w:bookmarkStart w:id="556" w:name="_Toc247527781"/>
      <w:bookmarkStart w:id="557" w:name="_Toc247514180"/>
      <w:bookmarkStart w:id="558" w:name="_Toc184635118"/>
      <w:r>
        <w:rPr>
          <w:rFonts w:ascii="Times New Roman" w:hAnsi="Times New Roman"/>
          <w:color w:val="auto"/>
          <w:szCs w:val="21"/>
        </w:rPr>
        <w:t>同过程中不可避免</w:t>
      </w:r>
      <w:bookmarkEnd w:id="555"/>
      <w:bookmarkEnd w:id="556"/>
      <w:bookmarkEnd w:id="557"/>
      <w:bookmarkEnd w:id="558"/>
      <w:r>
        <w:rPr>
          <w:rFonts w:ascii="Times New Roman" w:hAnsi="Times New Roman"/>
          <w:color w:val="auto"/>
          <w:szCs w:val="21"/>
        </w:rPr>
        <w:t>发</w:t>
      </w:r>
      <w:bookmarkStart w:id="559" w:name="_Toc247514181"/>
      <w:bookmarkStart w:id="560" w:name="_Toc300835183"/>
      <w:bookmarkStart w:id="561" w:name="_Toc247527782"/>
      <w:r>
        <w:rPr>
          <w:rFonts w:ascii="Times New Roman" w:hAnsi="Times New Roman"/>
          <w:color w:val="auto"/>
          <w:szCs w:val="21"/>
        </w:rPr>
        <w:t>生并不能克服的自然灾害和</w:t>
      </w:r>
      <w:bookmarkEnd w:id="559"/>
      <w:bookmarkEnd w:id="560"/>
      <w:bookmarkEnd w:id="561"/>
      <w:r>
        <w:rPr>
          <w:rFonts w:ascii="Times New Roman" w:hAnsi="Times New Roman"/>
          <w:color w:val="auto"/>
          <w:szCs w:val="21"/>
        </w:rPr>
        <w:t>社会性突发事件，如地震、海啸、瘟疫、水灾、骚乱、暴动、战争和专用合同条款约定的其</w:t>
      </w:r>
      <w:r>
        <w:rPr>
          <w:rFonts w:ascii="Times New Roman" w:hAnsi="Times New Roman"/>
          <w:color w:val="auto"/>
        </w:rPr>
        <w:t>他情形。</w:t>
      </w:r>
    </w:p>
    <w:p>
      <w:pPr>
        <w:spacing w:line="360" w:lineRule="auto"/>
        <w:ind w:firstLine="420" w:firstLineChars="200"/>
        <w:rPr>
          <w:rFonts w:ascii="Times New Roman" w:hAnsi="Times New Roman"/>
          <w:color w:val="auto"/>
          <w:szCs w:val="21"/>
        </w:rPr>
      </w:pPr>
      <w:r>
        <w:rPr>
          <w:rFonts w:ascii="Times New Roman" w:hAnsi="Times New Roman"/>
          <w:color w:val="auto"/>
        </w:rPr>
        <w:t>13.1.2</w:t>
      </w:r>
      <w:r>
        <w:rPr>
          <w:rFonts w:ascii="Times New Roman" w:hAnsi="Times New Roman"/>
          <w:color w:val="auto"/>
          <w:szCs w:val="21"/>
        </w:rPr>
        <w:t xml:space="preserve"> 不可抗力发生后，发包人和勘察人应及时认真统计所造成的损失，收集不可抗力造成损失的证据。合同双方对是否属于不可抗力或其损失的意见不一致的，由合同双方协商确定。</w:t>
      </w:r>
    </w:p>
    <w:p>
      <w:pPr>
        <w:pStyle w:val="6"/>
        <w:spacing w:line="240" w:lineRule="auto"/>
        <w:ind w:firstLine="137"/>
        <w:rPr>
          <w:rFonts w:ascii="Times New Roman" w:hAnsi="Times New Roman"/>
          <w:color w:val="auto"/>
        </w:rPr>
      </w:pPr>
      <w:bookmarkStart w:id="562" w:name="_Toc492300914"/>
      <w:bookmarkStart w:id="563" w:name="_Toc482188625"/>
      <w:r>
        <w:rPr>
          <w:rFonts w:ascii="Times New Roman" w:hAnsi="Times New Roman"/>
          <w:color w:val="auto"/>
        </w:rPr>
        <w:t xml:space="preserve">13.2 </w:t>
      </w:r>
      <w:r>
        <w:rPr>
          <w:rFonts w:hint="eastAsia" w:ascii="Times New Roman" w:hAnsi="Times New Roman"/>
          <w:color w:val="auto"/>
        </w:rPr>
        <w:t>不可抗力的通知</w:t>
      </w:r>
      <w:bookmarkEnd w:id="562"/>
      <w:bookmarkEnd w:id="563"/>
    </w:p>
    <w:p>
      <w:pPr>
        <w:spacing w:line="360" w:lineRule="auto"/>
        <w:ind w:firstLine="420" w:firstLineChars="200"/>
        <w:rPr>
          <w:rFonts w:ascii="Times New Roman" w:hAnsi="Times New Roman"/>
          <w:color w:val="auto"/>
          <w:szCs w:val="21"/>
        </w:rPr>
      </w:pPr>
      <w:r>
        <w:rPr>
          <w:rFonts w:ascii="Times New Roman" w:hAnsi="Times New Roman"/>
          <w:color w:val="auto"/>
        </w:rPr>
        <w:t>13.2.1</w:t>
      </w:r>
      <w:r>
        <w:rPr>
          <w:rFonts w:ascii="Times New Roman" w:hAnsi="Times New Roman"/>
          <w:color w:val="auto"/>
          <w:szCs w:val="21"/>
        </w:rPr>
        <w:t xml:space="preserve"> 合同一方当事人遇到不可抗力事件，使其履行合同义务受到阻碍时，应立即通知合同</w:t>
      </w:r>
      <w:bookmarkStart w:id="564" w:name="_Toc247514182"/>
      <w:bookmarkStart w:id="565" w:name="_Toc247527783"/>
      <w:bookmarkStart w:id="566" w:name="_Toc300835184"/>
      <w:r>
        <w:rPr>
          <w:rFonts w:ascii="Times New Roman" w:hAnsi="Times New Roman"/>
          <w:color w:val="auto"/>
          <w:szCs w:val="21"/>
        </w:rPr>
        <w:t>另一方当事人，书面说明不</w:t>
      </w:r>
      <w:bookmarkEnd w:id="564"/>
      <w:bookmarkEnd w:id="565"/>
      <w:bookmarkEnd w:id="566"/>
      <w:r>
        <w:rPr>
          <w:rFonts w:ascii="Times New Roman" w:hAnsi="Times New Roman"/>
          <w:color w:val="auto"/>
          <w:szCs w:val="21"/>
        </w:rPr>
        <w:t>可抗力和受阻碍的详细情况，并提供必要的证明。</w:t>
      </w:r>
    </w:p>
    <w:p>
      <w:pPr>
        <w:spacing w:line="360" w:lineRule="auto"/>
        <w:ind w:firstLine="420" w:firstLineChars="200"/>
        <w:rPr>
          <w:rFonts w:ascii="Times New Roman" w:hAnsi="Times New Roman"/>
          <w:color w:val="auto"/>
          <w:szCs w:val="21"/>
        </w:rPr>
      </w:pPr>
      <w:r>
        <w:rPr>
          <w:rFonts w:ascii="Times New Roman" w:hAnsi="Times New Roman"/>
          <w:color w:val="auto"/>
        </w:rPr>
        <w:t xml:space="preserve">13.2.2 </w:t>
      </w:r>
      <w:r>
        <w:rPr>
          <w:rFonts w:ascii="Times New Roman" w:hAnsi="Times New Roman"/>
          <w:color w:val="auto"/>
          <w:szCs w:val="21"/>
        </w:rPr>
        <w:t>如不可抗力持续发生，合同一方当事人应及时向合同另一方当事人提交中间报告，说明不可抗力和履行合同受阻的情况，并于不可抗力事件结束后28天内提交最终报告及有关资料。</w:t>
      </w:r>
    </w:p>
    <w:p>
      <w:pPr>
        <w:pStyle w:val="6"/>
        <w:spacing w:line="240" w:lineRule="auto"/>
        <w:ind w:firstLine="137"/>
        <w:rPr>
          <w:rFonts w:ascii="Times New Roman" w:hAnsi="Times New Roman"/>
          <w:color w:val="auto"/>
        </w:rPr>
      </w:pPr>
      <w:bookmarkStart w:id="567" w:name="_Toc482188626"/>
      <w:bookmarkStart w:id="568" w:name="_Toc492300915"/>
      <w:r>
        <w:rPr>
          <w:rFonts w:ascii="Times New Roman" w:hAnsi="Times New Roman"/>
          <w:color w:val="auto"/>
        </w:rPr>
        <w:t xml:space="preserve">13.3 </w:t>
      </w:r>
      <w:r>
        <w:rPr>
          <w:rFonts w:hint="eastAsia" w:ascii="Times New Roman" w:hAnsi="Times New Roman"/>
          <w:color w:val="auto"/>
        </w:rPr>
        <w:t>不可抗力后果及其处理</w:t>
      </w:r>
      <w:bookmarkEnd w:id="567"/>
      <w:bookmarkEnd w:id="568"/>
    </w:p>
    <w:p>
      <w:pPr>
        <w:spacing w:line="360" w:lineRule="auto"/>
        <w:ind w:firstLine="420" w:firstLineChars="200"/>
        <w:rPr>
          <w:rFonts w:ascii="Times New Roman" w:hAnsi="Times New Roman"/>
          <w:color w:val="auto"/>
          <w:szCs w:val="21"/>
        </w:rPr>
      </w:pPr>
      <w:r>
        <w:rPr>
          <w:rFonts w:ascii="Times New Roman" w:hAnsi="Times New Roman"/>
          <w:color w:val="auto"/>
          <w:szCs w:val="21"/>
        </w:rPr>
        <w:t>13.3.1 不可抗力引起的后果及其损失，应由合同当事人依据法律规定各自承担。不可抗力发生前已完成的勘察工作，应当按照合同约定进行支付。</w:t>
      </w:r>
    </w:p>
    <w:p>
      <w:pPr>
        <w:spacing w:line="360" w:lineRule="auto"/>
        <w:ind w:firstLine="420" w:firstLineChars="200"/>
        <w:rPr>
          <w:rFonts w:ascii="Times New Roman" w:hAnsi="Times New Roman"/>
          <w:color w:val="auto"/>
          <w:szCs w:val="21"/>
        </w:rPr>
      </w:pPr>
      <w:r>
        <w:rPr>
          <w:rFonts w:ascii="Times New Roman" w:hAnsi="Times New Roman"/>
          <w:color w:val="auto"/>
          <w:szCs w:val="21"/>
        </w:rPr>
        <w:t>13.3.2 不可抗力发生后，合同当事人应当采取有效措施避免损失进一步扩大，如未采取有效措施致使损失扩大的，应当自行承担扩大部分的损失。</w:t>
      </w:r>
    </w:p>
    <w:p>
      <w:pPr>
        <w:spacing w:line="360" w:lineRule="auto"/>
        <w:ind w:firstLine="420" w:firstLineChars="200"/>
        <w:rPr>
          <w:rFonts w:ascii="Times New Roman" w:hAnsi="Times New Roman"/>
          <w:color w:val="auto"/>
          <w:szCs w:val="21"/>
        </w:rPr>
      </w:pPr>
      <w:r>
        <w:rPr>
          <w:rFonts w:ascii="Times New Roman" w:hAnsi="Times New Roman"/>
          <w:color w:val="auto"/>
          <w:szCs w:val="21"/>
        </w:rPr>
        <w:t>13.3.3 因一方当事人迟延履行合同义务，致使迟延履行期间遭遇不可抗力的，应由该当事人承担全部损失。</w:t>
      </w:r>
    </w:p>
    <w:p>
      <w:pPr>
        <w:pStyle w:val="5"/>
        <w:rPr>
          <w:rFonts w:ascii="Times New Roman" w:hAnsi="Times New Roman"/>
          <w:color w:val="auto"/>
        </w:rPr>
      </w:pPr>
      <w:bookmarkStart w:id="569" w:name="_Toc492300916"/>
      <w:bookmarkStart w:id="570" w:name="_Toc482188627"/>
      <w:r>
        <w:rPr>
          <w:rFonts w:ascii="Times New Roman" w:hAnsi="Times New Roman"/>
          <w:color w:val="auto"/>
        </w:rPr>
        <w:t>14. 违约</w:t>
      </w:r>
      <w:bookmarkEnd w:id="569"/>
      <w:bookmarkEnd w:id="570"/>
    </w:p>
    <w:p>
      <w:pPr>
        <w:pStyle w:val="6"/>
        <w:spacing w:line="240" w:lineRule="auto"/>
        <w:ind w:firstLine="137"/>
        <w:rPr>
          <w:rFonts w:ascii="Times New Roman" w:hAnsi="Times New Roman"/>
          <w:color w:val="auto"/>
        </w:rPr>
      </w:pPr>
      <w:bookmarkStart w:id="571" w:name="_Toc482188628"/>
      <w:bookmarkStart w:id="572" w:name="_Toc492300917"/>
      <w:r>
        <w:rPr>
          <w:rFonts w:ascii="Times New Roman" w:hAnsi="Times New Roman"/>
          <w:color w:val="auto"/>
        </w:rPr>
        <w:t xml:space="preserve">14.1 </w:t>
      </w:r>
      <w:r>
        <w:rPr>
          <w:rFonts w:hint="eastAsia" w:ascii="Times New Roman" w:hAnsi="Times New Roman"/>
          <w:color w:val="auto"/>
        </w:rPr>
        <w:t>勘察人违约</w:t>
      </w:r>
      <w:bookmarkEnd w:id="571"/>
      <w:bookmarkEnd w:id="572"/>
    </w:p>
    <w:p>
      <w:pPr>
        <w:spacing w:line="360" w:lineRule="auto"/>
        <w:ind w:firstLine="420" w:firstLineChars="200"/>
        <w:rPr>
          <w:rFonts w:ascii="Times New Roman" w:hAnsi="Times New Roman"/>
          <w:color w:val="auto"/>
          <w:szCs w:val="21"/>
        </w:rPr>
      </w:pPr>
      <w:r>
        <w:rPr>
          <w:rFonts w:ascii="Times New Roman" w:hAnsi="Times New Roman"/>
          <w:color w:val="auto"/>
        </w:rPr>
        <w:t>14.1.1</w:t>
      </w:r>
      <w:r>
        <w:rPr>
          <w:rFonts w:ascii="Times New Roman" w:hAnsi="Times New Roman"/>
          <w:color w:val="auto"/>
          <w:szCs w:val="21"/>
        </w:rPr>
        <w:t>合同履行中发生下列情况之一的，属勘察人违约：</w:t>
      </w:r>
    </w:p>
    <w:p>
      <w:pPr>
        <w:spacing w:line="360" w:lineRule="auto"/>
        <w:ind w:firstLine="420" w:firstLineChars="200"/>
        <w:rPr>
          <w:rFonts w:ascii="Times New Roman" w:hAnsi="Times New Roman"/>
          <w:color w:val="auto"/>
        </w:rPr>
      </w:pPr>
      <w:r>
        <w:rPr>
          <w:rFonts w:ascii="Times New Roman" w:hAnsi="Times New Roman"/>
          <w:color w:val="auto"/>
        </w:rPr>
        <w:t>（1）</w:t>
      </w:r>
      <w:bookmarkStart w:id="573" w:name="_Toc247527786"/>
      <w:bookmarkStart w:id="574" w:name="_Toc247514185"/>
      <w:bookmarkStart w:id="575" w:name="_Toc300835187"/>
      <w:r>
        <w:rPr>
          <w:rFonts w:ascii="Times New Roman" w:hAnsi="Times New Roman"/>
          <w:color w:val="auto"/>
        </w:rPr>
        <w:t>勘察</w:t>
      </w:r>
      <w:bookmarkEnd w:id="573"/>
      <w:bookmarkEnd w:id="574"/>
      <w:bookmarkEnd w:id="575"/>
      <w:r>
        <w:rPr>
          <w:rFonts w:ascii="Times New Roman" w:hAnsi="Times New Roman"/>
          <w:color w:val="auto"/>
        </w:rPr>
        <w:t>文件不符合法律以及合同约定；</w:t>
      </w:r>
    </w:p>
    <w:p>
      <w:pPr>
        <w:spacing w:line="360" w:lineRule="auto"/>
        <w:ind w:firstLine="420" w:firstLineChars="200"/>
        <w:rPr>
          <w:rFonts w:ascii="Times New Roman" w:hAnsi="Times New Roman"/>
          <w:color w:val="auto"/>
        </w:rPr>
      </w:pPr>
      <w:r>
        <w:rPr>
          <w:rFonts w:ascii="Times New Roman" w:hAnsi="Times New Roman"/>
          <w:color w:val="auto"/>
        </w:rPr>
        <w:t>（2）勘察人转包、违法分包或者未经发包人同意擅自分包；</w:t>
      </w:r>
    </w:p>
    <w:p>
      <w:pPr>
        <w:spacing w:line="360" w:lineRule="auto"/>
        <w:ind w:firstLine="420" w:firstLineChars="200"/>
        <w:rPr>
          <w:rFonts w:ascii="Times New Roman" w:hAnsi="Times New Roman"/>
          <w:color w:val="auto"/>
        </w:rPr>
      </w:pPr>
      <w:r>
        <w:rPr>
          <w:rFonts w:ascii="Times New Roman" w:hAnsi="Times New Roman"/>
          <w:color w:val="auto"/>
        </w:rPr>
        <w:t>（3）勘察人未按合同计划完成勘察，从而造成工程损失；</w:t>
      </w:r>
    </w:p>
    <w:p>
      <w:pPr>
        <w:spacing w:line="360" w:lineRule="auto"/>
        <w:ind w:firstLine="420" w:firstLineChars="200"/>
        <w:rPr>
          <w:rFonts w:ascii="Times New Roman" w:hAnsi="Times New Roman"/>
          <w:color w:val="auto"/>
        </w:rPr>
      </w:pPr>
      <w:r>
        <w:rPr>
          <w:rFonts w:ascii="Times New Roman" w:hAnsi="Times New Roman"/>
          <w:color w:val="auto"/>
        </w:rPr>
        <w:t>（4）勘察人无法履行或停止履行合同；</w:t>
      </w:r>
    </w:p>
    <w:p>
      <w:pPr>
        <w:spacing w:line="360" w:lineRule="auto"/>
        <w:ind w:firstLine="420" w:firstLineChars="200"/>
        <w:rPr>
          <w:rFonts w:ascii="Times New Roman" w:hAnsi="Times New Roman"/>
          <w:color w:val="auto"/>
          <w:szCs w:val="21"/>
        </w:rPr>
      </w:pPr>
      <w:r>
        <w:rPr>
          <w:rFonts w:ascii="Times New Roman" w:hAnsi="Times New Roman"/>
          <w:color w:val="auto"/>
        </w:rPr>
        <w:t>（5）勘察人</w:t>
      </w:r>
      <w:r>
        <w:rPr>
          <w:rFonts w:ascii="Times New Roman" w:hAnsi="Times New Roman"/>
          <w:color w:val="auto"/>
          <w:szCs w:val="21"/>
        </w:rPr>
        <w:t>不履行合同约定的其他义务。</w:t>
      </w:r>
    </w:p>
    <w:p>
      <w:pPr>
        <w:spacing w:line="360" w:lineRule="auto"/>
        <w:ind w:firstLine="420" w:firstLineChars="200"/>
        <w:rPr>
          <w:rFonts w:ascii="Times New Roman" w:hAnsi="Times New Roman"/>
          <w:color w:val="auto"/>
        </w:rPr>
      </w:pPr>
      <w:r>
        <w:rPr>
          <w:rFonts w:ascii="Times New Roman" w:hAnsi="Times New Roman"/>
          <w:color w:val="auto"/>
        </w:rPr>
        <w:t>14.1.2</w:t>
      </w:r>
      <w:r>
        <w:rPr>
          <w:rFonts w:ascii="Times New Roman" w:hAnsi="Times New Roman"/>
          <w:color w:val="auto"/>
          <w:szCs w:val="21"/>
        </w:rPr>
        <w:t xml:space="preserve"> </w:t>
      </w:r>
      <w:r>
        <w:rPr>
          <w:rFonts w:ascii="Times New Roman" w:hAnsi="Times New Roman"/>
          <w:color w:val="auto"/>
        </w:rPr>
        <w:t>勘察人发生违约情况时，发包人可向勘察人发出整改通知，要求其在限定期限内纠正；逾期仍不纠正的，</w:t>
      </w:r>
      <w:r>
        <w:rPr>
          <w:rFonts w:ascii="Times New Roman" w:hAnsi="Times New Roman"/>
          <w:color w:val="auto"/>
          <w:szCs w:val="21"/>
        </w:rPr>
        <w:t>发包人有权解除合同并向勘察人发出解除合同通知。</w:t>
      </w:r>
      <w:r>
        <w:rPr>
          <w:rFonts w:ascii="Times New Roman" w:hAnsi="Times New Roman"/>
          <w:color w:val="auto"/>
        </w:rPr>
        <w:t>勘察人应当承担由于违约所造成的费用增加、周期延误和发包人损失等。</w:t>
      </w:r>
    </w:p>
    <w:p>
      <w:pPr>
        <w:pStyle w:val="6"/>
        <w:spacing w:line="240" w:lineRule="auto"/>
        <w:ind w:firstLine="137"/>
        <w:rPr>
          <w:rFonts w:ascii="Times New Roman" w:hAnsi="Times New Roman"/>
          <w:color w:val="auto"/>
        </w:rPr>
      </w:pPr>
      <w:bookmarkStart w:id="576" w:name="_Toc482188629"/>
      <w:bookmarkStart w:id="577" w:name="_Toc492300918"/>
      <w:r>
        <w:rPr>
          <w:rFonts w:ascii="Times New Roman" w:hAnsi="Times New Roman"/>
          <w:color w:val="auto"/>
        </w:rPr>
        <w:t xml:space="preserve">14.2 </w:t>
      </w:r>
      <w:r>
        <w:rPr>
          <w:rFonts w:hint="eastAsia" w:ascii="Times New Roman" w:hAnsi="Times New Roman"/>
          <w:color w:val="auto"/>
        </w:rPr>
        <w:t>发包人违约</w:t>
      </w:r>
      <w:bookmarkEnd w:id="576"/>
      <w:bookmarkEnd w:id="577"/>
    </w:p>
    <w:p>
      <w:pPr>
        <w:spacing w:line="360" w:lineRule="auto"/>
        <w:ind w:firstLine="420" w:firstLineChars="200"/>
        <w:rPr>
          <w:rFonts w:ascii="Times New Roman" w:hAnsi="Times New Roman"/>
          <w:color w:val="auto"/>
          <w:szCs w:val="21"/>
        </w:rPr>
      </w:pPr>
      <w:r>
        <w:rPr>
          <w:rFonts w:ascii="Times New Roman" w:hAnsi="Times New Roman"/>
          <w:color w:val="auto"/>
        </w:rPr>
        <w:t>14.2.1</w:t>
      </w:r>
      <w:r>
        <w:rPr>
          <w:rFonts w:ascii="Times New Roman" w:hAnsi="Times New Roman"/>
          <w:color w:val="auto"/>
          <w:szCs w:val="21"/>
        </w:rPr>
        <w:t>合同履行中发生下列情况之一的，属发包人违约：</w:t>
      </w:r>
    </w:p>
    <w:p>
      <w:pPr>
        <w:spacing w:line="360" w:lineRule="auto"/>
        <w:ind w:firstLine="420" w:firstLineChars="200"/>
        <w:rPr>
          <w:rFonts w:ascii="Times New Roman" w:hAnsi="Times New Roman"/>
          <w:color w:val="auto"/>
        </w:rPr>
      </w:pPr>
      <w:r>
        <w:rPr>
          <w:rFonts w:ascii="Times New Roman" w:hAnsi="Times New Roman"/>
          <w:color w:val="auto"/>
        </w:rPr>
        <w:t>（1）发</w:t>
      </w:r>
      <w:bookmarkStart w:id="578" w:name="_Toc300835188"/>
      <w:bookmarkStart w:id="579" w:name="_Toc247527787"/>
      <w:bookmarkStart w:id="580" w:name="_Toc247514186"/>
      <w:r>
        <w:rPr>
          <w:rFonts w:ascii="Times New Roman" w:hAnsi="Times New Roman"/>
          <w:color w:val="auto"/>
        </w:rPr>
        <w:t>包人未按合同约定支</w:t>
      </w:r>
      <w:bookmarkEnd w:id="578"/>
      <w:bookmarkEnd w:id="579"/>
      <w:bookmarkEnd w:id="580"/>
      <w:r>
        <w:rPr>
          <w:rFonts w:ascii="Times New Roman" w:hAnsi="Times New Roman"/>
          <w:color w:val="auto"/>
        </w:rPr>
        <w:t>付勘察费用；</w:t>
      </w:r>
    </w:p>
    <w:p>
      <w:pPr>
        <w:spacing w:line="360" w:lineRule="auto"/>
        <w:ind w:firstLine="420" w:firstLineChars="200"/>
        <w:rPr>
          <w:rFonts w:ascii="Times New Roman" w:hAnsi="Times New Roman"/>
          <w:color w:val="auto"/>
        </w:rPr>
      </w:pPr>
      <w:r>
        <w:rPr>
          <w:rFonts w:ascii="Times New Roman" w:hAnsi="Times New Roman"/>
          <w:color w:val="auto"/>
        </w:rPr>
        <w:t>（2）发包人原因造成勘察停止；</w:t>
      </w:r>
    </w:p>
    <w:p>
      <w:pPr>
        <w:spacing w:line="360" w:lineRule="auto"/>
        <w:ind w:firstLine="420" w:firstLineChars="200"/>
        <w:rPr>
          <w:rFonts w:ascii="Times New Roman" w:hAnsi="Times New Roman"/>
          <w:color w:val="auto"/>
        </w:rPr>
      </w:pPr>
      <w:r>
        <w:rPr>
          <w:rFonts w:ascii="Times New Roman" w:hAnsi="Times New Roman"/>
          <w:color w:val="auto"/>
        </w:rPr>
        <w:t>（3）发包人无法履行或停止履行合同；</w:t>
      </w:r>
    </w:p>
    <w:p>
      <w:pPr>
        <w:spacing w:line="360" w:lineRule="auto"/>
        <w:ind w:firstLine="420" w:firstLineChars="200"/>
        <w:rPr>
          <w:rFonts w:ascii="Times New Roman" w:hAnsi="Times New Roman"/>
          <w:color w:val="auto"/>
          <w:szCs w:val="21"/>
        </w:rPr>
      </w:pPr>
      <w:r>
        <w:rPr>
          <w:rFonts w:ascii="Times New Roman" w:hAnsi="Times New Roman"/>
          <w:color w:val="auto"/>
        </w:rPr>
        <w:t>（4）发包人不履</w:t>
      </w:r>
      <w:r>
        <w:rPr>
          <w:rFonts w:ascii="Times New Roman" w:hAnsi="Times New Roman"/>
          <w:color w:val="auto"/>
          <w:szCs w:val="21"/>
        </w:rPr>
        <w:t>行合同约定的其他义务。</w:t>
      </w:r>
    </w:p>
    <w:p>
      <w:pPr>
        <w:spacing w:line="360" w:lineRule="auto"/>
        <w:ind w:firstLine="420" w:firstLineChars="200"/>
        <w:rPr>
          <w:rFonts w:ascii="Times New Roman" w:hAnsi="Times New Roman"/>
          <w:color w:val="auto"/>
          <w:szCs w:val="21"/>
        </w:rPr>
      </w:pPr>
      <w:r>
        <w:rPr>
          <w:rFonts w:ascii="Times New Roman" w:hAnsi="Times New Roman"/>
          <w:color w:val="auto"/>
        </w:rPr>
        <w:t>14.2.2发包人发生违约情况时，勘察人可向发包人发出暂停勘察通知，要求其在限定期限内纠正；逾期仍不纠正的，</w:t>
      </w:r>
      <w:r>
        <w:rPr>
          <w:rFonts w:ascii="Times New Roman" w:hAnsi="Times New Roman"/>
          <w:color w:val="auto"/>
          <w:szCs w:val="21"/>
        </w:rPr>
        <w:t>勘察人有权解除合同并向发包人发出解除合同通知。</w:t>
      </w:r>
      <w:r>
        <w:rPr>
          <w:rFonts w:ascii="Times New Roman" w:hAnsi="Times New Roman"/>
          <w:color w:val="auto"/>
        </w:rPr>
        <w:t>发包人应当承担由于违约所造成的费用增加、周期延误和勘察人损失等。</w:t>
      </w:r>
    </w:p>
    <w:p>
      <w:pPr>
        <w:pStyle w:val="6"/>
        <w:spacing w:line="240" w:lineRule="auto"/>
        <w:ind w:firstLine="137"/>
        <w:rPr>
          <w:rFonts w:ascii="Times New Roman" w:hAnsi="Times New Roman"/>
          <w:color w:val="auto"/>
        </w:rPr>
      </w:pPr>
      <w:bookmarkStart w:id="581" w:name="_Toc492300919"/>
      <w:bookmarkStart w:id="582" w:name="_Toc482188630"/>
      <w:r>
        <w:rPr>
          <w:rFonts w:ascii="Times New Roman" w:hAnsi="Times New Roman"/>
          <w:color w:val="auto"/>
        </w:rPr>
        <w:t xml:space="preserve">14.3 </w:t>
      </w:r>
      <w:r>
        <w:rPr>
          <w:rFonts w:hint="eastAsia" w:ascii="Times New Roman" w:hAnsi="Times New Roman"/>
          <w:color w:val="auto"/>
        </w:rPr>
        <w:t>第三人造成的违约</w:t>
      </w:r>
      <w:bookmarkEnd w:id="581"/>
      <w:bookmarkEnd w:id="582"/>
    </w:p>
    <w:p>
      <w:pPr>
        <w:spacing w:line="360" w:lineRule="auto"/>
        <w:ind w:firstLine="420" w:firstLineChars="200"/>
        <w:rPr>
          <w:rFonts w:ascii="Times New Roman" w:hAnsi="Times New Roman"/>
          <w:color w:val="auto"/>
          <w:szCs w:val="21"/>
        </w:rPr>
      </w:pPr>
      <w:r>
        <w:rPr>
          <w:rFonts w:ascii="Times New Roman" w:hAnsi="Times New Roman"/>
          <w:color w:val="auto"/>
          <w:szCs w:val="21"/>
        </w:rPr>
        <w:t>在履行合同过程中，一方当事人因第三人的原因造成违约的，应当向对方当事人承担违约责任。一</w:t>
      </w:r>
      <w:bookmarkStart w:id="583" w:name="_Toc300835189"/>
      <w:bookmarkStart w:id="584" w:name="_Toc247514187"/>
      <w:bookmarkStart w:id="585" w:name="_Toc247527788"/>
      <w:r>
        <w:rPr>
          <w:rFonts w:ascii="Times New Roman" w:hAnsi="Times New Roman"/>
          <w:color w:val="auto"/>
          <w:szCs w:val="21"/>
        </w:rPr>
        <w:t>方当事人和第三人之间的纠纷</w:t>
      </w:r>
      <w:bookmarkEnd w:id="583"/>
      <w:bookmarkEnd w:id="584"/>
      <w:bookmarkEnd w:id="585"/>
      <w:r>
        <w:rPr>
          <w:rFonts w:ascii="Times New Roman" w:hAnsi="Times New Roman"/>
          <w:color w:val="auto"/>
          <w:szCs w:val="21"/>
        </w:rPr>
        <w:t>，依照法律规定或者按照约定解决。</w:t>
      </w:r>
    </w:p>
    <w:p>
      <w:pPr>
        <w:pStyle w:val="5"/>
        <w:rPr>
          <w:rFonts w:ascii="Times New Roman" w:hAnsi="Times New Roman"/>
          <w:color w:val="auto"/>
        </w:rPr>
      </w:pPr>
      <w:bookmarkStart w:id="586" w:name="_Toc492300920"/>
      <w:bookmarkStart w:id="587" w:name="_Toc482188631"/>
      <w:r>
        <w:rPr>
          <w:rFonts w:ascii="Times New Roman" w:hAnsi="Times New Roman"/>
          <w:color w:val="auto"/>
        </w:rPr>
        <w:t>15. 争议的解决</w:t>
      </w:r>
      <w:bookmarkEnd w:id="586"/>
      <w:bookmarkEnd w:id="587"/>
    </w:p>
    <w:p>
      <w:pPr>
        <w:spacing w:line="360" w:lineRule="auto"/>
        <w:ind w:firstLine="420" w:firstLineChars="200"/>
        <w:rPr>
          <w:rFonts w:ascii="Times New Roman" w:hAnsi="Times New Roman"/>
          <w:color w:val="auto"/>
          <w:szCs w:val="21"/>
        </w:rPr>
      </w:pPr>
      <w:r>
        <w:rPr>
          <w:rFonts w:ascii="Times New Roman" w:hAnsi="Times New Roman"/>
          <w:color w:val="auto"/>
          <w:szCs w:val="21"/>
        </w:rPr>
        <w:t>发包人和勘察人在履行合同中发生争议的，可以友好协商解决</w:t>
      </w:r>
      <w:bookmarkStart w:id="588" w:name="_Toc300835195"/>
      <w:bookmarkStart w:id="589" w:name="_Toc247527794"/>
      <w:bookmarkStart w:id="590" w:name="_Toc247514193"/>
      <w:bookmarkStart w:id="591" w:name="_Toc184635121"/>
      <w:r>
        <w:rPr>
          <w:rFonts w:ascii="Times New Roman" w:hAnsi="Times New Roman"/>
          <w:color w:val="auto"/>
          <w:szCs w:val="21"/>
        </w:rPr>
        <w:t>。合同当事</w:t>
      </w:r>
      <w:bookmarkEnd w:id="588"/>
      <w:bookmarkEnd w:id="589"/>
      <w:bookmarkEnd w:id="590"/>
      <w:bookmarkEnd w:id="591"/>
      <w:r>
        <w:rPr>
          <w:rFonts w:ascii="Times New Roman" w:hAnsi="Times New Roman"/>
          <w:color w:val="auto"/>
          <w:szCs w:val="21"/>
        </w:rPr>
        <w:t>人</w:t>
      </w:r>
      <w:bookmarkStart w:id="592" w:name="_Toc300835196"/>
      <w:bookmarkStart w:id="593" w:name="_Toc247527795"/>
      <w:bookmarkStart w:id="594" w:name="_Toc247514194"/>
      <w:r>
        <w:rPr>
          <w:rFonts w:ascii="Times New Roman" w:hAnsi="Times New Roman"/>
          <w:color w:val="auto"/>
          <w:szCs w:val="21"/>
        </w:rPr>
        <w:t>友好协商解决不成</w:t>
      </w:r>
      <w:bookmarkEnd w:id="592"/>
      <w:bookmarkEnd w:id="593"/>
      <w:bookmarkEnd w:id="594"/>
      <w:r>
        <w:rPr>
          <w:rFonts w:ascii="Times New Roman" w:hAnsi="Times New Roman"/>
          <w:color w:val="auto"/>
          <w:szCs w:val="21"/>
        </w:rPr>
        <w:t>的，可在专用合同条款中约定下列一种方式解决：</w:t>
      </w:r>
    </w:p>
    <w:p>
      <w:pPr>
        <w:spacing w:line="360" w:lineRule="auto"/>
        <w:ind w:firstLine="420" w:firstLineChars="200"/>
        <w:rPr>
          <w:rFonts w:ascii="Times New Roman" w:hAnsi="Times New Roman"/>
          <w:color w:val="auto"/>
        </w:rPr>
      </w:pPr>
      <w:r>
        <w:rPr>
          <w:rFonts w:ascii="Times New Roman" w:hAnsi="Times New Roman"/>
          <w:color w:val="auto"/>
        </w:rPr>
        <w:t>（1）向约定的仲裁委员会申请仲裁；</w:t>
      </w:r>
    </w:p>
    <w:p>
      <w:pPr>
        <w:spacing w:line="360" w:lineRule="auto"/>
        <w:ind w:firstLine="420" w:firstLineChars="200"/>
        <w:rPr>
          <w:rFonts w:ascii="Times New Roman" w:hAnsi="Times New Roman"/>
          <w:color w:val="auto"/>
          <w:szCs w:val="21"/>
        </w:rPr>
      </w:pPr>
      <w:r>
        <w:rPr>
          <w:rFonts w:ascii="Times New Roman" w:hAnsi="Times New Roman"/>
          <w:color w:val="auto"/>
        </w:rPr>
        <w:t>（2）向有管</w:t>
      </w:r>
      <w:r>
        <w:rPr>
          <w:rFonts w:ascii="Times New Roman" w:hAnsi="Times New Roman"/>
          <w:color w:val="auto"/>
          <w:szCs w:val="21"/>
        </w:rPr>
        <w:t>辖权的人民法院提起诉讼。</w:t>
      </w:r>
    </w:p>
    <w:p>
      <w:pPr>
        <w:widowControl/>
        <w:jc w:val="left"/>
        <w:rPr>
          <w:rFonts w:ascii="Times New Roman" w:hAnsi="Times New Roman" w:eastAsia="黑体"/>
          <w:b/>
          <w:bCs/>
          <w:color w:val="auto"/>
          <w:sz w:val="32"/>
          <w:szCs w:val="32"/>
        </w:rPr>
      </w:pPr>
      <w:r>
        <w:rPr>
          <w:rFonts w:ascii="Times New Roman" w:hAnsi="Times New Roman"/>
          <w:color w:val="auto"/>
        </w:rPr>
        <w:br w:type="page"/>
      </w:r>
    </w:p>
    <w:p>
      <w:pPr>
        <w:pStyle w:val="5"/>
        <w:ind w:firstLine="643" w:firstLineChars="200"/>
        <w:jc w:val="center"/>
        <w:rPr>
          <w:rFonts w:ascii="Times New Roman" w:hAnsi="Times New Roman"/>
          <w:color w:val="auto"/>
        </w:rPr>
      </w:pPr>
      <w:bookmarkStart w:id="595" w:name="_Toc492300921"/>
      <w:bookmarkStart w:id="596" w:name="_Toc152042546"/>
      <w:bookmarkStart w:id="597" w:name="_Toc144974826"/>
      <w:bookmarkStart w:id="598" w:name="_Toc152045767"/>
      <w:bookmarkStart w:id="599" w:name="_Toc179632785"/>
      <w:bookmarkStart w:id="600" w:name="_Toc247527798"/>
      <w:bookmarkStart w:id="601" w:name="_Toc184635122"/>
      <w:bookmarkStart w:id="602" w:name="_Toc152045610"/>
      <w:bookmarkStart w:id="603" w:name="_Toc247514197"/>
      <w:bookmarkStart w:id="604" w:name="_Toc152042388"/>
      <w:bookmarkStart w:id="605" w:name="_Toc144974578"/>
      <w:bookmarkStart w:id="606" w:name="_Toc300835199"/>
      <w:r>
        <w:rPr>
          <w:rFonts w:ascii="Times New Roman" w:hAnsi="Times New Roman"/>
          <w:color w:val="auto"/>
        </w:rPr>
        <w:t>第二节专用合同条款</w:t>
      </w:r>
      <w:bookmarkEnd w:id="595"/>
    </w:p>
    <w:p>
      <w:pPr>
        <w:pStyle w:val="5"/>
        <w:ind w:firstLine="105"/>
        <w:rPr>
          <w:rFonts w:ascii="Times New Roman" w:hAnsi="Times New Roman"/>
          <w:color w:val="auto"/>
        </w:rPr>
      </w:pPr>
      <w:r>
        <w:rPr>
          <w:rFonts w:ascii="Times New Roman" w:hAnsi="Times New Roman"/>
          <w:color w:val="auto"/>
        </w:rPr>
        <w:br w:type="page"/>
      </w:r>
      <w:bookmarkStart w:id="607" w:name="_Toc246997062"/>
      <w:bookmarkEnd w:id="607"/>
      <w:bookmarkStart w:id="608" w:name="_Toc184635117"/>
      <w:bookmarkEnd w:id="608"/>
      <w:bookmarkStart w:id="609" w:name="_Toc9766"/>
      <w:bookmarkEnd w:id="609"/>
      <w:bookmarkStart w:id="610" w:name="_Toc296602565"/>
      <w:bookmarkEnd w:id="610"/>
      <w:bookmarkStart w:id="611" w:name="_Toc29298"/>
      <w:bookmarkEnd w:id="611"/>
      <w:bookmarkStart w:id="612" w:name="_Toc247085834"/>
      <w:bookmarkEnd w:id="612"/>
      <w:bookmarkStart w:id="613" w:name="_Toc369531675"/>
      <w:bookmarkEnd w:id="613"/>
      <w:bookmarkStart w:id="614" w:name="_Toc246996319"/>
      <w:bookmarkEnd w:id="614"/>
      <w:bookmarkStart w:id="615" w:name="_Toc369531676"/>
      <w:bookmarkEnd w:id="615"/>
    </w:p>
    <w:p>
      <w:pPr>
        <w:pStyle w:val="5"/>
        <w:ind w:firstLine="643" w:firstLineChars="200"/>
        <w:jc w:val="center"/>
        <w:rPr>
          <w:rFonts w:ascii="Times New Roman" w:hAnsi="Times New Roman"/>
          <w:color w:val="auto"/>
        </w:rPr>
      </w:pPr>
      <w:bookmarkStart w:id="616" w:name="_Toc492300922"/>
      <w:r>
        <w:rPr>
          <w:rFonts w:ascii="Times New Roman" w:hAnsi="Times New Roman"/>
          <w:color w:val="auto"/>
        </w:rPr>
        <w:t>第三节合同附件格式</w:t>
      </w:r>
      <w:bookmarkEnd w:id="616"/>
    </w:p>
    <w:p>
      <w:pPr>
        <w:pStyle w:val="6"/>
        <w:ind w:firstLine="137"/>
        <w:jc w:val="left"/>
        <w:rPr>
          <w:rFonts w:ascii="Times New Roman" w:hAnsi="Times New Roman"/>
          <w:color w:val="auto"/>
        </w:rPr>
      </w:pPr>
      <w:r>
        <w:rPr>
          <w:rFonts w:ascii="Times New Roman" w:hAnsi="Times New Roman"/>
          <w:color w:val="auto"/>
        </w:rPr>
        <w:br w:type="page"/>
      </w:r>
      <w:bookmarkStart w:id="617" w:name="_Toc492300923"/>
      <w:r>
        <w:rPr>
          <w:rFonts w:hint="eastAsia" w:ascii="Times New Roman" w:hAnsi="Times New Roman"/>
          <w:color w:val="auto"/>
        </w:rPr>
        <w:t>附件一：合同协议书</w:t>
      </w:r>
      <w:bookmarkEnd w:id="617"/>
    </w:p>
    <w:p>
      <w:pPr>
        <w:spacing w:line="400" w:lineRule="exact"/>
        <w:rPr>
          <w:rFonts w:ascii="Times New Roman" w:hAnsi="Times New Roman"/>
          <w:color w:val="auto"/>
        </w:rPr>
      </w:pPr>
    </w:p>
    <w:p>
      <w:pPr>
        <w:spacing w:line="440" w:lineRule="exact"/>
        <w:jc w:val="center"/>
        <w:rPr>
          <w:rFonts w:ascii="Times New Roman" w:hAnsi="Times New Roman" w:eastAsia="黑体"/>
          <w:color w:val="auto"/>
          <w:sz w:val="28"/>
        </w:rPr>
      </w:pPr>
      <w:r>
        <w:rPr>
          <w:rFonts w:ascii="Times New Roman" w:hAnsi="Times New Roman" w:eastAsia="黑体"/>
          <w:color w:val="auto"/>
          <w:sz w:val="28"/>
        </w:rPr>
        <w:t>合同协议书</w:t>
      </w:r>
    </w:p>
    <w:p>
      <w:pPr>
        <w:spacing w:line="440" w:lineRule="exact"/>
        <w:rPr>
          <w:rFonts w:ascii="Times New Roman" w:hAnsi="Times New Roman"/>
          <w:color w:val="auto"/>
        </w:rPr>
      </w:pPr>
    </w:p>
    <w:p>
      <w:pPr>
        <w:spacing w:line="440" w:lineRule="exact"/>
        <w:ind w:firstLine="359" w:firstLineChars="171"/>
        <w:rPr>
          <w:rFonts w:ascii="Times New Roman" w:hAnsi="Times New Roman"/>
          <w:color w:val="auto"/>
          <w:szCs w:val="21"/>
        </w:rPr>
      </w:pPr>
      <w:r>
        <w:rPr>
          <w:rFonts w:ascii="Times New Roman" w:hAnsi="Times New Roman"/>
          <w:color w:val="auto"/>
          <w:szCs w:val="21"/>
          <w:u w:val="single"/>
        </w:rPr>
        <w:t xml:space="preserve">                   </w:t>
      </w:r>
      <w:r>
        <w:rPr>
          <w:rFonts w:ascii="Times New Roman" w:hAnsi="Times New Roman"/>
          <w:color w:val="auto"/>
          <w:szCs w:val="21"/>
        </w:rPr>
        <w:t>（发包人名称，以下简称“发包人”）为实施</w:t>
      </w:r>
      <w:r>
        <w:rPr>
          <w:rFonts w:ascii="Times New Roman" w:hAnsi="Times New Roman"/>
          <w:color w:val="auto"/>
          <w:szCs w:val="21"/>
          <w:u w:val="single"/>
        </w:rPr>
        <w:t xml:space="preserve">                </w:t>
      </w:r>
      <w:r>
        <w:rPr>
          <w:rFonts w:ascii="Times New Roman" w:hAnsi="Times New Roman"/>
          <w:color w:val="auto"/>
          <w:szCs w:val="21"/>
        </w:rPr>
        <w:t>（项目名称），已接受</w:t>
      </w:r>
      <w:r>
        <w:rPr>
          <w:rFonts w:ascii="Times New Roman" w:hAnsi="Times New Roman"/>
          <w:color w:val="auto"/>
          <w:szCs w:val="21"/>
          <w:u w:val="single"/>
        </w:rPr>
        <w:t xml:space="preserve">                    </w:t>
      </w:r>
      <w:r>
        <w:rPr>
          <w:rFonts w:ascii="Times New Roman" w:hAnsi="Times New Roman"/>
          <w:color w:val="auto"/>
          <w:szCs w:val="21"/>
        </w:rPr>
        <w:t>（勘察人名称，以下简称“勘察人”）对该项目勘察投标。发包人和勘察人共同达成如下协议。</w:t>
      </w:r>
    </w:p>
    <w:p>
      <w:pPr>
        <w:spacing w:line="440" w:lineRule="exact"/>
        <w:ind w:firstLine="420" w:firstLineChars="200"/>
        <w:rPr>
          <w:rFonts w:ascii="Times New Roman" w:hAnsi="Times New Roman"/>
          <w:color w:val="auto"/>
          <w:szCs w:val="21"/>
        </w:rPr>
      </w:pPr>
      <w:r>
        <w:rPr>
          <w:rFonts w:ascii="Times New Roman" w:hAnsi="Times New Roman"/>
          <w:color w:val="auto"/>
          <w:szCs w:val="21"/>
        </w:rPr>
        <w:t>1. 本协议书与下列文件一起构成合同文件：</w:t>
      </w:r>
    </w:p>
    <w:p>
      <w:pPr>
        <w:spacing w:line="440" w:lineRule="exact"/>
        <w:ind w:firstLine="420" w:firstLineChars="200"/>
        <w:rPr>
          <w:rFonts w:ascii="Times New Roman" w:hAnsi="Times New Roman"/>
          <w:color w:val="auto"/>
          <w:szCs w:val="21"/>
        </w:rPr>
      </w:pPr>
      <w:r>
        <w:rPr>
          <w:rFonts w:ascii="Times New Roman" w:hAnsi="Times New Roman"/>
          <w:color w:val="auto"/>
          <w:szCs w:val="21"/>
        </w:rPr>
        <w:t>（1）中标通知书；</w:t>
      </w:r>
    </w:p>
    <w:p>
      <w:pPr>
        <w:spacing w:line="440" w:lineRule="exact"/>
        <w:ind w:firstLine="420" w:firstLineChars="200"/>
        <w:rPr>
          <w:rFonts w:ascii="Times New Roman" w:hAnsi="Times New Roman"/>
          <w:color w:val="auto"/>
          <w:szCs w:val="21"/>
        </w:rPr>
      </w:pPr>
      <w:r>
        <w:rPr>
          <w:rFonts w:ascii="Times New Roman" w:hAnsi="Times New Roman"/>
          <w:color w:val="auto"/>
          <w:szCs w:val="21"/>
        </w:rPr>
        <w:t>（2）投标函及投标函附录；</w:t>
      </w:r>
    </w:p>
    <w:p>
      <w:pPr>
        <w:spacing w:line="440" w:lineRule="exact"/>
        <w:ind w:firstLine="420" w:firstLineChars="200"/>
        <w:rPr>
          <w:rFonts w:ascii="Times New Roman" w:hAnsi="Times New Roman"/>
          <w:color w:val="auto"/>
          <w:szCs w:val="21"/>
        </w:rPr>
      </w:pPr>
      <w:r>
        <w:rPr>
          <w:rFonts w:ascii="Times New Roman" w:hAnsi="Times New Roman"/>
          <w:color w:val="auto"/>
          <w:szCs w:val="21"/>
        </w:rPr>
        <w:t>（3）专用合同条款；</w:t>
      </w:r>
    </w:p>
    <w:p>
      <w:pPr>
        <w:spacing w:line="440" w:lineRule="exact"/>
        <w:ind w:firstLine="420" w:firstLineChars="200"/>
        <w:rPr>
          <w:rFonts w:ascii="Times New Roman" w:hAnsi="Times New Roman"/>
          <w:color w:val="auto"/>
          <w:szCs w:val="21"/>
        </w:rPr>
      </w:pPr>
      <w:r>
        <w:rPr>
          <w:rFonts w:ascii="Times New Roman" w:hAnsi="Times New Roman"/>
          <w:color w:val="auto"/>
          <w:szCs w:val="21"/>
        </w:rPr>
        <w:t>（4）通用合同条款；</w:t>
      </w:r>
    </w:p>
    <w:p>
      <w:pPr>
        <w:spacing w:line="440" w:lineRule="exact"/>
        <w:ind w:firstLine="420" w:firstLineChars="200"/>
        <w:rPr>
          <w:rFonts w:ascii="Times New Roman" w:hAnsi="Times New Roman"/>
          <w:color w:val="auto"/>
          <w:szCs w:val="21"/>
        </w:rPr>
      </w:pPr>
      <w:r>
        <w:rPr>
          <w:rFonts w:ascii="Times New Roman" w:hAnsi="Times New Roman"/>
          <w:color w:val="auto"/>
          <w:szCs w:val="21"/>
        </w:rPr>
        <w:t>（5）发包人要求；</w:t>
      </w:r>
    </w:p>
    <w:p>
      <w:pPr>
        <w:spacing w:line="440" w:lineRule="exact"/>
        <w:ind w:firstLine="420" w:firstLineChars="200"/>
        <w:rPr>
          <w:rFonts w:ascii="Times New Roman" w:hAnsi="Times New Roman"/>
          <w:color w:val="auto"/>
          <w:szCs w:val="21"/>
        </w:rPr>
      </w:pPr>
      <w:r>
        <w:rPr>
          <w:rFonts w:ascii="Times New Roman" w:hAnsi="Times New Roman"/>
          <w:color w:val="auto"/>
          <w:szCs w:val="21"/>
        </w:rPr>
        <w:t>（</w:t>
      </w:r>
      <w:r>
        <w:rPr>
          <w:rFonts w:hint="eastAsia" w:ascii="Times New Roman" w:hAnsi="Times New Roman"/>
          <w:color w:val="auto"/>
          <w:szCs w:val="21"/>
        </w:rPr>
        <w:t>6</w:t>
      </w:r>
      <w:r>
        <w:rPr>
          <w:rFonts w:ascii="Times New Roman" w:hAnsi="Times New Roman"/>
          <w:color w:val="auto"/>
          <w:szCs w:val="21"/>
        </w:rPr>
        <w:t>）勘察费用清单；</w:t>
      </w:r>
    </w:p>
    <w:p>
      <w:pPr>
        <w:spacing w:line="440" w:lineRule="exact"/>
        <w:ind w:firstLine="420" w:firstLineChars="200"/>
        <w:rPr>
          <w:rFonts w:ascii="Times New Roman" w:hAnsi="Times New Roman"/>
          <w:color w:val="auto"/>
          <w:szCs w:val="21"/>
        </w:rPr>
      </w:pPr>
      <w:r>
        <w:rPr>
          <w:rFonts w:ascii="Times New Roman" w:hAnsi="Times New Roman"/>
          <w:color w:val="auto"/>
          <w:szCs w:val="21"/>
        </w:rPr>
        <w:t>（</w:t>
      </w:r>
      <w:r>
        <w:rPr>
          <w:rFonts w:hint="eastAsia" w:ascii="Times New Roman" w:hAnsi="Times New Roman"/>
          <w:color w:val="auto"/>
          <w:szCs w:val="21"/>
        </w:rPr>
        <w:t>7</w:t>
      </w:r>
      <w:r>
        <w:rPr>
          <w:rFonts w:ascii="Times New Roman" w:hAnsi="Times New Roman"/>
          <w:color w:val="auto"/>
          <w:szCs w:val="21"/>
        </w:rPr>
        <w:t>）勘察纲要；</w:t>
      </w:r>
    </w:p>
    <w:p>
      <w:pPr>
        <w:spacing w:line="440" w:lineRule="exact"/>
        <w:ind w:firstLine="420" w:firstLineChars="200"/>
        <w:rPr>
          <w:rFonts w:ascii="Times New Roman" w:hAnsi="Times New Roman"/>
          <w:color w:val="auto"/>
          <w:szCs w:val="21"/>
        </w:rPr>
      </w:pPr>
      <w:r>
        <w:rPr>
          <w:rFonts w:ascii="Times New Roman" w:hAnsi="Times New Roman"/>
          <w:color w:val="auto"/>
          <w:szCs w:val="21"/>
        </w:rPr>
        <w:t>（8）其他合同文件。</w:t>
      </w:r>
    </w:p>
    <w:p>
      <w:pPr>
        <w:spacing w:line="440" w:lineRule="exact"/>
        <w:ind w:firstLine="420" w:firstLineChars="200"/>
        <w:rPr>
          <w:rFonts w:ascii="Times New Roman" w:hAnsi="Times New Roman"/>
          <w:color w:val="auto"/>
          <w:szCs w:val="21"/>
        </w:rPr>
      </w:pPr>
      <w:r>
        <w:rPr>
          <w:rFonts w:ascii="Times New Roman" w:hAnsi="Times New Roman"/>
          <w:color w:val="auto"/>
          <w:szCs w:val="21"/>
        </w:rPr>
        <w:t>2. 上述合同文件互相补充和解释。如果合同文件之间存在矛盾或不一致之处，以上述文件的排列顺序在先者为准。</w:t>
      </w:r>
    </w:p>
    <w:p>
      <w:pPr>
        <w:spacing w:line="440" w:lineRule="exact"/>
        <w:ind w:firstLine="420" w:firstLineChars="200"/>
        <w:rPr>
          <w:rFonts w:ascii="Times New Roman" w:hAnsi="Times New Roman"/>
          <w:color w:val="auto"/>
          <w:szCs w:val="21"/>
        </w:rPr>
      </w:pPr>
      <w:r>
        <w:rPr>
          <w:rFonts w:ascii="Times New Roman" w:hAnsi="Times New Roman"/>
          <w:color w:val="auto"/>
          <w:szCs w:val="21"/>
        </w:rPr>
        <w:t>3. 签约合同价：人民币（大写）</w:t>
      </w:r>
      <w:r>
        <w:rPr>
          <w:rFonts w:ascii="Times New Roman" w:hAnsi="Times New Roman"/>
          <w:color w:val="auto"/>
          <w:u w:val="single"/>
        </w:rPr>
        <w:t xml:space="preserve">              </w:t>
      </w:r>
      <w:r>
        <w:rPr>
          <w:rFonts w:ascii="Times New Roman" w:hAnsi="Times New Roman"/>
          <w:color w:val="auto"/>
          <w:szCs w:val="21"/>
        </w:rPr>
        <w:t>（¥</w:t>
      </w:r>
      <w:r>
        <w:rPr>
          <w:rFonts w:ascii="Times New Roman" w:hAnsi="Times New Roman"/>
          <w:color w:val="auto"/>
          <w:u w:val="single"/>
        </w:rPr>
        <w:t xml:space="preserve">              </w:t>
      </w:r>
      <w:r>
        <w:rPr>
          <w:rFonts w:ascii="Times New Roman" w:hAnsi="Times New Roman"/>
          <w:color w:val="auto"/>
          <w:szCs w:val="21"/>
        </w:rPr>
        <w:t>）。</w:t>
      </w:r>
    </w:p>
    <w:p>
      <w:pPr>
        <w:spacing w:line="440" w:lineRule="exact"/>
        <w:ind w:firstLine="420" w:firstLineChars="200"/>
        <w:rPr>
          <w:rFonts w:ascii="Times New Roman" w:hAnsi="Times New Roman"/>
          <w:color w:val="auto"/>
          <w:szCs w:val="21"/>
        </w:rPr>
      </w:pPr>
      <w:r>
        <w:rPr>
          <w:rFonts w:ascii="Times New Roman" w:hAnsi="Times New Roman"/>
          <w:color w:val="auto"/>
          <w:szCs w:val="21"/>
        </w:rPr>
        <w:t>4. 项目负责人：</w:t>
      </w:r>
      <w:r>
        <w:rPr>
          <w:rFonts w:ascii="Times New Roman" w:hAnsi="Times New Roman"/>
          <w:color w:val="auto"/>
          <w:szCs w:val="21"/>
          <w:u w:val="single"/>
        </w:rPr>
        <w:t xml:space="preserve">          </w:t>
      </w:r>
      <w:r>
        <w:rPr>
          <w:rFonts w:ascii="Times New Roman" w:hAnsi="Times New Roman"/>
          <w:color w:val="auto"/>
          <w:szCs w:val="21"/>
        </w:rPr>
        <w:t>。</w:t>
      </w:r>
    </w:p>
    <w:p>
      <w:pPr>
        <w:spacing w:line="440" w:lineRule="exact"/>
        <w:ind w:firstLine="420" w:firstLineChars="200"/>
        <w:rPr>
          <w:rFonts w:ascii="Times New Roman" w:hAnsi="Times New Roman"/>
          <w:color w:val="auto"/>
          <w:szCs w:val="21"/>
        </w:rPr>
      </w:pPr>
      <w:r>
        <w:rPr>
          <w:rFonts w:ascii="Times New Roman" w:hAnsi="Times New Roman"/>
          <w:color w:val="auto"/>
          <w:szCs w:val="21"/>
        </w:rPr>
        <w:t>5. 勘察工作质量符合的标准和要求：</w:t>
      </w:r>
      <w:r>
        <w:rPr>
          <w:rFonts w:ascii="Times New Roman" w:hAnsi="Times New Roman"/>
          <w:color w:val="auto"/>
          <w:szCs w:val="21"/>
          <w:u w:val="single"/>
        </w:rPr>
        <w:t xml:space="preserve">                       </w:t>
      </w:r>
      <w:r>
        <w:rPr>
          <w:rFonts w:ascii="Times New Roman" w:hAnsi="Times New Roman"/>
          <w:color w:val="auto"/>
          <w:szCs w:val="21"/>
        </w:rPr>
        <w:t>。</w:t>
      </w:r>
    </w:p>
    <w:p>
      <w:pPr>
        <w:spacing w:line="440" w:lineRule="exact"/>
        <w:ind w:firstLine="420" w:firstLineChars="200"/>
        <w:rPr>
          <w:rFonts w:ascii="Times New Roman" w:hAnsi="Times New Roman"/>
          <w:color w:val="auto"/>
          <w:szCs w:val="21"/>
        </w:rPr>
      </w:pPr>
      <w:r>
        <w:rPr>
          <w:rFonts w:ascii="Times New Roman" w:hAnsi="Times New Roman"/>
          <w:color w:val="auto"/>
          <w:szCs w:val="21"/>
        </w:rPr>
        <w:t>6. 勘察人承诺按合同约定承担工程的勘察工作。</w:t>
      </w:r>
    </w:p>
    <w:p>
      <w:pPr>
        <w:spacing w:line="440" w:lineRule="exact"/>
        <w:ind w:firstLine="420" w:firstLineChars="200"/>
        <w:rPr>
          <w:rFonts w:ascii="Times New Roman" w:hAnsi="Times New Roman"/>
          <w:color w:val="auto"/>
          <w:szCs w:val="21"/>
        </w:rPr>
      </w:pPr>
      <w:r>
        <w:rPr>
          <w:rFonts w:ascii="Times New Roman" w:hAnsi="Times New Roman"/>
          <w:color w:val="auto"/>
          <w:szCs w:val="21"/>
        </w:rPr>
        <w:t>7. 发包人承诺按合同约定的条件、时间和方式向勘察人支付合同价款。</w:t>
      </w:r>
    </w:p>
    <w:p>
      <w:pPr>
        <w:spacing w:line="440" w:lineRule="exact"/>
        <w:ind w:firstLine="420" w:firstLineChars="200"/>
        <w:rPr>
          <w:rFonts w:ascii="Times New Roman" w:hAnsi="Times New Roman"/>
          <w:color w:val="auto"/>
          <w:szCs w:val="21"/>
        </w:rPr>
      </w:pPr>
      <w:r>
        <w:rPr>
          <w:rFonts w:ascii="Times New Roman" w:hAnsi="Times New Roman"/>
          <w:color w:val="auto"/>
          <w:szCs w:val="21"/>
        </w:rPr>
        <w:t>8. 勘察人计划开始勘察日期：</w:t>
      </w:r>
      <w:r>
        <w:rPr>
          <w:rFonts w:ascii="Times New Roman" w:hAnsi="Times New Roman"/>
          <w:color w:val="auto"/>
          <w:szCs w:val="21"/>
          <w:u w:val="single"/>
        </w:rPr>
        <w:t xml:space="preserve">             </w:t>
      </w:r>
      <w:r>
        <w:rPr>
          <w:rFonts w:ascii="Times New Roman" w:hAnsi="Times New Roman"/>
          <w:color w:val="auto"/>
          <w:szCs w:val="21"/>
        </w:rPr>
        <w:t>，实际日期按照发包人在开始勘察通知中载明的开始勘察日期为准。勘察服务期限为</w:t>
      </w:r>
      <w:r>
        <w:rPr>
          <w:rFonts w:ascii="Times New Roman" w:hAnsi="Times New Roman"/>
          <w:color w:val="auto"/>
          <w:szCs w:val="21"/>
          <w:u w:val="single"/>
        </w:rPr>
        <w:t xml:space="preserve">    </w:t>
      </w:r>
      <w:r>
        <w:rPr>
          <w:rFonts w:ascii="Times New Roman" w:hAnsi="Times New Roman"/>
          <w:color w:val="auto"/>
          <w:szCs w:val="21"/>
        </w:rPr>
        <w:t>天。</w:t>
      </w:r>
    </w:p>
    <w:p>
      <w:pPr>
        <w:spacing w:line="440" w:lineRule="exact"/>
        <w:ind w:firstLine="420" w:firstLineChars="200"/>
        <w:rPr>
          <w:rFonts w:ascii="Times New Roman" w:hAnsi="Times New Roman"/>
          <w:color w:val="auto"/>
          <w:szCs w:val="21"/>
        </w:rPr>
      </w:pPr>
      <w:bookmarkStart w:id="618" w:name="_Toc152042550"/>
      <w:bookmarkStart w:id="619" w:name="_Toc144974830"/>
      <w:r>
        <w:rPr>
          <w:rFonts w:ascii="Times New Roman" w:hAnsi="Times New Roman"/>
          <w:color w:val="auto"/>
          <w:szCs w:val="21"/>
        </w:rPr>
        <w:t>9. 本合同协议书一式</w:t>
      </w:r>
      <w:r>
        <w:rPr>
          <w:rFonts w:ascii="Times New Roman" w:hAnsi="Times New Roman"/>
          <w:color w:val="auto"/>
          <w:u w:val="single"/>
        </w:rPr>
        <w:t xml:space="preserve">       </w:t>
      </w:r>
      <w:r>
        <w:rPr>
          <w:rFonts w:ascii="Times New Roman" w:hAnsi="Times New Roman"/>
          <w:color w:val="auto"/>
          <w:szCs w:val="21"/>
        </w:rPr>
        <w:t>份，合同双方各执</w:t>
      </w:r>
      <w:r>
        <w:rPr>
          <w:rFonts w:ascii="Times New Roman" w:hAnsi="Times New Roman"/>
          <w:color w:val="auto"/>
          <w:u w:val="single"/>
        </w:rPr>
        <w:t xml:space="preserve">       </w:t>
      </w:r>
      <w:r>
        <w:rPr>
          <w:rFonts w:ascii="Times New Roman" w:hAnsi="Times New Roman"/>
          <w:color w:val="auto"/>
          <w:szCs w:val="21"/>
        </w:rPr>
        <w:t>份。</w:t>
      </w:r>
    </w:p>
    <w:p>
      <w:pPr>
        <w:spacing w:line="440" w:lineRule="exact"/>
        <w:ind w:firstLine="420" w:firstLineChars="200"/>
        <w:rPr>
          <w:rFonts w:ascii="Times New Roman" w:hAnsi="Times New Roman"/>
          <w:color w:val="auto"/>
          <w:szCs w:val="21"/>
        </w:rPr>
      </w:pPr>
      <w:r>
        <w:rPr>
          <w:rFonts w:ascii="Times New Roman" w:hAnsi="Times New Roman"/>
          <w:color w:val="auto"/>
          <w:szCs w:val="21"/>
        </w:rPr>
        <w:t>10. 合同未尽事宜，双方另行签订补充协议。补充协议是合同的组成部分。</w:t>
      </w:r>
      <w:bookmarkEnd w:id="618"/>
      <w:bookmarkEnd w:id="619"/>
    </w:p>
    <w:p>
      <w:pPr>
        <w:spacing w:line="440" w:lineRule="exact"/>
        <w:ind w:firstLine="420" w:firstLineChars="200"/>
        <w:rPr>
          <w:rFonts w:ascii="Times New Roman" w:hAnsi="Times New Roman"/>
          <w:color w:val="auto"/>
          <w:szCs w:val="21"/>
        </w:rPr>
      </w:pPr>
    </w:p>
    <w:p>
      <w:pPr>
        <w:spacing w:line="440" w:lineRule="exact"/>
        <w:ind w:firstLine="420" w:firstLineChars="200"/>
        <w:rPr>
          <w:rFonts w:ascii="Times New Roman" w:hAnsi="Times New Roman"/>
          <w:color w:val="auto"/>
          <w:szCs w:val="21"/>
        </w:rPr>
      </w:pPr>
    </w:p>
    <w:p>
      <w:pPr>
        <w:spacing w:line="440" w:lineRule="exact"/>
        <w:rPr>
          <w:rFonts w:ascii="Times New Roman" w:hAnsi="Times New Roman"/>
          <w:color w:val="auto"/>
          <w:szCs w:val="21"/>
        </w:rPr>
      </w:pPr>
      <w:r>
        <w:rPr>
          <w:rFonts w:ascii="Times New Roman" w:hAnsi="Times New Roman"/>
          <w:color w:val="auto"/>
          <w:szCs w:val="21"/>
        </w:rPr>
        <w:t>发包人：</w:t>
      </w:r>
      <w:r>
        <w:rPr>
          <w:rFonts w:ascii="Times New Roman" w:hAnsi="Times New Roman"/>
          <w:color w:val="auto"/>
          <w:szCs w:val="21"/>
          <w:u w:val="single"/>
        </w:rPr>
        <w:t xml:space="preserve">                </w:t>
      </w:r>
      <w:r>
        <w:rPr>
          <w:rFonts w:ascii="Times New Roman" w:hAnsi="Times New Roman"/>
          <w:color w:val="auto"/>
          <w:szCs w:val="21"/>
        </w:rPr>
        <w:t>（盖单位章）      勘察人：</w:t>
      </w:r>
      <w:r>
        <w:rPr>
          <w:rFonts w:ascii="Times New Roman" w:hAnsi="Times New Roman"/>
          <w:color w:val="auto"/>
          <w:szCs w:val="21"/>
          <w:u w:val="single"/>
        </w:rPr>
        <w:t xml:space="preserve">                   </w:t>
      </w:r>
      <w:r>
        <w:rPr>
          <w:rFonts w:ascii="Times New Roman" w:hAnsi="Times New Roman"/>
          <w:color w:val="auto"/>
          <w:szCs w:val="21"/>
        </w:rPr>
        <w:t>（盖单位章）</w:t>
      </w:r>
    </w:p>
    <w:p>
      <w:pPr>
        <w:spacing w:line="440" w:lineRule="exact"/>
        <w:rPr>
          <w:rFonts w:ascii="Times New Roman" w:hAnsi="Times New Roman"/>
          <w:color w:val="auto"/>
          <w:szCs w:val="21"/>
        </w:rPr>
      </w:pPr>
      <w:r>
        <w:rPr>
          <w:rFonts w:ascii="Times New Roman" w:hAnsi="Times New Roman"/>
          <w:color w:val="auto"/>
          <w:szCs w:val="21"/>
        </w:rPr>
        <w:t>法定代表人或其委托代理人：</w:t>
      </w:r>
      <w:r>
        <w:rPr>
          <w:rFonts w:ascii="Times New Roman" w:hAnsi="Times New Roman"/>
          <w:color w:val="auto"/>
          <w:szCs w:val="21"/>
          <w:u w:val="single"/>
        </w:rPr>
        <w:t xml:space="preserve">    </w:t>
      </w:r>
      <w:r>
        <w:rPr>
          <w:rFonts w:ascii="Times New Roman" w:hAnsi="Times New Roman"/>
          <w:color w:val="auto"/>
          <w:szCs w:val="21"/>
        </w:rPr>
        <w:t>（签字）    法定代表人或其委托代理人：</w:t>
      </w:r>
      <w:r>
        <w:rPr>
          <w:rFonts w:ascii="Times New Roman" w:hAnsi="Times New Roman"/>
          <w:color w:val="auto"/>
          <w:szCs w:val="21"/>
          <w:u w:val="single"/>
        </w:rPr>
        <w:t xml:space="preserve">      </w:t>
      </w:r>
      <w:r>
        <w:rPr>
          <w:rFonts w:ascii="Times New Roman" w:hAnsi="Times New Roman"/>
          <w:color w:val="auto"/>
          <w:szCs w:val="21"/>
        </w:rPr>
        <w:t>（签字）</w:t>
      </w:r>
    </w:p>
    <w:p>
      <w:pPr>
        <w:spacing w:line="440" w:lineRule="exact"/>
        <w:rPr>
          <w:rFonts w:ascii="Times New Roman" w:hAnsi="Times New Roman"/>
          <w:color w:val="auto"/>
          <w:szCs w:val="21"/>
        </w:rPr>
      </w:pPr>
      <w:r>
        <w:rPr>
          <w:rFonts w:ascii="Times New Roman" w:hAnsi="Times New Roman"/>
          <w:color w:val="auto"/>
          <w:szCs w:val="21"/>
          <w:u w:val="single"/>
        </w:rPr>
        <w:t xml:space="preserve">         </w:t>
      </w:r>
      <w:r>
        <w:rPr>
          <w:rFonts w:ascii="Times New Roman" w:hAnsi="Times New Roman"/>
          <w:color w:val="auto"/>
          <w:szCs w:val="21"/>
        </w:rPr>
        <w:t>年</w:t>
      </w:r>
      <w:r>
        <w:rPr>
          <w:rFonts w:ascii="Times New Roman" w:hAnsi="Times New Roman"/>
          <w:color w:val="auto"/>
          <w:szCs w:val="21"/>
          <w:u w:val="single"/>
        </w:rPr>
        <w:t xml:space="preserve">       </w:t>
      </w:r>
      <w:r>
        <w:rPr>
          <w:rFonts w:ascii="Times New Roman" w:hAnsi="Times New Roman"/>
          <w:color w:val="auto"/>
          <w:szCs w:val="21"/>
        </w:rPr>
        <w:t xml:space="preserve">月 </w:t>
      </w:r>
      <w:r>
        <w:rPr>
          <w:rFonts w:ascii="Times New Roman" w:hAnsi="Times New Roman"/>
          <w:color w:val="auto"/>
          <w:szCs w:val="21"/>
          <w:u w:val="single"/>
        </w:rPr>
        <w:t xml:space="preserve">       </w:t>
      </w:r>
      <w:r>
        <w:rPr>
          <w:rFonts w:ascii="Times New Roman" w:hAnsi="Times New Roman"/>
          <w:color w:val="auto"/>
          <w:szCs w:val="21"/>
        </w:rPr>
        <w:t xml:space="preserve"> 日          </w:t>
      </w:r>
      <w:r>
        <w:rPr>
          <w:rFonts w:ascii="Times New Roman" w:hAnsi="Times New Roman"/>
          <w:color w:val="auto"/>
          <w:szCs w:val="21"/>
          <w:u w:val="single"/>
        </w:rPr>
        <w:t xml:space="preserve">        </w:t>
      </w:r>
      <w:r>
        <w:rPr>
          <w:rFonts w:ascii="Times New Roman" w:hAnsi="Times New Roman"/>
          <w:color w:val="auto"/>
          <w:szCs w:val="21"/>
        </w:rPr>
        <w:t>年</w:t>
      </w:r>
      <w:r>
        <w:rPr>
          <w:rFonts w:ascii="Times New Roman" w:hAnsi="Times New Roman"/>
          <w:color w:val="auto"/>
          <w:szCs w:val="21"/>
          <w:u w:val="single"/>
        </w:rPr>
        <w:t xml:space="preserve">         </w:t>
      </w:r>
      <w:r>
        <w:rPr>
          <w:rFonts w:ascii="Times New Roman" w:hAnsi="Times New Roman"/>
          <w:color w:val="auto"/>
          <w:szCs w:val="21"/>
        </w:rPr>
        <w:t xml:space="preserve">月 </w:t>
      </w:r>
      <w:r>
        <w:rPr>
          <w:rFonts w:ascii="Times New Roman" w:hAnsi="Times New Roman"/>
          <w:color w:val="auto"/>
          <w:szCs w:val="21"/>
          <w:u w:val="single"/>
        </w:rPr>
        <w:t xml:space="preserve">         </w:t>
      </w:r>
      <w:r>
        <w:rPr>
          <w:rFonts w:ascii="Times New Roman" w:hAnsi="Times New Roman"/>
          <w:color w:val="auto"/>
          <w:szCs w:val="21"/>
        </w:rPr>
        <w:t>日</w:t>
      </w:r>
    </w:p>
    <w:p>
      <w:pPr>
        <w:spacing w:line="440" w:lineRule="exact"/>
        <w:rPr>
          <w:rFonts w:ascii="Times New Roman" w:hAnsi="Times New Roman"/>
          <w:color w:val="auto"/>
          <w:szCs w:val="21"/>
        </w:rPr>
      </w:pPr>
      <w:bookmarkStart w:id="620" w:name="_Toc144974831"/>
      <w:bookmarkEnd w:id="620"/>
    </w:p>
    <w:p>
      <w:pPr>
        <w:adjustRightInd w:val="0"/>
        <w:snapToGrid w:val="0"/>
        <w:rPr>
          <w:rFonts w:ascii="Times New Roman" w:hAnsi="Times New Roman"/>
          <w:color w:val="auto"/>
          <w:szCs w:val="21"/>
        </w:rPr>
      </w:pPr>
      <w:r>
        <w:rPr>
          <w:rFonts w:ascii="Times New Roman" w:hAnsi="Times New Roman"/>
          <w:color w:val="auto"/>
          <w:szCs w:val="21"/>
        </w:rPr>
        <w:br w:type="page"/>
      </w:r>
    </w:p>
    <w:p>
      <w:pPr>
        <w:spacing w:line="440" w:lineRule="exact"/>
        <w:ind w:firstLine="420" w:firstLineChars="200"/>
        <w:jc w:val="right"/>
        <w:rPr>
          <w:rFonts w:ascii="Times New Roman" w:hAnsi="Times New Roman"/>
          <w:color w:val="auto"/>
          <w:szCs w:val="21"/>
          <w:u w:val="single"/>
        </w:rPr>
      </w:pPr>
    </w:p>
    <w:p>
      <w:pPr>
        <w:pStyle w:val="6"/>
        <w:ind w:firstLine="137"/>
        <w:rPr>
          <w:rFonts w:ascii="Times New Roman" w:hAnsi="Times New Roman"/>
          <w:color w:val="auto"/>
        </w:rPr>
      </w:pPr>
      <w:bookmarkStart w:id="621" w:name="_Toc492300924"/>
      <w:bookmarkStart w:id="622" w:name="_Toc491798523"/>
      <w:r>
        <w:rPr>
          <w:rFonts w:ascii="Times New Roman" w:hAnsi="Times New Roman"/>
          <w:color w:val="auto"/>
        </w:rPr>
        <w:t>附件二：履约保证金格式</w:t>
      </w:r>
      <w:bookmarkEnd w:id="621"/>
      <w:bookmarkEnd w:id="622"/>
    </w:p>
    <w:p>
      <w:pPr>
        <w:spacing w:line="440" w:lineRule="exact"/>
        <w:rPr>
          <w:rFonts w:ascii="Times New Roman" w:hAnsi="Times New Roman"/>
          <w:color w:val="auto"/>
          <w:szCs w:val="21"/>
        </w:rPr>
      </w:pPr>
      <w:r>
        <w:rPr>
          <w:rFonts w:ascii="Times New Roman" w:hAnsi="Times New Roman"/>
          <w:color w:val="auto"/>
          <w:szCs w:val="21"/>
        </w:rPr>
        <w:t>如采用银行保函，格式如下。</w:t>
      </w:r>
    </w:p>
    <w:p>
      <w:pPr>
        <w:spacing w:line="440" w:lineRule="exact"/>
        <w:jc w:val="center"/>
        <w:rPr>
          <w:rFonts w:ascii="Times New Roman" w:hAnsi="Times New Roman" w:eastAsia="黑体"/>
          <w:color w:val="auto"/>
          <w:sz w:val="28"/>
        </w:rPr>
      </w:pPr>
      <w:r>
        <w:rPr>
          <w:rFonts w:ascii="Times New Roman" w:hAnsi="Times New Roman" w:eastAsia="黑体"/>
          <w:color w:val="auto"/>
          <w:sz w:val="28"/>
        </w:rPr>
        <w:t>履约保证金</w:t>
      </w:r>
    </w:p>
    <w:p>
      <w:pPr>
        <w:spacing w:line="440" w:lineRule="exact"/>
        <w:rPr>
          <w:rFonts w:ascii="Times New Roman" w:hAnsi="Times New Roman"/>
          <w:color w:val="auto"/>
          <w:u w:val="single"/>
        </w:rPr>
      </w:pPr>
    </w:p>
    <w:p>
      <w:pPr>
        <w:spacing w:line="440" w:lineRule="exact"/>
        <w:rPr>
          <w:rFonts w:ascii="Times New Roman" w:hAnsi="Times New Roman"/>
          <w:color w:val="auto"/>
        </w:rPr>
      </w:pPr>
      <w:r>
        <w:rPr>
          <w:rFonts w:ascii="Times New Roman" w:hAnsi="Times New Roman"/>
          <w:color w:val="auto"/>
          <w:u w:val="single"/>
        </w:rPr>
        <w:t xml:space="preserve">                     </w:t>
      </w:r>
      <w:r>
        <w:rPr>
          <w:rFonts w:ascii="Times New Roman" w:hAnsi="Times New Roman"/>
          <w:color w:val="auto"/>
        </w:rPr>
        <w:t>（发包人名称）：</w:t>
      </w:r>
    </w:p>
    <w:p>
      <w:pPr>
        <w:spacing w:line="440" w:lineRule="exact"/>
        <w:rPr>
          <w:rFonts w:ascii="Times New Roman" w:hAnsi="Times New Roman"/>
          <w:color w:val="auto"/>
          <w:szCs w:val="21"/>
        </w:rPr>
      </w:pPr>
    </w:p>
    <w:p>
      <w:pPr>
        <w:spacing w:line="440" w:lineRule="exact"/>
        <w:ind w:firstLine="420" w:firstLineChars="200"/>
        <w:rPr>
          <w:rFonts w:ascii="Times New Roman" w:hAnsi="Times New Roman"/>
          <w:color w:val="auto"/>
        </w:rPr>
      </w:pPr>
      <w:r>
        <w:rPr>
          <w:rFonts w:ascii="Times New Roman" w:hAnsi="Times New Roman"/>
          <w:color w:val="auto"/>
        </w:rPr>
        <w:t>鉴于（发包人名称，以下简称“发包人”）接受（</w:t>
      </w:r>
      <w:r>
        <w:rPr>
          <w:rFonts w:ascii="Times New Roman" w:hAnsi="Times New Roman"/>
          <w:color w:val="auto"/>
          <w:szCs w:val="21"/>
        </w:rPr>
        <w:t>勘察人</w:t>
      </w:r>
      <w:r>
        <w:rPr>
          <w:rFonts w:ascii="Times New Roman" w:hAnsi="Times New Roman"/>
          <w:color w:val="auto"/>
        </w:rPr>
        <w:t>名称，以下</w:t>
      </w:r>
      <w:r>
        <w:rPr>
          <w:rFonts w:ascii="Times New Roman" w:hAnsi="Times New Roman"/>
          <w:color w:val="auto"/>
          <w:szCs w:val="21"/>
        </w:rPr>
        <w:t>称“勘察人”</w:t>
      </w:r>
      <w:r>
        <w:rPr>
          <w:rFonts w:ascii="Times New Roman" w:hAnsi="Times New Roman"/>
          <w:color w:val="auto"/>
        </w:rPr>
        <w:t>）于</w:t>
      </w:r>
      <w:r>
        <w:rPr>
          <w:rFonts w:ascii="Times New Roman" w:hAnsi="Times New Roman"/>
          <w:color w:val="auto"/>
          <w:u w:val="single"/>
        </w:rPr>
        <w:t xml:space="preserve">    </w:t>
      </w:r>
      <w:r>
        <w:rPr>
          <w:rFonts w:ascii="Times New Roman" w:hAnsi="Times New Roman"/>
          <w:color w:val="auto"/>
        </w:rPr>
        <w:t>年</w:t>
      </w:r>
      <w:r>
        <w:rPr>
          <w:rFonts w:ascii="Times New Roman" w:hAnsi="Times New Roman"/>
          <w:color w:val="auto"/>
          <w:u w:val="single"/>
        </w:rPr>
        <w:t xml:space="preserve">    </w:t>
      </w:r>
      <w:r>
        <w:rPr>
          <w:rFonts w:ascii="Times New Roman" w:hAnsi="Times New Roman"/>
          <w:color w:val="auto"/>
        </w:rPr>
        <w:t>月</w:t>
      </w:r>
    </w:p>
    <w:p>
      <w:pPr>
        <w:spacing w:line="440" w:lineRule="exact"/>
        <w:rPr>
          <w:rFonts w:ascii="Times New Roman" w:hAnsi="Times New Roman"/>
          <w:color w:val="auto"/>
        </w:rPr>
      </w:pPr>
      <w:r>
        <w:rPr>
          <w:rFonts w:ascii="Times New Roman" w:hAnsi="Times New Roman"/>
          <w:color w:val="auto"/>
          <w:u w:val="single"/>
        </w:rPr>
        <w:t xml:space="preserve">     </w:t>
      </w:r>
      <w:r>
        <w:rPr>
          <w:rFonts w:ascii="Times New Roman" w:hAnsi="Times New Roman"/>
          <w:color w:val="auto"/>
        </w:rPr>
        <w:t>日参加</w:t>
      </w:r>
      <w:r>
        <w:rPr>
          <w:rFonts w:ascii="Times New Roman" w:hAnsi="Times New Roman"/>
          <w:color w:val="auto"/>
          <w:u w:val="single"/>
        </w:rPr>
        <w:t xml:space="preserve">            </w:t>
      </w:r>
      <w:r>
        <w:rPr>
          <w:rFonts w:ascii="Times New Roman" w:hAnsi="Times New Roman"/>
          <w:color w:val="auto"/>
        </w:rPr>
        <w:t>（项目名称）勘察招标项目的投标。我方愿意无条件地、不可撤销地就</w:t>
      </w:r>
      <w:r>
        <w:rPr>
          <w:rFonts w:ascii="Times New Roman" w:hAnsi="Times New Roman"/>
          <w:color w:val="auto"/>
          <w:szCs w:val="21"/>
        </w:rPr>
        <w:t>勘察人</w:t>
      </w:r>
      <w:r>
        <w:rPr>
          <w:rFonts w:ascii="Times New Roman" w:hAnsi="Times New Roman"/>
          <w:color w:val="auto"/>
        </w:rPr>
        <w:t>履行与你方订立的合同，向你方提供担保。</w:t>
      </w:r>
    </w:p>
    <w:p>
      <w:pPr>
        <w:spacing w:line="440" w:lineRule="exact"/>
        <w:ind w:firstLine="420" w:firstLineChars="200"/>
        <w:rPr>
          <w:rFonts w:ascii="Times New Roman" w:hAnsi="Times New Roman"/>
          <w:color w:val="auto"/>
        </w:rPr>
      </w:pPr>
      <w:r>
        <w:rPr>
          <w:rFonts w:ascii="Times New Roman" w:hAnsi="Times New Roman"/>
          <w:color w:val="auto"/>
        </w:rPr>
        <w:t>1. 担保金额人民币（大写）</w:t>
      </w:r>
      <w:r>
        <w:rPr>
          <w:rFonts w:ascii="Times New Roman" w:hAnsi="Times New Roman"/>
          <w:color w:val="auto"/>
          <w:u w:val="single"/>
        </w:rPr>
        <w:t xml:space="preserve">              </w:t>
      </w:r>
      <w:r>
        <w:rPr>
          <w:rFonts w:ascii="Times New Roman" w:hAnsi="Times New Roman"/>
          <w:color w:val="auto"/>
        </w:rPr>
        <w:t>（¥）</w:t>
      </w:r>
      <w:r>
        <w:rPr>
          <w:rFonts w:ascii="Times New Roman" w:hAnsi="Times New Roman"/>
          <w:color w:val="auto"/>
          <w:u w:val="single"/>
        </w:rPr>
        <w:t xml:space="preserve">              </w:t>
      </w:r>
      <w:r>
        <w:rPr>
          <w:rFonts w:ascii="Times New Roman" w:hAnsi="Times New Roman"/>
          <w:color w:val="auto"/>
        </w:rPr>
        <w:t>。</w:t>
      </w:r>
    </w:p>
    <w:p>
      <w:pPr>
        <w:spacing w:line="440" w:lineRule="exact"/>
        <w:ind w:firstLine="420" w:firstLineChars="200"/>
        <w:rPr>
          <w:rFonts w:ascii="Times New Roman" w:hAnsi="Times New Roman"/>
          <w:color w:val="auto"/>
          <w:szCs w:val="21"/>
        </w:rPr>
      </w:pPr>
      <w:r>
        <w:rPr>
          <w:rFonts w:ascii="Times New Roman" w:hAnsi="Times New Roman"/>
          <w:color w:val="auto"/>
          <w:szCs w:val="21"/>
        </w:rPr>
        <w:t xml:space="preserve">2. </w:t>
      </w:r>
      <w:r>
        <w:rPr>
          <w:rFonts w:hint="eastAsia" w:ascii="Times New Roman" w:hAnsi="Times New Roman"/>
          <w:color w:val="auto"/>
          <w:szCs w:val="21"/>
        </w:rPr>
        <w:t>担保有效期自发包人与勘察人签订的合同生效之日起至发包人签收最后一批勘察成果文件之日起</w:t>
      </w:r>
      <w:r>
        <w:rPr>
          <w:rFonts w:ascii="Times New Roman" w:hAnsi="Times New Roman"/>
          <w:color w:val="auto"/>
          <w:szCs w:val="21"/>
        </w:rPr>
        <w:t>28</w:t>
      </w:r>
      <w:r>
        <w:rPr>
          <w:rFonts w:hint="eastAsia" w:ascii="Times New Roman" w:hAnsi="Times New Roman"/>
          <w:color w:val="auto"/>
          <w:szCs w:val="21"/>
        </w:rPr>
        <w:t>日后失效。</w:t>
      </w:r>
    </w:p>
    <w:p>
      <w:pPr>
        <w:spacing w:line="440" w:lineRule="exact"/>
        <w:ind w:firstLine="420" w:firstLineChars="200"/>
        <w:rPr>
          <w:rFonts w:ascii="Times New Roman" w:hAnsi="Times New Roman"/>
          <w:color w:val="auto"/>
        </w:rPr>
      </w:pPr>
      <w:r>
        <w:rPr>
          <w:rFonts w:ascii="Times New Roman" w:hAnsi="Times New Roman"/>
          <w:color w:val="auto"/>
        </w:rPr>
        <w:t>3. 在本担保有效期内，</w:t>
      </w:r>
      <w:r>
        <w:rPr>
          <w:rFonts w:ascii="Times New Roman" w:hAnsi="Times New Roman"/>
          <w:color w:val="auto"/>
          <w:szCs w:val="21"/>
        </w:rPr>
        <w:t>如果勘察人不履行合同约定的义务或其履行不符合合同的约定，</w:t>
      </w:r>
      <w:r>
        <w:rPr>
          <w:rFonts w:ascii="Times New Roman" w:hAnsi="Times New Roman"/>
          <w:color w:val="auto"/>
        </w:rPr>
        <w:t>我方在收到你方以书面形式提出的在担保金额内的赔偿要求后，在7日内无条件支付。</w:t>
      </w:r>
    </w:p>
    <w:p>
      <w:pPr>
        <w:spacing w:line="440" w:lineRule="exact"/>
        <w:ind w:firstLine="420" w:firstLineChars="200"/>
        <w:rPr>
          <w:rFonts w:ascii="Times New Roman" w:hAnsi="Times New Roman"/>
          <w:color w:val="auto"/>
        </w:rPr>
      </w:pPr>
      <w:r>
        <w:rPr>
          <w:rFonts w:ascii="Times New Roman" w:hAnsi="Times New Roman"/>
          <w:color w:val="auto"/>
        </w:rPr>
        <w:t>4. 发包人和</w:t>
      </w:r>
      <w:r>
        <w:rPr>
          <w:rFonts w:ascii="Times New Roman" w:hAnsi="Times New Roman"/>
          <w:color w:val="auto"/>
          <w:szCs w:val="21"/>
        </w:rPr>
        <w:t>勘察人</w:t>
      </w:r>
      <w:r>
        <w:rPr>
          <w:rFonts w:ascii="Times New Roman" w:hAnsi="Times New Roman"/>
          <w:color w:val="auto"/>
        </w:rPr>
        <w:t>变更合同时</w:t>
      </w:r>
      <w:bookmarkStart w:id="623" w:name="_Toc247527799"/>
      <w:bookmarkStart w:id="624" w:name="_Toc361508743"/>
      <w:bookmarkStart w:id="625" w:name="_Toc296602586"/>
      <w:bookmarkStart w:id="626" w:name="_Toc247085851"/>
      <w:bookmarkStart w:id="627" w:name="_Toc384308366"/>
      <w:bookmarkStart w:id="628" w:name="_Toc246996336"/>
      <w:bookmarkStart w:id="629" w:name="_Toc184635123"/>
      <w:bookmarkStart w:id="630" w:name="_Toc246997079"/>
      <w:bookmarkStart w:id="631" w:name="_Toc369531685"/>
      <w:bookmarkStart w:id="632" w:name="_Toc247514198"/>
      <w:bookmarkStart w:id="633" w:name="_Toc361231267"/>
      <w:bookmarkStart w:id="634" w:name="_Toc300835200"/>
      <w:bookmarkStart w:id="635" w:name="_Toc15620"/>
      <w:r>
        <w:rPr>
          <w:rFonts w:ascii="Times New Roman" w:hAnsi="Times New Roman"/>
          <w:color w:val="auto"/>
        </w:rPr>
        <w:t>，无论我方是否收到该</w:t>
      </w:r>
      <w:bookmarkEnd w:id="596"/>
      <w:bookmarkEnd w:id="597"/>
      <w:bookmarkEnd w:id="598"/>
      <w:bookmarkEnd w:id="599"/>
      <w:bookmarkEnd w:id="623"/>
      <w:bookmarkEnd w:id="624"/>
      <w:bookmarkEnd w:id="625"/>
      <w:bookmarkEnd w:id="626"/>
      <w:bookmarkEnd w:id="627"/>
      <w:bookmarkEnd w:id="628"/>
      <w:bookmarkEnd w:id="629"/>
      <w:bookmarkEnd w:id="630"/>
      <w:bookmarkEnd w:id="631"/>
      <w:bookmarkEnd w:id="632"/>
      <w:bookmarkEnd w:id="633"/>
      <w:bookmarkEnd w:id="634"/>
      <w:bookmarkEnd w:id="635"/>
      <w:r>
        <w:rPr>
          <w:rFonts w:ascii="Times New Roman" w:hAnsi="Times New Roman"/>
          <w:color w:val="auto"/>
        </w:rPr>
        <w:t>变</w:t>
      </w:r>
      <w:bookmarkStart w:id="636" w:name="_Toc361508744"/>
      <w:bookmarkStart w:id="637" w:name="_Toc246997080"/>
      <w:bookmarkStart w:id="638" w:name="_Toc152045768"/>
      <w:bookmarkStart w:id="639" w:name="_Toc247527800"/>
      <w:bookmarkStart w:id="640" w:name="_Toc384308367"/>
      <w:bookmarkStart w:id="641" w:name="_Toc300835201"/>
      <w:bookmarkStart w:id="642" w:name="_Toc179632786"/>
      <w:bookmarkStart w:id="643" w:name="_Toc369531686"/>
      <w:bookmarkStart w:id="644" w:name="_Toc152042547"/>
      <w:bookmarkStart w:id="645" w:name="_Toc144974827"/>
      <w:bookmarkStart w:id="646" w:name="_Toc247085852"/>
      <w:bookmarkStart w:id="647" w:name="_Toc5746"/>
      <w:bookmarkStart w:id="648" w:name="_Toc246996337"/>
      <w:bookmarkStart w:id="649" w:name="_Toc247514199"/>
      <w:bookmarkStart w:id="650" w:name="_Toc361231268"/>
      <w:r>
        <w:rPr>
          <w:rFonts w:ascii="Times New Roman" w:hAnsi="Times New Roman"/>
          <w:color w:val="auto"/>
        </w:rPr>
        <w:t>更，我方承担本</w:t>
      </w:r>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r>
        <w:rPr>
          <w:rFonts w:ascii="Times New Roman" w:hAnsi="Times New Roman"/>
          <w:color w:val="auto"/>
        </w:rPr>
        <w:t>担保</w:t>
      </w:r>
      <w:bookmarkStart w:id="651" w:name="_Toc246996338"/>
      <w:bookmarkStart w:id="652" w:name="_Toc246997081"/>
      <w:bookmarkStart w:id="653" w:name="_Toc179632787"/>
      <w:bookmarkStart w:id="654" w:name="_Toc247085853"/>
      <w:r>
        <w:rPr>
          <w:rFonts w:ascii="Times New Roman" w:hAnsi="Times New Roman"/>
          <w:color w:val="auto"/>
        </w:rPr>
        <w:t>规定的义务不变。</w:t>
      </w:r>
    </w:p>
    <w:p>
      <w:pPr>
        <w:spacing w:line="440" w:lineRule="exact"/>
        <w:rPr>
          <w:rFonts w:ascii="Times New Roman" w:hAnsi="Times New Roman"/>
          <w:color w:val="auto"/>
        </w:rPr>
      </w:pPr>
    </w:p>
    <w:p>
      <w:pPr>
        <w:spacing w:line="600" w:lineRule="exact"/>
        <w:ind w:firstLine="2310" w:firstLineChars="1100"/>
        <w:rPr>
          <w:rFonts w:ascii="Times New Roman" w:hAnsi="Times New Roman"/>
          <w:color w:val="auto"/>
        </w:rPr>
      </w:pPr>
      <w:bookmarkStart w:id="655" w:name="_Toc144974829"/>
      <w:bookmarkStart w:id="656" w:name="_Toc152042549"/>
      <w:r>
        <w:rPr>
          <w:rFonts w:hint="eastAsia" w:ascii="Times New Roman" w:hAnsi="Times New Roman"/>
          <w:color w:val="auto"/>
        </w:rPr>
        <w:t>担保人名称</w:t>
      </w:r>
      <w:r>
        <w:rPr>
          <w:rFonts w:ascii="Times New Roman" w:hAnsi="Times New Roman"/>
          <w:color w:val="auto"/>
        </w:rPr>
        <w:t xml:space="preserve"> ：</w:t>
      </w:r>
      <w:r>
        <w:rPr>
          <w:rFonts w:ascii="Times New Roman" w:hAnsi="Times New Roman"/>
          <w:color w:val="auto"/>
          <w:u w:val="single"/>
        </w:rPr>
        <w:t xml:space="preserve">                                      </w:t>
      </w:r>
      <w:r>
        <w:rPr>
          <w:rFonts w:ascii="Times New Roman" w:hAnsi="Times New Roman"/>
          <w:color w:val="auto"/>
        </w:rPr>
        <w:t>（盖单位章）</w:t>
      </w:r>
    </w:p>
    <w:p>
      <w:pPr>
        <w:spacing w:line="600" w:lineRule="exact"/>
        <w:ind w:firstLine="2310" w:firstLineChars="1100"/>
        <w:rPr>
          <w:rFonts w:ascii="Times New Roman" w:hAnsi="Times New Roman"/>
          <w:color w:val="auto"/>
        </w:rPr>
      </w:pPr>
      <w:r>
        <w:rPr>
          <w:rFonts w:ascii="Times New Roman" w:hAnsi="Times New Roman"/>
          <w:color w:val="auto"/>
        </w:rPr>
        <w:t>法定代表人或其委托代理人：</w:t>
      </w:r>
      <w:r>
        <w:rPr>
          <w:rFonts w:ascii="Times New Roman" w:hAnsi="Times New Roman"/>
          <w:color w:val="auto"/>
          <w:u w:val="single"/>
        </w:rPr>
        <w:t xml:space="preserve">              </w:t>
      </w:r>
      <w:r>
        <w:rPr>
          <w:rFonts w:ascii="Times New Roman" w:hAnsi="Times New Roman"/>
          <w:color w:val="auto"/>
        </w:rPr>
        <w:t>（签字）</w:t>
      </w:r>
    </w:p>
    <w:p>
      <w:pPr>
        <w:spacing w:line="600" w:lineRule="exact"/>
        <w:ind w:firstLine="2310" w:firstLineChars="1100"/>
        <w:rPr>
          <w:rFonts w:ascii="Times New Roman" w:hAnsi="Times New Roman"/>
          <w:color w:val="auto"/>
        </w:rPr>
      </w:pPr>
      <w:r>
        <w:rPr>
          <w:rFonts w:ascii="Times New Roman" w:hAnsi="Times New Roman"/>
          <w:color w:val="auto"/>
        </w:rPr>
        <w:t>地    址：</w:t>
      </w:r>
      <w:r>
        <w:rPr>
          <w:rFonts w:ascii="Times New Roman" w:hAnsi="Times New Roman"/>
          <w:color w:val="auto"/>
          <w:u w:val="single"/>
        </w:rPr>
        <w:t xml:space="preserve">                                                  </w:t>
      </w:r>
    </w:p>
    <w:p>
      <w:pPr>
        <w:spacing w:line="600" w:lineRule="exact"/>
        <w:ind w:firstLine="2310" w:firstLineChars="1100"/>
        <w:rPr>
          <w:rFonts w:ascii="Times New Roman" w:hAnsi="Times New Roman"/>
          <w:color w:val="auto"/>
        </w:rPr>
      </w:pPr>
      <w:r>
        <w:rPr>
          <w:rFonts w:ascii="Times New Roman" w:hAnsi="Times New Roman"/>
          <w:color w:val="auto"/>
        </w:rPr>
        <w:t>邮政编码：</w:t>
      </w:r>
      <w:r>
        <w:rPr>
          <w:rFonts w:ascii="Times New Roman" w:hAnsi="Times New Roman"/>
          <w:color w:val="auto"/>
          <w:u w:val="single"/>
        </w:rPr>
        <w:tab/>
      </w:r>
      <w:r>
        <w:rPr>
          <w:rFonts w:ascii="Times New Roman" w:hAnsi="Times New Roman"/>
          <w:color w:val="auto"/>
          <w:u w:val="single"/>
        </w:rPr>
        <w:tab/>
      </w:r>
      <w:r>
        <w:rPr>
          <w:rFonts w:ascii="Times New Roman" w:hAnsi="Times New Roman"/>
          <w:color w:val="auto"/>
          <w:u w:val="single"/>
        </w:rPr>
        <w:tab/>
      </w:r>
      <w:r>
        <w:rPr>
          <w:rFonts w:ascii="Times New Roman" w:hAnsi="Times New Roman"/>
          <w:color w:val="auto"/>
          <w:u w:val="single"/>
        </w:rPr>
        <w:tab/>
      </w:r>
      <w:r>
        <w:rPr>
          <w:rFonts w:ascii="Times New Roman" w:hAnsi="Times New Roman"/>
          <w:color w:val="auto"/>
          <w:u w:val="single"/>
        </w:rPr>
        <w:t xml:space="preserve">              </w:t>
      </w:r>
      <w:r>
        <w:rPr>
          <w:rFonts w:ascii="Times New Roman" w:hAnsi="Times New Roman"/>
          <w:color w:val="auto"/>
          <w:u w:val="single"/>
        </w:rPr>
        <w:tab/>
      </w:r>
      <w:r>
        <w:rPr>
          <w:rFonts w:ascii="Times New Roman" w:hAnsi="Times New Roman"/>
          <w:color w:val="auto"/>
          <w:u w:val="single"/>
        </w:rPr>
        <w:tab/>
      </w:r>
      <w:r>
        <w:rPr>
          <w:rFonts w:ascii="Times New Roman" w:hAnsi="Times New Roman"/>
          <w:color w:val="auto"/>
          <w:u w:val="single"/>
        </w:rPr>
        <w:tab/>
      </w:r>
      <w:r>
        <w:rPr>
          <w:rFonts w:ascii="Times New Roman" w:hAnsi="Times New Roman"/>
          <w:color w:val="auto"/>
          <w:u w:val="single"/>
        </w:rPr>
        <w:t xml:space="preserve">          </w:t>
      </w:r>
    </w:p>
    <w:p>
      <w:pPr>
        <w:spacing w:line="600" w:lineRule="exact"/>
        <w:ind w:firstLine="2310" w:firstLineChars="1100"/>
        <w:rPr>
          <w:rFonts w:ascii="Times New Roman" w:hAnsi="Times New Roman"/>
          <w:color w:val="auto"/>
        </w:rPr>
      </w:pPr>
      <w:r>
        <w:rPr>
          <w:rFonts w:ascii="Times New Roman" w:hAnsi="Times New Roman"/>
          <w:color w:val="auto"/>
        </w:rPr>
        <w:t>电    话：</w:t>
      </w:r>
      <w:r>
        <w:rPr>
          <w:rFonts w:ascii="Times New Roman" w:hAnsi="Times New Roman"/>
          <w:color w:val="auto"/>
          <w:u w:val="single"/>
        </w:rPr>
        <w:t xml:space="preserve">                                                  </w:t>
      </w:r>
    </w:p>
    <w:p>
      <w:pPr>
        <w:spacing w:line="600" w:lineRule="exact"/>
        <w:ind w:firstLine="4258" w:firstLineChars="2028"/>
        <w:jc w:val="right"/>
        <w:rPr>
          <w:rFonts w:ascii="Times New Roman" w:hAnsi="Times New Roman"/>
          <w:b/>
          <w:bCs/>
          <w:color w:val="auto"/>
          <w:sz w:val="44"/>
          <w:szCs w:val="44"/>
        </w:rPr>
      </w:pPr>
      <w:r>
        <w:rPr>
          <w:rFonts w:ascii="Times New Roman" w:hAnsi="Times New Roman"/>
          <w:color w:val="auto"/>
          <w:u w:val="single"/>
        </w:rPr>
        <w:t xml:space="preserve">       </w:t>
      </w:r>
      <w:r>
        <w:rPr>
          <w:rFonts w:ascii="Times New Roman" w:hAnsi="Times New Roman"/>
          <w:color w:val="auto"/>
        </w:rPr>
        <w:t>年</w:t>
      </w:r>
      <w:r>
        <w:rPr>
          <w:rFonts w:ascii="Times New Roman" w:hAnsi="Times New Roman"/>
          <w:color w:val="auto"/>
          <w:u w:val="single"/>
        </w:rPr>
        <w:t xml:space="preserve">       </w:t>
      </w:r>
      <w:r>
        <w:rPr>
          <w:rFonts w:ascii="Times New Roman" w:hAnsi="Times New Roman"/>
          <w:color w:val="auto"/>
        </w:rPr>
        <w:t>月</w:t>
      </w:r>
      <w:r>
        <w:rPr>
          <w:rFonts w:ascii="Times New Roman" w:hAnsi="Times New Roman"/>
          <w:color w:val="auto"/>
          <w:u w:val="single"/>
        </w:rPr>
        <w:t xml:space="preserve">       </w:t>
      </w:r>
      <w:r>
        <w:rPr>
          <w:rFonts w:ascii="Times New Roman" w:hAnsi="Times New Roman"/>
          <w:color w:val="auto"/>
        </w:rPr>
        <w:t>日</w:t>
      </w:r>
      <w:r>
        <w:rPr>
          <w:rFonts w:ascii="Times New Roman" w:hAnsi="Times New Roman"/>
          <w:color w:val="auto"/>
          <w:szCs w:val="21"/>
        </w:rPr>
        <w:br w:type="page"/>
      </w:r>
    </w:p>
    <w:p>
      <w:pPr>
        <w:spacing w:line="440" w:lineRule="exact"/>
        <w:jc w:val="center"/>
        <w:rPr>
          <w:rFonts w:ascii="Times New Roman" w:hAnsi="Times New Roman"/>
          <w:color w:val="auto"/>
          <w:sz w:val="20"/>
        </w:rPr>
      </w:pPr>
    </w:p>
    <w:p>
      <w:pPr>
        <w:pStyle w:val="4"/>
        <w:jc w:val="center"/>
        <w:rPr>
          <w:color w:val="auto"/>
        </w:rPr>
      </w:pPr>
      <w:bookmarkStart w:id="657" w:name="_Toc492300926"/>
      <w:r>
        <w:rPr>
          <w:rFonts w:hint="eastAsia"/>
          <w:color w:val="auto"/>
        </w:rPr>
        <w:t>第五章发包人要求</w:t>
      </w:r>
      <w:bookmarkEnd w:id="657"/>
    </w:p>
    <w:p>
      <w:pPr>
        <w:topLinePunct/>
        <w:spacing w:line="440" w:lineRule="exact"/>
        <w:jc w:val="center"/>
        <w:rPr>
          <w:rFonts w:ascii="Times New Roman" w:hAnsi="Times New Roman"/>
          <w:color w:val="auto"/>
        </w:rPr>
      </w:pPr>
    </w:p>
    <w:p>
      <w:pPr>
        <w:spacing w:line="400" w:lineRule="exact"/>
        <w:jc w:val="center"/>
        <w:rPr>
          <w:rFonts w:ascii="Times New Roman" w:hAnsi="Times New Roman"/>
          <w:color w:val="auto"/>
        </w:rPr>
      </w:pPr>
      <w:r>
        <w:rPr>
          <w:rFonts w:ascii="Times New Roman" w:hAnsi="Times New Roman"/>
          <w:color w:val="auto"/>
        </w:rPr>
        <w:br w:type="page"/>
      </w:r>
    </w:p>
    <w:p>
      <w:pPr>
        <w:spacing w:line="400" w:lineRule="exact"/>
        <w:jc w:val="center"/>
        <w:rPr>
          <w:rFonts w:ascii="Times New Roman" w:hAnsi="Times New Roman"/>
          <w:b/>
          <w:color w:val="auto"/>
          <w:sz w:val="32"/>
          <w:szCs w:val="32"/>
        </w:rPr>
      </w:pPr>
      <w:r>
        <w:rPr>
          <w:rFonts w:ascii="Times New Roman" w:hAnsi="Times New Roman"/>
          <w:b/>
          <w:color w:val="auto"/>
          <w:sz w:val="32"/>
          <w:szCs w:val="32"/>
        </w:rPr>
        <w:t>发包人要求</w:t>
      </w:r>
    </w:p>
    <w:bookmarkEnd w:id="651"/>
    <w:bookmarkEnd w:id="652"/>
    <w:bookmarkEnd w:id="653"/>
    <w:bookmarkEnd w:id="654"/>
    <w:p>
      <w:pPr>
        <w:spacing w:line="440" w:lineRule="exact"/>
        <w:ind w:firstLine="420" w:firstLineChars="200"/>
        <w:rPr>
          <w:rFonts w:ascii="Times New Roman" w:hAnsi="Times New Roman"/>
          <w:color w:val="auto"/>
          <w:szCs w:val="21"/>
        </w:rPr>
      </w:pPr>
      <w:r>
        <w:rPr>
          <w:rFonts w:ascii="Times New Roman" w:hAnsi="Times New Roman"/>
          <w:color w:val="auto"/>
          <w:szCs w:val="21"/>
        </w:rPr>
        <w:t>发包人要求应尽可能清晰准确，对于可以进行定量评估的工作，发包人要求不仅应明确规定其功能、用途、质量、环境、安全，并且要规定偏差的范围和计算方法，以及检验、试验、试运行的具体要求。对于勘察人负责提供的有关服务，在发包人要求中应一并明确规定。</w:t>
      </w:r>
    </w:p>
    <w:p>
      <w:pPr>
        <w:spacing w:line="440" w:lineRule="exact"/>
        <w:ind w:firstLine="420" w:firstLineChars="200"/>
        <w:rPr>
          <w:rFonts w:ascii="Times New Roman" w:hAnsi="Times New Roman"/>
          <w:b/>
          <w:color w:val="auto"/>
          <w:sz w:val="32"/>
        </w:rPr>
      </w:pPr>
      <w:r>
        <w:rPr>
          <w:rFonts w:ascii="Times New Roman" w:hAnsi="Times New Roman"/>
          <w:color w:val="auto"/>
          <w:szCs w:val="21"/>
        </w:rPr>
        <w:t>发包人要求通常包括但不限于以下内容：</w:t>
      </w:r>
    </w:p>
    <w:p>
      <w:pPr>
        <w:pStyle w:val="5"/>
        <w:spacing w:line="240" w:lineRule="auto"/>
        <w:rPr>
          <w:rFonts w:ascii="Times New Roman" w:hAnsi="Times New Roman"/>
          <w:b w:val="0"/>
          <w:color w:val="auto"/>
          <w:sz w:val="28"/>
          <w:szCs w:val="28"/>
        </w:rPr>
      </w:pPr>
      <w:bookmarkStart w:id="658" w:name="_Toc482188637"/>
      <w:bookmarkStart w:id="659" w:name="_Toc492300927"/>
      <w:r>
        <w:rPr>
          <w:rFonts w:hint="eastAsia" w:ascii="Times New Roman" w:hAnsi="Times New Roman"/>
          <w:b w:val="0"/>
          <w:color w:val="auto"/>
          <w:sz w:val="28"/>
          <w:szCs w:val="28"/>
        </w:rPr>
        <w:t>一、勘察要求</w:t>
      </w:r>
      <w:bookmarkEnd w:id="658"/>
      <w:bookmarkEnd w:id="659"/>
    </w:p>
    <w:p>
      <w:pPr>
        <w:spacing w:line="440" w:lineRule="exact"/>
        <w:ind w:firstLine="359" w:firstLineChars="171"/>
        <w:rPr>
          <w:rFonts w:ascii="Times New Roman" w:hAnsi="Times New Roman"/>
          <w:b/>
          <w:color w:val="auto"/>
        </w:rPr>
      </w:pPr>
      <w:r>
        <w:rPr>
          <w:rFonts w:ascii="Times New Roman" w:hAnsi="Times New Roman"/>
          <w:color w:val="auto"/>
        </w:rPr>
        <w:t>招标人应当根据项目情况在本章中明确相应的勘察要求，一般应包括以下内容：</w:t>
      </w:r>
    </w:p>
    <w:p>
      <w:pPr>
        <w:spacing w:line="440" w:lineRule="exact"/>
        <w:ind w:firstLine="359" w:firstLineChars="171"/>
        <w:rPr>
          <w:rFonts w:ascii="Times New Roman" w:hAnsi="Times New Roman"/>
          <w:color w:val="auto"/>
        </w:rPr>
      </w:pPr>
      <w:r>
        <w:rPr>
          <w:rFonts w:ascii="Times New Roman" w:hAnsi="Times New Roman"/>
          <w:color w:val="auto"/>
        </w:rPr>
        <w:t>1. 项目概况</w:t>
      </w:r>
    </w:p>
    <w:p>
      <w:pPr>
        <w:spacing w:line="440" w:lineRule="exact"/>
        <w:ind w:firstLine="359" w:firstLineChars="171"/>
        <w:rPr>
          <w:rFonts w:ascii="Times New Roman" w:hAnsi="Times New Roman"/>
          <w:color w:val="auto"/>
        </w:rPr>
      </w:pPr>
      <w:r>
        <w:rPr>
          <w:rFonts w:ascii="Times New Roman" w:hAnsi="Times New Roman"/>
          <w:color w:val="auto"/>
        </w:rPr>
        <w:t>包括项目名称、建设单位、建设规模、项目地理位置、周边环境、树木情况、文物情况、地址地貌、气候及气象条件、道路交通状况、市政情况等。</w:t>
      </w:r>
    </w:p>
    <w:p>
      <w:pPr>
        <w:spacing w:line="440" w:lineRule="exact"/>
        <w:ind w:firstLine="359" w:firstLineChars="171"/>
        <w:rPr>
          <w:rFonts w:ascii="Times New Roman" w:hAnsi="Times New Roman"/>
          <w:color w:val="auto"/>
        </w:rPr>
      </w:pPr>
      <w:r>
        <w:rPr>
          <w:rFonts w:ascii="Times New Roman" w:hAnsi="Times New Roman"/>
          <w:color w:val="auto"/>
        </w:rPr>
        <w:t>2. 勘察范围及内容</w:t>
      </w:r>
    </w:p>
    <w:p>
      <w:pPr>
        <w:spacing w:line="440" w:lineRule="exact"/>
        <w:ind w:firstLine="359" w:firstLineChars="171"/>
        <w:rPr>
          <w:rFonts w:ascii="Times New Roman" w:hAnsi="Times New Roman"/>
          <w:color w:val="auto"/>
        </w:rPr>
      </w:pPr>
      <w:r>
        <w:rPr>
          <w:rFonts w:ascii="Times New Roman" w:hAnsi="Times New Roman"/>
          <w:color w:val="auto"/>
        </w:rPr>
        <w:t>3. 勘察依据</w:t>
      </w:r>
    </w:p>
    <w:p>
      <w:pPr>
        <w:spacing w:line="440" w:lineRule="exact"/>
        <w:ind w:firstLine="359" w:firstLineChars="171"/>
        <w:rPr>
          <w:rFonts w:ascii="Times New Roman" w:hAnsi="Times New Roman"/>
          <w:color w:val="auto"/>
        </w:rPr>
      </w:pPr>
      <w:r>
        <w:rPr>
          <w:rFonts w:ascii="Times New Roman" w:hAnsi="Times New Roman"/>
          <w:color w:val="auto"/>
        </w:rPr>
        <w:t>4. 基础资料</w:t>
      </w:r>
    </w:p>
    <w:p>
      <w:pPr>
        <w:spacing w:line="440" w:lineRule="exact"/>
        <w:ind w:firstLine="359" w:firstLineChars="171"/>
        <w:rPr>
          <w:rFonts w:ascii="Times New Roman" w:hAnsi="Times New Roman"/>
          <w:color w:val="auto"/>
        </w:rPr>
      </w:pPr>
      <w:r>
        <w:rPr>
          <w:rFonts w:hint="eastAsia" w:ascii="Times New Roman" w:hAnsi="Times New Roman"/>
          <w:color w:val="auto"/>
        </w:rPr>
        <w:t>5. 勘察人员和设备要求</w:t>
      </w:r>
    </w:p>
    <w:p>
      <w:pPr>
        <w:spacing w:line="440" w:lineRule="exact"/>
        <w:ind w:firstLine="359" w:firstLineChars="171"/>
        <w:rPr>
          <w:rFonts w:ascii="Times New Roman" w:hAnsi="Times New Roman"/>
          <w:color w:val="auto"/>
        </w:rPr>
      </w:pPr>
      <w:r>
        <w:rPr>
          <w:rFonts w:hint="eastAsia" w:ascii="Times New Roman" w:hAnsi="Times New Roman"/>
          <w:color w:val="auto"/>
        </w:rPr>
        <w:t>6</w:t>
      </w:r>
      <w:r>
        <w:rPr>
          <w:rFonts w:ascii="Times New Roman" w:hAnsi="Times New Roman"/>
          <w:color w:val="auto"/>
        </w:rPr>
        <w:t>. 其他要求</w:t>
      </w:r>
    </w:p>
    <w:p>
      <w:pPr>
        <w:pStyle w:val="5"/>
        <w:spacing w:line="240" w:lineRule="auto"/>
        <w:rPr>
          <w:rFonts w:ascii="Times New Roman" w:hAnsi="Times New Roman"/>
          <w:b w:val="0"/>
          <w:color w:val="auto"/>
          <w:sz w:val="28"/>
          <w:szCs w:val="28"/>
        </w:rPr>
      </w:pPr>
      <w:bookmarkStart w:id="660" w:name="_Toc482188638"/>
      <w:bookmarkStart w:id="661" w:name="_Toc492300928"/>
      <w:r>
        <w:rPr>
          <w:rFonts w:ascii="Times New Roman" w:hAnsi="Times New Roman"/>
          <w:b w:val="0"/>
          <w:color w:val="auto"/>
          <w:sz w:val="28"/>
          <w:szCs w:val="28"/>
        </w:rPr>
        <w:t>二、适用规范标准</w:t>
      </w:r>
      <w:bookmarkEnd w:id="660"/>
      <w:bookmarkEnd w:id="661"/>
    </w:p>
    <w:p>
      <w:pPr>
        <w:spacing w:line="360" w:lineRule="auto"/>
        <w:ind w:firstLine="420" w:firstLineChars="200"/>
        <w:rPr>
          <w:rFonts w:ascii="Times New Roman" w:hAnsi="Times New Roman"/>
          <w:color w:val="auto"/>
        </w:rPr>
      </w:pPr>
      <w:r>
        <w:rPr>
          <w:rFonts w:ascii="Times New Roman" w:hAnsi="Times New Roman"/>
          <w:color w:val="auto"/>
        </w:rPr>
        <w:t>1. 国家、行业、项目所在地规范名录</w:t>
      </w:r>
    </w:p>
    <w:p>
      <w:pPr>
        <w:spacing w:line="360" w:lineRule="auto"/>
        <w:ind w:firstLine="420" w:firstLineChars="200"/>
        <w:rPr>
          <w:rFonts w:ascii="Times New Roman" w:hAnsi="Times New Roman"/>
          <w:color w:val="auto"/>
        </w:rPr>
      </w:pPr>
      <w:r>
        <w:rPr>
          <w:rFonts w:ascii="Times New Roman" w:hAnsi="Times New Roman"/>
          <w:color w:val="auto"/>
        </w:rPr>
        <w:t>2. 国家、行业、项目所在地标准名录</w:t>
      </w:r>
    </w:p>
    <w:p>
      <w:pPr>
        <w:spacing w:line="360" w:lineRule="auto"/>
        <w:ind w:firstLine="420" w:firstLineChars="200"/>
        <w:rPr>
          <w:rFonts w:ascii="Times New Roman" w:hAnsi="Times New Roman"/>
          <w:color w:val="auto"/>
        </w:rPr>
      </w:pPr>
      <w:r>
        <w:rPr>
          <w:rFonts w:ascii="Times New Roman" w:hAnsi="Times New Roman"/>
          <w:color w:val="auto"/>
        </w:rPr>
        <w:t>3. 国家、行业、项目所在地规程名录</w:t>
      </w:r>
    </w:p>
    <w:p>
      <w:pPr>
        <w:pStyle w:val="5"/>
        <w:spacing w:line="240" w:lineRule="auto"/>
        <w:rPr>
          <w:rFonts w:ascii="Times New Roman" w:hAnsi="Times New Roman"/>
          <w:b w:val="0"/>
          <w:color w:val="auto"/>
          <w:sz w:val="28"/>
          <w:szCs w:val="28"/>
        </w:rPr>
      </w:pPr>
      <w:bookmarkStart w:id="662" w:name="_Toc492300929"/>
      <w:bookmarkStart w:id="663" w:name="_Toc482188639"/>
      <w:r>
        <w:rPr>
          <w:rFonts w:ascii="Times New Roman" w:hAnsi="Times New Roman"/>
          <w:b w:val="0"/>
          <w:color w:val="auto"/>
          <w:sz w:val="28"/>
          <w:szCs w:val="28"/>
        </w:rPr>
        <w:t>三、成果文件要求</w:t>
      </w:r>
      <w:bookmarkEnd w:id="662"/>
      <w:bookmarkEnd w:id="663"/>
    </w:p>
    <w:p>
      <w:pPr>
        <w:spacing w:line="360" w:lineRule="auto"/>
        <w:ind w:firstLine="420" w:firstLineChars="200"/>
        <w:rPr>
          <w:rFonts w:ascii="Times New Roman" w:hAnsi="Times New Roman"/>
          <w:color w:val="auto"/>
        </w:rPr>
      </w:pPr>
      <w:r>
        <w:rPr>
          <w:rFonts w:ascii="Times New Roman" w:hAnsi="Times New Roman"/>
          <w:color w:val="auto"/>
        </w:rPr>
        <w:t>1. 成果文件的组成：勘察说明、图纸等</w:t>
      </w:r>
    </w:p>
    <w:p>
      <w:pPr>
        <w:spacing w:line="360" w:lineRule="auto"/>
        <w:ind w:firstLine="420" w:firstLineChars="200"/>
        <w:rPr>
          <w:rFonts w:ascii="Times New Roman" w:hAnsi="Times New Roman"/>
          <w:color w:val="auto"/>
        </w:rPr>
      </w:pPr>
      <w:r>
        <w:rPr>
          <w:rFonts w:ascii="Times New Roman" w:hAnsi="Times New Roman"/>
          <w:color w:val="auto"/>
        </w:rPr>
        <w:t>2. 成果文件的深度</w:t>
      </w:r>
    </w:p>
    <w:p>
      <w:pPr>
        <w:spacing w:line="360" w:lineRule="auto"/>
        <w:ind w:firstLine="420" w:firstLineChars="200"/>
        <w:rPr>
          <w:rFonts w:ascii="Times New Roman" w:hAnsi="Times New Roman"/>
          <w:color w:val="auto"/>
        </w:rPr>
      </w:pPr>
      <w:r>
        <w:rPr>
          <w:rFonts w:ascii="Times New Roman" w:hAnsi="Times New Roman"/>
          <w:color w:val="auto"/>
        </w:rPr>
        <w:t>3. 成果文件的格式要求</w:t>
      </w:r>
    </w:p>
    <w:p>
      <w:pPr>
        <w:spacing w:line="360" w:lineRule="auto"/>
        <w:ind w:firstLine="420" w:firstLineChars="200"/>
        <w:rPr>
          <w:rFonts w:ascii="Times New Roman" w:hAnsi="Times New Roman"/>
          <w:color w:val="auto"/>
        </w:rPr>
      </w:pPr>
      <w:r>
        <w:rPr>
          <w:rFonts w:ascii="Times New Roman" w:hAnsi="Times New Roman"/>
          <w:color w:val="auto"/>
        </w:rPr>
        <w:t>4. 成果文件的份数要求</w:t>
      </w:r>
    </w:p>
    <w:p>
      <w:pPr>
        <w:spacing w:line="360" w:lineRule="auto"/>
        <w:ind w:firstLine="420" w:firstLineChars="200"/>
        <w:rPr>
          <w:rFonts w:ascii="Times New Roman" w:hAnsi="Times New Roman"/>
          <w:color w:val="auto"/>
        </w:rPr>
      </w:pPr>
      <w:r>
        <w:rPr>
          <w:rFonts w:ascii="Times New Roman" w:hAnsi="Times New Roman"/>
          <w:color w:val="auto"/>
        </w:rPr>
        <w:t>5. 成果文件的载体要求</w:t>
      </w:r>
    </w:p>
    <w:p>
      <w:pPr>
        <w:spacing w:line="360" w:lineRule="auto"/>
        <w:ind w:firstLine="420" w:firstLineChars="200"/>
        <w:rPr>
          <w:rFonts w:ascii="Times New Roman" w:hAnsi="Times New Roman"/>
          <w:color w:val="auto"/>
        </w:rPr>
      </w:pPr>
      <w:r>
        <w:rPr>
          <w:rFonts w:ascii="Times New Roman" w:hAnsi="Times New Roman"/>
          <w:color w:val="auto"/>
        </w:rPr>
        <w:t>（1）纸质版的要求</w:t>
      </w:r>
      <w:r>
        <w:rPr>
          <w:rFonts w:hint="eastAsia" w:ascii="Times New Roman" w:hAnsi="Times New Roman"/>
          <w:color w:val="auto"/>
        </w:rPr>
        <w:t>；</w:t>
      </w:r>
    </w:p>
    <w:p>
      <w:pPr>
        <w:spacing w:line="360" w:lineRule="auto"/>
        <w:ind w:firstLine="420" w:firstLineChars="200"/>
        <w:rPr>
          <w:rFonts w:ascii="Times New Roman" w:hAnsi="Times New Roman"/>
          <w:color w:val="auto"/>
        </w:rPr>
      </w:pPr>
      <w:r>
        <w:rPr>
          <w:rFonts w:ascii="Times New Roman" w:hAnsi="Times New Roman"/>
          <w:color w:val="auto"/>
        </w:rPr>
        <w:t>（2）电子版的要求</w:t>
      </w:r>
      <w:r>
        <w:rPr>
          <w:rFonts w:hint="eastAsia" w:ascii="Times New Roman" w:hAnsi="Times New Roman"/>
          <w:color w:val="auto"/>
        </w:rPr>
        <w:t>；</w:t>
      </w:r>
    </w:p>
    <w:p>
      <w:pPr>
        <w:spacing w:line="360" w:lineRule="auto"/>
        <w:ind w:firstLine="420" w:firstLineChars="200"/>
        <w:rPr>
          <w:rFonts w:ascii="Times New Roman" w:hAnsi="Times New Roman"/>
          <w:color w:val="auto"/>
        </w:rPr>
      </w:pPr>
      <w:r>
        <w:rPr>
          <w:rFonts w:ascii="Times New Roman" w:hAnsi="Times New Roman"/>
          <w:color w:val="auto"/>
        </w:rPr>
        <w:t>（3）其他要求</w:t>
      </w:r>
      <w:r>
        <w:rPr>
          <w:rFonts w:hint="eastAsia" w:ascii="Times New Roman" w:hAnsi="Times New Roman"/>
          <w:color w:val="auto"/>
        </w:rPr>
        <w:t>。</w:t>
      </w:r>
    </w:p>
    <w:p>
      <w:pPr>
        <w:spacing w:line="360" w:lineRule="auto"/>
        <w:ind w:firstLine="420" w:firstLineChars="200"/>
        <w:rPr>
          <w:rFonts w:ascii="Times New Roman" w:hAnsi="Times New Roman"/>
          <w:color w:val="auto"/>
        </w:rPr>
      </w:pPr>
      <w:r>
        <w:rPr>
          <w:rFonts w:ascii="Times New Roman" w:hAnsi="Times New Roman"/>
          <w:color w:val="auto"/>
        </w:rPr>
        <w:t>6. 成果文件的其他要求</w:t>
      </w:r>
    </w:p>
    <w:p>
      <w:pPr>
        <w:pStyle w:val="5"/>
        <w:spacing w:line="240" w:lineRule="auto"/>
        <w:rPr>
          <w:rFonts w:ascii="Times New Roman" w:hAnsi="Times New Roman"/>
          <w:b w:val="0"/>
          <w:color w:val="auto"/>
          <w:sz w:val="28"/>
          <w:szCs w:val="28"/>
        </w:rPr>
      </w:pPr>
      <w:bookmarkStart w:id="664" w:name="_Toc482188640"/>
      <w:bookmarkStart w:id="665" w:name="_Toc492300930"/>
      <w:r>
        <w:rPr>
          <w:rFonts w:ascii="Times New Roman" w:hAnsi="Times New Roman"/>
          <w:b w:val="0"/>
          <w:color w:val="auto"/>
          <w:sz w:val="28"/>
          <w:szCs w:val="28"/>
        </w:rPr>
        <w:t>四、发包人财产清单</w:t>
      </w:r>
      <w:bookmarkEnd w:id="664"/>
      <w:bookmarkEnd w:id="665"/>
    </w:p>
    <w:p>
      <w:pPr>
        <w:pStyle w:val="6"/>
        <w:ind w:firstLine="137"/>
        <w:rPr>
          <w:rFonts w:ascii="Times New Roman" w:hAnsi="Times New Roman"/>
          <w:color w:val="auto"/>
        </w:rPr>
      </w:pPr>
      <w:bookmarkStart w:id="666" w:name="_Toc482188641"/>
      <w:bookmarkStart w:id="667" w:name="_Toc492300931"/>
      <w:r>
        <w:rPr>
          <w:rFonts w:ascii="Times New Roman" w:hAnsi="Times New Roman"/>
          <w:color w:val="auto"/>
        </w:rPr>
        <w:t>（一）发包人提供的设备、设施</w:t>
      </w:r>
      <w:bookmarkEnd w:id="666"/>
      <w:bookmarkEnd w:id="667"/>
    </w:p>
    <w:p>
      <w:pPr>
        <w:spacing w:line="360" w:lineRule="auto"/>
        <w:ind w:firstLine="420" w:firstLineChars="200"/>
        <w:rPr>
          <w:rFonts w:ascii="Times New Roman" w:hAnsi="Times New Roman"/>
          <w:color w:val="auto"/>
        </w:rPr>
      </w:pPr>
      <w:r>
        <w:rPr>
          <w:rFonts w:ascii="Times New Roman" w:hAnsi="Times New Roman"/>
          <w:color w:val="auto"/>
        </w:rPr>
        <w:t>1. 发包人提供的办公房屋及冷暖设施：如办公室数量及面积、空调等</w:t>
      </w:r>
    </w:p>
    <w:p>
      <w:pPr>
        <w:spacing w:line="360" w:lineRule="auto"/>
        <w:ind w:firstLine="420" w:firstLineChars="200"/>
        <w:rPr>
          <w:rFonts w:ascii="Times New Roman" w:hAnsi="Times New Roman"/>
          <w:color w:val="auto"/>
        </w:rPr>
      </w:pPr>
      <w:r>
        <w:rPr>
          <w:rFonts w:ascii="Times New Roman" w:hAnsi="Times New Roman"/>
          <w:color w:val="auto"/>
        </w:rPr>
        <w:t>2. 发包人提供的设备清单：如电脑、投影、打印机、复印机等</w:t>
      </w:r>
    </w:p>
    <w:p>
      <w:pPr>
        <w:spacing w:line="360" w:lineRule="auto"/>
        <w:ind w:firstLine="420" w:firstLineChars="200"/>
        <w:rPr>
          <w:rFonts w:ascii="Times New Roman" w:hAnsi="Times New Roman"/>
          <w:color w:val="auto"/>
        </w:rPr>
      </w:pPr>
      <w:r>
        <w:rPr>
          <w:rFonts w:ascii="Times New Roman" w:hAnsi="Times New Roman"/>
          <w:color w:val="auto"/>
        </w:rPr>
        <w:t>3. 发包人提供的设施清单：如办公桌椅、文件柜等</w:t>
      </w:r>
    </w:p>
    <w:p>
      <w:pPr>
        <w:spacing w:line="360" w:lineRule="auto"/>
        <w:ind w:firstLine="420" w:firstLineChars="200"/>
        <w:rPr>
          <w:rFonts w:ascii="Times New Roman" w:hAnsi="Times New Roman"/>
          <w:color w:val="auto"/>
        </w:rPr>
      </w:pPr>
      <w:bookmarkStart w:id="668" w:name="_Toc482188642"/>
      <w:r>
        <w:rPr>
          <w:rFonts w:ascii="Times New Roman" w:hAnsi="Times New Roman"/>
          <w:color w:val="auto"/>
        </w:rPr>
        <w:t>……</w:t>
      </w:r>
    </w:p>
    <w:p>
      <w:pPr>
        <w:pStyle w:val="6"/>
        <w:ind w:firstLine="137"/>
        <w:rPr>
          <w:rFonts w:ascii="Times New Roman" w:hAnsi="Times New Roman"/>
          <w:color w:val="auto"/>
        </w:rPr>
      </w:pPr>
      <w:bookmarkStart w:id="669" w:name="_Toc492300932"/>
      <w:r>
        <w:rPr>
          <w:rFonts w:ascii="Times New Roman" w:hAnsi="Times New Roman"/>
          <w:color w:val="auto"/>
        </w:rPr>
        <w:t>（二）发包人提供的资料</w:t>
      </w:r>
      <w:bookmarkEnd w:id="668"/>
      <w:bookmarkEnd w:id="669"/>
    </w:p>
    <w:p>
      <w:pPr>
        <w:spacing w:line="360" w:lineRule="auto"/>
        <w:ind w:firstLine="420" w:firstLineChars="200"/>
        <w:rPr>
          <w:rFonts w:ascii="Times New Roman" w:hAnsi="Times New Roman"/>
          <w:color w:val="auto"/>
        </w:rPr>
      </w:pPr>
      <w:r>
        <w:rPr>
          <w:rFonts w:ascii="Times New Roman" w:hAnsi="Times New Roman"/>
          <w:color w:val="auto"/>
        </w:rPr>
        <w:t>1. 施工场地及毗邻区域内的供水、排水、供电、供气、供热、通信、广播电视等地下管线资料、气象和水文观测资料，相邻建筑物和构筑物、地下工程的有关资料，以及其他与建设工程有关的原始资料</w:t>
      </w:r>
    </w:p>
    <w:p>
      <w:pPr>
        <w:spacing w:line="360" w:lineRule="auto"/>
        <w:ind w:firstLine="420" w:firstLineChars="200"/>
        <w:rPr>
          <w:rFonts w:ascii="Times New Roman" w:hAnsi="Times New Roman"/>
          <w:color w:val="auto"/>
        </w:rPr>
      </w:pPr>
      <w:r>
        <w:rPr>
          <w:rFonts w:ascii="Times New Roman" w:hAnsi="Times New Roman"/>
          <w:color w:val="auto"/>
        </w:rPr>
        <w:t>2. 定位放线的基准点、基准线和基准标高</w:t>
      </w:r>
    </w:p>
    <w:p>
      <w:pPr>
        <w:spacing w:line="360" w:lineRule="auto"/>
        <w:ind w:firstLine="420" w:firstLineChars="200"/>
        <w:rPr>
          <w:rFonts w:ascii="Times New Roman" w:hAnsi="Times New Roman"/>
          <w:color w:val="auto"/>
        </w:rPr>
      </w:pPr>
      <w:r>
        <w:rPr>
          <w:rFonts w:ascii="Times New Roman" w:hAnsi="Times New Roman"/>
          <w:color w:val="auto"/>
        </w:rPr>
        <w:t>3. 发包人取得的有关审批、核准和备案材料，如规划许可证</w:t>
      </w:r>
    </w:p>
    <w:p>
      <w:pPr>
        <w:spacing w:line="360" w:lineRule="auto"/>
        <w:ind w:firstLine="420" w:firstLineChars="200"/>
        <w:rPr>
          <w:rFonts w:ascii="Times New Roman" w:hAnsi="Times New Roman"/>
          <w:color w:val="auto"/>
        </w:rPr>
      </w:pPr>
      <w:r>
        <w:rPr>
          <w:rFonts w:ascii="Times New Roman" w:hAnsi="Times New Roman"/>
          <w:color w:val="auto"/>
        </w:rPr>
        <w:t>4.</w:t>
      </w:r>
      <w:r>
        <w:rPr>
          <w:rFonts w:hint="eastAsia" w:ascii="Times New Roman" w:hAnsi="Times New Roman"/>
          <w:color w:val="auto"/>
        </w:rPr>
        <w:t xml:space="preserve"> </w:t>
      </w:r>
      <w:r>
        <w:rPr>
          <w:rFonts w:ascii="Times New Roman" w:hAnsi="Times New Roman"/>
          <w:color w:val="auto"/>
        </w:rPr>
        <w:t>技术标准、规范</w:t>
      </w:r>
    </w:p>
    <w:p>
      <w:pPr>
        <w:spacing w:line="360" w:lineRule="auto"/>
        <w:ind w:firstLine="420" w:firstLineChars="200"/>
        <w:rPr>
          <w:rFonts w:ascii="Times New Roman" w:hAnsi="Times New Roman"/>
          <w:color w:val="auto"/>
        </w:rPr>
      </w:pPr>
      <w:r>
        <w:rPr>
          <w:rFonts w:ascii="Times New Roman" w:hAnsi="Times New Roman"/>
          <w:color w:val="auto"/>
        </w:rPr>
        <w:t>5. 其他资料</w:t>
      </w:r>
    </w:p>
    <w:p>
      <w:pPr>
        <w:spacing w:line="360" w:lineRule="auto"/>
        <w:ind w:firstLine="420" w:firstLineChars="200"/>
        <w:rPr>
          <w:rFonts w:ascii="Times New Roman" w:hAnsi="Times New Roman"/>
          <w:color w:val="auto"/>
        </w:rPr>
      </w:pPr>
      <w:bookmarkStart w:id="670" w:name="_Toc482188643"/>
      <w:r>
        <w:rPr>
          <w:rFonts w:ascii="Times New Roman" w:hAnsi="Times New Roman"/>
          <w:color w:val="auto"/>
        </w:rPr>
        <w:t>……</w:t>
      </w:r>
    </w:p>
    <w:p>
      <w:pPr>
        <w:pStyle w:val="6"/>
        <w:ind w:firstLine="137"/>
        <w:rPr>
          <w:rFonts w:ascii="Times New Roman" w:hAnsi="Times New Roman"/>
          <w:color w:val="auto"/>
        </w:rPr>
      </w:pPr>
      <w:bookmarkStart w:id="671" w:name="_Toc492300933"/>
      <w:r>
        <w:rPr>
          <w:rFonts w:ascii="Times New Roman" w:hAnsi="Times New Roman"/>
          <w:color w:val="auto"/>
        </w:rPr>
        <w:t>（三）发包人财产使用要求及退还要求</w:t>
      </w:r>
      <w:bookmarkEnd w:id="670"/>
      <w:bookmarkEnd w:id="671"/>
    </w:p>
    <w:p>
      <w:pPr>
        <w:spacing w:line="360" w:lineRule="auto"/>
        <w:ind w:firstLine="420" w:firstLineChars="200"/>
        <w:rPr>
          <w:rFonts w:ascii="Times New Roman" w:hAnsi="Times New Roman"/>
          <w:color w:val="auto"/>
        </w:rPr>
      </w:pPr>
      <w:r>
        <w:rPr>
          <w:rFonts w:ascii="Times New Roman" w:hAnsi="Times New Roman"/>
          <w:color w:val="auto"/>
        </w:rPr>
        <w:t>1. 发包人财产使用要求</w:t>
      </w:r>
    </w:p>
    <w:p>
      <w:pPr>
        <w:spacing w:line="360" w:lineRule="auto"/>
        <w:ind w:firstLine="420" w:firstLineChars="200"/>
        <w:rPr>
          <w:rFonts w:ascii="Times New Roman" w:hAnsi="Times New Roman"/>
          <w:color w:val="auto"/>
        </w:rPr>
      </w:pPr>
      <w:r>
        <w:rPr>
          <w:rFonts w:ascii="Times New Roman" w:hAnsi="Times New Roman"/>
          <w:color w:val="auto"/>
        </w:rPr>
        <w:t>2. 发包人财产退还要求</w:t>
      </w:r>
    </w:p>
    <w:p>
      <w:pPr>
        <w:spacing w:line="360" w:lineRule="auto"/>
        <w:ind w:firstLine="420" w:firstLineChars="200"/>
        <w:rPr>
          <w:rFonts w:ascii="Times New Roman" w:hAnsi="Times New Roman"/>
          <w:color w:val="auto"/>
        </w:rPr>
      </w:pPr>
      <w:bookmarkStart w:id="672" w:name="_Toc482188644"/>
      <w:r>
        <w:rPr>
          <w:rFonts w:ascii="Times New Roman" w:hAnsi="Times New Roman"/>
          <w:color w:val="auto"/>
        </w:rPr>
        <w:t>……</w:t>
      </w:r>
    </w:p>
    <w:p>
      <w:pPr>
        <w:pStyle w:val="5"/>
        <w:spacing w:line="240" w:lineRule="auto"/>
        <w:rPr>
          <w:rFonts w:ascii="Times New Roman" w:hAnsi="Times New Roman"/>
          <w:b w:val="0"/>
          <w:color w:val="auto"/>
          <w:sz w:val="28"/>
          <w:szCs w:val="28"/>
        </w:rPr>
      </w:pPr>
      <w:bookmarkStart w:id="673" w:name="_Toc492300934"/>
      <w:r>
        <w:rPr>
          <w:rFonts w:ascii="Times New Roman" w:hAnsi="Times New Roman"/>
          <w:b w:val="0"/>
          <w:color w:val="auto"/>
          <w:sz w:val="28"/>
          <w:szCs w:val="28"/>
        </w:rPr>
        <w:t>五、发包人提供的便利条件</w:t>
      </w:r>
      <w:bookmarkEnd w:id="672"/>
      <w:bookmarkEnd w:id="673"/>
    </w:p>
    <w:p>
      <w:pPr>
        <w:spacing w:line="360" w:lineRule="auto"/>
        <w:ind w:firstLine="420" w:firstLineChars="200"/>
        <w:rPr>
          <w:rFonts w:ascii="Times New Roman" w:hAnsi="Times New Roman"/>
          <w:color w:val="auto"/>
        </w:rPr>
      </w:pPr>
      <w:bookmarkStart w:id="674" w:name="_Toc482188645"/>
      <w:r>
        <w:rPr>
          <w:rFonts w:ascii="Times New Roman" w:hAnsi="Times New Roman"/>
          <w:color w:val="auto"/>
        </w:rPr>
        <w:t>1. 发包人提供的生活条件</w:t>
      </w:r>
    </w:p>
    <w:p>
      <w:pPr>
        <w:spacing w:line="360" w:lineRule="auto"/>
        <w:ind w:firstLine="420" w:firstLineChars="200"/>
        <w:rPr>
          <w:rFonts w:ascii="Times New Roman" w:hAnsi="Times New Roman"/>
          <w:color w:val="auto"/>
        </w:rPr>
      </w:pPr>
      <w:r>
        <w:rPr>
          <w:rFonts w:ascii="Times New Roman" w:hAnsi="Times New Roman"/>
          <w:color w:val="auto"/>
        </w:rPr>
        <w:t>2. 发包人提供的交通条件</w:t>
      </w:r>
    </w:p>
    <w:p>
      <w:pPr>
        <w:spacing w:line="360" w:lineRule="auto"/>
        <w:ind w:firstLine="420" w:firstLineChars="200"/>
        <w:rPr>
          <w:rFonts w:ascii="Times New Roman" w:hAnsi="Times New Roman"/>
          <w:color w:val="auto"/>
        </w:rPr>
      </w:pPr>
      <w:r>
        <w:rPr>
          <w:rFonts w:ascii="Times New Roman" w:hAnsi="Times New Roman"/>
          <w:color w:val="auto"/>
        </w:rPr>
        <w:t>3. 发包人提供的网络、通讯条件</w:t>
      </w:r>
    </w:p>
    <w:p>
      <w:pPr>
        <w:spacing w:line="360" w:lineRule="auto"/>
        <w:ind w:firstLine="420" w:firstLineChars="200"/>
        <w:rPr>
          <w:rFonts w:ascii="Times New Roman" w:hAnsi="Times New Roman"/>
          <w:color w:val="auto"/>
        </w:rPr>
      </w:pPr>
      <w:r>
        <w:rPr>
          <w:rFonts w:ascii="Times New Roman" w:hAnsi="Times New Roman"/>
          <w:color w:val="auto"/>
        </w:rPr>
        <w:t>4. 发包人提供的协助人员</w:t>
      </w:r>
    </w:p>
    <w:p>
      <w:pPr>
        <w:spacing w:line="360" w:lineRule="auto"/>
        <w:ind w:firstLine="420" w:firstLineChars="200"/>
        <w:rPr>
          <w:rFonts w:ascii="Times New Roman" w:hAnsi="Times New Roman"/>
          <w:color w:val="auto"/>
        </w:rPr>
      </w:pPr>
      <w:r>
        <w:rPr>
          <w:rFonts w:ascii="Times New Roman" w:hAnsi="Times New Roman"/>
          <w:color w:val="auto"/>
        </w:rPr>
        <w:t>……</w:t>
      </w:r>
    </w:p>
    <w:p>
      <w:pPr>
        <w:pStyle w:val="5"/>
        <w:spacing w:line="240" w:lineRule="auto"/>
        <w:rPr>
          <w:rFonts w:ascii="Times New Roman" w:hAnsi="Times New Roman"/>
          <w:b w:val="0"/>
          <w:color w:val="auto"/>
          <w:sz w:val="28"/>
          <w:szCs w:val="28"/>
        </w:rPr>
      </w:pPr>
      <w:bookmarkStart w:id="675" w:name="_Toc492300935"/>
      <w:r>
        <w:rPr>
          <w:rFonts w:hint="eastAsia" w:ascii="Times New Roman" w:hAnsi="Times New Roman"/>
          <w:b w:val="0"/>
          <w:color w:val="auto"/>
          <w:sz w:val="28"/>
          <w:szCs w:val="28"/>
        </w:rPr>
        <w:t>六、勘察人需要自备的工作条件</w:t>
      </w:r>
      <w:bookmarkEnd w:id="674"/>
      <w:bookmarkEnd w:id="675"/>
    </w:p>
    <w:p>
      <w:pPr>
        <w:spacing w:line="360" w:lineRule="auto"/>
        <w:ind w:firstLine="420" w:firstLineChars="200"/>
        <w:rPr>
          <w:rFonts w:ascii="Times New Roman" w:hAnsi="Times New Roman"/>
          <w:color w:val="auto"/>
        </w:rPr>
      </w:pPr>
      <w:r>
        <w:rPr>
          <w:rFonts w:ascii="Times New Roman" w:hAnsi="Times New Roman"/>
          <w:color w:val="auto"/>
        </w:rPr>
        <w:t>1. 勘察人自备的工作手册：如本项目必备的规范标准、图集等</w:t>
      </w:r>
    </w:p>
    <w:p>
      <w:pPr>
        <w:spacing w:line="360" w:lineRule="auto"/>
        <w:ind w:firstLine="420" w:firstLineChars="200"/>
        <w:rPr>
          <w:rFonts w:ascii="Times New Roman" w:hAnsi="Times New Roman"/>
          <w:color w:val="auto"/>
        </w:rPr>
      </w:pPr>
      <w:r>
        <w:rPr>
          <w:rFonts w:ascii="Times New Roman" w:hAnsi="Times New Roman"/>
          <w:color w:val="auto"/>
        </w:rPr>
        <w:t>2. 勘察人自备的办公设备：如电脑、软件、投影、打印机、复印机、照相机等</w:t>
      </w:r>
    </w:p>
    <w:p>
      <w:pPr>
        <w:spacing w:line="360" w:lineRule="auto"/>
        <w:ind w:firstLine="420" w:firstLineChars="200"/>
        <w:rPr>
          <w:rFonts w:ascii="Times New Roman" w:hAnsi="Times New Roman"/>
          <w:color w:val="auto"/>
        </w:rPr>
      </w:pPr>
      <w:r>
        <w:rPr>
          <w:rFonts w:ascii="Times New Roman" w:hAnsi="Times New Roman"/>
          <w:color w:val="auto"/>
        </w:rPr>
        <w:t>3. 勘察人自备的交通工具：如出行车辆等</w:t>
      </w:r>
    </w:p>
    <w:p>
      <w:pPr>
        <w:spacing w:line="360" w:lineRule="auto"/>
        <w:ind w:firstLine="420" w:firstLineChars="200"/>
        <w:rPr>
          <w:rFonts w:ascii="Times New Roman" w:hAnsi="Times New Roman"/>
          <w:color w:val="auto"/>
        </w:rPr>
      </w:pPr>
      <w:r>
        <w:rPr>
          <w:rFonts w:ascii="Times New Roman" w:hAnsi="Times New Roman"/>
          <w:color w:val="auto"/>
        </w:rPr>
        <w:t>4. 勘察人自备的现场办公设施：如办公桌椅、文件柜等</w:t>
      </w:r>
    </w:p>
    <w:p>
      <w:pPr>
        <w:spacing w:line="360" w:lineRule="auto"/>
        <w:ind w:firstLine="420" w:firstLineChars="200"/>
        <w:rPr>
          <w:rFonts w:ascii="Times New Roman" w:hAnsi="Times New Roman"/>
          <w:color w:val="auto"/>
        </w:rPr>
      </w:pPr>
      <w:r>
        <w:rPr>
          <w:rFonts w:ascii="Times New Roman" w:hAnsi="Times New Roman"/>
          <w:color w:val="auto"/>
        </w:rPr>
        <w:t>5. 勘察人自备的安全设施：如安全帽、安全鞋、手电筒等</w:t>
      </w:r>
    </w:p>
    <w:p>
      <w:pPr>
        <w:spacing w:line="360" w:lineRule="auto"/>
        <w:ind w:firstLine="420" w:firstLineChars="200"/>
        <w:rPr>
          <w:rFonts w:ascii="Times New Roman" w:hAnsi="Times New Roman"/>
          <w:color w:val="auto"/>
        </w:rPr>
      </w:pPr>
      <w:r>
        <w:rPr>
          <w:rFonts w:ascii="Times New Roman" w:hAnsi="Times New Roman"/>
          <w:color w:val="auto"/>
        </w:rPr>
        <w:t>6. 勘察人自备的勘察检测仪器</w:t>
      </w:r>
      <w:r>
        <w:rPr>
          <w:rFonts w:hint="eastAsia" w:ascii="Times New Roman" w:hAnsi="Times New Roman"/>
          <w:color w:val="auto"/>
        </w:rPr>
        <w:t>、设备、</w:t>
      </w:r>
      <w:r>
        <w:rPr>
          <w:rFonts w:ascii="Times New Roman" w:hAnsi="Times New Roman"/>
          <w:color w:val="auto"/>
        </w:rPr>
        <w:t>工具</w:t>
      </w:r>
    </w:p>
    <w:p>
      <w:pPr>
        <w:spacing w:line="360" w:lineRule="auto"/>
        <w:ind w:firstLine="420" w:firstLineChars="200"/>
        <w:rPr>
          <w:rFonts w:ascii="Times New Roman" w:hAnsi="Times New Roman"/>
          <w:color w:val="auto"/>
        </w:rPr>
      </w:pPr>
      <w:bookmarkStart w:id="676" w:name="_Toc482188646"/>
      <w:r>
        <w:rPr>
          <w:rFonts w:ascii="Times New Roman" w:hAnsi="Times New Roman"/>
          <w:color w:val="auto"/>
        </w:rPr>
        <w:t>……</w:t>
      </w:r>
    </w:p>
    <w:p>
      <w:pPr>
        <w:pStyle w:val="5"/>
        <w:spacing w:line="240" w:lineRule="auto"/>
        <w:rPr>
          <w:rFonts w:ascii="Times New Roman" w:hAnsi="Times New Roman"/>
          <w:b w:val="0"/>
          <w:color w:val="auto"/>
          <w:sz w:val="28"/>
          <w:szCs w:val="28"/>
        </w:rPr>
      </w:pPr>
      <w:bookmarkStart w:id="677" w:name="_Toc492300936"/>
      <w:r>
        <w:rPr>
          <w:rFonts w:ascii="Times New Roman" w:hAnsi="Times New Roman"/>
          <w:b w:val="0"/>
          <w:color w:val="auto"/>
          <w:sz w:val="28"/>
          <w:szCs w:val="28"/>
        </w:rPr>
        <w:t>七、发包人的其他要求</w:t>
      </w:r>
      <w:bookmarkEnd w:id="676"/>
      <w:bookmarkEnd w:id="677"/>
    </w:p>
    <w:p>
      <w:pPr>
        <w:spacing w:line="360" w:lineRule="auto"/>
        <w:ind w:firstLine="420" w:firstLineChars="200"/>
        <w:rPr>
          <w:rFonts w:ascii="Times New Roman" w:hAnsi="Times New Roman"/>
          <w:color w:val="auto"/>
        </w:rPr>
      </w:pPr>
      <w:r>
        <w:rPr>
          <w:rFonts w:ascii="Times New Roman" w:hAnsi="Times New Roman"/>
          <w:color w:val="auto"/>
        </w:rPr>
        <w:t>发包人的其他要求</w:t>
      </w:r>
    </w:p>
    <w:p>
      <w:pPr>
        <w:spacing w:line="360" w:lineRule="auto"/>
        <w:ind w:firstLine="420" w:firstLineChars="200"/>
        <w:rPr>
          <w:rFonts w:ascii="Times New Roman" w:hAnsi="Times New Roman"/>
          <w:color w:val="auto"/>
        </w:rPr>
      </w:pPr>
      <w:r>
        <w:rPr>
          <w:rFonts w:ascii="Times New Roman" w:hAnsi="Times New Roman"/>
          <w:color w:val="auto"/>
        </w:rPr>
        <w:t>……</w:t>
      </w:r>
    </w:p>
    <w:p>
      <w:pPr>
        <w:spacing w:line="400" w:lineRule="exact"/>
        <w:jc w:val="center"/>
        <w:rPr>
          <w:rFonts w:ascii="Times New Roman" w:hAnsi="Times New Roman"/>
          <w:color w:val="auto"/>
        </w:rPr>
      </w:pPr>
      <w:r>
        <w:rPr>
          <w:rFonts w:ascii="Times New Roman" w:hAnsi="Times New Roman"/>
          <w:color w:val="auto"/>
        </w:rPr>
        <w:br w:type="page"/>
      </w:r>
    </w:p>
    <w:p>
      <w:pPr>
        <w:pStyle w:val="4"/>
        <w:jc w:val="center"/>
        <w:rPr>
          <w:color w:val="auto"/>
        </w:rPr>
      </w:pPr>
      <w:bookmarkStart w:id="678" w:name="_Toc492300938"/>
      <w:r>
        <w:rPr>
          <w:rFonts w:hint="eastAsia"/>
          <w:color w:val="auto"/>
        </w:rPr>
        <w:t>第六章投标文件格式</w:t>
      </w:r>
      <w:bookmarkEnd w:id="678"/>
    </w:p>
    <w:p>
      <w:pPr>
        <w:spacing w:line="400" w:lineRule="exact"/>
        <w:rPr>
          <w:rFonts w:ascii="Times New Roman" w:hAnsi="Times New Roman"/>
          <w:color w:val="auto"/>
        </w:rPr>
      </w:pPr>
    </w:p>
    <w:p>
      <w:pPr>
        <w:spacing w:line="400" w:lineRule="exact"/>
        <w:rPr>
          <w:rFonts w:ascii="Times New Roman" w:hAnsi="Times New Roman"/>
          <w:color w:val="auto"/>
        </w:rPr>
      </w:pPr>
      <w:r>
        <w:rPr>
          <w:rFonts w:ascii="Times New Roman" w:hAnsi="Times New Roman"/>
          <w:color w:val="auto"/>
        </w:rPr>
        <w:br w:type="page"/>
      </w:r>
    </w:p>
    <w:p>
      <w:pPr>
        <w:spacing w:line="400" w:lineRule="exact"/>
        <w:rPr>
          <w:rFonts w:ascii="Times New Roman" w:hAnsi="Times New Roman"/>
          <w:color w:val="auto"/>
        </w:rPr>
      </w:pPr>
    </w:p>
    <w:p>
      <w:pPr>
        <w:spacing w:line="400" w:lineRule="exact"/>
        <w:rPr>
          <w:rFonts w:ascii="Times New Roman" w:hAnsi="Times New Roman"/>
          <w:color w:val="auto"/>
        </w:rPr>
      </w:pPr>
    </w:p>
    <w:p>
      <w:pPr>
        <w:spacing w:line="400" w:lineRule="exact"/>
        <w:rPr>
          <w:rFonts w:ascii="Times New Roman" w:hAnsi="Times New Roman"/>
          <w:color w:val="auto"/>
        </w:rPr>
      </w:pPr>
    </w:p>
    <w:p>
      <w:pPr>
        <w:jc w:val="center"/>
        <w:rPr>
          <w:rFonts w:ascii="Times New Roman" w:hAnsi="Times New Roman" w:eastAsia="黑体"/>
          <w:color w:val="auto"/>
          <w:sz w:val="20"/>
        </w:rPr>
      </w:pPr>
    </w:p>
    <w:p>
      <w:pPr>
        <w:jc w:val="center"/>
        <w:rPr>
          <w:rFonts w:ascii="Times New Roman" w:hAnsi="Times New Roman" w:eastAsia="黑体"/>
          <w:color w:val="auto"/>
          <w:sz w:val="28"/>
          <w:szCs w:val="28"/>
        </w:rPr>
      </w:pPr>
      <w:r>
        <w:rPr>
          <w:rFonts w:ascii="Times New Roman" w:hAnsi="Times New Roman" w:eastAsia="黑体"/>
          <w:color w:val="auto"/>
          <w:sz w:val="28"/>
          <w:szCs w:val="28"/>
          <w:u w:val="single"/>
        </w:rPr>
        <w:t xml:space="preserve">        </w:t>
      </w:r>
      <w:r>
        <w:rPr>
          <w:rFonts w:ascii="Times New Roman" w:hAnsi="Times New Roman" w:eastAsia="黑体"/>
          <w:color w:val="auto"/>
          <w:sz w:val="28"/>
          <w:szCs w:val="28"/>
        </w:rPr>
        <w:t>（项目名称）</w:t>
      </w:r>
      <w:r>
        <w:rPr>
          <w:rFonts w:hint="eastAsia" w:ascii="Times New Roman" w:hAnsi="Times New Roman" w:eastAsia="黑体"/>
          <w:color w:val="auto"/>
          <w:sz w:val="28"/>
          <w:szCs w:val="28"/>
          <w:lang w:val="en-US" w:eastAsia="zh-CN"/>
        </w:rPr>
        <w:t>勘察</w:t>
      </w:r>
    </w:p>
    <w:p>
      <w:pPr>
        <w:rPr>
          <w:rFonts w:ascii="Times New Roman" w:hAnsi="Times New Roman" w:eastAsia="黑体"/>
          <w:color w:val="auto"/>
          <w:sz w:val="20"/>
        </w:rPr>
      </w:pPr>
    </w:p>
    <w:p>
      <w:pPr>
        <w:rPr>
          <w:rFonts w:ascii="Times New Roman" w:hAnsi="Times New Roman" w:eastAsia="黑体"/>
          <w:color w:val="auto"/>
          <w:sz w:val="20"/>
        </w:rPr>
      </w:pPr>
    </w:p>
    <w:p>
      <w:pPr>
        <w:jc w:val="center"/>
        <w:rPr>
          <w:rFonts w:ascii="Times New Roman" w:hAnsi="Times New Roman" w:eastAsia="黑体"/>
          <w:color w:val="auto"/>
          <w:sz w:val="44"/>
        </w:rPr>
      </w:pPr>
      <w:r>
        <w:rPr>
          <w:rFonts w:ascii="Times New Roman" w:hAnsi="Times New Roman" w:eastAsia="黑体"/>
          <w:color w:val="auto"/>
          <w:sz w:val="44"/>
        </w:rPr>
        <w:t>投 标 文 件</w:t>
      </w:r>
    </w:p>
    <w:p>
      <w:pPr>
        <w:jc w:val="center"/>
        <w:rPr>
          <w:rFonts w:ascii="Times New Roman" w:hAnsi="Times New Roman" w:eastAsia="黑体"/>
          <w:color w:val="auto"/>
          <w:sz w:val="44"/>
        </w:rPr>
      </w:pPr>
    </w:p>
    <w:p>
      <w:pPr>
        <w:rPr>
          <w:rFonts w:ascii="Times New Roman" w:hAnsi="Times New Roman" w:eastAsia="黑体"/>
          <w:color w:val="auto"/>
          <w:sz w:val="28"/>
        </w:rPr>
      </w:pPr>
    </w:p>
    <w:p>
      <w:pPr>
        <w:rPr>
          <w:rFonts w:ascii="Times New Roman" w:hAnsi="Times New Roman" w:eastAsia="黑体"/>
          <w:color w:val="auto"/>
          <w:sz w:val="28"/>
        </w:rPr>
      </w:pPr>
    </w:p>
    <w:p>
      <w:pPr>
        <w:rPr>
          <w:rFonts w:ascii="Times New Roman" w:hAnsi="Times New Roman" w:eastAsia="黑体"/>
          <w:color w:val="auto"/>
          <w:sz w:val="28"/>
        </w:rPr>
      </w:pPr>
    </w:p>
    <w:p>
      <w:pPr>
        <w:rPr>
          <w:rFonts w:ascii="Times New Roman" w:hAnsi="Times New Roman" w:eastAsia="黑体"/>
          <w:color w:val="auto"/>
          <w:sz w:val="28"/>
        </w:rPr>
      </w:pPr>
    </w:p>
    <w:p>
      <w:pPr>
        <w:rPr>
          <w:rFonts w:ascii="Times New Roman" w:hAnsi="Times New Roman" w:eastAsia="黑体"/>
          <w:color w:val="auto"/>
          <w:sz w:val="28"/>
        </w:rPr>
      </w:pPr>
    </w:p>
    <w:p>
      <w:pPr>
        <w:rPr>
          <w:rFonts w:ascii="Times New Roman" w:hAnsi="Times New Roman" w:eastAsia="黑体"/>
          <w:color w:val="auto"/>
          <w:sz w:val="28"/>
        </w:rPr>
      </w:pPr>
    </w:p>
    <w:p>
      <w:pPr>
        <w:autoSpaceDE w:val="0"/>
        <w:autoSpaceDN w:val="0"/>
        <w:adjustRightInd w:val="0"/>
        <w:ind w:firstLine="2530" w:firstLineChars="900"/>
        <w:jc w:val="both"/>
        <w:rPr>
          <w:rFonts w:hAnsi="宋体" w:cs="宋体"/>
          <w:b/>
          <w:bCs/>
          <w:color w:val="auto"/>
          <w:sz w:val="28"/>
          <w:szCs w:val="28"/>
        </w:rPr>
      </w:pPr>
      <w:r>
        <w:rPr>
          <w:rFonts w:hint="eastAsia" w:hAnsi="宋体"/>
          <w:b/>
          <w:color w:val="auto"/>
          <w:sz w:val="28"/>
          <w:szCs w:val="28"/>
        </w:rPr>
        <w:t>项目编号：</w:t>
      </w:r>
    </w:p>
    <w:p>
      <w:pPr>
        <w:rPr>
          <w:rFonts w:ascii="Times New Roman" w:hAnsi="Times New Roman" w:eastAsia="黑体"/>
          <w:color w:val="auto"/>
          <w:sz w:val="28"/>
        </w:rPr>
      </w:pPr>
    </w:p>
    <w:p>
      <w:pPr>
        <w:rPr>
          <w:rFonts w:ascii="Times New Roman" w:hAnsi="Times New Roman" w:eastAsia="黑体"/>
          <w:color w:val="auto"/>
          <w:sz w:val="28"/>
        </w:rPr>
      </w:pPr>
    </w:p>
    <w:p>
      <w:pPr>
        <w:rPr>
          <w:rFonts w:ascii="Times New Roman" w:hAnsi="Times New Roman" w:eastAsia="黑体"/>
          <w:color w:val="auto"/>
          <w:sz w:val="28"/>
        </w:rPr>
      </w:pPr>
    </w:p>
    <w:p>
      <w:pPr>
        <w:rPr>
          <w:rFonts w:ascii="Times New Roman" w:hAnsi="Times New Roman" w:eastAsia="黑体"/>
          <w:color w:val="auto"/>
          <w:sz w:val="28"/>
        </w:rPr>
      </w:pPr>
    </w:p>
    <w:p>
      <w:pPr>
        <w:rPr>
          <w:rFonts w:ascii="Times New Roman" w:hAnsi="Times New Roman" w:eastAsia="黑体"/>
          <w:color w:val="auto"/>
          <w:sz w:val="28"/>
        </w:rPr>
      </w:pPr>
    </w:p>
    <w:p>
      <w:pPr>
        <w:rPr>
          <w:rFonts w:ascii="Times New Roman" w:hAnsi="Times New Roman" w:eastAsia="黑体"/>
          <w:color w:val="auto"/>
          <w:sz w:val="28"/>
        </w:rPr>
      </w:pPr>
    </w:p>
    <w:p>
      <w:pPr>
        <w:rPr>
          <w:rFonts w:ascii="Times New Roman" w:hAnsi="Times New Roman" w:eastAsia="黑体"/>
          <w:color w:val="auto"/>
          <w:sz w:val="28"/>
        </w:rPr>
      </w:pPr>
    </w:p>
    <w:p>
      <w:pPr>
        <w:rPr>
          <w:rFonts w:ascii="Times New Roman" w:hAnsi="Times New Roman" w:eastAsia="黑体"/>
          <w:color w:val="auto"/>
          <w:sz w:val="28"/>
        </w:rPr>
      </w:pPr>
    </w:p>
    <w:p>
      <w:pPr>
        <w:rPr>
          <w:rFonts w:ascii="Times New Roman" w:hAnsi="Times New Roman" w:eastAsia="黑体"/>
          <w:color w:val="auto"/>
          <w:sz w:val="28"/>
        </w:rPr>
      </w:pPr>
    </w:p>
    <w:p>
      <w:pPr>
        <w:rPr>
          <w:rFonts w:ascii="Times New Roman" w:hAnsi="Times New Roman" w:eastAsia="黑体"/>
          <w:color w:val="auto"/>
          <w:sz w:val="28"/>
        </w:rPr>
      </w:pPr>
    </w:p>
    <w:p>
      <w:pPr>
        <w:rPr>
          <w:rFonts w:ascii="Times New Roman" w:hAnsi="Times New Roman" w:eastAsia="黑体"/>
          <w:color w:val="auto"/>
          <w:sz w:val="28"/>
        </w:rPr>
      </w:pPr>
    </w:p>
    <w:p>
      <w:pPr>
        <w:rPr>
          <w:rFonts w:ascii="Times New Roman" w:hAnsi="Times New Roman" w:eastAsia="黑体"/>
          <w:color w:val="auto"/>
          <w:sz w:val="28"/>
        </w:rPr>
      </w:pPr>
    </w:p>
    <w:p>
      <w:pPr>
        <w:rPr>
          <w:rFonts w:ascii="Times New Roman" w:hAnsi="Times New Roman" w:eastAsia="黑体"/>
          <w:color w:val="auto"/>
          <w:sz w:val="28"/>
        </w:rPr>
      </w:pPr>
    </w:p>
    <w:p>
      <w:pPr>
        <w:rPr>
          <w:rFonts w:ascii="Times New Roman" w:hAnsi="Times New Roman" w:eastAsia="黑体"/>
          <w:color w:val="auto"/>
          <w:sz w:val="28"/>
        </w:rPr>
      </w:pPr>
    </w:p>
    <w:p>
      <w:pPr>
        <w:rPr>
          <w:rFonts w:ascii="Times New Roman" w:hAnsi="Times New Roman" w:eastAsia="黑体"/>
          <w:color w:val="auto"/>
          <w:sz w:val="28"/>
        </w:rPr>
      </w:pPr>
    </w:p>
    <w:p>
      <w:pPr>
        <w:spacing w:line="360" w:lineRule="auto"/>
        <w:ind w:firstLine="1120" w:firstLineChars="400"/>
        <w:rPr>
          <w:rFonts w:ascii="Times New Roman" w:hAnsi="Times New Roman" w:eastAsia="黑体"/>
          <w:color w:val="auto"/>
          <w:sz w:val="28"/>
          <w:u w:val="single"/>
        </w:rPr>
      </w:pPr>
      <w:r>
        <w:rPr>
          <w:rFonts w:ascii="Times New Roman" w:hAnsi="Times New Roman" w:eastAsia="黑体"/>
          <w:color w:val="auto"/>
          <w:sz w:val="28"/>
        </w:rPr>
        <w:t>投标人：</w:t>
      </w:r>
      <w:r>
        <w:rPr>
          <w:rFonts w:ascii="Times New Roman" w:hAnsi="Times New Roman"/>
          <w:color w:val="auto"/>
          <w:u w:val="single"/>
        </w:rPr>
        <w:t xml:space="preserve">                                            </w:t>
      </w:r>
      <w:r>
        <w:rPr>
          <w:rFonts w:ascii="Times New Roman" w:hAnsi="Times New Roman" w:eastAsia="黑体"/>
          <w:color w:val="auto"/>
          <w:sz w:val="28"/>
        </w:rPr>
        <w:t>（盖单位章）</w:t>
      </w:r>
    </w:p>
    <w:p>
      <w:pPr>
        <w:spacing w:line="360" w:lineRule="auto"/>
        <w:ind w:firstLine="1120" w:firstLineChars="400"/>
        <w:jc w:val="left"/>
        <w:rPr>
          <w:rFonts w:ascii="Times New Roman" w:hAnsi="Times New Roman" w:eastAsia="黑体"/>
          <w:color w:val="auto"/>
          <w:sz w:val="28"/>
        </w:rPr>
      </w:pPr>
      <w:r>
        <w:rPr>
          <w:rFonts w:ascii="Times New Roman" w:hAnsi="Times New Roman" w:eastAsia="黑体"/>
          <w:color w:val="auto"/>
          <w:sz w:val="28"/>
        </w:rPr>
        <w:t>法定代表人或其委托代理人：</w:t>
      </w:r>
      <w:r>
        <w:rPr>
          <w:rFonts w:ascii="Times New Roman" w:hAnsi="Times New Roman"/>
          <w:color w:val="auto"/>
          <w:u w:val="single"/>
        </w:rPr>
        <w:t xml:space="preserve">       </w:t>
      </w:r>
      <w:r>
        <w:rPr>
          <w:rFonts w:ascii="Times New Roman" w:hAnsi="Times New Roman" w:eastAsia="黑体"/>
          <w:color w:val="auto"/>
          <w:sz w:val="28"/>
        </w:rPr>
        <w:t>（签字）</w:t>
      </w:r>
    </w:p>
    <w:p>
      <w:pPr>
        <w:jc w:val="center"/>
        <w:rPr>
          <w:rFonts w:ascii="Times New Roman" w:hAnsi="Times New Roman" w:eastAsia="黑体"/>
          <w:color w:val="auto"/>
          <w:sz w:val="28"/>
        </w:rPr>
      </w:pPr>
    </w:p>
    <w:p>
      <w:pPr>
        <w:spacing w:line="400" w:lineRule="exact"/>
        <w:jc w:val="center"/>
        <w:rPr>
          <w:rFonts w:ascii="Times New Roman" w:hAnsi="Times New Roman"/>
          <w:color w:val="auto"/>
        </w:rPr>
      </w:pPr>
      <w:r>
        <w:rPr>
          <w:rFonts w:ascii="Times New Roman" w:hAnsi="Times New Roman"/>
          <w:color w:val="auto"/>
          <w:u w:val="single"/>
        </w:rPr>
        <w:t xml:space="preserve">       </w:t>
      </w:r>
      <w:r>
        <w:rPr>
          <w:rFonts w:ascii="Times New Roman" w:hAnsi="Times New Roman" w:eastAsia="黑体"/>
          <w:color w:val="auto"/>
          <w:sz w:val="28"/>
        </w:rPr>
        <w:t>年</w:t>
      </w:r>
      <w:r>
        <w:rPr>
          <w:rFonts w:ascii="Times New Roman" w:hAnsi="Times New Roman"/>
          <w:color w:val="auto"/>
          <w:u w:val="single"/>
        </w:rPr>
        <w:t xml:space="preserve">       </w:t>
      </w:r>
      <w:r>
        <w:rPr>
          <w:rFonts w:ascii="Times New Roman" w:hAnsi="Times New Roman" w:eastAsia="黑体"/>
          <w:color w:val="auto"/>
          <w:sz w:val="28"/>
        </w:rPr>
        <w:t>月</w:t>
      </w:r>
      <w:r>
        <w:rPr>
          <w:rFonts w:ascii="Times New Roman" w:hAnsi="Times New Roman"/>
          <w:color w:val="auto"/>
          <w:u w:val="single"/>
        </w:rPr>
        <w:t xml:space="preserve">       </w:t>
      </w:r>
      <w:r>
        <w:rPr>
          <w:rFonts w:ascii="Times New Roman" w:hAnsi="Times New Roman" w:eastAsia="黑体"/>
          <w:color w:val="auto"/>
          <w:sz w:val="28"/>
        </w:rPr>
        <w:t>日</w:t>
      </w:r>
      <w:r>
        <w:rPr>
          <w:rFonts w:ascii="Times New Roman" w:hAnsi="Times New Roman"/>
          <w:color w:val="auto"/>
        </w:rPr>
        <w:br w:type="page"/>
      </w:r>
    </w:p>
    <w:p>
      <w:pPr>
        <w:pStyle w:val="5"/>
        <w:jc w:val="center"/>
        <w:rPr>
          <w:rFonts w:ascii="Times New Roman" w:hAnsi="Times New Roman"/>
          <w:color w:val="auto"/>
        </w:rPr>
      </w:pPr>
      <w:bookmarkStart w:id="679" w:name="_Toc492300939"/>
      <w:r>
        <w:rPr>
          <w:rFonts w:hint="eastAsia" w:ascii="Times New Roman" w:hAnsi="Times New Roman"/>
          <w:color w:val="auto"/>
        </w:rPr>
        <w:t>目录</w:t>
      </w:r>
      <w:bookmarkEnd w:id="679"/>
    </w:p>
    <w:p>
      <w:pPr>
        <w:spacing w:line="540" w:lineRule="exact"/>
        <w:rPr>
          <w:rFonts w:ascii="Times New Roman" w:hAnsi="Times New Roman"/>
          <w:color w:val="auto"/>
        </w:rPr>
      </w:pPr>
    </w:p>
    <w:p>
      <w:pPr>
        <w:numPr>
          <w:ilvl w:val="0"/>
          <w:numId w:val="4"/>
        </w:numPr>
        <w:spacing w:line="540" w:lineRule="exact"/>
        <w:rPr>
          <w:rFonts w:ascii="Times New Roman" w:hAnsi="Times New Roman"/>
          <w:color w:val="auto"/>
        </w:rPr>
      </w:pPr>
      <w:r>
        <w:rPr>
          <w:rFonts w:ascii="Times New Roman" w:hAnsi="Times New Roman"/>
          <w:color w:val="auto"/>
        </w:rPr>
        <w:t>投标函</w:t>
      </w:r>
    </w:p>
    <w:p>
      <w:pPr>
        <w:numPr>
          <w:ilvl w:val="0"/>
          <w:numId w:val="4"/>
        </w:numPr>
        <w:spacing w:line="540" w:lineRule="exact"/>
        <w:rPr>
          <w:rFonts w:ascii="Times New Roman" w:hAnsi="Times New Roman"/>
          <w:color w:val="auto"/>
        </w:rPr>
      </w:pPr>
      <w:r>
        <w:rPr>
          <w:rFonts w:ascii="Times New Roman" w:hAnsi="Times New Roman"/>
          <w:color w:val="auto"/>
        </w:rPr>
        <w:t>投标函附录</w:t>
      </w:r>
    </w:p>
    <w:p>
      <w:pPr>
        <w:spacing w:line="540" w:lineRule="exact"/>
        <w:rPr>
          <w:rFonts w:ascii="Times New Roman" w:hAnsi="Times New Roman"/>
          <w:color w:val="auto"/>
        </w:rPr>
      </w:pPr>
      <w:r>
        <w:rPr>
          <w:rFonts w:hint="eastAsia" w:ascii="Times New Roman" w:hAnsi="Times New Roman"/>
          <w:color w:val="auto"/>
          <w:lang w:eastAsia="zh-CN"/>
        </w:rPr>
        <w:t>三</w:t>
      </w:r>
      <w:r>
        <w:rPr>
          <w:rFonts w:ascii="Times New Roman" w:hAnsi="Times New Roman"/>
          <w:color w:val="auto"/>
        </w:rPr>
        <w:t>、法定代表人身份证明</w:t>
      </w:r>
      <w:r>
        <w:rPr>
          <w:rFonts w:hint="eastAsia" w:ascii="Times New Roman" w:hAnsi="Times New Roman"/>
          <w:color w:val="auto"/>
          <w:lang w:val="en-US" w:eastAsia="zh-CN"/>
        </w:rPr>
        <w:t>及</w:t>
      </w:r>
      <w:r>
        <w:rPr>
          <w:rFonts w:hint="eastAsia" w:ascii="Times New Roman" w:hAnsi="Times New Roman"/>
          <w:color w:val="auto"/>
        </w:rPr>
        <w:t>授权委托书</w:t>
      </w:r>
    </w:p>
    <w:p>
      <w:pPr>
        <w:spacing w:line="540" w:lineRule="exact"/>
        <w:rPr>
          <w:rFonts w:ascii="Times New Roman" w:hAnsi="Times New Roman"/>
          <w:color w:val="auto"/>
        </w:rPr>
      </w:pPr>
      <w:r>
        <w:rPr>
          <w:rFonts w:hint="eastAsia" w:ascii="Times New Roman" w:hAnsi="Times New Roman"/>
          <w:color w:val="auto"/>
          <w:lang w:eastAsia="zh-CN"/>
        </w:rPr>
        <w:t>四</w:t>
      </w:r>
      <w:r>
        <w:rPr>
          <w:rFonts w:ascii="Times New Roman" w:hAnsi="Times New Roman"/>
          <w:color w:val="auto"/>
        </w:rPr>
        <w:t>、投标保证金</w:t>
      </w:r>
    </w:p>
    <w:p>
      <w:pPr>
        <w:spacing w:line="540" w:lineRule="exact"/>
        <w:rPr>
          <w:rFonts w:ascii="Times New Roman" w:hAnsi="Times New Roman"/>
          <w:color w:val="auto"/>
        </w:rPr>
      </w:pPr>
      <w:r>
        <w:rPr>
          <w:rFonts w:hint="eastAsia" w:ascii="Times New Roman" w:hAnsi="Times New Roman"/>
          <w:color w:val="auto"/>
          <w:lang w:eastAsia="zh-CN"/>
        </w:rPr>
        <w:t>五</w:t>
      </w:r>
      <w:r>
        <w:rPr>
          <w:rFonts w:ascii="Times New Roman" w:hAnsi="Times New Roman"/>
          <w:color w:val="auto"/>
        </w:rPr>
        <w:t>、勘察费用清单</w:t>
      </w:r>
    </w:p>
    <w:p>
      <w:pPr>
        <w:spacing w:line="540" w:lineRule="exact"/>
        <w:rPr>
          <w:rFonts w:ascii="Times New Roman" w:hAnsi="Times New Roman"/>
          <w:color w:val="auto"/>
        </w:rPr>
      </w:pPr>
      <w:r>
        <w:rPr>
          <w:rFonts w:hint="eastAsia" w:ascii="Times New Roman" w:hAnsi="Times New Roman"/>
          <w:color w:val="auto"/>
          <w:lang w:eastAsia="zh-CN"/>
        </w:rPr>
        <w:t>六</w:t>
      </w:r>
      <w:r>
        <w:rPr>
          <w:rFonts w:ascii="Times New Roman" w:hAnsi="Times New Roman"/>
          <w:color w:val="auto"/>
        </w:rPr>
        <w:t>、资格审查资料</w:t>
      </w:r>
    </w:p>
    <w:p>
      <w:pPr>
        <w:spacing w:line="540" w:lineRule="exact"/>
        <w:rPr>
          <w:rFonts w:ascii="Times New Roman" w:hAnsi="Times New Roman"/>
          <w:color w:val="auto"/>
        </w:rPr>
      </w:pPr>
      <w:r>
        <w:rPr>
          <w:rFonts w:hint="eastAsia" w:ascii="Times New Roman" w:hAnsi="Times New Roman"/>
          <w:color w:val="auto"/>
          <w:lang w:eastAsia="zh-CN"/>
        </w:rPr>
        <w:t>七</w:t>
      </w:r>
      <w:r>
        <w:rPr>
          <w:rFonts w:hint="eastAsia" w:ascii="Times New Roman" w:hAnsi="Times New Roman"/>
          <w:color w:val="auto"/>
        </w:rPr>
        <w:t>、勘察纲要</w:t>
      </w:r>
    </w:p>
    <w:p>
      <w:pPr>
        <w:spacing w:line="540" w:lineRule="exact"/>
        <w:rPr>
          <w:rFonts w:ascii="Times New Roman" w:hAnsi="Times New Roman"/>
          <w:color w:val="auto"/>
        </w:rPr>
      </w:pPr>
      <w:bookmarkStart w:id="680" w:name="_Toc369531691"/>
      <w:bookmarkStart w:id="681" w:name="_Toc352691655"/>
      <w:bookmarkStart w:id="682" w:name="_Toc7039"/>
      <w:r>
        <w:rPr>
          <w:rFonts w:hint="eastAsia" w:ascii="Times New Roman" w:hAnsi="Times New Roman"/>
          <w:color w:val="auto"/>
          <w:lang w:eastAsia="zh-CN"/>
        </w:rPr>
        <w:t>八</w:t>
      </w:r>
      <w:r>
        <w:rPr>
          <w:rFonts w:ascii="Times New Roman" w:hAnsi="Times New Roman"/>
          <w:color w:val="auto"/>
        </w:rPr>
        <w:t>、其他资料</w:t>
      </w:r>
    </w:p>
    <w:p>
      <w:pPr>
        <w:spacing w:line="540" w:lineRule="exact"/>
        <w:rPr>
          <w:rFonts w:ascii="Times New Roman" w:hAnsi="Times New Roman" w:eastAsia="黑体"/>
          <w:color w:val="auto"/>
          <w:sz w:val="20"/>
        </w:rPr>
      </w:pPr>
      <w:r>
        <w:rPr>
          <w:rFonts w:ascii="Times New Roman" w:hAnsi="Times New Roman"/>
          <w:color w:val="auto"/>
        </w:rPr>
        <w:br w:type="page"/>
      </w:r>
    </w:p>
    <w:bookmarkEnd w:id="680"/>
    <w:bookmarkEnd w:id="681"/>
    <w:bookmarkEnd w:id="682"/>
    <w:p>
      <w:pPr>
        <w:pStyle w:val="5"/>
        <w:jc w:val="center"/>
        <w:rPr>
          <w:rFonts w:ascii="Times New Roman" w:hAnsi="Times New Roman"/>
          <w:color w:val="auto"/>
        </w:rPr>
      </w:pPr>
      <w:bookmarkStart w:id="683" w:name="_Toc492300940"/>
      <w:r>
        <w:rPr>
          <w:rFonts w:ascii="Times New Roman" w:hAnsi="Times New Roman"/>
          <w:color w:val="auto"/>
        </w:rPr>
        <w:t>一、投标</w:t>
      </w:r>
      <w:bookmarkStart w:id="684" w:name="_Toc6931"/>
      <w:bookmarkStart w:id="685" w:name="_Toc352691656"/>
      <w:bookmarkStart w:id="686" w:name="_Toc369531692"/>
      <w:r>
        <w:rPr>
          <w:rFonts w:ascii="Times New Roman" w:hAnsi="Times New Roman"/>
          <w:color w:val="auto"/>
        </w:rPr>
        <w:t>函</w:t>
      </w:r>
      <w:bookmarkEnd w:id="683"/>
    </w:p>
    <w:bookmarkEnd w:id="684"/>
    <w:bookmarkEnd w:id="685"/>
    <w:bookmarkEnd w:id="686"/>
    <w:p>
      <w:pPr>
        <w:spacing w:line="440" w:lineRule="exact"/>
        <w:rPr>
          <w:rFonts w:ascii="Times New Roman" w:hAnsi="Times New Roman"/>
          <w:color w:val="auto"/>
          <w:szCs w:val="21"/>
        </w:rPr>
      </w:pPr>
      <w:r>
        <w:rPr>
          <w:rFonts w:ascii="Times New Roman" w:hAnsi="Times New Roman"/>
          <w:color w:val="auto"/>
          <w:szCs w:val="21"/>
          <w:u w:val="single"/>
        </w:rPr>
        <w:t xml:space="preserve">                  </w:t>
      </w:r>
      <w:r>
        <w:rPr>
          <w:rFonts w:ascii="Times New Roman" w:hAnsi="Times New Roman"/>
          <w:color w:val="auto"/>
          <w:szCs w:val="21"/>
        </w:rPr>
        <w:t>（招标人名称）：</w:t>
      </w:r>
    </w:p>
    <w:p>
      <w:pPr>
        <w:spacing w:line="440" w:lineRule="exact"/>
        <w:ind w:firstLine="405"/>
        <w:rPr>
          <w:rFonts w:ascii="Times New Roman" w:hAnsi="Times New Roman"/>
          <w:color w:val="auto"/>
          <w:szCs w:val="21"/>
        </w:rPr>
      </w:pPr>
      <w:r>
        <w:rPr>
          <w:rFonts w:ascii="Times New Roman" w:hAnsi="Times New Roman"/>
          <w:color w:val="auto"/>
          <w:szCs w:val="21"/>
        </w:rPr>
        <w:t>1．我方已仔细研究了</w:t>
      </w:r>
      <w:r>
        <w:rPr>
          <w:rFonts w:ascii="Times New Roman" w:hAnsi="Times New Roman"/>
          <w:color w:val="auto"/>
          <w:szCs w:val="21"/>
          <w:u w:val="single"/>
        </w:rPr>
        <w:t xml:space="preserve">                  </w:t>
      </w:r>
      <w:r>
        <w:rPr>
          <w:rFonts w:ascii="Times New Roman" w:hAnsi="Times New Roman"/>
          <w:color w:val="auto"/>
          <w:szCs w:val="21"/>
        </w:rPr>
        <w:t>（项目名称）勘察招标文件的全部内容，愿意以人民币（大写）</w:t>
      </w:r>
      <w:r>
        <w:rPr>
          <w:rFonts w:ascii="Times New Roman" w:hAnsi="Times New Roman"/>
          <w:color w:val="auto"/>
          <w:szCs w:val="21"/>
          <w:u w:val="single"/>
        </w:rPr>
        <w:t xml:space="preserve">               </w:t>
      </w:r>
      <w:r>
        <w:rPr>
          <w:rFonts w:ascii="Times New Roman" w:hAnsi="Times New Roman"/>
          <w:color w:val="auto"/>
          <w:szCs w:val="21"/>
        </w:rPr>
        <w:t>（¥</w:t>
      </w:r>
      <w:r>
        <w:rPr>
          <w:rFonts w:ascii="Times New Roman" w:hAnsi="Times New Roman"/>
          <w:color w:val="auto"/>
          <w:szCs w:val="21"/>
          <w:u w:val="single"/>
        </w:rPr>
        <w:t xml:space="preserve">               </w:t>
      </w:r>
      <w:r>
        <w:rPr>
          <w:rFonts w:ascii="Times New Roman" w:hAnsi="Times New Roman"/>
          <w:color w:val="auto"/>
          <w:szCs w:val="21"/>
        </w:rPr>
        <w:t>）的投标总报价（其中，增值税税率为</w:t>
      </w:r>
      <w:r>
        <w:rPr>
          <w:rFonts w:ascii="Times New Roman" w:hAnsi="Times New Roman" w:eastAsia="黑体"/>
          <w:color w:val="auto"/>
          <w:szCs w:val="21"/>
          <w:u w:val="single"/>
        </w:rPr>
        <w:t xml:space="preserve">         </w:t>
      </w:r>
      <w:r>
        <w:rPr>
          <w:rFonts w:ascii="Times New Roman" w:hAnsi="Times New Roman" w:eastAsia="黑体"/>
          <w:color w:val="auto"/>
          <w:szCs w:val="21"/>
        </w:rPr>
        <w:t>），</w:t>
      </w:r>
      <w:r>
        <w:rPr>
          <w:rFonts w:ascii="Times New Roman" w:hAnsi="Times New Roman"/>
          <w:color w:val="auto"/>
          <w:szCs w:val="21"/>
        </w:rPr>
        <w:t>勘察服务期限：</w:t>
      </w:r>
      <w:r>
        <w:rPr>
          <w:rFonts w:ascii="Times New Roman" w:hAnsi="Times New Roman"/>
          <w:color w:val="auto"/>
          <w:szCs w:val="21"/>
          <w:u w:val="single"/>
        </w:rPr>
        <w:t xml:space="preserve">      </w:t>
      </w:r>
      <w:r>
        <w:rPr>
          <w:rFonts w:ascii="Times New Roman" w:hAnsi="Times New Roman"/>
          <w:color w:val="auto"/>
          <w:szCs w:val="21"/>
        </w:rPr>
        <w:t>日历天，按合同约定完成勘察工作。</w:t>
      </w:r>
    </w:p>
    <w:p>
      <w:pPr>
        <w:spacing w:line="440" w:lineRule="exact"/>
        <w:ind w:firstLine="420" w:firstLineChars="200"/>
        <w:rPr>
          <w:rFonts w:ascii="Times New Roman" w:hAnsi="Times New Roman"/>
          <w:color w:val="auto"/>
          <w:szCs w:val="21"/>
        </w:rPr>
      </w:pPr>
      <w:r>
        <w:rPr>
          <w:rFonts w:ascii="Times New Roman" w:hAnsi="Times New Roman"/>
          <w:color w:val="auto"/>
          <w:szCs w:val="21"/>
        </w:rPr>
        <w:t>2. 我方的投标文件包括下列内容：</w:t>
      </w:r>
    </w:p>
    <w:p>
      <w:pPr>
        <w:numPr>
          <w:ilvl w:val="0"/>
          <w:numId w:val="0"/>
        </w:numPr>
        <w:spacing w:line="540" w:lineRule="exact"/>
        <w:rPr>
          <w:rFonts w:ascii="Times New Roman" w:hAnsi="Times New Roman"/>
          <w:color w:val="auto"/>
        </w:rPr>
      </w:pPr>
      <w:r>
        <w:rPr>
          <w:rFonts w:hint="eastAsia" w:ascii="Times New Roman" w:hAnsi="Times New Roman"/>
          <w:color w:val="auto"/>
          <w:lang w:eastAsia="zh-CN"/>
        </w:rPr>
        <w:t>一、</w:t>
      </w:r>
      <w:r>
        <w:rPr>
          <w:rFonts w:ascii="Times New Roman" w:hAnsi="Times New Roman"/>
          <w:color w:val="auto"/>
        </w:rPr>
        <w:t>投标函</w:t>
      </w:r>
    </w:p>
    <w:p>
      <w:pPr>
        <w:numPr>
          <w:ilvl w:val="0"/>
          <w:numId w:val="0"/>
        </w:numPr>
        <w:spacing w:line="540" w:lineRule="exact"/>
        <w:rPr>
          <w:rFonts w:ascii="Times New Roman" w:hAnsi="Times New Roman"/>
          <w:color w:val="auto"/>
        </w:rPr>
      </w:pPr>
      <w:r>
        <w:rPr>
          <w:rFonts w:hint="eastAsia" w:ascii="Times New Roman" w:hAnsi="Times New Roman"/>
          <w:color w:val="auto"/>
          <w:lang w:eastAsia="zh-CN"/>
        </w:rPr>
        <w:t>二、</w:t>
      </w:r>
      <w:r>
        <w:rPr>
          <w:rFonts w:ascii="Times New Roman" w:hAnsi="Times New Roman"/>
          <w:color w:val="auto"/>
        </w:rPr>
        <w:t>投标函附录</w:t>
      </w:r>
    </w:p>
    <w:p>
      <w:pPr>
        <w:spacing w:line="540" w:lineRule="exact"/>
        <w:rPr>
          <w:rFonts w:ascii="Times New Roman" w:hAnsi="Times New Roman"/>
          <w:color w:val="auto"/>
        </w:rPr>
      </w:pPr>
      <w:r>
        <w:rPr>
          <w:rFonts w:hint="eastAsia" w:ascii="Times New Roman" w:hAnsi="Times New Roman"/>
          <w:color w:val="auto"/>
          <w:lang w:eastAsia="zh-CN"/>
        </w:rPr>
        <w:t>三</w:t>
      </w:r>
      <w:r>
        <w:rPr>
          <w:rFonts w:ascii="Times New Roman" w:hAnsi="Times New Roman"/>
          <w:color w:val="auto"/>
        </w:rPr>
        <w:t>、法定代表人身份证明</w:t>
      </w:r>
      <w:r>
        <w:rPr>
          <w:rFonts w:hint="eastAsia" w:ascii="Times New Roman" w:hAnsi="Times New Roman"/>
          <w:color w:val="auto"/>
          <w:lang w:val="en-US" w:eastAsia="zh-CN"/>
        </w:rPr>
        <w:t>及</w:t>
      </w:r>
      <w:r>
        <w:rPr>
          <w:rFonts w:hint="eastAsia" w:ascii="Times New Roman" w:hAnsi="Times New Roman"/>
          <w:color w:val="auto"/>
        </w:rPr>
        <w:t>授权委托书</w:t>
      </w:r>
    </w:p>
    <w:p>
      <w:pPr>
        <w:spacing w:line="540" w:lineRule="exact"/>
        <w:rPr>
          <w:rFonts w:ascii="Times New Roman" w:hAnsi="Times New Roman"/>
          <w:color w:val="auto"/>
        </w:rPr>
      </w:pPr>
      <w:r>
        <w:rPr>
          <w:rFonts w:hint="eastAsia" w:ascii="Times New Roman" w:hAnsi="Times New Roman"/>
          <w:color w:val="auto"/>
          <w:lang w:eastAsia="zh-CN"/>
        </w:rPr>
        <w:t>四</w:t>
      </w:r>
      <w:r>
        <w:rPr>
          <w:rFonts w:ascii="Times New Roman" w:hAnsi="Times New Roman"/>
          <w:color w:val="auto"/>
        </w:rPr>
        <w:t>、联合体协议书</w:t>
      </w:r>
    </w:p>
    <w:p>
      <w:pPr>
        <w:spacing w:line="540" w:lineRule="exact"/>
        <w:rPr>
          <w:rFonts w:ascii="Times New Roman" w:hAnsi="Times New Roman"/>
          <w:color w:val="auto"/>
        </w:rPr>
      </w:pPr>
      <w:r>
        <w:rPr>
          <w:rFonts w:hint="eastAsia" w:ascii="Times New Roman" w:hAnsi="Times New Roman"/>
          <w:color w:val="auto"/>
          <w:lang w:eastAsia="zh-CN"/>
        </w:rPr>
        <w:t>五</w:t>
      </w:r>
      <w:r>
        <w:rPr>
          <w:rFonts w:ascii="Times New Roman" w:hAnsi="Times New Roman"/>
          <w:color w:val="auto"/>
        </w:rPr>
        <w:t>、投标保证金</w:t>
      </w:r>
    </w:p>
    <w:p>
      <w:pPr>
        <w:spacing w:line="540" w:lineRule="exact"/>
        <w:rPr>
          <w:rFonts w:ascii="Times New Roman" w:hAnsi="Times New Roman"/>
          <w:color w:val="auto"/>
        </w:rPr>
      </w:pPr>
      <w:r>
        <w:rPr>
          <w:rFonts w:hint="eastAsia" w:ascii="Times New Roman" w:hAnsi="Times New Roman"/>
          <w:color w:val="auto"/>
          <w:lang w:eastAsia="zh-CN"/>
        </w:rPr>
        <w:t>六</w:t>
      </w:r>
      <w:r>
        <w:rPr>
          <w:rFonts w:ascii="Times New Roman" w:hAnsi="Times New Roman"/>
          <w:color w:val="auto"/>
        </w:rPr>
        <w:t>、勘察费用清单</w:t>
      </w:r>
    </w:p>
    <w:p>
      <w:pPr>
        <w:spacing w:line="540" w:lineRule="exact"/>
        <w:rPr>
          <w:rFonts w:ascii="Times New Roman" w:hAnsi="Times New Roman"/>
          <w:color w:val="auto"/>
        </w:rPr>
      </w:pPr>
      <w:r>
        <w:rPr>
          <w:rFonts w:hint="eastAsia" w:ascii="Times New Roman" w:hAnsi="Times New Roman"/>
          <w:color w:val="auto"/>
          <w:lang w:eastAsia="zh-CN"/>
        </w:rPr>
        <w:t>七</w:t>
      </w:r>
      <w:r>
        <w:rPr>
          <w:rFonts w:ascii="Times New Roman" w:hAnsi="Times New Roman"/>
          <w:color w:val="auto"/>
        </w:rPr>
        <w:t>、资格审查资料</w:t>
      </w:r>
    </w:p>
    <w:p>
      <w:pPr>
        <w:spacing w:line="540" w:lineRule="exact"/>
        <w:rPr>
          <w:rFonts w:ascii="Times New Roman" w:hAnsi="Times New Roman"/>
          <w:color w:val="auto"/>
        </w:rPr>
      </w:pPr>
      <w:r>
        <w:rPr>
          <w:rFonts w:hint="eastAsia" w:ascii="Times New Roman" w:hAnsi="Times New Roman"/>
          <w:color w:val="auto"/>
          <w:lang w:eastAsia="zh-CN"/>
        </w:rPr>
        <w:t>八</w:t>
      </w:r>
      <w:r>
        <w:rPr>
          <w:rFonts w:hint="eastAsia" w:ascii="Times New Roman" w:hAnsi="Times New Roman"/>
          <w:color w:val="auto"/>
        </w:rPr>
        <w:t>、勘察纲要</w:t>
      </w:r>
    </w:p>
    <w:p>
      <w:pPr>
        <w:spacing w:line="540" w:lineRule="exact"/>
        <w:rPr>
          <w:rFonts w:ascii="Times New Roman" w:hAnsi="Times New Roman"/>
          <w:color w:val="auto"/>
        </w:rPr>
      </w:pPr>
      <w:r>
        <w:rPr>
          <w:rFonts w:hint="eastAsia" w:ascii="Times New Roman" w:hAnsi="Times New Roman"/>
          <w:color w:val="auto"/>
          <w:lang w:eastAsia="zh-CN"/>
        </w:rPr>
        <w:t>九</w:t>
      </w:r>
      <w:r>
        <w:rPr>
          <w:rFonts w:ascii="Times New Roman" w:hAnsi="Times New Roman"/>
          <w:color w:val="auto"/>
        </w:rPr>
        <w:t>、其他资料</w:t>
      </w:r>
    </w:p>
    <w:p>
      <w:pPr>
        <w:spacing w:line="440" w:lineRule="exact"/>
        <w:ind w:firstLine="420" w:firstLineChars="200"/>
        <w:rPr>
          <w:rFonts w:ascii="Times New Roman" w:hAnsi="Times New Roman"/>
          <w:color w:val="auto"/>
          <w:szCs w:val="21"/>
        </w:rPr>
      </w:pPr>
      <w:r>
        <w:rPr>
          <w:rFonts w:ascii="Times New Roman" w:hAnsi="Times New Roman"/>
          <w:color w:val="auto"/>
          <w:szCs w:val="21"/>
        </w:rPr>
        <w:t>投标文件的上述组成部分如存在内容不一致的，以投标函为准。</w:t>
      </w:r>
    </w:p>
    <w:p>
      <w:pPr>
        <w:spacing w:line="440" w:lineRule="exact"/>
        <w:ind w:firstLine="420" w:firstLineChars="200"/>
        <w:rPr>
          <w:rFonts w:ascii="Times New Roman" w:hAnsi="Times New Roman"/>
          <w:color w:val="auto"/>
          <w:szCs w:val="21"/>
        </w:rPr>
      </w:pPr>
      <w:r>
        <w:rPr>
          <w:rFonts w:ascii="Times New Roman" w:hAnsi="Times New Roman"/>
          <w:color w:val="auto"/>
          <w:szCs w:val="21"/>
        </w:rPr>
        <w:t>3．我方承诺在招标文件规定的投标有效期内不撤销投标文件。</w:t>
      </w:r>
    </w:p>
    <w:p>
      <w:pPr>
        <w:spacing w:line="440" w:lineRule="exact"/>
        <w:ind w:firstLine="420" w:firstLineChars="200"/>
        <w:rPr>
          <w:rFonts w:ascii="Times New Roman" w:hAnsi="Times New Roman"/>
          <w:color w:val="auto"/>
          <w:szCs w:val="21"/>
        </w:rPr>
      </w:pPr>
      <w:r>
        <w:rPr>
          <w:rFonts w:ascii="Times New Roman" w:hAnsi="Times New Roman"/>
          <w:color w:val="auto"/>
          <w:szCs w:val="21"/>
        </w:rPr>
        <w:t>4．如我方中标，我方承诺：</w:t>
      </w:r>
    </w:p>
    <w:p>
      <w:pPr>
        <w:spacing w:line="440" w:lineRule="exact"/>
        <w:ind w:left="945" w:leftChars="400" w:hanging="105" w:hangingChars="50"/>
        <w:rPr>
          <w:rFonts w:ascii="Times New Roman" w:hAnsi="Times New Roman"/>
          <w:color w:val="auto"/>
          <w:szCs w:val="21"/>
        </w:rPr>
      </w:pPr>
      <w:r>
        <w:rPr>
          <w:rFonts w:ascii="Times New Roman" w:hAnsi="Times New Roman"/>
          <w:color w:val="auto"/>
          <w:szCs w:val="21"/>
        </w:rPr>
        <w:t>（1）在收到中标通知书后，在中标通知书规定的期限内与你方签订合同；</w:t>
      </w:r>
    </w:p>
    <w:p>
      <w:pPr>
        <w:spacing w:line="440" w:lineRule="exact"/>
        <w:ind w:left="945" w:leftChars="400" w:hanging="105" w:hangingChars="50"/>
        <w:rPr>
          <w:rFonts w:ascii="Times New Roman" w:hAnsi="Times New Roman"/>
          <w:color w:val="auto"/>
          <w:szCs w:val="21"/>
        </w:rPr>
      </w:pPr>
      <w:r>
        <w:rPr>
          <w:rFonts w:ascii="Times New Roman" w:hAnsi="Times New Roman"/>
          <w:color w:val="auto"/>
          <w:szCs w:val="21"/>
        </w:rPr>
        <w:t>（2）在签订合同时不向你方提出附加条件；</w:t>
      </w:r>
    </w:p>
    <w:p>
      <w:pPr>
        <w:spacing w:line="440" w:lineRule="exact"/>
        <w:ind w:left="945" w:leftChars="400" w:hanging="105" w:hangingChars="50"/>
        <w:rPr>
          <w:rFonts w:ascii="Times New Roman" w:hAnsi="Times New Roman"/>
          <w:color w:val="auto"/>
          <w:szCs w:val="21"/>
        </w:rPr>
      </w:pPr>
      <w:r>
        <w:rPr>
          <w:rFonts w:ascii="Times New Roman" w:hAnsi="Times New Roman"/>
          <w:color w:val="auto"/>
          <w:szCs w:val="21"/>
        </w:rPr>
        <w:t>（3）按照招标文件要求提交履约保证金；</w:t>
      </w:r>
      <w:bookmarkStart w:id="687" w:name="_Toc1187"/>
      <w:bookmarkStart w:id="688" w:name="_Toc369531694"/>
      <w:bookmarkStart w:id="689" w:name="_Toc352691658"/>
    </w:p>
    <w:p>
      <w:pPr>
        <w:spacing w:line="440" w:lineRule="exact"/>
        <w:ind w:left="945" w:leftChars="400" w:hanging="105" w:hangingChars="50"/>
        <w:rPr>
          <w:rFonts w:ascii="Times New Roman" w:hAnsi="Times New Roman"/>
          <w:color w:val="auto"/>
          <w:szCs w:val="21"/>
        </w:rPr>
      </w:pPr>
      <w:r>
        <w:rPr>
          <w:rFonts w:ascii="Times New Roman" w:hAnsi="Times New Roman"/>
          <w:color w:val="auto"/>
          <w:szCs w:val="21"/>
        </w:rPr>
        <w:t>（4）在合</w:t>
      </w:r>
      <w:bookmarkEnd w:id="687"/>
      <w:bookmarkEnd w:id="688"/>
      <w:bookmarkEnd w:id="689"/>
      <w:r>
        <w:rPr>
          <w:rFonts w:ascii="Times New Roman" w:hAnsi="Times New Roman"/>
          <w:color w:val="auto"/>
          <w:szCs w:val="21"/>
        </w:rPr>
        <w:t>同约定的期限内完成合同规定的全部义务。</w:t>
      </w:r>
    </w:p>
    <w:p>
      <w:pPr>
        <w:spacing w:line="440" w:lineRule="exact"/>
        <w:ind w:firstLine="420" w:firstLineChars="200"/>
        <w:rPr>
          <w:rFonts w:ascii="Times New Roman" w:hAnsi="Times New Roman"/>
          <w:color w:val="auto"/>
          <w:szCs w:val="21"/>
        </w:rPr>
      </w:pPr>
      <w:r>
        <w:rPr>
          <w:rFonts w:ascii="Times New Roman" w:hAnsi="Times New Roman"/>
          <w:color w:val="auto"/>
          <w:szCs w:val="21"/>
        </w:rPr>
        <w:t>5．我方在此声明，所递交的投标文件及有关资料内容完整、真实和准确，且不存在第二章“投标人须知”第1.4.3项规定的任何一种情形。</w:t>
      </w:r>
    </w:p>
    <w:p>
      <w:pPr>
        <w:spacing w:line="440" w:lineRule="exact"/>
        <w:ind w:firstLine="420" w:firstLineChars="200"/>
        <w:rPr>
          <w:rFonts w:ascii="Times New Roman" w:hAnsi="Times New Roman"/>
          <w:color w:val="auto"/>
          <w:szCs w:val="21"/>
        </w:rPr>
      </w:pPr>
      <w:r>
        <w:rPr>
          <w:rFonts w:ascii="Times New Roman" w:hAnsi="Times New Roman"/>
          <w:color w:val="auto"/>
          <w:szCs w:val="21"/>
        </w:rPr>
        <w:t>6．</w:t>
      </w:r>
      <w:r>
        <w:rPr>
          <w:rFonts w:ascii="Times New Roman" w:hAnsi="Times New Roman"/>
          <w:color w:val="auto"/>
          <w:szCs w:val="21"/>
          <w:u w:val="single"/>
        </w:rPr>
        <w:t xml:space="preserve">                            </w:t>
      </w:r>
      <w:r>
        <w:rPr>
          <w:rFonts w:ascii="Times New Roman" w:hAnsi="Times New Roman"/>
          <w:color w:val="auto"/>
          <w:szCs w:val="21"/>
          <w:u w:val="single"/>
        </w:rPr>
        <w:tab/>
      </w:r>
      <w:r>
        <w:rPr>
          <w:rFonts w:ascii="Times New Roman" w:hAnsi="Times New Roman"/>
          <w:color w:val="auto"/>
          <w:szCs w:val="21"/>
        </w:rPr>
        <w:t>（其他补充说明）。</w:t>
      </w:r>
    </w:p>
    <w:p>
      <w:pPr>
        <w:spacing w:line="440" w:lineRule="exact"/>
        <w:ind w:firstLine="420" w:firstLineChars="200"/>
        <w:rPr>
          <w:rFonts w:ascii="Times New Roman" w:hAnsi="Times New Roman"/>
          <w:color w:val="auto"/>
          <w:szCs w:val="21"/>
        </w:rPr>
      </w:pPr>
    </w:p>
    <w:bookmarkEnd w:id="600"/>
    <w:bookmarkEnd w:id="601"/>
    <w:bookmarkEnd w:id="602"/>
    <w:bookmarkEnd w:id="603"/>
    <w:bookmarkEnd w:id="604"/>
    <w:bookmarkEnd w:id="605"/>
    <w:bookmarkEnd w:id="606"/>
    <w:bookmarkEnd w:id="655"/>
    <w:bookmarkEnd w:id="656"/>
    <w:p>
      <w:pPr>
        <w:spacing w:line="440" w:lineRule="exact"/>
        <w:ind w:firstLine="2520" w:firstLineChars="1200"/>
        <w:jc w:val="left"/>
        <w:rPr>
          <w:rFonts w:ascii="Times New Roman" w:hAnsi="Times New Roman"/>
          <w:color w:val="auto"/>
          <w:szCs w:val="21"/>
        </w:rPr>
      </w:pPr>
      <w:bookmarkStart w:id="690" w:name="_Toc369531695"/>
      <w:bookmarkEnd w:id="690"/>
      <w:bookmarkStart w:id="691" w:name="_Toc352691660"/>
      <w:bookmarkEnd w:id="691"/>
      <w:bookmarkStart w:id="692" w:name="_Toc369531696"/>
      <w:bookmarkEnd w:id="692"/>
      <w:bookmarkStart w:id="693" w:name="_Toc16824"/>
      <w:bookmarkEnd w:id="693"/>
      <w:bookmarkStart w:id="694" w:name="_Toc352691659"/>
      <w:bookmarkEnd w:id="694"/>
      <w:bookmarkStart w:id="695" w:name="_Toc16568"/>
      <w:bookmarkEnd w:id="695"/>
      <w:r>
        <w:rPr>
          <w:rFonts w:ascii="Times New Roman" w:hAnsi="Times New Roman"/>
          <w:color w:val="auto"/>
          <w:szCs w:val="21"/>
        </w:rPr>
        <w:t>投 标 人：</w:t>
      </w:r>
      <w:r>
        <w:rPr>
          <w:rFonts w:ascii="Times New Roman" w:hAnsi="Times New Roman"/>
          <w:color w:val="auto"/>
          <w:szCs w:val="21"/>
          <w:u w:val="single"/>
        </w:rPr>
        <w:t xml:space="preserve">                                </w:t>
      </w:r>
      <w:r>
        <w:rPr>
          <w:rFonts w:ascii="Times New Roman" w:hAnsi="Times New Roman"/>
          <w:color w:val="auto"/>
          <w:szCs w:val="21"/>
          <w:u w:val="single"/>
        </w:rPr>
        <w:tab/>
      </w:r>
      <w:r>
        <w:rPr>
          <w:rFonts w:ascii="Times New Roman" w:hAnsi="Times New Roman"/>
          <w:color w:val="auto"/>
          <w:szCs w:val="21"/>
        </w:rPr>
        <w:t>（盖单位章）</w:t>
      </w:r>
    </w:p>
    <w:p>
      <w:pPr>
        <w:spacing w:line="440" w:lineRule="exact"/>
        <w:jc w:val="left"/>
        <w:rPr>
          <w:rFonts w:ascii="Times New Roman" w:hAnsi="Times New Roman"/>
          <w:color w:val="auto"/>
          <w:szCs w:val="21"/>
        </w:rPr>
      </w:pPr>
      <w:r>
        <w:rPr>
          <w:rFonts w:ascii="Times New Roman" w:hAnsi="Times New Roman"/>
          <w:color w:val="auto"/>
        </w:rPr>
        <w:t xml:space="preserve">                        法定代表人</w:t>
      </w:r>
      <w:r>
        <w:rPr>
          <w:rFonts w:ascii="Times New Roman" w:hAnsi="Times New Roman"/>
          <w:color w:val="auto"/>
          <w:szCs w:val="21"/>
        </w:rPr>
        <w:t>或其委托代理人：</w:t>
      </w:r>
      <w:r>
        <w:rPr>
          <w:rFonts w:ascii="Times New Roman" w:hAnsi="Times New Roman"/>
          <w:color w:val="auto"/>
          <w:szCs w:val="21"/>
          <w:u w:val="single"/>
        </w:rPr>
        <w:t xml:space="preserve">       </w:t>
      </w:r>
      <w:r>
        <w:rPr>
          <w:rFonts w:ascii="Times New Roman" w:hAnsi="Times New Roman"/>
          <w:color w:val="auto"/>
          <w:szCs w:val="21"/>
          <w:u w:val="single"/>
        </w:rPr>
        <w:tab/>
      </w:r>
      <w:r>
        <w:rPr>
          <w:rFonts w:ascii="Times New Roman" w:hAnsi="Times New Roman"/>
          <w:color w:val="auto"/>
          <w:szCs w:val="21"/>
        </w:rPr>
        <w:t>（签字）</w:t>
      </w:r>
    </w:p>
    <w:p>
      <w:pPr>
        <w:spacing w:line="440" w:lineRule="exact"/>
        <w:ind w:firstLine="2520" w:firstLineChars="1200"/>
        <w:jc w:val="left"/>
        <w:rPr>
          <w:rFonts w:ascii="Times New Roman" w:hAnsi="Times New Roman"/>
          <w:color w:val="auto"/>
          <w:szCs w:val="21"/>
        </w:rPr>
      </w:pPr>
      <w:r>
        <w:rPr>
          <w:rFonts w:ascii="Times New Roman" w:hAnsi="Times New Roman"/>
          <w:color w:val="auto"/>
          <w:szCs w:val="21"/>
        </w:rPr>
        <w:t>地    址：</w:t>
      </w:r>
      <w:r>
        <w:rPr>
          <w:rFonts w:ascii="Times New Roman" w:hAnsi="Times New Roman"/>
          <w:color w:val="auto"/>
          <w:szCs w:val="21"/>
          <w:u w:val="single"/>
        </w:rPr>
        <w:t xml:space="preserve">          </w:t>
      </w:r>
      <w:r>
        <w:rPr>
          <w:rFonts w:ascii="Times New Roman" w:hAnsi="Times New Roman"/>
          <w:color w:val="auto"/>
          <w:szCs w:val="21"/>
          <w:u w:val="single"/>
        </w:rPr>
        <w:tab/>
      </w:r>
      <w:r>
        <w:rPr>
          <w:rFonts w:ascii="Times New Roman" w:hAnsi="Times New Roman"/>
          <w:color w:val="auto"/>
          <w:szCs w:val="21"/>
          <w:u w:val="single"/>
        </w:rPr>
        <w:t xml:space="preserve">                             </w:t>
      </w:r>
      <w:r>
        <w:rPr>
          <w:rFonts w:ascii="Times New Roman" w:hAnsi="Times New Roman"/>
          <w:color w:val="auto"/>
          <w:szCs w:val="21"/>
          <w:u w:val="single"/>
        </w:rPr>
        <w:tab/>
      </w:r>
    </w:p>
    <w:p>
      <w:pPr>
        <w:spacing w:line="440" w:lineRule="exact"/>
        <w:ind w:firstLine="2520" w:firstLineChars="1200"/>
        <w:jc w:val="left"/>
        <w:rPr>
          <w:rFonts w:ascii="Times New Roman" w:hAnsi="Times New Roman"/>
          <w:color w:val="auto"/>
          <w:szCs w:val="21"/>
        </w:rPr>
      </w:pPr>
      <w:r>
        <w:rPr>
          <w:rFonts w:ascii="Times New Roman" w:hAnsi="Times New Roman"/>
          <w:color w:val="auto"/>
          <w:szCs w:val="21"/>
        </w:rPr>
        <w:t>网    址：</w:t>
      </w:r>
      <w:r>
        <w:rPr>
          <w:rFonts w:ascii="Times New Roman" w:hAnsi="Times New Roman"/>
          <w:color w:val="auto"/>
          <w:szCs w:val="21"/>
          <w:u w:val="single"/>
        </w:rPr>
        <w:t xml:space="preserve">                                       </w:t>
      </w:r>
      <w:r>
        <w:rPr>
          <w:rFonts w:ascii="Times New Roman" w:hAnsi="Times New Roman"/>
          <w:color w:val="auto"/>
          <w:szCs w:val="21"/>
          <w:u w:val="single"/>
        </w:rPr>
        <w:tab/>
      </w:r>
      <w:r>
        <w:rPr>
          <w:rFonts w:ascii="Times New Roman" w:hAnsi="Times New Roman"/>
          <w:color w:val="auto"/>
          <w:szCs w:val="21"/>
          <w:u w:val="single"/>
        </w:rPr>
        <w:t xml:space="preserve">    </w:t>
      </w:r>
    </w:p>
    <w:p>
      <w:pPr>
        <w:spacing w:line="440" w:lineRule="exact"/>
        <w:ind w:firstLine="2520" w:firstLineChars="1200"/>
        <w:jc w:val="left"/>
        <w:rPr>
          <w:rFonts w:ascii="Times New Roman" w:hAnsi="Times New Roman"/>
          <w:color w:val="auto"/>
          <w:szCs w:val="21"/>
        </w:rPr>
      </w:pPr>
      <w:r>
        <w:rPr>
          <w:rFonts w:ascii="Times New Roman" w:hAnsi="Times New Roman"/>
          <w:color w:val="auto"/>
          <w:szCs w:val="21"/>
        </w:rPr>
        <w:t>电    话：</w:t>
      </w:r>
      <w:r>
        <w:rPr>
          <w:rFonts w:ascii="Times New Roman" w:hAnsi="Times New Roman"/>
          <w:color w:val="auto"/>
          <w:szCs w:val="21"/>
          <w:u w:val="single"/>
        </w:rPr>
        <w:t xml:space="preserve">          </w:t>
      </w:r>
      <w:r>
        <w:rPr>
          <w:rFonts w:ascii="Times New Roman" w:hAnsi="Times New Roman"/>
          <w:color w:val="auto"/>
          <w:szCs w:val="21"/>
          <w:u w:val="single"/>
        </w:rPr>
        <w:tab/>
      </w:r>
      <w:r>
        <w:rPr>
          <w:rFonts w:ascii="Times New Roman" w:hAnsi="Times New Roman"/>
          <w:color w:val="auto"/>
          <w:szCs w:val="21"/>
          <w:u w:val="single"/>
        </w:rPr>
        <w:t xml:space="preserve">                          </w:t>
      </w:r>
      <w:r>
        <w:rPr>
          <w:rFonts w:ascii="Times New Roman" w:hAnsi="Times New Roman"/>
          <w:color w:val="auto"/>
          <w:szCs w:val="21"/>
          <w:u w:val="single"/>
        </w:rPr>
        <w:tab/>
      </w:r>
      <w:r>
        <w:rPr>
          <w:rFonts w:ascii="Times New Roman" w:hAnsi="Times New Roman"/>
          <w:color w:val="auto"/>
          <w:szCs w:val="21"/>
          <w:u w:val="single"/>
        </w:rPr>
        <w:t xml:space="preserve">    </w:t>
      </w:r>
    </w:p>
    <w:p>
      <w:pPr>
        <w:spacing w:line="440" w:lineRule="exact"/>
        <w:ind w:firstLine="2520" w:firstLineChars="1200"/>
        <w:jc w:val="left"/>
        <w:rPr>
          <w:rFonts w:ascii="Times New Roman" w:hAnsi="Times New Roman"/>
          <w:color w:val="auto"/>
          <w:szCs w:val="21"/>
        </w:rPr>
      </w:pPr>
      <w:r>
        <w:rPr>
          <w:rFonts w:ascii="Times New Roman" w:hAnsi="Times New Roman"/>
          <w:color w:val="auto"/>
          <w:szCs w:val="21"/>
        </w:rPr>
        <w:t>传    真：</w:t>
      </w:r>
      <w:r>
        <w:rPr>
          <w:rFonts w:ascii="Times New Roman" w:hAnsi="Times New Roman"/>
          <w:color w:val="auto"/>
          <w:szCs w:val="21"/>
          <w:u w:val="single"/>
        </w:rPr>
        <w:t xml:space="preserve">          </w:t>
      </w:r>
      <w:r>
        <w:rPr>
          <w:rFonts w:ascii="Times New Roman" w:hAnsi="Times New Roman"/>
          <w:color w:val="auto"/>
          <w:szCs w:val="21"/>
          <w:u w:val="single"/>
        </w:rPr>
        <w:tab/>
      </w:r>
      <w:r>
        <w:rPr>
          <w:rFonts w:ascii="Times New Roman" w:hAnsi="Times New Roman"/>
          <w:color w:val="auto"/>
          <w:szCs w:val="21"/>
          <w:u w:val="single"/>
        </w:rPr>
        <w:t xml:space="preserve">                                </w:t>
      </w:r>
    </w:p>
    <w:p>
      <w:pPr>
        <w:spacing w:line="440" w:lineRule="exact"/>
        <w:ind w:firstLine="2520" w:firstLineChars="1200"/>
        <w:jc w:val="left"/>
        <w:rPr>
          <w:rFonts w:ascii="Times New Roman" w:hAnsi="Times New Roman"/>
          <w:color w:val="auto"/>
          <w:szCs w:val="21"/>
        </w:rPr>
      </w:pPr>
      <w:r>
        <w:rPr>
          <w:rFonts w:ascii="Times New Roman" w:hAnsi="Times New Roman"/>
          <w:color w:val="auto"/>
          <w:szCs w:val="21"/>
        </w:rPr>
        <w:t>邮政编码：</w:t>
      </w:r>
      <w:r>
        <w:rPr>
          <w:rFonts w:ascii="Times New Roman" w:hAnsi="Times New Roman"/>
          <w:color w:val="auto"/>
          <w:szCs w:val="21"/>
          <w:u w:val="single"/>
        </w:rPr>
        <w:t xml:space="preserve">          </w:t>
      </w:r>
      <w:r>
        <w:rPr>
          <w:rFonts w:ascii="Times New Roman" w:hAnsi="Times New Roman"/>
          <w:color w:val="auto"/>
          <w:szCs w:val="21"/>
          <w:u w:val="single"/>
        </w:rPr>
        <w:tab/>
      </w:r>
      <w:r>
        <w:rPr>
          <w:rFonts w:ascii="Times New Roman" w:hAnsi="Times New Roman"/>
          <w:color w:val="auto"/>
          <w:szCs w:val="21"/>
          <w:u w:val="single"/>
        </w:rPr>
        <w:t xml:space="preserve">                                </w:t>
      </w:r>
    </w:p>
    <w:p>
      <w:pPr>
        <w:spacing w:line="440" w:lineRule="exact"/>
        <w:ind w:firstLine="4725" w:firstLineChars="2250"/>
        <w:jc w:val="right"/>
        <w:rPr>
          <w:rFonts w:ascii="Times New Roman" w:hAnsi="Times New Roman"/>
          <w:color w:val="auto"/>
          <w:szCs w:val="21"/>
        </w:rPr>
      </w:pPr>
      <w:r>
        <w:rPr>
          <w:rFonts w:ascii="Times New Roman" w:hAnsi="Times New Roman"/>
          <w:color w:val="auto"/>
          <w:u w:val="single"/>
        </w:rPr>
        <w:t xml:space="preserve">      </w:t>
      </w:r>
      <w:r>
        <w:rPr>
          <w:rFonts w:ascii="Times New Roman" w:hAnsi="Times New Roman"/>
          <w:color w:val="auto"/>
          <w:szCs w:val="21"/>
        </w:rPr>
        <w:t>年</w:t>
      </w:r>
      <w:r>
        <w:rPr>
          <w:rFonts w:ascii="Times New Roman" w:hAnsi="Times New Roman"/>
          <w:color w:val="auto"/>
          <w:u w:val="single"/>
        </w:rPr>
        <w:t xml:space="preserve">      </w:t>
      </w:r>
      <w:r>
        <w:rPr>
          <w:rFonts w:ascii="Times New Roman" w:hAnsi="Times New Roman"/>
          <w:color w:val="auto"/>
          <w:szCs w:val="21"/>
        </w:rPr>
        <w:t>月</w:t>
      </w:r>
      <w:r>
        <w:rPr>
          <w:rFonts w:ascii="Times New Roman" w:hAnsi="Times New Roman"/>
          <w:color w:val="auto"/>
          <w:u w:val="single"/>
        </w:rPr>
        <w:t xml:space="preserve">      </w:t>
      </w:r>
      <w:r>
        <w:rPr>
          <w:rFonts w:ascii="Times New Roman" w:hAnsi="Times New Roman"/>
          <w:color w:val="auto"/>
          <w:szCs w:val="21"/>
        </w:rPr>
        <w:t>日</w:t>
      </w:r>
    </w:p>
    <w:p>
      <w:pPr>
        <w:spacing w:line="440" w:lineRule="exact"/>
        <w:rPr>
          <w:rFonts w:ascii="Times New Roman" w:hAnsi="Times New Roman"/>
          <w:color w:val="auto"/>
          <w:szCs w:val="21"/>
        </w:rPr>
      </w:pPr>
    </w:p>
    <w:p>
      <w:pPr>
        <w:spacing w:line="440" w:lineRule="exact"/>
        <w:rPr>
          <w:rFonts w:ascii="Times New Roman" w:hAnsi="Times New Roman"/>
          <w:color w:val="auto"/>
          <w:szCs w:val="21"/>
        </w:rPr>
      </w:pPr>
    </w:p>
    <w:p>
      <w:pPr>
        <w:spacing w:line="440" w:lineRule="exact"/>
        <w:rPr>
          <w:rFonts w:ascii="Times New Roman" w:hAnsi="Times New Roman" w:eastAsia="黑体"/>
          <w:color w:val="auto"/>
          <w:sz w:val="20"/>
        </w:rPr>
      </w:pPr>
      <w:bookmarkStart w:id="696" w:name="_Toc152042576"/>
      <w:bookmarkStart w:id="697" w:name="_Toc369531697"/>
      <w:bookmarkStart w:id="698" w:name="_Toc152045787"/>
      <w:bookmarkStart w:id="699" w:name="_Toc17960"/>
      <w:bookmarkStart w:id="700" w:name="_Toc384308375"/>
      <w:bookmarkStart w:id="701" w:name="_Toc352691661"/>
      <w:bookmarkStart w:id="702" w:name="_Toc300835209"/>
      <w:bookmarkStart w:id="703" w:name="_Toc247527827"/>
      <w:bookmarkStart w:id="704" w:name="_Toc144974856"/>
      <w:bookmarkStart w:id="705" w:name="_Toc361508752"/>
      <w:bookmarkStart w:id="706" w:name="_Toc247514246"/>
    </w:p>
    <w:p>
      <w:pPr>
        <w:spacing w:line="440" w:lineRule="exact"/>
        <w:rPr>
          <w:rFonts w:ascii="Times New Roman" w:hAnsi="Times New Roman" w:eastAsia="黑体"/>
          <w:color w:val="auto"/>
          <w:sz w:val="20"/>
        </w:rPr>
      </w:pPr>
      <w:r>
        <w:rPr>
          <w:rFonts w:ascii="Times New Roman" w:hAnsi="Times New Roman"/>
          <w:color w:val="auto"/>
          <w:szCs w:val="21"/>
        </w:rPr>
        <w:br w:type="page"/>
      </w:r>
    </w:p>
    <w:p>
      <w:pPr>
        <w:autoSpaceDE w:val="0"/>
        <w:autoSpaceDN w:val="0"/>
        <w:adjustRightInd w:val="0"/>
        <w:jc w:val="center"/>
        <w:rPr>
          <w:rFonts w:hAnsi="宋体" w:cs="仿宋_GB2312"/>
          <w:b/>
          <w:sz w:val="24"/>
        </w:rPr>
      </w:pPr>
      <w:bookmarkStart w:id="707" w:name="_Toc215282239"/>
      <w:r>
        <w:rPr>
          <w:rFonts w:hint="eastAsia" w:hAnsi="宋体" w:cs="仿宋_GB2312"/>
          <w:b/>
          <w:sz w:val="24"/>
        </w:rPr>
        <w:t>（二）投标函附录</w:t>
      </w:r>
      <w:bookmarkEnd w:id="707"/>
    </w:p>
    <w:p>
      <w:pPr>
        <w:rPr>
          <w:rFonts w:hAnsi="宋体" w:cs="仿宋_GB2312"/>
          <w:sz w:val="24"/>
        </w:rPr>
      </w:pPr>
    </w:p>
    <w:tbl>
      <w:tblPr>
        <w:tblStyle w:val="38"/>
        <w:tblW w:w="8888" w:type="dxa"/>
        <w:tblInd w:w="0" w:type="dxa"/>
        <w:tblLayout w:type="fixed"/>
        <w:tblCellMar>
          <w:top w:w="0" w:type="dxa"/>
          <w:left w:w="108" w:type="dxa"/>
          <w:bottom w:w="0" w:type="dxa"/>
          <w:right w:w="108" w:type="dxa"/>
        </w:tblCellMar>
      </w:tblPr>
      <w:tblGrid>
        <w:gridCol w:w="2988"/>
        <w:gridCol w:w="1440"/>
        <w:gridCol w:w="1800"/>
        <w:gridCol w:w="2660"/>
      </w:tblGrid>
      <w:tr>
        <w:tblPrEx>
          <w:tblLayout w:type="fixed"/>
          <w:tblCellMar>
            <w:top w:w="0" w:type="dxa"/>
            <w:left w:w="108" w:type="dxa"/>
            <w:bottom w:w="0" w:type="dxa"/>
            <w:right w:w="108" w:type="dxa"/>
          </w:tblCellMar>
        </w:tblPrEx>
        <w:trPr>
          <w:trHeight w:val="760" w:hRule="atLeast"/>
        </w:trPr>
        <w:tc>
          <w:tcPr>
            <w:tcW w:w="298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hAnsi="宋体" w:eastAsia="宋体" w:cs="仿宋_GB2312"/>
                <w:sz w:val="24"/>
                <w:lang w:val="en-US" w:eastAsia="zh-CN"/>
              </w:rPr>
            </w:pPr>
            <w:r>
              <w:rPr>
                <w:rFonts w:hint="eastAsia" w:hAnsi="宋体" w:cs="仿宋_GB2312"/>
                <w:sz w:val="24"/>
              </w:rPr>
              <w:t>工程名称</w:t>
            </w:r>
          </w:p>
        </w:tc>
        <w:tc>
          <w:tcPr>
            <w:tcW w:w="590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Ansi="宋体" w:cs="仿宋_GB2312"/>
                <w:sz w:val="24"/>
              </w:rPr>
            </w:pPr>
          </w:p>
        </w:tc>
      </w:tr>
      <w:tr>
        <w:tblPrEx>
          <w:tblLayout w:type="fixed"/>
          <w:tblCellMar>
            <w:top w:w="0" w:type="dxa"/>
            <w:left w:w="108" w:type="dxa"/>
            <w:bottom w:w="0" w:type="dxa"/>
            <w:right w:w="108" w:type="dxa"/>
          </w:tblCellMar>
        </w:tblPrEx>
        <w:trPr>
          <w:trHeight w:val="783" w:hRule="atLeast"/>
        </w:trPr>
        <w:tc>
          <w:tcPr>
            <w:tcW w:w="2988" w:type="dxa"/>
            <w:tcBorders>
              <w:top w:val="single" w:color="auto" w:sz="4" w:space="0"/>
              <w:left w:val="single" w:color="auto" w:sz="4" w:space="0"/>
              <w:bottom w:val="single" w:color="auto" w:sz="4" w:space="0"/>
              <w:right w:val="single" w:color="auto" w:sz="4" w:space="0"/>
            </w:tcBorders>
            <w:noWrap w:val="0"/>
            <w:vAlign w:val="center"/>
          </w:tcPr>
          <w:p>
            <w:pPr>
              <w:jc w:val="center"/>
              <w:rPr>
                <w:rFonts w:hAnsi="宋体" w:cs="仿宋_GB2312"/>
                <w:sz w:val="24"/>
              </w:rPr>
            </w:pPr>
            <w:r>
              <w:rPr>
                <w:rFonts w:hint="eastAsia" w:hAnsi="宋体" w:cs="仿宋_GB2312"/>
                <w:sz w:val="24"/>
              </w:rPr>
              <w:t>投标人</w:t>
            </w:r>
          </w:p>
        </w:tc>
        <w:tc>
          <w:tcPr>
            <w:tcW w:w="590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Ansi="宋体" w:cs="仿宋_GB2312"/>
                <w:sz w:val="24"/>
              </w:rPr>
            </w:pPr>
          </w:p>
        </w:tc>
      </w:tr>
      <w:tr>
        <w:tblPrEx>
          <w:tblLayout w:type="fixed"/>
          <w:tblCellMar>
            <w:top w:w="0" w:type="dxa"/>
            <w:left w:w="108" w:type="dxa"/>
            <w:bottom w:w="0" w:type="dxa"/>
            <w:right w:w="108" w:type="dxa"/>
          </w:tblCellMar>
        </w:tblPrEx>
        <w:trPr>
          <w:trHeight w:val="784" w:hRule="atLeast"/>
        </w:trPr>
        <w:tc>
          <w:tcPr>
            <w:tcW w:w="298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hAnsi="宋体" w:eastAsia="宋体" w:cs="仿宋_GB2312"/>
                <w:sz w:val="24"/>
                <w:lang w:eastAsia="zh-CN"/>
              </w:rPr>
            </w:pPr>
            <w:r>
              <w:rPr>
                <w:rFonts w:hint="eastAsia" w:hAnsi="宋体" w:cs="仿宋_GB2312"/>
                <w:sz w:val="24"/>
                <w:lang w:eastAsia="zh-CN"/>
              </w:rPr>
              <w:t>项目负责人</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jc w:val="center"/>
              <w:rPr>
                <w:rFonts w:hAnsi="宋体" w:cs="仿宋_GB2312"/>
                <w:sz w:val="24"/>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pPr>
              <w:jc w:val="center"/>
              <w:rPr>
                <w:rFonts w:hAnsi="宋体" w:cs="仿宋_GB2312"/>
                <w:sz w:val="24"/>
              </w:rPr>
            </w:pPr>
            <w:r>
              <w:rPr>
                <w:rFonts w:hint="eastAsia" w:hAnsi="宋体" w:cs="仿宋_GB2312"/>
                <w:sz w:val="24"/>
              </w:rPr>
              <w:t>证书编号</w:t>
            </w:r>
          </w:p>
        </w:tc>
        <w:tc>
          <w:tcPr>
            <w:tcW w:w="2660" w:type="dxa"/>
            <w:tcBorders>
              <w:top w:val="single" w:color="auto" w:sz="4" w:space="0"/>
              <w:left w:val="single" w:color="auto" w:sz="4" w:space="0"/>
              <w:bottom w:val="single" w:color="auto" w:sz="4" w:space="0"/>
              <w:right w:val="single" w:color="auto" w:sz="4" w:space="0"/>
            </w:tcBorders>
            <w:noWrap w:val="0"/>
            <w:vAlign w:val="center"/>
          </w:tcPr>
          <w:p>
            <w:pPr>
              <w:jc w:val="center"/>
              <w:rPr>
                <w:rFonts w:hAnsi="宋体" w:cs="仿宋_GB2312"/>
                <w:sz w:val="24"/>
              </w:rPr>
            </w:pPr>
          </w:p>
        </w:tc>
      </w:tr>
      <w:tr>
        <w:tblPrEx>
          <w:tblLayout w:type="fixed"/>
          <w:tblCellMar>
            <w:top w:w="0" w:type="dxa"/>
            <w:left w:w="108" w:type="dxa"/>
            <w:bottom w:w="0" w:type="dxa"/>
            <w:right w:w="108" w:type="dxa"/>
          </w:tblCellMar>
        </w:tblPrEx>
        <w:trPr>
          <w:trHeight w:val="833" w:hRule="atLeast"/>
        </w:trPr>
        <w:tc>
          <w:tcPr>
            <w:tcW w:w="2988" w:type="dxa"/>
            <w:tcBorders>
              <w:top w:val="single" w:color="auto" w:sz="4" w:space="0"/>
              <w:left w:val="single" w:color="auto" w:sz="4" w:space="0"/>
              <w:bottom w:val="single" w:color="auto" w:sz="4" w:space="0"/>
              <w:right w:val="single" w:color="auto" w:sz="4" w:space="0"/>
            </w:tcBorders>
            <w:noWrap w:val="0"/>
            <w:vAlign w:val="center"/>
          </w:tcPr>
          <w:p>
            <w:pPr>
              <w:jc w:val="center"/>
              <w:rPr>
                <w:rFonts w:hAnsi="宋体" w:cs="仿宋_GB2312"/>
                <w:sz w:val="24"/>
              </w:rPr>
            </w:pPr>
            <w:r>
              <w:rPr>
                <w:rFonts w:hint="eastAsia" w:hAnsi="宋体" w:cs="仿宋_GB2312"/>
                <w:sz w:val="24"/>
              </w:rPr>
              <w:t>投标总报价</w:t>
            </w:r>
          </w:p>
        </w:tc>
        <w:tc>
          <w:tcPr>
            <w:tcW w:w="3240" w:type="dxa"/>
            <w:gridSpan w:val="2"/>
            <w:tcBorders>
              <w:top w:val="single" w:color="auto" w:sz="4" w:space="0"/>
              <w:left w:val="single" w:color="auto" w:sz="4" w:space="0"/>
              <w:bottom w:val="single" w:color="auto" w:sz="4" w:space="0"/>
              <w:right w:val="single" w:color="auto" w:sz="4" w:space="0"/>
            </w:tcBorders>
            <w:noWrap w:val="0"/>
            <w:vAlign w:val="center"/>
          </w:tcPr>
          <w:p>
            <w:pPr>
              <w:rPr>
                <w:rFonts w:hAnsi="宋体" w:cs="仿宋_GB2312"/>
                <w:sz w:val="24"/>
              </w:rPr>
            </w:pPr>
            <w:r>
              <w:rPr>
                <w:rFonts w:hint="eastAsia" w:hAnsi="宋体" w:cs="仿宋_GB2312"/>
                <w:sz w:val="24"/>
              </w:rPr>
              <w:t>（大写）</w:t>
            </w:r>
          </w:p>
        </w:tc>
        <w:tc>
          <w:tcPr>
            <w:tcW w:w="2660" w:type="dxa"/>
            <w:tcBorders>
              <w:top w:val="single" w:color="auto" w:sz="4" w:space="0"/>
              <w:left w:val="single" w:color="auto" w:sz="4" w:space="0"/>
              <w:bottom w:val="single" w:color="auto" w:sz="4" w:space="0"/>
              <w:right w:val="single" w:color="auto" w:sz="4" w:space="0"/>
            </w:tcBorders>
            <w:noWrap w:val="0"/>
            <w:vAlign w:val="center"/>
          </w:tcPr>
          <w:p>
            <w:pPr>
              <w:rPr>
                <w:rFonts w:hAnsi="宋体" w:cs="仿宋_GB2312"/>
                <w:sz w:val="24"/>
              </w:rPr>
            </w:pPr>
            <w:r>
              <w:rPr>
                <w:rFonts w:hint="eastAsia" w:hAnsi="宋体" w:cs="仿宋_GB2312"/>
                <w:sz w:val="24"/>
              </w:rPr>
              <w:t>（小写）</w:t>
            </w:r>
          </w:p>
        </w:tc>
      </w:tr>
      <w:tr>
        <w:tblPrEx>
          <w:tblLayout w:type="fixed"/>
          <w:tblCellMar>
            <w:top w:w="0" w:type="dxa"/>
            <w:left w:w="108" w:type="dxa"/>
            <w:bottom w:w="0" w:type="dxa"/>
            <w:right w:w="108" w:type="dxa"/>
          </w:tblCellMar>
        </w:tblPrEx>
        <w:trPr>
          <w:trHeight w:val="639" w:hRule="atLeast"/>
        </w:trPr>
        <w:tc>
          <w:tcPr>
            <w:tcW w:w="298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hAnsi="宋体" w:eastAsia="宋体" w:cs="仿宋_GB2312"/>
                <w:sz w:val="24"/>
                <w:lang w:eastAsia="zh-CN"/>
              </w:rPr>
            </w:pPr>
            <w:r>
              <w:rPr>
                <w:rFonts w:hint="eastAsia" w:hAnsi="宋体" w:cs="仿宋_GB2312"/>
                <w:sz w:val="24"/>
              </w:rPr>
              <w:t>投标</w:t>
            </w:r>
            <w:r>
              <w:rPr>
                <w:rFonts w:hint="eastAsia" w:hAnsi="宋体" w:cs="仿宋_GB2312"/>
                <w:sz w:val="24"/>
                <w:lang w:eastAsia="zh-CN"/>
              </w:rPr>
              <w:t>质量等级</w:t>
            </w:r>
          </w:p>
        </w:tc>
        <w:tc>
          <w:tcPr>
            <w:tcW w:w="5900" w:type="dxa"/>
            <w:gridSpan w:val="3"/>
            <w:tcBorders>
              <w:top w:val="single" w:color="auto" w:sz="4" w:space="0"/>
              <w:left w:val="single" w:color="auto" w:sz="4" w:space="0"/>
              <w:bottom w:val="single" w:color="auto" w:sz="4" w:space="0"/>
              <w:right w:val="single" w:color="auto" w:sz="4" w:space="0"/>
            </w:tcBorders>
            <w:noWrap w:val="0"/>
            <w:vAlign w:val="top"/>
          </w:tcPr>
          <w:p>
            <w:pPr>
              <w:widowControl/>
              <w:jc w:val="left"/>
              <w:rPr>
                <w:rFonts w:hAnsi="宋体" w:cs="仿宋_GB2312"/>
                <w:sz w:val="24"/>
              </w:rPr>
            </w:pPr>
          </w:p>
          <w:p>
            <w:pPr>
              <w:widowControl/>
              <w:jc w:val="left"/>
              <w:rPr>
                <w:rFonts w:hAnsi="宋体" w:cs="仿宋_GB2312"/>
                <w:sz w:val="24"/>
              </w:rPr>
            </w:pPr>
          </w:p>
        </w:tc>
      </w:tr>
      <w:tr>
        <w:tblPrEx>
          <w:tblLayout w:type="fixed"/>
          <w:tblCellMar>
            <w:top w:w="0" w:type="dxa"/>
            <w:left w:w="108" w:type="dxa"/>
            <w:bottom w:w="0" w:type="dxa"/>
            <w:right w:w="108" w:type="dxa"/>
          </w:tblCellMar>
        </w:tblPrEx>
        <w:trPr>
          <w:trHeight w:val="639" w:hRule="atLeast"/>
        </w:trPr>
        <w:tc>
          <w:tcPr>
            <w:tcW w:w="298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hAnsi="宋体" w:eastAsia="宋体" w:cs="仿宋_GB2312"/>
                <w:sz w:val="24"/>
                <w:lang w:eastAsia="zh-CN"/>
              </w:rPr>
            </w:pPr>
            <w:r>
              <w:rPr>
                <w:rFonts w:hint="eastAsia" w:hAnsi="宋体" w:cs="仿宋_GB2312"/>
                <w:sz w:val="24"/>
                <w:lang w:eastAsia="zh-CN"/>
              </w:rPr>
              <w:t>服务期限</w:t>
            </w:r>
          </w:p>
        </w:tc>
        <w:tc>
          <w:tcPr>
            <w:tcW w:w="5900" w:type="dxa"/>
            <w:gridSpan w:val="3"/>
            <w:tcBorders>
              <w:top w:val="single" w:color="auto" w:sz="4" w:space="0"/>
              <w:left w:val="single" w:color="auto" w:sz="4" w:space="0"/>
              <w:bottom w:val="single" w:color="auto" w:sz="4" w:space="0"/>
              <w:right w:val="single" w:color="auto" w:sz="4" w:space="0"/>
            </w:tcBorders>
            <w:noWrap w:val="0"/>
            <w:vAlign w:val="top"/>
          </w:tcPr>
          <w:p>
            <w:pPr>
              <w:widowControl/>
              <w:jc w:val="center"/>
              <w:rPr>
                <w:rFonts w:hAnsi="宋体" w:cs="仿宋_GB2312"/>
                <w:sz w:val="24"/>
              </w:rPr>
            </w:pPr>
            <w:r>
              <w:rPr>
                <w:rFonts w:hint="eastAsia" w:hAnsi="宋体" w:cs="仿宋_GB2312"/>
                <w:sz w:val="24"/>
              </w:rPr>
              <w:t>日历天</w:t>
            </w:r>
          </w:p>
          <w:p>
            <w:pPr>
              <w:widowControl/>
              <w:jc w:val="left"/>
              <w:rPr>
                <w:rFonts w:hint="eastAsia" w:hAnsi="宋体" w:eastAsia="宋体" w:cs="仿宋_GB2312"/>
                <w:sz w:val="24"/>
                <w:lang w:eastAsia="zh-CN"/>
              </w:rPr>
            </w:pPr>
          </w:p>
        </w:tc>
      </w:tr>
      <w:tr>
        <w:tblPrEx>
          <w:tblLayout w:type="fixed"/>
          <w:tblCellMar>
            <w:top w:w="0" w:type="dxa"/>
            <w:left w:w="108" w:type="dxa"/>
            <w:bottom w:w="0" w:type="dxa"/>
            <w:right w:w="108" w:type="dxa"/>
          </w:tblCellMar>
        </w:tblPrEx>
        <w:trPr>
          <w:trHeight w:val="639" w:hRule="atLeast"/>
        </w:trPr>
        <w:tc>
          <w:tcPr>
            <w:tcW w:w="298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hAnsi="宋体" w:eastAsia="宋体" w:cs="仿宋_GB2312"/>
                <w:sz w:val="24"/>
                <w:lang w:eastAsia="zh-CN"/>
              </w:rPr>
            </w:pPr>
            <w:r>
              <w:rPr>
                <w:rFonts w:hint="eastAsia" w:hAnsi="宋体" w:cs="仿宋_GB2312"/>
                <w:sz w:val="24"/>
                <w:lang w:eastAsia="zh-CN"/>
              </w:rPr>
              <w:t>投标有效期</w:t>
            </w:r>
          </w:p>
        </w:tc>
        <w:tc>
          <w:tcPr>
            <w:tcW w:w="5900" w:type="dxa"/>
            <w:gridSpan w:val="3"/>
            <w:tcBorders>
              <w:top w:val="single" w:color="auto" w:sz="4" w:space="0"/>
              <w:left w:val="single" w:color="auto" w:sz="4" w:space="0"/>
              <w:bottom w:val="single" w:color="auto" w:sz="4" w:space="0"/>
              <w:right w:val="single" w:color="auto" w:sz="4" w:space="0"/>
            </w:tcBorders>
            <w:noWrap w:val="0"/>
            <w:vAlign w:val="top"/>
          </w:tcPr>
          <w:p>
            <w:pPr>
              <w:widowControl/>
              <w:jc w:val="left"/>
              <w:rPr>
                <w:rFonts w:hAnsi="宋体" w:cs="仿宋_GB2312"/>
                <w:sz w:val="24"/>
              </w:rPr>
            </w:pPr>
          </w:p>
        </w:tc>
      </w:tr>
      <w:tr>
        <w:tblPrEx>
          <w:tblLayout w:type="fixed"/>
          <w:tblCellMar>
            <w:top w:w="0" w:type="dxa"/>
            <w:left w:w="108" w:type="dxa"/>
            <w:bottom w:w="0" w:type="dxa"/>
            <w:right w:w="108" w:type="dxa"/>
          </w:tblCellMar>
        </w:tblPrEx>
        <w:trPr>
          <w:trHeight w:val="1074" w:hRule="atLeast"/>
        </w:trPr>
        <w:tc>
          <w:tcPr>
            <w:tcW w:w="8888" w:type="dxa"/>
            <w:gridSpan w:val="4"/>
            <w:tcBorders>
              <w:top w:val="single" w:color="auto" w:sz="4" w:space="0"/>
              <w:left w:val="single" w:color="auto" w:sz="4" w:space="0"/>
              <w:bottom w:val="single" w:color="auto" w:sz="4" w:space="0"/>
              <w:right w:val="single" w:color="auto" w:sz="4" w:space="0"/>
            </w:tcBorders>
            <w:noWrap w:val="0"/>
            <w:vAlign w:val="center"/>
          </w:tcPr>
          <w:p>
            <w:pPr>
              <w:rPr>
                <w:rFonts w:hAnsi="宋体" w:cs="仿宋_GB2312"/>
                <w:sz w:val="24"/>
              </w:rPr>
            </w:pPr>
            <w:r>
              <w:rPr>
                <w:rFonts w:hint="eastAsia" w:hAnsi="宋体" w:cs="仿宋_GB2312"/>
                <w:sz w:val="24"/>
              </w:rPr>
              <w:t>优惠与服务承诺:</w:t>
            </w:r>
          </w:p>
          <w:p>
            <w:pPr>
              <w:rPr>
                <w:rFonts w:hint="eastAsia" w:hAnsi="宋体" w:cs="仿宋_GB2312"/>
                <w:sz w:val="24"/>
              </w:rPr>
            </w:pPr>
          </w:p>
          <w:p>
            <w:pPr>
              <w:pStyle w:val="2"/>
              <w:ind w:firstLine="0" w:firstLineChars="0"/>
              <w:rPr>
                <w:rFonts w:hint="eastAsia"/>
              </w:rPr>
            </w:pPr>
          </w:p>
          <w:p>
            <w:pPr>
              <w:pStyle w:val="2"/>
              <w:ind w:firstLine="0" w:firstLineChars="0"/>
              <w:rPr>
                <w:rFonts w:hint="eastAsia"/>
              </w:rPr>
            </w:pPr>
          </w:p>
          <w:p>
            <w:pPr>
              <w:pStyle w:val="2"/>
              <w:ind w:firstLine="0" w:firstLineChars="0"/>
            </w:pPr>
          </w:p>
        </w:tc>
      </w:tr>
    </w:tbl>
    <w:p>
      <w:pPr>
        <w:spacing w:line="440" w:lineRule="exact"/>
        <w:ind w:firstLine="2520" w:firstLineChars="1200"/>
        <w:jc w:val="left"/>
        <w:rPr>
          <w:rFonts w:ascii="Times New Roman" w:hAnsi="Times New Roman"/>
          <w:color w:val="auto"/>
          <w:szCs w:val="21"/>
        </w:rPr>
      </w:pPr>
    </w:p>
    <w:p>
      <w:pPr>
        <w:spacing w:line="440" w:lineRule="exact"/>
        <w:ind w:firstLine="2520" w:firstLineChars="1200"/>
        <w:jc w:val="left"/>
        <w:rPr>
          <w:rFonts w:ascii="Times New Roman" w:hAnsi="Times New Roman"/>
          <w:color w:val="auto"/>
          <w:szCs w:val="21"/>
        </w:rPr>
      </w:pPr>
      <w:r>
        <w:rPr>
          <w:rFonts w:ascii="Times New Roman" w:hAnsi="Times New Roman"/>
          <w:color w:val="auto"/>
          <w:szCs w:val="21"/>
        </w:rPr>
        <w:t xml:space="preserve">投 标 </w:t>
      </w:r>
      <w:r>
        <w:rPr>
          <w:rFonts w:hint="eastAsia" w:ascii="Times New Roman" w:hAnsi="Times New Roman"/>
          <w:color w:val="auto"/>
          <w:szCs w:val="21"/>
          <w:lang w:eastAsia="zh-CN"/>
        </w:rPr>
        <w:t>单位</w:t>
      </w:r>
      <w:r>
        <w:rPr>
          <w:rFonts w:ascii="Times New Roman" w:hAnsi="Times New Roman"/>
          <w:color w:val="auto"/>
          <w:szCs w:val="21"/>
        </w:rPr>
        <w:t>（盖章）：</w:t>
      </w:r>
      <w:r>
        <w:rPr>
          <w:rFonts w:ascii="Times New Roman" w:hAnsi="Times New Roman"/>
          <w:color w:val="auto"/>
          <w:szCs w:val="21"/>
          <w:u w:val="single"/>
        </w:rPr>
        <w:t xml:space="preserve">                                </w:t>
      </w:r>
      <w:r>
        <w:rPr>
          <w:rFonts w:ascii="Times New Roman" w:hAnsi="Times New Roman"/>
          <w:color w:val="auto"/>
          <w:szCs w:val="21"/>
          <w:u w:val="single"/>
        </w:rPr>
        <w:tab/>
      </w:r>
    </w:p>
    <w:p>
      <w:pPr>
        <w:spacing w:line="440" w:lineRule="exact"/>
        <w:jc w:val="left"/>
        <w:rPr>
          <w:rFonts w:ascii="Times New Roman" w:hAnsi="Times New Roman"/>
          <w:color w:val="auto"/>
          <w:szCs w:val="21"/>
        </w:rPr>
      </w:pPr>
      <w:r>
        <w:rPr>
          <w:rFonts w:ascii="Times New Roman" w:hAnsi="Times New Roman"/>
          <w:color w:val="auto"/>
        </w:rPr>
        <w:t xml:space="preserve">                        法定代表人</w:t>
      </w:r>
      <w:r>
        <w:rPr>
          <w:rFonts w:ascii="Times New Roman" w:hAnsi="Times New Roman"/>
          <w:color w:val="auto"/>
          <w:szCs w:val="21"/>
        </w:rPr>
        <w:t>或委托代理人（签字）：</w:t>
      </w:r>
      <w:r>
        <w:rPr>
          <w:rFonts w:ascii="Times New Roman" w:hAnsi="Times New Roman"/>
          <w:color w:val="auto"/>
          <w:szCs w:val="21"/>
          <w:u w:val="single"/>
        </w:rPr>
        <w:t xml:space="preserve">       </w:t>
      </w:r>
      <w:r>
        <w:rPr>
          <w:rFonts w:ascii="Times New Roman" w:hAnsi="Times New Roman"/>
          <w:color w:val="auto"/>
          <w:szCs w:val="21"/>
          <w:u w:val="single"/>
        </w:rPr>
        <w:tab/>
      </w:r>
    </w:p>
    <w:p>
      <w:pPr>
        <w:spacing w:line="440" w:lineRule="exact"/>
        <w:jc w:val="center"/>
        <w:rPr>
          <w:rFonts w:ascii="Times New Roman" w:hAnsi="Times New Roman"/>
          <w:color w:val="auto"/>
          <w:szCs w:val="21"/>
        </w:rPr>
      </w:pPr>
      <w:r>
        <w:rPr>
          <w:rFonts w:ascii="Times New Roman" w:hAnsi="Times New Roman"/>
          <w:color w:val="auto"/>
          <w:szCs w:val="21"/>
        </w:rPr>
        <w:t>年</w:t>
      </w:r>
      <w:r>
        <w:rPr>
          <w:rFonts w:ascii="Times New Roman" w:hAnsi="Times New Roman"/>
          <w:color w:val="auto"/>
          <w:u w:val="single"/>
        </w:rPr>
        <w:t xml:space="preserve">      </w:t>
      </w:r>
      <w:r>
        <w:rPr>
          <w:rFonts w:ascii="Times New Roman" w:hAnsi="Times New Roman"/>
          <w:color w:val="auto"/>
          <w:szCs w:val="21"/>
        </w:rPr>
        <w:t>月</w:t>
      </w:r>
      <w:r>
        <w:rPr>
          <w:rFonts w:ascii="Times New Roman" w:hAnsi="Times New Roman"/>
          <w:color w:val="auto"/>
          <w:u w:val="single"/>
        </w:rPr>
        <w:t xml:space="preserve">      </w:t>
      </w:r>
      <w:r>
        <w:rPr>
          <w:rFonts w:ascii="Times New Roman" w:hAnsi="Times New Roman"/>
          <w:color w:val="auto"/>
          <w:szCs w:val="21"/>
        </w:rPr>
        <w:t>日</w:t>
      </w:r>
    </w:p>
    <w:p>
      <w:pPr>
        <w:spacing w:line="440" w:lineRule="exact"/>
        <w:rPr>
          <w:rFonts w:ascii="Times New Roman" w:hAnsi="Times New Roman"/>
          <w:color w:val="auto"/>
          <w:szCs w:val="21"/>
        </w:rPr>
      </w:pPr>
    </w:p>
    <w:p>
      <w:pPr>
        <w:spacing w:line="440" w:lineRule="exact"/>
        <w:rPr>
          <w:rFonts w:ascii="Times New Roman" w:hAnsi="Times New Roman"/>
          <w:color w:val="auto"/>
          <w:sz w:val="20"/>
        </w:rPr>
      </w:pPr>
    </w:p>
    <w:p>
      <w:pPr>
        <w:spacing w:line="440" w:lineRule="exact"/>
        <w:ind w:firstLine="420" w:firstLineChars="200"/>
        <w:rPr>
          <w:rFonts w:ascii="Times New Roman" w:hAnsi="Times New Roman"/>
          <w:color w:val="auto"/>
          <w:szCs w:val="21"/>
        </w:rPr>
      </w:pPr>
      <w:r>
        <w:rPr>
          <w:rFonts w:ascii="Times New Roman" w:hAnsi="Times New Roman"/>
          <w:color w:val="auto"/>
          <w:szCs w:val="21"/>
        </w:rPr>
        <w:br w:type="page"/>
      </w:r>
    </w:p>
    <w:bookmarkEnd w:id="696"/>
    <w:bookmarkEnd w:id="697"/>
    <w:bookmarkEnd w:id="698"/>
    <w:bookmarkEnd w:id="699"/>
    <w:bookmarkEnd w:id="700"/>
    <w:bookmarkEnd w:id="701"/>
    <w:bookmarkEnd w:id="702"/>
    <w:bookmarkEnd w:id="703"/>
    <w:bookmarkEnd w:id="704"/>
    <w:bookmarkEnd w:id="705"/>
    <w:bookmarkEnd w:id="706"/>
    <w:p>
      <w:pPr>
        <w:pStyle w:val="5"/>
        <w:jc w:val="center"/>
        <w:rPr>
          <w:rFonts w:ascii="Times New Roman" w:hAnsi="Times New Roman"/>
          <w:color w:val="auto"/>
        </w:rPr>
      </w:pPr>
      <w:bookmarkStart w:id="708" w:name="_Toc492300943"/>
      <w:r>
        <w:rPr>
          <w:rFonts w:hint="eastAsia" w:ascii="Times New Roman" w:hAnsi="Times New Roman"/>
          <w:color w:val="auto"/>
          <w:lang w:eastAsia="zh-CN"/>
        </w:rPr>
        <w:t>三、</w:t>
      </w:r>
      <w:r>
        <w:rPr>
          <w:rFonts w:ascii="Times New Roman" w:hAnsi="Times New Roman"/>
          <w:color w:val="auto"/>
        </w:rPr>
        <w:t>法定代表人身份证明</w:t>
      </w:r>
      <w:bookmarkEnd w:id="708"/>
      <w:r>
        <w:rPr>
          <w:rFonts w:hint="eastAsia" w:ascii="Times New Roman" w:hAnsi="Times New Roman"/>
          <w:color w:val="auto"/>
          <w:lang w:val="en-US" w:eastAsia="zh-CN"/>
        </w:rPr>
        <w:t>及</w:t>
      </w:r>
      <w:r>
        <w:rPr>
          <w:rFonts w:hint="eastAsia" w:ascii="Times New Roman" w:hAnsi="Times New Roman"/>
          <w:color w:val="auto"/>
        </w:rPr>
        <w:t>授权委托书</w:t>
      </w:r>
    </w:p>
    <w:p>
      <w:pPr>
        <w:pStyle w:val="5"/>
        <w:tabs>
          <w:tab w:val="left" w:pos="2362"/>
        </w:tabs>
        <w:jc w:val="left"/>
        <w:rPr>
          <w:rFonts w:hint="eastAsia" w:ascii="Times New Roman" w:hAnsi="Times New Roman" w:eastAsia="黑体"/>
          <w:color w:val="auto"/>
          <w:lang w:val="en-US" w:eastAsia="zh-CN"/>
        </w:rPr>
      </w:pPr>
      <w:r>
        <w:rPr>
          <w:rFonts w:hint="eastAsia" w:ascii="Times New Roman" w:hAnsi="Times New Roman"/>
          <w:color w:val="auto"/>
          <w:lang w:val="en-US" w:eastAsia="zh-CN"/>
        </w:rPr>
        <w:tab/>
      </w:r>
      <w:r>
        <w:rPr>
          <w:rFonts w:hint="eastAsia" w:ascii="Times New Roman" w:hAnsi="Times New Roman"/>
          <w:color w:val="auto"/>
          <w:lang w:val="en-US" w:eastAsia="zh-CN"/>
        </w:rPr>
        <w:t>（一）</w:t>
      </w:r>
      <w:r>
        <w:rPr>
          <w:rFonts w:ascii="Times New Roman" w:hAnsi="Times New Roman"/>
          <w:color w:val="auto"/>
        </w:rPr>
        <w:t>法定代表人身份证明</w:t>
      </w:r>
    </w:p>
    <w:p>
      <w:pPr>
        <w:spacing w:line="440" w:lineRule="exact"/>
        <w:rPr>
          <w:rFonts w:ascii="Times New Roman" w:hAnsi="Times New Roman"/>
          <w:color w:val="auto"/>
          <w:sz w:val="20"/>
        </w:rPr>
      </w:pPr>
    </w:p>
    <w:p>
      <w:pPr>
        <w:spacing w:line="440" w:lineRule="exact"/>
        <w:rPr>
          <w:rFonts w:ascii="Times New Roman" w:hAnsi="Times New Roman"/>
          <w:color w:val="auto"/>
        </w:rPr>
      </w:pPr>
    </w:p>
    <w:p>
      <w:pPr>
        <w:spacing w:line="440" w:lineRule="exact"/>
        <w:rPr>
          <w:rFonts w:ascii="Times New Roman" w:hAnsi="Times New Roman"/>
          <w:color w:val="auto"/>
        </w:rPr>
      </w:pPr>
      <w:r>
        <w:rPr>
          <w:rFonts w:ascii="Times New Roman" w:hAnsi="Times New Roman"/>
          <w:color w:val="auto"/>
        </w:rPr>
        <w:t>投标人名称：</w:t>
      </w:r>
      <w:r>
        <w:rPr>
          <w:rFonts w:ascii="Times New Roman" w:hAnsi="Times New Roman"/>
          <w:color w:val="auto"/>
          <w:u w:val="single"/>
        </w:rPr>
        <w:t xml:space="preserve">                        </w:t>
      </w:r>
    </w:p>
    <w:p>
      <w:pPr>
        <w:spacing w:line="440" w:lineRule="exact"/>
        <w:rPr>
          <w:rFonts w:ascii="Times New Roman" w:hAnsi="Times New Roman"/>
          <w:color w:val="auto"/>
        </w:rPr>
      </w:pPr>
      <w:r>
        <w:rPr>
          <w:rFonts w:ascii="Times New Roman" w:hAnsi="Times New Roman"/>
          <w:color w:val="auto"/>
        </w:rPr>
        <w:t>姓名：</w:t>
      </w:r>
      <w:r>
        <w:rPr>
          <w:rFonts w:ascii="Times New Roman" w:hAnsi="Times New Roman"/>
          <w:color w:val="auto"/>
          <w:u w:val="single"/>
        </w:rPr>
        <w:t xml:space="preserve">                </w:t>
      </w:r>
      <w:r>
        <w:rPr>
          <w:rFonts w:ascii="Times New Roman" w:hAnsi="Times New Roman"/>
          <w:color w:val="auto"/>
        </w:rPr>
        <w:t>性别：</w:t>
      </w:r>
      <w:bookmarkStart w:id="709" w:name="_Toc27897"/>
      <w:bookmarkStart w:id="710" w:name="_Toc369531698"/>
      <w:bookmarkStart w:id="711" w:name="_Toc352691662"/>
      <w:r>
        <w:rPr>
          <w:rFonts w:ascii="Times New Roman" w:hAnsi="Times New Roman"/>
          <w:color w:val="auto"/>
          <w:u w:val="single"/>
        </w:rPr>
        <w:t xml:space="preserve">        </w:t>
      </w:r>
      <w:r>
        <w:rPr>
          <w:rFonts w:ascii="Times New Roman" w:hAnsi="Times New Roman"/>
          <w:color w:val="auto"/>
        </w:rPr>
        <w:t>年</w:t>
      </w:r>
      <w:bookmarkEnd w:id="709"/>
      <w:bookmarkEnd w:id="710"/>
      <w:bookmarkEnd w:id="711"/>
      <w:r>
        <w:rPr>
          <w:rFonts w:ascii="Times New Roman" w:hAnsi="Times New Roman"/>
          <w:color w:val="auto"/>
        </w:rPr>
        <w:t>龄</w:t>
      </w:r>
      <w:bookmarkStart w:id="712" w:name="_Toc247514248"/>
      <w:bookmarkStart w:id="713" w:name="_Toc384308377"/>
      <w:bookmarkStart w:id="714" w:name="_Toc247527829"/>
      <w:bookmarkStart w:id="715" w:name="_Toc144974858"/>
      <w:bookmarkStart w:id="716" w:name="_Toc152042578"/>
      <w:bookmarkStart w:id="717" w:name="_Toc15573"/>
      <w:bookmarkStart w:id="718" w:name="_Toc300835211"/>
      <w:bookmarkStart w:id="719" w:name="_Toc152045789"/>
      <w:bookmarkStart w:id="720" w:name="_Toc369531699"/>
      <w:bookmarkStart w:id="721" w:name="_Toc361508754"/>
      <w:bookmarkStart w:id="722" w:name="_Toc352691663"/>
      <w:r>
        <w:rPr>
          <w:rFonts w:ascii="Times New Roman" w:hAnsi="Times New Roman"/>
          <w:color w:val="auto"/>
        </w:rPr>
        <w:t>：</w:t>
      </w:r>
      <w:bookmarkEnd w:id="712"/>
      <w:bookmarkEnd w:id="713"/>
      <w:bookmarkEnd w:id="714"/>
      <w:bookmarkEnd w:id="715"/>
      <w:bookmarkEnd w:id="716"/>
      <w:bookmarkEnd w:id="717"/>
      <w:bookmarkEnd w:id="718"/>
      <w:bookmarkEnd w:id="719"/>
      <w:bookmarkEnd w:id="720"/>
      <w:bookmarkEnd w:id="721"/>
      <w:bookmarkEnd w:id="722"/>
      <w:r>
        <w:rPr>
          <w:rFonts w:ascii="Times New Roman" w:hAnsi="Times New Roman"/>
          <w:color w:val="auto"/>
          <w:u w:val="single"/>
        </w:rPr>
        <w:t xml:space="preserve">        </w:t>
      </w:r>
      <w:r>
        <w:rPr>
          <w:rFonts w:ascii="Times New Roman" w:hAnsi="Times New Roman"/>
          <w:color w:val="auto"/>
        </w:rPr>
        <w:t>职务：</w:t>
      </w:r>
      <w:r>
        <w:rPr>
          <w:rFonts w:ascii="Times New Roman" w:hAnsi="Times New Roman"/>
          <w:color w:val="auto"/>
          <w:u w:val="single"/>
        </w:rPr>
        <w:t xml:space="preserve">        </w:t>
      </w:r>
    </w:p>
    <w:p>
      <w:pPr>
        <w:spacing w:line="440" w:lineRule="exact"/>
        <w:rPr>
          <w:rFonts w:ascii="Times New Roman" w:hAnsi="Times New Roman"/>
          <w:color w:val="auto"/>
        </w:rPr>
      </w:pPr>
      <w:r>
        <w:rPr>
          <w:rFonts w:ascii="Times New Roman" w:hAnsi="Times New Roman"/>
          <w:color w:val="auto"/>
        </w:rPr>
        <w:t>系</w:t>
      </w:r>
      <w:r>
        <w:rPr>
          <w:rFonts w:ascii="Times New Roman" w:hAnsi="Times New Roman"/>
          <w:color w:val="auto"/>
          <w:u w:val="single"/>
        </w:rPr>
        <w:t xml:space="preserve">                        </w:t>
      </w:r>
      <w:r>
        <w:rPr>
          <w:rFonts w:ascii="Times New Roman" w:hAnsi="Times New Roman"/>
          <w:color w:val="auto"/>
        </w:rPr>
        <w:t>（投标人名称）的法定代表人。</w:t>
      </w:r>
    </w:p>
    <w:p>
      <w:pPr>
        <w:spacing w:line="440" w:lineRule="exact"/>
        <w:ind w:firstLine="420" w:firstLineChars="200"/>
        <w:rPr>
          <w:rFonts w:ascii="Times New Roman" w:hAnsi="Times New Roman"/>
          <w:color w:val="auto"/>
        </w:rPr>
      </w:pPr>
      <w:r>
        <w:rPr>
          <w:rFonts w:ascii="Times New Roman" w:hAnsi="Times New Roman"/>
          <w:color w:val="auto"/>
        </w:rPr>
        <w:t>特此证明。</w:t>
      </w:r>
    </w:p>
    <w:p>
      <w:pPr>
        <w:spacing w:line="440" w:lineRule="exact"/>
        <w:rPr>
          <w:rFonts w:ascii="Times New Roman" w:hAnsi="Times New Roman"/>
          <w:color w:val="auto"/>
        </w:rPr>
      </w:pPr>
    </w:p>
    <w:p>
      <w:pPr>
        <w:spacing w:line="440" w:lineRule="exact"/>
        <w:rPr>
          <w:rFonts w:ascii="Times New Roman" w:hAnsi="Times New Roman"/>
          <w:color w:val="auto"/>
        </w:rPr>
      </w:pPr>
      <w:r>
        <w:rPr>
          <w:rFonts w:ascii="Times New Roman" w:hAnsi="Times New Roman"/>
          <w:color w:val="auto"/>
        </w:rPr>
        <w:t>附：法定代表人身份证复印件。</w:t>
      </w:r>
    </w:p>
    <w:p>
      <w:pPr>
        <w:spacing w:line="440" w:lineRule="exact"/>
        <w:rPr>
          <w:rFonts w:ascii="Times New Roman" w:hAnsi="Times New Roman"/>
          <w:color w:val="auto"/>
        </w:rPr>
      </w:pPr>
    </w:p>
    <w:p>
      <w:pPr>
        <w:spacing w:line="440" w:lineRule="exact"/>
        <w:rPr>
          <w:rFonts w:ascii="Times New Roman" w:hAnsi="Times New Roman"/>
          <w:color w:val="auto"/>
        </w:rPr>
      </w:pPr>
      <w:r>
        <w:rPr>
          <w:rFonts w:ascii="Times New Roman" w:hAnsi="Times New Roman"/>
          <w:color w:val="auto"/>
        </w:rPr>
        <w:t>注：本身份证明需由投标人加盖单位公章。</w:t>
      </w:r>
    </w:p>
    <w:p>
      <w:pPr>
        <w:spacing w:line="440" w:lineRule="exact"/>
        <w:rPr>
          <w:rFonts w:ascii="Times New Roman" w:hAnsi="Times New Roman"/>
          <w:color w:val="auto"/>
        </w:rPr>
      </w:pPr>
    </w:p>
    <w:p>
      <w:pPr>
        <w:spacing w:line="440" w:lineRule="exact"/>
        <w:rPr>
          <w:rFonts w:ascii="Times New Roman" w:hAnsi="Times New Roman"/>
          <w:color w:val="auto"/>
        </w:rPr>
      </w:pPr>
    </w:p>
    <w:p>
      <w:pPr>
        <w:spacing w:line="440" w:lineRule="exact"/>
        <w:jc w:val="center"/>
        <w:rPr>
          <w:rFonts w:ascii="Times New Roman" w:hAnsi="Times New Roman"/>
          <w:color w:val="auto"/>
        </w:rPr>
      </w:pPr>
      <w:r>
        <w:rPr>
          <w:rFonts w:ascii="Times New Roman" w:hAnsi="Times New Roman"/>
          <w:color w:val="auto"/>
        </w:rPr>
        <w:t xml:space="preserve">                              投标人：</w:t>
      </w:r>
      <w:r>
        <w:rPr>
          <w:rFonts w:ascii="Times New Roman" w:hAnsi="Times New Roman"/>
          <w:color w:val="auto"/>
          <w:szCs w:val="21"/>
          <w:u w:val="single"/>
        </w:rPr>
        <w:t xml:space="preserve">          </w:t>
      </w:r>
      <w:r>
        <w:rPr>
          <w:rFonts w:ascii="Times New Roman" w:hAnsi="Times New Roman"/>
          <w:color w:val="auto"/>
          <w:szCs w:val="21"/>
          <w:u w:val="single"/>
        </w:rPr>
        <w:tab/>
      </w:r>
      <w:r>
        <w:rPr>
          <w:rFonts w:ascii="Times New Roman" w:hAnsi="Times New Roman"/>
          <w:color w:val="auto"/>
        </w:rPr>
        <w:t>（</w:t>
      </w:r>
      <w:r>
        <w:rPr>
          <w:rFonts w:hint="eastAsia" w:ascii="Times New Roman" w:hAnsi="Times New Roman"/>
          <w:color w:val="auto"/>
        </w:rPr>
        <w:t>盖</w:t>
      </w:r>
      <w:r>
        <w:rPr>
          <w:rFonts w:ascii="Times New Roman" w:hAnsi="Times New Roman"/>
          <w:color w:val="auto"/>
        </w:rPr>
        <w:t>单位</w:t>
      </w:r>
      <w:r>
        <w:rPr>
          <w:rFonts w:hint="eastAsia" w:ascii="Times New Roman" w:hAnsi="Times New Roman"/>
          <w:color w:val="auto"/>
        </w:rPr>
        <w:t>章</w:t>
      </w:r>
      <w:r>
        <w:rPr>
          <w:rFonts w:ascii="Times New Roman" w:hAnsi="Times New Roman"/>
          <w:color w:val="auto"/>
        </w:rPr>
        <w:t>）</w:t>
      </w:r>
    </w:p>
    <w:p>
      <w:pPr>
        <w:spacing w:line="440" w:lineRule="exact"/>
        <w:rPr>
          <w:rFonts w:ascii="Times New Roman" w:hAnsi="Times New Roman"/>
          <w:color w:val="auto"/>
        </w:rPr>
      </w:pPr>
    </w:p>
    <w:p>
      <w:pPr>
        <w:spacing w:line="440" w:lineRule="exact"/>
        <w:ind w:firstLine="4620" w:firstLineChars="2200"/>
        <w:rPr>
          <w:rFonts w:ascii="Times New Roman" w:hAnsi="Times New Roman"/>
          <w:color w:val="auto"/>
        </w:rPr>
      </w:pPr>
      <w:r>
        <w:rPr>
          <w:rFonts w:ascii="Times New Roman" w:hAnsi="Times New Roman"/>
          <w:color w:val="auto"/>
          <w:u w:val="single"/>
        </w:rPr>
        <w:t xml:space="preserve">      </w:t>
      </w:r>
      <w:r>
        <w:rPr>
          <w:rFonts w:ascii="Times New Roman" w:hAnsi="Times New Roman"/>
          <w:color w:val="auto"/>
        </w:rPr>
        <w:t>年</w:t>
      </w:r>
      <w:r>
        <w:rPr>
          <w:rFonts w:ascii="Times New Roman" w:hAnsi="Times New Roman"/>
          <w:color w:val="auto"/>
          <w:u w:val="single"/>
        </w:rPr>
        <w:t xml:space="preserve">      </w:t>
      </w:r>
      <w:r>
        <w:rPr>
          <w:rFonts w:ascii="Times New Roman" w:hAnsi="Times New Roman"/>
          <w:color w:val="auto"/>
        </w:rPr>
        <w:t>月</w:t>
      </w:r>
      <w:r>
        <w:rPr>
          <w:rFonts w:ascii="Times New Roman" w:hAnsi="Times New Roman"/>
          <w:color w:val="auto"/>
          <w:u w:val="single"/>
        </w:rPr>
        <w:t xml:space="preserve">      </w:t>
      </w:r>
      <w:r>
        <w:rPr>
          <w:rFonts w:ascii="Times New Roman" w:hAnsi="Times New Roman"/>
          <w:color w:val="auto"/>
        </w:rPr>
        <w:t>日</w:t>
      </w:r>
    </w:p>
    <w:p>
      <w:pPr>
        <w:spacing w:line="440" w:lineRule="exact"/>
        <w:rPr>
          <w:rFonts w:ascii="Times New Roman" w:hAnsi="Times New Roman" w:eastAsia="黑体"/>
          <w:color w:val="auto"/>
          <w:sz w:val="20"/>
        </w:rPr>
      </w:pPr>
    </w:p>
    <w:p>
      <w:pPr>
        <w:spacing w:line="440" w:lineRule="exact"/>
        <w:jc w:val="center"/>
        <w:rPr>
          <w:rFonts w:ascii="Times New Roman" w:hAnsi="Times New Roman" w:eastAsia="黑体"/>
          <w:color w:val="auto"/>
          <w:sz w:val="20"/>
        </w:rPr>
      </w:pPr>
      <w:r>
        <w:rPr>
          <w:rFonts w:ascii="Times New Roman" w:hAnsi="Times New Roman" w:eastAsia="黑体"/>
          <w:color w:val="auto"/>
          <w:sz w:val="20"/>
        </w:rPr>
        <w:br w:type="page"/>
      </w:r>
    </w:p>
    <w:p>
      <w:pPr>
        <w:pStyle w:val="5"/>
        <w:jc w:val="center"/>
        <w:rPr>
          <w:rFonts w:ascii="Times New Roman" w:hAnsi="Times New Roman"/>
          <w:color w:val="auto"/>
        </w:rPr>
      </w:pPr>
      <w:bookmarkStart w:id="723" w:name="_Toc492300944"/>
      <w:r>
        <w:rPr>
          <w:rFonts w:hint="eastAsia" w:ascii="Times New Roman" w:hAnsi="Times New Roman"/>
          <w:color w:val="auto"/>
          <w:lang w:eastAsia="zh-CN"/>
        </w:rPr>
        <w:t>（</w:t>
      </w:r>
      <w:r>
        <w:rPr>
          <w:rFonts w:hint="eastAsia" w:ascii="Times New Roman" w:hAnsi="Times New Roman"/>
          <w:color w:val="auto"/>
          <w:lang w:val="en-US" w:eastAsia="zh-CN"/>
        </w:rPr>
        <w:t>二</w:t>
      </w:r>
      <w:r>
        <w:rPr>
          <w:rFonts w:hint="eastAsia" w:ascii="Times New Roman" w:hAnsi="Times New Roman"/>
          <w:color w:val="auto"/>
          <w:lang w:eastAsia="zh-CN"/>
        </w:rPr>
        <w:t>）</w:t>
      </w:r>
      <w:r>
        <w:rPr>
          <w:rFonts w:hint="eastAsia" w:ascii="Times New Roman" w:hAnsi="Times New Roman"/>
          <w:color w:val="auto"/>
        </w:rPr>
        <w:t>授权委托书</w:t>
      </w:r>
      <w:bookmarkEnd w:id="723"/>
    </w:p>
    <w:p>
      <w:pPr>
        <w:spacing w:line="440" w:lineRule="exact"/>
        <w:rPr>
          <w:rFonts w:ascii="Times New Roman" w:hAnsi="Times New Roman" w:eastAsia="黑体"/>
          <w:color w:val="auto"/>
        </w:rPr>
      </w:pPr>
    </w:p>
    <w:p>
      <w:pPr>
        <w:topLinePunct/>
        <w:spacing w:line="440" w:lineRule="exact"/>
        <w:ind w:firstLine="420" w:firstLineChars="200"/>
        <w:rPr>
          <w:rFonts w:ascii="Times New Roman" w:hAnsi="Times New Roman"/>
          <w:color w:val="auto"/>
        </w:rPr>
      </w:pPr>
      <w:r>
        <w:rPr>
          <w:rFonts w:ascii="Times New Roman" w:hAnsi="Times New Roman"/>
          <w:color w:val="auto"/>
        </w:rPr>
        <w:t>本人</w:t>
      </w:r>
      <w:r>
        <w:rPr>
          <w:rFonts w:ascii="Times New Roman" w:hAnsi="Times New Roman"/>
          <w:color w:val="auto"/>
          <w:u w:val="single"/>
        </w:rPr>
        <w:t xml:space="preserve">              </w:t>
      </w:r>
      <w:r>
        <w:rPr>
          <w:rFonts w:ascii="Times New Roman" w:hAnsi="Times New Roman"/>
          <w:color w:val="auto"/>
        </w:rPr>
        <w:t>（姓名）系</w:t>
      </w:r>
      <w:r>
        <w:rPr>
          <w:rFonts w:ascii="Times New Roman" w:hAnsi="Times New Roman"/>
          <w:color w:val="auto"/>
          <w:u w:val="single"/>
        </w:rPr>
        <w:t xml:space="preserve">                    </w:t>
      </w:r>
      <w:r>
        <w:rPr>
          <w:rFonts w:ascii="Times New Roman" w:hAnsi="Times New Roman"/>
          <w:color w:val="auto"/>
        </w:rPr>
        <w:t>（投标人名称）的法定代表人，现委托</w:t>
      </w:r>
      <w:r>
        <w:rPr>
          <w:rFonts w:ascii="Times New Roman" w:hAnsi="Times New Roman"/>
          <w:color w:val="auto"/>
          <w:u w:val="single"/>
        </w:rPr>
        <w:t xml:space="preserve">            </w:t>
      </w:r>
      <w:r>
        <w:rPr>
          <w:rFonts w:ascii="Times New Roman" w:hAnsi="Times New Roman"/>
          <w:color w:val="auto"/>
        </w:rPr>
        <w:t>（姓名）为我方代理人。代理人根据授权，以我方名义签署、澄清确认、递交、撤回、修改勘察招标项目投标文件、签订合同和处理有关事宜，其法律后果由我方承担。</w:t>
      </w:r>
    </w:p>
    <w:p>
      <w:pPr>
        <w:spacing w:line="440" w:lineRule="exact"/>
        <w:rPr>
          <w:rFonts w:ascii="Times New Roman" w:hAnsi="Times New Roman"/>
          <w:color w:val="auto"/>
        </w:rPr>
      </w:pPr>
      <w:r>
        <w:rPr>
          <w:rFonts w:ascii="Times New Roman" w:hAnsi="Times New Roman"/>
          <w:color w:val="auto"/>
        </w:rPr>
        <w:t>委托期限：</w:t>
      </w:r>
      <w:r>
        <w:rPr>
          <w:rFonts w:ascii="Times New Roman" w:hAnsi="Times New Roman"/>
          <w:color w:val="auto"/>
          <w:u w:val="single"/>
        </w:rPr>
        <w:t xml:space="preserve">                       </w:t>
      </w:r>
      <w:r>
        <w:rPr>
          <w:rFonts w:ascii="Times New Roman" w:hAnsi="Times New Roman"/>
          <w:color w:val="auto"/>
        </w:rPr>
        <w:t>。</w:t>
      </w:r>
    </w:p>
    <w:p>
      <w:pPr>
        <w:spacing w:line="440" w:lineRule="exact"/>
        <w:ind w:firstLine="420" w:firstLineChars="200"/>
        <w:rPr>
          <w:rFonts w:ascii="Times New Roman" w:hAnsi="Times New Roman"/>
          <w:color w:val="auto"/>
        </w:rPr>
      </w:pPr>
      <w:r>
        <w:rPr>
          <w:rFonts w:ascii="Times New Roman" w:hAnsi="Times New Roman"/>
          <w:color w:val="auto"/>
        </w:rPr>
        <w:t>代理人无转委托权。</w:t>
      </w:r>
    </w:p>
    <w:p>
      <w:pPr>
        <w:spacing w:line="440" w:lineRule="exact"/>
        <w:ind w:firstLine="420" w:firstLineChars="200"/>
        <w:rPr>
          <w:rFonts w:ascii="Times New Roman" w:hAnsi="Times New Roman"/>
          <w:color w:val="auto"/>
        </w:rPr>
      </w:pPr>
    </w:p>
    <w:p>
      <w:pPr>
        <w:spacing w:line="440" w:lineRule="exact"/>
        <w:rPr>
          <w:rFonts w:ascii="Times New Roman" w:hAnsi="Times New Roman"/>
          <w:color w:val="auto"/>
        </w:rPr>
      </w:pPr>
      <w:r>
        <w:rPr>
          <w:rFonts w:ascii="Times New Roman" w:hAnsi="Times New Roman"/>
          <w:color w:val="auto"/>
        </w:rPr>
        <w:t>附：法定代表人身份证复印件及委托代理人身份证复印件</w:t>
      </w:r>
    </w:p>
    <w:p>
      <w:pPr>
        <w:spacing w:line="440" w:lineRule="exact"/>
        <w:rPr>
          <w:rFonts w:ascii="Times New Roman" w:hAnsi="Times New Roman"/>
          <w:color w:val="auto"/>
        </w:rPr>
      </w:pPr>
    </w:p>
    <w:p>
      <w:pPr>
        <w:spacing w:line="440" w:lineRule="exact"/>
        <w:rPr>
          <w:rFonts w:ascii="Times New Roman" w:hAnsi="Times New Roman"/>
          <w:color w:val="auto"/>
        </w:rPr>
      </w:pPr>
      <w:r>
        <w:rPr>
          <w:rFonts w:ascii="Times New Roman" w:hAnsi="Times New Roman"/>
          <w:color w:val="auto"/>
        </w:rPr>
        <w:t>注：本授权委托书需由投标人加盖单位公章并由其法定代表人和委托代理人签字。</w:t>
      </w:r>
    </w:p>
    <w:p>
      <w:pPr>
        <w:spacing w:line="440" w:lineRule="exact"/>
        <w:rPr>
          <w:rFonts w:ascii="Times New Roman" w:hAnsi="Times New Roman"/>
          <w:color w:val="auto"/>
        </w:rPr>
      </w:pPr>
    </w:p>
    <w:p>
      <w:pPr>
        <w:spacing w:line="440" w:lineRule="exact"/>
        <w:ind w:firstLine="2692" w:firstLineChars="1282"/>
        <w:rPr>
          <w:rFonts w:ascii="Times New Roman" w:hAnsi="Times New Roman"/>
          <w:color w:val="auto"/>
        </w:rPr>
      </w:pPr>
      <w:r>
        <w:rPr>
          <w:rFonts w:ascii="Times New Roman" w:hAnsi="Times New Roman"/>
          <w:color w:val="auto"/>
        </w:rPr>
        <w:t>投  标  人：</w:t>
      </w:r>
      <w:r>
        <w:rPr>
          <w:rFonts w:ascii="Times New Roman" w:hAnsi="Times New Roman"/>
          <w:color w:val="auto"/>
          <w:szCs w:val="21"/>
          <w:u w:val="single"/>
        </w:rPr>
        <w:tab/>
      </w:r>
      <w:r>
        <w:rPr>
          <w:rFonts w:ascii="Times New Roman" w:hAnsi="Times New Roman"/>
          <w:color w:val="auto"/>
          <w:szCs w:val="21"/>
          <w:u w:val="single"/>
        </w:rPr>
        <w:tab/>
      </w:r>
      <w:r>
        <w:rPr>
          <w:rFonts w:ascii="Times New Roman" w:hAnsi="Times New Roman"/>
          <w:color w:val="auto"/>
          <w:szCs w:val="21"/>
          <w:u w:val="single"/>
        </w:rPr>
        <w:tab/>
      </w:r>
      <w:r>
        <w:rPr>
          <w:rFonts w:ascii="Times New Roman" w:hAnsi="Times New Roman"/>
          <w:color w:val="auto"/>
          <w:szCs w:val="21"/>
          <w:u w:val="single"/>
        </w:rPr>
        <w:t xml:space="preserve">                   </w:t>
      </w:r>
      <w:r>
        <w:rPr>
          <w:rFonts w:ascii="Times New Roman" w:hAnsi="Times New Roman"/>
          <w:color w:val="auto"/>
          <w:szCs w:val="21"/>
          <w:u w:val="single"/>
        </w:rPr>
        <w:tab/>
      </w:r>
      <w:r>
        <w:rPr>
          <w:rFonts w:ascii="Times New Roman" w:hAnsi="Times New Roman"/>
          <w:color w:val="auto"/>
        </w:rPr>
        <w:t>（</w:t>
      </w:r>
      <w:r>
        <w:rPr>
          <w:rFonts w:hint="eastAsia" w:ascii="Times New Roman" w:hAnsi="Times New Roman"/>
          <w:color w:val="auto"/>
        </w:rPr>
        <w:t>盖</w:t>
      </w:r>
      <w:r>
        <w:rPr>
          <w:rFonts w:ascii="Times New Roman" w:hAnsi="Times New Roman"/>
          <w:color w:val="auto"/>
        </w:rPr>
        <w:t>单位</w:t>
      </w:r>
      <w:r>
        <w:rPr>
          <w:rFonts w:hint="eastAsia" w:ascii="Times New Roman" w:hAnsi="Times New Roman"/>
          <w:color w:val="auto"/>
        </w:rPr>
        <w:t>章</w:t>
      </w:r>
      <w:r>
        <w:rPr>
          <w:rFonts w:ascii="Times New Roman" w:hAnsi="Times New Roman"/>
          <w:color w:val="auto"/>
        </w:rPr>
        <w:t>）</w:t>
      </w:r>
    </w:p>
    <w:p>
      <w:pPr>
        <w:spacing w:line="440" w:lineRule="exact"/>
        <w:ind w:firstLine="2692" w:firstLineChars="1282"/>
        <w:rPr>
          <w:rFonts w:ascii="Times New Roman" w:hAnsi="Times New Roman"/>
          <w:color w:val="auto"/>
        </w:rPr>
      </w:pPr>
    </w:p>
    <w:p>
      <w:pPr>
        <w:spacing w:line="440" w:lineRule="exact"/>
        <w:ind w:firstLine="2690" w:firstLineChars="1281"/>
        <w:jc w:val="left"/>
        <w:rPr>
          <w:rFonts w:ascii="Times New Roman" w:hAnsi="Times New Roman"/>
          <w:color w:val="auto"/>
        </w:rPr>
      </w:pPr>
      <w:r>
        <w:rPr>
          <w:rFonts w:ascii="Times New Roman" w:hAnsi="Times New Roman"/>
          <w:color w:val="auto"/>
        </w:rPr>
        <w:t>法定代表人：</w:t>
      </w:r>
      <w:r>
        <w:rPr>
          <w:rFonts w:ascii="Times New Roman" w:hAnsi="Times New Roman"/>
          <w:color w:val="auto"/>
          <w:szCs w:val="21"/>
          <w:u w:val="single"/>
        </w:rPr>
        <w:tab/>
      </w:r>
      <w:r>
        <w:rPr>
          <w:rFonts w:ascii="Times New Roman" w:hAnsi="Times New Roman"/>
          <w:color w:val="auto"/>
          <w:szCs w:val="21"/>
          <w:u w:val="single"/>
        </w:rPr>
        <w:tab/>
      </w:r>
      <w:r>
        <w:rPr>
          <w:rFonts w:ascii="Times New Roman" w:hAnsi="Times New Roman"/>
          <w:color w:val="auto"/>
          <w:szCs w:val="21"/>
          <w:u w:val="single"/>
        </w:rPr>
        <w:tab/>
      </w:r>
      <w:r>
        <w:rPr>
          <w:rFonts w:ascii="Times New Roman" w:hAnsi="Times New Roman"/>
          <w:color w:val="auto"/>
          <w:szCs w:val="21"/>
          <w:u w:val="single"/>
        </w:rPr>
        <w:t xml:space="preserve">        </w:t>
      </w:r>
      <w:r>
        <w:rPr>
          <w:rFonts w:ascii="Times New Roman" w:hAnsi="Times New Roman"/>
          <w:color w:val="auto"/>
          <w:szCs w:val="21"/>
          <w:u w:val="single"/>
        </w:rPr>
        <w:tab/>
      </w:r>
      <w:r>
        <w:rPr>
          <w:rFonts w:ascii="Times New Roman" w:hAnsi="Times New Roman"/>
          <w:color w:val="auto"/>
        </w:rPr>
        <w:t>（签字）</w:t>
      </w:r>
    </w:p>
    <w:p>
      <w:pPr>
        <w:spacing w:line="440" w:lineRule="exact"/>
        <w:ind w:firstLine="2692" w:firstLineChars="1282"/>
        <w:rPr>
          <w:rFonts w:ascii="Times New Roman" w:hAnsi="Times New Roman"/>
          <w:color w:val="auto"/>
        </w:rPr>
      </w:pPr>
    </w:p>
    <w:p>
      <w:pPr>
        <w:spacing w:line="440" w:lineRule="exact"/>
        <w:ind w:firstLine="2692" w:firstLineChars="1282"/>
        <w:rPr>
          <w:rFonts w:ascii="Times New Roman" w:hAnsi="Times New Roman"/>
          <w:color w:val="auto"/>
        </w:rPr>
      </w:pPr>
      <w:r>
        <w:rPr>
          <w:rFonts w:ascii="Times New Roman" w:hAnsi="Times New Roman"/>
          <w:color w:val="auto"/>
        </w:rPr>
        <w:t>身份证号码：</w:t>
      </w:r>
      <w:r>
        <w:rPr>
          <w:rFonts w:ascii="Times New Roman" w:hAnsi="Times New Roman"/>
          <w:color w:val="auto"/>
          <w:szCs w:val="21"/>
          <w:u w:val="single"/>
        </w:rPr>
        <w:tab/>
      </w:r>
      <w:r>
        <w:rPr>
          <w:rFonts w:ascii="Times New Roman" w:hAnsi="Times New Roman"/>
          <w:color w:val="auto"/>
          <w:szCs w:val="21"/>
          <w:u w:val="single"/>
        </w:rPr>
        <w:tab/>
      </w:r>
      <w:r>
        <w:rPr>
          <w:rFonts w:ascii="Times New Roman" w:hAnsi="Times New Roman"/>
          <w:color w:val="auto"/>
          <w:szCs w:val="21"/>
          <w:u w:val="single"/>
        </w:rPr>
        <w:tab/>
      </w:r>
      <w:r>
        <w:rPr>
          <w:rFonts w:ascii="Times New Roman" w:hAnsi="Times New Roman"/>
          <w:color w:val="auto"/>
          <w:szCs w:val="21"/>
          <w:u w:val="single"/>
        </w:rPr>
        <w:t xml:space="preserve">                            </w:t>
      </w:r>
      <w:r>
        <w:rPr>
          <w:rFonts w:ascii="Times New Roman" w:hAnsi="Times New Roman"/>
          <w:color w:val="auto"/>
          <w:szCs w:val="21"/>
          <w:u w:val="single"/>
        </w:rPr>
        <w:tab/>
      </w:r>
    </w:p>
    <w:p>
      <w:pPr>
        <w:spacing w:line="440" w:lineRule="exact"/>
        <w:ind w:firstLine="2692" w:firstLineChars="1282"/>
        <w:rPr>
          <w:rFonts w:ascii="Times New Roman" w:hAnsi="Times New Roman"/>
          <w:color w:val="auto"/>
        </w:rPr>
      </w:pPr>
    </w:p>
    <w:p>
      <w:pPr>
        <w:spacing w:line="440" w:lineRule="exact"/>
        <w:ind w:firstLine="2692" w:firstLineChars="1282"/>
        <w:rPr>
          <w:rFonts w:ascii="Times New Roman" w:hAnsi="Times New Roman"/>
          <w:color w:val="auto"/>
        </w:rPr>
      </w:pPr>
      <w:r>
        <w:rPr>
          <w:rFonts w:ascii="Times New Roman" w:hAnsi="Times New Roman"/>
          <w:color w:val="auto"/>
        </w:rPr>
        <w:t>委托代理人：</w:t>
      </w:r>
      <w:r>
        <w:rPr>
          <w:rFonts w:ascii="Times New Roman" w:hAnsi="Times New Roman"/>
          <w:color w:val="auto"/>
          <w:szCs w:val="21"/>
          <w:u w:val="single"/>
        </w:rPr>
        <w:tab/>
      </w:r>
      <w:r>
        <w:rPr>
          <w:rFonts w:ascii="Times New Roman" w:hAnsi="Times New Roman"/>
          <w:color w:val="auto"/>
          <w:szCs w:val="21"/>
          <w:u w:val="single"/>
        </w:rPr>
        <w:tab/>
      </w:r>
      <w:r>
        <w:rPr>
          <w:rFonts w:ascii="Times New Roman" w:hAnsi="Times New Roman"/>
          <w:color w:val="auto"/>
          <w:szCs w:val="21"/>
          <w:u w:val="single"/>
        </w:rPr>
        <w:tab/>
      </w:r>
      <w:r>
        <w:rPr>
          <w:rFonts w:ascii="Times New Roman" w:hAnsi="Times New Roman"/>
          <w:color w:val="auto"/>
          <w:szCs w:val="21"/>
          <w:u w:val="single"/>
        </w:rPr>
        <w:t xml:space="preserve">                     </w:t>
      </w:r>
      <w:r>
        <w:rPr>
          <w:rFonts w:ascii="Times New Roman" w:hAnsi="Times New Roman"/>
          <w:color w:val="auto"/>
          <w:szCs w:val="21"/>
          <w:u w:val="single"/>
        </w:rPr>
        <w:tab/>
      </w:r>
      <w:r>
        <w:rPr>
          <w:rFonts w:ascii="Times New Roman" w:hAnsi="Times New Roman"/>
          <w:color w:val="auto"/>
        </w:rPr>
        <w:t>（签字）</w:t>
      </w:r>
    </w:p>
    <w:p>
      <w:pPr>
        <w:spacing w:line="440" w:lineRule="exact"/>
        <w:ind w:firstLine="2692" w:firstLineChars="1282"/>
        <w:rPr>
          <w:rFonts w:ascii="Times New Roman" w:hAnsi="Times New Roman"/>
          <w:color w:val="auto"/>
        </w:rPr>
      </w:pPr>
    </w:p>
    <w:p>
      <w:pPr>
        <w:spacing w:line="440" w:lineRule="exact"/>
        <w:ind w:firstLine="2692" w:firstLineChars="1282"/>
        <w:rPr>
          <w:rFonts w:ascii="Times New Roman" w:hAnsi="Times New Roman"/>
          <w:color w:val="auto"/>
        </w:rPr>
      </w:pPr>
      <w:r>
        <w:rPr>
          <w:rFonts w:ascii="Times New Roman" w:hAnsi="Times New Roman"/>
          <w:color w:val="auto"/>
        </w:rPr>
        <w:t>身份证号码：</w:t>
      </w:r>
      <w:r>
        <w:rPr>
          <w:rFonts w:ascii="Times New Roman" w:hAnsi="Times New Roman"/>
          <w:color w:val="auto"/>
          <w:szCs w:val="21"/>
          <w:u w:val="single"/>
        </w:rPr>
        <w:tab/>
      </w:r>
      <w:r>
        <w:rPr>
          <w:rFonts w:ascii="Times New Roman" w:hAnsi="Times New Roman"/>
          <w:color w:val="auto"/>
          <w:szCs w:val="21"/>
          <w:u w:val="single"/>
        </w:rPr>
        <w:tab/>
      </w:r>
      <w:r>
        <w:rPr>
          <w:rFonts w:ascii="Times New Roman" w:hAnsi="Times New Roman"/>
          <w:color w:val="auto"/>
          <w:szCs w:val="21"/>
          <w:u w:val="single"/>
        </w:rPr>
        <w:tab/>
      </w:r>
      <w:r>
        <w:rPr>
          <w:rFonts w:ascii="Times New Roman" w:hAnsi="Times New Roman"/>
          <w:color w:val="auto"/>
          <w:szCs w:val="21"/>
          <w:u w:val="single"/>
        </w:rPr>
        <w:t xml:space="preserve">                            </w:t>
      </w:r>
      <w:r>
        <w:rPr>
          <w:rFonts w:ascii="Times New Roman" w:hAnsi="Times New Roman"/>
          <w:color w:val="auto"/>
          <w:szCs w:val="21"/>
          <w:u w:val="single"/>
        </w:rPr>
        <w:tab/>
      </w:r>
    </w:p>
    <w:p>
      <w:pPr>
        <w:spacing w:line="440" w:lineRule="exact"/>
        <w:ind w:firstLine="2692" w:firstLineChars="1282"/>
        <w:rPr>
          <w:rFonts w:ascii="Times New Roman" w:hAnsi="Times New Roman"/>
          <w:color w:val="auto"/>
        </w:rPr>
      </w:pPr>
    </w:p>
    <w:p>
      <w:pPr>
        <w:spacing w:line="440" w:lineRule="exact"/>
        <w:ind w:firstLine="2692" w:firstLineChars="1282"/>
        <w:rPr>
          <w:rFonts w:ascii="Times New Roman" w:hAnsi="Times New Roman"/>
          <w:color w:val="auto"/>
        </w:rPr>
      </w:pPr>
    </w:p>
    <w:p>
      <w:pPr>
        <w:spacing w:line="440" w:lineRule="exact"/>
        <w:ind w:firstLine="4057" w:firstLineChars="1932"/>
        <w:jc w:val="right"/>
        <w:rPr>
          <w:rFonts w:ascii="Times New Roman" w:hAnsi="Times New Roman"/>
          <w:color w:val="auto"/>
        </w:rPr>
      </w:pPr>
      <w:r>
        <w:rPr>
          <w:rFonts w:ascii="Times New Roman" w:hAnsi="Times New Roman"/>
          <w:color w:val="auto"/>
          <w:u w:val="single"/>
        </w:rPr>
        <w:t xml:space="preserve">       </w:t>
      </w:r>
      <w:r>
        <w:rPr>
          <w:rFonts w:ascii="Times New Roman" w:hAnsi="Times New Roman"/>
          <w:color w:val="auto"/>
        </w:rPr>
        <w:t>年</w:t>
      </w:r>
      <w:r>
        <w:rPr>
          <w:rFonts w:ascii="Times New Roman" w:hAnsi="Times New Roman"/>
          <w:color w:val="auto"/>
          <w:u w:val="single"/>
        </w:rPr>
        <w:t xml:space="preserve">       </w:t>
      </w:r>
      <w:r>
        <w:rPr>
          <w:rFonts w:ascii="Times New Roman" w:hAnsi="Times New Roman"/>
          <w:color w:val="auto"/>
        </w:rPr>
        <w:t>月</w:t>
      </w:r>
      <w:r>
        <w:rPr>
          <w:rFonts w:ascii="Times New Roman" w:hAnsi="Times New Roman"/>
          <w:color w:val="auto"/>
          <w:u w:val="single"/>
        </w:rPr>
        <w:t xml:space="preserve">       </w:t>
      </w:r>
      <w:r>
        <w:rPr>
          <w:rFonts w:ascii="Times New Roman" w:hAnsi="Times New Roman"/>
          <w:color w:val="auto"/>
        </w:rPr>
        <w:t>日</w:t>
      </w:r>
    </w:p>
    <w:p>
      <w:pPr>
        <w:spacing w:line="440" w:lineRule="exact"/>
        <w:jc w:val="both"/>
        <w:rPr>
          <w:rFonts w:ascii="Times New Roman" w:hAnsi="Times New Roman"/>
          <w:color w:val="auto"/>
        </w:rPr>
      </w:pPr>
      <w:r>
        <w:rPr>
          <w:rFonts w:ascii="Times New Roman" w:hAnsi="Times New Roman"/>
          <w:color w:val="auto"/>
        </w:rPr>
        <w:br w:type="page"/>
      </w:r>
    </w:p>
    <w:p>
      <w:pPr>
        <w:pStyle w:val="5"/>
        <w:jc w:val="center"/>
        <w:rPr>
          <w:rFonts w:ascii="Times New Roman" w:hAnsi="Times New Roman"/>
          <w:color w:val="auto"/>
        </w:rPr>
      </w:pPr>
      <w:bookmarkStart w:id="724" w:name="_Toc492300946"/>
      <w:r>
        <w:rPr>
          <w:rFonts w:hint="eastAsia" w:ascii="Times New Roman" w:hAnsi="Times New Roman"/>
          <w:color w:val="auto"/>
          <w:lang w:eastAsia="zh-CN"/>
        </w:rPr>
        <w:t>四</w:t>
      </w:r>
      <w:r>
        <w:rPr>
          <w:rFonts w:hint="eastAsia" w:ascii="Times New Roman" w:hAnsi="Times New Roman"/>
          <w:color w:val="auto"/>
        </w:rPr>
        <w:t>、</w:t>
      </w:r>
      <w:bookmarkStart w:id="725" w:name="_Toc144974861"/>
      <w:bookmarkStart w:id="726" w:name="_Toc152045792"/>
      <w:bookmarkStart w:id="727" w:name="_Toc152042581"/>
      <w:bookmarkStart w:id="728" w:name="_Toc247527832"/>
      <w:bookmarkStart w:id="729" w:name="_Toc369531702"/>
      <w:bookmarkStart w:id="730" w:name="_Toc300835214"/>
      <w:bookmarkStart w:id="731" w:name="_Toc361508757"/>
      <w:bookmarkStart w:id="732" w:name="_Toc13469"/>
      <w:bookmarkStart w:id="733" w:name="_Toc384308381"/>
      <w:bookmarkStart w:id="734" w:name="_Toc247514284"/>
      <w:bookmarkStart w:id="735" w:name="_Toc352691666"/>
      <w:r>
        <w:rPr>
          <w:rFonts w:hint="eastAsia" w:ascii="Times New Roman" w:hAnsi="Times New Roman"/>
          <w:color w:val="auto"/>
        </w:rPr>
        <w:t>投标保证金</w:t>
      </w:r>
      <w:bookmarkEnd w:id="724"/>
    </w:p>
    <w:bookmarkEnd w:id="725"/>
    <w:bookmarkEnd w:id="726"/>
    <w:bookmarkEnd w:id="727"/>
    <w:bookmarkEnd w:id="728"/>
    <w:bookmarkEnd w:id="729"/>
    <w:bookmarkEnd w:id="730"/>
    <w:bookmarkEnd w:id="731"/>
    <w:bookmarkEnd w:id="732"/>
    <w:bookmarkEnd w:id="733"/>
    <w:bookmarkEnd w:id="734"/>
    <w:bookmarkEnd w:id="735"/>
    <w:p>
      <w:pPr>
        <w:autoSpaceDE w:val="0"/>
        <w:autoSpaceDN w:val="0"/>
        <w:adjustRightInd w:val="0"/>
        <w:spacing w:line="420" w:lineRule="exact"/>
        <w:jc w:val="center"/>
        <w:rPr>
          <w:rFonts w:hAnsi="宋体" w:cs="仿宋_GB2312"/>
          <w:color w:val="000000"/>
          <w:sz w:val="24"/>
          <w:szCs w:val="24"/>
        </w:rPr>
      </w:pPr>
      <w:r>
        <w:rPr>
          <w:rFonts w:hint="eastAsia" w:hAnsi="宋体" w:cs="仿宋_GB2312"/>
          <w:color w:val="000000"/>
          <w:sz w:val="24"/>
          <w:szCs w:val="24"/>
        </w:rPr>
        <w:t>附许昌公共资源交易中心投标保证金缴纳回执单、开户许可证并加盖公章</w:t>
      </w:r>
    </w:p>
    <w:p>
      <w:pPr>
        <w:spacing w:line="440" w:lineRule="exact"/>
        <w:ind w:firstLine="420" w:firstLineChars="200"/>
        <w:rPr>
          <w:rFonts w:ascii="Times New Roman" w:hAnsi="Times New Roman"/>
          <w:color w:val="auto"/>
          <w:szCs w:val="21"/>
        </w:rPr>
      </w:pPr>
    </w:p>
    <w:p>
      <w:pPr>
        <w:spacing w:line="440" w:lineRule="exact"/>
        <w:rPr>
          <w:rFonts w:ascii="Times New Roman" w:hAnsi="Times New Roman"/>
          <w:color w:val="auto"/>
          <w:szCs w:val="21"/>
        </w:rPr>
      </w:pPr>
    </w:p>
    <w:p>
      <w:pPr>
        <w:spacing w:line="440" w:lineRule="exact"/>
        <w:rPr>
          <w:rFonts w:ascii="Times New Roman" w:hAnsi="Times New Roman"/>
          <w:color w:val="auto"/>
          <w:szCs w:val="21"/>
        </w:rPr>
      </w:pPr>
    </w:p>
    <w:p>
      <w:pPr>
        <w:spacing w:line="440" w:lineRule="exact"/>
        <w:rPr>
          <w:rFonts w:ascii="Times New Roman" w:hAnsi="Times New Roman"/>
          <w:color w:val="auto"/>
          <w:szCs w:val="21"/>
        </w:rPr>
      </w:pPr>
    </w:p>
    <w:p>
      <w:pPr>
        <w:spacing w:line="440" w:lineRule="exact"/>
        <w:ind w:firstLine="2158" w:firstLineChars="1028"/>
        <w:jc w:val="right"/>
        <w:rPr>
          <w:rFonts w:ascii="Times New Roman" w:hAnsi="Times New Roman"/>
          <w:color w:val="auto"/>
          <w:u w:val="single"/>
        </w:rPr>
      </w:pPr>
    </w:p>
    <w:p>
      <w:pPr>
        <w:spacing w:line="440" w:lineRule="exact"/>
        <w:ind w:firstLine="2158" w:firstLineChars="1028"/>
        <w:rPr>
          <w:rFonts w:ascii="Times New Roman" w:hAnsi="Times New Roman"/>
          <w:color w:val="auto"/>
        </w:rPr>
      </w:pPr>
    </w:p>
    <w:p>
      <w:pPr>
        <w:pStyle w:val="5"/>
        <w:jc w:val="center"/>
        <w:rPr>
          <w:rFonts w:ascii="Times New Roman" w:hAnsi="Times New Roman"/>
          <w:color w:val="auto"/>
        </w:rPr>
      </w:pPr>
      <w:bookmarkStart w:id="736" w:name="_Toc492300947"/>
      <w:r>
        <w:rPr>
          <w:rFonts w:ascii="Times New Roman" w:hAnsi="Times New Roman"/>
          <w:color w:val="auto"/>
        </w:rPr>
        <w:br w:type="page"/>
      </w:r>
    </w:p>
    <w:p>
      <w:pPr>
        <w:pStyle w:val="5"/>
        <w:jc w:val="center"/>
        <w:rPr>
          <w:rFonts w:ascii="Times New Roman" w:hAnsi="Times New Roman"/>
          <w:color w:val="auto"/>
        </w:rPr>
      </w:pPr>
      <w:r>
        <w:rPr>
          <w:rFonts w:hint="eastAsia" w:ascii="Times New Roman" w:hAnsi="Times New Roman"/>
          <w:color w:val="auto"/>
          <w:lang w:eastAsia="zh-CN"/>
        </w:rPr>
        <w:t>五</w:t>
      </w:r>
      <w:r>
        <w:rPr>
          <w:rFonts w:ascii="Times New Roman" w:hAnsi="Times New Roman"/>
          <w:color w:val="auto"/>
        </w:rPr>
        <w:t>、勘察费用清单</w:t>
      </w:r>
      <w:bookmarkEnd w:id="736"/>
    </w:p>
    <w:p>
      <w:pPr>
        <w:spacing w:line="440" w:lineRule="exact"/>
        <w:ind w:firstLine="420" w:firstLineChars="200"/>
        <w:rPr>
          <w:rFonts w:ascii="Times New Roman" w:hAnsi="Times New Roman"/>
          <w:color w:val="auto"/>
          <w:szCs w:val="21"/>
        </w:rPr>
      </w:pPr>
      <w:r>
        <w:rPr>
          <w:rFonts w:ascii="Times New Roman" w:hAnsi="Times New Roman"/>
          <w:color w:val="auto"/>
          <w:szCs w:val="21"/>
        </w:rPr>
        <w:t>1. 勘察费用清单说明</w:t>
      </w:r>
    </w:p>
    <w:p>
      <w:pPr>
        <w:spacing w:line="440" w:lineRule="exact"/>
        <w:ind w:firstLine="420" w:firstLineChars="200"/>
        <w:rPr>
          <w:rFonts w:ascii="Times New Roman" w:hAnsi="Times New Roman"/>
          <w:color w:val="auto"/>
          <w:szCs w:val="21"/>
        </w:rPr>
      </w:pPr>
      <w:r>
        <w:rPr>
          <w:rFonts w:ascii="Times New Roman" w:hAnsi="Times New Roman"/>
          <w:color w:val="auto"/>
          <w:szCs w:val="21"/>
        </w:rPr>
        <w:t>2. 勘察费用清单</w:t>
      </w:r>
    </w:p>
    <w:p>
      <w:pPr>
        <w:spacing w:line="440" w:lineRule="exact"/>
        <w:ind w:firstLine="420" w:firstLineChars="200"/>
        <w:jc w:val="right"/>
        <w:rPr>
          <w:rFonts w:ascii="Times New Roman" w:hAnsi="Times New Roman"/>
          <w:color w:val="auto"/>
          <w:szCs w:val="21"/>
        </w:rPr>
      </w:pPr>
      <w:r>
        <w:rPr>
          <w:rFonts w:ascii="Times New Roman" w:hAnsi="Times New Roman"/>
          <w:color w:val="auto"/>
          <w:szCs w:val="21"/>
        </w:rPr>
        <w:t>单位：人民币元</w:t>
      </w:r>
    </w:p>
    <w:tbl>
      <w:tblPr>
        <w:tblStyle w:val="38"/>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410"/>
        <w:gridCol w:w="2268"/>
        <w:gridCol w:w="1322"/>
        <w:gridCol w:w="1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4" w:hRule="atLeast"/>
        </w:trPr>
        <w:tc>
          <w:tcPr>
            <w:tcW w:w="817" w:type="dxa"/>
            <w:vAlign w:val="center"/>
          </w:tcPr>
          <w:p>
            <w:pPr>
              <w:widowControl/>
              <w:jc w:val="center"/>
              <w:rPr>
                <w:rFonts w:ascii="Times New Roman" w:hAnsi="Times New Roman"/>
                <w:b/>
                <w:color w:val="auto"/>
                <w:kern w:val="0"/>
                <w:szCs w:val="21"/>
              </w:rPr>
            </w:pPr>
            <w:bookmarkStart w:id="737" w:name="_Toc361508760"/>
            <w:r>
              <w:rPr>
                <w:rFonts w:ascii="Times New Roman" w:hAnsi="Times New Roman"/>
                <w:b/>
                <w:color w:val="auto"/>
                <w:kern w:val="0"/>
                <w:szCs w:val="21"/>
              </w:rPr>
              <w:t>序号</w:t>
            </w:r>
          </w:p>
        </w:tc>
        <w:tc>
          <w:tcPr>
            <w:tcW w:w="2410" w:type="dxa"/>
            <w:vAlign w:val="center"/>
          </w:tcPr>
          <w:p>
            <w:pPr>
              <w:widowControl/>
              <w:jc w:val="center"/>
              <w:rPr>
                <w:rFonts w:ascii="Times New Roman" w:hAnsi="Times New Roman"/>
                <w:b/>
                <w:color w:val="auto"/>
                <w:kern w:val="0"/>
                <w:szCs w:val="21"/>
              </w:rPr>
            </w:pPr>
            <w:r>
              <w:rPr>
                <w:rFonts w:ascii="Times New Roman" w:hAnsi="Times New Roman"/>
                <w:b/>
                <w:color w:val="auto"/>
                <w:kern w:val="0"/>
                <w:szCs w:val="21"/>
              </w:rPr>
              <w:t>勘察费用分项名称</w:t>
            </w:r>
          </w:p>
        </w:tc>
        <w:tc>
          <w:tcPr>
            <w:tcW w:w="2268" w:type="dxa"/>
            <w:vAlign w:val="center"/>
          </w:tcPr>
          <w:p>
            <w:pPr>
              <w:widowControl/>
              <w:jc w:val="center"/>
              <w:rPr>
                <w:rFonts w:ascii="Times New Roman" w:hAnsi="Times New Roman"/>
                <w:b/>
                <w:color w:val="auto"/>
                <w:kern w:val="0"/>
                <w:szCs w:val="21"/>
              </w:rPr>
            </w:pPr>
            <w:r>
              <w:rPr>
                <w:rFonts w:ascii="Times New Roman" w:hAnsi="Times New Roman"/>
                <w:b/>
                <w:color w:val="auto"/>
                <w:kern w:val="0"/>
                <w:szCs w:val="21"/>
              </w:rPr>
              <w:t>计算依据、过程和公式</w:t>
            </w:r>
          </w:p>
        </w:tc>
        <w:tc>
          <w:tcPr>
            <w:tcW w:w="1322" w:type="dxa"/>
            <w:vAlign w:val="center"/>
          </w:tcPr>
          <w:p>
            <w:pPr>
              <w:widowControl/>
              <w:jc w:val="center"/>
              <w:rPr>
                <w:rFonts w:ascii="Times New Roman" w:hAnsi="Times New Roman"/>
                <w:b/>
                <w:color w:val="auto"/>
                <w:kern w:val="0"/>
                <w:szCs w:val="21"/>
              </w:rPr>
            </w:pPr>
            <w:r>
              <w:rPr>
                <w:rFonts w:ascii="Times New Roman" w:hAnsi="Times New Roman"/>
                <w:b/>
                <w:color w:val="auto"/>
                <w:kern w:val="0"/>
                <w:szCs w:val="21"/>
              </w:rPr>
              <w:t>金额（元）</w:t>
            </w:r>
          </w:p>
        </w:tc>
        <w:tc>
          <w:tcPr>
            <w:tcW w:w="1938" w:type="dxa"/>
            <w:vAlign w:val="center"/>
          </w:tcPr>
          <w:p>
            <w:pPr>
              <w:widowControl/>
              <w:jc w:val="center"/>
              <w:rPr>
                <w:rFonts w:ascii="Times New Roman" w:hAnsi="Times New Roman"/>
                <w:b/>
                <w:color w:val="auto"/>
                <w:kern w:val="0"/>
                <w:szCs w:val="21"/>
              </w:rPr>
            </w:pPr>
            <w:r>
              <w:rPr>
                <w:rFonts w:ascii="Times New Roman" w:hAnsi="Times New Roman"/>
                <w:b/>
                <w:color w:val="auto"/>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spacing w:line="360" w:lineRule="auto"/>
              <w:jc w:val="center"/>
              <w:rPr>
                <w:rFonts w:ascii="Times New Roman" w:hAnsi="Times New Roman"/>
                <w:color w:val="auto"/>
              </w:rPr>
            </w:pPr>
            <w:r>
              <w:rPr>
                <w:rFonts w:ascii="Times New Roman" w:hAnsi="Times New Roman"/>
                <w:color w:val="auto"/>
              </w:rPr>
              <w:t>1</w:t>
            </w:r>
          </w:p>
        </w:tc>
        <w:tc>
          <w:tcPr>
            <w:tcW w:w="2410" w:type="dxa"/>
            <w:vAlign w:val="center"/>
          </w:tcPr>
          <w:p>
            <w:pPr>
              <w:spacing w:line="360" w:lineRule="auto"/>
              <w:jc w:val="center"/>
              <w:rPr>
                <w:rFonts w:ascii="Times New Roman" w:hAnsi="Times New Roman"/>
                <w:color w:val="auto"/>
              </w:rPr>
            </w:pPr>
          </w:p>
        </w:tc>
        <w:tc>
          <w:tcPr>
            <w:tcW w:w="2268" w:type="dxa"/>
            <w:vAlign w:val="center"/>
          </w:tcPr>
          <w:p>
            <w:pPr>
              <w:spacing w:line="360" w:lineRule="auto"/>
              <w:jc w:val="center"/>
              <w:rPr>
                <w:rFonts w:ascii="Times New Roman" w:hAnsi="Times New Roman"/>
                <w:color w:val="auto"/>
              </w:rPr>
            </w:pPr>
          </w:p>
        </w:tc>
        <w:tc>
          <w:tcPr>
            <w:tcW w:w="1322" w:type="dxa"/>
            <w:vAlign w:val="center"/>
          </w:tcPr>
          <w:p>
            <w:pPr>
              <w:spacing w:line="360" w:lineRule="auto"/>
              <w:jc w:val="center"/>
              <w:rPr>
                <w:rFonts w:ascii="Times New Roman" w:hAnsi="Times New Roman"/>
                <w:color w:val="auto"/>
              </w:rPr>
            </w:pPr>
          </w:p>
        </w:tc>
        <w:tc>
          <w:tcPr>
            <w:tcW w:w="1938" w:type="dxa"/>
            <w:vAlign w:val="center"/>
          </w:tcPr>
          <w:p>
            <w:pPr>
              <w:spacing w:line="360" w:lineRule="auto"/>
              <w:jc w:val="center"/>
              <w:rPr>
                <w:rFonts w:ascii="Times New Roman" w:hAnsi="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spacing w:before="100" w:beforeAutospacing="1" w:after="100" w:afterAutospacing="1" w:line="360" w:lineRule="auto"/>
              <w:jc w:val="center"/>
              <w:rPr>
                <w:rFonts w:ascii="Times New Roman" w:hAnsi="Times New Roman"/>
                <w:color w:val="auto"/>
              </w:rPr>
            </w:pPr>
            <w:r>
              <w:rPr>
                <w:rFonts w:ascii="Times New Roman" w:hAnsi="Times New Roman"/>
                <w:color w:val="auto"/>
              </w:rPr>
              <w:t>2</w:t>
            </w:r>
          </w:p>
        </w:tc>
        <w:tc>
          <w:tcPr>
            <w:tcW w:w="2410" w:type="dxa"/>
            <w:vAlign w:val="center"/>
          </w:tcPr>
          <w:p>
            <w:pPr>
              <w:spacing w:line="360" w:lineRule="auto"/>
              <w:jc w:val="center"/>
              <w:rPr>
                <w:rFonts w:ascii="Times New Roman" w:hAnsi="Times New Roman"/>
                <w:color w:val="auto"/>
              </w:rPr>
            </w:pPr>
          </w:p>
        </w:tc>
        <w:tc>
          <w:tcPr>
            <w:tcW w:w="2268" w:type="dxa"/>
            <w:vAlign w:val="center"/>
          </w:tcPr>
          <w:p>
            <w:pPr>
              <w:spacing w:line="360" w:lineRule="auto"/>
              <w:jc w:val="center"/>
              <w:rPr>
                <w:rFonts w:ascii="Times New Roman" w:hAnsi="Times New Roman"/>
                <w:color w:val="auto"/>
              </w:rPr>
            </w:pPr>
          </w:p>
        </w:tc>
        <w:tc>
          <w:tcPr>
            <w:tcW w:w="1322" w:type="dxa"/>
            <w:vAlign w:val="center"/>
          </w:tcPr>
          <w:p>
            <w:pPr>
              <w:spacing w:line="360" w:lineRule="auto"/>
              <w:jc w:val="center"/>
              <w:rPr>
                <w:rFonts w:ascii="Times New Roman" w:hAnsi="Times New Roman"/>
                <w:color w:val="auto"/>
              </w:rPr>
            </w:pPr>
          </w:p>
        </w:tc>
        <w:tc>
          <w:tcPr>
            <w:tcW w:w="1938" w:type="dxa"/>
            <w:vAlign w:val="center"/>
          </w:tcPr>
          <w:p>
            <w:pPr>
              <w:spacing w:line="360" w:lineRule="auto"/>
              <w:jc w:val="center"/>
              <w:rPr>
                <w:rFonts w:ascii="Times New Roman" w:hAnsi="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spacing w:before="100" w:beforeAutospacing="1" w:after="100" w:afterAutospacing="1" w:line="360" w:lineRule="auto"/>
              <w:jc w:val="center"/>
              <w:rPr>
                <w:rFonts w:ascii="Times New Roman" w:hAnsi="Times New Roman"/>
                <w:color w:val="auto"/>
              </w:rPr>
            </w:pPr>
            <w:r>
              <w:rPr>
                <w:rFonts w:ascii="Times New Roman" w:hAnsi="Times New Roman"/>
                <w:color w:val="auto"/>
              </w:rPr>
              <w:t>3</w:t>
            </w:r>
          </w:p>
        </w:tc>
        <w:tc>
          <w:tcPr>
            <w:tcW w:w="2410" w:type="dxa"/>
            <w:vAlign w:val="center"/>
          </w:tcPr>
          <w:p>
            <w:pPr>
              <w:spacing w:line="360" w:lineRule="auto"/>
              <w:jc w:val="center"/>
              <w:rPr>
                <w:rFonts w:ascii="Times New Roman" w:hAnsi="Times New Roman"/>
                <w:color w:val="auto"/>
              </w:rPr>
            </w:pPr>
          </w:p>
        </w:tc>
        <w:tc>
          <w:tcPr>
            <w:tcW w:w="2268" w:type="dxa"/>
            <w:vAlign w:val="center"/>
          </w:tcPr>
          <w:p>
            <w:pPr>
              <w:spacing w:line="360" w:lineRule="auto"/>
              <w:jc w:val="center"/>
              <w:rPr>
                <w:rFonts w:ascii="Times New Roman" w:hAnsi="Times New Roman"/>
                <w:color w:val="auto"/>
              </w:rPr>
            </w:pPr>
          </w:p>
        </w:tc>
        <w:tc>
          <w:tcPr>
            <w:tcW w:w="1322" w:type="dxa"/>
            <w:vAlign w:val="center"/>
          </w:tcPr>
          <w:p>
            <w:pPr>
              <w:spacing w:line="360" w:lineRule="auto"/>
              <w:jc w:val="center"/>
              <w:rPr>
                <w:rFonts w:ascii="Times New Roman" w:hAnsi="Times New Roman"/>
                <w:color w:val="auto"/>
              </w:rPr>
            </w:pPr>
          </w:p>
        </w:tc>
        <w:tc>
          <w:tcPr>
            <w:tcW w:w="1938" w:type="dxa"/>
            <w:vAlign w:val="center"/>
          </w:tcPr>
          <w:p>
            <w:pPr>
              <w:spacing w:line="360" w:lineRule="auto"/>
              <w:jc w:val="center"/>
              <w:rPr>
                <w:rFonts w:ascii="Times New Roman" w:hAnsi="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spacing w:before="100" w:beforeAutospacing="1" w:after="100" w:afterAutospacing="1" w:line="360" w:lineRule="auto"/>
              <w:jc w:val="center"/>
              <w:rPr>
                <w:rFonts w:ascii="Times New Roman" w:hAnsi="Times New Roman"/>
                <w:color w:val="auto"/>
              </w:rPr>
            </w:pPr>
            <w:r>
              <w:rPr>
                <w:rFonts w:ascii="Times New Roman" w:hAnsi="Times New Roman"/>
                <w:color w:val="auto"/>
              </w:rPr>
              <w:t>4</w:t>
            </w:r>
          </w:p>
        </w:tc>
        <w:tc>
          <w:tcPr>
            <w:tcW w:w="2410" w:type="dxa"/>
            <w:vAlign w:val="center"/>
          </w:tcPr>
          <w:p>
            <w:pPr>
              <w:spacing w:line="360" w:lineRule="auto"/>
              <w:jc w:val="center"/>
              <w:rPr>
                <w:rFonts w:ascii="Times New Roman" w:hAnsi="Times New Roman"/>
                <w:color w:val="auto"/>
              </w:rPr>
            </w:pPr>
          </w:p>
        </w:tc>
        <w:tc>
          <w:tcPr>
            <w:tcW w:w="2268" w:type="dxa"/>
            <w:vAlign w:val="center"/>
          </w:tcPr>
          <w:p>
            <w:pPr>
              <w:spacing w:line="360" w:lineRule="auto"/>
              <w:jc w:val="center"/>
              <w:rPr>
                <w:rFonts w:ascii="Times New Roman" w:hAnsi="Times New Roman"/>
                <w:color w:val="auto"/>
              </w:rPr>
            </w:pPr>
          </w:p>
        </w:tc>
        <w:tc>
          <w:tcPr>
            <w:tcW w:w="1322" w:type="dxa"/>
            <w:vAlign w:val="center"/>
          </w:tcPr>
          <w:p>
            <w:pPr>
              <w:spacing w:line="360" w:lineRule="auto"/>
              <w:jc w:val="center"/>
              <w:rPr>
                <w:rFonts w:ascii="Times New Roman" w:hAnsi="Times New Roman"/>
                <w:color w:val="auto"/>
              </w:rPr>
            </w:pPr>
          </w:p>
        </w:tc>
        <w:tc>
          <w:tcPr>
            <w:tcW w:w="1938" w:type="dxa"/>
            <w:vAlign w:val="center"/>
          </w:tcPr>
          <w:p>
            <w:pPr>
              <w:spacing w:line="360" w:lineRule="auto"/>
              <w:jc w:val="center"/>
              <w:rPr>
                <w:rFonts w:ascii="Times New Roman" w:hAnsi="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spacing w:before="100" w:beforeAutospacing="1" w:after="100" w:afterAutospacing="1" w:line="360" w:lineRule="auto"/>
              <w:jc w:val="center"/>
              <w:rPr>
                <w:rFonts w:ascii="Times New Roman" w:hAnsi="Times New Roman"/>
                <w:color w:val="auto"/>
              </w:rPr>
            </w:pPr>
            <w:r>
              <w:rPr>
                <w:rFonts w:ascii="Times New Roman" w:hAnsi="Times New Roman"/>
                <w:color w:val="auto"/>
              </w:rPr>
              <w:t>5</w:t>
            </w:r>
          </w:p>
        </w:tc>
        <w:tc>
          <w:tcPr>
            <w:tcW w:w="2410" w:type="dxa"/>
            <w:vAlign w:val="center"/>
          </w:tcPr>
          <w:p>
            <w:pPr>
              <w:spacing w:line="360" w:lineRule="auto"/>
              <w:jc w:val="center"/>
              <w:rPr>
                <w:rFonts w:ascii="Times New Roman" w:hAnsi="Times New Roman"/>
                <w:color w:val="auto"/>
              </w:rPr>
            </w:pPr>
          </w:p>
        </w:tc>
        <w:tc>
          <w:tcPr>
            <w:tcW w:w="2268" w:type="dxa"/>
            <w:vAlign w:val="center"/>
          </w:tcPr>
          <w:p>
            <w:pPr>
              <w:spacing w:line="360" w:lineRule="auto"/>
              <w:jc w:val="center"/>
              <w:rPr>
                <w:rFonts w:ascii="Times New Roman" w:hAnsi="Times New Roman"/>
                <w:color w:val="auto"/>
              </w:rPr>
            </w:pPr>
          </w:p>
        </w:tc>
        <w:tc>
          <w:tcPr>
            <w:tcW w:w="1322" w:type="dxa"/>
            <w:vAlign w:val="center"/>
          </w:tcPr>
          <w:p>
            <w:pPr>
              <w:spacing w:line="360" w:lineRule="auto"/>
              <w:jc w:val="center"/>
              <w:rPr>
                <w:rFonts w:ascii="Times New Roman" w:hAnsi="Times New Roman"/>
                <w:color w:val="auto"/>
              </w:rPr>
            </w:pPr>
          </w:p>
        </w:tc>
        <w:tc>
          <w:tcPr>
            <w:tcW w:w="1938" w:type="dxa"/>
            <w:vAlign w:val="center"/>
          </w:tcPr>
          <w:p>
            <w:pPr>
              <w:spacing w:line="360" w:lineRule="auto"/>
              <w:jc w:val="center"/>
              <w:rPr>
                <w:rFonts w:ascii="Times New Roman" w:hAnsi="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widowControl/>
              <w:jc w:val="center"/>
              <w:rPr>
                <w:rFonts w:ascii="Times New Roman" w:hAnsi="Times New Roman"/>
                <w:color w:val="auto"/>
                <w:kern w:val="0"/>
                <w:szCs w:val="21"/>
              </w:rPr>
            </w:pPr>
            <w:r>
              <w:rPr>
                <w:rFonts w:ascii="Times New Roman" w:hAnsi="Times New Roman"/>
                <w:color w:val="auto"/>
                <w:kern w:val="0"/>
                <w:szCs w:val="21"/>
              </w:rPr>
              <w:t>……</w:t>
            </w:r>
          </w:p>
        </w:tc>
        <w:tc>
          <w:tcPr>
            <w:tcW w:w="2410" w:type="dxa"/>
            <w:vAlign w:val="center"/>
          </w:tcPr>
          <w:p>
            <w:pPr>
              <w:widowControl/>
              <w:jc w:val="center"/>
              <w:rPr>
                <w:rFonts w:ascii="Times New Roman" w:hAnsi="Times New Roman"/>
                <w:color w:val="auto"/>
                <w:kern w:val="0"/>
                <w:szCs w:val="21"/>
              </w:rPr>
            </w:pPr>
            <w:r>
              <w:rPr>
                <w:rFonts w:ascii="Times New Roman" w:hAnsi="Times New Roman"/>
                <w:color w:val="auto"/>
                <w:kern w:val="0"/>
                <w:szCs w:val="21"/>
              </w:rPr>
              <w:t>……</w:t>
            </w:r>
          </w:p>
        </w:tc>
        <w:tc>
          <w:tcPr>
            <w:tcW w:w="2268" w:type="dxa"/>
            <w:vAlign w:val="center"/>
          </w:tcPr>
          <w:p>
            <w:pPr>
              <w:spacing w:line="360" w:lineRule="auto"/>
              <w:jc w:val="center"/>
              <w:rPr>
                <w:rFonts w:ascii="Times New Roman" w:hAnsi="Times New Roman"/>
                <w:color w:val="auto"/>
              </w:rPr>
            </w:pPr>
          </w:p>
        </w:tc>
        <w:tc>
          <w:tcPr>
            <w:tcW w:w="1322" w:type="dxa"/>
            <w:vAlign w:val="center"/>
          </w:tcPr>
          <w:p>
            <w:pPr>
              <w:spacing w:line="360" w:lineRule="auto"/>
              <w:jc w:val="center"/>
              <w:rPr>
                <w:rFonts w:ascii="Times New Roman" w:hAnsi="Times New Roman"/>
                <w:color w:val="auto"/>
              </w:rPr>
            </w:pPr>
          </w:p>
        </w:tc>
        <w:tc>
          <w:tcPr>
            <w:tcW w:w="1938" w:type="dxa"/>
            <w:vAlign w:val="center"/>
          </w:tcPr>
          <w:p>
            <w:pPr>
              <w:spacing w:line="360" w:lineRule="auto"/>
              <w:jc w:val="center"/>
              <w:rPr>
                <w:rFonts w:ascii="Times New Roman" w:hAnsi="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95" w:type="dxa"/>
            <w:gridSpan w:val="3"/>
            <w:vAlign w:val="center"/>
          </w:tcPr>
          <w:p>
            <w:pPr>
              <w:widowControl/>
              <w:jc w:val="center"/>
              <w:rPr>
                <w:rFonts w:ascii="Times New Roman" w:hAnsi="Times New Roman"/>
                <w:color w:val="auto"/>
              </w:rPr>
            </w:pPr>
            <w:r>
              <w:rPr>
                <w:rFonts w:hint="eastAsia" w:ascii="Times New Roman" w:hAnsi="Times New Roman"/>
                <w:b/>
                <w:color w:val="auto"/>
                <w:kern w:val="0"/>
                <w:szCs w:val="21"/>
              </w:rPr>
              <w:t>合计报价</w:t>
            </w:r>
          </w:p>
        </w:tc>
        <w:tc>
          <w:tcPr>
            <w:tcW w:w="1322" w:type="dxa"/>
            <w:vAlign w:val="center"/>
          </w:tcPr>
          <w:p>
            <w:pPr>
              <w:spacing w:line="360" w:lineRule="auto"/>
              <w:jc w:val="center"/>
              <w:rPr>
                <w:rFonts w:ascii="Times New Roman" w:hAnsi="Times New Roman"/>
                <w:color w:val="auto"/>
              </w:rPr>
            </w:pPr>
          </w:p>
        </w:tc>
        <w:tc>
          <w:tcPr>
            <w:tcW w:w="1938" w:type="dxa"/>
            <w:vAlign w:val="center"/>
          </w:tcPr>
          <w:p>
            <w:pPr>
              <w:spacing w:line="360" w:lineRule="auto"/>
              <w:jc w:val="center"/>
              <w:rPr>
                <w:rFonts w:ascii="Times New Roman" w:hAnsi="Times New Roman"/>
                <w:color w:val="auto"/>
              </w:rPr>
            </w:pPr>
          </w:p>
        </w:tc>
      </w:tr>
    </w:tbl>
    <w:p>
      <w:pPr>
        <w:widowControl/>
        <w:ind w:right="105"/>
        <w:jc w:val="right"/>
        <w:rPr>
          <w:rFonts w:ascii="Times New Roman" w:hAnsi="Times New Roman"/>
          <w:color w:val="auto"/>
          <w:kern w:val="0"/>
        </w:rPr>
      </w:pPr>
    </w:p>
    <w:p>
      <w:pPr>
        <w:widowControl/>
        <w:ind w:right="105"/>
        <w:jc w:val="right"/>
        <w:rPr>
          <w:rFonts w:ascii="Times New Roman" w:hAnsi="Times New Roman"/>
          <w:color w:val="auto"/>
          <w:kern w:val="0"/>
        </w:rPr>
      </w:pPr>
    </w:p>
    <w:p>
      <w:pPr>
        <w:spacing w:line="400" w:lineRule="exact"/>
        <w:ind w:firstLine="420" w:firstLineChars="200"/>
        <w:rPr>
          <w:rFonts w:ascii="Times New Roman" w:hAnsi="Times New Roman"/>
          <w:color w:val="auto"/>
        </w:rPr>
      </w:pPr>
    </w:p>
    <w:p>
      <w:pPr>
        <w:widowControl/>
        <w:ind w:right="105"/>
        <w:jc w:val="left"/>
        <w:rPr>
          <w:rFonts w:ascii="Times New Roman" w:hAnsi="Times New Roman"/>
          <w:color w:val="auto"/>
          <w:kern w:val="0"/>
        </w:rPr>
      </w:pPr>
    </w:p>
    <w:p>
      <w:pPr>
        <w:pStyle w:val="5"/>
        <w:spacing w:after="0"/>
        <w:jc w:val="center"/>
        <w:rPr>
          <w:rFonts w:ascii="Times New Roman" w:hAnsi="Times New Roman"/>
          <w:color w:val="auto"/>
        </w:rPr>
      </w:pPr>
      <w:r>
        <w:rPr>
          <w:rFonts w:ascii="Times New Roman" w:hAnsi="Times New Roman"/>
          <w:color w:val="auto"/>
        </w:rPr>
        <w:br w:type="page"/>
      </w:r>
      <w:bookmarkStart w:id="738" w:name="_Toc492300948"/>
      <w:r>
        <w:rPr>
          <w:rFonts w:hint="eastAsia" w:ascii="Times New Roman" w:hAnsi="Times New Roman"/>
          <w:color w:val="auto"/>
          <w:lang w:eastAsia="zh-CN"/>
        </w:rPr>
        <w:t>六</w:t>
      </w:r>
      <w:r>
        <w:rPr>
          <w:rFonts w:hint="eastAsia" w:ascii="Times New Roman" w:hAnsi="Times New Roman"/>
          <w:color w:val="auto"/>
        </w:rPr>
        <w:t>、资格审查资料</w:t>
      </w:r>
      <w:bookmarkEnd w:id="738"/>
    </w:p>
    <w:p>
      <w:pPr>
        <w:pStyle w:val="6"/>
        <w:spacing w:before="20" w:after="0"/>
        <w:ind w:firstLine="137"/>
        <w:rPr>
          <w:rFonts w:ascii="Times New Roman" w:hAnsi="Times New Roman"/>
          <w:color w:val="auto"/>
        </w:rPr>
      </w:pPr>
      <w:bookmarkStart w:id="739" w:name="_Toc492300949"/>
      <w:r>
        <w:rPr>
          <w:rFonts w:hint="eastAsia" w:ascii="Times New Roman" w:hAnsi="Times New Roman"/>
          <w:color w:val="auto"/>
        </w:rPr>
        <w:t>（一）基本情况表</w:t>
      </w:r>
      <w:bookmarkEnd w:id="739"/>
    </w:p>
    <w:tbl>
      <w:tblPr>
        <w:tblStyle w:val="38"/>
        <w:tblW w:w="8886"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46"/>
        <w:gridCol w:w="898"/>
        <w:gridCol w:w="1026"/>
        <w:gridCol w:w="1287"/>
        <w:gridCol w:w="414"/>
        <w:gridCol w:w="873"/>
        <w:gridCol w:w="828"/>
        <w:gridCol w:w="284"/>
        <w:gridCol w:w="123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olor w:val="auto"/>
              </w:rPr>
            </w:pPr>
            <w:r>
              <w:rPr>
                <w:rFonts w:hint="eastAsia" w:ascii="Times New Roman" w:hAnsi="Times New Roman"/>
                <w:color w:val="auto"/>
              </w:rPr>
              <w:t>投标人名称</w:t>
            </w:r>
          </w:p>
        </w:tc>
        <w:tc>
          <w:tcPr>
            <w:tcW w:w="6840" w:type="dxa"/>
            <w:gridSpan w:val="8"/>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olor w:val="auto"/>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olor w:val="auto"/>
              </w:rPr>
            </w:pPr>
            <w:r>
              <w:rPr>
                <w:rFonts w:hint="eastAsia" w:ascii="Times New Roman" w:hAnsi="Times New Roman"/>
                <w:color w:val="auto"/>
              </w:rPr>
              <w:t>注册地址</w:t>
            </w:r>
          </w:p>
        </w:tc>
        <w:tc>
          <w:tcPr>
            <w:tcW w:w="3211"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olor w:val="auto"/>
              </w:rPr>
            </w:pPr>
          </w:p>
        </w:tc>
        <w:tc>
          <w:tcPr>
            <w:tcW w:w="1287" w:type="dxa"/>
            <w:gridSpan w:val="2"/>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Times New Roman" w:hAnsi="Times New Roman"/>
                <w:color w:val="auto"/>
              </w:rPr>
            </w:pPr>
            <w:r>
              <w:rPr>
                <w:rFonts w:hint="eastAsia" w:ascii="Times New Roman" w:hAnsi="Times New Roman"/>
                <w:color w:val="auto"/>
              </w:rPr>
              <w:t>邮政编码</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olor w:val="auto"/>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9" w:hRule="atLeast"/>
          <w:jc w:val="center"/>
        </w:trPr>
        <w:tc>
          <w:tcPr>
            <w:tcW w:w="2046"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olor w:val="auto"/>
              </w:rPr>
            </w:pPr>
            <w:r>
              <w:rPr>
                <w:rFonts w:hint="eastAsia" w:ascii="Times New Roman" w:hAnsi="Times New Roman"/>
                <w:color w:val="auto"/>
              </w:rPr>
              <w:t>联系方式</w:t>
            </w:r>
          </w:p>
        </w:tc>
        <w:tc>
          <w:tcPr>
            <w:tcW w:w="898"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Times New Roman" w:hAnsi="Times New Roman"/>
                <w:color w:val="auto"/>
              </w:rPr>
            </w:pPr>
            <w:r>
              <w:rPr>
                <w:rFonts w:hint="eastAsia" w:ascii="Times New Roman" w:hAnsi="Times New Roman"/>
                <w:color w:val="auto"/>
              </w:rPr>
              <w:t>联系人</w:t>
            </w:r>
          </w:p>
        </w:tc>
        <w:tc>
          <w:tcPr>
            <w:tcW w:w="2313"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olor w:val="auto"/>
              </w:rPr>
            </w:pPr>
          </w:p>
        </w:tc>
        <w:tc>
          <w:tcPr>
            <w:tcW w:w="1287" w:type="dxa"/>
            <w:gridSpan w:val="2"/>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Times New Roman" w:hAnsi="Times New Roman"/>
                <w:color w:val="auto"/>
              </w:rPr>
            </w:pPr>
            <w:r>
              <w:rPr>
                <w:rFonts w:hint="eastAsia" w:ascii="Times New Roman" w:hAnsi="Times New Roman"/>
                <w:color w:val="auto"/>
              </w:rPr>
              <w:t>电</w:t>
            </w:r>
            <w:r>
              <w:rPr>
                <w:rFonts w:ascii="Times New Roman" w:hAnsi="Times New Roman"/>
                <w:color w:val="auto"/>
              </w:rPr>
              <w:t xml:space="preserve"> </w:t>
            </w:r>
            <w:r>
              <w:rPr>
                <w:rFonts w:hint="eastAsia" w:ascii="Times New Roman" w:hAnsi="Times New Roman"/>
                <w:color w:val="auto"/>
              </w:rPr>
              <w:t>话</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olor w:val="auto"/>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9" w:hRule="atLeast"/>
          <w:jc w:val="center"/>
        </w:trPr>
        <w:tc>
          <w:tcPr>
            <w:tcW w:w="204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auto"/>
              </w:rPr>
            </w:pPr>
          </w:p>
        </w:tc>
        <w:tc>
          <w:tcPr>
            <w:tcW w:w="898"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Times New Roman" w:hAnsi="Times New Roman"/>
                <w:color w:val="auto"/>
              </w:rPr>
            </w:pPr>
            <w:r>
              <w:rPr>
                <w:rFonts w:hint="eastAsia" w:ascii="Times New Roman" w:hAnsi="Times New Roman"/>
                <w:color w:val="auto"/>
              </w:rPr>
              <w:t>传</w:t>
            </w:r>
            <w:r>
              <w:rPr>
                <w:rFonts w:ascii="Times New Roman" w:hAnsi="Times New Roman"/>
                <w:color w:val="auto"/>
              </w:rPr>
              <w:t xml:space="preserve">  </w:t>
            </w:r>
            <w:r>
              <w:rPr>
                <w:rFonts w:hint="eastAsia" w:ascii="Times New Roman" w:hAnsi="Times New Roman"/>
                <w:color w:val="auto"/>
              </w:rPr>
              <w:t>真</w:t>
            </w:r>
          </w:p>
        </w:tc>
        <w:tc>
          <w:tcPr>
            <w:tcW w:w="2313"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olor w:val="auto"/>
              </w:rPr>
            </w:pPr>
          </w:p>
        </w:tc>
        <w:tc>
          <w:tcPr>
            <w:tcW w:w="1287" w:type="dxa"/>
            <w:gridSpan w:val="2"/>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Times New Roman" w:hAnsi="Times New Roman"/>
                <w:color w:val="auto"/>
              </w:rPr>
            </w:pPr>
            <w:r>
              <w:rPr>
                <w:rFonts w:hint="eastAsia" w:ascii="Times New Roman" w:hAnsi="Times New Roman"/>
                <w:color w:val="auto"/>
              </w:rPr>
              <w:t>网</w:t>
            </w:r>
            <w:r>
              <w:rPr>
                <w:rFonts w:ascii="Times New Roman" w:hAnsi="Times New Roman"/>
                <w:color w:val="auto"/>
              </w:rPr>
              <w:t xml:space="preserve"> </w:t>
            </w:r>
            <w:r>
              <w:rPr>
                <w:rFonts w:hint="eastAsia" w:ascii="Times New Roman" w:hAnsi="Times New Roman"/>
                <w:color w:val="auto"/>
              </w:rPr>
              <w:t>址</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olor w:val="auto"/>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Times New Roman" w:hAnsi="Times New Roman"/>
                <w:color w:val="auto"/>
              </w:rPr>
            </w:pPr>
            <w:r>
              <w:rPr>
                <w:rFonts w:hint="eastAsia" w:ascii="Times New Roman" w:hAnsi="Times New Roman"/>
                <w:color w:val="auto"/>
              </w:rPr>
              <w:t>法定代表人</w:t>
            </w:r>
          </w:p>
        </w:tc>
        <w:tc>
          <w:tcPr>
            <w:tcW w:w="898"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Times New Roman" w:hAnsi="Times New Roman"/>
                <w:color w:val="auto"/>
              </w:rPr>
            </w:pPr>
            <w:r>
              <w:rPr>
                <w:rFonts w:hint="eastAsia" w:ascii="Times New Roman" w:hAnsi="Times New Roman"/>
                <w:color w:val="auto"/>
              </w:rPr>
              <w:t>姓名</w:t>
            </w:r>
          </w:p>
        </w:tc>
        <w:tc>
          <w:tcPr>
            <w:tcW w:w="10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olor w:val="auto"/>
              </w:rPr>
            </w:pPr>
          </w:p>
        </w:tc>
        <w:tc>
          <w:tcPr>
            <w:tcW w:w="1287"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Times New Roman" w:hAnsi="Times New Roman"/>
                <w:color w:val="auto"/>
              </w:rPr>
            </w:pPr>
            <w:r>
              <w:rPr>
                <w:rFonts w:hint="eastAsia" w:ascii="Times New Roman" w:hAnsi="Times New Roman"/>
                <w:color w:val="auto"/>
              </w:rPr>
              <w:t>技术职称</w:t>
            </w:r>
          </w:p>
        </w:tc>
        <w:tc>
          <w:tcPr>
            <w:tcW w:w="1287"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olor w:val="auto"/>
              </w:rPr>
            </w:pPr>
          </w:p>
        </w:tc>
        <w:tc>
          <w:tcPr>
            <w:tcW w:w="1112" w:type="dxa"/>
            <w:gridSpan w:val="2"/>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Times New Roman" w:hAnsi="Times New Roman"/>
                <w:color w:val="auto"/>
              </w:rPr>
            </w:pPr>
            <w:r>
              <w:rPr>
                <w:rFonts w:hint="eastAsia" w:ascii="Times New Roman" w:hAnsi="Times New Roman"/>
                <w:color w:val="auto"/>
              </w:rPr>
              <w:t>电话</w:t>
            </w:r>
          </w:p>
        </w:tc>
        <w:tc>
          <w:tcPr>
            <w:tcW w:w="123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olor w:val="auto"/>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olor w:val="auto"/>
              </w:rPr>
            </w:pPr>
            <w:r>
              <w:rPr>
                <w:rFonts w:hint="eastAsia" w:ascii="Times New Roman" w:hAnsi="Times New Roman"/>
                <w:color w:val="auto"/>
                <w:szCs w:val="21"/>
              </w:rPr>
              <w:t>技术负责人</w:t>
            </w:r>
          </w:p>
        </w:tc>
        <w:tc>
          <w:tcPr>
            <w:tcW w:w="898"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Times New Roman" w:hAnsi="Times New Roman"/>
                <w:color w:val="auto"/>
              </w:rPr>
            </w:pPr>
            <w:r>
              <w:rPr>
                <w:rFonts w:hint="eastAsia" w:ascii="Times New Roman" w:hAnsi="Times New Roman"/>
                <w:color w:val="auto"/>
              </w:rPr>
              <w:t>姓名</w:t>
            </w:r>
          </w:p>
        </w:tc>
        <w:tc>
          <w:tcPr>
            <w:tcW w:w="10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olor w:val="auto"/>
              </w:rPr>
            </w:pPr>
          </w:p>
        </w:tc>
        <w:tc>
          <w:tcPr>
            <w:tcW w:w="1287"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Times New Roman" w:hAnsi="Times New Roman"/>
                <w:color w:val="auto"/>
              </w:rPr>
            </w:pPr>
            <w:r>
              <w:rPr>
                <w:rFonts w:hint="eastAsia" w:ascii="Times New Roman" w:hAnsi="Times New Roman"/>
                <w:color w:val="auto"/>
              </w:rPr>
              <w:t>技术职称</w:t>
            </w:r>
          </w:p>
        </w:tc>
        <w:tc>
          <w:tcPr>
            <w:tcW w:w="1287"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olor w:val="auto"/>
              </w:rPr>
            </w:pPr>
          </w:p>
        </w:tc>
        <w:tc>
          <w:tcPr>
            <w:tcW w:w="1112" w:type="dxa"/>
            <w:gridSpan w:val="2"/>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Times New Roman" w:hAnsi="Times New Roman"/>
                <w:color w:val="auto"/>
              </w:rPr>
            </w:pPr>
            <w:r>
              <w:rPr>
                <w:rFonts w:hint="eastAsia" w:ascii="Times New Roman" w:hAnsi="Times New Roman"/>
                <w:color w:val="auto"/>
              </w:rPr>
              <w:t>电话</w:t>
            </w:r>
          </w:p>
        </w:tc>
        <w:tc>
          <w:tcPr>
            <w:tcW w:w="123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olor w:val="auto"/>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Times New Roman" w:hAnsi="Times New Roman"/>
                <w:color w:val="auto"/>
              </w:rPr>
            </w:pPr>
            <w:r>
              <w:rPr>
                <w:rFonts w:hint="eastAsia" w:ascii="Times New Roman" w:hAnsi="Times New Roman"/>
                <w:color w:val="auto"/>
              </w:rPr>
              <w:t>企业</w:t>
            </w:r>
            <w:r>
              <w:rPr>
                <w:rFonts w:hint="eastAsia" w:ascii="Times New Roman" w:hAnsi="Times New Roman"/>
                <w:color w:val="auto"/>
                <w:szCs w:val="21"/>
              </w:rPr>
              <w:t>勘察</w:t>
            </w:r>
            <w:r>
              <w:rPr>
                <w:rFonts w:hint="eastAsia" w:ascii="Times New Roman" w:hAnsi="Times New Roman"/>
                <w:color w:val="auto"/>
              </w:rPr>
              <w:t>资质证书</w:t>
            </w:r>
          </w:p>
        </w:tc>
        <w:tc>
          <w:tcPr>
            <w:tcW w:w="6840" w:type="dxa"/>
            <w:gridSpan w:val="8"/>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ind w:firstLine="105" w:firstLineChars="50"/>
              <w:jc w:val="center"/>
              <w:rPr>
                <w:rFonts w:ascii="Times New Roman" w:hAnsi="Times New Roman"/>
                <w:color w:val="auto"/>
              </w:rPr>
            </w:pPr>
            <w:r>
              <w:rPr>
                <w:rFonts w:hint="eastAsia" w:ascii="Times New Roman" w:hAnsi="Times New Roman"/>
                <w:color w:val="auto"/>
              </w:rPr>
              <w:t>类型：</w:t>
            </w:r>
            <w:r>
              <w:rPr>
                <w:rFonts w:ascii="Times New Roman" w:hAnsi="Times New Roman"/>
                <w:color w:val="auto"/>
              </w:rPr>
              <w:t xml:space="preserve">                    </w:t>
            </w:r>
            <w:r>
              <w:rPr>
                <w:rFonts w:hint="eastAsia" w:ascii="Times New Roman" w:hAnsi="Times New Roman"/>
                <w:color w:val="auto"/>
              </w:rPr>
              <w:t>等级：</w:t>
            </w:r>
            <w:r>
              <w:rPr>
                <w:rFonts w:ascii="Times New Roman" w:hAnsi="Times New Roman"/>
                <w:color w:val="auto"/>
              </w:rPr>
              <w:t xml:space="preserve">      </w:t>
            </w:r>
            <w:r>
              <w:rPr>
                <w:rFonts w:hint="eastAsia" w:ascii="Times New Roman" w:hAnsi="Times New Roman"/>
                <w:color w:val="auto"/>
              </w:rPr>
              <w:t>证书号：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Times New Roman" w:hAnsi="Times New Roman"/>
                <w:color w:val="auto"/>
              </w:rPr>
            </w:pPr>
            <w:r>
              <w:rPr>
                <w:rFonts w:hint="eastAsia" w:ascii="Times New Roman" w:hAnsi="Times New Roman"/>
                <w:color w:val="auto"/>
              </w:rPr>
              <w:t>质量管理体系证书（如有）</w:t>
            </w:r>
          </w:p>
        </w:tc>
        <w:tc>
          <w:tcPr>
            <w:tcW w:w="6840" w:type="dxa"/>
            <w:gridSpan w:val="8"/>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ind w:firstLine="105" w:firstLineChars="50"/>
              <w:jc w:val="center"/>
              <w:rPr>
                <w:rFonts w:ascii="Times New Roman" w:hAnsi="Times New Roman"/>
                <w:color w:val="auto"/>
              </w:rPr>
            </w:pPr>
            <w:r>
              <w:rPr>
                <w:rFonts w:hint="eastAsia" w:ascii="Times New Roman" w:hAnsi="Times New Roman"/>
                <w:color w:val="auto"/>
              </w:rPr>
              <w:t>类型：</w:t>
            </w:r>
            <w:r>
              <w:rPr>
                <w:rFonts w:ascii="Times New Roman" w:hAnsi="Times New Roman"/>
                <w:color w:val="auto"/>
              </w:rPr>
              <w:t xml:space="preserve">                    </w:t>
            </w:r>
            <w:r>
              <w:rPr>
                <w:rFonts w:hint="eastAsia" w:ascii="Times New Roman" w:hAnsi="Times New Roman"/>
                <w:color w:val="auto"/>
              </w:rPr>
              <w:t>等级：</w:t>
            </w:r>
            <w:r>
              <w:rPr>
                <w:rFonts w:ascii="Times New Roman" w:hAnsi="Times New Roman"/>
                <w:color w:val="auto"/>
              </w:rPr>
              <w:t xml:space="preserve">      </w:t>
            </w:r>
            <w:r>
              <w:rPr>
                <w:rFonts w:hint="eastAsia" w:ascii="Times New Roman" w:hAnsi="Times New Roman"/>
                <w:color w:val="auto"/>
              </w:rPr>
              <w:t>证书号：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Times New Roman" w:hAnsi="Times New Roman"/>
                <w:color w:val="auto"/>
              </w:rPr>
            </w:pPr>
            <w:r>
              <w:rPr>
                <w:rFonts w:hint="eastAsia" w:ascii="Times New Roman" w:hAnsi="Times New Roman"/>
                <w:color w:val="auto"/>
              </w:rPr>
              <w:t>营业执照号</w:t>
            </w:r>
          </w:p>
        </w:tc>
        <w:tc>
          <w:tcPr>
            <w:tcW w:w="3211"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olor w:val="auto"/>
              </w:rPr>
            </w:pPr>
          </w:p>
        </w:tc>
        <w:tc>
          <w:tcPr>
            <w:tcW w:w="3629" w:type="dxa"/>
            <w:gridSpan w:val="5"/>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Times New Roman" w:hAnsi="Times New Roman"/>
                <w:color w:val="auto"/>
              </w:rPr>
            </w:pPr>
            <w:r>
              <w:rPr>
                <w:rFonts w:hint="eastAsia" w:ascii="Times New Roman" w:hAnsi="Times New Roman"/>
                <w:color w:val="auto"/>
              </w:rPr>
              <w:t>员工总人数：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Times New Roman" w:hAnsi="Times New Roman"/>
                <w:color w:val="auto"/>
              </w:rPr>
            </w:pPr>
            <w:r>
              <w:rPr>
                <w:rFonts w:hint="eastAsia" w:ascii="Times New Roman" w:hAnsi="Times New Roman"/>
                <w:color w:val="auto"/>
              </w:rPr>
              <w:t>注册资本</w:t>
            </w:r>
          </w:p>
        </w:tc>
        <w:tc>
          <w:tcPr>
            <w:tcW w:w="3211"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olor w:val="auto"/>
              </w:rPr>
            </w:pPr>
          </w:p>
        </w:tc>
        <w:tc>
          <w:tcPr>
            <w:tcW w:w="414" w:type="dxa"/>
            <w:vMerge w:val="restart"/>
            <w:tcBorders>
              <w:top w:val="single" w:color="auto" w:sz="4" w:space="0"/>
              <w:left w:val="single" w:color="auto" w:sz="4" w:space="0"/>
              <w:right w:val="single" w:color="auto" w:sz="4" w:space="0"/>
            </w:tcBorders>
            <w:vAlign w:val="center"/>
          </w:tcPr>
          <w:p>
            <w:pPr>
              <w:topLinePunct/>
              <w:spacing w:before="100" w:beforeAutospacing="1" w:after="100" w:afterAutospacing="1" w:line="440" w:lineRule="exact"/>
              <w:jc w:val="center"/>
              <w:rPr>
                <w:rFonts w:ascii="Times New Roman" w:hAnsi="Times New Roman"/>
                <w:color w:val="auto"/>
              </w:rPr>
            </w:pPr>
            <w:r>
              <w:rPr>
                <w:rFonts w:hint="eastAsia" w:ascii="Times New Roman" w:hAnsi="Times New Roman"/>
                <w:color w:val="auto"/>
              </w:rPr>
              <w:t>其中</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Times New Roman" w:hAnsi="Times New Roman"/>
                <w:color w:val="auto"/>
              </w:rPr>
            </w:pPr>
            <w:r>
              <w:rPr>
                <w:rFonts w:hint="eastAsia" w:ascii="Times New Roman" w:hAnsi="Times New Roman"/>
                <w:color w:val="auto"/>
              </w:rPr>
              <w:t>高级职称人员</w:t>
            </w:r>
          </w:p>
        </w:tc>
        <w:tc>
          <w:tcPr>
            <w:tcW w:w="1514"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olor w:val="auto"/>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Times New Roman" w:hAnsi="Times New Roman"/>
                <w:color w:val="auto"/>
              </w:rPr>
            </w:pPr>
            <w:r>
              <w:rPr>
                <w:rFonts w:hint="eastAsia" w:ascii="Times New Roman" w:hAnsi="Times New Roman"/>
                <w:color w:val="auto"/>
              </w:rPr>
              <w:t>成立日期</w:t>
            </w:r>
          </w:p>
        </w:tc>
        <w:tc>
          <w:tcPr>
            <w:tcW w:w="3211"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olor w:val="auto"/>
              </w:rPr>
            </w:pPr>
          </w:p>
        </w:tc>
        <w:tc>
          <w:tcPr>
            <w:tcW w:w="414" w:type="dxa"/>
            <w:vMerge w:val="continue"/>
            <w:tcBorders>
              <w:left w:val="single" w:color="auto" w:sz="4" w:space="0"/>
              <w:right w:val="single" w:color="auto" w:sz="4" w:space="0"/>
            </w:tcBorders>
            <w:vAlign w:val="center"/>
          </w:tcPr>
          <w:p>
            <w:pPr>
              <w:jc w:val="center"/>
              <w:rPr>
                <w:rFonts w:ascii="Times New Roman" w:hAnsi="Times New Roman"/>
                <w:color w:val="auto"/>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Times New Roman" w:hAnsi="Times New Roman"/>
                <w:color w:val="auto"/>
              </w:rPr>
            </w:pPr>
            <w:r>
              <w:rPr>
                <w:rFonts w:hint="eastAsia" w:ascii="Times New Roman" w:hAnsi="Times New Roman"/>
                <w:color w:val="auto"/>
              </w:rPr>
              <w:t>中级职称人员</w:t>
            </w:r>
          </w:p>
        </w:tc>
        <w:tc>
          <w:tcPr>
            <w:tcW w:w="1514"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olor w:val="auto"/>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Times New Roman" w:hAnsi="Times New Roman"/>
                <w:color w:val="auto"/>
              </w:rPr>
            </w:pPr>
            <w:r>
              <w:rPr>
                <w:rFonts w:hint="eastAsia" w:ascii="Times New Roman" w:hAnsi="Times New Roman"/>
                <w:color w:val="auto"/>
              </w:rPr>
              <w:t>基本账户开户银行</w:t>
            </w:r>
          </w:p>
        </w:tc>
        <w:tc>
          <w:tcPr>
            <w:tcW w:w="3211"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olor w:val="auto"/>
              </w:rPr>
            </w:pPr>
          </w:p>
        </w:tc>
        <w:tc>
          <w:tcPr>
            <w:tcW w:w="414" w:type="dxa"/>
            <w:vMerge w:val="continue"/>
            <w:tcBorders>
              <w:left w:val="single" w:color="auto" w:sz="4" w:space="0"/>
              <w:right w:val="single" w:color="auto" w:sz="4" w:space="0"/>
            </w:tcBorders>
            <w:vAlign w:val="center"/>
          </w:tcPr>
          <w:p>
            <w:pPr>
              <w:jc w:val="center"/>
              <w:rPr>
                <w:rFonts w:ascii="Times New Roman" w:hAnsi="Times New Roman"/>
                <w:color w:val="auto"/>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Times New Roman" w:hAnsi="Times New Roman"/>
                <w:color w:val="auto"/>
              </w:rPr>
            </w:pPr>
            <w:r>
              <w:rPr>
                <w:rFonts w:hint="eastAsia" w:ascii="Times New Roman" w:hAnsi="Times New Roman"/>
                <w:color w:val="auto"/>
              </w:rPr>
              <w:t>技术人员数量</w:t>
            </w:r>
          </w:p>
        </w:tc>
        <w:tc>
          <w:tcPr>
            <w:tcW w:w="1514"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olor w:val="auto"/>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Times New Roman" w:hAnsi="Times New Roman"/>
                <w:color w:val="auto"/>
              </w:rPr>
            </w:pPr>
            <w:r>
              <w:rPr>
                <w:rFonts w:hint="eastAsia" w:ascii="Times New Roman" w:hAnsi="Times New Roman"/>
                <w:color w:val="auto"/>
              </w:rPr>
              <w:t>基本账户银行账号</w:t>
            </w:r>
          </w:p>
        </w:tc>
        <w:tc>
          <w:tcPr>
            <w:tcW w:w="3211"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olor w:val="auto"/>
              </w:rPr>
            </w:pPr>
          </w:p>
        </w:tc>
        <w:tc>
          <w:tcPr>
            <w:tcW w:w="414" w:type="dxa"/>
            <w:vMerge w:val="continue"/>
            <w:tcBorders>
              <w:left w:val="single" w:color="auto" w:sz="4" w:space="0"/>
              <w:right w:val="single" w:color="auto" w:sz="4" w:space="0"/>
            </w:tcBorders>
            <w:vAlign w:val="center"/>
          </w:tcPr>
          <w:p>
            <w:pPr>
              <w:jc w:val="center"/>
              <w:rPr>
                <w:rFonts w:ascii="Times New Roman" w:hAnsi="Times New Roman"/>
                <w:color w:val="auto"/>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Times New Roman" w:hAnsi="Times New Roman"/>
                <w:color w:val="auto"/>
              </w:rPr>
            </w:pPr>
            <w:r>
              <w:rPr>
                <w:rFonts w:hint="eastAsia" w:ascii="Times New Roman" w:hAnsi="Times New Roman"/>
                <w:color w:val="auto"/>
                <w:szCs w:val="21"/>
              </w:rPr>
              <w:t>各类注册人员</w:t>
            </w:r>
          </w:p>
        </w:tc>
        <w:tc>
          <w:tcPr>
            <w:tcW w:w="1514"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olor w:val="auto"/>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right w:val="single" w:color="auto" w:sz="4" w:space="0"/>
            </w:tcBorders>
            <w:vAlign w:val="center"/>
          </w:tcPr>
          <w:p>
            <w:pPr>
              <w:topLinePunct/>
              <w:spacing w:before="100" w:beforeAutospacing="1" w:after="100" w:afterAutospacing="1" w:line="440" w:lineRule="exact"/>
              <w:ind w:firstLine="210" w:firstLineChars="100"/>
              <w:jc w:val="center"/>
              <w:rPr>
                <w:rFonts w:ascii="Times New Roman" w:hAnsi="Times New Roman"/>
                <w:color w:val="auto"/>
              </w:rPr>
            </w:pPr>
            <w:r>
              <w:rPr>
                <w:rFonts w:hint="eastAsia" w:ascii="Times New Roman" w:hAnsi="Times New Roman"/>
                <w:color w:val="auto"/>
              </w:rPr>
              <w:t>经营范围</w:t>
            </w:r>
          </w:p>
        </w:tc>
        <w:tc>
          <w:tcPr>
            <w:tcW w:w="6840" w:type="dxa"/>
            <w:gridSpan w:val="8"/>
            <w:tcBorders>
              <w:top w:val="single" w:color="auto" w:sz="4" w:space="0"/>
              <w:left w:val="single" w:color="auto" w:sz="4" w:space="0"/>
              <w:right w:val="single" w:color="auto" w:sz="4" w:space="0"/>
            </w:tcBorders>
            <w:vAlign w:val="center"/>
          </w:tcPr>
          <w:p>
            <w:pPr>
              <w:topLinePunct/>
              <w:spacing w:line="440" w:lineRule="exact"/>
              <w:jc w:val="center"/>
              <w:rPr>
                <w:rFonts w:ascii="Times New Roman" w:hAnsi="Times New Roman"/>
                <w:color w:val="auto"/>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right w:val="single" w:color="auto" w:sz="4" w:space="0"/>
            </w:tcBorders>
            <w:vAlign w:val="center"/>
          </w:tcPr>
          <w:p>
            <w:pPr>
              <w:topLinePunct/>
              <w:spacing w:before="100" w:beforeAutospacing="1" w:after="100" w:afterAutospacing="1" w:line="440" w:lineRule="exact"/>
              <w:jc w:val="center"/>
              <w:rPr>
                <w:rFonts w:ascii="Times New Roman" w:hAnsi="Times New Roman"/>
                <w:color w:val="auto"/>
              </w:rPr>
            </w:pPr>
            <w:r>
              <w:rPr>
                <w:rFonts w:hint="eastAsia" w:ascii="Times New Roman" w:hAnsi="Times New Roman"/>
                <w:color w:val="auto"/>
                <w:szCs w:val="21"/>
              </w:rPr>
              <w:t>投标人关联企业情况（包括但不限于与投标人法定代表人为同一人或者存在控股、管理关系的不同单位）</w:t>
            </w:r>
          </w:p>
        </w:tc>
        <w:tc>
          <w:tcPr>
            <w:tcW w:w="6840" w:type="dxa"/>
            <w:gridSpan w:val="8"/>
            <w:tcBorders>
              <w:top w:val="single" w:color="auto" w:sz="4" w:space="0"/>
              <w:left w:val="single" w:color="auto" w:sz="4" w:space="0"/>
              <w:right w:val="single" w:color="auto" w:sz="4" w:space="0"/>
            </w:tcBorders>
            <w:vAlign w:val="center"/>
          </w:tcPr>
          <w:p>
            <w:pPr>
              <w:topLinePunct/>
              <w:spacing w:line="440" w:lineRule="exact"/>
              <w:jc w:val="center"/>
              <w:rPr>
                <w:rFonts w:ascii="Times New Roman" w:hAnsi="Times New Roman"/>
                <w:color w:val="auto"/>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Times New Roman" w:hAnsi="Times New Roman"/>
                <w:color w:val="auto"/>
              </w:rPr>
            </w:pPr>
            <w:r>
              <w:rPr>
                <w:rFonts w:hint="eastAsia" w:ascii="Times New Roman" w:hAnsi="Times New Roman"/>
                <w:color w:val="auto"/>
              </w:rPr>
              <w:t>备注</w:t>
            </w:r>
          </w:p>
        </w:tc>
        <w:tc>
          <w:tcPr>
            <w:tcW w:w="6840" w:type="dxa"/>
            <w:gridSpan w:val="8"/>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olor w:val="auto"/>
              </w:rPr>
            </w:pPr>
          </w:p>
        </w:tc>
      </w:tr>
    </w:tbl>
    <w:p>
      <w:pPr>
        <w:spacing w:line="400" w:lineRule="exact"/>
        <w:rPr>
          <w:rFonts w:ascii="Times New Roman" w:hAnsi="Times New Roman"/>
          <w:color w:val="auto"/>
        </w:rPr>
      </w:pPr>
      <w:r>
        <w:rPr>
          <w:rFonts w:ascii="Times New Roman" w:hAnsi="Times New Roman"/>
          <w:color w:val="auto"/>
        </w:rPr>
        <w:t>注：投标人应根据投标人须知第3.5.1项的要求在本表后附相关证明材料。境内投标人以现金或者支票形式提交投标保证金的，还应附基本账户开户许可证复印件。</w:t>
      </w:r>
    </w:p>
    <w:p>
      <w:pPr>
        <w:spacing w:line="440" w:lineRule="exact"/>
        <w:rPr>
          <w:rFonts w:ascii="Times New Roman" w:hAnsi="Times New Roman"/>
          <w:color w:val="auto"/>
          <w:u w:val="single"/>
        </w:rPr>
      </w:pPr>
    </w:p>
    <w:p>
      <w:pPr>
        <w:pStyle w:val="6"/>
        <w:ind w:firstLine="137"/>
        <w:rPr>
          <w:rFonts w:ascii="Times New Roman" w:hAnsi="Times New Roman"/>
          <w:color w:val="auto"/>
        </w:rPr>
      </w:pPr>
      <w:bookmarkStart w:id="740" w:name="_Toc492300950"/>
      <w:r>
        <w:rPr>
          <w:rFonts w:hint="eastAsia" w:ascii="Times New Roman" w:hAnsi="Times New Roman"/>
          <w:color w:val="auto"/>
        </w:rPr>
        <w:t>（二）近年财务状况表</w:t>
      </w:r>
      <w:bookmarkEnd w:id="740"/>
    </w:p>
    <w:p>
      <w:pPr>
        <w:topLinePunct/>
        <w:spacing w:line="440" w:lineRule="exact"/>
        <w:ind w:firstLine="420" w:firstLineChars="200"/>
        <w:rPr>
          <w:rFonts w:ascii="Times New Roman" w:hAnsi="Times New Roman"/>
          <w:color w:val="auto"/>
        </w:rPr>
      </w:pPr>
      <w:r>
        <w:rPr>
          <w:rFonts w:ascii="Times New Roman" w:hAnsi="Times New Roman"/>
          <w:color w:val="auto"/>
        </w:rPr>
        <w:t>投标人应根据投标人须知第3.5.2项的要求在本表后附相关证明材料。</w:t>
      </w:r>
    </w:p>
    <w:p>
      <w:pPr>
        <w:topLinePunct/>
        <w:spacing w:line="440" w:lineRule="exact"/>
        <w:ind w:firstLine="420" w:firstLineChars="200"/>
        <w:rPr>
          <w:rFonts w:ascii="Times New Roman" w:hAnsi="Times New Roman"/>
          <w:color w:val="auto"/>
          <w:sz w:val="20"/>
        </w:rPr>
      </w:pPr>
      <w:r>
        <w:rPr>
          <w:rFonts w:ascii="Times New Roman" w:hAnsi="Times New Roman"/>
          <w:color w:val="auto"/>
        </w:rPr>
        <w:br w:type="page"/>
      </w:r>
    </w:p>
    <w:p>
      <w:pPr>
        <w:pStyle w:val="6"/>
        <w:ind w:firstLine="137"/>
        <w:rPr>
          <w:rFonts w:ascii="Times New Roman" w:hAnsi="Times New Roman"/>
          <w:color w:val="auto"/>
        </w:rPr>
      </w:pPr>
      <w:bookmarkStart w:id="741" w:name="_Toc492300951"/>
      <w:r>
        <w:rPr>
          <w:rFonts w:hint="eastAsia" w:ascii="Times New Roman" w:hAnsi="Times New Roman"/>
          <w:color w:val="auto"/>
        </w:rPr>
        <w:t>（三）近年完成的类似项目情况表</w:t>
      </w:r>
      <w:bookmarkEnd w:id="741"/>
    </w:p>
    <w:tbl>
      <w:tblPr>
        <w:tblStyle w:val="38"/>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6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olor w:val="auto"/>
              </w:rPr>
            </w:pPr>
            <w:r>
              <w:rPr>
                <w:rFonts w:hint="eastAsia" w:ascii="Times New Roman" w:hAnsi="Times New Roman"/>
                <w:color w:val="auto"/>
              </w:rPr>
              <w:t>项目名称</w:t>
            </w:r>
          </w:p>
        </w:tc>
        <w:tc>
          <w:tcPr>
            <w:tcW w:w="6253" w:type="dxa"/>
            <w:tcBorders>
              <w:top w:val="single" w:color="auto" w:sz="4" w:space="0"/>
              <w:left w:val="single" w:color="auto" w:sz="4" w:space="0"/>
              <w:bottom w:val="single" w:color="auto" w:sz="4" w:space="0"/>
              <w:right w:val="single" w:color="auto" w:sz="4" w:space="0"/>
            </w:tcBorders>
          </w:tcPr>
          <w:p>
            <w:pPr>
              <w:topLinePunct/>
              <w:spacing w:line="440" w:lineRule="exact"/>
              <w:rPr>
                <w:rFonts w:ascii="Times New Roman" w:hAnsi="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olor w:val="auto"/>
              </w:rPr>
            </w:pPr>
            <w:r>
              <w:rPr>
                <w:rFonts w:hint="eastAsia" w:ascii="Times New Roman" w:hAnsi="Times New Roman"/>
                <w:color w:val="auto"/>
              </w:rPr>
              <w:t>项目所在地</w:t>
            </w:r>
          </w:p>
        </w:tc>
        <w:tc>
          <w:tcPr>
            <w:tcW w:w="6253" w:type="dxa"/>
            <w:tcBorders>
              <w:top w:val="single" w:color="auto" w:sz="4" w:space="0"/>
              <w:left w:val="single" w:color="auto" w:sz="4" w:space="0"/>
              <w:bottom w:val="single" w:color="auto" w:sz="4" w:space="0"/>
              <w:right w:val="single" w:color="auto" w:sz="4" w:space="0"/>
            </w:tcBorders>
          </w:tcPr>
          <w:p>
            <w:pPr>
              <w:topLinePunct/>
              <w:spacing w:line="440" w:lineRule="exact"/>
              <w:rPr>
                <w:rFonts w:ascii="Times New Roman" w:hAnsi="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olor w:val="auto"/>
              </w:rPr>
            </w:pPr>
            <w:r>
              <w:rPr>
                <w:rFonts w:hint="eastAsia" w:ascii="Times New Roman" w:hAnsi="Times New Roman"/>
                <w:color w:val="auto"/>
              </w:rPr>
              <w:t>发包人名称</w:t>
            </w:r>
          </w:p>
        </w:tc>
        <w:tc>
          <w:tcPr>
            <w:tcW w:w="6253" w:type="dxa"/>
            <w:tcBorders>
              <w:top w:val="single" w:color="auto" w:sz="4" w:space="0"/>
              <w:left w:val="single" w:color="auto" w:sz="4" w:space="0"/>
              <w:bottom w:val="single" w:color="auto" w:sz="4" w:space="0"/>
              <w:right w:val="single" w:color="auto" w:sz="4" w:space="0"/>
            </w:tcBorders>
          </w:tcPr>
          <w:p>
            <w:pPr>
              <w:topLinePunct/>
              <w:spacing w:line="440" w:lineRule="exact"/>
              <w:rPr>
                <w:rFonts w:ascii="Times New Roman" w:hAnsi="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olor w:val="auto"/>
              </w:rPr>
            </w:pPr>
            <w:r>
              <w:rPr>
                <w:rFonts w:hint="eastAsia" w:ascii="Times New Roman" w:hAnsi="Times New Roman"/>
                <w:color w:val="auto"/>
              </w:rPr>
              <w:t>发包人地址</w:t>
            </w:r>
          </w:p>
        </w:tc>
        <w:tc>
          <w:tcPr>
            <w:tcW w:w="6253" w:type="dxa"/>
            <w:tcBorders>
              <w:top w:val="single" w:color="auto" w:sz="4" w:space="0"/>
              <w:left w:val="single" w:color="auto" w:sz="4" w:space="0"/>
              <w:bottom w:val="single" w:color="auto" w:sz="4" w:space="0"/>
              <w:right w:val="single" w:color="auto" w:sz="4" w:space="0"/>
            </w:tcBorders>
          </w:tcPr>
          <w:p>
            <w:pPr>
              <w:topLinePunct/>
              <w:spacing w:line="440" w:lineRule="exact"/>
              <w:rPr>
                <w:rFonts w:ascii="Times New Roman" w:hAnsi="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olor w:val="auto"/>
              </w:rPr>
            </w:pPr>
            <w:r>
              <w:rPr>
                <w:rFonts w:hint="eastAsia" w:ascii="Times New Roman" w:hAnsi="Times New Roman"/>
                <w:color w:val="auto"/>
              </w:rPr>
              <w:t>发包人电话</w:t>
            </w:r>
          </w:p>
        </w:tc>
        <w:tc>
          <w:tcPr>
            <w:tcW w:w="6253" w:type="dxa"/>
            <w:tcBorders>
              <w:top w:val="single" w:color="auto" w:sz="4" w:space="0"/>
              <w:left w:val="single" w:color="auto" w:sz="4" w:space="0"/>
              <w:bottom w:val="single" w:color="auto" w:sz="4" w:space="0"/>
              <w:right w:val="single" w:color="auto" w:sz="4" w:space="0"/>
            </w:tcBorders>
          </w:tcPr>
          <w:p>
            <w:pPr>
              <w:topLinePunct/>
              <w:spacing w:line="440" w:lineRule="exact"/>
              <w:rPr>
                <w:rFonts w:ascii="Times New Roman" w:hAnsi="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olor w:val="auto"/>
              </w:rPr>
            </w:pPr>
            <w:r>
              <w:rPr>
                <w:rFonts w:hint="eastAsia" w:ascii="Times New Roman" w:hAnsi="Times New Roman"/>
                <w:color w:val="auto"/>
              </w:rPr>
              <w:t>合同价格</w:t>
            </w:r>
          </w:p>
        </w:tc>
        <w:tc>
          <w:tcPr>
            <w:tcW w:w="6253" w:type="dxa"/>
            <w:tcBorders>
              <w:top w:val="single" w:color="auto" w:sz="4" w:space="0"/>
              <w:left w:val="single" w:color="auto" w:sz="4" w:space="0"/>
              <w:bottom w:val="single" w:color="auto" w:sz="4" w:space="0"/>
              <w:right w:val="single" w:color="auto" w:sz="4" w:space="0"/>
            </w:tcBorders>
          </w:tcPr>
          <w:p>
            <w:pPr>
              <w:topLinePunct/>
              <w:spacing w:line="440" w:lineRule="exact"/>
              <w:rPr>
                <w:rFonts w:ascii="Times New Roman" w:hAnsi="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olor w:val="auto"/>
              </w:rPr>
            </w:pPr>
            <w:r>
              <w:rPr>
                <w:rFonts w:hint="eastAsia" w:ascii="Times New Roman" w:hAnsi="Times New Roman"/>
                <w:color w:val="auto"/>
              </w:rPr>
              <w:t>勘察服务期限</w:t>
            </w:r>
          </w:p>
        </w:tc>
        <w:tc>
          <w:tcPr>
            <w:tcW w:w="6253" w:type="dxa"/>
            <w:tcBorders>
              <w:top w:val="single" w:color="auto" w:sz="4" w:space="0"/>
              <w:left w:val="single" w:color="auto" w:sz="4" w:space="0"/>
              <w:bottom w:val="single" w:color="auto" w:sz="4" w:space="0"/>
              <w:right w:val="single" w:color="auto" w:sz="4" w:space="0"/>
            </w:tcBorders>
          </w:tcPr>
          <w:p>
            <w:pPr>
              <w:topLinePunct/>
              <w:spacing w:line="440" w:lineRule="exact"/>
              <w:rPr>
                <w:rFonts w:ascii="Times New Roman" w:hAnsi="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olor w:val="auto"/>
              </w:rPr>
            </w:pPr>
            <w:r>
              <w:rPr>
                <w:rFonts w:hint="eastAsia" w:ascii="Times New Roman" w:hAnsi="Times New Roman"/>
                <w:color w:val="auto"/>
              </w:rPr>
              <w:t>勘察内容</w:t>
            </w:r>
          </w:p>
        </w:tc>
        <w:tc>
          <w:tcPr>
            <w:tcW w:w="6253" w:type="dxa"/>
            <w:tcBorders>
              <w:top w:val="single" w:color="auto" w:sz="4" w:space="0"/>
              <w:left w:val="single" w:color="auto" w:sz="4" w:space="0"/>
              <w:bottom w:val="single" w:color="auto" w:sz="4" w:space="0"/>
              <w:right w:val="single" w:color="auto" w:sz="4" w:space="0"/>
            </w:tcBorders>
          </w:tcPr>
          <w:p>
            <w:pPr>
              <w:topLinePunct/>
              <w:spacing w:line="440" w:lineRule="exact"/>
              <w:rPr>
                <w:rFonts w:ascii="Times New Roman" w:hAnsi="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olor w:val="auto"/>
              </w:rPr>
            </w:pPr>
            <w:r>
              <w:rPr>
                <w:rFonts w:hint="eastAsia" w:ascii="Times New Roman" w:hAnsi="Times New Roman"/>
                <w:color w:val="auto"/>
              </w:rPr>
              <w:t>项目负责人</w:t>
            </w:r>
          </w:p>
        </w:tc>
        <w:tc>
          <w:tcPr>
            <w:tcW w:w="6253" w:type="dxa"/>
            <w:tcBorders>
              <w:top w:val="single" w:color="auto" w:sz="4" w:space="0"/>
              <w:left w:val="single" w:color="auto" w:sz="4" w:space="0"/>
              <w:bottom w:val="single" w:color="auto" w:sz="4" w:space="0"/>
              <w:right w:val="single" w:color="auto" w:sz="4" w:space="0"/>
            </w:tcBorders>
          </w:tcPr>
          <w:p>
            <w:pPr>
              <w:topLinePunct/>
              <w:spacing w:line="440" w:lineRule="exact"/>
              <w:rPr>
                <w:rFonts w:ascii="Times New Roman" w:hAnsi="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olor w:val="auto"/>
              </w:rPr>
            </w:pPr>
            <w:r>
              <w:rPr>
                <w:rFonts w:hint="eastAsia" w:ascii="Times New Roman" w:hAnsi="Times New Roman"/>
                <w:color w:val="auto"/>
              </w:rPr>
              <w:t>项目描述</w:t>
            </w:r>
          </w:p>
        </w:tc>
        <w:tc>
          <w:tcPr>
            <w:tcW w:w="6253" w:type="dxa"/>
            <w:tcBorders>
              <w:top w:val="single" w:color="auto" w:sz="4" w:space="0"/>
              <w:left w:val="single" w:color="auto" w:sz="4" w:space="0"/>
              <w:bottom w:val="single" w:color="auto" w:sz="4" w:space="0"/>
              <w:right w:val="single" w:color="auto" w:sz="4" w:space="0"/>
            </w:tcBorders>
          </w:tcPr>
          <w:p>
            <w:pPr>
              <w:topLinePunct/>
              <w:spacing w:line="440" w:lineRule="exact"/>
              <w:rPr>
                <w:rFonts w:ascii="Times New Roman" w:hAnsi="Times New Roman"/>
                <w:color w:val="auto"/>
              </w:rPr>
            </w:pPr>
          </w:p>
          <w:p>
            <w:pPr>
              <w:topLinePunct/>
              <w:spacing w:line="440" w:lineRule="exact"/>
              <w:rPr>
                <w:rFonts w:ascii="Times New Roman" w:hAnsi="Times New Roman"/>
                <w:color w:val="auto"/>
              </w:rPr>
            </w:pPr>
          </w:p>
          <w:p>
            <w:pPr>
              <w:topLinePunct/>
              <w:spacing w:line="440" w:lineRule="exact"/>
              <w:rPr>
                <w:rFonts w:ascii="Times New Roman" w:hAnsi="Times New Roman"/>
                <w:color w:val="auto"/>
              </w:rPr>
            </w:pPr>
          </w:p>
          <w:p>
            <w:pPr>
              <w:topLinePunct/>
              <w:spacing w:line="440" w:lineRule="exact"/>
              <w:rPr>
                <w:rFonts w:ascii="Times New Roman" w:hAnsi="Times New Roman"/>
                <w:color w:val="auto"/>
              </w:rPr>
            </w:pPr>
          </w:p>
          <w:p>
            <w:pPr>
              <w:topLinePunct/>
              <w:spacing w:line="440" w:lineRule="exact"/>
              <w:rPr>
                <w:rFonts w:ascii="Times New Roman" w:hAnsi="Times New Roman"/>
                <w:color w:val="auto"/>
              </w:rPr>
            </w:pPr>
          </w:p>
          <w:p>
            <w:pPr>
              <w:topLinePunct/>
              <w:spacing w:line="440" w:lineRule="exact"/>
              <w:rPr>
                <w:rFonts w:ascii="Times New Roman" w:hAnsi="Times New Roman"/>
                <w:color w:val="auto"/>
              </w:rPr>
            </w:pPr>
          </w:p>
          <w:p>
            <w:pPr>
              <w:topLinePunct/>
              <w:spacing w:line="440" w:lineRule="exact"/>
              <w:rPr>
                <w:rFonts w:ascii="Times New Roman" w:hAnsi="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olor w:val="auto"/>
              </w:rPr>
            </w:pPr>
            <w:r>
              <w:rPr>
                <w:rFonts w:hint="eastAsia" w:ascii="Times New Roman" w:hAnsi="Times New Roman"/>
                <w:color w:val="auto"/>
              </w:rPr>
              <w:t>备注</w:t>
            </w:r>
          </w:p>
        </w:tc>
        <w:tc>
          <w:tcPr>
            <w:tcW w:w="6253" w:type="dxa"/>
            <w:tcBorders>
              <w:top w:val="single" w:color="auto" w:sz="4" w:space="0"/>
              <w:left w:val="single" w:color="auto" w:sz="4" w:space="0"/>
              <w:bottom w:val="single" w:color="auto" w:sz="4" w:space="0"/>
              <w:right w:val="single" w:color="auto" w:sz="4" w:space="0"/>
            </w:tcBorders>
          </w:tcPr>
          <w:p>
            <w:pPr>
              <w:topLinePunct/>
              <w:spacing w:line="440" w:lineRule="exact"/>
              <w:rPr>
                <w:rFonts w:ascii="Times New Roman" w:hAnsi="Times New Roman"/>
                <w:color w:val="auto"/>
              </w:rPr>
            </w:pPr>
          </w:p>
        </w:tc>
      </w:tr>
    </w:tbl>
    <w:p>
      <w:pPr>
        <w:spacing w:line="440" w:lineRule="exact"/>
        <w:rPr>
          <w:rFonts w:ascii="Times New Roman" w:hAnsi="Times New Roman"/>
          <w:color w:val="auto"/>
        </w:rPr>
      </w:pPr>
      <w:r>
        <w:rPr>
          <w:rFonts w:ascii="Times New Roman" w:hAnsi="Times New Roman"/>
          <w:color w:val="auto"/>
        </w:rPr>
        <w:t>注：投标人应根据投标人须知第3.5.3项的要求在本表后附相关证明材料。</w:t>
      </w:r>
    </w:p>
    <w:p>
      <w:pPr>
        <w:spacing w:line="440" w:lineRule="exact"/>
        <w:rPr>
          <w:rFonts w:ascii="Times New Roman" w:hAnsi="Times New Roman"/>
          <w:color w:val="auto"/>
        </w:rPr>
      </w:pPr>
    </w:p>
    <w:p>
      <w:pPr>
        <w:spacing w:line="440" w:lineRule="exact"/>
        <w:rPr>
          <w:rFonts w:ascii="Times New Roman" w:hAnsi="Times New Roman"/>
          <w:color w:val="auto"/>
        </w:rPr>
      </w:pPr>
    </w:p>
    <w:p>
      <w:pPr>
        <w:topLinePunct/>
        <w:spacing w:line="440" w:lineRule="exact"/>
        <w:rPr>
          <w:rFonts w:ascii="Times New Roman" w:hAnsi="Times New Roman"/>
          <w:color w:val="auto"/>
        </w:rPr>
      </w:pPr>
      <w:r>
        <w:rPr>
          <w:rFonts w:ascii="Times New Roman" w:hAnsi="Times New Roman"/>
          <w:color w:val="auto"/>
        </w:rPr>
        <w:br w:type="page"/>
      </w:r>
    </w:p>
    <w:p>
      <w:pPr>
        <w:pStyle w:val="6"/>
        <w:ind w:firstLine="137"/>
        <w:rPr>
          <w:rFonts w:ascii="Times New Roman" w:hAnsi="Times New Roman"/>
          <w:color w:val="auto"/>
        </w:rPr>
      </w:pPr>
      <w:bookmarkStart w:id="742" w:name="_Toc361508766"/>
      <w:bookmarkStart w:id="743" w:name="_Toc247527850"/>
      <w:bookmarkStart w:id="744" w:name="_Toc247514302"/>
      <w:bookmarkStart w:id="745" w:name="_Toc370676438"/>
      <w:bookmarkStart w:id="746" w:name="_Toc152042599"/>
      <w:bookmarkStart w:id="747" w:name="_Toc300835226"/>
      <w:bookmarkStart w:id="748" w:name="_Toc359594247"/>
      <w:bookmarkStart w:id="749" w:name="_Toc152045810"/>
      <w:bookmarkStart w:id="750" w:name="_Toc144974878"/>
      <w:bookmarkStart w:id="751" w:name="_Toc384308388"/>
      <w:bookmarkStart w:id="752" w:name="_Toc492300952"/>
      <w:bookmarkStart w:id="753" w:name="_Toc152042600"/>
      <w:bookmarkStart w:id="754" w:name="_Toc247514303"/>
      <w:bookmarkStart w:id="755" w:name="_Toc152045811"/>
      <w:bookmarkStart w:id="756" w:name="_Toc144974879"/>
      <w:bookmarkStart w:id="757" w:name="_Toc247527851"/>
      <w:r>
        <w:rPr>
          <w:rFonts w:hint="eastAsia" w:ascii="Times New Roman" w:hAnsi="Times New Roman"/>
          <w:color w:val="auto"/>
        </w:rPr>
        <w:t>（四）正在勘察和新承接的项目情况表</w:t>
      </w:r>
      <w:bookmarkEnd w:id="742"/>
      <w:bookmarkEnd w:id="743"/>
      <w:bookmarkEnd w:id="744"/>
      <w:bookmarkEnd w:id="745"/>
      <w:bookmarkEnd w:id="746"/>
      <w:bookmarkEnd w:id="747"/>
      <w:bookmarkEnd w:id="748"/>
      <w:bookmarkEnd w:id="749"/>
      <w:bookmarkEnd w:id="750"/>
      <w:bookmarkEnd w:id="751"/>
      <w:bookmarkEnd w:id="752"/>
    </w:p>
    <w:tbl>
      <w:tblPr>
        <w:tblStyle w:val="38"/>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6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olor w:val="auto"/>
                <w:szCs w:val="21"/>
              </w:rPr>
            </w:pPr>
            <w:r>
              <w:rPr>
                <w:rFonts w:ascii="Times New Roman" w:hAnsi="Times New Roman"/>
                <w:color w:val="auto"/>
                <w:szCs w:val="21"/>
              </w:rPr>
              <w:t>项目名称</w:t>
            </w:r>
          </w:p>
        </w:tc>
        <w:tc>
          <w:tcPr>
            <w:tcW w:w="6253" w:type="dxa"/>
            <w:tcBorders>
              <w:top w:val="single" w:color="auto" w:sz="4" w:space="0"/>
              <w:left w:val="single" w:color="auto" w:sz="4" w:space="0"/>
              <w:bottom w:val="single" w:color="auto" w:sz="4" w:space="0"/>
              <w:right w:val="single" w:color="auto" w:sz="4" w:space="0"/>
            </w:tcBorders>
          </w:tcPr>
          <w:p>
            <w:pPr>
              <w:topLinePunct/>
              <w:spacing w:line="440" w:lineRule="exact"/>
              <w:rPr>
                <w:rFonts w:ascii="Times New Roman" w:hAnsi="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olor w:val="auto"/>
                <w:szCs w:val="21"/>
              </w:rPr>
            </w:pPr>
            <w:r>
              <w:rPr>
                <w:rFonts w:ascii="Times New Roman" w:hAnsi="Times New Roman"/>
                <w:color w:val="auto"/>
                <w:szCs w:val="21"/>
              </w:rPr>
              <w:t>项目所在地</w:t>
            </w:r>
          </w:p>
        </w:tc>
        <w:tc>
          <w:tcPr>
            <w:tcW w:w="6253" w:type="dxa"/>
            <w:tcBorders>
              <w:top w:val="single" w:color="auto" w:sz="4" w:space="0"/>
              <w:left w:val="single" w:color="auto" w:sz="4" w:space="0"/>
              <w:bottom w:val="single" w:color="auto" w:sz="4" w:space="0"/>
              <w:right w:val="single" w:color="auto" w:sz="4" w:space="0"/>
            </w:tcBorders>
          </w:tcPr>
          <w:p>
            <w:pPr>
              <w:topLinePunct/>
              <w:spacing w:line="440" w:lineRule="exact"/>
              <w:rPr>
                <w:rFonts w:ascii="Times New Roman" w:hAnsi="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olor w:val="auto"/>
                <w:szCs w:val="21"/>
              </w:rPr>
            </w:pPr>
            <w:r>
              <w:rPr>
                <w:rFonts w:ascii="Times New Roman" w:hAnsi="Times New Roman"/>
                <w:color w:val="auto"/>
                <w:szCs w:val="21"/>
              </w:rPr>
              <w:t>发包人名称</w:t>
            </w:r>
          </w:p>
        </w:tc>
        <w:tc>
          <w:tcPr>
            <w:tcW w:w="6253" w:type="dxa"/>
            <w:tcBorders>
              <w:top w:val="single" w:color="auto" w:sz="4" w:space="0"/>
              <w:left w:val="single" w:color="auto" w:sz="4" w:space="0"/>
              <w:bottom w:val="single" w:color="auto" w:sz="4" w:space="0"/>
              <w:right w:val="single" w:color="auto" w:sz="4" w:space="0"/>
            </w:tcBorders>
          </w:tcPr>
          <w:p>
            <w:pPr>
              <w:topLinePunct/>
              <w:spacing w:line="440" w:lineRule="exact"/>
              <w:rPr>
                <w:rFonts w:ascii="Times New Roman" w:hAnsi="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olor w:val="auto"/>
                <w:szCs w:val="21"/>
              </w:rPr>
            </w:pPr>
            <w:r>
              <w:rPr>
                <w:rFonts w:ascii="Times New Roman" w:hAnsi="Times New Roman"/>
                <w:color w:val="auto"/>
                <w:szCs w:val="21"/>
              </w:rPr>
              <w:t>发包人地址</w:t>
            </w:r>
          </w:p>
        </w:tc>
        <w:tc>
          <w:tcPr>
            <w:tcW w:w="6253" w:type="dxa"/>
            <w:tcBorders>
              <w:top w:val="single" w:color="auto" w:sz="4" w:space="0"/>
              <w:left w:val="single" w:color="auto" w:sz="4" w:space="0"/>
              <w:bottom w:val="single" w:color="auto" w:sz="4" w:space="0"/>
              <w:right w:val="single" w:color="auto" w:sz="4" w:space="0"/>
            </w:tcBorders>
          </w:tcPr>
          <w:p>
            <w:pPr>
              <w:topLinePunct/>
              <w:spacing w:line="440" w:lineRule="exact"/>
              <w:rPr>
                <w:rFonts w:ascii="Times New Roman" w:hAnsi="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olor w:val="auto"/>
                <w:szCs w:val="21"/>
              </w:rPr>
            </w:pPr>
            <w:r>
              <w:rPr>
                <w:rFonts w:ascii="Times New Roman" w:hAnsi="Times New Roman"/>
                <w:color w:val="auto"/>
                <w:szCs w:val="21"/>
              </w:rPr>
              <w:t>发包人电话</w:t>
            </w:r>
          </w:p>
        </w:tc>
        <w:tc>
          <w:tcPr>
            <w:tcW w:w="6253" w:type="dxa"/>
            <w:tcBorders>
              <w:top w:val="single" w:color="auto" w:sz="4" w:space="0"/>
              <w:left w:val="single" w:color="auto" w:sz="4" w:space="0"/>
              <w:bottom w:val="single" w:color="auto" w:sz="4" w:space="0"/>
              <w:right w:val="single" w:color="auto" w:sz="4" w:space="0"/>
            </w:tcBorders>
          </w:tcPr>
          <w:p>
            <w:pPr>
              <w:topLinePunct/>
              <w:spacing w:line="440" w:lineRule="exact"/>
              <w:rPr>
                <w:rFonts w:ascii="Times New Roman" w:hAnsi="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olor w:val="auto"/>
                <w:szCs w:val="21"/>
              </w:rPr>
            </w:pPr>
            <w:r>
              <w:rPr>
                <w:rFonts w:hint="eastAsia" w:ascii="Times New Roman" w:hAnsi="Times New Roman"/>
                <w:color w:val="auto"/>
                <w:szCs w:val="21"/>
              </w:rPr>
              <w:t>签约合同价</w:t>
            </w:r>
          </w:p>
        </w:tc>
        <w:tc>
          <w:tcPr>
            <w:tcW w:w="6253" w:type="dxa"/>
            <w:tcBorders>
              <w:top w:val="single" w:color="auto" w:sz="4" w:space="0"/>
              <w:left w:val="single" w:color="auto" w:sz="4" w:space="0"/>
              <w:bottom w:val="single" w:color="auto" w:sz="4" w:space="0"/>
              <w:right w:val="single" w:color="auto" w:sz="4" w:space="0"/>
            </w:tcBorders>
          </w:tcPr>
          <w:p>
            <w:pPr>
              <w:topLinePunct/>
              <w:spacing w:line="440" w:lineRule="exact"/>
              <w:rPr>
                <w:rFonts w:ascii="Times New Roman" w:hAnsi="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olor w:val="auto"/>
                <w:szCs w:val="21"/>
              </w:rPr>
            </w:pPr>
            <w:r>
              <w:rPr>
                <w:rFonts w:ascii="Times New Roman" w:hAnsi="Times New Roman"/>
                <w:color w:val="auto"/>
                <w:szCs w:val="21"/>
              </w:rPr>
              <w:t>勘察服务期限</w:t>
            </w:r>
          </w:p>
        </w:tc>
        <w:tc>
          <w:tcPr>
            <w:tcW w:w="6253" w:type="dxa"/>
            <w:tcBorders>
              <w:top w:val="single" w:color="auto" w:sz="4" w:space="0"/>
              <w:left w:val="single" w:color="auto" w:sz="4" w:space="0"/>
              <w:bottom w:val="single" w:color="auto" w:sz="4" w:space="0"/>
              <w:right w:val="single" w:color="auto" w:sz="4" w:space="0"/>
            </w:tcBorders>
          </w:tcPr>
          <w:p>
            <w:pPr>
              <w:topLinePunct/>
              <w:spacing w:line="440" w:lineRule="exact"/>
              <w:rPr>
                <w:rFonts w:ascii="Times New Roman" w:hAnsi="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olor w:val="auto"/>
                <w:szCs w:val="21"/>
              </w:rPr>
            </w:pPr>
            <w:r>
              <w:rPr>
                <w:rFonts w:ascii="Times New Roman" w:hAnsi="Times New Roman"/>
                <w:color w:val="auto"/>
                <w:szCs w:val="21"/>
              </w:rPr>
              <w:t>勘察内容</w:t>
            </w:r>
          </w:p>
        </w:tc>
        <w:tc>
          <w:tcPr>
            <w:tcW w:w="6253" w:type="dxa"/>
            <w:tcBorders>
              <w:top w:val="single" w:color="auto" w:sz="4" w:space="0"/>
              <w:left w:val="single" w:color="auto" w:sz="4" w:space="0"/>
              <w:bottom w:val="single" w:color="auto" w:sz="4" w:space="0"/>
              <w:right w:val="single" w:color="auto" w:sz="4" w:space="0"/>
            </w:tcBorders>
          </w:tcPr>
          <w:p>
            <w:pPr>
              <w:topLinePunct/>
              <w:spacing w:line="440" w:lineRule="exact"/>
              <w:rPr>
                <w:rFonts w:ascii="Times New Roman" w:hAnsi="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olor w:val="auto"/>
                <w:szCs w:val="21"/>
              </w:rPr>
            </w:pPr>
            <w:r>
              <w:rPr>
                <w:rFonts w:ascii="Times New Roman" w:hAnsi="Times New Roman"/>
                <w:color w:val="auto"/>
                <w:szCs w:val="21"/>
              </w:rPr>
              <w:t>项目负责人</w:t>
            </w:r>
          </w:p>
        </w:tc>
        <w:tc>
          <w:tcPr>
            <w:tcW w:w="6253" w:type="dxa"/>
            <w:tcBorders>
              <w:top w:val="single" w:color="auto" w:sz="4" w:space="0"/>
              <w:left w:val="single" w:color="auto" w:sz="4" w:space="0"/>
              <w:bottom w:val="single" w:color="auto" w:sz="4" w:space="0"/>
              <w:right w:val="single" w:color="auto" w:sz="4" w:space="0"/>
            </w:tcBorders>
          </w:tcPr>
          <w:p>
            <w:pPr>
              <w:topLinePunct/>
              <w:spacing w:line="440" w:lineRule="exact"/>
              <w:rPr>
                <w:rFonts w:ascii="Times New Roman" w:hAnsi="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olor w:val="auto"/>
                <w:szCs w:val="21"/>
              </w:rPr>
            </w:pPr>
            <w:r>
              <w:rPr>
                <w:rFonts w:ascii="Times New Roman" w:hAnsi="Times New Roman"/>
                <w:color w:val="auto"/>
                <w:szCs w:val="21"/>
              </w:rPr>
              <w:t>项目描述</w:t>
            </w:r>
          </w:p>
        </w:tc>
        <w:tc>
          <w:tcPr>
            <w:tcW w:w="6253" w:type="dxa"/>
            <w:tcBorders>
              <w:top w:val="single" w:color="auto" w:sz="4" w:space="0"/>
              <w:left w:val="single" w:color="auto" w:sz="4" w:space="0"/>
              <w:bottom w:val="single" w:color="auto" w:sz="4" w:space="0"/>
              <w:right w:val="single" w:color="auto" w:sz="4" w:space="0"/>
            </w:tcBorders>
          </w:tcPr>
          <w:p>
            <w:pPr>
              <w:topLinePunct/>
              <w:spacing w:line="440" w:lineRule="exact"/>
              <w:rPr>
                <w:rFonts w:ascii="Times New Roman" w:hAnsi="Times New Roman"/>
                <w:color w:val="auto"/>
              </w:rPr>
            </w:pPr>
          </w:p>
          <w:p>
            <w:pPr>
              <w:topLinePunct/>
              <w:spacing w:line="440" w:lineRule="exact"/>
              <w:rPr>
                <w:rFonts w:ascii="Times New Roman" w:hAnsi="Times New Roman"/>
                <w:color w:val="auto"/>
              </w:rPr>
            </w:pPr>
          </w:p>
          <w:p>
            <w:pPr>
              <w:topLinePunct/>
              <w:spacing w:line="440" w:lineRule="exact"/>
              <w:rPr>
                <w:rFonts w:ascii="Times New Roman" w:hAnsi="Times New Roman"/>
                <w:color w:val="auto"/>
              </w:rPr>
            </w:pPr>
          </w:p>
          <w:p>
            <w:pPr>
              <w:topLinePunct/>
              <w:spacing w:line="440" w:lineRule="exact"/>
              <w:rPr>
                <w:rFonts w:ascii="Times New Roman" w:hAnsi="Times New Roman"/>
                <w:color w:val="auto"/>
              </w:rPr>
            </w:pPr>
          </w:p>
          <w:p>
            <w:pPr>
              <w:topLinePunct/>
              <w:spacing w:line="440" w:lineRule="exact"/>
              <w:rPr>
                <w:rFonts w:ascii="Times New Roman" w:hAnsi="Times New Roman"/>
                <w:color w:val="auto"/>
              </w:rPr>
            </w:pPr>
          </w:p>
          <w:p>
            <w:pPr>
              <w:topLinePunct/>
              <w:spacing w:line="440" w:lineRule="exact"/>
              <w:rPr>
                <w:rFonts w:ascii="Times New Roman" w:hAnsi="Times New Roman"/>
                <w:color w:val="auto"/>
              </w:rPr>
            </w:pPr>
          </w:p>
          <w:p>
            <w:pPr>
              <w:topLinePunct/>
              <w:spacing w:line="440" w:lineRule="exact"/>
              <w:rPr>
                <w:rFonts w:ascii="Times New Roman" w:hAnsi="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olor w:val="auto"/>
                <w:szCs w:val="21"/>
              </w:rPr>
            </w:pPr>
            <w:r>
              <w:rPr>
                <w:rFonts w:ascii="Times New Roman" w:hAnsi="Times New Roman"/>
                <w:color w:val="auto"/>
                <w:szCs w:val="21"/>
              </w:rPr>
              <w:t>备注</w:t>
            </w:r>
          </w:p>
        </w:tc>
        <w:tc>
          <w:tcPr>
            <w:tcW w:w="6253" w:type="dxa"/>
            <w:tcBorders>
              <w:top w:val="single" w:color="auto" w:sz="4" w:space="0"/>
              <w:left w:val="single" w:color="auto" w:sz="4" w:space="0"/>
              <w:bottom w:val="single" w:color="auto" w:sz="4" w:space="0"/>
              <w:right w:val="single" w:color="auto" w:sz="4" w:space="0"/>
            </w:tcBorders>
          </w:tcPr>
          <w:p>
            <w:pPr>
              <w:topLinePunct/>
              <w:spacing w:line="440" w:lineRule="exact"/>
              <w:rPr>
                <w:rFonts w:ascii="Times New Roman" w:hAnsi="Times New Roman"/>
                <w:color w:val="auto"/>
              </w:rPr>
            </w:pPr>
          </w:p>
        </w:tc>
      </w:tr>
      <w:bookmarkEnd w:id="753"/>
      <w:bookmarkEnd w:id="754"/>
      <w:bookmarkEnd w:id="755"/>
      <w:bookmarkEnd w:id="756"/>
      <w:bookmarkEnd w:id="757"/>
    </w:tbl>
    <w:p>
      <w:pPr>
        <w:spacing w:line="440" w:lineRule="exact"/>
        <w:rPr>
          <w:rFonts w:ascii="Times New Roman" w:hAnsi="Times New Roman"/>
          <w:color w:val="auto"/>
        </w:rPr>
      </w:pPr>
      <w:r>
        <w:rPr>
          <w:rFonts w:ascii="Times New Roman" w:hAnsi="Times New Roman"/>
          <w:color w:val="auto"/>
        </w:rPr>
        <w:t>注：投标人应根据投标人须知第3.5.4项的要求在本表后附相关证明材料。</w:t>
      </w:r>
    </w:p>
    <w:p>
      <w:pPr>
        <w:spacing w:line="440" w:lineRule="exact"/>
        <w:rPr>
          <w:rFonts w:ascii="Times New Roman" w:hAnsi="Times New Roman"/>
          <w:color w:val="auto"/>
        </w:rPr>
      </w:pPr>
      <w:r>
        <w:rPr>
          <w:rFonts w:ascii="Times New Roman" w:hAnsi="Times New Roman"/>
          <w:color w:val="auto"/>
        </w:rPr>
        <w:br w:type="page"/>
      </w:r>
    </w:p>
    <w:bookmarkEnd w:id="737"/>
    <w:p>
      <w:pPr>
        <w:pStyle w:val="6"/>
        <w:spacing w:line="440" w:lineRule="exact"/>
        <w:ind w:firstLine="137"/>
        <w:rPr>
          <w:rFonts w:ascii="Times New Roman" w:hAnsi="Times New Roman"/>
          <w:color w:val="auto"/>
        </w:rPr>
      </w:pPr>
      <w:bookmarkStart w:id="758" w:name="_Toc492300953"/>
      <w:r>
        <w:rPr>
          <w:rFonts w:hint="eastAsia" w:ascii="Times New Roman" w:hAnsi="Times New Roman"/>
          <w:color w:val="auto"/>
        </w:rPr>
        <w:t>（五）近年发生的诉讼及仲裁情况</w:t>
      </w:r>
      <w:bookmarkEnd w:id="758"/>
    </w:p>
    <w:p>
      <w:pPr>
        <w:spacing w:line="440" w:lineRule="exact"/>
        <w:rPr>
          <w:rFonts w:ascii="Times New Roman" w:hAnsi="Times New Roman"/>
          <w:color w:val="auto"/>
        </w:rPr>
      </w:pPr>
      <w:r>
        <w:rPr>
          <w:rFonts w:ascii="Times New Roman" w:hAnsi="Times New Roman"/>
          <w:color w:val="auto"/>
        </w:rPr>
        <w:t>注：投标人应根据投标人须知第3.5.5项的要求附相关证明材料。</w:t>
      </w:r>
    </w:p>
    <w:p>
      <w:pPr>
        <w:pStyle w:val="6"/>
        <w:spacing w:line="440" w:lineRule="exact"/>
        <w:ind w:firstLine="137"/>
        <w:rPr>
          <w:rFonts w:ascii="Times New Roman" w:hAnsi="Times New Roman"/>
          <w:color w:val="auto"/>
        </w:rPr>
      </w:pPr>
      <w:r>
        <w:rPr>
          <w:rFonts w:ascii="Times New Roman" w:hAnsi="Times New Roman"/>
          <w:color w:val="auto"/>
        </w:rPr>
        <w:br w:type="page"/>
      </w:r>
    </w:p>
    <w:p>
      <w:pPr>
        <w:pStyle w:val="6"/>
        <w:ind w:firstLine="0" w:firstLineChars="0"/>
        <w:rPr>
          <w:rFonts w:ascii="Times New Roman" w:hAnsi="Times New Roman"/>
          <w:color w:val="auto"/>
        </w:rPr>
      </w:pPr>
      <w:bookmarkStart w:id="759" w:name="_Toc482188667"/>
      <w:bookmarkStart w:id="760" w:name="_Toc492300954"/>
      <w:r>
        <w:rPr>
          <w:rFonts w:hint="eastAsia" w:ascii="Times New Roman" w:hAnsi="Times New Roman"/>
          <w:color w:val="auto"/>
        </w:rPr>
        <w:t>（六）拟委任的主要人员汇总表</w:t>
      </w:r>
      <w:bookmarkEnd w:id="759"/>
      <w:bookmarkEnd w:id="760"/>
    </w:p>
    <w:tbl>
      <w:tblPr>
        <w:tblStyle w:val="38"/>
        <w:tblW w:w="80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275"/>
        <w:gridCol w:w="992"/>
        <w:gridCol w:w="603"/>
        <w:gridCol w:w="488"/>
        <w:gridCol w:w="1134"/>
        <w:gridCol w:w="709"/>
        <w:gridCol w:w="871"/>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6" w:type="dxa"/>
            <w:vMerge w:val="restart"/>
            <w:vAlign w:val="center"/>
          </w:tcPr>
          <w:p>
            <w:pPr>
              <w:spacing w:line="440" w:lineRule="exact"/>
              <w:jc w:val="center"/>
              <w:rPr>
                <w:rFonts w:ascii="Times New Roman" w:hAnsi="Times New Roman"/>
                <w:color w:val="auto"/>
              </w:rPr>
            </w:pPr>
            <w:r>
              <w:rPr>
                <w:rFonts w:hint="eastAsia" w:ascii="Times New Roman" w:hAnsi="Times New Roman"/>
                <w:color w:val="auto"/>
              </w:rPr>
              <w:t>序号</w:t>
            </w:r>
          </w:p>
        </w:tc>
        <w:tc>
          <w:tcPr>
            <w:tcW w:w="1275" w:type="dxa"/>
            <w:vMerge w:val="restart"/>
            <w:vAlign w:val="center"/>
          </w:tcPr>
          <w:p>
            <w:pPr>
              <w:spacing w:line="440" w:lineRule="exact"/>
              <w:jc w:val="center"/>
              <w:rPr>
                <w:rFonts w:ascii="Times New Roman" w:hAnsi="Times New Roman"/>
                <w:color w:val="auto"/>
              </w:rPr>
            </w:pPr>
            <w:r>
              <w:rPr>
                <w:rFonts w:hint="eastAsia" w:ascii="Times New Roman" w:hAnsi="Times New Roman"/>
                <w:color w:val="auto"/>
              </w:rPr>
              <w:t>本项目任职</w:t>
            </w:r>
          </w:p>
        </w:tc>
        <w:tc>
          <w:tcPr>
            <w:tcW w:w="992" w:type="dxa"/>
            <w:vMerge w:val="restart"/>
            <w:vAlign w:val="center"/>
          </w:tcPr>
          <w:p>
            <w:pPr>
              <w:spacing w:line="440" w:lineRule="exact"/>
              <w:jc w:val="center"/>
              <w:rPr>
                <w:rFonts w:ascii="Times New Roman" w:hAnsi="Times New Roman"/>
                <w:color w:val="auto"/>
              </w:rPr>
            </w:pPr>
            <w:r>
              <w:rPr>
                <w:rFonts w:hint="eastAsia" w:ascii="Times New Roman" w:hAnsi="Times New Roman"/>
                <w:color w:val="auto"/>
              </w:rPr>
              <w:t>姓名</w:t>
            </w:r>
          </w:p>
        </w:tc>
        <w:tc>
          <w:tcPr>
            <w:tcW w:w="603" w:type="dxa"/>
            <w:vMerge w:val="restart"/>
            <w:vAlign w:val="center"/>
          </w:tcPr>
          <w:p>
            <w:pPr>
              <w:spacing w:line="440" w:lineRule="exact"/>
              <w:jc w:val="center"/>
              <w:rPr>
                <w:rFonts w:ascii="Times New Roman" w:hAnsi="Times New Roman"/>
                <w:color w:val="auto"/>
              </w:rPr>
            </w:pPr>
            <w:r>
              <w:rPr>
                <w:rFonts w:hint="eastAsia" w:ascii="Times New Roman" w:hAnsi="Times New Roman"/>
                <w:color w:val="auto"/>
              </w:rPr>
              <w:t>职称</w:t>
            </w:r>
          </w:p>
        </w:tc>
        <w:tc>
          <w:tcPr>
            <w:tcW w:w="488" w:type="dxa"/>
            <w:vMerge w:val="restart"/>
            <w:vAlign w:val="center"/>
          </w:tcPr>
          <w:p>
            <w:pPr>
              <w:spacing w:line="440" w:lineRule="exact"/>
              <w:jc w:val="center"/>
              <w:rPr>
                <w:rFonts w:ascii="Times New Roman" w:hAnsi="Times New Roman"/>
                <w:color w:val="auto"/>
              </w:rPr>
            </w:pPr>
            <w:r>
              <w:rPr>
                <w:rFonts w:hint="eastAsia" w:ascii="Times New Roman" w:hAnsi="Times New Roman"/>
                <w:color w:val="auto"/>
              </w:rPr>
              <w:t>专业</w:t>
            </w:r>
          </w:p>
        </w:tc>
        <w:tc>
          <w:tcPr>
            <w:tcW w:w="2714" w:type="dxa"/>
            <w:gridSpan w:val="3"/>
            <w:vAlign w:val="center"/>
          </w:tcPr>
          <w:p>
            <w:pPr>
              <w:spacing w:line="440" w:lineRule="exact"/>
              <w:jc w:val="center"/>
              <w:rPr>
                <w:rFonts w:ascii="Times New Roman" w:hAnsi="Times New Roman"/>
                <w:color w:val="auto"/>
              </w:rPr>
            </w:pPr>
            <w:r>
              <w:rPr>
                <w:rFonts w:hint="eastAsia" w:ascii="Times New Roman" w:hAnsi="Times New Roman"/>
                <w:color w:val="auto"/>
              </w:rPr>
              <w:t>执业或职业资格证明</w:t>
            </w:r>
          </w:p>
        </w:tc>
        <w:tc>
          <w:tcPr>
            <w:tcW w:w="1134" w:type="dxa"/>
            <w:vAlign w:val="center"/>
          </w:tcPr>
          <w:p>
            <w:pPr>
              <w:spacing w:line="440" w:lineRule="exact"/>
              <w:jc w:val="center"/>
              <w:rPr>
                <w:rFonts w:ascii="Times New Roman" w:hAnsi="Times New Roman"/>
                <w:color w:val="auto"/>
              </w:rPr>
            </w:pPr>
            <w:r>
              <w:rPr>
                <w:rFonts w:hint="eastAsia" w:ascii="Times New Roman" w:hAnsi="Times New Roman"/>
                <w:color w:val="auto"/>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6" w:type="dxa"/>
            <w:vMerge w:val="continue"/>
            <w:vAlign w:val="center"/>
          </w:tcPr>
          <w:p>
            <w:pPr>
              <w:rPr>
                <w:rFonts w:ascii="Times New Roman" w:hAnsi="Times New Roman"/>
                <w:color w:val="auto"/>
              </w:rPr>
            </w:pPr>
          </w:p>
        </w:tc>
        <w:tc>
          <w:tcPr>
            <w:tcW w:w="1275" w:type="dxa"/>
            <w:vMerge w:val="continue"/>
          </w:tcPr>
          <w:p>
            <w:pPr>
              <w:rPr>
                <w:rFonts w:ascii="Times New Roman" w:hAnsi="Times New Roman"/>
                <w:color w:val="auto"/>
              </w:rPr>
            </w:pPr>
          </w:p>
        </w:tc>
        <w:tc>
          <w:tcPr>
            <w:tcW w:w="992" w:type="dxa"/>
            <w:vMerge w:val="continue"/>
            <w:vAlign w:val="center"/>
          </w:tcPr>
          <w:p>
            <w:pPr>
              <w:rPr>
                <w:rFonts w:ascii="Times New Roman" w:hAnsi="Times New Roman"/>
                <w:color w:val="auto"/>
              </w:rPr>
            </w:pPr>
          </w:p>
        </w:tc>
        <w:tc>
          <w:tcPr>
            <w:tcW w:w="603" w:type="dxa"/>
            <w:vMerge w:val="continue"/>
            <w:vAlign w:val="center"/>
          </w:tcPr>
          <w:p>
            <w:pPr>
              <w:rPr>
                <w:rFonts w:ascii="Times New Roman" w:hAnsi="Times New Roman"/>
                <w:color w:val="auto"/>
              </w:rPr>
            </w:pPr>
          </w:p>
        </w:tc>
        <w:tc>
          <w:tcPr>
            <w:tcW w:w="488" w:type="dxa"/>
            <w:vMerge w:val="continue"/>
            <w:vAlign w:val="center"/>
          </w:tcPr>
          <w:p>
            <w:pPr>
              <w:spacing w:line="440" w:lineRule="exact"/>
              <w:jc w:val="center"/>
              <w:rPr>
                <w:rFonts w:ascii="Times New Roman" w:hAnsi="Times New Roman"/>
                <w:color w:val="auto"/>
              </w:rPr>
            </w:pPr>
          </w:p>
        </w:tc>
        <w:tc>
          <w:tcPr>
            <w:tcW w:w="1134" w:type="dxa"/>
            <w:vAlign w:val="center"/>
          </w:tcPr>
          <w:p>
            <w:pPr>
              <w:spacing w:before="100" w:beforeAutospacing="1" w:after="100" w:afterAutospacing="1" w:line="440" w:lineRule="exact"/>
              <w:jc w:val="center"/>
              <w:rPr>
                <w:rFonts w:ascii="Times New Roman" w:hAnsi="Times New Roman"/>
                <w:color w:val="auto"/>
              </w:rPr>
            </w:pPr>
            <w:r>
              <w:rPr>
                <w:rFonts w:hint="eastAsia" w:ascii="Times New Roman" w:hAnsi="Times New Roman"/>
                <w:color w:val="auto"/>
              </w:rPr>
              <w:t>证书名称</w:t>
            </w:r>
          </w:p>
        </w:tc>
        <w:tc>
          <w:tcPr>
            <w:tcW w:w="709" w:type="dxa"/>
            <w:vAlign w:val="center"/>
          </w:tcPr>
          <w:p>
            <w:pPr>
              <w:spacing w:before="100" w:beforeAutospacing="1" w:after="100" w:afterAutospacing="1" w:line="440" w:lineRule="exact"/>
              <w:jc w:val="center"/>
              <w:rPr>
                <w:rFonts w:ascii="Times New Roman" w:hAnsi="Times New Roman"/>
                <w:color w:val="auto"/>
              </w:rPr>
            </w:pPr>
            <w:r>
              <w:rPr>
                <w:rFonts w:hint="eastAsia" w:ascii="Times New Roman" w:hAnsi="Times New Roman"/>
                <w:color w:val="auto"/>
              </w:rPr>
              <w:t>级别</w:t>
            </w:r>
          </w:p>
        </w:tc>
        <w:tc>
          <w:tcPr>
            <w:tcW w:w="871" w:type="dxa"/>
            <w:vAlign w:val="center"/>
          </w:tcPr>
          <w:p>
            <w:pPr>
              <w:spacing w:before="100" w:beforeAutospacing="1" w:after="100" w:afterAutospacing="1" w:line="440" w:lineRule="exact"/>
              <w:jc w:val="center"/>
              <w:rPr>
                <w:rFonts w:ascii="Times New Roman" w:hAnsi="Times New Roman"/>
                <w:color w:val="auto"/>
              </w:rPr>
            </w:pPr>
            <w:r>
              <w:rPr>
                <w:rFonts w:hint="eastAsia" w:ascii="Times New Roman" w:hAnsi="Times New Roman"/>
                <w:color w:val="auto"/>
              </w:rPr>
              <w:t>证号</w:t>
            </w:r>
          </w:p>
        </w:tc>
        <w:tc>
          <w:tcPr>
            <w:tcW w:w="1134" w:type="dxa"/>
            <w:vAlign w:val="center"/>
          </w:tcPr>
          <w:p>
            <w:pPr>
              <w:spacing w:line="440" w:lineRule="exact"/>
              <w:jc w:val="center"/>
              <w:rPr>
                <w:rFonts w:ascii="Times New Roman" w:hAnsi="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6" w:type="dxa"/>
            <w:vAlign w:val="center"/>
          </w:tcPr>
          <w:p>
            <w:pPr>
              <w:spacing w:line="440" w:lineRule="exact"/>
              <w:jc w:val="center"/>
              <w:rPr>
                <w:rFonts w:ascii="Times New Roman" w:hAnsi="Times New Roman"/>
                <w:color w:val="auto"/>
              </w:rPr>
            </w:pPr>
          </w:p>
        </w:tc>
        <w:tc>
          <w:tcPr>
            <w:tcW w:w="1275" w:type="dxa"/>
          </w:tcPr>
          <w:p>
            <w:pPr>
              <w:spacing w:line="440" w:lineRule="exact"/>
              <w:jc w:val="center"/>
              <w:rPr>
                <w:rFonts w:ascii="Times New Roman" w:hAnsi="Times New Roman"/>
                <w:color w:val="auto"/>
              </w:rPr>
            </w:pPr>
          </w:p>
        </w:tc>
        <w:tc>
          <w:tcPr>
            <w:tcW w:w="992" w:type="dxa"/>
            <w:vAlign w:val="center"/>
          </w:tcPr>
          <w:p>
            <w:pPr>
              <w:spacing w:line="440" w:lineRule="exact"/>
              <w:jc w:val="center"/>
              <w:rPr>
                <w:rFonts w:ascii="Times New Roman" w:hAnsi="Times New Roman"/>
                <w:color w:val="auto"/>
              </w:rPr>
            </w:pPr>
          </w:p>
        </w:tc>
        <w:tc>
          <w:tcPr>
            <w:tcW w:w="603" w:type="dxa"/>
            <w:vAlign w:val="center"/>
          </w:tcPr>
          <w:p>
            <w:pPr>
              <w:spacing w:line="440" w:lineRule="exact"/>
              <w:jc w:val="center"/>
              <w:rPr>
                <w:rFonts w:ascii="Times New Roman" w:hAnsi="Times New Roman"/>
                <w:color w:val="auto"/>
              </w:rPr>
            </w:pPr>
          </w:p>
        </w:tc>
        <w:tc>
          <w:tcPr>
            <w:tcW w:w="488" w:type="dxa"/>
            <w:vAlign w:val="center"/>
          </w:tcPr>
          <w:p>
            <w:pPr>
              <w:spacing w:line="440" w:lineRule="exact"/>
              <w:jc w:val="center"/>
              <w:rPr>
                <w:rFonts w:ascii="Times New Roman" w:hAnsi="Times New Roman"/>
                <w:color w:val="auto"/>
              </w:rPr>
            </w:pPr>
          </w:p>
        </w:tc>
        <w:tc>
          <w:tcPr>
            <w:tcW w:w="1134" w:type="dxa"/>
            <w:vAlign w:val="center"/>
          </w:tcPr>
          <w:p>
            <w:pPr>
              <w:spacing w:line="440" w:lineRule="exact"/>
              <w:jc w:val="center"/>
              <w:rPr>
                <w:rFonts w:ascii="Times New Roman" w:hAnsi="Times New Roman"/>
                <w:color w:val="auto"/>
              </w:rPr>
            </w:pPr>
          </w:p>
        </w:tc>
        <w:tc>
          <w:tcPr>
            <w:tcW w:w="709" w:type="dxa"/>
            <w:vAlign w:val="center"/>
          </w:tcPr>
          <w:p>
            <w:pPr>
              <w:spacing w:line="440" w:lineRule="exact"/>
              <w:jc w:val="center"/>
              <w:rPr>
                <w:rFonts w:ascii="Times New Roman" w:hAnsi="Times New Roman"/>
                <w:color w:val="auto"/>
              </w:rPr>
            </w:pPr>
          </w:p>
        </w:tc>
        <w:tc>
          <w:tcPr>
            <w:tcW w:w="871" w:type="dxa"/>
            <w:vAlign w:val="center"/>
          </w:tcPr>
          <w:p>
            <w:pPr>
              <w:spacing w:line="440" w:lineRule="exact"/>
              <w:jc w:val="center"/>
              <w:rPr>
                <w:rFonts w:ascii="Times New Roman" w:hAnsi="Times New Roman"/>
                <w:color w:val="auto"/>
              </w:rPr>
            </w:pPr>
          </w:p>
        </w:tc>
        <w:tc>
          <w:tcPr>
            <w:tcW w:w="1134" w:type="dxa"/>
            <w:vAlign w:val="center"/>
          </w:tcPr>
          <w:p>
            <w:pPr>
              <w:spacing w:line="440" w:lineRule="exact"/>
              <w:jc w:val="center"/>
              <w:rPr>
                <w:rFonts w:ascii="Times New Roman" w:hAnsi="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6" w:type="dxa"/>
          </w:tcPr>
          <w:p>
            <w:pPr>
              <w:spacing w:line="440" w:lineRule="exact"/>
              <w:jc w:val="center"/>
              <w:rPr>
                <w:rFonts w:ascii="Times New Roman" w:hAnsi="Times New Roman"/>
                <w:color w:val="auto"/>
              </w:rPr>
            </w:pPr>
          </w:p>
        </w:tc>
        <w:tc>
          <w:tcPr>
            <w:tcW w:w="1275" w:type="dxa"/>
          </w:tcPr>
          <w:p>
            <w:pPr>
              <w:spacing w:line="440" w:lineRule="exact"/>
              <w:jc w:val="center"/>
              <w:rPr>
                <w:rFonts w:ascii="Times New Roman" w:hAnsi="Times New Roman"/>
                <w:color w:val="auto"/>
              </w:rPr>
            </w:pPr>
          </w:p>
        </w:tc>
        <w:tc>
          <w:tcPr>
            <w:tcW w:w="992" w:type="dxa"/>
          </w:tcPr>
          <w:p>
            <w:pPr>
              <w:spacing w:line="440" w:lineRule="exact"/>
              <w:jc w:val="center"/>
              <w:rPr>
                <w:rFonts w:ascii="Times New Roman" w:hAnsi="Times New Roman"/>
                <w:color w:val="auto"/>
              </w:rPr>
            </w:pPr>
          </w:p>
        </w:tc>
        <w:tc>
          <w:tcPr>
            <w:tcW w:w="603" w:type="dxa"/>
          </w:tcPr>
          <w:p>
            <w:pPr>
              <w:spacing w:line="440" w:lineRule="exact"/>
              <w:jc w:val="center"/>
              <w:rPr>
                <w:rFonts w:ascii="Times New Roman" w:hAnsi="Times New Roman"/>
                <w:color w:val="auto"/>
              </w:rPr>
            </w:pPr>
          </w:p>
        </w:tc>
        <w:tc>
          <w:tcPr>
            <w:tcW w:w="488" w:type="dxa"/>
          </w:tcPr>
          <w:p>
            <w:pPr>
              <w:spacing w:line="440" w:lineRule="exact"/>
              <w:jc w:val="center"/>
              <w:rPr>
                <w:rFonts w:ascii="Times New Roman" w:hAnsi="Times New Roman"/>
                <w:color w:val="auto"/>
              </w:rPr>
            </w:pPr>
          </w:p>
        </w:tc>
        <w:tc>
          <w:tcPr>
            <w:tcW w:w="1134" w:type="dxa"/>
          </w:tcPr>
          <w:p>
            <w:pPr>
              <w:spacing w:line="440" w:lineRule="exact"/>
              <w:jc w:val="center"/>
              <w:rPr>
                <w:rFonts w:ascii="Times New Roman" w:hAnsi="Times New Roman"/>
                <w:color w:val="auto"/>
              </w:rPr>
            </w:pPr>
          </w:p>
        </w:tc>
        <w:tc>
          <w:tcPr>
            <w:tcW w:w="709" w:type="dxa"/>
          </w:tcPr>
          <w:p>
            <w:pPr>
              <w:spacing w:line="440" w:lineRule="exact"/>
              <w:jc w:val="center"/>
              <w:rPr>
                <w:rFonts w:ascii="Times New Roman" w:hAnsi="Times New Roman"/>
                <w:color w:val="auto"/>
              </w:rPr>
            </w:pPr>
          </w:p>
        </w:tc>
        <w:tc>
          <w:tcPr>
            <w:tcW w:w="871" w:type="dxa"/>
          </w:tcPr>
          <w:p>
            <w:pPr>
              <w:spacing w:line="440" w:lineRule="exact"/>
              <w:jc w:val="center"/>
              <w:rPr>
                <w:rFonts w:ascii="Times New Roman" w:hAnsi="Times New Roman"/>
                <w:color w:val="auto"/>
              </w:rPr>
            </w:pPr>
          </w:p>
        </w:tc>
        <w:tc>
          <w:tcPr>
            <w:tcW w:w="1134" w:type="dxa"/>
          </w:tcPr>
          <w:p>
            <w:pPr>
              <w:spacing w:line="440" w:lineRule="exact"/>
              <w:jc w:val="center"/>
              <w:rPr>
                <w:rFonts w:ascii="Times New Roman" w:hAnsi="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6" w:type="dxa"/>
          </w:tcPr>
          <w:p>
            <w:pPr>
              <w:spacing w:line="440" w:lineRule="exact"/>
              <w:jc w:val="center"/>
              <w:rPr>
                <w:rFonts w:ascii="Times New Roman" w:hAnsi="Times New Roman"/>
                <w:color w:val="auto"/>
              </w:rPr>
            </w:pPr>
          </w:p>
        </w:tc>
        <w:tc>
          <w:tcPr>
            <w:tcW w:w="1275" w:type="dxa"/>
          </w:tcPr>
          <w:p>
            <w:pPr>
              <w:spacing w:line="440" w:lineRule="exact"/>
              <w:jc w:val="center"/>
              <w:rPr>
                <w:rFonts w:ascii="Times New Roman" w:hAnsi="Times New Roman"/>
                <w:color w:val="auto"/>
              </w:rPr>
            </w:pPr>
          </w:p>
        </w:tc>
        <w:tc>
          <w:tcPr>
            <w:tcW w:w="992" w:type="dxa"/>
          </w:tcPr>
          <w:p>
            <w:pPr>
              <w:spacing w:line="440" w:lineRule="exact"/>
              <w:jc w:val="center"/>
              <w:rPr>
                <w:rFonts w:ascii="Times New Roman" w:hAnsi="Times New Roman"/>
                <w:color w:val="auto"/>
              </w:rPr>
            </w:pPr>
          </w:p>
        </w:tc>
        <w:tc>
          <w:tcPr>
            <w:tcW w:w="603" w:type="dxa"/>
          </w:tcPr>
          <w:p>
            <w:pPr>
              <w:spacing w:line="440" w:lineRule="exact"/>
              <w:jc w:val="center"/>
              <w:rPr>
                <w:rFonts w:ascii="Times New Roman" w:hAnsi="Times New Roman"/>
                <w:color w:val="auto"/>
              </w:rPr>
            </w:pPr>
          </w:p>
        </w:tc>
        <w:tc>
          <w:tcPr>
            <w:tcW w:w="488" w:type="dxa"/>
          </w:tcPr>
          <w:p>
            <w:pPr>
              <w:spacing w:line="440" w:lineRule="exact"/>
              <w:jc w:val="center"/>
              <w:rPr>
                <w:rFonts w:ascii="Times New Roman" w:hAnsi="Times New Roman"/>
                <w:color w:val="auto"/>
              </w:rPr>
            </w:pPr>
          </w:p>
        </w:tc>
        <w:tc>
          <w:tcPr>
            <w:tcW w:w="1134" w:type="dxa"/>
          </w:tcPr>
          <w:p>
            <w:pPr>
              <w:spacing w:line="440" w:lineRule="exact"/>
              <w:jc w:val="center"/>
              <w:rPr>
                <w:rFonts w:ascii="Times New Roman" w:hAnsi="Times New Roman"/>
                <w:color w:val="auto"/>
              </w:rPr>
            </w:pPr>
          </w:p>
        </w:tc>
        <w:tc>
          <w:tcPr>
            <w:tcW w:w="709" w:type="dxa"/>
          </w:tcPr>
          <w:p>
            <w:pPr>
              <w:spacing w:line="440" w:lineRule="exact"/>
              <w:jc w:val="center"/>
              <w:rPr>
                <w:rFonts w:ascii="Times New Roman" w:hAnsi="Times New Roman"/>
                <w:color w:val="auto"/>
              </w:rPr>
            </w:pPr>
          </w:p>
        </w:tc>
        <w:tc>
          <w:tcPr>
            <w:tcW w:w="871" w:type="dxa"/>
          </w:tcPr>
          <w:p>
            <w:pPr>
              <w:spacing w:line="440" w:lineRule="exact"/>
              <w:jc w:val="center"/>
              <w:rPr>
                <w:rFonts w:ascii="Times New Roman" w:hAnsi="Times New Roman"/>
                <w:color w:val="auto"/>
              </w:rPr>
            </w:pPr>
          </w:p>
        </w:tc>
        <w:tc>
          <w:tcPr>
            <w:tcW w:w="1134" w:type="dxa"/>
          </w:tcPr>
          <w:p>
            <w:pPr>
              <w:spacing w:line="440" w:lineRule="exact"/>
              <w:jc w:val="center"/>
              <w:rPr>
                <w:rFonts w:ascii="Times New Roman" w:hAnsi="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6" w:type="dxa"/>
          </w:tcPr>
          <w:p>
            <w:pPr>
              <w:spacing w:line="440" w:lineRule="exact"/>
              <w:jc w:val="center"/>
              <w:rPr>
                <w:rFonts w:ascii="Times New Roman" w:hAnsi="Times New Roman"/>
                <w:color w:val="auto"/>
              </w:rPr>
            </w:pPr>
          </w:p>
        </w:tc>
        <w:tc>
          <w:tcPr>
            <w:tcW w:w="1275" w:type="dxa"/>
          </w:tcPr>
          <w:p>
            <w:pPr>
              <w:spacing w:line="440" w:lineRule="exact"/>
              <w:jc w:val="center"/>
              <w:rPr>
                <w:rFonts w:ascii="Times New Roman" w:hAnsi="Times New Roman"/>
                <w:color w:val="auto"/>
              </w:rPr>
            </w:pPr>
          </w:p>
        </w:tc>
        <w:tc>
          <w:tcPr>
            <w:tcW w:w="992" w:type="dxa"/>
          </w:tcPr>
          <w:p>
            <w:pPr>
              <w:spacing w:line="440" w:lineRule="exact"/>
              <w:jc w:val="center"/>
              <w:rPr>
                <w:rFonts w:ascii="Times New Roman" w:hAnsi="Times New Roman"/>
                <w:color w:val="auto"/>
              </w:rPr>
            </w:pPr>
          </w:p>
        </w:tc>
        <w:tc>
          <w:tcPr>
            <w:tcW w:w="603" w:type="dxa"/>
          </w:tcPr>
          <w:p>
            <w:pPr>
              <w:spacing w:line="440" w:lineRule="exact"/>
              <w:jc w:val="center"/>
              <w:rPr>
                <w:rFonts w:ascii="Times New Roman" w:hAnsi="Times New Roman"/>
                <w:color w:val="auto"/>
              </w:rPr>
            </w:pPr>
          </w:p>
        </w:tc>
        <w:tc>
          <w:tcPr>
            <w:tcW w:w="488" w:type="dxa"/>
          </w:tcPr>
          <w:p>
            <w:pPr>
              <w:spacing w:line="440" w:lineRule="exact"/>
              <w:jc w:val="center"/>
              <w:rPr>
                <w:rFonts w:ascii="Times New Roman" w:hAnsi="Times New Roman"/>
                <w:color w:val="auto"/>
              </w:rPr>
            </w:pPr>
          </w:p>
        </w:tc>
        <w:tc>
          <w:tcPr>
            <w:tcW w:w="1134" w:type="dxa"/>
          </w:tcPr>
          <w:p>
            <w:pPr>
              <w:spacing w:line="440" w:lineRule="exact"/>
              <w:jc w:val="center"/>
              <w:rPr>
                <w:rFonts w:ascii="Times New Roman" w:hAnsi="Times New Roman"/>
                <w:color w:val="auto"/>
              </w:rPr>
            </w:pPr>
          </w:p>
        </w:tc>
        <w:tc>
          <w:tcPr>
            <w:tcW w:w="709" w:type="dxa"/>
          </w:tcPr>
          <w:p>
            <w:pPr>
              <w:spacing w:line="440" w:lineRule="exact"/>
              <w:jc w:val="center"/>
              <w:rPr>
                <w:rFonts w:ascii="Times New Roman" w:hAnsi="Times New Roman"/>
                <w:color w:val="auto"/>
              </w:rPr>
            </w:pPr>
          </w:p>
        </w:tc>
        <w:tc>
          <w:tcPr>
            <w:tcW w:w="871" w:type="dxa"/>
          </w:tcPr>
          <w:p>
            <w:pPr>
              <w:spacing w:line="440" w:lineRule="exact"/>
              <w:jc w:val="center"/>
              <w:rPr>
                <w:rFonts w:ascii="Times New Roman" w:hAnsi="Times New Roman"/>
                <w:color w:val="auto"/>
              </w:rPr>
            </w:pPr>
          </w:p>
        </w:tc>
        <w:tc>
          <w:tcPr>
            <w:tcW w:w="1134" w:type="dxa"/>
          </w:tcPr>
          <w:p>
            <w:pPr>
              <w:spacing w:line="440" w:lineRule="exact"/>
              <w:jc w:val="center"/>
              <w:rPr>
                <w:rFonts w:ascii="Times New Roman" w:hAnsi="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6" w:type="dxa"/>
          </w:tcPr>
          <w:p>
            <w:pPr>
              <w:spacing w:line="440" w:lineRule="exact"/>
              <w:jc w:val="center"/>
              <w:rPr>
                <w:rFonts w:ascii="Times New Roman" w:hAnsi="Times New Roman"/>
                <w:color w:val="auto"/>
              </w:rPr>
            </w:pPr>
          </w:p>
        </w:tc>
        <w:tc>
          <w:tcPr>
            <w:tcW w:w="1275" w:type="dxa"/>
          </w:tcPr>
          <w:p>
            <w:pPr>
              <w:spacing w:line="440" w:lineRule="exact"/>
              <w:jc w:val="center"/>
              <w:rPr>
                <w:rFonts w:ascii="Times New Roman" w:hAnsi="Times New Roman"/>
                <w:color w:val="auto"/>
              </w:rPr>
            </w:pPr>
          </w:p>
        </w:tc>
        <w:tc>
          <w:tcPr>
            <w:tcW w:w="992" w:type="dxa"/>
          </w:tcPr>
          <w:p>
            <w:pPr>
              <w:spacing w:line="440" w:lineRule="exact"/>
              <w:jc w:val="center"/>
              <w:rPr>
                <w:rFonts w:ascii="Times New Roman" w:hAnsi="Times New Roman"/>
                <w:color w:val="auto"/>
              </w:rPr>
            </w:pPr>
          </w:p>
        </w:tc>
        <w:tc>
          <w:tcPr>
            <w:tcW w:w="603" w:type="dxa"/>
          </w:tcPr>
          <w:p>
            <w:pPr>
              <w:spacing w:line="440" w:lineRule="exact"/>
              <w:jc w:val="center"/>
              <w:rPr>
                <w:rFonts w:ascii="Times New Roman" w:hAnsi="Times New Roman"/>
                <w:color w:val="auto"/>
              </w:rPr>
            </w:pPr>
          </w:p>
        </w:tc>
        <w:tc>
          <w:tcPr>
            <w:tcW w:w="488" w:type="dxa"/>
          </w:tcPr>
          <w:p>
            <w:pPr>
              <w:spacing w:line="440" w:lineRule="exact"/>
              <w:jc w:val="center"/>
              <w:rPr>
                <w:rFonts w:ascii="Times New Roman" w:hAnsi="Times New Roman"/>
                <w:color w:val="auto"/>
              </w:rPr>
            </w:pPr>
          </w:p>
        </w:tc>
        <w:tc>
          <w:tcPr>
            <w:tcW w:w="1134" w:type="dxa"/>
          </w:tcPr>
          <w:p>
            <w:pPr>
              <w:spacing w:line="440" w:lineRule="exact"/>
              <w:jc w:val="center"/>
              <w:rPr>
                <w:rFonts w:ascii="Times New Roman" w:hAnsi="Times New Roman"/>
                <w:color w:val="auto"/>
              </w:rPr>
            </w:pPr>
          </w:p>
        </w:tc>
        <w:tc>
          <w:tcPr>
            <w:tcW w:w="709" w:type="dxa"/>
          </w:tcPr>
          <w:p>
            <w:pPr>
              <w:spacing w:line="440" w:lineRule="exact"/>
              <w:jc w:val="center"/>
              <w:rPr>
                <w:rFonts w:ascii="Times New Roman" w:hAnsi="Times New Roman"/>
                <w:color w:val="auto"/>
              </w:rPr>
            </w:pPr>
          </w:p>
        </w:tc>
        <w:tc>
          <w:tcPr>
            <w:tcW w:w="871" w:type="dxa"/>
          </w:tcPr>
          <w:p>
            <w:pPr>
              <w:spacing w:line="440" w:lineRule="exact"/>
              <w:jc w:val="center"/>
              <w:rPr>
                <w:rFonts w:ascii="Times New Roman" w:hAnsi="Times New Roman"/>
                <w:color w:val="auto"/>
              </w:rPr>
            </w:pPr>
          </w:p>
        </w:tc>
        <w:tc>
          <w:tcPr>
            <w:tcW w:w="1134" w:type="dxa"/>
          </w:tcPr>
          <w:p>
            <w:pPr>
              <w:spacing w:line="440" w:lineRule="exact"/>
              <w:jc w:val="center"/>
              <w:rPr>
                <w:rFonts w:ascii="Times New Roman" w:hAnsi="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6" w:type="dxa"/>
          </w:tcPr>
          <w:p>
            <w:pPr>
              <w:spacing w:line="440" w:lineRule="exact"/>
              <w:jc w:val="center"/>
              <w:rPr>
                <w:rFonts w:ascii="Times New Roman" w:hAnsi="Times New Roman"/>
                <w:color w:val="auto"/>
              </w:rPr>
            </w:pPr>
          </w:p>
        </w:tc>
        <w:tc>
          <w:tcPr>
            <w:tcW w:w="1275" w:type="dxa"/>
          </w:tcPr>
          <w:p>
            <w:pPr>
              <w:spacing w:line="440" w:lineRule="exact"/>
              <w:jc w:val="center"/>
              <w:rPr>
                <w:rFonts w:ascii="Times New Roman" w:hAnsi="Times New Roman"/>
                <w:color w:val="auto"/>
              </w:rPr>
            </w:pPr>
          </w:p>
        </w:tc>
        <w:tc>
          <w:tcPr>
            <w:tcW w:w="992" w:type="dxa"/>
          </w:tcPr>
          <w:p>
            <w:pPr>
              <w:spacing w:line="440" w:lineRule="exact"/>
              <w:jc w:val="center"/>
              <w:rPr>
                <w:rFonts w:ascii="Times New Roman" w:hAnsi="Times New Roman"/>
                <w:color w:val="auto"/>
              </w:rPr>
            </w:pPr>
          </w:p>
        </w:tc>
        <w:tc>
          <w:tcPr>
            <w:tcW w:w="603" w:type="dxa"/>
          </w:tcPr>
          <w:p>
            <w:pPr>
              <w:spacing w:line="440" w:lineRule="exact"/>
              <w:jc w:val="center"/>
              <w:rPr>
                <w:rFonts w:ascii="Times New Roman" w:hAnsi="Times New Roman"/>
                <w:color w:val="auto"/>
              </w:rPr>
            </w:pPr>
          </w:p>
        </w:tc>
        <w:tc>
          <w:tcPr>
            <w:tcW w:w="488" w:type="dxa"/>
          </w:tcPr>
          <w:p>
            <w:pPr>
              <w:spacing w:line="440" w:lineRule="exact"/>
              <w:jc w:val="center"/>
              <w:rPr>
                <w:rFonts w:ascii="Times New Roman" w:hAnsi="Times New Roman"/>
                <w:color w:val="auto"/>
              </w:rPr>
            </w:pPr>
          </w:p>
        </w:tc>
        <w:tc>
          <w:tcPr>
            <w:tcW w:w="1134" w:type="dxa"/>
          </w:tcPr>
          <w:p>
            <w:pPr>
              <w:spacing w:line="440" w:lineRule="exact"/>
              <w:jc w:val="center"/>
              <w:rPr>
                <w:rFonts w:ascii="Times New Roman" w:hAnsi="Times New Roman"/>
                <w:color w:val="auto"/>
              </w:rPr>
            </w:pPr>
          </w:p>
        </w:tc>
        <w:tc>
          <w:tcPr>
            <w:tcW w:w="709" w:type="dxa"/>
          </w:tcPr>
          <w:p>
            <w:pPr>
              <w:spacing w:line="440" w:lineRule="exact"/>
              <w:jc w:val="center"/>
              <w:rPr>
                <w:rFonts w:ascii="Times New Roman" w:hAnsi="Times New Roman"/>
                <w:color w:val="auto"/>
              </w:rPr>
            </w:pPr>
          </w:p>
        </w:tc>
        <w:tc>
          <w:tcPr>
            <w:tcW w:w="871" w:type="dxa"/>
          </w:tcPr>
          <w:p>
            <w:pPr>
              <w:spacing w:line="440" w:lineRule="exact"/>
              <w:jc w:val="center"/>
              <w:rPr>
                <w:rFonts w:ascii="Times New Roman" w:hAnsi="Times New Roman"/>
                <w:color w:val="auto"/>
              </w:rPr>
            </w:pPr>
          </w:p>
        </w:tc>
        <w:tc>
          <w:tcPr>
            <w:tcW w:w="1134" w:type="dxa"/>
          </w:tcPr>
          <w:p>
            <w:pPr>
              <w:spacing w:line="440" w:lineRule="exact"/>
              <w:jc w:val="center"/>
              <w:rPr>
                <w:rFonts w:ascii="Times New Roman" w:hAnsi="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6" w:type="dxa"/>
          </w:tcPr>
          <w:p>
            <w:pPr>
              <w:spacing w:line="440" w:lineRule="exact"/>
              <w:jc w:val="center"/>
              <w:rPr>
                <w:rFonts w:ascii="Times New Roman" w:hAnsi="Times New Roman"/>
                <w:color w:val="auto"/>
              </w:rPr>
            </w:pPr>
          </w:p>
        </w:tc>
        <w:tc>
          <w:tcPr>
            <w:tcW w:w="1275" w:type="dxa"/>
          </w:tcPr>
          <w:p>
            <w:pPr>
              <w:spacing w:line="440" w:lineRule="exact"/>
              <w:jc w:val="center"/>
              <w:rPr>
                <w:rFonts w:ascii="Times New Roman" w:hAnsi="Times New Roman"/>
                <w:color w:val="auto"/>
              </w:rPr>
            </w:pPr>
          </w:p>
        </w:tc>
        <w:tc>
          <w:tcPr>
            <w:tcW w:w="992" w:type="dxa"/>
          </w:tcPr>
          <w:p>
            <w:pPr>
              <w:spacing w:line="440" w:lineRule="exact"/>
              <w:jc w:val="center"/>
              <w:rPr>
                <w:rFonts w:ascii="Times New Roman" w:hAnsi="Times New Roman"/>
                <w:color w:val="auto"/>
              </w:rPr>
            </w:pPr>
          </w:p>
        </w:tc>
        <w:tc>
          <w:tcPr>
            <w:tcW w:w="603" w:type="dxa"/>
          </w:tcPr>
          <w:p>
            <w:pPr>
              <w:spacing w:line="440" w:lineRule="exact"/>
              <w:jc w:val="center"/>
              <w:rPr>
                <w:rFonts w:ascii="Times New Roman" w:hAnsi="Times New Roman"/>
                <w:color w:val="auto"/>
              </w:rPr>
            </w:pPr>
          </w:p>
        </w:tc>
        <w:tc>
          <w:tcPr>
            <w:tcW w:w="488" w:type="dxa"/>
          </w:tcPr>
          <w:p>
            <w:pPr>
              <w:spacing w:line="440" w:lineRule="exact"/>
              <w:jc w:val="center"/>
              <w:rPr>
                <w:rFonts w:ascii="Times New Roman" w:hAnsi="Times New Roman"/>
                <w:color w:val="auto"/>
              </w:rPr>
            </w:pPr>
          </w:p>
        </w:tc>
        <w:tc>
          <w:tcPr>
            <w:tcW w:w="1134" w:type="dxa"/>
          </w:tcPr>
          <w:p>
            <w:pPr>
              <w:spacing w:line="440" w:lineRule="exact"/>
              <w:jc w:val="center"/>
              <w:rPr>
                <w:rFonts w:ascii="Times New Roman" w:hAnsi="Times New Roman"/>
                <w:color w:val="auto"/>
              </w:rPr>
            </w:pPr>
          </w:p>
        </w:tc>
        <w:tc>
          <w:tcPr>
            <w:tcW w:w="709" w:type="dxa"/>
          </w:tcPr>
          <w:p>
            <w:pPr>
              <w:spacing w:line="440" w:lineRule="exact"/>
              <w:jc w:val="center"/>
              <w:rPr>
                <w:rFonts w:ascii="Times New Roman" w:hAnsi="Times New Roman"/>
                <w:color w:val="auto"/>
              </w:rPr>
            </w:pPr>
          </w:p>
        </w:tc>
        <w:tc>
          <w:tcPr>
            <w:tcW w:w="871" w:type="dxa"/>
          </w:tcPr>
          <w:p>
            <w:pPr>
              <w:spacing w:line="440" w:lineRule="exact"/>
              <w:jc w:val="center"/>
              <w:rPr>
                <w:rFonts w:ascii="Times New Roman" w:hAnsi="Times New Roman"/>
                <w:color w:val="auto"/>
              </w:rPr>
            </w:pPr>
          </w:p>
        </w:tc>
        <w:tc>
          <w:tcPr>
            <w:tcW w:w="1134" w:type="dxa"/>
          </w:tcPr>
          <w:p>
            <w:pPr>
              <w:spacing w:line="440" w:lineRule="exact"/>
              <w:jc w:val="center"/>
              <w:rPr>
                <w:rFonts w:ascii="Times New Roman" w:hAnsi="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6" w:type="dxa"/>
          </w:tcPr>
          <w:p>
            <w:pPr>
              <w:spacing w:line="440" w:lineRule="exact"/>
              <w:jc w:val="center"/>
              <w:rPr>
                <w:rFonts w:ascii="Times New Roman" w:hAnsi="Times New Roman"/>
                <w:color w:val="auto"/>
              </w:rPr>
            </w:pPr>
          </w:p>
        </w:tc>
        <w:tc>
          <w:tcPr>
            <w:tcW w:w="1275" w:type="dxa"/>
          </w:tcPr>
          <w:p>
            <w:pPr>
              <w:spacing w:line="440" w:lineRule="exact"/>
              <w:jc w:val="center"/>
              <w:rPr>
                <w:rFonts w:ascii="Times New Roman" w:hAnsi="Times New Roman"/>
                <w:color w:val="auto"/>
              </w:rPr>
            </w:pPr>
          </w:p>
        </w:tc>
        <w:tc>
          <w:tcPr>
            <w:tcW w:w="992" w:type="dxa"/>
          </w:tcPr>
          <w:p>
            <w:pPr>
              <w:spacing w:line="440" w:lineRule="exact"/>
              <w:jc w:val="center"/>
              <w:rPr>
                <w:rFonts w:ascii="Times New Roman" w:hAnsi="Times New Roman"/>
                <w:color w:val="auto"/>
              </w:rPr>
            </w:pPr>
          </w:p>
        </w:tc>
        <w:tc>
          <w:tcPr>
            <w:tcW w:w="603" w:type="dxa"/>
          </w:tcPr>
          <w:p>
            <w:pPr>
              <w:spacing w:line="440" w:lineRule="exact"/>
              <w:jc w:val="center"/>
              <w:rPr>
                <w:rFonts w:ascii="Times New Roman" w:hAnsi="Times New Roman"/>
                <w:color w:val="auto"/>
              </w:rPr>
            </w:pPr>
          </w:p>
        </w:tc>
        <w:tc>
          <w:tcPr>
            <w:tcW w:w="488" w:type="dxa"/>
          </w:tcPr>
          <w:p>
            <w:pPr>
              <w:spacing w:line="440" w:lineRule="exact"/>
              <w:jc w:val="center"/>
              <w:rPr>
                <w:rFonts w:ascii="Times New Roman" w:hAnsi="Times New Roman"/>
                <w:color w:val="auto"/>
              </w:rPr>
            </w:pPr>
          </w:p>
        </w:tc>
        <w:tc>
          <w:tcPr>
            <w:tcW w:w="1134" w:type="dxa"/>
          </w:tcPr>
          <w:p>
            <w:pPr>
              <w:spacing w:line="440" w:lineRule="exact"/>
              <w:jc w:val="center"/>
              <w:rPr>
                <w:rFonts w:ascii="Times New Roman" w:hAnsi="Times New Roman"/>
                <w:color w:val="auto"/>
              </w:rPr>
            </w:pPr>
          </w:p>
        </w:tc>
        <w:tc>
          <w:tcPr>
            <w:tcW w:w="709" w:type="dxa"/>
          </w:tcPr>
          <w:p>
            <w:pPr>
              <w:spacing w:line="440" w:lineRule="exact"/>
              <w:jc w:val="center"/>
              <w:rPr>
                <w:rFonts w:ascii="Times New Roman" w:hAnsi="Times New Roman"/>
                <w:color w:val="auto"/>
              </w:rPr>
            </w:pPr>
          </w:p>
        </w:tc>
        <w:tc>
          <w:tcPr>
            <w:tcW w:w="871" w:type="dxa"/>
          </w:tcPr>
          <w:p>
            <w:pPr>
              <w:spacing w:line="440" w:lineRule="exact"/>
              <w:jc w:val="center"/>
              <w:rPr>
                <w:rFonts w:ascii="Times New Roman" w:hAnsi="Times New Roman"/>
                <w:color w:val="auto"/>
              </w:rPr>
            </w:pPr>
          </w:p>
        </w:tc>
        <w:tc>
          <w:tcPr>
            <w:tcW w:w="1134" w:type="dxa"/>
          </w:tcPr>
          <w:p>
            <w:pPr>
              <w:spacing w:line="440" w:lineRule="exact"/>
              <w:jc w:val="center"/>
              <w:rPr>
                <w:rFonts w:ascii="Times New Roman" w:hAnsi="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6" w:type="dxa"/>
          </w:tcPr>
          <w:p>
            <w:pPr>
              <w:spacing w:line="440" w:lineRule="exact"/>
              <w:jc w:val="center"/>
              <w:rPr>
                <w:rFonts w:ascii="Times New Roman" w:hAnsi="Times New Roman"/>
                <w:color w:val="auto"/>
              </w:rPr>
            </w:pPr>
          </w:p>
        </w:tc>
        <w:tc>
          <w:tcPr>
            <w:tcW w:w="1275" w:type="dxa"/>
          </w:tcPr>
          <w:p>
            <w:pPr>
              <w:spacing w:line="440" w:lineRule="exact"/>
              <w:jc w:val="center"/>
              <w:rPr>
                <w:rFonts w:ascii="Times New Roman" w:hAnsi="Times New Roman"/>
                <w:color w:val="auto"/>
              </w:rPr>
            </w:pPr>
          </w:p>
        </w:tc>
        <w:tc>
          <w:tcPr>
            <w:tcW w:w="992" w:type="dxa"/>
          </w:tcPr>
          <w:p>
            <w:pPr>
              <w:spacing w:line="440" w:lineRule="exact"/>
              <w:jc w:val="center"/>
              <w:rPr>
                <w:rFonts w:ascii="Times New Roman" w:hAnsi="Times New Roman"/>
                <w:color w:val="auto"/>
              </w:rPr>
            </w:pPr>
          </w:p>
        </w:tc>
        <w:tc>
          <w:tcPr>
            <w:tcW w:w="603" w:type="dxa"/>
          </w:tcPr>
          <w:p>
            <w:pPr>
              <w:spacing w:line="440" w:lineRule="exact"/>
              <w:jc w:val="center"/>
              <w:rPr>
                <w:rFonts w:ascii="Times New Roman" w:hAnsi="Times New Roman"/>
                <w:color w:val="auto"/>
              </w:rPr>
            </w:pPr>
          </w:p>
        </w:tc>
        <w:tc>
          <w:tcPr>
            <w:tcW w:w="488" w:type="dxa"/>
          </w:tcPr>
          <w:p>
            <w:pPr>
              <w:spacing w:line="440" w:lineRule="exact"/>
              <w:jc w:val="center"/>
              <w:rPr>
                <w:rFonts w:ascii="Times New Roman" w:hAnsi="Times New Roman"/>
                <w:color w:val="auto"/>
              </w:rPr>
            </w:pPr>
          </w:p>
        </w:tc>
        <w:tc>
          <w:tcPr>
            <w:tcW w:w="1134" w:type="dxa"/>
          </w:tcPr>
          <w:p>
            <w:pPr>
              <w:spacing w:line="440" w:lineRule="exact"/>
              <w:jc w:val="center"/>
              <w:rPr>
                <w:rFonts w:ascii="Times New Roman" w:hAnsi="Times New Roman"/>
                <w:color w:val="auto"/>
              </w:rPr>
            </w:pPr>
          </w:p>
        </w:tc>
        <w:tc>
          <w:tcPr>
            <w:tcW w:w="709" w:type="dxa"/>
          </w:tcPr>
          <w:p>
            <w:pPr>
              <w:spacing w:line="440" w:lineRule="exact"/>
              <w:jc w:val="center"/>
              <w:rPr>
                <w:rFonts w:ascii="Times New Roman" w:hAnsi="Times New Roman"/>
                <w:color w:val="auto"/>
              </w:rPr>
            </w:pPr>
          </w:p>
        </w:tc>
        <w:tc>
          <w:tcPr>
            <w:tcW w:w="871" w:type="dxa"/>
          </w:tcPr>
          <w:p>
            <w:pPr>
              <w:spacing w:line="440" w:lineRule="exact"/>
              <w:jc w:val="center"/>
              <w:rPr>
                <w:rFonts w:ascii="Times New Roman" w:hAnsi="Times New Roman"/>
                <w:color w:val="auto"/>
              </w:rPr>
            </w:pPr>
          </w:p>
        </w:tc>
        <w:tc>
          <w:tcPr>
            <w:tcW w:w="1134" w:type="dxa"/>
          </w:tcPr>
          <w:p>
            <w:pPr>
              <w:spacing w:line="440" w:lineRule="exact"/>
              <w:jc w:val="center"/>
              <w:rPr>
                <w:rFonts w:ascii="Times New Roman" w:hAnsi="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6" w:type="dxa"/>
          </w:tcPr>
          <w:p>
            <w:pPr>
              <w:spacing w:line="440" w:lineRule="exact"/>
              <w:jc w:val="center"/>
              <w:rPr>
                <w:rFonts w:ascii="Times New Roman" w:hAnsi="Times New Roman"/>
                <w:color w:val="auto"/>
              </w:rPr>
            </w:pPr>
          </w:p>
        </w:tc>
        <w:tc>
          <w:tcPr>
            <w:tcW w:w="1275" w:type="dxa"/>
          </w:tcPr>
          <w:p>
            <w:pPr>
              <w:spacing w:line="440" w:lineRule="exact"/>
              <w:jc w:val="center"/>
              <w:rPr>
                <w:rFonts w:ascii="Times New Roman" w:hAnsi="Times New Roman"/>
                <w:color w:val="auto"/>
              </w:rPr>
            </w:pPr>
          </w:p>
        </w:tc>
        <w:tc>
          <w:tcPr>
            <w:tcW w:w="992" w:type="dxa"/>
          </w:tcPr>
          <w:p>
            <w:pPr>
              <w:spacing w:line="440" w:lineRule="exact"/>
              <w:jc w:val="center"/>
              <w:rPr>
                <w:rFonts w:ascii="Times New Roman" w:hAnsi="Times New Roman"/>
                <w:color w:val="auto"/>
              </w:rPr>
            </w:pPr>
          </w:p>
        </w:tc>
        <w:tc>
          <w:tcPr>
            <w:tcW w:w="603" w:type="dxa"/>
          </w:tcPr>
          <w:p>
            <w:pPr>
              <w:spacing w:line="440" w:lineRule="exact"/>
              <w:jc w:val="center"/>
              <w:rPr>
                <w:rFonts w:ascii="Times New Roman" w:hAnsi="Times New Roman"/>
                <w:color w:val="auto"/>
              </w:rPr>
            </w:pPr>
          </w:p>
        </w:tc>
        <w:tc>
          <w:tcPr>
            <w:tcW w:w="488" w:type="dxa"/>
          </w:tcPr>
          <w:p>
            <w:pPr>
              <w:spacing w:line="440" w:lineRule="exact"/>
              <w:jc w:val="center"/>
              <w:rPr>
                <w:rFonts w:ascii="Times New Roman" w:hAnsi="Times New Roman"/>
                <w:color w:val="auto"/>
              </w:rPr>
            </w:pPr>
          </w:p>
        </w:tc>
        <w:tc>
          <w:tcPr>
            <w:tcW w:w="1134" w:type="dxa"/>
          </w:tcPr>
          <w:p>
            <w:pPr>
              <w:spacing w:line="440" w:lineRule="exact"/>
              <w:jc w:val="center"/>
              <w:rPr>
                <w:rFonts w:ascii="Times New Roman" w:hAnsi="Times New Roman"/>
                <w:color w:val="auto"/>
              </w:rPr>
            </w:pPr>
          </w:p>
        </w:tc>
        <w:tc>
          <w:tcPr>
            <w:tcW w:w="709" w:type="dxa"/>
          </w:tcPr>
          <w:p>
            <w:pPr>
              <w:spacing w:line="440" w:lineRule="exact"/>
              <w:jc w:val="center"/>
              <w:rPr>
                <w:rFonts w:ascii="Times New Roman" w:hAnsi="Times New Roman"/>
                <w:color w:val="auto"/>
              </w:rPr>
            </w:pPr>
          </w:p>
        </w:tc>
        <w:tc>
          <w:tcPr>
            <w:tcW w:w="871" w:type="dxa"/>
          </w:tcPr>
          <w:p>
            <w:pPr>
              <w:spacing w:line="440" w:lineRule="exact"/>
              <w:jc w:val="center"/>
              <w:rPr>
                <w:rFonts w:ascii="Times New Roman" w:hAnsi="Times New Roman"/>
                <w:color w:val="auto"/>
              </w:rPr>
            </w:pPr>
          </w:p>
        </w:tc>
        <w:tc>
          <w:tcPr>
            <w:tcW w:w="1134" w:type="dxa"/>
          </w:tcPr>
          <w:p>
            <w:pPr>
              <w:spacing w:line="440" w:lineRule="exact"/>
              <w:jc w:val="center"/>
              <w:rPr>
                <w:rFonts w:ascii="Times New Roman" w:hAnsi="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6" w:type="dxa"/>
          </w:tcPr>
          <w:p>
            <w:pPr>
              <w:spacing w:line="440" w:lineRule="exact"/>
              <w:jc w:val="center"/>
              <w:rPr>
                <w:rFonts w:ascii="Times New Roman" w:hAnsi="Times New Roman"/>
                <w:color w:val="auto"/>
              </w:rPr>
            </w:pPr>
          </w:p>
        </w:tc>
        <w:tc>
          <w:tcPr>
            <w:tcW w:w="1275" w:type="dxa"/>
          </w:tcPr>
          <w:p>
            <w:pPr>
              <w:spacing w:line="440" w:lineRule="exact"/>
              <w:jc w:val="center"/>
              <w:rPr>
                <w:rFonts w:ascii="Times New Roman" w:hAnsi="Times New Roman"/>
                <w:color w:val="auto"/>
              </w:rPr>
            </w:pPr>
          </w:p>
        </w:tc>
        <w:tc>
          <w:tcPr>
            <w:tcW w:w="992" w:type="dxa"/>
          </w:tcPr>
          <w:p>
            <w:pPr>
              <w:spacing w:line="440" w:lineRule="exact"/>
              <w:jc w:val="center"/>
              <w:rPr>
                <w:rFonts w:ascii="Times New Roman" w:hAnsi="Times New Roman"/>
                <w:color w:val="auto"/>
              </w:rPr>
            </w:pPr>
          </w:p>
        </w:tc>
        <w:tc>
          <w:tcPr>
            <w:tcW w:w="603" w:type="dxa"/>
          </w:tcPr>
          <w:p>
            <w:pPr>
              <w:spacing w:line="440" w:lineRule="exact"/>
              <w:jc w:val="center"/>
              <w:rPr>
                <w:rFonts w:ascii="Times New Roman" w:hAnsi="Times New Roman"/>
                <w:color w:val="auto"/>
              </w:rPr>
            </w:pPr>
          </w:p>
        </w:tc>
        <w:tc>
          <w:tcPr>
            <w:tcW w:w="488" w:type="dxa"/>
          </w:tcPr>
          <w:p>
            <w:pPr>
              <w:spacing w:line="440" w:lineRule="exact"/>
              <w:jc w:val="center"/>
              <w:rPr>
                <w:rFonts w:ascii="Times New Roman" w:hAnsi="Times New Roman"/>
                <w:color w:val="auto"/>
              </w:rPr>
            </w:pPr>
          </w:p>
        </w:tc>
        <w:tc>
          <w:tcPr>
            <w:tcW w:w="1134" w:type="dxa"/>
          </w:tcPr>
          <w:p>
            <w:pPr>
              <w:spacing w:line="440" w:lineRule="exact"/>
              <w:jc w:val="center"/>
              <w:rPr>
                <w:rFonts w:ascii="Times New Roman" w:hAnsi="Times New Roman"/>
                <w:color w:val="auto"/>
              </w:rPr>
            </w:pPr>
          </w:p>
        </w:tc>
        <w:tc>
          <w:tcPr>
            <w:tcW w:w="709" w:type="dxa"/>
          </w:tcPr>
          <w:p>
            <w:pPr>
              <w:spacing w:line="440" w:lineRule="exact"/>
              <w:jc w:val="center"/>
              <w:rPr>
                <w:rFonts w:ascii="Times New Roman" w:hAnsi="Times New Roman"/>
                <w:color w:val="auto"/>
              </w:rPr>
            </w:pPr>
          </w:p>
        </w:tc>
        <w:tc>
          <w:tcPr>
            <w:tcW w:w="871" w:type="dxa"/>
          </w:tcPr>
          <w:p>
            <w:pPr>
              <w:spacing w:line="440" w:lineRule="exact"/>
              <w:jc w:val="center"/>
              <w:rPr>
                <w:rFonts w:ascii="Times New Roman" w:hAnsi="Times New Roman"/>
                <w:color w:val="auto"/>
              </w:rPr>
            </w:pPr>
          </w:p>
        </w:tc>
        <w:tc>
          <w:tcPr>
            <w:tcW w:w="1134" w:type="dxa"/>
          </w:tcPr>
          <w:p>
            <w:pPr>
              <w:spacing w:line="440" w:lineRule="exact"/>
              <w:jc w:val="center"/>
              <w:rPr>
                <w:rFonts w:ascii="Times New Roman" w:hAnsi="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6" w:type="dxa"/>
          </w:tcPr>
          <w:p>
            <w:pPr>
              <w:spacing w:line="440" w:lineRule="exact"/>
              <w:jc w:val="center"/>
              <w:rPr>
                <w:rFonts w:ascii="Times New Roman" w:hAnsi="Times New Roman"/>
                <w:color w:val="auto"/>
              </w:rPr>
            </w:pPr>
          </w:p>
        </w:tc>
        <w:tc>
          <w:tcPr>
            <w:tcW w:w="1275" w:type="dxa"/>
          </w:tcPr>
          <w:p>
            <w:pPr>
              <w:spacing w:line="440" w:lineRule="exact"/>
              <w:jc w:val="center"/>
              <w:rPr>
                <w:rFonts w:ascii="Times New Roman" w:hAnsi="Times New Roman"/>
                <w:color w:val="auto"/>
              </w:rPr>
            </w:pPr>
          </w:p>
        </w:tc>
        <w:tc>
          <w:tcPr>
            <w:tcW w:w="992" w:type="dxa"/>
          </w:tcPr>
          <w:p>
            <w:pPr>
              <w:spacing w:line="440" w:lineRule="exact"/>
              <w:jc w:val="center"/>
              <w:rPr>
                <w:rFonts w:ascii="Times New Roman" w:hAnsi="Times New Roman"/>
                <w:color w:val="auto"/>
              </w:rPr>
            </w:pPr>
          </w:p>
        </w:tc>
        <w:tc>
          <w:tcPr>
            <w:tcW w:w="603" w:type="dxa"/>
          </w:tcPr>
          <w:p>
            <w:pPr>
              <w:spacing w:line="440" w:lineRule="exact"/>
              <w:jc w:val="center"/>
              <w:rPr>
                <w:rFonts w:ascii="Times New Roman" w:hAnsi="Times New Roman"/>
                <w:color w:val="auto"/>
              </w:rPr>
            </w:pPr>
          </w:p>
        </w:tc>
        <w:tc>
          <w:tcPr>
            <w:tcW w:w="488" w:type="dxa"/>
          </w:tcPr>
          <w:p>
            <w:pPr>
              <w:spacing w:line="440" w:lineRule="exact"/>
              <w:jc w:val="center"/>
              <w:rPr>
                <w:rFonts w:ascii="Times New Roman" w:hAnsi="Times New Roman"/>
                <w:color w:val="auto"/>
              </w:rPr>
            </w:pPr>
          </w:p>
        </w:tc>
        <w:tc>
          <w:tcPr>
            <w:tcW w:w="1134" w:type="dxa"/>
          </w:tcPr>
          <w:p>
            <w:pPr>
              <w:spacing w:line="440" w:lineRule="exact"/>
              <w:jc w:val="center"/>
              <w:rPr>
                <w:rFonts w:ascii="Times New Roman" w:hAnsi="Times New Roman"/>
                <w:color w:val="auto"/>
              </w:rPr>
            </w:pPr>
          </w:p>
        </w:tc>
        <w:tc>
          <w:tcPr>
            <w:tcW w:w="709" w:type="dxa"/>
          </w:tcPr>
          <w:p>
            <w:pPr>
              <w:spacing w:line="440" w:lineRule="exact"/>
              <w:jc w:val="center"/>
              <w:rPr>
                <w:rFonts w:ascii="Times New Roman" w:hAnsi="Times New Roman"/>
                <w:color w:val="auto"/>
              </w:rPr>
            </w:pPr>
          </w:p>
        </w:tc>
        <w:tc>
          <w:tcPr>
            <w:tcW w:w="871" w:type="dxa"/>
          </w:tcPr>
          <w:p>
            <w:pPr>
              <w:spacing w:line="440" w:lineRule="exact"/>
              <w:jc w:val="center"/>
              <w:rPr>
                <w:rFonts w:ascii="Times New Roman" w:hAnsi="Times New Roman"/>
                <w:color w:val="auto"/>
              </w:rPr>
            </w:pPr>
          </w:p>
        </w:tc>
        <w:tc>
          <w:tcPr>
            <w:tcW w:w="1134" w:type="dxa"/>
          </w:tcPr>
          <w:p>
            <w:pPr>
              <w:spacing w:line="440" w:lineRule="exact"/>
              <w:jc w:val="center"/>
              <w:rPr>
                <w:rFonts w:ascii="Times New Roman" w:hAnsi="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6" w:type="dxa"/>
          </w:tcPr>
          <w:p>
            <w:pPr>
              <w:spacing w:line="440" w:lineRule="exact"/>
              <w:jc w:val="center"/>
              <w:rPr>
                <w:rFonts w:ascii="Times New Roman" w:hAnsi="Times New Roman"/>
                <w:color w:val="auto"/>
              </w:rPr>
            </w:pPr>
          </w:p>
        </w:tc>
        <w:tc>
          <w:tcPr>
            <w:tcW w:w="1275" w:type="dxa"/>
          </w:tcPr>
          <w:p>
            <w:pPr>
              <w:spacing w:line="440" w:lineRule="exact"/>
              <w:jc w:val="center"/>
              <w:rPr>
                <w:rFonts w:ascii="Times New Roman" w:hAnsi="Times New Roman"/>
                <w:color w:val="auto"/>
              </w:rPr>
            </w:pPr>
          </w:p>
        </w:tc>
        <w:tc>
          <w:tcPr>
            <w:tcW w:w="992" w:type="dxa"/>
          </w:tcPr>
          <w:p>
            <w:pPr>
              <w:spacing w:line="440" w:lineRule="exact"/>
              <w:jc w:val="center"/>
              <w:rPr>
                <w:rFonts w:ascii="Times New Roman" w:hAnsi="Times New Roman"/>
                <w:color w:val="auto"/>
              </w:rPr>
            </w:pPr>
          </w:p>
        </w:tc>
        <w:tc>
          <w:tcPr>
            <w:tcW w:w="603" w:type="dxa"/>
          </w:tcPr>
          <w:p>
            <w:pPr>
              <w:spacing w:line="440" w:lineRule="exact"/>
              <w:jc w:val="center"/>
              <w:rPr>
                <w:rFonts w:ascii="Times New Roman" w:hAnsi="Times New Roman"/>
                <w:color w:val="auto"/>
              </w:rPr>
            </w:pPr>
          </w:p>
        </w:tc>
        <w:tc>
          <w:tcPr>
            <w:tcW w:w="488" w:type="dxa"/>
          </w:tcPr>
          <w:p>
            <w:pPr>
              <w:spacing w:line="440" w:lineRule="exact"/>
              <w:jc w:val="center"/>
              <w:rPr>
                <w:rFonts w:ascii="Times New Roman" w:hAnsi="Times New Roman"/>
                <w:color w:val="auto"/>
              </w:rPr>
            </w:pPr>
          </w:p>
        </w:tc>
        <w:tc>
          <w:tcPr>
            <w:tcW w:w="1134" w:type="dxa"/>
          </w:tcPr>
          <w:p>
            <w:pPr>
              <w:spacing w:line="440" w:lineRule="exact"/>
              <w:jc w:val="center"/>
              <w:rPr>
                <w:rFonts w:ascii="Times New Roman" w:hAnsi="Times New Roman"/>
                <w:color w:val="auto"/>
              </w:rPr>
            </w:pPr>
          </w:p>
        </w:tc>
        <w:tc>
          <w:tcPr>
            <w:tcW w:w="709" w:type="dxa"/>
          </w:tcPr>
          <w:p>
            <w:pPr>
              <w:spacing w:line="440" w:lineRule="exact"/>
              <w:jc w:val="center"/>
              <w:rPr>
                <w:rFonts w:ascii="Times New Roman" w:hAnsi="Times New Roman"/>
                <w:color w:val="auto"/>
              </w:rPr>
            </w:pPr>
          </w:p>
        </w:tc>
        <w:tc>
          <w:tcPr>
            <w:tcW w:w="871" w:type="dxa"/>
          </w:tcPr>
          <w:p>
            <w:pPr>
              <w:spacing w:line="440" w:lineRule="exact"/>
              <w:jc w:val="center"/>
              <w:rPr>
                <w:rFonts w:ascii="Times New Roman" w:hAnsi="Times New Roman"/>
                <w:color w:val="auto"/>
              </w:rPr>
            </w:pPr>
          </w:p>
        </w:tc>
        <w:tc>
          <w:tcPr>
            <w:tcW w:w="1134" w:type="dxa"/>
          </w:tcPr>
          <w:p>
            <w:pPr>
              <w:spacing w:line="440" w:lineRule="exact"/>
              <w:jc w:val="center"/>
              <w:rPr>
                <w:rFonts w:ascii="Times New Roman" w:hAnsi="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6" w:type="dxa"/>
          </w:tcPr>
          <w:p>
            <w:pPr>
              <w:spacing w:line="440" w:lineRule="exact"/>
              <w:jc w:val="center"/>
              <w:rPr>
                <w:rFonts w:ascii="Times New Roman" w:hAnsi="Times New Roman"/>
                <w:color w:val="auto"/>
              </w:rPr>
            </w:pPr>
          </w:p>
        </w:tc>
        <w:tc>
          <w:tcPr>
            <w:tcW w:w="1275" w:type="dxa"/>
          </w:tcPr>
          <w:p>
            <w:pPr>
              <w:spacing w:line="440" w:lineRule="exact"/>
              <w:jc w:val="center"/>
              <w:rPr>
                <w:rFonts w:ascii="Times New Roman" w:hAnsi="Times New Roman"/>
                <w:color w:val="auto"/>
              </w:rPr>
            </w:pPr>
          </w:p>
        </w:tc>
        <w:tc>
          <w:tcPr>
            <w:tcW w:w="992" w:type="dxa"/>
          </w:tcPr>
          <w:p>
            <w:pPr>
              <w:spacing w:line="440" w:lineRule="exact"/>
              <w:jc w:val="center"/>
              <w:rPr>
                <w:rFonts w:ascii="Times New Roman" w:hAnsi="Times New Roman"/>
                <w:color w:val="auto"/>
              </w:rPr>
            </w:pPr>
          </w:p>
        </w:tc>
        <w:tc>
          <w:tcPr>
            <w:tcW w:w="603" w:type="dxa"/>
          </w:tcPr>
          <w:p>
            <w:pPr>
              <w:spacing w:line="440" w:lineRule="exact"/>
              <w:jc w:val="center"/>
              <w:rPr>
                <w:rFonts w:ascii="Times New Roman" w:hAnsi="Times New Roman"/>
                <w:color w:val="auto"/>
              </w:rPr>
            </w:pPr>
          </w:p>
        </w:tc>
        <w:tc>
          <w:tcPr>
            <w:tcW w:w="488" w:type="dxa"/>
          </w:tcPr>
          <w:p>
            <w:pPr>
              <w:spacing w:line="440" w:lineRule="exact"/>
              <w:jc w:val="center"/>
              <w:rPr>
                <w:rFonts w:ascii="Times New Roman" w:hAnsi="Times New Roman"/>
                <w:color w:val="auto"/>
              </w:rPr>
            </w:pPr>
          </w:p>
        </w:tc>
        <w:tc>
          <w:tcPr>
            <w:tcW w:w="1134" w:type="dxa"/>
          </w:tcPr>
          <w:p>
            <w:pPr>
              <w:spacing w:line="440" w:lineRule="exact"/>
              <w:jc w:val="center"/>
              <w:rPr>
                <w:rFonts w:ascii="Times New Roman" w:hAnsi="Times New Roman"/>
                <w:color w:val="auto"/>
              </w:rPr>
            </w:pPr>
          </w:p>
        </w:tc>
        <w:tc>
          <w:tcPr>
            <w:tcW w:w="709" w:type="dxa"/>
          </w:tcPr>
          <w:p>
            <w:pPr>
              <w:spacing w:line="440" w:lineRule="exact"/>
              <w:jc w:val="center"/>
              <w:rPr>
                <w:rFonts w:ascii="Times New Roman" w:hAnsi="Times New Roman"/>
                <w:color w:val="auto"/>
              </w:rPr>
            </w:pPr>
          </w:p>
        </w:tc>
        <w:tc>
          <w:tcPr>
            <w:tcW w:w="871" w:type="dxa"/>
          </w:tcPr>
          <w:p>
            <w:pPr>
              <w:spacing w:line="440" w:lineRule="exact"/>
              <w:jc w:val="center"/>
              <w:rPr>
                <w:rFonts w:ascii="Times New Roman" w:hAnsi="Times New Roman"/>
                <w:color w:val="auto"/>
              </w:rPr>
            </w:pPr>
          </w:p>
        </w:tc>
        <w:tc>
          <w:tcPr>
            <w:tcW w:w="1134" w:type="dxa"/>
          </w:tcPr>
          <w:p>
            <w:pPr>
              <w:spacing w:line="440" w:lineRule="exact"/>
              <w:jc w:val="center"/>
              <w:rPr>
                <w:rFonts w:ascii="Times New Roman" w:hAnsi="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6" w:type="dxa"/>
          </w:tcPr>
          <w:p>
            <w:pPr>
              <w:spacing w:line="440" w:lineRule="exact"/>
              <w:jc w:val="center"/>
              <w:rPr>
                <w:rFonts w:ascii="Times New Roman" w:hAnsi="Times New Roman"/>
                <w:color w:val="auto"/>
              </w:rPr>
            </w:pPr>
          </w:p>
        </w:tc>
        <w:tc>
          <w:tcPr>
            <w:tcW w:w="1275" w:type="dxa"/>
          </w:tcPr>
          <w:p>
            <w:pPr>
              <w:spacing w:line="440" w:lineRule="exact"/>
              <w:jc w:val="center"/>
              <w:rPr>
                <w:rFonts w:ascii="Times New Roman" w:hAnsi="Times New Roman"/>
                <w:color w:val="auto"/>
              </w:rPr>
            </w:pPr>
          </w:p>
        </w:tc>
        <w:tc>
          <w:tcPr>
            <w:tcW w:w="992" w:type="dxa"/>
          </w:tcPr>
          <w:p>
            <w:pPr>
              <w:spacing w:line="440" w:lineRule="exact"/>
              <w:jc w:val="center"/>
              <w:rPr>
                <w:rFonts w:ascii="Times New Roman" w:hAnsi="Times New Roman"/>
                <w:color w:val="auto"/>
              </w:rPr>
            </w:pPr>
          </w:p>
        </w:tc>
        <w:tc>
          <w:tcPr>
            <w:tcW w:w="603" w:type="dxa"/>
          </w:tcPr>
          <w:p>
            <w:pPr>
              <w:spacing w:line="440" w:lineRule="exact"/>
              <w:jc w:val="center"/>
              <w:rPr>
                <w:rFonts w:ascii="Times New Roman" w:hAnsi="Times New Roman"/>
                <w:color w:val="auto"/>
              </w:rPr>
            </w:pPr>
          </w:p>
        </w:tc>
        <w:tc>
          <w:tcPr>
            <w:tcW w:w="488" w:type="dxa"/>
          </w:tcPr>
          <w:p>
            <w:pPr>
              <w:spacing w:line="440" w:lineRule="exact"/>
              <w:jc w:val="center"/>
              <w:rPr>
                <w:rFonts w:ascii="Times New Roman" w:hAnsi="Times New Roman"/>
                <w:color w:val="auto"/>
              </w:rPr>
            </w:pPr>
          </w:p>
        </w:tc>
        <w:tc>
          <w:tcPr>
            <w:tcW w:w="1134" w:type="dxa"/>
          </w:tcPr>
          <w:p>
            <w:pPr>
              <w:spacing w:line="440" w:lineRule="exact"/>
              <w:jc w:val="center"/>
              <w:rPr>
                <w:rFonts w:ascii="Times New Roman" w:hAnsi="Times New Roman"/>
                <w:color w:val="auto"/>
              </w:rPr>
            </w:pPr>
          </w:p>
        </w:tc>
        <w:tc>
          <w:tcPr>
            <w:tcW w:w="709" w:type="dxa"/>
          </w:tcPr>
          <w:p>
            <w:pPr>
              <w:spacing w:line="440" w:lineRule="exact"/>
              <w:jc w:val="center"/>
              <w:rPr>
                <w:rFonts w:ascii="Times New Roman" w:hAnsi="Times New Roman"/>
                <w:color w:val="auto"/>
              </w:rPr>
            </w:pPr>
          </w:p>
        </w:tc>
        <w:tc>
          <w:tcPr>
            <w:tcW w:w="871" w:type="dxa"/>
          </w:tcPr>
          <w:p>
            <w:pPr>
              <w:spacing w:line="440" w:lineRule="exact"/>
              <w:jc w:val="center"/>
              <w:rPr>
                <w:rFonts w:ascii="Times New Roman" w:hAnsi="Times New Roman"/>
                <w:color w:val="auto"/>
              </w:rPr>
            </w:pPr>
          </w:p>
        </w:tc>
        <w:tc>
          <w:tcPr>
            <w:tcW w:w="1134" w:type="dxa"/>
          </w:tcPr>
          <w:p>
            <w:pPr>
              <w:spacing w:line="440" w:lineRule="exact"/>
              <w:jc w:val="center"/>
              <w:rPr>
                <w:rFonts w:ascii="Times New Roman" w:hAnsi="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6" w:type="dxa"/>
          </w:tcPr>
          <w:p>
            <w:pPr>
              <w:spacing w:line="440" w:lineRule="exact"/>
              <w:jc w:val="center"/>
              <w:rPr>
                <w:rFonts w:ascii="Times New Roman" w:hAnsi="Times New Roman"/>
                <w:color w:val="auto"/>
              </w:rPr>
            </w:pPr>
          </w:p>
        </w:tc>
        <w:tc>
          <w:tcPr>
            <w:tcW w:w="1275" w:type="dxa"/>
          </w:tcPr>
          <w:p>
            <w:pPr>
              <w:spacing w:line="440" w:lineRule="exact"/>
              <w:jc w:val="center"/>
              <w:rPr>
                <w:rFonts w:ascii="Times New Roman" w:hAnsi="Times New Roman"/>
                <w:color w:val="auto"/>
              </w:rPr>
            </w:pPr>
          </w:p>
        </w:tc>
        <w:tc>
          <w:tcPr>
            <w:tcW w:w="992" w:type="dxa"/>
          </w:tcPr>
          <w:p>
            <w:pPr>
              <w:spacing w:line="440" w:lineRule="exact"/>
              <w:jc w:val="center"/>
              <w:rPr>
                <w:rFonts w:ascii="Times New Roman" w:hAnsi="Times New Roman"/>
                <w:color w:val="auto"/>
              </w:rPr>
            </w:pPr>
          </w:p>
        </w:tc>
        <w:tc>
          <w:tcPr>
            <w:tcW w:w="603" w:type="dxa"/>
          </w:tcPr>
          <w:p>
            <w:pPr>
              <w:spacing w:line="440" w:lineRule="exact"/>
              <w:jc w:val="center"/>
              <w:rPr>
                <w:rFonts w:ascii="Times New Roman" w:hAnsi="Times New Roman"/>
                <w:color w:val="auto"/>
              </w:rPr>
            </w:pPr>
          </w:p>
        </w:tc>
        <w:tc>
          <w:tcPr>
            <w:tcW w:w="488" w:type="dxa"/>
          </w:tcPr>
          <w:p>
            <w:pPr>
              <w:spacing w:line="440" w:lineRule="exact"/>
              <w:jc w:val="center"/>
              <w:rPr>
                <w:rFonts w:ascii="Times New Roman" w:hAnsi="Times New Roman"/>
                <w:color w:val="auto"/>
              </w:rPr>
            </w:pPr>
          </w:p>
        </w:tc>
        <w:tc>
          <w:tcPr>
            <w:tcW w:w="1134" w:type="dxa"/>
          </w:tcPr>
          <w:p>
            <w:pPr>
              <w:spacing w:line="440" w:lineRule="exact"/>
              <w:jc w:val="center"/>
              <w:rPr>
                <w:rFonts w:ascii="Times New Roman" w:hAnsi="Times New Roman"/>
                <w:color w:val="auto"/>
              </w:rPr>
            </w:pPr>
          </w:p>
        </w:tc>
        <w:tc>
          <w:tcPr>
            <w:tcW w:w="709" w:type="dxa"/>
          </w:tcPr>
          <w:p>
            <w:pPr>
              <w:spacing w:line="440" w:lineRule="exact"/>
              <w:jc w:val="center"/>
              <w:rPr>
                <w:rFonts w:ascii="Times New Roman" w:hAnsi="Times New Roman"/>
                <w:color w:val="auto"/>
              </w:rPr>
            </w:pPr>
          </w:p>
        </w:tc>
        <w:tc>
          <w:tcPr>
            <w:tcW w:w="871" w:type="dxa"/>
          </w:tcPr>
          <w:p>
            <w:pPr>
              <w:spacing w:line="440" w:lineRule="exact"/>
              <w:jc w:val="center"/>
              <w:rPr>
                <w:rFonts w:ascii="Times New Roman" w:hAnsi="Times New Roman"/>
                <w:color w:val="auto"/>
              </w:rPr>
            </w:pPr>
          </w:p>
        </w:tc>
        <w:tc>
          <w:tcPr>
            <w:tcW w:w="1134" w:type="dxa"/>
          </w:tcPr>
          <w:p>
            <w:pPr>
              <w:spacing w:line="440" w:lineRule="exact"/>
              <w:jc w:val="center"/>
              <w:rPr>
                <w:rFonts w:ascii="Times New Roman" w:hAnsi="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6" w:type="dxa"/>
          </w:tcPr>
          <w:p>
            <w:pPr>
              <w:spacing w:line="440" w:lineRule="exact"/>
              <w:jc w:val="center"/>
              <w:rPr>
                <w:rFonts w:ascii="Times New Roman" w:hAnsi="Times New Roman"/>
                <w:color w:val="auto"/>
              </w:rPr>
            </w:pPr>
          </w:p>
        </w:tc>
        <w:tc>
          <w:tcPr>
            <w:tcW w:w="1275" w:type="dxa"/>
          </w:tcPr>
          <w:p>
            <w:pPr>
              <w:spacing w:line="440" w:lineRule="exact"/>
              <w:jc w:val="center"/>
              <w:rPr>
                <w:rFonts w:ascii="Times New Roman" w:hAnsi="Times New Roman"/>
                <w:color w:val="auto"/>
              </w:rPr>
            </w:pPr>
          </w:p>
        </w:tc>
        <w:tc>
          <w:tcPr>
            <w:tcW w:w="992" w:type="dxa"/>
          </w:tcPr>
          <w:p>
            <w:pPr>
              <w:spacing w:line="440" w:lineRule="exact"/>
              <w:jc w:val="center"/>
              <w:rPr>
                <w:rFonts w:ascii="Times New Roman" w:hAnsi="Times New Roman"/>
                <w:color w:val="auto"/>
              </w:rPr>
            </w:pPr>
          </w:p>
        </w:tc>
        <w:tc>
          <w:tcPr>
            <w:tcW w:w="603" w:type="dxa"/>
          </w:tcPr>
          <w:p>
            <w:pPr>
              <w:spacing w:line="440" w:lineRule="exact"/>
              <w:jc w:val="center"/>
              <w:rPr>
                <w:rFonts w:ascii="Times New Roman" w:hAnsi="Times New Roman"/>
                <w:color w:val="auto"/>
              </w:rPr>
            </w:pPr>
          </w:p>
        </w:tc>
        <w:tc>
          <w:tcPr>
            <w:tcW w:w="488" w:type="dxa"/>
          </w:tcPr>
          <w:p>
            <w:pPr>
              <w:spacing w:line="440" w:lineRule="exact"/>
              <w:jc w:val="center"/>
              <w:rPr>
                <w:rFonts w:ascii="Times New Roman" w:hAnsi="Times New Roman"/>
                <w:color w:val="auto"/>
              </w:rPr>
            </w:pPr>
          </w:p>
        </w:tc>
        <w:tc>
          <w:tcPr>
            <w:tcW w:w="1134" w:type="dxa"/>
          </w:tcPr>
          <w:p>
            <w:pPr>
              <w:spacing w:line="440" w:lineRule="exact"/>
              <w:jc w:val="center"/>
              <w:rPr>
                <w:rFonts w:ascii="Times New Roman" w:hAnsi="Times New Roman"/>
                <w:color w:val="auto"/>
              </w:rPr>
            </w:pPr>
          </w:p>
        </w:tc>
        <w:tc>
          <w:tcPr>
            <w:tcW w:w="709" w:type="dxa"/>
          </w:tcPr>
          <w:p>
            <w:pPr>
              <w:spacing w:line="440" w:lineRule="exact"/>
              <w:jc w:val="center"/>
              <w:rPr>
                <w:rFonts w:ascii="Times New Roman" w:hAnsi="Times New Roman"/>
                <w:color w:val="auto"/>
              </w:rPr>
            </w:pPr>
          </w:p>
        </w:tc>
        <w:tc>
          <w:tcPr>
            <w:tcW w:w="871" w:type="dxa"/>
          </w:tcPr>
          <w:p>
            <w:pPr>
              <w:spacing w:line="440" w:lineRule="exact"/>
              <w:jc w:val="center"/>
              <w:rPr>
                <w:rFonts w:ascii="Times New Roman" w:hAnsi="Times New Roman"/>
                <w:color w:val="auto"/>
              </w:rPr>
            </w:pPr>
          </w:p>
        </w:tc>
        <w:tc>
          <w:tcPr>
            <w:tcW w:w="1134" w:type="dxa"/>
          </w:tcPr>
          <w:p>
            <w:pPr>
              <w:spacing w:line="440" w:lineRule="exact"/>
              <w:jc w:val="center"/>
              <w:rPr>
                <w:rFonts w:ascii="Times New Roman" w:hAnsi="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6" w:type="dxa"/>
          </w:tcPr>
          <w:p>
            <w:pPr>
              <w:spacing w:line="440" w:lineRule="exact"/>
              <w:jc w:val="center"/>
              <w:rPr>
                <w:rFonts w:ascii="Times New Roman" w:hAnsi="Times New Roman"/>
                <w:color w:val="auto"/>
              </w:rPr>
            </w:pPr>
          </w:p>
        </w:tc>
        <w:tc>
          <w:tcPr>
            <w:tcW w:w="1275" w:type="dxa"/>
          </w:tcPr>
          <w:p>
            <w:pPr>
              <w:spacing w:line="440" w:lineRule="exact"/>
              <w:jc w:val="center"/>
              <w:rPr>
                <w:rFonts w:ascii="Times New Roman" w:hAnsi="Times New Roman"/>
                <w:color w:val="auto"/>
              </w:rPr>
            </w:pPr>
          </w:p>
        </w:tc>
        <w:tc>
          <w:tcPr>
            <w:tcW w:w="992" w:type="dxa"/>
          </w:tcPr>
          <w:p>
            <w:pPr>
              <w:spacing w:line="440" w:lineRule="exact"/>
              <w:jc w:val="center"/>
              <w:rPr>
                <w:rFonts w:ascii="Times New Roman" w:hAnsi="Times New Roman"/>
                <w:color w:val="auto"/>
              </w:rPr>
            </w:pPr>
          </w:p>
        </w:tc>
        <w:tc>
          <w:tcPr>
            <w:tcW w:w="603" w:type="dxa"/>
          </w:tcPr>
          <w:p>
            <w:pPr>
              <w:spacing w:line="440" w:lineRule="exact"/>
              <w:jc w:val="center"/>
              <w:rPr>
                <w:rFonts w:ascii="Times New Roman" w:hAnsi="Times New Roman"/>
                <w:color w:val="auto"/>
              </w:rPr>
            </w:pPr>
          </w:p>
        </w:tc>
        <w:tc>
          <w:tcPr>
            <w:tcW w:w="488" w:type="dxa"/>
          </w:tcPr>
          <w:p>
            <w:pPr>
              <w:spacing w:line="440" w:lineRule="exact"/>
              <w:jc w:val="center"/>
              <w:rPr>
                <w:rFonts w:ascii="Times New Roman" w:hAnsi="Times New Roman"/>
                <w:color w:val="auto"/>
              </w:rPr>
            </w:pPr>
          </w:p>
        </w:tc>
        <w:tc>
          <w:tcPr>
            <w:tcW w:w="1134" w:type="dxa"/>
          </w:tcPr>
          <w:p>
            <w:pPr>
              <w:spacing w:line="440" w:lineRule="exact"/>
              <w:jc w:val="center"/>
              <w:rPr>
                <w:rFonts w:ascii="Times New Roman" w:hAnsi="Times New Roman"/>
                <w:color w:val="auto"/>
              </w:rPr>
            </w:pPr>
          </w:p>
        </w:tc>
        <w:tc>
          <w:tcPr>
            <w:tcW w:w="709" w:type="dxa"/>
          </w:tcPr>
          <w:p>
            <w:pPr>
              <w:spacing w:line="440" w:lineRule="exact"/>
              <w:jc w:val="center"/>
              <w:rPr>
                <w:rFonts w:ascii="Times New Roman" w:hAnsi="Times New Roman"/>
                <w:color w:val="auto"/>
              </w:rPr>
            </w:pPr>
          </w:p>
        </w:tc>
        <w:tc>
          <w:tcPr>
            <w:tcW w:w="871" w:type="dxa"/>
          </w:tcPr>
          <w:p>
            <w:pPr>
              <w:spacing w:line="440" w:lineRule="exact"/>
              <w:jc w:val="center"/>
              <w:rPr>
                <w:rFonts w:ascii="Times New Roman" w:hAnsi="Times New Roman"/>
                <w:color w:val="auto"/>
              </w:rPr>
            </w:pPr>
          </w:p>
        </w:tc>
        <w:tc>
          <w:tcPr>
            <w:tcW w:w="1134" w:type="dxa"/>
          </w:tcPr>
          <w:p>
            <w:pPr>
              <w:spacing w:line="440" w:lineRule="exact"/>
              <w:jc w:val="center"/>
              <w:rPr>
                <w:rFonts w:ascii="Times New Roman" w:hAnsi="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6" w:type="dxa"/>
          </w:tcPr>
          <w:p>
            <w:pPr>
              <w:spacing w:line="440" w:lineRule="exact"/>
              <w:jc w:val="center"/>
              <w:rPr>
                <w:rFonts w:ascii="Times New Roman" w:hAnsi="Times New Roman"/>
                <w:color w:val="auto"/>
              </w:rPr>
            </w:pPr>
          </w:p>
        </w:tc>
        <w:tc>
          <w:tcPr>
            <w:tcW w:w="1275" w:type="dxa"/>
          </w:tcPr>
          <w:p>
            <w:pPr>
              <w:spacing w:line="440" w:lineRule="exact"/>
              <w:jc w:val="center"/>
              <w:rPr>
                <w:rFonts w:ascii="Times New Roman" w:hAnsi="Times New Roman"/>
                <w:color w:val="auto"/>
              </w:rPr>
            </w:pPr>
          </w:p>
        </w:tc>
        <w:tc>
          <w:tcPr>
            <w:tcW w:w="992" w:type="dxa"/>
          </w:tcPr>
          <w:p>
            <w:pPr>
              <w:spacing w:line="440" w:lineRule="exact"/>
              <w:jc w:val="center"/>
              <w:rPr>
                <w:rFonts w:ascii="Times New Roman" w:hAnsi="Times New Roman"/>
                <w:color w:val="auto"/>
              </w:rPr>
            </w:pPr>
          </w:p>
        </w:tc>
        <w:tc>
          <w:tcPr>
            <w:tcW w:w="603" w:type="dxa"/>
          </w:tcPr>
          <w:p>
            <w:pPr>
              <w:spacing w:line="440" w:lineRule="exact"/>
              <w:jc w:val="center"/>
              <w:rPr>
                <w:rFonts w:ascii="Times New Roman" w:hAnsi="Times New Roman"/>
                <w:color w:val="auto"/>
              </w:rPr>
            </w:pPr>
          </w:p>
        </w:tc>
        <w:tc>
          <w:tcPr>
            <w:tcW w:w="488" w:type="dxa"/>
          </w:tcPr>
          <w:p>
            <w:pPr>
              <w:spacing w:line="440" w:lineRule="exact"/>
              <w:jc w:val="center"/>
              <w:rPr>
                <w:rFonts w:ascii="Times New Roman" w:hAnsi="Times New Roman"/>
                <w:color w:val="auto"/>
              </w:rPr>
            </w:pPr>
          </w:p>
        </w:tc>
        <w:tc>
          <w:tcPr>
            <w:tcW w:w="1134" w:type="dxa"/>
          </w:tcPr>
          <w:p>
            <w:pPr>
              <w:spacing w:line="440" w:lineRule="exact"/>
              <w:jc w:val="center"/>
              <w:rPr>
                <w:rFonts w:ascii="Times New Roman" w:hAnsi="Times New Roman"/>
                <w:color w:val="auto"/>
              </w:rPr>
            </w:pPr>
          </w:p>
        </w:tc>
        <w:tc>
          <w:tcPr>
            <w:tcW w:w="709" w:type="dxa"/>
          </w:tcPr>
          <w:p>
            <w:pPr>
              <w:spacing w:line="440" w:lineRule="exact"/>
              <w:jc w:val="center"/>
              <w:rPr>
                <w:rFonts w:ascii="Times New Roman" w:hAnsi="Times New Roman"/>
                <w:color w:val="auto"/>
              </w:rPr>
            </w:pPr>
          </w:p>
        </w:tc>
        <w:tc>
          <w:tcPr>
            <w:tcW w:w="871" w:type="dxa"/>
          </w:tcPr>
          <w:p>
            <w:pPr>
              <w:spacing w:line="440" w:lineRule="exact"/>
              <w:jc w:val="center"/>
              <w:rPr>
                <w:rFonts w:ascii="Times New Roman" w:hAnsi="Times New Roman"/>
                <w:color w:val="auto"/>
              </w:rPr>
            </w:pPr>
          </w:p>
        </w:tc>
        <w:tc>
          <w:tcPr>
            <w:tcW w:w="1134" w:type="dxa"/>
          </w:tcPr>
          <w:p>
            <w:pPr>
              <w:spacing w:line="440" w:lineRule="exact"/>
              <w:jc w:val="center"/>
              <w:rPr>
                <w:rFonts w:ascii="Times New Roman" w:hAnsi="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6" w:type="dxa"/>
          </w:tcPr>
          <w:p>
            <w:pPr>
              <w:spacing w:line="440" w:lineRule="exact"/>
              <w:jc w:val="center"/>
              <w:rPr>
                <w:rFonts w:ascii="Times New Roman" w:hAnsi="Times New Roman"/>
                <w:color w:val="auto"/>
              </w:rPr>
            </w:pPr>
          </w:p>
        </w:tc>
        <w:tc>
          <w:tcPr>
            <w:tcW w:w="1275" w:type="dxa"/>
          </w:tcPr>
          <w:p>
            <w:pPr>
              <w:spacing w:line="440" w:lineRule="exact"/>
              <w:jc w:val="center"/>
              <w:rPr>
                <w:rFonts w:ascii="Times New Roman" w:hAnsi="Times New Roman"/>
                <w:color w:val="auto"/>
              </w:rPr>
            </w:pPr>
          </w:p>
        </w:tc>
        <w:tc>
          <w:tcPr>
            <w:tcW w:w="992" w:type="dxa"/>
          </w:tcPr>
          <w:p>
            <w:pPr>
              <w:spacing w:line="440" w:lineRule="exact"/>
              <w:jc w:val="center"/>
              <w:rPr>
                <w:rFonts w:ascii="Times New Roman" w:hAnsi="Times New Roman"/>
                <w:color w:val="auto"/>
              </w:rPr>
            </w:pPr>
          </w:p>
        </w:tc>
        <w:tc>
          <w:tcPr>
            <w:tcW w:w="603" w:type="dxa"/>
          </w:tcPr>
          <w:p>
            <w:pPr>
              <w:spacing w:line="440" w:lineRule="exact"/>
              <w:jc w:val="center"/>
              <w:rPr>
                <w:rFonts w:ascii="Times New Roman" w:hAnsi="Times New Roman"/>
                <w:color w:val="auto"/>
              </w:rPr>
            </w:pPr>
          </w:p>
        </w:tc>
        <w:tc>
          <w:tcPr>
            <w:tcW w:w="488" w:type="dxa"/>
          </w:tcPr>
          <w:p>
            <w:pPr>
              <w:spacing w:line="440" w:lineRule="exact"/>
              <w:jc w:val="center"/>
              <w:rPr>
                <w:rFonts w:ascii="Times New Roman" w:hAnsi="Times New Roman"/>
                <w:color w:val="auto"/>
              </w:rPr>
            </w:pPr>
          </w:p>
        </w:tc>
        <w:tc>
          <w:tcPr>
            <w:tcW w:w="1134" w:type="dxa"/>
          </w:tcPr>
          <w:p>
            <w:pPr>
              <w:spacing w:line="440" w:lineRule="exact"/>
              <w:jc w:val="center"/>
              <w:rPr>
                <w:rFonts w:ascii="Times New Roman" w:hAnsi="Times New Roman"/>
                <w:color w:val="auto"/>
              </w:rPr>
            </w:pPr>
          </w:p>
        </w:tc>
        <w:tc>
          <w:tcPr>
            <w:tcW w:w="709" w:type="dxa"/>
          </w:tcPr>
          <w:p>
            <w:pPr>
              <w:spacing w:line="440" w:lineRule="exact"/>
              <w:jc w:val="center"/>
              <w:rPr>
                <w:rFonts w:ascii="Times New Roman" w:hAnsi="Times New Roman"/>
                <w:color w:val="auto"/>
              </w:rPr>
            </w:pPr>
          </w:p>
        </w:tc>
        <w:tc>
          <w:tcPr>
            <w:tcW w:w="871" w:type="dxa"/>
          </w:tcPr>
          <w:p>
            <w:pPr>
              <w:spacing w:line="440" w:lineRule="exact"/>
              <w:jc w:val="center"/>
              <w:rPr>
                <w:rFonts w:ascii="Times New Roman" w:hAnsi="Times New Roman"/>
                <w:color w:val="auto"/>
              </w:rPr>
            </w:pPr>
          </w:p>
        </w:tc>
        <w:tc>
          <w:tcPr>
            <w:tcW w:w="1134" w:type="dxa"/>
          </w:tcPr>
          <w:p>
            <w:pPr>
              <w:spacing w:line="440" w:lineRule="exact"/>
              <w:jc w:val="center"/>
              <w:rPr>
                <w:rFonts w:ascii="Times New Roman" w:hAnsi="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6" w:type="dxa"/>
          </w:tcPr>
          <w:p>
            <w:pPr>
              <w:spacing w:line="440" w:lineRule="exact"/>
              <w:jc w:val="center"/>
              <w:rPr>
                <w:rFonts w:ascii="Times New Roman" w:hAnsi="Times New Roman"/>
                <w:color w:val="auto"/>
              </w:rPr>
            </w:pPr>
          </w:p>
        </w:tc>
        <w:tc>
          <w:tcPr>
            <w:tcW w:w="1275" w:type="dxa"/>
          </w:tcPr>
          <w:p>
            <w:pPr>
              <w:spacing w:line="440" w:lineRule="exact"/>
              <w:jc w:val="center"/>
              <w:rPr>
                <w:rFonts w:ascii="Times New Roman" w:hAnsi="Times New Roman"/>
                <w:color w:val="auto"/>
              </w:rPr>
            </w:pPr>
          </w:p>
        </w:tc>
        <w:tc>
          <w:tcPr>
            <w:tcW w:w="992" w:type="dxa"/>
          </w:tcPr>
          <w:p>
            <w:pPr>
              <w:spacing w:line="440" w:lineRule="exact"/>
              <w:jc w:val="center"/>
              <w:rPr>
                <w:rFonts w:ascii="Times New Roman" w:hAnsi="Times New Roman"/>
                <w:color w:val="auto"/>
              </w:rPr>
            </w:pPr>
          </w:p>
        </w:tc>
        <w:tc>
          <w:tcPr>
            <w:tcW w:w="603" w:type="dxa"/>
          </w:tcPr>
          <w:p>
            <w:pPr>
              <w:spacing w:line="440" w:lineRule="exact"/>
              <w:jc w:val="center"/>
              <w:rPr>
                <w:rFonts w:ascii="Times New Roman" w:hAnsi="Times New Roman"/>
                <w:color w:val="auto"/>
              </w:rPr>
            </w:pPr>
          </w:p>
        </w:tc>
        <w:tc>
          <w:tcPr>
            <w:tcW w:w="488" w:type="dxa"/>
          </w:tcPr>
          <w:p>
            <w:pPr>
              <w:spacing w:line="440" w:lineRule="exact"/>
              <w:jc w:val="center"/>
              <w:rPr>
                <w:rFonts w:ascii="Times New Roman" w:hAnsi="Times New Roman"/>
                <w:color w:val="auto"/>
              </w:rPr>
            </w:pPr>
          </w:p>
        </w:tc>
        <w:tc>
          <w:tcPr>
            <w:tcW w:w="1134" w:type="dxa"/>
          </w:tcPr>
          <w:p>
            <w:pPr>
              <w:spacing w:line="440" w:lineRule="exact"/>
              <w:jc w:val="center"/>
              <w:rPr>
                <w:rFonts w:ascii="Times New Roman" w:hAnsi="Times New Roman"/>
                <w:color w:val="auto"/>
              </w:rPr>
            </w:pPr>
          </w:p>
        </w:tc>
        <w:tc>
          <w:tcPr>
            <w:tcW w:w="709" w:type="dxa"/>
          </w:tcPr>
          <w:p>
            <w:pPr>
              <w:spacing w:line="440" w:lineRule="exact"/>
              <w:jc w:val="center"/>
              <w:rPr>
                <w:rFonts w:ascii="Times New Roman" w:hAnsi="Times New Roman"/>
                <w:color w:val="auto"/>
              </w:rPr>
            </w:pPr>
          </w:p>
        </w:tc>
        <w:tc>
          <w:tcPr>
            <w:tcW w:w="871" w:type="dxa"/>
          </w:tcPr>
          <w:p>
            <w:pPr>
              <w:spacing w:line="440" w:lineRule="exact"/>
              <w:jc w:val="center"/>
              <w:rPr>
                <w:rFonts w:ascii="Times New Roman" w:hAnsi="Times New Roman"/>
                <w:color w:val="auto"/>
              </w:rPr>
            </w:pPr>
          </w:p>
        </w:tc>
        <w:tc>
          <w:tcPr>
            <w:tcW w:w="1134" w:type="dxa"/>
          </w:tcPr>
          <w:p>
            <w:pPr>
              <w:spacing w:line="440" w:lineRule="exact"/>
              <w:jc w:val="center"/>
              <w:rPr>
                <w:rFonts w:ascii="Times New Roman" w:hAnsi="Times New Roman"/>
                <w:color w:val="auto"/>
              </w:rPr>
            </w:pPr>
          </w:p>
        </w:tc>
      </w:tr>
    </w:tbl>
    <w:p>
      <w:pPr>
        <w:spacing w:line="440" w:lineRule="exact"/>
        <w:rPr>
          <w:rFonts w:ascii="Times New Roman" w:hAnsi="Times New Roman"/>
          <w:color w:val="auto"/>
        </w:rPr>
      </w:pPr>
      <w:r>
        <w:rPr>
          <w:rFonts w:ascii="Times New Roman" w:hAnsi="Times New Roman"/>
          <w:color w:val="auto"/>
        </w:rPr>
        <w:br w:type="page"/>
      </w:r>
      <w:bookmarkStart w:id="761" w:name="_Toc179632825"/>
      <w:bookmarkStart w:id="762" w:name="_Toc144974873"/>
      <w:bookmarkStart w:id="763" w:name="_Toc152045805"/>
      <w:bookmarkStart w:id="764" w:name="_Toc152042594"/>
    </w:p>
    <w:p>
      <w:pPr>
        <w:pStyle w:val="6"/>
        <w:ind w:firstLine="137"/>
        <w:rPr>
          <w:rFonts w:ascii="Times New Roman" w:hAnsi="Times New Roman"/>
          <w:color w:val="auto"/>
        </w:rPr>
      </w:pPr>
      <w:bookmarkStart w:id="765" w:name="_Toc385943079"/>
      <w:bookmarkStart w:id="766" w:name="_Toc482188668"/>
      <w:bookmarkStart w:id="767" w:name="_Toc300835232"/>
      <w:bookmarkStart w:id="768" w:name="_Toc391394125"/>
      <w:bookmarkStart w:id="769" w:name="_Toc370676440"/>
      <w:bookmarkStart w:id="770" w:name="_Toc384308390"/>
      <w:bookmarkStart w:id="771" w:name="_Toc492300955"/>
      <w:bookmarkStart w:id="772" w:name="_Toc359594249"/>
      <w:r>
        <w:rPr>
          <w:rFonts w:hint="eastAsia" w:ascii="Times New Roman" w:hAnsi="Times New Roman"/>
          <w:color w:val="auto"/>
        </w:rPr>
        <w:t>（七）主要人员简历表</w:t>
      </w:r>
      <w:bookmarkEnd w:id="761"/>
      <w:bookmarkEnd w:id="762"/>
      <w:bookmarkEnd w:id="763"/>
      <w:bookmarkEnd w:id="764"/>
      <w:bookmarkEnd w:id="765"/>
      <w:bookmarkEnd w:id="766"/>
      <w:bookmarkEnd w:id="767"/>
      <w:bookmarkEnd w:id="768"/>
      <w:bookmarkEnd w:id="769"/>
      <w:bookmarkEnd w:id="770"/>
      <w:bookmarkEnd w:id="771"/>
      <w:bookmarkEnd w:id="772"/>
    </w:p>
    <w:p>
      <w:pPr>
        <w:topLinePunct/>
        <w:spacing w:line="440" w:lineRule="exact"/>
        <w:jc w:val="center"/>
        <w:rPr>
          <w:rFonts w:ascii="Times New Roman" w:hAnsi="Times New Roman"/>
          <w:color w:val="auto"/>
          <w:sz w:val="23"/>
        </w:rPr>
      </w:pPr>
    </w:p>
    <w:tbl>
      <w:tblPr>
        <w:tblStyle w:val="38"/>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7"/>
        <w:gridCol w:w="357"/>
        <w:gridCol w:w="691"/>
        <w:gridCol w:w="958"/>
        <w:gridCol w:w="1065"/>
        <w:gridCol w:w="706"/>
        <w:gridCol w:w="1261"/>
        <w:gridCol w:w="401"/>
        <w:gridCol w:w="18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1" w:hRule="atLeast"/>
          <w:jc w:val="center"/>
        </w:trPr>
        <w:tc>
          <w:tcPr>
            <w:tcW w:w="1187" w:type="dxa"/>
            <w:vAlign w:val="center"/>
          </w:tcPr>
          <w:p>
            <w:pPr>
              <w:spacing w:line="440" w:lineRule="exact"/>
              <w:jc w:val="center"/>
              <w:rPr>
                <w:rFonts w:ascii="Times New Roman" w:hAnsi="Times New Roman"/>
                <w:color w:val="auto"/>
              </w:rPr>
            </w:pPr>
            <w:r>
              <w:rPr>
                <w:rFonts w:hint="eastAsia" w:ascii="Times New Roman" w:hAnsi="Times New Roman"/>
                <w:color w:val="auto"/>
              </w:rPr>
              <w:t>姓</w:t>
            </w:r>
            <w:r>
              <w:rPr>
                <w:rFonts w:ascii="Times New Roman" w:hAnsi="Times New Roman"/>
                <w:color w:val="auto"/>
              </w:rPr>
              <w:t xml:space="preserve">  </w:t>
            </w:r>
            <w:r>
              <w:rPr>
                <w:rFonts w:hint="eastAsia" w:ascii="Times New Roman" w:hAnsi="Times New Roman"/>
                <w:color w:val="auto"/>
              </w:rPr>
              <w:t>名</w:t>
            </w:r>
          </w:p>
        </w:tc>
        <w:tc>
          <w:tcPr>
            <w:tcW w:w="1048" w:type="dxa"/>
            <w:gridSpan w:val="2"/>
            <w:vAlign w:val="center"/>
          </w:tcPr>
          <w:p>
            <w:pPr>
              <w:spacing w:line="440" w:lineRule="exact"/>
              <w:jc w:val="center"/>
              <w:rPr>
                <w:rFonts w:ascii="Times New Roman" w:hAnsi="Times New Roman"/>
                <w:color w:val="auto"/>
              </w:rPr>
            </w:pPr>
          </w:p>
        </w:tc>
        <w:tc>
          <w:tcPr>
            <w:tcW w:w="958" w:type="dxa"/>
            <w:vAlign w:val="center"/>
          </w:tcPr>
          <w:p>
            <w:pPr>
              <w:spacing w:line="440" w:lineRule="exact"/>
              <w:jc w:val="center"/>
              <w:rPr>
                <w:rFonts w:ascii="Times New Roman" w:hAnsi="Times New Roman"/>
                <w:color w:val="auto"/>
              </w:rPr>
            </w:pPr>
            <w:r>
              <w:rPr>
                <w:rFonts w:hint="eastAsia" w:ascii="Times New Roman" w:hAnsi="Times New Roman"/>
                <w:color w:val="auto"/>
              </w:rPr>
              <w:t>年龄</w:t>
            </w:r>
          </w:p>
        </w:tc>
        <w:tc>
          <w:tcPr>
            <w:tcW w:w="1065" w:type="dxa"/>
            <w:vAlign w:val="center"/>
          </w:tcPr>
          <w:p>
            <w:pPr>
              <w:spacing w:line="440" w:lineRule="exact"/>
              <w:jc w:val="center"/>
              <w:rPr>
                <w:rFonts w:ascii="Times New Roman" w:hAnsi="Times New Roman"/>
                <w:color w:val="auto"/>
              </w:rPr>
            </w:pPr>
          </w:p>
        </w:tc>
        <w:tc>
          <w:tcPr>
            <w:tcW w:w="2368" w:type="dxa"/>
            <w:gridSpan w:val="3"/>
            <w:vAlign w:val="center"/>
          </w:tcPr>
          <w:p>
            <w:pPr>
              <w:spacing w:line="440" w:lineRule="exact"/>
              <w:jc w:val="center"/>
              <w:rPr>
                <w:rFonts w:ascii="Times New Roman" w:hAnsi="Times New Roman"/>
                <w:color w:val="auto"/>
              </w:rPr>
            </w:pPr>
            <w:r>
              <w:rPr>
                <w:rFonts w:hint="eastAsia" w:ascii="Times New Roman" w:hAnsi="Times New Roman"/>
                <w:color w:val="auto"/>
              </w:rPr>
              <w:t>执业资格证书（或上岗证书）名称</w:t>
            </w:r>
          </w:p>
        </w:tc>
        <w:tc>
          <w:tcPr>
            <w:tcW w:w="1896" w:type="dxa"/>
            <w:vAlign w:val="center"/>
          </w:tcPr>
          <w:p>
            <w:pPr>
              <w:spacing w:line="440" w:lineRule="exact"/>
              <w:jc w:val="center"/>
              <w:rPr>
                <w:rFonts w:ascii="Times New Roman" w:hAnsi="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9" w:hRule="atLeast"/>
          <w:jc w:val="center"/>
        </w:trPr>
        <w:tc>
          <w:tcPr>
            <w:tcW w:w="1187" w:type="dxa"/>
            <w:vAlign w:val="center"/>
          </w:tcPr>
          <w:p>
            <w:pPr>
              <w:spacing w:line="440" w:lineRule="exact"/>
              <w:jc w:val="center"/>
              <w:rPr>
                <w:rFonts w:ascii="Times New Roman" w:hAnsi="Times New Roman"/>
                <w:color w:val="auto"/>
              </w:rPr>
            </w:pPr>
            <w:r>
              <w:rPr>
                <w:rFonts w:hint="eastAsia" w:ascii="Times New Roman" w:hAnsi="Times New Roman"/>
                <w:color w:val="auto"/>
              </w:rPr>
              <w:t>职</w:t>
            </w:r>
            <w:r>
              <w:rPr>
                <w:rFonts w:ascii="Times New Roman" w:hAnsi="Times New Roman"/>
                <w:color w:val="auto"/>
              </w:rPr>
              <w:t xml:space="preserve">  </w:t>
            </w:r>
            <w:r>
              <w:rPr>
                <w:rFonts w:hint="eastAsia" w:ascii="Times New Roman" w:hAnsi="Times New Roman"/>
                <w:color w:val="auto"/>
              </w:rPr>
              <w:t>称</w:t>
            </w:r>
          </w:p>
        </w:tc>
        <w:tc>
          <w:tcPr>
            <w:tcW w:w="1048" w:type="dxa"/>
            <w:gridSpan w:val="2"/>
            <w:vAlign w:val="center"/>
          </w:tcPr>
          <w:p>
            <w:pPr>
              <w:spacing w:line="440" w:lineRule="exact"/>
              <w:jc w:val="center"/>
              <w:rPr>
                <w:rFonts w:ascii="Times New Roman" w:hAnsi="Times New Roman"/>
                <w:color w:val="auto"/>
              </w:rPr>
            </w:pPr>
          </w:p>
        </w:tc>
        <w:tc>
          <w:tcPr>
            <w:tcW w:w="958" w:type="dxa"/>
            <w:vAlign w:val="center"/>
          </w:tcPr>
          <w:p>
            <w:pPr>
              <w:spacing w:before="100" w:beforeAutospacing="1" w:after="100" w:afterAutospacing="1" w:line="440" w:lineRule="exact"/>
              <w:jc w:val="center"/>
              <w:rPr>
                <w:rFonts w:ascii="Times New Roman" w:hAnsi="Times New Roman"/>
                <w:color w:val="auto"/>
              </w:rPr>
            </w:pPr>
            <w:r>
              <w:rPr>
                <w:rFonts w:hint="eastAsia" w:ascii="Times New Roman" w:hAnsi="Times New Roman"/>
                <w:color w:val="auto"/>
              </w:rPr>
              <w:t>学历</w:t>
            </w:r>
          </w:p>
        </w:tc>
        <w:tc>
          <w:tcPr>
            <w:tcW w:w="1065" w:type="dxa"/>
            <w:vAlign w:val="center"/>
          </w:tcPr>
          <w:p>
            <w:pPr>
              <w:spacing w:line="440" w:lineRule="exact"/>
              <w:jc w:val="center"/>
              <w:rPr>
                <w:rFonts w:ascii="Times New Roman" w:hAnsi="Times New Roman"/>
                <w:color w:val="auto"/>
              </w:rPr>
            </w:pPr>
          </w:p>
        </w:tc>
        <w:tc>
          <w:tcPr>
            <w:tcW w:w="2368" w:type="dxa"/>
            <w:gridSpan w:val="3"/>
            <w:vAlign w:val="center"/>
          </w:tcPr>
          <w:p>
            <w:pPr>
              <w:spacing w:before="100" w:beforeAutospacing="1" w:after="100" w:afterAutospacing="1" w:line="440" w:lineRule="exact"/>
              <w:jc w:val="center"/>
              <w:rPr>
                <w:rFonts w:ascii="Times New Roman" w:hAnsi="Times New Roman"/>
                <w:color w:val="auto"/>
              </w:rPr>
            </w:pPr>
            <w:r>
              <w:rPr>
                <w:rFonts w:hint="eastAsia" w:ascii="Times New Roman" w:hAnsi="Times New Roman"/>
                <w:color w:val="auto"/>
              </w:rPr>
              <w:t>拟在本项目任职</w:t>
            </w:r>
          </w:p>
        </w:tc>
        <w:tc>
          <w:tcPr>
            <w:tcW w:w="1896" w:type="dxa"/>
            <w:vAlign w:val="center"/>
          </w:tcPr>
          <w:p>
            <w:pPr>
              <w:spacing w:line="440" w:lineRule="exact"/>
              <w:jc w:val="center"/>
              <w:rPr>
                <w:rFonts w:ascii="Times New Roman" w:hAnsi="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9" w:hRule="atLeast"/>
          <w:jc w:val="center"/>
        </w:trPr>
        <w:tc>
          <w:tcPr>
            <w:tcW w:w="1187" w:type="dxa"/>
            <w:vAlign w:val="center"/>
          </w:tcPr>
          <w:p>
            <w:pPr>
              <w:spacing w:before="100" w:beforeAutospacing="1" w:after="100" w:afterAutospacing="1" w:line="440" w:lineRule="exact"/>
              <w:jc w:val="center"/>
              <w:rPr>
                <w:rFonts w:ascii="Times New Roman" w:hAnsi="Times New Roman"/>
                <w:color w:val="auto"/>
              </w:rPr>
            </w:pPr>
            <w:r>
              <w:rPr>
                <w:rFonts w:hint="eastAsia" w:ascii="Times New Roman" w:hAnsi="Times New Roman"/>
                <w:color w:val="auto"/>
              </w:rPr>
              <w:t>工作年限</w:t>
            </w:r>
          </w:p>
        </w:tc>
        <w:tc>
          <w:tcPr>
            <w:tcW w:w="3071" w:type="dxa"/>
            <w:gridSpan w:val="4"/>
            <w:vAlign w:val="center"/>
          </w:tcPr>
          <w:p>
            <w:pPr>
              <w:spacing w:line="440" w:lineRule="exact"/>
              <w:jc w:val="center"/>
              <w:rPr>
                <w:rFonts w:ascii="Times New Roman" w:hAnsi="Times New Roman"/>
                <w:color w:val="auto"/>
              </w:rPr>
            </w:pPr>
          </w:p>
        </w:tc>
        <w:tc>
          <w:tcPr>
            <w:tcW w:w="2368" w:type="dxa"/>
            <w:gridSpan w:val="3"/>
            <w:vAlign w:val="center"/>
          </w:tcPr>
          <w:p>
            <w:pPr>
              <w:spacing w:before="100" w:beforeAutospacing="1" w:after="100" w:afterAutospacing="1" w:line="440" w:lineRule="exact"/>
              <w:jc w:val="center"/>
              <w:rPr>
                <w:rFonts w:ascii="Times New Roman" w:hAnsi="Times New Roman"/>
                <w:color w:val="auto"/>
              </w:rPr>
            </w:pPr>
            <w:r>
              <w:rPr>
                <w:rFonts w:hint="eastAsia" w:ascii="Times New Roman" w:hAnsi="Times New Roman"/>
                <w:color w:val="auto"/>
              </w:rPr>
              <w:t>从事勘察工作年限</w:t>
            </w:r>
          </w:p>
        </w:tc>
        <w:tc>
          <w:tcPr>
            <w:tcW w:w="1896" w:type="dxa"/>
            <w:vAlign w:val="center"/>
          </w:tcPr>
          <w:p>
            <w:pPr>
              <w:spacing w:line="440" w:lineRule="exact"/>
              <w:jc w:val="center"/>
              <w:rPr>
                <w:rFonts w:ascii="Times New Roman" w:hAnsi="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1" w:hRule="atLeast"/>
          <w:jc w:val="center"/>
        </w:trPr>
        <w:tc>
          <w:tcPr>
            <w:tcW w:w="1187" w:type="dxa"/>
            <w:vAlign w:val="center"/>
          </w:tcPr>
          <w:p>
            <w:pPr>
              <w:spacing w:before="100" w:beforeAutospacing="1" w:after="100" w:afterAutospacing="1" w:line="440" w:lineRule="exact"/>
              <w:jc w:val="center"/>
              <w:rPr>
                <w:rFonts w:ascii="Times New Roman" w:hAnsi="Times New Roman"/>
                <w:color w:val="auto"/>
              </w:rPr>
            </w:pPr>
            <w:r>
              <w:rPr>
                <w:rFonts w:hint="eastAsia" w:ascii="Times New Roman" w:hAnsi="Times New Roman"/>
                <w:color w:val="auto"/>
              </w:rPr>
              <w:t>毕业学校</w:t>
            </w:r>
          </w:p>
        </w:tc>
        <w:tc>
          <w:tcPr>
            <w:tcW w:w="7335" w:type="dxa"/>
            <w:gridSpan w:val="8"/>
            <w:vAlign w:val="center"/>
          </w:tcPr>
          <w:p>
            <w:pPr>
              <w:spacing w:before="100" w:beforeAutospacing="1" w:after="100" w:afterAutospacing="1" w:line="440" w:lineRule="exact"/>
              <w:ind w:firstLine="1155" w:firstLineChars="550"/>
              <w:rPr>
                <w:rFonts w:ascii="Times New Roman" w:hAnsi="Times New Roman"/>
                <w:color w:val="auto"/>
              </w:rPr>
            </w:pPr>
            <w:r>
              <w:rPr>
                <w:rFonts w:hint="eastAsia" w:ascii="Times New Roman" w:hAnsi="Times New Roman"/>
                <w:color w:val="auto"/>
              </w:rPr>
              <w:t>年毕业于</w:t>
            </w:r>
            <w:r>
              <w:rPr>
                <w:rFonts w:ascii="Times New Roman" w:hAnsi="Times New Roman"/>
                <w:color w:val="auto"/>
              </w:rPr>
              <w:t xml:space="preserve">            </w:t>
            </w:r>
            <w:r>
              <w:rPr>
                <w:rFonts w:hint="eastAsia" w:ascii="Times New Roman" w:hAnsi="Times New Roman"/>
                <w:color w:val="auto"/>
              </w:rPr>
              <w:t>学校</w:t>
            </w:r>
            <w:r>
              <w:rPr>
                <w:rFonts w:ascii="Times New Roman" w:hAnsi="Times New Roman"/>
                <w:color w:val="auto"/>
              </w:rPr>
              <w:t xml:space="preserve">        </w:t>
            </w:r>
            <w:r>
              <w:rPr>
                <w:rFonts w:hint="eastAsia" w:ascii="Times New Roman" w:hAnsi="Times New Roman"/>
                <w:color w:val="auto"/>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4" w:hRule="atLeast"/>
          <w:jc w:val="center"/>
        </w:trPr>
        <w:tc>
          <w:tcPr>
            <w:tcW w:w="8522" w:type="dxa"/>
            <w:gridSpan w:val="9"/>
            <w:vAlign w:val="center"/>
          </w:tcPr>
          <w:p>
            <w:pPr>
              <w:spacing w:before="100" w:beforeAutospacing="1" w:after="100" w:afterAutospacing="1" w:line="440" w:lineRule="exact"/>
              <w:jc w:val="left"/>
              <w:rPr>
                <w:rFonts w:ascii="Times New Roman" w:hAnsi="Times New Roman"/>
                <w:color w:val="auto"/>
              </w:rPr>
            </w:pPr>
            <w:r>
              <w:rPr>
                <w:rFonts w:hint="eastAsia" w:ascii="Times New Roman" w:hAnsi="Times New Roman"/>
                <w:color w:val="auto"/>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jc w:val="center"/>
        </w:trPr>
        <w:tc>
          <w:tcPr>
            <w:tcW w:w="1544" w:type="dxa"/>
            <w:gridSpan w:val="2"/>
            <w:vAlign w:val="center"/>
          </w:tcPr>
          <w:p>
            <w:pPr>
              <w:spacing w:before="100" w:beforeAutospacing="1" w:after="100" w:afterAutospacing="1" w:line="440" w:lineRule="exact"/>
              <w:jc w:val="center"/>
              <w:rPr>
                <w:rFonts w:ascii="Times New Roman" w:hAnsi="Times New Roman"/>
                <w:color w:val="auto"/>
              </w:rPr>
            </w:pPr>
            <w:r>
              <w:rPr>
                <w:rFonts w:hint="eastAsia" w:ascii="Times New Roman" w:hAnsi="Times New Roman"/>
                <w:color w:val="auto"/>
              </w:rPr>
              <w:t>时</w:t>
            </w:r>
            <w:r>
              <w:rPr>
                <w:rFonts w:ascii="Times New Roman" w:hAnsi="Times New Roman"/>
                <w:color w:val="auto"/>
              </w:rPr>
              <w:t xml:space="preserve">  </w:t>
            </w:r>
            <w:r>
              <w:rPr>
                <w:rFonts w:hint="eastAsia" w:ascii="Times New Roman" w:hAnsi="Times New Roman"/>
                <w:color w:val="auto"/>
              </w:rPr>
              <w:t>间</w:t>
            </w:r>
          </w:p>
        </w:tc>
        <w:tc>
          <w:tcPr>
            <w:tcW w:w="3420" w:type="dxa"/>
            <w:gridSpan w:val="4"/>
            <w:vAlign w:val="center"/>
          </w:tcPr>
          <w:p>
            <w:pPr>
              <w:spacing w:before="100" w:beforeAutospacing="1" w:after="100" w:afterAutospacing="1" w:line="440" w:lineRule="exact"/>
              <w:jc w:val="center"/>
              <w:rPr>
                <w:rFonts w:ascii="Times New Roman" w:hAnsi="Times New Roman"/>
                <w:color w:val="auto"/>
              </w:rPr>
            </w:pPr>
            <w:r>
              <w:rPr>
                <w:rFonts w:hint="eastAsia" w:ascii="Times New Roman" w:hAnsi="Times New Roman"/>
                <w:color w:val="auto"/>
              </w:rPr>
              <w:t>参加过的类似项目</w:t>
            </w:r>
          </w:p>
        </w:tc>
        <w:tc>
          <w:tcPr>
            <w:tcW w:w="1261" w:type="dxa"/>
            <w:vAlign w:val="center"/>
          </w:tcPr>
          <w:p>
            <w:pPr>
              <w:spacing w:before="100" w:beforeAutospacing="1" w:after="100" w:afterAutospacing="1" w:line="440" w:lineRule="exact"/>
              <w:jc w:val="center"/>
              <w:rPr>
                <w:rFonts w:ascii="Times New Roman" w:hAnsi="Times New Roman"/>
                <w:color w:val="auto"/>
              </w:rPr>
            </w:pPr>
            <w:r>
              <w:rPr>
                <w:rFonts w:hint="eastAsia" w:ascii="Times New Roman" w:hAnsi="Times New Roman"/>
                <w:color w:val="auto"/>
              </w:rPr>
              <w:t>担任职务</w:t>
            </w:r>
          </w:p>
        </w:tc>
        <w:tc>
          <w:tcPr>
            <w:tcW w:w="2297" w:type="dxa"/>
            <w:gridSpan w:val="2"/>
            <w:vAlign w:val="center"/>
          </w:tcPr>
          <w:p>
            <w:pPr>
              <w:spacing w:before="100" w:beforeAutospacing="1" w:after="100" w:afterAutospacing="1" w:line="440" w:lineRule="exact"/>
              <w:jc w:val="center"/>
              <w:rPr>
                <w:rFonts w:ascii="Times New Roman" w:hAnsi="Times New Roman"/>
                <w:color w:val="auto"/>
              </w:rPr>
            </w:pPr>
            <w:r>
              <w:rPr>
                <w:rFonts w:hint="eastAsia" w:ascii="Times New Roman" w:hAnsi="Times New Roman"/>
                <w:color w:val="auto"/>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1544" w:type="dxa"/>
            <w:gridSpan w:val="2"/>
          </w:tcPr>
          <w:p>
            <w:pPr>
              <w:spacing w:line="440" w:lineRule="exact"/>
              <w:rPr>
                <w:rFonts w:ascii="Times New Roman" w:hAnsi="Times New Roman"/>
                <w:color w:val="auto"/>
              </w:rPr>
            </w:pPr>
          </w:p>
        </w:tc>
        <w:tc>
          <w:tcPr>
            <w:tcW w:w="3420" w:type="dxa"/>
            <w:gridSpan w:val="4"/>
          </w:tcPr>
          <w:p>
            <w:pPr>
              <w:spacing w:line="440" w:lineRule="exact"/>
              <w:rPr>
                <w:rFonts w:ascii="Times New Roman" w:hAnsi="Times New Roman"/>
                <w:color w:val="auto"/>
              </w:rPr>
            </w:pPr>
          </w:p>
        </w:tc>
        <w:tc>
          <w:tcPr>
            <w:tcW w:w="1261" w:type="dxa"/>
          </w:tcPr>
          <w:p>
            <w:pPr>
              <w:spacing w:line="440" w:lineRule="exact"/>
              <w:rPr>
                <w:rFonts w:ascii="Times New Roman" w:hAnsi="Times New Roman"/>
                <w:color w:val="auto"/>
              </w:rPr>
            </w:pPr>
          </w:p>
        </w:tc>
        <w:tc>
          <w:tcPr>
            <w:tcW w:w="2297" w:type="dxa"/>
            <w:gridSpan w:val="2"/>
          </w:tcPr>
          <w:p>
            <w:pPr>
              <w:spacing w:line="440" w:lineRule="exact"/>
              <w:rPr>
                <w:rFonts w:ascii="Times New Roman" w:hAnsi="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1544" w:type="dxa"/>
            <w:gridSpan w:val="2"/>
          </w:tcPr>
          <w:p>
            <w:pPr>
              <w:spacing w:line="440" w:lineRule="exact"/>
              <w:rPr>
                <w:rFonts w:ascii="Times New Roman" w:hAnsi="Times New Roman"/>
                <w:color w:val="auto"/>
              </w:rPr>
            </w:pPr>
          </w:p>
        </w:tc>
        <w:tc>
          <w:tcPr>
            <w:tcW w:w="3420" w:type="dxa"/>
            <w:gridSpan w:val="4"/>
          </w:tcPr>
          <w:p>
            <w:pPr>
              <w:spacing w:line="440" w:lineRule="exact"/>
              <w:rPr>
                <w:rFonts w:ascii="Times New Roman" w:hAnsi="Times New Roman"/>
                <w:color w:val="auto"/>
              </w:rPr>
            </w:pPr>
          </w:p>
        </w:tc>
        <w:tc>
          <w:tcPr>
            <w:tcW w:w="1261" w:type="dxa"/>
          </w:tcPr>
          <w:p>
            <w:pPr>
              <w:spacing w:line="440" w:lineRule="exact"/>
              <w:rPr>
                <w:rFonts w:ascii="Times New Roman" w:hAnsi="Times New Roman"/>
                <w:color w:val="auto"/>
              </w:rPr>
            </w:pPr>
          </w:p>
        </w:tc>
        <w:tc>
          <w:tcPr>
            <w:tcW w:w="2297" w:type="dxa"/>
            <w:gridSpan w:val="2"/>
          </w:tcPr>
          <w:p>
            <w:pPr>
              <w:spacing w:line="440" w:lineRule="exact"/>
              <w:rPr>
                <w:rFonts w:ascii="Times New Roman" w:hAnsi="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1544" w:type="dxa"/>
            <w:gridSpan w:val="2"/>
          </w:tcPr>
          <w:p>
            <w:pPr>
              <w:spacing w:line="440" w:lineRule="exact"/>
              <w:rPr>
                <w:rFonts w:ascii="Times New Roman" w:hAnsi="Times New Roman"/>
                <w:color w:val="auto"/>
              </w:rPr>
            </w:pPr>
          </w:p>
        </w:tc>
        <w:tc>
          <w:tcPr>
            <w:tcW w:w="3420" w:type="dxa"/>
            <w:gridSpan w:val="4"/>
          </w:tcPr>
          <w:p>
            <w:pPr>
              <w:spacing w:line="440" w:lineRule="exact"/>
              <w:rPr>
                <w:rFonts w:ascii="Times New Roman" w:hAnsi="Times New Roman"/>
                <w:color w:val="auto"/>
              </w:rPr>
            </w:pPr>
          </w:p>
        </w:tc>
        <w:tc>
          <w:tcPr>
            <w:tcW w:w="1261" w:type="dxa"/>
          </w:tcPr>
          <w:p>
            <w:pPr>
              <w:spacing w:line="440" w:lineRule="exact"/>
              <w:rPr>
                <w:rFonts w:ascii="Times New Roman" w:hAnsi="Times New Roman"/>
                <w:color w:val="auto"/>
              </w:rPr>
            </w:pPr>
          </w:p>
        </w:tc>
        <w:tc>
          <w:tcPr>
            <w:tcW w:w="2297" w:type="dxa"/>
            <w:gridSpan w:val="2"/>
          </w:tcPr>
          <w:p>
            <w:pPr>
              <w:spacing w:line="440" w:lineRule="exact"/>
              <w:rPr>
                <w:rFonts w:ascii="Times New Roman" w:hAnsi="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1544" w:type="dxa"/>
            <w:gridSpan w:val="2"/>
            <w:vAlign w:val="center"/>
          </w:tcPr>
          <w:p>
            <w:pPr>
              <w:spacing w:line="440" w:lineRule="exact"/>
              <w:rPr>
                <w:rFonts w:ascii="Times New Roman" w:hAnsi="Times New Roman"/>
                <w:color w:val="auto"/>
              </w:rPr>
            </w:pPr>
          </w:p>
        </w:tc>
        <w:tc>
          <w:tcPr>
            <w:tcW w:w="3420" w:type="dxa"/>
            <w:gridSpan w:val="4"/>
            <w:vAlign w:val="center"/>
          </w:tcPr>
          <w:p>
            <w:pPr>
              <w:spacing w:line="440" w:lineRule="exact"/>
              <w:rPr>
                <w:rFonts w:ascii="Times New Roman" w:hAnsi="Times New Roman"/>
                <w:color w:val="auto"/>
              </w:rPr>
            </w:pPr>
          </w:p>
        </w:tc>
        <w:tc>
          <w:tcPr>
            <w:tcW w:w="1261" w:type="dxa"/>
            <w:vAlign w:val="center"/>
          </w:tcPr>
          <w:p>
            <w:pPr>
              <w:spacing w:line="440" w:lineRule="exact"/>
              <w:rPr>
                <w:rFonts w:ascii="Times New Roman" w:hAnsi="Times New Roman"/>
                <w:color w:val="auto"/>
              </w:rPr>
            </w:pPr>
          </w:p>
        </w:tc>
        <w:tc>
          <w:tcPr>
            <w:tcW w:w="2297" w:type="dxa"/>
            <w:gridSpan w:val="2"/>
            <w:vAlign w:val="center"/>
          </w:tcPr>
          <w:p>
            <w:pPr>
              <w:spacing w:line="440" w:lineRule="exact"/>
              <w:rPr>
                <w:rFonts w:ascii="Times New Roman" w:hAnsi="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1544" w:type="dxa"/>
            <w:gridSpan w:val="2"/>
            <w:vAlign w:val="center"/>
          </w:tcPr>
          <w:p>
            <w:pPr>
              <w:spacing w:line="440" w:lineRule="exact"/>
              <w:rPr>
                <w:rFonts w:ascii="Times New Roman" w:hAnsi="Times New Roman"/>
                <w:color w:val="auto"/>
              </w:rPr>
            </w:pPr>
          </w:p>
        </w:tc>
        <w:tc>
          <w:tcPr>
            <w:tcW w:w="3420" w:type="dxa"/>
            <w:gridSpan w:val="4"/>
            <w:vAlign w:val="center"/>
          </w:tcPr>
          <w:p>
            <w:pPr>
              <w:spacing w:line="440" w:lineRule="exact"/>
              <w:rPr>
                <w:rFonts w:ascii="Times New Roman" w:hAnsi="Times New Roman"/>
                <w:color w:val="auto"/>
              </w:rPr>
            </w:pPr>
          </w:p>
        </w:tc>
        <w:tc>
          <w:tcPr>
            <w:tcW w:w="1261" w:type="dxa"/>
            <w:vAlign w:val="center"/>
          </w:tcPr>
          <w:p>
            <w:pPr>
              <w:spacing w:line="440" w:lineRule="exact"/>
              <w:rPr>
                <w:rFonts w:ascii="Times New Roman" w:hAnsi="Times New Roman"/>
                <w:color w:val="auto"/>
              </w:rPr>
            </w:pPr>
          </w:p>
        </w:tc>
        <w:tc>
          <w:tcPr>
            <w:tcW w:w="2297" w:type="dxa"/>
            <w:gridSpan w:val="2"/>
            <w:vAlign w:val="center"/>
          </w:tcPr>
          <w:p>
            <w:pPr>
              <w:spacing w:line="440" w:lineRule="exact"/>
              <w:rPr>
                <w:rFonts w:ascii="Times New Roman" w:hAnsi="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1544" w:type="dxa"/>
            <w:gridSpan w:val="2"/>
            <w:vAlign w:val="center"/>
          </w:tcPr>
          <w:p>
            <w:pPr>
              <w:spacing w:line="440" w:lineRule="exact"/>
              <w:rPr>
                <w:rFonts w:ascii="Times New Roman" w:hAnsi="Times New Roman"/>
                <w:color w:val="auto"/>
              </w:rPr>
            </w:pPr>
          </w:p>
        </w:tc>
        <w:tc>
          <w:tcPr>
            <w:tcW w:w="3420" w:type="dxa"/>
            <w:gridSpan w:val="4"/>
            <w:vAlign w:val="center"/>
          </w:tcPr>
          <w:p>
            <w:pPr>
              <w:spacing w:line="440" w:lineRule="exact"/>
              <w:rPr>
                <w:rFonts w:ascii="Times New Roman" w:hAnsi="Times New Roman"/>
                <w:color w:val="auto"/>
              </w:rPr>
            </w:pPr>
          </w:p>
        </w:tc>
        <w:tc>
          <w:tcPr>
            <w:tcW w:w="1261" w:type="dxa"/>
            <w:vAlign w:val="center"/>
          </w:tcPr>
          <w:p>
            <w:pPr>
              <w:spacing w:line="440" w:lineRule="exact"/>
              <w:rPr>
                <w:rFonts w:ascii="Times New Roman" w:hAnsi="Times New Roman"/>
                <w:color w:val="auto"/>
              </w:rPr>
            </w:pPr>
          </w:p>
        </w:tc>
        <w:tc>
          <w:tcPr>
            <w:tcW w:w="2297" w:type="dxa"/>
            <w:gridSpan w:val="2"/>
            <w:vAlign w:val="center"/>
          </w:tcPr>
          <w:p>
            <w:pPr>
              <w:spacing w:line="440" w:lineRule="exact"/>
              <w:rPr>
                <w:rFonts w:ascii="Times New Roman" w:hAnsi="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1544" w:type="dxa"/>
            <w:gridSpan w:val="2"/>
            <w:vAlign w:val="center"/>
          </w:tcPr>
          <w:p>
            <w:pPr>
              <w:spacing w:line="440" w:lineRule="exact"/>
              <w:rPr>
                <w:rFonts w:ascii="Times New Roman" w:hAnsi="Times New Roman"/>
                <w:color w:val="auto"/>
              </w:rPr>
            </w:pPr>
          </w:p>
        </w:tc>
        <w:tc>
          <w:tcPr>
            <w:tcW w:w="3420" w:type="dxa"/>
            <w:gridSpan w:val="4"/>
            <w:vAlign w:val="center"/>
          </w:tcPr>
          <w:p>
            <w:pPr>
              <w:spacing w:line="440" w:lineRule="exact"/>
              <w:rPr>
                <w:rFonts w:ascii="Times New Roman" w:hAnsi="Times New Roman"/>
                <w:color w:val="auto"/>
              </w:rPr>
            </w:pPr>
          </w:p>
        </w:tc>
        <w:tc>
          <w:tcPr>
            <w:tcW w:w="1261" w:type="dxa"/>
            <w:vAlign w:val="center"/>
          </w:tcPr>
          <w:p>
            <w:pPr>
              <w:spacing w:line="440" w:lineRule="exact"/>
              <w:rPr>
                <w:rFonts w:ascii="Times New Roman" w:hAnsi="Times New Roman"/>
                <w:color w:val="auto"/>
              </w:rPr>
            </w:pPr>
          </w:p>
        </w:tc>
        <w:tc>
          <w:tcPr>
            <w:tcW w:w="2297" w:type="dxa"/>
            <w:gridSpan w:val="2"/>
            <w:vAlign w:val="center"/>
          </w:tcPr>
          <w:p>
            <w:pPr>
              <w:spacing w:line="440" w:lineRule="exact"/>
              <w:rPr>
                <w:rFonts w:ascii="Times New Roman" w:hAnsi="Times New Roman"/>
                <w:color w:val="auto"/>
              </w:rPr>
            </w:pPr>
          </w:p>
        </w:tc>
      </w:tr>
    </w:tbl>
    <w:p>
      <w:pPr>
        <w:spacing w:line="440" w:lineRule="exact"/>
        <w:rPr>
          <w:rFonts w:ascii="Times New Roman" w:hAnsi="Times New Roman"/>
          <w:color w:val="auto"/>
        </w:rPr>
      </w:pPr>
      <w:r>
        <w:rPr>
          <w:rFonts w:ascii="Times New Roman" w:hAnsi="Times New Roman"/>
          <w:color w:val="auto"/>
        </w:rPr>
        <w:t>注：投标人应根据投标人须知第3.5.</w:t>
      </w:r>
      <w:r>
        <w:rPr>
          <w:rFonts w:hint="eastAsia" w:ascii="Times New Roman" w:hAnsi="Times New Roman"/>
          <w:color w:val="auto"/>
        </w:rPr>
        <w:t>6</w:t>
      </w:r>
      <w:r>
        <w:rPr>
          <w:rFonts w:ascii="Times New Roman" w:hAnsi="Times New Roman"/>
          <w:color w:val="auto"/>
        </w:rPr>
        <w:t>项的要求在本表后附相关证明材料。</w:t>
      </w:r>
    </w:p>
    <w:p>
      <w:pPr>
        <w:spacing w:line="440" w:lineRule="exact"/>
        <w:rPr>
          <w:rFonts w:ascii="Times New Roman" w:hAnsi="Times New Roman"/>
          <w:color w:val="auto"/>
        </w:rPr>
      </w:pPr>
      <w:r>
        <w:rPr>
          <w:rFonts w:ascii="Times New Roman" w:hAnsi="Times New Roman"/>
          <w:color w:val="auto"/>
        </w:rPr>
        <w:br w:type="page"/>
      </w:r>
      <w:bookmarkStart w:id="773" w:name="_Toc352703741"/>
      <w:bookmarkStart w:id="774" w:name="_Toc300835229"/>
    </w:p>
    <w:bookmarkEnd w:id="773"/>
    <w:bookmarkEnd w:id="774"/>
    <w:p>
      <w:pPr>
        <w:pStyle w:val="6"/>
        <w:ind w:firstLine="137"/>
        <w:rPr>
          <w:rFonts w:ascii="Times New Roman" w:hAnsi="Times New Roman"/>
          <w:color w:val="auto"/>
        </w:rPr>
      </w:pPr>
      <w:bookmarkStart w:id="775" w:name="_Toc482188666"/>
      <w:bookmarkStart w:id="776" w:name="_Toc492300956"/>
      <w:r>
        <w:rPr>
          <w:rFonts w:hint="eastAsia" w:ascii="Times New Roman" w:hAnsi="Times New Roman"/>
          <w:color w:val="auto"/>
        </w:rPr>
        <w:t>（八）拟投入本项目的主要勘察设备表</w:t>
      </w:r>
      <w:bookmarkEnd w:id="775"/>
      <w:bookmarkEnd w:id="776"/>
    </w:p>
    <w:tbl>
      <w:tblPr>
        <w:tblStyle w:val="38"/>
        <w:tblW w:w="881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9"/>
        <w:gridCol w:w="1240"/>
        <w:gridCol w:w="1323"/>
        <w:gridCol w:w="1132"/>
        <w:gridCol w:w="1132"/>
        <w:gridCol w:w="1294"/>
        <w:gridCol w:w="1132"/>
        <w:gridCol w:w="8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jc w:val="center"/>
        </w:trPr>
        <w:tc>
          <w:tcPr>
            <w:tcW w:w="759" w:type="dxa"/>
            <w:vAlign w:val="center"/>
          </w:tcPr>
          <w:p>
            <w:pPr>
              <w:spacing w:line="440" w:lineRule="exact"/>
              <w:rPr>
                <w:rFonts w:ascii="Times New Roman" w:hAnsi="Times New Roman"/>
                <w:color w:val="auto"/>
                <w:szCs w:val="21"/>
              </w:rPr>
            </w:pPr>
            <w:r>
              <w:rPr>
                <w:rFonts w:hint="eastAsia" w:ascii="Times New Roman" w:hAnsi="Times New Roman"/>
                <w:color w:val="auto"/>
                <w:szCs w:val="21"/>
              </w:rPr>
              <w:t>序号</w:t>
            </w:r>
          </w:p>
        </w:tc>
        <w:tc>
          <w:tcPr>
            <w:tcW w:w="1240" w:type="dxa"/>
            <w:vAlign w:val="center"/>
          </w:tcPr>
          <w:p>
            <w:pPr>
              <w:spacing w:line="440" w:lineRule="exact"/>
              <w:jc w:val="center"/>
              <w:rPr>
                <w:rFonts w:ascii="Times New Roman" w:hAnsi="Times New Roman"/>
                <w:color w:val="auto"/>
                <w:szCs w:val="21"/>
              </w:rPr>
            </w:pPr>
            <w:r>
              <w:rPr>
                <w:rFonts w:hint="eastAsia" w:ascii="Times New Roman" w:hAnsi="Times New Roman"/>
                <w:color w:val="auto"/>
                <w:szCs w:val="21"/>
              </w:rPr>
              <w:t>设备名称</w:t>
            </w:r>
          </w:p>
        </w:tc>
        <w:tc>
          <w:tcPr>
            <w:tcW w:w="1323" w:type="dxa"/>
            <w:vAlign w:val="center"/>
          </w:tcPr>
          <w:p>
            <w:pPr>
              <w:spacing w:line="440" w:lineRule="exact"/>
              <w:jc w:val="center"/>
              <w:rPr>
                <w:rFonts w:ascii="Times New Roman" w:hAnsi="Times New Roman"/>
                <w:color w:val="auto"/>
                <w:szCs w:val="21"/>
              </w:rPr>
            </w:pPr>
            <w:r>
              <w:rPr>
                <w:rFonts w:hint="eastAsia" w:ascii="Times New Roman" w:hAnsi="Times New Roman"/>
                <w:color w:val="auto"/>
                <w:szCs w:val="21"/>
              </w:rPr>
              <w:t>型号规格</w:t>
            </w:r>
          </w:p>
        </w:tc>
        <w:tc>
          <w:tcPr>
            <w:tcW w:w="1132" w:type="dxa"/>
            <w:vAlign w:val="center"/>
          </w:tcPr>
          <w:p>
            <w:pPr>
              <w:spacing w:line="440" w:lineRule="exact"/>
              <w:jc w:val="center"/>
              <w:rPr>
                <w:rFonts w:ascii="Times New Roman" w:hAnsi="Times New Roman"/>
                <w:color w:val="auto"/>
                <w:szCs w:val="21"/>
              </w:rPr>
            </w:pPr>
            <w:r>
              <w:rPr>
                <w:rFonts w:hint="eastAsia" w:ascii="Times New Roman" w:hAnsi="Times New Roman"/>
                <w:color w:val="auto"/>
                <w:szCs w:val="21"/>
              </w:rPr>
              <w:t>单位</w:t>
            </w:r>
          </w:p>
        </w:tc>
        <w:tc>
          <w:tcPr>
            <w:tcW w:w="1132" w:type="dxa"/>
            <w:vAlign w:val="center"/>
          </w:tcPr>
          <w:p>
            <w:pPr>
              <w:spacing w:line="440" w:lineRule="exact"/>
              <w:jc w:val="center"/>
              <w:rPr>
                <w:rFonts w:ascii="Times New Roman" w:hAnsi="Times New Roman"/>
                <w:color w:val="auto"/>
                <w:szCs w:val="21"/>
              </w:rPr>
            </w:pPr>
            <w:r>
              <w:rPr>
                <w:rFonts w:hint="eastAsia" w:ascii="Times New Roman" w:hAnsi="Times New Roman"/>
                <w:color w:val="auto"/>
                <w:szCs w:val="21"/>
              </w:rPr>
              <w:t>数量</w:t>
            </w:r>
          </w:p>
        </w:tc>
        <w:tc>
          <w:tcPr>
            <w:tcW w:w="1294" w:type="dxa"/>
            <w:vAlign w:val="center"/>
          </w:tcPr>
          <w:p>
            <w:pPr>
              <w:spacing w:line="440" w:lineRule="exact"/>
              <w:jc w:val="center"/>
              <w:rPr>
                <w:rFonts w:ascii="Times New Roman" w:hAnsi="Times New Roman"/>
                <w:color w:val="auto"/>
                <w:szCs w:val="21"/>
              </w:rPr>
            </w:pPr>
            <w:r>
              <w:rPr>
                <w:rFonts w:hint="eastAsia" w:ascii="Times New Roman" w:hAnsi="Times New Roman"/>
                <w:color w:val="auto"/>
                <w:szCs w:val="21"/>
              </w:rPr>
              <w:t>制造年份</w:t>
            </w:r>
          </w:p>
        </w:tc>
        <w:tc>
          <w:tcPr>
            <w:tcW w:w="1132" w:type="dxa"/>
            <w:vAlign w:val="center"/>
          </w:tcPr>
          <w:p>
            <w:pPr>
              <w:spacing w:line="440" w:lineRule="exact"/>
              <w:jc w:val="center"/>
              <w:rPr>
                <w:rFonts w:ascii="Times New Roman" w:hAnsi="Times New Roman"/>
                <w:color w:val="auto"/>
                <w:szCs w:val="21"/>
              </w:rPr>
            </w:pPr>
            <w:r>
              <w:rPr>
                <w:rFonts w:ascii="Times New Roman" w:hAnsi="Times New Roman"/>
                <w:color w:val="auto"/>
              </w:rPr>
              <w:t>……</w:t>
            </w:r>
          </w:p>
        </w:tc>
        <w:tc>
          <w:tcPr>
            <w:tcW w:w="807" w:type="dxa"/>
            <w:vAlign w:val="center"/>
          </w:tcPr>
          <w:p>
            <w:pPr>
              <w:spacing w:line="440" w:lineRule="exact"/>
              <w:jc w:val="center"/>
              <w:rPr>
                <w:rFonts w:ascii="Times New Roman" w:hAnsi="Times New Roman"/>
                <w:color w:val="auto"/>
                <w:szCs w:val="21"/>
              </w:rPr>
            </w:pPr>
            <w:r>
              <w:rPr>
                <w:rFonts w:hint="eastAsia" w:ascii="Times New Roman" w:hAnsi="Times New Roman"/>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4" w:hRule="atLeast"/>
          <w:jc w:val="center"/>
        </w:trPr>
        <w:tc>
          <w:tcPr>
            <w:tcW w:w="759" w:type="dxa"/>
            <w:vAlign w:val="center"/>
          </w:tcPr>
          <w:p>
            <w:pPr>
              <w:spacing w:line="440" w:lineRule="exact"/>
              <w:jc w:val="center"/>
              <w:rPr>
                <w:rFonts w:ascii="Times New Roman" w:hAnsi="Times New Roman"/>
                <w:color w:val="auto"/>
                <w:szCs w:val="21"/>
              </w:rPr>
            </w:pPr>
          </w:p>
        </w:tc>
        <w:tc>
          <w:tcPr>
            <w:tcW w:w="1240" w:type="dxa"/>
            <w:vAlign w:val="center"/>
          </w:tcPr>
          <w:p>
            <w:pPr>
              <w:spacing w:line="440" w:lineRule="exact"/>
              <w:jc w:val="center"/>
              <w:rPr>
                <w:rFonts w:ascii="Times New Roman" w:hAnsi="Times New Roman"/>
                <w:color w:val="auto"/>
                <w:szCs w:val="21"/>
              </w:rPr>
            </w:pPr>
          </w:p>
        </w:tc>
        <w:tc>
          <w:tcPr>
            <w:tcW w:w="1323" w:type="dxa"/>
            <w:vAlign w:val="center"/>
          </w:tcPr>
          <w:p>
            <w:pPr>
              <w:spacing w:line="440" w:lineRule="exact"/>
              <w:jc w:val="center"/>
              <w:rPr>
                <w:rFonts w:ascii="Times New Roman" w:hAnsi="Times New Roman"/>
                <w:color w:val="auto"/>
                <w:szCs w:val="21"/>
              </w:rPr>
            </w:pPr>
          </w:p>
        </w:tc>
        <w:tc>
          <w:tcPr>
            <w:tcW w:w="1132" w:type="dxa"/>
            <w:vAlign w:val="center"/>
          </w:tcPr>
          <w:p>
            <w:pPr>
              <w:spacing w:line="440" w:lineRule="exact"/>
              <w:jc w:val="center"/>
              <w:rPr>
                <w:rFonts w:ascii="Times New Roman" w:hAnsi="Times New Roman"/>
                <w:color w:val="auto"/>
                <w:szCs w:val="21"/>
              </w:rPr>
            </w:pPr>
          </w:p>
        </w:tc>
        <w:tc>
          <w:tcPr>
            <w:tcW w:w="1132" w:type="dxa"/>
            <w:vAlign w:val="center"/>
          </w:tcPr>
          <w:p>
            <w:pPr>
              <w:spacing w:line="440" w:lineRule="exact"/>
              <w:jc w:val="center"/>
              <w:rPr>
                <w:rFonts w:ascii="Times New Roman" w:hAnsi="Times New Roman"/>
                <w:color w:val="auto"/>
                <w:szCs w:val="21"/>
              </w:rPr>
            </w:pPr>
          </w:p>
        </w:tc>
        <w:tc>
          <w:tcPr>
            <w:tcW w:w="1294" w:type="dxa"/>
            <w:vAlign w:val="center"/>
          </w:tcPr>
          <w:p>
            <w:pPr>
              <w:spacing w:line="440" w:lineRule="exact"/>
              <w:jc w:val="center"/>
              <w:rPr>
                <w:rFonts w:ascii="Times New Roman" w:hAnsi="Times New Roman"/>
                <w:color w:val="auto"/>
                <w:szCs w:val="21"/>
              </w:rPr>
            </w:pPr>
          </w:p>
        </w:tc>
        <w:tc>
          <w:tcPr>
            <w:tcW w:w="1132" w:type="dxa"/>
            <w:vAlign w:val="center"/>
          </w:tcPr>
          <w:p>
            <w:pPr>
              <w:spacing w:line="440" w:lineRule="exact"/>
              <w:jc w:val="center"/>
              <w:rPr>
                <w:rFonts w:ascii="Times New Roman" w:hAnsi="Times New Roman"/>
                <w:color w:val="auto"/>
                <w:szCs w:val="21"/>
              </w:rPr>
            </w:pPr>
          </w:p>
        </w:tc>
        <w:tc>
          <w:tcPr>
            <w:tcW w:w="807" w:type="dxa"/>
            <w:vAlign w:val="center"/>
          </w:tcPr>
          <w:p>
            <w:pPr>
              <w:spacing w:line="440" w:lineRule="exact"/>
              <w:jc w:val="center"/>
              <w:rPr>
                <w:rFonts w:ascii="Times New Roman" w:hAnsi="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4" w:hRule="atLeast"/>
          <w:jc w:val="center"/>
        </w:trPr>
        <w:tc>
          <w:tcPr>
            <w:tcW w:w="759" w:type="dxa"/>
            <w:vAlign w:val="center"/>
          </w:tcPr>
          <w:p>
            <w:pPr>
              <w:spacing w:line="440" w:lineRule="exact"/>
              <w:jc w:val="center"/>
              <w:rPr>
                <w:rFonts w:ascii="Times New Roman" w:hAnsi="Times New Roman"/>
                <w:color w:val="auto"/>
                <w:szCs w:val="21"/>
              </w:rPr>
            </w:pPr>
          </w:p>
        </w:tc>
        <w:tc>
          <w:tcPr>
            <w:tcW w:w="1240" w:type="dxa"/>
            <w:vAlign w:val="center"/>
          </w:tcPr>
          <w:p>
            <w:pPr>
              <w:spacing w:line="440" w:lineRule="exact"/>
              <w:jc w:val="center"/>
              <w:rPr>
                <w:rFonts w:ascii="Times New Roman" w:hAnsi="Times New Roman"/>
                <w:color w:val="auto"/>
                <w:szCs w:val="21"/>
              </w:rPr>
            </w:pPr>
          </w:p>
        </w:tc>
        <w:tc>
          <w:tcPr>
            <w:tcW w:w="1323" w:type="dxa"/>
            <w:vAlign w:val="center"/>
          </w:tcPr>
          <w:p>
            <w:pPr>
              <w:spacing w:line="440" w:lineRule="exact"/>
              <w:jc w:val="center"/>
              <w:rPr>
                <w:rFonts w:ascii="Times New Roman" w:hAnsi="Times New Roman"/>
                <w:color w:val="auto"/>
                <w:szCs w:val="21"/>
              </w:rPr>
            </w:pPr>
          </w:p>
        </w:tc>
        <w:tc>
          <w:tcPr>
            <w:tcW w:w="1132" w:type="dxa"/>
            <w:vAlign w:val="center"/>
          </w:tcPr>
          <w:p>
            <w:pPr>
              <w:spacing w:line="440" w:lineRule="exact"/>
              <w:jc w:val="center"/>
              <w:rPr>
                <w:rFonts w:ascii="Times New Roman" w:hAnsi="Times New Roman"/>
                <w:color w:val="auto"/>
                <w:szCs w:val="21"/>
              </w:rPr>
            </w:pPr>
          </w:p>
        </w:tc>
        <w:tc>
          <w:tcPr>
            <w:tcW w:w="1132" w:type="dxa"/>
            <w:vAlign w:val="center"/>
          </w:tcPr>
          <w:p>
            <w:pPr>
              <w:spacing w:line="440" w:lineRule="exact"/>
              <w:jc w:val="center"/>
              <w:rPr>
                <w:rFonts w:ascii="Times New Roman" w:hAnsi="Times New Roman"/>
                <w:color w:val="auto"/>
                <w:szCs w:val="21"/>
              </w:rPr>
            </w:pPr>
          </w:p>
        </w:tc>
        <w:tc>
          <w:tcPr>
            <w:tcW w:w="1294" w:type="dxa"/>
            <w:vAlign w:val="center"/>
          </w:tcPr>
          <w:p>
            <w:pPr>
              <w:spacing w:line="440" w:lineRule="exact"/>
              <w:jc w:val="center"/>
              <w:rPr>
                <w:rFonts w:ascii="Times New Roman" w:hAnsi="Times New Roman"/>
                <w:color w:val="auto"/>
                <w:szCs w:val="21"/>
              </w:rPr>
            </w:pPr>
          </w:p>
        </w:tc>
        <w:tc>
          <w:tcPr>
            <w:tcW w:w="1132" w:type="dxa"/>
            <w:vAlign w:val="center"/>
          </w:tcPr>
          <w:p>
            <w:pPr>
              <w:spacing w:line="440" w:lineRule="exact"/>
              <w:jc w:val="center"/>
              <w:rPr>
                <w:rFonts w:ascii="Times New Roman" w:hAnsi="Times New Roman"/>
                <w:color w:val="auto"/>
                <w:szCs w:val="21"/>
              </w:rPr>
            </w:pPr>
          </w:p>
        </w:tc>
        <w:tc>
          <w:tcPr>
            <w:tcW w:w="807" w:type="dxa"/>
            <w:vAlign w:val="center"/>
          </w:tcPr>
          <w:p>
            <w:pPr>
              <w:spacing w:line="440" w:lineRule="exact"/>
              <w:jc w:val="center"/>
              <w:rPr>
                <w:rFonts w:ascii="Times New Roman" w:hAnsi="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4" w:hRule="atLeast"/>
          <w:jc w:val="center"/>
        </w:trPr>
        <w:tc>
          <w:tcPr>
            <w:tcW w:w="759" w:type="dxa"/>
          </w:tcPr>
          <w:p>
            <w:pPr>
              <w:spacing w:line="440" w:lineRule="exact"/>
              <w:jc w:val="center"/>
              <w:rPr>
                <w:rFonts w:ascii="Times New Roman" w:hAnsi="Times New Roman"/>
                <w:color w:val="auto"/>
                <w:szCs w:val="21"/>
              </w:rPr>
            </w:pPr>
          </w:p>
        </w:tc>
        <w:tc>
          <w:tcPr>
            <w:tcW w:w="1240" w:type="dxa"/>
          </w:tcPr>
          <w:p>
            <w:pPr>
              <w:spacing w:line="440" w:lineRule="exact"/>
              <w:jc w:val="center"/>
              <w:rPr>
                <w:rFonts w:ascii="Times New Roman" w:hAnsi="Times New Roman"/>
                <w:color w:val="auto"/>
                <w:szCs w:val="21"/>
              </w:rPr>
            </w:pPr>
          </w:p>
        </w:tc>
        <w:tc>
          <w:tcPr>
            <w:tcW w:w="1323" w:type="dxa"/>
          </w:tcPr>
          <w:p>
            <w:pPr>
              <w:spacing w:line="440" w:lineRule="exact"/>
              <w:jc w:val="center"/>
              <w:rPr>
                <w:rFonts w:ascii="Times New Roman" w:hAnsi="Times New Roman"/>
                <w:color w:val="auto"/>
                <w:szCs w:val="21"/>
              </w:rPr>
            </w:pPr>
          </w:p>
        </w:tc>
        <w:tc>
          <w:tcPr>
            <w:tcW w:w="1132" w:type="dxa"/>
          </w:tcPr>
          <w:p>
            <w:pPr>
              <w:spacing w:line="440" w:lineRule="exact"/>
              <w:jc w:val="center"/>
              <w:rPr>
                <w:rFonts w:ascii="Times New Roman" w:hAnsi="Times New Roman"/>
                <w:color w:val="auto"/>
                <w:szCs w:val="21"/>
              </w:rPr>
            </w:pPr>
          </w:p>
        </w:tc>
        <w:tc>
          <w:tcPr>
            <w:tcW w:w="1132" w:type="dxa"/>
          </w:tcPr>
          <w:p>
            <w:pPr>
              <w:spacing w:line="440" w:lineRule="exact"/>
              <w:jc w:val="center"/>
              <w:rPr>
                <w:rFonts w:ascii="Times New Roman" w:hAnsi="Times New Roman"/>
                <w:color w:val="auto"/>
                <w:szCs w:val="21"/>
              </w:rPr>
            </w:pPr>
          </w:p>
        </w:tc>
        <w:tc>
          <w:tcPr>
            <w:tcW w:w="1294" w:type="dxa"/>
          </w:tcPr>
          <w:p>
            <w:pPr>
              <w:spacing w:line="440" w:lineRule="exact"/>
              <w:jc w:val="center"/>
              <w:rPr>
                <w:rFonts w:ascii="Times New Roman" w:hAnsi="Times New Roman"/>
                <w:color w:val="auto"/>
                <w:szCs w:val="21"/>
              </w:rPr>
            </w:pPr>
          </w:p>
        </w:tc>
        <w:tc>
          <w:tcPr>
            <w:tcW w:w="1132" w:type="dxa"/>
          </w:tcPr>
          <w:p>
            <w:pPr>
              <w:spacing w:line="440" w:lineRule="exact"/>
              <w:jc w:val="center"/>
              <w:rPr>
                <w:rFonts w:ascii="Times New Roman" w:hAnsi="Times New Roman"/>
                <w:color w:val="auto"/>
                <w:szCs w:val="21"/>
              </w:rPr>
            </w:pPr>
          </w:p>
        </w:tc>
        <w:tc>
          <w:tcPr>
            <w:tcW w:w="807" w:type="dxa"/>
          </w:tcPr>
          <w:p>
            <w:pPr>
              <w:spacing w:line="440" w:lineRule="exact"/>
              <w:jc w:val="center"/>
              <w:rPr>
                <w:rFonts w:ascii="Times New Roman" w:hAnsi="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4" w:hRule="atLeast"/>
          <w:jc w:val="center"/>
        </w:trPr>
        <w:tc>
          <w:tcPr>
            <w:tcW w:w="759" w:type="dxa"/>
          </w:tcPr>
          <w:p>
            <w:pPr>
              <w:spacing w:line="440" w:lineRule="exact"/>
              <w:jc w:val="center"/>
              <w:rPr>
                <w:rFonts w:ascii="Times New Roman" w:hAnsi="Times New Roman"/>
                <w:color w:val="auto"/>
                <w:szCs w:val="21"/>
              </w:rPr>
            </w:pPr>
          </w:p>
        </w:tc>
        <w:tc>
          <w:tcPr>
            <w:tcW w:w="1240" w:type="dxa"/>
          </w:tcPr>
          <w:p>
            <w:pPr>
              <w:spacing w:line="440" w:lineRule="exact"/>
              <w:jc w:val="center"/>
              <w:rPr>
                <w:rFonts w:ascii="Times New Roman" w:hAnsi="Times New Roman"/>
                <w:color w:val="auto"/>
                <w:szCs w:val="21"/>
              </w:rPr>
            </w:pPr>
          </w:p>
        </w:tc>
        <w:tc>
          <w:tcPr>
            <w:tcW w:w="1323" w:type="dxa"/>
          </w:tcPr>
          <w:p>
            <w:pPr>
              <w:spacing w:line="440" w:lineRule="exact"/>
              <w:jc w:val="center"/>
              <w:rPr>
                <w:rFonts w:ascii="Times New Roman" w:hAnsi="Times New Roman"/>
                <w:color w:val="auto"/>
                <w:szCs w:val="21"/>
              </w:rPr>
            </w:pPr>
          </w:p>
        </w:tc>
        <w:tc>
          <w:tcPr>
            <w:tcW w:w="1132" w:type="dxa"/>
          </w:tcPr>
          <w:p>
            <w:pPr>
              <w:spacing w:line="440" w:lineRule="exact"/>
              <w:jc w:val="center"/>
              <w:rPr>
                <w:rFonts w:ascii="Times New Roman" w:hAnsi="Times New Roman"/>
                <w:color w:val="auto"/>
                <w:szCs w:val="21"/>
              </w:rPr>
            </w:pPr>
          </w:p>
        </w:tc>
        <w:tc>
          <w:tcPr>
            <w:tcW w:w="1132" w:type="dxa"/>
          </w:tcPr>
          <w:p>
            <w:pPr>
              <w:spacing w:line="440" w:lineRule="exact"/>
              <w:jc w:val="center"/>
              <w:rPr>
                <w:rFonts w:ascii="Times New Roman" w:hAnsi="Times New Roman"/>
                <w:color w:val="auto"/>
                <w:szCs w:val="21"/>
              </w:rPr>
            </w:pPr>
          </w:p>
        </w:tc>
        <w:tc>
          <w:tcPr>
            <w:tcW w:w="1294" w:type="dxa"/>
          </w:tcPr>
          <w:p>
            <w:pPr>
              <w:spacing w:line="440" w:lineRule="exact"/>
              <w:jc w:val="center"/>
              <w:rPr>
                <w:rFonts w:ascii="Times New Roman" w:hAnsi="Times New Roman"/>
                <w:color w:val="auto"/>
                <w:szCs w:val="21"/>
              </w:rPr>
            </w:pPr>
          </w:p>
        </w:tc>
        <w:tc>
          <w:tcPr>
            <w:tcW w:w="1132" w:type="dxa"/>
          </w:tcPr>
          <w:p>
            <w:pPr>
              <w:spacing w:line="440" w:lineRule="exact"/>
              <w:jc w:val="center"/>
              <w:rPr>
                <w:rFonts w:ascii="Times New Roman" w:hAnsi="Times New Roman"/>
                <w:color w:val="auto"/>
                <w:szCs w:val="21"/>
              </w:rPr>
            </w:pPr>
          </w:p>
        </w:tc>
        <w:tc>
          <w:tcPr>
            <w:tcW w:w="807" w:type="dxa"/>
          </w:tcPr>
          <w:p>
            <w:pPr>
              <w:spacing w:line="440" w:lineRule="exact"/>
              <w:jc w:val="center"/>
              <w:rPr>
                <w:rFonts w:ascii="Times New Roman" w:hAnsi="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4" w:hRule="atLeast"/>
          <w:jc w:val="center"/>
        </w:trPr>
        <w:tc>
          <w:tcPr>
            <w:tcW w:w="759" w:type="dxa"/>
          </w:tcPr>
          <w:p>
            <w:pPr>
              <w:spacing w:line="440" w:lineRule="exact"/>
              <w:jc w:val="center"/>
              <w:rPr>
                <w:rFonts w:ascii="Times New Roman" w:hAnsi="Times New Roman"/>
                <w:color w:val="auto"/>
                <w:szCs w:val="21"/>
              </w:rPr>
            </w:pPr>
          </w:p>
        </w:tc>
        <w:tc>
          <w:tcPr>
            <w:tcW w:w="1240" w:type="dxa"/>
          </w:tcPr>
          <w:p>
            <w:pPr>
              <w:spacing w:line="440" w:lineRule="exact"/>
              <w:jc w:val="center"/>
              <w:rPr>
                <w:rFonts w:ascii="Times New Roman" w:hAnsi="Times New Roman"/>
                <w:color w:val="auto"/>
                <w:szCs w:val="21"/>
              </w:rPr>
            </w:pPr>
          </w:p>
        </w:tc>
        <w:tc>
          <w:tcPr>
            <w:tcW w:w="1323" w:type="dxa"/>
          </w:tcPr>
          <w:p>
            <w:pPr>
              <w:spacing w:line="440" w:lineRule="exact"/>
              <w:jc w:val="center"/>
              <w:rPr>
                <w:rFonts w:ascii="Times New Roman" w:hAnsi="Times New Roman"/>
                <w:color w:val="auto"/>
                <w:szCs w:val="21"/>
              </w:rPr>
            </w:pPr>
          </w:p>
        </w:tc>
        <w:tc>
          <w:tcPr>
            <w:tcW w:w="1132" w:type="dxa"/>
          </w:tcPr>
          <w:p>
            <w:pPr>
              <w:spacing w:line="440" w:lineRule="exact"/>
              <w:jc w:val="center"/>
              <w:rPr>
                <w:rFonts w:ascii="Times New Roman" w:hAnsi="Times New Roman"/>
                <w:color w:val="auto"/>
                <w:szCs w:val="21"/>
              </w:rPr>
            </w:pPr>
          </w:p>
        </w:tc>
        <w:tc>
          <w:tcPr>
            <w:tcW w:w="1132" w:type="dxa"/>
          </w:tcPr>
          <w:p>
            <w:pPr>
              <w:spacing w:line="440" w:lineRule="exact"/>
              <w:jc w:val="center"/>
              <w:rPr>
                <w:rFonts w:ascii="Times New Roman" w:hAnsi="Times New Roman"/>
                <w:color w:val="auto"/>
                <w:szCs w:val="21"/>
              </w:rPr>
            </w:pPr>
          </w:p>
        </w:tc>
        <w:tc>
          <w:tcPr>
            <w:tcW w:w="1294" w:type="dxa"/>
          </w:tcPr>
          <w:p>
            <w:pPr>
              <w:spacing w:line="440" w:lineRule="exact"/>
              <w:jc w:val="center"/>
              <w:rPr>
                <w:rFonts w:ascii="Times New Roman" w:hAnsi="Times New Roman"/>
                <w:color w:val="auto"/>
                <w:szCs w:val="21"/>
              </w:rPr>
            </w:pPr>
          </w:p>
        </w:tc>
        <w:tc>
          <w:tcPr>
            <w:tcW w:w="1132" w:type="dxa"/>
          </w:tcPr>
          <w:p>
            <w:pPr>
              <w:spacing w:line="440" w:lineRule="exact"/>
              <w:jc w:val="center"/>
              <w:rPr>
                <w:rFonts w:ascii="Times New Roman" w:hAnsi="Times New Roman"/>
                <w:color w:val="auto"/>
                <w:szCs w:val="21"/>
              </w:rPr>
            </w:pPr>
          </w:p>
        </w:tc>
        <w:tc>
          <w:tcPr>
            <w:tcW w:w="807" w:type="dxa"/>
          </w:tcPr>
          <w:p>
            <w:pPr>
              <w:spacing w:line="440" w:lineRule="exact"/>
              <w:jc w:val="center"/>
              <w:rPr>
                <w:rFonts w:ascii="Times New Roman" w:hAnsi="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4" w:hRule="atLeast"/>
          <w:jc w:val="center"/>
        </w:trPr>
        <w:tc>
          <w:tcPr>
            <w:tcW w:w="759" w:type="dxa"/>
          </w:tcPr>
          <w:p>
            <w:pPr>
              <w:spacing w:line="440" w:lineRule="exact"/>
              <w:jc w:val="center"/>
              <w:rPr>
                <w:rFonts w:ascii="Times New Roman" w:hAnsi="Times New Roman"/>
                <w:color w:val="auto"/>
                <w:szCs w:val="21"/>
              </w:rPr>
            </w:pPr>
          </w:p>
        </w:tc>
        <w:tc>
          <w:tcPr>
            <w:tcW w:w="1240" w:type="dxa"/>
          </w:tcPr>
          <w:p>
            <w:pPr>
              <w:spacing w:line="440" w:lineRule="exact"/>
              <w:jc w:val="center"/>
              <w:rPr>
                <w:rFonts w:ascii="Times New Roman" w:hAnsi="Times New Roman"/>
                <w:color w:val="auto"/>
                <w:szCs w:val="21"/>
              </w:rPr>
            </w:pPr>
          </w:p>
        </w:tc>
        <w:tc>
          <w:tcPr>
            <w:tcW w:w="1323" w:type="dxa"/>
          </w:tcPr>
          <w:p>
            <w:pPr>
              <w:spacing w:line="440" w:lineRule="exact"/>
              <w:jc w:val="center"/>
              <w:rPr>
                <w:rFonts w:ascii="Times New Roman" w:hAnsi="Times New Roman"/>
                <w:color w:val="auto"/>
                <w:szCs w:val="21"/>
              </w:rPr>
            </w:pPr>
          </w:p>
        </w:tc>
        <w:tc>
          <w:tcPr>
            <w:tcW w:w="1132" w:type="dxa"/>
          </w:tcPr>
          <w:p>
            <w:pPr>
              <w:spacing w:line="440" w:lineRule="exact"/>
              <w:jc w:val="center"/>
              <w:rPr>
                <w:rFonts w:ascii="Times New Roman" w:hAnsi="Times New Roman"/>
                <w:color w:val="auto"/>
                <w:szCs w:val="21"/>
              </w:rPr>
            </w:pPr>
          </w:p>
        </w:tc>
        <w:tc>
          <w:tcPr>
            <w:tcW w:w="1132" w:type="dxa"/>
          </w:tcPr>
          <w:p>
            <w:pPr>
              <w:spacing w:line="440" w:lineRule="exact"/>
              <w:jc w:val="center"/>
              <w:rPr>
                <w:rFonts w:ascii="Times New Roman" w:hAnsi="Times New Roman"/>
                <w:color w:val="auto"/>
                <w:szCs w:val="21"/>
              </w:rPr>
            </w:pPr>
          </w:p>
        </w:tc>
        <w:tc>
          <w:tcPr>
            <w:tcW w:w="1294" w:type="dxa"/>
          </w:tcPr>
          <w:p>
            <w:pPr>
              <w:spacing w:line="440" w:lineRule="exact"/>
              <w:jc w:val="center"/>
              <w:rPr>
                <w:rFonts w:ascii="Times New Roman" w:hAnsi="Times New Roman"/>
                <w:color w:val="auto"/>
                <w:szCs w:val="21"/>
              </w:rPr>
            </w:pPr>
          </w:p>
        </w:tc>
        <w:tc>
          <w:tcPr>
            <w:tcW w:w="1132" w:type="dxa"/>
          </w:tcPr>
          <w:p>
            <w:pPr>
              <w:spacing w:line="440" w:lineRule="exact"/>
              <w:jc w:val="center"/>
              <w:rPr>
                <w:rFonts w:ascii="Times New Roman" w:hAnsi="Times New Roman"/>
                <w:color w:val="auto"/>
                <w:szCs w:val="21"/>
              </w:rPr>
            </w:pPr>
          </w:p>
        </w:tc>
        <w:tc>
          <w:tcPr>
            <w:tcW w:w="807" w:type="dxa"/>
          </w:tcPr>
          <w:p>
            <w:pPr>
              <w:spacing w:line="440" w:lineRule="exact"/>
              <w:jc w:val="center"/>
              <w:rPr>
                <w:rFonts w:ascii="Times New Roman" w:hAnsi="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4" w:hRule="atLeast"/>
          <w:jc w:val="center"/>
        </w:trPr>
        <w:tc>
          <w:tcPr>
            <w:tcW w:w="759" w:type="dxa"/>
          </w:tcPr>
          <w:p>
            <w:pPr>
              <w:spacing w:line="440" w:lineRule="exact"/>
              <w:jc w:val="center"/>
              <w:rPr>
                <w:rFonts w:ascii="Times New Roman" w:hAnsi="Times New Roman"/>
                <w:color w:val="auto"/>
                <w:szCs w:val="21"/>
              </w:rPr>
            </w:pPr>
          </w:p>
        </w:tc>
        <w:tc>
          <w:tcPr>
            <w:tcW w:w="1240" w:type="dxa"/>
          </w:tcPr>
          <w:p>
            <w:pPr>
              <w:spacing w:line="440" w:lineRule="exact"/>
              <w:jc w:val="center"/>
              <w:rPr>
                <w:rFonts w:ascii="Times New Roman" w:hAnsi="Times New Roman"/>
                <w:color w:val="auto"/>
                <w:szCs w:val="21"/>
              </w:rPr>
            </w:pPr>
          </w:p>
        </w:tc>
        <w:tc>
          <w:tcPr>
            <w:tcW w:w="1323" w:type="dxa"/>
          </w:tcPr>
          <w:p>
            <w:pPr>
              <w:spacing w:line="440" w:lineRule="exact"/>
              <w:jc w:val="center"/>
              <w:rPr>
                <w:rFonts w:ascii="Times New Roman" w:hAnsi="Times New Roman"/>
                <w:color w:val="auto"/>
                <w:szCs w:val="21"/>
              </w:rPr>
            </w:pPr>
          </w:p>
        </w:tc>
        <w:tc>
          <w:tcPr>
            <w:tcW w:w="1132" w:type="dxa"/>
          </w:tcPr>
          <w:p>
            <w:pPr>
              <w:spacing w:line="440" w:lineRule="exact"/>
              <w:jc w:val="center"/>
              <w:rPr>
                <w:rFonts w:ascii="Times New Roman" w:hAnsi="Times New Roman"/>
                <w:color w:val="auto"/>
                <w:szCs w:val="21"/>
              </w:rPr>
            </w:pPr>
          </w:p>
        </w:tc>
        <w:tc>
          <w:tcPr>
            <w:tcW w:w="1132" w:type="dxa"/>
          </w:tcPr>
          <w:p>
            <w:pPr>
              <w:spacing w:line="440" w:lineRule="exact"/>
              <w:jc w:val="center"/>
              <w:rPr>
                <w:rFonts w:ascii="Times New Roman" w:hAnsi="Times New Roman"/>
                <w:color w:val="auto"/>
                <w:szCs w:val="21"/>
              </w:rPr>
            </w:pPr>
          </w:p>
        </w:tc>
        <w:tc>
          <w:tcPr>
            <w:tcW w:w="1294" w:type="dxa"/>
          </w:tcPr>
          <w:p>
            <w:pPr>
              <w:spacing w:line="440" w:lineRule="exact"/>
              <w:jc w:val="center"/>
              <w:rPr>
                <w:rFonts w:ascii="Times New Roman" w:hAnsi="Times New Roman"/>
                <w:color w:val="auto"/>
                <w:szCs w:val="21"/>
              </w:rPr>
            </w:pPr>
          </w:p>
        </w:tc>
        <w:tc>
          <w:tcPr>
            <w:tcW w:w="1132" w:type="dxa"/>
          </w:tcPr>
          <w:p>
            <w:pPr>
              <w:spacing w:line="440" w:lineRule="exact"/>
              <w:jc w:val="center"/>
              <w:rPr>
                <w:rFonts w:ascii="Times New Roman" w:hAnsi="Times New Roman"/>
                <w:color w:val="auto"/>
                <w:szCs w:val="21"/>
              </w:rPr>
            </w:pPr>
          </w:p>
        </w:tc>
        <w:tc>
          <w:tcPr>
            <w:tcW w:w="807" w:type="dxa"/>
          </w:tcPr>
          <w:p>
            <w:pPr>
              <w:spacing w:line="440" w:lineRule="exact"/>
              <w:jc w:val="center"/>
              <w:rPr>
                <w:rFonts w:ascii="Times New Roman" w:hAnsi="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jc w:val="center"/>
        </w:trPr>
        <w:tc>
          <w:tcPr>
            <w:tcW w:w="759" w:type="dxa"/>
          </w:tcPr>
          <w:p>
            <w:pPr>
              <w:spacing w:line="440" w:lineRule="exact"/>
              <w:jc w:val="center"/>
              <w:rPr>
                <w:rFonts w:ascii="Times New Roman" w:hAnsi="Times New Roman"/>
                <w:color w:val="auto"/>
                <w:szCs w:val="21"/>
              </w:rPr>
            </w:pPr>
          </w:p>
        </w:tc>
        <w:tc>
          <w:tcPr>
            <w:tcW w:w="1240" w:type="dxa"/>
          </w:tcPr>
          <w:p>
            <w:pPr>
              <w:spacing w:line="440" w:lineRule="exact"/>
              <w:jc w:val="center"/>
              <w:rPr>
                <w:rFonts w:ascii="Times New Roman" w:hAnsi="Times New Roman"/>
                <w:color w:val="auto"/>
                <w:szCs w:val="21"/>
              </w:rPr>
            </w:pPr>
          </w:p>
        </w:tc>
        <w:tc>
          <w:tcPr>
            <w:tcW w:w="1323" w:type="dxa"/>
          </w:tcPr>
          <w:p>
            <w:pPr>
              <w:spacing w:line="440" w:lineRule="exact"/>
              <w:jc w:val="center"/>
              <w:rPr>
                <w:rFonts w:ascii="Times New Roman" w:hAnsi="Times New Roman"/>
                <w:color w:val="auto"/>
                <w:szCs w:val="21"/>
              </w:rPr>
            </w:pPr>
          </w:p>
        </w:tc>
        <w:tc>
          <w:tcPr>
            <w:tcW w:w="1132" w:type="dxa"/>
          </w:tcPr>
          <w:p>
            <w:pPr>
              <w:spacing w:line="440" w:lineRule="exact"/>
              <w:jc w:val="center"/>
              <w:rPr>
                <w:rFonts w:ascii="Times New Roman" w:hAnsi="Times New Roman"/>
                <w:color w:val="auto"/>
                <w:szCs w:val="21"/>
              </w:rPr>
            </w:pPr>
          </w:p>
        </w:tc>
        <w:tc>
          <w:tcPr>
            <w:tcW w:w="1132" w:type="dxa"/>
          </w:tcPr>
          <w:p>
            <w:pPr>
              <w:spacing w:line="440" w:lineRule="exact"/>
              <w:jc w:val="center"/>
              <w:rPr>
                <w:rFonts w:ascii="Times New Roman" w:hAnsi="Times New Roman"/>
                <w:color w:val="auto"/>
                <w:szCs w:val="21"/>
              </w:rPr>
            </w:pPr>
          </w:p>
        </w:tc>
        <w:tc>
          <w:tcPr>
            <w:tcW w:w="1294" w:type="dxa"/>
          </w:tcPr>
          <w:p>
            <w:pPr>
              <w:spacing w:line="440" w:lineRule="exact"/>
              <w:jc w:val="center"/>
              <w:rPr>
                <w:rFonts w:ascii="Times New Roman" w:hAnsi="Times New Roman"/>
                <w:color w:val="auto"/>
                <w:szCs w:val="21"/>
              </w:rPr>
            </w:pPr>
          </w:p>
        </w:tc>
        <w:tc>
          <w:tcPr>
            <w:tcW w:w="1132" w:type="dxa"/>
          </w:tcPr>
          <w:p>
            <w:pPr>
              <w:spacing w:line="440" w:lineRule="exact"/>
              <w:jc w:val="center"/>
              <w:rPr>
                <w:rFonts w:ascii="Times New Roman" w:hAnsi="Times New Roman"/>
                <w:color w:val="auto"/>
                <w:szCs w:val="21"/>
              </w:rPr>
            </w:pPr>
          </w:p>
        </w:tc>
        <w:tc>
          <w:tcPr>
            <w:tcW w:w="807" w:type="dxa"/>
          </w:tcPr>
          <w:p>
            <w:pPr>
              <w:spacing w:line="440" w:lineRule="exact"/>
              <w:jc w:val="center"/>
              <w:rPr>
                <w:rFonts w:ascii="Times New Roman" w:hAnsi="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4" w:hRule="atLeast"/>
          <w:jc w:val="center"/>
        </w:trPr>
        <w:tc>
          <w:tcPr>
            <w:tcW w:w="759" w:type="dxa"/>
          </w:tcPr>
          <w:p>
            <w:pPr>
              <w:spacing w:line="440" w:lineRule="exact"/>
              <w:jc w:val="center"/>
              <w:rPr>
                <w:rFonts w:ascii="Times New Roman" w:hAnsi="Times New Roman"/>
                <w:color w:val="auto"/>
                <w:szCs w:val="21"/>
              </w:rPr>
            </w:pPr>
          </w:p>
        </w:tc>
        <w:tc>
          <w:tcPr>
            <w:tcW w:w="1240" w:type="dxa"/>
          </w:tcPr>
          <w:p>
            <w:pPr>
              <w:spacing w:line="440" w:lineRule="exact"/>
              <w:jc w:val="center"/>
              <w:rPr>
                <w:rFonts w:ascii="Times New Roman" w:hAnsi="Times New Roman"/>
                <w:color w:val="auto"/>
                <w:szCs w:val="21"/>
              </w:rPr>
            </w:pPr>
          </w:p>
        </w:tc>
        <w:tc>
          <w:tcPr>
            <w:tcW w:w="1323" w:type="dxa"/>
          </w:tcPr>
          <w:p>
            <w:pPr>
              <w:spacing w:line="440" w:lineRule="exact"/>
              <w:jc w:val="center"/>
              <w:rPr>
                <w:rFonts w:ascii="Times New Roman" w:hAnsi="Times New Roman"/>
                <w:color w:val="auto"/>
                <w:szCs w:val="21"/>
              </w:rPr>
            </w:pPr>
          </w:p>
        </w:tc>
        <w:tc>
          <w:tcPr>
            <w:tcW w:w="1132" w:type="dxa"/>
          </w:tcPr>
          <w:p>
            <w:pPr>
              <w:spacing w:line="440" w:lineRule="exact"/>
              <w:jc w:val="center"/>
              <w:rPr>
                <w:rFonts w:ascii="Times New Roman" w:hAnsi="Times New Roman"/>
                <w:color w:val="auto"/>
                <w:szCs w:val="21"/>
              </w:rPr>
            </w:pPr>
          </w:p>
        </w:tc>
        <w:tc>
          <w:tcPr>
            <w:tcW w:w="1132" w:type="dxa"/>
          </w:tcPr>
          <w:p>
            <w:pPr>
              <w:spacing w:line="440" w:lineRule="exact"/>
              <w:jc w:val="center"/>
              <w:rPr>
                <w:rFonts w:ascii="Times New Roman" w:hAnsi="Times New Roman"/>
                <w:color w:val="auto"/>
                <w:szCs w:val="21"/>
              </w:rPr>
            </w:pPr>
          </w:p>
        </w:tc>
        <w:tc>
          <w:tcPr>
            <w:tcW w:w="1294" w:type="dxa"/>
          </w:tcPr>
          <w:p>
            <w:pPr>
              <w:spacing w:line="440" w:lineRule="exact"/>
              <w:jc w:val="center"/>
              <w:rPr>
                <w:rFonts w:ascii="Times New Roman" w:hAnsi="Times New Roman"/>
                <w:color w:val="auto"/>
                <w:szCs w:val="21"/>
              </w:rPr>
            </w:pPr>
          </w:p>
        </w:tc>
        <w:tc>
          <w:tcPr>
            <w:tcW w:w="1132" w:type="dxa"/>
          </w:tcPr>
          <w:p>
            <w:pPr>
              <w:spacing w:line="440" w:lineRule="exact"/>
              <w:jc w:val="center"/>
              <w:rPr>
                <w:rFonts w:ascii="Times New Roman" w:hAnsi="Times New Roman"/>
                <w:color w:val="auto"/>
                <w:szCs w:val="21"/>
              </w:rPr>
            </w:pPr>
          </w:p>
        </w:tc>
        <w:tc>
          <w:tcPr>
            <w:tcW w:w="807" w:type="dxa"/>
          </w:tcPr>
          <w:p>
            <w:pPr>
              <w:spacing w:line="440" w:lineRule="exact"/>
              <w:jc w:val="center"/>
              <w:rPr>
                <w:rFonts w:ascii="Times New Roman" w:hAnsi="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4" w:hRule="atLeast"/>
          <w:jc w:val="center"/>
        </w:trPr>
        <w:tc>
          <w:tcPr>
            <w:tcW w:w="759" w:type="dxa"/>
          </w:tcPr>
          <w:p>
            <w:pPr>
              <w:spacing w:line="440" w:lineRule="exact"/>
              <w:jc w:val="center"/>
              <w:rPr>
                <w:rFonts w:ascii="Times New Roman" w:hAnsi="Times New Roman"/>
                <w:color w:val="auto"/>
                <w:szCs w:val="21"/>
              </w:rPr>
            </w:pPr>
          </w:p>
        </w:tc>
        <w:tc>
          <w:tcPr>
            <w:tcW w:w="1240" w:type="dxa"/>
          </w:tcPr>
          <w:p>
            <w:pPr>
              <w:spacing w:line="440" w:lineRule="exact"/>
              <w:jc w:val="center"/>
              <w:rPr>
                <w:rFonts w:ascii="Times New Roman" w:hAnsi="Times New Roman"/>
                <w:color w:val="auto"/>
                <w:szCs w:val="21"/>
              </w:rPr>
            </w:pPr>
          </w:p>
        </w:tc>
        <w:tc>
          <w:tcPr>
            <w:tcW w:w="1323" w:type="dxa"/>
          </w:tcPr>
          <w:p>
            <w:pPr>
              <w:spacing w:line="440" w:lineRule="exact"/>
              <w:jc w:val="center"/>
              <w:rPr>
                <w:rFonts w:ascii="Times New Roman" w:hAnsi="Times New Roman"/>
                <w:color w:val="auto"/>
                <w:szCs w:val="21"/>
              </w:rPr>
            </w:pPr>
          </w:p>
        </w:tc>
        <w:tc>
          <w:tcPr>
            <w:tcW w:w="1132" w:type="dxa"/>
          </w:tcPr>
          <w:p>
            <w:pPr>
              <w:spacing w:line="440" w:lineRule="exact"/>
              <w:jc w:val="center"/>
              <w:rPr>
                <w:rFonts w:ascii="Times New Roman" w:hAnsi="Times New Roman"/>
                <w:color w:val="auto"/>
                <w:szCs w:val="21"/>
              </w:rPr>
            </w:pPr>
          </w:p>
        </w:tc>
        <w:tc>
          <w:tcPr>
            <w:tcW w:w="1132" w:type="dxa"/>
          </w:tcPr>
          <w:p>
            <w:pPr>
              <w:spacing w:line="440" w:lineRule="exact"/>
              <w:jc w:val="center"/>
              <w:rPr>
                <w:rFonts w:ascii="Times New Roman" w:hAnsi="Times New Roman"/>
                <w:color w:val="auto"/>
                <w:szCs w:val="21"/>
              </w:rPr>
            </w:pPr>
          </w:p>
        </w:tc>
        <w:tc>
          <w:tcPr>
            <w:tcW w:w="1294" w:type="dxa"/>
          </w:tcPr>
          <w:p>
            <w:pPr>
              <w:spacing w:line="440" w:lineRule="exact"/>
              <w:jc w:val="center"/>
              <w:rPr>
                <w:rFonts w:ascii="Times New Roman" w:hAnsi="Times New Roman"/>
                <w:color w:val="auto"/>
                <w:szCs w:val="21"/>
              </w:rPr>
            </w:pPr>
          </w:p>
        </w:tc>
        <w:tc>
          <w:tcPr>
            <w:tcW w:w="1132" w:type="dxa"/>
          </w:tcPr>
          <w:p>
            <w:pPr>
              <w:spacing w:line="440" w:lineRule="exact"/>
              <w:jc w:val="center"/>
              <w:rPr>
                <w:rFonts w:ascii="Times New Roman" w:hAnsi="Times New Roman"/>
                <w:color w:val="auto"/>
                <w:szCs w:val="21"/>
              </w:rPr>
            </w:pPr>
          </w:p>
        </w:tc>
        <w:tc>
          <w:tcPr>
            <w:tcW w:w="807" w:type="dxa"/>
          </w:tcPr>
          <w:p>
            <w:pPr>
              <w:spacing w:line="440" w:lineRule="exact"/>
              <w:jc w:val="center"/>
              <w:rPr>
                <w:rFonts w:ascii="Times New Roman" w:hAnsi="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4" w:hRule="atLeast"/>
          <w:jc w:val="center"/>
        </w:trPr>
        <w:tc>
          <w:tcPr>
            <w:tcW w:w="759" w:type="dxa"/>
          </w:tcPr>
          <w:p>
            <w:pPr>
              <w:spacing w:line="440" w:lineRule="exact"/>
              <w:jc w:val="center"/>
              <w:rPr>
                <w:rFonts w:ascii="Times New Roman" w:hAnsi="Times New Roman"/>
                <w:color w:val="auto"/>
                <w:szCs w:val="21"/>
              </w:rPr>
            </w:pPr>
          </w:p>
        </w:tc>
        <w:tc>
          <w:tcPr>
            <w:tcW w:w="1240" w:type="dxa"/>
          </w:tcPr>
          <w:p>
            <w:pPr>
              <w:spacing w:line="440" w:lineRule="exact"/>
              <w:jc w:val="center"/>
              <w:rPr>
                <w:rFonts w:ascii="Times New Roman" w:hAnsi="Times New Roman"/>
                <w:color w:val="auto"/>
                <w:szCs w:val="21"/>
              </w:rPr>
            </w:pPr>
          </w:p>
        </w:tc>
        <w:tc>
          <w:tcPr>
            <w:tcW w:w="1323" w:type="dxa"/>
          </w:tcPr>
          <w:p>
            <w:pPr>
              <w:spacing w:line="440" w:lineRule="exact"/>
              <w:jc w:val="center"/>
              <w:rPr>
                <w:rFonts w:ascii="Times New Roman" w:hAnsi="Times New Roman"/>
                <w:color w:val="auto"/>
                <w:szCs w:val="21"/>
              </w:rPr>
            </w:pPr>
          </w:p>
        </w:tc>
        <w:tc>
          <w:tcPr>
            <w:tcW w:w="1132" w:type="dxa"/>
          </w:tcPr>
          <w:p>
            <w:pPr>
              <w:spacing w:line="440" w:lineRule="exact"/>
              <w:jc w:val="center"/>
              <w:rPr>
                <w:rFonts w:ascii="Times New Roman" w:hAnsi="Times New Roman"/>
                <w:color w:val="auto"/>
                <w:szCs w:val="21"/>
              </w:rPr>
            </w:pPr>
          </w:p>
        </w:tc>
        <w:tc>
          <w:tcPr>
            <w:tcW w:w="1132" w:type="dxa"/>
          </w:tcPr>
          <w:p>
            <w:pPr>
              <w:spacing w:line="440" w:lineRule="exact"/>
              <w:jc w:val="center"/>
              <w:rPr>
                <w:rFonts w:ascii="Times New Roman" w:hAnsi="Times New Roman"/>
                <w:color w:val="auto"/>
                <w:szCs w:val="21"/>
              </w:rPr>
            </w:pPr>
          </w:p>
        </w:tc>
        <w:tc>
          <w:tcPr>
            <w:tcW w:w="1294" w:type="dxa"/>
          </w:tcPr>
          <w:p>
            <w:pPr>
              <w:spacing w:line="440" w:lineRule="exact"/>
              <w:jc w:val="center"/>
              <w:rPr>
                <w:rFonts w:ascii="Times New Roman" w:hAnsi="Times New Roman"/>
                <w:color w:val="auto"/>
                <w:szCs w:val="21"/>
              </w:rPr>
            </w:pPr>
          </w:p>
        </w:tc>
        <w:tc>
          <w:tcPr>
            <w:tcW w:w="1132" w:type="dxa"/>
          </w:tcPr>
          <w:p>
            <w:pPr>
              <w:spacing w:line="440" w:lineRule="exact"/>
              <w:jc w:val="center"/>
              <w:rPr>
                <w:rFonts w:ascii="Times New Roman" w:hAnsi="Times New Roman"/>
                <w:color w:val="auto"/>
                <w:szCs w:val="21"/>
              </w:rPr>
            </w:pPr>
          </w:p>
        </w:tc>
        <w:tc>
          <w:tcPr>
            <w:tcW w:w="807" w:type="dxa"/>
          </w:tcPr>
          <w:p>
            <w:pPr>
              <w:spacing w:line="440" w:lineRule="exact"/>
              <w:jc w:val="center"/>
              <w:rPr>
                <w:rFonts w:ascii="Times New Roman" w:hAnsi="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4" w:hRule="atLeast"/>
          <w:jc w:val="center"/>
        </w:trPr>
        <w:tc>
          <w:tcPr>
            <w:tcW w:w="759" w:type="dxa"/>
          </w:tcPr>
          <w:p>
            <w:pPr>
              <w:spacing w:line="440" w:lineRule="exact"/>
              <w:jc w:val="center"/>
              <w:rPr>
                <w:rFonts w:ascii="Times New Roman" w:hAnsi="Times New Roman"/>
                <w:color w:val="auto"/>
                <w:szCs w:val="21"/>
              </w:rPr>
            </w:pPr>
          </w:p>
        </w:tc>
        <w:tc>
          <w:tcPr>
            <w:tcW w:w="1240" w:type="dxa"/>
          </w:tcPr>
          <w:p>
            <w:pPr>
              <w:spacing w:line="440" w:lineRule="exact"/>
              <w:jc w:val="center"/>
              <w:rPr>
                <w:rFonts w:ascii="Times New Roman" w:hAnsi="Times New Roman"/>
                <w:color w:val="auto"/>
                <w:szCs w:val="21"/>
              </w:rPr>
            </w:pPr>
          </w:p>
        </w:tc>
        <w:tc>
          <w:tcPr>
            <w:tcW w:w="1323" w:type="dxa"/>
          </w:tcPr>
          <w:p>
            <w:pPr>
              <w:spacing w:line="440" w:lineRule="exact"/>
              <w:jc w:val="center"/>
              <w:rPr>
                <w:rFonts w:ascii="Times New Roman" w:hAnsi="Times New Roman"/>
                <w:color w:val="auto"/>
                <w:szCs w:val="21"/>
              </w:rPr>
            </w:pPr>
          </w:p>
        </w:tc>
        <w:tc>
          <w:tcPr>
            <w:tcW w:w="1132" w:type="dxa"/>
          </w:tcPr>
          <w:p>
            <w:pPr>
              <w:spacing w:line="440" w:lineRule="exact"/>
              <w:jc w:val="center"/>
              <w:rPr>
                <w:rFonts w:ascii="Times New Roman" w:hAnsi="Times New Roman"/>
                <w:color w:val="auto"/>
                <w:szCs w:val="21"/>
              </w:rPr>
            </w:pPr>
          </w:p>
        </w:tc>
        <w:tc>
          <w:tcPr>
            <w:tcW w:w="1132" w:type="dxa"/>
          </w:tcPr>
          <w:p>
            <w:pPr>
              <w:spacing w:line="440" w:lineRule="exact"/>
              <w:jc w:val="center"/>
              <w:rPr>
                <w:rFonts w:ascii="Times New Roman" w:hAnsi="Times New Roman"/>
                <w:color w:val="auto"/>
                <w:szCs w:val="21"/>
              </w:rPr>
            </w:pPr>
          </w:p>
        </w:tc>
        <w:tc>
          <w:tcPr>
            <w:tcW w:w="1294" w:type="dxa"/>
          </w:tcPr>
          <w:p>
            <w:pPr>
              <w:spacing w:line="440" w:lineRule="exact"/>
              <w:jc w:val="center"/>
              <w:rPr>
                <w:rFonts w:ascii="Times New Roman" w:hAnsi="Times New Roman"/>
                <w:color w:val="auto"/>
                <w:szCs w:val="21"/>
              </w:rPr>
            </w:pPr>
          </w:p>
        </w:tc>
        <w:tc>
          <w:tcPr>
            <w:tcW w:w="1132" w:type="dxa"/>
          </w:tcPr>
          <w:p>
            <w:pPr>
              <w:spacing w:line="440" w:lineRule="exact"/>
              <w:jc w:val="center"/>
              <w:rPr>
                <w:rFonts w:ascii="Times New Roman" w:hAnsi="Times New Roman"/>
                <w:color w:val="auto"/>
                <w:szCs w:val="21"/>
              </w:rPr>
            </w:pPr>
          </w:p>
        </w:tc>
        <w:tc>
          <w:tcPr>
            <w:tcW w:w="807" w:type="dxa"/>
          </w:tcPr>
          <w:p>
            <w:pPr>
              <w:spacing w:line="440" w:lineRule="exact"/>
              <w:jc w:val="center"/>
              <w:rPr>
                <w:rFonts w:ascii="Times New Roman" w:hAnsi="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4" w:hRule="atLeast"/>
          <w:jc w:val="center"/>
        </w:trPr>
        <w:tc>
          <w:tcPr>
            <w:tcW w:w="759" w:type="dxa"/>
          </w:tcPr>
          <w:p>
            <w:pPr>
              <w:spacing w:line="440" w:lineRule="exact"/>
              <w:jc w:val="center"/>
              <w:rPr>
                <w:rFonts w:ascii="Times New Roman" w:hAnsi="Times New Roman"/>
                <w:color w:val="auto"/>
                <w:szCs w:val="21"/>
              </w:rPr>
            </w:pPr>
          </w:p>
        </w:tc>
        <w:tc>
          <w:tcPr>
            <w:tcW w:w="1240" w:type="dxa"/>
          </w:tcPr>
          <w:p>
            <w:pPr>
              <w:spacing w:line="440" w:lineRule="exact"/>
              <w:jc w:val="center"/>
              <w:rPr>
                <w:rFonts w:ascii="Times New Roman" w:hAnsi="Times New Roman"/>
                <w:color w:val="auto"/>
                <w:szCs w:val="21"/>
              </w:rPr>
            </w:pPr>
          </w:p>
        </w:tc>
        <w:tc>
          <w:tcPr>
            <w:tcW w:w="1323" w:type="dxa"/>
          </w:tcPr>
          <w:p>
            <w:pPr>
              <w:spacing w:line="440" w:lineRule="exact"/>
              <w:jc w:val="center"/>
              <w:rPr>
                <w:rFonts w:ascii="Times New Roman" w:hAnsi="Times New Roman"/>
                <w:color w:val="auto"/>
                <w:szCs w:val="21"/>
              </w:rPr>
            </w:pPr>
          </w:p>
        </w:tc>
        <w:tc>
          <w:tcPr>
            <w:tcW w:w="1132" w:type="dxa"/>
          </w:tcPr>
          <w:p>
            <w:pPr>
              <w:spacing w:line="440" w:lineRule="exact"/>
              <w:jc w:val="center"/>
              <w:rPr>
                <w:rFonts w:ascii="Times New Roman" w:hAnsi="Times New Roman"/>
                <w:color w:val="auto"/>
                <w:szCs w:val="21"/>
              </w:rPr>
            </w:pPr>
          </w:p>
        </w:tc>
        <w:tc>
          <w:tcPr>
            <w:tcW w:w="1132" w:type="dxa"/>
          </w:tcPr>
          <w:p>
            <w:pPr>
              <w:spacing w:line="440" w:lineRule="exact"/>
              <w:jc w:val="center"/>
              <w:rPr>
                <w:rFonts w:ascii="Times New Roman" w:hAnsi="Times New Roman"/>
                <w:color w:val="auto"/>
                <w:szCs w:val="21"/>
              </w:rPr>
            </w:pPr>
          </w:p>
        </w:tc>
        <w:tc>
          <w:tcPr>
            <w:tcW w:w="1294" w:type="dxa"/>
          </w:tcPr>
          <w:p>
            <w:pPr>
              <w:spacing w:line="440" w:lineRule="exact"/>
              <w:jc w:val="center"/>
              <w:rPr>
                <w:rFonts w:ascii="Times New Roman" w:hAnsi="Times New Roman"/>
                <w:color w:val="auto"/>
                <w:szCs w:val="21"/>
              </w:rPr>
            </w:pPr>
          </w:p>
        </w:tc>
        <w:tc>
          <w:tcPr>
            <w:tcW w:w="1132" w:type="dxa"/>
          </w:tcPr>
          <w:p>
            <w:pPr>
              <w:spacing w:line="440" w:lineRule="exact"/>
              <w:jc w:val="center"/>
              <w:rPr>
                <w:rFonts w:ascii="Times New Roman" w:hAnsi="Times New Roman"/>
                <w:color w:val="auto"/>
                <w:szCs w:val="21"/>
              </w:rPr>
            </w:pPr>
          </w:p>
        </w:tc>
        <w:tc>
          <w:tcPr>
            <w:tcW w:w="807" w:type="dxa"/>
          </w:tcPr>
          <w:p>
            <w:pPr>
              <w:spacing w:line="440" w:lineRule="exact"/>
              <w:jc w:val="center"/>
              <w:rPr>
                <w:rFonts w:ascii="Times New Roman" w:hAnsi="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4" w:hRule="atLeast"/>
          <w:jc w:val="center"/>
        </w:trPr>
        <w:tc>
          <w:tcPr>
            <w:tcW w:w="759" w:type="dxa"/>
          </w:tcPr>
          <w:p>
            <w:pPr>
              <w:spacing w:line="440" w:lineRule="exact"/>
              <w:jc w:val="center"/>
              <w:rPr>
                <w:rFonts w:ascii="Times New Roman" w:hAnsi="Times New Roman"/>
                <w:color w:val="auto"/>
                <w:szCs w:val="21"/>
              </w:rPr>
            </w:pPr>
          </w:p>
        </w:tc>
        <w:tc>
          <w:tcPr>
            <w:tcW w:w="1240" w:type="dxa"/>
          </w:tcPr>
          <w:p>
            <w:pPr>
              <w:spacing w:line="440" w:lineRule="exact"/>
              <w:jc w:val="center"/>
              <w:rPr>
                <w:rFonts w:ascii="Times New Roman" w:hAnsi="Times New Roman"/>
                <w:color w:val="auto"/>
                <w:szCs w:val="21"/>
              </w:rPr>
            </w:pPr>
          </w:p>
        </w:tc>
        <w:tc>
          <w:tcPr>
            <w:tcW w:w="1323" w:type="dxa"/>
          </w:tcPr>
          <w:p>
            <w:pPr>
              <w:spacing w:line="440" w:lineRule="exact"/>
              <w:jc w:val="center"/>
              <w:rPr>
                <w:rFonts w:ascii="Times New Roman" w:hAnsi="Times New Roman"/>
                <w:color w:val="auto"/>
                <w:szCs w:val="21"/>
              </w:rPr>
            </w:pPr>
          </w:p>
        </w:tc>
        <w:tc>
          <w:tcPr>
            <w:tcW w:w="1132" w:type="dxa"/>
          </w:tcPr>
          <w:p>
            <w:pPr>
              <w:spacing w:line="440" w:lineRule="exact"/>
              <w:jc w:val="center"/>
              <w:rPr>
                <w:rFonts w:ascii="Times New Roman" w:hAnsi="Times New Roman"/>
                <w:color w:val="auto"/>
                <w:szCs w:val="21"/>
              </w:rPr>
            </w:pPr>
          </w:p>
        </w:tc>
        <w:tc>
          <w:tcPr>
            <w:tcW w:w="1132" w:type="dxa"/>
          </w:tcPr>
          <w:p>
            <w:pPr>
              <w:spacing w:line="440" w:lineRule="exact"/>
              <w:jc w:val="center"/>
              <w:rPr>
                <w:rFonts w:ascii="Times New Roman" w:hAnsi="Times New Roman"/>
                <w:color w:val="auto"/>
                <w:szCs w:val="21"/>
              </w:rPr>
            </w:pPr>
          </w:p>
        </w:tc>
        <w:tc>
          <w:tcPr>
            <w:tcW w:w="1294" w:type="dxa"/>
          </w:tcPr>
          <w:p>
            <w:pPr>
              <w:spacing w:line="440" w:lineRule="exact"/>
              <w:jc w:val="center"/>
              <w:rPr>
                <w:rFonts w:ascii="Times New Roman" w:hAnsi="Times New Roman"/>
                <w:color w:val="auto"/>
                <w:szCs w:val="21"/>
              </w:rPr>
            </w:pPr>
          </w:p>
        </w:tc>
        <w:tc>
          <w:tcPr>
            <w:tcW w:w="1132" w:type="dxa"/>
          </w:tcPr>
          <w:p>
            <w:pPr>
              <w:spacing w:line="440" w:lineRule="exact"/>
              <w:jc w:val="center"/>
              <w:rPr>
                <w:rFonts w:ascii="Times New Roman" w:hAnsi="Times New Roman"/>
                <w:color w:val="auto"/>
                <w:szCs w:val="21"/>
              </w:rPr>
            </w:pPr>
          </w:p>
        </w:tc>
        <w:tc>
          <w:tcPr>
            <w:tcW w:w="807" w:type="dxa"/>
          </w:tcPr>
          <w:p>
            <w:pPr>
              <w:spacing w:line="440" w:lineRule="exact"/>
              <w:jc w:val="center"/>
              <w:rPr>
                <w:rFonts w:ascii="Times New Roman" w:hAnsi="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4" w:hRule="atLeast"/>
          <w:jc w:val="center"/>
        </w:trPr>
        <w:tc>
          <w:tcPr>
            <w:tcW w:w="759" w:type="dxa"/>
          </w:tcPr>
          <w:p>
            <w:pPr>
              <w:spacing w:line="440" w:lineRule="exact"/>
              <w:jc w:val="center"/>
              <w:rPr>
                <w:rFonts w:ascii="Times New Roman" w:hAnsi="Times New Roman"/>
                <w:color w:val="auto"/>
                <w:szCs w:val="21"/>
              </w:rPr>
            </w:pPr>
          </w:p>
        </w:tc>
        <w:tc>
          <w:tcPr>
            <w:tcW w:w="1240" w:type="dxa"/>
          </w:tcPr>
          <w:p>
            <w:pPr>
              <w:spacing w:line="440" w:lineRule="exact"/>
              <w:jc w:val="center"/>
              <w:rPr>
                <w:rFonts w:ascii="Times New Roman" w:hAnsi="Times New Roman"/>
                <w:color w:val="auto"/>
                <w:szCs w:val="21"/>
              </w:rPr>
            </w:pPr>
          </w:p>
        </w:tc>
        <w:tc>
          <w:tcPr>
            <w:tcW w:w="1323" w:type="dxa"/>
          </w:tcPr>
          <w:p>
            <w:pPr>
              <w:spacing w:line="440" w:lineRule="exact"/>
              <w:jc w:val="center"/>
              <w:rPr>
                <w:rFonts w:ascii="Times New Roman" w:hAnsi="Times New Roman"/>
                <w:color w:val="auto"/>
                <w:szCs w:val="21"/>
              </w:rPr>
            </w:pPr>
          </w:p>
        </w:tc>
        <w:tc>
          <w:tcPr>
            <w:tcW w:w="1132" w:type="dxa"/>
          </w:tcPr>
          <w:p>
            <w:pPr>
              <w:spacing w:line="440" w:lineRule="exact"/>
              <w:jc w:val="center"/>
              <w:rPr>
                <w:rFonts w:ascii="Times New Roman" w:hAnsi="Times New Roman"/>
                <w:color w:val="auto"/>
                <w:szCs w:val="21"/>
              </w:rPr>
            </w:pPr>
          </w:p>
        </w:tc>
        <w:tc>
          <w:tcPr>
            <w:tcW w:w="1132" w:type="dxa"/>
          </w:tcPr>
          <w:p>
            <w:pPr>
              <w:spacing w:line="440" w:lineRule="exact"/>
              <w:jc w:val="center"/>
              <w:rPr>
                <w:rFonts w:ascii="Times New Roman" w:hAnsi="Times New Roman"/>
                <w:color w:val="auto"/>
                <w:szCs w:val="21"/>
              </w:rPr>
            </w:pPr>
          </w:p>
        </w:tc>
        <w:tc>
          <w:tcPr>
            <w:tcW w:w="1294" w:type="dxa"/>
          </w:tcPr>
          <w:p>
            <w:pPr>
              <w:spacing w:line="440" w:lineRule="exact"/>
              <w:jc w:val="center"/>
              <w:rPr>
                <w:rFonts w:ascii="Times New Roman" w:hAnsi="Times New Roman"/>
                <w:color w:val="auto"/>
                <w:szCs w:val="21"/>
              </w:rPr>
            </w:pPr>
          </w:p>
        </w:tc>
        <w:tc>
          <w:tcPr>
            <w:tcW w:w="1132" w:type="dxa"/>
          </w:tcPr>
          <w:p>
            <w:pPr>
              <w:spacing w:line="440" w:lineRule="exact"/>
              <w:jc w:val="center"/>
              <w:rPr>
                <w:rFonts w:ascii="Times New Roman" w:hAnsi="Times New Roman"/>
                <w:color w:val="auto"/>
                <w:szCs w:val="21"/>
              </w:rPr>
            </w:pPr>
          </w:p>
        </w:tc>
        <w:tc>
          <w:tcPr>
            <w:tcW w:w="807" w:type="dxa"/>
          </w:tcPr>
          <w:p>
            <w:pPr>
              <w:spacing w:line="440" w:lineRule="exact"/>
              <w:jc w:val="center"/>
              <w:rPr>
                <w:rFonts w:ascii="Times New Roman" w:hAnsi="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jc w:val="center"/>
        </w:trPr>
        <w:tc>
          <w:tcPr>
            <w:tcW w:w="759" w:type="dxa"/>
          </w:tcPr>
          <w:p>
            <w:pPr>
              <w:spacing w:line="440" w:lineRule="exact"/>
              <w:jc w:val="center"/>
              <w:rPr>
                <w:rFonts w:ascii="Times New Roman" w:hAnsi="Times New Roman"/>
                <w:color w:val="auto"/>
                <w:szCs w:val="21"/>
              </w:rPr>
            </w:pPr>
          </w:p>
        </w:tc>
        <w:tc>
          <w:tcPr>
            <w:tcW w:w="1240" w:type="dxa"/>
          </w:tcPr>
          <w:p>
            <w:pPr>
              <w:spacing w:line="440" w:lineRule="exact"/>
              <w:jc w:val="center"/>
              <w:rPr>
                <w:rFonts w:ascii="Times New Roman" w:hAnsi="Times New Roman"/>
                <w:color w:val="auto"/>
                <w:szCs w:val="21"/>
              </w:rPr>
            </w:pPr>
          </w:p>
        </w:tc>
        <w:tc>
          <w:tcPr>
            <w:tcW w:w="1323" w:type="dxa"/>
          </w:tcPr>
          <w:p>
            <w:pPr>
              <w:spacing w:line="440" w:lineRule="exact"/>
              <w:jc w:val="center"/>
              <w:rPr>
                <w:rFonts w:ascii="Times New Roman" w:hAnsi="Times New Roman"/>
                <w:color w:val="auto"/>
                <w:szCs w:val="21"/>
              </w:rPr>
            </w:pPr>
          </w:p>
        </w:tc>
        <w:tc>
          <w:tcPr>
            <w:tcW w:w="1132" w:type="dxa"/>
          </w:tcPr>
          <w:p>
            <w:pPr>
              <w:spacing w:line="440" w:lineRule="exact"/>
              <w:jc w:val="center"/>
              <w:rPr>
                <w:rFonts w:ascii="Times New Roman" w:hAnsi="Times New Roman"/>
                <w:color w:val="auto"/>
                <w:szCs w:val="21"/>
              </w:rPr>
            </w:pPr>
          </w:p>
        </w:tc>
        <w:tc>
          <w:tcPr>
            <w:tcW w:w="1132" w:type="dxa"/>
          </w:tcPr>
          <w:p>
            <w:pPr>
              <w:spacing w:line="440" w:lineRule="exact"/>
              <w:jc w:val="center"/>
              <w:rPr>
                <w:rFonts w:ascii="Times New Roman" w:hAnsi="Times New Roman"/>
                <w:color w:val="auto"/>
                <w:szCs w:val="21"/>
              </w:rPr>
            </w:pPr>
          </w:p>
        </w:tc>
        <w:tc>
          <w:tcPr>
            <w:tcW w:w="1294" w:type="dxa"/>
          </w:tcPr>
          <w:p>
            <w:pPr>
              <w:spacing w:line="440" w:lineRule="exact"/>
              <w:jc w:val="center"/>
              <w:rPr>
                <w:rFonts w:ascii="Times New Roman" w:hAnsi="Times New Roman"/>
                <w:color w:val="auto"/>
                <w:szCs w:val="21"/>
              </w:rPr>
            </w:pPr>
          </w:p>
        </w:tc>
        <w:tc>
          <w:tcPr>
            <w:tcW w:w="1132" w:type="dxa"/>
          </w:tcPr>
          <w:p>
            <w:pPr>
              <w:spacing w:line="440" w:lineRule="exact"/>
              <w:jc w:val="center"/>
              <w:rPr>
                <w:rFonts w:ascii="Times New Roman" w:hAnsi="Times New Roman"/>
                <w:color w:val="auto"/>
                <w:szCs w:val="21"/>
              </w:rPr>
            </w:pPr>
          </w:p>
        </w:tc>
        <w:tc>
          <w:tcPr>
            <w:tcW w:w="807" w:type="dxa"/>
          </w:tcPr>
          <w:p>
            <w:pPr>
              <w:spacing w:line="440" w:lineRule="exact"/>
              <w:jc w:val="center"/>
              <w:rPr>
                <w:rFonts w:ascii="Times New Roman" w:hAnsi="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4" w:hRule="atLeast"/>
          <w:jc w:val="center"/>
        </w:trPr>
        <w:tc>
          <w:tcPr>
            <w:tcW w:w="759" w:type="dxa"/>
          </w:tcPr>
          <w:p>
            <w:pPr>
              <w:spacing w:line="440" w:lineRule="exact"/>
              <w:jc w:val="center"/>
              <w:rPr>
                <w:rFonts w:ascii="Times New Roman" w:hAnsi="Times New Roman"/>
                <w:color w:val="auto"/>
                <w:szCs w:val="21"/>
              </w:rPr>
            </w:pPr>
          </w:p>
        </w:tc>
        <w:tc>
          <w:tcPr>
            <w:tcW w:w="1240" w:type="dxa"/>
          </w:tcPr>
          <w:p>
            <w:pPr>
              <w:spacing w:line="440" w:lineRule="exact"/>
              <w:jc w:val="center"/>
              <w:rPr>
                <w:rFonts w:ascii="Times New Roman" w:hAnsi="Times New Roman"/>
                <w:color w:val="auto"/>
                <w:szCs w:val="21"/>
              </w:rPr>
            </w:pPr>
          </w:p>
        </w:tc>
        <w:tc>
          <w:tcPr>
            <w:tcW w:w="1323" w:type="dxa"/>
          </w:tcPr>
          <w:p>
            <w:pPr>
              <w:spacing w:line="440" w:lineRule="exact"/>
              <w:jc w:val="center"/>
              <w:rPr>
                <w:rFonts w:ascii="Times New Roman" w:hAnsi="Times New Roman"/>
                <w:color w:val="auto"/>
                <w:szCs w:val="21"/>
              </w:rPr>
            </w:pPr>
          </w:p>
        </w:tc>
        <w:tc>
          <w:tcPr>
            <w:tcW w:w="1132" w:type="dxa"/>
          </w:tcPr>
          <w:p>
            <w:pPr>
              <w:spacing w:line="440" w:lineRule="exact"/>
              <w:jc w:val="center"/>
              <w:rPr>
                <w:rFonts w:ascii="Times New Roman" w:hAnsi="Times New Roman"/>
                <w:color w:val="auto"/>
                <w:szCs w:val="21"/>
              </w:rPr>
            </w:pPr>
          </w:p>
        </w:tc>
        <w:tc>
          <w:tcPr>
            <w:tcW w:w="1132" w:type="dxa"/>
          </w:tcPr>
          <w:p>
            <w:pPr>
              <w:spacing w:line="440" w:lineRule="exact"/>
              <w:jc w:val="center"/>
              <w:rPr>
                <w:rFonts w:ascii="Times New Roman" w:hAnsi="Times New Roman"/>
                <w:color w:val="auto"/>
                <w:szCs w:val="21"/>
              </w:rPr>
            </w:pPr>
          </w:p>
        </w:tc>
        <w:tc>
          <w:tcPr>
            <w:tcW w:w="1294" w:type="dxa"/>
          </w:tcPr>
          <w:p>
            <w:pPr>
              <w:spacing w:line="440" w:lineRule="exact"/>
              <w:jc w:val="center"/>
              <w:rPr>
                <w:rFonts w:ascii="Times New Roman" w:hAnsi="Times New Roman"/>
                <w:color w:val="auto"/>
                <w:szCs w:val="21"/>
              </w:rPr>
            </w:pPr>
          </w:p>
        </w:tc>
        <w:tc>
          <w:tcPr>
            <w:tcW w:w="1132" w:type="dxa"/>
          </w:tcPr>
          <w:p>
            <w:pPr>
              <w:spacing w:line="440" w:lineRule="exact"/>
              <w:jc w:val="center"/>
              <w:rPr>
                <w:rFonts w:ascii="Times New Roman" w:hAnsi="Times New Roman"/>
                <w:color w:val="auto"/>
                <w:szCs w:val="21"/>
              </w:rPr>
            </w:pPr>
          </w:p>
        </w:tc>
        <w:tc>
          <w:tcPr>
            <w:tcW w:w="807" w:type="dxa"/>
          </w:tcPr>
          <w:p>
            <w:pPr>
              <w:spacing w:line="440" w:lineRule="exact"/>
              <w:jc w:val="center"/>
              <w:rPr>
                <w:rFonts w:ascii="Times New Roman" w:hAnsi="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4" w:hRule="atLeast"/>
          <w:jc w:val="center"/>
        </w:trPr>
        <w:tc>
          <w:tcPr>
            <w:tcW w:w="759" w:type="dxa"/>
          </w:tcPr>
          <w:p>
            <w:pPr>
              <w:spacing w:line="440" w:lineRule="exact"/>
              <w:jc w:val="center"/>
              <w:rPr>
                <w:rFonts w:ascii="Times New Roman" w:hAnsi="Times New Roman"/>
                <w:color w:val="auto"/>
                <w:szCs w:val="21"/>
              </w:rPr>
            </w:pPr>
          </w:p>
        </w:tc>
        <w:tc>
          <w:tcPr>
            <w:tcW w:w="1240" w:type="dxa"/>
          </w:tcPr>
          <w:p>
            <w:pPr>
              <w:spacing w:line="440" w:lineRule="exact"/>
              <w:jc w:val="center"/>
              <w:rPr>
                <w:rFonts w:ascii="Times New Roman" w:hAnsi="Times New Roman"/>
                <w:color w:val="auto"/>
                <w:szCs w:val="21"/>
              </w:rPr>
            </w:pPr>
          </w:p>
        </w:tc>
        <w:tc>
          <w:tcPr>
            <w:tcW w:w="1323" w:type="dxa"/>
          </w:tcPr>
          <w:p>
            <w:pPr>
              <w:spacing w:line="440" w:lineRule="exact"/>
              <w:jc w:val="center"/>
              <w:rPr>
                <w:rFonts w:ascii="Times New Roman" w:hAnsi="Times New Roman"/>
                <w:color w:val="auto"/>
                <w:szCs w:val="21"/>
              </w:rPr>
            </w:pPr>
          </w:p>
        </w:tc>
        <w:tc>
          <w:tcPr>
            <w:tcW w:w="1132" w:type="dxa"/>
          </w:tcPr>
          <w:p>
            <w:pPr>
              <w:spacing w:line="440" w:lineRule="exact"/>
              <w:jc w:val="center"/>
              <w:rPr>
                <w:rFonts w:ascii="Times New Roman" w:hAnsi="Times New Roman"/>
                <w:color w:val="auto"/>
                <w:szCs w:val="21"/>
              </w:rPr>
            </w:pPr>
          </w:p>
        </w:tc>
        <w:tc>
          <w:tcPr>
            <w:tcW w:w="1132" w:type="dxa"/>
          </w:tcPr>
          <w:p>
            <w:pPr>
              <w:spacing w:line="440" w:lineRule="exact"/>
              <w:jc w:val="center"/>
              <w:rPr>
                <w:rFonts w:ascii="Times New Roman" w:hAnsi="Times New Roman"/>
                <w:color w:val="auto"/>
                <w:szCs w:val="21"/>
              </w:rPr>
            </w:pPr>
          </w:p>
        </w:tc>
        <w:tc>
          <w:tcPr>
            <w:tcW w:w="1294" w:type="dxa"/>
          </w:tcPr>
          <w:p>
            <w:pPr>
              <w:spacing w:line="440" w:lineRule="exact"/>
              <w:jc w:val="center"/>
              <w:rPr>
                <w:rFonts w:ascii="Times New Roman" w:hAnsi="Times New Roman"/>
                <w:color w:val="auto"/>
                <w:szCs w:val="21"/>
              </w:rPr>
            </w:pPr>
          </w:p>
        </w:tc>
        <w:tc>
          <w:tcPr>
            <w:tcW w:w="1132" w:type="dxa"/>
          </w:tcPr>
          <w:p>
            <w:pPr>
              <w:spacing w:line="440" w:lineRule="exact"/>
              <w:jc w:val="center"/>
              <w:rPr>
                <w:rFonts w:ascii="Times New Roman" w:hAnsi="Times New Roman"/>
                <w:color w:val="auto"/>
                <w:szCs w:val="21"/>
              </w:rPr>
            </w:pPr>
          </w:p>
        </w:tc>
        <w:tc>
          <w:tcPr>
            <w:tcW w:w="807" w:type="dxa"/>
          </w:tcPr>
          <w:p>
            <w:pPr>
              <w:spacing w:line="440" w:lineRule="exact"/>
              <w:jc w:val="center"/>
              <w:rPr>
                <w:rFonts w:ascii="Times New Roman" w:hAnsi="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4" w:hRule="atLeast"/>
          <w:jc w:val="center"/>
        </w:trPr>
        <w:tc>
          <w:tcPr>
            <w:tcW w:w="759" w:type="dxa"/>
          </w:tcPr>
          <w:p>
            <w:pPr>
              <w:spacing w:line="440" w:lineRule="exact"/>
              <w:jc w:val="center"/>
              <w:rPr>
                <w:rFonts w:ascii="Times New Roman" w:hAnsi="Times New Roman"/>
                <w:color w:val="auto"/>
                <w:szCs w:val="21"/>
              </w:rPr>
            </w:pPr>
          </w:p>
        </w:tc>
        <w:tc>
          <w:tcPr>
            <w:tcW w:w="1240" w:type="dxa"/>
          </w:tcPr>
          <w:p>
            <w:pPr>
              <w:spacing w:line="440" w:lineRule="exact"/>
              <w:jc w:val="center"/>
              <w:rPr>
                <w:rFonts w:ascii="Times New Roman" w:hAnsi="Times New Roman"/>
                <w:color w:val="auto"/>
                <w:szCs w:val="21"/>
              </w:rPr>
            </w:pPr>
          </w:p>
        </w:tc>
        <w:tc>
          <w:tcPr>
            <w:tcW w:w="1323" w:type="dxa"/>
          </w:tcPr>
          <w:p>
            <w:pPr>
              <w:spacing w:line="440" w:lineRule="exact"/>
              <w:jc w:val="center"/>
              <w:rPr>
                <w:rFonts w:ascii="Times New Roman" w:hAnsi="Times New Roman"/>
                <w:color w:val="auto"/>
                <w:szCs w:val="21"/>
              </w:rPr>
            </w:pPr>
          </w:p>
        </w:tc>
        <w:tc>
          <w:tcPr>
            <w:tcW w:w="1132" w:type="dxa"/>
          </w:tcPr>
          <w:p>
            <w:pPr>
              <w:spacing w:line="440" w:lineRule="exact"/>
              <w:jc w:val="center"/>
              <w:rPr>
                <w:rFonts w:ascii="Times New Roman" w:hAnsi="Times New Roman"/>
                <w:color w:val="auto"/>
                <w:szCs w:val="21"/>
              </w:rPr>
            </w:pPr>
          </w:p>
        </w:tc>
        <w:tc>
          <w:tcPr>
            <w:tcW w:w="1132" w:type="dxa"/>
          </w:tcPr>
          <w:p>
            <w:pPr>
              <w:spacing w:line="440" w:lineRule="exact"/>
              <w:jc w:val="center"/>
              <w:rPr>
                <w:rFonts w:ascii="Times New Roman" w:hAnsi="Times New Roman"/>
                <w:color w:val="auto"/>
                <w:szCs w:val="21"/>
              </w:rPr>
            </w:pPr>
          </w:p>
        </w:tc>
        <w:tc>
          <w:tcPr>
            <w:tcW w:w="1294" w:type="dxa"/>
          </w:tcPr>
          <w:p>
            <w:pPr>
              <w:spacing w:line="440" w:lineRule="exact"/>
              <w:jc w:val="center"/>
              <w:rPr>
                <w:rFonts w:ascii="Times New Roman" w:hAnsi="Times New Roman"/>
                <w:color w:val="auto"/>
                <w:szCs w:val="21"/>
              </w:rPr>
            </w:pPr>
          </w:p>
        </w:tc>
        <w:tc>
          <w:tcPr>
            <w:tcW w:w="1132" w:type="dxa"/>
          </w:tcPr>
          <w:p>
            <w:pPr>
              <w:spacing w:line="440" w:lineRule="exact"/>
              <w:jc w:val="center"/>
              <w:rPr>
                <w:rFonts w:ascii="Times New Roman" w:hAnsi="Times New Roman"/>
                <w:color w:val="auto"/>
                <w:szCs w:val="21"/>
              </w:rPr>
            </w:pPr>
          </w:p>
        </w:tc>
        <w:tc>
          <w:tcPr>
            <w:tcW w:w="807" w:type="dxa"/>
          </w:tcPr>
          <w:p>
            <w:pPr>
              <w:spacing w:line="440" w:lineRule="exact"/>
              <w:jc w:val="center"/>
              <w:rPr>
                <w:rFonts w:ascii="Times New Roman" w:hAnsi="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4" w:hRule="atLeast"/>
          <w:jc w:val="center"/>
        </w:trPr>
        <w:tc>
          <w:tcPr>
            <w:tcW w:w="759" w:type="dxa"/>
          </w:tcPr>
          <w:p>
            <w:pPr>
              <w:spacing w:line="440" w:lineRule="exact"/>
              <w:jc w:val="center"/>
              <w:rPr>
                <w:rFonts w:ascii="Times New Roman" w:hAnsi="Times New Roman"/>
                <w:color w:val="auto"/>
                <w:szCs w:val="21"/>
              </w:rPr>
            </w:pPr>
          </w:p>
        </w:tc>
        <w:tc>
          <w:tcPr>
            <w:tcW w:w="1240" w:type="dxa"/>
          </w:tcPr>
          <w:p>
            <w:pPr>
              <w:spacing w:line="440" w:lineRule="exact"/>
              <w:jc w:val="center"/>
              <w:rPr>
                <w:rFonts w:ascii="Times New Roman" w:hAnsi="Times New Roman"/>
                <w:color w:val="auto"/>
                <w:szCs w:val="21"/>
              </w:rPr>
            </w:pPr>
          </w:p>
        </w:tc>
        <w:tc>
          <w:tcPr>
            <w:tcW w:w="1323" w:type="dxa"/>
          </w:tcPr>
          <w:p>
            <w:pPr>
              <w:spacing w:line="440" w:lineRule="exact"/>
              <w:jc w:val="center"/>
              <w:rPr>
                <w:rFonts w:ascii="Times New Roman" w:hAnsi="Times New Roman"/>
                <w:color w:val="auto"/>
                <w:szCs w:val="21"/>
              </w:rPr>
            </w:pPr>
          </w:p>
        </w:tc>
        <w:tc>
          <w:tcPr>
            <w:tcW w:w="1132" w:type="dxa"/>
          </w:tcPr>
          <w:p>
            <w:pPr>
              <w:spacing w:line="440" w:lineRule="exact"/>
              <w:jc w:val="center"/>
              <w:rPr>
                <w:rFonts w:ascii="Times New Roman" w:hAnsi="Times New Roman"/>
                <w:color w:val="auto"/>
                <w:szCs w:val="21"/>
              </w:rPr>
            </w:pPr>
          </w:p>
        </w:tc>
        <w:tc>
          <w:tcPr>
            <w:tcW w:w="1132" w:type="dxa"/>
          </w:tcPr>
          <w:p>
            <w:pPr>
              <w:spacing w:line="440" w:lineRule="exact"/>
              <w:jc w:val="center"/>
              <w:rPr>
                <w:rFonts w:ascii="Times New Roman" w:hAnsi="Times New Roman"/>
                <w:color w:val="auto"/>
                <w:szCs w:val="21"/>
              </w:rPr>
            </w:pPr>
          </w:p>
        </w:tc>
        <w:tc>
          <w:tcPr>
            <w:tcW w:w="1294" w:type="dxa"/>
          </w:tcPr>
          <w:p>
            <w:pPr>
              <w:spacing w:line="440" w:lineRule="exact"/>
              <w:jc w:val="center"/>
              <w:rPr>
                <w:rFonts w:ascii="Times New Roman" w:hAnsi="Times New Roman"/>
                <w:color w:val="auto"/>
                <w:szCs w:val="21"/>
              </w:rPr>
            </w:pPr>
          </w:p>
        </w:tc>
        <w:tc>
          <w:tcPr>
            <w:tcW w:w="1132" w:type="dxa"/>
          </w:tcPr>
          <w:p>
            <w:pPr>
              <w:spacing w:line="440" w:lineRule="exact"/>
              <w:jc w:val="center"/>
              <w:rPr>
                <w:rFonts w:ascii="Times New Roman" w:hAnsi="Times New Roman"/>
                <w:color w:val="auto"/>
                <w:szCs w:val="21"/>
              </w:rPr>
            </w:pPr>
          </w:p>
        </w:tc>
        <w:tc>
          <w:tcPr>
            <w:tcW w:w="807" w:type="dxa"/>
          </w:tcPr>
          <w:p>
            <w:pPr>
              <w:spacing w:line="440" w:lineRule="exact"/>
              <w:jc w:val="center"/>
              <w:rPr>
                <w:rFonts w:ascii="Times New Roman" w:hAnsi="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4" w:hRule="atLeast"/>
          <w:jc w:val="center"/>
        </w:trPr>
        <w:tc>
          <w:tcPr>
            <w:tcW w:w="759" w:type="dxa"/>
          </w:tcPr>
          <w:p>
            <w:pPr>
              <w:spacing w:line="440" w:lineRule="exact"/>
              <w:jc w:val="center"/>
              <w:rPr>
                <w:rFonts w:ascii="Times New Roman" w:hAnsi="Times New Roman"/>
                <w:color w:val="auto"/>
                <w:szCs w:val="21"/>
              </w:rPr>
            </w:pPr>
          </w:p>
        </w:tc>
        <w:tc>
          <w:tcPr>
            <w:tcW w:w="1240" w:type="dxa"/>
          </w:tcPr>
          <w:p>
            <w:pPr>
              <w:spacing w:line="440" w:lineRule="exact"/>
              <w:jc w:val="center"/>
              <w:rPr>
                <w:rFonts w:ascii="Times New Roman" w:hAnsi="Times New Roman"/>
                <w:color w:val="auto"/>
                <w:szCs w:val="21"/>
              </w:rPr>
            </w:pPr>
          </w:p>
        </w:tc>
        <w:tc>
          <w:tcPr>
            <w:tcW w:w="1323" w:type="dxa"/>
          </w:tcPr>
          <w:p>
            <w:pPr>
              <w:spacing w:line="440" w:lineRule="exact"/>
              <w:jc w:val="center"/>
              <w:rPr>
                <w:rFonts w:ascii="Times New Roman" w:hAnsi="Times New Roman"/>
                <w:color w:val="auto"/>
                <w:szCs w:val="21"/>
              </w:rPr>
            </w:pPr>
          </w:p>
        </w:tc>
        <w:tc>
          <w:tcPr>
            <w:tcW w:w="1132" w:type="dxa"/>
          </w:tcPr>
          <w:p>
            <w:pPr>
              <w:spacing w:line="440" w:lineRule="exact"/>
              <w:jc w:val="center"/>
              <w:rPr>
                <w:rFonts w:ascii="Times New Roman" w:hAnsi="Times New Roman"/>
                <w:color w:val="auto"/>
                <w:szCs w:val="21"/>
              </w:rPr>
            </w:pPr>
          </w:p>
        </w:tc>
        <w:tc>
          <w:tcPr>
            <w:tcW w:w="1132" w:type="dxa"/>
          </w:tcPr>
          <w:p>
            <w:pPr>
              <w:spacing w:line="440" w:lineRule="exact"/>
              <w:jc w:val="center"/>
              <w:rPr>
                <w:rFonts w:ascii="Times New Roman" w:hAnsi="Times New Roman"/>
                <w:color w:val="auto"/>
                <w:szCs w:val="21"/>
              </w:rPr>
            </w:pPr>
          </w:p>
        </w:tc>
        <w:tc>
          <w:tcPr>
            <w:tcW w:w="1294" w:type="dxa"/>
          </w:tcPr>
          <w:p>
            <w:pPr>
              <w:spacing w:line="440" w:lineRule="exact"/>
              <w:jc w:val="center"/>
              <w:rPr>
                <w:rFonts w:ascii="Times New Roman" w:hAnsi="Times New Roman"/>
                <w:color w:val="auto"/>
                <w:szCs w:val="21"/>
              </w:rPr>
            </w:pPr>
          </w:p>
        </w:tc>
        <w:tc>
          <w:tcPr>
            <w:tcW w:w="1132" w:type="dxa"/>
          </w:tcPr>
          <w:p>
            <w:pPr>
              <w:spacing w:line="440" w:lineRule="exact"/>
              <w:jc w:val="center"/>
              <w:rPr>
                <w:rFonts w:ascii="Times New Roman" w:hAnsi="Times New Roman"/>
                <w:color w:val="auto"/>
                <w:szCs w:val="21"/>
              </w:rPr>
            </w:pPr>
          </w:p>
        </w:tc>
        <w:tc>
          <w:tcPr>
            <w:tcW w:w="807" w:type="dxa"/>
          </w:tcPr>
          <w:p>
            <w:pPr>
              <w:spacing w:line="440" w:lineRule="exact"/>
              <w:jc w:val="center"/>
              <w:rPr>
                <w:rFonts w:ascii="Times New Roman" w:hAnsi="Times New Roman"/>
                <w:color w:val="auto"/>
                <w:szCs w:val="21"/>
              </w:rPr>
            </w:pPr>
          </w:p>
        </w:tc>
      </w:tr>
    </w:tbl>
    <w:p>
      <w:pPr>
        <w:rPr>
          <w:rFonts w:ascii="Times New Roman" w:hAnsi="Times New Roman"/>
          <w:color w:val="auto"/>
          <w:sz w:val="28"/>
          <w:szCs w:val="28"/>
        </w:rPr>
      </w:pPr>
    </w:p>
    <w:p>
      <w:pPr>
        <w:rPr>
          <w:rFonts w:ascii="Times New Roman" w:hAnsi="Times New Roman"/>
          <w:color w:val="auto"/>
          <w:sz w:val="28"/>
          <w:szCs w:val="28"/>
        </w:rPr>
      </w:pPr>
      <w:r>
        <w:rPr>
          <w:rFonts w:ascii="Times New Roman" w:hAnsi="Times New Roman"/>
          <w:color w:val="auto"/>
          <w:sz w:val="28"/>
          <w:szCs w:val="28"/>
        </w:rPr>
        <w:br w:type="page"/>
      </w:r>
    </w:p>
    <w:p>
      <w:pPr>
        <w:pStyle w:val="5"/>
        <w:spacing w:after="0"/>
        <w:jc w:val="center"/>
        <w:rPr>
          <w:rFonts w:ascii="Times New Roman" w:hAnsi="Times New Roman"/>
          <w:color w:val="auto"/>
        </w:rPr>
      </w:pPr>
      <w:bookmarkStart w:id="777" w:name="_Toc492300957"/>
      <w:r>
        <w:rPr>
          <w:rFonts w:hint="eastAsia" w:ascii="Times New Roman" w:hAnsi="Times New Roman"/>
          <w:color w:val="auto"/>
          <w:lang w:eastAsia="zh-CN"/>
        </w:rPr>
        <w:t>七</w:t>
      </w:r>
      <w:r>
        <w:rPr>
          <w:rFonts w:ascii="Times New Roman" w:hAnsi="Times New Roman"/>
          <w:color w:val="auto"/>
        </w:rPr>
        <w:t>、勘察纲要</w:t>
      </w:r>
      <w:bookmarkEnd w:id="777"/>
    </w:p>
    <w:p>
      <w:pPr>
        <w:spacing w:line="360" w:lineRule="auto"/>
        <w:ind w:firstLine="474" w:firstLineChars="226"/>
        <w:rPr>
          <w:rFonts w:ascii="Times New Roman" w:hAnsi="Times New Roman"/>
          <w:color w:val="auto"/>
          <w:szCs w:val="21"/>
        </w:rPr>
      </w:pPr>
      <w:r>
        <w:rPr>
          <w:rFonts w:hint="eastAsia" w:ascii="Times New Roman" w:hAnsi="Times New Roman"/>
          <w:color w:val="auto"/>
          <w:szCs w:val="21"/>
        </w:rPr>
        <w:t>勘察纲要应包括（但不限于）下列内容：</w:t>
      </w:r>
    </w:p>
    <w:p>
      <w:pPr>
        <w:spacing w:line="360" w:lineRule="auto"/>
        <w:ind w:firstLine="474" w:firstLineChars="226"/>
        <w:rPr>
          <w:rFonts w:ascii="Times New Roman" w:hAnsi="Times New Roman"/>
          <w:color w:val="auto"/>
          <w:szCs w:val="21"/>
        </w:rPr>
      </w:pPr>
      <w:r>
        <w:rPr>
          <w:rFonts w:hint="eastAsia" w:ascii="Times New Roman" w:hAnsi="Times New Roman"/>
          <w:color w:val="auto"/>
          <w:szCs w:val="21"/>
        </w:rPr>
        <w:t>一、勘察工程概况；</w:t>
      </w:r>
    </w:p>
    <w:p>
      <w:pPr>
        <w:spacing w:line="360" w:lineRule="auto"/>
        <w:ind w:firstLine="474" w:firstLineChars="226"/>
        <w:rPr>
          <w:rFonts w:ascii="Times New Roman" w:hAnsi="Times New Roman"/>
          <w:color w:val="auto"/>
          <w:szCs w:val="21"/>
        </w:rPr>
      </w:pPr>
      <w:r>
        <w:rPr>
          <w:rFonts w:hint="eastAsia" w:ascii="Times New Roman" w:hAnsi="Times New Roman"/>
          <w:color w:val="auto"/>
          <w:szCs w:val="21"/>
        </w:rPr>
        <w:t>二、勘察范围、勘察内容；</w:t>
      </w:r>
    </w:p>
    <w:p>
      <w:pPr>
        <w:spacing w:line="360" w:lineRule="auto"/>
        <w:ind w:firstLine="474" w:firstLineChars="226"/>
        <w:rPr>
          <w:rFonts w:ascii="Times New Roman" w:hAnsi="Times New Roman"/>
          <w:color w:val="auto"/>
          <w:szCs w:val="21"/>
        </w:rPr>
      </w:pPr>
      <w:r>
        <w:rPr>
          <w:rFonts w:hint="eastAsia" w:ascii="Times New Roman" w:hAnsi="Times New Roman"/>
          <w:color w:val="auto"/>
          <w:szCs w:val="21"/>
        </w:rPr>
        <w:t>三、勘察依据、</w:t>
      </w:r>
      <w:r>
        <w:rPr>
          <w:rFonts w:hint="eastAsia" w:ascii="Times New Roman" w:hAnsi="Times New Roman"/>
          <w:color w:val="auto"/>
        </w:rPr>
        <w:t>勘察工作目标</w:t>
      </w:r>
      <w:r>
        <w:rPr>
          <w:rFonts w:hint="eastAsia" w:ascii="Times New Roman" w:hAnsi="Times New Roman"/>
          <w:color w:val="auto"/>
          <w:szCs w:val="21"/>
        </w:rPr>
        <w:t>；</w:t>
      </w:r>
    </w:p>
    <w:p>
      <w:pPr>
        <w:spacing w:line="360" w:lineRule="auto"/>
        <w:ind w:firstLine="474" w:firstLineChars="226"/>
        <w:rPr>
          <w:rFonts w:ascii="Times New Roman" w:hAnsi="Times New Roman"/>
          <w:color w:val="auto"/>
          <w:szCs w:val="21"/>
        </w:rPr>
      </w:pPr>
      <w:r>
        <w:rPr>
          <w:rFonts w:hint="eastAsia" w:ascii="Times New Roman" w:hAnsi="Times New Roman"/>
          <w:color w:val="auto"/>
          <w:szCs w:val="21"/>
        </w:rPr>
        <w:t>四、勘察机构设置（框图）、岗位职责；</w:t>
      </w:r>
    </w:p>
    <w:p>
      <w:pPr>
        <w:spacing w:line="360" w:lineRule="auto"/>
        <w:ind w:firstLine="474" w:firstLineChars="226"/>
        <w:rPr>
          <w:rFonts w:ascii="Times New Roman" w:hAnsi="Times New Roman"/>
          <w:color w:val="auto"/>
          <w:szCs w:val="21"/>
        </w:rPr>
      </w:pPr>
      <w:r>
        <w:rPr>
          <w:rFonts w:hint="eastAsia" w:ascii="Times New Roman" w:hAnsi="Times New Roman"/>
          <w:color w:val="auto"/>
          <w:szCs w:val="21"/>
        </w:rPr>
        <w:t>五、勘察说明和勘察方案；</w:t>
      </w:r>
    </w:p>
    <w:p>
      <w:pPr>
        <w:spacing w:line="360" w:lineRule="auto"/>
        <w:ind w:firstLine="474" w:firstLineChars="226"/>
        <w:rPr>
          <w:rFonts w:ascii="Times New Roman" w:hAnsi="Times New Roman"/>
          <w:color w:val="auto"/>
          <w:szCs w:val="21"/>
        </w:rPr>
      </w:pPr>
      <w:r>
        <w:rPr>
          <w:rFonts w:hint="eastAsia" w:ascii="Times New Roman" w:hAnsi="Times New Roman"/>
          <w:color w:val="auto"/>
          <w:szCs w:val="21"/>
        </w:rPr>
        <w:t>六、拟投入的勘察人员、勘察设备；</w:t>
      </w:r>
    </w:p>
    <w:p>
      <w:pPr>
        <w:spacing w:line="360" w:lineRule="auto"/>
        <w:ind w:firstLine="474" w:firstLineChars="226"/>
        <w:rPr>
          <w:rFonts w:ascii="Times New Roman" w:hAnsi="Times New Roman"/>
          <w:color w:val="auto"/>
          <w:szCs w:val="21"/>
        </w:rPr>
      </w:pPr>
      <w:r>
        <w:rPr>
          <w:rFonts w:hint="eastAsia" w:ascii="Times New Roman" w:hAnsi="Times New Roman"/>
          <w:color w:val="auto"/>
          <w:szCs w:val="21"/>
        </w:rPr>
        <w:t>七、勘察质量、进度、保密等保证措施；</w:t>
      </w:r>
      <w:r>
        <w:rPr>
          <w:rFonts w:ascii="Times New Roman" w:hAnsi="Times New Roman"/>
          <w:color w:val="auto"/>
          <w:szCs w:val="21"/>
        </w:rPr>
        <w:t xml:space="preserve"> </w:t>
      </w:r>
    </w:p>
    <w:p>
      <w:pPr>
        <w:spacing w:line="360" w:lineRule="auto"/>
        <w:ind w:firstLine="474" w:firstLineChars="226"/>
        <w:rPr>
          <w:rFonts w:ascii="Times New Roman" w:hAnsi="Times New Roman"/>
          <w:color w:val="auto"/>
          <w:szCs w:val="21"/>
        </w:rPr>
      </w:pPr>
      <w:r>
        <w:rPr>
          <w:rFonts w:hint="eastAsia" w:ascii="Times New Roman" w:hAnsi="Times New Roman"/>
          <w:color w:val="auto"/>
          <w:szCs w:val="21"/>
        </w:rPr>
        <w:t>八、勘察安全保证措施；</w:t>
      </w:r>
    </w:p>
    <w:p>
      <w:pPr>
        <w:spacing w:line="360" w:lineRule="auto"/>
        <w:ind w:firstLine="474" w:firstLineChars="226"/>
        <w:rPr>
          <w:rFonts w:ascii="Times New Roman" w:hAnsi="Times New Roman"/>
          <w:color w:val="auto"/>
          <w:szCs w:val="21"/>
        </w:rPr>
      </w:pPr>
      <w:r>
        <w:rPr>
          <w:rFonts w:hint="eastAsia" w:ascii="Times New Roman" w:hAnsi="Times New Roman"/>
          <w:color w:val="auto"/>
          <w:szCs w:val="21"/>
        </w:rPr>
        <w:t>九、勘察工作重点、难点分析；</w:t>
      </w:r>
    </w:p>
    <w:p>
      <w:pPr>
        <w:spacing w:line="360" w:lineRule="auto"/>
        <w:ind w:firstLine="474" w:firstLineChars="226"/>
        <w:rPr>
          <w:rFonts w:ascii="Times New Roman" w:hAnsi="Times New Roman"/>
          <w:color w:val="auto"/>
        </w:rPr>
      </w:pPr>
      <w:r>
        <w:rPr>
          <w:rFonts w:hint="eastAsia" w:ascii="Times New Roman" w:hAnsi="Times New Roman"/>
          <w:color w:val="auto"/>
          <w:szCs w:val="21"/>
        </w:rPr>
        <w:t>十、对本工程勘察的合理化建议。</w:t>
      </w:r>
    </w:p>
    <w:p>
      <w:pPr>
        <w:rPr>
          <w:rFonts w:ascii="Times New Roman" w:hAnsi="Times New Roman"/>
          <w:color w:val="auto"/>
        </w:rPr>
      </w:pPr>
    </w:p>
    <w:p>
      <w:pPr>
        <w:pStyle w:val="5"/>
        <w:spacing w:line="400" w:lineRule="exact"/>
        <w:jc w:val="center"/>
        <w:rPr>
          <w:rFonts w:ascii="Times New Roman" w:hAnsi="Times New Roman"/>
          <w:color w:val="auto"/>
        </w:rPr>
      </w:pPr>
      <w:r>
        <w:rPr>
          <w:rFonts w:ascii="Times New Roman" w:hAnsi="Times New Roman"/>
          <w:color w:val="auto"/>
        </w:rPr>
        <w:br w:type="page"/>
      </w:r>
    </w:p>
    <w:p>
      <w:pPr>
        <w:pStyle w:val="5"/>
        <w:spacing w:after="0"/>
        <w:jc w:val="center"/>
        <w:rPr>
          <w:rFonts w:ascii="Times New Roman" w:hAnsi="Times New Roman"/>
          <w:color w:val="auto"/>
        </w:rPr>
      </w:pPr>
      <w:bookmarkStart w:id="778" w:name="_Toc492300958"/>
      <w:r>
        <w:rPr>
          <w:rFonts w:hint="eastAsia" w:ascii="Times New Roman" w:hAnsi="Times New Roman"/>
          <w:color w:val="auto"/>
          <w:lang w:eastAsia="zh-CN"/>
        </w:rPr>
        <w:t>八</w:t>
      </w:r>
      <w:r>
        <w:rPr>
          <w:rFonts w:ascii="Times New Roman" w:hAnsi="Times New Roman"/>
          <w:color w:val="auto"/>
        </w:rPr>
        <w:t>、其他资料</w:t>
      </w:r>
      <w:bookmarkEnd w:id="778"/>
    </w:p>
    <w:p>
      <w:pPr>
        <w:rPr>
          <w:rFonts w:ascii="Times New Roman" w:hAnsi="Times New Roman"/>
          <w:color w:val="auto"/>
        </w:rPr>
      </w:pPr>
    </w:p>
    <w:p>
      <w:pPr>
        <w:rPr>
          <w:rFonts w:ascii="Times New Roman" w:hAnsi="Times New Roman"/>
          <w:color w:val="auto"/>
        </w:rPr>
      </w:pPr>
    </w:p>
    <w:p>
      <w:pPr>
        <w:rPr>
          <w:rFonts w:ascii="Times New Roman" w:hAnsi="Times New Roman"/>
          <w:color w:val="auto"/>
        </w:rPr>
      </w:pPr>
    </w:p>
    <w:p>
      <w:pPr>
        <w:rPr>
          <w:rFonts w:ascii="Times New Roman" w:hAnsi="Times New Roman"/>
          <w:color w:val="auto"/>
        </w:rPr>
      </w:pPr>
    </w:p>
    <w:p>
      <w:pPr>
        <w:rPr>
          <w:rFonts w:ascii="Times New Roman" w:hAnsi="Times New Roman"/>
          <w:color w:val="auto"/>
        </w:rPr>
      </w:pPr>
    </w:p>
    <w:p>
      <w:pPr>
        <w:rPr>
          <w:rFonts w:ascii="Times New Roman" w:hAnsi="Times New Roman"/>
          <w:color w:val="auto"/>
        </w:rPr>
      </w:pPr>
    </w:p>
    <w:p>
      <w:pPr>
        <w:pStyle w:val="25"/>
        <w:rPr>
          <w:rFonts w:ascii="Times New Roman" w:hAnsi="Times New Roman"/>
          <w:color w:val="auto"/>
        </w:rPr>
      </w:pPr>
    </w:p>
    <w:p>
      <w:pPr>
        <w:rPr>
          <w:rFonts w:ascii="Times New Roman" w:hAnsi="Times New Roman"/>
          <w:color w:val="auto"/>
        </w:rPr>
      </w:pPr>
    </w:p>
    <w:p>
      <w:pPr>
        <w:pStyle w:val="25"/>
        <w:rPr>
          <w:rFonts w:ascii="Times New Roman" w:hAnsi="Times New Roman"/>
          <w:color w:val="auto"/>
        </w:rPr>
      </w:pPr>
    </w:p>
    <w:p>
      <w:pPr>
        <w:rPr>
          <w:rFonts w:ascii="Times New Roman" w:hAnsi="Times New Roman"/>
          <w:color w:val="auto"/>
        </w:rPr>
      </w:pPr>
    </w:p>
    <w:p>
      <w:pPr>
        <w:rPr>
          <w:rFonts w:ascii="Times New Roman" w:hAnsi="Times New Roman"/>
          <w:color w:val="auto"/>
        </w:rPr>
      </w:pPr>
    </w:p>
    <w:p>
      <w:pPr>
        <w:rPr>
          <w:rFonts w:ascii="Times New Roman" w:hAnsi="Times New Roman"/>
          <w:color w:val="auto"/>
        </w:rPr>
      </w:pPr>
    </w:p>
    <w:p>
      <w:pPr>
        <w:rPr>
          <w:rFonts w:ascii="Times New Roman" w:hAnsi="Times New Roman"/>
          <w:color w:val="auto"/>
        </w:rPr>
      </w:pPr>
    </w:p>
    <w:p>
      <w:pPr>
        <w:pStyle w:val="5"/>
        <w:spacing w:line="400" w:lineRule="exact"/>
        <w:jc w:val="both"/>
        <w:rPr>
          <w:color w:val="auto"/>
        </w:rPr>
      </w:pPr>
    </w:p>
    <w:sectPr>
      <w:headerReference r:id="rId3" w:type="default"/>
      <w:footerReference r:id="rId4" w:type="default"/>
      <w:type w:val="continuous"/>
      <w:pgSz w:w="12240" w:h="15840"/>
      <w:pgMar w:top="1440" w:right="780" w:bottom="1440" w:left="1800" w:header="720" w:footer="720" w:gutter="0"/>
      <w:cols w:space="720" w:num="1"/>
      <w:docGrid w:linePitch="28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华文细黑">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微软简隶书">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MS Mincho">
    <w:panose1 w:val="02020609040205080304"/>
    <w:charset w:val="80"/>
    <w:family w:val="modern"/>
    <w:pitch w:val="default"/>
    <w:sig w:usb0="E00002FF" w:usb1="6AC7FDFB" w:usb2="00000012" w:usb3="00000000" w:csb0="4002009F" w:csb1="DFD70000"/>
  </w:font>
  <w:font w:name="Microsoft JhengHei">
    <w:panose1 w:val="020B0604030504040204"/>
    <w:charset w:val="88"/>
    <w:family w:val="swiss"/>
    <w:pitch w:val="default"/>
    <w:sig w:usb0="00000087" w:usb1="28AF4000" w:usb2="00000016" w:usb3="00000000" w:csb0="00100009" w:csb1="00000000"/>
  </w:font>
  <w:font w:name="TimesNewRomanPSMT">
    <w:altName w:val="宋体"/>
    <w:panose1 w:val="00000000000000000000"/>
    <w:charset w:val="00"/>
    <w:family w:val="roman"/>
    <w:pitch w:val="default"/>
    <w:sig w:usb0="00000000" w:usb1="00000000" w:usb2="0000001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center"/>
    </w:pPr>
    <w:r>
      <w:fldChar w:fldCharType="begin"/>
    </w:r>
    <w:r>
      <w:instrText xml:space="preserve"> PAGE   \* MERGEFORMAT </w:instrText>
    </w:r>
    <w:r>
      <w:fldChar w:fldCharType="separate"/>
    </w:r>
    <w:r>
      <w:rPr>
        <w:lang w:val="zh-CN"/>
      </w:rPr>
      <w:t>1</w:t>
    </w:r>
    <w:r>
      <w:rPr>
        <w:lang w:val="zh-CN"/>
      </w:rPr>
      <w:fldChar w:fldCharType="end"/>
    </w:r>
  </w:p>
  <w:p>
    <w:pPr>
      <w:pStyle w:val="2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single" w:color="auto" w:sz="4" w:space="1"/>
      </w:pBdr>
      <w:ind w:left="1797" w:leftChars="170" w:hanging="1440" w:hangingChars="800"/>
      <w:jc w:val="both"/>
      <w:rPr>
        <w:rFonts w:hint="eastAsia" w:asciiTheme="majorEastAsia" w:hAnsiTheme="majorEastAsia" w:eastAsiaTheme="majorEastAsia" w:cstheme="majorEastAsia"/>
        <w:b w:val="0"/>
        <w:bCs/>
        <w:i w:val="0"/>
        <w:iCs/>
      </w:rPr>
    </w:pPr>
    <w:r>
      <w:rPr>
        <w:rFonts w:hint="eastAsia" w:asciiTheme="majorEastAsia" w:hAnsiTheme="majorEastAsia" w:eastAsiaTheme="majorEastAsia" w:cstheme="majorEastAsia"/>
        <w:b w:val="0"/>
        <w:bCs/>
        <w:i w:val="0"/>
        <w:iCs/>
        <w:lang w:val="en-US" w:eastAsia="zh-CN"/>
      </w:rPr>
      <w:t>许昌市城乡一体化示范区德仕堡生活广场项目</w:t>
    </w:r>
    <w:r>
      <w:rPr>
        <w:rFonts w:hint="eastAsia" w:asciiTheme="majorEastAsia" w:hAnsiTheme="majorEastAsia" w:eastAsiaTheme="majorEastAsia" w:cstheme="majorEastAsia"/>
        <w:b w:val="0"/>
        <w:bCs/>
        <w:i w:val="0"/>
        <w:iCs/>
      </w:rPr>
      <w:t xml:space="preserve">                       </w:t>
    </w:r>
    <w:r>
      <w:rPr>
        <w:rFonts w:hint="eastAsia" w:asciiTheme="majorEastAsia" w:hAnsiTheme="majorEastAsia" w:eastAsiaTheme="majorEastAsia" w:cstheme="majorEastAsia"/>
        <w:b w:val="0"/>
        <w:bCs/>
        <w:i w:val="0"/>
        <w:iCs/>
        <w:lang w:val="en-US" w:eastAsia="zh-CN"/>
      </w:rPr>
      <w:t xml:space="preserve">                  </w:t>
    </w:r>
    <w:r>
      <w:rPr>
        <w:rFonts w:hint="eastAsia" w:asciiTheme="majorEastAsia" w:hAnsiTheme="majorEastAsia" w:eastAsiaTheme="majorEastAsia" w:cstheme="majorEastAsia"/>
        <w:b w:val="0"/>
        <w:bCs/>
        <w:i w:val="0"/>
        <w:iCs/>
      </w:rPr>
      <w:t xml:space="preserve"> </w:t>
    </w:r>
    <w:r>
      <w:rPr>
        <w:rFonts w:hint="eastAsia" w:asciiTheme="majorEastAsia" w:hAnsiTheme="majorEastAsia" w:eastAsiaTheme="majorEastAsia" w:cstheme="majorEastAsia"/>
        <w:b w:val="0"/>
        <w:bCs/>
        <w:i w:val="0"/>
        <w:iCs/>
        <w:lang w:val="en-US" w:eastAsia="zh-CN"/>
      </w:rPr>
      <w:t xml:space="preserve">      勘察</w:t>
    </w:r>
    <w:r>
      <w:rPr>
        <w:rFonts w:hint="eastAsia" w:asciiTheme="majorEastAsia" w:hAnsiTheme="majorEastAsia" w:eastAsiaTheme="majorEastAsia" w:cstheme="majorEastAsia"/>
        <w:b w:val="0"/>
        <w:bCs/>
        <w:i w:val="0"/>
        <w:iCs/>
      </w:rPr>
      <w:t>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4FA6CCF"/>
    <w:multiLevelType w:val="singleLevel"/>
    <w:tmpl w:val="A4FA6CCF"/>
    <w:lvl w:ilvl="0" w:tentative="0">
      <w:start w:val="1"/>
      <w:numFmt w:val="decimal"/>
      <w:suff w:val="nothing"/>
      <w:lvlText w:val="%1、"/>
      <w:lvlJc w:val="left"/>
    </w:lvl>
  </w:abstractNum>
  <w:abstractNum w:abstractNumId="1">
    <w:nsid w:val="261609F7"/>
    <w:multiLevelType w:val="singleLevel"/>
    <w:tmpl w:val="261609F7"/>
    <w:lvl w:ilvl="0" w:tentative="0">
      <w:start w:val="1"/>
      <w:numFmt w:val="chineseCounting"/>
      <w:suff w:val="nothing"/>
      <w:lvlText w:val="%1、"/>
      <w:lvlJc w:val="left"/>
      <w:rPr>
        <w:rFonts w:hint="eastAsia"/>
      </w:rPr>
    </w:lvl>
  </w:abstractNum>
  <w:abstractNum w:abstractNumId="2">
    <w:nsid w:val="56498C7B"/>
    <w:multiLevelType w:val="singleLevel"/>
    <w:tmpl w:val="56498C7B"/>
    <w:lvl w:ilvl="0" w:tentative="0">
      <w:start w:val="1"/>
      <w:numFmt w:val="decimal"/>
      <w:suff w:val="nothing"/>
      <w:lvlText w:val="%1、"/>
      <w:lvlJc w:val="left"/>
    </w:lvl>
  </w:abstractNum>
  <w:abstractNum w:abstractNumId="3">
    <w:nsid w:val="79820F78"/>
    <w:multiLevelType w:val="singleLevel"/>
    <w:tmpl w:val="79820F78"/>
    <w:lvl w:ilvl="0" w:tentative="0">
      <w:start w:val="7"/>
      <w:numFmt w:val="decimal"/>
      <w:suff w:val="nothing"/>
      <w:lvlText w:val="%1、"/>
      <w:lvlJc w:val="left"/>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2A60"/>
    <w:rsid w:val="00004603"/>
    <w:rsid w:val="00007319"/>
    <w:rsid w:val="000106AE"/>
    <w:rsid w:val="000109BA"/>
    <w:rsid w:val="00012703"/>
    <w:rsid w:val="0001485E"/>
    <w:rsid w:val="00020140"/>
    <w:rsid w:val="00021BFE"/>
    <w:rsid w:val="000250D6"/>
    <w:rsid w:val="00025ACC"/>
    <w:rsid w:val="00026171"/>
    <w:rsid w:val="00026AA0"/>
    <w:rsid w:val="000315B2"/>
    <w:rsid w:val="00032762"/>
    <w:rsid w:val="000351AE"/>
    <w:rsid w:val="00043778"/>
    <w:rsid w:val="00062AC6"/>
    <w:rsid w:val="00065A9E"/>
    <w:rsid w:val="000668F1"/>
    <w:rsid w:val="00067035"/>
    <w:rsid w:val="0007298C"/>
    <w:rsid w:val="00072BE3"/>
    <w:rsid w:val="0008132B"/>
    <w:rsid w:val="00081360"/>
    <w:rsid w:val="0008253E"/>
    <w:rsid w:val="0008737B"/>
    <w:rsid w:val="00087558"/>
    <w:rsid w:val="0009240C"/>
    <w:rsid w:val="000943B0"/>
    <w:rsid w:val="00094C66"/>
    <w:rsid w:val="000A287B"/>
    <w:rsid w:val="000A5C81"/>
    <w:rsid w:val="000A76B3"/>
    <w:rsid w:val="000B2B51"/>
    <w:rsid w:val="000B65E2"/>
    <w:rsid w:val="000B676B"/>
    <w:rsid w:val="000C0018"/>
    <w:rsid w:val="000C1A9B"/>
    <w:rsid w:val="000C2AB5"/>
    <w:rsid w:val="000C4710"/>
    <w:rsid w:val="000D204D"/>
    <w:rsid w:val="000D4336"/>
    <w:rsid w:val="000D49B4"/>
    <w:rsid w:val="000E08CB"/>
    <w:rsid w:val="000E5673"/>
    <w:rsid w:val="000E7006"/>
    <w:rsid w:val="000E7256"/>
    <w:rsid w:val="000F2186"/>
    <w:rsid w:val="000F2A12"/>
    <w:rsid w:val="000F2ECC"/>
    <w:rsid w:val="000F3520"/>
    <w:rsid w:val="001011FC"/>
    <w:rsid w:val="00102618"/>
    <w:rsid w:val="00102F0B"/>
    <w:rsid w:val="00105423"/>
    <w:rsid w:val="00107E51"/>
    <w:rsid w:val="001119B6"/>
    <w:rsid w:val="00111D4F"/>
    <w:rsid w:val="00115124"/>
    <w:rsid w:val="00117F0F"/>
    <w:rsid w:val="00130BA5"/>
    <w:rsid w:val="0014098E"/>
    <w:rsid w:val="001530C6"/>
    <w:rsid w:val="00164211"/>
    <w:rsid w:val="00170389"/>
    <w:rsid w:val="00172A27"/>
    <w:rsid w:val="001735B4"/>
    <w:rsid w:val="001748A3"/>
    <w:rsid w:val="00182B11"/>
    <w:rsid w:val="00183B4A"/>
    <w:rsid w:val="00186361"/>
    <w:rsid w:val="00193C1D"/>
    <w:rsid w:val="001A093D"/>
    <w:rsid w:val="001A0CCF"/>
    <w:rsid w:val="001A2E05"/>
    <w:rsid w:val="001A4491"/>
    <w:rsid w:val="001A4684"/>
    <w:rsid w:val="001B1289"/>
    <w:rsid w:val="001B5478"/>
    <w:rsid w:val="001B688F"/>
    <w:rsid w:val="001B7FEF"/>
    <w:rsid w:val="001C30C7"/>
    <w:rsid w:val="001E1433"/>
    <w:rsid w:val="001E3035"/>
    <w:rsid w:val="001F2208"/>
    <w:rsid w:val="001F285E"/>
    <w:rsid w:val="001F4134"/>
    <w:rsid w:val="001F45EE"/>
    <w:rsid w:val="001F4850"/>
    <w:rsid w:val="001F7889"/>
    <w:rsid w:val="00204A5C"/>
    <w:rsid w:val="00207A0B"/>
    <w:rsid w:val="002103C1"/>
    <w:rsid w:val="00212A53"/>
    <w:rsid w:val="0021322F"/>
    <w:rsid w:val="00213B90"/>
    <w:rsid w:val="00215AF0"/>
    <w:rsid w:val="00216DB1"/>
    <w:rsid w:val="002229E2"/>
    <w:rsid w:val="0022434B"/>
    <w:rsid w:val="00230CFA"/>
    <w:rsid w:val="0023423F"/>
    <w:rsid w:val="00235F63"/>
    <w:rsid w:val="00237B0E"/>
    <w:rsid w:val="002430C2"/>
    <w:rsid w:val="002460C5"/>
    <w:rsid w:val="00250CB7"/>
    <w:rsid w:val="00251A49"/>
    <w:rsid w:val="002521B3"/>
    <w:rsid w:val="0025316D"/>
    <w:rsid w:val="0025460A"/>
    <w:rsid w:val="00255D0D"/>
    <w:rsid w:val="00260C77"/>
    <w:rsid w:val="00261352"/>
    <w:rsid w:val="00263F0B"/>
    <w:rsid w:val="00264EB1"/>
    <w:rsid w:val="00276C71"/>
    <w:rsid w:val="00281526"/>
    <w:rsid w:val="00285406"/>
    <w:rsid w:val="0029714F"/>
    <w:rsid w:val="002A552C"/>
    <w:rsid w:val="002A65ED"/>
    <w:rsid w:val="002C0C29"/>
    <w:rsid w:val="002C31DD"/>
    <w:rsid w:val="002C3CD8"/>
    <w:rsid w:val="002C65CA"/>
    <w:rsid w:val="002C7B9B"/>
    <w:rsid w:val="002D2B90"/>
    <w:rsid w:val="002D6F32"/>
    <w:rsid w:val="002D7B78"/>
    <w:rsid w:val="002E1DAC"/>
    <w:rsid w:val="002E6D05"/>
    <w:rsid w:val="002F0FD3"/>
    <w:rsid w:val="002F2CBD"/>
    <w:rsid w:val="002F72A0"/>
    <w:rsid w:val="00311324"/>
    <w:rsid w:val="003122C4"/>
    <w:rsid w:val="0032031D"/>
    <w:rsid w:val="003214BA"/>
    <w:rsid w:val="00321647"/>
    <w:rsid w:val="00321989"/>
    <w:rsid w:val="003243EC"/>
    <w:rsid w:val="003247CD"/>
    <w:rsid w:val="003362AD"/>
    <w:rsid w:val="00342688"/>
    <w:rsid w:val="0034440E"/>
    <w:rsid w:val="00347899"/>
    <w:rsid w:val="003518D6"/>
    <w:rsid w:val="00351C98"/>
    <w:rsid w:val="00354B7A"/>
    <w:rsid w:val="00363966"/>
    <w:rsid w:val="00370FFD"/>
    <w:rsid w:val="00373BD0"/>
    <w:rsid w:val="003741B0"/>
    <w:rsid w:val="00375481"/>
    <w:rsid w:val="0038240C"/>
    <w:rsid w:val="0038359A"/>
    <w:rsid w:val="00386AA0"/>
    <w:rsid w:val="00387996"/>
    <w:rsid w:val="00391F03"/>
    <w:rsid w:val="0039407B"/>
    <w:rsid w:val="003A2368"/>
    <w:rsid w:val="003A593E"/>
    <w:rsid w:val="003A6775"/>
    <w:rsid w:val="003B1B15"/>
    <w:rsid w:val="003C0D7D"/>
    <w:rsid w:val="003C4858"/>
    <w:rsid w:val="003C5BB3"/>
    <w:rsid w:val="003D1170"/>
    <w:rsid w:val="003D1B8E"/>
    <w:rsid w:val="003D2D72"/>
    <w:rsid w:val="003D30BC"/>
    <w:rsid w:val="003D36EE"/>
    <w:rsid w:val="003D6E0A"/>
    <w:rsid w:val="003F1938"/>
    <w:rsid w:val="003F3518"/>
    <w:rsid w:val="003F504F"/>
    <w:rsid w:val="003F5B69"/>
    <w:rsid w:val="004009FA"/>
    <w:rsid w:val="004105EF"/>
    <w:rsid w:val="00415A1A"/>
    <w:rsid w:val="0042326A"/>
    <w:rsid w:val="00423F96"/>
    <w:rsid w:val="00431F4F"/>
    <w:rsid w:val="0043351E"/>
    <w:rsid w:val="00433676"/>
    <w:rsid w:val="00436504"/>
    <w:rsid w:val="00436C93"/>
    <w:rsid w:val="00437C7D"/>
    <w:rsid w:val="004405C7"/>
    <w:rsid w:val="00441D39"/>
    <w:rsid w:val="00442AF8"/>
    <w:rsid w:val="0044514A"/>
    <w:rsid w:val="00447E59"/>
    <w:rsid w:val="00457DC2"/>
    <w:rsid w:val="00466339"/>
    <w:rsid w:val="004733D3"/>
    <w:rsid w:val="00487315"/>
    <w:rsid w:val="00494530"/>
    <w:rsid w:val="00494624"/>
    <w:rsid w:val="00495001"/>
    <w:rsid w:val="004A112E"/>
    <w:rsid w:val="004A4DCE"/>
    <w:rsid w:val="004A63B8"/>
    <w:rsid w:val="004A76F2"/>
    <w:rsid w:val="004B4C84"/>
    <w:rsid w:val="004B51C9"/>
    <w:rsid w:val="004B51E3"/>
    <w:rsid w:val="004B553D"/>
    <w:rsid w:val="004B6ED7"/>
    <w:rsid w:val="004C58E9"/>
    <w:rsid w:val="004D1209"/>
    <w:rsid w:val="004D2ABE"/>
    <w:rsid w:val="004D4247"/>
    <w:rsid w:val="004D7237"/>
    <w:rsid w:val="004D794D"/>
    <w:rsid w:val="004D7FCB"/>
    <w:rsid w:val="004E0C05"/>
    <w:rsid w:val="004E3473"/>
    <w:rsid w:val="004F0052"/>
    <w:rsid w:val="004F1425"/>
    <w:rsid w:val="004F2BD3"/>
    <w:rsid w:val="004F2DCE"/>
    <w:rsid w:val="004F3309"/>
    <w:rsid w:val="00501AEF"/>
    <w:rsid w:val="005034E3"/>
    <w:rsid w:val="00504116"/>
    <w:rsid w:val="00506A2D"/>
    <w:rsid w:val="0050739A"/>
    <w:rsid w:val="005100DC"/>
    <w:rsid w:val="00511660"/>
    <w:rsid w:val="00512A0D"/>
    <w:rsid w:val="00517CCE"/>
    <w:rsid w:val="005229A0"/>
    <w:rsid w:val="00522D50"/>
    <w:rsid w:val="00527D92"/>
    <w:rsid w:val="00531BAF"/>
    <w:rsid w:val="00534A8A"/>
    <w:rsid w:val="00537781"/>
    <w:rsid w:val="005405BA"/>
    <w:rsid w:val="005409DB"/>
    <w:rsid w:val="00542C62"/>
    <w:rsid w:val="00543F5F"/>
    <w:rsid w:val="005445A3"/>
    <w:rsid w:val="00545698"/>
    <w:rsid w:val="00546149"/>
    <w:rsid w:val="00555089"/>
    <w:rsid w:val="005565F1"/>
    <w:rsid w:val="00562259"/>
    <w:rsid w:val="005624CD"/>
    <w:rsid w:val="005655BD"/>
    <w:rsid w:val="00571C27"/>
    <w:rsid w:val="00573B46"/>
    <w:rsid w:val="00573C8F"/>
    <w:rsid w:val="005749D9"/>
    <w:rsid w:val="00576C5E"/>
    <w:rsid w:val="00577C17"/>
    <w:rsid w:val="00580957"/>
    <w:rsid w:val="005824FB"/>
    <w:rsid w:val="005827A7"/>
    <w:rsid w:val="00585B39"/>
    <w:rsid w:val="00586041"/>
    <w:rsid w:val="00586955"/>
    <w:rsid w:val="005955BA"/>
    <w:rsid w:val="005A0B59"/>
    <w:rsid w:val="005A245A"/>
    <w:rsid w:val="005A2C7B"/>
    <w:rsid w:val="005A328C"/>
    <w:rsid w:val="005B0F9A"/>
    <w:rsid w:val="005B1A42"/>
    <w:rsid w:val="005B367D"/>
    <w:rsid w:val="005B46BD"/>
    <w:rsid w:val="005B4DB1"/>
    <w:rsid w:val="005B6D33"/>
    <w:rsid w:val="005B6F6B"/>
    <w:rsid w:val="005C162E"/>
    <w:rsid w:val="005C1B19"/>
    <w:rsid w:val="005C2862"/>
    <w:rsid w:val="005C417A"/>
    <w:rsid w:val="005D22FC"/>
    <w:rsid w:val="005D3D41"/>
    <w:rsid w:val="005D3E60"/>
    <w:rsid w:val="005D736F"/>
    <w:rsid w:val="005E4F70"/>
    <w:rsid w:val="005E7CE8"/>
    <w:rsid w:val="005F162E"/>
    <w:rsid w:val="005F16C3"/>
    <w:rsid w:val="005F328B"/>
    <w:rsid w:val="005F74F3"/>
    <w:rsid w:val="00600043"/>
    <w:rsid w:val="0060161F"/>
    <w:rsid w:val="00605A28"/>
    <w:rsid w:val="00614DD5"/>
    <w:rsid w:val="00614E98"/>
    <w:rsid w:val="006151CA"/>
    <w:rsid w:val="0062295C"/>
    <w:rsid w:val="00623AD2"/>
    <w:rsid w:val="00632B51"/>
    <w:rsid w:val="00633021"/>
    <w:rsid w:val="00636962"/>
    <w:rsid w:val="00644C71"/>
    <w:rsid w:val="00645246"/>
    <w:rsid w:val="006462FA"/>
    <w:rsid w:val="006566A6"/>
    <w:rsid w:val="00660EBB"/>
    <w:rsid w:val="00661021"/>
    <w:rsid w:val="00663CC5"/>
    <w:rsid w:val="00664354"/>
    <w:rsid w:val="00670660"/>
    <w:rsid w:val="006713E0"/>
    <w:rsid w:val="00684D69"/>
    <w:rsid w:val="00686AF3"/>
    <w:rsid w:val="006873BC"/>
    <w:rsid w:val="006928F3"/>
    <w:rsid w:val="006952F5"/>
    <w:rsid w:val="006A350C"/>
    <w:rsid w:val="006A5596"/>
    <w:rsid w:val="006B4620"/>
    <w:rsid w:val="006B4ED2"/>
    <w:rsid w:val="006B6E3B"/>
    <w:rsid w:val="006C1B42"/>
    <w:rsid w:val="006C27FB"/>
    <w:rsid w:val="006C56C9"/>
    <w:rsid w:val="006D144F"/>
    <w:rsid w:val="006D567B"/>
    <w:rsid w:val="006D72C7"/>
    <w:rsid w:val="006E0B76"/>
    <w:rsid w:val="006E1CF0"/>
    <w:rsid w:val="006E2EB3"/>
    <w:rsid w:val="006E3EAB"/>
    <w:rsid w:val="006E521B"/>
    <w:rsid w:val="006E798E"/>
    <w:rsid w:val="006F30B4"/>
    <w:rsid w:val="006F3F8C"/>
    <w:rsid w:val="006F46C3"/>
    <w:rsid w:val="006F6E12"/>
    <w:rsid w:val="007009AA"/>
    <w:rsid w:val="00701A84"/>
    <w:rsid w:val="007026E3"/>
    <w:rsid w:val="007036C3"/>
    <w:rsid w:val="00705859"/>
    <w:rsid w:val="00706041"/>
    <w:rsid w:val="007123AF"/>
    <w:rsid w:val="00712A96"/>
    <w:rsid w:val="00721056"/>
    <w:rsid w:val="00723914"/>
    <w:rsid w:val="00723E55"/>
    <w:rsid w:val="00724B69"/>
    <w:rsid w:val="00725C94"/>
    <w:rsid w:val="00726A6C"/>
    <w:rsid w:val="00726B23"/>
    <w:rsid w:val="00726DB7"/>
    <w:rsid w:val="00727E29"/>
    <w:rsid w:val="00733083"/>
    <w:rsid w:val="00742B21"/>
    <w:rsid w:val="00744517"/>
    <w:rsid w:val="00750137"/>
    <w:rsid w:val="0075115C"/>
    <w:rsid w:val="0075210B"/>
    <w:rsid w:val="007525B7"/>
    <w:rsid w:val="00752BB4"/>
    <w:rsid w:val="00755157"/>
    <w:rsid w:val="0075605F"/>
    <w:rsid w:val="00762F64"/>
    <w:rsid w:val="00766147"/>
    <w:rsid w:val="00766DD4"/>
    <w:rsid w:val="00770518"/>
    <w:rsid w:val="007724D2"/>
    <w:rsid w:val="00772E30"/>
    <w:rsid w:val="007769FC"/>
    <w:rsid w:val="00780470"/>
    <w:rsid w:val="00790A94"/>
    <w:rsid w:val="007911B2"/>
    <w:rsid w:val="007939AE"/>
    <w:rsid w:val="00797ACE"/>
    <w:rsid w:val="007A08F7"/>
    <w:rsid w:val="007A1E5B"/>
    <w:rsid w:val="007A36C9"/>
    <w:rsid w:val="007A5188"/>
    <w:rsid w:val="007A6512"/>
    <w:rsid w:val="007A67FD"/>
    <w:rsid w:val="007B0DEE"/>
    <w:rsid w:val="007B329F"/>
    <w:rsid w:val="007B3D71"/>
    <w:rsid w:val="007B5213"/>
    <w:rsid w:val="007B70CB"/>
    <w:rsid w:val="007B7DDF"/>
    <w:rsid w:val="007C292F"/>
    <w:rsid w:val="007C5D44"/>
    <w:rsid w:val="007D07A2"/>
    <w:rsid w:val="007D0A0C"/>
    <w:rsid w:val="007D16DC"/>
    <w:rsid w:val="007D4C26"/>
    <w:rsid w:val="007D5CBB"/>
    <w:rsid w:val="007D6572"/>
    <w:rsid w:val="007E0563"/>
    <w:rsid w:val="007E078E"/>
    <w:rsid w:val="007E122C"/>
    <w:rsid w:val="007E6590"/>
    <w:rsid w:val="007E78FD"/>
    <w:rsid w:val="007F33A5"/>
    <w:rsid w:val="007F6A96"/>
    <w:rsid w:val="008016DA"/>
    <w:rsid w:val="00803D1B"/>
    <w:rsid w:val="00804854"/>
    <w:rsid w:val="00805D01"/>
    <w:rsid w:val="00814ACE"/>
    <w:rsid w:val="00822B05"/>
    <w:rsid w:val="00823971"/>
    <w:rsid w:val="00826534"/>
    <w:rsid w:val="00826C28"/>
    <w:rsid w:val="008326B6"/>
    <w:rsid w:val="008331F8"/>
    <w:rsid w:val="00833E5B"/>
    <w:rsid w:val="00842D0A"/>
    <w:rsid w:val="0084522A"/>
    <w:rsid w:val="0084602F"/>
    <w:rsid w:val="0084716F"/>
    <w:rsid w:val="00847755"/>
    <w:rsid w:val="00851FB3"/>
    <w:rsid w:val="0085267C"/>
    <w:rsid w:val="008567AE"/>
    <w:rsid w:val="008602E0"/>
    <w:rsid w:val="008625DD"/>
    <w:rsid w:val="008631FE"/>
    <w:rsid w:val="00865A18"/>
    <w:rsid w:val="00877B50"/>
    <w:rsid w:val="00880C4E"/>
    <w:rsid w:val="00884568"/>
    <w:rsid w:val="00886D39"/>
    <w:rsid w:val="00891482"/>
    <w:rsid w:val="008936E5"/>
    <w:rsid w:val="008946EA"/>
    <w:rsid w:val="008A0C4A"/>
    <w:rsid w:val="008A3781"/>
    <w:rsid w:val="008A4F8A"/>
    <w:rsid w:val="008A6265"/>
    <w:rsid w:val="008B4958"/>
    <w:rsid w:val="008C4D93"/>
    <w:rsid w:val="008C5DE5"/>
    <w:rsid w:val="008D0EA5"/>
    <w:rsid w:val="008D1879"/>
    <w:rsid w:val="008D2B4F"/>
    <w:rsid w:val="008E0C18"/>
    <w:rsid w:val="008E236A"/>
    <w:rsid w:val="008F2DB6"/>
    <w:rsid w:val="008F601C"/>
    <w:rsid w:val="008F6AF6"/>
    <w:rsid w:val="008F78BF"/>
    <w:rsid w:val="0090152F"/>
    <w:rsid w:val="00905AE6"/>
    <w:rsid w:val="009102B1"/>
    <w:rsid w:val="009117AF"/>
    <w:rsid w:val="00913DA9"/>
    <w:rsid w:val="00915BD0"/>
    <w:rsid w:val="009165B6"/>
    <w:rsid w:val="0091764F"/>
    <w:rsid w:val="00920D0D"/>
    <w:rsid w:val="0092112D"/>
    <w:rsid w:val="00922D1D"/>
    <w:rsid w:val="0092507A"/>
    <w:rsid w:val="0092577B"/>
    <w:rsid w:val="00926831"/>
    <w:rsid w:val="00931126"/>
    <w:rsid w:val="00937163"/>
    <w:rsid w:val="00942FF5"/>
    <w:rsid w:val="00943B39"/>
    <w:rsid w:val="00943F58"/>
    <w:rsid w:val="0094443B"/>
    <w:rsid w:val="0094469F"/>
    <w:rsid w:val="0094784E"/>
    <w:rsid w:val="0094793B"/>
    <w:rsid w:val="00953D09"/>
    <w:rsid w:val="00956336"/>
    <w:rsid w:val="00956DCC"/>
    <w:rsid w:val="0096197F"/>
    <w:rsid w:val="00964882"/>
    <w:rsid w:val="009678EF"/>
    <w:rsid w:val="0097011E"/>
    <w:rsid w:val="00972737"/>
    <w:rsid w:val="009727B4"/>
    <w:rsid w:val="00972D10"/>
    <w:rsid w:val="00976894"/>
    <w:rsid w:val="0098095B"/>
    <w:rsid w:val="00981293"/>
    <w:rsid w:val="009816BB"/>
    <w:rsid w:val="00984168"/>
    <w:rsid w:val="0098473F"/>
    <w:rsid w:val="0098548A"/>
    <w:rsid w:val="009857A5"/>
    <w:rsid w:val="00987946"/>
    <w:rsid w:val="009914DB"/>
    <w:rsid w:val="00993DD3"/>
    <w:rsid w:val="0099765D"/>
    <w:rsid w:val="009A21F7"/>
    <w:rsid w:val="009A32F4"/>
    <w:rsid w:val="009A3BA2"/>
    <w:rsid w:val="009A6828"/>
    <w:rsid w:val="009B115E"/>
    <w:rsid w:val="009B54E6"/>
    <w:rsid w:val="009C42F0"/>
    <w:rsid w:val="009C5D2B"/>
    <w:rsid w:val="009D0A6C"/>
    <w:rsid w:val="009E280D"/>
    <w:rsid w:val="009E2B97"/>
    <w:rsid w:val="009E77CE"/>
    <w:rsid w:val="009F1AC6"/>
    <w:rsid w:val="009F3D52"/>
    <w:rsid w:val="009F46DE"/>
    <w:rsid w:val="009F7053"/>
    <w:rsid w:val="00A00218"/>
    <w:rsid w:val="00A01035"/>
    <w:rsid w:val="00A01041"/>
    <w:rsid w:val="00A013E6"/>
    <w:rsid w:val="00A059CF"/>
    <w:rsid w:val="00A1079F"/>
    <w:rsid w:val="00A11BDA"/>
    <w:rsid w:val="00A125A0"/>
    <w:rsid w:val="00A136B7"/>
    <w:rsid w:val="00A13F01"/>
    <w:rsid w:val="00A14161"/>
    <w:rsid w:val="00A161A9"/>
    <w:rsid w:val="00A20C87"/>
    <w:rsid w:val="00A214E6"/>
    <w:rsid w:val="00A236AA"/>
    <w:rsid w:val="00A239C4"/>
    <w:rsid w:val="00A24AE5"/>
    <w:rsid w:val="00A27544"/>
    <w:rsid w:val="00A27AD2"/>
    <w:rsid w:val="00A31FBE"/>
    <w:rsid w:val="00A35C1C"/>
    <w:rsid w:val="00A40975"/>
    <w:rsid w:val="00A443E0"/>
    <w:rsid w:val="00A5054E"/>
    <w:rsid w:val="00A51D94"/>
    <w:rsid w:val="00A549E2"/>
    <w:rsid w:val="00A63A79"/>
    <w:rsid w:val="00A6464F"/>
    <w:rsid w:val="00A64CFB"/>
    <w:rsid w:val="00A660F9"/>
    <w:rsid w:val="00A7108D"/>
    <w:rsid w:val="00A71821"/>
    <w:rsid w:val="00A71884"/>
    <w:rsid w:val="00A74B5E"/>
    <w:rsid w:val="00A75A0E"/>
    <w:rsid w:val="00A75AAB"/>
    <w:rsid w:val="00A77C2A"/>
    <w:rsid w:val="00A8150A"/>
    <w:rsid w:val="00A8366F"/>
    <w:rsid w:val="00A8379A"/>
    <w:rsid w:val="00A83DE4"/>
    <w:rsid w:val="00A86BC1"/>
    <w:rsid w:val="00A909F4"/>
    <w:rsid w:val="00A90FFC"/>
    <w:rsid w:val="00A93CEE"/>
    <w:rsid w:val="00A95DBF"/>
    <w:rsid w:val="00A97ECB"/>
    <w:rsid w:val="00AA77E6"/>
    <w:rsid w:val="00AB22FD"/>
    <w:rsid w:val="00AB249C"/>
    <w:rsid w:val="00AB3141"/>
    <w:rsid w:val="00AB5EF7"/>
    <w:rsid w:val="00AB609D"/>
    <w:rsid w:val="00AB65AB"/>
    <w:rsid w:val="00AB66B8"/>
    <w:rsid w:val="00AB6EDE"/>
    <w:rsid w:val="00AC12CA"/>
    <w:rsid w:val="00AC2268"/>
    <w:rsid w:val="00AC6253"/>
    <w:rsid w:val="00AD75D8"/>
    <w:rsid w:val="00AD7CAC"/>
    <w:rsid w:val="00AD7DE4"/>
    <w:rsid w:val="00AE0A9B"/>
    <w:rsid w:val="00AE3D01"/>
    <w:rsid w:val="00AE4FC4"/>
    <w:rsid w:val="00AE5260"/>
    <w:rsid w:val="00AE5CF7"/>
    <w:rsid w:val="00AE67B6"/>
    <w:rsid w:val="00AF08A4"/>
    <w:rsid w:val="00AF0D29"/>
    <w:rsid w:val="00AF3442"/>
    <w:rsid w:val="00AF49A0"/>
    <w:rsid w:val="00AF5D13"/>
    <w:rsid w:val="00AF702F"/>
    <w:rsid w:val="00AF7CFA"/>
    <w:rsid w:val="00B05EB7"/>
    <w:rsid w:val="00B0641E"/>
    <w:rsid w:val="00B06DD5"/>
    <w:rsid w:val="00B17226"/>
    <w:rsid w:val="00B1739F"/>
    <w:rsid w:val="00B20435"/>
    <w:rsid w:val="00B2193F"/>
    <w:rsid w:val="00B22D70"/>
    <w:rsid w:val="00B24609"/>
    <w:rsid w:val="00B34169"/>
    <w:rsid w:val="00B40AC5"/>
    <w:rsid w:val="00B40DB4"/>
    <w:rsid w:val="00B43529"/>
    <w:rsid w:val="00B45828"/>
    <w:rsid w:val="00B51807"/>
    <w:rsid w:val="00B51D11"/>
    <w:rsid w:val="00B52304"/>
    <w:rsid w:val="00B568D1"/>
    <w:rsid w:val="00B56F9E"/>
    <w:rsid w:val="00B57165"/>
    <w:rsid w:val="00B6040F"/>
    <w:rsid w:val="00B60D18"/>
    <w:rsid w:val="00B70AB4"/>
    <w:rsid w:val="00B82CF7"/>
    <w:rsid w:val="00B82E6C"/>
    <w:rsid w:val="00B83E5B"/>
    <w:rsid w:val="00B840FF"/>
    <w:rsid w:val="00B84A8B"/>
    <w:rsid w:val="00B850F5"/>
    <w:rsid w:val="00B868A4"/>
    <w:rsid w:val="00B8792A"/>
    <w:rsid w:val="00B87E24"/>
    <w:rsid w:val="00B923D8"/>
    <w:rsid w:val="00B924CB"/>
    <w:rsid w:val="00B969B7"/>
    <w:rsid w:val="00BA1742"/>
    <w:rsid w:val="00BA4A15"/>
    <w:rsid w:val="00BA6A1E"/>
    <w:rsid w:val="00BA779B"/>
    <w:rsid w:val="00BA78C7"/>
    <w:rsid w:val="00BB14E3"/>
    <w:rsid w:val="00BB1BAE"/>
    <w:rsid w:val="00BB6955"/>
    <w:rsid w:val="00BC0F2F"/>
    <w:rsid w:val="00BC31D7"/>
    <w:rsid w:val="00BC3D20"/>
    <w:rsid w:val="00BC5091"/>
    <w:rsid w:val="00BC7BDB"/>
    <w:rsid w:val="00BD0888"/>
    <w:rsid w:val="00BD16CC"/>
    <w:rsid w:val="00BD2382"/>
    <w:rsid w:val="00BD38A7"/>
    <w:rsid w:val="00BD4CB1"/>
    <w:rsid w:val="00BD5685"/>
    <w:rsid w:val="00BD58EC"/>
    <w:rsid w:val="00BD6AE4"/>
    <w:rsid w:val="00BD6C5E"/>
    <w:rsid w:val="00BD7122"/>
    <w:rsid w:val="00BE11E1"/>
    <w:rsid w:val="00BE1F7A"/>
    <w:rsid w:val="00BE2FB8"/>
    <w:rsid w:val="00BE52C6"/>
    <w:rsid w:val="00BF1EA6"/>
    <w:rsid w:val="00BF1F32"/>
    <w:rsid w:val="00BF2871"/>
    <w:rsid w:val="00BF4EBD"/>
    <w:rsid w:val="00BF7CA8"/>
    <w:rsid w:val="00C000E6"/>
    <w:rsid w:val="00C05B25"/>
    <w:rsid w:val="00C10A53"/>
    <w:rsid w:val="00C11B1A"/>
    <w:rsid w:val="00C136A3"/>
    <w:rsid w:val="00C1558A"/>
    <w:rsid w:val="00C16E65"/>
    <w:rsid w:val="00C318D6"/>
    <w:rsid w:val="00C33549"/>
    <w:rsid w:val="00C409F2"/>
    <w:rsid w:val="00C40EFF"/>
    <w:rsid w:val="00C42012"/>
    <w:rsid w:val="00C426BD"/>
    <w:rsid w:val="00C473A5"/>
    <w:rsid w:val="00C50F27"/>
    <w:rsid w:val="00C561A1"/>
    <w:rsid w:val="00C57185"/>
    <w:rsid w:val="00C60374"/>
    <w:rsid w:val="00C65F10"/>
    <w:rsid w:val="00C74CE6"/>
    <w:rsid w:val="00C750F1"/>
    <w:rsid w:val="00C75D0D"/>
    <w:rsid w:val="00C77D07"/>
    <w:rsid w:val="00C8014F"/>
    <w:rsid w:val="00C8459E"/>
    <w:rsid w:val="00C91F2A"/>
    <w:rsid w:val="00C9312C"/>
    <w:rsid w:val="00C97B27"/>
    <w:rsid w:val="00CA039A"/>
    <w:rsid w:val="00CA54D2"/>
    <w:rsid w:val="00CB2000"/>
    <w:rsid w:val="00CB48A6"/>
    <w:rsid w:val="00CB621C"/>
    <w:rsid w:val="00CB684E"/>
    <w:rsid w:val="00CC02F2"/>
    <w:rsid w:val="00CC0597"/>
    <w:rsid w:val="00CC69FA"/>
    <w:rsid w:val="00CC6B34"/>
    <w:rsid w:val="00CD09B4"/>
    <w:rsid w:val="00CD6EE8"/>
    <w:rsid w:val="00CD737F"/>
    <w:rsid w:val="00CD7773"/>
    <w:rsid w:val="00CE55EB"/>
    <w:rsid w:val="00CE691B"/>
    <w:rsid w:val="00CE78B9"/>
    <w:rsid w:val="00CF1A27"/>
    <w:rsid w:val="00CF48A1"/>
    <w:rsid w:val="00CF5CD9"/>
    <w:rsid w:val="00CF67F1"/>
    <w:rsid w:val="00D011B8"/>
    <w:rsid w:val="00D019DB"/>
    <w:rsid w:val="00D01E73"/>
    <w:rsid w:val="00D0314D"/>
    <w:rsid w:val="00D05F0E"/>
    <w:rsid w:val="00D1028B"/>
    <w:rsid w:val="00D13DA8"/>
    <w:rsid w:val="00D14BFE"/>
    <w:rsid w:val="00D14EBF"/>
    <w:rsid w:val="00D17DD0"/>
    <w:rsid w:val="00D17F26"/>
    <w:rsid w:val="00D2665C"/>
    <w:rsid w:val="00D311D6"/>
    <w:rsid w:val="00D31A22"/>
    <w:rsid w:val="00D32CD6"/>
    <w:rsid w:val="00D355AF"/>
    <w:rsid w:val="00D4185E"/>
    <w:rsid w:val="00D424F4"/>
    <w:rsid w:val="00D5118D"/>
    <w:rsid w:val="00D5703E"/>
    <w:rsid w:val="00D57F85"/>
    <w:rsid w:val="00D61E00"/>
    <w:rsid w:val="00D63B31"/>
    <w:rsid w:val="00D67157"/>
    <w:rsid w:val="00D70579"/>
    <w:rsid w:val="00D70B9C"/>
    <w:rsid w:val="00D71AF2"/>
    <w:rsid w:val="00D73671"/>
    <w:rsid w:val="00D74914"/>
    <w:rsid w:val="00D7651E"/>
    <w:rsid w:val="00D765FC"/>
    <w:rsid w:val="00D772A5"/>
    <w:rsid w:val="00D80CDC"/>
    <w:rsid w:val="00D8264B"/>
    <w:rsid w:val="00D8511D"/>
    <w:rsid w:val="00D879E6"/>
    <w:rsid w:val="00D9028D"/>
    <w:rsid w:val="00D90E2B"/>
    <w:rsid w:val="00D91F21"/>
    <w:rsid w:val="00D935CD"/>
    <w:rsid w:val="00D94273"/>
    <w:rsid w:val="00D944A0"/>
    <w:rsid w:val="00D946E9"/>
    <w:rsid w:val="00DA0BED"/>
    <w:rsid w:val="00DA47F3"/>
    <w:rsid w:val="00DA64C8"/>
    <w:rsid w:val="00DA718A"/>
    <w:rsid w:val="00DA7EB6"/>
    <w:rsid w:val="00DB2502"/>
    <w:rsid w:val="00DB3E0B"/>
    <w:rsid w:val="00DB45CC"/>
    <w:rsid w:val="00DB7E41"/>
    <w:rsid w:val="00DC0195"/>
    <w:rsid w:val="00DC1BF6"/>
    <w:rsid w:val="00DC3A4D"/>
    <w:rsid w:val="00DC4FA6"/>
    <w:rsid w:val="00DC500F"/>
    <w:rsid w:val="00DC6B3E"/>
    <w:rsid w:val="00DC76AE"/>
    <w:rsid w:val="00DD230C"/>
    <w:rsid w:val="00DD2358"/>
    <w:rsid w:val="00DE0C34"/>
    <w:rsid w:val="00DE2DF3"/>
    <w:rsid w:val="00DE3B31"/>
    <w:rsid w:val="00DE7014"/>
    <w:rsid w:val="00E00B48"/>
    <w:rsid w:val="00E030EE"/>
    <w:rsid w:val="00E0723B"/>
    <w:rsid w:val="00E108C3"/>
    <w:rsid w:val="00E11F03"/>
    <w:rsid w:val="00E120B9"/>
    <w:rsid w:val="00E13758"/>
    <w:rsid w:val="00E148F3"/>
    <w:rsid w:val="00E151DA"/>
    <w:rsid w:val="00E15382"/>
    <w:rsid w:val="00E20944"/>
    <w:rsid w:val="00E238A2"/>
    <w:rsid w:val="00E308F0"/>
    <w:rsid w:val="00E3243B"/>
    <w:rsid w:val="00E335D8"/>
    <w:rsid w:val="00E33707"/>
    <w:rsid w:val="00E34005"/>
    <w:rsid w:val="00E413AB"/>
    <w:rsid w:val="00E43274"/>
    <w:rsid w:val="00E4665E"/>
    <w:rsid w:val="00E53F38"/>
    <w:rsid w:val="00E552EB"/>
    <w:rsid w:val="00E64E71"/>
    <w:rsid w:val="00E73E35"/>
    <w:rsid w:val="00E740D3"/>
    <w:rsid w:val="00E807BA"/>
    <w:rsid w:val="00E80F7E"/>
    <w:rsid w:val="00E8164C"/>
    <w:rsid w:val="00E82B5F"/>
    <w:rsid w:val="00E90D94"/>
    <w:rsid w:val="00E94541"/>
    <w:rsid w:val="00E95194"/>
    <w:rsid w:val="00E96F65"/>
    <w:rsid w:val="00EA0C28"/>
    <w:rsid w:val="00EA5BBB"/>
    <w:rsid w:val="00EA6EBD"/>
    <w:rsid w:val="00EB10A7"/>
    <w:rsid w:val="00EB2328"/>
    <w:rsid w:val="00EB48A2"/>
    <w:rsid w:val="00EB6DE7"/>
    <w:rsid w:val="00EB6F63"/>
    <w:rsid w:val="00EB71F5"/>
    <w:rsid w:val="00EC1E5C"/>
    <w:rsid w:val="00EC6890"/>
    <w:rsid w:val="00EC72A4"/>
    <w:rsid w:val="00ED694A"/>
    <w:rsid w:val="00ED76D9"/>
    <w:rsid w:val="00EE4722"/>
    <w:rsid w:val="00EE5655"/>
    <w:rsid w:val="00F060A4"/>
    <w:rsid w:val="00F06124"/>
    <w:rsid w:val="00F07523"/>
    <w:rsid w:val="00F10A93"/>
    <w:rsid w:val="00F1326E"/>
    <w:rsid w:val="00F155B4"/>
    <w:rsid w:val="00F15D39"/>
    <w:rsid w:val="00F16B10"/>
    <w:rsid w:val="00F231AB"/>
    <w:rsid w:val="00F24BB1"/>
    <w:rsid w:val="00F27459"/>
    <w:rsid w:val="00F30325"/>
    <w:rsid w:val="00F304EE"/>
    <w:rsid w:val="00F31887"/>
    <w:rsid w:val="00F34D7E"/>
    <w:rsid w:val="00F35671"/>
    <w:rsid w:val="00F400C4"/>
    <w:rsid w:val="00F405D8"/>
    <w:rsid w:val="00F41E90"/>
    <w:rsid w:val="00F4710F"/>
    <w:rsid w:val="00F53A81"/>
    <w:rsid w:val="00F54159"/>
    <w:rsid w:val="00F57D8D"/>
    <w:rsid w:val="00F60E88"/>
    <w:rsid w:val="00F725CC"/>
    <w:rsid w:val="00F73B29"/>
    <w:rsid w:val="00F757F6"/>
    <w:rsid w:val="00F77B43"/>
    <w:rsid w:val="00F823B7"/>
    <w:rsid w:val="00F82B69"/>
    <w:rsid w:val="00F86321"/>
    <w:rsid w:val="00F91188"/>
    <w:rsid w:val="00F9546C"/>
    <w:rsid w:val="00F96CF9"/>
    <w:rsid w:val="00F974A1"/>
    <w:rsid w:val="00F97B72"/>
    <w:rsid w:val="00FA10A8"/>
    <w:rsid w:val="00FA1427"/>
    <w:rsid w:val="00FA45BA"/>
    <w:rsid w:val="00FA5296"/>
    <w:rsid w:val="00FB0B5A"/>
    <w:rsid w:val="00FB1F93"/>
    <w:rsid w:val="00FB48DF"/>
    <w:rsid w:val="00FB5972"/>
    <w:rsid w:val="00FB632F"/>
    <w:rsid w:val="00FC3BAF"/>
    <w:rsid w:val="00FC5824"/>
    <w:rsid w:val="00FC5AFE"/>
    <w:rsid w:val="00FC5D22"/>
    <w:rsid w:val="00FD01BA"/>
    <w:rsid w:val="00FD0CA5"/>
    <w:rsid w:val="00FD4012"/>
    <w:rsid w:val="00FD6942"/>
    <w:rsid w:val="00FE03DE"/>
    <w:rsid w:val="00FE20F3"/>
    <w:rsid w:val="00FE4D45"/>
    <w:rsid w:val="00FE5412"/>
    <w:rsid w:val="00FE6874"/>
    <w:rsid w:val="00FE71EC"/>
    <w:rsid w:val="00FF0084"/>
    <w:rsid w:val="00FF4F25"/>
    <w:rsid w:val="00FF5A7C"/>
    <w:rsid w:val="00FF6B57"/>
    <w:rsid w:val="01F643B0"/>
    <w:rsid w:val="032E5866"/>
    <w:rsid w:val="039B6825"/>
    <w:rsid w:val="040E38AD"/>
    <w:rsid w:val="04683CFC"/>
    <w:rsid w:val="05904C0E"/>
    <w:rsid w:val="0625436D"/>
    <w:rsid w:val="06C81ADF"/>
    <w:rsid w:val="0870385D"/>
    <w:rsid w:val="08B408FE"/>
    <w:rsid w:val="09DF48F1"/>
    <w:rsid w:val="0A4811BF"/>
    <w:rsid w:val="0B0A3878"/>
    <w:rsid w:val="0DCE53F5"/>
    <w:rsid w:val="0E1D07E9"/>
    <w:rsid w:val="0E595F31"/>
    <w:rsid w:val="0E7E7270"/>
    <w:rsid w:val="0E9D6AA3"/>
    <w:rsid w:val="0F744DEE"/>
    <w:rsid w:val="10B30C5E"/>
    <w:rsid w:val="1141420A"/>
    <w:rsid w:val="12384885"/>
    <w:rsid w:val="12391016"/>
    <w:rsid w:val="12F910BE"/>
    <w:rsid w:val="15654076"/>
    <w:rsid w:val="164C4D0B"/>
    <w:rsid w:val="16BF259A"/>
    <w:rsid w:val="16C1633B"/>
    <w:rsid w:val="182060FD"/>
    <w:rsid w:val="1AD4351B"/>
    <w:rsid w:val="1B410560"/>
    <w:rsid w:val="1C947280"/>
    <w:rsid w:val="1DDA5195"/>
    <w:rsid w:val="1E6E269A"/>
    <w:rsid w:val="1EE13A44"/>
    <w:rsid w:val="1F085AFC"/>
    <w:rsid w:val="219D54D1"/>
    <w:rsid w:val="21BA2F60"/>
    <w:rsid w:val="23500857"/>
    <w:rsid w:val="23CA6A38"/>
    <w:rsid w:val="23EB08FC"/>
    <w:rsid w:val="23F01FBD"/>
    <w:rsid w:val="24036E31"/>
    <w:rsid w:val="250B1C2E"/>
    <w:rsid w:val="26D53CD9"/>
    <w:rsid w:val="27343BC5"/>
    <w:rsid w:val="281E0CE2"/>
    <w:rsid w:val="28E34F06"/>
    <w:rsid w:val="2AB36289"/>
    <w:rsid w:val="2BA43B62"/>
    <w:rsid w:val="2C0E3A74"/>
    <w:rsid w:val="2C745505"/>
    <w:rsid w:val="2C7C6F8B"/>
    <w:rsid w:val="2E322A55"/>
    <w:rsid w:val="2E572411"/>
    <w:rsid w:val="2E9F28C8"/>
    <w:rsid w:val="2FAF0489"/>
    <w:rsid w:val="3086696A"/>
    <w:rsid w:val="31472444"/>
    <w:rsid w:val="32AC260D"/>
    <w:rsid w:val="32BD4D22"/>
    <w:rsid w:val="33756663"/>
    <w:rsid w:val="343B6F38"/>
    <w:rsid w:val="34506D9E"/>
    <w:rsid w:val="35BF1A19"/>
    <w:rsid w:val="35F46EE9"/>
    <w:rsid w:val="37B17A29"/>
    <w:rsid w:val="380D3989"/>
    <w:rsid w:val="385B4BC7"/>
    <w:rsid w:val="39125135"/>
    <w:rsid w:val="3A5243E4"/>
    <w:rsid w:val="3A993710"/>
    <w:rsid w:val="3AA16AE7"/>
    <w:rsid w:val="3B7E6569"/>
    <w:rsid w:val="3CDE6F22"/>
    <w:rsid w:val="3E996F65"/>
    <w:rsid w:val="3F5B7E47"/>
    <w:rsid w:val="3FB604E4"/>
    <w:rsid w:val="40B91863"/>
    <w:rsid w:val="422E7086"/>
    <w:rsid w:val="42FF060D"/>
    <w:rsid w:val="43920933"/>
    <w:rsid w:val="446C2C6D"/>
    <w:rsid w:val="45695408"/>
    <w:rsid w:val="478F4E90"/>
    <w:rsid w:val="49283470"/>
    <w:rsid w:val="4A673509"/>
    <w:rsid w:val="4B28241B"/>
    <w:rsid w:val="4BB942DC"/>
    <w:rsid w:val="4C3F2B4F"/>
    <w:rsid w:val="4CE35B47"/>
    <w:rsid w:val="4CE43FA9"/>
    <w:rsid w:val="4D075EB4"/>
    <w:rsid w:val="4F44628A"/>
    <w:rsid w:val="4FC5343D"/>
    <w:rsid w:val="50320CB3"/>
    <w:rsid w:val="51CD7A6D"/>
    <w:rsid w:val="52561B45"/>
    <w:rsid w:val="54172F0D"/>
    <w:rsid w:val="55B52294"/>
    <w:rsid w:val="57591835"/>
    <w:rsid w:val="57652477"/>
    <w:rsid w:val="58CE47E0"/>
    <w:rsid w:val="5AD578FD"/>
    <w:rsid w:val="5AE955F5"/>
    <w:rsid w:val="5C9C2DC7"/>
    <w:rsid w:val="5CB94CB9"/>
    <w:rsid w:val="5D3D306E"/>
    <w:rsid w:val="5EC70737"/>
    <w:rsid w:val="60EC5044"/>
    <w:rsid w:val="61113385"/>
    <w:rsid w:val="61E2220D"/>
    <w:rsid w:val="62CB508E"/>
    <w:rsid w:val="62EE081E"/>
    <w:rsid w:val="661351E0"/>
    <w:rsid w:val="67312C65"/>
    <w:rsid w:val="67400376"/>
    <w:rsid w:val="68D40AB8"/>
    <w:rsid w:val="68D63533"/>
    <w:rsid w:val="68DD7195"/>
    <w:rsid w:val="69F56C57"/>
    <w:rsid w:val="6A5A2318"/>
    <w:rsid w:val="6D031FD1"/>
    <w:rsid w:val="6D3B019C"/>
    <w:rsid w:val="6D994AFD"/>
    <w:rsid w:val="6D9E0886"/>
    <w:rsid w:val="6E805DCC"/>
    <w:rsid w:val="6FAE3790"/>
    <w:rsid w:val="719E7459"/>
    <w:rsid w:val="71D76F65"/>
    <w:rsid w:val="734A79C2"/>
    <w:rsid w:val="776902C5"/>
    <w:rsid w:val="7A6F4AD7"/>
    <w:rsid w:val="7B065F63"/>
    <w:rsid w:val="7E466580"/>
    <w:rsid w:val="7FF221A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uiPriority="0" w:name="Body Text 2"/>
    <w:lsdException w:qFormat="1" w:unhideWhenUsed="0" w:uiPriority="0" w:semiHidden="0" w:name="Body Text 3"/>
    <w:lsdException w:uiPriority="0" w:name="Body Text Indent 2"/>
    <w:lsdException w:qFormat="1" w:unhideWhenUsed="0" w:uiPriority="0" w:semiHidden="0" w:name="Body Text Indent 3"/>
    <w:lsdException w:uiPriority="0" w:name="Block Text"/>
    <w:lsdException w:qFormat="1" w:unhideWhenUsed="0" w:uiPriority="99" w:semiHidden="0" w:name="Hyperlink"/>
    <w:lsdException w:qFormat="1" w:uiPriority="99"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next w:val="1"/>
    <w:link w:val="47"/>
    <w:qFormat/>
    <w:uiPriority w:val="0"/>
    <w:pPr>
      <w:keepNext/>
      <w:keepLines/>
      <w:spacing w:before="340" w:after="330" w:line="576" w:lineRule="auto"/>
      <w:outlineLvl w:val="0"/>
    </w:pPr>
    <w:rPr>
      <w:rFonts w:ascii="Times New Roman" w:hAnsi="Times New Roman"/>
      <w:b/>
      <w:kern w:val="44"/>
      <w:sz w:val="44"/>
      <w:szCs w:val="20"/>
    </w:rPr>
  </w:style>
  <w:style w:type="paragraph" w:styleId="5">
    <w:name w:val="heading 2"/>
    <w:basedOn w:val="1"/>
    <w:next w:val="1"/>
    <w:link w:val="48"/>
    <w:qFormat/>
    <w:uiPriority w:val="0"/>
    <w:pPr>
      <w:keepNext/>
      <w:keepLines/>
      <w:spacing w:before="260" w:after="260" w:line="412" w:lineRule="auto"/>
      <w:outlineLvl w:val="1"/>
    </w:pPr>
    <w:rPr>
      <w:rFonts w:ascii="Arial" w:hAnsi="Arial" w:eastAsia="黑体"/>
      <w:b/>
      <w:sz w:val="32"/>
      <w:szCs w:val="20"/>
    </w:rPr>
  </w:style>
  <w:style w:type="paragraph" w:styleId="6">
    <w:name w:val="heading 3"/>
    <w:basedOn w:val="1"/>
    <w:next w:val="1"/>
    <w:link w:val="49"/>
    <w:qFormat/>
    <w:uiPriority w:val="0"/>
    <w:pPr>
      <w:keepNext/>
      <w:keepLines/>
      <w:spacing w:before="260" w:after="260" w:line="412" w:lineRule="auto"/>
      <w:ind w:firstLine="49" w:firstLineChars="49"/>
      <w:outlineLvl w:val="2"/>
    </w:pPr>
    <w:rPr>
      <w:rFonts w:ascii="黑体" w:eastAsia="黑体"/>
      <w:sz w:val="28"/>
      <w:szCs w:val="20"/>
    </w:rPr>
  </w:style>
  <w:style w:type="paragraph" w:styleId="7">
    <w:name w:val="heading 4"/>
    <w:basedOn w:val="1"/>
    <w:next w:val="1"/>
    <w:link w:val="50"/>
    <w:qFormat/>
    <w:uiPriority w:val="0"/>
    <w:pPr>
      <w:keepNext/>
      <w:keepLines/>
      <w:spacing w:before="280" w:after="290" w:line="374" w:lineRule="auto"/>
      <w:outlineLvl w:val="3"/>
    </w:pPr>
    <w:rPr>
      <w:rFonts w:ascii="Arial" w:hAnsi="Arial" w:eastAsia="黑体"/>
      <w:b/>
      <w:bCs/>
      <w:sz w:val="28"/>
      <w:szCs w:val="28"/>
    </w:rPr>
  </w:style>
  <w:style w:type="paragraph" w:styleId="8">
    <w:name w:val="heading 5"/>
    <w:basedOn w:val="1"/>
    <w:next w:val="1"/>
    <w:link w:val="71"/>
    <w:semiHidden/>
    <w:unhideWhenUsed/>
    <w:qFormat/>
    <w:uiPriority w:val="9"/>
    <w:pPr>
      <w:keepNext/>
      <w:keepLines/>
      <w:spacing w:before="280" w:after="290" w:line="376" w:lineRule="auto"/>
      <w:outlineLvl w:val="4"/>
    </w:pPr>
    <w:rPr>
      <w:rFonts w:ascii="Times New Roman" w:hAnsi="Times New Roman"/>
      <w:b/>
      <w:bCs/>
      <w:sz w:val="28"/>
      <w:szCs w:val="28"/>
    </w:rPr>
  </w:style>
  <w:style w:type="paragraph" w:styleId="9">
    <w:name w:val="heading 6"/>
    <w:basedOn w:val="1"/>
    <w:next w:val="1"/>
    <w:link w:val="51"/>
    <w:qFormat/>
    <w:uiPriority w:val="0"/>
    <w:pPr>
      <w:keepNext/>
      <w:keepLines/>
      <w:widowControl/>
      <w:tabs>
        <w:tab w:val="left" w:pos="1440"/>
      </w:tabs>
      <w:spacing w:before="240" w:after="64" w:line="319" w:lineRule="auto"/>
      <w:ind w:left="1152" w:hanging="1152"/>
      <w:jc w:val="left"/>
      <w:outlineLvl w:val="5"/>
    </w:pPr>
    <w:rPr>
      <w:rFonts w:ascii="Arial" w:hAnsi="Arial" w:eastAsia="黑体"/>
      <w:b/>
      <w:bCs/>
      <w:kern w:val="0"/>
      <w:sz w:val="24"/>
      <w:szCs w:val="20"/>
    </w:rPr>
  </w:style>
  <w:style w:type="paragraph" w:styleId="10">
    <w:name w:val="heading 7"/>
    <w:basedOn w:val="1"/>
    <w:next w:val="1"/>
    <w:link w:val="52"/>
    <w:qFormat/>
    <w:uiPriority w:val="0"/>
    <w:pPr>
      <w:keepNext/>
      <w:keepLines/>
      <w:widowControl/>
      <w:tabs>
        <w:tab w:val="left" w:pos="2520"/>
      </w:tabs>
      <w:spacing w:before="240" w:after="64" w:line="319" w:lineRule="auto"/>
      <w:ind w:left="1296" w:hanging="1296"/>
      <w:jc w:val="left"/>
      <w:outlineLvl w:val="6"/>
    </w:pPr>
    <w:rPr>
      <w:rFonts w:ascii="Times New Roman" w:hAnsi="Times New Roman"/>
      <w:b/>
      <w:bCs/>
      <w:kern w:val="0"/>
      <w:sz w:val="24"/>
      <w:szCs w:val="20"/>
    </w:rPr>
  </w:style>
  <w:style w:type="paragraph" w:styleId="11">
    <w:name w:val="heading 8"/>
    <w:basedOn w:val="1"/>
    <w:next w:val="1"/>
    <w:link w:val="53"/>
    <w:qFormat/>
    <w:uiPriority w:val="0"/>
    <w:pPr>
      <w:keepNext/>
      <w:keepLines/>
      <w:widowControl/>
      <w:tabs>
        <w:tab w:val="left" w:pos="1440"/>
      </w:tabs>
      <w:spacing w:before="240" w:after="64" w:line="319" w:lineRule="auto"/>
      <w:ind w:left="1440" w:hanging="1440"/>
      <w:jc w:val="left"/>
      <w:outlineLvl w:val="7"/>
    </w:pPr>
    <w:rPr>
      <w:rFonts w:ascii="Arial" w:hAnsi="Arial" w:eastAsia="黑体"/>
      <w:kern w:val="0"/>
      <w:sz w:val="24"/>
      <w:szCs w:val="20"/>
    </w:rPr>
  </w:style>
  <w:style w:type="paragraph" w:styleId="12">
    <w:name w:val="heading 9"/>
    <w:basedOn w:val="1"/>
    <w:next w:val="1"/>
    <w:link w:val="54"/>
    <w:qFormat/>
    <w:uiPriority w:val="0"/>
    <w:pPr>
      <w:keepNext/>
      <w:keepLines/>
      <w:widowControl/>
      <w:tabs>
        <w:tab w:val="left" w:pos="1584"/>
      </w:tabs>
      <w:spacing w:before="240" w:after="64" w:line="319" w:lineRule="auto"/>
      <w:ind w:left="1584" w:hanging="1584"/>
      <w:jc w:val="left"/>
      <w:outlineLvl w:val="8"/>
    </w:pPr>
    <w:rPr>
      <w:rFonts w:ascii="Arial" w:hAnsi="Arial" w:eastAsia="黑体"/>
      <w:kern w:val="0"/>
      <w:szCs w:val="21"/>
    </w:rPr>
  </w:style>
  <w:style w:type="character" w:default="1" w:styleId="39">
    <w:name w:val="Default Paragraph Font"/>
    <w:semiHidden/>
    <w:unhideWhenUsed/>
    <w:qFormat/>
    <w:uiPriority w:val="1"/>
  </w:style>
  <w:style w:type="table" w:default="1" w:styleId="38">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link w:val="78"/>
    <w:qFormat/>
    <w:uiPriority w:val="0"/>
    <w:pPr>
      <w:spacing w:line="312" w:lineRule="auto"/>
      <w:ind w:firstLine="420"/>
    </w:pPr>
    <w:rPr>
      <w:rFonts w:ascii="Times New Roman" w:hAnsi="Times New Roman"/>
      <w:szCs w:val="24"/>
    </w:rPr>
  </w:style>
  <w:style w:type="paragraph" w:styleId="3">
    <w:name w:val="Body Text"/>
    <w:basedOn w:val="1"/>
    <w:link w:val="77"/>
    <w:unhideWhenUsed/>
    <w:qFormat/>
    <w:uiPriority w:val="0"/>
    <w:pPr>
      <w:spacing w:after="120"/>
    </w:pPr>
    <w:rPr>
      <w:rFonts w:ascii="Times New Roman" w:hAnsi="Times New Roman"/>
      <w:szCs w:val="20"/>
    </w:rPr>
  </w:style>
  <w:style w:type="paragraph" w:styleId="13">
    <w:name w:val="toc 7"/>
    <w:basedOn w:val="1"/>
    <w:next w:val="1"/>
    <w:qFormat/>
    <w:uiPriority w:val="39"/>
    <w:pPr>
      <w:ind w:left="1200" w:leftChars="1200"/>
    </w:pPr>
  </w:style>
  <w:style w:type="paragraph" w:styleId="14">
    <w:name w:val="Normal Indent"/>
    <w:basedOn w:val="1"/>
    <w:qFormat/>
    <w:uiPriority w:val="0"/>
    <w:pPr>
      <w:ind w:firstLine="420"/>
    </w:pPr>
  </w:style>
  <w:style w:type="paragraph" w:styleId="15">
    <w:name w:val="Document Map"/>
    <w:basedOn w:val="1"/>
    <w:link w:val="60"/>
    <w:qFormat/>
    <w:uiPriority w:val="0"/>
    <w:rPr>
      <w:rFonts w:ascii="宋体" w:cs="宋体"/>
      <w:sz w:val="18"/>
      <w:szCs w:val="18"/>
    </w:rPr>
  </w:style>
  <w:style w:type="paragraph" w:styleId="16">
    <w:name w:val="annotation text"/>
    <w:basedOn w:val="1"/>
    <w:link w:val="58"/>
    <w:qFormat/>
    <w:uiPriority w:val="0"/>
    <w:pPr>
      <w:jc w:val="left"/>
    </w:pPr>
    <w:rPr>
      <w:rFonts w:ascii="Times New Roman" w:hAnsi="Times New Roman"/>
      <w:szCs w:val="20"/>
    </w:rPr>
  </w:style>
  <w:style w:type="paragraph" w:styleId="17">
    <w:name w:val="Body Text 3"/>
    <w:basedOn w:val="1"/>
    <w:link w:val="62"/>
    <w:qFormat/>
    <w:uiPriority w:val="0"/>
    <w:rPr>
      <w:rFonts w:ascii="宋体"/>
      <w:sz w:val="24"/>
      <w:szCs w:val="20"/>
    </w:rPr>
  </w:style>
  <w:style w:type="paragraph" w:styleId="18">
    <w:name w:val="Body Text Indent"/>
    <w:basedOn w:val="1"/>
    <w:link w:val="79"/>
    <w:qFormat/>
    <w:uiPriority w:val="0"/>
    <w:pPr>
      <w:spacing w:after="120"/>
      <w:ind w:left="420" w:leftChars="200"/>
    </w:pPr>
    <w:rPr>
      <w:rFonts w:ascii="Times New Roman" w:hAnsi="Times New Roman"/>
      <w:szCs w:val="20"/>
    </w:rPr>
  </w:style>
  <w:style w:type="paragraph" w:styleId="19">
    <w:name w:val="toc 5"/>
    <w:basedOn w:val="1"/>
    <w:next w:val="1"/>
    <w:qFormat/>
    <w:uiPriority w:val="39"/>
    <w:pPr>
      <w:ind w:left="800" w:leftChars="800"/>
    </w:pPr>
  </w:style>
  <w:style w:type="paragraph" w:styleId="20">
    <w:name w:val="toc 3"/>
    <w:basedOn w:val="1"/>
    <w:next w:val="1"/>
    <w:qFormat/>
    <w:uiPriority w:val="39"/>
    <w:pPr>
      <w:ind w:left="400" w:leftChars="400"/>
    </w:pPr>
  </w:style>
  <w:style w:type="paragraph" w:styleId="21">
    <w:name w:val="Plain Text"/>
    <w:basedOn w:val="1"/>
    <w:qFormat/>
    <w:uiPriority w:val="0"/>
    <w:rPr>
      <w:rFonts w:ascii="宋体"/>
    </w:rPr>
  </w:style>
  <w:style w:type="paragraph" w:styleId="22">
    <w:name w:val="toc 8"/>
    <w:basedOn w:val="1"/>
    <w:next w:val="1"/>
    <w:qFormat/>
    <w:uiPriority w:val="39"/>
    <w:pPr>
      <w:ind w:left="1400" w:leftChars="1400"/>
    </w:pPr>
  </w:style>
  <w:style w:type="paragraph" w:styleId="23">
    <w:name w:val="Date"/>
    <w:basedOn w:val="1"/>
    <w:next w:val="1"/>
    <w:link w:val="66"/>
    <w:qFormat/>
    <w:uiPriority w:val="0"/>
    <w:pPr>
      <w:ind w:left="2500" w:leftChars="2500"/>
    </w:pPr>
    <w:rPr>
      <w:rFonts w:ascii="Times New Roman" w:hAnsi="Times New Roman"/>
      <w:szCs w:val="20"/>
    </w:rPr>
  </w:style>
  <w:style w:type="paragraph" w:styleId="24">
    <w:name w:val="Balloon Text"/>
    <w:basedOn w:val="1"/>
    <w:link w:val="65"/>
    <w:qFormat/>
    <w:uiPriority w:val="0"/>
    <w:rPr>
      <w:rFonts w:ascii="Times New Roman" w:hAnsi="Times New Roman"/>
      <w:sz w:val="18"/>
      <w:szCs w:val="20"/>
    </w:rPr>
  </w:style>
  <w:style w:type="paragraph" w:styleId="25">
    <w:name w:val="footer"/>
    <w:basedOn w:val="1"/>
    <w:link w:val="61"/>
    <w:qFormat/>
    <w:uiPriority w:val="0"/>
    <w:pPr>
      <w:tabs>
        <w:tab w:val="center" w:pos="4153"/>
        <w:tab w:val="right" w:pos="8306"/>
      </w:tabs>
      <w:snapToGrid w:val="0"/>
      <w:jc w:val="left"/>
    </w:pPr>
    <w:rPr>
      <w:sz w:val="18"/>
    </w:rPr>
  </w:style>
  <w:style w:type="paragraph" w:styleId="26">
    <w:name w:val="header"/>
    <w:basedOn w:val="1"/>
    <w:link w:val="64"/>
    <w:qFormat/>
    <w:uiPriority w:val="0"/>
    <w:pPr>
      <w:tabs>
        <w:tab w:val="center" w:pos="4153"/>
        <w:tab w:val="right" w:pos="8306"/>
      </w:tabs>
      <w:snapToGrid w:val="0"/>
    </w:pPr>
    <w:rPr>
      <w:rFonts w:ascii="Times New Roman" w:hAnsi="Times New Roman"/>
      <w:sz w:val="18"/>
      <w:szCs w:val="20"/>
    </w:rPr>
  </w:style>
  <w:style w:type="paragraph" w:styleId="27">
    <w:name w:val="toc 1"/>
    <w:basedOn w:val="1"/>
    <w:next w:val="1"/>
    <w:qFormat/>
    <w:uiPriority w:val="39"/>
  </w:style>
  <w:style w:type="paragraph" w:styleId="28">
    <w:name w:val="toc 4"/>
    <w:basedOn w:val="1"/>
    <w:next w:val="1"/>
    <w:qFormat/>
    <w:uiPriority w:val="39"/>
    <w:pPr>
      <w:ind w:left="600" w:leftChars="600"/>
    </w:pPr>
  </w:style>
  <w:style w:type="paragraph" w:styleId="29">
    <w:name w:val="toc 6"/>
    <w:basedOn w:val="1"/>
    <w:next w:val="1"/>
    <w:qFormat/>
    <w:uiPriority w:val="39"/>
    <w:pPr>
      <w:ind w:left="1000" w:leftChars="1000"/>
    </w:pPr>
  </w:style>
  <w:style w:type="paragraph" w:styleId="30">
    <w:name w:val="Body Text Indent 3"/>
    <w:basedOn w:val="1"/>
    <w:link w:val="63"/>
    <w:qFormat/>
    <w:uiPriority w:val="0"/>
    <w:pPr>
      <w:spacing w:after="120"/>
      <w:ind w:left="200" w:leftChars="200"/>
    </w:pPr>
    <w:rPr>
      <w:sz w:val="16"/>
      <w:szCs w:val="16"/>
    </w:rPr>
  </w:style>
  <w:style w:type="paragraph" w:styleId="31">
    <w:name w:val="toc 2"/>
    <w:basedOn w:val="1"/>
    <w:next w:val="1"/>
    <w:qFormat/>
    <w:uiPriority w:val="39"/>
    <w:pPr>
      <w:ind w:left="200" w:leftChars="200"/>
    </w:pPr>
  </w:style>
  <w:style w:type="paragraph" w:styleId="32">
    <w:name w:val="toc 9"/>
    <w:basedOn w:val="1"/>
    <w:next w:val="1"/>
    <w:qFormat/>
    <w:uiPriority w:val="39"/>
    <w:pPr>
      <w:ind w:left="1600" w:leftChars="1600"/>
    </w:pPr>
  </w:style>
  <w:style w:type="paragraph" w:styleId="33">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34">
    <w:name w:val="Normal (Web)"/>
    <w:basedOn w:val="1"/>
    <w:qFormat/>
    <w:uiPriority w:val="99"/>
    <w:pPr>
      <w:widowControl/>
      <w:spacing w:before="100" w:beforeAutospacing="1" w:after="100" w:afterAutospacing="1"/>
      <w:jc w:val="left"/>
    </w:pPr>
    <w:rPr>
      <w:rFonts w:ascii="宋体" w:hAnsi="宋体" w:cs="宋体"/>
      <w:color w:val="000000"/>
      <w:kern w:val="0"/>
      <w:sz w:val="24"/>
      <w:szCs w:val="20"/>
    </w:rPr>
  </w:style>
  <w:style w:type="paragraph" w:styleId="35">
    <w:name w:val="index 1"/>
    <w:basedOn w:val="1"/>
    <w:next w:val="1"/>
    <w:qFormat/>
    <w:uiPriority w:val="0"/>
    <w:pPr>
      <w:spacing w:line="220" w:lineRule="exact"/>
      <w:jc w:val="center"/>
    </w:pPr>
    <w:rPr>
      <w:rFonts w:ascii="仿宋_GB2312" w:hAnsi="Times New Roman" w:eastAsia="仿宋_GB2312"/>
      <w:szCs w:val="21"/>
    </w:rPr>
  </w:style>
  <w:style w:type="paragraph" w:styleId="36">
    <w:name w:val="Title"/>
    <w:basedOn w:val="1"/>
    <w:link w:val="83"/>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37">
    <w:name w:val="annotation subject"/>
    <w:basedOn w:val="16"/>
    <w:next w:val="16"/>
    <w:link w:val="59"/>
    <w:qFormat/>
    <w:uiPriority w:val="0"/>
  </w:style>
  <w:style w:type="character" w:styleId="40">
    <w:name w:val="Strong"/>
    <w:qFormat/>
    <w:uiPriority w:val="0"/>
    <w:rPr>
      <w:b/>
      <w:bCs/>
    </w:rPr>
  </w:style>
  <w:style w:type="character" w:styleId="41">
    <w:name w:val="page number"/>
    <w:basedOn w:val="39"/>
    <w:qFormat/>
    <w:uiPriority w:val="0"/>
  </w:style>
  <w:style w:type="character" w:styleId="42">
    <w:name w:val="FollowedHyperlink"/>
    <w:basedOn w:val="39"/>
    <w:semiHidden/>
    <w:unhideWhenUsed/>
    <w:qFormat/>
    <w:uiPriority w:val="99"/>
    <w:rPr>
      <w:color w:val="000000"/>
      <w:u w:val="none"/>
    </w:rPr>
  </w:style>
  <w:style w:type="character" w:styleId="43">
    <w:name w:val="Emphasis"/>
    <w:basedOn w:val="39"/>
    <w:qFormat/>
    <w:uiPriority w:val="0"/>
  </w:style>
  <w:style w:type="character" w:styleId="44">
    <w:name w:val="Hyperlink"/>
    <w:basedOn w:val="39"/>
    <w:qFormat/>
    <w:uiPriority w:val="99"/>
    <w:rPr>
      <w:color w:val="0000FF"/>
      <w:u w:val="single"/>
    </w:rPr>
  </w:style>
  <w:style w:type="character" w:styleId="45">
    <w:name w:val="annotation reference"/>
    <w:qFormat/>
    <w:uiPriority w:val="0"/>
    <w:rPr>
      <w:sz w:val="21"/>
    </w:rPr>
  </w:style>
  <w:style w:type="character" w:styleId="46">
    <w:name w:val="footnote reference"/>
    <w:qFormat/>
    <w:uiPriority w:val="0"/>
    <w:rPr>
      <w:vertAlign w:val="superscript"/>
    </w:rPr>
  </w:style>
  <w:style w:type="character" w:customStyle="1" w:styleId="47">
    <w:name w:val="标题 1 Char"/>
    <w:basedOn w:val="39"/>
    <w:link w:val="4"/>
    <w:qFormat/>
    <w:uiPriority w:val="0"/>
    <w:rPr>
      <w:rFonts w:eastAsia="宋体"/>
      <w:b/>
      <w:kern w:val="44"/>
      <w:sz w:val="44"/>
    </w:rPr>
  </w:style>
  <w:style w:type="character" w:customStyle="1" w:styleId="48">
    <w:name w:val="标题 2 Char"/>
    <w:basedOn w:val="39"/>
    <w:link w:val="5"/>
    <w:qFormat/>
    <w:uiPriority w:val="0"/>
    <w:rPr>
      <w:rFonts w:ascii="Arial" w:hAnsi="Arial" w:eastAsia="黑体"/>
      <w:b/>
      <w:kern w:val="2"/>
      <w:sz w:val="32"/>
    </w:rPr>
  </w:style>
  <w:style w:type="character" w:customStyle="1" w:styleId="49">
    <w:name w:val="标题 3 Char"/>
    <w:basedOn w:val="39"/>
    <w:link w:val="6"/>
    <w:qFormat/>
    <w:uiPriority w:val="0"/>
    <w:rPr>
      <w:rFonts w:ascii="黑体" w:hAnsi="Calibri" w:eastAsia="黑体"/>
      <w:kern w:val="2"/>
      <w:sz w:val="28"/>
    </w:rPr>
  </w:style>
  <w:style w:type="character" w:customStyle="1" w:styleId="50">
    <w:name w:val="标题 4 Char"/>
    <w:basedOn w:val="39"/>
    <w:link w:val="7"/>
    <w:qFormat/>
    <w:uiPriority w:val="0"/>
    <w:rPr>
      <w:rFonts w:ascii="Arial" w:hAnsi="Arial" w:eastAsia="黑体"/>
      <w:b/>
      <w:bCs/>
      <w:kern w:val="2"/>
      <w:sz w:val="28"/>
      <w:szCs w:val="28"/>
    </w:rPr>
  </w:style>
  <w:style w:type="character" w:customStyle="1" w:styleId="51">
    <w:name w:val="标题 6 Char"/>
    <w:basedOn w:val="39"/>
    <w:link w:val="9"/>
    <w:qFormat/>
    <w:uiPriority w:val="0"/>
    <w:rPr>
      <w:rFonts w:ascii="Arial" w:hAnsi="Arial" w:eastAsia="黑体"/>
      <w:b/>
      <w:bCs/>
      <w:sz w:val="24"/>
    </w:rPr>
  </w:style>
  <w:style w:type="character" w:customStyle="1" w:styleId="52">
    <w:name w:val="标题 7 Char"/>
    <w:basedOn w:val="39"/>
    <w:link w:val="10"/>
    <w:qFormat/>
    <w:uiPriority w:val="0"/>
    <w:rPr>
      <w:rFonts w:eastAsia="宋体"/>
      <w:b/>
      <w:bCs/>
      <w:sz w:val="24"/>
    </w:rPr>
  </w:style>
  <w:style w:type="character" w:customStyle="1" w:styleId="53">
    <w:name w:val="标题 8 Char"/>
    <w:basedOn w:val="39"/>
    <w:link w:val="11"/>
    <w:qFormat/>
    <w:uiPriority w:val="0"/>
    <w:rPr>
      <w:rFonts w:ascii="Arial" w:hAnsi="Arial" w:eastAsia="黑体"/>
      <w:sz w:val="24"/>
    </w:rPr>
  </w:style>
  <w:style w:type="character" w:customStyle="1" w:styleId="54">
    <w:name w:val="标题 9 Char"/>
    <w:basedOn w:val="39"/>
    <w:link w:val="12"/>
    <w:qFormat/>
    <w:uiPriority w:val="0"/>
    <w:rPr>
      <w:rFonts w:ascii="Arial" w:hAnsi="Arial" w:eastAsia="黑体"/>
      <w:sz w:val="21"/>
      <w:szCs w:val="21"/>
    </w:rPr>
  </w:style>
  <w:style w:type="character" w:customStyle="1" w:styleId="55">
    <w:name w:val="style_kwd"/>
    <w:basedOn w:val="39"/>
    <w:qFormat/>
    <w:uiPriority w:val="0"/>
  </w:style>
  <w:style w:type="character" w:customStyle="1" w:styleId="56">
    <w:name w:val="批注文字 Char1"/>
    <w:qFormat/>
    <w:uiPriority w:val="0"/>
    <w:rPr>
      <w:rFonts w:ascii="Times New Roman" w:hAnsi="Times New Roman" w:eastAsia="宋体" w:cs="Times New Roman"/>
      <w:sz w:val="20"/>
      <w:szCs w:val="20"/>
      <w:lang w:bidi="ar-SA"/>
    </w:rPr>
  </w:style>
  <w:style w:type="character" w:customStyle="1" w:styleId="57">
    <w:name w:val="Comment Text Char"/>
    <w:qFormat/>
    <w:uiPriority w:val="0"/>
  </w:style>
  <w:style w:type="character" w:customStyle="1" w:styleId="58">
    <w:name w:val="批注文字 Char"/>
    <w:basedOn w:val="39"/>
    <w:link w:val="16"/>
    <w:qFormat/>
    <w:uiPriority w:val="0"/>
    <w:rPr>
      <w:rFonts w:eastAsia="宋体"/>
      <w:kern w:val="2"/>
      <w:sz w:val="21"/>
    </w:rPr>
  </w:style>
  <w:style w:type="character" w:customStyle="1" w:styleId="59">
    <w:name w:val="批注主题 Char"/>
    <w:link w:val="37"/>
    <w:qFormat/>
    <w:uiPriority w:val="0"/>
    <w:rPr>
      <w:rFonts w:eastAsia="宋体"/>
      <w:kern w:val="2"/>
      <w:sz w:val="21"/>
    </w:rPr>
  </w:style>
  <w:style w:type="character" w:customStyle="1" w:styleId="60">
    <w:name w:val="文档结构图 Char"/>
    <w:link w:val="15"/>
    <w:qFormat/>
    <w:uiPriority w:val="0"/>
    <w:rPr>
      <w:rFonts w:ascii="宋体" w:hAnsi="Calibri" w:eastAsia="宋体" w:cs="宋体"/>
      <w:kern w:val="2"/>
      <w:sz w:val="18"/>
      <w:szCs w:val="18"/>
    </w:rPr>
  </w:style>
  <w:style w:type="character" w:customStyle="1" w:styleId="61">
    <w:name w:val="页脚 Char"/>
    <w:link w:val="25"/>
    <w:qFormat/>
    <w:uiPriority w:val="0"/>
    <w:rPr>
      <w:rFonts w:ascii="Calibri" w:hAnsi="Calibri" w:eastAsia="宋体"/>
      <w:kern w:val="2"/>
      <w:sz w:val="18"/>
      <w:szCs w:val="22"/>
    </w:rPr>
  </w:style>
  <w:style w:type="character" w:customStyle="1" w:styleId="62">
    <w:name w:val="正文文本 3 Char"/>
    <w:basedOn w:val="39"/>
    <w:link w:val="17"/>
    <w:qFormat/>
    <w:uiPriority w:val="0"/>
    <w:rPr>
      <w:rFonts w:ascii="宋体" w:hAnsi="Calibri" w:eastAsia="宋体"/>
      <w:kern w:val="2"/>
      <w:sz w:val="24"/>
    </w:rPr>
  </w:style>
  <w:style w:type="character" w:customStyle="1" w:styleId="63">
    <w:name w:val="正文文本缩进 3 Char"/>
    <w:basedOn w:val="39"/>
    <w:link w:val="30"/>
    <w:qFormat/>
    <w:uiPriority w:val="0"/>
    <w:rPr>
      <w:rFonts w:ascii="Calibri" w:hAnsi="Calibri" w:eastAsia="宋体"/>
      <w:kern w:val="2"/>
      <w:sz w:val="16"/>
      <w:szCs w:val="16"/>
    </w:rPr>
  </w:style>
  <w:style w:type="character" w:customStyle="1" w:styleId="64">
    <w:name w:val="页眉 Char"/>
    <w:link w:val="26"/>
    <w:qFormat/>
    <w:uiPriority w:val="0"/>
    <w:rPr>
      <w:rFonts w:eastAsia="宋体"/>
      <w:kern w:val="2"/>
      <w:sz w:val="18"/>
    </w:rPr>
  </w:style>
  <w:style w:type="character" w:customStyle="1" w:styleId="65">
    <w:name w:val="批注框文本 Char"/>
    <w:link w:val="24"/>
    <w:qFormat/>
    <w:uiPriority w:val="0"/>
    <w:rPr>
      <w:rFonts w:eastAsia="宋体"/>
      <w:kern w:val="2"/>
      <w:sz w:val="18"/>
    </w:rPr>
  </w:style>
  <w:style w:type="character" w:customStyle="1" w:styleId="66">
    <w:name w:val="日期 Char"/>
    <w:link w:val="23"/>
    <w:qFormat/>
    <w:uiPriority w:val="0"/>
    <w:rPr>
      <w:rFonts w:eastAsia="宋体"/>
      <w:kern w:val="2"/>
      <w:sz w:val="21"/>
    </w:rPr>
  </w:style>
  <w:style w:type="paragraph" w:customStyle="1" w:styleId="67">
    <w:name w:val="Revision"/>
    <w:qFormat/>
    <w:uiPriority w:val="0"/>
    <w:rPr>
      <w:rFonts w:ascii="Times New Roman" w:hAnsi="Times New Roman" w:eastAsia="宋体" w:cs="Times New Roman"/>
      <w:kern w:val="2"/>
      <w:sz w:val="21"/>
      <w:lang w:val="en-US" w:eastAsia="zh-CN" w:bidi="ar-SA"/>
    </w:rPr>
  </w:style>
  <w:style w:type="paragraph" w:customStyle="1" w:styleId="68">
    <w:name w:val="_Style 23"/>
    <w:basedOn w:val="1"/>
    <w:qFormat/>
    <w:uiPriority w:val="0"/>
    <w:pPr>
      <w:widowControl/>
      <w:spacing w:after="160" w:line="240" w:lineRule="exact"/>
      <w:jc w:val="left"/>
    </w:pPr>
  </w:style>
  <w:style w:type="paragraph" w:customStyle="1" w:styleId="69">
    <w:name w:val="TOC Heading"/>
    <w:basedOn w:val="4"/>
    <w:next w:val="1"/>
    <w:qFormat/>
    <w:uiPriority w:val="0"/>
    <w:pPr>
      <w:widowControl/>
      <w:spacing w:before="480" w:after="0" w:line="276" w:lineRule="auto"/>
      <w:jc w:val="left"/>
      <w:outlineLvl w:val="9"/>
    </w:pPr>
    <w:rPr>
      <w:rFonts w:ascii="Cambria" w:hAnsi="Cambria"/>
      <w:color w:val="365F91"/>
      <w:kern w:val="0"/>
      <w:sz w:val="28"/>
    </w:rPr>
  </w:style>
  <w:style w:type="character" w:customStyle="1" w:styleId="70">
    <w:name w:val="font161"/>
    <w:qFormat/>
    <w:uiPriority w:val="0"/>
    <w:rPr>
      <w:b/>
      <w:bCs/>
      <w:sz w:val="32"/>
      <w:szCs w:val="32"/>
    </w:rPr>
  </w:style>
  <w:style w:type="character" w:customStyle="1" w:styleId="71">
    <w:name w:val="标题 5 Char"/>
    <w:basedOn w:val="39"/>
    <w:link w:val="8"/>
    <w:semiHidden/>
    <w:qFormat/>
    <w:uiPriority w:val="9"/>
    <w:rPr>
      <w:rFonts w:eastAsia="宋体"/>
      <w:b/>
      <w:bCs/>
      <w:kern w:val="2"/>
      <w:sz w:val="28"/>
      <w:szCs w:val="28"/>
    </w:rPr>
  </w:style>
  <w:style w:type="character" w:customStyle="1" w:styleId="72">
    <w:name w:val="正文首行缩进 Char"/>
    <w:basedOn w:val="73"/>
    <w:link w:val="2"/>
    <w:qFormat/>
    <w:uiPriority w:val="0"/>
  </w:style>
  <w:style w:type="character" w:customStyle="1" w:styleId="73">
    <w:name w:val="正文文本 Char"/>
    <w:qFormat/>
    <w:uiPriority w:val="0"/>
    <w:rPr>
      <w:rFonts w:eastAsia="宋体"/>
      <w:kern w:val="2"/>
      <w:sz w:val="21"/>
      <w:szCs w:val="24"/>
      <w:lang w:val="en-US" w:eastAsia="zh-CN" w:bidi="ar-SA"/>
    </w:rPr>
  </w:style>
  <w:style w:type="paragraph" w:customStyle="1" w:styleId="74">
    <w:name w:val="表格文字"/>
    <w:basedOn w:val="1"/>
    <w:qFormat/>
    <w:uiPriority w:val="0"/>
    <w:pPr>
      <w:adjustRightInd w:val="0"/>
      <w:spacing w:line="420" w:lineRule="atLeast"/>
      <w:jc w:val="left"/>
      <w:textAlignment w:val="baseline"/>
    </w:pPr>
    <w:rPr>
      <w:rFonts w:ascii="Times New Roman" w:hAnsi="Times New Roman"/>
      <w:kern w:val="0"/>
      <w:szCs w:val="20"/>
    </w:rPr>
  </w:style>
  <w:style w:type="paragraph" w:customStyle="1" w:styleId="75">
    <w:name w:val="Char"/>
    <w:basedOn w:val="1"/>
    <w:qFormat/>
    <w:uiPriority w:val="0"/>
    <w:pPr>
      <w:widowControl/>
      <w:spacing w:after="160" w:line="240" w:lineRule="exact"/>
      <w:jc w:val="left"/>
    </w:pPr>
    <w:rPr>
      <w:rFonts w:ascii="Verdana" w:hAnsi="Verdana"/>
      <w:kern w:val="0"/>
      <w:sz w:val="20"/>
      <w:szCs w:val="20"/>
      <w:lang w:eastAsia="en-US"/>
    </w:rPr>
  </w:style>
  <w:style w:type="paragraph" w:styleId="76">
    <w:name w:val="List Paragraph"/>
    <w:basedOn w:val="1"/>
    <w:qFormat/>
    <w:uiPriority w:val="0"/>
    <w:pPr>
      <w:ind w:firstLine="420" w:firstLineChars="200"/>
    </w:pPr>
  </w:style>
  <w:style w:type="character" w:customStyle="1" w:styleId="77">
    <w:name w:val="正文文本 Char1"/>
    <w:basedOn w:val="39"/>
    <w:link w:val="3"/>
    <w:qFormat/>
    <w:uiPriority w:val="0"/>
    <w:rPr>
      <w:rFonts w:eastAsia="宋体"/>
      <w:kern w:val="2"/>
      <w:sz w:val="21"/>
    </w:rPr>
  </w:style>
  <w:style w:type="character" w:customStyle="1" w:styleId="78">
    <w:name w:val="正文首行缩进 Char1"/>
    <w:basedOn w:val="77"/>
    <w:link w:val="2"/>
    <w:qFormat/>
    <w:uiPriority w:val="99"/>
  </w:style>
  <w:style w:type="character" w:customStyle="1" w:styleId="79">
    <w:name w:val="正文文本缩进 Char"/>
    <w:basedOn w:val="39"/>
    <w:link w:val="18"/>
    <w:qFormat/>
    <w:uiPriority w:val="0"/>
    <w:rPr>
      <w:rFonts w:eastAsia="宋体"/>
      <w:kern w:val="2"/>
      <w:sz w:val="21"/>
    </w:rPr>
  </w:style>
  <w:style w:type="paragraph" w:customStyle="1" w:styleId="80">
    <w:name w:val="我的正文"/>
    <w:basedOn w:val="1"/>
    <w:qFormat/>
    <w:uiPriority w:val="0"/>
    <w:rPr>
      <w:rFonts w:ascii="宋体" w:hAnsi="宋体"/>
      <w:sz w:val="24"/>
      <w:szCs w:val="24"/>
    </w:rPr>
  </w:style>
  <w:style w:type="paragraph" w:customStyle="1" w:styleId="81">
    <w:name w:val="样式 标题 2 + Times New Roman 四号 非加粗 段前: 5 磅 段后: 0 磅 行距: 固定值 20..."/>
    <w:basedOn w:val="5"/>
    <w:qFormat/>
    <w:uiPriority w:val="0"/>
    <w:pPr>
      <w:spacing w:before="100" w:after="0" w:line="400" w:lineRule="exact"/>
    </w:pPr>
    <w:rPr>
      <w:rFonts w:ascii="Times New Roman" w:hAnsi="Times New Roman" w:cs="宋体"/>
      <w:b w:val="0"/>
      <w:sz w:val="28"/>
    </w:rPr>
  </w:style>
  <w:style w:type="paragraph" w:customStyle="1" w:styleId="82">
    <w:name w:val="样式2"/>
    <w:basedOn w:val="6"/>
    <w:qFormat/>
    <w:uiPriority w:val="0"/>
    <w:pPr>
      <w:spacing w:line="415" w:lineRule="auto"/>
      <w:ind w:firstLine="137"/>
    </w:pPr>
    <w:rPr>
      <w:rFonts w:hAnsi="Times New Roman"/>
      <w:bCs/>
      <w:i/>
      <w:szCs w:val="28"/>
    </w:rPr>
  </w:style>
  <w:style w:type="character" w:customStyle="1" w:styleId="83">
    <w:name w:val="标题 Char"/>
    <w:basedOn w:val="39"/>
    <w:link w:val="36"/>
    <w:qFormat/>
    <w:uiPriority w:val="0"/>
    <w:rPr>
      <w:rFonts w:ascii="Arial" w:hAnsi="Arial" w:eastAsia="宋体"/>
      <w:b/>
      <w:sz w:val="32"/>
    </w:rPr>
  </w:style>
  <w:style w:type="paragraph" w:customStyle="1" w:styleId="84">
    <w:name w:val="Char1"/>
    <w:basedOn w:val="1"/>
    <w:qFormat/>
    <w:uiPriority w:val="0"/>
    <w:pPr>
      <w:tabs>
        <w:tab w:val="left" w:pos="360"/>
      </w:tabs>
    </w:pPr>
    <w:rPr>
      <w:rFonts w:ascii="Times New Roman" w:hAnsi="Times New Roman"/>
      <w:sz w:val="24"/>
      <w:szCs w:val="20"/>
    </w:rPr>
  </w:style>
  <w:style w:type="paragraph" w:customStyle="1" w:styleId="85">
    <w:name w:val="修订1"/>
    <w:qFormat/>
    <w:uiPriority w:val="0"/>
    <w:rPr>
      <w:rFonts w:ascii="Times New Roman" w:hAnsi="Times New Roman" w:eastAsia="宋体" w:cs="Times New Roman"/>
      <w:kern w:val="2"/>
      <w:sz w:val="21"/>
      <w:szCs w:val="24"/>
      <w:lang w:val="en-US" w:eastAsia="zh-CN" w:bidi="ar-SA"/>
    </w:rPr>
  </w:style>
  <w:style w:type="paragraph" w:customStyle="1" w:styleId="86">
    <w:name w:val="样式1"/>
    <w:basedOn w:val="1"/>
    <w:next w:val="7"/>
    <w:qFormat/>
    <w:uiPriority w:val="0"/>
    <w:pPr>
      <w:spacing w:line="360" w:lineRule="auto"/>
      <w:ind w:firstLine="420" w:firstLineChars="200"/>
    </w:pPr>
    <w:rPr>
      <w:rFonts w:ascii="宋体" w:hAnsi="宋体"/>
      <w:szCs w:val="21"/>
    </w:rPr>
  </w:style>
  <w:style w:type="paragraph" w:customStyle="1" w:styleId="87">
    <w:name w:val="6'"/>
    <w:basedOn w:val="1"/>
    <w:qFormat/>
    <w:uiPriority w:val="0"/>
    <w:pPr>
      <w:autoSpaceDE w:val="0"/>
      <w:autoSpaceDN w:val="0"/>
      <w:adjustRightInd w:val="0"/>
      <w:snapToGrid w:val="0"/>
      <w:spacing w:line="320" w:lineRule="exact"/>
      <w:jc w:val="center"/>
      <w:textAlignment w:val="baseline"/>
    </w:pPr>
    <w:rPr>
      <w:rFonts w:ascii="Times New Roman" w:hAnsi="Times New Roman"/>
      <w:spacing w:val="20"/>
      <w:kern w:val="28"/>
      <w:szCs w:val="20"/>
    </w:rPr>
  </w:style>
  <w:style w:type="paragraph" w:customStyle="1" w:styleId="88">
    <w:name w:val="样式 标题 1 + 黑体 三号 非加粗 居中 段前: 6 磅 段后: 6 磅 行距: 固定值 20 磅"/>
    <w:basedOn w:val="4"/>
    <w:qFormat/>
    <w:uiPriority w:val="0"/>
    <w:pPr>
      <w:spacing w:before="120" w:after="120" w:line="400" w:lineRule="exact"/>
      <w:jc w:val="center"/>
    </w:pPr>
    <w:rPr>
      <w:rFonts w:ascii="黑体" w:hAnsi="黑体" w:eastAsia="黑体" w:cs="宋体"/>
      <w:b w:val="0"/>
      <w:sz w:val="32"/>
    </w:rPr>
  </w:style>
  <w:style w:type="paragraph" w:customStyle="1" w:styleId="89">
    <w:name w:val="样式 标题 3 + (中文) 黑体 小四 非加粗 段前: 7.8 磅 段后: 0 磅 行距: 固定值 20 磅"/>
    <w:basedOn w:val="6"/>
    <w:qFormat/>
    <w:uiPriority w:val="0"/>
    <w:pPr>
      <w:spacing w:before="0" w:after="0" w:line="400" w:lineRule="exact"/>
      <w:ind w:firstLine="137"/>
    </w:pPr>
    <w:rPr>
      <w:rFonts w:hAnsi="Times New Roman" w:cs="宋体"/>
      <w:sz w:val="24"/>
    </w:rPr>
  </w:style>
  <w:style w:type="paragraph" w:customStyle="1" w:styleId="90">
    <w:name w:val="1"/>
    <w:basedOn w:val="1"/>
    <w:qFormat/>
    <w:uiPriority w:val="0"/>
    <w:rPr>
      <w:rFonts w:ascii="Times New Roman" w:hAnsi="Times New Roman"/>
      <w:szCs w:val="20"/>
    </w:rPr>
  </w:style>
  <w:style w:type="paragraph" w:customStyle="1" w:styleId="91">
    <w:name w:val="表格"/>
    <w:basedOn w:val="1"/>
    <w:qFormat/>
    <w:uiPriority w:val="0"/>
    <w:pPr>
      <w:jc w:val="center"/>
      <w:textAlignment w:val="center"/>
    </w:pPr>
    <w:rPr>
      <w:rFonts w:ascii="华文细黑" w:hAnsi="华文细黑"/>
      <w:kern w:val="0"/>
      <w:szCs w:val="20"/>
    </w:rPr>
  </w:style>
  <w:style w:type="paragraph" w:customStyle="1" w:styleId="92">
    <w:name w:val="修订2"/>
    <w:qFormat/>
    <w:uiPriority w:val="0"/>
    <w:rPr>
      <w:rFonts w:ascii="Times New Roman" w:hAnsi="Times New Roman" w:eastAsia="宋体" w:cs="Times New Roman"/>
      <w:kern w:val="2"/>
      <w:sz w:val="21"/>
      <w:szCs w:val="24"/>
      <w:lang w:val="en-US" w:eastAsia="zh-CN" w:bidi="ar-SA"/>
    </w:rPr>
  </w:style>
  <w:style w:type="paragraph" w:customStyle="1" w:styleId="93">
    <w:name w:val="Table Paragraph"/>
    <w:basedOn w:val="1"/>
    <w:qFormat/>
    <w:uiPriority w:val="1"/>
  </w:style>
  <w:style w:type="paragraph" w:customStyle="1" w:styleId="94">
    <w:name w:val="Default"/>
    <w:basedOn w:val="1"/>
    <w:qFormat/>
    <w:uiPriority w:val="0"/>
    <w:pPr>
      <w:autoSpaceDE w:val="0"/>
      <w:autoSpaceDN w:val="0"/>
      <w:adjustRightInd w:val="0"/>
      <w:ind w:firstLine="0" w:firstLineChars="0"/>
    </w:pPr>
    <w:rPr>
      <w:rFonts w:ascii="宋体" w:hAnsi="宋体" w:eastAsia="宋体" w:cs="宋体"/>
      <w:color w:val="000000"/>
      <w:sz w:val="24"/>
      <w:szCs w:val="24"/>
    </w:rPr>
  </w:style>
  <w:style w:type="character" w:customStyle="1" w:styleId="95">
    <w:name w:val="red"/>
    <w:basedOn w:val="39"/>
    <w:qFormat/>
    <w:uiPriority w:val="0"/>
    <w:rPr>
      <w:color w:val="FF0000"/>
      <w:sz w:val="18"/>
      <w:szCs w:val="18"/>
    </w:rPr>
  </w:style>
  <w:style w:type="character" w:customStyle="1" w:styleId="96">
    <w:name w:val="red1"/>
    <w:basedOn w:val="39"/>
    <w:qFormat/>
    <w:uiPriority w:val="0"/>
    <w:rPr>
      <w:color w:val="FF0000"/>
      <w:sz w:val="18"/>
      <w:szCs w:val="18"/>
    </w:rPr>
  </w:style>
  <w:style w:type="character" w:customStyle="1" w:styleId="97">
    <w:name w:val="red2"/>
    <w:basedOn w:val="39"/>
    <w:qFormat/>
    <w:uiPriority w:val="0"/>
    <w:rPr>
      <w:color w:val="CC0000"/>
    </w:rPr>
  </w:style>
  <w:style w:type="character" w:customStyle="1" w:styleId="98">
    <w:name w:val="red3"/>
    <w:basedOn w:val="39"/>
    <w:qFormat/>
    <w:uiPriority w:val="0"/>
    <w:rPr>
      <w:color w:val="FF0000"/>
    </w:rPr>
  </w:style>
  <w:style w:type="character" w:customStyle="1" w:styleId="99">
    <w:name w:val="blue"/>
    <w:basedOn w:val="39"/>
    <w:uiPriority w:val="0"/>
    <w:rPr>
      <w:color w:val="0371C6"/>
      <w:sz w:val="21"/>
      <w:szCs w:val="21"/>
    </w:rPr>
  </w:style>
  <w:style w:type="character" w:customStyle="1" w:styleId="100">
    <w:name w:val="green"/>
    <w:basedOn w:val="39"/>
    <w:qFormat/>
    <w:uiPriority w:val="0"/>
    <w:rPr>
      <w:color w:val="66AE00"/>
      <w:sz w:val="18"/>
      <w:szCs w:val="18"/>
    </w:rPr>
  </w:style>
  <w:style w:type="character" w:customStyle="1" w:styleId="101">
    <w:name w:val="green1"/>
    <w:basedOn w:val="39"/>
    <w:qFormat/>
    <w:uiPriority w:val="0"/>
    <w:rPr>
      <w:color w:val="66AE00"/>
      <w:sz w:val="18"/>
      <w:szCs w:val="18"/>
    </w:rPr>
  </w:style>
  <w:style w:type="character" w:customStyle="1" w:styleId="102">
    <w:name w:val="hover25"/>
    <w:basedOn w:val="39"/>
    <w:qFormat/>
    <w:uiPriority w:val="0"/>
  </w:style>
  <w:style w:type="character" w:customStyle="1" w:styleId="103">
    <w:name w:val="gb-jt"/>
    <w:basedOn w:val="39"/>
    <w:qFormat/>
    <w:uiPriority w:val="0"/>
  </w:style>
  <w:style w:type="character" w:customStyle="1" w:styleId="104">
    <w:name w:val="right"/>
    <w:basedOn w:val="39"/>
    <w:qFormat/>
    <w:uiPriority w:val="0"/>
    <w:rPr>
      <w:color w:val="999999"/>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130363F-3BBD-4A9E-82BF-967BF821D34B}">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103</Pages>
  <Words>38857</Words>
  <Characters>25678</Characters>
  <Lines>213</Lines>
  <Paragraphs>128</Paragraphs>
  <TotalTime>3</TotalTime>
  <ScaleCrop>false</ScaleCrop>
  <LinksUpToDate>false</LinksUpToDate>
  <CharactersWithSpaces>64407</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2018-07-10T05:56:00Z</dcterms:created>
  <dc:creator>袁静</dc:creator>
  <cp:lastModifiedBy>河南永明工程管理有限公司:刘立新</cp:lastModifiedBy>
  <cp:lastPrinted>2018-07-13T02:20:00Z</cp:lastPrinted>
  <dcterms:modified xsi:type="dcterms:W3CDTF">2019-08-27T05:53:45Z</dcterms:modified>
  <dc:title>中华人民共和国</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