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p>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rPr>
        <w:t>禹州市实施河长编制“一河一策工作”项目</w:t>
      </w:r>
    </w:p>
    <w:p>
      <w:pPr>
        <w:pStyle w:val="29"/>
        <w:rPr>
          <w:rFonts w:ascii="微软简隶书" w:eastAsia="微软简隶书"/>
          <w:color w:val="000000"/>
        </w:rPr>
      </w:pPr>
    </w:p>
    <w:p>
      <w:pPr>
        <w:pStyle w:val="29"/>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水利局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208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1"/>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1"/>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禹州市实施河长编制“一河一策工作”项目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30"/>
        <w:rPr>
          <w:rFonts w:hint="eastAsia" w:ascii="仿宋" w:hAnsi="仿宋" w:eastAsia="仿宋" w:cs="仿宋"/>
          <w:b/>
          <w:bCs/>
          <w:sz w:val="36"/>
          <w:szCs w:val="36"/>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民政局</w:t>
      </w:r>
      <w:r>
        <w:rPr>
          <w:rFonts w:hint="eastAsia" w:ascii="新宋体" w:hAnsi="新宋体" w:eastAsia="新宋体" w:cs="新宋体"/>
          <w:sz w:val="24"/>
          <w:szCs w:val="24"/>
        </w:rPr>
        <w:t>的委托，就“禹州市实施河长编制“一河一策工作”项目”进行公开招标，欢迎合格的投标人前来投标。</w:t>
      </w:r>
    </w:p>
    <w:p>
      <w:pPr>
        <w:pStyle w:val="60"/>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hint="eastAsia" w:ascii="新宋体" w:hAnsi="新宋体" w:eastAsia="新宋体" w:cs="新宋体"/>
          <w:sz w:val="24"/>
          <w:szCs w:val="24"/>
          <w:lang w:eastAsia="zh-CN"/>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水利局</w:t>
      </w:r>
    </w:p>
    <w:p>
      <w:pPr>
        <w:widowControl/>
        <w:numPr>
          <w:ilvl w:val="0"/>
          <w:numId w:val="6"/>
        </w:numPr>
        <w:shd w:val="clear" w:color="auto" w:fill="FFFFFF"/>
        <w:spacing w:line="400" w:lineRule="exact"/>
        <w:ind w:left="0" w:leftChars="0"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项目名称</w:t>
      </w:r>
      <w:r>
        <w:rPr>
          <w:rFonts w:hint="eastAsia" w:ascii="新宋体" w:hAnsi="新宋体" w:eastAsia="新宋体" w:cs="新宋体"/>
          <w:color w:val="000000"/>
          <w:kern w:val="0"/>
          <w:sz w:val="24"/>
          <w:szCs w:val="24"/>
          <w:lang w:eastAsia="zh-CN"/>
        </w:rPr>
        <w:t>：禹州市实施河长编制“一河一策工作”项目</w:t>
      </w:r>
    </w:p>
    <w:p>
      <w:pPr>
        <w:widowControl/>
        <w:numPr>
          <w:ilvl w:val="0"/>
          <w:numId w:val="0"/>
        </w:numPr>
        <w:shd w:val="clear" w:color="auto" w:fill="FFFFFF"/>
        <w:spacing w:line="400" w:lineRule="exact"/>
        <w:ind w:left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208</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项目需求：河长编制“一河一策工作”（详见招标文件）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307.971716</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307.971716</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1、符合《政府采购法》第二十二条之规定，具有独立法人资格及相应的经营范围（</w:t>
      </w:r>
      <w:r>
        <w:rPr>
          <w:rFonts w:hint="eastAsia" w:ascii="新宋体" w:hAnsi="新宋体" w:eastAsia="新宋体" w:cs="新宋体"/>
          <w:sz w:val="24"/>
          <w:szCs w:val="24"/>
          <w:lang w:eastAsia="zh-CN"/>
        </w:rPr>
        <w:t>以营业执照为准</w:t>
      </w:r>
      <w:r>
        <w:rPr>
          <w:rFonts w:hint="eastAsia" w:ascii="新宋体" w:hAnsi="新宋体" w:eastAsia="新宋体" w:cs="新宋体"/>
          <w:sz w:val="24"/>
          <w:szCs w:val="24"/>
        </w:rPr>
        <w:t>）；</w:t>
      </w:r>
    </w:p>
    <w:p>
      <w:pPr>
        <w:widowControl/>
        <w:shd w:val="clear" w:color="auto" w:fill="FFFFFF"/>
        <w:spacing w:line="400" w:lineRule="exact"/>
        <w:ind w:left="482"/>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color w:val="000000"/>
          <w:kern w:val="0"/>
          <w:sz w:val="24"/>
          <w:szCs w:val="24"/>
        </w:rPr>
        <w:t>投标人具有工程设计水利行业专业乙级及以上资质</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拟派项目负责人具有水利专业中级以上技术职称</w:t>
      </w:r>
      <w:r>
        <w:rPr>
          <w:rFonts w:hint="eastAsia" w:ascii="新宋体" w:hAnsi="新宋体" w:eastAsia="新宋体" w:cs="新宋体"/>
          <w:color w:val="000000"/>
          <w:kern w:val="0"/>
          <w:sz w:val="24"/>
          <w:szCs w:val="24"/>
          <w:lang w:eastAsia="zh-CN"/>
        </w:rPr>
        <w:t>；</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w:t>
      </w:r>
      <w:r>
        <w:rPr>
          <w:rStyle w:val="28"/>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9</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水利局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禹王大道东段</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孟先生</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18864662556</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spacing w:line="360" w:lineRule="auto"/>
        <w:rPr>
          <w:rFonts w:hint="eastAsia" w:ascii="新宋体" w:hAnsi="新宋体" w:eastAsia="新宋体" w:cs="新宋体"/>
          <w:b/>
          <w:sz w:val="24"/>
          <w:szCs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rPr>
          <w:rFonts w:hint="eastAsia"/>
        </w:rPr>
      </w:pPr>
    </w:p>
    <w:p>
      <w:pPr>
        <w:widowControl/>
        <w:numPr>
          <w:ilvl w:val="0"/>
          <w:numId w:val="8"/>
        </w:numPr>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本项目需实现的功能或者目标</w:t>
      </w:r>
    </w:p>
    <w:p>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社会效益：为禹州市县级河长管护河道实现防洪安全、供水安全、粮食安全和生态安全，推进生态文明建设，实现河畅、水清、岸绿、景美的社会效益等，提供技术依据</w:t>
      </w:r>
    </w:p>
    <w:p>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根据国、省、市三级有关河长制意见的通知精神及禹州市的实际情况，对禹州市境内纳入县级河长管护的50条河、沟、渠编制“一河一策”方案，河道总长646km。</w:t>
      </w:r>
    </w:p>
    <w:p>
      <w:pPr>
        <w:widowControl/>
        <w:numPr>
          <w:ilvl w:val="0"/>
          <w:numId w:val="9"/>
        </w:numPr>
        <w:shd w:val="clear" w:color="auto" w:fill="FFFFFF"/>
        <w:spacing w:line="360" w:lineRule="auto"/>
        <w:ind w:firstLine="600"/>
        <w:jc w:val="left"/>
        <w:rPr>
          <w:rFonts w:hint="eastAsia" w:ascii="仿宋" w:hAnsi="仿宋" w:eastAsia="仿宋" w:cs="宋体"/>
          <w:color w:val="auto"/>
          <w:kern w:val="0"/>
          <w:sz w:val="32"/>
          <w:szCs w:val="32"/>
          <w:lang w:val="en-US" w:eastAsia="zh-CN"/>
        </w:rPr>
      </w:pP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r>
        <w:rPr>
          <w:rFonts w:hint="eastAsia" w:ascii="新宋体" w:hAnsi="新宋体" w:eastAsia="新宋体" w:cs="新宋体"/>
          <w:color w:val="000000"/>
          <w:kern w:val="0"/>
          <w:sz w:val="24"/>
          <w:szCs w:val="24"/>
          <w:lang w:val="en-US" w:eastAsia="zh-CN" w:bidi="ar-SA"/>
        </w:rPr>
        <w:t>对禹州市境内纳入县级河长管护的50条河、沟、渠编制“一河一策”方案，河道总长646km。（详见清单）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FF0000"/>
          <w:kern w:val="0"/>
          <w:sz w:val="32"/>
          <w:szCs w:val="32"/>
          <w:lang w:val="en-US" w:eastAsia="zh-CN"/>
        </w:rPr>
      </w:pPr>
      <w:r>
        <w:rPr>
          <w:rFonts w:hint="eastAsia" w:ascii="宋体" w:hAnsi="宋体" w:eastAsia="宋体" w:cs="宋体"/>
          <w:b/>
          <w:bCs/>
          <w:color w:val="000000"/>
          <w:kern w:val="0"/>
          <w:szCs w:val="28"/>
          <w:lang w:val="en-US" w:eastAsia="zh-CN"/>
        </w:rPr>
        <w:t>禹州市实施河长制编制“一河一策”项目</w:t>
      </w:r>
      <w:r>
        <w:rPr>
          <w:rFonts w:hint="eastAsia" w:ascii="宋体" w:hAnsi="宋体" w:eastAsia="宋体" w:cs="宋体"/>
          <w:b/>
          <w:bCs/>
          <w:color w:val="000000"/>
          <w:kern w:val="0"/>
          <w:szCs w:val="28"/>
          <w:lang w:eastAsia="zh-CN"/>
        </w:rPr>
        <w:t>清单表</w:t>
      </w:r>
    </w:p>
    <w:tbl>
      <w:tblPr>
        <w:tblStyle w:val="23"/>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503"/>
        <w:gridCol w:w="2294"/>
        <w:gridCol w:w="1667"/>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河道名称</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流域面积（km</w:t>
            </w:r>
            <w:r>
              <w:rPr>
                <w:rFonts w:hint="eastAsia" w:ascii="宋体" w:hAnsi="宋体" w:eastAsia="宋体" w:cs="宋体"/>
                <w:color w:val="000000"/>
                <w:kern w:val="0"/>
                <w:sz w:val="22"/>
                <w:szCs w:val="22"/>
                <w:vertAlign w:val="superscript"/>
              </w:rPr>
              <w:t>2</w:t>
            </w:r>
            <w:r>
              <w:rPr>
                <w:rFonts w:hint="eastAsia" w:ascii="宋体" w:hAnsi="宋体" w:eastAsia="宋体" w:cs="宋体"/>
                <w:color w:val="000000"/>
                <w:kern w:val="0"/>
                <w:sz w:val="22"/>
                <w:szCs w:val="22"/>
              </w:rPr>
              <w:t>）</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长度（km）</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颍河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910</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59.5</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涌泉河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188.7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37.1</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吴河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19.9</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石柱河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水磨河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19.1</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吕梁江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陈口西沟</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寨外北沟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0.76</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文化河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石梁河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红河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白水河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24.8</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吓水河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泥河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14.1</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高底河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兰河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33.9</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小青河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鸿畅石板河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肖河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8.2</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尚沟河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鲁医河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禁沟河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秦北沟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梁北沟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19.9</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桃树园北沟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0.383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西南护城河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小泥河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92</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21.1</w:t>
            </w:r>
          </w:p>
        </w:tc>
        <w:tc>
          <w:tcPr>
            <w:tcW w:w="1946"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境内流域面积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矿务局南沟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0.29</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0.21</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小泥河城区支沟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花园河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牛沟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12.56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席庄南沟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倒流江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党楼沟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磨河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潘家河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83.4</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龙潭河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77.6</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苌庄石板河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马沟河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柳河沟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12.3</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41</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书堂河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42</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和山房沟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43</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扒村河</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69.7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27.7</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44</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犊水沟</w:t>
            </w:r>
          </w:p>
        </w:tc>
        <w:tc>
          <w:tcPr>
            <w:tcW w:w="2294"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15.7</w:t>
            </w: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45</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纸坊干渠及一支渠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15.7</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46</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纸坊二支渠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47</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白沙新北干渠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48</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白沙北干渠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11.18</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49</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白沙东干渠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35.6</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0"/>
            <w:vAlign w:val="center"/>
          </w:tcPr>
          <w:p>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50</w:t>
            </w:r>
          </w:p>
        </w:tc>
        <w:tc>
          <w:tcPr>
            <w:tcW w:w="2503"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白沙南干渠</w:t>
            </w: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32.6</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2"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2503" w:type="dxa"/>
            <w:noWrap/>
            <w:vAlign w:val="center"/>
          </w:tcPr>
          <w:p>
            <w:pPr>
              <w:widowControl/>
              <w:spacing w:line="240" w:lineRule="auto"/>
              <w:jc w:val="center"/>
              <w:rPr>
                <w:rFonts w:ascii="宋体" w:hAnsi="宋体" w:eastAsia="宋体" w:cs="宋体"/>
                <w:color w:val="000000"/>
                <w:kern w:val="0"/>
                <w:sz w:val="22"/>
                <w:szCs w:val="22"/>
              </w:rPr>
            </w:pPr>
          </w:p>
        </w:tc>
        <w:tc>
          <w:tcPr>
            <w:tcW w:w="2294" w:type="dxa"/>
            <w:noWrap/>
            <w:vAlign w:val="center"/>
          </w:tcPr>
          <w:p>
            <w:pPr>
              <w:widowControl/>
              <w:spacing w:line="240" w:lineRule="auto"/>
              <w:jc w:val="center"/>
              <w:rPr>
                <w:rFonts w:ascii="宋体" w:hAnsi="宋体" w:eastAsia="宋体" w:cs="宋体"/>
                <w:color w:val="000000"/>
                <w:kern w:val="0"/>
                <w:sz w:val="22"/>
                <w:szCs w:val="22"/>
              </w:rPr>
            </w:pPr>
          </w:p>
        </w:tc>
        <w:tc>
          <w:tcPr>
            <w:tcW w:w="1667" w:type="dxa"/>
            <w:noWrap/>
            <w:vAlign w:val="center"/>
          </w:tcPr>
          <w:p>
            <w:pPr>
              <w:widowControl/>
              <w:spacing w:line="240" w:lineRule="auto"/>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646.423</w:t>
            </w:r>
          </w:p>
        </w:tc>
        <w:tc>
          <w:tcPr>
            <w:tcW w:w="1946" w:type="dxa"/>
            <w:noWrap/>
            <w:vAlign w:val="center"/>
          </w:tcPr>
          <w:p>
            <w:pPr>
              <w:widowControl/>
              <w:spacing w:line="240" w:lineRule="auto"/>
              <w:jc w:val="center"/>
              <w:rPr>
                <w:rFonts w:ascii="宋体" w:hAnsi="宋体" w:eastAsia="宋体" w:cs="宋体"/>
                <w:color w:val="000000"/>
                <w:kern w:val="0"/>
                <w:sz w:val="22"/>
                <w:szCs w:val="22"/>
              </w:rPr>
            </w:pPr>
          </w:p>
        </w:tc>
      </w:tr>
    </w:tbl>
    <w:p>
      <w:pPr>
        <w:pageBreakBefore w:val="0"/>
        <w:kinsoku/>
        <w:wordWrap/>
        <w:overflowPunct/>
        <w:topLinePunct w:val="0"/>
        <w:autoSpaceDE/>
        <w:autoSpaceDN/>
        <w:bidi w:val="0"/>
        <w:adjustRightInd/>
        <w:snapToGrid/>
        <w:spacing w:line="600" w:lineRule="exac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项目实施主要过程：对</w:t>
      </w:r>
      <w:r>
        <w:rPr>
          <w:rFonts w:hint="eastAsia" w:ascii="新宋体" w:hAnsi="新宋体" w:eastAsia="新宋体" w:cs="新宋体"/>
          <w:color w:val="auto"/>
          <w:kern w:val="0"/>
          <w:sz w:val="24"/>
          <w:szCs w:val="24"/>
          <w:lang w:eastAsia="zh-CN"/>
        </w:rPr>
        <w:t>县级河长管护的</w:t>
      </w:r>
      <w:r>
        <w:rPr>
          <w:rFonts w:hint="eastAsia" w:ascii="新宋体" w:hAnsi="新宋体" w:eastAsia="新宋体" w:cs="新宋体"/>
          <w:color w:val="auto"/>
          <w:kern w:val="0"/>
          <w:sz w:val="24"/>
          <w:szCs w:val="24"/>
        </w:rPr>
        <w:t>50条河、沟、渠</w:t>
      </w:r>
      <w:r>
        <w:rPr>
          <w:rFonts w:hint="eastAsia" w:ascii="新宋体" w:hAnsi="新宋体" w:eastAsia="新宋体" w:cs="新宋体"/>
          <w:color w:val="000000"/>
          <w:kern w:val="0"/>
          <w:sz w:val="24"/>
          <w:szCs w:val="24"/>
          <w:lang w:val="en-US" w:eastAsia="zh-CN"/>
        </w:rPr>
        <w:t>沿线逐一排查，全面摸排河道现状及存在的问题，收集河流所在区域的水资源、水域岸线、水污染、水生态、水环境、执法监管、岸线细分到行政村的行政区划等方面的基础资料，收集相关政策文件、规划报告等，根据调查、搜集获得的资料，依照水利部、河南省、许昌市“一河一策”编制指南的要求，编制禹州市县级河长责任河湖“一河一策”方案。</w:t>
      </w:r>
    </w:p>
    <w:p>
      <w:pPr>
        <w:pStyle w:val="22"/>
        <w:numPr>
          <w:ilvl w:val="0"/>
          <w:numId w:val="0"/>
        </w:numPr>
      </w:pPr>
      <w:r>
        <w:rPr>
          <w:rFonts w:hint="eastAsia" w:ascii="新宋体" w:hAnsi="新宋体" w:eastAsia="新宋体" w:cs="新宋体"/>
          <w:color w:val="000000"/>
          <w:kern w:val="0"/>
          <w:sz w:val="24"/>
          <w:szCs w:val="24"/>
          <w:lang w:val="en-US" w:eastAsia="zh-CN" w:bidi="ar-SA"/>
        </w:rPr>
        <w:t>社会效益：</w:t>
      </w:r>
    </w:p>
    <w:p>
      <w:pPr>
        <w:keepNext w:val="0"/>
        <w:keepLines w:val="0"/>
        <w:pageBreakBefore w:val="0"/>
        <w:widowControl/>
        <w:numPr>
          <w:ilvl w:val="0"/>
          <w:numId w:val="9"/>
        </w:numPr>
        <w:kinsoku/>
        <w:overflowPunct/>
        <w:bidi w:val="0"/>
        <w:snapToGrid/>
        <w:spacing w:line="360" w:lineRule="auto"/>
        <w:ind w:left="0" w:leftChars="0" w:firstLine="600" w:firstLineChars="0"/>
        <w:jc w:val="both"/>
        <w:textAlignment w:val="center"/>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采购标的执行标准</w:t>
      </w:r>
    </w:p>
    <w:p>
      <w:pPr>
        <w:pStyle w:val="2"/>
        <w:ind w:firstLine="480" w:firstLineChars="200"/>
        <w:rPr>
          <w:rFonts w:hint="eastAsia"/>
          <w:lang w:val="en-US" w:eastAsia="zh-CN"/>
        </w:rPr>
      </w:pPr>
      <w:r>
        <w:rPr>
          <w:rFonts w:hint="eastAsia" w:cs="宋体" w:asciiTheme="minorEastAsia" w:hAnsiTheme="minorEastAsia" w:eastAsiaTheme="minorEastAsia"/>
          <w:kern w:val="0"/>
          <w:sz w:val="24"/>
          <w:szCs w:val="24"/>
          <w:lang w:val="en-US" w:eastAsia="zh-CN" w:bidi="ar-SA"/>
        </w:rPr>
        <w:t>本项目适用现行有效的相关国家、行业以及地方规范、规程和标准</w:t>
      </w:r>
      <w:r>
        <w:rPr>
          <w:rFonts w:hint="eastAsia"/>
          <w:lang w:val="en-US" w:eastAsia="zh-CN"/>
        </w:rPr>
        <w:t>。</w:t>
      </w:r>
    </w:p>
    <w:p>
      <w:pPr>
        <w:pStyle w:val="2"/>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600" w:firstLine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服务标准、期限、效率等要求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投标人须在签订合同30天内完成禹州市实施河长制编制“一河一策”项目，成果符合现行有效的相关国家、行业以及地方规范、规程和标准。需成果文本捌份，成果及相关资料的电子版壹份（含存储移动硬盘）。</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0"/>
        <w:wordWrap w:val="0"/>
        <w:topLinePunct/>
        <w:autoSpaceDE w:val="0"/>
        <w:autoSpaceDN w:val="0"/>
        <w:adjustRightInd w:val="0"/>
        <w:spacing w:line="360" w:lineRule="auto"/>
        <w:ind w:left="420" w:firstLine="240" w:firstLineChars="100"/>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3"/>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pStyle w:val="3"/>
        <w:keepNext w:val="0"/>
        <w:keepLines w:val="0"/>
        <w:pageBreakBefore w:val="0"/>
        <w:kinsoku/>
        <w:overflow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由采购人组织相关人员及专家成立验收小组,按照采购合同约定，依照水利部、河南省、许昌市“一河一策”编制指南的要求，对每一项技术、服务、安全标准的中标人履约情况进行验收确认，并通过专家审查。</w:t>
      </w:r>
    </w:p>
    <w:p>
      <w:pPr>
        <w:pStyle w:val="3"/>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项目名称：禹州市实施河长编制“一河一策工作”项目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YZCG-G2019208</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w:t>
            </w:r>
            <w:r>
              <w:rPr>
                <w:rFonts w:hint="eastAsia" w:cs="仿宋_GB2312" w:asciiTheme="minorEastAsia" w:hAnsiTheme="minorEastAsia"/>
                <w:szCs w:val="21"/>
                <w:lang w:val="en-US" w:eastAsia="zh-CN"/>
              </w:rPr>
              <w:t>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名称：禹州市水利局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地址：禹州市禹王大道东段</w:t>
            </w:r>
            <w:r>
              <w:rPr>
                <w:rFonts w:hint="eastAsia" w:cs="仿宋_GB2312" w:asciiTheme="minorEastAsia" w:hAnsiTheme="minorEastAsia"/>
                <w:szCs w:val="21"/>
                <w:lang w:val="en-US" w:eastAsia="zh-CN"/>
              </w:rPr>
              <w:t xml:space="preserve"> </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联系人：孟先生                    电话：</w:t>
            </w:r>
            <w:r>
              <w:rPr>
                <w:rFonts w:hint="eastAsia" w:cs="仿宋_GB2312" w:asciiTheme="minorEastAsia" w:hAnsiTheme="minorEastAsia"/>
                <w:szCs w:val="21"/>
                <w:lang w:val="en-US" w:eastAsia="zh-CN"/>
              </w:rPr>
              <w:t>18864662556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八、1.投标人具有工程设计水利行业专业乙级及以上资质；</w:t>
            </w:r>
          </w:p>
          <w:p>
            <w:pPr>
              <w:pStyle w:val="2"/>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2、拟派项目负责人具有水利专业中级以上技术职称；</w:t>
            </w:r>
          </w:p>
          <w:p>
            <w:pPr>
              <w:pStyle w:val="2"/>
              <w:ind w:left="0" w:leftChars="0" w:firstLine="0" w:firstLineChars="0"/>
              <w:rPr>
                <w:rFonts w:hint="eastAsia" w:eastAsia="宋体"/>
                <w:lang w:val="en-US" w:eastAsia="zh-CN"/>
              </w:rPr>
            </w:pPr>
            <w:r>
              <w:rPr>
                <w:rFonts w:hint="eastAsia" w:asciiTheme="minorHAnsi" w:hAnsiTheme="minorHAnsi" w:eastAsiaTheme="minorEastAsia" w:cstheme="minorBidi"/>
                <w:kern w:val="2"/>
                <w:sz w:val="21"/>
                <w:szCs w:val="22"/>
                <w:lang w:val="en-US" w:eastAsia="zh-CN" w:bidi="ar-SA"/>
              </w:rPr>
              <w:t>3、被委托人是须是本单位职工，须提供公司为本人缴纳社会保险证明。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kern w:val="0"/>
                <w:sz w:val="24"/>
                <w:szCs w:val="24"/>
                <w:lang w:val="en-US" w:eastAsia="zh-CN"/>
              </w:rPr>
              <w:t>307.971716万元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按照河南省《关于优化政府采购营商环境有关问题的通知》（豫财购（2019）4号文）的要求，不收取投标保证金。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0"/>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rPr>
          <w:rFonts w:hint="eastAsia"/>
          <w:sz w:val="24"/>
          <w:szCs w:val="24"/>
        </w:rPr>
      </w:pPr>
      <w:r>
        <w:rPr>
          <w:rFonts w:hint="eastAsia"/>
          <w:sz w:val="24"/>
          <w:szCs w:val="24"/>
        </w:rPr>
        <w:t>（2）截止时间：同投标截止时间；</w:t>
      </w:r>
    </w:p>
    <w:p>
      <w:pPr>
        <w:pStyle w:val="30"/>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0"/>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0"/>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0"/>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0"/>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5"/>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5"/>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5"/>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5"/>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5"/>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5"/>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5"/>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1.投标人具有工程设计水利行业专业乙级及以上资质；</w:t>
            </w:r>
          </w:p>
          <w:p>
            <w:pPr>
              <w:spacing w:line="360" w:lineRule="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 xml:space="preserve"> 2、拟派项目负责人具有水利专业中级以上技术职称；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5"/>
        <w:spacing w:line="360" w:lineRule="auto"/>
        <w:contextualSpacing/>
        <w:jc w:val="both"/>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hint="eastAsia" w:cs="仿宋_GB2312" w:asciiTheme="minorEastAsia" w:hAnsiTheme="minorEastAsia" w:eastAsiaTheme="minorEastAsia"/>
          <w:b/>
          <w:sz w:val="32"/>
          <w:szCs w:val="32"/>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623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23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 </w:t>
            </w:r>
            <w:r>
              <w:rPr>
                <w:rFonts w:hint="eastAsia" w:cs="仿宋_GB2312" w:asciiTheme="minorEastAsia" w:hAnsiTheme="minorEastAsia"/>
                <w:szCs w:val="21"/>
                <w:lang w:val="en-US" w:eastAsia="zh-CN"/>
              </w:rPr>
              <w:t xml:space="preserve">  30</w:t>
            </w:r>
            <w:r>
              <w:rPr>
                <w:rFonts w:hint="eastAsia" w:cs="仿宋_GB2312" w:asciiTheme="minorEastAsia" w:hAnsiTheme="minorEastAsia"/>
                <w:szCs w:val="21"/>
                <w:lang w:val="zh-CN"/>
              </w:rPr>
              <w:t>    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商务部分：   </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    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技术部分：   </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2520" w:firstLineChars="12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投标报价得分=（评标基准价/投标报价）×价格权值（</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）×100%。</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 注：计算结果保留小数点后两位。</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2100" w:firstLineChars="1000"/>
              <w:contextualSpacing/>
              <w:rPr>
                <w:rFonts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企业实力</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1、有质量管理体系、职业健康安全管理体系、环境管理体系认证，每提供一项得2分，最多得6分。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投标人业绩</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投标人每提供1份2016年1月1日以来类似项目业绩（水利项目勘测设计）的每项得</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分，最多得</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分。（标书中附中标通知书和合同协议书的复印件）</w:t>
            </w:r>
            <w:r>
              <w:rPr>
                <w:rFonts w:hint="eastAsia" w:cs="仿宋_GB2312" w:asciiTheme="minorEastAsia" w:hAnsiTheme="minorEastAsia"/>
                <w:szCs w:val="21"/>
                <w:lang w:val="en-US" w:eastAsia="zh-CN"/>
              </w:rPr>
              <w:t xml:space="preserve">                                             2、</w:t>
            </w:r>
            <w:r>
              <w:rPr>
                <w:rFonts w:hint="eastAsia" w:cs="仿宋_GB2312" w:asciiTheme="minorEastAsia" w:hAnsiTheme="minorEastAsia"/>
                <w:szCs w:val="21"/>
                <w:lang w:val="zh-CN"/>
              </w:rPr>
              <w:t>投标人每提供1份2016年1月1日以来</w:t>
            </w:r>
            <w:r>
              <w:rPr>
                <w:rFonts w:hint="eastAsia" w:cs="仿宋_GB2312" w:asciiTheme="minorEastAsia" w:hAnsiTheme="minorEastAsia"/>
                <w:szCs w:val="21"/>
                <w:lang w:val="zh-CN" w:eastAsia="zh-CN"/>
              </w:rPr>
              <w:t>拟派项目负责人</w:t>
            </w:r>
            <w:r>
              <w:rPr>
                <w:rFonts w:hint="eastAsia" w:cs="仿宋_GB2312" w:asciiTheme="minorEastAsia" w:hAnsiTheme="minorEastAsia"/>
                <w:szCs w:val="21"/>
                <w:lang w:val="zh-CN"/>
              </w:rPr>
              <w:t>类似项目业绩（水利项目勘测设计）的每项得</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分，最多得</w:t>
            </w:r>
            <w:r>
              <w:rPr>
                <w:rFonts w:hint="eastAsia" w:cs="仿宋_GB2312" w:asciiTheme="minorEastAsia" w:hAnsiTheme="minorEastAsia"/>
                <w:szCs w:val="21"/>
                <w:lang w:val="en-US" w:eastAsia="zh-CN"/>
              </w:rPr>
              <w:t>10</w:t>
            </w:r>
            <w:r>
              <w:rPr>
                <w:rFonts w:hint="eastAsia" w:cs="仿宋_GB2312" w:asciiTheme="minorEastAsia" w:hAnsiTheme="minorEastAsia"/>
                <w:szCs w:val="21"/>
                <w:lang w:val="zh-CN"/>
              </w:rPr>
              <w:t>分。（标书中附中标通知书和合同协议书的复印件）</w:t>
            </w:r>
            <w:r>
              <w:rPr>
                <w:rFonts w:hint="eastAsia" w:cs="仿宋_GB2312" w:asciiTheme="minorEastAsia" w:hAnsiTheme="minorEastAsia"/>
                <w:szCs w:val="21"/>
                <w:lang w:val="en-US" w:eastAsia="zh-CN"/>
              </w:rPr>
              <w:t xml:space="preserve">   </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20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eastAsia="zh-CN"/>
              </w:rPr>
              <w:t>投标文件制作</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无错页、无错别字得4分，发现处扣1分，扣完为止。</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2100" w:firstLineChars="1000"/>
              <w:contextualSpacing/>
              <w:rPr>
                <w:rFonts w:cs="仿宋_GB2312" w:asciiTheme="minorEastAsia" w:hAnsiTheme="minorEastAsia"/>
                <w:szCs w:val="21"/>
                <w:lang w:val="zh-CN"/>
              </w:rPr>
            </w:pPr>
            <w:r>
              <w:rPr>
                <w:rFonts w:hint="eastAsia" w:cs="仿宋_GB2312" w:asciiTheme="minorEastAsia" w:hAnsiTheme="minorEastAsia"/>
                <w:szCs w:val="21"/>
                <w:lang w:val="zh-CN"/>
              </w:rPr>
              <w:t>三、技术部分（满分</w:t>
            </w:r>
            <w:r>
              <w:rPr>
                <w:rFonts w:hint="eastAsia" w:cs="仿宋_GB2312" w:asciiTheme="minorEastAsia" w:hAnsiTheme="minorEastAsia"/>
                <w:szCs w:val="21"/>
                <w:lang w:val="en-US" w:eastAsia="zh-CN"/>
              </w:rPr>
              <w:t>40</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48" w:type="dxa"/>
            <w:vMerge w:val="restart"/>
            <w:tcBorders>
              <w:top w:val="single" w:color="auto" w:sz="4" w:space="0"/>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对招标文件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响应程度（</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0分）</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1、对项目的理解。对项目理解较透彻，对项目的重点、难点分析较准确、有针对性，得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总体工作思路。总体工作思路清晰、符合项目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实际，工作方案合理，重点突出，满足项目要求得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3、质量保证体系及保证措。质量保证体系健全，措施合理得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4、进度计划及保障措施。进度计划合理、保障措施得力得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5、安全生产及保证措施。安全生产保证体系健全、措施得力、可操作性强得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2048" w:type="dxa"/>
            <w:vMerge w:val="continue"/>
            <w:tcBorders>
              <w:left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6、人力资源配置。组织机构、专业人员配置、人员数量和结构配置合理得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 xml:space="preserve"> 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048" w:type="dxa"/>
            <w:vMerge w:val="continue"/>
            <w:tcBorders>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6236" w:type="dxa"/>
            <w:tcBorders>
              <w:top w:val="single" w:color="auto" w:sz="4" w:space="0"/>
              <w:left w:val="single" w:color="auto" w:sz="4" w:space="0"/>
              <w:bottom w:val="single" w:color="auto" w:sz="4" w:space="0"/>
              <w:right w:val="single" w:color="auto"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7、拟投入的主要设备（4分）主要设备搭配合理、满足调查工作需要得4  分，否则酌情赋分。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服务承诺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仿宋_GB2312" w:asciiTheme="minorEastAsia" w:hAnsiTheme="minorEastAsia"/>
                <w:szCs w:val="21"/>
                <w:lang w:val="en-US" w:eastAsia="zh-CN"/>
              </w:rPr>
              <w:t>0</w:t>
            </w:r>
            <w:r>
              <w:rPr>
                <w:rFonts w:hint="eastAsia" w:cs="仿宋_GB2312" w:asciiTheme="minorEastAsia" w:hAnsiTheme="minorEastAsia"/>
                <w:szCs w:val="21"/>
                <w:lang w:val="zh-CN"/>
              </w:rPr>
              <w:t>分）</w:t>
            </w:r>
          </w:p>
        </w:tc>
        <w:tc>
          <w:tcPr>
            <w:tcW w:w="6236"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1、服务体系的完备性、技术力量（提供相关证明材料）横向比较可得0—</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2、售后服务机构设置、人员配备、装备情况、售后服务内容、售后服务响应时间及培训方案等进行综合评定给分0-</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w:t>
            </w:r>
          </w:p>
        </w:tc>
        <w:tc>
          <w:tcPr>
            <w:tcW w:w="1002" w:type="dxa"/>
            <w:tcBorders>
              <w:top w:val="single" w:color="auto" w:sz="4" w:space="0"/>
              <w:left w:val="single" w:color="auto" w:sz="4" w:space="0"/>
              <w:bottom w:val="single" w:color="auto" w:sz="4" w:space="0"/>
              <w:right w:val="single" w:color="auto"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zh-CN"/>
              </w:rPr>
              <w:t>1</w:t>
            </w:r>
            <w:r>
              <w:rPr>
                <w:rFonts w:hint="eastAsia" w:cs="仿宋_GB2312" w:asciiTheme="minorEastAsia" w:hAnsiTheme="minorEastAsia"/>
                <w:szCs w:val="21"/>
                <w:lang w:val="en-US" w:eastAsia="zh-CN"/>
              </w:rPr>
              <w:t>0</w:t>
            </w:r>
          </w:p>
        </w:tc>
      </w:tr>
    </w:tbl>
    <w:p>
      <w:pPr>
        <w:pStyle w:val="29"/>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9"/>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both"/>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hint="eastAsia"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3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bookmarkStart w:id="9" w:name="_GoBack"/>
      <w:bookmarkEnd w:id="9"/>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F6F3D20A"/>
    <w:multiLevelType w:val="singleLevel"/>
    <w:tmpl w:val="F6F3D20A"/>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F9EBF59"/>
    <w:multiLevelType w:val="singleLevel"/>
    <w:tmpl w:val="2F9EBF59"/>
    <w:lvl w:ilvl="0" w:tentative="0">
      <w:start w:val="1"/>
      <w:numFmt w:val="chineseCounting"/>
      <w:suff w:val="nothing"/>
      <w:lvlText w:val="（%1）"/>
      <w:lvlJc w:val="left"/>
      <w:rPr>
        <w:rFonts w:hint="eastAsia"/>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3"/>
      <w:suff w:val="nothing"/>
      <w:lvlText w:val="%1、"/>
      <w:lvlJc w:val="left"/>
    </w:lvl>
  </w:abstractNum>
  <w:abstractNum w:abstractNumId="11">
    <w:nsid w:val="5DEAF216"/>
    <w:multiLevelType w:val="singleLevel"/>
    <w:tmpl w:val="5DEAF216"/>
    <w:lvl w:ilvl="0" w:tentative="0">
      <w:start w:val="2"/>
      <w:numFmt w:val="chineseCounting"/>
      <w:suff w:val="nothing"/>
      <w:lvlText w:val="（%1）"/>
      <w:lvlJc w:val="left"/>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10"/>
  </w:num>
  <w:num w:numId="4">
    <w:abstractNumId w:val="8"/>
  </w:num>
  <w:num w:numId="5">
    <w:abstractNumId w:val="4"/>
  </w:num>
  <w:num w:numId="6">
    <w:abstractNumId w:val="1"/>
  </w:num>
  <w:num w:numId="7">
    <w:abstractNumId w:val="9"/>
  </w:num>
  <w:num w:numId="8">
    <w:abstractNumId w:val="7"/>
  </w:num>
  <w:num w:numId="9">
    <w:abstractNumId w:val="11"/>
  </w:num>
  <w:num w:numId="10">
    <w:abstractNumId w:val="0"/>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7217D3"/>
    <w:rsid w:val="03A87C38"/>
    <w:rsid w:val="03C54AE6"/>
    <w:rsid w:val="04AC3A15"/>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F46B6D"/>
    <w:rsid w:val="0CF874BC"/>
    <w:rsid w:val="0D057A5F"/>
    <w:rsid w:val="0D403087"/>
    <w:rsid w:val="0E3648A2"/>
    <w:rsid w:val="0F485C64"/>
    <w:rsid w:val="0FD30C14"/>
    <w:rsid w:val="101B403B"/>
    <w:rsid w:val="110E6851"/>
    <w:rsid w:val="1139362B"/>
    <w:rsid w:val="116D26CD"/>
    <w:rsid w:val="11C23651"/>
    <w:rsid w:val="11E13F76"/>
    <w:rsid w:val="123143AC"/>
    <w:rsid w:val="129267D1"/>
    <w:rsid w:val="12C422CE"/>
    <w:rsid w:val="13903C42"/>
    <w:rsid w:val="13B159A7"/>
    <w:rsid w:val="13D62A9D"/>
    <w:rsid w:val="13EB69AF"/>
    <w:rsid w:val="13EF7D11"/>
    <w:rsid w:val="140778EB"/>
    <w:rsid w:val="155C6126"/>
    <w:rsid w:val="155E38CF"/>
    <w:rsid w:val="158908A7"/>
    <w:rsid w:val="160E3E81"/>
    <w:rsid w:val="16EB2042"/>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AE49D7"/>
    <w:rsid w:val="1C2D1536"/>
    <w:rsid w:val="1CCF2F1D"/>
    <w:rsid w:val="1CF87F0B"/>
    <w:rsid w:val="1CFB73D3"/>
    <w:rsid w:val="1D3B1EEC"/>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900DD5"/>
    <w:rsid w:val="27CD14F5"/>
    <w:rsid w:val="28E96646"/>
    <w:rsid w:val="28F2008A"/>
    <w:rsid w:val="293C5FB1"/>
    <w:rsid w:val="29A55E19"/>
    <w:rsid w:val="29F94CB1"/>
    <w:rsid w:val="2A553543"/>
    <w:rsid w:val="2A745111"/>
    <w:rsid w:val="2AB1472A"/>
    <w:rsid w:val="2AF87034"/>
    <w:rsid w:val="2B022C78"/>
    <w:rsid w:val="2C014C3B"/>
    <w:rsid w:val="2D4A693F"/>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75656B9"/>
    <w:rsid w:val="375B6549"/>
    <w:rsid w:val="37627558"/>
    <w:rsid w:val="37AC24EF"/>
    <w:rsid w:val="37B91083"/>
    <w:rsid w:val="383731D3"/>
    <w:rsid w:val="38ED1382"/>
    <w:rsid w:val="39FD28B4"/>
    <w:rsid w:val="3A403E64"/>
    <w:rsid w:val="3AC47AB6"/>
    <w:rsid w:val="3ADD0A2E"/>
    <w:rsid w:val="3B4C7808"/>
    <w:rsid w:val="3B766492"/>
    <w:rsid w:val="3B7A3E82"/>
    <w:rsid w:val="3B8D0CE8"/>
    <w:rsid w:val="3BA71EF1"/>
    <w:rsid w:val="3C1651F0"/>
    <w:rsid w:val="3C2006E5"/>
    <w:rsid w:val="3C802D3E"/>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420F67"/>
    <w:rsid w:val="43AF27C5"/>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3C1178"/>
    <w:rsid w:val="4F661CEB"/>
    <w:rsid w:val="4FEB5C49"/>
    <w:rsid w:val="505C6771"/>
    <w:rsid w:val="527B1821"/>
    <w:rsid w:val="5310611D"/>
    <w:rsid w:val="53276344"/>
    <w:rsid w:val="53293BFC"/>
    <w:rsid w:val="533D55CA"/>
    <w:rsid w:val="535D3032"/>
    <w:rsid w:val="53C97953"/>
    <w:rsid w:val="53DA095B"/>
    <w:rsid w:val="53F5577A"/>
    <w:rsid w:val="54EC2987"/>
    <w:rsid w:val="55026173"/>
    <w:rsid w:val="5590515E"/>
    <w:rsid w:val="55EF2276"/>
    <w:rsid w:val="562D2F69"/>
    <w:rsid w:val="57024892"/>
    <w:rsid w:val="5703196B"/>
    <w:rsid w:val="57140DA8"/>
    <w:rsid w:val="574A43AC"/>
    <w:rsid w:val="58077CBD"/>
    <w:rsid w:val="5812110B"/>
    <w:rsid w:val="582E1358"/>
    <w:rsid w:val="58323449"/>
    <w:rsid w:val="58854954"/>
    <w:rsid w:val="58D254DE"/>
    <w:rsid w:val="58FD658D"/>
    <w:rsid w:val="59454145"/>
    <w:rsid w:val="5A836AC3"/>
    <w:rsid w:val="5B0C6CA4"/>
    <w:rsid w:val="5BCD4474"/>
    <w:rsid w:val="5CFD3C28"/>
    <w:rsid w:val="5E2C7B65"/>
    <w:rsid w:val="5EB8046C"/>
    <w:rsid w:val="5EC23D91"/>
    <w:rsid w:val="5EEA6FD8"/>
    <w:rsid w:val="5F5D3B89"/>
    <w:rsid w:val="5F91300B"/>
    <w:rsid w:val="5FBD74DE"/>
    <w:rsid w:val="601812B8"/>
    <w:rsid w:val="603F2634"/>
    <w:rsid w:val="60BD0412"/>
    <w:rsid w:val="60C57DDF"/>
    <w:rsid w:val="616C5D6E"/>
    <w:rsid w:val="61775FA5"/>
    <w:rsid w:val="61943CA7"/>
    <w:rsid w:val="619B680C"/>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F272507"/>
    <w:rsid w:val="6F992BAA"/>
    <w:rsid w:val="6FF11A89"/>
    <w:rsid w:val="70117814"/>
    <w:rsid w:val="70602224"/>
    <w:rsid w:val="70C1699F"/>
    <w:rsid w:val="7151172F"/>
    <w:rsid w:val="71617265"/>
    <w:rsid w:val="719549A9"/>
    <w:rsid w:val="71C32A07"/>
    <w:rsid w:val="71E53350"/>
    <w:rsid w:val="720E5D3A"/>
    <w:rsid w:val="72254E2A"/>
    <w:rsid w:val="72ED3426"/>
    <w:rsid w:val="73184127"/>
    <w:rsid w:val="73733509"/>
    <w:rsid w:val="73D40348"/>
    <w:rsid w:val="74304EB5"/>
    <w:rsid w:val="74AB41BE"/>
    <w:rsid w:val="75EA3934"/>
    <w:rsid w:val="76AF6448"/>
    <w:rsid w:val="774700AD"/>
    <w:rsid w:val="777E0158"/>
    <w:rsid w:val="77A5121A"/>
    <w:rsid w:val="788A0F31"/>
    <w:rsid w:val="78F56DD8"/>
    <w:rsid w:val="79373D17"/>
    <w:rsid w:val="7A77760E"/>
    <w:rsid w:val="7AC70899"/>
    <w:rsid w:val="7B3F7553"/>
    <w:rsid w:val="7B7986D1"/>
    <w:rsid w:val="7B877587"/>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4"/>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Indent"/>
    <w:basedOn w:val="1"/>
    <w:next w:val="12"/>
    <w:qFormat/>
    <w:uiPriority w:val="0"/>
    <w:pPr>
      <w:spacing w:line="400" w:lineRule="exact"/>
      <w:ind w:left="630"/>
    </w:pPr>
    <w:rPr>
      <w:rFonts w:ascii="楷体_GB2312" w:eastAsia="宋体"/>
      <w:sz w:val="21"/>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99"/>
    <w:pPr>
      <w:ind w:firstLine="420" w:firstLineChars="200"/>
    </w:pPr>
  </w:style>
  <w:style w:type="character" w:customStyle="1" w:styleId="32">
    <w:name w:val="标题 1 Char"/>
    <w:basedOn w:val="24"/>
    <w:link w:val="4"/>
    <w:qFormat/>
    <w:uiPriority w:val="0"/>
    <w:rPr>
      <w:rFonts w:ascii="Calibri" w:hAnsi="Calibri" w:eastAsia="宋体" w:cs="Times New Roman"/>
      <w:b/>
      <w:bCs/>
      <w:kern w:val="44"/>
      <w:sz w:val="44"/>
      <w:szCs w:val="44"/>
    </w:rPr>
  </w:style>
  <w:style w:type="character" w:customStyle="1" w:styleId="33">
    <w:name w:val="标题 2 Char"/>
    <w:basedOn w:val="24"/>
    <w:link w:val="5"/>
    <w:qFormat/>
    <w:uiPriority w:val="0"/>
    <w:rPr>
      <w:rFonts w:ascii="Arial" w:hAnsi="Arial" w:eastAsia="黑体" w:cs="Times New Roman"/>
      <w:b/>
      <w:bCs/>
      <w:kern w:val="0"/>
      <w:sz w:val="32"/>
      <w:szCs w:val="32"/>
    </w:rPr>
  </w:style>
  <w:style w:type="character" w:customStyle="1" w:styleId="34">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5">
    <w:name w:val="标题 4 Char"/>
    <w:basedOn w:val="24"/>
    <w:link w:val="7"/>
    <w:qFormat/>
    <w:uiPriority w:val="0"/>
    <w:rPr>
      <w:rFonts w:ascii="Arial" w:hAnsi="Arial" w:eastAsia="黑体" w:cs="Times New Roman"/>
      <w:b/>
      <w:bCs/>
      <w:kern w:val="0"/>
      <w:sz w:val="28"/>
      <w:szCs w:val="28"/>
    </w:rPr>
  </w:style>
  <w:style w:type="character" w:customStyle="1" w:styleId="36">
    <w:name w:val="纯文本 Char"/>
    <w:basedOn w:val="24"/>
    <w:link w:val="15"/>
    <w:qFormat/>
    <w:uiPriority w:val="0"/>
    <w:rPr>
      <w:rFonts w:eastAsia="宋体"/>
      <w:sz w:val="24"/>
    </w:rPr>
  </w:style>
  <w:style w:type="character" w:customStyle="1" w:styleId="37">
    <w:name w:val="日期 Char"/>
    <w:basedOn w:val="24"/>
    <w:link w:val="16"/>
    <w:qFormat/>
    <w:uiPriority w:val="99"/>
  </w:style>
  <w:style w:type="character" w:customStyle="1" w:styleId="38">
    <w:name w:val="页脚 Char"/>
    <w:basedOn w:val="24"/>
    <w:link w:val="17"/>
    <w:qFormat/>
    <w:uiPriority w:val="99"/>
    <w:rPr>
      <w:sz w:val="18"/>
      <w:szCs w:val="18"/>
    </w:rPr>
  </w:style>
  <w:style w:type="character" w:customStyle="1" w:styleId="39">
    <w:name w:val="页眉 Char"/>
    <w:basedOn w:val="24"/>
    <w:link w:val="18"/>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4"/>
    <w:link w:val="10"/>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4"/>
    <w:link w:val="3"/>
    <w:semiHidden/>
    <w:qFormat/>
    <w:uiPriority w:val="99"/>
  </w:style>
  <w:style w:type="character" w:customStyle="1" w:styleId="55">
    <w:name w:val="正文首行缩进 Char"/>
    <w:basedOn w:val="54"/>
    <w:link w:val="2"/>
    <w:qFormat/>
    <w:uiPriority w:val="0"/>
    <w:rPr>
      <w:rFonts w:ascii="宋体" w:hAnsi="Times New Roman" w:eastAsia="宋体" w:cs="Times New Roman"/>
      <w:kern w:val="0"/>
      <w:sz w:val="34"/>
      <w:szCs w:val="20"/>
    </w:rPr>
  </w:style>
  <w:style w:type="character" w:customStyle="1" w:styleId="56">
    <w:name w:val="HTML 预设格式 Char"/>
    <w:basedOn w:val="24"/>
    <w:link w:val="20"/>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p0"/>
    <w:basedOn w:val="1"/>
    <w:qFormat/>
    <w:uiPriority w:val="0"/>
    <w:pPr>
      <w:widowControl/>
    </w:pPr>
    <w:rPr>
      <w:kern w:val="0"/>
      <w:szCs w:val="21"/>
    </w:rPr>
  </w:style>
  <w:style w:type="paragraph" w:customStyle="1" w:styleId="65">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2019-08-26T05:20:37Z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