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pStyle w:val="3"/>
        <w:numPr>
          <w:ilvl w:val="0"/>
          <w:numId w:val="0"/>
        </w:numPr>
        <w:spacing w:before="0" w:after="180" w:line="420" w:lineRule="atLeast"/>
        <w:ind w:left="254"/>
        <w:jc w:val="center"/>
        <w:rPr>
          <w:rFonts w:asciiTheme="majorEastAsia" w:hAnsiTheme="majorEastAsia" w:eastAsiaTheme="majorEastAsia" w:cstheme="majorEastAsia"/>
          <w:b w:val="0"/>
          <w:bCs w:val="0"/>
          <w:color w:val="000000"/>
          <w:sz w:val="44"/>
          <w:szCs w:val="44"/>
        </w:rPr>
      </w:pPr>
      <w:r>
        <w:rPr>
          <w:rFonts w:asciiTheme="majorEastAsia" w:hAnsiTheme="majorEastAsia" w:eastAsiaTheme="majorEastAsia" w:cstheme="majorEastAsia"/>
          <w:color w:val="000000"/>
          <w:kern w:val="2"/>
          <w:sz w:val="44"/>
          <w:szCs w:val="44"/>
        </w:rPr>
        <w:t>许昌第二高级中学“许昌二高购学生用床”项目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w:t>
      </w:r>
      <w:bookmarkStart w:id="13" w:name="_GoBack"/>
      <w:bookmarkEnd w:id="13"/>
      <w:r>
        <w:rPr>
          <w:rFonts w:hint="eastAsia" w:asciiTheme="majorEastAsia" w:hAnsiTheme="majorEastAsia" w:eastAsiaTheme="majorEastAsia" w:cstheme="majorEastAsia"/>
          <w:b/>
          <w:bCs/>
          <w:color w:val="000000"/>
          <w:sz w:val="36"/>
          <w:szCs w:val="36"/>
        </w:rPr>
        <w:t>ZFCG-G2019107-1号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asciiTheme="majorEastAsia" w:hAnsiTheme="majorEastAsia" w:eastAsiaTheme="majorEastAsia" w:cstheme="majorEastAsia"/>
          <w:b/>
          <w:bCs/>
          <w:color w:val="000000"/>
          <w:sz w:val="36"/>
          <w:szCs w:val="36"/>
        </w:rPr>
        <w:t>许昌第二高级中学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二〇一九年八月</w:t>
      </w:r>
      <w:r>
        <w:rPr>
          <w:rFonts w:hint="eastAsia" w:asciiTheme="majorEastAsia" w:hAnsiTheme="majorEastAsia" w:eastAsiaTheme="majorEastAsia" w:cstheme="majorEastAsia"/>
          <w:b/>
          <w:bCs/>
          <w:color w:val="000000"/>
          <w:sz w:val="36"/>
          <w:szCs w:val="36"/>
          <w:lang w:eastAsia="zh-CN"/>
        </w:rPr>
        <w:t>二十六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许昌市政府采购中心(以下简称采购中心) 受许昌第二高级中学的委托，对“</w:t>
      </w:r>
      <w:r>
        <w:rPr>
          <w:rFonts w:cs="仿宋_GB2312" w:asciiTheme="minorEastAsia" w:hAnsiTheme="minorEastAsia" w:eastAsiaTheme="minorEastAsia"/>
          <w:color w:val="000000"/>
          <w:sz w:val="21"/>
          <w:szCs w:val="21"/>
          <w:shd w:val="clear" w:color="auto" w:fill="FFFFFF"/>
        </w:rPr>
        <w:t>许昌二高购学生用床</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cs="仿宋_GB2312" w:asciiTheme="minorEastAsia" w:hAnsiTheme="minorEastAsia" w:eastAsiaTheme="minorEastAsia"/>
          <w:color w:val="000000"/>
          <w:sz w:val="21"/>
          <w:szCs w:val="21"/>
          <w:shd w:val="clear" w:color="auto" w:fill="FFFFFF"/>
        </w:rPr>
        <w:t>许昌二高购学生用床</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（二）项目编号：ZFCG-G2019107-1号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（四）项目主要内容、数量及要求：330套钢木双层床</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（五）预算金额：264000元。最高限价：264000元。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：合同生效后五个工作日</w:t>
      </w:r>
    </w:p>
    <w:p>
      <w:pPr>
        <w:pStyle w:val="20"/>
        <w:widowControl/>
        <w:shd w:val="clear" w:color="auto" w:fill="FFFFFF"/>
        <w:spacing w:line="360" w:lineRule="auto"/>
        <w:ind w:firstLine="420"/>
        <w:contextualSpacing/>
        <w:jc w:val="left"/>
      </w:pPr>
      <w:r>
        <w:rPr>
          <w:rFonts w:hint="eastAsia" w:cs="仿宋_GB2312" w:asciiTheme="minorEastAsia" w:hAnsiTheme="minorEastAsia" w:eastAsiaTheme="minorEastAsia"/>
          <w:color w:val="000000"/>
          <w:sz w:val="21"/>
          <w:szCs w:val="21"/>
          <w:shd w:val="clear" w:color="auto" w:fill="FFFFFF"/>
        </w:rPr>
        <w:t>（七）交付（服务、完工）地点：许昌第二高级中学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0"/>
        <w:widowControl/>
        <w:shd w:val="clear" w:color="auto" w:fill="FFFFFF"/>
        <w:spacing w:line="360" w:lineRule="auto"/>
        <w:ind w:firstLine="729" w:firstLineChars="346"/>
        <w:contextualSpacing/>
        <w:jc w:val="left"/>
        <w:rPr>
          <w:rFonts w:cs="仿宋_GB2312" w:asciiTheme="minorEastAsia" w:hAnsiTheme="minorEastAsia" w:eastAsiaTheme="minorEastAsia"/>
          <w:color w:val="000000"/>
          <w:sz w:val="21"/>
          <w:szCs w:val="21"/>
        </w:rPr>
      </w:pPr>
      <w:r>
        <w:rPr>
          <w:rFonts w:hint="eastAsia" w:ascii="宋体" w:hAnsi="宋体"/>
          <w:b/>
          <w:sz w:val="21"/>
          <w:szCs w:val="21"/>
        </w:rPr>
        <w:t>采购人</w:t>
      </w:r>
      <w:r>
        <w:rPr>
          <w:rFonts w:hint="eastAsia" w:ascii="宋体" w:hAnsi="宋体"/>
          <w:sz w:val="21"/>
          <w:szCs w:val="21"/>
        </w:rPr>
        <w:t>：</w:t>
      </w:r>
      <w:r>
        <w:rPr>
          <w:rFonts w:hint="eastAsia" w:cs="仿宋_GB2312" w:asciiTheme="minorEastAsia" w:hAnsiTheme="minorEastAsia" w:eastAsiaTheme="minorEastAsia"/>
          <w:color w:val="000000"/>
          <w:sz w:val="21"/>
          <w:szCs w:val="21"/>
        </w:rPr>
        <w:t>许昌第二高级中学</w:t>
      </w:r>
    </w:p>
    <w:p>
      <w:pPr>
        <w:pStyle w:val="20"/>
        <w:widowControl/>
        <w:shd w:val="clear" w:color="auto" w:fill="FFFFFF"/>
        <w:spacing w:line="360" w:lineRule="auto"/>
        <w:ind w:firstLine="735" w:firstLineChars="35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地址：许昌市前进路东段</w:t>
      </w:r>
    </w:p>
    <w:p>
      <w:pPr>
        <w:pStyle w:val="20"/>
        <w:widowControl/>
        <w:shd w:val="clear" w:color="auto" w:fill="FFFFFF"/>
        <w:spacing w:line="360" w:lineRule="auto"/>
        <w:ind w:firstLine="735" w:firstLineChars="35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联系人：陈伟        联系电话：17703990991</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联系人：杨女士             联系电话：</w:t>
      </w:r>
      <w:bookmarkStart w:id="0" w:name="联系人电话"/>
      <w:r>
        <w:rPr>
          <w:rFonts w:ascii="宋体" w:hAnsi="宋体"/>
          <w:szCs w:val="21"/>
        </w:rPr>
        <w:t>0</w:t>
      </w:r>
      <w:bookmarkEnd w:id="0"/>
      <w:r>
        <w:rPr>
          <w:rFonts w:hint="eastAsia" w:ascii="宋体" w:hAnsi="宋体"/>
          <w:szCs w:val="21"/>
        </w:rPr>
        <w:t>374-2962805</w:t>
      </w:r>
    </w:p>
    <w:p>
      <w:pPr>
        <w:adjustRightInd w:val="0"/>
        <w:snapToGrid w:val="0"/>
        <w:spacing w:line="360" w:lineRule="auto"/>
        <w:ind w:firstLine="840" w:firstLineChars="400"/>
        <w:jc w:val="left"/>
        <w:rPr>
          <w:rFonts w:hint="eastAsia" w:ascii="宋体" w:hAnsi="宋体"/>
          <w:szCs w:val="21"/>
        </w:rPr>
      </w:pPr>
    </w:p>
    <w:p>
      <w:pPr>
        <w:adjustRightInd w:val="0"/>
        <w:snapToGrid w:val="0"/>
        <w:spacing w:line="360" w:lineRule="auto"/>
        <w:ind w:firstLine="840" w:firstLineChars="400"/>
        <w:jc w:val="left"/>
        <w:rPr>
          <w:rFonts w:hint="eastAsia" w:ascii="宋体" w:hAnsi="宋体"/>
          <w:szCs w:val="21"/>
        </w:rPr>
      </w:pPr>
    </w:p>
    <w:p>
      <w:pPr>
        <w:widowControl/>
        <w:spacing w:line="330" w:lineRule="atLeast"/>
        <w:jc w:val="right"/>
        <w:rPr>
          <w:rFonts w:hint="eastAsia" w:ascii="宋体" w:hAnsi="宋体"/>
          <w:szCs w:val="21"/>
        </w:rPr>
      </w:pPr>
      <w:r>
        <w:rPr>
          <w:rFonts w:hint="eastAsia" w:ascii="宋体" w:hAnsi="宋体"/>
          <w:szCs w:val="21"/>
        </w:rPr>
        <w:t>许昌第二高级中学</w:t>
      </w:r>
    </w:p>
    <w:p>
      <w:pPr>
        <w:widowControl/>
        <w:wordWrap w:val="0"/>
        <w:spacing w:line="330" w:lineRule="atLeast"/>
        <w:jc w:val="right"/>
        <w:rPr>
          <w:rFonts w:ascii="宋体" w:hAnsi="宋体"/>
          <w:szCs w:val="21"/>
        </w:rPr>
      </w:pPr>
      <w:r>
        <w:rPr>
          <w:rFonts w:hint="eastAsia" w:ascii="宋体" w:hAnsi="宋体"/>
          <w:szCs w:val="21"/>
        </w:rPr>
        <w:t>二〇一九年八月</w:t>
      </w:r>
      <w:r>
        <w:rPr>
          <w:rFonts w:hint="eastAsia" w:ascii="宋体" w:hAnsi="宋体"/>
          <w:szCs w:val="21"/>
          <w:lang w:eastAsia="zh-CN"/>
        </w:rPr>
        <w:t>二十六</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tbl>
      <w:tblPr>
        <w:tblStyle w:val="22"/>
        <w:tblW w:w="9240" w:type="dxa"/>
        <w:tblInd w:w="4" w:type="dxa"/>
        <w:tblLayout w:type="fixed"/>
        <w:tblCellMar>
          <w:top w:w="0" w:type="dxa"/>
          <w:left w:w="0" w:type="dxa"/>
          <w:bottom w:w="0" w:type="dxa"/>
          <w:right w:w="0" w:type="dxa"/>
        </w:tblCellMar>
      </w:tblPr>
      <w:tblGrid>
        <w:gridCol w:w="642"/>
        <w:gridCol w:w="1162"/>
        <w:gridCol w:w="3550"/>
        <w:gridCol w:w="813"/>
        <w:gridCol w:w="862"/>
        <w:gridCol w:w="2211"/>
      </w:tblGrid>
      <w:tr>
        <w:tblPrEx>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tcMar>
              <w:left w:w="105" w:type="dxa"/>
              <w:right w:w="105" w:type="dxa"/>
            </w:tcMar>
            <w:vAlign w:val="center"/>
          </w:tcPr>
          <w:p>
            <w:pPr>
              <w:widowControl/>
              <w:spacing w:line="360" w:lineRule="atLeast"/>
              <w:jc w:val="left"/>
            </w:pPr>
            <w:r>
              <w:rPr>
                <w:rFonts w:hint="eastAsia" w:ascii="仿宋" w:hAnsi="仿宋" w:eastAsia="仿宋" w:cs="仿宋"/>
                <w:color w:val="000000"/>
                <w:kern w:val="0"/>
                <w:sz w:val="30"/>
                <w:szCs w:val="30"/>
              </w:rPr>
              <w:t>序号</w:t>
            </w:r>
          </w:p>
        </w:tc>
        <w:tc>
          <w:tcPr>
            <w:tcW w:w="1162" w:type="dxa"/>
            <w:tcBorders>
              <w:top w:val="single" w:color="auto" w:sz="8" w:space="0"/>
              <w:left w:val="nil"/>
              <w:bottom w:val="single" w:color="auto" w:sz="8" w:space="0"/>
              <w:right w:val="single" w:color="auto" w:sz="8" w:space="0"/>
            </w:tcBorders>
            <w:tcMar>
              <w:left w:w="105" w:type="dxa"/>
              <w:right w:w="105" w:type="dxa"/>
            </w:tcMar>
            <w:vAlign w:val="center"/>
          </w:tcPr>
          <w:p>
            <w:pPr>
              <w:widowControl/>
              <w:spacing w:line="360" w:lineRule="atLeast"/>
              <w:jc w:val="left"/>
            </w:pPr>
            <w:r>
              <w:rPr>
                <w:rFonts w:hint="eastAsia" w:ascii="仿宋" w:hAnsi="仿宋" w:eastAsia="仿宋" w:cs="仿宋"/>
                <w:color w:val="000000"/>
                <w:kern w:val="0"/>
                <w:sz w:val="30"/>
                <w:szCs w:val="30"/>
              </w:rPr>
              <w:t>货物名称</w:t>
            </w:r>
          </w:p>
        </w:tc>
        <w:tc>
          <w:tcPr>
            <w:tcW w:w="3550" w:type="dxa"/>
            <w:tcBorders>
              <w:top w:val="single" w:color="auto" w:sz="8" w:space="0"/>
              <w:left w:val="nil"/>
              <w:bottom w:val="single" w:color="auto" w:sz="8" w:space="0"/>
              <w:right w:val="single" w:color="auto" w:sz="8" w:space="0"/>
            </w:tcBorders>
            <w:tcMar>
              <w:left w:w="105" w:type="dxa"/>
              <w:right w:w="105" w:type="dxa"/>
            </w:tcMar>
            <w:vAlign w:val="center"/>
          </w:tcPr>
          <w:p>
            <w:pPr>
              <w:widowControl/>
              <w:spacing w:line="360" w:lineRule="atLeast"/>
              <w:jc w:val="left"/>
            </w:pPr>
            <w:r>
              <w:rPr>
                <w:rFonts w:hint="eastAsia" w:ascii="仿宋" w:hAnsi="仿宋" w:eastAsia="仿宋" w:cs="仿宋"/>
                <w:color w:val="000000"/>
                <w:kern w:val="0"/>
                <w:sz w:val="30"/>
                <w:szCs w:val="30"/>
              </w:rPr>
              <w:t>技术规格及主要参数</w:t>
            </w:r>
          </w:p>
        </w:tc>
        <w:tc>
          <w:tcPr>
            <w:tcW w:w="813" w:type="dxa"/>
            <w:tcBorders>
              <w:top w:val="single" w:color="auto" w:sz="8" w:space="0"/>
              <w:left w:val="nil"/>
              <w:bottom w:val="single" w:color="auto" w:sz="8" w:space="0"/>
              <w:right w:val="single" w:color="auto" w:sz="8" w:space="0"/>
            </w:tcBorders>
            <w:tcMar>
              <w:left w:w="105" w:type="dxa"/>
              <w:right w:w="105" w:type="dxa"/>
            </w:tcMar>
            <w:vAlign w:val="center"/>
          </w:tcPr>
          <w:p>
            <w:pPr>
              <w:widowControl/>
              <w:spacing w:line="360" w:lineRule="atLeast"/>
              <w:jc w:val="left"/>
            </w:pPr>
            <w:r>
              <w:rPr>
                <w:rFonts w:hint="eastAsia" w:ascii="仿宋" w:hAnsi="仿宋" w:eastAsia="仿宋" w:cs="仿宋"/>
                <w:color w:val="000000"/>
                <w:kern w:val="0"/>
                <w:sz w:val="30"/>
                <w:szCs w:val="30"/>
              </w:rPr>
              <w:t>单位</w:t>
            </w:r>
          </w:p>
        </w:tc>
        <w:tc>
          <w:tcPr>
            <w:tcW w:w="862" w:type="dxa"/>
            <w:tcBorders>
              <w:top w:val="single" w:color="auto" w:sz="8" w:space="0"/>
              <w:left w:val="nil"/>
              <w:bottom w:val="single" w:color="auto" w:sz="8" w:space="0"/>
              <w:right w:val="single" w:color="auto" w:sz="8" w:space="0"/>
            </w:tcBorders>
            <w:tcMar>
              <w:left w:w="105" w:type="dxa"/>
              <w:right w:w="105" w:type="dxa"/>
            </w:tcMar>
            <w:vAlign w:val="center"/>
          </w:tcPr>
          <w:p>
            <w:pPr>
              <w:widowControl/>
              <w:spacing w:line="360" w:lineRule="atLeast"/>
              <w:jc w:val="left"/>
            </w:pPr>
            <w:r>
              <w:rPr>
                <w:rFonts w:hint="eastAsia" w:ascii="仿宋" w:hAnsi="仿宋" w:eastAsia="仿宋" w:cs="仿宋"/>
                <w:color w:val="000000"/>
                <w:kern w:val="0"/>
                <w:sz w:val="30"/>
                <w:szCs w:val="30"/>
              </w:rPr>
              <w:t>数量</w:t>
            </w:r>
          </w:p>
        </w:tc>
        <w:tc>
          <w:tcPr>
            <w:tcW w:w="2211" w:type="dxa"/>
            <w:tcBorders>
              <w:top w:val="single" w:color="auto" w:sz="8" w:space="0"/>
              <w:left w:val="nil"/>
              <w:bottom w:val="single" w:color="auto" w:sz="8" w:space="0"/>
              <w:right w:val="single" w:color="auto" w:sz="8" w:space="0"/>
            </w:tcBorders>
          </w:tcPr>
          <w:p>
            <w:pPr>
              <w:widowControl/>
              <w:spacing w:line="360" w:lineRule="atLeast"/>
              <w:jc w:val="left"/>
            </w:pPr>
            <w:r>
              <w:rPr>
                <w:rFonts w:hint="eastAsia" w:ascii="仿宋" w:hAnsi="仿宋" w:eastAsia="仿宋" w:cs="仿宋"/>
                <w:color w:val="000000"/>
                <w:kern w:val="0"/>
                <w:sz w:val="30"/>
                <w:szCs w:val="30"/>
              </w:rPr>
              <w:t>是否为核心产品</w:t>
            </w:r>
          </w:p>
        </w:tc>
      </w:tr>
      <w:tr>
        <w:tblPrEx>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tcMar>
              <w:left w:w="105" w:type="dxa"/>
              <w:right w:w="105" w:type="dxa"/>
            </w:tcMar>
            <w:vAlign w:val="center"/>
          </w:tcPr>
          <w:p>
            <w:pPr>
              <w:widowControl/>
              <w:spacing w:line="360" w:lineRule="atLeast"/>
              <w:rPr>
                <w:rFonts w:hint="eastAsia" w:eastAsia="宋体"/>
              </w:rPr>
            </w:pPr>
            <w:r>
              <w:rPr>
                <w:rFonts w:hint="eastAsia"/>
              </w:rPr>
              <w:t>1</w:t>
            </w:r>
          </w:p>
        </w:tc>
        <w:tc>
          <w:tcPr>
            <w:tcW w:w="1162" w:type="dxa"/>
            <w:tcBorders>
              <w:top w:val="nil"/>
              <w:left w:val="nil"/>
              <w:bottom w:val="single" w:color="auto" w:sz="8" w:space="0"/>
              <w:right w:val="single" w:color="auto" w:sz="8" w:space="0"/>
            </w:tcBorders>
            <w:tcMar>
              <w:left w:w="105" w:type="dxa"/>
              <w:right w:w="105" w:type="dxa"/>
            </w:tcMar>
            <w:vAlign w:val="center"/>
          </w:tcPr>
          <w:p>
            <w:pPr>
              <w:widowControl/>
              <w:spacing w:line="360" w:lineRule="atLeast"/>
            </w:pPr>
            <w:r>
              <w:rPr>
                <w:rFonts w:hint="eastAsia" w:ascii="仿宋" w:hAnsi="仿宋" w:eastAsia="仿宋" w:cs="仿宋"/>
                <w:color w:val="000000"/>
                <w:kern w:val="0"/>
                <w:sz w:val="30"/>
                <w:szCs w:val="30"/>
              </w:rPr>
              <w:t>双层床</w:t>
            </w:r>
          </w:p>
        </w:tc>
        <w:tc>
          <w:tcPr>
            <w:tcW w:w="3550" w:type="dxa"/>
            <w:tcBorders>
              <w:top w:val="nil"/>
              <w:left w:val="nil"/>
              <w:bottom w:val="single" w:color="auto" w:sz="8" w:space="0"/>
              <w:right w:val="single" w:color="auto" w:sz="8" w:space="0"/>
            </w:tcBorders>
            <w:tcMar>
              <w:left w:w="105" w:type="dxa"/>
              <w:right w:w="105" w:type="dxa"/>
            </w:tcMar>
            <w:vAlign w:val="center"/>
          </w:tcPr>
          <w:p>
            <w:pPr>
              <w:rPr>
                <w:rFonts w:hint="eastAsia" w:ascii="仿宋" w:hAnsi="仿宋" w:eastAsia="仿宋" w:cs="仿宋"/>
                <w:bCs/>
                <w:sz w:val="24"/>
                <w:szCs w:val="24"/>
              </w:rPr>
            </w:pPr>
            <w:r>
              <w:rPr>
                <w:rFonts w:hint="eastAsia" w:ascii="仿宋" w:hAnsi="仿宋" w:eastAsia="仿宋" w:cs="仿宋"/>
                <w:bCs/>
                <w:sz w:val="24"/>
                <w:szCs w:val="24"/>
              </w:rPr>
              <w:t>规格：2000长×900宽×1850高mm</w:t>
            </w:r>
          </w:p>
          <w:p>
            <w:pPr>
              <w:rPr>
                <w:rFonts w:hint="eastAsia" w:ascii="仿宋" w:hAnsi="仿宋" w:eastAsia="仿宋" w:cs="仿宋"/>
                <w:bCs/>
                <w:sz w:val="24"/>
                <w:szCs w:val="24"/>
              </w:rPr>
            </w:pPr>
            <w:r>
              <w:rPr>
                <w:rFonts w:hint="eastAsia" w:ascii="仿宋" w:hAnsi="仿宋" w:eastAsia="仿宋" w:cs="仿宋"/>
                <w:bCs/>
                <w:sz w:val="24"/>
                <w:szCs w:val="24"/>
              </w:rPr>
              <w:t>材质要求：</w:t>
            </w:r>
          </w:p>
          <w:p>
            <w:pPr>
              <w:ind w:left="101" w:leftChars="48"/>
              <w:jc w:val="left"/>
              <w:rPr>
                <w:rFonts w:hint="eastAsia" w:ascii="仿宋" w:hAnsi="仿宋" w:eastAsia="仿宋" w:cs="仿宋"/>
                <w:bCs/>
                <w:sz w:val="24"/>
                <w:szCs w:val="24"/>
              </w:rPr>
            </w:pPr>
            <w:r>
              <w:rPr>
                <w:rFonts w:hint="eastAsia" w:ascii="仿宋" w:hAnsi="仿宋" w:eastAsia="仿宋" w:cs="仿宋"/>
                <w:bCs/>
                <w:sz w:val="24"/>
                <w:szCs w:val="24"/>
              </w:rPr>
              <w:t>▲1、床头立柱采用国标30×50×1.5mm优质方管，数控弯管设备一次弯曲成型，床头为圆弧状，横橧为国标30×30×1.2mm优质方管，竖橧为国标25×25×1.5mm方管。</w:t>
            </w:r>
          </w:p>
          <w:p>
            <w:pPr>
              <w:ind w:left="111" w:leftChars="53"/>
              <w:jc w:val="left"/>
              <w:rPr>
                <w:rFonts w:hint="eastAsia" w:ascii="仿宋" w:hAnsi="仿宋" w:eastAsia="仿宋" w:cs="仿宋"/>
                <w:bCs/>
                <w:sz w:val="24"/>
                <w:szCs w:val="24"/>
              </w:rPr>
            </w:pPr>
            <w:r>
              <w:rPr>
                <w:rFonts w:hint="eastAsia" w:ascii="仿宋" w:hAnsi="仿宋" w:eastAsia="仿宋" w:cs="仿宋"/>
                <w:bCs/>
                <w:sz w:val="24"/>
                <w:szCs w:val="24"/>
              </w:rPr>
              <w:t>▲2、床框主管采用国标30×50×1.5mm优质方管，横橧采用国标30×30×1.2mm优质方管5根均匀分布。上框上沿距地面高度1500mm，下框上沿距地面高度400mm，床框和床头立柱连接件连接，连接件不小于4mm钢板冲压成型，外形不小于120mm×30mm，每个连接件冲制两个螺丝连接孔。连接螺丝采用M8×55mm的钢制加强丝。</w:t>
            </w:r>
          </w:p>
          <w:p>
            <w:pPr>
              <w:ind w:left="105" w:leftChars="50"/>
              <w:jc w:val="left"/>
              <w:rPr>
                <w:rFonts w:hint="eastAsia" w:ascii="仿宋" w:hAnsi="仿宋" w:eastAsia="仿宋" w:cs="仿宋"/>
                <w:bCs/>
                <w:sz w:val="24"/>
                <w:szCs w:val="24"/>
              </w:rPr>
            </w:pPr>
            <w:r>
              <w:rPr>
                <w:rFonts w:hint="eastAsia" w:ascii="仿宋" w:hAnsi="仿宋" w:eastAsia="仿宋" w:cs="仿宋"/>
                <w:bCs/>
                <w:sz w:val="24"/>
                <w:szCs w:val="24"/>
              </w:rPr>
              <w:t>▲3、爬梯采用国标20×25×1.2mm优质方管，踏板为1.5mm厚优质钢板一次冲压成型，上带菱形防滑块，踏板为前后直角造型，数量不少于三块，爬梯宽度为250mm。</w:t>
            </w:r>
          </w:p>
          <w:p>
            <w:pPr>
              <w:rPr>
                <w:rFonts w:hint="eastAsia" w:ascii="仿宋" w:hAnsi="仿宋" w:eastAsia="仿宋" w:cs="仿宋"/>
                <w:bCs/>
                <w:sz w:val="24"/>
                <w:szCs w:val="24"/>
              </w:rPr>
            </w:pPr>
            <w:r>
              <w:rPr>
                <w:rFonts w:hint="eastAsia" w:ascii="仿宋" w:hAnsi="仿宋" w:eastAsia="仿宋" w:cs="仿宋"/>
                <w:bCs/>
                <w:sz w:val="24"/>
                <w:szCs w:val="24"/>
              </w:rPr>
              <w:t>▲ 4、护栏采用国标25×25×1.2mm优质方管，长度为1000mm，高度为220mm。</w:t>
            </w:r>
          </w:p>
          <w:p>
            <w:pPr>
              <w:ind w:left="105" w:leftChars="50"/>
              <w:jc w:val="left"/>
              <w:rPr>
                <w:rFonts w:hint="eastAsia" w:ascii="仿宋" w:hAnsi="仿宋" w:eastAsia="仿宋" w:cs="仿宋"/>
                <w:bCs/>
                <w:sz w:val="24"/>
                <w:szCs w:val="24"/>
              </w:rPr>
            </w:pPr>
            <w:r>
              <w:rPr>
                <w:rFonts w:hint="eastAsia" w:ascii="仿宋" w:hAnsi="仿宋" w:eastAsia="仿宋" w:cs="仿宋"/>
                <w:bCs/>
                <w:sz w:val="24"/>
                <w:szCs w:val="24"/>
              </w:rPr>
              <w:t>▲5、床板采用北方优质松木板拼成，优质环保，厚度不小于17mm，拼接缝不大于2mm，木板不多于五块，板下带4根木橧40mm×30mm，用圆钉固定好，结实耐用。</w:t>
            </w:r>
          </w:p>
          <w:p>
            <w:pPr>
              <w:jc w:val="left"/>
              <w:rPr>
                <w:rFonts w:hint="eastAsia" w:ascii="仿宋" w:hAnsi="仿宋" w:eastAsia="仿宋" w:cs="仿宋"/>
                <w:bCs/>
                <w:sz w:val="24"/>
                <w:szCs w:val="24"/>
              </w:rPr>
            </w:pPr>
            <w:r>
              <w:rPr>
                <w:rFonts w:hint="eastAsia" w:ascii="仿宋" w:hAnsi="仿宋" w:eastAsia="仿宋" w:cs="仿宋"/>
                <w:bCs/>
                <w:sz w:val="24"/>
                <w:szCs w:val="24"/>
              </w:rPr>
              <w:t>▲6、地脚采用优质PP工程塑胶经磨具一次注塑成型，离地高度不小于5mm内塞式，有防脱处理工艺。</w:t>
            </w:r>
          </w:p>
          <w:p>
            <w:pPr>
              <w:rPr>
                <w:rFonts w:hint="eastAsia" w:ascii="仿宋" w:hAnsi="仿宋" w:eastAsia="仿宋" w:cs="仿宋"/>
                <w:bCs/>
                <w:sz w:val="24"/>
                <w:szCs w:val="24"/>
              </w:rPr>
            </w:pPr>
            <w:r>
              <w:rPr>
                <w:rFonts w:hint="eastAsia" w:ascii="仿宋" w:hAnsi="仿宋" w:eastAsia="仿宋" w:cs="仿宋"/>
                <w:bCs/>
                <w:sz w:val="24"/>
                <w:szCs w:val="24"/>
              </w:rPr>
              <w:t>7、颜色为灰白色。</w:t>
            </w:r>
          </w:p>
          <w:p>
            <w:pPr>
              <w:jc w:val="left"/>
              <w:rPr>
                <w:rFonts w:hint="eastAsia" w:ascii="仿宋" w:hAnsi="仿宋" w:eastAsia="仿宋" w:cs="仿宋"/>
                <w:bCs/>
                <w:sz w:val="24"/>
                <w:szCs w:val="24"/>
              </w:rPr>
            </w:pPr>
            <w:r>
              <w:rPr>
                <w:rFonts w:hint="eastAsia" w:ascii="仿宋" w:hAnsi="仿宋" w:eastAsia="仿宋" w:cs="仿宋"/>
                <w:bCs/>
                <w:sz w:val="24"/>
                <w:szCs w:val="24"/>
              </w:rPr>
              <w:t>8、所有材料均符合国家相关标准</w:t>
            </w:r>
          </w:p>
          <w:p>
            <w:pPr>
              <w:jc w:val="left"/>
              <w:rPr>
                <w:rFonts w:hint="eastAsia" w:ascii="仿宋" w:hAnsi="仿宋" w:eastAsia="仿宋" w:cs="仿宋"/>
                <w:bCs/>
                <w:sz w:val="24"/>
                <w:szCs w:val="24"/>
              </w:rPr>
            </w:pPr>
            <w:r>
              <w:rPr>
                <w:rFonts w:hint="eastAsia" w:ascii="仿宋" w:hAnsi="仿宋" w:eastAsia="仿宋" w:cs="仿宋"/>
                <w:bCs/>
                <w:sz w:val="24"/>
                <w:szCs w:val="24"/>
              </w:rPr>
              <w:t>焊接采用CO₂保护焊焊接，焊接部分要满焊、焊平、焊实、平滑无毛刺；材料、工艺、金属表面处理，漆（塑）膜理化性能、力学性能、安全卫生要求，都达到相关国家标准。</w:t>
            </w:r>
          </w:p>
          <w:p>
            <w:pPr>
              <w:shd w:val="clear" w:color="auto" w:fill="FFFFFF"/>
              <w:jc w:val="left"/>
              <w:rPr>
                <w:rFonts w:hint="eastAsia" w:ascii="仿宋" w:hAnsi="仿宋" w:eastAsia="仿宋" w:cs="仿宋"/>
                <w:bCs/>
                <w:sz w:val="24"/>
                <w:szCs w:val="24"/>
              </w:rPr>
            </w:pPr>
            <w:r>
              <w:rPr>
                <w:rFonts w:hint="eastAsia" w:ascii="仿宋" w:hAnsi="仿宋" w:eastAsia="仿宋" w:cs="仿宋"/>
                <w:bCs/>
                <w:sz w:val="24"/>
                <w:szCs w:val="24"/>
              </w:rPr>
              <w:t>9、钢材外观均采用酸洗磷化、抛丸喷砂沙处理，静电喷塑、高温固化工艺防止生锈，涂层均匀牢固，无流挂，无气泡无漏喷等缺陷。</w:t>
            </w:r>
          </w:p>
          <w:p>
            <w:pPr>
              <w:shd w:val="clear" w:color="auto" w:fill="FFFFFF"/>
              <w:jc w:val="left"/>
              <w:rPr>
                <w:rFonts w:hint="eastAsia" w:ascii="仿宋" w:hAnsi="仿宋" w:eastAsia="仿宋" w:cs="仿宋"/>
                <w:bCs/>
                <w:sz w:val="24"/>
                <w:szCs w:val="24"/>
              </w:rPr>
            </w:pPr>
            <w:r>
              <w:rPr>
                <w:rFonts w:hint="eastAsia" w:ascii="仿宋" w:hAnsi="仿宋" w:eastAsia="仿宋" w:cs="仿宋"/>
                <w:bCs/>
                <w:sz w:val="24"/>
                <w:szCs w:val="24"/>
              </w:rPr>
              <w:t>10、板材甲醛（mg/L）:标准达到国家E1级要求</w:t>
            </w:r>
          </w:p>
          <w:p>
            <w:pPr>
              <w:rPr>
                <w:rFonts w:hint="eastAsia" w:ascii="仿宋" w:hAnsi="仿宋" w:eastAsia="仿宋" w:cs="仿宋"/>
                <w:bCs/>
                <w:sz w:val="24"/>
                <w:szCs w:val="24"/>
              </w:rPr>
            </w:pPr>
            <w:r>
              <w:rPr>
                <w:rFonts w:hint="eastAsia" w:ascii="仿宋" w:hAnsi="仿宋" w:eastAsia="仿宋" w:cs="仿宋"/>
                <w:bCs/>
                <w:sz w:val="24"/>
                <w:szCs w:val="24"/>
              </w:rPr>
              <w:t>11、床架组装后结实牢固，无悬空吊架，所有能接触到的部位均做了钝化处理，安全防挂</w:t>
            </w:r>
          </w:p>
          <w:p>
            <w:pPr>
              <w:widowControl/>
              <w:spacing w:line="360" w:lineRule="atLeast"/>
              <w:ind w:firstLine="600"/>
              <w:jc w:val="left"/>
            </w:pPr>
          </w:p>
        </w:tc>
        <w:tc>
          <w:tcPr>
            <w:tcW w:w="813" w:type="dxa"/>
            <w:tcBorders>
              <w:top w:val="nil"/>
              <w:left w:val="nil"/>
              <w:bottom w:val="single" w:color="auto" w:sz="8" w:space="0"/>
              <w:right w:val="single" w:color="auto" w:sz="8" w:space="0"/>
            </w:tcBorders>
            <w:tcMar>
              <w:left w:w="105" w:type="dxa"/>
              <w:right w:w="105" w:type="dxa"/>
            </w:tcMar>
            <w:vAlign w:val="center"/>
          </w:tcPr>
          <w:p>
            <w:pPr>
              <w:widowControl/>
              <w:spacing w:line="360" w:lineRule="atLeast"/>
              <w:jc w:val="left"/>
            </w:pPr>
            <w:r>
              <w:rPr>
                <w:rFonts w:hint="eastAsia" w:ascii="仿宋" w:hAnsi="仿宋" w:eastAsia="仿宋" w:cs="仿宋"/>
                <w:color w:val="000000"/>
                <w:kern w:val="0"/>
                <w:sz w:val="30"/>
                <w:szCs w:val="30"/>
              </w:rPr>
              <w:t>套 </w:t>
            </w:r>
          </w:p>
        </w:tc>
        <w:tc>
          <w:tcPr>
            <w:tcW w:w="862" w:type="dxa"/>
            <w:tcBorders>
              <w:top w:val="nil"/>
              <w:left w:val="nil"/>
              <w:bottom w:val="single" w:color="auto" w:sz="8" w:space="0"/>
              <w:right w:val="single" w:color="auto" w:sz="8" w:space="0"/>
            </w:tcBorders>
            <w:tcMar>
              <w:left w:w="105" w:type="dxa"/>
              <w:right w:w="105" w:type="dxa"/>
            </w:tcMar>
            <w:vAlign w:val="center"/>
          </w:tcPr>
          <w:p>
            <w:pPr>
              <w:widowControl/>
              <w:spacing w:line="360" w:lineRule="atLeast"/>
              <w:jc w:val="left"/>
            </w:pPr>
            <w:r>
              <w:rPr>
                <w:rFonts w:hint="eastAsia" w:ascii="仿宋" w:hAnsi="仿宋" w:eastAsia="仿宋" w:cs="仿宋"/>
                <w:color w:val="000000"/>
                <w:kern w:val="0"/>
                <w:sz w:val="30"/>
                <w:szCs w:val="30"/>
              </w:rPr>
              <w:t>330 </w:t>
            </w:r>
          </w:p>
        </w:tc>
        <w:tc>
          <w:tcPr>
            <w:tcW w:w="2211" w:type="dxa"/>
            <w:tcBorders>
              <w:top w:val="nil"/>
              <w:left w:val="nil"/>
              <w:bottom w:val="single" w:color="auto" w:sz="8" w:space="0"/>
              <w:right w:val="single" w:color="auto" w:sz="8" w:space="0"/>
            </w:tcBorders>
            <w:vAlign w:val="center"/>
          </w:tcPr>
          <w:p>
            <w:pPr>
              <w:widowControl/>
              <w:spacing w:line="360" w:lineRule="atLeast"/>
              <w:ind w:firstLine="600"/>
              <w:jc w:val="left"/>
            </w:pPr>
            <w:r>
              <w:rPr>
                <w:rFonts w:hint="eastAsia" w:ascii="仿宋" w:hAnsi="仿宋" w:eastAsia="仿宋" w:cs="仿宋"/>
                <w:color w:val="000000"/>
                <w:kern w:val="0"/>
                <w:sz w:val="30"/>
                <w:szCs w:val="30"/>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四、验收标准</w:t>
      </w:r>
    </w:p>
    <w:p>
      <w:pPr>
        <w:wordWrap w:val="0"/>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五、本项目预算金额264000元。最高限价 264000元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ordWrap w:val="0"/>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1、支付方式：银行转账</w:t>
      </w:r>
    </w:p>
    <w:p>
      <w:pPr>
        <w:wordWrap w:val="0"/>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2、支付时间及条件：验收完成后支付合同价款的</w:t>
      </w:r>
      <w:r>
        <w:rPr>
          <w:rFonts w:ascii="宋体" w:cs="宋体"/>
          <w:sz w:val="24"/>
          <w:lang w:val="zh-CN"/>
        </w:rPr>
        <w:t>95%</w:t>
      </w:r>
      <w:r>
        <w:rPr>
          <w:rFonts w:hint="eastAsia" w:ascii="宋体" w:cs="宋体"/>
          <w:sz w:val="24"/>
          <w:lang w:val="zh-CN"/>
        </w:rPr>
        <w:t>，一年质保期满后，支付合同价款的</w:t>
      </w:r>
      <w:r>
        <w:rPr>
          <w:rFonts w:ascii="宋体" w:cs="宋体"/>
          <w:sz w:val="24"/>
          <w:lang w:val="zh-CN"/>
        </w:rPr>
        <w:t>5%</w:t>
      </w:r>
      <w:r>
        <w:rPr>
          <w:rFonts w:hint="eastAsia" w:ascii="宋体" w:cs="宋体"/>
          <w:sz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pacing w:line="330" w:lineRule="atLeast"/>
              <w:ind w:right="630"/>
              <w:rPr>
                <w:rFonts w:cs="仿宋_GB2312" w:asciiTheme="minorEastAsia" w:hAnsiTheme="minorEastAsia"/>
                <w:szCs w:val="21"/>
              </w:rPr>
            </w:pPr>
            <w:r>
              <w:rPr>
                <w:rFonts w:hint="eastAsia" w:cs="仿宋_GB2312" w:asciiTheme="minorEastAsia" w:hAnsiTheme="minorEastAsia"/>
                <w:szCs w:val="21"/>
              </w:rPr>
              <w:t>项目名称：</w:t>
            </w:r>
            <w:r>
              <w:rPr>
                <w:rFonts w:cs="仿宋_GB2312" w:asciiTheme="minorEastAsia" w:hAnsiTheme="minorEastAsia"/>
                <w:szCs w:val="21"/>
              </w:rPr>
              <w:t>许昌二高购学生用床</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项目编号：ZFCG-G2019107-1号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项目内容：330套钢木双层床</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项目地址：许昌第二高级中学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pacing w:line="330" w:lineRule="atLeast"/>
              <w:ind w:right="420"/>
              <w:rPr>
                <w:rFonts w:cs="仿宋_GB2312" w:asciiTheme="minorEastAsia" w:hAnsiTheme="minorEastAsia"/>
                <w:szCs w:val="21"/>
              </w:rPr>
            </w:pPr>
            <w:r>
              <w:rPr>
                <w:rFonts w:hint="eastAsia" w:cs="仿宋_GB2312" w:asciiTheme="minorEastAsia" w:hAnsiTheme="minorEastAsia"/>
                <w:szCs w:val="21"/>
              </w:rPr>
              <w:t>名称：许昌第二高级中学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地址：许昌市前进路东段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联系人：陈伟               电话：17703990991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联系人：杨女士          电话：0374-2962805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ascii="宋体" w:hAnsi="宋体" w:eastAsia="宋体" w:cs="宋体"/>
                <w:bCs/>
                <w:szCs w:val="21"/>
                <w:lang w:val="zh-CN"/>
              </w:rPr>
              <w:t>264000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许昌市公共资源交易中心三楼开标五室（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Layout w:type="fixed"/>
          <w:tblCellMar>
            <w:top w:w="0" w:type="dxa"/>
            <w:left w:w="108" w:type="dxa"/>
            <w:bottom w:w="0" w:type="dxa"/>
            <w:right w:w="108" w:type="dxa"/>
          </w:tblCellMar>
        </w:tblPrEx>
        <w:trPr>
          <w:trHeight w:val="126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Calibri" w:hAnsi="Calibri" w:eastAsia="宋体" w:cs="Times New Roman"/>
                <w:color w:val="000000"/>
              </w:rPr>
            </w:pPr>
            <w:r>
              <w:rPr>
                <w:rFonts w:hint="eastAsia" w:ascii="宋体" w:hAnsi="宋体" w:eastAsia="宋体" w:cs="Times New Roman"/>
                <w:color w:val="000000"/>
                <w:szCs w:val="21"/>
              </w:rPr>
              <w:t>分值构成</w:t>
            </w:r>
          </w:p>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Calibri" w:hAnsi="Calibri" w:eastAsia="宋体" w:cs="Times New Roman"/>
                <w:color w:val="000000"/>
              </w:rPr>
            </w:pPr>
            <w:r>
              <w:rPr>
                <w:rFonts w:hint="eastAsia" w:ascii="宋体" w:hAnsi="宋体" w:eastAsia="宋体" w:cs="Times New Roman"/>
                <w:color w:val="000000"/>
                <w:szCs w:val="21"/>
              </w:rPr>
              <w:t>价格分值：</w:t>
            </w:r>
            <w:r>
              <w:rPr>
                <w:rFonts w:hint="eastAsia" w:ascii="宋体" w:hAnsi="宋体" w:eastAsia="宋体" w:cs="宋体"/>
                <w:color w:val="000000"/>
                <w:kern w:val="0"/>
                <w:szCs w:val="21"/>
                <w:u w:val="single"/>
              </w:rPr>
              <w:t>   50     </w:t>
            </w:r>
            <w:r>
              <w:rPr>
                <w:rFonts w:hint="eastAsia" w:ascii="宋体" w:hAnsi="宋体" w:eastAsia="宋体" w:cs="Times New Roman"/>
                <w:color w:val="000000"/>
                <w:szCs w:val="21"/>
              </w:rPr>
              <w:t>分</w:t>
            </w:r>
          </w:p>
          <w:p>
            <w:pPr>
              <w:widowControl/>
              <w:spacing w:line="360" w:lineRule="auto"/>
              <w:ind w:firstLine="420" w:firstLineChars="200"/>
              <w:jc w:val="left"/>
              <w:rPr>
                <w:rFonts w:ascii="Calibri" w:hAnsi="Calibri" w:eastAsia="宋体" w:cs="Times New Roman"/>
                <w:color w:val="000000"/>
              </w:rPr>
            </w:pPr>
            <w:r>
              <w:rPr>
                <w:rFonts w:hint="eastAsia" w:ascii="宋体" w:hAnsi="宋体" w:eastAsia="宋体" w:cs="Times New Roman"/>
                <w:color w:val="000000"/>
                <w:szCs w:val="21"/>
              </w:rPr>
              <w:t>商务部分：</w:t>
            </w:r>
            <w:r>
              <w:rPr>
                <w:rFonts w:hint="eastAsia" w:ascii="宋体" w:hAnsi="宋体" w:eastAsia="宋体" w:cs="宋体"/>
                <w:color w:val="000000"/>
                <w:kern w:val="0"/>
                <w:szCs w:val="21"/>
                <w:u w:val="single"/>
              </w:rPr>
              <w:t>   24     </w:t>
            </w:r>
            <w:r>
              <w:rPr>
                <w:rFonts w:hint="eastAsia" w:ascii="宋体" w:hAnsi="宋体" w:eastAsia="宋体" w:cs="Times New Roman"/>
                <w:color w:val="000000"/>
                <w:szCs w:val="21"/>
              </w:rPr>
              <w:t>分</w:t>
            </w:r>
          </w:p>
          <w:p>
            <w:pPr>
              <w:widowControl/>
              <w:spacing w:beforeLines="50"/>
              <w:ind w:firstLine="420" w:firstLineChars="200"/>
              <w:jc w:val="left"/>
              <w:rPr>
                <w:rFonts w:ascii="Calibri" w:hAnsi="Calibri" w:eastAsia="宋体" w:cs="Times New Roman"/>
                <w:color w:val="000000"/>
              </w:rPr>
            </w:pPr>
            <w:r>
              <w:rPr>
                <w:rFonts w:hint="eastAsia" w:ascii="宋体" w:hAnsi="宋体" w:eastAsia="宋体" w:cs="Times New Roman"/>
                <w:color w:val="000000"/>
                <w:szCs w:val="21"/>
              </w:rPr>
              <w:t>技术部分：</w:t>
            </w:r>
            <w:r>
              <w:rPr>
                <w:rFonts w:hint="eastAsia" w:ascii="宋体" w:hAnsi="宋体" w:eastAsia="宋体" w:cs="宋体"/>
                <w:color w:val="000000"/>
                <w:kern w:val="0"/>
                <w:szCs w:val="21"/>
                <w:u w:val="single"/>
              </w:rPr>
              <w:t>   12     </w:t>
            </w:r>
            <w:r>
              <w:rPr>
                <w:rFonts w:hint="eastAsia" w:ascii="宋体" w:hAnsi="宋体" w:eastAsia="宋体" w:cs="Times New Roman"/>
                <w:color w:val="000000"/>
                <w:szCs w:val="21"/>
              </w:rPr>
              <w:t>分</w:t>
            </w:r>
          </w:p>
          <w:p>
            <w:pPr>
              <w:widowControl/>
              <w:spacing w:beforeLines="50"/>
              <w:ind w:firstLine="420" w:firstLineChars="200"/>
              <w:jc w:val="left"/>
              <w:rPr>
                <w:rFonts w:ascii="Calibri" w:hAnsi="Calibri" w:eastAsia="宋体" w:cs="Times New Roman"/>
                <w:color w:val="000000"/>
              </w:rPr>
            </w:pPr>
            <w:r>
              <w:rPr>
                <w:rFonts w:hint="eastAsia" w:ascii="宋体" w:hAnsi="宋体" w:eastAsia="宋体" w:cs="Times New Roman"/>
                <w:color w:val="000000"/>
                <w:szCs w:val="21"/>
              </w:rPr>
              <w:t>服务部分：</w:t>
            </w:r>
            <w:r>
              <w:rPr>
                <w:rFonts w:hint="eastAsia" w:ascii="宋体" w:hAnsi="宋体" w:eastAsia="宋体" w:cs="宋体"/>
                <w:color w:val="000000"/>
                <w:kern w:val="0"/>
                <w:szCs w:val="21"/>
                <w:u w:val="single"/>
              </w:rPr>
              <w:t>   14     </w:t>
            </w:r>
            <w:r>
              <w:rPr>
                <w:rFonts w:hint="eastAsia" w:ascii="宋体" w:hAnsi="宋体" w:eastAsia="宋体" w:cs="Times New Roman"/>
                <w:color w:val="000000"/>
                <w:szCs w:val="21"/>
              </w:rPr>
              <w:t>分</w:t>
            </w:r>
          </w:p>
        </w:tc>
      </w:tr>
      <w:tr>
        <w:tblPrEx>
          <w:tblLayout w:type="fixed"/>
          <w:tblCellMar>
            <w:top w:w="0" w:type="dxa"/>
            <w:left w:w="108" w:type="dxa"/>
            <w:bottom w:w="0" w:type="dxa"/>
            <w:right w:w="108" w:type="dxa"/>
          </w:tblCellMar>
        </w:tblPrEx>
        <w:trPr>
          <w:trHeight w:val="70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宋体"/>
                <w:b/>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宋体"/>
                <w:b/>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宋体"/>
                <w:b/>
                <w:color w:val="000000"/>
                <w:kern w:val="0"/>
                <w:szCs w:val="21"/>
              </w:rPr>
              <w:t>评标标准</w:t>
            </w:r>
          </w:p>
        </w:tc>
      </w:tr>
      <w:tr>
        <w:tblPrEx>
          <w:tblLayout w:type="fixed"/>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ind w:leftChars="-2" w:hanging="4" w:hangingChars="2"/>
              <w:jc w:val="center"/>
              <w:rPr>
                <w:rFonts w:ascii="Calibri" w:hAnsi="Calibri" w:eastAsia="宋体" w:cs="Times New Roman"/>
                <w:color w:val="000000"/>
              </w:rPr>
            </w:pPr>
            <w:r>
              <w:rPr>
                <w:rFonts w:hint="eastAsia" w:ascii="宋体" w:hAnsi="宋体" w:eastAsia="宋体" w:cs="宋体"/>
                <w:color w:val="000000"/>
                <w:szCs w:val="21"/>
              </w:rPr>
              <w:t>报价部分</w:t>
            </w:r>
          </w:p>
          <w:p>
            <w:pPr>
              <w:widowControl/>
              <w:snapToGrid w:val="0"/>
              <w:spacing w:beforeLines="50"/>
              <w:ind w:leftChars="-2" w:hanging="4" w:hangingChars="2"/>
              <w:jc w:val="center"/>
              <w:rPr>
                <w:rFonts w:ascii="Calibri" w:hAnsi="Calibri" w:eastAsia="宋体" w:cs="Times New Roman"/>
                <w:color w:val="000000"/>
              </w:rPr>
            </w:pPr>
            <w:r>
              <w:rPr>
                <w:rFonts w:hint="eastAsia" w:ascii="宋体" w:hAnsi="宋体" w:eastAsia="宋体" w:cs="宋体"/>
                <w:color w:val="000000"/>
                <w:szCs w:val="21"/>
              </w:rPr>
              <w:t>（</w:t>
            </w:r>
            <w:r>
              <w:rPr>
                <w:rFonts w:hint="eastAsia" w:ascii="宋体" w:hAnsi="宋体" w:eastAsia="宋体" w:cs="宋体"/>
                <w:color w:val="000000"/>
                <w:kern w:val="0"/>
                <w:szCs w:val="21"/>
                <w:u w:val="single"/>
              </w:rPr>
              <w:t> 50 </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宋体"/>
                <w:color w:val="000000"/>
                <w:szCs w:val="21"/>
              </w:rPr>
              <w:t>报价</w:t>
            </w:r>
          </w:p>
          <w:p>
            <w:pPr>
              <w:widowControl/>
              <w:snapToGrid w:val="0"/>
              <w:spacing w:beforeLines="50"/>
              <w:jc w:val="center"/>
              <w:rPr>
                <w:rFonts w:ascii="Calibri" w:hAnsi="Calibri" w:eastAsia="宋体" w:cs="Times New Roman"/>
                <w:color w:val="000000"/>
              </w:rPr>
            </w:pPr>
            <w:r>
              <w:rPr>
                <w:rFonts w:hint="eastAsia" w:ascii="宋体" w:hAnsi="宋体" w:eastAsia="宋体" w:cs="宋体"/>
                <w:color w:val="000000"/>
                <w:szCs w:val="21"/>
              </w:rPr>
              <w:t>（</w:t>
            </w:r>
            <w:r>
              <w:rPr>
                <w:rFonts w:hint="eastAsia" w:ascii="宋体" w:hAnsi="宋体" w:eastAsia="宋体" w:cs="宋体"/>
                <w:color w:val="000000"/>
                <w:kern w:val="0"/>
                <w:szCs w:val="21"/>
                <w:u w:val="single"/>
              </w:rPr>
              <w:t> 50 </w:t>
            </w:r>
            <w:r>
              <w:rPr>
                <w:rFonts w:hint="eastAsia" w:ascii="宋体" w:hAnsi="宋体" w:eastAsia="宋体" w:cs="宋体"/>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Calibri" w:hAnsi="Calibri" w:eastAsia="宋体" w:cs="Times New Roman"/>
                <w:color w:val="000000"/>
              </w:rPr>
            </w:pPr>
            <w:r>
              <w:rPr>
                <w:rFonts w:hint="eastAsia" w:ascii="宋体" w:hAnsi="宋体" w:eastAsia="宋体" w:cs="Times New Roman"/>
                <w:color w:val="000000"/>
                <w:szCs w:val="21"/>
              </w:rPr>
              <w:t>评标基准价：满足招标文件要求的有效投标报价中，最低的投标报价为评标基准价。</w:t>
            </w:r>
          </w:p>
          <w:p>
            <w:pPr>
              <w:widowControl/>
              <w:jc w:val="left"/>
              <w:rPr>
                <w:rFonts w:ascii="Calibri" w:hAnsi="Calibri" w:eastAsia="宋体" w:cs="Times New Roman"/>
                <w:color w:val="000000"/>
              </w:rPr>
            </w:pPr>
            <w:r>
              <w:rPr>
                <w:rFonts w:hint="eastAsia" w:ascii="宋体" w:hAnsi="宋体" w:eastAsia="宋体" w:cs="Times New Roman"/>
                <w:color w:val="000000"/>
                <w:szCs w:val="21"/>
              </w:rPr>
              <w:t>投标报价得分=（评标基准价/投标报价）×</w:t>
            </w:r>
            <w:r>
              <w:rPr>
                <w:rFonts w:hint="eastAsia" w:ascii="宋体" w:hAnsi="宋体" w:eastAsia="宋体" w:cs="宋体"/>
                <w:color w:val="000000"/>
                <w:kern w:val="0"/>
                <w:szCs w:val="21"/>
                <w:u w:val="single"/>
              </w:rPr>
              <w:t> 50  </w:t>
            </w:r>
          </w:p>
        </w:tc>
      </w:tr>
      <w:tr>
        <w:tblPrEx>
          <w:tblLayout w:type="fixed"/>
          <w:tblCellMar>
            <w:top w:w="0" w:type="dxa"/>
            <w:left w:w="108" w:type="dxa"/>
            <w:bottom w:w="0" w:type="dxa"/>
            <w:right w:w="108" w:type="dxa"/>
          </w:tblCellMar>
        </w:tblPrEx>
        <w:trPr>
          <w:trHeight w:val="897" w:hRule="atLeast"/>
        </w:trPr>
        <w:tc>
          <w:tcPr>
            <w:tcW w:w="1384" w:type="dxa"/>
            <w:vMerge w:val="restart"/>
            <w:tcBorders>
              <w:top w:val="single" w:color="auto" w:sz="4" w:space="0"/>
              <w:left w:val="single" w:color="auto" w:sz="4" w:space="0"/>
              <w:right w:val="single" w:color="auto" w:sz="4" w:space="0"/>
            </w:tcBorders>
            <w:vAlign w:val="center"/>
          </w:tcPr>
          <w:p>
            <w:pPr>
              <w:widowControl/>
              <w:snapToGrid w:val="0"/>
              <w:spacing w:beforeLines="50"/>
              <w:ind w:leftChars="-2" w:hanging="4" w:hangingChars="2"/>
              <w:jc w:val="center"/>
              <w:rPr>
                <w:rFonts w:ascii="Calibri" w:hAnsi="Calibri" w:eastAsia="宋体" w:cs="Times New Roman"/>
                <w:color w:val="000000"/>
              </w:rPr>
            </w:pPr>
            <w:r>
              <w:rPr>
                <w:rFonts w:hint="eastAsia" w:ascii="宋体" w:hAnsi="宋体" w:eastAsia="宋体" w:cs="宋体"/>
                <w:color w:val="000000"/>
                <w:szCs w:val="21"/>
              </w:rPr>
              <w:t>商务部分</w:t>
            </w:r>
          </w:p>
          <w:p>
            <w:pPr>
              <w:widowControl/>
              <w:snapToGrid w:val="0"/>
              <w:spacing w:beforeLines="50"/>
              <w:ind w:leftChars="-2" w:hanging="4" w:hangingChars="2"/>
              <w:jc w:val="center"/>
              <w:rPr>
                <w:rFonts w:ascii="Calibri" w:hAnsi="Calibri" w:eastAsia="宋体" w:cs="Times New Roman"/>
                <w:color w:val="000000"/>
              </w:rPr>
            </w:pPr>
            <w:r>
              <w:rPr>
                <w:rFonts w:hint="eastAsia" w:ascii="宋体" w:hAnsi="宋体" w:eastAsia="宋体" w:cs="宋体"/>
                <w:color w:val="000000"/>
                <w:szCs w:val="21"/>
              </w:rPr>
              <w:t>（</w:t>
            </w:r>
            <w:r>
              <w:rPr>
                <w:rFonts w:hint="eastAsia" w:ascii="宋体" w:hAnsi="宋体" w:eastAsia="宋体" w:cs="宋体"/>
                <w:color w:val="000000"/>
                <w:kern w:val="0"/>
                <w:szCs w:val="21"/>
                <w:u w:val="single"/>
              </w:rPr>
              <w:t> 24 </w:t>
            </w:r>
            <w:r>
              <w:rPr>
                <w:rFonts w:hint="eastAsia" w:ascii="宋体" w:hAnsi="宋体" w:eastAsia="宋体" w:cs="宋体"/>
                <w:color w:val="000000"/>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业绩</w:t>
            </w:r>
          </w:p>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w:t>
            </w:r>
            <w:r>
              <w:rPr>
                <w:rFonts w:hint="eastAsia" w:ascii="宋体" w:hAnsi="宋体" w:eastAsia="宋体" w:cs="宋体"/>
                <w:color w:val="000000"/>
                <w:kern w:val="0"/>
                <w:szCs w:val="21"/>
                <w:u w:val="single"/>
              </w:rPr>
              <w:t> 18 </w:t>
            </w:r>
            <w:r>
              <w:rPr>
                <w:rFonts w:hint="eastAsia" w:ascii="宋体" w:hAnsi="宋体" w:eastAsia="宋体" w:cs="Times New Roman"/>
                <w:color w:val="000000"/>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Calibri" w:hAnsi="Calibri" w:eastAsia="宋体" w:cs="Times New Roman"/>
                <w:color w:val="000000"/>
              </w:rPr>
            </w:pPr>
            <w:r>
              <w:rPr>
                <w:rFonts w:hint="eastAsia" w:ascii="宋体" w:hAnsi="宋体" w:eastAsia="宋体" w:cs="仿宋_GB2312"/>
                <w:color w:val="000000"/>
                <w:szCs w:val="21"/>
              </w:rPr>
              <w:t>投标人提供2016年1月1日以来类似项目合同，每提供1个得1分，最高得18分。（提供合同和中标通知书复印件）</w:t>
            </w:r>
          </w:p>
        </w:tc>
      </w:tr>
      <w:tr>
        <w:tblPrEx>
          <w:tblLayout w:type="fixed"/>
          <w:tblCellMar>
            <w:top w:w="0" w:type="dxa"/>
            <w:left w:w="108" w:type="dxa"/>
            <w:bottom w:w="0" w:type="dxa"/>
            <w:right w:w="108" w:type="dxa"/>
          </w:tblCellMar>
        </w:tblPrEx>
        <w:trPr>
          <w:trHeight w:val="907" w:hRule="atLeast"/>
        </w:trPr>
        <w:tc>
          <w:tcPr>
            <w:tcW w:w="1384" w:type="dxa"/>
            <w:vMerge w:val="continue"/>
            <w:tcBorders>
              <w:left w:val="single" w:color="auto" w:sz="4" w:space="0"/>
              <w:right w:val="single" w:color="auto" w:sz="4" w:space="0"/>
            </w:tcBorders>
            <w:vAlign w:val="center"/>
          </w:tcPr>
          <w:p>
            <w:pPr>
              <w:rPr>
                <w:rFonts w:ascii="Calibri" w:hAnsi="Calibri" w:eastAsia="宋体" w:cs="Times New Roman"/>
                <w:color w:val="000000"/>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管理体系</w:t>
            </w:r>
          </w:p>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w:t>
            </w:r>
            <w:r>
              <w:rPr>
                <w:rFonts w:hint="eastAsia" w:ascii="宋体" w:hAnsi="宋体" w:eastAsia="宋体" w:cs="宋体"/>
                <w:color w:val="000000"/>
                <w:kern w:val="0"/>
                <w:szCs w:val="21"/>
                <w:u w:val="single"/>
              </w:rPr>
              <w:t> 4 </w:t>
            </w:r>
            <w:r>
              <w:rPr>
                <w:rFonts w:hint="eastAsia" w:ascii="宋体" w:hAnsi="宋体" w:eastAsia="宋体" w:cs="Times New Roman"/>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color w:val="000000"/>
              </w:rPr>
            </w:pPr>
            <w:r>
              <w:rPr>
                <w:rFonts w:hint="eastAsia" w:ascii="宋体" w:hAnsi="宋体" w:eastAsia="宋体" w:cs="Times New Roman"/>
                <w:color w:val="000000"/>
                <w:szCs w:val="21"/>
              </w:rPr>
              <w:t>投标人提供2016年1月以来信用评级机构出具的有效的企业信用报告，等级为AAA级的得4分；AA级的得3分；A级的得2分。</w:t>
            </w:r>
          </w:p>
        </w:tc>
      </w:tr>
      <w:tr>
        <w:tblPrEx>
          <w:tblLayout w:type="fixed"/>
          <w:tblCellMar>
            <w:top w:w="0" w:type="dxa"/>
            <w:left w:w="108" w:type="dxa"/>
            <w:bottom w:w="0" w:type="dxa"/>
            <w:right w:w="108" w:type="dxa"/>
          </w:tblCellMar>
        </w:tblPrEx>
        <w:trPr>
          <w:trHeight w:val="907" w:hRule="atLeast"/>
        </w:trPr>
        <w:tc>
          <w:tcPr>
            <w:tcW w:w="1384" w:type="dxa"/>
            <w:vMerge w:val="continue"/>
            <w:tcBorders>
              <w:left w:val="single" w:color="auto" w:sz="4" w:space="0"/>
              <w:bottom w:val="single" w:color="auto" w:sz="4" w:space="0"/>
              <w:right w:val="single" w:color="auto" w:sz="4" w:space="0"/>
            </w:tcBorders>
            <w:vAlign w:val="center"/>
          </w:tcPr>
          <w:p>
            <w:pPr>
              <w:rPr>
                <w:rFonts w:ascii="Calibri" w:hAnsi="Calibri" w:eastAsia="宋体" w:cs="Times New Roman"/>
                <w:color w:val="000000"/>
              </w:rPr>
            </w:pPr>
          </w:p>
        </w:tc>
        <w:tc>
          <w:tcPr>
            <w:tcW w:w="1560"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2 </w:t>
            </w:r>
            <w:r>
              <w:rPr>
                <w:rFonts w:hint="eastAsia" w:ascii="宋体" w:hAnsi="宋体" w:eastAsia="宋体" w:cs="Times New Roman"/>
                <w:szCs w:val="21"/>
              </w:rPr>
              <w:t>分）</w:t>
            </w:r>
          </w:p>
        </w:tc>
        <w:tc>
          <w:tcPr>
            <w:tcW w:w="6095"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Layout w:type="fixed"/>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宋体"/>
                <w:color w:val="000000"/>
                <w:szCs w:val="21"/>
              </w:rPr>
              <w:t>技术部分</w:t>
            </w:r>
          </w:p>
          <w:p>
            <w:pPr>
              <w:widowControl/>
              <w:snapToGrid w:val="0"/>
              <w:spacing w:beforeLines="50"/>
              <w:jc w:val="center"/>
              <w:rPr>
                <w:rFonts w:hint="eastAsia" w:ascii="微软雅黑" w:hAnsi="微软雅黑" w:eastAsia="微软雅黑" w:cs="微软雅黑"/>
                <w:color w:val="000000"/>
                <w:sz w:val="24"/>
                <w:szCs w:val="24"/>
              </w:rPr>
            </w:pPr>
            <w:r>
              <w:rPr>
                <w:rFonts w:hint="eastAsia" w:ascii="宋体" w:hAnsi="宋体" w:eastAsia="宋体" w:cs="宋体"/>
                <w:color w:val="000000"/>
                <w:szCs w:val="21"/>
              </w:rPr>
              <w:t>（</w:t>
            </w:r>
            <w:r>
              <w:rPr>
                <w:rFonts w:hint="eastAsia" w:ascii="宋体" w:hAnsi="宋体" w:eastAsia="宋体" w:cs="宋体"/>
                <w:color w:val="000000"/>
                <w:kern w:val="0"/>
                <w:szCs w:val="21"/>
                <w:u w:val="single"/>
              </w:rPr>
              <w:t> 12 </w:t>
            </w:r>
            <w:r>
              <w:rPr>
                <w:rFonts w:hint="eastAsia" w:ascii="宋体" w:hAnsi="宋体" w:eastAsia="宋体" w:cs="宋体"/>
                <w:color w:val="000000"/>
                <w:szCs w:val="21"/>
              </w:rPr>
              <w:t>分）</w:t>
            </w:r>
          </w:p>
        </w:tc>
        <w:tc>
          <w:tcPr>
            <w:tcW w:w="1560" w:type="dxa"/>
            <w:tcBorders>
              <w:top w:val="nil"/>
              <w:left w:val="nil"/>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货物技术规格、参数与要求响应</w:t>
            </w:r>
          </w:p>
          <w:p>
            <w:pPr>
              <w:widowControl/>
              <w:snapToGrid w:val="0"/>
              <w:spacing w:beforeLines="50"/>
              <w:jc w:val="center"/>
              <w:rPr>
                <w:rFonts w:hint="eastAsia" w:ascii="微软雅黑" w:hAnsi="微软雅黑" w:eastAsia="微软雅黑" w:cs="微软雅黑"/>
                <w:color w:val="000000"/>
                <w:sz w:val="24"/>
                <w:szCs w:val="24"/>
              </w:rPr>
            </w:pPr>
            <w:r>
              <w:rPr>
                <w:rFonts w:hint="eastAsia" w:ascii="宋体" w:hAnsi="宋体" w:eastAsia="宋体" w:cs="Times New Roman"/>
                <w:color w:val="000000"/>
                <w:szCs w:val="21"/>
              </w:rPr>
              <w:t>（</w:t>
            </w:r>
            <w:r>
              <w:rPr>
                <w:rFonts w:hint="eastAsia" w:ascii="宋体" w:hAnsi="宋体" w:eastAsia="宋体" w:cs="宋体"/>
                <w:color w:val="000000"/>
                <w:kern w:val="0"/>
                <w:szCs w:val="21"/>
                <w:u w:val="single"/>
              </w:rPr>
              <w:t> 6 </w:t>
            </w:r>
            <w:r>
              <w:rPr>
                <w:rFonts w:hint="eastAsia" w:ascii="宋体" w:hAnsi="宋体" w:eastAsia="宋体" w:cs="Times New Roman"/>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pStyle w:val="55"/>
              <w:tabs>
                <w:tab w:val="left" w:pos="1888"/>
              </w:tabs>
              <w:topLinePunct/>
              <w:spacing w:line="336" w:lineRule="auto"/>
              <w:rPr>
                <w:rFonts w:eastAsia="仿宋"/>
                <w:color w:val="000000"/>
              </w:rPr>
            </w:pPr>
            <w:r>
              <w:rPr>
                <w:rFonts w:hint="eastAsia" w:ascii="宋体" w:hAnsi="宋体"/>
                <w:color w:val="000000"/>
                <w:szCs w:val="21"/>
              </w:rPr>
              <w:t> 所有指标均应满足招标文件对产品功能、性能及技术指标要求，优于带</w:t>
            </w:r>
            <w:r>
              <w:rPr>
                <w:rFonts w:hint="eastAsia" w:ascii="仿宋" w:hAnsi="仿宋" w:eastAsia="仿宋" w:cs="仿宋"/>
                <w:bCs/>
                <w:color w:val="000000"/>
                <w:sz w:val="24"/>
              </w:rPr>
              <w:t>▲标志参数的加1分，共6分。</w:t>
            </w:r>
          </w:p>
        </w:tc>
      </w:tr>
      <w:tr>
        <w:tblPrEx>
          <w:tblLayout w:type="fixed"/>
          <w:tblCellMar>
            <w:top w:w="0" w:type="dxa"/>
            <w:left w:w="108" w:type="dxa"/>
            <w:bottom w:w="0" w:type="dxa"/>
            <w:right w:w="108" w:type="dxa"/>
          </w:tblCellMar>
        </w:tblPrEx>
        <w:trPr>
          <w:trHeight w:val="90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技术方案</w:t>
            </w:r>
          </w:p>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w:t>
            </w:r>
            <w:r>
              <w:rPr>
                <w:rFonts w:hint="eastAsia" w:ascii="宋体" w:hAnsi="宋体" w:eastAsia="宋体" w:cs="宋体"/>
                <w:color w:val="000000"/>
                <w:kern w:val="0"/>
                <w:szCs w:val="21"/>
                <w:u w:val="single"/>
              </w:rPr>
              <w:t> 6 </w:t>
            </w:r>
            <w:r>
              <w:rPr>
                <w:rFonts w:hint="eastAsia" w:ascii="宋体" w:hAnsi="宋体" w:eastAsia="宋体" w:cs="Times New Roman"/>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pStyle w:val="55"/>
              <w:tabs>
                <w:tab w:val="left" w:pos="1888"/>
              </w:tabs>
              <w:topLinePunct/>
              <w:spacing w:line="336" w:lineRule="auto"/>
              <w:rPr>
                <w:rFonts w:hint="eastAsia" w:ascii="宋体" w:hAnsi="宋体"/>
                <w:color w:val="000000"/>
                <w:szCs w:val="21"/>
              </w:rPr>
            </w:pPr>
            <w:r>
              <w:rPr>
                <w:rFonts w:hint="eastAsia" w:ascii="宋体" w:hAnsi="宋体"/>
                <w:color w:val="000000"/>
                <w:szCs w:val="21"/>
              </w:rPr>
              <w:t> 根据投标人提供的安装调试方案，含有：</w:t>
            </w:r>
          </w:p>
          <w:p>
            <w:pPr>
              <w:pStyle w:val="55"/>
              <w:numPr>
                <w:ilvl w:val="0"/>
                <w:numId w:val="16"/>
              </w:numPr>
              <w:tabs>
                <w:tab w:val="left" w:pos="1888"/>
              </w:tabs>
              <w:topLinePunct/>
              <w:spacing w:line="336" w:lineRule="auto"/>
              <w:rPr>
                <w:rFonts w:hint="eastAsia" w:ascii="宋体" w:hAnsi="宋体"/>
                <w:color w:val="000000"/>
                <w:szCs w:val="21"/>
              </w:rPr>
            </w:pPr>
            <w:r>
              <w:rPr>
                <w:rFonts w:hint="eastAsia" w:ascii="宋体" w:hAnsi="宋体"/>
                <w:color w:val="000000"/>
                <w:szCs w:val="21"/>
              </w:rPr>
              <w:t>安装调试、实施步骤、进度计划的得3分；</w:t>
            </w:r>
          </w:p>
          <w:p>
            <w:pPr>
              <w:widowControl/>
              <w:jc w:val="left"/>
              <w:rPr>
                <w:rFonts w:ascii="Calibri" w:hAnsi="Calibri" w:eastAsia="宋体" w:cs="Times New Roman"/>
                <w:color w:val="000000"/>
              </w:rPr>
            </w:pPr>
            <w:r>
              <w:rPr>
                <w:rFonts w:hint="eastAsia" w:ascii="宋体" w:hAnsi="宋体" w:eastAsia="宋体" w:cs="Times New Roman"/>
                <w:color w:val="000000"/>
                <w:szCs w:val="21"/>
              </w:rPr>
              <w:t>2、工期、质量保证措施、施工顺利进行的保障措施的得3分；</w:t>
            </w:r>
          </w:p>
        </w:tc>
      </w:tr>
      <w:tr>
        <w:tblPrEx>
          <w:tblLayout w:type="fixed"/>
          <w:tblCellMar>
            <w:top w:w="0" w:type="dxa"/>
            <w:left w:w="108" w:type="dxa"/>
            <w:bottom w:w="0" w:type="dxa"/>
            <w:right w:w="108" w:type="dxa"/>
          </w:tblCellMar>
        </w:tblPrEx>
        <w:trPr>
          <w:trHeight w:val="90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宋体"/>
                <w:color w:val="000000"/>
                <w:szCs w:val="21"/>
              </w:rPr>
              <w:t>服务部分</w:t>
            </w:r>
          </w:p>
          <w:p>
            <w:pPr>
              <w:widowControl/>
              <w:snapToGrid w:val="0"/>
              <w:spacing w:beforeLines="50"/>
              <w:jc w:val="center"/>
              <w:rPr>
                <w:rFonts w:ascii="Calibri" w:hAnsi="Calibri" w:eastAsia="宋体" w:cs="Times New Roman"/>
                <w:color w:val="000000"/>
              </w:rPr>
            </w:pPr>
            <w:r>
              <w:rPr>
                <w:rFonts w:hint="eastAsia" w:ascii="宋体" w:hAnsi="宋体" w:eastAsia="宋体" w:cs="宋体"/>
                <w:color w:val="000000"/>
                <w:szCs w:val="21"/>
              </w:rPr>
              <w:t>（</w:t>
            </w:r>
            <w:r>
              <w:rPr>
                <w:rFonts w:hint="eastAsia" w:ascii="宋体" w:hAnsi="宋体" w:eastAsia="宋体" w:cs="宋体"/>
                <w:color w:val="000000"/>
                <w:kern w:val="0"/>
                <w:szCs w:val="21"/>
                <w:u w:val="single"/>
              </w:rPr>
              <w:t> 14 </w:t>
            </w:r>
            <w:r>
              <w:rPr>
                <w:rFonts w:hint="eastAsia" w:ascii="宋体" w:hAnsi="宋体" w:eastAsia="宋体" w:cs="宋体"/>
                <w:color w:val="000000"/>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宋体"/>
                <w:color w:val="000000"/>
                <w:szCs w:val="21"/>
              </w:rPr>
              <w:t>售后服务</w:t>
            </w:r>
          </w:p>
          <w:p>
            <w:pPr>
              <w:widowControl/>
              <w:snapToGrid w:val="0"/>
              <w:spacing w:beforeLines="50"/>
              <w:jc w:val="center"/>
              <w:rPr>
                <w:rFonts w:ascii="Calibri" w:hAnsi="Calibri" w:eastAsia="宋体" w:cs="Times New Roman"/>
                <w:color w:val="000000"/>
              </w:rPr>
            </w:pPr>
            <w:r>
              <w:rPr>
                <w:rFonts w:hint="eastAsia" w:ascii="宋体" w:hAnsi="宋体" w:eastAsia="宋体" w:cs="宋体"/>
                <w:color w:val="000000"/>
                <w:szCs w:val="21"/>
              </w:rPr>
              <w:t>（</w:t>
            </w:r>
            <w:r>
              <w:rPr>
                <w:rFonts w:hint="eastAsia" w:ascii="宋体" w:hAnsi="宋体" w:eastAsia="宋体" w:cs="宋体"/>
                <w:color w:val="000000"/>
                <w:kern w:val="0"/>
                <w:szCs w:val="21"/>
                <w:u w:val="single"/>
              </w:rPr>
              <w:t> 9 </w:t>
            </w:r>
            <w:r>
              <w:rPr>
                <w:rFonts w:hint="eastAsia" w:ascii="宋体" w:hAnsi="宋体" w:eastAsia="宋体" w:cs="宋体"/>
                <w:color w:val="000000"/>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36" w:lineRule="auto"/>
              <w:rPr>
                <w:rFonts w:hint="eastAsia" w:ascii="宋体" w:hAnsi="宋体" w:eastAsia="宋体" w:cs="Times New Roman"/>
                <w:color w:val="000000"/>
                <w:szCs w:val="21"/>
              </w:rPr>
            </w:pPr>
            <w:r>
              <w:rPr>
                <w:rFonts w:hint="eastAsia" w:ascii="宋体" w:hAnsi="宋体" w:eastAsia="宋体" w:cs="Times New Roman"/>
                <w:color w:val="000000"/>
                <w:szCs w:val="21"/>
              </w:rPr>
              <w:t>1、响应招标文件中售后服务要求，售后服务方案及服务承诺合理，措施完备、齐全得2分；</w:t>
            </w:r>
          </w:p>
          <w:p>
            <w:pPr>
              <w:spacing w:line="336" w:lineRule="auto"/>
              <w:rPr>
                <w:rFonts w:ascii="宋体" w:hAnsi="宋体" w:eastAsia="宋体" w:cs="Times New Roman"/>
                <w:color w:val="000000"/>
                <w:szCs w:val="21"/>
              </w:rPr>
            </w:pPr>
            <w:r>
              <w:rPr>
                <w:rFonts w:hint="eastAsia" w:ascii="宋体" w:hAnsi="宋体" w:eastAsia="宋体" w:cs="Times New Roman"/>
                <w:color w:val="000000"/>
                <w:szCs w:val="21"/>
              </w:rPr>
              <w:t>2、培训计划详细、实用得2分；</w:t>
            </w:r>
          </w:p>
          <w:p>
            <w:pPr>
              <w:spacing w:line="336" w:lineRule="auto"/>
              <w:rPr>
                <w:rFonts w:ascii="Calibri" w:hAnsi="Calibri" w:eastAsia="宋体" w:cs="Times New Roman"/>
                <w:color w:val="000000"/>
              </w:rPr>
            </w:pPr>
            <w:r>
              <w:rPr>
                <w:rFonts w:hint="eastAsia" w:ascii="宋体" w:hAnsi="宋体" w:eastAsia="宋体" w:cs="Times New Roman"/>
                <w:color w:val="000000"/>
                <w:szCs w:val="21"/>
              </w:rPr>
              <w:t>3、售后响应时间为6小时解决问题，每少一个小时得1分，最高得5分；</w:t>
            </w:r>
          </w:p>
        </w:tc>
      </w:tr>
      <w:tr>
        <w:tblPrEx>
          <w:tblLayout w:type="fixed"/>
          <w:tblCellMar>
            <w:top w:w="0" w:type="dxa"/>
            <w:left w:w="108" w:type="dxa"/>
            <w:bottom w:w="0" w:type="dxa"/>
            <w:right w:w="108" w:type="dxa"/>
          </w:tblCellMar>
        </w:tblPrEx>
        <w:trPr>
          <w:trHeight w:val="90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投标文件编制</w:t>
            </w:r>
          </w:p>
          <w:p>
            <w:pPr>
              <w:widowControl/>
              <w:snapToGrid w:val="0"/>
              <w:spacing w:beforeLines="50"/>
              <w:jc w:val="center"/>
              <w:rPr>
                <w:rFonts w:ascii="Calibri" w:hAnsi="Calibri" w:eastAsia="宋体" w:cs="Times New Roman"/>
                <w:color w:val="000000"/>
              </w:rPr>
            </w:pPr>
            <w:r>
              <w:rPr>
                <w:rFonts w:hint="eastAsia" w:ascii="宋体" w:hAnsi="宋体" w:eastAsia="宋体" w:cs="Times New Roman"/>
                <w:color w:val="000000"/>
                <w:szCs w:val="21"/>
              </w:rPr>
              <w:t>（</w:t>
            </w:r>
            <w:r>
              <w:rPr>
                <w:rFonts w:hint="eastAsia" w:ascii="宋体" w:hAnsi="宋体" w:eastAsia="宋体" w:cs="宋体"/>
                <w:color w:val="000000"/>
                <w:kern w:val="0"/>
                <w:szCs w:val="21"/>
                <w:u w:val="single"/>
              </w:rPr>
              <w:t> 5 </w:t>
            </w:r>
            <w:r>
              <w:rPr>
                <w:rFonts w:hint="eastAsia" w:ascii="宋体" w:hAnsi="宋体" w:eastAsia="宋体" w:cs="Times New Roman"/>
                <w:color w:val="000000"/>
                <w:szCs w:val="21"/>
              </w:rPr>
              <w:t>分）</w:t>
            </w:r>
          </w:p>
        </w:tc>
        <w:tc>
          <w:tcPr>
            <w:tcW w:w="6095" w:type="dxa"/>
            <w:tcBorders>
              <w:top w:val="single" w:color="auto" w:sz="4" w:space="0"/>
              <w:left w:val="nil"/>
              <w:bottom w:val="single" w:color="auto" w:sz="4" w:space="0"/>
              <w:right w:val="single" w:color="auto" w:sz="4" w:space="0"/>
            </w:tcBorders>
            <w:vAlign w:val="center"/>
          </w:tcPr>
          <w:p>
            <w:pPr>
              <w:spacing w:line="336" w:lineRule="auto"/>
              <w:rPr>
                <w:rFonts w:hint="eastAsia" w:ascii="宋体" w:hAnsi="宋体" w:eastAsia="宋体" w:cs="Times New Roman"/>
                <w:color w:val="000000"/>
                <w:szCs w:val="21"/>
              </w:rPr>
            </w:pPr>
            <w:r>
              <w:rPr>
                <w:rFonts w:hint="eastAsia" w:ascii="宋体" w:hAnsi="宋体" w:eastAsia="宋体" w:cs="Times New Roman"/>
                <w:color w:val="000000"/>
                <w:szCs w:val="21"/>
              </w:rPr>
              <w:t>1、编制规范、文字清晰、无差错3分。</w:t>
            </w:r>
          </w:p>
          <w:p>
            <w:pPr>
              <w:spacing w:line="336" w:lineRule="auto"/>
              <w:rPr>
                <w:rFonts w:ascii="Calibri" w:hAnsi="Calibri" w:eastAsia="宋体" w:cs="Times New Roman"/>
                <w:color w:val="000000"/>
              </w:rPr>
            </w:pPr>
            <w:r>
              <w:rPr>
                <w:rFonts w:hint="eastAsia" w:ascii="宋体" w:hAnsi="宋体" w:eastAsia="宋体" w:cs="Times New Roman"/>
                <w:color w:val="000000"/>
                <w:szCs w:val="21"/>
              </w:rPr>
              <w:t>2、所提供资料准确完整2分。</w:t>
            </w:r>
          </w:p>
        </w:tc>
      </w:tr>
    </w:tbl>
    <w:p>
      <w:pPr>
        <w:spacing w:line="360" w:lineRule="auto"/>
        <w:ind w:firstLine="422" w:firstLineChars="200"/>
        <w:rPr>
          <w:rFonts w:cs="仿宋_GB2312" w:asciiTheme="minorEastAsia" w:hAnsiTheme="minorEastAsia"/>
          <w:b/>
          <w:szCs w:val="21"/>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86274126"/>
      <w:bookmarkStart w:id="6" w:name="_Toc174185203"/>
      <w:bookmarkStart w:id="7" w:name="_Toc184023138"/>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A0F3333"/>
    <w:multiLevelType w:val="singleLevel"/>
    <w:tmpl w:val="0A0F3333"/>
    <w:lvl w:ilvl="0" w:tentative="0">
      <w:start w:val="1"/>
      <w:numFmt w:val="decimal"/>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8"/>
  </w:num>
  <w:num w:numId="6">
    <w:abstractNumId w:val="14"/>
  </w:num>
  <w:num w:numId="7">
    <w:abstractNumId w:val="5"/>
  </w:num>
  <w:num w:numId="8">
    <w:abstractNumId w:val="6"/>
  </w:num>
  <w:num w:numId="9">
    <w:abstractNumId w:val="16"/>
  </w:num>
  <w:num w:numId="10">
    <w:abstractNumId w:val="10"/>
  </w:num>
  <w:num w:numId="11">
    <w:abstractNumId w:val="15"/>
  </w:num>
  <w:num w:numId="12">
    <w:abstractNumId w:val="4"/>
  </w:num>
  <w:num w:numId="13">
    <w:abstractNumId w:val="7"/>
  </w:num>
  <w:num w:numId="14">
    <w:abstractNumId w:val="11"/>
  </w:num>
  <w:num w:numId="15">
    <w:abstractNumId w:val="9"/>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0151E"/>
    <w:rsid w:val="00011477"/>
    <w:rsid w:val="0001370A"/>
    <w:rsid w:val="00015F84"/>
    <w:rsid w:val="00020CE3"/>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C2609"/>
    <w:rsid w:val="000D07EA"/>
    <w:rsid w:val="000D2DED"/>
    <w:rsid w:val="000D39AC"/>
    <w:rsid w:val="000E4E1E"/>
    <w:rsid w:val="000F51B5"/>
    <w:rsid w:val="00100BEF"/>
    <w:rsid w:val="001013D9"/>
    <w:rsid w:val="0010571F"/>
    <w:rsid w:val="00117B60"/>
    <w:rsid w:val="00121E2F"/>
    <w:rsid w:val="0013340A"/>
    <w:rsid w:val="00133EDE"/>
    <w:rsid w:val="00142DB6"/>
    <w:rsid w:val="00152A00"/>
    <w:rsid w:val="00156EC1"/>
    <w:rsid w:val="00160E65"/>
    <w:rsid w:val="00162C1E"/>
    <w:rsid w:val="001D4207"/>
    <w:rsid w:val="001E08DA"/>
    <w:rsid w:val="001E7C2C"/>
    <w:rsid w:val="001F5571"/>
    <w:rsid w:val="00200F3F"/>
    <w:rsid w:val="00203BE3"/>
    <w:rsid w:val="00210C2B"/>
    <w:rsid w:val="00210FCB"/>
    <w:rsid w:val="00250C01"/>
    <w:rsid w:val="0025222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D1230"/>
    <w:rsid w:val="003F5CD2"/>
    <w:rsid w:val="004045E2"/>
    <w:rsid w:val="00406170"/>
    <w:rsid w:val="00410B93"/>
    <w:rsid w:val="00414383"/>
    <w:rsid w:val="00414EBF"/>
    <w:rsid w:val="004207F8"/>
    <w:rsid w:val="00422114"/>
    <w:rsid w:val="0042722F"/>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67D2"/>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3998"/>
    <w:rsid w:val="00794F26"/>
    <w:rsid w:val="007A1275"/>
    <w:rsid w:val="007C1DAD"/>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D0201"/>
    <w:rsid w:val="008D2D0F"/>
    <w:rsid w:val="008E60D0"/>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1A21"/>
    <w:rsid w:val="00A04493"/>
    <w:rsid w:val="00A04AFF"/>
    <w:rsid w:val="00A22272"/>
    <w:rsid w:val="00A24AAD"/>
    <w:rsid w:val="00A305AC"/>
    <w:rsid w:val="00A33B8B"/>
    <w:rsid w:val="00A57B03"/>
    <w:rsid w:val="00A678FE"/>
    <w:rsid w:val="00A81D4C"/>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4A33"/>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1A3F"/>
    <w:rsid w:val="00DE7D93"/>
    <w:rsid w:val="00DF0C77"/>
    <w:rsid w:val="00E125CD"/>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36A9"/>
    <w:rsid w:val="00F065C6"/>
    <w:rsid w:val="00F11527"/>
    <w:rsid w:val="00F27FEA"/>
    <w:rsid w:val="00F31DEF"/>
    <w:rsid w:val="00F35E04"/>
    <w:rsid w:val="00F45937"/>
    <w:rsid w:val="00F50A79"/>
    <w:rsid w:val="00F5201D"/>
    <w:rsid w:val="00F5755B"/>
    <w:rsid w:val="00F609BF"/>
    <w:rsid w:val="00F826A6"/>
    <w:rsid w:val="00F9402A"/>
    <w:rsid w:val="00F940F9"/>
    <w:rsid w:val="00F96B77"/>
    <w:rsid w:val="00FA256C"/>
    <w:rsid w:val="00FA49EC"/>
    <w:rsid w:val="00FB1061"/>
    <w:rsid w:val="00FB2FC2"/>
    <w:rsid w:val="00FB3047"/>
    <w:rsid w:val="00FB7E42"/>
    <w:rsid w:val="00FC2988"/>
    <w:rsid w:val="00FC3B84"/>
    <w:rsid w:val="00FF620F"/>
    <w:rsid w:val="00FF6F49"/>
    <w:rsid w:val="2C5C67AD"/>
    <w:rsid w:val="31E7228F"/>
    <w:rsid w:val="435E4AF7"/>
    <w:rsid w:val="55F447A0"/>
    <w:rsid w:val="57FC3DA5"/>
    <w:rsid w:val="5FD37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 w:type="paragraph" w:customStyle="1" w:styleId="55">
    <w:name w:val="Table Paragraph"/>
    <w:basedOn w:val="1"/>
    <w:qFormat/>
    <w:uiPriority w:val="1"/>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F40B2-76F1-4142-B873-19E3E981BE6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5720</Words>
  <Characters>32605</Characters>
  <Lines>271</Lines>
  <Paragraphs>76</Paragraphs>
  <TotalTime>961</TotalTime>
  <ScaleCrop>false</ScaleCrop>
  <LinksUpToDate>false</LinksUpToDate>
  <CharactersWithSpaces>38249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2019-08-26T03:09:09Z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