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禹州市农村教师周转宿舍生活设施家具采购项目         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禹州市农村教师周转宿舍生活设施家具采购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320" w:firstLineChars="1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G2019170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103.2万元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3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3941"/>
        <w:gridCol w:w="1929"/>
        <w:gridCol w:w="31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河南省雅宝家俱有限公司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1030968</w:t>
            </w: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禹州市晓文家具有限公司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1021164.00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  <w:t>按照合同所签供货日期，供货、安装、调试完毕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江西省润华教育装备集团有限公司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1029420.00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按合同约定的时间内交付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tblCellSpacing w:w="0" w:type="dxa"/>
        </w:trPr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禹州市金联创贸易有限公司</w:t>
            </w:r>
          </w:p>
        </w:tc>
        <w:tc>
          <w:tcPr>
            <w:tcW w:w="19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972660.00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3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河南省雅宝家俱有限公司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禹州市晓文家具有限公司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江西省润华教育装备集团有限公司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禹州市金联创贸易有限公司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四家投标企业均通过硬件特征码防串围标分析。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3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河南省雅宝家俱有限公司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46.93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64.93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46.93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46.93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46.93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46.93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65.93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66.13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禹州市晓文家具有限公司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93.38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47.38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94.38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94.58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江西省润华教育装备集团有限公司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60.80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3"/>
        <w:tblW w:w="815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禹州市金联创贸易有限公司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75.54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禹州市晓文家具有限公司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94.58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禹州市金联创贸易有限公司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75.54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0"/>
                <w:szCs w:val="30"/>
                <w:lang w:val="en-US" w:eastAsia="zh-CN"/>
              </w:rPr>
              <w:t>河南省雅宝家俱有限公司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66.13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江西省润华教育装备集团有限公司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60.80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30"/>
          <w:szCs w:val="30"/>
        </w:rPr>
        <w:t>禹州市晓文家具有限公司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禹州市远航路4号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徐雯晓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13782206659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  <w:t>1021164.00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 xml:space="preserve">（一）中标候选人（中标人）名称： </w:t>
      </w:r>
      <w:r>
        <w:rPr>
          <w:rFonts w:hint="eastAsia" w:ascii="仿宋" w:hAnsi="仿宋" w:eastAsia="仿宋" w:cs="仿宋"/>
          <w:sz w:val="30"/>
          <w:szCs w:val="30"/>
        </w:rPr>
        <w:t>禹州市金联创贸易有限公司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地址：禹州市轩辕大道与祥云大道交汇处（商博城）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联系人：祁根汇     联系方式：13782301287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</w:t>
      </w:r>
      <w:r>
        <w:rPr>
          <w:rFonts w:hint="eastAsia" w:ascii="宋体" w:hAnsi="宋体"/>
          <w:sz w:val="24"/>
          <w:lang w:val="en-US" w:eastAsia="zh-CN"/>
        </w:rPr>
        <w:t>972660.00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第三中标候选人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河南省雅宝家俱有限公司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（二）地址：郑州市管城区十八里河镇大王庄东吴河村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（三）联系人：王巨发    联系方式：0371-63157019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</w:t>
      </w:r>
      <w:r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  <w:t>1030968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.00元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2019年8月26日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sectPr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10856A5"/>
    <w:rsid w:val="11365DD9"/>
    <w:rsid w:val="17941A50"/>
    <w:rsid w:val="17D926FA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37010A7F"/>
    <w:rsid w:val="399B24AE"/>
    <w:rsid w:val="3B403C77"/>
    <w:rsid w:val="3DE177DD"/>
    <w:rsid w:val="407D60D1"/>
    <w:rsid w:val="42A668D7"/>
    <w:rsid w:val="43157E87"/>
    <w:rsid w:val="463B1FB6"/>
    <w:rsid w:val="48B2260A"/>
    <w:rsid w:val="4A6149B1"/>
    <w:rsid w:val="4CEE4856"/>
    <w:rsid w:val="50A67D40"/>
    <w:rsid w:val="53D270CB"/>
    <w:rsid w:val="53D32935"/>
    <w:rsid w:val="549433D5"/>
    <w:rsid w:val="54FD6E01"/>
    <w:rsid w:val="5530500D"/>
    <w:rsid w:val="58463D8D"/>
    <w:rsid w:val="58835CFD"/>
    <w:rsid w:val="593461A4"/>
    <w:rsid w:val="59780E4E"/>
    <w:rsid w:val="5A1C57AD"/>
    <w:rsid w:val="5D3E6B5A"/>
    <w:rsid w:val="5DA23E33"/>
    <w:rsid w:val="5DE74906"/>
    <w:rsid w:val="5FCF11E9"/>
    <w:rsid w:val="61B341FB"/>
    <w:rsid w:val="62433A0F"/>
    <w:rsid w:val="63063A96"/>
    <w:rsid w:val="6528373B"/>
    <w:rsid w:val="696571F2"/>
    <w:rsid w:val="72702DD6"/>
    <w:rsid w:val="7280777C"/>
    <w:rsid w:val="741B78D5"/>
    <w:rsid w:val="75F8518C"/>
    <w:rsid w:val="77885C7D"/>
    <w:rsid w:val="797803F6"/>
    <w:rsid w:val="7E035849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2019-08-21T05:44:00Z</cp:lastPrinted>
  <dcterms:modified xsi:type="dcterms:W3CDTF">2019-08-26T07:38:39Z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