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440" w:firstLineChars="100"/>
      </w:pPr>
      <w:r>
        <w:rPr>
          <w:rFonts w:hint="eastAsia" w:ascii="微软雅黑" w:hAnsi="微软雅黑" w:eastAsia="微软雅黑" w:cs="微软雅黑"/>
          <w:b/>
          <w:bCs/>
          <w:sz w:val="44"/>
          <w:szCs w:val="44"/>
        </w:rPr>
        <w:t>禹州市人民法院智能化诉讼应用系统项目</w:t>
      </w:r>
    </w:p>
    <w:p>
      <w:pPr>
        <w:pStyle w:val="9"/>
      </w:pPr>
    </w:p>
    <w:p>
      <w:pPr>
        <w:pStyle w:val="9"/>
      </w:pPr>
    </w:p>
    <w:p>
      <w:pPr>
        <w:pStyle w:val="9"/>
      </w:pPr>
    </w:p>
    <w:p>
      <w:pPr>
        <w:pStyle w:val="9"/>
      </w:pPr>
    </w:p>
    <w:p>
      <w:pPr>
        <w:pStyle w:val="9"/>
      </w:pPr>
    </w:p>
    <w:p>
      <w:pPr>
        <w:pStyle w:val="9"/>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采购单位：禹州市人民法院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采购编号：YZCG-G2019206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2"/>
        <w:numPr>
          <w:ilvl w:val="0"/>
          <w:numId w:val="0"/>
        </w:numPr>
        <w:ind w:left="288" w:leftChars="0"/>
      </w:pPr>
    </w:p>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9"/>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keepNext w:val="0"/>
        <w:keepLines w:val="0"/>
        <w:pageBreakBefore w:val="0"/>
        <w:kinsoku/>
        <w:overflowPunct/>
        <w:bidi w:val="0"/>
        <w:spacing w:line="360" w:lineRule="exact"/>
        <w:textAlignment w:val="auto"/>
        <w:rPr>
          <w:rFonts w:ascii="仿宋" w:hAnsi="仿宋" w:eastAsia="仿宋" w:cs="仿宋"/>
          <w:b/>
          <w:sz w:val="32"/>
          <w:szCs w:val="32"/>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禹州市人民法院智能化诉讼应用系统项目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禹州市政府采购中心受禹州市人民法院的委托，就“禹州市人民法院智能化诉讼应用系统项目”进行公开招标，欢迎合格的投标人前来投标。</w:t>
      </w:r>
    </w:p>
    <w:p>
      <w:pPr>
        <w:pStyle w:val="59"/>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项目名称：禹州市人民法院智能化诉讼应用系统项目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206</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智能化诉讼应用系统</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59</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59</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left="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left="482"/>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kinsoku/>
        <w:overflowPunct/>
        <w:bidi w:val="0"/>
        <w:spacing w:line="40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、被委托人是须是本单位职工，须提供公司为本人缴纳社会保险证明；</w:t>
      </w:r>
    </w:p>
    <w:p>
      <w:pPr>
        <w:keepNext w:val="0"/>
        <w:keepLines w:val="0"/>
        <w:pageBreakBefore w:val="0"/>
        <w:kinsoku/>
        <w:overflowPunct/>
        <w:bidi w:val="0"/>
        <w:spacing w:line="400" w:lineRule="exact"/>
        <w:ind w:left="319" w:leftChars="152" w:firstLine="160" w:firstLineChars="5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http://ggzy.xuchang.gov.cn</w:t>
      </w:r>
      <w:r>
        <w:rPr>
          <w:rStyle w:val="28"/>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19</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孔</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0374-8351333</w:t>
      </w:r>
    </w:p>
    <w:p>
      <w:pPr>
        <w:keepNext w:val="0"/>
        <w:keepLines w:val="0"/>
        <w:pageBreakBefore w:val="0"/>
        <w:kinsoku/>
        <w:overflowPunct/>
        <w:bidi w:val="0"/>
        <w:spacing w:line="40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5120" w:firstLineChars="1600"/>
        <w:textAlignment w:val="auto"/>
        <w:rPr>
          <w:rFonts w:hint="eastAsia" w:hAnsi="宋体"/>
          <w:b/>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(一</w:t>
      </w:r>
      <w:r>
        <w:rPr>
          <w:rFonts w:hint="eastAsia" w:ascii="仿宋" w:hAnsi="仿宋" w:eastAsia="仿宋" w:cs="宋体"/>
          <w:color w:val="000000"/>
          <w:kern w:val="0"/>
          <w:sz w:val="32"/>
          <w:szCs w:val="32"/>
        </w:rPr>
        <w:t>）采购清单</w:t>
      </w:r>
    </w:p>
    <w:tbl>
      <w:tblPr>
        <w:tblStyle w:val="22"/>
        <w:tblpPr w:leftFromText="180" w:rightFromText="180" w:vertAnchor="text" w:horzAnchor="page" w:tblpX="2281" w:tblpY="640"/>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0"/>
        <w:gridCol w:w="525"/>
        <w:gridCol w:w="1050"/>
        <w:gridCol w:w="4648"/>
        <w:gridCol w:w="571"/>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Align w:val="center"/>
          </w:tcPr>
          <w:p>
            <w:pPr>
              <w:widowControl/>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575" w:type="dxa"/>
            <w:gridSpan w:val="2"/>
            <w:vAlign w:val="center"/>
          </w:tcPr>
          <w:p>
            <w:pPr>
              <w:widowControl/>
              <w:jc w:val="center"/>
              <w:rPr>
                <w:rFonts w:ascii="微软雅黑" w:hAnsi="微软雅黑" w:eastAsia="微软雅黑" w:cs="微软雅黑"/>
                <w:b/>
                <w:kern w:val="0"/>
                <w:szCs w:val="21"/>
              </w:rPr>
            </w:pPr>
            <w:r>
              <w:rPr>
                <w:rFonts w:hint="eastAsia" w:ascii="微软雅黑" w:hAnsi="微软雅黑" w:eastAsia="微软雅黑" w:cs="微软雅黑"/>
                <w:b/>
                <w:szCs w:val="21"/>
              </w:rPr>
              <w:t>技术指标</w:t>
            </w:r>
          </w:p>
        </w:tc>
        <w:tc>
          <w:tcPr>
            <w:tcW w:w="4648" w:type="dxa"/>
            <w:vAlign w:val="center"/>
          </w:tcPr>
          <w:p>
            <w:pPr>
              <w:widowControl/>
              <w:spacing w:line="300" w:lineRule="auto"/>
              <w:jc w:val="center"/>
              <w:rPr>
                <w:rFonts w:ascii="微软雅黑" w:hAnsi="微软雅黑" w:eastAsia="微软雅黑" w:cs="微软雅黑"/>
                <w:b/>
                <w:szCs w:val="21"/>
              </w:rPr>
            </w:pPr>
            <w:r>
              <w:rPr>
                <w:rFonts w:hint="eastAsia" w:ascii="微软雅黑" w:hAnsi="微软雅黑" w:eastAsia="微软雅黑" w:cs="微软雅黑"/>
                <w:b/>
                <w:szCs w:val="21"/>
              </w:rPr>
              <w:t>参数要求</w:t>
            </w:r>
          </w:p>
        </w:tc>
        <w:tc>
          <w:tcPr>
            <w:tcW w:w="571" w:type="dxa"/>
            <w:vAlign w:val="center"/>
          </w:tcPr>
          <w:p>
            <w:pPr>
              <w:widowControl/>
              <w:spacing w:line="300" w:lineRule="auto"/>
              <w:jc w:val="center"/>
              <w:rPr>
                <w:rFonts w:ascii="微软雅黑" w:hAnsi="微软雅黑" w:eastAsia="微软雅黑" w:cs="微软雅黑"/>
                <w:b/>
                <w:szCs w:val="21"/>
              </w:rPr>
            </w:pPr>
            <w:r>
              <w:rPr>
                <w:rFonts w:hint="eastAsia" w:ascii="微软雅黑" w:hAnsi="微软雅黑" w:eastAsia="微软雅黑" w:cs="微软雅黑"/>
                <w:b/>
                <w:szCs w:val="21"/>
              </w:rPr>
              <w:t>单位</w:t>
            </w:r>
          </w:p>
        </w:tc>
        <w:tc>
          <w:tcPr>
            <w:tcW w:w="619" w:type="dxa"/>
            <w:vAlign w:val="center"/>
          </w:tcPr>
          <w:p>
            <w:pPr>
              <w:widowControl/>
              <w:spacing w:line="300" w:lineRule="auto"/>
              <w:jc w:val="center"/>
              <w:rPr>
                <w:rFonts w:ascii="微软雅黑" w:hAnsi="微软雅黑" w:eastAsia="微软雅黑" w:cs="微软雅黑"/>
                <w:b/>
                <w:szCs w:val="21"/>
              </w:rPr>
            </w:pPr>
            <w:r>
              <w:rPr>
                <w:rFonts w:hint="eastAsia" w:ascii="微软雅黑" w:hAnsi="微软雅黑" w:eastAsia="微软雅黑" w:cs="微软雅黑"/>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5"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机房机柜</w:t>
            </w: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单柜模块</w:t>
            </w:r>
          </w:p>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（IT机柜）</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 xml:space="preserve">规格：600*1400*2000mm，符合19英寸安装规范； </w:t>
            </w:r>
          </w:p>
        </w:tc>
        <w:tc>
          <w:tcPr>
            <w:tcW w:w="571"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单柜模块结构</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每个单柜模块分为IT设备安装柜体框架、热风通道两个模块组成；热风通道可进行自由拆分组合，热风通道拆分后IT设备安装柜体也可以单独安装后门变为1200mm深柜体使用</w:t>
            </w:r>
            <w:r>
              <w:rPr>
                <w:rFonts w:hint="eastAsia" w:ascii="微软雅黑" w:hAnsi="微软雅黑" w:eastAsia="微软雅黑" w:cs="微软雅黑"/>
                <w:b/>
                <w:bCs/>
                <w:kern w:val="0"/>
                <w:szCs w:val="21"/>
              </w:rPr>
              <w:t>（提供技术应答承诺书及结构图）</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材质要求</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单柜模块采用优化PDU等设备安装和理线的结构，安装服务器设备等，前后设备安装最大深度720mm，承重部分采用≥2.0mm厚冷轧钢板，其他部分采用采用≥1.2mm厚冷轧钢板。</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表面处理</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所有金属部件均采用电泳加喷涂工艺进行涂装；机柜表面经过脱硫、磷化、酸洗、静电粉末喷、黑色亚光细砂纹处理，无甲醛，</w:t>
            </w:r>
            <w:r>
              <w:rPr>
                <w:rFonts w:hint="eastAsia" w:ascii="微软雅黑" w:hAnsi="微软雅黑" w:eastAsia="微软雅黑" w:cs="微软雅黑"/>
                <w:b/>
                <w:bCs/>
                <w:kern w:val="0"/>
                <w:szCs w:val="21"/>
              </w:rPr>
              <w:t>投标人须提供提供具有 CMA或CAL或 CNAS认证的喷塑粉有害物质检测报告；</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柜门方式</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单机柜模块采用前单开聚炭酸酯板，后门采用钢化玻璃门，聚炭酸酯板厚度5mm；前后门采用可拆卸式结构，前门可安装于机柜后部，后门可安装于机柜前部；门开启顺畅，无卡阻现象；支持机械开锁及刷卡开锁切换；机柜锁隐藏在前后框体内部；机柜门采用智能触摸屏+自动开门装置组合控制，具有联动功能，消防灭火时门自动弹开。</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抗震性能</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按照标准YD5083-2005《电信设备抗地震性能检测规范》要求，≥500kg承重下通过8、9级烈度结构抗地震考核，</w:t>
            </w:r>
            <w:r>
              <w:rPr>
                <w:rFonts w:hint="eastAsia" w:ascii="微软雅黑" w:hAnsi="微软雅黑" w:eastAsia="微软雅黑" w:cs="微软雅黑"/>
                <w:b/>
                <w:bCs/>
                <w:kern w:val="0"/>
                <w:szCs w:val="21"/>
              </w:rPr>
              <w:t>投标方须提供第三方权威机构专项抗震的检测报告【要求检测报告中委托单位、生产者（制造商）及生产厂的名称及地址应一致】，拒绝OEM；</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静载承重量</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机柜静态承载能力≧2400kg；动载≧1200kg，投标方必须提供第三方检测机构专项载重测试的检测报告</w:t>
            </w:r>
            <w:r>
              <w:rPr>
                <w:rFonts w:hint="eastAsia" w:ascii="微软雅黑" w:hAnsi="微软雅黑" w:eastAsia="微软雅黑" w:cs="微软雅黑"/>
                <w:b/>
                <w:bCs/>
                <w:kern w:val="0"/>
                <w:szCs w:val="21"/>
              </w:rPr>
              <w:t>【要求检测报告中委托单位、生产者（制造商）及生产厂的名称及地址应一致】,拒绝OEM.</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安装要求</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落地安装/基础支架安装</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密封件</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模块共配置,60块1U盲板，含接地铜排，免螺丝无工具安装，盲板采用为钢质或塑料材质；塑料盲板应具有防火阻燃性能</w:t>
            </w:r>
            <w:r>
              <w:rPr>
                <w:rFonts w:hint="eastAsia" w:ascii="微软雅黑" w:hAnsi="微软雅黑" w:eastAsia="微软雅黑" w:cs="微软雅黑"/>
                <w:b/>
                <w:bCs/>
                <w:kern w:val="0"/>
                <w:szCs w:val="21"/>
              </w:rPr>
              <w:t>（须提供由质量监督检验机构出具的检测报告）。</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固定承板</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模块共配置6块固定承板；固定层板静载荷能力应不低于350KG。</w:t>
            </w:r>
            <w:r>
              <w:rPr>
                <w:rFonts w:hint="eastAsia" w:ascii="微软雅黑" w:hAnsi="微软雅黑" w:eastAsia="微软雅黑" w:cs="微软雅黑"/>
                <w:b/>
                <w:bCs/>
                <w:kern w:val="0"/>
                <w:szCs w:val="21"/>
              </w:rPr>
              <w:t>（须提供由质量监督检验机构出具的检测报告）</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接地</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color w:val="000000"/>
                <w:kern w:val="0"/>
                <w:szCs w:val="21"/>
              </w:rPr>
              <w:t>机柜底部须提供不少于2个接地点，所有门提供接地；门体和柜体之间有软导线连接。</w:t>
            </w:r>
          </w:p>
        </w:tc>
        <w:tc>
          <w:tcPr>
            <w:tcW w:w="571" w:type="dxa"/>
            <w:vMerge w:val="continue"/>
            <w:vAlign w:val="center"/>
          </w:tcPr>
          <w:p>
            <w:pPr>
              <w:widowControl/>
              <w:jc w:val="center"/>
              <w:textAlignment w:val="center"/>
              <w:rPr>
                <w:rFonts w:ascii="微软雅黑" w:hAnsi="微软雅黑" w:eastAsia="微软雅黑" w:cs="微软雅黑"/>
                <w:color w:val="000000"/>
                <w:kern w:val="0"/>
                <w:szCs w:val="21"/>
              </w:rPr>
            </w:pPr>
          </w:p>
        </w:tc>
        <w:tc>
          <w:tcPr>
            <w:tcW w:w="619" w:type="dxa"/>
            <w:vMerge w:val="continue"/>
            <w:vAlign w:val="center"/>
          </w:tcPr>
          <w:p>
            <w:pPr>
              <w:widowControl/>
              <w:jc w:val="center"/>
              <w:textAlignment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color w:val="000000"/>
                <w:kern w:val="0"/>
                <w:szCs w:val="21"/>
              </w:rPr>
              <w:t>PDU</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单柜模块（IT设备柜）配置1套PDU,安装于机柜后面，32A接线端子接线盒输入，12路国标10A+4路10A可带电热插拔式模块输出，与机柜同品牌(端口类型可根据业主需求选择）</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进、出线方式</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满足下进、下出方式或上进上出</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灯光要求</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单柜模块前后门设置LED照明，通过柜门控制（门开灯亮，门关灯灭）或触摸屏控制</w:t>
            </w:r>
          </w:p>
        </w:tc>
        <w:tc>
          <w:tcPr>
            <w:tcW w:w="571" w:type="dxa"/>
            <w:vAlign w:val="center"/>
          </w:tcPr>
          <w:p>
            <w:pPr>
              <w:widowControl/>
              <w:jc w:val="center"/>
              <w:textAlignment w:val="center"/>
              <w:rPr>
                <w:rFonts w:ascii="微软雅黑" w:hAnsi="微软雅黑" w:eastAsia="微软雅黑" w:cs="微软雅黑"/>
                <w:kern w:val="0"/>
                <w:szCs w:val="21"/>
              </w:rPr>
            </w:pPr>
          </w:p>
        </w:tc>
        <w:tc>
          <w:tcPr>
            <w:tcW w:w="619" w:type="dxa"/>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统一品牌</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配电系统、精密空调、机柜、管理系统等核心部件为同一品牌，须提供微模块整体检测报告</w:t>
            </w:r>
            <w:r>
              <w:rPr>
                <w:rFonts w:hint="eastAsia" w:ascii="微软雅黑" w:hAnsi="微软雅黑" w:eastAsia="微软雅黑" w:cs="微软雅黑"/>
                <w:b/>
                <w:bCs/>
                <w:kern w:val="0"/>
                <w:szCs w:val="21"/>
              </w:rPr>
              <w:t>（须提供由质量监督检验机构出具的检测报告）</w:t>
            </w:r>
          </w:p>
        </w:tc>
        <w:tc>
          <w:tcPr>
            <w:tcW w:w="571" w:type="dxa"/>
            <w:vAlign w:val="center"/>
          </w:tcPr>
          <w:p>
            <w:pPr>
              <w:widowControl/>
              <w:jc w:val="center"/>
              <w:textAlignment w:val="center"/>
              <w:rPr>
                <w:rFonts w:ascii="微软雅黑" w:hAnsi="微软雅黑" w:eastAsia="微软雅黑" w:cs="微软雅黑"/>
                <w:kern w:val="0"/>
                <w:szCs w:val="21"/>
              </w:rPr>
            </w:pPr>
          </w:p>
        </w:tc>
        <w:tc>
          <w:tcPr>
            <w:tcW w:w="619" w:type="dxa"/>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显示内容</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每套微模块配置一套10寸彩色触摸屏，显示微模块所有监控设备的参数。</w:t>
            </w:r>
          </w:p>
        </w:tc>
        <w:tc>
          <w:tcPr>
            <w:tcW w:w="571" w:type="dxa"/>
            <w:vAlign w:val="center"/>
          </w:tcPr>
          <w:p>
            <w:pPr>
              <w:widowControl/>
              <w:jc w:val="center"/>
              <w:textAlignment w:val="center"/>
              <w:rPr>
                <w:rFonts w:ascii="微软雅黑" w:hAnsi="微软雅黑" w:eastAsia="微软雅黑" w:cs="微软雅黑"/>
                <w:kern w:val="0"/>
                <w:szCs w:val="21"/>
              </w:rPr>
            </w:pPr>
          </w:p>
        </w:tc>
        <w:tc>
          <w:tcPr>
            <w:tcW w:w="619" w:type="dxa"/>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25"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供配电</w:t>
            </w: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电源制式</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220/380VAC，46Hz～55Hz</w:t>
            </w:r>
          </w:p>
        </w:tc>
        <w:tc>
          <w:tcPr>
            <w:tcW w:w="571"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供电系统</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机架式配电箱规格：440mm(W)*10U(H)*560mm(D)，机架式安装于配电综合设备柜内（电量仪见动环部分）。 </w:t>
            </w:r>
          </w:p>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空开配置：总空开 C80A+MX+OF 1只，UPS主输入iC65N-C50A/3P 1只，UPS外部手动旁路2P C50A+挂锁辅件 1只，UPS输出2P C50A 1只，空调输入iC65N-D20A/3P 1只，备用iC65N-C32A/3P 1只，支路空开iC65N-C32A/1P 5只，支路空开iC65N-C6A/1P 5只；防雷模块（In=20KA）含保护空开iC65N-C32A/4P 1套； </w:t>
            </w:r>
          </w:p>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投标人须提供机架式配电箱产品应符合国家强制认证要求，委托人、</w:t>
            </w:r>
            <w:r>
              <w:rPr>
                <w:rFonts w:hint="eastAsia" w:ascii="微软雅黑" w:hAnsi="微软雅黑" w:eastAsia="微软雅黑" w:cs="微软雅黑"/>
                <w:b/>
                <w:bCs/>
                <w:kern w:val="0"/>
                <w:szCs w:val="21"/>
              </w:rPr>
              <w:t>生产者（制造商）及生产企业的名称及地址应一致，并提供CCC证书</w:t>
            </w:r>
            <w:r>
              <w:rPr>
                <w:rFonts w:hint="eastAsia" w:ascii="微软雅黑" w:hAnsi="微软雅黑" w:eastAsia="微软雅黑" w:cs="微软雅黑"/>
                <w:kern w:val="0"/>
                <w:szCs w:val="21"/>
              </w:rPr>
              <w:t>。</w:t>
            </w:r>
          </w:p>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机架式配电箱防护等级≧IP40，</w:t>
            </w:r>
            <w:r>
              <w:rPr>
                <w:rFonts w:hint="eastAsia" w:ascii="微软雅黑" w:hAnsi="微软雅黑" w:eastAsia="微软雅黑" w:cs="微软雅黑"/>
                <w:b/>
                <w:bCs/>
                <w:kern w:val="0"/>
                <w:szCs w:val="21"/>
              </w:rPr>
              <w:t>投标人须提供国家质量认证部门出具的证明材料。</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监测模块</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监测电量参数，主要监测电源电压、电流、有功功率、无功功率、视在功率、有功电能参数以及防雷状态监测功能，带Modbus通讯协议，RS485通信接口,</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防雷等级</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C级防雷，标称放电电流20KA-40KA(8/20μs)</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49"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UPS</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1、UPS容量30KVA，机架式安装，1台；</w:t>
            </w:r>
          </w:p>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2、.配置外接电池数量96节12V100AH蓄电池，</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525"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空调</w:t>
            </w: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精密空调</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1制冷量≥12.5KW单冷型精密空调，12.5kw精密空调（总制冷量为12.5KW，单压缩机，水平送风，EC高效直联后倾离心式风机，具备制冷、送风、除尘、自动报警、来电自启等功能；噪音≤62dB；电源：三相五线制 380V/3N/50Hz+N+PE）电加热选配。</w:t>
            </w:r>
          </w:p>
        </w:tc>
        <w:tc>
          <w:tcPr>
            <w:tcW w:w="571"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20"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525"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监控检测</w:t>
            </w: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监测系统</w:t>
            </w:r>
          </w:p>
        </w:tc>
        <w:tc>
          <w:tcPr>
            <w:tcW w:w="4648" w:type="dxa"/>
            <w:vAlign w:val="center"/>
          </w:tcPr>
          <w:p>
            <w:pPr>
              <w:widowControl/>
              <w:jc w:val="lef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Cortex-A8 CPU为核心（主频1GHz，内存512M）的高性能嵌入式一体化触摸屏。该产品设计采用了10.2英寸高亮度TFT液晶显示屏（分辨率1024×600），四线电阻式触摸屏（分辨率4096×4096）</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kern w:val="0"/>
                <w:szCs w:val="21"/>
              </w:rPr>
              <w:t>需提供监控软件评测报告、著作权登记证书、软件产品登记证书复印件。</w:t>
            </w:r>
          </w:p>
        </w:tc>
        <w:tc>
          <w:tcPr>
            <w:tcW w:w="571"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环境监测</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满足微模块内温湿度及前后门状态、烟雾、水浸状态监测等；</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市电监测</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市电电源参数监测</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UPS电源监测</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UPS电源信息监测</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空调监测</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对空调的回风温度、报警状态、故障状态、以及蒸发风机、压缩机的运行等状态进行监测</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Merge w:val="continue"/>
            <w:vAlign w:val="center"/>
          </w:tcPr>
          <w:p>
            <w:pPr>
              <w:widowControl/>
              <w:jc w:val="center"/>
              <w:textAlignment w:val="center"/>
              <w:rPr>
                <w:rFonts w:ascii="微软雅黑" w:hAnsi="微软雅黑" w:eastAsia="微软雅黑" w:cs="微软雅黑"/>
                <w:kern w:val="0"/>
                <w:szCs w:val="21"/>
              </w:rPr>
            </w:pPr>
          </w:p>
        </w:tc>
        <w:tc>
          <w:tcPr>
            <w:tcW w:w="525" w:type="dxa"/>
            <w:vMerge w:val="continue"/>
            <w:vAlign w:val="center"/>
          </w:tcPr>
          <w:p>
            <w:pPr>
              <w:widowControl/>
              <w:jc w:val="center"/>
              <w:textAlignment w:val="center"/>
              <w:rPr>
                <w:rFonts w:ascii="微软雅黑" w:hAnsi="微软雅黑" w:eastAsia="微软雅黑" w:cs="微软雅黑"/>
                <w:kern w:val="0"/>
                <w:szCs w:val="21"/>
              </w:rPr>
            </w:pPr>
          </w:p>
        </w:tc>
        <w:tc>
          <w:tcPr>
            <w:tcW w:w="1050" w:type="dxa"/>
            <w:vAlign w:val="center"/>
          </w:tcPr>
          <w:p>
            <w:pPr>
              <w:widowControl/>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rPr>
              <w:t>门禁监测</w:t>
            </w:r>
          </w:p>
        </w:tc>
        <w:tc>
          <w:tcPr>
            <w:tcW w:w="4648" w:type="dxa"/>
            <w:vAlign w:val="center"/>
          </w:tcPr>
          <w:p>
            <w:pPr>
              <w:widowControl/>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rPr>
              <w:t>可对柜门进行权限管理及限制,当智能化系统监测柜内温度达到一定数值时，出现应急故障时（如空调故障、消防），联动切断门禁锁断电自动打开前门，引机房内空气至机柜内降低机柜内温度</w:t>
            </w:r>
          </w:p>
        </w:tc>
        <w:tc>
          <w:tcPr>
            <w:tcW w:w="571" w:type="dxa"/>
            <w:vMerge w:val="continue"/>
            <w:vAlign w:val="center"/>
          </w:tcPr>
          <w:p>
            <w:pPr>
              <w:widowControl/>
              <w:jc w:val="center"/>
              <w:textAlignment w:val="center"/>
              <w:rPr>
                <w:rFonts w:ascii="微软雅黑" w:hAnsi="微软雅黑" w:eastAsia="微软雅黑" w:cs="微软雅黑"/>
                <w:kern w:val="0"/>
                <w:szCs w:val="21"/>
              </w:rPr>
            </w:pPr>
          </w:p>
        </w:tc>
        <w:tc>
          <w:tcPr>
            <w:tcW w:w="619" w:type="dxa"/>
            <w:vMerge w:val="continue"/>
            <w:vAlign w:val="center"/>
          </w:tcPr>
          <w:p>
            <w:pPr>
              <w:widowControl/>
              <w:jc w:val="center"/>
              <w:textAlignment w:val="center"/>
              <w:rPr>
                <w:rFonts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525"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综合布线</w:t>
            </w:r>
          </w:p>
        </w:tc>
        <w:tc>
          <w:tcPr>
            <w:tcW w:w="5698" w:type="dxa"/>
            <w:gridSpan w:val="2"/>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机房所有电源线、网线、光纤、跳线、电话线需重新整理。</w:t>
            </w:r>
          </w:p>
        </w:tc>
        <w:tc>
          <w:tcPr>
            <w:tcW w:w="571"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批</w:t>
            </w:r>
          </w:p>
        </w:tc>
        <w:tc>
          <w:tcPr>
            <w:tcW w:w="619"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525"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KVM液晶一体机</w:t>
            </w:r>
          </w:p>
        </w:tc>
        <w:tc>
          <w:tcPr>
            <w:tcW w:w="5698" w:type="dxa"/>
            <w:gridSpan w:val="2"/>
            <w:vAlign w:val="center"/>
          </w:tcPr>
          <w:p>
            <w:pPr>
              <w:widowControl/>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8进一出机架式，17寸高清液晶显示、前置USB、支持一键切换</w:t>
            </w:r>
          </w:p>
        </w:tc>
        <w:tc>
          <w:tcPr>
            <w:tcW w:w="571"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trPr>
        <w:tc>
          <w:tcPr>
            <w:tcW w:w="520"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525"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室内装饰</w:t>
            </w:r>
          </w:p>
        </w:tc>
        <w:tc>
          <w:tcPr>
            <w:tcW w:w="105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吊顶</w:t>
            </w:r>
          </w:p>
        </w:tc>
        <w:tc>
          <w:tcPr>
            <w:tcW w:w="4648" w:type="dxa"/>
            <w:vAlign w:val="center"/>
          </w:tcPr>
          <w:p>
            <w:pPr>
              <w:widowControl/>
              <w:textAlignment w:val="center"/>
              <w:rPr>
                <w:rFonts w:ascii="微软雅黑" w:hAnsi="微软雅黑" w:cs="微软雅黑"/>
                <w:kern w:val="0"/>
                <w:szCs w:val="21"/>
              </w:rPr>
            </w:pPr>
            <w:r>
              <w:rPr>
                <w:rFonts w:hint="eastAsia" w:ascii="微软雅黑" w:hAnsi="微软雅黑" w:eastAsia="微软雅黑" w:cs="微软雅黑"/>
                <w:color w:val="191919"/>
                <w:szCs w:val="21"/>
                <w:shd w:val="clear" w:color="070000" w:fill="FFFFFF"/>
              </w:rPr>
              <w:t>铝合金微孔板吊顶90平方；</w:t>
            </w:r>
          </w:p>
        </w:tc>
        <w:tc>
          <w:tcPr>
            <w:tcW w:w="571"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619" w:type="dxa"/>
            <w:vMerge w:val="restart"/>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2" w:hRule="atLeast"/>
        </w:trPr>
        <w:tc>
          <w:tcPr>
            <w:tcW w:w="520" w:type="dxa"/>
            <w:vMerge w:val="continue"/>
            <w:vAlign w:val="center"/>
          </w:tcPr>
          <w:p>
            <w:pPr>
              <w:widowControl/>
              <w:textAlignment w:val="center"/>
            </w:pPr>
          </w:p>
        </w:tc>
        <w:tc>
          <w:tcPr>
            <w:tcW w:w="525" w:type="dxa"/>
            <w:vMerge w:val="continue"/>
            <w:vAlign w:val="center"/>
          </w:tcPr>
          <w:p>
            <w:pPr>
              <w:widowControl/>
              <w:textAlignment w:val="center"/>
            </w:pPr>
          </w:p>
        </w:tc>
        <w:tc>
          <w:tcPr>
            <w:tcW w:w="1050" w:type="dxa"/>
            <w:vAlign w:val="center"/>
          </w:tcPr>
          <w:p>
            <w:pPr>
              <w:widowControl/>
              <w:jc w:val="center"/>
              <w:textAlignment w:val="center"/>
              <w:rPr>
                <w:rFonts w:ascii="微软雅黑" w:hAnsi="微软雅黑" w:eastAsia="微软雅黑" w:cs="微软雅黑"/>
              </w:rPr>
            </w:pPr>
            <w:r>
              <w:rPr>
                <w:rFonts w:hint="eastAsia" w:ascii="微软雅黑" w:hAnsi="微软雅黑" w:eastAsia="微软雅黑" w:cs="微软雅黑"/>
              </w:rPr>
              <w:t>防静电地板</w:t>
            </w:r>
          </w:p>
        </w:tc>
        <w:tc>
          <w:tcPr>
            <w:tcW w:w="4648" w:type="dxa"/>
            <w:vAlign w:val="center"/>
          </w:tcPr>
          <w:p>
            <w:pPr>
              <w:widowControl/>
              <w:textAlignment w:val="center"/>
            </w:pPr>
            <w:r>
              <w:rPr>
                <w:rFonts w:hint="eastAsia"/>
              </w:rPr>
              <w:t>防静电地板外表经磷化后进行防静电喷塑处理，上表面10MM厚陶瓷，四周镶嵌导静电边条。</w:t>
            </w:r>
          </w:p>
        </w:tc>
        <w:tc>
          <w:tcPr>
            <w:tcW w:w="571" w:type="dxa"/>
            <w:vMerge w:val="continue"/>
            <w:vAlign w:val="center"/>
          </w:tcPr>
          <w:p>
            <w:pPr>
              <w:widowControl/>
              <w:textAlignment w:val="center"/>
            </w:pPr>
          </w:p>
        </w:tc>
        <w:tc>
          <w:tcPr>
            <w:tcW w:w="619" w:type="dxa"/>
            <w:vMerge w:val="continue"/>
            <w:vAlign w:val="center"/>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trPr>
        <w:tc>
          <w:tcPr>
            <w:tcW w:w="520" w:type="dxa"/>
            <w:vMerge w:val="continue"/>
            <w:vAlign w:val="center"/>
          </w:tcPr>
          <w:p>
            <w:pPr>
              <w:widowControl/>
              <w:textAlignment w:val="center"/>
            </w:pPr>
          </w:p>
        </w:tc>
        <w:tc>
          <w:tcPr>
            <w:tcW w:w="525" w:type="dxa"/>
            <w:vMerge w:val="continue"/>
            <w:vAlign w:val="center"/>
          </w:tcPr>
          <w:p>
            <w:pPr>
              <w:widowControl/>
              <w:textAlignment w:val="center"/>
            </w:pPr>
          </w:p>
        </w:tc>
        <w:tc>
          <w:tcPr>
            <w:tcW w:w="1050" w:type="dxa"/>
            <w:vAlign w:val="center"/>
          </w:tcPr>
          <w:p>
            <w:pPr>
              <w:widowControl/>
              <w:jc w:val="center"/>
              <w:textAlignment w:val="center"/>
              <w:rPr>
                <w:rFonts w:ascii="微软雅黑" w:hAnsi="微软雅黑" w:eastAsia="微软雅黑" w:cs="微软雅黑"/>
              </w:rPr>
            </w:pPr>
            <w:r>
              <w:rPr>
                <w:rFonts w:hint="eastAsia" w:ascii="微软雅黑" w:hAnsi="微软雅黑" w:eastAsia="微软雅黑" w:cs="微软雅黑"/>
              </w:rPr>
              <w:t>玻璃幕墙</w:t>
            </w:r>
          </w:p>
        </w:tc>
        <w:tc>
          <w:tcPr>
            <w:tcW w:w="4648" w:type="dxa"/>
            <w:vAlign w:val="center"/>
          </w:tcPr>
          <w:p>
            <w:pPr>
              <w:widowControl/>
              <w:textAlignment w:val="center"/>
            </w:pPr>
            <w:r>
              <w:rPr>
                <w:rFonts w:hint="eastAsia"/>
              </w:rPr>
              <w:t>30平方10MM厚钢化玻璃，上下龙骨固定，加强竖梁，不锈钢包边，</w:t>
            </w:r>
          </w:p>
        </w:tc>
        <w:tc>
          <w:tcPr>
            <w:tcW w:w="571" w:type="dxa"/>
            <w:vMerge w:val="continue"/>
            <w:vAlign w:val="center"/>
          </w:tcPr>
          <w:p>
            <w:pPr>
              <w:widowControl/>
              <w:textAlignment w:val="center"/>
            </w:pPr>
          </w:p>
        </w:tc>
        <w:tc>
          <w:tcPr>
            <w:tcW w:w="619" w:type="dxa"/>
            <w:vMerge w:val="continue"/>
            <w:vAlign w:val="center"/>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trPr>
        <w:tc>
          <w:tcPr>
            <w:tcW w:w="520" w:type="dxa"/>
            <w:vMerge w:val="continue"/>
            <w:vAlign w:val="center"/>
          </w:tcPr>
          <w:p>
            <w:pPr>
              <w:widowControl/>
              <w:textAlignment w:val="center"/>
            </w:pPr>
          </w:p>
        </w:tc>
        <w:tc>
          <w:tcPr>
            <w:tcW w:w="525" w:type="dxa"/>
            <w:vMerge w:val="continue"/>
            <w:vAlign w:val="center"/>
          </w:tcPr>
          <w:p>
            <w:pPr>
              <w:widowControl/>
              <w:textAlignment w:val="center"/>
            </w:pPr>
          </w:p>
        </w:tc>
        <w:tc>
          <w:tcPr>
            <w:tcW w:w="1050" w:type="dxa"/>
            <w:vAlign w:val="center"/>
          </w:tcPr>
          <w:p>
            <w:pPr>
              <w:widowControl/>
              <w:jc w:val="center"/>
              <w:textAlignment w:val="center"/>
              <w:rPr>
                <w:rFonts w:ascii="微软雅黑" w:hAnsi="微软雅黑" w:eastAsia="微软雅黑" w:cs="微软雅黑"/>
              </w:rPr>
            </w:pPr>
            <w:r>
              <w:rPr>
                <w:rFonts w:hint="eastAsia" w:ascii="微软雅黑" w:hAnsi="微软雅黑" w:eastAsia="微软雅黑" w:cs="微软雅黑"/>
              </w:rPr>
              <w:t>墙体装饰</w:t>
            </w:r>
          </w:p>
        </w:tc>
        <w:tc>
          <w:tcPr>
            <w:tcW w:w="4648" w:type="dxa"/>
            <w:vAlign w:val="center"/>
          </w:tcPr>
          <w:p>
            <w:pPr>
              <w:widowControl/>
              <w:textAlignment w:val="center"/>
            </w:pPr>
            <w:r>
              <w:rPr>
                <w:rFonts w:hint="eastAsia" w:ascii="微软雅黑" w:hAnsi="微软雅黑" w:eastAsia="微软雅黑" w:cs="微软雅黑"/>
                <w:color w:val="191919"/>
                <w:szCs w:val="21"/>
                <w:shd w:val="clear" w:color="070000" w:fill="FFFFFF"/>
              </w:rPr>
              <w:t>主机房墙柱面采用知名品牌优质环保乳胶漆（三次），墙体部分作防潮、防火及保温处理。</w:t>
            </w:r>
          </w:p>
        </w:tc>
        <w:tc>
          <w:tcPr>
            <w:tcW w:w="571" w:type="dxa"/>
            <w:vMerge w:val="continue"/>
            <w:vAlign w:val="center"/>
          </w:tcPr>
          <w:p>
            <w:pPr>
              <w:widowControl/>
              <w:textAlignment w:val="center"/>
            </w:pPr>
          </w:p>
        </w:tc>
        <w:tc>
          <w:tcPr>
            <w:tcW w:w="619" w:type="dxa"/>
            <w:vMerge w:val="continue"/>
            <w:vAlign w:val="center"/>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trPr>
        <w:tc>
          <w:tcPr>
            <w:tcW w:w="520" w:type="dxa"/>
            <w:vMerge w:val="continue"/>
            <w:vAlign w:val="center"/>
          </w:tcPr>
          <w:p>
            <w:pPr>
              <w:widowControl/>
              <w:textAlignment w:val="center"/>
            </w:pPr>
          </w:p>
        </w:tc>
        <w:tc>
          <w:tcPr>
            <w:tcW w:w="525" w:type="dxa"/>
            <w:vMerge w:val="continue"/>
            <w:vAlign w:val="center"/>
          </w:tcPr>
          <w:p>
            <w:pPr>
              <w:widowControl/>
              <w:textAlignment w:val="center"/>
            </w:pPr>
          </w:p>
        </w:tc>
        <w:tc>
          <w:tcPr>
            <w:tcW w:w="1050" w:type="dxa"/>
            <w:vAlign w:val="center"/>
          </w:tcPr>
          <w:p>
            <w:pPr>
              <w:widowControl/>
              <w:jc w:val="center"/>
              <w:textAlignment w:val="center"/>
              <w:rPr>
                <w:rFonts w:ascii="微软雅黑" w:hAnsi="微软雅黑" w:eastAsia="微软雅黑" w:cs="微软雅黑"/>
              </w:rPr>
            </w:pPr>
            <w:r>
              <w:rPr>
                <w:rFonts w:hint="eastAsia" w:ascii="微软雅黑" w:hAnsi="微软雅黑" w:eastAsia="微软雅黑" w:cs="微软雅黑"/>
              </w:rPr>
              <w:t>照明</w:t>
            </w:r>
          </w:p>
        </w:tc>
        <w:tc>
          <w:tcPr>
            <w:tcW w:w="4648" w:type="dxa"/>
            <w:vAlign w:val="center"/>
          </w:tcPr>
          <w:p>
            <w:pPr>
              <w:widowControl/>
              <w:textAlignment w:val="center"/>
            </w:pPr>
            <w:r>
              <w:rPr>
                <w:rFonts w:hint="eastAsia" w:ascii="微软雅黑" w:hAnsi="微软雅黑" w:eastAsia="微软雅黑" w:cs="微软雅黑"/>
              </w:rPr>
              <w:t>机房专业照明嵌入式灯具6套，吸顶安装。</w:t>
            </w:r>
          </w:p>
        </w:tc>
        <w:tc>
          <w:tcPr>
            <w:tcW w:w="571" w:type="dxa"/>
            <w:vMerge w:val="continue"/>
            <w:vAlign w:val="center"/>
          </w:tcPr>
          <w:p>
            <w:pPr>
              <w:widowControl/>
              <w:textAlignment w:val="center"/>
            </w:pPr>
          </w:p>
        </w:tc>
        <w:tc>
          <w:tcPr>
            <w:tcW w:w="619" w:type="dxa"/>
            <w:vMerge w:val="continue"/>
            <w:vAlign w:val="center"/>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0"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525"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szCs w:val="21"/>
              </w:rPr>
              <w:t>智能语音庭审系统</w:t>
            </w:r>
          </w:p>
        </w:tc>
        <w:tc>
          <w:tcPr>
            <w:tcW w:w="5698" w:type="dxa"/>
            <w:gridSpan w:val="2"/>
            <w:vAlign w:val="center"/>
          </w:tcPr>
          <w:p>
            <w:pPr>
              <w:widowControl/>
              <w:numPr>
                <w:ilvl w:val="0"/>
                <w:numId w:val="6"/>
              </w:numP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主机要求</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1、音频输入参数：</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1) 频响：22Hz to 8kHz(+/-0.1dB)</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2 动态范围：96dB, A 计权</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3) 噪声级别：-96dB, A 计权</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4) 阻抗：1.8K 欧</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5) 输入电平：平衡+4dBu / 非平衡-10dBV</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6) 可调节增益范围：0dB ~ +53dB</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2、音频输出参数：</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1) 频响：22Hz to 8kHz(+/-0.1dB)</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2) 动态范围：96dB, A 计权</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3) 噪声级别：-96dB, A 计权</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4) 阻抗：100 欧</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5) 输出电平：平衡+4dBu / 非平衡-10dBV</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3、接口默认数字音频参数</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1）采样率：16kHz</w:t>
            </w:r>
          </w:p>
          <w:p>
            <w:pPr>
              <w:spacing w:line="276" w:lineRule="auto"/>
              <w:rPr>
                <w:rFonts w:ascii="微软雅黑" w:hAnsi="微软雅黑" w:eastAsia="微软雅黑" w:cs="微软雅黑"/>
                <w:szCs w:val="21"/>
              </w:rPr>
            </w:pPr>
            <w:r>
              <w:rPr>
                <w:rFonts w:hint="eastAsia" w:ascii="微软雅黑" w:hAnsi="微软雅黑" w:eastAsia="微软雅黑" w:cs="微软雅黑"/>
                <w:szCs w:val="21"/>
              </w:rPr>
              <w:t>2）位深：16Bit</w:t>
            </w:r>
          </w:p>
          <w:p>
            <w:pPr>
              <w:widowControl/>
              <w:rPr>
                <w:rFonts w:ascii="微软雅黑" w:hAnsi="微软雅黑" w:eastAsia="微软雅黑" w:cs="微软雅黑"/>
                <w:szCs w:val="21"/>
              </w:rPr>
            </w:pPr>
            <w:r>
              <w:rPr>
                <w:rFonts w:hint="eastAsia" w:ascii="微软雅黑" w:hAnsi="微软雅黑" w:eastAsia="微软雅黑" w:cs="微软雅黑"/>
                <w:szCs w:val="21"/>
              </w:rPr>
              <w:t>3）通道：12通道</w:t>
            </w:r>
          </w:p>
          <w:p>
            <w:pPr>
              <w:widowControl/>
              <w:rPr>
                <w:rFonts w:ascii="微软雅黑" w:hAnsi="微软雅黑" w:eastAsia="微软雅黑" w:cs="微软雅黑"/>
                <w:szCs w:val="21"/>
              </w:rPr>
            </w:pPr>
            <w:r>
              <w:rPr>
                <w:rFonts w:hint="eastAsia" w:ascii="微软雅黑" w:hAnsi="微软雅黑" w:eastAsia="微软雅黑" w:cs="微软雅黑"/>
                <w:szCs w:val="21"/>
              </w:rPr>
              <w:t>功能要求</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1、内网部署：系统要求在本地法院内网中进行所有软硬件设备的安装部署，全部数据都要求保存在本地服务器上，与外网无任何数据交互。</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2、设备高度：系统对现有单个科技法庭改造所需的专用设备可放置在现有科技法庭机柜中，高度为1U。</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3、集中采音方式：系统对庭审各方通过麦克风设备输入的语音要求采用集中式的采音设备。</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4、系统扩展性：系统前端语音识别处理设备需支持轻便化部署，通过在单个科技法庭中添加单一设备即可支持12路的语音信号输入，同时针对具体法庭需求可实现平滑扩展。</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5、案件模板应用。</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（1）创建新模板，支持导入word模板；</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（2）模板库存储，支持通过模板库可快速应用保存过的模板。</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6、机器自我学习</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（1）庭前导入案件资料，系统支持自学习训练成个案资源包；</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（2）添加个性化词汇（人名、地名、公司名、法律名</w:t>
            </w:r>
            <w:r>
              <w:rPr>
                <w:rFonts w:hint="eastAsia" w:ascii="微软雅黑" w:hAnsi="微软雅黑" w:eastAsia="微软雅黑" w:cs="微软雅黑"/>
                <w:szCs w:val="21"/>
              </w:rPr>
              <w:t>等），训练后可提高转写识别率；</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7、多角色区分识别转文字，支持配置法庭麦克风对应的陈述人角色信息，从而可以实现在庭审过程中区分多角色的说话内容分别进行识别；</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8、麦克风配置与控制</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（1）支持书记员在配置中心完成角色配置，并支持在客户端完成一次性角色配置；</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（2）支持书记员远程对说话人的麦克风进行音频传输控制，可在客户端对麦克风切换“设为静音”与“取消静音”；</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9、庭审状态控制，支持书记员根据现场情况切换“开庭”、“休庭”、“闭庭”。</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10、笔录智能修正，针对转写错误的地方，系统支持快速智能修正。</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（1）个性化词快捷替换，支持书记员选中错误文本，点击个性化词汇完成替换，并支持快捷键替换。</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（2）同人智能合并，当上下文为同一个陈述人的识别文字，会自动合并成同一个人的文字记录；</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（3）文本顺滑，对口语化的文本进行分句、加标点，并对文本内容的流利性进行处理；</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（4）格式规整，支持时间、金额、身份证号码、年月日等等常见的数字格式进行自动规整为便于阅读的格式；</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11、辅助修改功能，按照正常word操作习惯提供正常的增删改、复制、粘贴、字号、段落、页面（页眉、页脚、页码），编辑（查找、替换、撤销、恢复）等。</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12、音频测听</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（1）标记打点回听，支持在庭审过程中对不确认内容进行打点标记，休庭时可回听标记之处对应的录音；</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（2）单句回听，在修改笔录时支持书记员直接将光标放在句子之中，右键或者点击上方的回听按钮，可从该句开始播放原始语音；</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13、智能查找替换：支持书记员通过输入正确结果，系统可通过音相近快速搜索到转写错误的文本，并快速替换。</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14、庭审信息自动播报：对于开庭需要宣读的法庭纪律、审判人员入庭、证人出庭等内容，能够通过客户端软件由系统进行自动播报，并且支持播报速度的人工调整。</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15、导出/打印，支持书记员从系统的客户端软件中将庭审生成的笔录导出为Word文档，也支持在客户端打印。                                                                     16、系统要求采用C/S架构。</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17、系统控制：</w:t>
            </w:r>
          </w:p>
          <w:p>
            <w:pPr>
              <w:pStyle w:val="30"/>
              <w:spacing w:line="276" w:lineRule="auto"/>
              <w:ind w:firstLine="0" w:firstLineChars="0"/>
              <w:rPr>
                <w:rFonts w:ascii="微软雅黑" w:hAnsi="微软雅黑" w:eastAsia="微软雅黑" w:cs="微软雅黑"/>
                <w:szCs w:val="21"/>
              </w:rPr>
            </w:pPr>
            <w:r>
              <w:rPr>
                <w:rFonts w:hint="eastAsia" w:ascii="微软雅黑" w:hAnsi="微软雅黑" w:eastAsia="微软雅黑" w:cs="微软雅黑"/>
                <w:szCs w:val="21"/>
              </w:rPr>
              <w:t>（1）出字效果控制：系统支持转写效果，分为整句出字和实时出字，可以自主选择，实时生效。</w:t>
            </w:r>
          </w:p>
          <w:p>
            <w:pPr>
              <w:widowControl/>
              <w:rPr>
                <w:rFonts w:ascii="微软雅黑" w:hAnsi="微软雅黑" w:eastAsia="微软雅黑" w:cs="微软雅黑"/>
                <w:szCs w:val="21"/>
              </w:rPr>
            </w:pPr>
            <w:r>
              <w:rPr>
                <w:rFonts w:hint="eastAsia" w:ascii="微软雅黑" w:hAnsi="微软雅黑" w:eastAsia="微软雅黑" w:cs="微软雅黑"/>
                <w:szCs w:val="21"/>
              </w:rPr>
              <w:t>（2）自动保存设置：系统默认2min自动保存，防止断网断电数据损失，也支持自主配置自动保存时间。</w:t>
            </w:r>
          </w:p>
          <w:p>
            <w:pPr>
              <w:spacing w:line="276" w:lineRule="auto"/>
              <w:rPr>
                <w:rFonts w:ascii="微软雅黑" w:hAnsi="微软雅黑" w:eastAsia="微软雅黑" w:cs="微软雅黑"/>
              </w:rPr>
            </w:pPr>
            <w:r>
              <w:rPr>
                <w:rFonts w:hint="eastAsia" w:ascii="微软雅黑" w:hAnsi="微软雅黑" w:eastAsia="微软雅黑" w:cs="微软雅黑"/>
                <w:szCs w:val="21"/>
              </w:rPr>
              <w:t>18、</w:t>
            </w:r>
            <w:r>
              <w:rPr>
                <w:rFonts w:hint="eastAsia" w:ascii="微软雅黑" w:hAnsi="微软雅黑" w:eastAsia="微软雅黑" w:cs="微软雅黑"/>
              </w:rPr>
              <w:t xml:space="preserve">系统中英文语音识别准确率达到 95%以上（不包含95%） </w:t>
            </w:r>
            <w:r>
              <w:rPr>
                <w:rFonts w:hint="eastAsia" w:ascii="微软雅黑" w:hAnsi="微软雅黑" w:eastAsia="微软雅黑" w:cs="微软雅黑"/>
                <w:b/>
                <w:bCs/>
              </w:rPr>
              <w:t>出具CNAS认证的检测机构出具的检验报告；</w:t>
            </w:r>
          </w:p>
          <w:p>
            <w:pPr>
              <w:spacing w:line="276" w:lineRule="auto"/>
              <w:rPr>
                <w:rFonts w:ascii="微软雅黑" w:hAnsi="微软雅黑" w:eastAsia="微软雅黑" w:cs="微软雅黑"/>
                <w:b/>
                <w:bCs/>
              </w:rPr>
            </w:pPr>
            <w:r>
              <w:rPr>
                <w:rFonts w:hint="eastAsia" w:ascii="微软雅黑" w:hAnsi="微软雅黑" w:eastAsia="微软雅黑" w:cs="微软雅黑"/>
              </w:rPr>
              <w:t>19、系统中英文语音合成自然度应达到 4.5 分以上（不包含4.5分）</w:t>
            </w:r>
            <w:r>
              <w:rPr>
                <w:rFonts w:hint="eastAsia" w:ascii="微软雅黑" w:hAnsi="微软雅黑" w:eastAsia="微软雅黑" w:cs="微软雅黑"/>
                <w:b/>
                <w:bCs/>
              </w:rPr>
              <w:t>出具CNAS认证的检测机构出具的检验报告。</w:t>
            </w:r>
          </w:p>
          <w:p>
            <w:pPr>
              <w:widowControl/>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20、系统厂家具有语音识别系统软件著作权证书、语音合成系统软件著作权证书、智能语音庭审系统软件著作权证书，</w:t>
            </w:r>
            <w:r>
              <w:rPr>
                <w:rFonts w:hint="eastAsia" w:ascii="微软雅黑" w:hAnsi="微软雅黑" w:eastAsia="微软雅黑" w:cs="微软雅黑"/>
                <w:b/>
                <w:bCs/>
                <w:kern w:val="0"/>
                <w:szCs w:val="21"/>
              </w:rPr>
              <w:t>提供证书复印件。</w:t>
            </w:r>
          </w:p>
        </w:tc>
        <w:tc>
          <w:tcPr>
            <w:tcW w:w="571"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619" w:type="dxa"/>
            <w:vAlign w:val="center"/>
          </w:tcPr>
          <w:p>
            <w:pPr>
              <w:widowControl/>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r>
    </w:tbl>
    <w:p>
      <w:pPr>
        <w:widowControl/>
        <w:shd w:val="clear" w:color="auto" w:fill="FFFFFF"/>
        <w:spacing w:line="360" w:lineRule="auto"/>
        <w:ind w:firstLine="600"/>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（二）采购标的执行标准</w:t>
      </w:r>
    </w:p>
    <w:p>
      <w:pPr>
        <w:widowControl/>
        <w:shd w:val="clear" w:color="auto" w:fill="FFFFFF"/>
        <w:spacing w:line="360" w:lineRule="auto"/>
        <w:contextualSpacing/>
        <w:jc w:val="left"/>
        <w:rPr>
          <w:rFonts w:ascii="仿宋" w:hAnsi="仿宋" w:eastAsia="仿宋" w:cs="宋体"/>
          <w:color w:val="000000"/>
          <w:kern w:val="0"/>
          <w:sz w:val="32"/>
          <w:szCs w:val="32"/>
        </w:rPr>
      </w:pPr>
      <w:r>
        <w:rPr>
          <w:rFonts w:hint="eastAsia" w:ascii="仿宋" w:hAnsi="仿宋" w:eastAsia="仿宋" w:cs="宋体"/>
          <w:iCs/>
          <w:color w:val="000000"/>
          <w:kern w:val="0"/>
          <w:sz w:val="32"/>
          <w:szCs w:val="32"/>
        </w:rPr>
        <w:t>需执行的国家相关标准、行业标准、地方标准或者其他标准、规范</w:t>
      </w: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zh-CN"/>
        </w:rPr>
        <w:t>（四）其他要求</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1、投标人须明确投标产品的品牌、型号、厂家及产地等详细参数，否则为无效投标。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zh-CN"/>
        </w:rPr>
        <w:t>投标人应就该项目完整投标（报价含安装，运输、培训、税费等综合费用），否则为无效投标。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仿宋" w:hAnsi="仿宋" w:eastAsia="仿宋" w:cs="仿宋"/>
          <w:b w:val="0"/>
          <w:bCs w:val="0"/>
          <w:sz w:val="30"/>
          <w:szCs w:val="30"/>
          <w:lang w:val="zh-CN"/>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、中标方需提供产品使用说明书及光盘</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并有义务进行有关使用培训。</w:t>
      </w:r>
    </w:p>
    <w:p>
      <w:pPr>
        <w:widowControl/>
        <w:shd w:val="clear" w:color="auto" w:fill="FFFFFF"/>
        <w:spacing w:line="360" w:lineRule="auto"/>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、付款方式：</w:t>
      </w:r>
      <w:r>
        <w:rPr>
          <w:rFonts w:hint="eastAsia" w:ascii="仿宋" w:hAnsi="仿宋" w:eastAsia="仿宋" w:cs="仿宋"/>
          <w:b w:val="0"/>
          <w:bCs w:val="0"/>
          <w:sz w:val="30"/>
          <w:szCs w:val="30"/>
          <w:lang w:eastAsia="zh-CN"/>
        </w:rPr>
        <w:t>以签订合同为准</w:t>
      </w: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项目名称：禹州市人民法院智能化诉讼应用系统项目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YZCG-G2019206</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禹州市人民法院</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孔先生</w:t>
            </w:r>
            <w:r>
              <w:rPr>
                <w:rFonts w:hint="eastAsia" w:cs="仿宋_GB2312" w:asciiTheme="minorEastAsia" w:hAnsiTheme="minorEastAsia"/>
                <w:sz w:val="24"/>
                <w:szCs w:val="24"/>
              </w:rPr>
              <w:t xml:space="preserve">    </w:t>
            </w:r>
            <w:bookmarkStart w:id="11" w:name="_GoBack"/>
            <w:bookmarkEnd w:id="11"/>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0374-8351333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59万元，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hint="default"/>
                <w:lang w:val="en-US" w:eastAsia="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9"/>
        <w:numPr>
          <w:ilvl w:val="0"/>
          <w:numId w:val="0"/>
        </w:numPr>
        <w:ind w:leftChars="0"/>
        <w:jc w:val="cente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不再缴纳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供应商资格条件</w:t>
            </w:r>
          </w:p>
        </w:tc>
        <w:tc>
          <w:tcPr>
            <w:tcW w:w="5954" w:type="dxa"/>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、被委托人是须是本单位职工，须提供公司为本人缴纳社会保险证明；</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9"/>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9"/>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4"/>
      <w:bookmarkStart w:id="10"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9"/>
      </w:pPr>
    </w:p>
    <w:p>
      <w:pPr>
        <w:pStyle w:val="9"/>
      </w:pPr>
    </w:p>
    <w:p>
      <w:pPr>
        <w:pStyle w:val="9"/>
      </w:pPr>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9"/>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9"/>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3CC20EA"/>
    <w:multiLevelType w:val="singleLevel"/>
    <w:tmpl w:val="13CC20EA"/>
    <w:lvl w:ilvl="0" w:tentative="0">
      <w:start w:val="1"/>
      <w:numFmt w:val="chineseCounting"/>
      <w:suff w:val="nothing"/>
      <w:lvlText w:val="%1、"/>
      <w:lvlJc w:val="left"/>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4"/>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912B77"/>
    <w:rsid w:val="03A87C38"/>
    <w:rsid w:val="03C54AE6"/>
    <w:rsid w:val="04C37B5D"/>
    <w:rsid w:val="04D11A4C"/>
    <w:rsid w:val="04E739DE"/>
    <w:rsid w:val="064737A7"/>
    <w:rsid w:val="06F62D3F"/>
    <w:rsid w:val="073C3FD1"/>
    <w:rsid w:val="07915898"/>
    <w:rsid w:val="080C2BBA"/>
    <w:rsid w:val="08FD5745"/>
    <w:rsid w:val="09DE6A13"/>
    <w:rsid w:val="0A5E16AE"/>
    <w:rsid w:val="0A7C3AAF"/>
    <w:rsid w:val="0A7F2B85"/>
    <w:rsid w:val="0A921673"/>
    <w:rsid w:val="0A9D66F0"/>
    <w:rsid w:val="0AB50907"/>
    <w:rsid w:val="0B01317F"/>
    <w:rsid w:val="0B0A7A28"/>
    <w:rsid w:val="0B2D2DC0"/>
    <w:rsid w:val="0B4F19F6"/>
    <w:rsid w:val="0B904EDB"/>
    <w:rsid w:val="0BBD5765"/>
    <w:rsid w:val="0C1D2223"/>
    <w:rsid w:val="0C1E27C2"/>
    <w:rsid w:val="0C3D4298"/>
    <w:rsid w:val="0C9523A6"/>
    <w:rsid w:val="0CA67F00"/>
    <w:rsid w:val="0D03591A"/>
    <w:rsid w:val="0DCB57BB"/>
    <w:rsid w:val="0E4538E2"/>
    <w:rsid w:val="0E5D04D7"/>
    <w:rsid w:val="0F097319"/>
    <w:rsid w:val="0F3779B6"/>
    <w:rsid w:val="0F485C64"/>
    <w:rsid w:val="0F594FCA"/>
    <w:rsid w:val="0FD30C14"/>
    <w:rsid w:val="0FF37913"/>
    <w:rsid w:val="0FFB0A23"/>
    <w:rsid w:val="101B403B"/>
    <w:rsid w:val="10311832"/>
    <w:rsid w:val="10597E87"/>
    <w:rsid w:val="10FA4534"/>
    <w:rsid w:val="116D26CD"/>
    <w:rsid w:val="11B45F4A"/>
    <w:rsid w:val="11C23651"/>
    <w:rsid w:val="11E13F76"/>
    <w:rsid w:val="121D0899"/>
    <w:rsid w:val="127B7E33"/>
    <w:rsid w:val="129267D1"/>
    <w:rsid w:val="12C422CE"/>
    <w:rsid w:val="13301DE9"/>
    <w:rsid w:val="13B53726"/>
    <w:rsid w:val="13EB69AF"/>
    <w:rsid w:val="13EF2ABA"/>
    <w:rsid w:val="13EF4CCF"/>
    <w:rsid w:val="13EF7D11"/>
    <w:rsid w:val="140778EB"/>
    <w:rsid w:val="144A357E"/>
    <w:rsid w:val="14EA1483"/>
    <w:rsid w:val="158908A7"/>
    <w:rsid w:val="160E3E81"/>
    <w:rsid w:val="16893C37"/>
    <w:rsid w:val="16EE4E99"/>
    <w:rsid w:val="171E620C"/>
    <w:rsid w:val="175A361E"/>
    <w:rsid w:val="17A87F25"/>
    <w:rsid w:val="17F27C17"/>
    <w:rsid w:val="183965F3"/>
    <w:rsid w:val="189035FD"/>
    <w:rsid w:val="18C769E5"/>
    <w:rsid w:val="18D55096"/>
    <w:rsid w:val="18D95520"/>
    <w:rsid w:val="198348D6"/>
    <w:rsid w:val="19ED25CF"/>
    <w:rsid w:val="1A08396D"/>
    <w:rsid w:val="1AFBFFDD"/>
    <w:rsid w:val="1B1653FD"/>
    <w:rsid w:val="1BC2665F"/>
    <w:rsid w:val="1C2D1536"/>
    <w:rsid w:val="1C8C7FF1"/>
    <w:rsid w:val="1CB002B1"/>
    <w:rsid w:val="1CCF2F1D"/>
    <w:rsid w:val="1CFB73D3"/>
    <w:rsid w:val="1D2118E4"/>
    <w:rsid w:val="1E8E722F"/>
    <w:rsid w:val="1EE2460E"/>
    <w:rsid w:val="1F45401B"/>
    <w:rsid w:val="1F6C2070"/>
    <w:rsid w:val="1F782208"/>
    <w:rsid w:val="1F8E45BB"/>
    <w:rsid w:val="1FCA4D80"/>
    <w:rsid w:val="1FCE6DA8"/>
    <w:rsid w:val="1FE15514"/>
    <w:rsid w:val="208614E5"/>
    <w:rsid w:val="20E47EF3"/>
    <w:rsid w:val="21010B82"/>
    <w:rsid w:val="2157706F"/>
    <w:rsid w:val="21DD4A96"/>
    <w:rsid w:val="22A72D82"/>
    <w:rsid w:val="242F776A"/>
    <w:rsid w:val="24317922"/>
    <w:rsid w:val="24D35795"/>
    <w:rsid w:val="25A60734"/>
    <w:rsid w:val="264C4453"/>
    <w:rsid w:val="265A28DC"/>
    <w:rsid w:val="26A274A4"/>
    <w:rsid w:val="26EC1901"/>
    <w:rsid w:val="271F4B16"/>
    <w:rsid w:val="275038F3"/>
    <w:rsid w:val="27CD14F5"/>
    <w:rsid w:val="280F7851"/>
    <w:rsid w:val="284D4D99"/>
    <w:rsid w:val="285C13AC"/>
    <w:rsid w:val="293275AA"/>
    <w:rsid w:val="293C5FB1"/>
    <w:rsid w:val="294C6543"/>
    <w:rsid w:val="29A55E19"/>
    <w:rsid w:val="29A61116"/>
    <w:rsid w:val="29F94CB1"/>
    <w:rsid w:val="2A31510A"/>
    <w:rsid w:val="2A553543"/>
    <w:rsid w:val="2A5955FE"/>
    <w:rsid w:val="2A745111"/>
    <w:rsid w:val="2AF87034"/>
    <w:rsid w:val="2B022C78"/>
    <w:rsid w:val="2B792340"/>
    <w:rsid w:val="2C014C3B"/>
    <w:rsid w:val="2C0621AA"/>
    <w:rsid w:val="2C300192"/>
    <w:rsid w:val="2D4A693F"/>
    <w:rsid w:val="2E252DC4"/>
    <w:rsid w:val="2EDA678A"/>
    <w:rsid w:val="2F112255"/>
    <w:rsid w:val="2F650AED"/>
    <w:rsid w:val="2FDA76A1"/>
    <w:rsid w:val="2FFD3F6B"/>
    <w:rsid w:val="30EA79C7"/>
    <w:rsid w:val="30FD56B7"/>
    <w:rsid w:val="311305F8"/>
    <w:rsid w:val="314C2EA6"/>
    <w:rsid w:val="31FA6A34"/>
    <w:rsid w:val="32955CA3"/>
    <w:rsid w:val="329E1B24"/>
    <w:rsid w:val="32BF12F4"/>
    <w:rsid w:val="32FD7E6D"/>
    <w:rsid w:val="33563CED"/>
    <w:rsid w:val="338A4286"/>
    <w:rsid w:val="33AF0E3F"/>
    <w:rsid w:val="347F0816"/>
    <w:rsid w:val="34B644B7"/>
    <w:rsid w:val="35833347"/>
    <w:rsid w:val="35EF4A6F"/>
    <w:rsid w:val="36046124"/>
    <w:rsid w:val="36B46A4A"/>
    <w:rsid w:val="36BA1CD5"/>
    <w:rsid w:val="36E65B38"/>
    <w:rsid w:val="375656B9"/>
    <w:rsid w:val="37627558"/>
    <w:rsid w:val="37B91083"/>
    <w:rsid w:val="37DC7055"/>
    <w:rsid w:val="386F74B3"/>
    <w:rsid w:val="398C59E3"/>
    <w:rsid w:val="39F004E9"/>
    <w:rsid w:val="39FD28B4"/>
    <w:rsid w:val="3A8071EC"/>
    <w:rsid w:val="3AC47AB6"/>
    <w:rsid w:val="3ADD0A2E"/>
    <w:rsid w:val="3AFC098A"/>
    <w:rsid w:val="3B1A281E"/>
    <w:rsid w:val="3B4C7808"/>
    <w:rsid w:val="3B6B51C3"/>
    <w:rsid w:val="3B7A3E82"/>
    <w:rsid w:val="3B8D0CE8"/>
    <w:rsid w:val="3BA71EF1"/>
    <w:rsid w:val="3BB21DD4"/>
    <w:rsid w:val="3BD31557"/>
    <w:rsid w:val="3C1651F0"/>
    <w:rsid w:val="3C4F3B9D"/>
    <w:rsid w:val="3CAA5269"/>
    <w:rsid w:val="3CBF1608"/>
    <w:rsid w:val="3CC749D9"/>
    <w:rsid w:val="3CFB31CE"/>
    <w:rsid w:val="3D0A0687"/>
    <w:rsid w:val="3D314F8C"/>
    <w:rsid w:val="3DCA2531"/>
    <w:rsid w:val="3DDE3CDA"/>
    <w:rsid w:val="3E062813"/>
    <w:rsid w:val="3E3A26DB"/>
    <w:rsid w:val="3EAD162F"/>
    <w:rsid w:val="3EBA6E8D"/>
    <w:rsid w:val="3EEB4587"/>
    <w:rsid w:val="3F263B0E"/>
    <w:rsid w:val="402E2BCD"/>
    <w:rsid w:val="414D7438"/>
    <w:rsid w:val="41A16B13"/>
    <w:rsid w:val="41EF3AE9"/>
    <w:rsid w:val="423A7A11"/>
    <w:rsid w:val="428968C5"/>
    <w:rsid w:val="42EA3B03"/>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790673"/>
    <w:rsid w:val="46F12E4D"/>
    <w:rsid w:val="477C4489"/>
    <w:rsid w:val="477E79DB"/>
    <w:rsid w:val="489A21DC"/>
    <w:rsid w:val="48BB1E61"/>
    <w:rsid w:val="48E44347"/>
    <w:rsid w:val="490E5A45"/>
    <w:rsid w:val="4A202849"/>
    <w:rsid w:val="4A710769"/>
    <w:rsid w:val="4AB4093D"/>
    <w:rsid w:val="4AE22F4C"/>
    <w:rsid w:val="4AF445A0"/>
    <w:rsid w:val="4B536EA5"/>
    <w:rsid w:val="4B6C79AC"/>
    <w:rsid w:val="4BDB2E9B"/>
    <w:rsid w:val="4C0E6E63"/>
    <w:rsid w:val="4C2A7CB6"/>
    <w:rsid w:val="4C7C667F"/>
    <w:rsid w:val="4CA91082"/>
    <w:rsid w:val="4CDF5A11"/>
    <w:rsid w:val="4CE031D2"/>
    <w:rsid w:val="4D673E15"/>
    <w:rsid w:val="4DB15E00"/>
    <w:rsid w:val="4E8F0D2C"/>
    <w:rsid w:val="4EAC3EF4"/>
    <w:rsid w:val="4EAC4ADD"/>
    <w:rsid w:val="4EB72836"/>
    <w:rsid w:val="4ED23FD5"/>
    <w:rsid w:val="4EE945C2"/>
    <w:rsid w:val="4EFB1FC3"/>
    <w:rsid w:val="4F1B3CF0"/>
    <w:rsid w:val="4F3C1178"/>
    <w:rsid w:val="4F661CEB"/>
    <w:rsid w:val="4FEB5C49"/>
    <w:rsid w:val="506365C5"/>
    <w:rsid w:val="50CD0643"/>
    <w:rsid w:val="514F0F53"/>
    <w:rsid w:val="51CD1CB6"/>
    <w:rsid w:val="52660DCF"/>
    <w:rsid w:val="527B1821"/>
    <w:rsid w:val="52E36B7D"/>
    <w:rsid w:val="5310611D"/>
    <w:rsid w:val="53276344"/>
    <w:rsid w:val="53293BFC"/>
    <w:rsid w:val="533D55CA"/>
    <w:rsid w:val="535D3032"/>
    <w:rsid w:val="53C97953"/>
    <w:rsid w:val="53F5577A"/>
    <w:rsid w:val="54104E3D"/>
    <w:rsid w:val="557D10C0"/>
    <w:rsid w:val="5590515E"/>
    <w:rsid w:val="55A34F73"/>
    <w:rsid w:val="562D2F69"/>
    <w:rsid w:val="56595575"/>
    <w:rsid w:val="5703196B"/>
    <w:rsid w:val="57140DA8"/>
    <w:rsid w:val="574A43AC"/>
    <w:rsid w:val="58077CBD"/>
    <w:rsid w:val="5812110B"/>
    <w:rsid w:val="582E1358"/>
    <w:rsid w:val="58705C1D"/>
    <w:rsid w:val="58F07D3C"/>
    <w:rsid w:val="58FD658D"/>
    <w:rsid w:val="594723CB"/>
    <w:rsid w:val="59A35A40"/>
    <w:rsid w:val="59A66C16"/>
    <w:rsid w:val="5A1C773F"/>
    <w:rsid w:val="5A29765C"/>
    <w:rsid w:val="5A2F717F"/>
    <w:rsid w:val="5B0C6CA4"/>
    <w:rsid w:val="5B9216C9"/>
    <w:rsid w:val="5BEB1849"/>
    <w:rsid w:val="5C7C747C"/>
    <w:rsid w:val="5CD864A5"/>
    <w:rsid w:val="5CFD3C28"/>
    <w:rsid w:val="5D6C6EF4"/>
    <w:rsid w:val="5E291658"/>
    <w:rsid w:val="5E2C7B65"/>
    <w:rsid w:val="5E4E3D76"/>
    <w:rsid w:val="5EB8046C"/>
    <w:rsid w:val="5EC23D91"/>
    <w:rsid w:val="5EEA6FD8"/>
    <w:rsid w:val="5EF27118"/>
    <w:rsid w:val="5F374EA3"/>
    <w:rsid w:val="5F91300B"/>
    <w:rsid w:val="5FBC5F82"/>
    <w:rsid w:val="5FBD74DE"/>
    <w:rsid w:val="601812B8"/>
    <w:rsid w:val="607E4371"/>
    <w:rsid w:val="60BD0412"/>
    <w:rsid w:val="61160D33"/>
    <w:rsid w:val="616C5D6E"/>
    <w:rsid w:val="616D73B4"/>
    <w:rsid w:val="61775FA5"/>
    <w:rsid w:val="619B680C"/>
    <w:rsid w:val="61D03C0D"/>
    <w:rsid w:val="62134625"/>
    <w:rsid w:val="62E53998"/>
    <w:rsid w:val="63456B25"/>
    <w:rsid w:val="63982BE7"/>
    <w:rsid w:val="63BC73C0"/>
    <w:rsid w:val="648D2FFF"/>
    <w:rsid w:val="656839C3"/>
    <w:rsid w:val="65725730"/>
    <w:rsid w:val="65B92974"/>
    <w:rsid w:val="65C80747"/>
    <w:rsid w:val="66006766"/>
    <w:rsid w:val="662C2796"/>
    <w:rsid w:val="666309EF"/>
    <w:rsid w:val="6663275D"/>
    <w:rsid w:val="672B7704"/>
    <w:rsid w:val="6753455D"/>
    <w:rsid w:val="67772858"/>
    <w:rsid w:val="67C81F6D"/>
    <w:rsid w:val="68594ADA"/>
    <w:rsid w:val="68741D48"/>
    <w:rsid w:val="68E9147D"/>
    <w:rsid w:val="696A4AA1"/>
    <w:rsid w:val="696F6DFA"/>
    <w:rsid w:val="6A4B6AF1"/>
    <w:rsid w:val="6A8B1DCF"/>
    <w:rsid w:val="6AB31C19"/>
    <w:rsid w:val="6B357A50"/>
    <w:rsid w:val="6B5B7DCB"/>
    <w:rsid w:val="6BB95672"/>
    <w:rsid w:val="6C1E4AF0"/>
    <w:rsid w:val="6C4712E8"/>
    <w:rsid w:val="6C9C46AE"/>
    <w:rsid w:val="6CE55F45"/>
    <w:rsid w:val="6CF84FFD"/>
    <w:rsid w:val="6D8D5D8A"/>
    <w:rsid w:val="6DAA52DA"/>
    <w:rsid w:val="6DE87E82"/>
    <w:rsid w:val="6DFC3DF2"/>
    <w:rsid w:val="6E206853"/>
    <w:rsid w:val="6E673C05"/>
    <w:rsid w:val="6E6F4DC3"/>
    <w:rsid w:val="6E7511ED"/>
    <w:rsid w:val="6E76180E"/>
    <w:rsid w:val="6ED546F7"/>
    <w:rsid w:val="6F272507"/>
    <w:rsid w:val="6F293148"/>
    <w:rsid w:val="6F732E09"/>
    <w:rsid w:val="6FF11A89"/>
    <w:rsid w:val="70117814"/>
    <w:rsid w:val="70602224"/>
    <w:rsid w:val="70C1699F"/>
    <w:rsid w:val="714C7118"/>
    <w:rsid w:val="71617265"/>
    <w:rsid w:val="71703975"/>
    <w:rsid w:val="71C32A07"/>
    <w:rsid w:val="71E53350"/>
    <w:rsid w:val="720E5D3A"/>
    <w:rsid w:val="72254E2A"/>
    <w:rsid w:val="722E7D41"/>
    <w:rsid w:val="72347FE7"/>
    <w:rsid w:val="72716A1C"/>
    <w:rsid w:val="72ED3426"/>
    <w:rsid w:val="73184127"/>
    <w:rsid w:val="73685760"/>
    <w:rsid w:val="73733509"/>
    <w:rsid w:val="73D40348"/>
    <w:rsid w:val="741E2D66"/>
    <w:rsid w:val="74A56362"/>
    <w:rsid w:val="74AB41BE"/>
    <w:rsid w:val="75CD58E4"/>
    <w:rsid w:val="75EA3934"/>
    <w:rsid w:val="7703633E"/>
    <w:rsid w:val="77207292"/>
    <w:rsid w:val="774700AD"/>
    <w:rsid w:val="777E0158"/>
    <w:rsid w:val="788A0F31"/>
    <w:rsid w:val="78F56DD8"/>
    <w:rsid w:val="7A77760E"/>
    <w:rsid w:val="7A8216E5"/>
    <w:rsid w:val="7AC70899"/>
    <w:rsid w:val="7B3F7553"/>
    <w:rsid w:val="7B7986D1"/>
    <w:rsid w:val="7B877587"/>
    <w:rsid w:val="7C78474C"/>
    <w:rsid w:val="7C8B18BC"/>
    <w:rsid w:val="7E3057F6"/>
    <w:rsid w:val="7ED3447F"/>
    <w:rsid w:val="7EE52F06"/>
    <w:rsid w:val="7F6766EF"/>
    <w:rsid w:val="7F7C60D3"/>
    <w:rsid w:val="7FA41301"/>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link w:val="53"/>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4"/>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2"/>
    <w:qFormat/>
    <w:uiPriority w:val="0"/>
    <w:rPr>
      <w:rFonts w:ascii="Calibri" w:hAnsi="Calibri" w:eastAsia="宋体" w:cs="Times New Roman"/>
      <w:b/>
      <w:bCs/>
      <w:kern w:val="44"/>
      <w:sz w:val="44"/>
      <w:szCs w:val="44"/>
    </w:rPr>
  </w:style>
  <w:style w:type="character" w:customStyle="1" w:styleId="32">
    <w:name w:val="标题 2 Char"/>
    <w:basedOn w:val="24"/>
    <w:link w:val="3"/>
    <w:qFormat/>
    <w:uiPriority w:val="0"/>
    <w:rPr>
      <w:rFonts w:ascii="Arial" w:hAnsi="Arial" w:eastAsia="黑体" w:cs="Times New Roman"/>
      <w:b/>
      <w:bCs/>
      <w:kern w:val="0"/>
      <w:sz w:val="32"/>
      <w:szCs w:val="32"/>
    </w:rPr>
  </w:style>
  <w:style w:type="character" w:customStyle="1" w:styleId="33">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5"/>
    <w:qFormat/>
    <w:uiPriority w:val="0"/>
    <w:rPr>
      <w:rFonts w:ascii="Arial" w:hAnsi="Arial" w:eastAsia="黑体" w:cs="Times New Roman"/>
      <w:b/>
      <w:bCs/>
      <w:kern w:val="0"/>
      <w:sz w:val="28"/>
      <w:szCs w:val="28"/>
    </w:rPr>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5"/>
    <w:qFormat/>
    <w:uiPriority w:val="99"/>
    <w:rPr>
      <w:sz w:val="18"/>
      <w:szCs w:val="18"/>
    </w:rPr>
  </w:style>
  <w:style w:type="character" w:customStyle="1" w:styleId="38">
    <w:name w:val="页眉 Char"/>
    <w:basedOn w:val="24"/>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8"/>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9"/>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4"/>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11</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2019-08-26T04:16:46Z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