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E804ED" w:rsidRDefault="00E804ED" w:rsidP="00E804ED">
      <w:pPr>
        <w:widowControl/>
        <w:shd w:val="clear" w:color="auto" w:fill="FFFFFF"/>
        <w:spacing w:line="360" w:lineRule="auto"/>
        <w:ind w:left="2610" w:hangingChars="500" w:hanging="2610"/>
        <w:rPr>
          <w:rFonts w:asciiTheme="majorEastAsia" w:eastAsiaTheme="majorEastAsia" w:hAnsiTheme="majorEastAsia" w:cs="宋体"/>
          <w:b/>
          <w:bCs/>
          <w:color w:val="000000"/>
          <w:kern w:val="0"/>
          <w:sz w:val="52"/>
          <w:szCs w:val="52"/>
        </w:rPr>
      </w:pPr>
      <w:r w:rsidRPr="00E804ED">
        <w:rPr>
          <w:rFonts w:asciiTheme="majorEastAsia" w:eastAsiaTheme="majorEastAsia" w:hAnsiTheme="majorEastAsia" w:cs="仿宋" w:hint="eastAsia"/>
          <w:b/>
          <w:bCs/>
          <w:color w:val="000000"/>
          <w:kern w:val="0"/>
          <w:sz w:val="52"/>
          <w:szCs w:val="52"/>
          <w:shd w:val="clear" w:color="auto" w:fill="FFFFFF"/>
        </w:rPr>
        <w:t>襄城县公安局业务装备项目（2019年政法转移支付资金）</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E804ED" w:rsidRDefault="00527B80" w:rsidP="00AE3B31">
      <w:pPr>
        <w:jc w:val="center"/>
        <w:rPr>
          <w:rFonts w:ascii="微软简隶书" w:eastAsia="微软简隶书"/>
          <w:color w:val="000000"/>
          <w:sz w:val="72"/>
          <w:szCs w:val="72"/>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E804ED">
        <w:rPr>
          <w:rFonts w:asciiTheme="majorEastAsia" w:eastAsiaTheme="majorEastAsia" w:hAnsiTheme="majorEastAsia" w:cstheme="majorEastAsia" w:hint="eastAsia"/>
          <w:b/>
          <w:bCs/>
          <w:color w:val="000000"/>
          <w:sz w:val="36"/>
          <w:szCs w:val="36"/>
        </w:rPr>
        <w:t>32</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D87E23">
        <w:rPr>
          <w:rFonts w:asciiTheme="majorEastAsia" w:eastAsiaTheme="majorEastAsia" w:hAnsiTheme="majorEastAsia" w:cstheme="majorEastAsia" w:hint="eastAsia"/>
          <w:b/>
          <w:bCs/>
          <w:color w:val="000000"/>
          <w:sz w:val="36"/>
          <w:szCs w:val="36"/>
        </w:rPr>
        <w:t>公安</w:t>
      </w:r>
      <w:r w:rsidRPr="001930F8">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E804ED">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F235B2" w:rsidRDefault="00F235B2" w:rsidP="00B06C0F">
      <w:pPr>
        <w:spacing w:beforeLines="50" w:afterLines="100"/>
        <w:rPr>
          <w:rFonts w:ascii="Cambria" w:hAnsi="Cambria"/>
          <w:b/>
          <w:bCs/>
          <w:sz w:val="32"/>
          <w:szCs w:val="32"/>
        </w:rPr>
      </w:pPr>
    </w:p>
    <w:p w:rsidR="00717EC2" w:rsidRDefault="009D55B1" w:rsidP="00E804ED">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D87E23">
        <w:rPr>
          <w:rFonts w:hint="eastAsia"/>
          <w:bCs/>
          <w:color w:val="000000"/>
          <w:shd w:val="clear" w:color="040000" w:fill="FFFFFF"/>
        </w:rPr>
        <w:t>公安</w:t>
      </w:r>
      <w:r w:rsidR="00D606ED" w:rsidRPr="00D606ED">
        <w:rPr>
          <w:rFonts w:hint="eastAsia"/>
          <w:bCs/>
          <w:color w:val="000000"/>
          <w:shd w:val="clear" w:color="040000" w:fill="FFFFFF"/>
        </w:rPr>
        <w:t>局</w:t>
      </w:r>
      <w:r>
        <w:rPr>
          <w:rFonts w:hint="eastAsia"/>
          <w:color w:val="000000"/>
          <w:shd w:val="clear" w:color="040000" w:fill="FFFFFF"/>
        </w:rPr>
        <w:t>的委托，就</w:t>
      </w:r>
      <w:r w:rsidR="00D87E23" w:rsidRPr="00FF7CC7">
        <w:rPr>
          <w:rFonts w:asciiTheme="majorEastAsia" w:eastAsiaTheme="majorEastAsia" w:hAnsiTheme="majorEastAsia" w:cs="仿宋" w:hint="eastAsia"/>
          <w:color w:val="000000"/>
          <w:shd w:val="clear" w:color="auto" w:fill="FFFFFF"/>
        </w:rPr>
        <w:t>“</w:t>
      </w:r>
      <w:r w:rsidR="00FF7CC7" w:rsidRPr="00FF7CC7">
        <w:rPr>
          <w:rFonts w:asciiTheme="majorEastAsia" w:eastAsiaTheme="majorEastAsia" w:hAnsiTheme="majorEastAsia" w:cs="仿宋" w:hint="eastAsia"/>
          <w:bCs/>
          <w:color w:val="000000"/>
          <w:shd w:val="clear" w:color="auto" w:fill="FFFFFF"/>
        </w:rPr>
        <w:t>襄城县公安局业务装备项目（2019年政法转移支付资金）</w:t>
      </w:r>
      <w:r w:rsidR="00D87E23" w:rsidRPr="00FF7CC7">
        <w:rPr>
          <w:rFonts w:asciiTheme="majorEastAsia" w:eastAsiaTheme="majorEastAsia" w:hAnsiTheme="majorEastAsia"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FF7CC7" w:rsidRPr="00FF7CC7">
        <w:rPr>
          <w:rFonts w:asciiTheme="majorEastAsia" w:eastAsiaTheme="majorEastAsia" w:hAnsiTheme="majorEastAsia" w:cs="仿宋" w:hint="eastAsia"/>
          <w:bCs/>
          <w:color w:val="000000"/>
          <w:kern w:val="0"/>
          <w:sz w:val="24"/>
          <w:shd w:val="clear" w:color="auto" w:fill="FFFFFF"/>
        </w:rPr>
        <w:t>襄城县公安局业务装备项目（2019年政法转移支付资金）</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FF7CC7">
        <w:rPr>
          <w:rFonts w:ascii="宋体" w:hAnsi="宋体" w:cs="宋体" w:hint="eastAsia"/>
          <w:color w:val="000000"/>
          <w:kern w:val="0"/>
          <w:sz w:val="24"/>
          <w:shd w:val="clear" w:color="040000" w:fill="FFFFFF"/>
        </w:rPr>
        <w:t>3</w:t>
      </w:r>
      <w:r w:rsidRPr="00FE2ED9">
        <w:rPr>
          <w:rFonts w:ascii="宋体" w:hAnsi="宋体" w:cs="宋体" w:hint="eastAsia"/>
          <w:color w:val="000000"/>
          <w:kern w:val="0"/>
          <w:sz w:val="24"/>
          <w:shd w:val="clear" w:color="040000" w:fill="FFFFFF"/>
        </w:rPr>
        <w:t>2号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4E0400" w:rsidRPr="00AE7395">
        <w:rPr>
          <w:rFonts w:ascii="宋体" w:hAnsi="宋体" w:cs="宋体" w:hint="eastAsia"/>
          <w:color w:val="000000"/>
          <w:kern w:val="0"/>
          <w:sz w:val="24"/>
          <w:shd w:val="clear" w:color="040000" w:fill="FFFFFF"/>
        </w:rPr>
        <w:t>本项目采购</w:t>
      </w:r>
      <w:r w:rsidR="00BF2DF1" w:rsidRPr="00BF2DF1">
        <w:rPr>
          <w:rFonts w:asciiTheme="minorEastAsia" w:eastAsiaTheme="minorEastAsia" w:hAnsiTheme="minorEastAsia" w:cs="仿宋" w:hint="eastAsia"/>
          <w:color w:val="000000"/>
          <w:kern w:val="0"/>
          <w:sz w:val="24"/>
          <w:shd w:val="clear" w:color="auto" w:fill="FFFFFF"/>
        </w:rPr>
        <w:t>数码相机，台式计算机，笔记本电脑，UPS电池设备的供货及安装调试。</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B06C0F">
        <w:rPr>
          <w:rFonts w:ascii="宋体" w:hAnsi="宋体" w:cs="宋体" w:hint="eastAsia"/>
          <w:color w:val="000000"/>
          <w:kern w:val="0"/>
          <w:sz w:val="24"/>
          <w:shd w:val="clear" w:color="040000" w:fill="FFFFFF"/>
        </w:rPr>
        <w:t>646000</w:t>
      </w:r>
      <w:r w:rsidRPr="00AE7395">
        <w:rPr>
          <w:rFonts w:ascii="宋体" w:hAnsi="宋体" w:cs="宋体" w:hint="eastAsia"/>
          <w:color w:val="000000"/>
          <w:kern w:val="0"/>
          <w:sz w:val="24"/>
          <w:shd w:val="clear" w:color="040000" w:fill="FFFFFF"/>
        </w:rPr>
        <w:t>元；最高限价：</w:t>
      </w:r>
      <w:r w:rsidR="00B06C0F">
        <w:rPr>
          <w:rFonts w:ascii="宋体" w:hAnsi="宋体" w:cs="宋体" w:hint="eastAsia"/>
          <w:color w:val="000000"/>
          <w:kern w:val="0"/>
          <w:sz w:val="24"/>
          <w:shd w:val="clear" w:color="040000" w:fill="FFFFFF"/>
        </w:rPr>
        <w:t>646000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（六）交付（服务、完工）时间：合同签订后</w:t>
      </w:r>
      <w:r w:rsidR="00B06C0F">
        <w:rPr>
          <w:rFonts w:ascii="宋体" w:hAnsi="宋体" w:cs="宋体" w:hint="eastAsia"/>
          <w:color w:val="000000"/>
          <w:kern w:val="0"/>
          <w:sz w:val="24"/>
          <w:shd w:val="clear" w:color="040000" w:fill="FFFFFF"/>
        </w:rPr>
        <w:t>3</w:t>
      </w:r>
      <w:r w:rsidRPr="00AE7395">
        <w:rPr>
          <w:rFonts w:ascii="宋体" w:hAnsi="宋体" w:cs="宋体" w:hint="eastAsia"/>
          <w:color w:val="000000"/>
          <w:kern w:val="0"/>
          <w:sz w:val="24"/>
          <w:shd w:val="clear" w:color="040000" w:fill="FFFFFF"/>
        </w:rPr>
        <w:t>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（七）交付（服务、施工）地点：襄城县</w:t>
      </w:r>
      <w:r w:rsidR="00B06C0F">
        <w:rPr>
          <w:rFonts w:ascii="宋体" w:hAnsi="宋体" w:cs="宋体" w:hint="eastAsia"/>
          <w:color w:val="000000"/>
          <w:kern w:val="0"/>
          <w:sz w:val="24"/>
          <w:shd w:val="clear" w:color="040000" w:fill="FFFFFF"/>
        </w:rPr>
        <w:t>公安局</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A35D2" w:rsidRPr="000D2F86">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20019A">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B06C0F">
        <w:rPr>
          <w:rFonts w:ascii="宋体" w:hAnsi="宋体" w:cs="宋体" w:hint="eastAsia"/>
          <w:color w:val="000000"/>
          <w:kern w:val="0"/>
          <w:sz w:val="24"/>
          <w:shd w:val="clear" w:color="040000" w:fill="FFFFFF"/>
        </w:rPr>
        <w:t>9</w:t>
      </w:r>
      <w:r w:rsidRPr="00DF1EDE">
        <w:rPr>
          <w:rFonts w:ascii="宋体" w:hAnsi="宋体" w:cs="宋体" w:hint="eastAsia"/>
          <w:color w:val="000000"/>
          <w:kern w:val="0"/>
          <w:sz w:val="24"/>
          <w:shd w:val="clear" w:color="040000" w:fill="FFFFFF"/>
        </w:rPr>
        <w:t>月</w:t>
      </w:r>
      <w:r w:rsidR="00B06C0F">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D31F9">
        <w:rPr>
          <w:rFonts w:asciiTheme="minorEastAsia" w:eastAsiaTheme="minorEastAsia" w:hAnsiTheme="minorEastAsia" w:cs="仿宋" w:hint="eastAsia"/>
          <w:bCs/>
          <w:color w:val="000000"/>
          <w:kern w:val="0"/>
          <w:sz w:val="24"/>
        </w:rPr>
        <w:t>公安</w:t>
      </w:r>
      <w:r w:rsidRPr="00DF1EDE">
        <w:rPr>
          <w:rFonts w:asciiTheme="minorEastAsia" w:eastAsiaTheme="minorEastAsia" w:hAnsiTheme="minorEastAsia" w:cs="仿宋" w:hint="eastAsia"/>
          <w:bCs/>
          <w:color w:val="000000"/>
          <w:kern w:val="0"/>
          <w:sz w:val="24"/>
        </w:rPr>
        <w:t>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2D31F9">
        <w:rPr>
          <w:rFonts w:asciiTheme="minorEastAsia" w:eastAsiaTheme="minorEastAsia" w:hAnsiTheme="minorEastAsia" w:cs="仿宋" w:hint="eastAsia"/>
          <w:bCs/>
          <w:color w:val="000000"/>
          <w:kern w:val="0"/>
          <w:sz w:val="24"/>
        </w:rPr>
        <w:t>烟城路中段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D31F9">
        <w:rPr>
          <w:rFonts w:asciiTheme="minorEastAsia" w:eastAsiaTheme="minorEastAsia" w:hAnsiTheme="minorEastAsia" w:cs="仿宋" w:hint="eastAsia"/>
          <w:bCs/>
          <w:color w:val="000000"/>
          <w:kern w:val="0"/>
          <w:sz w:val="24"/>
        </w:rPr>
        <w:t>槐</w:t>
      </w:r>
      <w:proofErr w:type="gramEnd"/>
      <w:r w:rsidRPr="00DF1EDE">
        <w:rPr>
          <w:rFonts w:asciiTheme="minorEastAsia" w:eastAsiaTheme="minorEastAsia" w:hAnsiTheme="minorEastAsia" w:cs="仿宋" w:hint="eastAsia"/>
          <w:bCs/>
          <w:color w:val="000000"/>
          <w:kern w:val="0"/>
          <w:sz w:val="24"/>
        </w:rPr>
        <w:t>先生         联系电话：</w:t>
      </w:r>
      <w:r w:rsidR="002D31F9" w:rsidRPr="002D31F9">
        <w:rPr>
          <w:rFonts w:asciiTheme="minorEastAsia" w:eastAsiaTheme="minorEastAsia" w:hAnsiTheme="minorEastAsia" w:cs="仿宋" w:hint="eastAsia"/>
          <w:bCs/>
          <w:color w:val="000000"/>
          <w:kern w:val="0"/>
          <w:sz w:val="24"/>
        </w:rPr>
        <w:t>0374-3582955转35099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B06C0F">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B06C0F">
        <w:rPr>
          <w:rFonts w:asciiTheme="minorEastAsia" w:eastAsiaTheme="minorEastAsia" w:hAnsiTheme="minorEastAsia" w:cs="仿宋" w:hint="eastAsia"/>
          <w:color w:val="000000"/>
          <w:kern w:val="0"/>
          <w:sz w:val="24"/>
        </w:rPr>
        <w:t>23</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b/>
          <w:sz w:val="32"/>
          <w:szCs w:val="32"/>
        </w:rPr>
      </w:pPr>
    </w:p>
    <w:p w:rsidR="000E712C" w:rsidRDefault="000E712C" w:rsidP="00653442">
      <w:pPr>
        <w:jc w:val="center"/>
        <w:rPr>
          <w:rFonts w:ascii="宋体" w:hAnsi="宋体" w:cs="宋体" w:hint="eastAsia"/>
          <w:b/>
          <w:sz w:val="32"/>
          <w:szCs w:val="32"/>
        </w:rPr>
      </w:pPr>
    </w:p>
    <w:p w:rsidR="00B06C0F" w:rsidRPr="00B06C0F" w:rsidRDefault="00B06C0F" w:rsidP="00B06C0F">
      <w:pPr>
        <w:pStyle w:val="a0"/>
        <w:ind w:firstLine="280"/>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A55BAE" w:rsidRPr="00B06C0F" w:rsidRDefault="00B06C0F" w:rsidP="00B06C0F">
      <w:pPr>
        <w:pStyle w:val="a0"/>
        <w:ind w:firstLineChars="200" w:firstLine="480"/>
        <w:rPr>
          <w:rFonts w:asciiTheme="minorEastAsia" w:eastAsiaTheme="minorEastAsia" w:hAnsiTheme="minorEastAsia"/>
          <w:sz w:val="24"/>
        </w:rPr>
      </w:pPr>
      <w:r w:rsidRPr="00B06C0F">
        <w:rPr>
          <w:rFonts w:asciiTheme="minorEastAsia" w:eastAsiaTheme="minorEastAsia" w:hAnsiTheme="minorEastAsia" w:cs="仿宋" w:hint="eastAsia"/>
          <w:color w:val="000000"/>
          <w:kern w:val="0"/>
          <w:sz w:val="24"/>
          <w:shd w:val="clear" w:color="auto" w:fill="FFFFFF"/>
          <w:lang/>
        </w:rPr>
        <w:t>数码相机，台式计算机，笔记本电脑，UPS电池设备的供货及安装调试。</w:t>
      </w:r>
    </w:p>
    <w:p w:rsidR="00F57011" w:rsidRDefault="00FD78B2" w:rsidP="00FD78B2">
      <w:pPr>
        <w:spacing w:line="360" w:lineRule="auto"/>
        <w:ind w:firstLineChars="200" w:firstLine="482"/>
        <w:rPr>
          <w:rFonts w:ascii="宋体" w:hAnsi="宋体" w:cs="宋体" w:hint="eastAsia"/>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405" w:type="dxa"/>
        <w:tblLayout w:type="fixed"/>
        <w:tblCellMar>
          <w:top w:w="15" w:type="dxa"/>
          <w:left w:w="15" w:type="dxa"/>
          <w:bottom w:w="15" w:type="dxa"/>
          <w:right w:w="15" w:type="dxa"/>
        </w:tblCellMar>
        <w:tblLook w:val="04A0"/>
      </w:tblPr>
      <w:tblGrid>
        <w:gridCol w:w="615"/>
        <w:gridCol w:w="1665"/>
        <w:gridCol w:w="5700"/>
        <w:gridCol w:w="675"/>
        <w:gridCol w:w="750"/>
      </w:tblGrid>
      <w:tr w:rsidR="00B06C0F" w:rsidTr="00771CD3">
        <w:trPr>
          <w:trHeight w:val="57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序号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名称</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规格参数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单位</w:t>
            </w:r>
          </w:p>
        </w:tc>
      </w:tr>
      <w:tr w:rsidR="00B06C0F" w:rsidTr="00771CD3">
        <w:trPr>
          <w:trHeight w:val="17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照相机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传感器：全画幅（36*24mm）有效像素：3040万，显示屏尺寸：3.2英寸显示屏像素：162</w:t>
            </w:r>
            <w:proofErr w:type="gramStart"/>
            <w:r w:rsidRPr="00B06C0F">
              <w:rPr>
                <w:rFonts w:asciiTheme="minorEastAsia" w:eastAsiaTheme="minorEastAsia" w:hAnsiTheme="minorEastAsia" w:cs="宋体" w:hint="eastAsia"/>
                <w:color w:val="000000"/>
                <w:kern w:val="0"/>
                <w:sz w:val="24"/>
                <w:lang/>
              </w:rPr>
              <w:t>万像</w:t>
            </w:r>
            <w:proofErr w:type="gramEnd"/>
            <w:r w:rsidRPr="00B06C0F">
              <w:rPr>
                <w:rFonts w:asciiTheme="minorEastAsia" w:eastAsiaTheme="minorEastAsia" w:hAnsiTheme="minorEastAsia" w:cs="宋体" w:hint="eastAsia"/>
                <w:color w:val="000000"/>
                <w:kern w:val="0"/>
                <w:sz w:val="24"/>
                <w:lang/>
              </w:rPr>
              <w:t>素液晶屏。支持（最高约7张/秒），Live View</w:t>
            </w:r>
            <w:proofErr w:type="gramStart"/>
            <w:r w:rsidRPr="00B06C0F">
              <w:rPr>
                <w:rFonts w:asciiTheme="minorEastAsia" w:eastAsiaTheme="minorEastAsia" w:hAnsiTheme="minorEastAsia" w:cs="宋体" w:hint="eastAsia"/>
                <w:color w:val="000000"/>
                <w:kern w:val="0"/>
                <w:sz w:val="24"/>
                <w:lang/>
              </w:rPr>
              <w:t>下追焦</w:t>
            </w:r>
            <w:proofErr w:type="gramEnd"/>
            <w:r w:rsidRPr="00B06C0F">
              <w:rPr>
                <w:rFonts w:asciiTheme="minorEastAsia" w:eastAsiaTheme="minorEastAsia" w:hAnsiTheme="minorEastAsia" w:cs="宋体" w:hint="eastAsia"/>
                <w:color w:val="000000"/>
                <w:kern w:val="0"/>
                <w:sz w:val="24"/>
                <w:lang/>
              </w:rPr>
              <w:t>4.3张/秒。连拍速度：最大连拍数量 JPEG大/优：约110张（至存储卡满）RAW：约17张（约21张）RAW+JPEG大/优：约13张（约16张）快门速度：1/8000至30秒（总快门速度范围，可用范围随拍摄模式各异），B门，闪光同步速度1/200秒。</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部</w:t>
            </w:r>
          </w:p>
        </w:tc>
      </w:tr>
      <w:tr w:rsidR="00B06C0F" w:rsidTr="00771CD3">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镜头</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佳能  EF 28-300mm f/3.5-5.6L IS  USM镜头结构：16组23片  镜头卡口：佳能EF卡口</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lang/>
              </w:rPr>
              <w:t>个</w:t>
            </w:r>
            <w:proofErr w:type="gramEnd"/>
          </w:p>
        </w:tc>
      </w:tr>
      <w:tr w:rsidR="00B06C0F" w:rsidTr="00771CD3">
        <w:trPr>
          <w:trHeight w:val="61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摄影灯套装</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LED3089844*3  2米专业灯架、遥控器*3 滤色片*3</w:t>
            </w:r>
            <w:proofErr w:type="gramStart"/>
            <w:r w:rsidRPr="00B06C0F">
              <w:rPr>
                <w:rFonts w:asciiTheme="minorEastAsia" w:eastAsiaTheme="minorEastAsia" w:hAnsiTheme="minorEastAsia" w:cs="宋体" w:hint="eastAsia"/>
                <w:color w:val="000000"/>
                <w:kern w:val="0"/>
                <w:sz w:val="24"/>
                <w:lang/>
              </w:rPr>
              <w:t>手柄标配</w:t>
            </w:r>
            <w:proofErr w:type="gramEnd"/>
            <w:r w:rsidRPr="00B06C0F">
              <w:rPr>
                <w:rFonts w:asciiTheme="minorEastAsia" w:eastAsiaTheme="minorEastAsia" w:hAnsiTheme="minorEastAsia" w:cs="宋体" w:hint="eastAsia"/>
                <w:color w:val="000000"/>
                <w:kern w:val="0"/>
                <w:sz w:val="24"/>
                <w:lang/>
              </w:rPr>
              <w:t>*3 F750锂电池套装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套</w:t>
            </w:r>
          </w:p>
        </w:tc>
      </w:tr>
      <w:tr w:rsidR="00B06C0F" w:rsidTr="00771CD3">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数码相机</w:t>
            </w:r>
          </w:p>
        </w:tc>
        <w:tc>
          <w:tcPr>
            <w:tcW w:w="57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 单反数码相机传感器类型CCD 传感器尺寸（1/2.3)</w:t>
            </w:r>
            <w:proofErr w:type="gramStart"/>
            <w:r w:rsidRPr="00B06C0F">
              <w:rPr>
                <w:rFonts w:asciiTheme="minorEastAsia" w:eastAsiaTheme="minorEastAsia" w:hAnsiTheme="minorEastAsia" w:cs="宋体" w:hint="eastAsia"/>
                <w:color w:val="000000"/>
                <w:kern w:val="0"/>
                <w:sz w:val="24"/>
                <w:lang/>
              </w:rPr>
              <w:t>英寸有效</w:t>
            </w:r>
            <w:proofErr w:type="gramEnd"/>
            <w:r w:rsidRPr="00B06C0F">
              <w:rPr>
                <w:rFonts w:asciiTheme="minorEastAsia" w:eastAsiaTheme="minorEastAsia" w:hAnsiTheme="minorEastAsia" w:cs="宋体" w:hint="eastAsia"/>
                <w:color w:val="000000"/>
                <w:kern w:val="0"/>
                <w:sz w:val="24"/>
                <w:lang/>
              </w:rPr>
              <w:t>像素大于等于2000万 数码变焦 大于等于4倍显示屏尺寸大于等于3英寸 最高分辨率大于等于4320*3240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lang/>
              </w:rPr>
              <w:t>个</w:t>
            </w:r>
            <w:proofErr w:type="gramEnd"/>
          </w:p>
        </w:tc>
      </w:tr>
      <w:tr w:rsidR="00B06C0F" w:rsidTr="00771CD3">
        <w:trPr>
          <w:trHeight w:val="2311"/>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数码相机</w:t>
            </w:r>
          </w:p>
        </w:tc>
        <w:tc>
          <w:tcPr>
            <w:tcW w:w="5700" w:type="dxa"/>
            <w:tcBorders>
              <w:top w:val="single" w:sz="4" w:space="0" w:color="auto"/>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传感器类型 :CMOS.高清摄像4K超高清视频.语言中文；英文；日文.屏幕参数:液晶屏尺寸3.0.取景器类型光学取景器.液晶屏像素约92.2万画点（VGA）.液晶</w:t>
            </w:r>
            <w:proofErr w:type="gramStart"/>
            <w:r w:rsidRPr="00B06C0F">
              <w:rPr>
                <w:rFonts w:asciiTheme="minorEastAsia" w:eastAsiaTheme="minorEastAsia" w:hAnsiTheme="minorEastAsia" w:cs="宋体" w:hint="eastAsia"/>
                <w:color w:val="000000"/>
                <w:kern w:val="0"/>
                <w:sz w:val="24"/>
                <w:lang/>
              </w:rPr>
              <w:t>屏类型</w:t>
            </w:r>
            <w:proofErr w:type="gramEnd"/>
            <w:r w:rsidRPr="00B06C0F">
              <w:rPr>
                <w:rFonts w:asciiTheme="minorEastAsia" w:eastAsiaTheme="minorEastAsia" w:hAnsiTheme="minorEastAsia" w:cs="宋体" w:hint="eastAsia"/>
                <w:color w:val="000000"/>
                <w:kern w:val="0"/>
                <w:sz w:val="24"/>
                <w:lang/>
              </w:rPr>
              <w:t>旋转屏；触摸屏.镜头参数:滤镜直径其他.曝光控制,场景模式肖像；风景；微距；运动；日落；夜景肖像；夜景；手持夜景；</w:t>
            </w:r>
            <w:proofErr w:type="gramStart"/>
            <w:r w:rsidRPr="00B06C0F">
              <w:rPr>
                <w:rFonts w:asciiTheme="minorEastAsia" w:eastAsiaTheme="minorEastAsia" w:hAnsiTheme="minorEastAsia" w:cs="宋体" w:hint="eastAsia"/>
                <w:color w:val="000000"/>
                <w:kern w:val="0"/>
                <w:sz w:val="24"/>
                <w:lang/>
              </w:rPr>
              <w:t>抗运动</w:t>
            </w:r>
            <w:proofErr w:type="gramEnd"/>
            <w:r w:rsidRPr="00B06C0F">
              <w:rPr>
                <w:rFonts w:asciiTheme="minorEastAsia" w:eastAsiaTheme="minorEastAsia" w:hAnsiTheme="minorEastAsia" w:cs="宋体" w:hint="eastAsia"/>
                <w:color w:val="000000"/>
                <w:kern w:val="0"/>
                <w:sz w:val="24"/>
                <w:lang/>
              </w:rPr>
              <w:t>模糊.闪光灯参:数机身闪光灯支持.外接闪光灯支持.支持.连拍速度CL：约1-7幅/秒，CH：约8幅/秒.机身</w:t>
            </w:r>
            <w:proofErr w:type="gramStart"/>
            <w:r w:rsidRPr="00B06C0F">
              <w:rPr>
                <w:rFonts w:asciiTheme="minorEastAsia" w:eastAsiaTheme="minorEastAsia" w:hAnsiTheme="minorEastAsia" w:cs="宋体" w:hint="eastAsia"/>
                <w:color w:val="000000"/>
                <w:kern w:val="0"/>
                <w:sz w:val="24"/>
                <w:lang/>
              </w:rPr>
              <w:t>防抖不支持</w:t>
            </w:r>
            <w:proofErr w:type="gramEnd"/>
            <w:r w:rsidRPr="00B06C0F">
              <w:rPr>
                <w:rFonts w:asciiTheme="minorEastAsia" w:eastAsiaTheme="minorEastAsia" w:hAnsiTheme="minorEastAsia" w:cs="宋体" w:hint="eastAsia"/>
                <w:color w:val="000000"/>
                <w:kern w:val="0"/>
                <w:sz w:val="24"/>
                <w:lang/>
              </w:rPr>
              <w:t>.延时拍摄支持.遥控拍摄支持.存储介质SD卡；SDHC卡；SDXC卡.机身内存无.电池型号EN-EL15A.电池类型可充电</w:t>
            </w:r>
            <w:proofErr w:type="gramStart"/>
            <w:r w:rsidRPr="00B06C0F">
              <w:rPr>
                <w:rFonts w:asciiTheme="minorEastAsia" w:eastAsiaTheme="minorEastAsia" w:hAnsiTheme="minorEastAsia" w:cs="宋体" w:hint="eastAsia"/>
                <w:color w:val="000000"/>
                <w:kern w:val="0"/>
                <w:sz w:val="24"/>
                <w:lang/>
              </w:rPr>
              <w:t>锂</w:t>
            </w:r>
            <w:proofErr w:type="gramEnd"/>
            <w:r w:rsidRPr="00B06C0F">
              <w:rPr>
                <w:rFonts w:asciiTheme="minorEastAsia" w:eastAsiaTheme="minorEastAsia" w:hAnsiTheme="minorEastAsia" w:cs="宋体" w:hint="eastAsia"/>
                <w:color w:val="000000"/>
                <w:kern w:val="0"/>
                <w:sz w:val="24"/>
                <w:lang/>
              </w:rPr>
              <w:t>离子电池.外接电源支持</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部</w:t>
            </w:r>
          </w:p>
        </w:tc>
      </w:tr>
      <w:tr w:rsidR="00B06C0F" w:rsidTr="00771CD3">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专业照相机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单反数码相机传感器类型CCD 传感器尺寸（1/2.3)</w:t>
            </w:r>
            <w:proofErr w:type="gramStart"/>
            <w:r w:rsidRPr="00B06C0F">
              <w:rPr>
                <w:rFonts w:asciiTheme="minorEastAsia" w:eastAsiaTheme="minorEastAsia" w:hAnsiTheme="minorEastAsia" w:cs="宋体" w:hint="eastAsia"/>
                <w:color w:val="000000"/>
                <w:kern w:val="0"/>
                <w:sz w:val="24"/>
                <w:lang/>
              </w:rPr>
              <w:t>英寸有效</w:t>
            </w:r>
            <w:proofErr w:type="gramEnd"/>
            <w:r w:rsidRPr="00B06C0F">
              <w:rPr>
                <w:rFonts w:asciiTheme="minorEastAsia" w:eastAsiaTheme="minorEastAsia" w:hAnsiTheme="minorEastAsia" w:cs="宋体" w:hint="eastAsia"/>
                <w:color w:val="000000"/>
                <w:kern w:val="0"/>
                <w:sz w:val="24"/>
                <w:lang/>
              </w:rPr>
              <w:t>像素大于等于2000万 数码变焦 大于等于4倍显示屏尺寸大于等于3英寸 最高分辨率大于等于4320*3240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36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lastRenderedPageBreak/>
              <w:t>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摄像机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总像素约829</w:t>
            </w:r>
            <w:proofErr w:type="gramStart"/>
            <w:r w:rsidRPr="00B06C0F">
              <w:rPr>
                <w:rFonts w:asciiTheme="minorEastAsia" w:eastAsiaTheme="minorEastAsia" w:hAnsiTheme="minorEastAsia" w:cs="宋体" w:hint="eastAsia"/>
                <w:color w:val="000000"/>
                <w:kern w:val="0"/>
                <w:sz w:val="24"/>
                <w:lang/>
              </w:rPr>
              <w:t>万像</w:t>
            </w:r>
            <w:proofErr w:type="gramEnd"/>
            <w:r w:rsidRPr="00B06C0F">
              <w:rPr>
                <w:rFonts w:asciiTheme="minorEastAsia" w:eastAsiaTheme="minorEastAsia" w:hAnsiTheme="minorEastAsia" w:cs="宋体" w:hint="eastAsia"/>
                <w:color w:val="000000"/>
                <w:kern w:val="0"/>
                <w:sz w:val="24"/>
                <w:lang/>
              </w:rPr>
              <w:t>素  光学变焦20x  镜头参数 :镜头结构：10组12片  焦距范围约29.3mm~601mm  光圈范围：f1.8 (广角端)/f2.8 (长焦端)  视频拍摄，音频格式：MPEG-2 AAC-LC (16 bit 2通道)/线性PCM: 16 bit 4通道  视频格式：MPEG-4 AVC/H.264  分辨率：3840×2160/1920×1080/1280×720  曝光控制 ：对焦方式Hybrid AF/AF/MF  。LCD液晶屏：3.0英寸，显示屏像素：46</w:t>
            </w:r>
            <w:proofErr w:type="gramStart"/>
            <w:r w:rsidRPr="00B06C0F">
              <w:rPr>
                <w:rFonts w:asciiTheme="minorEastAsia" w:eastAsiaTheme="minorEastAsia" w:hAnsiTheme="minorEastAsia" w:cs="宋体" w:hint="eastAsia"/>
                <w:color w:val="000000"/>
                <w:kern w:val="0"/>
                <w:sz w:val="24"/>
                <w:lang/>
              </w:rPr>
              <w:t>万像</w:t>
            </w:r>
            <w:proofErr w:type="gramEnd"/>
            <w:r w:rsidRPr="00B06C0F">
              <w:rPr>
                <w:rFonts w:asciiTheme="minorEastAsia" w:eastAsiaTheme="minorEastAsia" w:hAnsiTheme="minorEastAsia" w:cs="宋体" w:hint="eastAsia"/>
                <w:color w:val="000000"/>
                <w:kern w:val="0"/>
                <w:sz w:val="24"/>
                <w:lang/>
              </w:rPr>
              <w:t>素  屏幕特性：电容式触摸面板， 彩色取景器：0.46英寸，约156万点，可上倾液晶屏  ，内置扬声器  SD/SDHC/SDXC存储卡，支持UHS-I 标。*MP4格式，150Mpbs码率记录时，推荐Class U3级别  HDMI输出接口，麦克风输入接口,耳机接口 。其它接口：USB/Remote/DC-IN/</w:t>
            </w:r>
            <w:proofErr w:type="gramStart"/>
            <w:r w:rsidRPr="00B06C0F">
              <w:rPr>
                <w:rFonts w:asciiTheme="minorEastAsia" w:eastAsiaTheme="minorEastAsia" w:hAnsiTheme="minorEastAsia" w:cs="宋体" w:hint="eastAsia"/>
                <w:color w:val="000000"/>
                <w:kern w:val="0"/>
                <w:sz w:val="24"/>
                <w:lang/>
              </w:rPr>
              <w:t>冷靴/</w:t>
            </w:r>
            <w:proofErr w:type="gramEnd"/>
            <w:r w:rsidRPr="00B06C0F">
              <w:rPr>
                <w:rFonts w:asciiTheme="minorEastAsia" w:eastAsiaTheme="minorEastAsia" w:hAnsiTheme="minorEastAsia" w:cs="宋体" w:hint="eastAsia"/>
                <w:color w:val="000000"/>
                <w:kern w:val="0"/>
                <w:sz w:val="24"/>
                <w:lang/>
              </w:rPr>
              <w:t xml:space="preserve">微型热靴  电池：BP-820/BP-828  尺寸：115×84×231mm  内置ND滤镜：P，TV模式下自动ND控制渐变ND滤镜；影像稳定系统：光学影像稳定系统和数码影像稳定系统(搭载强力防抖/动态模式)；影像处理器平台：DIGIC DV 6画面效果预置：标准/可调整。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6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柔光灯</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材质灯箱：反光颗粒柔光布 支架：铝合金.颜色黑色.适用范围人像静物补光.适用机型通用规格：重量4KG.</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93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高倍数码拍照望远镜</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 固定倍率口径：70mm，放大15-45倍，液晶屏：2.5英寸，视野：40.5m@15x/17.5m@45x，出瞳：1.11mm@15x/2.9MMm@45x，最大支持32GSD卡</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proofErr w:type="gramStart"/>
            <w:r w:rsidRPr="00B06C0F">
              <w:rPr>
                <w:rFonts w:asciiTheme="minorEastAsia" w:eastAsiaTheme="minorEastAsia" w:hAnsiTheme="minorEastAsia" w:cs="宋体" w:hint="eastAsia"/>
                <w:color w:val="000000"/>
                <w:kern w:val="0"/>
                <w:sz w:val="24"/>
                <w:lang/>
              </w:rPr>
              <w:t>个</w:t>
            </w:r>
            <w:proofErr w:type="gramEnd"/>
          </w:p>
        </w:tc>
      </w:tr>
      <w:tr w:rsidR="00B06C0F" w:rsidTr="00771CD3">
        <w:trPr>
          <w:trHeight w:val="10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笔记本电脑</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1、Intel I5 7500U；2、4G(2400MHZ) DDR4内存；3、1000G 串行7200转SATA硬盘；4、内置声卡/集成1000M以太网卡；5、M315 2G独立显卡；6、15.6液晶/DVD-ROW光驱。7、预装Windows系统.</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210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台式电脑</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英特尔® 酷</w:t>
            </w:r>
            <w:proofErr w:type="gramStart"/>
            <w:r w:rsidRPr="00B06C0F">
              <w:rPr>
                <w:rFonts w:asciiTheme="minorEastAsia" w:eastAsiaTheme="minorEastAsia" w:hAnsiTheme="minorEastAsia" w:cs="宋体" w:hint="eastAsia"/>
                <w:color w:val="000000"/>
                <w:kern w:val="0"/>
                <w:sz w:val="24"/>
                <w:lang/>
              </w:rPr>
              <w:t>睿</w:t>
            </w:r>
            <w:proofErr w:type="gramEnd"/>
            <w:r w:rsidRPr="00B06C0F">
              <w:rPr>
                <w:rFonts w:asciiTheme="minorEastAsia" w:eastAsiaTheme="minorEastAsia" w:hAnsiTheme="minorEastAsia" w:cs="宋体" w:hint="eastAsia"/>
                <w:color w:val="000000"/>
                <w:kern w:val="0"/>
                <w:sz w:val="24"/>
                <w:lang/>
              </w:rPr>
              <w:t>™ i5-7500 处理器 (</w:t>
            </w:r>
            <w:proofErr w:type="gramStart"/>
            <w:r w:rsidRPr="00B06C0F">
              <w:rPr>
                <w:rFonts w:asciiTheme="minorEastAsia" w:eastAsiaTheme="minorEastAsia" w:hAnsiTheme="minorEastAsia" w:cs="宋体" w:hint="eastAsia"/>
                <w:color w:val="000000"/>
                <w:kern w:val="0"/>
                <w:sz w:val="24"/>
                <w:lang/>
              </w:rPr>
              <w:t>四核</w:t>
            </w:r>
            <w:proofErr w:type="gramEnd"/>
            <w:r w:rsidRPr="00B06C0F">
              <w:rPr>
                <w:rFonts w:asciiTheme="minorEastAsia" w:eastAsiaTheme="minorEastAsia" w:hAnsiTheme="minorEastAsia" w:cs="宋体" w:hint="eastAsia"/>
                <w:color w:val="000000"/>
                <w:kern w:val="0"/>
                <w:sz w:val="24"/>
                <w:lang/>
              </w:rPr>
              <w:t xml:space="preserve">, 8MB, 8T, 3.4GHz, 65W) /8GB  1600MHz DDR3L 内存/1000GB硬盘/AMD Radeon™ R5 430X, 2GB显卡, (DP, SL-DVI-I)/DVD刻录机/6个USB 3.0端口（2个正面/4个背面 - 1个带有PowerShare功能）/4个USB 2.0端（2个正面/2个背面 - 1个正面有带PowerShare功能）/内置USB 3.0端口，带有智能开机能/1个RJ-45端口 /P2/串行端口/2个Display Port 1.2端口/1个HDMI端口/1个UAJ端口/22 显示屏 ,预装Windows系统.  </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打印一体机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HP MFP1005 A4幅面激光打印机，20张/分钟。</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72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针式打印机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EPSON 680KII:针式打印机针数 24针；最高分辨率：打印速度 180字/秒；打印纸张厚度：1.5mm；单页纸：摩擦走纸；连续纸：前链式进纸。   </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19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lastRenderedPageBreak/>
              <w:t>14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远程视频会议终端</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H700-B 1、采用硬件分体式结构,嵌入式操作系统，非PC架构、非工控机架构。2、会议速率支持128Kbps—8Mbps。MPEG-2实时压缩编码，其中E1接口编码速率为2.048Mbps，分辨率可达到CIF,具有3个编码视频输入接口：2个复合视频输入，1个SVIDEO输入，具有1路立体声音频输入；MPEG-2实时压缩解码，具有1个解码视频输出接口：1个复合视频输出，具有1路立体声音频输出；PAL制、NTSC制可选；编码压缩前实现字符叠加功能，字符可以删改。</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高清会议摄像机</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MOON50-1080P30 1、PTZ高清会议摄像机 2、支持壁装、三脚架安装或吊顶安装等多种安装方式，可按用户需求进行安装。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16</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话筒</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ANEMP-200  采用优质的专业级电容传声技术，配合优质工艺，合理声学设计而成，具有指向性好，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2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支</w:t>
            </w:r>
          </w:p>
        </w:tc>
      </w:tr>
      <w:tr w:rsidR="00B06C0F" w:rsidTr="00771CD3">
        <w:trPr>
          <w:trHeight w:val="72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17</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调音台</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8输入通道，4话筒4立体声线路输入。主输出通道最大平衡输出:23dB±1.5dB；1-4通道内置通道压缩器,1效果发送/立体声返回。</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5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18</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功放</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2通道专业数字功放，全智能</w:t>
            </w:r>
            <w:proofErr w:type="gramStart"/>
            <w:r w:rsidRPr="00B06C0F">
              <w:rPr>
                <w:rFonts w:asciiTheme="minorEastAsia" w:eastAsiaTheme="minorEastAsia" w:hAnsiTheme="minorEastAsia" w:cs="宋体" w:hint="eastAsia"/>
                <w:color w:val="000000"/>
                <w:kern w:val="0"/>
                <w:sz w:val="24"/>
                <w:lang/>
              </w:rPr>
              <w:t>动态压限系统</w:t>
            </w:r>
            <w:proofErr w:type="gramEnd"/>
            <w:r w:rsidRPr="00B06C0F">
              <w:rPr>
                <w:rFonts w:asciiTheme="minorEastAsia" w:eastAsiaTheme="minorEastAsia" w:hAnsiTheme="minorEastAsia" w:cs="宋体" w:hint="eastAsia"/>
                <w:color w:val="000000"/>
                <w:kern w:val="0"/>
                <w:sz w:val="24"/>
                <w:lang/>
              </w:rPr>
              <w:t>：专利技术的</w:t>
            </w:r>
            <w:proofErr w:type="gramStart"/>
            <w:r w:rsidRPr="00B06C0F">
              <w:rPr>
                <w:rFonts w:asciiTheme="minorEastAsia" w:eastAsiaTheme="minorEastAsia" w:hAnsiTheme="minorEastAsia" w:cs="宋体" w:hint="eastAsia"/>
                <w:color w:val="000000"/>
                <w:kern w:val="0"/>
                <w:sz w:val="24"/>
                <w:lang/>
              </w:rPr>
              <w:t>动态压限</w:t>
            </w:r>
            <w:proofErr w:type="gramEnd"/>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4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19</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音箱</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 10寸音箱，频率响应：100Hz-18KHz;阻抗：8欧；覆盖角度(-6dB)：90度(H)×60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对</w:t>
            </w:r>
          </w:p>
        </w:tc>
      </w:tr>
      <w:tr w:rsidR="00B06C0F" w:rsidTr="00771CD3">
        <w:trPr>
          <w:trHeight w:val="78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20</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液晶电视</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海信LED55 55寸高清电视</w:t>
            </w:r>
            <w:r w:rsidRPr="00B06C0F">
              <w:rPr>
                <w:rFonts w:asciiTheme="minorEastAsia" w:eastAsiaTheme="minorEastAsia" w:hAnsiTheme="minorEastAsia" w:cs="宋体" w:hint="eastAsia"/>
                <w:color w:val="000000"/>
                <w:kern w:val="0"/>
                <w:sz w:val="24"/>
                <w:lang/>
              </w:rPr>
              <w:br/>
              <w:t>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810"/>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电视机</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用于拘押人员监室 55寸智能高清液晶电视 </w:t>
            </w:r>
            <w:r w:rsidRPr="00B06C0F">
              <w:rPr>
                <w:rFonts w:asciiTheme="minorEastAsia" w:eastAsiaTheme="minorEastAsia" w:hAnsiTheme="minorEastAsia" w:cs="宋体" w:hint="eastAsia"/>
                <w:color w:val="000000"/>
                <w:kern w:val="0"/>
                <w:sz w:val="24"/>
                <w:lang/>
              </w:rPr>
              <w:br/>
              <w:t xml:space="preserve"> 物理分辨率 3840×2160分辨率：1920*1080 支持格式：1080p（全高清）</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8</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台</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机柜</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定制 1.2M标准机柜</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套</w:t>
            </w:r>
          </w:p>
        </w:tc>
      </w:tr>
      <w:tr w:rsidR="00B06C0F" w:rsidTr="00771CD3">
        <w:trPr>
          <w:trHeight w:val="28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辅材附件</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B06C0F" w:rsidRPr="00B06C0F" w:rsidRDefault="00B06C0F" w:rsidP="00771CD3">
            <w:pPr>
              <w:textAlignment w:val="top"/>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定制 配套施工辅材及安装调试</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批</w:t>
            </w:r>
          </w:p>
        </w:tc>
      </w:tr>
      <w:tr w:rsidR="00B06C0F" w:rsidTr="00771CD3">
        <w:trPr>
          <w:trHeight w:val="524"/>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监控备用电源</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rsidR="00B06C0F" w:rsidRPr="00B06C0F" w:rsidRDefault="00B06C0F" w:rsidP="00771CD3">
            <w:pP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UPS电源主机：设计容量≥10KVA/9000W；输出功率因数≥0.99@额定电压（100%负载）；LCD面板可显示 输入输出电压、 频率 、电池电压、延时时间、负载量、各种工作状态以及错误信息。输入电压220VAC± 25% 频率46-54Hz或56-64Hz；输出电压220Vac ± 1%  50Hz 可通过LCD面板调节范围在200-240Vac；电池电压192-240Vdc充电电流可调节1-8A以对应不同的外配电池组；内置隔离变压器；具备频率转换模式、具备ECO节能模式、放电时间可通过LCD面板限定避免电池过度放电无法开机；具备输出二次下</w:t>
            </w:r>
            <w:proofErr w:type="gramStart"/>
            <w:r w:rsidRPr="00B06C0F">
              <w:rPr>
                <w:rFonts w:asciiTheme="minorEastAsia" w:eastAsiaTheme="minorEastAsia" w:hAnsiTheme="minorEastAsia" w:cs="宋体" w:hint="eastAsia"/>
                <w:color w:val="000000"/>
                <w:kern w:val="0"/>
                <w:sz w:val="24"/>
                <w:lang/>
              </w:rPr>
              <w:t>电或者</w:t>
            </w:r>
            <w:proofErr w:type="gramEnd"/>
            <w:r w:rsidRPr="00B06C0F">
              <w:rPr>
                <w:rFonts w:asciiTheme="minorEastAsia" w:eastAsiaTheme="minorEastAsia" w:hAnsiTheme="minorEastAsia" w:cs="宋体" w:hint="eastAsia"/>
                <w:color w:val="000000"/>
                <w:kern w:val="0"/>
                <w:sz w:val="24"/>
                <w:lang/>
              </w:rPr>
              <w:t>可编程下电功能；内建相位自适应功能；ABM电池管理系统，可扩展充电设计确保电池更优越的表现,蓄电池自诊断系统确保延时间趋于准确；具有电池可编程管理软件，根据</w:t>
            </w:r>
            <w:r w:rsidRPr="00B06C0F">
              <w:rPr>
                <w:rFonts w:asciiTheme="minorEastAsia" w:eastAsiaTheme="minorEastAsia" w:hAnsiTheme="minorEastAsia" w:cs="宋体" w:hint="eastAsia"/>
                <w:color w:val="000000"/>
                <w:kern w:val="0"/>
                <w:sz w:val="24"/>
                <w:lang/>
              </w:rPr>
              <w:lastRenderedPageBreak/>
              <w:t>实际负载量自动调节蓄电池关机电压值；N+X并联冗余，最多实现8台并机运行，并机共用电池组；</w:t>
            </w:r>
            <w:proofErr w:type="gramStart"/>
            <w:r w:rsidRPr="00B06C0F">
              <w:rPr>
                <w:rFonts w:asciiTheme="minorEastAsia" w:eastAsiaTheme="minorEastAsia" w:hAnsiTheme="minorEastAsia" w:cs="宋体" w:hint="eastAsia"/>
                <w:color w:val="000000"/>
                <w:kern w:val="0"/>
                <w:sz w:val="24"/>
                <w:lang/>
              </w:rPr>
              <w:t>标配</w:t>
            </w:r>
            <w:proofErr w:type="gramEnd"/>
            <w:r w:rsidRPr="00B06C0F">
              <w:rPr>
                <w:rFonts w:asciiTheme="minorEastAsia" w:eastAsiaTheme="minorEastAsia" w:hAnsiTheme="minorEastAsia" w:cs="宋体" w:hint="eastAsia"/>
                <w:color w:val="000000"/>
                <w:kern w:val="0"/>
                <w:sz w:val="24"/>
                <w:lang/>
              </w:rPr>
              <w:t>EPO功能.具备上电自开机功能及智能存盘功能（选件）实现无人值守、 具备本地联网功能，实现远程联网设备或手机APP管理监控UPS；延时时间：UPS运行时间不小于8小时；电池之间连接线线径不低于16㎡；要求安装安全、规范、整洁。</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lastRenderedPageBreak/>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套</w:t>
            </w:r>
          </w:p>
        </w:tc>
      </w:tr>
      <w:tr w:rsidR="00B06C0F" w:rsidTr="00771CD3">
        <w:trPr>
          <w:trHeight w:val="4417"/>
        </w:trPr>
        <w:tc>
          <w:tcPr>
            <w:tcW w:w="615" w:type="dxa"/>
            <w:tcBorders>
              <w:top w:val="single" w:sz="4" w:space="0" w:color="000000"/>
              <w:left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lastRenderedPageBreak/>
              <w:t>25</w:t>
            </w:r>
          </w:p>
        </w:tc>
        <w:tc>
          <w:tcPr>
            <w:tcW w:w="1665"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监控中心UPS电源</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C0F" w:rsidRPr="00B06C0F" w:rsidRDefault="00B06C0F" w:rsidP="00771CD3">
            <w:pPr>
              <w:rPr>
                <w:rFonts w:asciiTheme="minorEastAsia" w:eastAsiaTheme="minorEastAsia" w:hAnsiTheme="minorEastAsia"/>
                <w:color w:val="000000"/>
                <w:sz w:val="24"/>
                <w:lang/>
              </w:rPr>
            </w:pPr>
            <w:r w:rsidRPr="00B06C0F">
              <w:rPr>
                <w:rFonts w:asciiTheme="minorEastAsia" w:eastAsiaTheme="minorEastAsia" w:hAnsiTheme="minorEastAsia" w:cs="宋体" w:hint="eastAsia"/>
                <w:color w:val="000000"/>
                <w:kern w:val="0"/>
                <w:sz w:val="24"/>
                <w:lang/>
              </w:rPr>
              <w:t>UPS电源主机：20KVA/18000W；输入功率因数≥0.99@额定电压（100%负载）；LCD面板可显示 输入输出电压、 频率 、电池电压、延时时间、负载量、各种工作状态以及错误信息。输入电压380VAC± 25% 频率46-54Hz或56-64Hz；输出电压220Vac ± 1%  50Hz 可通过LCD面板调节范围在200-240Vac；电池电压192-240Vdc充电电流可调节1-8A以对应不同的外配电池组；内置隔离变压器；具备频率转换模式、具备ECO节能模式、放电时间可通过LCD面板限定避免电池过度放电无法开机；具备输出二次下</w:t>
            </w:r>
            <w:proofErr w:type="gramStart"/>
            <w:r w:rsidRPr="00B06C0F">
              <w:rPr>
                <w:rFonts w:asciiTheme="minorEastAsia" w:eastAsiaTheme="minorEastAsia" w:hAnsiTheme="minorEastAsia" w:cs="宋体" w:hint="eastAsia"/>
                <w:color w:val="000000"/>
                <w:kern w:val="0"/>
                <w:sz w:val="24"/>
                <w:lang/>
              </w:rPr>
              <w:t>电或者</w:t>
            </w:r>
            <w:proofErr w:type="gramEnd"/>
            <w:r w:rsidRPr="00B06C0F">
              <w:rPr>
                <w:rFonts w:asciiTheme="minorEastAsia" w:eastAsiaTheme="minorEastAsia" w:hAnsiTheme="minorEastAsia" w:cs="宋体" w:hint="eastAsia"/>
                <w:color w:val="000000"/>
                <w:kern w:val="0"/>
                <w:sz w:val="24"/>
                <w:lang/>
              </w:rPr>
              <w:t>可编程下电功能；内建相位自适应功能；ABM电池管理系统，可扩展充电设计确保电池更优越的表现,蓄电池自诊断系统确保延时间趋于准确；具有电池可编程管理软件，根据实际负载量自动调节蓄电池关机电压值；N+X并联冗余，最多实现8台并机运行，并机共用电池组；</w:t>
            </w:r>
            <w:proofErr w:type="gramStart"/>
            <w:r w:rsidRPr="00B06C0F">
              <w:rPr>
                <w:rFonts w:asciiTheme="minorEastAsia" w:eastAsiaTheme="minorEastAsia" w:hAnsiTheme="minorEastAsia" w:cs="宋体" w:hint="eastAsia"/>
                <w:color w:val="000000"/>
                <w:kern w:val="0"/>
                <w:sz w:val="24"/>
                <w:lang/>
              </w:rPr>
              <w:t>标配</w:t>
            </w:r>
            <w:proofErr w:type="gramEnd"/>
            <w:r w:rsidRPr="00B06C0F">
              <w:rPr>
                <w:rFonts w:asciiTheme="minorEastAsia" w:eastAsiaTheme="minorEastAsia" w:hAnsiTheme="minorEastAsia" w:cs="宋体" w:hint="eastAsia"/>
                <w:color w:val="000000"/>
                <w:kern w:val="0"/>
                <w:sz w:val="24"/>
                <w:lang/>
              </w:rPr>
              <w:t>EPO功能.具备上电自开机功能及智能存盘功能（选件）实现无人值守、 具备本地联网功能，实现远程联网设备或手机APP管理监控UPS； 延时时间：UPS运行时间不小于8小时；电池之间连接线线径16㎡,要求安装安全、规范、整洁。</w:t>
            </w:r>
          </w:p>
          <w:p w:rsidR="00B06C0F" w:rsidRPr="00B06C0F" w:rsidRDefault="00B06C0F" w:rsidP="00771CD3">
            <w:pPr>
              <w:textAlignment w:val="center"/>
              <w:rPr>
                <w:rFonts w:asciiTheme="minorEastAsia" w:eastAsiaTheme="minorEastAsia" w:hAnsiTheme="minorEastAsia"/>
                <w:color w:val="000000"/>
                <w:sz w:val="24"/>
              </w:rPr>
            </w:pPr>
          </w:p>
        </w:tc>
        <w:tc>
          <w:tcPr>
            <w:tcW w:w="675"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 xml:space="preserve">1 </w:t>
            </w:r>
          </w:p>
        </w:tc>
        <w:tc>
          <w:tcPr>
            <w:tcW w:w="750" w:type="dxa"/>
            <w:tcBorders>
              <w:top w:val="single" w:sz="4" w:space="0" w:color="000000"/>
              <w:left w:val="single" w:sz="4" w:space="0" w:color="000000"/>
              <w:right w:val="single" w:sz="4" w:space="0" w:color="000000"/>
            </w:tcBorders>
            <w:shd w:val="clear" w:color="auto" w:fill="auto"/>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套</w:t>
            </w:r>
          </w:p>
        </w:tc>
      </w:tr>
      <w:tr w:rsidR="00B06C0F" w:rsidTr="00771CD3">
        <w:trPr>
          <w:trHeight w:val="495"/>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储物柜</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拘押人员暂存物品柜每组（1800*2000）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C0F" w:rsidRPr="00B06C0F" w:rsidRDefault="00B06C0F" w:rsidP="00771CD3">
            <w:pPr>
              <w:jc w:val="center"/>
              <w:textAlignment w:val="center"/>
              <w:rPr>
                <w:rFonts w:asciiTheme="minorEastAsia" w:eastAsiaTheme="minorEastAsia" w:hAnsiTheme="minorEastAsia"/>
                <w:color w:val="000000"/>
                <w:sz w:val="24"/>
              </w:rPr>
            </w:pPr>
            <w:r w:rsidRPr="00B06C0F">
              <w:rPr>
                <w:rFonts w:asciiTheme="minorEastAsia" w:eastAsiaTheme="minorEastAsia" w:hAnsiTheme="minorEastAsia" w:cs="宋体" w:hint="eastAsia"/>
                <w:color w:val="000000"/>
                <w:kern w:val="0"/>
                <w:sz w:val="24"/>
                <w:lang/>
              </w:rPr>
              <w:t>组</w:t>
            </w:r>
          </w:p>
        </w:tc>
      </w:tr>
    </w:tbl>
    <w:p w:rsidR="007E13A3" w:rsidRPr="00255ADD" w:rsidRDefault="00A723F8" w:rsidP="00B06C0F">
      <w:pPr>
        <w:widowControl/>
        <w:shd w:val="clear" w:color="auto" w:fill="FFFFFF"/>
        <w:spacing w:line="360" w:lineRule="auto"/>
        <w:ind w:firstLineChars="150" w:firstLine="361"/>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w:t>
      </w:r>
      <w:proofErr w:type="gramStart"/>
      <w:r w:rsidR="007E13A3" w:rsidRPr="00255ADD">
        <w:rPr>
          <w:rFonts w:asciiTheme="minorEastAsia" w:eastAsiaTheme="minorEastAsia" w:hAnsiTheme="minorEastAsia" w:cs="宋体" w:hint="eastAsia"/>
          <w:b/>
          <w:color w:val="000000"/>
          <w:kern w:val="0"/>
          <w:sz w:val="24"/>
          <w:lang w:val="zh-CN"/>
        </w:rPr>
        <w:t>的</w:t>
      </w:r>
      <w:proofErr w:type="gramEnd"/>
      <w:r w:rsidR="007E13A3" w:rsidRPr="00255ADD">
        <w:rPr>
          <w:rFonts w:asciiTheme="minorEastAsia" w:eastAsiaTheme="minorEastAsia" w:hAnsiTheme="minorEastAsia" w:cs="宋体" w:hint="eastAsia"/>
          <w:b/>
          <w:color w:val="000000"/>
          <w:kern w:val="0"/>
          <w:sz w:val="24"/>
          <w:lang w:val="zh-CN"/>
        </w:rPr>
        <w:t>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本项目为交钥匙工程（包含货物采购、包装、运输、装卸、备品备件、专用工具、特殊工具、保险、安装调试、检测验收、现场协调、人员培训、质保、税金等一切费用），如有招标文件中没有明确，而本项目必</w:t>
      </w:r>
      <w:r w:rsidRPr="00255ADD">
        <w:rPr>
          <w:rFonts w:asciiTheme="minorEastAsia" w:eastAsiaTheme="minorEastAsia" w:hAnsiTheme="minorEastAsia" w:cs="仿宋_GB2312" w:hint="eastAsia"/>
          <w:sz w:val="24"/>
          <w:lang w:val="zh-CN"/>
        </w:rPr>
        <w:lastRenderedPageBreak/>
        <w:t>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302D2E" w:rsidRPr="00255ADD" w:rsidRDefault="00255ADD" w:rsidP="00255ADD">
      <w:pPr>
        <w:pStyle w:val="a0"/>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上门服务，质保期一年。</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B06C0F" w:rsidRPr="00B06C0F" w:rsidRDefault="00B06C0F" w:rsidP="00B06C0F">
      <w:pPr>
        <w:widowControl/>
        <w:adjustRightInd w:val="0"/>
        <w:snapToGrid w:val="0"/>
        <w:spacing w:before="226" w:line="360" w:lineRule="auto"/>
        <w:ind w:firstLineChars="200" w:firstLine="480"/>
        <w:jc w:val="left"/>
        <w:rPr>
          <w:rFonts w:ascii="宋体" w:hAnsi="宋体" w:cs="仿宋"/>
          <w:color w:val="000000"/>
          <w:sz w:val="24"/>
          <w:shd w:val="clear" w:color="auto" w:fill="FFFFFF"/>
          <w:lang/>
        </w:rPr>
      </w:pPr>
      <w:r w:rsidRPr="00B06C0F">
        <w:rPr>
          <w:rFonts w:ascii="宋体" w:hAnsi="宋体" w:cs="仿宋" w:hint="eastAsia"/>
          <w:color w:val="000000"/>
          <w:kern w:val="0"/>
          <w:sz w:val="24"/>
          <w:shd w:val="clear" w:color="auto" w:fill="FFFFFF"/>
          <w:lang/>
        </w:rPr>
        <w:t>由采购人成立验收小组,按照采购合同的约定对中标人履约情况进行验收。验收时,按照采购合同的约定对每一项技术、服务、安全标准的履约情况进行确认。验收结束后,出具</w:t>
      </w:r>
      <w:proofErr w:type="gramStart"/>
      <w:r w:rsidRPr="00B06C0F">
        <w:rPr>
          <w:rFonts w:ascii="宋体" w:hAnsi="宋体" w:cs="仿宋" w:hint="eastAsia"/>
          <w:color w:val="000000"/>
          <w:kern w:val="0"/>
          <w:sz w:val="24"/>
          <w:shd w:val="clear" w:color="auto" w:fill="FFFFFF"/>
          <w:lang/>
        </w:rPr>
        <w:t>验收书</w:t>
      </w:r>
      <w:proofErr w:type="gramEnd"/>
      <w:r w:rsidRPr="00B06C0F">
        <w:rPr>
          <w:rFonts w:ascii="宋体" w:hAnsi="宋体" w:cs="仿宋" w:hint="eastAsia"/>
          <w:color w:val="000000"/>
          <w:kern w:val="0"/>
          <w:sz w:val="24"/>
          <w:shd w:val="clear" w:color="auto" w:fill="FFFFFF"/>
          <w:lang/>
        </w:rPr>
        <w:t>,列明各项标准的验收情况,由验收双方共同签署。</w:t>
      </w:r>
    </w:p>
    <w:p w:rsidR="00B06C0F" w:rsidRPr="00B06C0F" w:rsidRDefault="00B06C0F" w:rsidP="00B06C0F">
      <w:pPr>
        <w:spacing w:before="226" w:line="360" w:lineRule="auto"/>
        <w:ind w:firstLineChars="200" w:firstLine="480"/>
        <w:jc w:val="left"/>
        <w:rPr>
          <w:rFonts w:ascii="宋体" w:hAnsi="宋体" w:cs="仿宋"/>
          <w:color w:val="000000"/>
          <w:sz w:val="24"/>
          <w:shd w:val="clear" w:color="auto" w:fill="FFFFFF"/>
          <w:lang/>
        </w:rPr>
      </w:pPr>
      <w:r w:rsidRPr="00B06C0F">
        <w:rPr>
          <w:rFonts w:ascii="宋体" w:hAnsi="宋体" w:cs="仿宋" w:hint="eastAsia"/>
          <w:color w:val="000000"/>
          <w:kern w:val="0"/>
          <w:sz w:val="24"/>
          <w:shd w:val="clear" w:color="auto" w:fill="FFFFFF"/>
          <w:lang/>
        </w:rPr>
        <w:t>1、按照国家相关标准、行业标准、地方标准或者其他标准、规范验收；</w:t>
      </w:r>
    </w:p>
    <w:p w:rsidR="007E13A3" w:rsidRPr="00B06C0F" w:rsidRDefault="00B06C0F" w:rsidP="00B06C0F">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B06C0F">
        <w:rPr>
          <w:rFonts w:ascii="宋体" w:hAnsi="宋体" w:cs="仿宋" w:hint="eastAsia"/>
          <w:color w:val="000000"/>
          <w:kern w:val="0"/>
          <w:sz w:val="24"/>
          <w:shd w:val="clear" w:color="auto" w:fill="FFFFFF"/>
          <w:lang/>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B06C0F">
        <w:rPr>
          <w:rFonts w:asciiTheme="minorEastAsia" w:eastAsiaTheme="minorEastAsia" w:hAnsiTheme="minorEastAsia" w:cs="黑体" w:hint="eastAsia"/>
          <w:b/>
          <w:bCs/>
          <w:color w:val="000000"/>
          <w:shd w:val="clear" w:color="auto" w:fill="FFFFFF"/>
        </w:rPr>
        <w:t>646000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B06C0F">
        <w:rPr>
          <w:rFonts w:asciiTheme="minorEastAsia" w:eastAsiaTheme="minorEastAsia" w:hAnsiTheme="minorEastAsia" w:cs="黑体" w:hint="eastAsia"/>
          <w:b/>
          <w:bCs/>
          <w:color w:val="000000"/>
          <w:shd w:val="clear" w:color="auto" w:fill="FFFFFF"/>
        </w:rPr>
        <w:t>646000</w:t>
      </w:r>
      <w:r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302D2E" w:rsidRPr="00255ADD">
        <w:rPr>
          <w:rFonts w:asciiTheme="minorEastAsia" w:eastAsiaTheme="minorEastAsia" w:hAnsiTheme="minorEastAsia" w:cs="宋体" w:hint="eastAsia"/>
          <w:color w:val="000000"/>
          <w:kern w:val="0"/>
          <w:sz w:val="24"/>
        </w:rPr>
        <w:t>现金</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2、支付时间及条件：</w:t>
      </w:r>
      <w:r w:rsidR="00B06C0F" w:rsidRPr="00B06C0F">
        <w:rPr>
          <w:rFonts w:ascii="宋体" w:hAnsi="宋体" w:cs="仿宋" w:hint="eastAsia"/>
          <w:color w:val="000000"/>
          <w:kern w:val="0"/>
          <w:sz w:val="24"/>
          <w:shd w:val="clear" w:color="auto" w:fill="FFFFFF"/>
          <w:lang/>
        </w:rPr>
        <w:t>验收合格后支付合同金额的95%，剩余5%作为质保金，质保期一年。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27376F"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项目名称：</w:t>
            </w:r>
            <w:r w:rsidR="009C1BB1" w:rsidRPr="009C1BB1">
              <w:rPr>
                <w:rFonts w:ascii="宋体" w:hAnsi="宋体" w:cs="仿宋" w:hint="eastAsia"/>
                <w:color w:val="000000"/>
                <w:kern w:val="0"/>
                <w:sz w:val="24"/>
                <w:shd w:val="clear" w:color="auto" w:fill="FFFFFF"/>
                <w:lang/>
              </w:rPr>
              <w:t>襄城县公安局业务装备项目（2019年度政法转移支付资金）</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CB7637">
              <w:rPr>
                <w:rFonts w:ascii="宋体" w:hAnsi="宋体" w:cs="宋体" w:hint="eastAsia"/>
                <w:color w:val="000000"/>
                <w:kern w:val="0"/>
                <w:sz w:val="24"/>
              </w:rPr>
              <w:t>32</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27376F" w:rsidRPr="00AE7395">
              <w:rPr>
                <w:rFonts w:ascii="宋体" w:hAnsi="宋体" w:cs="宋体" w:hint="eastAsia"/>
                <w:color w:val="000000"/>
                <w:kern w:val="0"/>
                <w:sz w:val="24"/>
                <w:shd w:val="clear" w:color="040000" w:fill="FFFFFF"/>
              </w:rPr>
              <w:t>本项目采购</w:t>
            </w:r>
            <w:r w:rsidR="00CB7637" w:rsidRPr="00CB7637">
              <w:rPr>
                <w:rFonts w:ascii="宋体" w:hAnsi="宋体" w:cs="仿宋" w:hint="eastAsia"/>
                <w:color w:val="000000"/>
                <w:kern w:val="0"/>
                <w:sz w:val="24"/>
                <w:shd w:val="clear" w:color="auto" w:fill="FFFFFF"/>
                <w:lang/>
              </w:rPr>
              <w:t>数码相机，台式计算机，笔记本电脑，UPS电池设备的供货及安装调试。</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Pr="007B5143">
              <w:rPr>
                <w:rFonts w:ascii="宋体" w:hAnsi="宋体" w:cs="宋体" w:hint="eastAsia"/>
                <w:bCs/>
                <w:color w:val="000000"/>
                <w:kern w:val="0"/>
                <w:sz w:val="24"/>
              </w:rPr>
              <w:t>襄城县</w:t>
            </w:r>
            <w:r w:rsidR="00684810">
              <w:rPr>
                <w:rFonts w:ascii="宋体" w:hAnsi="宋体" w:cs="宋体" w:hint="eastAsia"/>
                <w:bCs/>
                <w:color w:val="000000"/>
                <w:kern w:val="0"/>
                <w:sz w:val="24"/>
              </w:rPr>
              <w:t>公安</w:t>
            </w:r>
            <w:r w:rsidRPr="007B5143">
              <w:rPr>
                <w:rFonts w:ascii="宋体" w:hAnsi="宋体" w:cs="宋体" w:hint="eastAsia"/>
                <w:bCs/>
                <w:color w:val="000000"/>
                <w:kern w:val="0"/>
                <w:sz w:val="24"/>
              </w:rPr>
              <w:t>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684810">
              <w:rPr>
                <w:rFonts w:ascii="宋体" w:hAnsi="宋体" w:cs="宋体" w:hint="eastAsia"/>
                <w:color w:val="000000"/>
                <w:kern w:val="0"/>
                <w:sz w:val="24"/>
              </w:rPr>
              <w:t>烟城路中段</w:t>
            </w:r>
          </w:p>
          <w:p w:rsidR="00E7751C" w:rsidRPr="007B5143" w:rsidRDefault="00E7751C" w:rsidP="0068481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proofErr w:type="gramStart"/>
            <w:r w:rsidR="00684810">
              <w:rPr>
                <w:rFonts w:ascii="宋体" w:hAnsi="宋体" w:cs="宋体" w:hint="eastAsia"/>
                <w:color w:val="000000"/>
                <w:kern w:val="0"/>
                <w:sz w:val="24"/>
              </w:rPr>
              <w:t>槐继伟</w:t>
            </w:r>
            <w:proofErr w:type="gramEnd"/>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684810">
              <w:rPr>
                <w:rFonts w:ascii="宋体" w:hAnsi="宋体" w:cs="宋体" w:hint="eastAsia"/>
                <w:color w:val="000000"/>
                <w:kern w:val="0"/>
                <w:sz w:val="24"/>
              </w:rPr>
              <w:t>0374-3582955转35099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CB7637">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w:t>
            </w:r>
            <w:r w:rsidR="006C732C" w:rsidRPr="00CE3654">
              <w:rPr>
                <w:rFonts w:asciiTheme="minorEastAsia" w:hAnsiTheme="minorEastAsia" w:cs="仿宋_GB2312" w:hint="eastAsia"/>
                <w:b/>
                <w:color w:val="000000"/>
                <w:sz w:val="24"/>
                <w:shd w:val="clear" w:color="auto" w:fill="FFFFFF"/>
              </w:rPr>
              <w:lastRenderedPageBreak/>
              <w:t>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E8005C"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E8005C"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CB7637"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646000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E8005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E8005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CB7637">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CB7637">
              <w:rPr>
                <w:rFonts w:ascii="宋体" w:hAnsi="宋体" w:cs="宋体" w:hint="eastAsia"/>
                <w:color w:val="000000"/>
                <w:kern w:val="0"/>
                <w:sz w:val="24"/>
              </w:rPr>
              <w:t>9</w:t>
            </w:r>
            <w:r w:rsidRPr="007B5143">
              <w:rPr>
                <w:rFonts w:ascii="宋体" w:hAnsi="宋体" w:cs="宋体" w:hint="eastAsia"/>
                <w:color w:val="000000"/>
                <w:kern w:val="0"/>
                <w:sz w:val="24"/>
              </w:rPr>
              <w:t>月</w:t>
            </w:r>
            <w:r w:rsidR="00CB7637">
              <w:rPr>
                <w:rFonts w:ascii="宋体" w:hAnsi="宋体" w:cs="宋体" w:hint="eastAsia"/>
                <w:color w:val="000000"/>
                <w:kern w:val="0"/>
                <w:sz w:val="24"/>
              </w:rPr>
              <w:t>17</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E8005C"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E8005C"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E8005C"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E8005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E8005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E8005C"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w:t>
            </w:r>
            <w:r w:rsidRPr="007B5143">
              <w:rPr>
                <w:rFonts w:ascii="ˎ̥" w:hAnsi="ˎ̥" w:hint="eastAsia"/>
                <w:sz w:val="24"/>
              </w:rPr>
              <w:lastRenderedPageBreak/>
              <w:t>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CB7637" w:rsidRDefault="00CB7637" w:rsidP="00CB7637">
      <w:pPr>
        <w:pStyle w:val="a0"/>
        <w:ind w:firstLine="280"/>
        <w:rPr>
          <w:rFonts w:hint="eastAsia"/>
        </w:rPr>
      </w:pPr>
    </w:p>
    <w:p w:rsidR="00CB7637" w:rsidRDefault="00CB7637" w:rsidP="00CB7637">
      <w:pPr>
        <w:pStyle w:val="a0"/>
        <w:ind w:firstLine="280"/>
        <w:rPr>
          <w:rFonts w:hint="eastAsia"/>
        </w:rPr>
      </w:pPr>
    </w:p>
    <w:p w:rsidR="00CB7637" w:rsidRPr="00CB7637" w:rsidRDefault="00CB7637" w:rsidP="00CB7637">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CB7637"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CB7637">
        <w:rPr>
          <w:rFonts w:hint="eastAsia"/>
          <w:sz w:val="24"/>
          <w:shd w:val="clear" w:color="auto" w:fill="FFFFFF"/>
        </w:rPr>
        <w:t xml:space="preserve">4.4 </w:t>
      </w:r>
      <w:r w:rsidR="00064CE9" w:rsidRPr="00CB7637">
        <w:rPr>
          <w:rFonts w:hint="eastAsia"/>
          <w:sz w:val="24"/>
          <w:shd w:val="clear" w:color="auto" w:fill="FFFFFF"/>
        </w:rPr>
        <w:t xml:space="preserve"> </w:t>
      </w:r>
      <w:r w:rsidRPr="00CB7637">
        <w:rPr>
          <w:rFonts w:hint="eastAsia"/>
          <w:sz w:val="24"/>
          <w:shd w:val="clear" w:color="auto" w:fill="FFFFFF"/>
        </w:rPr>
        <w:t>根据《强制性产品认证管理规定》（质检总局第</w:t>
      </w:r>
      <w:r w:rsidRPr="00CB7637">
        <w:rPr>
          <w:rFonts w:hint="eastAsia"/>
          <w:sz w:val="24"/>
          <w:shd w:val="clear" w:color="auto" w:fill="FFFFFF"/>
        </w:rPr>
        <w:t>117</w:t>
      </w:r>
      <w:r w:rsidRPr="00CB7637">
        <w:rPr>
          <w:rFonts w:hint="eastAsia"/>
          <w:sz w:val="24"/>
          <w:shd w:val="clear" w:color="auto" w:fill="FFFFFF"/>
        </w:rPr>
        <w:t>号令）要求，</w:t>
      </w:r>
      <w:r w:rsidRPr="00CB7637">
        <w:rPr>
          <w:rFonts w:asciiTheme="minorEastAsia" w:hAnsiTheme="minorEastAsia" w:cs="宋体" w:hint="eastAsia"/>
          <w:kern w:val="0"/>
          <w:sz w:val="24"/>
        </w:rPr>
        <w:t>如投标人所投产品被列入</w:t>
      </w:r>
      <w:r w:rsidRPr="00CB7637">
        <w:rPr>
          <w:rFonts w:asciiTheme="minorEastAsia" w:hAnsiTheme="minorEastAsia" w:cs="宋体"/>
          <w:kern w:val="0"/>
          <w:sz w:val="24"/>
        </w:rPr>
        <w:t>《中华人民共和国实施强制性产品认证的产品目录》，</w:t>
      </w:r>
      <w:r w:rsidRPr="00CB7637">
        <w:rPr>
          <w:rFonts w:asciiTheme="minorEastAsia" w:hAnsiTheme="minorEastAsia" w:cs="宋体" w:hint="eastAsia"/>
          <w:kern w:val="0"/>
          <w:sz w:val="24"/>
        </w:rPr>
        <w:t>则该产品应</w:t>
      </w:r>
      <w:r w:rsidRPr="00CB7637">
        <w:rPr>
          <w:rFonts w:asciiTheme="minorEastAsia" w:hAnsiTheme="minorEastAsia" w:cs="宋体"/>
          <w:kern w:val="0"/>
          <w:sz w:val="24"/>
        </w:rPr>
        <w:t>具备国家认监委</w:t>
      </w:r>
      <w:r w:rsidRPr="00CB7637">
        <w:rPr>
          <w:rFonts w:asciiTheme="minorEastAsia" w:hAnsiTheme="minorEastAsia" w:cs="宋体" w:hint="eastAsia"/>
          <w:kern w:val="0"/>
          <w:sz w:val="24"/>
        </w:rPr>
        <w:t>指定强制性产品认证机构</w:t>
      </w:r>
      <w:r w:rsidRPr="00CB7637">
        <w:rPr>
          <w:rFonts w:asciiTheme="minorEastAsia" w:hAnsiTheme="minorEastAsia" w:cs="宋体"/>
          <w:kern w:val="0"/>
          <w:sz w:val="24"/>
        </w:rPr>
        <w:t>颁</w:t>
      </w:r>
      <w:r w:rsidRPr="00CB7637">
        <w:rPr>
          <w:rFonts w:asciiTheme="minorEastAsia" w:hAnsiTheme="minorEastAsia" w:cs="宋体" w:hint="eastAsia"/>
          <w:kern w:val="0"/>
          <w:sz w:val="24"/>
        </w:rPr>
        <w:t>发的</w:t>
      </w:r>
      <w:r w:rsidRPr="00CB7637">
        <w:rPr>
          <w:rFonts w:asciiTheme="minorEastAsia" w:hAnsiTheme="minorEastAsia" w:cs="宋体"/>
          <w:kern w:val="0"/>
          <w:sz w:val="24"/>
        </w:rPr>
        <w:t>《中国</w:t>
      </w:r>
      <w:r w:rsidRPr="00CB7637">
        <w:rPr>
          <w:rFonts w:asciiTheme="minorEastAsia" w:hAnsiTheme="minorEastAsia" w:cs="宋体" w:hint="eastAsia"/>
          <w:kern w:val="0"/>
          <w:sz w:val="24"/>
        </w:rPr>
        <w:t>国家</w:t>
      </w:r>
      <w:r w:rsidRPr="00CB7637">
        <w:rPr>
          <w:rFonts w:asciiTheme="minorEastAsia" w:hAnsiTheme="minorEastAsia" w:cs="宋体"/>
          <w:kern w:val="0"/>
          <w:sz w:val="24"/>
        </w:rPr>
        <w:t>强制</w:t>
      </w:r>
      <w:r w:rsidRPr="00CB7637">
        <w:rPr>
          <w:rFonts w:asciiTheme="minorEastAsia" w:hAnsiTheme="minorEastAsia" w:cs="宋体" w:hint="eastAsia"/>
          <w:kern w:val="0"/>
          <w:sz w:val="24"/>
        </w:rPr>
        <w:t>性产品</w:t>
      </w:r>
      <w:r w:rsidRPr="00CB7637">
        <w:rPr>
          <w:rFonts w:asciiTheme="minorEastAsia" w:hAnsiTheme="minorEastAsia" w:cs="宋体"/>
          <w:kern w:val="0"/>
          <w:sz w:val="24"/>
        </w:rPr>
        <w:t>认证</w:t>
      </w:r>
      <w:r w:rsidRPr="00CB7637">
        <w:rPr>
          <w:rFonts w:asciiTheme="minorEastAsia" w:hAnsiTheme="minorEastAsia" w:cs="宋体" w:hint="eastAsia"/>
          <w:kern w:val="0"/>
          <w:sz w:val="24"/>
        </w:rPr>
        <w:t>证书</w:t>
      </w:r>
      <w:r w:rsidRPr="00CB7637">
        <w:rPr>
          <w:rFonts w:asciiTheme="minorEastAsia" w:hAnsiTheme="minorEastAsia" w:cs="宋体"/>
          <w:kern w:val="0"/>
          <w:sz w:val="24"/>
        </w:rPr>
        <w:t>》（CCC 认证）。</w:t>
      </w:r>
      <w:r w:rsidRPr="00CB7637">
        <w:rPr>
          <w:rFonts w:asciiTheme="minorEastAsia" w:hAnsiTheme="minorEastAsia" w:cs="宋体" w:hint="eastAsia"/>
          <w:kern w:val="0"/>
          <w:sz w:val="24"/>
        </w:rPr>
        <w:t>投标人</w:t>
      </w:r>
      <w:r w:rsidRPr="00CB7637">
        <w:rPr>
          <w:rFonts w:asciiTheme="minorEastAsia" w:hAnsiTheme="minorEastAsia" w:cs="宋体"/>
          <w:kern w:val="0"/>
          <w:sz w:val="24"/>
        </w:rPr>
        <w:t>不能提供超出此目录范畴外的替代品</w:t>
      </w:r>
      <w:r w:rsidRPr="00CB7637">
        <w:rPr>
          <w:rFonts w:asciiTheme="minorEastAsia" w:hAnsiTheme="minorEastAsia" w:cs="宋体" w:hint="eastAsia"/>
          <w:kern w:val="0"/>
          <w:sz w:val="24"/>
        </w:rPr>
        <w:t>。</w:t>
      </w:r>
    </w:p>
    <w:p w:rsidR="004E462D" w:rsidRPr="00CB7637"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CB7637">
        <w:rPr>
          <w:rFonts w:asciiTheme="minorEastAsia" w:hAnsiTheme="minorEastAsia" w:cs="宋体" w:hint="eastAsia"/>
          <w:kern w:val="0"/>
          <w:sz w:val="24"/>
        </w:rPr>
        <w:t xml:space="preserve">4.5 </w:t>
      </w:r>
      <w:r w:rsidR="00064CE9" w:rsidRPr="00CB7637">
        <w:rPr>
          <w:rFonts w:asciiTheme="minorEastAsia" w:hAnsiTheme="minorEastAsia" w:cs="宋体" w:hint="eastAsia"/>
          <w:kern w:val="0"/>
          <w:sz w:val="24"/>
        </w:rPr>
        <w:t xml:space="preserve"> </w:t>
      </w:r>
      <w:r w:rsidRPr="00CB7637">
        <w:rPr>
          <w:rFonts w:asciiTheme="minorEastAsia" w:hAnsiTheme="minorEastAsia" w:cs="宋体" w:hint="eastAsia"/>
          <w:kern w:val="0"/>
          <w:sz w:val="24"/>
        </w:rPr>
        <w:t>根据财政部、工业和信息化部、国家质检总局、国家认监委联合发布</w:t>
      </w:r>
      <w:bookmarkStart w:id="0" w:name="baidusnap0"/>
      <w:bookmarkEnd w:id="0"/>
      <w:r w:rsidRPr="00CB7637">
        <w:rPr>
          <w:rFonts w:asciiTheme="minorEastAsia" w:hAnsiTheme="minorEastAsia" w:cs="宋体" w:hint="eastAsia"/>
          <w:kern w:val="0"/>
          <w:sz w:val="24"/>
        </w:rPr>
        <w:t>《关于信息安全产品实施政府采购的通知》（财库[2010]48号）要求，投标人所投产品如被列入</w:t>
      </w:r>
      <w:r w:rsidRPr="00CB7637">
        <w:rPr>
          <w:rFonts w:asciiTheme="minorEastAsia" w:hAnsiTheme="minorEastAsia" w:cs="宋体"/>
          <w:kern w:val="0"/>
          <w:sz w:val="24"/>
        </w:rPr>
        <w:t>《信息安全产品强制性认证目录》，</w:t>
      </w:r>
      <w:r w:rsidRPr="00CB7637">
        <w:rPr>
          <w:rFonts w:asciiTheme="minorEastAsia" w:hAnsiTheme="minorEastAsia" w:cs="宋体" w:hint="eastAsia"/>
          <w:kern w:val="0"/>
          <w:sz w:val="24"/>
        </w:rPr>
        <w:t>则该产品应</w:t>
      </w:r>
      <w:r w:rsidRPr="00CB7637">
        <w:rPr>
          <w:rFonts w:asciiTheme="minorEastAsia" w:hAnsiTheme="minorEastAsia" w:cs="宋体"/>
          <w:kern w:val="0"/>
          <w:sz w:val="24"/>
        </w:rPr>
        <w:t>具备</w:t>
      </w:r>
      <w:r w:rsidRPr="00CB7637">
        <w:rPr>
          <w:rFonts w:asciiTheme="minorEastAsia" w:hAnsiTheme="minorEastAsia" w:cs="宋体" w:hint="eastAsia"/>
          <w:kern w:val="0"/>
          <w:sz w:val="24"/>
        </w:rPr>
        <w:t>中国信息安全认证中心</w:t>
      </w:r>
      <w:r w:rsidRPr="00CB7637">
        <w:rPr>
          <w:rFonts w:asciiTheme="minorEastAsia" w:hAnsiTheme="minorEastAsia" w:cs="宋体"/>
          <w:kern w:val="0"/>
          <w:sz w:val="24"/>
        </w:rPr>
        <w:t>颁</w:t>
      </w:r>
      <w:r w:rsidRPr="00CB7637">
        <w:rPr>
          <w:rFonts w:asciiTheme="minorEastAsia" w:hAnsiTheme="minorEastAsia" w:cs="宋体" w:hint="eastAsia"/>
          <w:kern w:val="0"/>
          <w:sz w:val="24"/>
        </w:rPr>
        <w:t>发的</w:t>
      </w:r>
      <w:r w:rsidRPr="00CB7637">
        <w:rPr>
          <w:rFonts w:asciiTheme="minorEastAsia" w:hAnsiTheme="minorEastAsia" w:cs="宋体"/>
          <w:kern w:val="0"/>
          <w:sz w:val="24"/>
        </w:rPr>
        <w:t>《</w:t>
      </w:r>
      <w:hyperlink r:id="rId15" w:tgtFrame="_blank" w:history="1">
        <w:r w:rsidRPr="00CB7637">
          <w:rPr>
            <w:rFonts w:asciiTheme="minorEastAsia" w:hAnsiTheme="minorEastAsia" w:cs="宋体" w:hint="eastAsia"/>
            <w:kern w:val="0"/>
            <w:sz w:val="24"/>
          </w:rPr>
          <w:t>中国国家信息安全产品认证证书</w:t>
        </w:r>
      </w:hyperlink>
      <w:r w:rsidRPr="00CB7637">
        <w:rPr>
          <w:rFonts w:asciiTheme="minorEastAsia" w:hAnsiTheme="minorEastAsia" w:cs="宋体"/>
          <w:kern w:val="0"/>
          <w:sz w:val="24"/>
        </w:rPr>
        <w:t>》。</w:t>
      </w:r>
      <w:r w:rsidRPr="00CB7637">
        <w:rPr>
          <w:rFonts w:asciiTheme="minorEastAsia" w:hAnsiTheme="minorEastAsia" w:cs="宋体" w:hint="eastAsia"/>
          <w:kern w:val="0"/>
          <w:sz w:val="24"/>
        </w:rPr>
        <w:t>投标人</w:t>
      </w:r>
      <w:r w:rsidRPr="00CB7637">
        <w:rPr>
          <w:rFonts w:asciiTheme="minorEastAsia" w:hAnsiTheme="minorEastAsia" w:cs="宋体"/>
          <w:kern w:val="0"/>
          <w:sz w:val="24"/>
        </w:rPr>
        <w:t>不能提供超出此目录范畴外的替代品</w:t>
      </w:r>
      <w:r w:rsidRPr="00CB7637">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CB7637">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w:t>
            </w:r>
            <w:r>
              <w:rPr>
                <w:rFonts w:ascii="宋体" w:hAnsi="宋体" w:hint="eastAsia"/>
                <w:bCs/>
                <w:sz w:val="24"/>
              </w:rPr>
              <w:lastRenderedPageBreak/>
              <w:t>的证明文件和担保机构出具的投标担保函。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EB695B" w:rsidP="00DE77E5">
            <w:pPr>
              <w:widowControl/>
              <w:shd w:val="clear" w:color="auto" w:fill="FFFFFF"/>
              <w:spacing w:line="360" w:lineRule="auto"/>
              <w:jc w:val="left"/>
              <w:rPr>
                <w:rFonts w:ascii="仿宋" w:eastAsia="仿宋" w:hAnsi="仿宋" w:cs="仿宋"/>
                <w:color w:val="000000"/>
                <w:kern w:val="0"/>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012288" w:rsidRDefault="00633E55" w:rsidP="00F54887">
      <w:pPr>
        <w:pStyle w:val="a7"/>
        <w:spacing w:line="360" w:lineRule="auto"/>
        <w:ind w:firstLineChars="200" w:firstLine="482"/>
        <w:contextualSpacing/>
        <w:rPr>
          <w:rFonts w:hAnsi="宋体"/>
          <w:b/>
          <w:sz w:val="24"/>
          <w:szCs w:val="24"/>
          <w:lang w:val="zh-CN"/>
        </w:rPr>
      </w:pPr>
      <w:r w:rsidRPr="00012288">
        <w:rPr>
          <w:rFonts w:hAnsi="宋体" w:hint="eastAsia"/>
          <w:b/>
          <w:sz w:val="24"/>
          <w:szCs w:val="24"/>
          <w:lang w:val="zh-CN"/>
        </w:rPr>
        <w:t>（</w:t>
      </w:r>
      <w:r w:rsidR="001F61E1" w:rsidRPr="00012288">
        <w:rPr>
          <w:rFonts w:hAnsi="宋体" w:hint="eastAsia"/>
          <w:b/>
          <w:sz w:val="24"/>
          <w:szCs w:val="24"/>
          <w:lang w:val="zh-CN"/>
        </w:rPr>
        <w:t>4</w:t>
      </w:r>
      <w:r w:rsidRPr="00012288">
        <w:rPr>
          <w:rFonts w:hAnsi="宋体" w:hint="eastAsia"/>
          <w:b/>
          <w:sz w:val="24"/>
          <w:szCs w:val="24"/>
          <w:lang w:val="zh-CN"/>
        </w:rPr>
        <w:t>）关于强制性产品认证</w:t>
      </w:r>
    </w:p>
    <w:p w:rsidR="00143653" w:rsidRPr="00012288" w:rsidRDefault="00143653" w:rsidP="00143653">
      <w:pPr>
        <w:spacing w:line="360" w:lineRule="auto"/>
        <w:ind w:firstLineChars="200" w:firstLine="480"/>
        <w:contextualSpacing/>
        <w:rPr>
          <w:rFonts w:asciiTheme="minorEastAsia" w:eastAsiaTheme="minorEastAsia" w:hAnsiTheme="minorEastAsia" w:cs="宋体"/>
          <w:kern w:val="0"/>
          <w:sz w:val="24"/>
        </w:rPr>
      </w:pPr>
      <w:r w:rsidRPr="00012288">
        <w:rPr>
          <w:rFonts w:asciiTheme="minorEastAsia" w:eastAsiaTheme="minorEastAsia" w:hAnsiTheme="minorEastAsia" w:cs="仿宋_GB2312" w:hint="eastAsia"/>
          <w:sz w:val="24"/>
          <w:lang w:val="zh-CN"/>
        </w:rPr>
        <w:t>1）如投标人所投产</w:t>
      </w:r>
      <w:proofErr w:type="gramStart"/>
      <w:r w:rsidRPr="00012288">
        <w:rPr>
          <w:rFonts w:asciiTheme="minorEastAsia" w:eastAsiaTheme="minorEastAsia" w:hAnsiTheme="minorEastAsia" w:cs="仿宋_GB2312" w:hint="eastAsia"/>
          <w:sz w:val="24"/>
          <w:lang w:val="zh-CN"/>
        </w:rPr>
        <w:t>品属于</w:t>
      </w:r>
      <w:proofErr w:type="gramEnd"/>
      <w:r w:rsidRPr="00012288">
        <w:rPr>
          <w:rFonts w:asciiTheme="minorEastAsia" w:eastAsiaTheme="minorEastAsia" w:hAnsiTheme="minorEastAsia" w:cs="仿宋_GB2312" w:hint="eastAsia"/>
          <w:sz w:val="24"/>
          <w:lang w:val="zh-CN"/>
        </w:rPr>
        <w:t>“中国强制性产品认证”（3C认证）范围内,则必须承诺采用</w:t>
      </w:r>
      <w:r w:rsidRPr="00012288">
        <w:rPr>
          <w:rFonts w:asciiTheme="minorEastAsia" w:eastAsiaTheme="minorEastAsia" w:hAnsiTheme="minorEastAsia" w:cs="仿宋_GB2312"/>
          <w:sz w:val="24"/>
          <w:lang w:val="zh-CN"/>
        </w:rPr>
        <w:t>《中华人民共和国实施强制性产品认证的产品目录》</w:t>
      </w:r>
      <w:r w:rsidRPr="00012288">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012288">
        <w:rPr>
          <w:rFonts w:asciiTheme="minorEastAsia" w:eastAsiaTheme="minorEastAsia" w:hAnsiTheme="minorEastAsia" w:cs="宋体" w:hint="eastAsia"/>
          <w:kern w:val="0"/>
          <w:sz w:val="24"/>
        </w:rPr>
        <w:t>2)投标人所投产品如被列入</w:t>
      </w:r>
      <w:r w:rsidRPr="00012288">
        <w:rPr>
          <w:rFonts w:asciiTheme="minorEastAsia" w:eastAsiaTheme="minorEastAsia" w:hAnsiTheme="minorEastAsia" w:cs="宋体"/>
          <w:kern w:val="0"/>
          <w:sz w:val="24"/>
        </w:rPr>
        <w:t>《信息安全产品强制性认证目录》，</w:t>
      </w:r>
      <w:r w:rsidRPr="00012288">
        <w:rPr>
          <w:rFonts w:asciiTheme="minorEastAsia" w:eastAsiaTheme="minorEastAsia" w:hAnsiTheme="minorEastAsia" w:cs="仿宋_GB2312" w:hint="eastAsia"/>
          <w:sz w:val="24"/>
          <w:lang w:val="zh-CN"/>
        </w:rPr>
        <w:t>则投标文件中应根据本项目招标文件“第二章 项目需求”</w:t>
      </w:r>
      <w:r w:rsidRPr="00012288">
        <w:rPr>
          <w:rFonts w:asciiTheme="minorEastAsia" w:eastAsiaTheme="minorEastAsia" w:hAnsiTheme="minorEastAsia" w:cs="仿宋_GB2312"/>
          <w:sz w:val="24"/>
          <w:lang w:val="zh-CN"/>
        </w:rPr>
        <w:t>提供</w:t>
      </w:r>
      <w:r w:rsidRPr="00012288">
        <w:rPr>
          <w:rFonts w:asciiTheme="minorEastAsia" w:eastAsiaTheme="minorEastAsia" w:hAnsiTheme="minorEastAsia" w:cs="仿宋_GB2312" w:hint="eastAsia"/>
          <w:sz w:val="24"/>
          <w:lang w:val="zh-CN"/>
        </w:rPr>
        <w:t>：</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012288">
        <w:rPr>
          <w:rFonts w:asciiTheme="minorEastAsia" w:eastAsiaTheme="minorEastAsia" w:hAnsiTheme="minorEastAsia" w:cs="宋体" w:hint="eastAsia"/>
          <w:kern w:val="0"/>
          <w:sz w:val="24"/>
        </w:rPr>
        <w:t>①中国信息安全认证中心官网（</w:t>
      </w:r>
      <w:r w:rsidRPr="00012288">
        <w:rPr>
          <w:rFonts w:asciiTheme="minorEastAsia" w:eastAsiaTheme="minorEastAsia" w:hAnsiTheme="minorEastAsia" w:cs="宋体"/>
          <w:kern w:val="0"/>
          <w:sz w:val="24"/>
        </w:rPr>
        <w:t>http://www.isccc.gov.cn/index.shtml</w:t>
      </w:r>
      <w:r w:rsidRPr="00012288">
        <w:rPr>
          <w:rFonts w:asciiTheme="minorEastAsia" w:eastAsiaTheme="minorEastAsia" w:hAnsiTheme="minorEastAsia" w:cs="宋体" w:hint="eastAsia"/>
          <w:kern w:val="0"/>
          <w:sz w:val="24"/>
        </w:rPr>
        <w:t>）产品查询结果截图并加盖投标人公章；</w:t>
      </w:r>
    </w:p>
    <w:p w:rsidR="00143653" w:rsidRPr="00012288"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012288">
        <w:rPr>
          <w:rFonts w:asciiTheme="minorEastAsia" w:eastAsiaTheme="minorEastAsia" w:hAnsiTheme="minorEastAsia" w:cs="宋体" w:hint="eastAsia"/>
          <w:kern w:val="0"/>
          <w:sz w:val="24"/>
        </w:rPr>
        <w:t>②中国信息安全认证中心</w:t>
      </w:r>
      <w:r w:rsidRPr="00012288">
        <w:rPr>
          <w:rFonts w:asciiTheme="minorEastAsia" w:eastAsiaTheme="minorEastAsia" w:hAnsiTheme="minorEastAsia" w:cs="仿宋_GB2312" w:hint="eastAsia"/>
          <w:sz w:val="24"/>
          <w:lang w:val="zh-CN"/>
        </w:rPr>
        <w:t>颁发的《中国国家信息安全产品认证证书》加盖投标人公章的原</w:t>
      </w:r>
      <w:r w:rsidRPr="00012288">
        <w:rPr>
          <w:rFonts w:asciiTheme="minorEastAsia" w:eastAsiaTheme="minorEastAsia" w:hAnsiTheme="minorEastAsia" w:cs="仿宋_GB2312" w:hint="eastAsia"/>
          <w:sz w:val="24"/>
          <w:lang w:val="zh-CN"/>
        </w:rPr>
        <w:lastRenderedPageBreak/>
        <w:t>件扫描件（或图片）。</w:t>
      </w:r>
    </w:p>
    <w:p w:rsidR="00143653" w:rsidRPr="00012288" w:rsidRDefault="00143653" w:rsidP="00143653">
      <w:pPr>
        <w:wordWrap w:val="0"/>
        <w:spacing w:line="360" w:lineRule="auto"/>
        <w:ind w:firstLineChars="200" w:firstLine="480"/>
        <w:contextualSpacing/>
        <w:rPr>
          <w:rFonts w:asciiTheme="minorEastAsia" w:eastAsiaTheme="minorEastAsia" w:hAnsiTheme="minorEastAsia"/>
          <w:sz w:val="24"/>
        </w:rPr>
      </w:pPr>
      <w:r w:rsidRPr="00012288">
        <w:rPr>
          <w:rFonts w:asciiTheme="minorEastAsia" w:eastAsiaTheme="minorEastAsia" w:hAnsiTheme="minorEastAsia" w:cs="仿宋_GB2312" w:hint="eastAsia"/>
          <w:sz w:val="24"/>
          <w:lang w:val="zh-CN"/>
        </w:rPr>
        <w:t>注：仅需提供序号</w:t>
      </w:r>
      <w:r w:rsidRPr="00012288">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464" w:type="dxa"/>
        <w:jc w:val="center"/>
        <w:tblLayout w:type="fixed"/>
        <w:tblLook w:val="04A0"/>
      </w:tblPr>
      <w:tblGrid>
        <w:gridCol w:w="700"/>
        <w:gridCol w:w="633"/>
        <w:gridCol w:w="1640"/>
        <w:gridCol w:w="3913"/>
        <w:gridCol w:w="2578"/>
      </w:tblGrid>
      <w:tr w:rsidR="00012288" w:rsidTr="00771CD3">
        <w:trPr>
          <w:trHeight w:val="593"/>
          <w:jc w:val="center"/>
        </w:trPr>
        <w:tc>
          <w:tcPr>
            <w:tcW w:w="1333" w:type="dxa"/>
            <w:gridSpan w:val="2"/>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spacing w:before="226" w:line="360" w:lineRule="auto"/>
              <w:rPr>
                <w:rFonts w:asciiTheme="minorEastAsia" w:eastAsiaTheme="minorEastAsia" w:hAnsiTheme="minorEastAsia" w:cs="仿宋"/>
                <w:color w:val="000000"/>
                <w:sz w:val="24"/>
              </w:rPr>
            </w:pPr>
            <w:r w:rsidRPr="00012288">
              <w:rPr>
                <w:rFonts w:asciiTheme="minorEastAsia" w:eastAsiaTheme="minorEastAsia" w:hAnsiTheme="minorEastAsia" w:cs="仿宋" w:hint="eastAsia"/>
                <w:color w:val="000000"/>
                <w:sz w:val="24"/>
              </w:rPr>
              <w:t>条款内容</w:t>
            </w:r>
          </w:p>
        </w:tc>
        <w:tc>
          <w:tcPr>
            <w:tcW w:w="8131" w:type="dxa"/>
            <w:gridSpan w:val="3"/>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编列内容</w:t>
            </w:r>
          </w:p>
        </w:tc>
      </w:tr>
      <w:tr w:rsidR="00012288" w:rsidTr="00771CD3">
        <w:trPr>
          <w:trHeight w:val="372"/>
          <w:jc w:val="center"/>
        </w:trPr>
        <w:tc>
          <w:tcPr>
            <w:tcW w:w="1333" w:type="dxa"/>
            <w:gridSpan w:val="2"/>
            <w:vMerge w:val="restart"/>
            <w:tcBorders>
              <w:top w:val="single" w:sz="4" w:space="0" w:color="000000"/>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分值构成</w:t>
            </w:r>
          </w:p>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(总分100</w:t>
            </w:r>
            <w:r w:rsidRPr="00012288">
              <w:rPr>
                <w:rFonts w:asciiTheme="minorEastAsia" w:eastAsiaTheme="minorEastAsia" w:hAnsiTheme="minorEastAsia" w:cs="仿宋" w:hint="eastAsia"/>
              </w:rPr>
              <w:lastRenderedPageBreak/>
              <w:t>分)</w:t>
            </w: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lastRenderedPageBreak/>
              <w:t>评分因素</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分值</w:t>
            </w:r>
          </w:p>
        </w:tc>
      </w:tr>
      <w:tr w:rsidR="00012288" w:rsidTr="00771CD3">
        <w:trPr>
          <w:trHeight w:val="372"/>
          <w:jc w:val="center"/>
        </w:trPr>
        <w:tc>
          <w:tcPr>
            <w:tcW w:w="1333" w:type="dxa"/>
            <w:gridSpan w:val="2"/>
            <w:vMerge/>
            <w:tcBorders>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投标报价</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30</w:t>
            </w:r>
          </w:p>
        </w:tc>
      </w:tr>
      <w:tr w:rsidR="00012288" w:rsidTr="00771CD3">
        <w:trPr>
          <w:trHeight w:val="427"/>
          <w:jc w:val="center"/>
        </w:trPr>
        <w:tc>
          <w:tcPr>
            <w:tcW w:w="1333" w:type="dxa"/>
            <w:gridSpan w:val="2"/>
            <w:vMerge/>
            <w:tcBorders>
              <w:left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商务部分</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30</w:t>
            </w:r>
          </w:p>
        </w:tc>
      </w:tr>
      <w:tr w:rsidR="00012288" w:rsidTr="00771CD3">
        <w:trPr>
          <w:trHeight w:val="372"/>
          <w:jc w:val="center"/>
        </w:trPr>
        <w:tc>
          <w:tcPr>
            <w:tcW w:w="1333" w:type="dxa"/>
            <w:gridSpan w:val="2"/>
            <w:vMerge/>
            <w:tcBorders>
              <w:left w:val="single" w:sz="4" w:space="0" w:color="auto"/>
              <w:bottom w:val="single" w:sz="4" w:space="0" w:color="auto"/>
              <w:right w:val="single" w:sz="4" w:space="0" w:color="auto"/>
            </w:tcBorders>
            <w:vAlign w:val="center"/>
          </w:tcPr>
          <w:p w:rsidR="00012288" w:rsidRPr="00012288" w:rsidRDefault="00012288" w:rsidP="00771CD3">
            <w:pPr>
              <w:pStyle w:val="Default"/>
              <w:jc w:val="center"/>
              <w:rPr>
                <w:rFonts w:asciiTheme="minorEastAsia" w:eastAsiaTheme="minorEastAsia" w:hAnsiTheme="minorEastAsia" w:cs="仿宋"/>
              </w:rPr>
            </w:pPr>
          </w:p>
        </w:tc>
        <w:tc>
          <w:tcPr>
            <w:tcW w:w="5553" w:type="dxa"/>
            <w:gridSpan w:val="2"/>
            <w:tcBorders>
              <w:top w:val="single" w:sz="4" w:space="0" w:color="000000"/>
              <w:left w:val="single" w:sz="4" w:space="0" w:color="auto"/>
              <w:bottom w:val="single" w:sz="4" w:space="0" w:color="000000"/>
              <w:right w:val="single" w:sz="4" w:space="0" w:color="000000"/>
            </w:tcBorders>
            <w:vAlign w:val="center"/>
          </w:tcPr>
          <w:p w:rsidR="00012288" w:rsidRPr="00012288" w:rsidRDefault="00012288" w:rsidP="00771CD3">
            <w:pPr>
              <w:pStyle w:val="Default"/>
              <w:jc w:val="both"/>
              <w:rPr>
                <w:rFonts w:asciiTheme="minorEastAsia" w:eastAsiaTheme="minorEastAsia" w:hAnsiTheme="minorEastAsia" w:cs="仿宋"/>
              </w:rPr>
            </w:pPr>
            <w:r w:rsidRPr="00012288">
              <w:rPr>
                <w:rFonts w:asciiTheme="minorEastAsia" w:eastAsiaTheme="minorEastAsia" w:hAnsiTheme="minorEastAsia" w:cs="仿宋" w:hint="eastAsia"/>
              </w:rPr>
              <w:t>技术部分</w:t>
            </w:r>
          </w:p>
        </w:tc>
        <w:tc>
          <w:tcPr>
            <w:tcW w:w="2578" w:type="dxa"/>
            <w:tcBorders>
              <w:top w:val="single" w:sz="4" w:space="0" w:color="000000"/>
              <w:left w:val="single" w:sz="4" w:space="0" w:color="000000"/>
              <w:bottom w:val="single" w:sz="4" w:space="0" w:color="000000"/>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40</w:t>
            </w:r>
          </w:p>
        </w:tc>
      </w:tr>
      <w:tr w:rsidR="00012288" w:rsidTr="00771CD3">
        <w:trPr>
          <w:trHeight w:val="579"/>
          <w:jc w:val="center"/>
        </w:trPr>
        <w:tc>
          <w:tcPr>
            <w:tcW w:w="1333" w:type="dxa"/>
            <w:gridSpan w:val="2"/>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评分项</w:t>
            </w:r>
          </w:p>
        </w:tc>
        <w:tc>
          <w:tcPr>
            <w:tcW w:w="1640" w:type="dxa"/>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各评分因素细项</w:t>
            </w:r>
          </w:p>
        </w:tc>
        <w:tc>
          <w:tcPr>
            <w:tcW w:w="6491" w:type="dxa"/>
            <w:gridSpan w:val="2"/>
            <w:tcBorders>
              <w:top w:val="single" w:sz="4" w:space="0" w:color="000000"/>
              <w:left w:val="single" w:sz="4" w:space="0" w:color="000000"/>
              <w:bottom w:val="single" w:sz="4" w:space="0" w:color="auto"/>
              <w:right w:val="single" w:sz="4" w:space="0" w:color="000000"/>
            </w:tcBorders>
            <w:vAlign w:val="center"/>
          </w:tcPr>
          <w:p w:rsidR="00012288" w:rsidRPr="00012288" w:rsidRDefault="00012288" w:rsidP="00771CD3">
            <w:pPr>
              <w:pStyle w:val="Default"/>
              <w:jc w:val="center"/>
              <w:rPr>
                <w:rFonts w:asciiTheme="minorEastAsia" w:eastAsiaTheme="minorEastAsia" w:hAnsiTheme="minorEastAsia" w:cs="仿宋"/>
              </w:rPr>
            </w:pPr>
            <w:r w:rsidRPr="00012288">
              <w:rPr>
                <w:rFonts w:asciiTheme="minorEastAsia" w:eastAsiaTheme="minorEastAsia" w:hAnsiTheme="minorEastAsia" w:cs="仿宋" w:hint="eastAsia"/>
              </w:rPr>
              <w:t>评分标准及分值</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66"/>
          <w:jc w:val="center"/>
        </w:trPr>
        <w:tc>
          <w:tcPr>
            <w:tcW w:w="1333" w:type="dxa"/>
            <w:gridSpan w:val="2"/>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条款号</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评分因素</w:t>
            </w:r>
          </w:p>
        </w:tc>
        <w:tc>
          <w:tcPr>
            <w:tcW w:w="6491" w:type="dxa"/>
            <w:gridSpan w:val="2"/>
            <w:vAlign w:val="center"/>
          </w:tcPr>
          <w:p w:rsidR="00012288" w:rsidRPr="00012288" w:rsidRDefault="00012288" w:rsidP="00771CD3">
            <w:pPr>
              <w:spacing w:line="440" w:lineRule="exact"/>
              <w:jc w:val="center"/>
              <w:rPr>
                <w:rFonts w:asciiTheme="minorEastAsia" w:eastAsiaTheme="minorEastAsia" w:hAnsiTheme="minorEastAsia" w:cs="仿宋"/>
                <w:b/>
                <w:sz w:val="24"/>
              </w:rPr>
            </w:pPr>
            <w:r w:rsidRPr="00012288">
              <w:rPr>
                <w:rFonts w:asciiTheme="minorEastAsia" w:eastAsiaTheme="minorEastAsia" w:hAnsiTheme="minorEastAsia" w:cs="仿宋" w:hint="eastAsia"/>
                <w:b/>
                <w:sz w:val="24"/>
              </w:rPr>
              <w:t>评分标准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765"/>
          <w:jc w:val="center"/>
        </w:trPr>
        <w:tc>
          <w:tcPr>
            <w:tcW w:w="70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sz w:val="24"/>
                <w:shd w:val="clear" w:color="auto" w:fill="FFFFFF"/>
              </w:rPr>
              <w:t>A</w:t>
            </w:r>
          </w:p>
        </w:tc>
        <w:tc>
          <w:tcPr>
            <w:tcW w:w="633"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sz w:val="24"/>
                <w:shd w:val="clear" w:color="auto" w:fill="FFFFFF"/>
              </w:rPr>
              <w:t>投标报价</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30分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评标基准价：满足招标文件要求的有效投标报价中，最低的投标报价为评标基准价。投标报价得分=(评标基准价／投标报价)×30。注：分值计算保留小数点后两位，小数点后第三位“四舍五入”。</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268"/>
          <w:jc w:val="center"/>
        </w:trPr>
        <w:tc>
          <w:tcPr>
            <w:tcW w:w="700"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B</w:t>
            </w:r>
          </w:p>
        </w:tc>
        <w:tc>
          <w:tcPr>
            <w:tcW w:w="633"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商务</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部分</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35分</w:t>
            </w: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质量体系认证（6分）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投标人具有（有效期内）质量体系认证、环境管理体系认证、职业健康体系认证证书的，每提供一份得2分，最多得6分；（以原件为准，投标文件中须附与原件一致的复印件，否则不得分）；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6"/>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012288">
            <w:pPr>
              <w:spacing w:line="400" w:lineRule="exact"/>
              <w:ind w:leftChars="166" w:left="349"/>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信用等级（5分）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投标企业具有信用等级AAA级证书得5分，具有信用等级AA级证书得3分，具有信用等级A级证书得2分</w:t>
            </w:r>
            <w:r w:rsidRPr="00012288">
              <w:rPr>
                <w:rFonts w:asciiTheme="minorEastAsia" w:eastAsiaTheme="minorEastAsia" w:hAnsiTheme="minorEastAsia" w:cs="仿宋" w:hint="eastAsia"/>
                <w:sz w:val="24"/>
              </w:rPr>
              <w:t>。</w:t>
            </w:r>
            <w:r w:rsidRPr="00012288">
              <w:rPr>
                <w:rFonts w:asciiTheme="minorEastAsia" w:eastAsiaTheme="minorEastAsia" w:hAnsiTheme="minorEastAsia" w:cs="仿宋" w:hint="eastAsia"/>
                <w:b/>
                <w:bCs/>
                <w:color w:val="000000" w:themeColor="text1"/>
                <w:kern w:val="0"/>
                <w:sz w:val="24"/>
              </w:rPr>
              <w:t>注：（1）河南省供应商应提供经河南省信用建设促进会备案认可的信用评级机构出具的信用评估报告原件，并同时提供在“信用河南网”（网址：http：//www.xyhnw.com）企业信用查询系统中的查询结果（打印网页并加盖投标人公章）；（2）外省供应商应提供经省级以上社会信用管理部门备案认可的信用评级机构出具的信用评估报告原件，并同时出具信用评级机构相应的资质材料。不符合以上要求的，本项不得分。（以上资料需在投标文件中附复印件，评标时提供原件，复印件与原件一致时得分，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279"/>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 xml:space="preserve">    </w:t>
            </w:r>
            <w:r w:rsidRPr="00012288">
              <w:rPr>
                <w:rFonts w:asciiTheme="minorEastAsia" w:eastAsiaTheme="minorEastAsia" w:hAnsiTheme="minorEastAsia" w:cs="仿宋" w:hint="eastAsia"/>
                <w:color w:val="000000" w:themeColor="text1"/>
                <w:kern w:val="0"/>
                <w:sz w:val="24"/>
              </w:rPr>
              <w:t>业绩合同（4分）</w:t>
            </w:r>
          </w:p>
        </w:tc>
        <w:tc>
          <w:tcPr>
            <w:tcW w:w="6491" w:type="dxa"/>
            <w:gridSpan w:val="2"/>
            <w:vAlign w:val="center"/>
          </w:tcPr>
          <w:p w:rsidR="00012288" w:rsidRPr="00012288" w:rsidRDefault="00012288" w:rsidP="00771CD3">
            <w:pPr>
              <w:spacing w:line="44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投标人自2017年1月1日以来单项合同金额在人民币50万元及以上的类似项目，每提供一项得2分，最多的4分。（评标时需提供成交通知书、合同和验收报告原件，否则不得分)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393"/>
          <w:jc w:val="center"/>
        </w:trPr>
        <w:tc>
          <w:tcPr>
            <w:tcW w:w="700"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00" w:lineRule="exact"/>
              <w:rPr>
                <w:rFonts w:asciiTheme="minorEastAsia" w:eastAsiaTheme="minorEastAsia" w:hAnsiTheme="minorEastAsia" w:cs="仿宋"/>
                <w:color w:val="000000" w:themeColor="text1"/>
                <w:sz w:val="24"/>
              </w:rPr>
            </w:pPr>
            <w:r w:rsidRPr="00012288">
              <w:rPr>
                <w:rFonts w:asciiTheme="minorEastAsia" w:eastAsiaTheme="minorEastAsia" w:hAnsiTheme="minorEastAsia" w:cs="仿宋" w:hint="eastAsia"/>
                <w:color w:val="000000" w:themeColor="text1"/>
                <w:kern w:val="0"/>
                <w:sz w:val="24"/>
              </w:rPr>
              <w:t>售后服务及质保</w:t>
            </w:r>
          </w:p>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(20分)</w:t>
            </w:r>
          </w:p>
        </w:tc>
        <w:tc>
          <w:tcPr>
            <w:tcW w:w="6491" w:type="dxa"/>
            <w:gridSpan w:val="2"/>
            <w:vAlign w:val="center"/>
          </w:tcPr>
          <w:p w:rsidR="00012288" w:rsidRPr="00012288" w:rsidRDefault="00012288" w:rsidP="00012288">
            <w:pPr>
              <w:widowControl/>
              <w:numPr>
                <w:ilvl w:val="0"/>
                <w:numId w:val="25"/>
              </w:numPr>
              <w:adjustRightInd w:val="0"/>
              <w:snapToGrid w:val="0"/>
              <w:spacing w:after="200" w:line="400" w:lineRule="exact"/>
              <w:jc w:val="left"/>
              <w:rPr>
                <w:rFonts w:asciiTheme="minorEastAsia" w:eastAsiaTheme="minorEastAsia" w:hAnsiTheme="minorEastAsia" w:cs="仿宋"/>
                <w:color w:val="000000" w:themeColor="text1"/>
                <w:sz w:val="24"/>
              </w:rPr>
            </w:pPr>
            <w:r w:rsidRPr="00012288">
              <w:rPr>
                <w:rFonts w:asciiTheme="minorEastAsia" w:eastAsiaTheme="minorEastAsia" w:hAnsiTheme="minorEastAsia" w:cs="仿宋" w:hint="eastAsia"/>
                <w:color w:val="000000" w:themeColor="text1"/>
                <w:kern w:val="0"/>
                <w:sz w:val="24"/>
              </w:rPr>
              <w:t>UPS电源设备提供厂家售后服务承诺函并满足招标文件功能要求：UPS主机具有本地联网功能，实现远程上网设备或手机端APP状态故障查询功能；满足此项得3分，不满足，此项为0分。以出具生产厂家加盖公章的证明文件为准。                                          2、UPS主机具有二次下电或可编程下电功能，市电故障时优</w:t>
            </w:r>
            <w:r w:rsidRPr="00012288">
              <w:rPr>
                <w:rFonts w:asciiTheme="minorEastAsia" w:eastAsiaTheme="minorEastAsia" w:hAnsiTheme="minorEastAsia" w:cs="仿宋" w:hint="eastAsia"/>
                <w:color w:val="000000" w:themeColor="text1"/>
                <w:kern w:val="0"/>
                <w:sz w:val="24"/>
              </w:rPr>
              <w:lastRenderedPageBreak/>
              <w:t>先保护重要设备安全用电；满足此项得3分。以出具生产厂家加盖公章的证明文件为准。                                                         3、UPS主机应有隔离变压器，UPS和设备端电气完全绝缘，也使该回路隔离，可抑制高频杂波传入被保护设备，避免精密设备</w:t>
            </w:r>
            <w:proofErr w:type="gramStart"/>
            <w:r w:rsidRPr="00012288">
              <w:rPr>
                <w:rFonts w:asciiTheme="minorEastAsia" w:eastAsiaTheme="minorEastAsia" w:hAnsiTheme="minorEastAsia" w:cs="仿宋" w:hint="eastAsia"/>
                <w:color w:val="000000" w:themeColor="text1"/>
                <w:kern w:val="0"/>
                <w:sz w:val="24"/>
              </w:rPr>
              <w:t>因为零地电压</w:t>
            </w:r>
            <w:proofErr w:type="gramEnd"/>
            <w:r w:rsidRPr="00012288">
              <w:rPr>
                <w:rFonts w:asciiTheme="minorEastAsia" w:eastAsiaTheme="minorEastAsia" w:hAnsiTheme="minorEastAsia" w:cs="仿宋" w:hint="eastAsia"/>
                <w:color w:val="000000" w:themeColor="text1"/>
                <w:kern w:val="0"/>
                <w:sz w:val="24"/>
              </w:rPr>
              <w:t>过高无法运行，同时也保障管理者人身安全。满足此项得3分。以出具生产厂家加盖公章的证明文件为准。                                                                      4、UPS主机应配备ABM电池管理系统，完善的电池在线检测软件具有可编程定时“自诊断”测试电池容量和自动计算电池的实时后备供电时间的调控功能。根据UPS的实际负载量自动调整它的“电池电压过低”自动关机电压值，可防止在小电流放电时，电池被深度放电的事故发生。满足此项得3分。以出具生产厂家加盖公章的证明文件为准。                                                                                                                  5、本地化服务，投标人在业主指定施工地有售后服务商（需提供营业执照副本）的得8分。</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862"/>
          <w:jc w:val="center"/>
        </w:trPr>
        <w:tc>
          <w:tcPr>
            <w:tcW w:w="700"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lastRenderedPageBreak/>
              <w:t>C</w:t>
            </w:r>
          </w:p>
        </w:tc>
        <w:tc>
          <w:tcPr>
            <w:tcW w:w="633" w:type="dxa"/>
            <w:vMerge w:val="restart"/>
            <w:vAlign w:val="center"/>
          </w:tcPr>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技术</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部分</w:t>
            </w:r>
          </w:p>
          <w:p w:rsidR="00012288" w:rsidRPr="00012288" w:rsidRDefault="00012288" w:rsidP="00771CD3">
            <w:pPr>
              <w:spacing w:line="44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sz w:val="24"/>
              </w:rPr>
              <w:t>35分</w:t>
            </w:r>
          </w:p>
        </w:tc>
        <w:tc>
          <w:tcPr>
            <w:tcW w:w="1640" w:type="dxa"/>
            <w:vAlign w:val="center"/>
          </w:tcPr>
          <w:p w:rsidR="00012288" w:rsidRPr="00012288" w:rsidRDefault="00012288" w:rsidP="00771CD3">
            <w:pPr>
              <w:spacing w:line="400" w:lineRule="exact"/>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技术要求响应情况（20分）</w:t>
            </w:r>
          </w:p>
        </w:tc>
        <w:tc>
          <w:tcPr>
            <w:tcW w:w="6491" w:type="dxa"/>
            <w:gridSpan w:val="2"/>
            <w:vAlign w:val="center"/>
          </w:tcPr>
          <w:p w:rsidR="00012288" w:rsidRPr="00012288" w:rsidRDefault="00012288" w:rsidP="00771CD3">
            <w:pP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投标人所投产品对照招标文件中技术指标参数，完全满足的得20分，单项不满足的扣3分，本项分值20分扣完为止。</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36"/>
          <w:jc w:val="center"/>
        </w:trPr>
        <w:tc>
          <w:tcPr>
            <w:tcW w:w="700" w:type="dxa"/>
            <w:vMerge/>
            <w:vAlign w:val="center"/>
          </w:tcPr>
          <w:p w:rsidR="00012288" w:rsidRPr="00012288" w:rsidRDefault="00012288" w:rsidP="00771CD3">
            <w:pPr>
              <w:spacing w:line="440" w:lineRule="exact"/>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tcBorders>
              <w:bottom w:val="nil"/>
            </w:tcBorders>
            <w:vAlign w:val="center"/>
          </w:tcPr>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供货及安装服务（8分）</w:t>
            </w:r>
          </w:p>
        </w:tc>
        <w:tc>
          <w:tcPr>
            <w:tcW w:w="6491" w:type="dxa"/>
            <w:gridSpan w:val="2"/>
            <w:tcBorders>
              <w:bottom w:val="nil"/>
              <w:right w:val="single" w:sz="4" w:space="0" w:color="auto"/>
            </w:tcBorders>
            <w:vAlign w:val="center"/>
          </w:tcPr>
          <w:p w:rsidR="00012288" w:rsidRPr="00012288" w:rsidRDefault="00012288" w:rsidP="00771CD3">
            <w:pPr>
              <w:pStyle w:val="Default"/>
              <w:spacing w:line="276" w:lineRule="auto"/>
              <w:rPr>
                <w:rFonts w:asciiTheme="minorEastAsia" w:eastAsiaTheme="minorEastAsia" w:hAnsiTheme="minorEastAsia" w:cs="仿宋"/>
                <w:color w:val="000000" w:themeColor="text1"/>
              </w:rPr>
            </w:pPr>
            <w:r w:rsidRPr="00012288">
              <w:rPr>
                <w:rFonts w:asciiTheme="minorEastAsia" w:eastAsiaTheme="minorEastAsia" w:hAnsiTheme="minorEastAsia" w:cs="仿宋" w:hint="eastAsia"/>
                <w:color w:val="000000" w:themeColor="text1"/>
              </w:rPr>
              <w:t>1、根据投标供应商的供货技术方案情况打分（综合对比分为三挡打分，一档4分，二挡2分,三档1分）。</w:t>
            </w:r>
          </w:p>
          <w:p w:rsidR="00012288" w:rsidRPr="00012288" w:rsidRDefault="00012288" w:rsidP="00771CD3">
            <w:pPr>
              <w:pStyle w:val="Default"/>
              <w:spacing w:line="276" w:lineRule="auto"/>
              <w:rPr>
                <w:rFonts w:asciiTheme="minorEastAsia" w:eastAsiaTheme="minorEastAsia" w:hAnsiTheme="minorEastAsia" w:cs="仿宋"/>
                <w:color w:val="000000" w:themeColor="text1"/>
              </w:rPr>
            </w:pPr>
            <w:r w:rsidRPr="00012288">
              <w:rPr>
                <w:rFonts w:asciiTheme="minorEastAsia" w:eastAsiaTheme="minorEastAsia" w:hAnsiTheme="minorEastAsia" w:cs="仿宋" w:hint="eastAsia"/>
                <w:color w:val="000000" w:themeColor="text1"/>
              </w:rPr>
              <w:t>2、根据投标供应商的安装技术方案编制情况打分（综合对比分为三挡打分，一档4分，二挡2分,三档1分）</w:t>
            </w:r>
            <w:r w:rsidRPr="00012288">
              <w:rPr>
                <w:rFonts w:asciiTheme="minorEastAsia" w:eastAsiaTheme="minorEastAsia" w:hAnsiTheme="minorEastAsia" w:cs="仿宋" w:hint="eastAsia"/>
              </w:rPr>
              <w:t>。</w:t>
            </w:r>
          </w:p>
        </w:tc>
      </w:tr>
      <w:tr w:rsidR="00012288" w:rsidTr="00771CD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783"/>
          <w:jc w:val="center"/>
        </w:trPr>
        <w:tc>
          <w:tcPr>
            <w:tcW w:w="700" w:type="dxa"/>
            <w:vMerge/>
            <w:vAlign w:val="center"/>
          </w:tcPr>
          <w:p w:rsidR="00012288" w:rsidRPr="00012288" w:rsidRDefault="00012288" w:rsidP="00771CD3">
            <w:pPr>
              <w:spacing w:line="440" w:lineRule="exact"/>
              <w:rPr>
                <w:rFonts w:asciiTheme="minorEastAsia" w:eastAsiaTheme="minorEastAsia" w:hAnsiTheme="minorEastAsia" w:cs="仿宋"/>
                <w:sz w:val="24"/>
              </w:rPr>
            </w:pPr>
          </w:p>
        </w:tc>
        <w:tc>
          <w:tcPr>
            <w:tcW w:w="633" w:type="dxa"/>
            <w:vMerge/>
            <w:vAlign w:val="center"/>
          </w:tcPr>
          <w:p w:rsidR="00012288" w:rsidRPr="00012288" w:rsidRDefault="00012288" w:rsidP="00771CD3">
            <w:pPr>
              <w:spacing w:line="440" w:lineRule="exact"/>
              <w:jc w:val="center"/>
              <w:rPr>
                <w:rFonts w:asciiTheme="minorEastAsia" w:eastAsiaTheme="minorEastAsia" w:hAnsiTheme="minorEastAsia" w:cs="仿宋"/>
                <w:sz w:val="24"/>
              </w:rPr>
            </w:pPr>
          </w:p>
        </w:tc>
        <w:tc>
          <w:tcPr>
            <w:tcW w:w="1640" w:type="dxa"/>
            <w:vAlign w:val="center"/>
          </w:tcPr>
          <w:p w:rsidR="00012288" w:rsidRPr="00012288" w:rsidRDefault="00012288" w:rsidP="00771CD3">
            <w:pPr>
              <w:spacing w:line="400" w:lineRule="exact"/>
              <w:jc w:val="center"/>
              <w:rPr>
                <w:rFonts w:asciiTheme="minorEastAsia" w:eastAsiaTheme="minorEastAsia" w:hAnsiTheme="minorEastAsia" w:cs="仿宋"/>
                <w:sz w:val="24"/>
              </w:rPr>
            </w:pPr>
            <w:r w:rsidRPr="00012288">
              <w:rPr>
                <w:rFonts w:asciiTheme="minorEastAsia" w:eastAsiaTheme="minorEastAsia" w:hAnsiTheme="minorEastAsia" w:cs="仿宋" w:hint="eastAsia"/>
                <w:color w:val="000000" w:themeColor="text1"/>
                <w:kern w:val="0"/>
                <w:sz w:val="24"/>
              </w:rPr>
              <w:t>售后服务（7分）</w:t>
            </w:r>
          </w:p>
        </w:tc>
        <w:tc>
          <w:tcPr>
            <w:tcW w:w="6491" w:type="dxa"/>
            <w:gridSpan w:val="2"/>
            <w:vAlign w:val="center"/>
          </w:tcPr>
          <w:p w:rsidR="00012288" w:rsidRPr="00012288" w:rsidRDefault="00012288" w:rsidP="00012288">
            <w:pPr>
              <w:pStyle w:val="Default"/>
              <w:numPr>
                <w:ilvl w:val="0"/>
                <w:numId w:val="26"/>
              </w:numPr>
              <w:spacing w:line="360" w:lineRule="auto"/>
              <w:rPr>
                <w:rFonts w:asciiTheme="minorEastAsia" w:eastAsiaTheme="minorEastAsia" w:hAnsiTheme="minorEastAsia" w:cs="仿宋"/>
              </w:rPr>
            </w:pPr>
            <w:r w:rsidRPr="00012288">
              <w:rPr>
                <w:rFonts w:asciiTheme="minorEastAsia" w:eastAsiaTheme="minorEastAsia" w:hAnsiTheme="minorEastAsia" w:cs="仿宋" w:hint="eastAsia"/>
              </w:rPr>
              <w:t>提供完善的售后服务方案(</w:t>
            </w:r>
            <w:r w:rsidRPr="00012288">
              <w:rPr>
                <w:rFonts w:asciiTheme="minorEastAsia" w:eastAsiaTheme="minorEastAsia" w:hAnsiTheme="minorEastAsia" w:cs="仿宋" w:hint="eastAsia"/>
                <w:color w:val="000000" w:themeColor="text1"/>
              </w:rPr>
              <w:t>综合对比分为三挡打分，一档4分，二挡2分,三档1分</w:t>
            </w:r>
            <w:r w:rsidRPr="00012288">
              <w:rPr>
                <w:rFonts w:asciiTheme="minorEastAsia" w:eastAsiaTheme="minorEastAsia" w:hAnsiTheme="minorEastAsia" w:cs="仿宋" w:hint="eastAsia"/>
                <w:color w:val="auto"/>
              </w:rPr>
              <w:t>）</w:t>
            </w:r>
            <w:r w:rsidRPr="00012288">
              <w:rPr>
                <w:rFonts w:asciiTheme="minorEastAsia" w:eastAsiaTheme="minorEastAsia" w:hAnsiTheme="minorEastAsia" w:cs="仿宋" w:hint="eastAsia"/>
              </w:rPr>
              <w:t>；</w:t>
            </w:r>
          </w:p>
          <w:p w:rsidR="00012288" w:rsidRPr="00012288" w:rsidRDefault="00012288" w:rsidP="00771CD3">
            <w:pPr>
              <w:pStyle w:val="Default"/>
              <w:spacing w:line="360" w:lineRule="auto"/>
              <w:rPr>
                <w:rFonts w:asciiTheme="minorEastAsia" w:eastAsiaTheme="minorEastAsia" w:hAnsiTheme="minorEastAsia" w:cs="仿宋"/>
              </w:rPr>
            </w:pPr>
            <w:r w:rsidRPr="00012288">
              <w:rPr>
                <w:rFonts w:asciiTheme="minorEastAsia" w:eastAsiaTheme="minorEastAsia" w:hAnsiTheme="minorEastAsia" w:cs="仿宋" w:hint="eastAsia"/>
              </w:rPr>
              <w:t>2.提供完善的培训计划(</w:t>
            </w:r>
            <w:r w:rsidRPr="00012288">
              <w:rPr>
                <w:rFonts w:asciiTheme="minorEastAsia" w:eastAsiaTheme="minorEastAsia" w:hAnsiTheme="minorEastAsia" w:cs="仿宋" w:hint="eastAsia"/>
                <w:color w:val="auto"/>
              </w:rPr>
              <w:t>综合对比分为二挡打分，一档3分，二挡1分）</w:t>
            </w:r>
            <w:r w:rsidRPr="00012288">
              <w:rPr>
                <w:rFonts w:asciiTheme="minorEastAsia" w:eastAsiaTheme="minorEastAsia" w:hAnsiTheme="minorEastAsia" w:cs="仿宋" w:hint="eastAsia"/>
              </w:rPr>
              <w:t>。</w:t>
            </w:r>
          </w:p>
        </w:tc>
      </w:tr>
    </w:tbl>
    <w:p w:rsidR="00042A65" w:rsidRPr="00012288" w:rsidRDefault="00042A65" w:rsidP="008A76BB">
      <w:pPr>
        <w:spacing w:line="360" w:lineRule="auto"/>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4E6D6C" w:rsidRDefault="00633E55" w:rsidP="001211AF">
            <w:pPr>
              <w:jc w:val="center"/>
              <w:rPr>
                <w:rFonts w:ascii="宋体" w:hAnsi="宋体"/>
                <w:sz w:val="24"/>
                <w:lang w:val="en-GB"/>
              </w:rPr>
            </w:pPr>
            <w:r w:rsidRPr="004E6D6C">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7D7567" w:rsidRDefault="007D7567"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4E6D6C" w:rsidRDefault="004E6D6C" w:rsidP="004E6D6C">
      <w:pPr>
        <w:autoSpaceDE w:val="0"/>
        <w:autoSpaceDN w:val="0"/>
        <w:spacing w:line="360" w:lineRule="auto"/>
        <w:ind w:firstLineChars="200" w:firstLine="480"/>
        <w:rPr>
          <w:rFonts w:ascii="宋体"/>
          <w:lang w:val="zh-CN"/>
        </w:rPr>
      </w:pPr>
      <w:r>
        <w:rPr>
          <w:rFonts w:ascii="宋体" w:cs="宋体" w:hint="eastAsia"/>
          <w:sz w:val="24"/>
          <w:lang w:val="zh-CN"/>
        </w:rPr>
        <w:t>合同编号：</w:t>
      </w:r>
    </w:p>
    <w:p w:rsidR="004E6D6C" w:rsidRDefault="004E6D6C" w:rsidP="004E6D6C">
      <w:pPr>
        <w:autoSpaceDE w:val="0"/>
        <w:autoSpaceDN w:val="0"/>
        <w:spacing w:line="360" w:lineRule="auto"/>
        <w:ind w:firstLineChars="200" w:firstLine="480"/>
        <w:rPr>
          <w:rFonts w:ascii="宋体"/>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4E6D6C" w:rsidTr="00771CD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ind w:firstLine="120"/>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ind w:left="120" w:hanging="120"/>
              <w:jc w:val="center"/>
            </w:pPr>
            <w:r>
              <w:rPr>
                <w:rFonts w:ascii="宋体" w:cs="宋体" w:hint="eastAsia"/>
                <w:sz w:val="24"/>
                <w:lang w:val="zh-CN"/>
              </w:rPr>
              <w:t>交货期或工期</w:t>
            </w:r>
          </w:p>
        </w:tc>
      </w:tr>
      <w:tr w:rsidR="004E6D6C" w:rsidTr="00771CD3">
        <w:trPr>
          <w:trHeight w:val="430"/>
        </w:trPr>
        <w:tc>
          <w:tcPr>
            <w:tcW w:w="49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512"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2456"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25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r>
      <w:tr w:rsidR="004E6D6C" w:rsidTr="00771CD3">
        <w:trPr>
          <w:trHeight w:val="446"/>
        </w:trPr>
        <w:tc>
          <w:tcPr>
            <w:tcW w:w="49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512"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2456"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323"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c>
          <w:tcPr>
            <w:tcW w:w="1251" w:type="dxa"/>
            <w:tcBorders>
              <w:top w:val="single" w:sz="6" w:space="0" w:color="auto"/>
              <w:left w:val="single" w:sz="6" w:space="0" w:color="auto"/>
              <w:bottom w:val="single" w:sz="6" w:space="0" w:color="auto"/>
              <w:right w:val="single" w:sz="6" w:space="0" w:color="auto"/>
            </w:tcBorders>
          </w:tcPr>
          <w:p w:rsidR="004E6D6C" w:rsidRDefault="004E6D6C" w:rsidP="00771CD3">
            <w:pPr>
              <w:autoSpaceDE w:val="0"/>
              <w:autoSpaceDN w:val="0"/>
              <w:spacing w:line="360" w:lineRule="auto"/>
            </w:pPr>
          </w:p>
        </w:tc>
      </w:tr>
      <w:tr w:rsidR="004E6D6C" w:rsidTr="00771CD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E6D6C" w:rsidRDefault="004E6D6C" w:rsidP="00771CD3">
            <w:pPr>
              <w:autoSpaceDE w:val="0"/>
              <w:autoSpaceDN w:val="0"/>
              <w:spacing w:line="360" w:lineRule="auto"/>
              <w:jc w:val="center"/>
              <w:rPr>
                <w:rFonts w:ascii="宋体"/>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三、设备质量要求及供方对质量负责的条件和期限</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4E6D6C" w:rsidRDefault="004E6D6C" w:rsidP="004E6D6C">
      <w:pPr>
        <w:autoSpaceDE w:val="0"/>
        <w:autoSpaceDN w:val="0"/>
        <w:spacing w:line="360" w:lineRule="auto"/>
        <w:ind w:firstLine="570"/>
        <w:rPr>
          <w:rFonts w:ascii="宋体"/>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4E6D6C" w:rsidRDefault="004E6D6C" w:rsidP="004E6D6C">
      <w:pPr>
        <w:autoSpaceDE w:val="0"/>
        <w:autoSpaceDN w:val="0"/>
        <w:spacing w:line="360" w:lineRule="auto"/>
        <w:ind w:firstLine="570"/>
        <w:rPr>
          <w:rFonts w:ascii="宋体"/>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五、货物标志、包装、运输：按招标文件办理。供方将货物直接运至规定的地点，运费自理。</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七、货物验收：验收标准按招标文件规定执行。需方有权对供方所交货物抽样做试运行实验、实验室检查。</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lastRenderedPageBreak/>
        <w:t>八、售后服务：按招标文件及投标文件相应条款执行。</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九、结算方式：</w:t>
      </w:r>
      <w:r>
        <w:rPr>
          <w:rFonts w:ascii="宋体" w:cs="宋体"/>
          <w:sz w:val="24"/>
          <w:lang w:val="zh-CN"/>
        </w:rPr>
        <w:t xml:space="preserve"> </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十、法律责任</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4E6D6C" w:rsidRDefault="004E6D6C" w:rsidP="004E6D6C">
      <w:pPr>
        <w:autoSpaceDE w:val="0"/>
        <w:autoSpaceDN w:val="0"/>
        <w:spacing w:line="360" w:lineRule="auto"/>
        <w:rPr>
          <w:rFonts w:ascii="宋体"/>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4E6D6C" w:rsidRDefault="004E6D6C" w:rsidP="004E6D6C">
      <w:pPr>
        <w:autoSpaceDE w:val="0"/>
        <w:autoSpaceDN w:val="0"/>
        <w:spacing w:line="360" w:lineRule="auto"/>
        <w:ind w:firstLine="360"/>
        <w:rPr>
          <w:rFonts w:ascii="宋体"/>
          <w:lang w:val="zh-CN"/>
        </w:rPr>
      </w:pPr>
      <w:r>
        <w:rPr>
          <w:rFonts w:ascii="宋体" w:cs="宋体" w:hint="eastAsia"/>
          <w:sz w:val="24"/>
          <w:lang w:val="zh-CN"/>
        </w:rPr>
        <w:t>十二、合同生效及其它：本合同经双方法定代表人或委托代理人签字并加盖公章后生效。</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4E6D6C" w:rsidRDefault="004E6D6C" w:rsidP="004E6D6C">
      <w:pPr>
        <w:autoSpaceDE w:val="0"/>
        <w:autoSpaceDN w:val="0"/>
        <w:spacing w:line="360" w:lineRule="auto"/>
        <w:ind w:firstLine="480"/>
        <w:rPr>
          <w:rFonts w:ascii="宋体"/>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4E6D6C" w:rsidRDefault="004E6D6C" w:rsidP="004E6D6C">
      <w:pPr>
        <w:autoSpaceDE w:val="0"/>
        <w:autoSpaceDN w:val="0"/>
        <w:spacing w:line="360" w:lineRule="auto"/>
        <w:ind w:firstLine="480"/>
        <w:rPr>
          <w:rFonts w:ascii="宋体"/>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4E6D6C" w:rsidRDefault="004E6D6C" w:rsidP="004E6D6C">
      <w:pPr>
        <w:autoSpaceDE w:val="0"/>
        <w:autoSpaceDN w:val="0"/>
        <w:spacing w:line="360" w:lineRule="auto"/>
        <w:ind w:firstLine="480"/>
        <w:rPr>
          <w:rFonts w:asciiTheme="majorEastAsia" w:eastAsiaTheme="majorEastAsia" w:hAnsiTheme="majorEastAsia"/>
          <w:b/>
          <w:sz w:val="36"/>
          <w:szCs w:val="36"/>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F10E0" w:rsidRPr="004E6D6C" w:rsidRDefault="00AF10E0" w:rsidP="00AF10E0">
      <w:pPr>
        <w:pStyle w:val="a7"/>
        <w:spacing w:line="360" w:lineRule="auto"/>
        <w:contextualSpacing/>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903CC" w:rsidRDefault="003903CC"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3903CC" w:rsidRDefault="009F3028" w:rsidP="004E6D6C">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4E6D6C">
      <w:pPr>
        <w:pStyle w:val="a0"/>
        <w:ind w:firstLineChars="0" w:firstLine="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903CC" w:rsidRPr="004E6D6C" w:rsidRDefault="00633E55" w:rsidP="004E6D6C">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2"/>
      <w:bookmarkEnd w:id="3"/>
      <w:bookmarkEnd w:id="4"/>
    </w:p>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E8005C"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E804ED">
      <w:pPr>
        <w:spacing w:before="50" w:afterLines="50" w:line="360" w:lineRule="auto"/>
        <w:contextualSpacing/>
        <w:jc w:val="left"/>
        <w:rPr>
          <w:rFonts w:ascii="宋体" w:hAnsi="宋体"/>
          <w:color w:val="000000"/>
          <w:sz w:val="24"/>
        </w:rPr>
      </w:pPr>
    </w:p>
    <w:p w:rsidR="00633E55" w:rsidRDefault="00633E55" w:rsidP="00E804E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2B1E3F" w:rsidRDefault="00633E55" w:rsidP="00633E55">
      <w:pPr>
        <w:adjustRightInd w:val="0"/>
        <w:spacing w:line="360" w:lineRule="auto"/>
        <w:contextualSpacing/>
        <w:rPr>
          <w:rFonts w:ascii="宋体" w:hAnsi="宋体"/>
          <w:b/>
          <w:snapToGrid w:val="0"/>
          <w:color w:val="FF0000"/>
          <w:kern w:val="0"/>
          <w:sz w:val="24"/>
        </w:rPr>
      </w:pPr>
      <w:r w:rsidRPr="000A6A34">
        <w:rPr>
          <w:rFonts w:ascii="宋体" w:hAnsi="宋体" w:hint="eastAsia"/>
          <w:snapToGrid w:val="0"/>
          <w:kern w:val="0"/>
          <w:sz w:val="24"/>
        </w:rPr>
        <w:t>致：</w:t>
      </w:r>
      <w:r w:rsidR="00B2383D" w:rsidRPr="004E6D6C">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3750FE"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4E6D6C">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4E6D6C" w:rsidRDefault="00122A77" w:rsidP="00416424">
      <w:pPr>
        <w:pStyle w:val="a0"/>
        <w:spacing w:line="360" w:lineRule="auto"/>
        <w:ind w:firstLineChars="300" w:firstLine="720"/>
        <w:rPr>
          <w:rFonts w:ascii="宋体" w:eastAsia="宋体" w:hAnsi="宋体"/>
          <w:bCs/>
          <w:kern w:val="12"/>
          <w:sz w:val="24"/>
        </w:rPr>
      </w:pPr>
      <w:r w:rsidRPr="004E6D6C">
        <w:rPr>
          <w:rFonts w:ascii="宋体" w:eastAsia="宋体" w:hAnsi="宋体" w:hint="eastAsia"/>
          <w:bCs/>
          <w:kern w:val="12"/>
          <w:sz w:val="24"/>
        </w:rPr>
        <w:t>2.</w:t>
      </w:r>
      <w:r w:rsidR="00416424" w:rsidRPr="004E6D6C">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416424" w:rsidRDefault="00416424" w:rsidP="00416424">
      <w:pPr>
        <w:spacing w:line="360" w:lineRule="auto"/>
        <w:rPr>
          <w:rFonts w:ascii="宋体" w:hAnsi="宋体"/>
          <w:bCs/>
          <w:color w:val="000000"/>
          <w:kern w:val="12"/>
          <w:sz w:val="24"/>
        </w:rPr>
      </w:pPr>
    </w:p>
    <w:p w:rsidR="00633E55" w:rsidRPr="004E6D6C" w:rsidRDefault="00935AE0" w:rsidP="003E2F0E">
      <w:pPr>
        <w:spacing w:line="360" w:lineRule="auto"/>
        <w:rPr>
          <w:rFonts w:ascii="宋体" w:hAnsi="宋体"/>
          <w:bCs/>
          <w:kern w:val="12"/>
          <w:sz w:val="24"/>
        </w:rPr>
      </w:pPr>
      <w:r w:rsidRPr="004E6D6C">
        <w:rPr>
          <w:rFonts w:ascii="宋体" w:hAnsi="宋体" w:hint="eastAsia"/>
          <w:bCs/>
          <w:kern w:val="12"/>
          <w:sz w:val="24"/>
        </w:rPr>
        <w:t>备</w:t>
      </w:r>
      <w:r w:rsidR="00AF7467" w:rsidRPr="004E6D6C">
        <w:rPr>
          <w:rFonts w:ascii="宋体" w:hAnsi="宋体" w:hint="eastAsia"/>
          <w:bCs/>
          <w:kern w:val="12"/>
          <w:sz w:val="24"/>
        </w:rPr>
        <w:t>注</w:t>
      </w:r>
      <w:r w:rsidR="00416424" w:rsidRPr="004E6D6C">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E804E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E804ED">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E804ED">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E804ED">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E804ED">
      <w:pPr>
        <w:spacing w:beforeLines="50" w:afterLines="50" w:line="360" w:lineRule="auto"/>
        <w:ind w:firstLineChars="236" w:firstLine="566"/>
        <w:rPr>
          <w:rFonts w:ascii="宋体" w:hAnsi="宋体" w:cs="宋体"/>
          <w:sz w:val="24"/>
          <w:lang w:val="zh-CN"/>
        </w:rPr>
      </w:pPr>
    </w:p>
    <w:p w:rsidR="00633E55" w:rsidRDefault="00633E55" w:rsidP="00E804E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E804ED">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E804ED">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E804ED">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E804E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E804E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E804ED">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E804E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E804E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E804ED">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9C" w:rsidRDefault="00FD729C" w:rsidP="00717EC2">
      <w:r>
        <w:separator/>
      </w:r>
    </w:p>
  </w:endnote>
  <w:endnote w:type="continuationSeparator" w:id="0">
    <w:p w:rsidR="00FD729C" w:rsidRDefault="00FD729C"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E8005C">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122A77" w:rsidRDefault="00E8005C">
                <w:pPr>
                  <w:pStyle w:val="a9"/>
                  <w:rPr>
                    <w:rStyle w:val="ae"/>
                  </w:rPr>
                </w:pPr>
                <w:r>
                  <w:fldChar w:fldCharType="begin"/>
                </w:r>
                <w:r w:rsidR="00122A77">
                  <w:rPr>
                    <w:rStyle w:val="ae"/>
                  </w:rPr>
                  <w:instrText xml:space="preserve">PAGE  </w:instrText>
                </w:r>
                <w:r>
                  <w:fldChar w:fldCharType="separate"/>
                </w:r>
                <w:r w:rsidR="00012288">
                  <w:rPr>
                    <w:rStyle w:val="ae"/>
                    <w:noProof/>
                  </w:rPr>
                  <w:t>11</w:t>
                </w:r>
                <w:r>
                  <w:fldChar w:fldCharType="end"/>
                </w:r>
              </w:p>
            </w:txbxContent>
          </v:textbox>
          <w10:wrap anchorx="margin"/>
        </v:rect>
      </w:pict>
    </w:r>
  </w:p>
  <w:p w:rsidR="00122A77" w:rsidRDefault="00122A77">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E8005C">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122A77" w:rsidRDefault="00E8005C">
                <w:pPr>
                  <w:snapToGrid w:val="0"/>
                  <w:rPr>
                    <w:sz w:val="18"/>
                  </w:rPr>
                </w:pPr>
                <w:r>
                  <w:rPr>
                    <w:rFonts w:hint="eastAsia"/>
                    <w:sz w:val="18"/>
                  </w:rPr>
                  <w:fldChar w:fldCharType="begin"/>
                </w:r>
                <w:r w:rsidR="00122A77">
                  <w:rPr>
                    <w:rFonts w:hint="eastAsia"/>
                    <w:sz w:val="18"/>
                  </w:rPr>
                  <w:instrText xml:space="preserve"> PAGE  \* MERGEFORMAT </w:instrText>
                </w:r>
                <w:r>
                  <w:rPr>
                    <w:rFonts w:hint="eastAsia"/>
                    <w:sz w:val="18"/>
                  </w:rPr>
                  <w:fldChar w:fldCharType="separate"/>
                </w:r>
                <w:r w:rsidR="00122A77"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77" w:rsidRDefault="00E8005C">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122A77" w:rsidRDefault="00E8005C">
                <w:pPr>
                  <w:pStyle w:val="a9"/>
                </w:pPr>
                <w:fldSimple w:instr=" PAGE  \* MERGEFORMAT ">
                  <w:r w:rsidR="004E6D6C">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9C" w:rsidRDefault="00FD729C" w:rsidP="00717EC2">
      <w:r>
        <w:separator/>
      </w:r>
    </w:p>
  </w:footnote>
  <w:footnote w:type="continuationSeparator" w:id="0">
    <w:p w:rsidR="00FD729C" w:rsidRDefault="00FD729C"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29B45"/>
    <w:multiLevelType w:val="singleLevel"/>
    <w:tmpl w:val="99429B45"/>
    <w:lvl w:ilvl="0">
      <w:start w:val="1"/>
      <w:numFmt w:val="decimal"/>
      <w:suff w:val="nothing"/>
      <w:lvlText w:val="%1、"/>
      <w:lvlJc w:val="left"/>
    </w:lvl>
  </w:abstractNum>
  <w:abstractNum w:abstractNumId="1">
    <w:nsid w:val="A2BDF456"/>
    <w:multiLevelType w:val="singleLevel"/>
    <w:tmpl w:val="A2BDF456"/>
    <w:lvl w:ilvl="0">
      <w:start w:val="3"/>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D4CC9EB"/>
    <w:multiLevelType w:val="singleLevel"/>
    <w:tmpl w:val="5D4CC9EB"/>
    <w:lvl w:ilvl="0">
      <w:start w:val="1"/>
      <w:numFmt w:val="decimal"/>
      <w:suff w:val="nothing"/>
      <w:lvlText w:val="%1."/>
      <w:lvlJc w:val="left"/>
    </w:lvl>
  </w:abstractNum>
  <w:abstractNum w:abstractNumId="20">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1">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4"/>
  </w:num>
  <w:num w:numId="3">
    <w:abstractNumId w:val="8"/>
  </w:num>
  <w:num w:numId="4">
    <w:abstractNumId w:val="16"/>
  </w:num>
  <w:num w:numId="5">
    <w:abstractNumId w:val="6"/>
  </w:num>
  <w:num w:numId="6">
    <w:abstractNumId w:val="3"/>
  </w:num>
  <w:num w:numId="7">
    <w:abstractNumId w:val="5"/>
  </w:num>
  <w:num w:numId="8">
    <w:abstractNumId w:val="4"/>
  </w:num>
  <w:num w:numId="9">
    <w:abstractNumId w:val="2"/>
  </w:num>
  <w:num w:numId="10">
    <w:abstractNumId w:val="15"/>
  </w:num>
  <w:num w:numId="11">
    <w:abstractNumId w:val="13"/>
  </w:num>
  <w:num w:numId="12">
    <w:abstractNumId w:val="9"/>
  </w:num>
  <w:num w:numId="13">
    <w:abstractNumId w:val="10"/>
  </w:num>
  <w:num w:numId="14">
    <w:abstractNumId w:val="18"/>
  </w:num>
  <w:num w:numId="15">
    <w:abstractNumId w:val="17"/>
  </w:num>
  <w:num w:numId="16">
    <w:abstractNumId w:val="7"/>
  </w:num>
  <w:num w:numId="17">
    <w:abstractNumId w:val="25"/>
  </w:num>
  <w:num w:numId="18">
    <w:abstractNumId w:val="23"/>
  </w:num>
  <w:num w:numId="19">
    <w:abstractNumId w:val="12"/>
  </w:num>
  <w:num w:numId="20">
    <w:abstractNumId w:val="11"/>
  </w:num>
  <w:num w:numId="21">
    <w:abstractNumId w:val="22"/>
  </w:num>
  <w:num w:numId="22">
    <w:abstractNumId w:val="21"/>
  </w:num>
  <w:num w:numId="23">
    <w:abstractNumId w:val="24"/>
  </w:num>
  <w:num w:numId="24">
    <w:abstractNumId w:val="1"/>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2288"/>
    <w:rsid w:val="000205F9"/>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750FE"/>
    <w:rsid w:val="00380653"/>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D6F13"/>
    <w:rsid w:val="004D7CAE"/>
    <w:rsid w:val="004E0400"/>
    <w:rsid w:val="004E328B"/>
    <w:rsid w:val="004E462D"/>
    <w:rsid w:val="004E5DB6"/>
    <w:rsid w:val="004E6D6C"/>
    <w:rsid w:val="00511304"/>
    <w:rsid w:val="00513984"/>
    <w:rsid w:val="00514FDA"/>
    <w:rsid w:val="00524499"/>
    <w:rsid w:val="00524C8B"/>
    <w:rsid w:val="005270E9"/>
    <w:rsid w:val="00527B80"/>
    <w:rsid w:val="00560DF1"/>
    <w:rsid w:val="00565B2C"/>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B3D"/>
    <w:rsid w:val="007C1C66"/>
    <w:rsid w:val="007D5199"/>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7AC8"/>
    <w:rsid w:val="00906567"/>
    <w:rsid w:val="0091128C"/>
    <w:rsid w:val="0091656C"/>
    <w:rsid w:val="00920C65"/>
    <w:rsid w:val="00920E00"/>
    <w:rsid w:val="00925F20"/>
    <w:rsid w:val="00932BA8"/>
    <w:rsid w:val="00934B58"/>
    <w:rsid w:val="00935AE0"/>
    <w:rsid w:val="009566CF"/>
    <w:rsid w:val="009635D9"/>
    <w:rsid w:val="00970866"/>
    <w:rsid w:val="009879FC"/>
    <w:rsid w:val="0099480F"/>
    <w:rsid w:val="009A04D9"/>
    <w:rsid w:val="009B0622"/>
    <w:rsid w:val="009B4DE0"/>
    <w:rsid w:val="009C0815"/>
    <w:rsid w:val="009C1BB1"/>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C17C1"/>
    <w:rsid w:val="00AC2476"/>
    <w:rsid w:val="00AC2CEB"/>
    <w:rsid w:val="00AD00D9"/>
    <w:rsid w:val="00AE0836"/>
    <w:rsid w:val="00AE3B31"/>
    <w:rsid w:val="00AE7395"/>
    <w:rsid w:val="00AE778F"/>
    <w:rsid w:val="00AF10E0"/>
    <w:rsid w:val="00AF386A"/>
    <w:rsid w:val="00AF7467"/>
    <w:rsid w:val="00B01965"/>
    <w:rsid w:val="00B06326"/>
    <w:rsid w:val="00B06C0F"/>
    <w:rsid w:val="00B12D1F"/>
    <w:rsid w:val="00B21799"/>
    <w:rsid w:val="00B2383D"/>
    <w:rsid w:val="00B27AC8"/>
    <w:rsid w:val="00B4347F"/>
    <w:rsid w:val="00B5723B"/>
    <w:rsid w:val="00B579E2"/>
    <w:rsid w:val="00B6055D"/>
    <w:rsid w:val="00B65599"/>
    <w:rsid w:val="00B71904"/>
    <w:rsid w:val="00B74678"/>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BF2DF1"/>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B7637"/>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005C"/>
    <w:rsid w:val="00E804ED"/>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29C"/>
    <w:rsid w:val="00FD78B2"/>
    <w:rsid w:val="00FE1DCD"/>
    <w:rsid w:val="00FE2ED9"/>
    <w:rsid w:val="00FE423F"/>
    <w:rsid w:val="00FF7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4227A-D76A-40E2-BD8C-6DA1004F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69</Pages>
  <Words>6371</Words>
  <Characters>36321</Characters>
  <Application>Microsoft Office Word</Application>
  <DocSecurity>0</DocSecurity>
  <Lines>302</Lines>
  <Paragraphs>85</Paragraphs>
  <ScaleCrop>false</ScaleCrop>
  <Company>Microsoft</Company>
  <LinksUpToDate>false</LinksUpToDate>
  <CharactersWithSpaces>42607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欧邦工程管理有限公司:蔡书贞</cp:lastModifiedBy>
  <cp:revision>278</cp:revision>
  <cp:lastPrinted>2019-08-16T03:22:00Z</cp:lastPrinted>
  <dcterms:created xsi:type="dcterms:W3CDTF">2019-06-03T08:36:00Z</dcterms:created>
  <dcterms:modified xsi:type="dcterms:W3CDTF">2019-08-22T02:21:00Z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