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河南省禹州市职业中等专业学校采购新能源汽车实训设备项目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河南省禹州市职业中等专业学校采购新能源汽车实训设备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项目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320" w:firstLineChars="1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G2019162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31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65.5万元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3"/>
        <w:tblW w:w="960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3941"/>
        <w:gridCol w:w="1929"/>
        <w:gridCol w:w="31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0"/>
                <w:szCs w:val="30"/>
                <w:lang w:val="en-US" w:eastAsia="zh-CN"/>
              </w:rPr>
              <w:t>上海景格科技股份有限公司</w:t>
            </w:r>
          </w:p>
        </w:tc>
        <w:tc>
          <w:tcPr>
            <w:tcW w:w="1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642300.00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签订合同后30日内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河南尊源电子科技有限公司</w:t>
            </w:r>
          </w:p>
        </w:tc>
        <w:tc>
          <w:tcPr>
            <w:tcW w:w="1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firstLine="360" w:firstLineChars="150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649145.00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签订合同后30日内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郑州广之丰商贸有限公司</w:t>
            </w:r>
          </w:p>
        </w:tc>
        <w:tc>
          <w:tcPr>
            <w:tcW w:w="1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firstLine="360" w:firstLineChars="150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653005.00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签订合同后30日内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3"/>
        <w:tblW w:w="8260" w:type="dxa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0"/>
                <w:szCs w:val="30"/>
                <w:lang w:val="en-US" w:eastAsia="zh-CN"/>
              </w:rPr>
              <w:t>上海景格科技股份有限公司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河南尊源电子科技有限公司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郑州广之丰商贸有限公司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b w:val="0"/>
          <w:i w:val="0"/>
          <w:color w:val="auto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3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0"/>
                <w:szCs w:val="30"/>
                <w:lang w:val="en-US" w:eastAsia="zh-CN"/>
              </w:rPr>
              <w:t>上海景格科技股份有限公司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100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98.40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河南尊源电子科技有限公司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郑州广之丰商贸有限公司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74.58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上海景格科技股份有限公司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98.4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河南尊源电子科技有限公司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77.47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郑州广之丰商贸有限公司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74.58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/>
        </w:rPr>
        <w:t>上海景格科技股份有限公司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上海市嘉定区杭桂路 1211 弄 60 号（同济大学科技园）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代伟伟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021-52852059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宋体" w:hAnsi="宋体"/>
          <w:sz w:val="32"/>
          <w:szCs w:val="32"/>
          <w:lang w:val="en-US" w:eastAsia="zh-CN"/>
        </w:rPr>
        <w:t>642300.00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 xml:space="preserve">中标候选人（中标人）名称：河南尊源电子科技有限公司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（二）地址：郑州市中原区棉纺西路 6 号院 3 号楼 1 单元 26 层 2603 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（三）联系人：翟小广     联系方式：0371-56622992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（四）中标金额：649145.00元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中标候选人（中标人）名称：郑州广之丰商贸有限公司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（二）地址：郑州市金水区花园路 52 号中国（郑州）汽配件大世界市场 14 排南 1 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（三）联系人：李辉     联系方式：0371-88885955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（四）中标金额：653005.00元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2019年8月22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sectPr>
      <w:pgSz w:w="11906" w:h="16838"/>
      <w:pgMar w:top="1134" w:right="1066" w:bottom="1134" w:left="134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3945596"/>
    <w:rsid w:val="04671CFA"/>
    <w:rsid w:val="05540414"/>
    <w:rsid w:val="084D7982"/>
    <w:rsid w:val="090E1295"/>
    <w:rsid w:val="0CC365CC"/>
    <w:rsid w:val="0D9349B6"/>
    <w:rsid w:val="0E3D02A4"/>
    <w:rsid w:val="0F3C349D"/>
    <w:rsid w:val="110856A5"/>
    <w:rsid w:val="11365DD9"/>
    <w:rsid w:val="17941A50"/>
    <w:rsid w:val="17D926FA"/>
    <w:rsid w:val="1C411794"/>
    <w:rsid w:val="1F2255FF"/>
    <w:rsid w:val="241B0D7E"/>
    <w:rsid w:val="2726556D"/>
    <w:rsid w:val="27E979DF"/>
    <w:rsid w:val="2B632A9C"/>
    <w:rsid w:val="2C2048EF"/>
    <w:rsid w:val="2ED67925"/>
    <w:rsid w:val="2F4729AA"/>
    <w:rsid w:val="37010A7F"/>
    <w:rsid w:val="391B2C90"/>
    <w:rsid w:val="399B24AE"/>
    <w:rsid w:val="3B403C77"/>
    <w:rsid w:val="3DE177DD"/>
    <w:rsid w:val="42A668D7"/>
    <w:rsid w:val="43157E87"/>
    <w:rsid w:val="463B1FB6"/>
    <w:rsid w:val="48B2260A"/>
    <w:rsid w:val="4CEE4856"/>
    <w:rsid w:val="50A67D40"/>
    <w:rsid w:val="53D270CB"/>
    <w:rsid w:val="549433D5"/>
    <w:rsid w:val="54FD6E01"/>
    <w:rsid w:val="5530500D"/>
    <w:rsid w:val="58463D8D"/>
    <w:rsid w:val="58835CFD"/>
    <w:rsid w:val="593461A4"/>
    <w:rsid w:val="5A1C57AD"/>
    <w:rsid w:val="5D3E6B5A"/>
    <w:rsid w:val="5DA23E33"/>
    <w:rsid w:val="5DE74906"/>
    <w:rsid w:val="5FCF11E9"/>
    <w:rsid w:val="61B341FB"/>
    <w:rsid w:val="696571F2"/>
    <w:rsid w:val="72702DD6"/>
    <w:rsid w:val="7280777C"/>
    <w:rsid w:val="75F8518C"/>
    <w:rsid w:val="77885C7D"/>
    <w:rsid w:val="797803F6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b-jt"/>
    <w:basedOn w:val="4"/>
    <w:qFormat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2019-08-21T05:44:00Z</cp:lastPrinted>
  <dcterms:modified xsi:type="dcterms:W3CDTF">2019-08-22T07:18:12Z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