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1" w:firstLineChars="300"/>
        <w:rPr>
          <w:rFonts w:ascii="微软简隶书" w:eastAsia="微软简隶书"/>
          <w:color w:val="000000"/>
        </w:rPr>
      </w:pPr>
      <w:r>
        <w:rPr>
          <w:rFonts w:hint="eastAsia" w:ascii="微软雅黑" w:hAnsi="微软雅黑" w:eastAsia="微软雅黑" w:cs="微软雅黑"/>
          <w:b/>
          <w:bCs/>
          <w:sz w:val="36"/>
          <w:szCs w:val="36"/>
          <w:lang w:eastAsia="zh-CN"/>
        </w:rPr>
        <w:t>禹州市朱阁等乡镇7个敬老院项目监理</w:t>
      </w:r>
    </w:p>
    <w:p>
      <w:pPr>
        <w:jc w:val="center"/>
        <w:rPr>
          <w:rFonts w:ascii="黑体" w:hAnsi="黑体" w:eastAsia="黑体" w:cs="黑体"/>
          <w:bCs/>
          <w:color w:val="000000"/>
          <w:w w:val="90"/>
          <w:sz w:val="72"/>
          <w:szCs w:val="72"/>
        </w:rPr>
      </w:pPr>
    </w:p>
    <w:p>
      <w:pPr>
        <w:pStyle w:val="9"/>
      </w:pPr>
    </w:p>
    <w:p>
      <w:pPr>
        <w:pStyle w:val="9"/>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采购单位：禹州市民政局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190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仿宋" w:hAnsi="仿宋" w:eastAsia="仿宋" w:cs="仿宋"/>
          <w:color w:val="000000"/>
          <w:sz w:val="32"/>
          <w:szCs w:val="32"/>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Cs/>
          <w:color w:val="000000"/>
          <w:sz w:val="32"/>
          <w:szCs w:val="32"/>
          <w:shd w:val="clear" w:color="auto" w:fill="FFFFFF"/>
        </w:rPr>
        <w:t xml:space="preserve">   </w:t>
      </w:r>
      <w:r>
        <w:rPr>
          <w:rFonts w:hint="eastAsia" w:ascii="仿宋" w:hAnsi="仿宋" w:eastAsia="仿宋" w:cs="仿宋"/>
          <w:b/>
          <w:bCs/>
          <w:sz w:val="36"/>
          <w:szCs w:val="36"/>
          <w:lang w:eastAsia="zh-CN"/>
        </w:rPr>
        <w:t>禹州市朱阁等乡镇7个敬老院项目监理</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招标公告</w:t>
      </w:r>
    </w:p>
    <w:p>
      <w:pPr>
        <w:spacing w:line="600" w:lineRule="exact"/>
        <w:jc w:val="center"/>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禹州市政府采购中心受禹州市民政局的委托，就“禹州市朱阁等乡镇7个敬老院项目监理”进行公开招标，欢迎合格的投标人前来投标。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采购人：禹州市民政局</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项目名称：禹州市朱阁等乡镇7个敬老院项目监理</w:t>
      </w:r>
    </w:p>
    <w:p>
      <w:pPr>
        <w:widowControl/>
        <w:shd w:val="clear" w:color="auto" w:fill="FFFFFF"/>
        <w:spacing w:line="4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190</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乡镇7个敬老院项目监理</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20.67</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20.67</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numPr>
          <w:ilvl w:val="0"/>
          <w:numId w:val="5"/>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，投标商须具有独立法人资格及相应的经营范围；</w:t>
      </w:r>
    </w:p>
    <w:p>
      <w:pPr>
        <w:keepNext w:val="0"/>
        <w:keepLines w:val="0"/>
        <w:pageBreakBefore w:val="0"/>
        <w:widowControl/>
        <w:numPr>
          <w:ilvl w:val="0"/>
          <w:numId w:val="5"/>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投标商须具有行政主管部门颁发的工程监理房屋建筑乙级及以上资质；投标商拟派总监须具有房屋建筑工程专业注册监理工程师资格；</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http://ggzy.xuchang.gov.cn</w:t>
      </w:r>
      <w:r>
        <w:rPr>
          <w:rStyle w:val="27"/>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left="481"/>
        <w:jc w:val="left"/>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禹州市民政局</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禹州市钧台路2</w:t>
      </w:r>
      <w:r>
        <w:rPr>
          <w:rFonts w:hint="eastAsia" w:ascii="仿宋" w:hAnsi="仿宋" w:eastAsia="仿宋" w:cs="仿宋"/>
          <w:color w:val="000000"/>
          <w:kern w:val="0"/>
          <w:sz w:val="32"/>
          <w:szCs w:val="32"/>
          <w:lang w:val="en-US" w:eastAsia="zh-CN"/>
        </w:rPr>
        <w:t>66</w:t>
      </w:r>
      <w:r>
        <w:rPr>
          <w:rFonts w:hint="eastAsia" w:ascii="仿宋" w:hAnsi="仿宋" w:eastAsia="仿宋" w:cs="仿宋"/>
          <w:color w:val="000000"/>
          <w:kern w:val="0"/>
          <w:sz w:val="32"/>
          <w:szCs w:val="32"/>
          <w:lang w:eastAsia="zh-CN"/>
        </w:rPr>
        <w:t>号</w:t>
      </w:r>
    </w:p>
    <w:p>
      <w:pPr>
        <w:spacing w:line="40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联系人：张先生   联系电话：13803740722</w:t>
      </w:r>
      <w:r>
        <w:rPr>
          <w:rFonts w:hint="eastAsia" w:ascii="仿宋" w:hAnsi="仿宋" w:eastAsia="仿宋" w:cs="仿宋"/>
          <w:sz w:val="32"/>
          <w:szCs w:val="32"/>
        </w:rPr>
        <w:t xml:space="preserve">   </w:t>
      </w:r>
    </w:p>
    <w:p>
      <w:pPr>
        <w:pStyle w:val="2"/>
        <w:numPr>
          <w:ilvl w:val="0"/>
          <w:numId w:val="0"/>
        </w:num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360" w:lineRule="auto"/>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pStyle w:val="2"/>
        <w:numPr>
          <w:numId w:val="0"/>
        </w:numPr>
        <w:rPr>
          <w:rFonts w:hint="eastAsia"/>
        </w:rPr>
      </w:pPr>
    </w:p>
    <w:p>
      <w:pPr>
        <w:numPr>
          <w:ilvl w:val="0"/>
          <w:numId w:val="0"/>
        </w:numPr>
        <w:ind w:firstLine="2891" w:firstLineChars="8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jc w:val="left"/>
        <w:rPr>
          <w:rFonts w:hint="eastAsia" w:ascii="仿宋" w:hAnsi="仿宋" w:eastAsia="仿宋" w:cs="宋体"/>
          <w:color w:val="000000"/>
          <w:kern w:val="0"/>
          <w:sz w:val="32"/>
          <w:szCs w:val="32"/>
        </w:rPr>
      </w:pP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2019年朱阁等乡镇7个</w:t>
      </w:r>
      <w:r>
        <w:rPr>
          <w:rFonts w:hint="eastAsia" w:ascii="仿宋" w:hAnsi="仿宋" w:eastAsia="仿宋" w:cs="宋体"/>
          <w:color w:val="000000"/>
          <w:kern w:val="0"/>
          <w:sz w:val="32"/>
          <w:szCs w:val="32"/>
          <w:lang w:eastAsia="zh-CN"/>
        </w:rPr>
        <w:t>敬老院</w:t>
      </w:r>
      <w:r>
        <w:rPr>
          <w:rFonts w:hint="eastAsia" w:ascii="仿宋" w:hAnsi="仿宋" w:eastAsia="仿宋" w:cs="宋体"/>
          <w:color w:val="000000"/>
          <w:kern w:val="0"/>
          <w:sz w:val="32"/>
          <w:szCs w:val="32"/>
          <w:lang w:val="en-US" w:eastAsia="zh-CN"/>
        </w:rPr>
        <w:t>建设项目施工、工程质量进行全程监理，保证项目按设计的各项质量指标要求施工，符合国家房屋建筑工程质量验收标准，达到合格工程。</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72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20" w:firstLineChars="100"/>
              <w:jc w:val="both"/>
              <w:rPr>
                <w:rFonts w:ascii="仿宋" w:hAnsi="仿宋" w:eastAsia="仿宋" w:cs="宋体"/>
                <w:color w:val="000000"/>
                <w:kern w:val="0"/>
                <w:sz w:val="32"/>
                <w:szCs w:val="32"/>
              </w:rPr>
            </w:pPr>
            <w:r>
              <w:rPr>
                <w:rFonts w:hint="eastAsia" w:ascii="仿宋" w:hAnsi="仿宋" w:eastAsia="仿宋" w:cs="宋体"/>
                <w:bCs/>
                <w:color w:val="000000"/>
                <w:kern w:val="0"/>
                <w:sz w:val="32"/>
                <w:szCs w:val="32"/>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单位</w:t>
            </w:r>
          </w:p>
        </w:tc>
        <w:tc>
          <w:tcPr>
            <w:tcW w:w="7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数量</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lang w:val="en-US" w:eastAsia="zh-CN"/>
              </w:rPr>
              <w:t>朱阁7个乡镇敬老院建设项目监理</w:t>
            </w:r>
            <w:r>
              <w:rPr>
                <w:rFonts w:hint="eastAsia" w:ascii="仿宋" w:hAnsi="仿宋" w:eastAsia="仿宋" w:cs="宋体"/>
                <w:bCs/>
                <w:color w:val="000000"/>
                <w:kern w:val="0"/>
                <w:sz w:val="32"/>
                <w:szCs w:val="32"/>
              </w:rPr>
              <w:t> </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eastAsia" w:ascii="仿宋" w:hAnsi="仿宋" w:eastAsia="仿宋" w:cs="宋体"/>
                <w:color w:val="000000"/>
                <w:kern w:val="0"/>
                <w:sz w:val="32"/>
                <w:szCs w:val="32"/>
                <w:lang w:eastAsia="zh-CN"/>
              </w:rPr>
            </w:pPr>
            <w:r>
              <w:rPr>
                <w:rFonts w:hint="eastAsia" w:ascii="仿宋" w:hAnsi="仿宋" w:eastAsia="仿宋" w:cs="宋体"/>
                <w:bCs/>
                <w:iCs/>
                <w:color w:val="000000"/>
                <w:kern w:val="0"/>
                <w:sz w:val="32"/>
                <w:szCs w:val="32"/>
                <w:lang w:eastAsia="zh-CN"/>
              </w:rPr>
              <w:t>房屋建筑乙级监理公司，房</w:t>
            </w:r>
            <w:r>
              <w:rPr>
                <w:rFonts w:hint="eastAsia" w:ascii="仿宋" w:hAnsi="仿宋" w:eastAsia="仿宋" w:cs="宋体"/>
                <w:bCs/>
                <w:iCs/>
                <w:color w:val="000000"/>
                <w:kern w:val="0"/>
                <w:sz w:val="32"/>
                <w:szCs w:val="32"/>
                <w:lang w:val="en-US" w:eastAsia="zh-CN"/>
              </w:rPr>
              <w:t>屋</w:t>
            </w:r>
            <w:r>
              <w:rPr>
                <w:rFonts w:hint="eastAsia" w:ascii="仿宋" w:hAnsi="仿宋" w:eastAsia="仿宋" w:cs="宋体"/>
                <w:bCs/>
                <w:iCs/>
                <w:color w:val="000000"/>
                <w:kern w:val="0"/>
                <w:sz w:val="32"/>
                <w:szCs w:val="32"/>
                <w:lang w:eastAsia="zh-CN"/>
              </w:rPr>
              <w:t>建筑专业总监。</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32"/>
                <w:szCs w:val="32"/>
                <w:lang w:val="en-US" w:eastAsia="zh-CN"/>
              </w:rPr>
            </w:pP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7</w:t>
            </w:r>
          </w:p>
        </w:tc>
        <w:tc>
          <w:tcPr>
            <w:tcW w:w="7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7</w:t>
            </w:r>
            <w:r>
              <w:rPr>
                <w:rFonts w:hint="eastAsia" w:ascii="宋体" w:hAnsi="宋体" w:eastAsia="仿宋" w:cs="宋体"/>
                <w:color w:val="000000"/>
                <w:kern w:val="0"/>
                <w:sz w:val="32"/>
                <w:szCs w:val="32"/>
              </w:rPr>
              <w:t> </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是/否</w:t>
            </w:r>
          </w:p>
        </w:tc>
      </w:tr>
    </w:tbl>
    <w:p>
      <w:pPr>
        <w:widowControl/>
        <w:numPr>
          <w:ilvl w:val="0"/>
          <w:numId w:val="6"/>
        </w:numPr>
        <w:shd w:val="clear" w:color="auto" w:fill="FFFFFF"/>
        <w:spacing w:line="360" w:lineRule="auto"/>
        <w:contextualSpacing/>
        <w:jc w:val="left"/>
        <w:rPr>
          <w:rFonts w:hint="eastAsia" w:ascii="仿宋_GB2312" w:hAnsi="仿宋_GB2312" w:eastAsia="仿宋_GB2312" w:cs="仿宋_GB2312"/>
          <w:color w:val="000000"/>
          <w:kern w:val="0"/>
          <w:sz w:val="32"/>
          <w:szCs w:val="32"/>
          <w:lang w:val="en-US" w:eastAsia="zh-CN"/>
        </w:rPr>
      </w:pPr>
      <w:r>
        <w:rPr>
          <w:rFonts w:hint="eastAsia" w:ascii="仿宋" w:hAnsi="仿宋" w:eastAsia="仿宋" w:cs="宋体"/>
          <w:color w:val="000000"/>
          <w:kern w:val="0"/>
          <w:sz w:val="32"/>
          <w:szCs w:val="32"/>
        </w:rPr>
        <w:t>采购标的执行标准</w:t>
      </w:r>
    </w:p>
    <w:p>
      <w:pPr>
        <w:widowControl/>
        <w:numPr>
          <w:ilvl w:val="0"/>
          <w:numId w:val="0"/>
        </w:numPr>
        <w:shd w:val="clear" w:color="auto" w:fill="FFFFFF"/>
        <w:spacing w:line="360" w:lineRule="auto"/>
        <w:contextualSpacing/>
        <w:jc w:val="left"/>
        <w:rPr>
          <w:rFonts w:hint="eastAsia" w:ascii="仿宋_GB2312" w:hAnsi="仿宋_GB2312" w:eastAsia="仿宋_GB2312" w:cs="仿宋_GB2312"/>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444444"/>
          <w:kern w:val="0"/>
          <w:sz w:val="32"/>
          <w:szCs w:val="32"/>
          <w:shd w:val="clear" w:color="050000" w:fill="FFFFFF"/>
          <w:lang w:val="en-US" w:eastAsia="zh-CN"/>
        </w:rPr>
        <w:t>《</w:t>
      </w:r>
      <w:r>
        <w:rPr>
          <w:rStyle w:val="24"/>
          <w:rFonts w:hint="eastAsia" w:ascii="仿宋_GB2312" w:hAnsi="仿宋_GB2312" w:eastAsia="仿宋_GB2312" w:cs="仿宋_GB2312"/>
          <w:b/>
          <w:bCs w:val="0"/>
          <w:color w:val="444444"/>
          <w:kern w:val="0"/>
          <w:sz w:val="32"/>
          <w:szCs w:val="32"/>
          <w:shd w:val="clear" w:color="080000" w:fill="FFFFFF"/>
          <w:lang w:val="en-US" w:eastAsia="zh-CN"/>
        </w:rPr>
        <w:t>建筑工程施工</w:t>
      </w:r>
      <w:r>
        <w:rPr>
          <w:rStyle w:val="24"/>
          <w:rFonts w:hint="eastAsia" w:ascii="仿宋_GB2312" w:hAnsi="仿宋_GB2312" w:eastAsia="仿宋_GB2312" w:cs="仿宋_GB2312"/>
          <w:b/>
          <w:bCs w:val="0"/>
          <w:color w:val="000000"/>
          <w:kern w:val="0"/>
          <w:sz w:val="32"/>
          <w:szCs w:val="32"/>
          <w:shd w:val="clear" w:color="080000" w:fill="FFFFFF"/>
          <w:lang w:val="en-US" w:eastAsia="zh-CN"/>
        </w:rPr>
        <w:fldChar w:fldCharType="begin"/>
      </w:r>
      <w:r>
        <w:rPr>
          <w:rStyle w:val="24"/>
          <w:rFonts w:hint="eastAsia" w:ascii="仿宋_GB2312" w:hAnsi="仿宋_GB2312" w:eastAsia="仿宋_GB2312" w:cs="仿宋_GB2312"/>
          <w:b/>
          <w:bCs w:val="0"/>
          <w:color w:val="000000"/>
          <w:kern w:val="0"/>
          <w:sz w:val="32"/>
          <w:szCs w:val="32"/>
          <w:shd w:val="clear" w:color="080000" w:fill="FFFFFF"/>
          <w:lang w:val="en-US" w:eastAsia="zh-CN"/>
        </w:rPr>
        <w:instrText xml:space="preserve"> HYPERLINK "http://edu.zhulong.com/lesson/3996-1.html" \l "f=bbskeyreplace_SG_%E8%B4%A8%E9%87%8F%E9%AA%8C%E6%94%B6" \o "质量验收" \t "http://bbs.zhulong.com/102010_group_773/_blank" </w:instrText>
      </w:r>
      <w:r>
        <w:rPr>
          <w:rStyle w:val="24"/>
          <w:rFonts w:hint="eastAsia" w:ascii="仿宋_GB2312" w:hAnsi="仿宋_GB2312" w:eastAsia="仿宋_GB2312" w:cs="仿宋_GB2312"/>
          <w:b/>
          <w:bCs w:val="0"/>
          <w:color w:val="000000"/>
          <w:kern w:val="0"/>
          <w:sz w:val="32"/>
          <w:szCs w:val="32"/>
          <w:shd w:val="clear" w:color="080000" w:fill="FFFFFF"/>
          <w:lang w:val="en-US" w:eastAsia="zh-CN"/>
        </w:rPr>
        <w:fldChar w:fldCharType="separate"/>
      </w:r>
      <w:r>
        <w:rPr>
          <w:rStyle w:val="27"/>
          <w:rFonts w:hint="eastAsia" w:ascii="仿宋_GB2312" w:hAnsi="仿宋_GB2312" w:eastAsia="仿宋_GB2312" w:cs="仿宋_GB2312"/>
          <w:b/>
          <w:bCs w:val="0"/>
          <w:color w:val="000000"/>
          <w:sz w:val="32"/>
          <w:szCs w:val="32"/>
          <w:shd w:val="clear" w:color="070000" w:fill="FFFFFF"/>
        </w:rPr>
        <w:t>质量验收</w:t>
      </w:r>
      <w:r>
        <w:rPr>
          <w:rStyle w:val="24"/>
          <w:rFonts w:hint="eastAsia" w:ascii="仿宋_GB2312" w:hAnsi="仿宋_GB2312" w:eastAsia="仿宋_GB2312" w:cs="仿宋_GB2312"/>
          <w:b/>
          <w:bCs w:val="0"/>
          <w:color w:val="000000"/>
          <w:kern w:val="0"/>
          <w:sz w:val="32"/>
          <w:szCs w:val="32"/>
          <w:shd w:val="clear" w:color="080000" w:fill="FFFFFF"/>
          <w:lang w:val="en-US" w:eastAsia="zh-CN"/>
        </w:rPr>
        <w:fldChar w:fldCharType="end"/>
      </w:r>
      <w:r>
        <w:rPr>
          <w:rStyle w:val="24"/>
          <w:rFonts w:hint="eastAsia" w:ascii="仿宋_GB2312" w:hAnsi="仿宋_GB2312" w:eastAsia="仿宋_GB2312" w:cs="仿宋_GB2312"/>
          <w:b/>
          <w:bCs w:val="0"/>
          <w:color w:val="444444"/>
          <w:kern w:val="0"/>
          <w:sz w:val="32"/>
          <w:szCs w:val="32"/>
          <w:shd w:val="clear" w:color="080000" w:fill="FFFFFF"/>
          <w:lang w:val="en-US" w:eastAsia="zh-CN"/>
        </w:rPr>
        <w:t>统一标准</w:t>
      </w:r>
      <w:r>
        <w:rPr>
          <w:rStyle w:val="24"/>
          <w:rFonts w:hint="eastAsia" w:ascii="仿宋_GB2312" w:hAnsi="仿宋_GB2312" w:eastAsia="仿宋_GB2312" w:cs="仿宋_GB2312"/>
          <w:color w:val="444444"/>
          <w:kern w:val="0"/>
          <w:sz w:val="32"/>
          <w:szCs w:val="32"/>
          <w:shd w:val="clear" w:color="060000" w:fill="FFFFFF"/>
          <w:lang w:val="en-US" w:eastAsia="zh-CN"/>
        </w:rPr>
        <w:t>》</w:t>
      </w:r>
      <w:r>
        <w:rPr>
          <w:rFonts w:hint="eastAsia" w:ascii="仿宋_GB2312" w:hAnsi="仿宋_GB2312" w:eastAsia="仿宋_GB2312" w:cs="仿宋_GB2312"/>
          <w:color w:val="444444"/>
          <w:kern w:val="0"/>
          <w:sz w:val="32"/>
          <w:szCs w:val="32"/>
          <w:shd w:val="clear" w:color="050000" w:fill="FFFFFF"/>
          <w:lang w:val="en-US" w:eastAsia="zh-CN"/>
        </w:rPr>
        <w:t>编号为</w:t>
      </w:r>
      <w:r>
        <w:rPr>
          <w:rStyle w:val="24"/>
          <w:rFonts w:hint="eastAsia" w:ascii="仿宋_GB2312" w:hAnsi="仿宋_GB2312" w:eastAsia="仿宋_GB2312" w:cs="仿宋_GB2312"/>
          <w:color w:val="444444"/>
          <w:kern w:val="0"/>
          <w:sz w:val="32"/>
          <w:szCs w:val="32"/>
          <w:shd w:val="clear" w:color="060000" w:fill="FFFFFF"/>
          <w:lang w:val="en-US" w:eastAsia="zh-CN"/>
        </w:rPr>
        <w:t>GB50300-2013</w:t>
      </w:r>
    </w:p>
    <w:p>
      <w:pPr>
        <w:numPr>
          <w:ilvl w:val="0"/>
          <w:numId w:val="7"/>
        </w:num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numPr>
          <w:ilvl w:val="0"/>
          <w:numId w:val="0"/>
        </w:num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在工程施工期间，监理工程师将负责按施工合同进行施工监理，对工程质量、进度和费用进行有效控制，对安全生产、文明施工进行监督管理，处理与施工合同、信息有关的相关事务，为工程按时、高质量完成提供优质服务。</w:t>
      </w:r>
    </w:p>
    <w:p>
      <w:pPr>
        <w:numPr>
          <w:ilvl w:val="0"/>
          <w:numId w:val="0"/>
        </w:num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2、工期要求；工程开工至缺陷责任期满。</w:t>
      </w:r>
    </w:p>
    <w:p>
      <w:pPr>
        <w:numPr>
          <w:ilvl w:val="0"/>
          <w:numId w:val="0"/>
        </w:num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3、人员要求：监理单位应派驻至少1名总监、2名专监及3名监理员常驻监理工地，并根据施工进展派驻不同专业、特长的，如安全、市政、安装等监理人员以满足工程需要。</w:t>
      </w:r>
    </w:p>
    <w:p>
      <w:pPr>
        <w:numPr>
          <w:ilvl w:val="0"/>
          <w:numId w:val="0"/>
        </w:num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4、派驻的监理工程师男不超过65岁，女不超过55岁。</w:t>
      </w:r>
    </w:p>
    <w:p>
      <w:pPr>
        <w:numPr>
          <w:ilvl w:val="0"/>
          <w:numId w:val="0"/>
        </w:num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（五）验收标准</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jc w:val="left"/>
        <w:rPr>
          <w:rFonts w:hint="eastAsia" w:ascii="仿宋" w:hAnsi="仿宋" w:eastAsia="仿宋" w:cs="宋体"/>
          <w:color w:val="000000"/>
          <w:kern w:val="0"/>
          <w:sz w:val="32"/>
          <w:szCs w:val="32"/>
        </w:rPr>
      </w:pPr>
    </w:p>
    <w:p>
      <w:pPr>
        <w:pStyle w:val="2"/>
        <w:numPr>
          <w:numId w:val="0"/>
        </w:numPr>
        <w:ind w:left="288" w:leftChars="0"/>
        <w:rPr>
          <w:rFonts w:hint="eastAsia"/>
        </w:rPr>
      </w:pPr>
    </w:p>
    <w:p>
      <w:pPr>
        <w:pStyle w:val="29"/>
        <w:rPr>
          <w:rFonts w:hint="eastAsia" w:eastAsiaTheme="minorEastAsia"/>
          <w:lang w:eastAsia="zh-CN"/>
        </w:rPr>
      </w:pPr>
    </w:p>
    <w:p>
      <w:pPr>
        <w:pStyle w:val="9"/>
        <w:rPr>
          <w:rFonts w:hint="eastAsia"/>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项目名称：禹州市朱阁等乡镇7个敬老院项目监理</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名称：禹州市民政局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禹州市朱阁等乡镇</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联系人姓名：</w:t>
            </w:r>
            <w:r>
              <w:rPr>
                <w:rFonts w:hint="eastAsia" w:cs="仿宋_GB2312" w:asciiTheme="minorEastAsia" w:hAnsiTheme="minorEastAsia"/>
                <w:sz w:val="24"/>
                <w:szCs w:val="24"/>
                <w:lang w:eastAsia="zh-CN"/>
              </w:rPr>
              <w:t>张先生</w:t>
            </w:r>
            <w:r>
              <w:rPr>
                <w:rFonts w:hint="eastAsia" w:cs="仿宋_GB2312" w:asciiTheme="minorEastAsia" w:hAnsiTheme="minorEastAsia"/>
                <w:sz w:val="24"/>
                <w:szCs w:val="24"/>
              </w:rPr>
              <w:t xml:space="preserve">   联系电话：13803740722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20.67</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11</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不再缴纳投标保证金不再向供应商收取投标保证金</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9"/>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lang w:val="en-US" w:eastAsia="zh-CN"/>
              </w:rPr>
              <w:t>不再缴纳投标保证金，按照招标文件要求在投标文件中提供投标承诺函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投标人资格条件</w:t>
            </w:r>
          </w:p>
        </w:tc>
        <w:tc>
          <w:tcPr>
            <w:tcW w:w="5954" w:type="dxa"/>
          </w:tcPr>
          <w:p>
            <w:pPr>
              <w:keepNext w:val="0"/>
              <w:keepLines w:val="0"/>
              <w:pageBreakBefore w:val="0"/>
              <w:widowControl/>
              <w:numPr>
                <w:ilvl w:val="0"/>
                <w:numId w:val="11"/>
              </w:numPr>
              <w:shd w:val="clear" w:color="auto" w:fill="FFFFFF"/>
              <w:kinsoku/>
              <w:overflowPunct/>
              <w:bidi w:val="0"/>
              <w:spacing w:line="440" w:lineRule="exact"/>
              <w:jc w:val="left"/>
              <w:textAlignment w:val="auto"/>
              <w:rPr>
                <w:rFonts w:hint="eastAsia" w:ascii="仿宋" w:hAnsi="仿宋" w:eastAsia="仿宋" w:cs="仿宋_GB2312"/>
                <w:sz w:val="32"/>
                <w:szCs w:val="32"/>
                <w:lang w:eastAsia="zh-CN"/>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，投标商须具有独立法人资格及相应的经营范围；</w:t>
            </w:r>
          </w:p>
          <w:p>
            <w:pPr>
              <w:keepNext w:val="0"/>
              <w:keepLines w:val="0"/>
              <w:pageBreakBefore w:val="0"/>
              <w:widowControl/>
              <w:numPr>
                <w:ilvl w:val="0"/>
                <w:numId w:val="11"/>
              </w:numPr>
              <w:shd w:val="clear" w:color="auto" w:fill="FFFFFF"/>
              <w:kinsoku/>
              <w:overflowPunct/>
              <w:bidi w:val="0"/>
              <w:spacing w:line="440" w:lineRule="exact"/>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投标商须具有行政主管部门颁发的工程监理房屋建筑乙级及以上资质；投标商拟派总监须具有房屋建筑工程专业注册监理工程师资格；</w:t>
            </w:r>
          </w:p>
          <w:p>
            <w:pPr>
              <w:keepNext w:val="0"/>
              <w:keepLines w:val="0"/>
              <w:pageBreakBefore w:val="0"/>
              <w:kinsoku/>
              <w:overflowPunct/>
              <w:bidi w:val="0"/>
              <w:spacing w:line="440" w:lineRule="exac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8"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02"/>
        <w:gridCol w:w="25"/>
        <w:gridCol w:w="710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27" w:type="dxa"/>
            <w:gridSpan w:val="2"/>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分值构成</w:t>
            </w:r>
          </w:p>
        </w:tc>
        <w:tc>
          <w:tcPr>
            <w:tcW w:w="7961" w:type="dxa"/>
            <w:gridSpan w:val="2"/>
            <w:shd w:val="clear" w:color="auto" w:fill="auto"/>
            <w:tcMar>
              <w:top w:w="0" w:type="dxa"/>
              <w:left w:w="108" w:type="dxa"/>
              <w:bottom w:w="0" w:type="dxa"/>
              <w:right w:w="108" w:type="dxa"/>
            </w:tcMar>
            <w:vAlign w:val="center"/>
          </w:tcPr>
          <w:p>
            <w:pPr>
              <w:widowControl/>
              <w:spacing w:line="360" w:lineRule="atLeast"/>
              <w:ind w:firstLine="480"/>
              <w:rPr>
                <w:rFonts w:ascii="宋体" w:hAnsi="宋体" w:cs="宋体"/>
                <w:color w:val="000000"/>
                <w:kern w:val="0"/>
                <w:szCs w:val="21"/>
              </w:rPr>
            </w:pPr>
            <w:r>
              <w:rPr>
                <w:rFonts w:hint="eastAsia" w:ascii="宋体" w:hAnsi="宋体" w:cs="宋体"/>
                <w:color w:val="000000"/>
                <w:kern w:val="0"/>
                <w:szCs w:val="21"/>
              </w:rPr>
              <w:t xml:space="preserve">            价格分值：</w:t>
            </w:r>
            <w:r>
              <w:rPr>
                <w:rFonts w:hint="eastAsia" w:ascii="宋体" w:hAnsi="宋体" w:cs="宋体"/>
                <w:color w:val="000000"/>
                <w:kern w:val="0"/>
                <w:szCs w:val="21"/>
                <w:u w:val="single"/>
              </w:rPr>
              <w:t>2</w:t>
            </w:r>
            <w:r>
              <w:rPr>
                <w:rFonts w:hint="eastAsia" w:ascii="宋体" w:hAnsi="宋体" w:cs="宋体"/>
                <w:color w:val="000000"/>
                <w:kern w:val="0"/>
                <w:szCs w:val="21"/>
                <w:u w:val="single"/>
                <w:lang w:val="en-US" w:eastAsia="zh-CN"/>
              </w:rPr>
              <w:t>5</w:t>
            </w:r>
            <w:r>
              <w:rPr>
                <w:rFonts w:hint="eastAsia" w:ascii="宋体" w:hAnsi="宋体" w:cs="宋体"/>
                <w:color w:val="000000"/>
                <w:kern w:val="0"/>
                <w:szCs w:val="21"/>
              </w:rPr>
              <w:t>分</w:t>
            </w:r>
          </w:p>
          <w:p>
            <w:pPr>
              <w:widowControl/>
              <w:spacing w:line="360" w:lineRule="atLeast"/>
              <w:ind w:firstLine="480"/>
              <w:rPr>
                <w:rFonts w:ascii="宋体" w:hAnsi="宋体" w:cs="宋体"/>
                <w:color w:val="000000"/>
                <w:kern w:val="0"/>
                <w:szCs w:val="21"/>
              </w:rPr>
            </w:pPr>
            <w:r>
              <w:rPr>
                <w:rFonts w:hint="eastAsia" w:ascii="宋体" w:hAnsi="宋体" w:cs="宋体"/>
                <w:color w:val="000000"/>
                <w:kern w:val="0"/>
                <w:szCs w:val="21"/>
              </w:rPr>
              <w:t xml:space="preserve">            商务部分：</w:t>
            </w:r>
            <w:r>
              <w:rPr>
                <w:rFonts w:hint="eastAsia" w:ascii="宋体" w:hAnsi="宋体" w:cs="宋体"/>
                <w:color w:val="000000"/>
                <w:kern w:val="0"/>
                <w:szCs w:val="21"/>
                <w:lang w:val="en-US" w:eastAsia="zh-CN"/>
              </w:rPr>
              <w:t>52</w:t>
            </w:r>
            <w:r>
              <w:rPr>
                <w:rFonts w:hint="eastAsia" w:ascii="宋体" w:hAnsi="宋体" w:cs="宋体"/>
                <w:color w:val="000000"/>
                <w:kern w:val="0"/>
                <w:szCs w:val="21"/>
              </w:rPr>
              <w:t>分</w:t>
            </w:r>
          </w:p>
          <w:p>
            <w:pPr>
              <w:widowControl/>
              <w:spacing w:line="360" w:lineRule="atLeast"/>
              <w:rPr>
                <w:rFonts w:ascii="宋体" w:hAnsi="宋体" w:cs="宋体"/>
                <w:color w:val="000000"/>
                <w:kern w:val="0"/>
                <w:szCs w:val="21"/>
              </w:rPr>
            </w:pPr>
            <w:r>
              <w:rPr>
                <w:rFonts w:hint="eastAsia" w:ascii="宋体" w:hAnsi="宋体" w:cs="宋体"/>
                <w:color w:val="000000"/>
                <w:kern w:val="0"/>
                <w:szCs w:val="21"/>
              </w:rPr>
              <w:t xml:space="preserve">                技术部分：</w:t>
            </w:r>
            <w:r>
              <w:rPr>
                <w:rFonts w:hint="eastAsia" w:ascii="宋体" w:hAnsi="宋体" w:cs="宋体"/>
                <w:color w:val="000000"/>
                <w:kern w:val="0"/>
                <w:szCs w:val="21"/>
                <w:lang w:val="en-US" w:eastAsia="zh-CN"/>
              </w:rPr>
              <w:t>23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9288" w:type="dxa"/>
            <w:gridSpan w:val="4"/>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一、价格部分（满分2</w:t>
            </w:r>
            <w:r>
              <w:rPr>
                <w:rFonts w:hint="eastAsia" w:ascii="宋体" w:hAnsi="宋体" w:cs="宋体"/>
                <w:b/>
                <w:bCs/>
                <w:color w:val="000000"/>
                <w:kern w:val="0"/>
                <w:szCs w:val="21"/>
                <w:lang w:val="en-US" w:eastAsia="zh-CN"/>
              </w:rPr>
              <w:t>5</w:t>
            </w:r>
            <w:r>
              <w:rPr>
                <w:rFonts w:hint="eastAsia" w:ascii="宋体" w:hAnsi="宋体" w:cs="宋体"/>
                <w:b/>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评分标准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投标报价</w:t>
            </w:r>
          </w:p>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评分标准</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评标基准价：满足招标文件要求的有效投标报价中，最低的投标报价为评标基准价。</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投标报价得分=（评标基准价/投标报价）× 2</w:t>
            </w:r>
            <w:r>
              <w:rPr>
                <w:rFonts w:hint="eastAsia" w:ascii="宋体" w:hAnsi="宋体" w:cs="宋体"/>
                <w:color w:val="000000"/>
                <w:kern w:val="0"/>
                <w:szCs w:val="21"/>
                <w:lang w:val="en-US" w:eastAsia="zh-CN"/>
              </w:rPr>
              <w:t>5</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注：须执行政府指导价的工程项目，投标报价低于国家规定的监理服务收费基准价80%的（政府投资项目低于财政评审价80%的）按无效标处理。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9288" w:type="dxa"/>
            <w:gridSpan w:val="4"/>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二、商务部分（满分</w:t>
            </w:r>
            <w:r>
              <w:rPr>
                <w:rFonts w:hint="eastAsia" w:ascii="宋体" w:hAnsi="宋体" w:cs="宋体"/>
                <w:b/>
                <w:bCs/>
                <w:color w:val="000000"/>
                <w:kern w:val="0"/>
                <w:szCs w:val="21"/>
                <w:lang w:val="en-US" w:eastAsia="zh-CN"/>
              </w:rPr>
              <w:t>52</w:t>
            </w:r>
            <w:r>
              <w:rPr>
                <w:rFonts w:hint="eastAsia" w:ascii="宋体" w:hAnsi="宋体" w:cs="宋体"/>
                <w:b/>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评分标准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企业业绩</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1、2016年1月1日以来监理过类似工程的每项</w:t>
            </w:r>
            <w:r>
              <w:rPr>
                <w:rFonts w:hint="eastAsia" w:ascii="宋体" w:hAnsi="宋体" w:cs="宋体"/>
                <w:color w:val="000000"/>
                <w:kern w:val="0"/>
                <w:szCs w:val="21"/>
                <w:lang w:val="en-US" w:eastAsia="zh-CN"/>
              </w:rPr>
              <w:t>3</w:t>
            </w:r>
            <w:r>
              <w:rPr>
                <w:rFonts w:hint="eastAsia" w:ascii="宋体" w:hAnsi="宋体" w:cs="宋体"/>
                <w:color w:val="000000"/>
                <w:kern w:val="0"/>
                <w:szCs w:val="21"/>
              </w:rPr>
              <w:t>分；最高得15分。（以合同协议书和竣工验收表原件扫描件（或图片）为准）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2、2016年1月1日以来，监理企业监理过的类似工程获得市级及以上奖项的每项得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分，本项最多得</w:t>
            </w:r>
            <w:r>
              <w:rPr>
                <w:rFonts w:hint="eastAsia" w:ascii="宋体" w:hAnsi="宋体" w:cs="宋体"/>
                <w:color w:val="000000"/>
                <w:kern w:val="0"/>
                <w:szCs w:val="21"/>
                <w:lang w:val="en-US" w:eastAsia="zh-CN"/>
              </w:rPr>
              <w:t>6</w:t>
            </w:r>
            <w:r>
              <w:rPr>
                <w:rFonts w:hint="eastAsia" w:ascii="宋体" w:hAnsi="宋体" w:cs="宋体"/>
                <w:color w:val="000000"/>
                <w:kern w:val="0"/>
                <w:szCs w:val="21"/>
              </w:rPr>
              <w:t>分。（以提供的证书和获奖文件原件扫描件（或图片）为准，时间以发证时间为准。）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企业荣誉</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1、2016年1月1日以来连续三年获得市级及以上优秀监理企业奖项的得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分；不连续不得分。（以提供证书及文件原件扫描件（或图片）为准，时间以发证时间为准。）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2、企业通过质量体系、环境体系、职业健康体系认证，且运行正常。每有一项得2分，本项最多得6分。（以提供证书原件扫描件（或图片）及网页查询为准）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lang w:val="en-US" w:eastAsia="zh-CN"/>
              </w:rPr>
              <w:t>9</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总监业绩</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1、2016年1月1日以来总监担任过类似工程的每项得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分，本项最高得</w:t>
            </w:r>
            <w:r>
              <w:rPr>
                <w:rFonts w:hint="eastAsia" w:ascii="宋体" w:hAnsi="宋体" w:cs="宋体"/>
                <w:color w:val="000000"/>
                <w:kern w:val="0"/>
                <w:szCs w:val="21"/>
                <w:lang w:val="en-US" w:eastAsia="zh-CN"/>
              </w:rPr>
              <w:t>6</w:t>
            </w:r>
            <w:r>
              <w:rPr>
                <w:rFonts w:hint="eastAsia" w:ascii="宋体" w:hAnsi="宋体" w:cs="宋体"/>
                <w:color w:val="000000"/>
                <w:kern w:val="0"/>
                <w:szCs w:val="21"/>
              </w:rPr>
              <w:t>分；没有不得分。（以施工合同和竣工验表原件扫描件（或图片）为准）。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2、2016年1月1日以来,拟派项目总监监理过的类似工程获得市级及以上奖项的得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分，本项最多得</w:t>
            </w:r>
            <w:r>
              <w:rPr>
                <w:rFonts w:hint="eastAsia" w:ascii="宋体" w:hAnsi="宋体" w:cs="宋体"/>
                <w:color w:val="000000"/>
                <w:kern w:val="0"/>
                <w:szCs w:val="21"/>
                <w:lang w:val="en-US" w:eastAsia="zh-CN"/>
              </w:rPr>
              <w:t>6</w:t>
            </w:r>
            <w:r>
              <w:rPr>
                <w:rFonts w:hint="eastAsia" w:ascii="宋体" w:hAnsi="宋体" w:cs="宋体"/>
                <w:color w:val="000000"/>
                <w:kern w:val="0"/>
                <w:szCs w:val="21"/>
              </w:rPr>
              <w:t>分。（以提供的证书和获奖文件原件扫描件（或图片）为准，时间以发证时间为准。）</w:t>
            </w:r>
            <w:bookmarkStart w:id="9" w:name="_GoBack"/>
            <w:bookmarkEnd w:id="9"/>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总监荣誉</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拟派总监理工程师2016年1月1日以来，获得过行政主管部门或行业协会颁发的优秀总监理工程师奖，国家级项目每项得5分，省级奖项每项得4分，市级奖项每项得3分。同一工程只计一次最高奖项，本项最多得5分。（以提供的证书和获奖文件原件扫描件（或图片）为准，时间以发证时间为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服务承诺</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1、现场人员到位承诺0-2分；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2、合同、信息管理承诺0-1分；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3、与监理工作相关的关系协调0-1分；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4、其它承诺0-1分。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jc w:val="center"/>
        </w:trPr>
        <w:tc>
          <w:tcPr>
            <w:tcW w:w="9288" w:type="dxa"/>
            <w:gridSpan w:val="4"/>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b/>
                <w:bCs/>
                <w:color w:val="000000"/>
                <w:kern w:val="0"/>
                <w:szCs w:val="21"/>
              </w:rPr>
              <w:t>三、技术部分（满分2</w:t>
            </w:r>
            <w:r>
              <w:rPr>
                <w:rFonts w:hint="eastAsia" w:ascii="宋体" w:hAnsi="宋体" w:cs="宋体"/>
                <w:b/>
                <w:bCs/>
                <w:color w:val="000000"/>
                <w:kern w:val="0"/>
                <w:szCs w:val="21"/>
                <w:lang w:val="en-US" w:eastAsia="zh-CN"/>
              </w:rPr>
              <w:t>3</w:t>
            </w:r>
            <w:r>
              <w:rPr>
                <w:rFonts w:hint="eastAsia" w:ascii="宋体" w:hAnsi="宋体" w:cs="宋体"/>
                <w:b/>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b/>
                <w:bCs/>
                <w:color w:val="000000"/>
                <w:kern w:val="0"/>
                <w:szCs w:val="21"/>
              </w:rPr>
            </w:pPr>
            <w:r>
              <w:rPr>
                <w:rFonts w:hint="eastAsia" w:ascii="宋体" w:hAnsi="宋体" w:cs="宋体"/>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b/>
                <w:bCs/>
                <w:color w:val="000000"/>
                <w:kern w:val="0"/>
                <w:szCs w:val="21"/>
              </w:rPr>
            </w:pPr>
            <w:r>
              <w:rPr>
                <w:rFonts w:hint="eastAsia" w:ascii="宋体" w:hAnsi="宋体"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1302"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质量控制</w:t>
            </w:r>
          </w:p>
        </w:tc>
        <w:tc>
          <w:tcPr>
            <w:tcW w:w="7126" w:type="dxa"/>
            <w:gridSpan w:val="2"/>
            <w:shd w:val="clear" w:color="auto" w:fill="auto"/>
            <w:tcMar>
              <w:top w:w="0" w:type="dxa"/>
              <w:left w:w="108" w:type="dxa"/>
              <w:bottom w:w="0" w:type="dxa"/>
              <w:right w:w="108" w:type="dxa"/>
            </w:tcMar>
            <w:vAlign w:val="center"/>
          </w:tcPr>
          <w:p>
            <w:pPr>
              <w:widowControl/>
              <w:spacing w:line="360" w:lineRule="atLeast"/>
              <w:jc w:val="left"/>
              <w:rPr>
                <w:rFonts w:ascii="宋体" w:hAnsi="宋体" w:cs="宋体"/>
                <w:color w:val="000000"/>
                <w:kern w:val="0"/>
                <w:szCs w:val="21"/>
              </w:rPr>
            </w:pPr>
            <w:r>
              <w:rPr>
                <w:rFonts w:hint="eastAsia" w:ascii="宋体" w:hAnsi="宋体" w:cs="宋体"/>
                <w:color w:val="000000"/>
                <w:kern w:val="0"/>
                <w:szCs w:val="21"/>
              </w:rPr>
              <w:t>1、总体质量控制目标满足招标文件要求，且对质量控制目标进行了合理分解、规划；（0-1分）</w:t>
            </w:r>
          </w:p>
          <w:p>
            <w:pPr>
              <w:widowControl/>
              <w:spacing w:line="360" w:lineRule="atLeast"/>
              <w:jc w:val="left"/>
              <w:rPr>
                <w:rFonts w:ascii="宋体" w:hAnsi="宋体" w:cs="宋体"/>
                <w:color w:val="000000"/>
                <w:kern w:val="0"/>
                <w:szCs w:val="21"/>
              </w:rPr>
            </w:pPr>
            <w:r>
              <w:rPr>
                <w:rFonts w:hint="eastAsia" w:ascii="宋体" w:hAnsi="宋体" w:cs="宋体"/>
                <w:color w:val="000000"/>
                <w:kern w:val="0"/>
                <w:szCs w:val="21"/>
              </w:rPr>
              <w:t>2、针对各质量控制分解目标及各施工环节提出了切实可行的控制点和控制措施；（0-1分）</w:t>
            </w:r>
          </w:p>
          <w:p>
            <w:pPr>
              <w:widowControl/>
              <w:spacing w:line="360" w:lineRule="atLeast"/>
              <w:jc w:val="left"/>
              <w:rPr>
                <w:rFonts w:ascii="宋体" w:hAnsi="宋体" w:cs="宋体"/>
                <w:color w:val="000000"/>
                <w:kern w:val="0"/>
                <w:szCs w:val="21"/>
              </w:rPr>
            </w:pPr>
            <w:r>
              <w:rPr>
                <w:rFonts w:hint="eastAsia" w:ascii="宋体" w:hAnsi="宋体" w:cs="宋体"/>
                <w:color w:val="000000"/>
                <w:kern w:val="0"/>
                <w:szCs w:val="21"/>
              </w:rPr>
              <w:t>3、质量控制的基本程序和手段有针对性，且能满足工程实际要求；（0-1分）</w:t>
            </w:r>
          </w:p>
          <w:p>
            <w:pPr>
              <w:widowControl/>
              <w:spacing w:line="360" w:lineRule="atLeast"/>
              <w:jc w:val="left"/>
              <w:rPr>
                <w:rFonts w:ascii="宋体" w:hAnsi="宋体" w:cs="宋体"/>
                <w:color w:val="000000"/>
                <w:kern w:val="0"/>
                <w:szCs w:val="21"/>
              </w:rPr>
            </w:pPr>
            <w:r>
              <w:rPr>
                <w:rFonts w:hint="eastAsia" w:ascii="宋体" w:hAnsi="宋体" w:cs="宋体"/>
                <w:color w:val="000000"/>
                <w:kern w:val="0"/>
                <w:szCs w:val="21"/>
              </w:rPr>
              <w:t>4、对分包队伍的审查、管理措施有效可行；（0-1分）</w:t>
            </w:r>
          </w:p>
          <w:p>
            <w:pPr>
              <w:widowControl/>
              <w:spacing w:line="360" w:lineRule="atLeast"/>
              <w:jc w:val="left"/>
              <w:rPr>
                <w:rFonts w:ascii="宋体" w:hAnsi="宋体" w:cs="宋体"/>
                <w:color w:val="000000"/>
                <w:kern w:val="0"/>
                <w:szCs w:val="21"/>
              </w:rPr>
            </w:pPr>
            <w:r>
              <w:rPr>
                <w:rFonts w:hint="eastAsia" w:ascii="宋体" w:hAnsi="宋体" w:cs="宋体"/>
                <w:color w:val="000000"/>
                <w:kern w:val="0"/>
                <w:szCs w:val="21"/>
              </w:rPr>
              <w:t>5、劳务用工持证上岗制度、劳务用工合同签订及实名制落实保障措施可行。（0-1分）</w:t>
            </w:r>
          </w:p>
        </w:tc>
        <w:tc>
          <w:tcPr>
            <w:tcW w:w="860" w:type="dxa"/>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000000"/>
                <w:kern w:val="0"/>
                <w:szCs w:val="21"/>
              </w:rPr>
            </w:pPr>
            <w:r>
              <w:rPr>
                <w:rFonts w:hint="eastAsia" w:ascii="宋体" w:hAnsi="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进度控制</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1、对总体进度目标分解合理，能体现预控和全面控制能力；（0-1分）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2、预控方法及手段明确，进度控制要点及保证措施设置合理、可行。（0-1分）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造价控制</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1、工程计量、计价的控制方法可行，风险预测与防范对策有效；（0-1分）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2、工程款支付、结算、索赔等预控措施合理健全；（0-1分）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3、劳务用工的工资发放情况督查措施得力。（0-1分）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安全措施</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1、安全措施满足招标文件要求，能结合工程环境、特点有针对性的分析安全隐患；（0-1分）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2、安全保证体系组织机构和控制点设置合理；（0-1分）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3、安全控制措施周密，安全控制手段合理。（0-1分）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旁站监理</w:t>
            </w:r>
          </w:p>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措施</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1、按照国家旁站监理规定，对相应部位或施工过程设置旁站；（0-1分）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2、有监理细则和方案；（0-0.5分）</w:t>
            </w:r>
          </w:p>
          <w:p>
            <w:pPr>
              <w:widowControl/>
              <w:spacing w:line="330" w:lineRule="atLeast"/>
              <w:jc w:val="left"/>
              <w:rPr>
                <w:rFonts w:ascii="宋体" w:hAnsi="宋体" w:cs="宋体"/>
                <w:color w:val="000000"/>
                <w:kern w:val="0"/>
                <w:szCs w:val="21"/>
              </w:rPr>
            </w:pPr>
            <w:r>
              <w:rPr>
                <w:rFonts w:hint="eastAsia" w:ascii="宋体" w:hAnsi="宋体" w:cs="宋体"/>
                <w:color w:val="000000"/>
                <w:kern w:val="0"/>
                <w:szCs w:val="21"/>
              </w:rPr>
              <w:t>3、制定旁站措施（人员有上岗证、记录表等）。（0-0.5分）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szCs w:val="21"/>
              </w:rPr>
              <w:t>档案及合同管理</w:t>
            </w:r>
          </w:p>
        </w:tc>
        <w:tc>
          <w:tcPr>
            <w:tcW w:w="7126" w:type="dxa"/>
            <w:gridSpan w:val="2"/>
            <w:shd w:val="clear" w:color="auto" w:fill="auto"/>
            <w:tcMar>
              <w:top w:w="0" w:type="dxa"/>
              <w:left w:w="108" w:type="dxa"/>
              <w:bottom w:w="0" w:type="dxa"/>
              <w:right w:w="108" w:type="dxa"/>
            </w:tcMar>
            <w:vAlign w:val="center"/>
          </w:tcPr>
          <w:p>
            <w:pPr>
              <w:autoSpaceDN w:val="0"/>
              <w:spacing w:line="375" w:lineRule="atLeast"/>
              <w:rPr>
                <w:rFonts w:ascii="宋体" w:hAnsi="宋体" w:cs="宋体"/>
                <w:color w:val="000000"/>
                <w:szCs w:val="21"/>
              </w:rPr>
            </w:pPr>
            <w:r>
              <w:rPr>
                <w:rFonts w:hint="eastAsia" w:ascii="宋体" w:hAnsi="宋体" w:cs="宋体"/>
                <w:color w:val="000000"/>
                <w:szCs w:val="21"/>
              </w:rPr>
              <w:t>1、有保障合同履行的可靠措施，制定了索赔与反索赔措施；（0-1分）</w:t>
            </w:r>
          </w:p>
          <w:p>
            <w:pPr>
              <w:widowControl/>
              <w:spacing w:line="330" w:lineRule="atLeast"/>
              <w:jc w:val="left"/>
              <w:rPr>
                <w:rFonts w:ascii="宋体" w:hAnsi="宋体" w:cs="宋体"/>
                <w:color w:val="000000"/>
                <w:kern w:val="0"/>
                <w:szCs w:val="21"/>
              </w:rPr>
            </w:pPr>
            <w:r>
              <w:rPr>
                <w:rFonts w:hint="eastAsia" w:ascii="宋体" w:hAnsi="宋体" w:cs="宋体"/>
                <w:color w:val="000000"/>
                <w:szCs w:val="21"/>
              </w:rPr>
              <w:t>2、工程档案管理措施切实可行，并设置专职人员进行管理。（0-1分）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szCs w:val="21"/>
              </w:rPr>
              <w:t>工作制度</w:t>
            </w:r>
          </w:p>
        </w:tc>
        <w:tc>
          <w:tcPr>
            <w:tcW w:w="7126" w:type="dxa"/>
            <w:gridSpan w:val="2"/>
            <w:shd w:val="clear" w:color="auto" w:fill="auto"/>
            <w:tcMar>
              <w:top w:w="0" w:type="dxa"/>
              <w:left w:w="108" w:type="dxa"/>
              <w:bottom w:w="0" w:type="dxa"/>
              <w:right w:w="108" w:type="dxa"/>
            </w:tcMar>
            <w:vAlign w:val="center"/>
          </w:tcPr>
          <w:p>
            <w:pPr>
              <w:widowControl/>
              <w:spacing w:line="330" w:lineRule="atLeast"/>
              <w:jc w:val="left"/>
              <w:rPr>
                <w:rFonts w:ascii="宋体" w:hAnsi="宋体" w:cs="宋体"/>
                <w:color w:val="000000"/>
                <w:kern w:val="0"/>
                <w:szCs w:val="21"/>
              </w:rPr>
            </w:pPr>
            <w:r>
              <w:rPr>
                <w:rFonts w:hint="eastAsia" w:ascii="宋体" w:hAnsi="宋体" w:cs="宋体"/>
                <w:color w:val="000000"/>
                <w:szCs w:val="21"/>
              </w:rPr>
              <w:t>根据验收制度、签证制度、会议制度、公司对项目监理机构的监控制度、季报（月报）制度、公司对项目监理机构的奖惩考核制度等各项制度健全完善情况，酌情打分。（0-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302" w:type="dxa"/>
            <w:shd w:val="clear" w:color="auto" w:fill="auto"/>
            <w:tcMar>
              <w:top w:w="0" w:type="dxa"/>
              <w:left w:w="108" w:type="dxa"/>
              <w:bottom w:w="0" w:type="dxa"/>
              <w:right w:w="108" w:type="dxa"/>
            </w:tcMar>
            <w:vAlign w:val="center"/>
          </w:tcPr>
          <w:p>
            <w:pPr>
              <w:autoSpaceDN w:val="0"/>
              <w:spacing w:line="375" w:lineRule="atLeast"/>
              <w:jc w:val="center"/>
              <w:rPr>
                <w:rFonts w:ascii="宋体" w:hAnsi="宋体" w:cs="宋体"/>
                <w:color w:val="000000"/>
                <w:szCs w:val="21"/>
              </w:rPr>
            </w:pPr>
            <w:r>
              <w:rPr>
                <w:rFonts w:hint="eastAsia" w:ascii="宋体" w:hAnsi="宋体" w:cs="宋体"/>
                <w:color w:val="000000"/>
                <w:szCs w:val="21"/>
              </w:rPr>
              <w:t>组织协调及</w:t>
            </w:r>
          </w:p>
          <w:p>
            <w:pPr>
              <w:widowControl/>
              <w:spacing w:line="330" w:lineRule="atLeast"/>
              <w:jc w:val="center"/>
              <w:rPr>
                <w:rFonts w:ascii="宋体" w:hAnsi="宋体" w:cs="宋体"/>
                <w:color w:val="000000"/>
                <w:kern w:val="0"/>
                <w:szCs w:val="21"/>
              </w:rPr>
            </w:pPr>
            <w:r>
              <w:rPr>
                <w:rFonts w:hint="eastAsia" w:ascii="宋体" w:hAnsi="宋体" w:cs="宋体"/>
                <w:color w:val="000000"/>
                <w:szCs w:val="21"/>
              </w:rPr>
              <w:t>合理化建议</w:t>
            </w:r>
          </w:p>
        </w:tc>
        <w:tc>
          <w:tcPr>
            <w:tcW w:w="7126" w:type="dxa"/>
            <w:gridSpan w:val="2"/>
            <w:shd w:val="clear" w:color="auto" w:fill="auto"/>
            <w:tcMar>
              <w:top w:w="0" w:type="dxa"/>
              <w:left w:w="108" w:type="dxa"/>
              <w:bottom w:w="0" w:type="dxa"/>
              <w:right w:w="108" w:type="dxa"/>
            </w:tcMar>
            <w:vAlign w:val="center"/>
          </w:tcPr>
          <w:p>
            <w:pPr>
              <w:autoSpaceDN w:val="0"/>
              <w:spacing w:line="375" w:lineRule="atLeast"/>
              <w:rPr>
                <w:rFonts w:ascii="宋体" w:hAnsi="宋体" w:cs="宋体"/>
                <w:color w:val="000000"/>
                <w:szCs w:val="21"/>
              </w:rPr>
            </w:pPr>
            <w:r>
              <w:rPr>
                <w:rFonts w:hint="eastAsia" w:ascii="宋体" w:hAnsi="宋体" w:cs="宋体"/>
                <w:color w:val="000000"/>
                <w:szCs w:val="21"/>
              </w:rPr>
              <w:t>1、协调工作措施得当、有针对性；（0-1分）</w:t>
            </w:r>
          </w:p>
          <w:p>
            <w:pPr>
              <w:widowControl/>
              <w:spacing w:line="330" w:lineRule="atLeast"/>
              <w:jc w:val="left"/>
              <w:rPr>
                <w:rFonts w:ascii="宋体" w:hAnsi="宋体" w:cs="宋体"/>
                <w:color w:val="000000"/>
                <w:kern w:val="0"/>
                <w:szCs w:val="21"/>
              </w:rPr>
            </w:pPr>
            <w:r>
              <w:rPr>
                <w:rFonts w:hint="eastAsia" w:ascii="宋体" w:hAnsi="宋体" w:cs="宋体"/>
                <w:color w:val="000000"/>
                <w:szCs w:val="21"/>
              </w:rPr>
              <w:t>2、合理化建议能解决工程实际问题或有利于进度控制或造价控制。（0-1分）</w:t>
            </w:r>
          </w:p>
        </w:tc>
        <w:tc>
          <w:tcPr>
            <w:tcW w:w="860" w:type="dxa"/>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bl>
    <w:p>
      <w:pPr>
        <w:pStyle w:val="9"/>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ascii="宋体" w:cs="宋体"/>
          <w:sz w:val="24"/>
          <w:lang w:val="zh-CN"/>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9"/>
        <w:rPr>
          <w:rFonts w:hAnsi="宋体" w:eastAsia="宋体"/>
          <w:b/>
          <w:snapToGrid w:val="0"/>
          <w:kern w:val="0"/>
          <w:sz w:val="36"/>
          <w:szCs w:val="36"/>
        </w:rPr>
      </w:pPr>
    </w:p>
    <w:p>
      <w:pPr>
        <w:pStyle w:val="9"/>
        <w:ind w:firstLine="3373" w:firstLineChars="14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4.1 投标分项报价表</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default" w:ascii="仿宋" w:hAnsi="仿宋" w:eastAsia="仿宋" w:cs="仿宋"/>
          <w:b/>
          <w:kern w:val="2"/>
          <w:sz w:val="24"/>
          <w:szCs w:val="24"/>
          <w:lang w:val="en-US" w:eastAsia="zh-CN" w:bidi="ar-SA"/>
        </w:rPr>
      </w:pPr>
    </w:p>
    <w:p>
      <w:pPr>
        <w:spacing w:line="500" w:lineRule="exact"/>
        <w:outlineLvl w:val="0"/>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lang w:val="en-US" w:eastAsia="zh-CN"/>
        </w:rPr>
        <w:t xml:space="preserve">                              4.2  工作方案</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4.3  </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（根据招标文件规定及投标商自身条件编制）</w:t>
      </w:r>
    </w:p>
    <w:p>
      <w:pPr>
        <w:spacing w:line="500" w:lineRule="exact"/>
        <w:outlineLvl w:val="0"/>
        <w:rPr>
          <w:rFonts w:hint="eastAsia" w:ascii="仿宋" w:hAnsi="仿宋" w:eastAsia="仿宋" w:cs="仿宋"/>
          <w:b/>
          <w:sz w:val="24"/>
          <w:szCs w:val="24"/>
        </w:rPr>
      </w:pPr>
    </w:p>
    <w:p>
      <w:pPr>
        <w:pStyle w:val="9"/>
        <w:rPr>
          <w:rFonts w:hint="eastAsia" w:ascii="仿宋" w:hAnsi="仿宋" w:eastAsia="仿宋" w:cs="仿宋"/>
          <w:b/>
          <w:sz w:val="24"/>
          <w:szCs w:val="24"/>
        </w:rPr>
      </w:pPr>
    </w:p>
    <w:p>
      <w:pPr>
        <w:pStyle w:val="9"/>
        <w:rPr>
          <w:rFonts w:hint="eastAsia" w:ascii="仿宋" w:hAnsi="仿宋" w:eastAsia="仿宋" w:cs="仿宋"/>
          <w:b/>
          <w:sz w:val="24"/>
          <w:szCs w:val="24"/>
        </w:rPr>
      </w:pPr>
    </w:p>
    <w:p>
      <w:pPr>
        <w:spacing w:line="500" w:lineRule="exact"/>
        <w:jc w:val="both"/>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4.4 拟派本项目组成员情况一览表</w:t>
      </w:r>
    </w:p>
    <w:tbl>
      <w:tblPr>
        <w:tblStyle w:val="22"/>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noWrap w:val="0"/>
            <w:vAlign w:val="center"/>
          </w:tcPr>
          <w:p>
            <w:pPr>
              <w:rPr>
                <w:rFonts w:ascii="仿宋" w:hAnsi="仿宋" w:eastAsia="仿宋"/>
                <w:sz w:val="24"/>
                <w:szCs w:val="24"/>
              </w:rPr>
            </w:pPr>
            <w:r>
              <w:rPr>
                <w:rFonts w:hint="eastAsia" w:ascii="仿宋" w:hAnsi="仿宋" w:eastAsia="仿宋"/>
                <w:sz w:val="24"/>
                <w:szCs w:val="24"/>
              </w:rPr>
              <w:t>姓名</w:t>
            </w:r>
          </w:p>
        </w:tc>
        <w:tc>
          <w:tcPr>
            <w:tcW w:w="703" w:type="dxa"/>
            <w:noWrap w:val="0"/>
            <w:vAlign w:val="center"/>
          </w:tcPr>
          <w:p>
            <w:pPr>
              <w:rPr>
                <w:rFonts w:ascii="仿宋" w:hAnsi="仿宋" w:eastAsia="仿宋"/>
                <w:sz w:val="24"/>
                <w:szCs w:val="24"/>
              </w:rPr>
            </w:pPr>
            <w:r>
              <w:rPr>
                <w:rFonts w:hint="eastAsia" w:ascii="仿宋" w:hAnsi="仿宋" w:eastAsia="仿宋"/>
                <w:sz w:val="24"/>
                <w:szCs w:val="24"/>
              </w:rPr>
              <w:t>年龄</w:t>
            </w:r>
          </w:p>
        </w:tc>
        <w:tc>
          <w:tcPr>
            <w:tcW w:w="1265" w:type="dxa"/>
            <w:noWrap w:val="0"/>
            <w:vAlign w:val="center"/>
          </w:tcPr>
          <w:p>
            <w:pPr>
              <w:rPr>
                <w:rFonts w:ascii="仿宋" w:hAnsi="仿宋" w:eastAsia="仿宋"/>
                <w:sz w:val="24"/>
                <w:szCs w:val="24"/>
              </w:rPr>
            </w:pPr>
            <w:r>
              <w:rPr>
                <w:rFonts w:hint="eastAsia" w:ascii="仿宋" w:hAnsi="仿宋" w:eastAsia="仿宋"/>
                <w:sz w:val="24"/>
                <w:szCs w:val="24"/>
              </w:rPr>
              <w:t>学历</w:t>
            </w:r>
          </w:p>
        </w:tc>
        <w:tc>
          <w:tcPr>
            <w:tcW w:w="1513" w:type="dxa"/>
            <w:noWrap w:val="0"/>
            <w:vAlign w:val="center"/>
          </w:tcPr>
          <w:p>
            <w:pPr>
              <w:rPr>
                <w:rFonts w:ascii="仿宋" w:hAnsi="仿宋" w:eastAsia="仿宋"/>
                <w:sz w:val="24"/>
                <w:szCs w:val="24"/>
              </w:rPr>
            </w:pPr>
            <w:r>
              <w:rPr>
                <w:rFonts w:hint="eastAsia" w:ascii="仿宋" w:hAnsi="仿宋" w:eastAsia="仿宋"/>
                <w:sz w:val="24"/>
                <w:szCs w:val="24"/>
              </w:rPr>
              <w:t>职称</w:t>
            </w:r>
          </w:p>
        </w:tc>
        <w:tc>
          <w:tcPr>
            <w:tcW w:w="1564" w:type="dxa"/>
            <w:noWrap w:val="0"/>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noWrap w:val="0"/>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noWrap w:val="0"/>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r>
              <w:rPr>
                <w:rFonts w:eastAsia="仿宋"/>
                <w:sz w:val="24"/>
                <w:szCs w:val="24"/>
              </w:rPr>
              <w:t> </w:t>
            </w: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jc w:val="both"/>
        <w:outlineLvl w:val="0"/>
        <w:rPr>
          <w:rFonts w:hAnsi="宋体" w:eastAsia="宋体"/>
          <w:b/>
          <w:snapToGrid w:val="0"/>
          <w:kern w:val="0"/>
          <w:sz w:val="36"/>
          <w:szCs w:val="36"/>
        </w:rPr>
      </w:pPr>
    </w:p>
    <w:p>
      <w:pPr>
        <w:pStyle w:val="20"/>
        <w:rPr>
          <w:rFonts w:hAnsi="宋体" w:eastAsia="宋体"/>
          <w:b/>
          <w:snapToGrid w:val="0"/>
          <w:kern w:val="0"/>
          <w:sz w:val="36"/>
          <w:szCs w:val="36"/>
        </w:rPr>
      </w:pPr>
    </w:p>
    <w:p>
      <w:pPr>
        <w:pStyle w:val="21"/>
        <w:rPr>
          <w:rFonts w:hAnsi="宋体" w:eastAsia="宋体"/>
          <w:b/>
          <w:snapToGrid w:val="0"/>
          <w:kern w:val="0"/>
          <w:sz w:val="36"/>
          <w:szCs w:val="36"/>
        </w:rPr>
      </w:pPr>
    </w:p>
    <w:p>
      <w:pPr>
        <w:pStyle w:val="20"/>
        <w:ind w:left="0" w:leftChars="0" w:firstLine="0" w:firstLineChars="0"/>
      </w:pPr>
    </w:p>
    <w:p>
      <w:pPr>
        <w:pStyle w:val="20"/>
        <w:ind w:left="0" w:leftChars="0"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5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B3C62"/>
    <w:multiLevelType w:val="singleLevel"/>
    <w:tmpl w:val="AFDB3C62"/>
    <w:lvl w:ilvl="0" w:tentative="0">
      <w:start w:val="4"/>
      <w:numFmt w:val="chineseCounting"/>
      <w:suff w:val="nothing"/>
      <w:lvlText w:val="（%1）"/>
      <w:lvlJc w:val="left"/>
      <w:rPr>
        <w:rFonts w:hint="eastAsia"/>
      </w:rPr>
    </w:lvl>
  </w:abstractNum>
  <w:abstractNum w:abstractNumId="1">
    <w:nsid w:val="B502BEC8"/>
    <w:multiLevelType w:val="singleLevel"/>
    <w:tmpl w:val="B502BEC8"/>
    <w:lvl w:ilvl="0" w:tentative="0">
      <w:start w:val="3"/>
      <w:numFmt w:val="chineseCounting"/>
      <w:suff w:val="nothing"/>
      <w:lvlText w:val="（%1）"/>
      <w:lvlJc w:val="left"/>
      <w:rPr>
        <w:rFonts w:hint="eastAsia"/>
      </w:rPr>
    </w:lvl>
  </w:abstractNum>
  <w:abstractNum w:abstractNumId="2">
    <w:nsid w:val="BEBD2508"/>
    <w:multiLevelType w:val="singleLevel"/>
    <w:tmpl w:val="BEBD2508"/>
    <w:lvl w:ilvl="0" w:tentative="0">
      <w:start w:val="1"/>
      <w:numFmt w:val="decimal"/>
      <w:suff w:val="nothing"/>
      <w:lvlText w:val="%1、"/>
      <w:lvlJc w:val="left"/>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35A4012"/>
    <w:multiLevelType w:val="singleLevel"/>
    <w:tmpl w:val="735A4012"/>
    <w:lvl w:ilvl="0" w:tentative="0">
      <w:start w:val="1"/>
      <w:numFmt w:val="decimal"/>
      <w:suff w:val="nothing"/>
      <w:lvlText w:val="%1、"/>
      <w:lvlJc w:val="left"/>
    </w:lvl>
  </w:abstractNum>
  <w:num w:numId="1">
    <w:abstractNumId w:val="4"/>
  </w:num>
  <w:num w:numId="2">
    <w:abstractNumId w:val="5"/>
  </w:num>
  <w:num w:numId="3">
    <w:abstractNumId w:val="9"/>
  </w:num>
  <w:num w:numId="4">
    <w:abstractNumId w:val="8"/>
  </w:num>
  <w:num w:numId="5">
    <w:abstractNumId w:val="2"/>
  </w:num>
  <w:num w:numId="6">
    <w:abstractNumId w:val="1"/>
  </w:num>
  <w:num w:numId="7">
    <w:abstractNumId w:val="0"/>
  </w:num>
  <w:num w:numId="8">
    <w:abstractNumId w:val="3"/>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300962"/>
    <w:rsid w:val="014F25D8"/>
    <w:rsid w:val="0190070A"/>
    <w:rsid w:val="027C7D92"/>
    <w:rsid w:val="032449BC"/>
    <w:rsid w:val="037217D3"/>
    <w:rsid w:val="03A87C38"/>
    <w:rsid w:val="03C54AE6"/>
    <w:rsid w:val="0443746E"/>
    <w:rsid w:val="05B4609C"/>
    <w:rsid w:val="06CA12FB"/>
    <w:rsid w:val="080C2BBA"/>
    <w:rsid w:val="08FD5745"/>
    <w:rsid w:val="0930075F"/>
    <w:rsid w:val="094C0742"/>
    <w:rsid w:val="0A5E16AE"/>
    <w:rsid w:val="0A7C3AAF"/>
    <w:rsid w:val="0A7F2B85"/>
    <w:rsid w:val="0AB50907"/>
    <w:rsid w:val="0B01317F"/>
    <w:rsid w:val="0BBD5765"/>
    <w:rsid w:val="0C1D2223"/>
    <w:rsid w:val="0C3D4298"/>
    <w:rsid w:val="0C9523A6"/>
    <w:rsid w:val="0CA67F00"/>
    <w:rsid w:val="0E0873D8"/>
    <w:rsid w:val="0F1D5836"/>
    <w:rsid w:val="0F485C64"/>
    <w:rsid w:val="0FD30C14"/>
    <w:rsid w:val="101B403B"/>
    <w:rsid w:val="116D26CD"/>
    <w:rsid w:val="118B5EEB"/>
    <w:rsid w:val="11C23651"/>
    <w:rsid w:val="11E13F76"/>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C003DF9"/>
    <w:rsid w:val="1C2D1536"/>
    <w:rsid w:val="1CCF2F1D"/>
    <w:rsid w:val="1CE641E6"/>
    <w:rsid w:val="1CFB73D3"/>
    <w:rsid w:val="1E8E722F"/>
    <w:rsid w:val="1EEF406B"/>
    <w:rsid w:val="1F8E45BB"/>
    <w:rsid w:val="1FE15514"/>
    <w:rsid w:val="208614E5"/>
    <w:rsid w:val="20E47EF3"/>
    <w:rsid w:val="2157706F"/>
    <w:rsid w:val="21663918"/>
    <w:rsid w:val="21DD4A96"/>
    <w:rsid w:val="22605721"/>
    <w:rsid w:val="22B6319B"/>
    <w:rsid w:val="22CF2594"/>
    <w:rsid w:val="23531816"/>
    <w:rsid w:val="24D35795"/>
    <w:rsid w:val="25634386"/>
    <w:rsid w:val="25A60734"/>
    <w:rsid w:val="25A6474E"/>
    <w:rsid w:val="25D42ED3"/>
    <w:rsid w:val="26EC1901"/>
    <w:rsid w:val="26F81F9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F112255"/>
    <w:rsid w:val="2F650AED"/>
    <w:rsid w:val="2FFD3F6B"/>
    <w:rsid w:val="30EA79C7"/>
    <w:rsid w:val="30FD56B7"/>
    <w:rsid w:val="310E796A"/>
    <w:rsid w:val="3207450E"/>
    <w:rsid w:val="329E1B24"/>
    <w:rsid w:val="32BF12F4"/>
    <w:rsid w:val="33357052"/>
    <w:rsid w:val="33563CED"/>
    <w:rsid w:val="337C50EC"/>
    <w:rsid w:val="338A4286"/>
    <w:rsid w:val="341F1EB4"/>
    <w:rsid w:val="347F0816"/>
    <w:rsid w:val="34B644B7"/>
    <w:rsid w:val="34B851D9"/>
    <w:rsid w:val="359D4CA8"/>
    <w:rsid w:val="36B46A4A"/>
    <w:rsid w:val="36E65B38"/>
    <w:rsid w:val="375656B9"/>
    <w:rsid w:val="37627558"/>
    <w:rsid w:val="37B91083"/>
    <w:rsid w:val="37C8463F"/>
    <w:rsid w:val="38D6205D"/>
    <w:rsid w:val="39984BA7"/>
    <w:rsid w:val="39FD28B4"/>
    <w:rsid w:val="3AC47AB6"/>
    <w:rsid w:val="3ADD0A2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102439"/>
    <w:rsid w:val="477C4489"/>
    <w:rsid w:val="477E79DB"/>
    <w:rsid w:val="48BB1E61"/>
    <w:rsid w:val="48E44347"/>
    <w:rsid w:val="4AB4093D"/>
    <w:rsid w:val="4AE22F4C"/>
    <w:rsid w:val="4B536EA5"/>
    <w:rsid w:val="4CA91082"/>
    <w:rsid w:val="4E732DF9"/>
    <w:rsid w:val="4E8F0D2C"/>
    <w:rsid w:val="4EAC4ADD"/>
    <w:rsid w:val="4EB72836"/>
    <w:rsid w:val="4ED23FD5"/>
    <w:rsid w:val="4EE945C2"/>
    <w:rsid w:val="4EFB1FC3"/>
    <w:rsid w:val="4F3C1178"/>
    <w:rsid w:val="4F661CEB"/>
    <w:rsid w:val="4FAF2689"/>
    <w:rsid w:val="4FEB5C49"/>
    <w:rsid w:val="527B1821"/>
    <w:rsid w:val="52B17574"/>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B8046C"/>
    <w:rsid w:val="5EC23D91"/>
    <w:rsid w:val="5EEA6FD8"/>
    <w:rsid w:val="5F91300B"/>
    <w:rsid w:val="5FBD74DE"/>
    <w:rsid w:val="5FFC61BE"/>
    <w:rsid w:val="601812B8"/>
    <w:rsid w:val="60BD0412"/>
    <w:rsid w:val="616C5D6E"/>
    <w:rsid w:val="61775FA5"/>
    <w:rsid w:val="619B680C"/>
    <w:rsid w:val="62306D35"/>
    <w:rsid w:val="62E53998"/>
    <w:rsid w:val="63B8406A"/>
    <w:rsid w:val="63F31067"/>
    <w:rsid w:val="64017602"/>
    <w:rsid w:val="648D2FFF"/>
    <w:rsid w:val="656839C3"/>
    <w:rsid w:val="65725730"/>
    <w:rsid w:val="65B92974"/>
    <w:rsid w:val="65C80747"/>
    <w:rsid w:val="661B69E9"/>
    <w:rsid w:val="672B7704"/>
    <w:rsid w:val="6753455D"/>
    <w:rsid w:val="68350757"/>
    <w:rsid w:val="68594ADA"/>
    <w:rsid w:val="68741D48"/>
    <w:rsid w:val="698C09F8"/>
    <w:rsid w:val="6AB31C19"/>
    <w:rsid w:val="6B357A50"/>
    <w:rsid w:val="6B5B7DCB"/>
    <w:rsid w:val="6BB95672"/>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DC6837"/>
    <w:rsid w:val="74AB41BE"/>
    <w:rsid w:val="753171BD"/>
    <w:rsid w:val="75EA3934"/>
    <w:rsid w:val="76241844"/>
    <w:rsid w:val="76B11983"/>
    <w:rsid w:val="774700AD"/>
    <w:rsid w:val="777E0158"/>
    <w:rsid w:val="788A0F31"/>
    <w:rsid w:val="78F56DD8"/>
    <w:rsid w:val="7A77760E"/>
    <w:rsid w:val="7AB008B6"/>
    <w:rsid w:val="7AC70899"/>
    <w:rsid w:val="7B3F7553"/>
    <w:rsid w:val="7B6F304C"/>
    <w:rsid w:val="7B7986D1"/>
    <w:rsid w:val="7B877587"/>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2"/>
    <w:qFormat/>
    <w:uiPriority w:val="0"/>
    <w:rPr>
      <w:rFonts w:ascii="Calibri" w:hAnsi="Calibri"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8"/>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9"/>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22</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2019-08-22T03:52:46Z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