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微软简隶书" w:eastAsia="微软简隶书"/>
          <w:color w:val="000000"/>
        </w:rPr>
      </w:pPr>
    </w:p>
    <w:p>
      <w:pPr>
        <w:pStyle w:val="2"/>
        <w:rPr>
          <w:rFonts w:ascii="微软简隶书" w:eastAsia="微软简隶书"/>
          <w:color w:val="000000"/>
        </w:rPr>
      </w:pPr>
    </w:p>
    <w:p>
      <w:pPr>
        <w:spacing w:line="600" w:lineRule="exact"/>
        <w:jc w:val="center"/>
        <w:rPr>
          <w:rFonts w:hint="eastAsia" w:ascii="黑体" w:hAnsi="黑体" w:eastAsia="黑体" w:cs="黑体"/>
          <w:b/>
          <w:bCs/>
          <w:sz w:val="48"/>
          <w:szCs w:val="48"/>
        </w:rPr>
      </w:pPr>
      <w:r>
        <w:rPr>
          <w:rFonts w:hint="eastAsia" w:ascii="黑体" w:hAnsi="黑体" w:eastAsia="黑体" w:cs="黑体"/>
          <w:b/>
          <w:bCs/>
          <w:sz w:val="48"/>
          <w:szCs w:val="48"/>
        </w:rPr>
        <w:t>禹州市产业集聚区智能化园区建设项目</w:t>
      </w:r>
    </w:p>
    <w:p>
      <w:pPr>
        <w:pStyle w:val="2"/>
        <w:rPr>
          <w:rFonts w:ascii="微软简隶书" w:eastAsia="微软简隶书"/>
          <w:color w:val="000000"/>
        </w:rPr>
      </w:pPr>
    </w:p>
    <w:p>
      <w:pPr>
        <w:rPr>
          <w:rFonts w:ascii="微软简隶书" w:eastAsia="微软简隶书"/>
          <w:color w:val="000000"/>
        </w:rPr>
      </w:pPr>
    </w:p>
    <w:p>
      <w:pPr>
        <w:jc w:val="center"/>
        <w:rPr>
          <w:rFonts w:ascii="黑体" w:hAnsi="黑体" w:eastAsia="黑体" w:cs="黑体"/>
          <w:bCs/>
          <w:color w:val="000000"/>
          <w:w w:val="90"/>
          <w:sz w:val="72"/>
          <w:szCs w:val="72"/>
        </w:rPr>
      </w:pPr>
    </w:p>
    <w:p>
      <w:pPr>
        <w:pStyle w:val="2"/>
      </w:pPr>
    </w:p>
    <w:p>
      <w:pPr>
        <w:jc w:val="center"/>
        <w:rPr>
          <w:rFonts w:ascii="黑体" w:hAnsi="黑体" w:eastAsia="黑体" w:cs="黑体"/>
          <w:bCs/>
          <w:color w:val="000000"/>
          <w:w w:val="90"/>
          <w:sz w:val="72"/>
          <w:szCs w:val="72"/>
        </w:rPr>
      </w:pPr>
      <w:r>
        <w:rPr>
          <w:rFonts w:hint="eastAsia" w:ascii="黑体" w:hAnsi="黑体" w:eastAsia="黑体" w:cs="黑体"/>
          <w:bCs/>
          <w:color w:val="000000"/>
          <w:w w:val="90"/>
          <w:sz w:val="72"/>
          <w:szCs w:val="72"/>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ind w:firstLine="1285" w:firstLineChars="400"/>
        <w:rPr>
          <w:rFonts w:hint="eastAsia" w:ascii="仿宋" w:hAnsi="仿宋" w:eastAsia="仿宋" w:cs="仿宋"/>
          <w:b/>
          <w:bCs/>
          <w:color w:val="000000"/>
          <w:sz w:val="32"/>
          <w:szCs w:val="32"/>
          <w:lang w:eastAsia="zh-CN"/>
        </w:rPr>
      </w:pPr>
      <w:r>
        <w:rPr>
          <w:rFonts w:hint="eastAsia" w:ascii="仿宋" w:hAnsi="仿宋" w:eastAsia="仿宋" w:cs="仿宋"/>
          <w:b/>
          <w:bCs/>
          <w:color w:val="000000"/>
          <w:sz w:val="32"/>
          <w:szCs w:val="32"/>
        </w:rPr>
        <w:t>采购单位：禹州市</w:t>
      </w:r>
      <w:r>
        <w:rPr>
          <w:rFonts w:hint="eastAsia" w:ascii="仿宋" w:hAnsi="仿宋" w:eastAsia="仿宋" w:cs="仿宋"/>
          <w:b/>
          <w:bCs/>
          <w:color w:val="000000"/>
          <w:sz w:val="32"/>
          <w:szCs w:val="32"/>
          <w:lang w:eastAsia="zh-CN"/>
        </w:rPr>
        <w:t>产业集聚区管理委员会</w:t>
      </w:r>
    </w:p>
    <w:p>
      <w:pPr>
        <w:ind w:firstLine="1285" w:firstLineChars="400"/>
        <w:rPr>
          <w:rFonts w:hint="eastAsia" w:ascii="仿宋" w:hAnsi="仿宋" w:eastAsia="仿宋" w:cs="仿宋"/>
          <w:b/>
          <w:bCs/>
          <w:color w:val="000000"/>
          <w:sz w:val="32"/>
          <w:szCs w:val="32"/>
          <w:lang w:val="en-US" w:eastAsia="zh-CN"/>
        </w:rPr>
      </w:pPr>
      <w:r>
        <w:rPr>
          <w:rFonts w:hint="eastAsia" w:ascii="仿宋" w:hAnsi="仿宋" w:eastAsia="仿宋" w:cs="仿宋"/>
          <w:b/>
          <w:bCs/>
          <w:color w:val="000000"/>
          <w:sz w:val="32"/>
          <w:szCs w:val="32"/>
        </w:rPr>
        <w:t>采购编号： YZCG-G2019</w:t>
      </w:r>
      <w:r>
        <w:rPr>
          <w:rFonts w:hint="eastAsia" w:ascii="仿宋" w:hAnsi="仿宋" w:eastAsia="仿宋" w:cs="仿宋"/>
          <w:b/>
          <w:bCs/>
          <w:color w:val="000000"/>
          <w:sz w:val="32"/>
          <w:szCs w:val="32"/>
          <w:lang w:val="en-US" w:eastAsia="zh-CN"/>
        </w:rPr>
        <w:t>196</w:t>
      </w:r>
    </w:p>
    <w:p>
      <w:pPr>
        <w:ind w:firstLine="1285" w:firstLineChars="400"/>
        <w:rPr>
          <w:rFonts w:ascii="仿宋" w:hAnsi="仿宋" w:eastAsia="仿宋" w:cs="仿宋"/>
          <w:b/>
          <w:bCs/>
          <w:color w:val="000000"/>
          <w:sz w:val="32"/>
          <w:szCs w:val="32"/>
        </w:rPr>
      </w:pPr>
      <w:r>
        <w:rPr>
          <w:rFonts w:hint="eastAsia" w:ascii="仿宋" w:hAnsi="仿宋" w:eastAsia="仿宋" w:cs="仿宋"/>
          <w:b/>
          <w:bCs/>
          <w:color w:val="000000"/>
          <w:sz w:val="32"/>
          <w:szCs w:val="32"/>
        </w:rPr>
        <w:t>代理机构：禹州市政府采购中心</w:t>
      </w:r>
    </w:p>
    <w:p>
      <w:pPr>
        <w:rPr>
          <w:rFonts w:ascii="仿宋" w:hAnsi="仿宋" w:eastAsia="仿宋" w:cs="仿宋"/>
          <w:b/>
          <w:bCs/>
          <w:color w:val="000000"/>
          <w:sz w:val="32"/>
          <w:szCs w:val="32"/>
        </w:rPr>
      </w:pPr>
      <w:r>
        <w:rPr>
          <w:rFonts w:hint="eastAsia" w:ascii="仿宋" w:hAnsi="仿宋" w:eastAsia="仿宋" w:cs="仿宋"/>
          <w:b/>
          <w:bCs/>
          <w:color w:val="000000"/>
          <w:sz w:val="32"/>
          <w:szCs w:val="32"/>
        </w:rPr>
        <w:t xml:space="preserve">      </w:t>
      </w:r>
    </w:p>
    <w:p>
      <w:pPr>
        <w:ind w:firstLine="2530" w:firstLineChars="700"/>
        <w:rPr>
          <w:rFonts w:ascii="仿宋" w:hAnsi="仿宋" w:eastAsia="仿宋" w:cs="仿宋"/>
          <w:b/>
          <w:bCs/>
          <w:color w:val="000000"/>
          <w:sz w:val="36"/>
          <w:szCs w:val="36"/>
        </w:rPr>
      </w:pPr>
      <w:r>
        <w:rPr>
          <w:rFonts w:hint="eastAsia" w:ascii="仿宋" w:hAnsi="仿宋" w:eastAsia="仿宋" w:cs="仿宋"/>
          <w:b/>
          <w:bCs/>
          <w:color w:val="000000"/>
          <w:sz w:val="36"/>
          <w:szCs w:val="36"/>
        </w:rPr>
        <w:t>二〇一九年</w:t>
      </w:r>
      <w:r>
        <w:rPr>
          <w:rFonts w:hint="eastAsia" w:ascii="仿宋" w:hAnsi="仿宋" w:eastAsia="仿宋" w:cs="仿宋"/>
          <w:b/>
          <w:bCs/>
          <w:color w:val="000000"/>
          <w:sz w:val="36"/>
          <w:szCs w:val="36"/>
          <w:lang w:eastAsia="zh-CN"/>
        </w:rPr>
        <w:t>八</w:t>
      </w:r>
      <w:r>
        <w:rPr>
          <w:rFonts w:hint="eastAsia" w:ascii="仿宋" w:hAnsi="仿宋" w:eastAsia="仿宋" w:cs="仿宋"/>
          <w:b/>
          <w:bCs/>
          <w:color w:val="000000"/>
          <w:sz w:val="36"/>
          <w:szCs w:val="36"/>
        </w:rPr>
        <w:t xml:space="preserve">月 </w:t>
      </w:r>
    </w:p>
    <w:p>
      <w:pPr>
        <w:rPr>
          <w:rFonts w:asciiTheme="majorEastAsia" w:hAnsiTheme="majorEastAsia" w:eastAsiaTheme="majorEastAsia" w:cstheme="majorEastAsia"/>
          <w:b/>
          <w:bCs/>
          <w:color w:val="000000"/>
          <w:sz w:val="36"/>
          <w:szCs w:val="36"/>
        </w:rPr>
      </w:pPr>
    </w:p>
    <w:p>
      <w:pPr>
        <w:autoSpaceDE w:val="0"/>
        <w:autoSpaceDN w:val="0"/>
        <w:adjustRightInd w:val="0"/>
        <w:spacing w:line="700" w:lineRule="exact"/>
        <w:ind w:firstLine="551"/>
        <w:jc w:val="center"/>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2209" w:firstLineChars="500"/>
        <w:jc w:val="both"/>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jc w:val="both"/>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jc w:val="both"/>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jc w:val="both"/>
        <w:rPr>
          <w:rFonts w:hint="eastAsia" w:cs="黑体" w:asciiTheme="minorEastAsia" w:hAnsiTheme="minorEastAsia"/>
          <w:b/>
          <w:bCs/>
          <w:sz w:val="44"/>
          <w:szCs w:val="44"/>
          <w:lang w:val="zh-CN"/>
        </w:rPr>
      </w:pPr>
    </w:p>
    <w:p>
      <w:pPr>
        <w:autoSpaceDE w:val="0"/>
        <w:autoSpaceDN w:val="0"/>
        <w:adjustRightInd w:val="0"/>
        <w:spacing w:line="700" w:lineRule="exact"/>
        <w:ind w:firstLine="3092" w:firstLineChars="700"/>
        <w:jc w:val="both"/>
        <w:rPr>
          <w:rFonts w:cs="黑体" w:asciiTheme="minorEastAsia" w:hAnsiTheme="minorEastAsia"/>
          <w:b/>
          <w:bCs/>
          <w:sz w:val="44"/>
          <w:szCs w:val="44"/>
          <w:lang w:val="zh-CN"/>
        </w:rPr>
      </w:pPr>
      <w:r>
        <w:rPr>
          <w:rFonts w:hint="eastAsia" w:cs="黑体" w:asciiTheme="minorEastAsia" w:hAnsiTheme="minorEastAsia"/>
          <w:b/>
          <w:bCs/>
          <w:sz w:val="44"/>
          <w:szCs w:val="44"/>
          <w:lang w:val="zh-CN"/>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第三章 </w:t>
      </w:r>
      <w:r>
        <w:rPr>
          <w:rFonts w:hint="eastAsia" w:asciiTheme="majorEastAsia" w:hAnsiTheme="majorEastAsia" w:eastAsiaTheme="majorEastAsia" w:cstheme="majorEastAsia"/>
          <w:b/>
          <w:kern w:val="0"/>
          <w:sz w:val="32"/>
          <w:szCs w:val="32"/>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第四章 </w:t>
      </w:r>
      <w:r>
        <w:rPr>
          <w:rFonts w:hint="eastAsia" w:asciiTheme="majorEastAsia" w:hAnsiTheme="majorEastAsia" w:eastAsiaTheme="majorEastAsia" w:cstheme="majorEastAsia"/>
          <w:b/>
          <w:kern w:val="0"/>
          <w:sz w:val="32"/>
          <w:szCs w:val="32"/>
        </w:rPr>
        <w:t>投标人须知</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2"/>
          <w:szCs w:val="32"/>
          <w:lang w:val="zh-CN"/>
        </w:rPr>
      </w:pPr>
      <w:r>
        <w:rPr>
          <w:rFonts w:hint="eastAsia" w:asciiTheme="majorEastAsia" w:hAnsiTheme="majorEastAsia" w:eastAsiaTheme="majorEastAsia" w:cstheme="majorEastAsia"/>
          <w:sz w:val="32"/>
          <w:szCs w:val="32"/>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sz w:val="32"/>
          <w:szCs w:val="32"/>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第五章 </w:t>
      </w:r>
      <w:r>
        <w:rPr>
          <w:rFonts w:hint="eastAsia" w:asciiTheme="majorEastAsia" w:hAnsiTheme="majorEastAsia" w:eastAsiaTheme="majorEastAsia" w:cstheme="majorEastAsia"/>
          <w:b/>
          <w:kern w:val="0"/>
          <w:sz w:val="32"/>
          <w:szCs w:val="32"/>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第六章 </w:t>
      </w:r>
      <w:r>
        <w:rPr>
          <w:rFonts w:hint="eastAsia" w:asciiTheme="majorEastAsia" w:hAnsiTheme="majorEastAsia" w:eastAsiaTheme="majorEastAsia" w:cstheme="majorEastAsia"/>
          <w:b/>
          <w:kern w:val="0"/>
          <w:sz w:val="32"/>
          <w:szCs w:val="32"/>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2"/>
          <w:szCs w:val="32"/>
          <w:lang w:val="zh-CN"/>
        </w:rPr>
      </w:pPr>
      <w:r>
        <w:rPr>
          <w:rFonts w:hint="eastAsia" w:asciiTheme="majorEastAsia" w:hAnsiTheme="majorEastAsia" w:eastAsiaTheme="majorEastAsia" w:cstheme="majorEastAsia"/>
          <w:b/>
          <w:bCs/>
          <w:sz w:val="32"/>
          <w:szCs w:val="32"/>
          <w:lang w:val="zh-CN"/>
        </w:rPr>
        <w:t xml:space="preserve">第七章 </w:t>
      </w:r>
      <w:r>
        <w:rPr>
          <w:rFonts w:hint="eastAsia" w:asciiTheme="majorEastAsia" w:hAnsiTheme="majorEastAsia" w:eastAsiaTheme="majorEastAsia" w:cstheme="majorEastAsia"/>
          <w:b/>
          <w:kern w:val="0"/>
          <w:sz w:val="32"/>
          <w:szCs w:val="32"/>
        </w:rPr>
        <w:t>合同条款及格式</w:t>
      </w:r>
    </w:p>
    <w:p>
      <w:pPr>
        <w:autoSpaceDE w:val="0"/>
        <w:autoSpaceDN w:val="0"/>
        <w:adjustRightInd w:val="0"/>
        <w:spacing w:line="700" w:lineRule="exact"/>
        <w:ind w:firstLine="551"/>
        <w:rPr>
          <w:rFonts w:asciiTheme="majorEastAsia" w:hAnsiTheme="majorEastAsia" w:eastAsiaTheme="majorEastAsia" w:cstheme="majorEastAsia"/>
          <w:b/>
          <w:kern w:val="0"/>
          <w:sz w:val="32"/>
          <w:szCs w:val="32"/>
        </w:rPr>
      </w:pPr>
      <w:r>
        <w:rPr>
          <w:rFonts w:hint="eastAsia" w:asciiTheme="majorEastAsia" w:hAnsiTheme="majorEastAsia" w:eastAsiaTheme="majorEastAsia" w:cstheme="majorEastAsia"/>
          <w:b/>
          <w:bCs/>
          <w:sz w:val="32"/>
          <w:szCs w:val="32"/>
          <w:lang w:val="zh-CN"/>
        </w:rPr>
        <w:t xml:space="preserve">第八章 </w:t>
      </w:r>
      <w:r>
        <w:rPr>
          <w:rFonts w:hint="eastAsia" w:asciiTheme="majorEastAsia" w:hAnsiTheme="majorEastAsia" w:eastAsiaTheme="majorEastAsia" w:cstheme="majorEastAsia"/>
          <w:b/>
          <w:kern w:val="0"/>
          <w:sz w:val="32"/>
          <w:szCs w:val="32"/>
        </w:rPr>
        <w:t>投标文件有关格式</w:t>
      </w:r>
    </w:p>
    <w:p>
      <w:pPr>
        <w:autoSpaceDE w:val="0"/>
        <w:autoSpaceDN w:val="0"/>
        <w:adjustRightInd w:val="0"/>
        <w:spacing w:line="700" w:lineRule="exact"/>
        <w:rPr>
          <w:rFonts w:cs="宋体" w:asciiTheme="majorEastAsia" w:hAnsiTheme="majorEastAsia" w:eastAsiaTheme="majorEastAsia"/>
          <w:b/>
          <w:kern w:val="0"/>
          <w:sz w:val="36"/>
          <w:szCs w:val="36"/>
        </w:rPr>
      </w:pPr>
    </w:p>
    <w:p>
      <w:pPr>
        <w:pStyle w:val="2"/>
      </w:pPr>
    </w:p>
    <w:p>
      <w:pPr>
        <w:pStyle w:val="20"/>
        <w:widowControl/>
        <w:numPr>
          <w:ilvl w:val="0"/>
          <w:numId w:val="4"/>
        </w:numPr>
        <w:shd w:val="clear" w:color="auto" w:fill="FFFFFF"/>
        <w:spacing w:line="315" w:lineRule="atLeast"/>
        <w:jc w:val="center"/>
        <w:rPr>
          <w:rFonts w:hint="eastAsia" w:ascii="宋体" w:hAnsi="宋体" w:cs="宋体"/>
          <w:b/>
          <w:color w:val="000000"/>
          <w:sz w:val="36"/>
          <w:szCs w:val="36"/>
          <w:shd w:val="clear" w:color="auto" w:fill="FFFFFF"/>
        </w:rPr>
      </w:pPr>
      <w:r>
        <w:rPr>
          <w:rFonts w:hint="eastAsia" w:ascii="宋体" w:hAnsi="宋体" w:cs="宋体"/>
          <w:b/>
          <w:color w:val="000000"/>
          <w:sz w:val="36"/>
          <w:szCs w:val="36"/>
          <w:shd w:val="clear" w:color="auto" w:fill="FFFFFF"/>
        </w:rPr>
        <w:t>投标邀请</w:t>
      </w:r>
    </w:p>
    <w:p>
      <w:pPr>
        <w:pStyle w:val="20"/>
        <w:widowControl/>
        <w:numPr>
          <w:ilvl w:val="0"/>
          <w:numId w:val="0"/>
        </w:numPr>
        <w:shd w:val="clear" w:color="auto" w:fill="FFFFFF"/>
        <w:spacing w:line="315" w:lineRule="atLeast"/>
        <w:jc w:val="both"/>
        <w:rPr>
          <w:rFonts w:hint="eastAsia" w:ascii="宋体" w:hAnsi="宋体" w:cs="宋体"/>
          <w:b/>
          <w:color w:val="000000"/>
          <w:sz w:val="36"/>
          <w:szCs w:val="36"/>
          <w:shd w:val="clear" w:color="auto" w:fill="FFFFFF"/>
        </w:rPr>
      </w:pP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禹州市产业集聚区智能化园区建设项目</w:t>
      </w:r>
    </w:p>
    <w:p>
      <w:pPr>
        <w:spacing w:line="600" w:lineRule="exact"/>
        <w:jc w:val="center"/>
        <w:rPr>
          <w:rFonts w:hint="eastAsia" w:ascii="仿宋" w:hAnsi="仿宋" w:eastAsia="仿宋" w:cs="仿宋"/>
          <w:b/>
          <w:bCs/>
          <w:sz w:val="36"/>
          <w:szCs w:val="36"/>
        </w:rPr>
      </w:pPr>
      <w:r>
        <w:rPr>
          <w:rFonts w:hint="eastAsia" w:ascii="仿宋" w:hAnsi="仿宋" w:eastAsia="仿宋" w:cs="仿宋"/>
          <w:b/>
          <w:bCs/>
          <w:sz w:val="36"/>
          <w:szCs w:val="36"/>
        </w:rPr>
        <w:t>招  标  邀  请 函</w:t>
      </w:r>
    </w:p>
    <w:p>
      <w:pPr>
        <w:pStyle w:val="29"/>
        <w:rPr>
          <w:rFonts w:hint="eastAsia" w:ascii="仿宋" w:hAnsi="仿宋" w:eastAsia="仿宋" w:cs="仿宋"/>
          <w:b/>
          <w:bCs/>
          <w:sz w:val="36"/>
          <w:szCs w:val="36"/>
        </w:rPr>
      </w:pPr>
    </w:p>
    <w:p>
      <w:pPr>
        <w:spacing w:line="600" w:lineRule="exact"/>
        <w:ind w:firstLine="480" w:firstLineChars="200"/>
        <w:jc w:val="left"/>
        <w:rPr>
          <w:rFonts w:ascii="仿宋" w:hAnsi="仿宋" w:eastAsia="仿宋" w:cs="仿宋"/>
          <w:sz w:val="24"/>
          <w:szCs w:val="24"/>
        </w:rPr>
      </w:pPr>
      <w:r>
        <w:rPr>
          <w:rFonts w:hint="eastAsia" w:ascii="仿宋" w:hAnsi="仿宋" w:eastAsia="仿宋" w:cs="仿宋"/>
          <w:sz w:val="24"/>
          <w:szCs w:val="24"/>
        </w:rPr>
        <w:t>禹州市政府采购中心受禹州市</w:t>
      </w:r>
      <w:r>
        <w:rPr>
          <w:rFonts w:hint="eastAsia" w:ascii="仿宋" w:hAnsi="仿宋" w:eastAsia="仿宋" w:cs="仿宋"/>
          <w:sz w:val="24"/>
          <w:szCs w:val="24"/>
          <w:lang w:eastAsia="zh-CN"/>
        </w:rPr>
        <w:t>产业集聚区管理委员会</w:t>
      </w:r>
      <w:r>
        <w:rPr>
          <w:rFonts w:hint="eastAsia" w:ascii="仿宋" w:hAnsi="仿宋" w:eastAsia="仿宋" w:cs="仿宋"/>
          <w:sz w:val="24"/>
          <w:szCs w:val="24"/>
        </w:rPr>
        <w:t>的委托，就“禹州市产业集聚区智能化园区建设项目”进行公开招标，欢迎合格的投标人前来投标。</w:t>
      </w:r>
    </w:p>
    <w:p>
      <w:pPr>
        <w:pStyle w:val="59"/>
        <w:widowControl/>
        <w:numPr>
          <w:ilvl w:val="0"/>
          <w:numId w:val="5"/>
        </w:numPr>
        <w:shd w:val="clear" w:color="auto" w:fill="FFFFFF"/>
        <w:spacing w:line="400" w:lineRule="exact"/>
        <w:ind w:firstLineChars="0"/>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项目基本情况</w:t>
      </w:r>
    </w:p>
    <w:p>
      <w:pPr>
        <w:widowControl/>
        <w:numPr>
          <w:ilvl w:val="0"/>
          <w:numId w:val="0"/>
        </w:numPr>
        <w:shd w:val="clear" w:color="auto" w:fill="FFFFFF"/>
        <w:spacing w:line="400" w:lineRule="exact"/>
        <w:ind w:firstLine="240" w:firstLineChars="100"/>
        <w:jc w:val="left"/>
        <w:rPr>
          <w:rFonts w:hint="eastAsia" w:ascii="仿宋" w:hAnsi="仿宋" w:eastAsia="仿宋" w:cs="仿宋"/>
          <w:sz w:val="24"/>
          <w:szCs w:val="24"/>
        </w:rPr>
      </w:pPr>
      <w:r>
        <w:rPr>
          <w:rFonts w:hint="eastAsia" w:ascii="仿宋" w:hAnsi="仿宋" w:eastAsia="仿宋" w:cs="仿宋"/>
          <w:sz w:val="24"/>
          <w:szCs w:val="24"/>
          <w:lang w:val="en-US" w:eastAsia="zh-CN"/>
        </w:rPr>
        <w:t>1.</w:t>
      </w:r>
      <w:r>
        <w:rPr>
          <w:rFonts w:hint="eastAsia" w:ascii="仿宋" w:hAnsi="仿宋" w:eastAsia="仿宋" w:cs="仿宋"/>
          <w:sz w:val="24"/>
          <w:szCs w:val="24"/>
        </w:rPr>
        <w:t>采购人：禹州市产业集聚区管理委员会</w:t>
      </w:r>
    </w:p>
    <w:p>
      <w:pPr>
        <w:widowControl/>
        <w:numPr>
          <w:ilvl w:val="0"/>
          <w:numId w:val="0"/>
        </w:numPr>
        <w:shd w:val="clear" w:color="auto" w:fill="FFFFFF"/>
        <w:spacing w:line="400" w:lineRule="exact"/>
        <w:ind w:firstLine="240" w:firstLineChars="100"/>
        <w:jc w:val="left"/>
        <w:rPr>
          <w:rFonts w:hint="eastAsia" w:ascii="仿宋" w:hAnsi="仿宋" w:eastAsia="仿宋" w:cs="仿宋"/>
          <w:sz w:val="24"/>
          <w:szCs w:val="24"/>
        </w:rPr>
      </w:pPr>
      <w:r>
        <w:rPr>
          <w:rFonts w:hint="eastAsia" w:ascii="仿宋" w:hAnsi="仿宋" w:eastAsia="仿宋" w:cs="仿宋"/>
          <w:color w:val="000000"/>
          <w:kern w:val="0"/>
          <w:sz w:val="24"/>
          <w:szCs w:val="24"/>
        </w:rPr>
        <w:t>2.项目名称</w:t>
      </w:r>
      <w:r>
        <w:rPr>
          <w:rFonts w:hint="eastAsia" w:ascii="仿宋" w:hAnsi="仿宋" w:eastAsia="仿宋" w:cs="仿宋"/>
          <w:color w:val="000000"/>
          <w:kern w:val="0"/>
          <w:sz w:val="24"/>
          <w:szCs w:val="24"/>
          <w:lang w:eastAsia="zh-CN"/>
        </w:rPr>
        <w:t>：</w:t>
      </w:r>
      <w:r>
        <w:rPr>
          <w:rFonts w:hint="eastAsia" w:ascii="仿宋" w:hAnsi="仿宋" w:eastAsia="仿宋" w:cs="仿宋"/>
          <w:sz w:val="24"/>
          <w:szCs w:val="24"/>
        </w:rPr>
        <w:t>禹州市产业集聚区智能化园区建设项目</w:t>
      </w:r>
    </w:p>
    <w:p>
      <w:pPr>
        <w:widowControl/>
        <w:numPr>
          <w:ilvl w:val="0"/>
          <w:numId w:val="0"/>
        </w:numPr>
        <w:shd w:val="clear" w:color="auto" w:fill="FFFFFF"/>
        <w:spacing w:line="400" w:lineRule="exact"/>
        <w:ind w:firstLine="240" w:firstLineChars="100"/>
        <w:jc w:val="left"/>
        <w:rPr>
          <w:rFonts w:hint="eastAsia" w:ascii="仿宋" w:hAnsi="仿宋" w:eastAsia="仿宋" w:cs="仿宋"/>
          <w:sz w:val="24"/>
          <w:szCs w:val="24"/>
          <w:lang w:val="en-US" w:eastAsia="zh-CN"/>
        </w:rPr>
      </w:pPr>
      <w:r>
        <w:rPr>
          <w:rFonts w:hint="eastAsia" w:ascii="仿宋" w:hAnsi="仿宋" w:eastAsia="仿宋" w:cs="仿宋"/>
          <w:color w:val="000000"/>
          <w:kern w:val="0"/>
          <w:sz w:val="24"/>
          <w:szCs w:val="24"/>
        </w:rPr>
        <w:t>3</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采购编号：</w:t>
      </w:r>
      <w:r>
        <w:rPr>
          <w:rFonts w:hint="eastAsia" w:ascii="仿宋" w:hAnsi="仿宋" w:eastAsia="仿宋" w:cs="仿宋"/>
          <w:sz w:val="24"/>
          <w:szCs w:val="24"/>
        </w:rPr>
        <w:t>YZCG-G2019</w:t>
      </w:r>
      <w:r>
        <w:rPr>
          <w:rFonts w:hint="eastAsia" w:ascii="仿宋" w:hAnsi="仿宋" w:eastAsia="仿宋" w:cs="仿宋"/>
          <w:sz w:val="24"/>
          <w:szCs w:val="24"/>
          <w:lang w:val="en-US" w:eastAsia="zh-CN"/>
        </w:rPr>
        <w:t>196</w:t>
      </w:r>
    </w:p>
    <w:p>
      <w:pPr>
        <w:widowControl/>
        <w:numPr>
          <w:ilvl w:val="0"/>
          <w:numId w:val="0"/>
        </w:numPr>
        <w:shd w:val="clear" w:color="auto" w:fill="FFFFFF"/>
        <w:spacing w:line="400" w:lineRule="exact"/>
        <w:ind w:firstLine="240" w:firstLineChars="100"/>
        <w:jc w:val="left"/>
        <w:rPr>
          <w:rFonts w:hint="eastAsia" w:ascii="仿宋" w:hAnsi="仿宋" w:eastAsia="仿宋" w:cs="仿宋"/>
          <w:color w:val="000000"/>
          <w:kern w:val="0"/>
          <w:sz w:val="24"/>
          <w:szCs w:val="24"/>
        </w:rPr>
      </w:pPr>
      <w:r>
        <w:rPr>
          <w:rFonts w:hint="eastAsia" w:ascii="仿宋" w:hAnsi="仿宋" w:eastAsia="仿宋" w:cs="仿宋"/>
          <w:color w:val="000000"/>
          <w:kern w:val="0"/>
          <w:sz w:val="24"/>
          <w:szCs w:val="24"/>
        </w:rPr>
        <w:t>4</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项目需求：</w:t>
      </w:r>
      <w:r>
        <w:rPr>
          <w:rFonts w:hint="eastAsia" w:ascii="仿宋" w:hAnsi="仿宋" w:eastAsia="仿宋" w:cs="仿宋"/>
          <w:color w:val="000000"/>
          <w:kern w:val="0"/>
          <w:sz w:val="24"/>
          <w:szCs w:val="24"/>
          <w:lang w:eastAsia="zh-CN"/>
        </w:rPr>
        <w:t>园区服务系统、园区招商系统、云资源、产业系统等</w:t>
      </w:r>
      <w:r>
        <w:rPr>
          <w:rFonts w:hint="eastAsia" w:ascii="仿宋" w:hAnsi="仿宋" w:eastAsia="仿宋" w:cs="仿宋"/>
          <w:color w:val="000000"/>
          <w:kern w:val="0"/>
          <w:sz w:val="24"/>
          <w:szCs w:val="24"/>
        </w:rPr>
        <w:t>（详见招标文件）</w:t>
      </w:r>
    </w:p>
    <w:p>
      <w:pPr>
        <w:widowControl/>
        <w:numPr>
          <w:ilvl w:val="0"/>
          <w:numId w:val="0"/>
        </w:numPr>
        <w:shd w:val="clear" w:color="auto" w:fill="FFFFFF"/>
        <w:spacing w:line="400" w:lineRule="exact"/>
        <w:ind w:firstLine="240" w:firstLineChars="100"/>
        <w:jc w:val="left"/>
        <w:rPr>
          <w:rFonts w:hint="eastAsia" w:ascii="仿宋" w:hAnsi="仿宋" w:eastAsia="仿宋" w:cs="仿宋"/>
          <w:sz w:val="24"/>
          <w:szCs w:val="24"/>
        </w:rPr>
      </w:pPr>
      <w:r>
        <w:rPr>
          <w:rFonts w:hint="eastAsia" w:ascii="仿宋" w:hAnsi="仿宋" w:eastAsia="仿宋" w:cs="仿宋"/>
          <w:color w:val="000000"/>
          <w:kern w:val="0"/>
          <w:sz w:val="24"/>
          <w:szCs w:val="24"/>
        </w:rPr>
        <w:t>5</w:t>
      </w:r>
      <w:r>
        <w:rPr>
          <w:rFonts w:hint="eastAsia" w:ascii="仿宋" w:hAnsi="仿宋" w:eastAsia="仿宋" w:cs="仿宋"/>
          <w:color w:val="000000"/>
          <w:kern w:val="0"/>
          <w:sz w:val="24"/>
          <w:szCs w:val="24"/>
          <w:lang w:eastAsia="zh-CN"/>
        </w:rPr>
        <w:t>.</w:t>
      </w:r>
      <w:r>
        <w:rPr>
          <w:rFonts w:hint="eastAsia" w:ascii="仿宋" w:hAnsi="仿宋" w:eastAsia="仿宋" w:cs="仿宋"/>
          <w:color w:val="000000"/>
          <w:kern w:val="0"/>
          <w:sz w:val="24"/>
          <w:szCs w:val="24"/>
        </w:rPr>
        <w:t>采购预算：</w:t>
      </w:r>
      <w:r>
        <w:rPr>
          <w:rFonts w:hint="eastAsia" w:ascii="仿宋" w:hAnsi="仿宋" w:eastAsia="仿宋" w:cs="仿宋"/>
          <w:color w:val="000000"/>
          <w:kern w:val="0"/>
          <w:sz w:val="24"/>
          <w:szCs w:val="24"/>
          <w:lang w:val="en-US" w:eastAsia="zh-CN"/>
        </w:rPr>
        <w:t>390.975</w:t>
      </w:r>
      <w:r>
        <w:rPr>
          <w:rFonts w:hint="eastAsia" w:ascii="仿宋" w:hAnsi="仿宋" w:eastAsia="仿宋" w:cs="仿宋"/>
          <w:kern w:val="0"/>
          <w:sz w:val="24"/>
          <w:szCs w:val="24"/>
          <w:lang w:val="en-US" w:eastAsia="zh-CN"/>
        </w:rPr>
        <w:t>万</w:t>
      </w:r>
      <w:r>
        <w:rPr>
          <w:rFonts w:hint="eastAsia" w:ascii="仿宋" w:hAnsi="仿宋" w:eastAsia="仿宋" w:cs="仿宋"/>
          <w:sz w:val="24"/>
          <w:szCs w:val="24"/>
        </w:rPr>
        <w:t>元</w:t>
      </w:r>
    </w:p>
    <w:p>
      <w:pPr>
        <w:widowControl/>
        <w:numPr>
          <w:ilvl w:val="0"/>
          <w:numId w:val="0"/>
        </w:numPr>
        <w:shd w:val="clear" w:color="auto" w:fill="FFFFFF"/>
        <w:spacing w:line="400" w:lineRule="exact"/>
        <w:ind w:firstLine="240" w:firstLineChars="100"/>
        <w:jc w:val="left"/>
        <w:rPr>
          <w:rFonts w:ascii="仿宋" w:hAnsi="仿宋" w:eastAsia="仿宋" w:cs="仿宋"/>
          <w:sz w:val="24"/>
          <w:szCs w:val="24"/>
        </w:rPr>
      </w:pPr>
      <w:r>
        <w:rPr>
          <w:rFonts w:hint="eastAsia" w:ascii="仿宋" w:hAnsi="仿宋" w:eastAsia="仿宋" w:cs="仿宋"/>
          <w:sz w:val="24"/>
          <w:szCs w:val="24"/>
          <w:lang w:val="en-US" w:eastAsia="zh-CN"/>
        </w:rPr>
        <w:t>6.</w:t>
      </w:r>
      <w:r>
        <w:rPr>
          <w:rFonts w:hint="eastAsia" w:ascii="仿宋" w:hAnsi="仿宋" w:eastAsia="仿宋" w:cs="仿宋"/>
          <w:sz w:val="24"/>
          <w:szCs w:val="24"/>
        </w:rPr>
        <w:t>采购限价：</w:t>
      </w:r>
      <w:r>
        <w:rPr>
          <w:rFonts w:hint="eastAsia" w:ascii="仿宋" w:hAnsi="仿宋" w:eastAsia="仿宋" w:cs="仿宋"/>
          <w:sz w:val="24"/>
          <w:szCs w:val="24"/>
          <w:lang w:val="en-US" w:eastAsia="zh-CN"/>
        </w:rPr>
        <w:t>390.975</w:t>
      </w:r>
      <w:r>
        <w:rPr>
          <w:rFonts w:hint="eastAsia" w:ascii="仿宋" w:hAnsi="仿宋" w:eastAsia="仿宋" w:cs="仿宋"/>
          <w:sz w:val="24"/>
          <w:szCs w:val="24"/>
        </w:rPr>
        <w:t>万元</w:t>
      </w:r>
    </w:p>
    <w:p>
      <w:pPr>
        <w:widowControl/>
        <w:shd w:val="clear" w:color="auto" w:fill="FFFFFF"/>
        <w:spacing w:line="400" w:lineRule="exact"/>
        <w:ind w:firstLine="354" w:firstLineChars="147"/>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二、需要落实的政府采购政策</w:t>
      </w:r>
    </w:p>
    <w:p>
      <w:pPr>
        <w:widowControl/>
        <w:shd w:val="clear" w:color="auto" w:fill="FFFFFF"/>
        <w:spacing w:line="40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本项目落实节约能源、保护环境、扶持不发达地区和少数民族地区、促进中小企业、监狱企业发展等政府采购政策。（详见招标文件）</w:t>
      </w:r>
    </w:p>
    <w:p>
      <w:pPr>
        <w:widowControl/>
        <w:shd w:val="clear" w:color="auto" w:fill="FFFFFF"/>
        <w:spacing w:line="400" w:lineRule="exact"/>
        <w:ind w:left="482"/>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三、供应商资格要求：</w:t>
      </w:r>
    </w:p>
    <w:p>
      <w:pPr>
        <w:widowControl/>
        <w:shd w:val="clear" w:color="auto" w:fill="FFFFFF"/>
        <w:spacing w:line="400" w:lineRule="exact"/>
        <w:ind w:left="482"/>
        <w:jc w:val="left"/>
        <w:rPr>
          <w:rFonts w:hint="eastAsia" w:ascii="仿宋" w:hAnsi="仿宋" w:eastAsia="仿宋" w:cs="仿宋"/>
          <w:sz w:val="24"/>
          <w:szCs w:val="24"/>
          <w:lang w:val="en-US" w:eastAsia="zh-CN"/>
        </w:rPr>
      </w:pPr>
      <w:r>
        <w:rPr>
          <w:rFonts w:hint="eastAsia" w:ascii="仿宋" w:hAnsi="仿宋" w:eastAsia="仿宋" w:cs="仿宋"/>
          <w:sz w:val="24"/>
          <w:szCs w:val="24"/>
        </w:rPr>
        <w:t>1、符合《政府采购法》第二十二条之规定，具有独立法人资格及相应的经营范围（</w:t>
      </w:r>
      <w:r>
        <w:rPr>
          <w:rFonts w:hint="eastAsia" w:ascii="仿宋" w:hAnsi="仿宋" w:eastAsia="仿宋" w:cs="仿宋"/>
          <w:sz w:val="24"/>
          <w:szCs w:val="24"/>
          <w:lang w:eastAsia="zh-CN"/>
        </w:rPr>
        <w:t>营业执照</w:t>
      </w:r>
      <w:r>
        <w:rPr>
          <w:rFonts w:hint="eastAsia" w:ascii="仿宋" w:hAnsi="仿宋" w:eastAsia="仿宋" w:cs="宋体"/>
          <w:iCs/>
          <w:color w:val="000000"/>
          <w:kern w:val="0"/>
          <w:sz w:val="24"/>
          <w:szCs w:val="24"/>
        </w:rPr>
        <w:t>含计算机软、硬件开发及销售，IT技术服务，计算机信息系统集成</w:t>
      </w:r>
      <w:r>
        <w:rPr>
          <w:rFonts w:hint="eastAsia" w:ascii="仿宋" w:hAnsi="仿宋" w:eastAsia="仿宋" w:cs="仿宋"/>
          <w:sz w:val="24"/>
          <w:szCs w:val="24"/>
        </w:rPr>
        <w:t>）；</w:t>
      </w:r>
    </w:p>
    <w:p>
      <w:pPr>
        <w:spacing w:line="400" w:lineRule="exact"/>
        <w:ind w:left="319" w:leftChars="152" w:firstLine="120" w:firstLineChars="50"/>
        <w:rPr>
          <w:rFonts w:hint="eastAsia" w:ascii="仿宋" w:hAnsi="仿宋" w:eastAsia="仿宋" w:cs="仿宋"/>
          <w:sz w:val="24"/>
          <w:szCs w:val="24"/>
        </w:rPr>
      </w:pPr>
      <w:r>
        <w:rPr>
          <w:rFonts w:hint="eastAsia" w:ascii="仿宋" w:hAnsi="仿宋" w:eastAsia="仿宋" w:cs="仿宋"/>
          <w:sz w:val="24"/>
          <w:szCs w:val="24"/>
        </w:rPr>
        <w:t>2、被委托人是须是本单位职工，须提供公司为本人缴纳社会保险证明；</w:t>
      </w:r>
    </w:p>
    <w:p>
      <w:pPr>
        <w:spacing w:line="400" w:lineRule="exact"/>
        <w:ind w:left="319" w:leftChars="152" w:firstLine="120" w:firstLineChars="50"/>
        <w:rPr>
          <w:rFonts w:ascii="仿宋" w:hAnsi="仿宋" w:eastAsia="仿宋" w:cs="仿宋"/>
          <w:sz w:val="24"/>
          <w:szCs w:val="24"/>
        </w:rPr>
      </w:pPr>
      <w:r>
        <w:rPr>
          <w:rFonts w:hint="eastAsia" w:ascii="仿宋" w:hAnsi="仿宋" w:eastAsia="仿宋" w:cs="仿宋"/>
          <w:sz w:val="24"/>
          <w:szCs w:val="24"/>
        </w:rPr>
        <w:t>3、本项目不接受联合体投标。</w:t>
      </w:r>
    </w:p>
    <w:p>
      <w:pPr>
        <w:widowControl/>
        <w:shd w:val="clear" w:color="auto" w:fill="FFFFFF"/>
        <w:spacing w:line="400" w:lineRule="exact"/>
        <w:ind w:firstLine="482"/>
        <w:jc w:val="left"/>
        <w:rPr>
          <w:rFonts w:ascii="仿宋" w:hAnsi="仿宋" w:eastAsia="仿宋" w:cs="仿宋"/>
          <w:b/>
          <w:color w:val="000000"/>
          <w:kern w:val="0"/>
          <w:sz w:val="24"/>
          <w:szCs w:val="24"/>
        </w:rPr>
      </w:pPr>
      <w:r>
        <w:rPr>
          <w:rFonts w:hint="eastAsia" w:ascii="仿宋" w:hAnsi="仿宋" w:eastAsia="仿宋" w:cs="仿宋"/>
          <w:b/>
          <w:color w:val="000000"/>
          <w:kern w:val="0"/>
          <w:sz w:val="24"/>
          <w:szCs w:val="24"/>
        </w:rPr>
        <w:t>四、获取招标文件的方式、时间、地点</w:t>
      </w:r>
    </w:p>
    <w:p>
      <w:pPr>
        <w:wordWrap w:val="0"/>
        <w:topLinePunct/>
        <w:snapToGrid w:val="0"/>
        <w:spacing w:line="400" w:lineRule="exact"/>
        <w:ind w:firstLine="480" w:firstLineChars="200"/>
        <w:rPr>
          <w:rFonts w:ascii="仿宋" w:hAnsi="仿宋" w:eastAsia="仿宋" w:cs="仿宋"/>
          <w:sz w:val="24"/>
          <w:szCs w:val="24"/>
          <w:lang w:val="zh-CN"/>
        </w:rPr>
      </w:pPr>
      <w:r>
        <w:rPr>
          <w:rFonts w:hint="eastAsia" w:ascii="仿宋" w:hAnsi="仿宋" w:eastAsia="仿宋" w:cs="仿宋"/>
          <w:sz w:val="24"/>
          <w:szCs w:val="24"/>
          <w:lang w:val="zh-CN"/>
        </w:rPr>
        <w:t>1、持CA数字认证证书，登录</w:t>
      </w:r>
      <w:r>
        <w:rPr>
          <w:rFonts w:hint="eastAsia" w:ascii="仿宋" w:hAnsi="仿宋" w:eastAsia="仿宋" w:cs="仿宋"/>
          <w:color w:val="auto"/>
          <w:sz w:val="24"/>
          <w:szCs w:val="24"/>
          <w:u w:val="none"/>
          <w:lang w:val="zh-CN"/>
        </w:rPr>
        <w:fldChar w:fldCharType="begin"/>
      </w:r>
      <w:r>
        <w:rPr>
          <w:rFonts w:hint="eastAsia" w:ascii="仿宋" w:hAnsi="仿宋" w:eastAsia="仿宋" w:cs="仿宋"/>
          <w:color w:val="auto"/>
          <w:sz w:val="24"/>
          <w:szCs w:val="24"/>
          <w:u w:val="none"/>
          <w:lang w:val="zh-CN"/>
        </w:rPr>
        <w:instrText xml:space="preserve"> HYPERLINK "http://221.14.6.70:8088/ggzy/eps/public/RegistAllJcxx.html" </w:instrText>
      </w:r>
      <w:r>
        <w:rPr>
          <w:rFonts w:hint="eastAsia" w:ascii="仿宋" w:hAnsi="仿宋" w:eastAsia="仿宋" w:cs="仿宋"/>
          <w:color w:val="auto"/>
          <w:sz w:val="24"/>
          <w:szCs w:val="24"/>
          <w:u w:val="none"/>
          <w:lang w:val="zh-CN"/>
        </w:rPr>
        <w:fldChar w:fldCharType="separate"/>
      </w:r>
      <w:r>
        <w:rPr>
          <w:rStyle w:val="28"/>
          <w:rFonts w:hint="eastAsia" w:ascii="仿宋" w:hAnsi="仿宋" w:eastAsia="仿宋" w:cs="仿宋"/>
          <w:sz w:val="24"/>
          <w:szCs w:val="24"/>
          <w:lang w:val="zh-CN"/>
        </w:rPr>
        <w:t>http://221.14.6.70:8088/ggzy/eps/public/RegistAllJcxx.html</w:t>
      </w:r>
      <w:r>
        <w:rPr>
          <w:rFonts w:hint="eastAsia" w:ascii="仿宋" w:hAnsi="仿宋" w:eastAsia="仿宋" w:cs="仿宋"/>
          <w:color w:val="auto"/>
          <w:sz w:val="24"/>
          <w:szCs w:val="24"/>
          <w:u w:val="none"/>
          <w:lang w:val="zh-CN"/>
        </w:rPr>
        <w:fldChar w:fldCharType="end"/>
      </w:r>
      <w:r>
        <w:rPr>
          <w:rFonts w:hint="eastAsia" w:ascii="仿宋" w:hAnsi="仿宋" w:eastAsia="仿宋" w:cs="仿宋"/>
          <w:sz w:val="24"/>
          <w:szCs w:val="24"/>
          <w:lang w:val="zh-CN"/>
        </w:rPr>
        <w:t>进行免费注册登记（详见全国公共资源交易平台（河南省·许昌市）“常见问题解答-诚信库网上注册相关资料下载”）；</w:t>
      </w:r>
    </w:p>
    <w:p>
      <w:pPr>
        <w:wordWrap w:val="0"/>
        <w:topLinePunct/>
        <w:autoSpaceDE w:val="0"/>
        <w:autoSpaceDN w:val="0"/>
        <w:adjustRightInd w:val="0"/>
        <w:snapToGrid w:val="0"/>
        <w:spacing w:line="400" w:lineRule="exact"/>
        <w:ind w:firstLine="482"/>
        <w:rPr>
          <w:rFonts w:ascii="仿宋" w:hAnsi="仿宋" w:eastAsia="仿宋" w:cs="仿宋"/>
          <w:sz w:val="24"/>
          <w:szCs w:val="24"/>
          <w:lang w:val="zh-CN"/>
        </w:rPr>
      </w:pPr>
      <w:r>
        <w:rPr>
          <w:rFonts w:hint="eastAsia" w:ascii="仿宋" w:hAnsi="仿宋" w:eastAsia="仿宋" w:cs="仿宋"/>
          <w:sz w:val="24"/>
          <w:szCs w:val="24"/>
          <w:lang w:val="zh-CN"/>
        </w:rPr>
        <w:t>2、在投标截止时间前登录</w:t>
      </w:r>
      <w:r>
        <w:rPr>
          <w:rFonts w:hint="eastAsia" w:ascii="仿宋" w:hAnsi="仿宋" w:eastAsia="仿宋" w:cs="仿宋"/>
          <w:color w:val="auto"/>
          <w:sz w:val="24"/>
          <w:szCs w:val="24"/>
          <w:u w:val="none"/>
          <w:lang w:val="zh-CN"/>
        </w:rPr>
        <w:fldChar w:fldCharType="begin"/>
      </w:r>
      <w:r>
        <w:rPr>
          <w:rFonts w:hint="eastAsia" w:ascii="仿宋" w:hAnsi="仿宋" w:eastAsia="仿宋" w:cs="仿宋"/>
          <w:color w:val="auto"/>
          <w:sz w:val="24"/>
          <w:szCs w:val="24"/>
          <w:u w:val="none"/>
          <w:lang w:val="zh-CN"/>
        </w:rPr>
        <w:instrText xml:space="preserve"> HYPERLINK "http://ggzy.xuchang.gov.cn/" </w:instrText>
      </w:r>
      <w:r>
        <w:rPr>
          <w:rFonts w:hint="eastAsia" w:ascii="仿宋" w:hAnsi="仿宋" w:eastAsia="仿宋" w:cs="仿宋"/>
          <w:color w:val="auto"/>
          <w:sz w:val="24"/>
          <w:szCs w:val="24"/>
          <w:u w:val="none"/>
          <w:lang w:val="zh-CN"/>
        </w:rPr>
        <w:fldChar w:fldCharType="separate"/>
      </w:r>
      <w:r>
        <w:rPr>
          <w:rStyle w:val="28"/>
          <w:rFonts w:hint="eastAsia" w:ascii="仿宋" w:hAnsi="仿宋" w:eastAsia="仿宋" w:cs="仿宋"/>
          <w:sz w:val="24"/>
          <w:szCs w:val="24"/>
          <w:lang w:val="zh-CN"/>
        </w:rPr>
        <w:t>http://</w:t>
      </w:r>
      <w:r>
        <w:rPr>
          <w:rStyle w:val="28"/>
          <w:rFonts w:hint="eastAsia" w:ascii="仿宋" w:hAnsi="仿宋" w:eastAsia="仿宋" w:cs="仿宋"/>
          <w:sz w:val="24"/>
          <w:szCs w:val="24"/>
          <w:lang w:val="en-US" w:eastAsia="zh-CN"/>
        </w:rPr>
        <w:t>ggzy.xuchang.gov.cn/</w:t>
      </w:r>
      <w:r>
        <w:rPr>
          <w:rFonts w:hint="eastAsia" w:ascii="仿宋" w:hAnsi="仿宋" w:eastAsia="仿宋" w:cs="仿宋"/>
          <w:color w:val="auto"/>
          <w:sz w:val="24"/>
          <w:szCs w:val="24"/>
          <w:u w:val="none"/>
          <w:lang w:val="zh-CN"/>
        </w:rPr>
        <w:fldChar w:fldCharType="end"/>
      </w:r>
      <w:r>
        <w:rPr>
          <w:rFonts w:hint="eastAsia" w:ascii="仿宋" w:hAnsi="仿宋" w:eastAsia="仿宋" w:cs="仿宋"/>
          <w:sz w:val="24"/>
          <w:szCs w:val="24"/>
          <w:lang w:val="zh-CN"/>
        </w:rPr>
        <w:t>，自行下载招标文件（详见全国公共资源交易平台（河南省·许昌市）“常见问题解答-交易系统操作手册”）。</w:t>
      </w:r>
    </w:p>
    <w:p>
      <w:pPr>
        <w:spacing w:line="400" w:lineRule="exact"/>
        <w:rPr>
          <w:rFonts w:ascii="仿宋" w:hAnsi="仿宋" w:eastAsia="仿宋" w:cs="仿宋"/>
          <w:sz w:val="24"/>
          <w:szCs w:val="24"/>
        </w:rPr>
      </w:pPr>
      <w:r>
        <w:rPr>
          <w:rFonts w:hint="eastAsia" w:ascii="仿宋" w:hAnsi="仿宋" w:eastAsia="仿宋" w:cs="仿宋"/>
          <w:sz w:val="24"/>
          <w:szCs w:val="24"/>
        </w:rPr>
        <w:t>　　3、未通过全国公共资源交易平台（河南省·许昌市）下载招标文件的投标企业，拒收其递交的投标文件。</w:t>
      </w:r>
    </w:p>
    <w:p>
      <w:pPr>
        <w:spacing w:line="400" w:lineRule="exact"/>
        <w:ind w:firstLine="640"/>
        <w:rPr>
          <w:rFonts w:ascii="仿宋" w:hAnsi="仿宋" w:eastAsia="仿宋" w:cs="仿宋"/>
          <w:sz w:val="24"/>
          <w:szCs w:val="24"/>
        </w:rPr>
      </w:pPr>
      <w:r>
        <w:rPr>
          <w:rFonts w:hint="eastAsia" w:ascii="仿宋" w:hAnsi="仿宋" w:eastAsia="仿宋" w:cs="仿宋"/>
          <w:sz w:val="24"/>
          <w:szCs w:val="24"/>
        </w:rPr>
        <w:t>4、招标文件每份售价人民</w:t>
      </w:r>
      <w:r>
        <w:rPr>
          <w:rFonts w:hint="eastAsia" w:ascii="仿宋" w:hAnsi="仿宋" w:eastAsia="仿宋" w:cs="仿宋"/>
          <w:sz w:val="24"/>
          <w:szCs w:val="24"/>
          <w:lang w:eastAsia="zh-CN"/>
        </w:rPr>
        <w:t>币</w:t>
      </w:r>
      <w:r>
        <w:rPr>
          <w:rFonts w:hint="eastAsia" w:ascii="仿宋" w:hAnsi="仿宋" w:eastAsia="仿宋" w:cs="仿宋"/>
          <w:sz w:val="24"/>
          <w:szCs w:val="24"/>
        </w:rPr>
        <w:t>500元（开标时现场收取现金），于递交投标文件时缴纳给采购代理机构，售后不退。</w:t>
      </w:r>
    </w:p>
    <w:p>
      <w:pPr>
        <w:widowControl/>
        <w:shd w:val="clear" w:color="auto" w:fill="FFFFFF"/>
        <w:spacing w:line="400" w:lineRule="exact"/>
        <w:ind w:firstLine="482"/>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五、投标截止时间、开标时间及地点：</w:t>
      </w:r>
    </w:p>
    <w:p>
      <w:pPr>
        <w:widowControl/>
        <w:shd w:val="clear" w:color="auto" w:fill="FFFFFF"/>
        <w:spacing w:line="40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1、投标截止及开标时间：2019年</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月</w:t>
      </w:r>
      <w:r>
        <w:rPr>
          <w:rFonts w:hint="eastAsia" w:ascii="仿宋" w:hAnsi="仿宋" w:eastAsia="仿宋" w:cs="仿宋"/>
          <w:color w:val="000000"/>
          <w:kern w:val="0"/>
          <w:sz w:val="24"/>
          <w:szCs w:val="24"/>
          <w:lang w:val="en-US" w:eastAsia="zh-CN"/>
        </w:rPr>
        <w:t xml:space="preserve"> </w:t>
      </w:r>
      <w:r>
        <w:rPr>
          <w:rFonts w:hint="eastAsia" w:ascii="仿宋" w:hAnsi="仿宋" w:eastAsia="仿宋" w:cs="仿宋"/>
          <w:color w:val="000000"/>
          <w:kern w:val="0"/>
          <w:sz w:val="24"/>
          <w:szCs w:val="24"/>
        </w:rPr>
        <w:t xml:space="preserve">日 </w:t>
      </w:r>
      <w:r>
        <w:rPr>
          <w:rFonts w:hint="eastAsia" w:ascii="仿宋" w:hAnsi="仿宋" w:eastAsia="仿宋" w:cs="仿宋"/>
          <w:color w:val="000000"/>
          <w:kern w:val="0"/>
          <w:sz w:val="24"/>
          <w:szCs w:val="24"/>
          <w:lang w:val="en-US" w:eastAsia="zh-CN"/>
        </w:rPr>
        <w:t>9</w:t>
      </w:r>
      <w:r>
        <w:rPr>
          <w:rFonts w:hint="eastAsia" w:ascii="仿宋" w:hAnsi="仿宋" w:eastAsia="仿宋" w:cs="仿宋"/>
          <w:color w:val="000000"/>
          <w:kern w:val="0"/>
          <w:sz w:val="24"/>
          <w:szCs w:val="24"/>
        </w:rPr>
        <w:t>：00（北京时间），逾期送达或不符合规定的投标文件不予接受。</w:t>
      </w:r>
    </w:p>
    <w:p>
      <w:pPr>
        <w:spacing w:line="4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2、开标地点：</w:t>
      </w:r>
      <w:r>
        <w:rPr>
          <w:rFonts w:hint="eastAsia" w:ascii="仿宋" w:hAnsi="仿宋" w:eastAsia="仿宋" w:cs="仿宋"/>
          <w:sz w:val="24"/>
          <w:szCs w:val="24"/>
        </w:rPr>
        <w:t>禹州市公共资源交易中心第二开标室（禹州市行政服务中心楼9楼）</w:t>
      </w:r>
      <w:r>
        <w:rPr>
          <w:rFonts w:hint="eastAsia" w:ascii="仿宋" w:hAnsi="仿宋" w:eastAsia="仿宋" w:cs="仿宋"/>
          <w:color w:val="000000"/>
          <w:kern w:val="0"/>
          <w:sz w:val="24"/>
          <w:szCs w:val="24"/>
        </w:rPr>
        <w:t xml:space="preserve"> </w:t>
      </w:r>
    </w:p>
    <w:p>
      <w:pPr>
        <w:spacing w:line="4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3、本项目为全流程电子化交易项目，投标人须提交电子投标文件和纸质投标文件。</w:t>
      </w:r>
    </w:p>
    <w:p>
      <w:pPr>
        <w:spacing w:line="4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（1）加密电子投标文件（.file格式）须在投标截止时间（开标时间）前通过《全国公共资源交易平台(河南省▪许昌市)》公共资源交易系统成功上传。</w:t>
      </w:r>
    </w:p>
    <w:p>
      <w:pPr>
        <w:spacing w:line="400" w:lineRule="exact"/>
        <w:ind w:firstLine="480" w:firstLineChars="200"/>
        <w:rPr>
          <w:rFonts w:ascii="仿宋" w:hAnsi="仿宋" w:eastAsia="仿宋" w:cs="仿宋"/>
          <w:color w:val="000000"/>
          <w:kern w:val="0"/>
          <w:sz w:val="24"/>
          <w:szCs w:val="24"/>
        </w:rPr>
      </w:pPr>
      <w:r>
        <w:rPr>
          <w:rFonts w:hint="eastAsia" w:ascii="仿宋" w:hAnsi="仿宋" w:eastAsia="仿宋" w:cs="仿宋"/>
          <w:color w:val="000000"/>
          <w:kern w:val="0"/>
          <w:sz w:val="24"/>
          <w:szCs w:val="24"/>
        </w:rPr>
        <w:t>（2）纸质投标文件（正本1份、副本1份）和备份文件1份（使用电子介质存储）在投标截止时间（开标时间）前递交至本项目开标地点。</w:t>
      </w:r>
    </w:p>
    <w:p>
      <w:pPr>
        <w:widowControl/>
        <w:shd w:val="clear" w:color="auto" w:fill="FFFFFF"/>
        <w:spacing w:line="40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六、本次招标公告同时在《中国政府采购网》、《河南省政府采购网》、《全国公共资源交易平台（河南省·许昌市）》发布等。</w:t>
      </w:r>
    </w:p>
    <w:p>
      <w:pPr>
        <w:widowControl/>
        <w:shd w:val="clear" w:color="auto" w:fill="FFFFFF"/>
        <w:spacing w:line="400" w:lineRule="exact"/>
        <w:ind w:firstLine="480" w:firstLineChars="200"/>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七、代理机构及采购单位地址、联系人、联系电话</w:t>
      </w:r>
    </w:p>
    <w:p>
      <w:pPr>
        <w:widowControl/>
        <w:shd w:val="clear" w:color="auto" w:fill="FFFFFF"/>
        <w:spacing w:line="40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（一）代理机构：禹州市政府采购中心</w:t>
      </w:r>
    </w:p>
    <w:p>
      <w:pPr>
        <w:widowControl/>
        <w:shd w:val="clear" w:color="auto" w:fill="FFFFFF"/>
        <w:spacing w:line="40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地址：</w:t>
      </w:r>
      <w:r>
        <w:rPr>
          <w:rFonts w:hint="eastAsia" w:ascii="仿宋" w:hAnsi="仿宋" w:eastAsia="仿宋" w:cs="仿宋"/>
          <w:sz w:val="24"/>
          <w:szCs w:val="24"/>
        </w:rPr>
        <w:t>禹州市行政服务中心楼917房间</w:t>
      </w:r>
    </w:p>
    <w:p>
      <w:pPr>
        <w:widowControl/>
        <w:shd w:val="clear" w:color="auto" w:fill="FFFFFF"/>
        <w:spacing w:line="400" w:lineRule="exact"/>
        <w:ind w:firstLine="641"/>
        <w:jc w:val="left"/>
        <w:rPr>
          <w:rFonts w:ascii="仿宋" w:hAnsi="仿宋" w:eastAsia="仿宋" w:cs="仿宋"/>
          <w:color w:val="000000"/>
          <w:kern w:val="0"/>
          <w:sz w:val="24"/>
          <w:szCs w:val="24"/>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侯女士</w:t>
      </w:r>
      <w:r>
        <w:rPr>
          <w:rFonts w:hint="eastAsia" w:ascii="仿宋" w:hAnsi="仿宋" w:eastAsia="仿宋" w:cs="仿宋"/>
          <w:color w:val="000000"/>
          <w:kern w:val="0"/>
          <w:sz w:val="24"/>
          <w:szCs w:val="24"/>
        </w:rPr>
        <w:t xml:space="preserve">  联系电话：0374-2077111</w:t>
      </w:r>
    </w:p>
    <w:p>
      <w:pPr>
        <w:widowControl/>
        <w:shd w:val="clear" w:color="auto" w:fill="FFFFFF"/>
        <w:spacing w:line="400" w:lineRule="exact"/>
        <w:ind w:left="481"/>
        <w:jc w:val="left"/>
        <w:rPr>
          <w:rFonts w:hint="eastAsia" w:ascii="仿宋" w:hAnsi="仿宋" w:eastAsia="仿宋" w:cs="仿宋"/>
          <w:sz w:val="24"/>
          <w:szCs w:val="24"/>
          <w:lang w:eastAsia="zh-CN"/>
        </w:rPr>
      </w:pPr>
      <w:r>
        <w:rPr>
          <w:rFonts w:hint="eastAsia" w:ascii="仿宋" w:hAnsi="仿宋" w:eastAsia="仿宋" w:cs="仿宋"/>
          <w:color w:val="000000"/>
          <w:kern w:val="0"/>
          <w:sz w:val="24"/>
          <w:szCs w:val="24"/>
        </w:rPr>
        <w:t>（二）采购单位：</w:t>
      </w:r>
      <w:r>
        <w:rPr>
          <w:rFonts w:hint="eastAsia" w:ascii="仿宋" w:hAnsi="仿宋" w:eastAsia="仿宋" w:cs="仿宋"/>
          <w:sz w:val="24"/>
          <w:szCs w:val="24"/>
        </w:rPr>
        <w:t>禹州市</w:t>
      </w:r>
      <w:r>
        <w:rPr>
          <w:rFonts w:hint="eastAsia" w:ascii="仿宋" w:hAnsi="仿宋" w:eastAsia="仿宋" w:cs="仿宋"/>
          <w:sz w:val="24"/>
          <w:szCs w:val="24"/>
          <w:lang w:eastAsia="zh-CN"/>
        </w:rPr>
        <w:t>产业集聚区管理委员会</w:t>
      </w:r>
    </w:p>
    <w:p>
      <w:pPr>
        <w:widowControl/>
        <w:shd w:val="clear" w:color="auto" w:fill="FFFFFF"/>
        <w:spacing w:line="400" w:lineRule="exact"/>
        <w:ind w:firstLine="720" w:firstLineChars="300"/>
        <w:jc w:val="left"/>
        <w:rPr>
          <w:rFonts w:hint="eastAsia" w:ascii="仿宋" w:hAnsi="仿宋" w:eastAsia="仿宋" w:cs="仿宋"/>
          <w:color w:val="000000"/>
          <w:kern w:val="0"/>
          <w:sz w:val="24"/>
          <w:szCs w:val="24"/>
          <w:lang w:eastAsia="zh-CN"/>
        </w:rPr>
      </w:pPr>
      <w:r>
        <w:rPr>
          <w:rFonts w:hint="eastAsia" w:ascii="仿宋" w:hAnsi="仿宋" w:eastAsia="仿宋" w:cs="仿宋"/>
          <w:color w:val="000000"/>
          <w:kern w:val="0"/>
          <w:sz w:val="24"/>
          <w:szCs w:val="24"/>
        </w:rPr>
        <w:t>地址：禹州市</w:t>
      </w:r>
      <w:r>
        <w:rPr>
          <w:rFonts w:hint="eastAsia" w:ascii="仿宋" w:hAnsi="仿宋" w:eastAsia="仿宋" w:cs="仿宋"/>
          <w:color w:val="000000"/>
          <w:kern w:val="0"/>
          <w:sz w:val="24"/>
          <w:szCs w:val="24"/>
          <w:lang w:eastAsia="zh-CN"/>
        </w:rPr>
        <w:t>行政北路</w:t>
      </w:r>
    </w:p>
    <w:p>
      <w:pPr>
        <w:widowControl/>
        <w:shd w:val="clear" w:color="auto" w:fill="FFFFFF"/>
        <w:spacing w:line="400" w:lineRule="exact"/>
        <w:ind w:firstLine="641"/>
        <w:jc w:val="left"/>
        <w:rPr>
          <w:rFonts w:hint="default" w:ascii="仿宋" w:hAnsi="仿宋" w:eastAsia="仿宋" w:cs="仿宋"/>
          <w:color w:val="000000"/>
          <w:kern w:val="0"/>
          <w:sz w:val="24"/>
          <w:szCs w:val="24"/>
          <w:lang w:val="en-US" w:eastAsia="zh-CN"/>
        </w:rPr>
      </w:pPr>
      <w:r>
        <w:rPr>
          <w:rFonts w:hint="eastAsia" w:ascii="仿宋" w:hAnsi="仿宋" w:eastAsia="仿宋" w:cs="仿宋"/>
          <w:color w:val="000000"/>
          <w:kern w:val="0"/>
          <w:sz w:val="24"/>
          <w:szCs w:val="24"/>
        </w:rPr>
        <w:t>联系人：</w:t>
      </w:r>
      <w:r>
        <w:rPr>
          <w:rFonts w:hint="eastAsia" w:ascii="仿宋" w:hAnsi="仿宋" w:eastAsia="仿宋" w:cs="仿宋"/>
          <w:color w:val="000000"/>
          <w:kern w:val="0"/>
          <w:sz w:val="24"/>
          <w:szCs w:val="24"/>
          <w:lang w:eastAsia="zh-CN"/>
        </w:rPr>
        <w:t>安女士</w:t>
      </w:r>
      <w:r>
        <w:rPr>
          <w:rFonts w:hint="eastAsia" w:ascii="仿宋" w:hAnsi="仿宋" w:eastAsia="仿宋" w:cs="仿宋"/>
          <w:color w:val="000000"/>
          <w:kern w:val="0"/>
          <w:sz w:val="24"/>
          <w:szCs w:val="24"/>
        </w:rPr>
        <w:t xml:space="preserve">   联系电话：</w:t>
      </w:r>
      <w:r>
        <w:rPr>
          <w:rFonts w:hint="eastAsia" w:ascii="仿宋" w:hAnsi="仿宋" w:eastAsia="仿宋" w:cs="仿宋"/>
          <w:color w:val="000000"/>
          <w:kern w:val="0"/>
          <w:sz w:val="24"/>
          <w:szCs w:val="24"/>
          <w:lang w:val="en-US" w:eastAsia="zh-CN"/>
        </w:rPr>
        <w:t>13782392872</w:t>
      </w:r>
    </w:p>
    <w:p>
      <w:pPr>
        <w:spacing w:line="400" w:lineRule="exact"/>
        <w:ind w:firstLine="4080" w:firstLineChars="1700"/>
        <w:rPr>
          <w:rFonts w:ascii="仿宋" w:hAnsi="仿宋" w:eastAsia="仿宋" w:cs="仿宋"/>
          <w:sz w:val="24"/>
          <w:szCs w:val="24"/>
        </w:rPr>
      </w:pPr>
      <w:r>
        <w:rPr>
          <w:rFonts w:hint="eastAsia" w:ascii="仿宋" w:hAnsi="仿宋" w:eastAsia="仿宋" w:cs="仿宋"/>
          <w:sz w:val="24"/>
          <w:szCs w:val="24"/>
        </w:rPr>
        <w:t xml:space="preserve">   </w:t>
      </w:r>
    </w:p>
    <w:p>
      <w:pPr>
        <w:spacing w:line="400" w:lineRule="exact"/>
        <w:ind w:firstLine="4560" w:firstLineChars="1900"/>
        <w:rPr>
          <w:rFonts w:ascii="仿宋" w:hAnsi="仿宋" w:eastAsia="仿宋" w:cs="仿宋"/>
          <w:sz w:val="24"/>
          <w:szCs w:val="24"/>
        </w:rPr>
      </w:pPr>
    </w:p>
    <w:p>
      <w:pPr>
        <w:spacing w:line="400" w:lineRule="exact"/>
        <w:ind w:firstLine="2640" w:firstLineChars="1100"/>
        <w:rPr>
          <w:rFonts w:ascii="仿宋" w:hAnsi="仿宋" w:eastAsia="仿宋" w:cs="仿宋"/>
          <w:sz w:val="24"/>
          <w:szCs w:val="24"/>
        </w:rPr>
      </w:pPr>
      <w:r>
        <w:rPr>
          <w:rFonts w:hint="eastAsia" w:ascii="仿宋" w:hAnsi="仿宋" w:eastAsia="仿宋" w:cs="仿宋"/>
          <w:sz w:val="24"/>
          <w:szCs w:val="24"/>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 xml:space="preserve"> 2019年 </w:t>
      </w:r>
      <w:r>
        <w:rPr>
          <w:rFonts w:hint="eastAsia" w:ascii="仿宋" w:hAnsi="仿宋" w:eastAsia="仿宋" w:cs="仿宋"/>
          <w:sz w:val="24"/>
          <w:szCs w:val="24"/>
          <w:lang w:val="en-US" w:eastAsia="zh-CN"/>
        </w:rPr>
        <w:t>8</w:t>
      </w:r>
      <w:r>
        <w:rPr>
          <w:rFonts w:hint="eastAsia" w:ascii="仿宋" w:hAnsi="仿宋" w:eastAsia="仿宋" w:cs="仿宋"/>
          <w:sz w:val="24"/>
          <w:szCs w:val="24"/>
        </w:rPr>
        <w:t>月</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日</w:t>
      </w:r>
    </w:p>
    <w:p>
      <w:pPr>
        <w:spacing w:line="360" w:lineRule="auto"/>
        <w:rPr>
          <w:rFonts w:ascii="仿宋" w:hAnsi="仿宋" w:eastAsia="仿宋" w:cs="仿宋"/>
          <w:b/>
          <w:sz w:val="32"/>
          <w:szCs w:val="32"/>
        </w:rPr>
      </w:pPr>
    </w:p>
    <w:p>
      <w:pPr>
        <w:spacing w:line="360" w:lineRule="auto"/>
        <w:rPr>
          <w:rFonts w:hint="eastAsia" w:hAnsi="宋体"/>
          <w:b/>
          <w:sz w:val="32"/>
          <w:szCs w:val="32"/>
        </w:rPr>
      </w:pPr>
    </w:p>
    <w:p>
      <w:pPr>
        <w:spacing w:line="360" w:lineRule="auto"/>
        <w:rPr>
          <w:rFonts w:hAnsi="宋体"/>
          <w:b/>
          <w:sz w:val="28"/>
          <w:szCs w:val="28"/>
        </w:rPr>
      </w:pPr>
      <w:r>
        <w:rPr>
          <w:rFonts w:hint="eastAsia" w:hAnsi="宋体"/>
          <w:b/>
          <w:sz w:val="32"/>
          <w:szCs w:val="32"/>
        </w:rPr>
        <w:t>温馨提示</w:t>
      </w:r>
      <w:r>
        <w:rPr>
          <w:rFonts w:hint="eastAsia" w:hAnsi="宋体"/>
          <w:b/>
          <w:sz w:val="28"/>
          <w:szCs w:val="28"/>
        </w:rPr>
        <w:t>：</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1"/>
        <w:ind w:firstLine="321"/>
        <w:rPr>
          <w:rFonts w:ascii="仿宋_GB2312" w:eastAsia="仿宋_GB2312"/>
          <w:b/>
          <w:sz w:val="32"/>
          <w:szCs w:val="32"/>
        </w:rPr>
      </w:pP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1.</w:t>
      </w:r>
      <w:r>
        <w:rPr>
          <w:rFonts w:hint="eastAsia" w:hAnsi="宋体"/>
          <w:b/>
          <w:color w:val="000000"/>
          <w:sz w:val="24"/>
          <w:szCs w:val="24"/>
        </w:rPr>
        <w:t>投标人应按招标文件规定编制、提交电子投标文件和纸质投标文件。开、评标现场不接受投标人递交的备份电子投标文件和纸质投标文件以外的其他资料。</w:t>
      </w:r>
    </w:p>
    <w:p>
      <w:pPr>
        <w:tabs>
          <w:tab w:val="left" w:pos="7095"/>
        </w:tabs>
        <w:spacing w:line="360" w:lineRule="auto"/>
        <w:ind w:firstLine="482" w:firstLineChars="200"/>
        <w:contextualSpacing/>
        <w:rPr>
          <w:rFonts w:hAnsi="宋体"/>
          <w:b/>
          <w:color w:val="000000"/>
          <w:sz w:val="24"/>
          <w:szCs w:val="24"/>
        </w:rPr>
      </w:pPr>
      <w:r>
        <w:rPr>
          <w:rFonts w:hint="eastAsia" w:asciiTheme="minorEastAsia" w:hAnsiTheme="minorEastAsia"/>
          <w:b/>
          <w:color w:val="000000"/>
          <w:sz w:val="24"/>
          <w:szCs w:val="24"/>
        </w:rPr>
        <w:t>2</w:t>
      </w:r>
      <w:r>
        <w:rPr>
          <w:rFonts w:asciiTheme="minorEastAsia" w:hAnsiTheme="minorEastAsia"/>
          <w:b/>
          <w:color w:val="000000"/>
          <w:sz w:val="24"/>
          <w:szCs w:val="24"/>
        </w:rPr>
        <w:t>.</w:t>
      </w:r>
      <w:r>
        <w:rPr>
          <w:rFonts w:hint="eastAsia" w:hAnsi="宋体"/>
          <w:b/>
          <w:color w:val="000000"/>
          <w:sz w:val="24"/>
          <w:szCs w:val="24"/>
        </w:rPr>
        <w:t>电子文件下载、制作、提交期间和开标（</w:t>
      </w:r>
      <w:r>
        <w:rPr>
          <w:rFonts w:hint="eastAsia" w:hAnsi="宋体"/>
          <w:sz w:val="24"/>
          <w:szCs w:val="24"/>
        </w:rPr>
        <w:t>电子投标文件的解密</w:t>
      </w:r>
      <w:r>
        <w:rPr>
          <w:rFonts w:hint="eastAsia" w:hAnsi="宋体"/>
          <w:b/>
          <w:color w:val="000000"/>
          <w:sz w:val="24"/>
          <w:szCs w:val="24"/>
        </w:rPr>
        <w:t>）环节，投标人须使用</w:t>
      </w:r>
      <w:r>
        <w:rPr>
          <w:rFonts w:hAnsi="宋体"/>
          <w:b/>
          <w:color w:val="000000"/>
          <w:sz w:val="24"/>
          <w:szCs w:val="24"/>
        </w:rPr>
        <w:t>CA数字证书</w:t>
      </w:r>
      <w:r>
        <w:rPr>
          <w:rFonts w:hint="eastAsia" w:hAnsi="宋体"/>
          <w:b/>
          <w:color w:val="000000"/>
          <w:sz w:val="24"/>
          <w:szCs w:val="24"/>
        </w:rPr>
        <w:t>（证书须在有效期内）</w:t>
      </w:r>
      <w:r>
        <w:rPr>
          <w:rFonts w:hAnsi="宋体"/>
          <w:b/>
          <w:color w:val="000000"/>
          <w:sz w:val="24"/>
          <w:szCs w:val="24"/>
        </w:rPr>
        <w:t>。</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3</w:t>
      </w:r>
      <w:r>
        <w:rPr>
          <w:rFonts w:hint="eastAsia" w:asciiTheme="minorEastAsia" w:hAnsiTheme="minorEastAsia"/>
          <w:b/>
          <w:color w:val="000000"/>
          <w:sz w:val="24"/>
          <w:szCs w:val="24"/>
        </w:rPr>
        <w:t>.</w:t>
      </w:r>
      <w:r>
        <w:rPr>
          <w:rFonts w:hint="eastAsia" w:hAnsi="宋体"/>
          <w:b/>
          <w:color w:val="000000"/>
          <w:sz w:val="24"/>
          <w:szCs w:val="24"/>
        </w:rPr>
        <w:t>电子投标文件的制作</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.1</w:t>
      </w:r>
      <w:r>
        <w:rPr>
          <w:rFonts w:hint="eastAsia" w:hAnsi="宋体"/>
          <w:color w:val="000000"/>
          <w:sz w:val="24"/>
          <w:szCs w:val="24"/>
        </w:rPr>
        <w:t xml:space="preserve"> 投标人登录《全国公共资源交易平台(河南省▪许昌市)》公共资源交易系统（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）下载“许昌投标文件制作系统SEARUN V1.0”，按招标文件要求制作电子投标文件。</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电子投标文件的制作，参考《全国公共资源交易平台(河南省▪许昌市)》公共资源交易系统——组件下载——交易系统操作手册（投标人、供应商）。</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w:t>
      </w:r>
      <w:r>
        <w:rPr>
          <w:rFonts w:hint="eastAsia" w:asciiTheme="minorEastAsia" w:hAnsiTheme="minorEastAsia"/>
          <w:color w:val="000000"/>
          <w:sz w:val="24"/>
          <w:szCs w:val="24"/>
        </w:rPr>
        <w:t>.</w:t>
      </w:r>
      <w:r>
        <w:rPr>
          <w:rFonts w:asciiTheme="minorEastAsia" w:hAnsiTheme="minorEastAsia"/>
          <w:color w:val="000000"/>
          <w:sz w:val="24"/>
          <w:szCs w:val="24"/>
        </w:rPr>
        <w:t>2</w:t>
      </w:r>
      <w:r>
        <w:rPr>
          <w:rFonts w:hint="eastAsia" w:hAnsi="宋体"/>
          <w:color w:val="000000"/>
          <w:sz w:val="24"/>
          <w:szCs w:val="24"/>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3.3</w:t>
      </w:r>
      <w:r>
        <w:rPr>
          <w:rFonts w:hint="eastAsia" w:hAnsi="宋体"/>
          <w:color w:val="000000"/>
          <w:sz w:val="24"/>
          <w:szCs w:val="24"/>
        </w:rPr>
        <w:t>投标人对同一项目多个标段进行投标的，应分别下载所投标段的招标文件，按标段制作电子投标文件，并</w:t>
      </w:r>
      <w:r>
        <w:rPr>
          <w:rFonts w:hAnsi="宋体"/>
          <w:color w:val="000000"/>
          <w:sz w:val="24"/>
          <w:szCs w:val="24"/>
        </w:rPr>
        <w:t>按招标文件要求在相应位置加盖</w:t>
      </w:r>
      <w:r>
        <w:rPr>
          <w:rFonts w:hint="eastAsia" w:hAnsi="宋体"/>
          <w:color w:val="000000"/>
          <w:sz w:val="24"/>
          <w:szCs w:val="24"/>
        </w:rPr>
        <w:t>投标人</w:t>
      </w:r>
      <w:r>
        <w:rPr>
          <w:rFonts w:hAnsi="宋体"/>
          <w:color w:val="000000"/>
          <w:sz w:val="24"/>
          <w:szCs w:val="24"/>
        </w:rPr>
        <w:t>电子印章</w:t>
      </w:r>
      <w:r>
        <w:rPr>
          <w:rFonts w:hint="eastAsia" w:hAnsi="宋体"/>
          <w:color w:val="000000"/>
          <w:sz w:val="24"/>
          <w:szCs w:val="24"/>
        </w:rPr>
        <w:t>和法人电子印章。</w:t>
      </w:r>
    </w:p>
    <w:p>
      <w:pPr>
        <w:tabs>
          <w:tab w:val="left" w:pos="7095"/>
        </w:tabs>
        <w:spacing w:line="360" w:lineRule="auto"/>
        <w:ind w:left="105" w:leftChars="50" w:firstLine="360" w:firstLineChars="150"/>
        <w:contextualSpacing/>
        <w:rPr>
          <w:rFonts w:hAnsi="宋体"/>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4</w:t>
      </w:r>
      <w:r>
        <w:rPr>
          <w:rFonts w:hint="eastAsia" w:asciiTheme="minorEastAsia" w:hAnsiTheme="minorEastAsia"/>
          <w:b/>
          <w:color w:val="000000"/>
          <w:sz w:val="24"/>
          <w:szCs w:val="24"/>
        </w:rPr>
        <w:t>.加密</w:t>
      </w:r>
      <w:r>
        <w:rPr>
          <w:rFonts w:hint="eastAsia" w:hAnsi="宋体"/>
          <w:b/>
          <w:color w:val="000000"/>
          <w:sz w:val="24"/>
          <w:szCs w:val="24"/>
        </w:rPr>
        <w:t>电子投标文件的提交</w:t>
      </w:r>
    </w:p>
    <w:p>
      <w:pPr>
        <w:tabs>
          <w:tab w:val="left" w:pos="7095"/>
        </w:tabs>
        <w:spacing w:line="360" w:lineRule="auto"/>
        <w:contextualSpacing/>
        <w:rPr>
          <w:rFonts w:hAnsi="宋体"/>
          <w:color w:val="000000"/>
          <w:sz w:val="24"/>
          <w:szCs w:val="24"/>
        </w:rPr>
      </w:pPr>
      <w:r>
        <w:rPr>
          <w:rFonts w:hint="eastAsia" w:hAnsi="宋体"/>
          <w:color w:val="000000"/>
          <w:sz w:val="24"/>
          <w:szCs w:val="24"/>
        </w:rPr>
        <w:t xml:space="preserve">    </w:t>
      </w:r>
      <w:r>
        <w:rPr>
          <w:rFonts w:asciiTheme="minorEastAsia" w:hAnsiTheme="minorEastAsia"/>
          <w:color w:val="000000"/>
          <w:sz w:val="24"/>
          <w:szCs w:val="24"/>
        </w:rPr>
        <w:t>4</w:t>
      </w:r>
      <w:r>
        <w:rPr>
          <w:rFonts w:hint="eastAsia" w:asciiTheme="minorEastAsia" w:hAnsiTheme="minorEastAsia"/>
          <w:color w:val="000000"/>
          <w:sz w:val="24"/>
          <w:szCs w:val="24"/>
        </w:rPr>
        <w:t>.1加密</w:t>
      </w:r>
      <w:r>
        <w:rPr>
          <w:rFonts w:hint="eastAsia" w:hAnsi="宋体"/>
          <w:color w:val="000000"/>
          <w:sz w:val="24"/>
          <w:szCs w:val="24"/>
        </w:rPr>
        <w:t>电子投标文件应在招标文件规定的投标截止时间（开标时间）之前成功提交至《全国公共资源交易平台(河南省▪许昌市)》公共资源交易系统（</w:t>
      </w:r>
      <w:r>
        <w:fldChar w:fldCharType="begin"/>
      </w:r>
      <w:r>
        <w:instrText xml:space="preserve"> HYPERLINK "http://221.14.6.70:8088/ggzy/" </w:instrText>
      </w:r>
      <w:r>
        <w:fldChar w:fldCharType="separate"/>
      </w:r>
      <w:r>
        <w:rPr>
          <w:rStyle w:val="28"/>
          <w:rFonts w:hAnsi="宋体"/>
          <w:sz w:val="24"/>
          <w:szCs w:val="24"/>
        </w:rPr>
        <w:t>http://221.14.6.70:8088/ggzy/</w:t>
      </w:r>
      <w:r>
        <w:rPr>
          <w:rStyle w:val="28"/>
          <w:rFonts w:hAnsi="宋体"/>
          <w:sz w:val="24"/>
          <w:szCs w:val="24"/>
        </w:rPr>
        <w:fldChar w:fldCharType="end"/>
      </w:r>
      <w:r>
        <w:rPr>
          <w:rFonts w:hint="eastAsia" w:hAnsi="宋体"/>
          <w:color w:val="000000"/>
          <w:sz w:val="24"/>
          <w:szCs w:val="24"/>
        </w:rPr>
        <w:t>）。</w:t>
      </w:r>
    </w:p>
    <w:p>
      <w:pPr>
        <w:tabs>
          <w:tab w:val="left" w:pos="7095"/>
        </w:tabs>
        <w:spacing w:line="360" w:lineRule="auto"/>
        <w:ind w:firstLine="480" w:firstLineChars="200"/>
        <w:contextualSpacing/>
        <w:rPr>
          <w:rFonts w:hAnsi="宋体"/>
          <w:color w:val="000000"/>
          <w:sz w:val="24"/>
          <w:szCs w:val="24"/>
        </w:rPr>
      </w:pPr>
      <w:r>
        <w:rPr>
          <w:rFonts w:hint="eastAsia" w:hAnsi="宋体"/>
          <w:color w:val="000000"/>
          <w:sz w:val="24"/>
          <w:szCs w:val="24"/>
        </w:rPr>
        <w:t>投标人应充分考虑并预留技术处理和上传数据所需时间。</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 xml:space="preserve">2 </w:t>
      </w:r>
      <w:r>
        <w:rPr>
          <w:rFonts w:hint="eastAsia" w:hAnsi="宋体"/>
          <w:color w:val="000000"/>
          <w:sz w:val="24"/>
          <w:szCs w:val="24"/>
        </w:rPr>
        <w:t>投标人对同一项目多个标段进行投标的，加密电子投标文件应按标段分别提交。</w:t>
      </w:r>
    </w:p>
    <w:p>
      <w:pPr>
        <w:tabs>
          <w:tab w:val="left" w:pos="7095"/>
        </w:tabs>
        <w:spacing w:line="360" w:lineRule="auto"/>
        <w:ind w:firstLine="480" w:firstLineChars="200"/>
        <w:contextualSpacing/>
        <w:rPr>
          <w:rFonts w:hAnsi="宋体"/>
          <w:color w:val="000000"/>
          <w:sz w:val="24"/>
          <w:szCs w:val="24"/>
        </w:rPr>
      </w:pPr>
      <w:r>
        <w:rPr>
          <w:rFonts w:asciiTheme="minorEastAsia" w:hAnsiTheme="minorEastAsia"/>
          <w:color w:val="000000"/>
          <w:sz w:val="24"/>
          <w:szCs w:val="24"/>
        </w:rPr>
        <w:t>4</w:t>
      </w:r>
      <w:r>
        <w:rPr>
          <w:rFonts w:hint="eastAsia" w:asciiTheme="minorEastAsia" w:hAnsiTheme="minorEastAsia"/>
          <w:color w:val="000000"/>
          <w:sz w:val="24"/>
          <w:szCs w:val="24"/>
        </w:rPr>
        <w:t>.</w:t>
      </w:r>
      <w:r>
        <w:rPr>
          <w:rFonts w:asciiTheme="minorEastAsia" w:hAnsiTheme="minorEastAsia"/>
          <w:color w:val="000000"/>
          <w:sz w:val="24"/>
          <w:szCs w:val="24"/>
        </w:rPr>
        <w:t>3</w:t>
      </w:r>
      <w:r>
        <w:rPr>
          <w:rFonts w:hint="eastAsia" w:asciiTheme="minorEastAsia" w:hAnsiTheme="minorEastAsia"/>
          <w:color w:val="000000"/>
          <w:sz w:val="24"/>
          <w:szCs w:val="24"/>
        </w:rPr>
        <w:t xml:space="preserve"> 加密</w:t>
      </w:r>
      <w:r>
        <w:rPr>
          <w:rFonts w:hint="eastAsia" w:hAnsi="宋体"/>
          <w:color w:val="000000"/>
          <w:sz w:val="24"/>
          <w:szCs w:val="24"/>
        </w:rPr>
        <w:t>电子投标文件成功提交后，投标人应打印“投标文件提交回执单”供开标现场备查。</w:t>
      </w:r>
    </w:p>
    <w:p>
      <w:pPr>
        <w:tabs>
          <w:tab w:val="left" w:pos="7095"/>
        </w:tabs>
        <w:spacing w:line="360" w:lineRule="auto"/>
        <w:ind w:firstLine="482" w:firstLineChars="200"/>
        <w:contextualSpacing/>
        <w:rPr>
          <w:rFonts w:hAnsi="宋体"/>
          <w:b/>
          <w:color w:val="000000"/>
          <w:sz w:val="24"/>
          <w:szCs w:val="24"/>
        </w:rPr>
      </w:pPr>
      <w:r>
        <w:rPr>
          <w:rFonts w:asciiTheme="minorEastAsia" w:hAnsiTheme="minorEastAsia"/>
          <w:b/>
          <w:color w:val="000000"/>
          <w:sz w:val="24"/>
          <w:szCs w:val="24"/>
        </w:rPr>
        <w:t>5</w:t>
      </w:r>
      <w:r>
        <w:rPr>
          <w:rFonts w:hint="eastAsia" w:asciiTheme="minorEastAsia" w:hAnsiTheme="minorEastAsia"/>
          <w:b/>
          <w:color w:val="000000"/>
          <w:sz w:val="24"/>
          <w:szCs w:val="24"/>
        </w:rPr>
        <w:t>.</w:t>
      </w:r>
      <w:r>
        <w:rPr>
          <w:rFonts w:hint="eastAsia" w:hAnsi="宋体"/>
          <w:b/>
          <w:color w:val="000000"/>
          <w:sz w:val="24"/>
          <w:szCs w:val="24"/>
        </w:rPr>
        <w:t>评标依据</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5.1</w:t>
      </w:r>
      <w:r>
        <w:rPr>
          <w:rFonts w:hint="eastAsia" w:hAnsi="宋体"/>
          <w:color w:val="000000"/>
          <w:sz w:val="24"/>
          <w:szCs w:val="24"/>
        </w:rPr>
        <w:t>采用全流程电子化交易评标时，评标委员会以电子投标文件为依据评标。</w:t>
      </w:r>
    </w:p>
    <w:p>
      <w:pPr>
        <w:tabs>
          <w:tab w:val="left" w:pos="7095"/>
        </w:tabs>
        <w:spacing w:line="360" w:lineRule="auto"/>
        <w:ind w:firstLine="480" w:firstLineChars="200"/>
        <w:contextualSpacing/>
        <w:rPr>
          <w:rFonts w:hAnsi="宋体"/>
          <w:color w:val="000000"/>
          <w:sz w:val="24"/>
          <w:szCs w:val="24"/>
        </w:rPr>
      </w:pPr>
      <w:r>
        <w:rPr>
          <w:rFonts w:hint="eastAsia" w:asciiTheme="minorEastAsia" w:hAnsiTheme="minorEastAsia"/>
          <w:color w:val="000000"/>
          <w:sz w:val="24"/>
          <w:szCs w:val="24"/>
        </w:rPr>
        <w:t>5.2</w:t>
      </w:r>
      <w:r>
        <w:rPr>
          <w:rFonts w:hint="eastAsia" w:hAnsi="宋体"/>
          <w:color w:val="000000"/>
          <w:sz w:val="24"/>
          <w:szCs w:val="24"/>
        </w:rPr>
        <w:t>全流程电子化交易如因系统异常情况无法完成，将以人工方式进行。评标委员会以纸质投标文件为依据评标。</w:t>
      </w:r>
    </w:p>
    <w:p>
      <w:pPr>
        <w:autoSpaceDE w:val="0"/>
        <w:autoSpaceDN w:val="0"/>
        <w:adjustRightInd w:val="0"/>
        <w:spacing w:line="700" w:lineRule="exact"/>
        <w:ind w:firstLine="560"/>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pStyle w:val="2"/>
        <w:rPr>
          <w:rFonts w:cs="仿宋_GB2312" w:asciiTheme="minorEastAsia" w:hAnsiTheme="minorEastAsia"/>
          <w:color w:val="000000"/>
          <w:sz w:val="24"/>
          <w:szCs w:val="24"/>
        </w:rPr>
      </w:pPr>
    </w:p>
    <w:p>
      <w:pPr>
        <w:autoSpaceDE w:val="0"/>
        <w:autoSpaceDN w:val="0"/>
        <w:adjustRightInd w:val="0"/>
        <w:spacing w:line="700" w:lineRule="exact"/>
        <w:rPr>
          <w:rFonts w:cs="仿宋_GB2312" w:asciiTheme="minorEastAsia" w:hAnsiTheme="minorEastAsia"/>
          <w:color w:val="000000"/>
          <w:sz w:val="24"/>
          <w:szCs w:val="24"/>
        </w:rPr>
      </w:pPr>
    </w:p>
    <w:p>
      <w:pPr>
        <w:numPr>
          <w:ilvl w:val="0"/>
          <w:numId w:val="6"/>
        </w:numPr>
        <w:jc w:val="center"/>
        <w:rPr>
          <w:rFonts w:hint="eastAsia"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项目需求</w:t>
      </w:r>
    </w:p>
    <w:p>
      <w:pPr>
        <w:pStyle w:val="30"/>
        <w:rPr>
          <w:rFonts w:hint="eastAsia"/>
        </w:rPr>
      </w:pPr>
    </w:p>
    <w:p>
      <w:pPr>
        <w:keepNext w:val="0"/>
        <w:keepLines w:val="0"/>
        <w:pageBreakBefore w:val="0"/>
        <w:widowControl/>
        <w:numPr>
          <w:ilvl w:val="0"/>
          <w:numId w:val="7"/>
        </w:numPr>
        <w:shd w:val="clear" w:color="auto" w:fill="FFFFFF"/>
        <w:kinsoku/>
        <w:overflowPunct/>
        <w:bidi w:val="0"/>
        <w:snapToGrid/>
        <w:spacing w:line="360" w:lineRule="auto"/>
        <w:jc w:val="left"/>
        <w:rPr>
          <w:rFonts w:hint="eastAsia" w:ascii="新宋体" w:hAnsi="新宋体" w:eastAsia="新宋体" w:cs="新宋体"/>
          <w:lang w:val="en-US" w:eastAsia="zh-CN"/>
        </w:rPr>
      </w:pPr>
      <w:r>
        <w:rPr>
          <w:rFonts w:hint="eastAsia" w:ascii="新宋体" w:hAnsi="新宋体" w:eastAsia="新宋体" w:cs="新宋体"/>
          <w:b/>
          <w:bCs/>
          <w:color w:val="000000"/>
          <w:kern w:val="0"/>
          <w:sz w:val="24"/>
          <w:szCs w:val="24"/>
        </w:rPr>
        <w:t>本项目需实现的功能或者目标</w:t>
      </w:r>
    </w:p>
    <w:p>
      <w:pPr>
        <w:pStyle w:val="2"/>
        <w:ind w:firstLine="480" w:firstLineChars="200"/>
        <w:rPr>
          <w:rFonts w:hint="eastAsia"/>
          <w:lang w:val="en-US" w:eastAsia="zh-CN"/>
        </w:rPr>
      </w:pPr>
      <w:r>
        <w:rPr>
          <w:rFonts w:hint="eastAsia"/>
          <w:lang w:val="en-US" w:eastAsia="zh-CN"/>
        </w:rPr>
        <w:t>园区综合管理服务水平的提升是集聚区智能化的基础和重要抓手。通过建设园区服务系统、园区招商系统、产业监测系统、大数据分析平台，为“禹州智能化示范园区”建设各项工程奠定信息化和智能化基础，从利于显示实效的方面入手推动项目建设，同时打通体制机制壁垒，推进信息资源共享，带动基础数据库建设，逐步实现“园区管理服务信息化”的目标。</w:t>
      </w:r>
    </w:p>
    <w:p>
      <w:pPr>
        <w:widowControl/>
        <w:numPr>
          <w:ilvl w:val="0"/>
          <w:numId w:val="7"/>
        </w:numPr>
        <w:shd w:val="clear" w:color="auto" w:fill="FFFFFF"/>
        <w:spacing w:line="360" w:lineRule="auto"/>
        <w:ind w:left="0" w:leftChars="0" w:firstLine="0" w:firstLineChars="0"/>
        <w:jc w:val="left"/>
        <w:rPr>
          <w:rFonts w:hint="eastAsia" w:ascii="新宋体" w:hAnsi="新宋体" w:eastAsia="新宋体" w:cs="新宋体"/>
          <w:b/>
          <w:bCs/>
          <w:color w:val="000000"/>
          <w:kern w:val="0"/>
          <w:sz w:val="24"/>
          <w:szCs w:val="24"/>
          <w:lang w:val="en-US" w:eastAsia="zh-CN"/>
        </w:rPr>
      </w:pPr>
      <w:r>
        <w:rPr>
          <w:rFonts w:hint="eastAsia" w:ascii="新宋体" w:hAnsi="新宋体" w:eastAsia="新宋体" w:cs="新宋体"/>
          <w:b/>
          <w:bCs/>
          <w:color w:val="000000"/>
          <w:kern w:val="0"/>
          <w:sz w:val="24"/>
          <w:szCs w:val="24"/>
          <w:lang w:val="en-US" w:eastAsia="zh-CN"/>
        </w:rPr>
        <w:t>采购清单：</w:t>
      </w:r>
    </w:p>
    <w:p>
      <w:pPr>
        <w:widowControl/>
        <w:numPr>
          <w:ilvl w:val="0"/>
          <w:numId w:val="0"/>
        </w:numPr>
        <w:shd w:val="clear" w:color="auto" w:fill="FFFFFF"/>
        <w:spacing w:line="360" w:lineRule="auto"/>
        <w:ind w:leftChars="0" w:firstLine="480" w:firstLineChars="200"/>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1、软件系统采购清单</w:t>
      </w:r>
    </w:p>
    <w:tbl>
      <w:tblPr>
        <w:tblStyle w:val="23"/>
        <w:tblW w:w="8824" w:type="dxa"/>
        <w:jc w:val="center"/>
        <w:tblInd w:w="0" w:type="dxa"/>
        <w:tblLayout w:type="fixed"/>
        <w:tblCellMar>
          <w:top w:w="0" w:type="dxa"/>
          <w:left w:w="108" w:type="dxa"/>
          <w:bottom w:w="0" w:type="dxa"/>
          <w:right w:w="108" w:type="dxa"/>
        </w:tblCellMar>
      </w:tblPr>
      <w:tblGrid>
        <w:gridCol w:w="606"/>
        <w:gridCol w:w="706"/>
        <w:gridCol w:w="605"/>
        <w:gridCol w:w="1332"/>
        <w:gridCol w:w="4368"/>
        <w:gridCol w:w="605"/>
        <w:gridCol w:w="602"/>
      </w:tblGrid>
      <w:tr>
        <w:tblPrEx>
          <w:tblLayout w:type="fixed"/>
          <w:tblCellMar>
            <w:top w:w="0" w:type="dxa"/>
            <w:left w:w="108" w:type="dxa"/>
            <w:bottom w:w="0" w:type="dxa"/>
            <w:right w:w="108" w:type="dxa"/>
          </w:tblCellMar>
        </w:tblPrEx>
        <w:trPr>
          <w:trHeight w:val="300" w:hRule="atLeast"/>
          <w:tblHeader/>
          <w:jc w:val="center"/>
        </w:trPr>
        <w:tc>
          <w:tcPr>
            <w:tcW w:w="606" w:type="dxa"/>
            <w:tcBorders>
              <w:top w:val="single" w:color="auto" w:sz="8" w:space="0"/>
              <w:left w:val="single" w:color="auto" w:sz="8" w:space="0"/>
              <w:bottom w:val="single" w:color="auto" w:sz="8" w:space="0"/>
              <w:right w:val="single" w:color="auto" w:sz="8" w:space="0"/>
            </w:tcBorders>
            <w:shd w:val="clear" w:color="000000" w:fill="FFFFFF" w:themeFill="background1"/>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序号</w:t>
            </w:r>
          </w:p>
        </w:tc>
        <w:tc>
          <w:tcPr>
            <w:tcW w:w="706" w:type="dxa"/>
            <w:tcBorders>
              <w:top w:val="single" w:color="auto" w:sz="8" w:space="0"/>
              <w:left w:val="nil"/>
              <w:bottom w:val="single" w:color="auto" w:sz="8" w:space="0"/>
              <w:right w:val="single" w:color="auto" w:sz="8" w:space="0"/>
            </w:tcBorders>
            <w:shd w:val="clear" w:color="000000" w:fill="FFFFFF" w:themeFill="background1"/>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系统名称</w:t>
            </w:r>
          </w:p>
        </w:tc>
        <w:tc>
          <w:tcPr>
            <w:tcW w:w="1937" w:type="dxa"/>
            <w:gridSpan w:val="2"/>
            <w:tcBorders>
              <w:top w:val="single" w:color="auto" w:sz="8" w:space="0"/>
              <w:left w:val="nil"/>
              <w:bottom w:val="single" w:color="auto" w:sz="8" w:space="0"/>
              <w:right w:val="single" w:color="000000" w:sz="8" w:space="0"/>
            </w:tcBorders>
            <w:shd w:val="clear" w:color="000000" w:fill="FFFFFF" w:themeFill="background1"/>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子系统模块</w:t>
            </w:r>
          </w:p>
        </w:tc>
        <w:tc>
          <w:tcPr>
            <w:tcW w:w="4368" w:type="dxa"/>
            <w:tcBorders>
              <w:top w:val="single" w:color="auto" w:sz="8" w:space="0"/>
              <w:left w:val="nil"/>
              <w:bottom w:val="single" w:color="auto" w:sz="8" w:space="0"/>
              <w:right w:val="single" w:color="auto" w:sz="8" w:space="0"/>
            </w:tcBorders>
            <w:shd w:val="clear" w:color="000000" w:fill="FFFFFF" w:themeFill="background1"/>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功能概述</w:t>
            </w:r>
          </w:p>
        </w:tc>
        <w:tc>
          <w:tcPr>
            <w:tcW w:w="605" w:type="dxa"/>
            <w:tcBorders>
              <w:top w:val="single" w:color="auto" w:sz="8" w:space="0"/>
              <w:left w:val="nil"/>
              <w:bottom w:val="single" w:color="auto" w:sz="8" w:space="0"/>
              <w:right w:val="single" w:color="auto" w:sz="8" w:space="0"/>
            </w:tcBorders>
            <w:shd w:val="clear" w:color="000000" w:fill="FFFFFF" w:themeFill="background1"/>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单位</w:t>
            </w:r>
          </w:p>
        </w:tc>
        <w:tc>
          <w:tcPr>
            <w:tcW w:w="602" w:type="dxa"/>
            <w:tcBorders>
              <w:top w:val="single" w:color="auto" w:sz="8" w:space="0"/>
              <w:left w:val="nil"/>
              <w:bottom w:val="single" w:color="auto" w:sz="8" w:space="0"/>
              <w:right w:val="single" w:color="auto" w:sz="8" w:space="0"/>
            </w:tcBorders>
            <w:shd w:val="clear" w:color="000000" w:fill="FFFFFF" w:themeFill="background1"/>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数量</w:t>
            </w:r>
          </w:p>
        </w:tc>
      </w:tr>
      <w:tr>
        <w:tblPrEx>
          <w:tblLayout w:type="fixed"/>
          <w:tblCellMar>
            <w:top w:w="0" w:type="dxa"/>
            <w:left w:w="108" w:type="dxa"/>
            <w:bottom w:w="0" w:type="dxa"/>
            <w:right w:w="108" w:type="dxa"/>
          </w:tblCellMar>
        </w:tblPrEx>
        <w:trPr>
          <w:trHeight w:val="285" w:hRule="atLeast"/>
          <w:jc w:val="center"/>
        </w:trPr>
        <w:tc>
          <w:tcPr>
            <w:tcW w:w="60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c>
          <w:tcPr>
            <w:tcW w:w="70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园区服务系统</w:t>
            </w:r>
          </w:p>
        </w:tc>
        <w:tc>
          <w:tcPr>
            <w:tcW w:w="1937"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园区动态</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新闻动态、资讯、公告活动、安全生产与环保科普等信息展示</w:t>
            </w:r>
          </w:p>
        </w:tc>
        <w:tc>
          <w:tcPr>
            <w:tcW w:w="60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602" w:type="dxa"/>
            <w:vMerge w:val="restart"/>
            <w:tcBorders>
              <w:top w:val="nil"/>
              <w:left w:val="single" w:color="auto" w:sz="8" w:space="0"/>
              <w:bottom w:val="single" w:color="000000" w:sz="8" w:space="0"/>
              <w:right w:val="single" w:color="auto" w:sz="8" w:space="0"/>
            </w:tcBorders>
            <w:shd w:val="clear" w:color="auto" w:fill="auto"/>
            <w:noWrap/>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r>
      <w:tr>
        <w:tblPrEx>
          <w:tblLayout w:type="fixed"/>
          <w:tblCellMar>
            <w:top w:w="0" w:type="dxa"/>
            <w:left w:w="108" w:type="dxa"/>
            <w:bottom w:w="0" w:type="dxa"/>
            <w:right w:w="108" w:type="dxa"/>
          </w:tblCellMar>
        </w:tblPrEx>
        <w:trPr>
          <w:trHeight w:val="82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937"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园区概览</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介绍园区的发展历史和园区现状，让企业员工及社会公众方便快捷地了解园区的外貌及综合情况。包括历史沿革、园区现状、地理环境、政策法规等内容展示</w:t>
            </w: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55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政策申报</w:t>
            </w:r>
          </w:p>
        </w:tc>
        <w:tc>
          <w:tcPr>
            <w:tcW w:w="1332"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政策管理</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提供各类政策发布、管理、维护；已发政策的查询、编辑、删除；查看政策详情和导出政策信息</w:t>
            </w: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55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332"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企业申报</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企业填写申报信息，上传相应附件，申报后进入待审批状态，并可实时查看最新的状态信息</w:t>
            </w: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55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332"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政府审核</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管委会人员查看企业申报材料并进行审批操作，对于审批不通过的申报单据，需要给出原因说明</w:t>
            </w: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55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公共服务</w:t>
            </w:r>
          </w:p>
        </w:tc>
        <w:tc>
          <w:tcPr>
            <w:tcW w:w="1332"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行政审批</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企业和个人可在线了解各类行政审批程序，通过单点登录在行政审批系统提交审批申请和所需材料，查看审批状态及结果</w:t>
            </w: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82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332"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企业孵化服务</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kern w:val="0"/>
                <w:sz w:val="24"/>
                <w:szCs w:val="24"/>
              </w:rPr>
            </w:pPr>
            <w:r>
              <w:rPr>
                <w:rFonts w:hint="eastAsia" w:ascii="新宋体" w:hAnsi="新宋体" w:eastAsia="新宋体" w:cs="新宋体"/>
                <w:kern w:val="0"/>
                <w:sz w:val="24"/>
                <w:szCs w:val="24"/>
              </w:rPr>
              <w:t>针对孵化企业提供不同的孵化服务，企业在线提交孵化需求，园区对孵化需求审核，对企业进行辅导、咨询，并可统计出孵化的情况等</w:t>
            </w: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28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332"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入驻代办</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入驻企业提供资料，工作人员收取文件并反馈办理进度</w:t>
            </w: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28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332"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新入住引导</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为新入住园区的企业提供入驻流程引导指南</w:t>
            </w: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28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专业服务</w:t>
            </w:r>
          </w:p>
        </w:tc>
        <w:tc>
          <w:tcPr>
            <w:tcW w:w="1332"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需求发布</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企业发布需求</w:t>
            </w: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28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332"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服务查找</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企业查找所需专业服务资源</w:t>
            </w: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82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332"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服务推荐</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根据用户需求，向用户精准推荐投融资、市场拓展、管理咨询、商务服务、法律服务等专业服务资源，也可向服务机构推荐潜在需求的企业</w:t>
            </w: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28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332"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服务评价</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供需双方可对进行的服务活动进行线上互评</w:t>
            </w: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55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332"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服务资源</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管理和发布服务资源信息，主要包含投融资、市场拓展、管理咨询、商务服务、法律服务等</w:t>
            </w: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28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937"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会议通知</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管委会可以通过在园区动态及首页发送会议通知并短信同步发送至企业侧</w:t>
            </w: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55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937"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纪检监察举报</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themeColor="text1"/>
                <w:kern w:val="0"/>
                <w:sz w:val="24"/>
                <w:szCs w:val="24"/>
              </w:rPr>
              <w:t>通过对接中央纪委国家监委举报网站，园区企业或个人可以向禹州市纪检委及禹州监委进行实名或匿名举报</w:t>
            </w: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82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937"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园区人员信息管理</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themeColor="text1"/>
                <w:kern w:val="0"/>
                <w:sz w:val="24"/>
                <w:szCs w:val="24"/>
              </w:rPr>
              <w:t>企业可通过线上填报企业员工身份信息，系统支持线上填报和一键导入功能</w:t>
            </w: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55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937"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投诉建议</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园区企业可以针对园区服务提供投诉建议，管委会了解投诉建议的跟踪处理情况，包括投诉受理、结果反馈、问题回访等功能</w:t>
            </w: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28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937"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后台管理</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用户权限管理、用户信息维护、后台信息统计等</w:t>
            </w: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55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937"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企业数据上报管理</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企业上报数据，实现对企业各项直报数据进行集中式管理，可设置上报模板</w:t>
            </w:r>
          </w:p>
        </w:tc>
        <w:tc>
          <w:tcPr>
            <w:tcW w:w="605"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602" w:type="dxa"/>
            <w:tcBorders>
              <w:top w:val="nil"/>
              <w:left w:val="nil"/>
              <w:bottom w:val="single" w:color="auto" w:sz="8" w:space="0"/>
              <w:right w:val="single" w:color="auto" w:sz="8" w:space="0"/>
            </w:tcBorders>
            <w:shd w:val="clear" w:color="auto" w:fill="auto"/>
            <w:noWrap/>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r>
      <w:tr>
        <w:tblPrEx>
          <w:tblLayout w:type="fixed"/>
          <w:tblCellMar>
            <w:top w:w="0" w:type="dxa"/>
            <w:left w:w="108" w:type="dxa"/>
            <w:bottom w:w="0" w:type="dxa"/>
            <w:right w:w="108" w:type="dxa"/>
          </w:tblCellMar>
        </w:tblPrEx>
        <w:trPr>
          <w:trHeight w:val="555" w:hRule="atLeast"/>
          <w:jc w:val="center"/>
        </w:trPr>
        <w:tc>
          <w:tcPr>
            <w:tcW w:w="606" w:type="dxa"/>
            <w:vMerge w:val="restart"/>
            <w:tcBorders>
              <w:top w:val="nil"/>
              <w:left w:val="single" w:color="auto" w:sz="8" w:space="0"/>
              <w:bottom w:val="nil"/>
              <w:right w:val="single" w:color="auto"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2</w:t>
            </w:r>
          </w:p>
        </w:tc>
        <w:tc>
          <w:tcPr>
            <w:tcW w:w="706" w:type="dxa"/>
            <w:vMerge w:val="restart"/>
            <w:tcBorders>
              <w:top w:val="nil"/>
              <w:left w:val="single" w:color="auto" w:sz="8" w:space="0"/>
              <w:bottom w:val="nil"/>
              <w:right w:val="single" w:color="auto"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园区招商系统</w:t>
            </w:r>
          </w:p>
        </w:tc>
        <w:tc>
          <w:tcPr>
            <w:tcW w:w="1937"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招商项目中心</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招商项目报备、项目查询、项目状态管理、项目资源关联、项目准入初审审批、项目准入定审审批等功能</w:t>
            </w:r>
          </w:p>
        </w:tc>
        <w:tc>
          <w:tcPr>
            <w:tcW w:w="605" w:type="dxa"/>
            <w:vMerge w:val="restart"/>
            <w:tcBorders>
              <w:top w:val="nil"/>
              <w:left w:val="single" w:color="auto" w:sz="8" w:space="0"/>
              <w:bottom w:val="nil"/>
              <w:right w:val="single" w:color="auto"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602" w:type="dxa"/>
            <w:vMerge w:val="restart"/>
            <w:tcBorders>
              <w:top w:val="nil"/>
              <w:left w:val="single" w:color="auto" w:sz="8" w:space="0"/>
              <w:bottom w:val="nil"/>
              <w:right w:val="single" w:color="auto" w:sz="8" w:space="0"/>
            </w:tcBorders>
            <w:shd w:val="clear" w:color="auto" w:fill="auto"/>
            <w:noWrap/>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r>
      <w:tr>
        <w:tblPrEx>
          <w:tblLayout w:type="fixed"/>
          <w:tblCellMar>
            <w:top w:w="0" w:type="dxa"/>
            <w:left w:w="108" w:type="dxa"/>
            <w:bottom w:w="0" w:type="dxa"/>
            <w:right w:w="108" w:type="dxa"/>
          </w:tblCellMar>
        </w:tblPrEx>
        <w:trPr>
          <w:trHeight w:val="285" w:hRule="atLeast"/>
          <w:jc w:val="center"/>
        </w:trPr>
        <w:tc>
          <w:tcPr>
            <w:tcW w:w="606" w:type="dxa"/>
            <w:vMerge w:val="continue"/>
            <w:tcBorders>
              <w:top w:val="nil"/>
              <w:left w:val="single" w:color="auto" w:sz="8" w:space="0"/>
              <w:bottom w:val="nil"/>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nil"/>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937"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招商资源中心</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土地资源管理、厂房资源管理、楼宇资源管理</w:t>
            </w:r>
          </w:p>
        </w:tc>
        <w:tc>
          <w:tcPr>
            <w:tcW w:w="605" w:type="dxa"/>
            <w:vMerge w:val="continue"/>
            <w:tcBorders>
              <w:top w:val="nil"/>
              <w:left w:val="single" w:color="auto" w:sz="8" w:space="0"/>
              <w:bottom w:val="nil"/>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nil"/>
              <w:left w:val="single" w:color="auto" w:sz="8" w:space="0"/>
              <w:bottom w:val="nil"/>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555" w:hRule="atLeast"/>
          <w:jc w:val="center"/>
        </w:trPr>
        <w:tc>
          <w:tcPr>
            <w:tcW w:w="606" w:type="dxa"/>
            <w:vMerge w:val="continue"/>
            <w:tcBorders>
              <w:top w:val="nil"/>
              <w:left w:val="single" w:color="auto" w:sz="8" w:space="0"/>
              <w:bottom w:val="nil"/>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nil"/>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937"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重点企业中心</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重点企业库列表、新增重点企业以及对重点企业信息的查询、修改、上传和导出功能</w:t>
            </w:r>
          </w:p>
        </w:tc>
        <w:tc>
          <w:tcPr>
            <w:tcW w:w="605" w:type="dxa"/>
            <w:vMerge w:val="continue"/>
            <w:tcBorders>
              <w:top w:val="nil"/>
              <w:left w:val="single" w:color="auto" w:sz="8" w:space="0"/>
              <w:bottom w:val="nil"/>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nil"/>
              <w:left w:val="single" w:color="auto" w:sz="8" w:space="0"/>
              <w:bottom w:val="nil"/>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285" w:hRule="atLeast"/>
          <w:jc w:val="center"/>
        </w:trPr>
        <w:tc>
          <w:tcPr>
            <w:tcW w:w="606" w:type="dxa"/>
            <w:vMerge w:val="continue"/>
            <w:tcBorders>
              <w:top w:val="nil"/>
              <w:left w:val="single" w:color="auto" w:sz="8" w:space="0"/>
              <w:bottom w:val="nil"/>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nil"/>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937"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后台配置管理子系统</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查看项目审批流程、审批进度</w:t>
            </w:r>
          </w:p>
        </w:tc>
        <w:tc>
          <w:tcPr>
            <w:tcW w:w="605" w:type="dxa"/>
            <w:vMerge w:val="continue"/>
            <w:tcBorders>
              <w:top w:val="nil"/>
              <w:left w:val="single" w:color="auto" w:sz="8" w:space="0"/>
              <w:bottom w:val="nil"/>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nil"/>
              <w:left w:val="single" w:color="auto" w:sz="8" w:space="0"/>
              <w:bottom w:val="nil"/>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825" w:hRule="atLeast"/>
          <w:jc w:val="center"/>
        </w:trPr>
        <w:tc>
          <w:tcPr>
            <w:tcW w:w="606" w:type="dxa"/>
            <w:vMerge w:val="restart"/>
            <w:tcBorders>
              <w:top w:val="single" w:color="000000" w:sz="8" w:space="0"/>
              <w:left w:val="single" w:color="auto" w:sz="8" w:space="0"/>
              <w:bottom w:val="single" w:color="000000" w:sz="8" w:space="0"/>
              <w:right w:val="single" w:color="auto"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3</w:t>
            </w:r>
          </w:p>
        </w:tc>
        <w:tc>
          <w:tcPr>
            <w:tcW w:w="706" w:type="dxa"/>
            <w:vMerge w:val="restart"/>
            <w:tcBorders>
              <w:top w:val="single" w:color="000000" w:sz="8" w:space="0"/>
              <w:left w:val="single" w:color="auto" w:sz="8" w:space="0"/>
              <w:bottom w:val="single" w:color="000000" w:sz="8" w:space="0"/>
              <w:right w:val="single" w:color="auto"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产业监测</w:t>
            </w:r>
          </w:p>
        </w:tc>
        <w:tc>
          <w:tcPr>
            <w:tcW w:w="60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经济监测子系统</w:t>
            </w:r>
          </w:p>
        </w:tc>
        <w:tc>
          <w:tcPr>
            <w:tcW w:w="1332"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经济运行监测</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对产业规模、支柱产业、龙头企业、经济总量、财务指标（营业收入、税收、利润）、经济发展评价指标、目标完成情况、主要运行指标同比、万元产值综合能耗等进行监控</w:t>
            </w:r>
          </w:p>
        </w:tc>
        <w:tc>
          <w:tcPr>
            <w:tcW w:w="605" w:type="dxa"/>
            <w:vMerge w:val="restart"/>
            <w:tcBorders>
              <w:top w:val="single" w:color="000000" w:sz="8" w:space="0"/>
              <w:left w:val="single" w:color="auto" w:sz="8" w:space="0"/>
              <w:bottom w:val="single" w:color="000000" w:sz="8" w:space="0"/>
              <w:right w:val="single" w:color="auto"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602" w:type="dxa"/>
            <w:vMerge w:val="restart"/>
            <w:tcBorders>
              <w:top w:val="single" w:color="000000" w:sz="8" w:space="0"/>
              <w:left w:val="single" w:color="auto" w:sz="8" w:space="0"/>
              <w:bottom w:val="single" w:color="000000" w:sz="8" w:space="0"/>
              <w:right w:val="single" w:color="auto"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r>
      <w:tr>
        <w:tblPrEx>
          <w:tblLayout w:type="fixed"/>
          <w:tblCellMar>
            <w:top w:w="0" w:type="dxa"/>
            <w:left w:w="108" w:type="dxa"/>
            <w:bottom w:w="0" w:type="dxa"/>
            <w:right w:w="108" w:type="dxa"/>
          </w:tblCellMar>
        </w:tblPrEx>
        <w:trPr>
          <w:trHeight w:val="285" w:hRule="atLeast"/>
          <w:jc w:val="center"/>
        </w:trPr>
        <w:tc>
          <w:tcPr>
            <w:tcW w:w="606"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332"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经济运行专报</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根据上述指标生产专报，可导出报表</w:t>
            </w:r>
          </w:p>
        </w:tc>
        <w:tc>
          <w:tcPr>
            <w:tcW w:w="605"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555" w:hRule="atLeast"/>
          <w:jc w:val="center"/>
        </w:trPr>
        <w:tc>
          <w:tcPr>
            <w:tcW w:w="606"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332"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重点指标统计查询</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重点指标的查询、异常指标波动能智能触发报警机制、用户可后台设置报警范围</w:t>
            </w:r>
          </w:p>
        </w:tc>
        <w:tc>
          <w:tcPr>
            <w:tcW w:w="605"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555" w:hRule="atLeast"/>
          <w:jc w:val="center"/>
        </w:trPr>
        <w:tc>
          <w:tcPr>
            <w:tcW w:w="606"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332"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产业要素分析</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从区域产业结构、产业图谱、产业画像等产业要素层面进一步分析园区各产业发展状况。</w:t>
            </w:r>
          </w:p>
        </w:tc>
        <w:tc>
          <w:tcPr>
            <w:tcW w:w="605"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555" w:hRule="atLeast"/>
          <w:jc w:val="center"/>
        </w:trPr>
        <w:tc>
          <w:tcPr>
            <w:tcW w:w="606"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332"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重点项目专题分析</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跟踪并管理禹州市产业集聚区全部重大项目，分析重大项目进展、投资情况、分布情况，协助领导时刻掌握禹州产业集聚区重大项目建设情况。</w:t>
            </w:r>
          </w:p>
        </w:tc>
        <w:tc>
          <w:tcPr>
            <w:tcW w:w="605"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285" w:hRule="atLeast"/>
          <w:jc w:val="center"/>
        </w:trPr>
        <w:tc>
          <w:tcPr>
            <w:tcW w:w="606"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332"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自定义报表查询</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实现数据自定义查询，灵活导出各类办公报表，提升业务办公效率。</w:t>
            </w:r>
          </w:p>
        </w:tc>
        <w:tc>
          <w:tcPr>
            <w:tcW w:w="605"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1095" w:hRule="atLeast"/>
          <w:jc w:val="center"/>
        </w:trPr>
        <w:tc>
          <w:tcPr>
            <w:tcW w:w="606"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企业评价子系统</w:t>
            </w:r>
          </w:p>
        </w:tc>
        <w:tc>
          <w:tcPr>
            <w:tcW w:w="1332"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企业档案库</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为每个企业建立企业档案，用户直接可以在档案中，查看到企业的最新信息，包括企业的亩均税收、亩均主营业务收入、亩均利润、研发投入强度纳税等信息，提高园区管理者对区内企业的把控力度，方便管理者从纵向和横向全面掌握企业经营动态。</w:t>
            </w:r>
          </w:p>
        </w:tc>
        <w:tc>
          <w:tcPr>
            <w:tcW w:w="605" w:type="dxa"/>
            <w:tcBorders>
              <w:top w:val="nil"/>
              <w:left w:val="nil"/>
              <w:bottom w:val="nil"/>
              <w:right w:val="single" w:color="auto"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w:t>
            </w:r>
          </w:p>
          <w:p>
            <w:pPr>
              <w:rPr>
                <w:rFonts w:hint="eastAsia" w:ascii="新宋体" w:hAnsi="新宋体" w:eastAsia="新宋体" w:cs="新宋体"/>
                <w:sz w:val="24"/>
                <w:szCs w:val="24"/>
              </w:rPr>
            </w:pPr>
          </w:p>
          <w:p>
            <w:pPr>
              <w:rPr>
                <w:rFonts w:hint="eastAsia" w:ascii="新宋体" w:hAnsi="新宋体" w:eastAsia="新宋体" w:cs="新宋体"/>
                <w:sz w:val="24"/>
                <w:szCs w:val="24"/>
              </w:rPr>
            </w:pPr>
          </w:p>
          <w:p>
            <w:pPr>
              <w:rPr>
                <w:rFonts w:hint="eastAsia" w:ascii="新宋体" w:hAnsi="新宋体" w:eastAsia="新宋体" w:cs="新宋体"/>
                <w:sz w:val="24"/>
                <w:szCs w:val="24"/>
              </w:rPr>
            </w:pPr>
          </w:p>
          <w:p>
            <w:pPr>
              <w:rPr>
                <w:rFonts w:hint="eastAsia" w:ascii="新宋体" w:hAnsi="新宋体" w:eastAsia="新宋体" w:cs="新宋体"/>
                <w:sz w:val="24"/>
                <w:szCs w:val="24"/>
              </w:rPr>
            </w:pPr>
            <w:r>
              <w:rPr>
                <w:rFonts w:hint="eastAsia" w:ascii="新宋体" w:hAnsi="新宋体" w:eastAsia="新宋体" w:cs="新宋体"/>
                <w:sz w:val="24"/>
                <w:szCs w:val="24"/>
              </w:rPr>
              <w:t>套</w:t>
            </w:r>
          </w:p>
        </w:tc>
        <w:tc>
          <w:tcPr>
            <w:tcW w:w="602" w:type="dxa"/>
            <w:tcBorders>
              <w:top w:val="nil"/>
              <w:left w:val="nil"/>
              <w:bottom w:val="nil"/>
              <w:right w:val="single" w:color="auto"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xml:space="preserve">          1</w:t>
            </w:r>
          </w:p>
        </w:tc>
      </w:tr>
      <w:tr>
        <w:tblPrEx>
          <w:tblLayout w:type="fixed"/>
          <w:tblCellMar>
            <w:top w:w="0" w:type="dxa"/>
            <w:left w:w="108" w:type="dxa"/>
            <w:bottom w:w="0" w:type="dxa"/>
            <w:right w:w="108" w:type="dxa"/>
          </w:tblCellMar>
        </w:tblPrEx>
        <w:trPr>
          <w:trHeight w:val="555" w:hRule="atLeast"/>
          <w:jc w:val="center"/>
        </w:trPr>
        <w:tc>
          <w:tcPr>
            <w:tcW w:w="606"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332"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企业综合评价</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评价查询、评价结果展示、评价年报等功能，重点反映被评企业的亩均产出、创新引领、绿色发展等水平。</w:t>
            </w:r>
          </w:p>
        </w:tc>
        <w:tc>
          <w:tcPr>
            <w:tcW w:w="605" w:type="dxa"/>
            <w:tcBorders>
              <w:top w:val="nil"/>
              <w:left w:val="nil"/>
              <w:bottom w:val="nil"/>
              <w:right w:val="single" w:color="auto"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　</w:t>
            </w:r>
          </w:p>
        </w:tc>
        <w:tc>
          <w:tcPr>
            <w:tcW w:w="602" w:type="dxa"/>
            <w:tcBorders>
              <w:top w:val="nil"/>
              <w:left w:val="nil"/>
              <w:bottom w:val="nil"/>
              <w:right w:val="single" w:color="auto" w:sz="8" w:space="0"/>
            </w:tcBorders>
            <w:shd w:val="clear" w:color="auto" w:fill="auto"/>
            <w:vAlign w:val="center"/>
          </w:tcPr>
          <w:p>
            <w:pPr>
              <w:widowControl/>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555" w:hRule="atLeast"/>
          <w:jc w:val="center"/>
        </w:trPr>
        <w:tc>
          <w:tcPr>
            <w:tcW w:w="60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4</w:t>
            </w:r>
          </w:p>
        </w:tc>
        <w:tc>
          <w:tcPr>
            <w:tcW w:w="706"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大数据分析平台</w:t>
            </w:r>
          </w:p>
        </w:tc>
        <w:tc>
          <w:tcPr>
            <w:tcW w:w="60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信息资源库</w:t>
            </w:r>
          </w:p>
        </w:tc>
        <w:tc>
          <w:tcPr>
            <w:tcW w:w="1332"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基础数据库</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基础数据库是项目运行的基本要素，是园区管理及服务过程中产生的最基本的数据。</w:t>
            </w:r>
          </w:p>
        </w:tc>
        <w:tc>
          <w:tcPr>
            <w:tcW w:w="605" w:type="dxa"/>
            <w:vMerge w:val="restart"/>
            <w:tcBorders>
              <w:top w:val="single" w:color="000000" w:sz="8" w:space="0"/>
              <w:left w:val="single" w:color="auto" w:sz="8" w:space="0"/>
              <w:bottom w:val="single" w:color="000000" w:sz="8" w:space="0"/>
              <w:right w:val="single" w:color="auto"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套</w:t>
            </w:r>
          </w:p>
        </w:tc>
        <w:tc>
          <w:tcPr>
            <w:tcW w:w="602" w:type="dxa"/>
            <w:vMerge w:val="restart"/>
            <w:tcBorders>
              <w:top w:val="single" w:color="000000" w:sz="8" w:space="0"/>
              <w:left w:val="single" w:color="auto" w:sz="8" w:space="0"/>
              <w:bottom w:val="single" w:color="000000" w:sz="8" w:space="0"/>
              <w:right w:val="single" w:color="auto" w:sz="8" w:space="0"/>
            </w:tcBorders>
            <w:shd w:val="clear" w:color="auto" w:fill="auto"/>
            <w:noWrap/>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1</w:t>
            </w:r>
          </w:p>
        </w:tc>
      </w:tr>
      <w:tr>
        <w:tblPrEx>
          <w:tblLayout w:type="fixed"/>
          <w:tblCellMar>
            <w:top w:w="0" w:type="dxa"/>
            <w:left w:w="108" w:type="dxa"/>
            <w:bottom w:w="0" w:type="dxa"/>
            <w:right w:w="108" w:type="dxa"/>
          </w:tblCellMar>
        </w:tblPrEx>
        <w:trPr>
          <w:trHeight w:val="28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332"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模块化政策匹配库</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模块化政策匹配库主要是企业在政策申报过程中产生的数据。</w:t>
            </w:r>
          </w:p>
        </w:tc>
        <w:tc>
          <w:tcPr>
            <w:tcW w:w="605"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55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332"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公共服务资源库</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公共服务资源库主要是在行政审批、企业孵化服务、入住代办、入驻引导模块中产生的数据。</w:t>
            </w:r>
          </w:p>
        </w:tc>
        <w:tc>
          <w:tcPr>
            <w:tcW w:w="605"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55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332"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专业服务资源库</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专业服务资源库主要是在为园区企业提供需求发布、资源查找、资源推荐、服务评价、服务资源等专业服务时产生的数据。</w:t>
            </w:r>
          </w:p>
        </w:tc>
        <w:tc>
          <w:tcPr>
            <w:tcW w:w="605"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55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332"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招商主题库</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招商主题库主要是在园区招商过程中产生的数据。这些数据主要包括招商项目数据、招商资源数据、重点企业数据等。</w:t>
            </w:r>
          </w:p>
        </w:tc>
        <w:tc>
          <w:tcPr>
            <w:tcW w:w="605"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28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937" w:type="dxa"/>
            <w:gridSpan w:val="2"/>
            <w:tcBorders>
              <w:top w:val="nil"/>
              <w:left w:val="nil"/>
              <w:bottom w:val="single" w:color="auto" w:sz="8" w:space="0"/>
              <w:right w:val="single" w:color="000000"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环境质量分析</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对接禹州准备建的环保平台的数据，进行环境分析展示</w:t>
            </w:r>
          </w:p>
        </w:tc>
        <w:tc>
          <w:tcPr>
            <w:tcW w:w="605"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55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937"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安全监管分析</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对接园区上报数据及安监系统数据，查看园区企业的重大危险源分布情况和，查看该企业的详细信息以及监控点信息</w:t>
            </w:r>
          </w:p>
        </w:tc>
        <w:tc>
          <w:tcPr>
            <w:tcW w:w="605"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55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5" w:type="dxa"/>
            <w:vMerge w:val="restart"/>
            <w:tcBorders>
              <w:top w:val="nil"/>
              <w:left w:val="single" w:color="auto" w:sz="8" w:space="0"/>
              <w:bottom w:val="single" w:color="000000" w:sz="8" w:space="0"/>
              <w:right w:val="single" w:color="auto"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经济运行分析</w:t>
            </w:r>
          </w:p>
        </w:tc>
        <w:tc>
          <w:tcPr>
            <w:tcW w:w="1332" w:type="dxa"/>
            <w:tcBorders>
              <w:top w:val="nil"/>
              <w:left w:val="nil"/>
              <w:bottom w:val="single" w:color="auto" w:sz="8" w:space="0"/>
              <w:right w:val="single" w:color="auto"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经济发展综合展示</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可视化展示禹州产业集聚区的经济发展成果，包括核心指标趋势监控、任务指标完成率、支柱产业分析、龙头企业分析、税收分析等</w:t>
            </w:r>
          </w:p>
        </w:tc>
        <w:tc>
          <w:tcPr>
            <w:tcW w:w="605"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55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332" w:type="dxa"/>
            <w:tcBorders>
              <w:top w:val="nil"/>
              <w:left w:val="nil"/>
              <w:bottom w:val="single" w:color="auto" w:sz="8" w:space="0"/>
              <w:right w:val="single" w:color="auto"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经济发展分析与预测</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对工业总产值、规上工业总产值、规上工业增加值、税收总额、规上主营业务收入、进出口总额、固定资产投资等指标的预测（同比、环比分析）</w:t>
            </w:r>
          </w:p>
        </w:tc>
        <w:tc>
          <w:tcPr>
            <w:tcW w:w="605"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55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332"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明星企业分析</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展示禹州产业集聚区各行业、各区域明星企业，包含企业简介、图片视频、核心产品、先进技术、资质专利、营业额、利润、税收等信息</w:t>
            </w:r>
          </w:p>
        </w:tc>
        <w:tc>
          <w:tcPr>
            <w:tcW w:w="605"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55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332"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产业结构分析和展示</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从产业投入、产出两个维度分析企业的累计投资、产出的排名及投资分类分析、产品销售分析</w:t>
            </w:r>
          </w:p>
        </w:tc>
        <w:tc>
          <w:tcPr>
            <w:tcW w:w="605"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55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5"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332"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数字地图</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展示园区用地规划、园区面积变化、园区产业与企业分布、分区对比等信息</w:t>
            </w:r>
          </w:p>
        </w:tc>
        <w:tc>
          <w:tcPr>
            <w:tcW w:w="605"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55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937"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企业评价分析</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基于GIS地图进行企业分布的展示，同时在地图上以不同颜色区分显示不同的企业经营状态</w:t>
            </w:r>
          </w:p>
        </w:tc>
        <w:tc>
          <w:tcPr>
            <w:tcW w:w="605"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r>
        <w:tblPrEx>
          <w:tblLayout w:type="fixed"/>
          <w:tblCellMar>
            <w:top w:w="0" w:type="dxa"/>
            <w:left w:w="108" w:type="dxa"/>
            <w:bottom w:w="0" w:type="dxa"/>
            <w:right w:w="108" w:type="dxa"/>
          </w:tblCellMar>
        </w:tblPrEx>
        <w:trPr>
          <w:trHeight w:val="555" w:hRule="atLeast"/>
          <w:jc w:val="center"/>
        </w:trPr>
        <w:tc>
          <w:tcPr>
            <w:tcW w:w="6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706" w:type="dxa"/>
            <w:vMerge w:val="continue"/>
            <w:tcBorders>
              <w:top w:val="nil"/>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1937" w:type="dxa"/>
            <w:gridSpan w:val="2"/>
            <w:tcBorders>
              <w:top w:val="single" w:color="auto" w:sz="8" w:space="0"/>
              <w:left w:val="nil"/>
              <w:bottom w:val="single" w:color="auto" w:sz="8" w:space="0"/>
              <w:right w:val="single" w:color="000000" w:sz="8" w:space="0"/>
            </w:tcBorders>
            <w:shd w:val="clear" w:color="auto" w:fill="auto"/>
            <w:vAlign w:val="center"/>
          </w:tcPr>
          <w:p>
            <w:pPr>
              <w:widowControl/>
              <w:jc w:val="center"/>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招商成果分析</w:t>
            </w:r>
          </w:p>
        </w:tc>
        <w:tc>
          <w:tcPr>
            <w:tcW w:w="4368" w:type="dxa"/>
            <w:tcBorders>
              <w:top w:val="nil"/>
              <w:left w:val="nil"/>
              <w:bottom w:val="single" w:color="auto" w:sz="8" w:space="0"/>
              <w:right w:val="single" w:color="auto" w:sz="8" w:space="0"/>
            </w:tcBorders>
            <w:shd w:val="clear" w:color="auto" w:fill="auto"/>
            <w:vAlign w:val="center"/>
          </w:tcPr>
          <w:p>
            <w:pPr>
              <w:widowControl/>
              <w:jc w:val="left"/>
              <w:rPr>
                <w:rFonts w:hint="eastAsia" w:ascii="新宋体" w:hAnsi="新宋体" w:eastAsia="新宋体" w:cs="新宋体"/>
                <w:color w:val="000000"/>
                <w:kern w:val="0"/>
                <w:sz w:val="24"/>
                <w:szCs w:val="24"/>
              </w:rPr>
            </w:pPr>
            <w:r>
              <w:rPr>
                <w:rFonts w:hint="eastAsia" w:ascii="新宋体" w:hAnsi="新宋体" w:eastAsia="新宋体" w:cs="新宋体"/>
                <w:color w:val="000000"/>
                <w:kern w:val="0"/>
                <w:sz w:val="24"/>
                <w:szCs w:val="24"/>
              </w:rPr>
              <w:t>对集聚区所招商的重点企业信息进行可视化的呈现，包括招商企业分布、汇总、历史招商信息</w:t>
            </w:r>
          </w:p>
        </w:tc>
        <w:tc>
          <w:tcPr>
            <w:tcW w:w="605"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c>
          <w:tcPr>
            <w:tcW w:w="602" w:type="dxa"/>
            <w:vMerge w:val="continue"/>
            <w:tcBorders>
              <w:top w:val="single" w:color="000000" w:sz="8" w:space="0"/>
              <w:left w:val="single" w:color="auto" w:sz="8" w:space="0"/>
              <w:bottom w:val="single" w:color="000000" w:sz="8" w:space="0"/>
              <w:right w:val="single" w:color="auto" w:sz="8" w:space="0"/>
            </w:tcBorders>
            <w:vAlign w:val="center"/>
          </w:tcPr>
          <w:p>
            <w:pPr>
              <w:widowControl/>
              <w:jc w:val="left"/>
              <w:rPr>
                <w:rFonts w:hint="eastAsia" w:ascii="新宋体" w:hAnsi="新宋体" w:eastAsia="新宋体" w:cs="新宋体"/>
                <w:color w:val="000000"/>
                <w:kern w:val="0"/>
                <w:sz w:val="24"/>
                <w:szCs w:val="24"/>
              </w:rPr>
            </w:pPr>
          </w:p>
        </w:tc>
      </w:tr>
    </w:tbl>
    <w:p>
      <w:pPr>
        <w:pStyle w:val="29"/>
        <w:spacing w:after="120"/>
        <w:ind w:firstLine="0" w:firstLineChars="0"/>
        <w:rPr>
          <w:rFonts w:hint="eastAsia" w:ascii="新宋体" w:hAnsi="新宋体" w:eastAsia="新宋体" w:cs="新宋体"/>
          <w:sz w:val="24"/>
          <w:szCs w:val="24"/>
        </w:rPr>
      </w:pPr>
    </w:p>
    <w:p>
      <w:pPr>
        <w:rPr>
          <w:rFonts w:hint="eastAsia" w:ascii="新宋体" w:hAnsi="新宋体" w:eastAsia="新宋体" w:cs="新宋体"/>
          <w:sz w:val="24"/>
          <w:szCs w:val="24"/>
        </w:rPr>
        <w:sectPr>
          <w:pgSz w:w="11907" w:h="16840"/>
          <w:pgMar w:top="1440" w:right="1080" w:bottom="1440" w:left="1080" w:header="907" w:footer="907" w:gutter="0"/>
          <w:cols w:space="720" w:num="1"/>
          <w:docGrid w:linePitch="286" w:charSpace="0"/>
        </w:sectPr>
      </w:pPr>
    </w:p>
    <w:p>
      <w:pPr>
        <w:pStyle w:val="5"/>
      </w:pPr>
      <w:r>
        <w:t>2 云资源采购清单</w:t>
      </w:r>
    </w:p>
    <w:tbl>
      <w:tblPr>
        <w:tblStyle w:val="23"/>
        <w:tblW w:w="8834" w:type="dxa"/>
        <w:jc w:val="center"/>
        <w:tblInd w:w="0" w:type="dxa"/>
        <w:tblLayout w:type="fixed"/>
        <w:tblCellMar>
          <w:top w:w="0" w:type="dxa"/>
          <w:left w:w="108" w:type="dxa"/>
          <w:bottom w:w="0" w:type="dxa"/>
          <w:right w:w="108" w:type="dxa"/>
        </w:tblCellMar>
      </w:tblPr>
      <w:tblGrid>
        <w:gridCol w:w="638"/>
        <w:gridCol w:w="1492"/>
        <w:gridCol w:w="3314"/>
        <w:gridCol w:w="2114"/>
        <w:gridCol w:w="638"/>
        <w:gridCol w:w="638"/>
      </w:tblGrid>
      <w:tr>
        <w:tblPrEx>
          <w:tblLayout w:type="fixed"/>
          <w:tblCellMar>
            <w:top w:w="0" w:type="dxa"/>
            <w:left w:w="108" w:type="dxa"/>
            <w:bottom w:w="0" w:type="dxa"/>
            <w:right w:w="108" w:type="dxa"/>
          </w:tblCellMar>
        </w:tblPrEx>
        <w:trPr>
          <w:trHeight w:val="240" w:hRule="atLeast"/>
          <w:jc w:val="center"/>
        </w:trPr>
        <w:tc>
          <w:tcPr>
            <w:tcW w:w="638" w:type="dxa"/>
            <w:tcBorders>
              <w:top w:val="single" w:color="auto" w:sz="4" w:space="0"/>
              <w:left w:val="single" w:color="auto" w:sz="4" w:space="0"/>
              <w:bottom w:val="single" w:color="auto" w:sz="4" w:space="0"/>
              <w:right w:val="single" w:color="auto" w:sz="4" w:space="0"/>
            </w:tcBorders>
            <w:shd w:val="clear" w:color="000000" w:fill="FFFFFF" w:themeFill="background1"/>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序号</w:t>
            </w:r>
          </w:p>
        </w:tc>
        <w:tc>
          <w:tcPr>
            <w:tcW w:w="4806" w:type="dxa"/>
            <w:gridSpan w:val="2"/>
            <w:tcBorders>
              <w:top w:val="single" w:color="auto" w:sz="4" w:space="0"/>
              <w:left w:val="nil"/>
              <w:bottom w:val="single" w:color="auto" w:sz="4" w:space="0"/>
              <w:right w:val="single" w:color="auto" w:sz="4" w:space="0"/>
            </w:tcBorders>
            <w:shd w:val="clear" w:color="000000" w:fill="FFFFFF" w:themeFill="background1"/>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服务类型</w:t>
            </w:r>
          </w:p>
        </w:tc>
        <w:tc>
          <w:tcPr>
            <w:tcW w:w="2114" w:type="dxa"/>
            <w:tcBorders>
              <w:top w:val="single" w:color="auto" w:sz="4" w:space="0"/>
              <w:left w:val="nil"/>
              <w:bottom w:val="single" w:color="auto" w:sz="4" w:space="0"/>
              <w:right w:val="single" w:color="auto" w:sz="4" w:space="0"/>
            </w:tcBorders>
            <w:shd w:val="clear" w:color="000000" w:fill="FFFFFF" w:themeFill="background1"/>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服务配置</w:t>
            </w:r>
          </w:p>
        </w:tc>
        <w:tc>
          <w:tcPr>
            <w:tcW w:w="638" w:type="dxa"/>
            <w:tcBorders>
              <w:top w:val="single" w:color="auto" w:sz="4" w:space="0"/>
              <w:left w:val="nil"/>
              <w:bottom w:val="single" w:color="auto" w:sz="4" w:space="0"/>
              <w:right w:val="single" w:color="auto" w:sz="4" w:space="0"/>
            </w:tcBorders>
            <w:shd w:val="clear" w:color="000000" w:fill="FFFFFF" w:themeFill="background1"/>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单位</w:t>
            </w:r>
          </w:p>
        </w:tc>
        <w:tc>
          <w:tcPr>
            <w:tcW w:w="638" w:type="dxa"/>
            <w:tcBorders>
              <w:top w:val="single" w:color="auto" w:sz="4" w:space="0"/>
              <w:left w:val="nil"/>
              <w:bottom w:val="single" w:color="auto" w:sz="4" w:space="0"/>
              <w:right w:val="single" w:color="auto" w:sz="4" w:space="0"/>
            </w:tcBorders>
            <w:shd w:val="clear" w:color="000000" w:fill="FFFFFF" w:themeFill="background1"/>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数量</w:t>
            </w:r>
          </w:p>
        </w:tc>
      </w:tr>
      <w:tr>
        <w:tblPrEx>
          <w:tblLayout w:type="fixed"/>
          <w:tblCellMar>
            <w:top w:w="0" w:type="dxa"/>
            <w:left w:w="108" w:type="dxa"/>
            <w:bottom w:w="0" w:type="dxa"/>
            <w:right w:w="108" w:type="dxa"/>
          </w:tblCellMar>
        </w:tblPrEx>
        <w:trPr>
          <w:trHeight w:val="960" w:hRule="atLeast"/>
          <w:jc w:val="center"/>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c>
          <w:tcPr>
            <w:tcW w:w="1492"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应用服务器</w:t>
            </w:r>
          </w:p>
        </w:tc>
        <w:tc>
          <w:tcPr>
            <w:tcW w:w="331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云服务器ECS</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规格：通用计算型 | C3 | 8核 | 16GB</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镜像：Windows Server 2016 Standard 64bit</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系统盘：高IO 100GB</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数据盘：高IO 1000GB</w:t>
            </w:r>
          </w:p>
        </w:tc>
        <w:tc>
          <w:tcPr>
            <w:tcW w:w="63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台/年</w:t>
            </w:r>
          </w:p>
        </w:tc>
        <w:tc>
          <w:tcPr>
            <w:tcW w:w="63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w:t>
            </w:r>
          </w:p>
        </w:tc>
      </w:tr>
      <w:tr>
        <w:tblPrEx>
          <w:tblLayout w:type="fixed"/>
          <w:tblCellMar>
            <w:top w:w="0" w:type="dxa"/>
            <w:left w:w="108" w:type="dxa"/>
            <w:bottom w:w="0" w:type="dxa"/>
            <w:right w:w="108" w:type="dxa"/>
          </w:tblCellMar>
        </w:tblPrEx>
        <w:trPr>
          <w:trHeight w:val="960" w:hRule="atLeast"/>
          <w:jc w:val="center"/>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w:t>
            </w:r>
          </w:p>
        </w:tc>
        <w:tc>
          <w:tcPr>
            <w:tcW w:w="1492"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存储服务器</w:t>
            </w:r>
          </w:p>
        </w:tc>
        <w:tc>
          <w:tcPr>
            <w:tcW w:w="331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存储服务器</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存储类型：标准存储；</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存储容量：50T；</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公网流出流量包规格：50GB；</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回源流量：1TB</w:t>
            </w:r>
          </w:p>
        </w:tc>
        <w:tc>
          <w:tcPr>
            <w:tcW w:w="63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台/年</w:t>
            </w:r>
          </w:p>
        </w:tc>
        <w:tc>
          <w:tcPr>
            <w:tcW w:w="63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r>
      <w:tr>
        <w:tblPrEx>
          <w:tblLayout w:type="fixed"/>
          <w:tblCellMar>
            <w:top w:w="0" w:type="dxa"/>
            <w:left w:w="108" w:type="dxa"/>
            <w:bottom w:w="0" w:type="dxa"/>
            <w:right w:w="108" w:type="dxa"/>
          </w:tblCellMar>
        </w:tblPrEx>
        <w:trPr>
          <w:trHeight w:val="1440" w:hRule="atLeast"/>
          <w:jc w:val="center"/>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w:t>
            </w:r>
          </w:p>
        </w:tc>
        <w:tc>
          <w:tcPr>
            <w:tcW w:w="1492"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数据库服务器</w:t>
            </w:r>
          </w:p>
        </w:tc>
        <w:tc>
          <w:tcPr>
            <w:tcW w:w="331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关系型数据库RDS</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数据库类型：MySQL</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数据库版本：5.6</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高可用类型：主备</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公共类型：通用增强型</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性能规格：8核16G</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存储空间：超高IO, 200GB</w:t>
            </w:r>
          </w:p>
        </w:tc>
        <w:tc>
          <w:tcPr>
            <w:tcW w:w="63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台/年</w:t>
            </w:r>
          </w:p>
        </w:tc>
        <w:tc>
          <w:tcPr>
            <w:tcW w:w="63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2</w:t>
            </w:r>
          </w:p>
        </w:tc>
      </w:tr>
      <w:tr>
        <w:tblPrEx>
          <w:tblLayout w:type="fixed"/>
          <w:tblCellMar>
            <w:top w:w="0" w:type="dxa"/>
            <w:left w:w="108" w:type="dxa"/>
            <w:bottom w:w="0" w:type="dxa"/>
            <w:right w:w="108" w:type="dxa"/>
          </w:tblCellMar>
        </w:tblPrEx>
        <w:trPr>
          <w:trHeight w:val="720" w:hRule="atLeast"/>
          <w:jc w:val="center"/>
        </w:trPr>
        <w:tc>
          <w:tcPr>
            <w:tcW w:w="638"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4</w:t>
            </w:r>
          </w:p>
        </w:tc>
        <w:tc>
          <w:tcPr>
            <w:tcW w:w="1492"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网络</w:t>
            </w:r>
          </w:p>
        </w:tc>
        <w:tc>
          <w:tcPr>
            <w:tcW w:w="331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带宽和弹性公网IP</w:t>
            </w:r>
          </w:p>
        </w:tc>
        <w:tc>
          <w:tcPr>
            <w:tcW w:w="2114" w:type="dxa"/>
            <w:tcBorders>
              <w:top w:val="nil"/>
              <w:left w:val="nil"/>
              <w:bottom w:val="single" w:color="auto" w:sz="4" w:space="0"/>
              <w:right w:val="single" w:color="auto" w:sz="4" w:space="0"/>
            </w:tcBorders>
            <w:shd w:val="clear" w:color="000000" w:fill="FFFFFF"/>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共享类型：共享</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规格：静态BGP</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带宽：100Mbit/s</w:t>
            </w:r>
          </w:p>
        </w:tc>
        <w:tc>
          <w:tcPr>
            <w:tcW w:w="63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套/年</w:t>
            </w:r>
          </w:p>
        </w:tc>
        <w:tc>
          <w:tcPr>
            <w:tcW w:w="63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r>
      <w:tr>
        <w:tblPrEx>
          <w:tblLayout w:type="fixed"/>
          <w:tblCellMar>
            <w:top w:w="0" w:type="dxa"/>
            <w:left w:w="108" w:type="dxa"/>
            <w:bottom w:w="0" w:type="dxa"/>
            <w:right w:w="108" w:type="dxa"/>
          </w:tblCellMar>
        </w:tblPrEx>
        <w:trPr>
          <w:trHeight w:val="240" w:hRule="atLeast"/>
          <w:jc w:val="center"/>
        </w:trPr>
        <w:tc>
          <w:tcPr>
            <w:tcW w:w="638" w:type="dxa"/>
            <w:vMerge w:val="restart"/>
            <w:tcBorders>
              <w:top w:val="nil"/>
              <w:left w:val="single" w:color="auto" w:sz="4" w:space="0"/>
              <w:bottom w:val="single" w:color="auto" w:sz="4" w:space="0"/>
              <w:right w:val="single" w:color="auto" w:sz="4" w:space="0"/>
            </w:tcBorders>
            <w:shd w:val="clear" w:color="auto" w:fill="auto"/>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5</w:t>
            </w:r>
          </w:p>
        </w:tc>
        <w:tc>
          <w:tcPr>
            <w:tcW w:w="1492"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域名与网站</w:t>
            </w:r>
          </w:p>
        </w:tc>
        <w:tc>
          <w:tcPr>
            <w:tcW w:w="331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域名注册服务</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.com的域名</w:t>
            </w:r>
          </w:p>
        </w:tc>
        <w:tc>
          <w:tcPr>
            <w:tcW w:w="63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套/年</w:t>
            </w:r>
          </w:p>
        </w:tc>
        <w:tc>
          <w:tcPr>
            <w:tcW w:w="63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3</w:t>
            </w:r>
          </w:p>
        </w:tc>
      </w:tr>
      <w:tr>
        <w:tblPrEx>
          <w:tblLayout w:type="fixed"/>
          <w:tblCellMar>
            <w:top w:w="0" w:type="dxa"/>
            <w:left w:w="108" w:type="dxa"/>
            <w:bottom w:w="0" w:type="dxa"/>
            <w:right w:w="108" w:type="dxa"/>
          </w:tblCellMar>
        </w:tblPrEx>
        <w:trPr>
          <w:trHeight w:val="480" w:hRule="atLeast"/>
          <w:jc w:val="center"/>
        </w:trPr>
        <w:tc>
          <w:tcPr>
            <w:tcW w:w="638"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rPr>
            </w:pPr>
          </w:p>
        </w:tc>
        <w:tc>
          <w:tcPr>
            <w:tcW w:w="1492" w:type="dxa"/>
            <w:vMerge w:val="continue"/>
            <w:tcBorders>
              <w:top w:val="nil"/>
              <w:left w:val="single" w:color="auto" w:sz="4" w:space="0"/>
              <w:bottom w:val="single" w:color="auto" w:sz="4" w:space="0"/>
              <w:right w:val="single" w:color="auto" w:sz="4" w:space="0"/>
            </w:tcBorders>
            <w:vAlign w:val="center"/>
          </w:tcPr>
          <w:p>
            <w:pPr>
              <w:widowControl/>
              <w:jc w:val="left"/>
              <w:rPr>
                <w:rFonts w:cs="宋体" w:asciiTheme="minorEastAsia" w:hAnsiTheme="minorEastAsia"/>
                <w:color w:val="000000"/>
                <w:kern w:val="0"/>
                <w:szCs w:val="21"/>
              </w:rPr>
            </w:pPr>
          </w:p>
        </w:tc>
        <w:tc>
          <w:tcPr>
            <w:tcW w:w="3314" w:type="dxa"/>
            <w:tcBorders>
              <w:top w:val="nil"/>
              <w:left w:val="nil"/>
              <w:bottom w:val="single" w:color="auto" w:sz="4" w:space="0"/>
              <w:right w:val="single" w:color="auto" w:sz="4" w:space="0"/>
            </w:tcBorders>
            <w:shd w:val="clear" w:color="auto" w:fill="auto"/>
            <w:noWrap/>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SSL证书管理（域名型，多域名）</w:t>
            </w:r>
          </w:p>
        </w:tc>
        <w:tc>
          <w:tcPr>
            <w:tcW w:w="2114"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证书类型：企业型（OV）</w:t>
            </w:r>
            <w:r>
              <w:rPr>
                <w:rFonts w:hint="eastAsia" w:cs="宋体" w:asciiTheme="minorEastAsia" w:hAnsiTheme="minorEastAsia"/>
                <w:color w:val="000000"/>
                <w:kern w:val="0"/>
                <w:szCs w:val="21"/>
              </w:rPr>
              <w:br w:type="textWrapping"/>
            </w:r>
            <w:r>
              <w:rPr>
                <w:rFonts w:hint="eastAsia" w:cs="宋体" w:asciiTheme="minorEastAsia" w:hAnsiTheme="minorEastAsia"/>
                <w:color w:val="000000"/>
                <w:kern w:val="0"/>
                <w:szCs w:val="21"/>
              </w:rPr>
              <w:t>多域名（3个）</w:t>
            </w:r>
          </w:p>
        </w:tc>
        <w:tc>
          <w:tcPr>
            <w:tcW w:w="638" w:type="dxa"/>
            <w:tcBorders>
              <w:top w:val="nil"/>
              <w:left w:val="nil"/>
              <w:bottom w:val="single" w:color="auto" w:sz="4" w:space="0"/>
              <w:right w:val="single" w:color="auto" w:sz="4" w:space="0"/>
            </w:tcBorders>
            <w:shd w:val="clear" w:color="auto" w:fill="auto"/>
            <w:vAlign w:val="center"/>
          </w:tcPr>
          <w:p>
            <w:pPr>
              <w:widowControl/>
              <w:jc w:val="left"/>
              <w:rPr>
                <w:rFonts w:cs="宋体" w:asciiTheme="minorEastAsia" w:hAnsiTheme="minorEastAsia"/>
                <w:color w:val="000000"/>
                <w:kern w:val="0"/>
                <w:szCs w:val="21"/>
              </w:rPr>
            </w:pPr>
            <w:r>
              <w:rPr>
                <w:rFonts w:hint="eastAsia" w:cs="宋体" w:asciiTheme="minorEastAsia" w:hAnsiTheme="minorEastAsia"/>
                <w:color w:val="000000"/>
                <w:kern w:val="0"/>
                <w:szCs w:val="21"/>
              </w:rPr>
              <w:t>套/年</w:t>
            </w:r>
          </w:p>
        </w:tc>
        <w:tc>
          <w:tcPr>
            <w:tcW w:w="638" w:type="dxa"/>
            <w:tcBorders>
              <w:top w:val="nil"/>
              <w:left w:val="nil"/>
              <w:bottom w:val="single" w:color="auto" w:sz="4" w:space="0"/>
              <w:right w:val="single" w:color="auto" w:sz="4" w:space="0"/>
            </w:tcBorders>
            <w:shd w:val="clear" w:color="auto" w:fill="auto"/>
            <w:noWrap/>
            <w:vAlign w:val="center"/>
          </w:tcPr>
          <w:p>
            <w:pPr>
              <w:widowControl/>
              <w:jc w:val="center"/>
              <w:rPr>
                <w:rFonts w:cs="宋体" w:asciiTheme="minorEastAsia" w:hAnsiTheme="minorEastAsia"/>
                <w:color w:val="000000"/>
                <w:kern w:val="0"/>
                <w:szCs w:val="21"/>
              </w:rPr>
            </w:pPr>
            <w:r>
              <w:rPr>
                <w:rFonts w:hint="eastAsia" w:cs="宋体" w:asciiTheme="minorEastAsia" w:hAnsiTheme="minorEastAsia"/>
                <w:color w:val="000000"/>
                <w:kern w:val="0"/>
                <w:szCs w:val="21"/>
              </w:rPr>
              <w:t>1</w:t>
            </w:r>
          </w:p>
        </w:tc>
      </w:tr>
    </w:tbl>
    <w:p>
      <w:pPr>
        <w:keepNext w:val="0"/>
        <w:keepLines w:val="0"/>
        <w:pageBreakBefore w:val="0"/>
        <w:widowControl/>
        <w:kinsoku/>
        <w:overflowPunct/>
        <w:bidi w:val="0"/>
        <w:snapToGrid/>
        <w:spacing w:line="360" w:lineRule="auto"/>
        <w:jc w:val="both"/>
        <w:textAlignment w:val="center"/>
        <w:rPr>
          <w:rFonts w:hint="eastAsia" w:ascii="新宋体" w:hAnsi="新宋体" w:eastAsia="新宋体" w:cs="新宋体"/>
          <w:b/>
          <w:bCs/>
          <w:color w:val="000000"/>
          <w:kern w:val="0"/>
          <w:sz w:val="24"/>
          <w:szCs w:val="24"/>
          <w:lang w:val="en-US" w:eastAsia="zh-CN" w:bidi="ar-SA"/>
        </w:rPr>
      </w:pPr>
      <w:r>
        <w:rPr>
          <w:rFonts w:hint="eastAsia" w:ascii="新宋体" w:hAnsi="新宋体" w:eastAsia="新宋体" w:cs="新宋体"/>
          <w:b/>
          <w:bCs/>
          <w:color w:val="000000"/>
          <w:kern w:val="0"/>
          <w:sz w:val="24"/>
          <w:szCs w:val="24"/>
          <w:lang w:val="en-US" w:eastAsia="zh-CN" w:bidi="ar-SA"/>
        </w:rPr>
        <w:t>注：以上要求为最低要求，投标商不能低于此要求，否则为无效投标。</w:t>
      </w:r>
    </w:p>
    <w:p>
      <w:pPr>
        <w:keepNext w:val="0"/>
        <w:keepLines w:val="0"/>
        <w:pageBreakBefore w:val="0"/>
        <w:widowControl/>
        <w:kinsoku/>
        <w:overflowPunct/>
        <w:bidi w:val="0"/>
        <w:snapToGrid/>
        <w:spacing w:line="360" w:lineRule="auto"/>
        <w:jc w:val="both"/>
        <w:textAlignment w:val="center"/>
        <w:rPr>
          <w:rFonts w:hint="eastAsia" w:ascii="新宋体" w:hAnsi="新宋体" w:eastAsia="新宋体" w:cs="新宋体"/>
          <w:color w:val="000000"/>
          <w:kern w:val="0"/>
          <w:sz w:val="24"/>
          <w:szCs w:val="24"/>
          <w:lang w:val="zh-CN" w:eastAsia="zh-CN" w:bidi="ar-SA"/>
        </w:rPr>
      </w:pPr>
      <w:r>
        <w:rPr>
          <w:rFonts w:hint="eastAsia" w:ascii="新宋体" w:hAnsi="新宋体" w:eastAsia="新宋体" w:cs="新宋体"/>
          <w:b/>
          <w:bCs/>
          <w:color w:val="000000"/>
          <w:kern w:val="0"/>
          <w:sz w:val="24"/>
          <w:szCs w:val="24"/>
          <w:lang w:val="en-US" w:eastAsia="zh-CN" w:bidi="ar-SA"/>
        </w:rPr>
        <w:t>（三）采购标的执行标准</w:t>
      </w:r>
      <w:r>
        <w:rPr>
          <w:rFonts w:hint="eastAsia" w:ascii="新宋体" w:hAnsi="新宋体" w:eastAsia="新宋体" w:cs="新宋体"/>
          <w:color w:val="000000"/>
          <w:kern w:val="0"/>
          <w:sz w:val="24"/>
          <w:szCs w:val="24"/>
          <w:lang w:val="en-US" w:eastAsia="zh-CN" w:bidi="ar-SA"/>
        </w:rPr>
        <w:t>：根据国家相关标准、行业标准、地方标准等执行。</w:t>
      </w:r>
    </w:p>
    <w:p>
      <w:pPr>
        <w:pStyle w:val="21"/>
        <w:keepNext w:val="0"/>
        <w:keepLines w:val="0"/>
        <w:pageBreakBefore w:val="0"/>
        <w:kinsoku/>
        <w:wordWrap/>
        <w:overflowPunct/>
        <w:topLinePunct w:val="0"/>
        <w:autoSpaceDE/>
        <w:autoSpaceDN/>
        <w:bidi w:val="0"/>
        <w:adjustRightInd/>
        <w:snapToGrid/>
        <w:spacing w:line="360" w:lineRule="auto"/>
        <w:ind w:left="0" w:leftChars="0" w:firstLine="0" w:firstLineChars="0"/>
        <w:textAlignment w:val="auto"/>
        <w:rPr>
          <w:rFonts w:hint="eastAsia" w:ascii="新宋体" w:hAnsi="新宋体" w:eastAsia="新宋体" w:cs="新宋体"/>
          <w:b/>
          <w:bCs/>
          <w:kern w:val="0"/>
          <w:sz w:val="24"/>
          <w:szCs w:val="24"/>
          <w:lang w:val="en-US" w:eastAsia="zh-CN" w:bidi="ar-SA"/>
        </w:rPr>
      </w:pPr>
      <w:r>
        <w:rPr>
          <w:rFonts w:hint="eastAsia" w:ascii="新宋体" w:hAnsi="新宋体" w:eastAsia="新宋体" w:cs="新宋体"/>
          <w:b/>
          <w:bCs/>
          <w:kern w:val="0"/>
          <w:sz w:val="24"/>
          <w:szCs w:val="24"/>
          <w:lang w:val="en-US" w:eastAsia="zh-CN" w:bidi="ar-SA"/>
        </w:rPr>
        <w:t>（四）服务标准、期限、效率等要求</w:t>
      </w:r>
    </w:p>
    <w:p>
      <w:pPr>
        <w:keepNext w:val="0"/>
        <w:keepLines w:val="0"/>
        <w:pageBreakBefore w:val="0"/>
        <w:widowControl/>
        <w:shd w:val="clear" w:color="auto" w:fill="FFFFFF"/>
        <w:kinsoku/>
        <w:overflowPunct/>
        <w:bidi w:val="0"/>
        <w:snapToGrid/>
        <w:spacing w:line="360" w:lineRule="auto"/>
        <w:ind w:firstLine="240" w:firstLineChars="100"/>
        <w:contextualSpacing/>
        <w:jc w:val="left"/>
        <w:rPr>
          <w:rFonts w:hint="eastAsia" w:ascii="新宋体" w:hAnsi="新宋体" w:eastAsia="新宋体" w:cs="新宋体"/>
          <w:sz w:val="24"/>
          <w:lang w:val="zh-CN"/>
        </w:rPr>
      </w:pPr>
      <w:r>
        <w:rPr>
          <w:rFonts w:hint="eastAsia" w:ascii="新宋体" w:hAnsi="新宋体" w:eastAsia="新宋体" w:cs="新宋体"/>
          <w:kern w:val="0"/>
          <w:sz w:val="24"/>
          <w:szCs w:val="24"/>
          <w:lang w:val="en-US" w:eastAsia="zh-CN" w:bidi="ar-SA"/>
        </w:rPr>
        <w:t>按照目前产业集聚区发展现状进行软件系统建设，项目在2020年12月31日完成。</w:t>
      </w:r>
      <w:r>
        <w:rPr>
          <w:rFonts w:hint="eastAsia" w:ascii="新宋体" w:hAnsi="新宋体" w:eastAsia="新宋体" w:cs="新宋体"/>
          <w:b/>
          <w:color w:val="000000"/>
          <w:kern w:val="0"/>
          <w:sz w:val="24"/>
          <w:szCs w:val="24"/>
          <w:lang w:val="zh-CN"/>
        </w:rPr>
        <w:t>（五）采购标的的其他技术、服务等要求</w:t>
      </w:r>
    </w:p>
    <w:p>
      <w:pPr>
        <w:keepNext w:val="0"/>
        <w:keepLines w:val="0"/>
        <w:pageBreakBefore w:val="0"/>
        <w:kinsoku/>
        <w:wordWrap w:val="0"/>
        <w:overflowPunct/>
        <w:topLinePunct/>
        <w:bidi w:val="0"/>
        <w:snapToGrid/>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en-US" w:eastAsia="zh-CN"/>
        </w:rPr>
        <w:t>1</w:t>
      </w:r>
      <w:r>
        <w:rPr>
          <w:rFonts w:hint="eastAsia" w:ascii="新宋体" w:hAnsi="新宋体" w:eastAsia="新宋体" w:cs="新宋体"/>
          <w:sz w:val="24"/>
          <w:lang w:val="zh-CN"/>
        </w:rPr>
        <w:t>、投标人应就该项目完整投标（报价含运输费、税费等综合费用），否则为无效投标。</w:t>
      </w:r>
    </w:p>
    <w:p>
      <w:pPr>
        <w:pStyle w:val="10"/>
        <w:keepNext w:val="0"/>
        <w:keepLines w:val="0"/>
        <w:pageBreakBefore w:val="0"/>
        <w:kinsoku/>
        <w:overflowPunct/>
        <w:bidi w:val="0"/>
        <w:snapToGrid/>
        <w:spacing w:line="360" w:lineRule="auto"/>
        <w:ind w:firstLine="480" w:firstLineChars="200"/>
        <w:rPr>
          <w:rFonts w:hint="eastAsia" w:ascii="新宋体" w:hAnsi="新宋体" w:eastAsia="新宋体" w:cs="新宋体"/>
          <w:kern w:val="2"/>
          <w:sz w:val="24"/>
          <w:szCs w:val="22"/>
          <w:lang w:val="zh-CN" w:eastAsia="zh-CN" w:bidi="ar-SA"/>
        </w:rPr>
      </w:pPr>
      <w:r>
        <w:rPr>
          <w:rFonts w:hint="eastAsia" w:ascii="新宋体" w:hAnsi="新宋体" w:eastAsia="新宋体" w:cs="新宋体"/>
          <w:kern w:val="2"/>
          <w:sz w:val="24"/>
          <w:szCs w:val="22"/>
          <w:lang w:val="en-US" w:eastAsia="zh-CN" w:bidi="ar-SA"/>
        </w:rPr>
        <w:t>2.</w:t>
      </w:r>
      <w:r>
        <w:rPr>
          <w:rFonts w:hint="eastAsia" w:ascii="新宋体" w:hAnsi="新宋体" w:eastAsia="新宋体" w:cs="新宋体"/>
          <w:kern w:val="2"/>
          <w:sz w:val="24"/>
          <w:szCs w:val="22"/>
          <w:lang w:val="zh-CN" w:eastAsia="zh-CN" w:bidi="ar-SA"/>
        </w:rPr>
        <w:t>投标文件中须有详细的实施（技术）方案，否则为无效投标。</w:t>
      </w:r>
    </w:p>
    <w:p>
      <w:pPr>
        <w:keepNext w:val="0"/>
        <w:keepLines w:val="0"/>
        <w:pageBreakBefore w:val="0"/>
        <w:kinsoku/>
        <w:wordWrap w:val="0"/>
        <w:overflowPunct/>
        <w:topLinePunct/>
        <w:bidi w:val="0"/>
        <w:snapToGrid/>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en-US" w:eastAsia="zh-CN"/>
        </w:rPr>
        <w:t>3、</w:t>
      </w:r>
      <w:r>
        <w:rPr>
          <w:rFonts w:hint="eastAsia" w:ascii="新宋体" w:hAnsi="新宋体" w:eastAsia="新宋体" w:cs="新宋体"/>
          <w:sz w:val="24"/>
          <w:lang w:val="zh-CN"/>
        </w:rPr>
        <w:t>投标商必须由法定代表人或其授权代表参加开标会议，随时接受评标委员会询问，并予作出书面解答。</w:t>
      </w:r>
    </w:p>
    <w:p>
      <w:pPr>
        <w:keepNext w:val="0"/>
        <w:keepLines w:val="0"/>
        <w:pageBreakBefore w:val="0"/>
        <w:widowControl/>
        <w:shd w:val="clear" w:color="auto" w:fill="FFFFFF"/>
        <w:kinsoku/>
        <w:overflowPunct/>
        <w:bidi w:val="0"/>
        <w:snapToGrid/>
        <w:spacing w:line="360" w:lineRule="auto"/>
        <w:ind w:firstLine="482" w:firstLineChars="200"/>
        <w:contextualSpacing/>
        <w:jc w:val="left"/>
        <w:rPr>
          <w:rFonts w:hint="eastAsia" w:ascii="新宋体" w:hAnsi="新宋体" w:eastAsia="新宋体" w:cs="新宋体"/>
          <w:b/>
          <w:color w:val="000000"/>
          <w:kern w:val="0"/>
          <w:sz w:val="24"/>
          <w:szCs w:val="24"/>
          <w:lang w:val="zh-CN"/>
        </w:rPr>
      </w:pPr>
      <w:r>
        <w:rPr>
          <w:rFonts w:hint="eastAsia" w:ascii="新宋体" w:hAnsi="新宋体" w:eastAsia="新宋体" w:cs="新宋体"/>
          <w:b/>
          <w:color w:val="000000"/>
          <w:kern w:val="0"/>
          <w:sz w:val="24"/>
          <w:szCs w:val="24"/>
          <w:lang w:val="zh-CN"/>
        </w:rPr>
        <w:t>（六）验收标准</w:t>
      </w:r>
    </w:p>
    <w:p>
      <w:pPr>
        <w:keepNext w:val="0"/>
        <w:keepLines w:val="0"/>
        <w:pageBreakBefore w:val="0"/>
        <w:kinsoku/>
        <w:wordWrap w:val="0"/>
        <w:overflowPunct/>
        <w:topLinePunct/>
        <w:bidi w:val="0"/>
        <w:snapToGrid/>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zh-CN"/>
        </w:rPr>
        <w:t>1、按照国家相关标准、行业标准、地方标准或者其他标准、规范验收。</w:t>
      </w:r>
    </w:p>
    <w:p>
      <w:pPr>
        <w:keepNext w:val="0"/>
        <w:keepLines w:val="0"/>
        <w:pageBreakBefore w:val="0"/>
        <w:kinsoku/>
        <w:wordWrap w:val="0"/>
        <w:overflowPunct/>
        <w:topLinePunct/>
        <w:bidi w:val="0"/>
        <w:snapToGrid/>
        <w:spacing w:line="360" w:lineRule="auto"/>
        <w:ind w:firstLine="480" w:firstLineChars="200"/>
        <w:rPr>
          <w:rFonts w:hint="eastAsia" w:ascii="新宋体" w:hAnsi="新宋体" w:eastAsia="新宋体" w:cs="新宋体"/>
          <w:sz w:val="24"/>
          <w:lang w:val="zh-CN"/>
        </w:rPr>
      </w:pPr>
      <w:r>
        <w:rPr>
          <w:rFonts w:hint="eastAsia" w:ascii="新宋体" w:hAnsi="新宋体" w:eastAsia="新宋体" w:cs="新宋体"/>
          <w:sz w:val="24"/>
          <w:lang w:val="zh-CN"/>
        </w:rPr>
        <w:t>2、按照招标文件要求、投标文件响应和承诺验收。</w:t>
      </w:r>
    </w:p>
    <w:p>
      <w:pPr>
        <w:pStyle w:val="10"/>
        <w:keepNext w:val="0"/>
        <w:keepLines w:val="0"/>
        <w:pageBreakBefore w:val="0"/>
        <w:kinsoku/>
        <w:overflowPunct/>
        <w:bidi w:val="0"/>
        <w:snapToGrid/>
        <w:spacing w:line="360" w:lineRule="auto"/>
        <w:ind w:firstLine="241" w:firstLineChars="100"/>
        <w:rPr>
          <w:rFonts w:hint="eastAsia" w:ascii="新宋体" w:hAnsi="新宋体" w:eastAsia="新宋体" w:cs="新宋体"/>
          <w:b/>
          <w:kern w:val="0"/>
          <w:sz w:val="36"/>
          <w:szCs w:val="36"/>
        </w:rPr>
      </w:pPr>
      <w:r>
        <w:rPr>
          <w:rFonts w:hint="eastAsia" w:ascii="新宋体" w:hAnsi="新宋体" w:eastAsia="新宋体" w:cs="新宋体"/>
          <w:b/>
          <w:color w:val="000000"/>
          <w:kern w:val="0"/>
          <w:sz w:val="24"/>
          <w:szCs w:val="24"/>
          <w:lang w:val="zh-CN" w:eastAsia="zh-CN" w:bidi="ar-SA"/>
        </w:rPr>
        <w:t>（七）付款方式：以签订合同为准</w:t>
      </w:r>
    </w:p>
    <w:p>
      <w:pPr>
        <w:keepNext w:val="0"/>
        <w:keepLines w:val="0"/>
        <w:pageBreakBefore w:val="0"/>
        <w:kinsoku/>
        <w:overflowPunct/>
        <w:autoSpaceDE w:val="0"/>
        <w:autoSpaceDN w:val="0"/>
        <w:bidi w:val="0"/>
        <w:adjustRightInd w:val="0"/>
        <w:snapToGrid/>
        <w:spacing w:line="360" w:lineRule="auto"/>
        <w:ind w:firstLine="2168" w:firstLineChars="600"/>
        <w:rPr>
          <w:rFonts w:hint="eastAsia" w:ascii="新宋体" w:hAnsi="新宋体" w:eastAsia="新宋体" w:cs="新宋体"/>
          <w:b/>
          <w:kern w:val="0"/>
          <w:sz w:val="36"/>
          <w:szCs w:val="36"/>
        </w:rPr>
      </w:pPr>
    </w:p>
    <w:p>
      <w:pPr>
        <w:keepNext w:val="0"/>
        <w:keepLines w:val="0"/>
        <w:pageBreakBefore w:val="0"/>
        <w:kinsoku/>
        <w:overflowPunct/>
        <w:autoSpaceDE w:val="0"/>
        <w:autoSpaceDN w:val="0"/>
        <w:bidi w:val="0"/>
        <w:adjustRightInd w:val="0"/>
        <w:snapToGrid/>
        <w:spacing w:line="360" w:lineRule="auto"/>
        <w:ind w:firstLine="2168" w:firstLineChars="600"/>
        <w:rPr>
          <w:rFonts w:hint="eastAsia" w:ascii="新宋体" w:hAnsi="新宋体" w:eastAsia="新宋体" w:cs="新宋体"/>
          <w:b/>
          <w:kern w:val="0"/>
          <w:sz w:val="36"/>
          <w:szCs w:val="36"/>
        </w:rPr>
      </w:pPr>
    </w:p>
    <w:p>
      <w:pPr>
        <w:autoSpaceDE w:val="0"/>
        <w:autoSpaceDN w:val="0"/>
        <w:adjustRightInd w:val="0"/>
        <w:ind w:firstLine="2168" w:firstLineChars="600"/>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第三章   投标人须知前附表</w:t>
      </w:r>
    </w:p>
    <w:p>
      <w:pPr>
        <w:autoSpaceDE w:val="0"/>
        <w:autoSpaceDN w:val="0"/>
        <w:adjustRightInd w:val="0"/>
        <w:rPr>
          <w:rFonts w:cs="宋体" w:asciiTheme="majorEastAsia" w:hAnsiTheme="majorEastAsia" w:eastAsiaTheme="majorEastAsia"/>
          <w:b/>
          <w:kern w:val="0"/>
          <w:sz w:val="36"/>
          <w:szCs w:val="36"/>
        </w:rPr>
      </w:pPr>
    </w:p>
    <w:tbl>
      <w:tblPr>
        <w:tblStyle w:val="23"/>
        <w:tblW w:w="988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8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条款名称</w:t>
            </w:r>
          </w:p>
        </w:tc>
        <w:tc>
          <w:tcPr>
            <w:tcW w:w="6813" w:type="dxa"/>
            <w:vAlign w:val="center"/>
          </w:tcPr>
          <w:p>
            <w:pPr>
              <w:autoSpaceDE w:val="0"/>
              <w:autoSpaceDN w:val="0"/>
              <w:adjustRightInd w:val="0"/>
              <w:spacing w:line="276" w:lineRule="auto"/>
              <w:jc w:val="center"/>
              <w:rPr>
                <w:rFonts w:cs="仿宋_GB2312" w:asciiTheme="minorEastAsia" w:hAnsiTheme="minorEastAsia"/>
                <w:b/>
                <w:sz w:val="24"/>
                <w:szCs w:val="24"/>
              </w:rPr>
            </w:pPr>
            <w:r>
              <w:rPr>
                <w:rFonts w:hint="eastAsia" w:cs="仿宋_GB2312" w:asciiTheme="minorEastAsia" w:hAnsiTheme="minorEastAsia"/>
                <w:b/>
                <w:sz w:val="24"/>
                <w:szCs w:val="24"/>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45"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采购项目</w:t>
            </w:r>
          </w:p>
        </w:tc>
        <w:tc>
          <w:tcPr>
            <w:tcW w:w="6813" w:type="dxa"/>
          </w:tcPr>
          <w:p>
            <w:pPr>
              <w:widowControl/>
              <w:numPr>
                <w:ilvl w:val="0"/>
                <w:numId w:val="0"/>
              </w:numPr>
              <w:shd w:val="clear" w:color="auto" w:fill="FFFFFF"/>
              <w:spacing w:line="400" w:lineRule="exact"/>
              <w:jc w:val="left"/>
              <w:rPr>
                <w:rFonts w:hint="eastAsia" w:cs="仿宋_GB2312" w:asciiTheme="minorEastAsia" w:hAnsiTheme="minorEastAsia"/>
                <w:szCs w:val="21"/>
              </w:rPr>
            </w:pPr>
            <w:r>
              <w:rPr>
                <w:rFonts w:hint="eastAsia" w:cs="仿宋_GB2312" w:asciiTheme="minorEastAsia" w:hAnsiTheme="minorEastAsia"/>
                <w:szCs w:val="21"/>
              </w:rPr>
              <w:t>项目名称：禹州市产业集聚区智能化园区建设项目</w:t>
            </w:r>
          </w:p>
          <w:p>
            <w:pPr>
              <w:autoSpaceDE w:val="0"/>
              <w:autoSpaceDN w:val="0"/>
              <w:adjustRightInd w:val="0"/>
              <w:spacing w:line="360" w:lineRule="auto"/>
              <w:jc w:val="left"/>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rPr>
              <w:t>项目编号：</w:t>
            </w:r>
            <w:r>
              <w:rPr>
                <w:rFonts w:hint="eastAsia" w:cs="仿宋_GB2312" w:asciiTheme="minorEastAsia" w:hAnsiTheme="minorEastAsia"/>
                <w:szCs w:val="21"/>
                <w:lang w:val="en-US" w:eastAsia="zh-CN"/>
              </w:rPr>
              <w:t>YZCG-G2019196</w:t>
            </w:r>
          </w:p>
          <w:p>
            <w:pPr>
              <w:widowControl/>
              <w:shd w:val="clear" w:color="auto" w:fill="FFFFFF"/>
              <w:spacing w:line="360" w:lineRule="auto"/>
              <w:jc w:val="left"/>
              <w:rPr>
                <w:rFonts w:hint="default" w:cs="仿宋_GB2312" w:asciiTheme="minorEastAsia" w:hAnsiTheme="minorEastAsia" w:eastAsiaTheme="minorEastAsia"/>
                <w:sz w:val="24"/>
                <w:szCs w:val="24"/>
                <w:lang w:val="en-US" w:eastAsia="zh-CN"/>
              </w:rPr>
            </w:pPr>
            <w:r>
              <w:rPr>
                <w:rFonts w:hint="eastAsia" w:cs="仿宋_GB2312" w:asciiTheme="minorEastAsia" w:hAnsiTheme="minorEastAsia"/>
                <w:szCs w:val="21"/>
                <w:lang w:val="en-US" w:eastAsia="zh-CN"/>
              </w:rPr>
              <w:t>工期：2020年12月31日前完工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采购人</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Cs w:val="21"/>
                <w:lang w:eastAsia="zh-CN"/>
              </w:rPr>
              <w:t>名称：禹州市产业集聚区管理委员会</w:t>
            </w:r>
          </w:p>
          <w:p>
            <w:pPr>
              <w:widowControl/>
              <w:shd w:val="clear" w:color="auto" w:fill="FFFFFF"/>
              <w:spacing w:line="400" w:lineRule="exact"/>
              <w:jc w:val="left"/>
              <w:rPr>
                <w:rFonts w:hint="default" w:cs="仿宋_GB2312" w:asciiTheme="minorEastAsia" w:hAnsiTheme="minorEastAsia"/>
                <w:szCs w:val="21"/>
                <w:lang w:val="en-US" w:eastAsia="zh-CN"/>
              </w:rPr>
            </w:pPr>
            <w:r>
              <w:rPr>
                <w:rFonts w:hint="eastAsia" w:cs="仿宋_GB2312" w:asciiTheme="minorEastAsia" w:hAnsiTheme="minorEastAsia"/>
                <w:sz w:val="24"/>
                <w:szCs w:val="24"/>
              </w:rPr>
              <w:t>地址：</w:t>
            </w:r>
            <w:r>
              <w:rPr>
                <w:rFonts w:hint="eastAsia" w:cs="仿宋_GB2312" w:asciiTheme="minorEastAsia" w:hAnsiTheme="minorEastAsia"/>
                <w:szCs w:val="21"/>
                <w:lang w:eastAsia="zh-CN"/>
              </w:rPr>
              <w:t>禹州市行政北路</w:t>
            </w:r>
          </w:p>
          <w:p>
            <w:pPr>
              <w:widowControl/>
              <w:shd w:val="clear" w:color="auto" w:fill="FFFFFF"/>
              <w:spacing w:line="400" w:lineRule="exact"/>
              <w:jc w:val="left"/>
              <w:rPr>
                <w:rFonts w:hint="default" w:cs="仿宋_GB2312" w:asciiTheme="minorEastAsia" w:hAnsiTheme="minorEastAsia"/>
                <w:sz w:val="24"/>
                <w:szCs w:val="24"/>
                <w:lang w:val="en-US"/>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安女士</w:t>
            </w:r>
            <w:r>
              <w:rPr>
                <w:rFonts w:hint="eastAsia" w:cs="仿宋_GB2312" w:asciiTheme="minorEastAsia" w:hAnsiTheme="minorEastAsia"/>
                <w:sz w:val="24"/>
                <w:szCs w:val="24"/>
              </w:rPr>
              <w:t xml:space="preserve">                    电话：</w:t>
            </w:r>
            <w:r>
              <w:rPr>
                <w:rFonts w:hint="eastAsia" w:cs="仿宋_GB2312" w:asciiTheme="minorEastAsia" w:hAnsiTheme="minorEastAsia"/>
                <w:sz w:val="24"/>
                <w:szCs w:val="24"/>
                <w:lang w:val="en-US" w:eastAsia="zh-CN"/>
              </w:rPr>
              <w:t>13782392872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3</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代理机构</w:t>
            </w:r>
          </w:p>
        </w:tc>
        <w:tc>
          <w:tcPr>
            <w:tcW w:w="6813" w:type="dxa"/>
            <w:vAlign w:val="center"/>
          </w:tcPr>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名称：禹州市政府采购中心</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地址：禹州市行政服务中心楼9楼</w:t>
            </w:r>
          </w:p>
          <w:p>
            <w:pPr>
              <w:autoSpaceDE w:val="0"/>
              <w:autoSpaceDN w:val="0"/>
              <w:adjustRightInd w:val="0"/>
              <w:spacing w:line="360" w:lineRule="auto"/>
              <w:jc w:val="left"/>
              <w:rPr>
                <w:rFonts w:cs="仿宋_GB2312" w:asciiTheme="minorEastAsia" w:hAnsiTheme="minorEastAsia"/>
                <w:sz w:val="24"/>
                <w:szCs w:val="24"/>
              </w:rPr>
            </w:pPr>
            <w:r>
              <w:rPr>
                <w:rFonts w:hint="eastAsia" w:cs="仿宋_GB2312" w:asciiTheme="minorEastAsia" w:hAnsiTheme="minorEastAsia"/>
                <w:sz w:val="24"/>
                <w:szCs w:val="24"/>
              </w:rPr>
              <w:t>联系人：</w:t>
            </w:r>
            <w:r>
              <w:rPr>
                <w:rFonts w:hint="eastAsia" w:cs="仿宋_GB2312" w:asciiTheme="minorEastAsia" w:hAnsiTheme="minorEastAsia"/>
                <w:sz w:val="24"/>
                <w:szCs w:val="24"/>
                <w:lang w:eastAsia="zh-CN"/>
              </w:rPr>
              <w:t>侯女士</w:t>
            </w:r>
            <w:r>
              <w:rPr>
                <w:rFonts w:hint="eastAsia" w:cs="仿宋_GB2312" w:asciiTheme="minorEastAsia" w:hAnsiTheme="minorEastAsia"/>
                <w:sz w:val="24"/>
                <w:szCs w:val="24"/>
              </w:rPr>
              <w:t xml:space="preserve">               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4</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投标人资格</w:t>
            </w:r>
          </w:p>
        </w:tc>
        <w:tc>
          <w:tcPr>
            <w:tcW w:w="6813" w:type="dxa"/>
            <w:vAlign w:val="center"/>
          </w:tcPr>
          <w:p>
            <w:pPr>
              <w:autoSpaceDE w:val="0"/>
              <w:autoSpaceDN w:val="0"/>
              <w:adjustRightInd w:val="0"/>
              <w:spacing w:line="360" w:lineRule="auto"/>
              <w:ind w:right="-11"/>
              <w:rPr>
                <w:lang w:val="zh-CN"/>
              </w:rPr>
            </w:pPr>
            <w:r>
              <w:rPr>
                <w:rFonts w:hint="eastAsia"/>
                <w:lang w:val="zh-CN"/>
              </w:rPr>
              <w:t>一、</w:t>
            </w:r>
            <w:r>
              <w:rPr>
                <w:lang w:val="zh-CN"/>
              </w:rPr>
              <w:t>法人或者其他组织的营业执照等证明文件，自然人的身份证明</w:t>
            </w:r>
          </w:p>
          <w:p>
            <w:pPr>
              <w:autoSpaceDE w:val="0"/>
              <w:autoSpaceDN w:val="0"/>
              <w:adjustRightInd w:val="0"/>
              <w:spacing w:line="360" w:lineRule="auto"/>
              <w:ind w:right="-11"/>
              <w:rPr>
                <w:lang w:val="zh-CN"/>
              </w:rPr>
            </w:pPr>
            <w:r>
              <w:rPr>
                <w:rFonts w:hint="eastAsia"/>
                <w:lang w:val="en-US" w:eastAsia="zh-CN"/>
              </w:rPr>
              <w:t>1</w:t>
            </w:r>
            <w:r>
              <w:rPr>
                <w:rFonts w:hint="eastAsia"/>
                <w:lang w:val="zh-CN"/>
              </w:rPr>
              <w:t>、企业法人营业执照或营业执照。（企业提供）</w:t>
            </w:r>
          </w:p>
          <w:p>
            <w:pPr>
              <w:autoSpaceDE w:val="0"/>
              <w:autoSpaceDN w:val="0"/>
              <w:adjustRightInd w:val="0"/>
              <w:spacing w:line="360" w:lineRule="auto"/>
              <w:ind w:right="-11"/>
              <w:rPr>
                <w:lang w:val="zh-CN"/>
              </w:rPr>
            </w:pPr>
            <w:r>
              <w:rPr>
                <w:rFonts w:hint="eastAsia"/>
                <w:lang w:val="zh-CN"/>
              </w:rPr>
              <w:t>2、事业单位法人证书。（事业单位提供）</w:t>
            </w:r>
          </w:p>
          <w:p>
            <w:pPr>
              <w:autoSpaceDE w:val="0"/>
              <w:autoSpaceDN w:val="0"/>
              <w:adjustRightInd w:val="0"/>
              <w:spacing w:line="360" w:lineRule="auto"/>
              <w:ind w:right="-11"/>
              <w:rPr>
                <w:lang w:val="zh-CN"/>
              </w:rPr>
            </w:pPr>
            <w:r>
              <w:rPr>
                <w:rFonts w:hint="eastAsia"/>
                <w:lang w:val="zh-CN"/>
              </w:rPr>
              <w:t>3、执业许可证。（非企业专业服务机构提供）</w:t>
            </w:r>
          </w:p>
          <w:p>
            <w:pPr>
              <w:autoSpaceDE w:val="0"/>
              <w:autoSpaceDN w:val="0"/>
              <w:adjustRightInd w:val="0"/>
              <w:spacing w:line="360" w:lineRule="auto"/>
              <w:ind w:right="-11"/>
              <w:rPr>
                <w:lang w:val="zh-CN"/>
              </w:rPr>
            </w:pPr>
            <w:r>
              <w:rPr>
                <w:rFonts w:hint="eastAsia"/>
                <w:lang w:val="zh-CN"/>
              </w:rPr>
              <w:t>4、个体工商户营业执照。（个体工商户提供）</w:t>
            </w:r>
          </w:p>
          <w:p>
            <w:pPr>
              <w:autoSpaceDE w:val="0"/>
              <w:autoSpaceDN w:val="0"/>
              <w:adjustRightInd w:val="0"/>
              <w:spacing w:line="360" w:lineRule="auto"/>
              <w:jc w:val="left"/>
              <w:rPr>
                <w:lang w:val="zh-CN"/>
              </w:rPr>
            </w:pPr>
            <w:r>
              <w:rPr>
                <w:rFonts w:hint="eastAsia"/>
                <w:lang w:val="zh-CN"/>
              </w:rPr>
              <w:t>5、自然人身份证明。（自然人提供）</w:t>
            </w:r>
          </w:p>
          <w:p>
            <w:pPr>
              <w:autoSpaceDE w:val="0"/>
              <w:autoSpaceDN w:val="0"/>
              <w:adjustRightInd w:val="0"/>
              <w:spacing w:line="360" w:lineRule="auto"/>
              <w:jc w:val="left"/>
            </w:pPr>
            <w:r>
              <w:rPr>
                <w:rFonts w:hint="eastAsia"/>
                <w:lang w:val="zh-CN"/>
              </w:rPr>
              <w:t>6、民办非企业单位登记证书。（民办非企业单位提供）</w:t>
            </w:r>
          </w:p>
          <w:p>
            <w:pPr>
              <w:autoSpaceDE w:val="0"/>
              <w:autoSpaceDN w:val="0"/>
              <w:adjustRightInd w:val="0"/>
              <w:spacing w:line="360" w:lineRule="auto"/>
              <w:jc w:val="left"/>
              <w:rPr>
                <w:rFonts w:hint="eastAsia"/>
              </w:rPr>
            </w:pPr>
            <w:r>
              <w:rPr>
                <w:rFonts w:hint="eastAsia"/>
              </w:rPr>
              <w:t>二、财务状况报告相关材料</w:t>
            </w:r>
          </w:p>
          <w:p>
            <w:pPr>
              <w:autoSpaceDE w:val="0"/>
              <w:autoSpaceDN w:val="0"/>
              <w:adjustRightInd w:val="0"/>
              <w:spacing w:line="360" w:lineRule="auto"/>
              <w:jc w:val="left"/>
            </w:pPr>
            <w:r>
              <w:rPr>
                <w:rFonts w:hint="eastAsia"/>
              </w:rPr>
              <w:t>（1）供应商是法人（法人包括企业法人、机关法人、事业单位法人和社会团体法人），提供本单位：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②基本开户银行出具的资信证明；</w:t>
            </w:r>
          </w:p>
          <w:p>
            <w:pPr>
              <w:spacing w:line="360" w:lineRule="auto"/>
            </w:pPr>
            <w:r>
              <w:rPr>
                <w:rFonts w:hint="eastAsia"/>
              </w:rPr>
              <w:t>③财政部门认可的政府采购专业担保机构的证明文件和担保机构出具的投标担保函。</w:t>
            </w:r>
          </w:p>
          <w:p>
            <w:pPr>
              <w:spacing w:line="360" w:lineRule="auto"/>
            </w:pPr>
            <w:r>
              <w:rPr>
                <w:rFonts w:hint="eastAsia"/>
                <w:lang w:val="zh-CN"/>
              </w:rPr>
              <w:t>注：仅需提供序号</w:t>
            </w:r>
            <w:r>
              <w:rPr>
                <w:rFonts w:hint="eastAsia"/>
              </w:rPr>
              <w:t>①～③其中之一即可。</w:t>
            </w:r>
          </w:p>
          <w:p>
            <w:pPr>
              <w:spacing w:line="360" w:lineRule="auto"/>
            </w:pPr>
            <w:r>
              <w:rPr>
                <w:rFonts w:hint="eastAsia"/>
              </w:rPr>
              <w:t>（2）供应商（其他组织和自然人）提供本单位：</w:t>
            </w:r>
          </w:p>
          <w:p>
            <w:pPr>
              <w:spacing w:line="360" w:lineRule="auto"/>
            </w:pPr>
            <w:r>
              <w:rPr>
                <w:rFonts w:hint="eastAsia"/>
              </w:rPr>
              <w:t>①2018年度经审计的财务报告，包括资产负债表、利润表、现金流量表、所有者权益变动表及其附注；</w:t>
            </w:r>
          </w:p>
          <w:p>
            <w:pPr>
              <w:spacing w:line="360" w:lineRule="auto"/>
            </w:pPr>
            <w:r>
              <w:rPr>
                <w:rFonts w:hint="eastAsia"/>
              </w:rPr>
              <w:t>②银行出具的资信证明；</w:t>
            </w:r>
          </w:p>
          <w:p>
            <w:pPr>
              <w:spacing w:line="360" w:lineRule="auto"/>
            </w:pPr>
            <w:r>
              <w:rPr>
                <w:rFonts w:hint="eastAsia"/>
              </w:rPr>
              <w:t>③财政部门认可的政府采购专业担保机构的证明文件和担保机构出具的投标担保函。</w:t>
            </w:r>
          </w:p>
          <w:p>
            <w:pPr>
              <w:autoSpaceDE w:val="0"/>
              <w:autoSpaceDN w:val="0"/>
              <w:adjustRightInd w:val="0"/>
              <w:spacing w:line="360" w:lineRule="auto"/>
              <w:ind w:right="-11"/>
            </w:pPr>
            <w:r>
              <w:rPr>
                <w:rFonts w:hint="eastAsia"/>
                <w:lang w:val="zh-CN"/>
              </w:rPr>
              <w:t>注：仅需提供序号</w:t>
            </w:r>
            <w:r>
              <w:rPr>
                <w:rFonts w:hint="eastAsia"/>
              </w:rPr>
              <w:t>①～③其中之一即可。</w:t>
            </w:r>
          </w:p>
          <w:p>
            <w:pPr>
              <w:autoSpaceDE w:val="0"/>
              <w:autoSpaceDN w:val="0"/>
              <w:adjustRightInd w:val="0"/>
              <w:spacing w:line="360" w:lineRule="auto"/>
              <w:ind w:right="-11"/>
              <w:rPr>
                <w:lang w:val="zh-CN"/>
              </w:rPr>
            </w:pPr>
            <w:r>
              <w:rPr>
                <w:rFonts w:hint="eastAsia"/>
              </w:rPr>
              <w:t>三、依法缴纳税收相关材料</w:t>
            </w:r>
          </w:p>
          <w:p>
            <w:pPr>
              <w:autoSpaceDE w:val="0"/>
              <w:autoSpaceDN w:val="0"/>
              <w:adjustRightInd w:val="0"/>
              <w:spacing w:line="360" w:lineRule="auto"/>
              <w:ind w:right="-11"/>
              <w:rPr>
                <w:lang w:val="zh-CN"/>
              </w:rPr>
            </w:pPr>
            <w:r>
              <w:rPr>
                <w:rFonts w:hint="eastAsia"/>
                <w:lang w:val="zh-CN"/>
              </w:rPr>
              <w:t>参加本次政府采购项目谈判响应截止时间前</w:t>
            </w:r>
            <w:r>
              <w:rPr>
                <w:rFonts w:hint="eastAsia"/>
                <w:lang w:val="zh-CN" w:eastAsia="zh-CN"/>
              </w:rPr>
              <w:t>三</w:t>
            </w:r>
            <w:r>
              <w:rPr>
                <w:rFonts w:hint="eastAsia"/>
                <w:lang w:val="zh-CN"/>
              </w:rPr>
              <w:t>个月内任意一个月缴纳税收凭据。（依法免税的供应商，应提供相应文件证明依法免税）</w:t>
            </w:r>
          </w:p>
          <w:p>
            <w:pPr>
              <w:autoSpaceDE w:val="0"/>
              <w:autoSpaceDN w:val="0"/>
              <w:adjustRightInd w:val="0"/>
              <w:spacing w:line="360" w:lineRule="auto"/>
              <w:ind w:right="-11"/>
              <w:rPr>
                <w:lang w:val="zh-CN"/>
              </w:rPr>
            </w:pPr>
            <w:r>
              <w:rPr>
                <w:rFonts w:hint="eastAsia"/>
                <w:lang w:val="zh-CN"/>
              </w:rPr>
              <w:t>四、依法缴纳社会保障资金的证明材料</w:t>
            </w:r>
          </w:p>
          <w:p>
            <w:pPr>
              <w:autoSpaceDE w:val="0"/>
              <w:autoSpaceDN w:val="0"/>
              <w:adjustRightInd w:val="0"/>
              <w:spacing w:line="360" w:lineRule="auto"/>
              <w:ind w:right="-11"/>
              <w:rPr>
                <w:lang w:val="zh-CN"/>
              </w:rPr>
            </w:pPr>
            <w:r>
              <w:rPr>
                <w:rFonts w:hint="eastAsia"/>
                <w:lang w:val="zh-CN"/>
              </w:rPr>
              <w:t>参加本次政府采购项目谈判响应截止时间前三个月内任意一个月缴纳社会保险凭据。（依法不需要缴纳社会保障资金的供应商，应提供相应文件证明依法不需要缴纳社会保障资金）</w:t>
            </w:r>
          </w:p>
          <w:p>
            <w:pPr>
              <w:autoSpaceDE w:val="0"/>
              <w:autoSpaceDN w:val="0"/>
              <w:adjustRightInd w:val="0"/>
              <w:spacing w:line="360" w:lineRule="auto"/>
              <w:ind w:right="-11"/>
              <w:rPr>
                <w:lang w:val="zh-CN"/>
              </w:rPr>
            </w:pPr>
            <w:r>
              <w:rPr>
                <w:rFonts w:hint="eastAsia"/>
                <w:lang w:val="zh-CN"/>
              </w:rPr>
              <w:t>五、履行合同所必须的设备和专业技术能力的证明材料</w:t>
            </w:r>
          </w:p>
          <w:p>
            <w:pPr>
              <w:autoSpaceDE w:val="0"/>
              <w:autoSpaceDN w:val="0"/>
              <w:adjustRightInd w:val="0"/>
              <w:spacing w:line="360" w:lineRule="auto"/>
              <w:jc w:val="left"/>
              <w:rPr>
                <w:lang w:val="zh-CN"/>
              </w:rPr>
            </w:pPr>
            <w:r>
              <w:rPr>
                <w:rFonts w:hint="eastAsia"/>
                <w:lang w:val="zh-CN"/>
              </w:rPr>
              <w:t>①相关设备的购置发票、专业技术人员职称证书、用工合同等；</w:t>
            </w:r>
          </w:p>
          <w:p>
            <w:pPr>
              <w:spacing w:line="360" w:lineRule="auto"/>
            </w:pPr>
            <w:r>
              <w:rPr>
                <w:rFonts w:hint="eastAsia"/>
              </w:rPr>
              <w:t>②供应商具备履行合同所必须的设备和专业技术能力承诺函或声明（承诺函或声明格式自拟）。</w:t>
            </w:r>
          </w:p>
          <w:p>
            <w:pPr>
              <w:autoSpaceDE w:val="0"/>
              <w:autoSpaceDN w:val="0"/>
              <w:adjustRightInd w:val="0"/>
              <w:spacing w:line="360" w:lineRule="auto"/>
              <w:ind w:right="-11"/>
            </w:pPr>
            <w:r>
              <w:rPr>
                <w:rFonts w:hint="eastAsia"/>
                <w:lang w:val="zh-CN"/>
              </w:rPr>
              <w:t>注：仅需提供序号</w:t>
            </w:r>
            <w:r>
              <w:rPr>
                <w:rFonts w:hint="eastAsia"/>
              </w:rPr>
              <w:t>①～②其中之一即可。</w:t>
            </w:r>
          </w:p>
          <w:p>
            <w:pPr>
              <w:autoSpaceDE w:val="0"/>
              <w:autoSpaceDN w:val="0"/>
              <w:adjustRightInd w:val="0"/>
              <w:spacing w:line="360" w:lineRule="auto"/>
              <w:ind w:right="-11"/>
              <w:rPr>
                <w:lang w:val="zh-CN"/>
              </w:rPr>
            </w:pPr>
            <w:r>
              <w:rPr>
                <w:rFonts w:hint="eastAsia"/>
              </w:rPr>
              <w:t>六、</w:t>
            </w:r>
            <w:r>
              <w:rPr>
                <w:lang w:val="zh-CN"/>
              </w:rPr>
              <w:t>参加政府采购活动前3年内在经营活动中没有重大违法记录的声明</w:t>
            </w:r>
          </w:p>
          <w:p>
            <w:pPr>
              <w:autoSpaceDE w:val="0"/>
              <w:autoSpaceDN w:val="0"/>
              <w:spacing w:line="360" w:lineRule="auto"/>
              <w:contextualSpacing/>
              <w:jc w:val="left"/>
              <w:rPr>
                <w:lang w:val="zh-CN"/>
              </w:rPr>
            </w:pPr>
            <w:r>
              <w:rPr>
                <w:rFonts w:hint="eastAsia"/>
                <w:lang w:val="zh-CN"/>
              </w:rPr>
              <w:t>供应商“</w:t>
            </w:r>
            <w:r>
              <w:rPr>
                <w:lang w:val="zh-CN"/>
              </w:rPr>
              <w:t>参加政府采购活动前3年内在经营活动中没有重大违法记录的书面声明</w:t>
            </w:r>
            <w:r>
              <w:rPr>
                <w:rFonts w:hint="eastAsia"/>
                <w:lang w:val="zh-CN"/>
              </w:rPr>
              <w:t>”。 重大违法记录，是指供应商因违法经营受到刑事处罚或者责令停产停业、吊销许可证或者执照、较大数额罚款等行政处罚。</w:t>
            </w:r>
          </w:p>
          <w:p>
            <w:pPr>
              <w:autoSpaceDE w:val="0"/>
              <w:autoSpaceDN w:val="0"/>
              <w:spacing w:line="360" w:lineRule="auto"/>
              <w:contextualSpacing/>
              <w:jc w:val="left"/>
            </w:pPr>
            <w:r>
              <w:rPr>
                <w:rFonts w:hint="eastAsia"/>
                <w:lang w:val="zh-CN"/>
              </w:rPr>
              <w:t>七、</w:t>
            </w:r>
            <w:r>
              <w:t>未被列入“信用中国”网站(www.creditchina.gov.cn)失信被执行人、重大税收违法案件当事人名单、政府采购严重违法失信名单的</w:t>
            </w:r>
            <w:r>
              <w:rPr>
                <w:rFonts w:hint="eastAsia"/>
              </w:rPr>
              <w:t>供应商</w:t>
            </w:r>
            <w:r>
              <w:t>；</w:t>
            </w:r>
            <w:r>
              <w:rPr>
                <w:rFonts w:hint="eastAsia"/>
              </w:rPr>
              <w:t>“</w:t>
            </w:r>
            <w:r>
              <w:t>中国政府采购网</w:t>
            </w:r>
            <w:r>
              <w:rPr>
                <w:rFonts w:hint="eastAsia"/>
              </w:rPr>
              <w:t>”</w:t>
            </w:r>
            <w:r>
              <w:t xml:space="preserve"> (www.ccgp.gov.cn)政府采购严重违法失信行为记录名单的</w:t>
            </w:r>
            <w:r>
              <w:rPr>
                <w:rFonts w:hint="eastAsia"/>
              </w:rPr>
              <w:t>供应商</w:t>
            </w:r>
            <w:r>
              <w:rPr>
                <w:rFonts w:hint="eastAsia"/>
                <w:lang w:val="zh-CN"/>
              </w:rPr>
              <w:t>；</w:t>
            </w:r>
            <w:r>
              <w:rPr>
                <w:rFonts w:hint="eastAsia"/>
              </w:rPr>
              <w:t>“国家企业信用公示系统”网站（</w:t>
            </w:r>
            <w:r>
              <w:t>www.gsxt.gov.cn</w:t>
            </w:r>
            <w:r>
              <w:rPr>
                <w:rFonts w:hint="eastAsia"/>
              </w:rPr>
              <w:t>）严重违法失信企业名单（黑名单）的供应商；“中国社会组织公共服务平台”网站（</w:t>
            </w:r>
            <w:r>
              <w:t>www.chinanpo.gov.cn</w:t>
            </w:r>
            <w:r>
              <w:rPr>
                <w:rFonts w:hint="eastAsia"/>
              </w:rPr>
              <w:t>）严重违法失信社会组织名单的供应商（联合体形式响应的，联合体成员存在不良信用记录，视同联合体存在不良信用记录）。</w:t>
            </w:r>
          </w:p>
          <w:p>
            <w:pPr>
              <w:spacing w:line="360" w:lineRule="auto"/>
            </w:pPr>
            <w:r>
              <w:rPr>
                <w:rFonts w:hint="eastAsia"/>
              </w:rPr>
              <w:t>1、查询渠道：</w:t>
            </w:r>
          </w:p>
          <w:p>
            <w:pPr>
              <w:spacing w:line="360" w:lineRule="auto"/>
            </w:pPr>
            <w:r>
              <w:rPr>
                <w:rFonts w:hint="eastAsia"/>
              </w:rPr>
              <w:t>①“信用中国”网站（</w:t>
            </w:r>
            <w:r>
              <w:fldChar w:fldCharType="begin"/>
            </w:r>
            <w:r>
              <w:instrText xml:space="preserve"> HYPERLINK "http://www.creditchina.gov.cn" </w:instrText>
            </w:r>
            <w:r>
              <w:fldChar w:fldCharType="separate"/>
            </w:r>
            <w:r>
              <w:rPr>
                <w:rFonts w:hint="eastAsia"/>
              </w:rPr>
              <w:t>www.creditchina.gov.cn</w:t>
            </w:r>
            <w:r>
              <w:rPr>
                <w:rFonts w:hint="eastAsia"/>
              </w:rPr>
              <w:fldChar w:fldCharType="end"/>
            </w:r>
            <w:r>
              <w:rPr>
                <w:rFonts w:hint="eastAsia"/>
              </w:rPr>
              <w:t>）</w:t>
            </w:r>
          </w:p>
          <w:p>
            <w:pPr>
              <w:spacing w:line="360" w:lineRule="auto"/>
            </w:pPr>
            <w:r>
              <w:rPr>
                <w:rFonts w:hint="eastAsia"/>
              </w:rPr>
              <w:t>②“中国政府采购网”（www.ccgp.gov.cn）</w:t>
            </w:r>
          </w:p>
          <w:p>
            <w:pPr>
              <w:spacing w:line="360" w:lineRule="auto"/>
            </w:pPr>
            <w:r>
              <w:rPr>
                <w:rFonts w:hint="eastAsia"/>
              </w:rPr>
              <w:t>③“国家企业信用公示系统”网站（</w:t>
            </w:r>
            <w:r>
              <w:fldChar w:fldCharType="begin"/>
            </w:r>
            <w:r>
              <w:instrText xml:space="preserve"> HYPERLINK "http://www.gsxt.gov.cn" </w:instrText>
            </w:r>
            <w:r>
              <w:fldChar w:fldCharType="separate"/>
            </w:r>
            <w:r>
              <w:t>www.gsxt.gov.cn</w:t>
            </w:r>
            <w:r>
              <w:fldChar w:fldCharType="end"/>
            </w:r>
            <w:r>
              <w:rPr>
                <w:rFonts w:hint="eastAsia"/>
              </w:rPr>
              <w:t>）</w:t>
            </w:r>
          </w:p>
          <w:p>
            <w:pPr>
              <w:spacing w:line="360" w:lineRule="auto"/>
            </w:pPr>
            <w:r>
              <w:rPr>
                <w:rFonts w:hint="eastAsia"/>
              </w:rPr>
              <w:t>④“中国社会组织公共服务平台”网站（</w:t>
            </w:r>
            <w:r>
              <w:t>www.chinanpo.gov.cn</w:t>
            </w:r>
            <w:r>
              <w:rPr>
                <w:rFonts w:hint="eastAsia"/>
              </w:rPr>
              <w:t>）（仅查询社会组织）；</w:t>
            </w:r>
          </w:p>
          <w:p>
            <w:pPr>
              <w:autoSpaceDE w:val="0"/>
              <w:autoSpaceDN w:val="0"/>
              <w:spacing w:line="360" w:lineRule="auto"/>
              <w:contextualSpacing/>
            </w:pPr>
            <w:r>
              <w:rPr>
                <w:rFonts w:hint="eastAsia"/>
              </w:rPr>
              <w:t>2、截止时间：同投标截止时间；</w:t>
            </w:r>
          </w:p>
          <w:p>
            <w:pPr>
              <w:autoSpaceDE w:val="0"/>
              <w:autoSpaceDN w:val="0"/>
              <w:spacing w:line="360" w:lineRule="auto"/>
              <w:contextualSpacing/>
            </w:pPr>
            <w:r>
              <w:rPr>
                <w:rFonts w:hint="eastAsia"/>
              </w:rPr>
              <w:t>3、信用信息查询记录和证据留存具体方式：经采购人确认的查询结果网页截图作为查询记录和证据，与其他采购文件一并保存；</w:t>
            </w:r>
          </w:p>
          <w:p>
            <w:pPr>
              <w:autoSpaceDE w:val="0"/>
              <w:autoSpaceDN w:val="0"/>
              <w:spacing w:line="360" w:lineRule="auto"/>
              <w:contextualSpacing/>
            </w:pPr>
            <w:r>
              <w:rPr>
                <w:rFonts w:hint="eastAsia"/>
              </w:rPr>
              <w:t>4、信用信息的使用原则：经采购人认定的被列入失信被执行人、重大税收违法案件当事人名单、</w:t>
            </w:r>
            <w:r>
              <w:t>政府采购严重违法失信名单</w:t>
            </w:r>
            <w:r>
              <w:rPr>
                <w:rFonts w:hint="eastAsia"/>
              </w:rPr>
              <w:t>、政府采购严重违法失信行为记录名单、严重违法失信企业名单（黑名单）、严重违法失信社会组织名单的投标人，将拒绝其参与本次政府采购活动。</w:t>
            </w:r>
          </w:p>
          <w:p>
            <w:pPr>
              <w:autoSpaceDE w:val="0"/>
              <w:autoSpaceDN w:val="0"/>
              <w:spacing w:line="360" w:lineRule="auto"/>
              <w:contextualSpacing/>
              <w:rPr>
                <w:rFonts w:hint="eastAsia" w:eastAsiaTheme="minorEastAsia"/>
                <w:lang w:val="en-US" w:eastAsia="zh-CN"/>
              </w:rPr>
            </w:pPr>
            <w:r>
              <w:rPr>
                <w:rFonts w:hint="eastAsia"/>
              </w:rPr>
              <w:t>5、投标人不良信用记录以采购人查询结果为准，采购人查询之后，网站信息发生的任何变更不再作为评审依据，投标人自行提供的与网站信息不一致的其他证明材料亦不作为评审依据。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5</w:t>
            </w:r>
          </w:p>
        </w:tc>
        <w:tc>
          <w:tcPr>
            <w:tcW w:w="2268" w:type="dxa"/>
            <w:vAlign w:val="center"/>
          </w:tcPr>
          <w:p>
            <w:pPr>
              <w:autoSpaceDE w:val="0"/>
              <w:autoSpaceDN w:val="0"/>
              <w:adjustRightInd w:val="0"/>
              <w:spacing w:line="276" w:lineRule="auto"/>
              <w:jc w:val="both"/>
              <w:rPr>
                <w:rFonts w:cs="宋体" w:asciiTheme="minorEastAsia" w:hAnsiTheme="minorEastAsia"/>
                <w:bCs/>
                <w:sz w:val="24"/>
                <w:szCs w:val="24"/>
                <w:lang w:val="zh-CN"/>
              </w:rPr>
            </w:pPr>
            <w:r>
              <w:rPr>
                <w:rFonts w:hint="eastAsia" w:cs="宋体" w:asciiTheme="minorEastAsia" w:hAnsiTheme="minorEastAsia"/>
                <w:bCs/>
                <w:sz w:val="24"/>
                <w:szCs w:val="24"/>
                <w:lang w:val="zh-CN"/>
              </w:rPr>
              <w:t>联合体投标</w:t>
            </w:r>
          </w:p>
        </w:tc>
        <w:tc>
          <w:tcPr>
            <w:tcW w:w="6813" w:type="dxa"/>
            <w:vAlign w:val="center"/>
          </w:tcPr>
          <w:p>
            <w:pPr>
              <w:autoSpaceDE w:val="0"/>
              <w:autoSpaceDN w:val="0"/>
              <w:adjustRightInd w:val="0"/>
              <w:spacing w:line="276" w:lineRule="auto"/>
              <w:rPr>
                <w:rFonts w:cs="宋体" w:asciiTheme="minorEastAsia" w:hAnsiTheme="minorEastAsia"/>
                <w:bCs/>
                <w:sz w:val="24"/>
                <w:szCs w:val="24"/>
                <w:lang w:val="zh-CN"/>
              </w:rPr>
            </w:pPr>
            <w:r>
              <w:rPr>
                <w:rFonts w:hint="eastAsia" w:cs="宋体" w:asciiTheme="minorEastAsia" w:hAnsiTheme="minorEastAsia"/>
                <w:kern w:val="0"/>
                <w:sz w:val="24"/>
                <w:szCs w:val="24"/>
              </w:rPr>
              <w:t>本项目</w:t>
            </w: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kern w:val="0"/>
                <w:sz w:val="24"/>
                <w:szCs w:val="24"/>
              </w:rPr>
              <w:t>不接受</w:t>
            </w:r>
            <w:r>
              <w:rPr>
                <w:rFonts w:hint="eastAsia" w:cs="宋体" w:asciiTheme="minorEastAsia" w:hAnsiTheme="minorEastAsia"/>
                <w:bCs/>
                <w:sz w:val="24"/>
                <w:szCs w:val="24"/>
                <w:lang w:val="zh-CN"/>
              </w:rPr>
              <w:t>□接受</w:t>
            </w:r>
            <w:r>
              <w:rPr>
                <w:rFonts w:hint="eastAsia" w:cs="宋体" w:asciiTheme="minorEastAsia" w:hAnsiTheme="minorEastAsia"/>
                <w:kern w:val="0"/>
                <w:sz w:val="24"/>
                <w:szCs w:val="24"/>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6</w:t>
            </w:r>
          </w:p>
        </w:tc>
        <w:tc>
          <w:tcPr>
            <w:tcW w:w="2268"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zh-CN"/>
              </w:rPr>
              <w:t>最高限价</w:t>
            </w:r>
          </w:p>
        </w:tc>
        <w:tc>
          <w:tcPr>
            <w:tcW w:w="6813" w:type="dxa"/>
            <w:vAlign w:val="center"/>
          </w:tcPr>
          <w:p>
            <w:pPr>
              <w:autoSpaceDE w:val="0"/>
              <w:autoSpaceDN w:val="0"/>
              <w:adjustRightInd w:val="0"/>
              <w:spacing w:line="276" w:lineRule="auto"/>
              <w:rPr>
                <w:rFonts w:hint="eastAsia" w:cs="宋体" w:asciiTheme="minorEastAsia" w:hAnsiTheme="minorEastAsia"/>
                <w:bCs/>
                <w:sz w:val="24"/>
                <w:szCs w:val="24"/>
                <w:lang w:val="zh-CN"/>
              </w:rPr>
            </w:pPr>
            <w:r>
              <w:rPr>
                <w:rFonts w:hint="eastAsia" w:cs="宋体" w:asciiTheme="minorEastAsia" w:hAnsiTheme="minorEastAsia"/>
                <w:bCs/>
                <w:sz w:val="24"/>
                <w:szCs w:val="24"/>
                <w:lang w:val="en-US" w:eastAsia="zh-CN"/>
              </w:rPr>
              <w:t>390.975</w:t>
            </w:r>
            <w:r>
              <w:rPr>
                <w:rFonts w:hint="eastAsia" w:cs="宋体" w:asciiTheme="minorEastAsia" w:hAnsiTheme="minorEastAsia"/>
                <w:bCs/>
                <w:sz w:val="24"/>
                <w:szCs w:val="24"/>
                <w:lang w:val="zh-CN"/>
              </w:rPr>
              <w:t>万元，超出最高限价的投标无效。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7</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现场考察</w:t>
            </w:r>
          </w:p>
        </w:tc>
        <w:tc>
          <w:tcPr>
            <w:tcW w:w="6813" w:type="dxa"/>
            <w:vAlign w:val="center"/>
          </w:tcPr>
          <w:p>
            <w:pPr>
              <w:autoSpaceDE w:val="0"/>
              <w:autoSpaceDN w:val="0"/>
              <w:adjustRightInd w:val="0"/>
              <w:spacing w:line="360" w:lineRule="auto"/>
              <w:rPr>
                <w:rFonts w:cs="宋体" w:asciiTheme="minorEastAsia" w:hAnsiTheme="minorEastAsia"/>
                <w:kern w:val="0"/>
                <w:sz w:val="24"/>
                <w:szCs w:val="24"/>
                <w:lang w:val="zh-CN"/>
              </w:rPr>
            </w:pPr>
            <w:r>
              <w:rPr>
                <w:rFonts w:cs="宋体" w:asciiTheme="minorEastAsia" w:hAnsiTheme="minorEastAsia"/>
                <w:b/>
                <w:kern w:val="0"/>
                <w:sz w:val="24"/>
                <w:szCs w:val="24"/>
                <w:lang w:val="zh-CN"/>
              </w:rPr>
              <w:fldChar w:fldCharType="begin"/>
            </w:r>
            <w:r>
              <w:rPr>
                <w:rFonts w:cs="宋体" w:asciiTheme="minorEastAsia" w:hAnsiTheme="minorEastAsia"/>
                <w:b/>
                <w:kern w:val="0"/>
                <w:sz w:val="24"/>
                <w:szCs w:val="24"/>
                <w:lang w:val="zh-CN"/>
              </w:rPr>
              <w:instrText xml:space="preserve"> </w:instrText>
            </w:r>
            <w:r>
              <w:rPr>
                <w:rFonts w:hint="eastAsia" w:cs="宋体" w:asciiTheme="minorEastAsia" w:hAnsiTheme="minorEastAsia"/>
                <w:b/>
                <w:kern w:val="0"/>
                <w:sz w:val="24"/>
                <w:szCs w:val="24"/>
                <w:lang w:val="zh-CN"/>
              </w:rPr>
              <w:instrText xml:space="preserve">eq \o\ac(□,</w:instrText>
            </w:r>
            <w:r>
              <w:rPr>
                <w:rFonts w:hint="eastAsia" w:cs="宋体" w:asciiTheme="minorEastAsia" w:hAnsiTheme="minorEastAsia"/>
                <w:b/>
                <w:kern w:val="0"/>
                <w:position w:val="2"/>
                <w:sz w:val="24"/>
                <w:szCs w:val="24"/>
                <w:lang w:val="zh-CN"/>
              </w:rPr>
              <w:instrText xml:space="preserve">√</w:instrText>
            </w:r>
            <w:r>
              <w:rPr>
                <w:rFonts w:hint="eastAsia" w:cs="宋体" w:asciiTheme="minorEastAsia" w:hAnsiTheme="minorEastAsia"/>
                <w:b/>
                <w:kern w:val="0"/>
                <w:sz w:val="24"/>
                <w:szCs w:val="24"/>
                <w:lang w:val="zh-CN"/>
              </w:rPr>
              <w:instrText xml:space="preserve">)</w:instrText>
            </w:r>
            <w:r>
              <w:rPr>
                <w:rFonts w:cs="宋体" w:asciiTheme="minorEastAsia" w:hAnsiTheme="minorEastAsia"/>
                <w:b/>
                <w:kern w:val="0"/>
                <w:sz w:val="24"/>
                <w:szCs w:val="24"/>
                <w:lang w:val="zh-CN"/>
              </w:rPr>
              <w:fldChar w:fldCharType="end"/>
            </w:r>
            <w:r>
              <w:rPr>
                <w:rFonts w:hint="eastAsia" w:cs="宋体" w:asciiTheme="minorEastAsia" w:hAnsiTheme="minorEastAsia"/>
                <w:bCs/>
                <w:sz w:val="24"/>
                <w:szCs w:val="24"/>
                <w:lang w:val="zh-CN"/>
              </w:rPr>
              <w:t>不组织</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bCs/>
                <w:sz w:val="24"/>
                <w:szCs w:val="24"/>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8</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开标前答疑会</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不召开</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9</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进口产品参与</w:t>
            </w:r>
          </w:p>
        </w:tc>
        <w:tc>
          <w:tcPr>
            <w:tcW w:w="6813" w:type="dxa"/>
            <w:vAlign w:val="center"/>
          </w:tcPr>
          <w:p>
            <w:pPr>
              <w:autoSpaceDE w:val="0"/>
              <w:autoSpaceDN w:val="0"/>
              <w:adjustRightInd w:val="0"/>
              <w:spacing w:line="276" w:lineRule="auto"/>
              <w:rPr>
                <w:rFonts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10</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投标有效期</w:t>
            </w:r>
          </w:p>
        </w:tc>
        <w:tc>
          <w:tcPr>
            <w:tcW w:w="6813" w:type="dxa"/>
            <w:vAlign w:val="center"/>
          </w:tcPr>
          <w:p>
            <w:pPr>
              <w:autoSpaceDE w:val="0"/>
              <w:autoSpaceDN w:val="0"/>
              <w:adjustRightInd w:val="0"/>
              <w:spacing w:line="360" w:lineRule="auto"/>
              <w:rPr>
                <w:rFonts w:cs="仿宋_GB2312" w:asciiTheme="minorEastAsia" w:hAnsiTheme="minorEastAsia"/>
                <w:sz w:val="24"/>
                <w:szCs w:val="24"/>
              </w:rPr>
            </w:pPr>
            <w:r>
              <w:rPr>
                <w:rFonts w:hint="eastAsia" w:cs="仿宋_GB2312" w:asciiTheme="minorEastAsia" w:hAnsiTheme="minorEastAsia"/>
                <w:sz w:val="24"/>
                <w:szCs w:val="24"/>
              </w:rPr>
              <w:t>60天（自</w:t>
            </w:r>
            <w:r>
              <w:rPr>
                <w:rFonts w:hint="eastAsia" w:cs="宋体" w:asciiTheme="minorEastAsia" w:hAnsiTheme="minorEastAsia"/>
                <w:kern w:val="0"/>
                <w:sz w:val="24"/>
                <w:szCs w:val="24"/>
              </w:rPr>
              <w:t>提交投标文件的截止之日起算</w:t>
            </w:r>
            <w:r>
              <w:rPr>
                <w:rFonts w:hint="eastAsia" w:cs="仿宋_GB2312" w:asciiTheme="minorEastAsia" w:hAnsiTheme="minorEastAsia"/>
                <w:sz w:val="24"/>
                <w:szCs w:val="24"/>
              </w:rPr>
              <w:t>）</w:t>
            </w:r>
          </w:p>
          <w:p>
            <w:pPr>
              <w:autoSpaceDE w:val="0"/>
              <w:autoSpaceDN w:val="0"/>
              <w:adjustRightInd w:val="0"/>
              <w:spacing w:line="360" w:lineRule="auto"/>
              <w:rPr>
                <w:rFonts w:cs="仿宋_GB2312" w:asciiTheme="minorEastAsia" w:hAnsiTheme="minorEastAsia"/>
                <w:sz w:val="24"/>
                <w:szCs w:val="24"/>
              </w:rPr>
            </w:pPr>
            <w:r>
              <w:rPr>
                <w:rFonts w:cs="仿宋_GB2312" w:asciiTheme="minorEastAsia" w:hAnsiTheme="minorEastAsia"/>
                <w:sz w:val="24"/>
                <w:szCs w:val="24"/>
                <w:lang w:val="zh-CN"/>
              </w:rPr>
              <w:t>中标</w:t>
            </w:r>
            <w:r>
              <w:rPr>
                <w:rFonts w:hint="eastAsia" w:cs="仿宋_GB2312" w:asciiTheme="minorEastAsia" w:hAnsiTheme="minorEastAsia"/>
                <w:sz w:val="24"/>
                <w:szCs w:val="24"/>
                <w:lang w:val="zh-CN"/>
              </w:rPr>
              <w:t>人投标</w:t>
            </w:r>
            <w:r>
              <w:rPr>
                <w:rFonts w:cs="仿宋_GB2312" w:asciiTheme="minorEastAsia" w:hAnsiTheme="minorEastAsia"/>
                <w:sz w:val="24"/>
                <w:szCs w:val="24"/>
                <w:lang w:val="zh-CN"/>
              </w:rPr>
              <w:t>有效期延</w:t>
            </w:r>
            <w:r>
              <w:rPr>
                <w:rFonts w:hint="eastAsia" w:cs="仿宋_GB2312" w:asciiTheme="minorEastAsia" w:hAnsiTheme="minorEastAsia"/>
                <w:sz w:val="24"/>
                <w:szCs w:val="24"/>
                <w:lang w:val="zh-CN"/>
              </w:rPr>
              <w:t>至合同</w:t>
            </w:r>
            <w:r>
              <w:rPr>
                <w:rFonts w:cs="仿宋_GB2312" w:asciiTheme="minorEastAsia" w:hAnsiTheme="minorEastAsia"/>
                <w:sz w:val="24"/>
                <w:szCs w:val="24"/>
                <w:lang w:val="zh-CN"/>
              </w:rPr>
              <w:t>验收之日</w:t>
            </w:r>
            <w:r>
              <w:rPr>
                <w:rFonts w:hint="eastAsia" w:cs="仿宋_GB2312" w:asciiTheme="minorEastAsia" w:hAnsiTheme="minorEastAsia"/>
                <w:sz w:val="24"/>
                <w:szCs w:val="24"/>
                <w:lang w:val="zh-CN"/>
              </w:rPr>
              <w:t>，</w:t>
            </w:r>
            <w:r>
              <w:rPr>
                <w:rFonts w:hint="eastAsia" w:cs="宋体" w:asciiTheme="minorEastAsia" w:hAnsiTheme="minorEastAsia"/>
                <w:kern w:val="0"/>
                <w:sz w:val="24"/>
                <w:szCs w:val="24"/>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11</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cs="宋体" w:asciiTheme="minorEastAsia" w:hAnsiTheme="minorEastAsia"/>
                <w:bCs/>
                <w:sz w:val="24"/>
                <w:szCs w:val="24"/>
                <w:lang w:val="zh-CN"/>
              </w:rPr>
              <w:t>中标人将本项目的非主体、非关键性</w:t>
            </w:r>
          </w:p>
          <w:p>
            <w:pPr>
              <w:autoSpaceDE w:val="0"/>
              <w:autoSpaceDN w:val="0"/>
              <w:adjustRightInd w:val="0"/>
              <w:spacing w:line="360" w:lineRule="auto"/>
              <w:jc w:val="center"/>
              <w:rPr>
                <w:rFonts w:cs="仿宋_GB2312" w:asciiTheme="minorEastAsia" w:hAnsiTheme="minorEastAsia"/>
                <w:sz w:val="24"/>
                <w:szCs w:val="24"/>
              </w:rPr>
            </w:pPr>
            <w:r>
              <w:rPr>
                <w:rFonts w:cs="宋体" w:asciiTheme="minorEastAsia" w:hAnsiTheme="minorEastAsia"/>
                <w:bCs/>
                <w:sz w:val="24"/>
                <w:szCs w:val="24"/>
                <w:lang w:val="zh-CN"/>
              </w:rPr>
              <w:t>工作分包</w:t>
            </w:r>
          </w:p>
        </w:tc>
        <w:tc>
          <w:tcPr>
            <w:tcW w:w="6813" w:type="dxa"/>
            <w:vAlign w:val="center"/>
          </w:tcPr>
          <w:p>
            <w:pPr>
              <w:autoSpaceDE w:val="0"/>
              <w:autoSpaceDN w:val="0"/>
              <w:adjustRightInd w:val="0"/>
              <w:spacing w:line="276" w:lineRule="auto"/>
              <w:rPr>
                <w:rFonts w:cs="仿宋_GB2312" w:asciiTheme="minorEastAsia" w:hAnsiTheme="minorEastAsia"/>
                <w:sz w:val="24"/>
                <w:szCs w:val="24"/>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 xml:space="preserve">不允许   </w:t>
            </w:r>
            <w:r>
              <w:rPr>
                <w:rFonts w:hint="eastAsia" w:cs="宋体" w:asciiTheme="minorEastAsia" w:hAnsiTheme="minorEastAsia"/>
                <w:b/>
                <w:bCs/>
                <w:sz w:val="24"/>
                <w:szCs w:val="24"/>
                <w:lang w:val="zh-CN"/>
              </w:rPr>
              <w:t>□</w:t>
            </w:r>
            <w:r>
              <w:rPr>
                <w:rFonts w:hint="eastAsia" w:cs="仿宋_GB2312" w:asciiTheme="minorEastAsia" w:hAnsiTheme="minorEastAsia"/>
                <w:sz w:val="24"/>
                <w:szCs w:val="24"/>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投标截止及</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开标时间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rPr>
              <w:t>2019</w:t>
            </w:r>
            <w:r>
              <w:rPr>
                <w:rFonts w:hint="eastAsia" w:cs="宋体" w:asciiTheme="minorEastAsia" w:hAnsiTheme="minorEastAsia"/>
                <w:bCs/>
                <w:sz w:val="24"/>
                <w:szCs w:val="24"/>
                <w:lang w:val="zh-CN"/>
              </w:rPr>
              <w:t xml:space="preserve">年 </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月</w:t>
            </w:r>
            <w:r>
              <w:rPr>
                <w:rFonts w:hint="eastAsia" w:cs="宋体" w:asciiTheme="minorEastAsia" w:hAnsiTheme="minorEastAsia"/>
                <w:bCs/>
                <w:sz w:val="24"/>
                <w:szCs w:val="24"/>
                <w:lang w:val="en-US" w:eastAsia="zh-CN"/>
              </w:rPr>
              <w:t xml:space="preserve">  </w:t>
            </w:r>
            <w:r>
              <w:rPr>
                <w:rFonts w:hint="eastAsia" w:cs="宋体" w:asciiTheme="minorEastAsia" w:hAnsiTheme="minorEastAsia"/>
                <w:bCs/>
                <w:sz w:val="24"/>
                <w:szCs w:val="24"/>
                <w:lang w:val="zh-CN"/>
              </w:rPr>
              <w:t>日</w:t>
            </w:r>
            <w:r>
              <w:rPr>
                <w:rFonts w:hint="eastAsia" w:cs="宋体" w:asciiTheme="minorEastAsia" w:hAnsiTheme="minorEastAsia"/>
                <w:bCs/>
                <w:sz w:val="24"/>
                <w:szCs w:val="24"/>
                <w:lang w:val="en-US" w:eastAsia="zh-CN"/>
              </w:rPr>
              <w:t>9</w:t>
            </w:r>
            <w:r>
              <w:rPr>
                <w:rFonts w:hint="eastAsia" w:cs="宋体" w:asciiTheme="minorEastAsia" w:hAnsiTheme="minorEastAsia"/>
                <w:bCs/>
                <w:sz w:val="24"/>
                <w:szCs w:val="24"/>
                <w:lang w:val="zh-CN"/>
              </w:rPr>
              <w:t>：</w:t>
            </w:r>
            <w:r>
              <w:rPr>
                <w:rFonts w:hint="eastAsia" w:cs="宋体" w:asciiTheme="minorEastAsia" w:hAnsiTheme="minorEastAsia"/>
                <w:bCs/>
                <w:sz w:val="24"/>
                <w:szCs w:val="24"/>
              </w:rPr>
              <w:t>00</w:t>
            </w:r>
            <w:r>
              <w:rPr>
                <w:rFonts w:hint="eastAsia" w:cs="宋体" w:asciiTheme="minorEastAsia" w:hAnsiTheme="minorEastAsia"/>
                <w:bCs/>
                <w:sz w:val="24"/>
                <w:szCs w:val="24"/>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13</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递交投标文件</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及开标地点</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禹州市公共资源交易中心开标二室（地址：禹州市行政服务中心楼九楼）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14</w:t>
            </w:r>
          </w:p>
        </w:tc>
        <w:tc>
          <w:tcPr>
            <w:tcW w:w="2268" w:type="dxa"/>
            <w:vAlign w:val="center"/>
          </w:tcPr>
          <w:p>
            <w:pPr>
              <w:autoSpaceDE w:val="0"/>
              <w:autoSpaceDN w:val="0"/>
              <w:adjustRightInd w:val="0"/>
              <w:spacing w:line="276" w:lineRule="auto"/>
              <w:jc w:val="center"/>
              <w:rPr>
                <w:rFonts w:cs="宋体" w:asciiTheme="minorEastAsia" w:hAnsiTheme="minorEastAsia"/>
                <w:bCs/>
                <w:sz w:val="24"/>
                <w:szCs w:val="24"/>
                <w:lang w:val="zh-CN"/>
              </w:rPr>
            </w:pPr>
            <w:r>
              <w:rPr>
                <w:rFonts w:hint="eastAsia" w:cs="宋体" w:asciiTheme="minorEastAsia" w:hAnsiTheme="minorEastAsia"/>
                <w:kern w:val="0"/>
                <w:sz w:val="24"/>
                <w:szCs w:val="24"/>
              </w:rPr>
              <w:t>投标保证金</w:t>
            </w:r>
          </w:p>
        </w:tc>
        <w:tc>
          <w:tcPr>
            <w:tcW w:w="6813" w:type="dxa"/>
            <w:vAlign w:val="center"/>
          </w:tcPr>
          <w:p>
            <w:pPr>
              <w:tabs>
                <w:tab w:val="left" w:pos="1260"/>
              </w:tabs>
              <w:autoSpaceDE w:val="0"/>
              <w:autoSpaceDN w:val="0"/>
              <w:spacing w:line="360" w:lineRule="auto"/>
              <w:contextualSpacing/>
              <w:rPr>
                <w:rFonts w:hint="eastAsia"/>
                <w:lang w:val="zh-CN"/>
              </w:rPr>
            </w:pPr>
            <w:r>
              <w:rPr>
                <w:rFonts w:hint="eastAsia"/>
                <w:lang w:val="en-US" w:eastAsia="zh-CN"/>
              </w:rPr>
              <w:t>1.</w:t>
            </w:r>
            <w:r>
              <w:rPr>
                <w:rFonts w:hint="eastAsia"/>
                <w:lang w:val="zh-CN"/>
              </w:rPr>
              <w:t>不收取</w:t>
            </w:r>
          </w:p>
          <w:p>
            <w:pPr>
              <w:pStyle w:val="2"/>
              <w:rPr>
                <w:lang w:val="zh-CN"/>
              </w:rPr>
            </w:pPr>
            <w:r>
              <w:rPr>
                <w:rFonts w:hint="eastAsia" w:cs="仿宋_GB2312" w:asciiTheme="minorEastAsia" w:hAnsiTheme="minorEastAsia"/>
                <w:sz w:val="24"/>
                <w:szCs w:val="24"/>
                <w:lang w:val="en-US" w:eastAsia="zh-CN"/>
              </w:rPr>
              <w:t>2.</w:t>
            </w:r>
            <w:r>
              <w:rPr>
                <w:rFonts w:hint="eastAsia" w:cs="仿宋_GB2312" w:asciiTheme="minorEastAsia" w:hAnsiTheme="minorEastAsia"/>
                <w:sz w:val="24"/>
                <w:szCs w:val="24"/>
                <w:lang w:val="zh-CN"/>
              </w:rPr>
              <w:t>投标人须提供投标承诺函。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15</w:t>
            </w:r>
          </w:p>
        </w:tc>
        <w:tc>
          <w:tcPr>
            <w:tcW w:w="2268" w:type="dxa"/>
            <w:vAlign w:val="center"/>
          </w:tcPr>
          <w:p>
            <w:pPr>
              <w:autoSpaceDE w:val="0"/>
              <w:autoSpaceDN w:val="0"/>
              <w:adjustRightInd w:val="0"/>
              <w:spacing w:line="276" w:lineRule="auto"/>
              <w:jc w:val="center"/>
              <w:rPr>
                <w:rFonts w:cs="仿宋_GB2312" w:asciiTheme="minorEastAsia" w:hAnsiTheme="minorEastAsia"/>
                <w:sz w:val="24"/>
                <w:szCs w:val="24"/>
              </w:rPr>
            </w:pPr>
            <w:r>
              <w:rPr>
                <w:rFonts w:hint="eastAsia" w:cs="仿宋_GB2312" w:asciiTheme="minorEastAsia" w:hAnsiTheme="minorEastAsia"/>
                <w:sz w:val="24"/>
                <w:szCs w:val="24"/>
              </w:rPr>
              <w:t>公告发布</w:t>
            </w:r>
          </w:p>
        </w:tc>
        <w:tc>
          <w:tcPr>
            <w:tcW w:w="6813" w:type="dxa"/>
            <w:tcBorders>
              <w:top w:val="single" w:color="auto" w:sz="4" w:space="0"/>
            </w:tcBorders>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color w:val="000000"/>
                <w:sz w:val="24"/>
                <w:szCs w:val="24"/>
              </w:rPr>
              <w:t>招标公告、中标公告、变更（更正）公告、现场勘察答复等相关信息同时在以下网站发布：《中国政府采购网》、《河南省政府采购网》、《全国公共资源交易平台（河南省·许昌市）》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16</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仿宋_GB2312" w:asciiTheme="minorEastAsia" w:hAnsiTheme="minorEastAsia"/>
                <w:sz w:val="24"/>
                <w:szCs w:val="24"/>
              </w:rPr>
              <w:t>采购人澄清或修改招标文件时间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投标截止时间15日前（</w:t>
            </w:r>
            <w:r>
              <w:rPr>
                <w:rFonts w:hint="eastAsia" w:cs="仿宋_GB2312" w:asciiTheme="minorEastAsia" w:hAnsiTheme="minorEastAsia"/>
                <w:sz w:val="24"/>
                <w:szCs w:val="24"/>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17</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投标人对采购文件质疑截止时间</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18</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投标文件份数</w:t>
            </w:r>
          </w:p>
        </w:tc>
        <w:tc>
          <w:tcPr>
            <w:tcW w:w="6813" w:type="dxa"/>
            <w:vAlign w:val="center"/>
          </w:tcPr>
          <w:p>
            <w:pPr>
              <w:autoSpaceDE w:val="0"/>
              <w:autoSpaceDN w:val="0"/>
              <w:adjustRightInd w:val="0"/>
              <w:spacing w:line="360" w:lineRule="auto"/>
              <w:rPr>
                <w:rFonts w:cs="宋体" w:asciiTheme="minorEastAsia" w:hAnsiTheme="minorEastAsia"/>
                <w:color w:val="000000"/>
                <w:sz w:val="24"/>
                <w:szCs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电子投标文件：成功上传至《全国公共资源交易平台（河南省·许昌市）》公共资源交易系统加密电子投标文件1份</w:t>
            </w:r>
            <w:r>
              <w:rPr>
                <w:rFonts w:hint="eastAsia" w:hAnsi="宋体" w:cs="宋体"/>
                <w:sz w:val="24"/>
                <w:lang w:val="zh-CN"/>
              </w:rPr>
              <w:t>（文件格式为： XXX公司XXX项目编号.file）。</w:t>
            </w:r>
            <w:r>
              <w:rPr>
                <w:rFonts w:hint="eastAsia" w:ascii="新宋体" w:hAnsi="新宋体" w:eastAsia="新宋体"/>
                <w:sz w:val="24"/>
              </w:rPr>
              <w:t>使用电子介质存储的备份文件1份（文件格式为：名称为“备份”的文件夹）。</w:t>
            </w:r>
          </w:p>
          <w:p>
            <w:pPr>
              <w:autoSpaceDE w:val="0"/>
              <w:autoSpaceDN w:val="0"/>
              <w:adjustRightInd w:val="0"/>
              <w:spacing w:line="360" w:lineRule="auto"/>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w:t>
            </w:r>
            <w:r>
              <w:rPr>
                <w:rFonts w:hint="eastAsia" w:cs="仿宋_GB2312" w:asciiTheme="minorEastAsia" w:hAnsiTheme="minorEastAsia"/>
                <w:sz w:val="24"/>
                <w:szCs w:val="24"/>
              </w:rPr>
              <w:t>正本</w:t>
            </w:r>
            <w:r>
              <w:rPr>
                <w:rFonts w:hint="eastAsia" w:cs="仿宋_GB2312" w:asciiTheme="minorEastAsia" w:hAnsiTheme="minorEastAsia"/>
                <w:b/>
                <w:sz w:val="24"/>
                <w:szCs w:val="24"/>
              </w:rPr>
              <w:t>一</w:t>
            </w:r>
            <w:r>
              <w:rPr>
                <w:rFonts w:hint="eastAsia" w:cs="仿宋_GB2312" w:asciiTheme="minorEastAsia" w:hAnsiTheme="minorEastAsia"/>
                <w:sz w:val="24"/>
                <w:szCs w:val="24"/>
              </w:rPr>
              <w:t>份，副本</w:t>
            </w:r>
            <w:r>
              <w:rPr>
                <w:rFonts w:hint="eastAsia" w:cs="仿宋_GB2312" w:asciiTheme="minorEastAsia" w:hAnsiTheme="minorEastAsia"/>
                <w:sz w:val="24"/>
                <w:szCs w:val="24"/>
                <w:lang w:eastAsia="zh-CN"/>
              </w:rPr>
              <w:t>一</w:t>
            </w:r>
            <w:r>
              <w:rPr>
                <w:rFonts w:hint="eastAsia" w:cs="仿宋_GB2312" w:asciiTheme="minorEastAsia" w:hAnsiTheme="minorEastAsia"/>
                <w:sz w:val="24"/>
                <w:szCs w:val="24"/>
              </w:rPr>
              <w:t>份。</w:t>
            </w:r>
            <w:bookmarkStart w:id="9" w:name="_GoBack"/>
            <w:bookmarkEnd w:id="9"/>
            <w:r>
              <w:rPr>
                <w:rFonts w:hint="eastAsia" w:cs="仿宋_GB2312" w:asciiTheme="minorEastAsia" w:hAnsiTheme="minorEastAsia"/>
                <w:sz w:val="24"/>
                <w:szCs w:val="24"/>
              </w:rPr>
              <w:t>使用</w:t>
            </w:r>
            <w:r>
              <w:rPr>
                <w:rFonts w:hint="eastAsia" w:ascii="新宋体" w:hAnsi="新宋体" w:eastAsia="新宋体"/>
                <w:sz w:val="24"/>
              </w:rPr>
              <w:t>格式为“投标文件（供打印）.PDF”的文件</w:t>
            </w:r>
          </w:p>
          <w:p>
            <w:pPr>
              <w:autoSpaceDE w:val="0"/>
              <w:autoSpaceDN w:val="0"/>
              <w:adjustRightInd w:val="0"/>
              <w:spacing w:line="360" w:lineRule="auto"/>
              <w:rPr>
                <w:rFonts w:cs="宋体" w:asciiTheme="minorEastAsia" w:hAnsiTheme="minorEastAsia"/>
                <w:bCs/>
                <w:sz w:val="24"/>
                <w:szCs w:val="24"/>
                <w:highlight w:val="lightGray"/>
                <w:lang w:val="zh-CN"/>
              </w:rPr>
            </w:pPr>
            <w:r>
              <w:rPr>
                <w:rFonts w:hint="eastAsia" w:ascii="新宋体" w:hAnsi="新宋体" w:eastAsia="新宋体"/>
                <w:sz w:val="24"/>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19</w:t>
            </w:r>
          </w:p>
        </w:tc>
        <w:tc>
          <w:tcPr>
            <w:tcW w:w="2268" w:type="dxa"/>
            <w:vAlign w:val="center"/>
          </w:tcPr>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投标文件的</w:t>
            </w:r>
          </w:p>
          <w:p>
            <w:pPr>
              <w:autoSpaceDE w:val="0"/>
              <w:autoSpaceDN w:val="0"/>
              <w:adjustRightInd w:val="0"/>
              <w:spacing w:line="360" w:lineRule="auto"/>
              <w:jc w:val="center"/>
              <w:rPr>
                <w:rFonts w:cs="黑体" w:asciiTheme="minorEastAsia" w:hAnsiTheme="minorEastAsia"/>
                <w:sz w:val="24"/>
                <w:szCs w:val="24"/>
              </w:rPr>
            </w:pPr>
            <w:r>
              <w:rPr>
                <w:rFonts w:hint="eastAsia" w:cs="黑体" w:asciiTheme="minorEastAsia" w:hAnsiTheme="minorEastAsia"/>
                <w:sz w:val="24"/>
                <w:szCs w:val="24"/>
              </w:rPr>
              <w:t>签署盖章</w:t>
            </w:r>
          </w:p>
        </w:tc>
        <w:tc>
          <w:tcPr>
            <w:tcW w:w="6813" w:type="dxa"/>
            <w:vAlign w:val="center"/>
          </w:tcPr>
          <w:p>
            <w:pPr>
              <w:autoSpaceDE w:val="0"/>
              <w:autoSpaceDN w:val="0"/>
              <w:adjustRightInd w:val="0"/>
              <w:spacing w:line="420" w:lineRule="exact"/>
              <w:rPr>
                <w:rFonts w:ascii="新宋体" w:hAnsi="新宋体" w:eastAsia="新宋体"/>
                <w:sz w:val="24"/>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电子投标文件：按招标文件要求加盖电子印章和法人电子印章。</w:t>
            </w:r>
          </w:p>
          <w:p>
            <w:pPr>
              <w:autoSpaceDE w:val="0"/>
              <w:autoSpaceDN w:val="0"/>
              <w:adjustRightInd w:val="0"/>
              <w:spacing w:line="420" w:lineRule="exact"/>
              <w:rPr>
                <w:rFonts w:cs="仿宋_GB2312" w:asciiTheme="minorEastAsia" w:hAnsiTheme="minorEastAsia"/>
                <w:sz w:val="24"/>
                <w:szCs w:val="24"/>
                <w:highlight w:val="lightGray"/>
              </w:rPr>
            </w:pPr>
            <w:r>
              <w:rPr>
                <w:rFonts w:ascii="新宋体" w:hAnsi="新宋体" w:eastAsia="新宋体"/>
                <w:b/>
                <w:sz w:val="24"/>
              </w:rPr>
              <w:fldChar w:fldCharType="begin"/>
            </w:r>
            <w:r>
              <w:rPr>
                <w:rFonts w:ascii="新宋体" w:hAnsi="新宋体" w:eastAsia="新宋体"/>
                <w:b/>
                <w:sz w:val="24"/>
              </w:rPr>
              <w:instrText xml:space="preserve"> </w:instrText>
            </w:r>
            <w:r>
              <w:rPr>
                <w:rFonts w:hint="eastAsia" w:ascii="新宋体" w:hAnsi="新宋体" w:eastAsia="新宋体"/>
                <w:b/>
                <w:sz w:val="24"/>
              </w:rPr>
              <w:instrText xml:space="preserve">eq \o\ac(□,√)</w:instrText>
            </w:r>
            <w:r>
              <w:rPr>
                <w:rFonts w:ascii="新宋体" w:hAnsi="新宋体" w:eastAsia="新宋体"/>
                <w:b/>
                <w:sz w:val="24"/>
              </w:rPr>
              <w:fldChar w:fldCharType="end"/>
            </w:r>
            <w:r>
              <w:rPr>
                <w:rFonts w:hint="eastAsia" w:ascii="新宋体" w:hAnsi="新宋体" w:eastAsia="新宋体"/>
                <w:sz w:val="24"/>
              </w:rPr>
              <w:t>纸质投标文件：投标文件封面加盖投标人公章（投标文件是指投标人电子投标文件制作完成后生成的后缀名为</w:t>
            </w:r>
            <w:r>
              <w:rPr>
                <w:rFonts w:hint="eastAsia" w:hAnsi="宋体"/>
                <w:sz w:val="24"/>
                <w:szCs w:val="24"/>
              </w:rPr>
              <w:t>“.PDF”的文件</w:t>
            </w:r>
            <w:r>
              <w:rPr>
                <w:rFonts w:hint="eastAsia" w:ascii="新宋体" w:hAnsi="新宋体" w:eastAsia="新宋体"/>
                <w:sz w:val="24"/>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 w:val="24"/>
                <w:szCs w:val="24"/>
              </w:rPr>
            </w:pPr>
            <w:r>
              <w:rPr>
                <w:rFonts w:hint="eastAsia" w:cs="TimesNewRomanPSMT" w:asciiTheme="minorEastAsia" w:hAnsiTheme="minorEastAsia"/>
                <w:sz w:val="24"/>
                <w:szCs w:val="24"/>
              </w:rPr>
              <w:t>20</w:t>
            </w:r>
          </w:p>
        </w:tc>
        <w:tc>
          <w:tcPr>
            <w:tcW w:w="2268" w:type="dxa"/>
            <w:vAlign w:val="center"/>
          </w:tcPr>
          <w:p>
            <w:pPr>
              <w:autoSpaceDE w:val="0"/>
              <w:autoSpaceDN w:val="0"/>
              <w:adjustRightInd w:val="0"/>
              <w:spacing w:line="360" w:lineRule="auto"/>
              <w:jc w:val="center"/>
              <w:rPr>
                <w:rFonts w:cs="仿宋_GB2312" w:asciiTheme="minorEastAsia" w:hAnsiTheme="minorEastAsia"/>
                <w:sz w:val="24"/>
                <w:szCs w:val="24"/>
              </w:rPr>
            </w:pPr>
            <w:r>
              <w:rPr>
                <w:rFonts w:hint="eastAsia" w:cs="黑体" w:asciiTheme="minorEastAsia" w:hAnsiTheme="minorEastAsia"/>
                <w:sz w:val="24"/>
                <w:szCs w:val="24"/>
              </w:rPr>
              <w:t>评标委员会组建</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由采购人代表和评审专家组成，其中评审专家的人数不少于评标委员会成员总数的三分之二。评审专家从政府采购评审专家库中随机抽取。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21</w:t>
            </w:r>
          </w:p>
        </w:tc>
        <w:tc>
          <w:tcPr>
            <w:tcW w:w="2268" w:type="dxa"/>
            <w:vAlign w:val="center"/>
          </w:tcPr>
          <w:p>
            <w:pPr>
              <w:autoSpaceDE w:val="0"/>
              <w:autoSpaceDN w:val="0"/>
              <w:adjustRightInd w:val="0"/>
              <w:spacing w:line="360" w:lineRule="auto"/>
              <w:jc w:val="center"/>
              <w:rPr>
                <w:rFonts w:cs="宋体" w:asciiTheme="minorEastAsia" w:hAnsiTheme="minorEastAsia"/>
                <w:bCs/>
                <w:color w:val="FF0000"/>
                <w:sz w:val="24"/>
                <w:szCs w:val="24"/>
                <w:lang w:val="zh-CN"/>
              </w:rPr>
            </w:pPr>
            <w:r>
              <w:rPr>
                <w:rFonts w:hint="eastAsia" w:cs="仿宋_GB2312" w:asciiTheme="minorEastAsia" w:hAnsiTheme="minorEastAsia"/>
                <w:color w:val="FF0000"/>
                <w:sz w:val="24"/>
                <w:szCs w:val="24"/>
              </w:rPr>
              <w:t>评标方法</w:t>
            </w:r>
          </w:p>
        </w:tc>
        <w:tc>
          <w:tcPr>
            <w:tcW w:w="6813" w:type="dxa"/>
            <w:vAlign w:val="center"/>
          </w:tcPr>
          <w:p>
            <w:pPr>
              <w:autoSpaceDE w:val="0"/>
              <w:autoSpaceDN w:val="0"/>
              <w:adjustRightInd w:val="0"/>
              <w:spacing w:line="360" w:lineRule="auto"/>
              <w:rPr>
                <w:rFonts w:cs="宋体" w:asciiTheme="minorEastAsia" w:hAnsiTheme="minorEastAsia"/>
                <w:bCs/>
                <w:color w:val="FF0000"/>
                <w:sz w:val="24"/>
                <w:szCs w:val="24"/>
                <w:lang w:val="zh-CN"/>
              </w:rPr>
            </w:pPr>
            <w:r>
              <w:rPr>
                <w:rFonts w:cs="宋体" w:asciiTheme="minorEastAsia" w:hAnsiTheme="minorEastAsia"/>
                <w:b/>
                <w:color w:val="FF0000"/>
                <w:kern w:val="0"/>
                <w:sz w:val="24"/>
                <w:szCs w:val="24"/>
                <w:lang w:val="zh-CN"/>
              </w:rPr>
              <w:fldChar w:fldCharType="begin"/>
            </w:r>
            <w:r>
              <w:rPr>
                <w:rFonts w:cs="宋体" w:asciiTheme="minorEastAsia" w:hAnsiTheme="minorEastAsia"/>
                <w:b/>
                <w:color w:val="FF0000"/>
                <w:kern w:val="0"/>
                <w:sz w:val="24"/>
                <w:szCs w:val="24"/>
                <w:lang w:val="zh-CN"/>
              </w:rPr>
              <w:instrText xml:space="preserve"> </w:instrText>
            </w:r>
            <w:r>
              <w:rPr>
                <w:rFonts w:hint="eastAsia" w:cs="宋体" w:asciiTheme="minorEastAsia" w:hAnsiTheme="minorEastAsia"/>
                <w:b/>
                <w:color w:val="FF0000"/>
                <w:kern w:val="0"/>
                <w:sz w:val="24"/>
                <w:szCs w:val="24"/>
                <w:lang w:val="zh-CN"/>
              </w:rPr>
              <w:instrText xml:space="preserve">eq \o\ac(□,</w:instrText>
            </w:r>
            <w:r>
              <w:rPr>
                <w:rFonts w:hint="eastAsia" w:cs="宋体" w:asciiTheme="minorEastAsia" w:hAnsiTheme="minorEastAsia"/>
                <w:b/>
                <w:color w:val="FF0000"/>
                <w:kern w:val="0"/>
                <w:position w:val="2"/>
                <w:sz w:val="24"/>
                <w:szCs w:val="24"/>
                <w:lang w:val="zh-CN"/>
              </w:rPr>
              <w:instrText xml:space="preserve">√</w:instrText>
            </w:r>
            <w:r>
              <w:rPr>
                <w:rFonts w:hint="eastAsia" w:cs="宋体" w:asciiTheme="minorEastAsia" w:hAnsiTheme="minorEastAsia"/>
                <w:b/>
                <w:color w:val="FF0000"/>
                <w:kern w:val="0"/>
                <w:sz w:val="24"/>
                <w:szCs w:val="24"/>
                <w:lang w:val="zh-CN"/>
              </w:rPr>
              <w:instrText xml:space="preserve">)</w:instrText>
            </w:r>
            <w:r>
              <w:rPr>
                <w:rFonts w:cs="宋体" w:asciiTheme="minorEastAsia" w:hAnsiTheme="minorEastAsia"/>
                <w:b/>
                <w:color w:val="FF0000"/>
                <w:kern w:val="0"/>
                <w:sz w:val="24"/>
                <w:szCs w:val="24"/>
                <w:lang w:val="zh-CN"/>
              </w:rPr>
              <w:fldChar w:fldCharType="end"/>
            </w:r>
            <w:r>
              <w:rPr>
                <w:rFonts w:hint="eastAsia" w:cs="宋体" w:asciiTheme="minorEastAsia" w:hAnsiTheme="minorEastAsia"/>
                <w:bCs/>
                <w:color w:val="FF0000"/>
                <w:sz w:val="24"/>
                <w:szCs w:val="24"/>
                <w:lang w:val="zh-CN"/>
              </w:rPr>
              <w:t>综合评分法</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color w:val="FF0000"/>
                <w:kern w:val="0"/>
                <w:sz w:val="24"/>
                <w:szCs w:val="24"/>
                <w:lang w:val="en-US" w:eastAsia="zh-CN"/>
              </w:rPr>
              <w:t xml:space="preserve">    </w:t>
            </w:r>
            <w:r>
              <w:rPr>
                <w:rFonts w:hint="eastAsia" w:cs="宋体" w:asciiTheme="minorEastAsia" w:hAnsiTheme="minorEastAsia"/>
                <w:color w:val="FF0000"/>
                <w:kern w:val="0"/>
                <w:sz w:val="24"/>
                <w:szCs w:val="24"/>
                <w:lang w:val="zh-CN"/>
              </w:rPr>
              <w:t xml:space="preserve"> </w:t>
            </w:r>
            <w:r>
              <w:rPr>
                <w:rFonts w:hint="eastAsia" w:cs="宋体" w:asciiTheme="minorEastAsia" w:hAnsiTheme="minorEastAsia"/>
                <w:b/>
                <w:bCs/>
                <w:color w:val="FF0000"/>
                <w:sz w:val="24"/>
                <w:szCs w:val="24"/>
                <w:lang w:val="zh-CN"/>
              </w:rPr>
              <w:t>□</w:t>
            </w:r>
            <w:r>
              <w:rPr>
                <w:rFonts w:hint="eastAsia" w:cs="仿宋_GB2312" w:asciiTheme="minorEastAsia" w:hAnsiTheme="minorEastAsia"/>
                <w:color w:val="FF0000"/>
                <w:sz w:val="24"/>
                <w:szCs w:val="24"/>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22</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授权函</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仿宋_GB2312" w:asciiTheme="minorEastAsia" w:hAnsiTheme="minorEastAsia"/>
                <w:sz w:val="24"/>
                <w:szCs w:val="24"/>
                <w:lang w:val="zh-CN"/>
              </w:rPr>
              <w:t>采购单位委派代表参加资格审查和评审委员会的，须向采购代理机构出具授权函。除授权代表外，采购单位委派纪检监察人员对评标过程实施监督的须进入禹州市公共资源交易中心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23</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履约保证金</w:t>
            </w:r>
          </w:p>
        </w:tc>
        <w:tc>
          <w:tcPr>
            <w:tcW w:w="6813" w:type="dxa"/>
            <w:vAlign w:val="center"/>
          </w:tcPr>
          <w:p>
            <w:pPr>
              <w:autoSpaceDE w:val="0"/>
              <w:autoSpaceDN w:val="0"/>
              <w:adjustRightInd w:val="0"/>
              <w:spacing w:line="360" w:lineRule="auto"/>
              <w:rPr>
                <w:rFonts w:cs="宋体" w:asciiTheme="minorEastAsia" w:hAnsiTheme="minorEastAsia"/>
                <w:color w:val="000000"/>
                <w:kern w:val="0"/>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16"/>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无要求</w:t>
            </w:r>
          </w:p>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
                <w:bCs/>
                <w:sz w:val="24"/>
                <w:szCs w:val="24"/>
                <w:lang w:val="zh-CN"/>
              </w:rPr>
              <w:t>□</w:t>
            </w:r>
            <w:r>
              <w:rPr>
                <w:rFonts w:hint="eastAsia" w:cs="宋体" w:asciiTheme="minorEastAsia" w:hAnsiTheme="minorEastAsia"/>
                <w:color w:val="333333"/>
                <w:sz w:val="24"/>
                <w:szCs w:val="24"/>
              </w:rPr>
              <w:t>要求提交。履约保证金的数额为合同金额的</w:t>
            </w:r>
            <w:r>
              <w:rPr>
                <w:rFonts w:hint="eastAsia" w:cs="宋体" w:asciiTheme="minorEastAsia" w:hAnsiTheme="minorEastAsia"/>
                <w:color w:val="333333"/>
                <w:sz w:val="24"/>
                <w:szCs w:val="24"/>
                <w:lang w:val="en-US" w:eastAsia="zh-CN"/>
              </w:rPr>
              <w:t>10</w:t>
            </w:r>
            <w:r>
              <w:rPr>
                <w:rFonts w:hint="eastAsia" w:cs="宋体" w:asciiTheme="minorEastAsia" w:hAnsiTheme="minorEastAsia"/>
                <w:color w:val="333333"/>
                <w:sz w:val="24"/>
                <w:szCs w:val="24"/>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24</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代理服务费</w:t>
            </w:r>
          </w:p>
        </w:tc>
        <w:tc>
          <w:tcPr>
            <w:tcW w:w="6813" w:type="dxa"/>
            <w:vAlign w:val="center"/>
          </w:tcPr>
          <w:p>
            <w:pPr>
              <w:autoSpaceDE w:val="0"/>
              <w:autoSpaceDN w:val="0"/>
              <w:spacing w:line="360" w:lineRule="auto"/>
              <w:contextualSpacing/>
              <w:rPr>
                <w:rFonts w:cs="宋体" w:asciiTheme="minorEastAsia" w:hAnsiTheme="minorEastAsia"/>
                <w:bCs/>
                <w:sz w:val="24"/>
                <w:szCs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25</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中标人需提交</w:t>
            </w:r>
          </w:p>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的资料</w:t>
            </w:r>
          </w:p>
        </w:tc>
        <w:tc>
          <w:tcPr>
            <w:tcW w:w="6813" w:type="dxa"/>
            <w:vAlign w:val="center"/>
          </w:tcPr>
          <w:p>
            <w:pPr>
              <w:autoSpaceDE w:val="0"/>
              <w:autoSpaceDN w:val="0"/>
              <w:adjustRightInd w:val="0"/>
              <w:spacing w:line="360" w:lineRule="auto"/>
              <w:rPr>
                <w:rFonts w:cs="宋体" w:asciiTheme="minorEastAsia" w:hAnsiTheme="minorEastAsia"/>
                <w:bCs/>
                <w:sz w:val="24"/>
                <w:szCs w:val="24"/>
                <w:lang w:val="zh-CN"/>
              </w:rPr>
            </w:pP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中标人在接到中标通知时，须向代理机构发送投标报价及分项报价一览表（包含主要中标标的的名称、规格型号、数量、单价、服务要求等）电子文档，并同时通知交易见证部，联系电话：</w:t>
            </w:r>
            <w:r>
              <w:rPr>
                <w:rFonts w:hint="eastAsia" w:cs="宋体" w:asciiTheme="minorEastAsia" w:hAnsiTheme="minorEastAsia"/>
                <w:bCs/>
                <w:color w:val="FF0000"/>
                <w:sz w:val="24"/>
                <w:szCs w:val="24"/>
                <w:lang w:val="zh-CN"/>
              </w:rPr>
              <w:t>0374-</w:t>
            </w:r>
            <w:r>
              <w:rPr>
                <w:rFonts w:hint="eastAsia" w:cs="宋体" w:asciiTheme="minorEastAsia" w:hAnsiTheme="minorEastAsia"/>
                <w:bCs/>
                <w:color w:val="FF0000"/>
                <w:sz w:val="24"/>
                <w:szCs w:val="24"/>
              </w:rPr>
              <w:t>2077772</w:t>
            </w:r>
            <w:r>
              <w:rPr>
                <w:rFonts w:hint="eastAsia" w:cs="宋体" w:asciiTheme="minorEastAsia" w:hAnsiTheme="minorEastAsia"/>
                <w:bCs/>
                <w:color w:val="FF0000"/>
                <w:sz w:val="24"/>
                <w:szCs w:val="24"/>
                <w:lang w:val="zh-CN"/>
              </w:rPr>
              <w:t>，邮箱：</w:t>
            </w:r>
            <w:r>
              <w:rPr>
                <w:rFonts w:hint="eastAsia" w:cs="宋体" w:asciiTheme="minorEastAsia" w:hAnsiTheme="minorEastAsia"/>
                <w:bCs/>
                <w:color w:val="FF0000"/>
                <w:sz w:val="24"/>
                <w:szCs w:val="24"/>
              </w:rPr>
              <w:t>YCGGZY2076770</w:t>
            </w:r>
            <w:r>
              <w:rPr>
                <w:rFonts w:hint="eastAsia" w:cs="宋体" w:asciiTheme="minorEastAsia" w:hAnsiTheme="minorEastAsia"/>
                <w:bCs/>
                <w:color w:val="FF0000"/>
                <w:sz w:val="24"/>
                <w:szCs w:val="24"/>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 w:val="24"/>
                <w:szCs w:val="24"/>
              </w:rPr>
            </w:pPr>
            <w:r>
              <w:rPr>
                <w:rFonts w:hint="eastAsia" w:cs="黑体" w:asciiTheme="minorEastAsia" w:hAnsiTheme="minorEastAsia"/>
                <w:sz w:val="24"/>
                <w:szCs w:val="24"/>
              </w:rPr>
              <w:t>26</w:t>
            </w:r>
          </w:p>
        </w:tc>
        <w:tc>
          <w:tcPr>
            <w:tcW w:w="2268" w:type="dxa"/>
            <w:vAlign w:val="center"/>
          </w:tcPr>
          <w:p>
            <w:pPr>
              <w:autoSpaceDE w:val="0"/>
              <w:autoSpaceDN w:val="0"/>
              <w:adjustRightInd w:val="0"/>
              <w:spacing w:line="360" w:lineRule="auto"/>
              <w:jc w:val="center"/>
              <w:rPr>
                <w:rFonts w:cs="宋体" w:asciiTheme="minorEastAsia" w:hAnsiTheme="minorEastAsia"/>
                <w:bCs/>
                <w:sz w:val="24"/>
                <w:szCs w:val="24"/>
                <w:lang w:val="zh-CN"/>
              </w:rPr>
            </w:pPr>
            <w:r>
              <w:rPr>
                <w:rFonts w:hint="eastAsia" w:cs="宋体" w:asciiTheme="minorEastAsia" w:hAnsiTheme="minorEastAsia"/>
                <w:bCs/>
                <w:sz w:val="24"/>
                <w:szCs w:val="24"/>
                <w:lang w:val="zh-CN"/>
              </w:rPr>
              <w:t>电子化采购模式</w:t>
            </w:r>
          </w:p>
        </w:tc>
        <w:tc>
          <w:tcPr>
            <w:tcW w:w="6813" w:type="dxa"/>
            <w:vAlign w:val="center"/>
          </w:tcPr>
          <w:p>
            <w:pPr>
              <w:autoSpaceDE w:val="0"/>
              <w:autoSpaceDN w:val="0"/>
              <w:adjustRightInd w:val="0"/>
              <w:spacing w:line="360" w:lineRule="auto"/>
              <w:contextualSpacing/>
              <w:rPr>
                <w:rFonts w:hAnsi="宋体" w:cs="宋体"/>
                <w:sz w:val="24"/>
                <w:lang w:val="zh-CN"/>
              </w:rPr>
            </w:pPr>
            <w:r>
              <w:rPr>
                <w:rFonts w:cs="宋体" w:asciiTheme="minorEastAsia" w:hAnsiTheme="minorEastAsia"/>
                <w:b/>
                <w:color w:val="000000"/>
                <w:kern w:val="0"/>
                <w:sz w:val="24"/>
                <w:szCs w:val="24"/>
                <w:lang w:val="zh-CN"/>
              </w:rPr>
              <w:fldChar w:fldCharType="begin"/>
            </w:r>
            <w:r>
              <w:rPr>
                <w:rFonts w:cs="宋体" w:asciiTheme="minorEastAsia" w:hAnsiTheme="minorEastAsia"/>
                <w:b/>
                <w:color w:val="000000"/>
                <w:kern w:val="0"/>
                <w:sz w:val="24"/>
                <w:szCs w:val="24"/>
                <w:lang w:val="zh-CN"/>
              </w:rPr>
              <w:instrText xml:space="preserve"> </w:instrText>
            </w:r>
            <w:r>
              <w:rPr>
                <w:rFonts w:hint="eastAsia" w:cs="宋体" w:asciiTheme="minorEastAsia" w:hAnsiTheme="minorEastAsia"/>
                <w:b/>
                <w:color w:val="000000"/>
                <w:kern w:val="0"/>
                <w:sz w:val="24"/>
                <w:szCs w:val="24"/>
                <w:lang w:val="zh-CN"/>
              </w:rPr>
              <w:instrText xml:space="preserve">eq \o\ac(□,</w:instrText>
            </w:r>
            <w:r>
              <w:rPr>
                <w:rFonts w:hint="eastAsia" w:cs="宋体" w:asciiTheme="minorEastAsia" w:hAnsiTheme="minorEastAsia"/>
                <w:b/>
                <w:color w:val="000000"/>
                <w:kern w:val="0"/>
                <w:position w:val="2"/>
                <w:sz w:val="24"/>
                <w:szCs w:val="24"/>
                <w:lang w:val="zh-CN"/>
              </w:rPr>
              <w:instrText xml:space="preserve">√</w:instrText>
            </w:r>
            <w:r>
              <w:rPr>
                <w:rFonts w:hint="eastAsia" w:cs="宋体" w:asciiTheme="minorEastAsia" w:hAnsiTheme="minorEastAsia"/>
                <w:b/>
                <w:color w:val="000000"/>
                <w:kern w:val="0"/>
                <w:sz w:val="24"/>
                <w:szCs w:val="24"/>
                <w:lang w:val="zh-CN"/>
              </w:rPr>
              <w:instrText xml:space="preserve">)</w:instrText>
            </w:r>
            <w:r>
              <w:rPr>
                <w:rFonts w:cs="宋体" w:asciiTheme="minorEastAsia" w:hAnsiTheme="minorEastAsia"/>
                <w:b/>
                <w:color w:val="000000"/>
                <w:kern w:val="0"/>
                <w:sz w:val="24"/>
                <w:szCs w:val="24"/>
                <w:lang w:val="zh-CN"/>
              </w:rPr>
              <w:fldChar w:fldCharType="end"/>
            </w:r>
            <w:r>
              <w:rPr>
                <w:rFonts w:hint="eastAsia" w:cs="宋体" w:asciiTheme="minorEastAsia" w:hAnsiTheme="minorEastAsia"/>
                <w:bCs/>
                <w:sz w:val="24"/>
                <w:szCs w:val="24"/>
                <w:lang w:val="zh-CN"/>
              </w:rPr>
              <w:t>是。</w:t>
            </w:r>
            <w:r>
              <w:rPr>
                <w:rFonts w:hint="eastAsia" w:hAnsi="宋体" w:cs="宋体"/>
                <w:sz w:val="24"/>
                <w:lang w:val="zh-CN"/>
              </w:rPr>
              <w:t>投标人投标时须提供加密电子投标文件、备份文件（使用电子介质存储）、纸质投标文件。投标人资质、业绩、荣誉及相关人员证明材料等资料原件开标现场不再提供。</w:t>
            </w:r>
          </w:p>
          <w:p>
            <w:pPr>
              <w:autoSpaceDE w:val="0"/>
              <w:autoSpaceDN w:val="0"/>
              <w:adjustRightInd w:val="0"/>
              <w:spacing w:line="360" w:lineRule="auto"/>
              <w:contextualSpacing/>
              <w:rPr>
                <w:rFonts w:cs="宋体" w:asciiTheme="minorEastAsia" w:hAnsiTheme="minorEastAsia"/>
                <w:bCs/>
                <w:sz w:val="24"/>
                <w:szCs w:val="24"/>
                <w:lang w:val="zh-CN"/>
              </w:rPr>
            </w:pPr>
            <w:r>
              <w:rPr>
                <w:rFonts w:hint="eastAsia" w:hAnsi="宋体" w:cs="宋体"/>
                <w:sz w:val="24"/>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360" w:lineRule="auto"/>
              <w:contextualSpacing/>
              <w:rPr>
                <w:rFonts w:hint="default" w:hAnsi="宋体" w:cs="宋体"/>
                <w:sz w:val="24"/>
                <w:lang w:val="en-US" w:eastAsia="zh-CN"/>
              </w:rPr>
            </w:pPr>
            <w:r>
              <w:rPr>
                <w:rFonts w:hint="eastAsia" w:hAnsi="宋体" w:cs="宋体"/>
                <w:sz w:val="24"/>
                <w:lang w:val="zh-CN"/>
              </w:rPr>
              <w:t>27</w:t>
            </w:r>
          </w:p>
        </w:tc>
        <w:tc>
          <w:tcPr>
            <w:tcW w:w="2268"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特别提示</w:t>
            </w:r>
          </w:p>
        </w:tc>
        <w:tc>
          <w:tcPr>
            <w:tcW w:w="6813" w:type="dxa"/>
            <w:vAlign w:val="center"/>
          </w:tcPr>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按照《关于推进全流程电子化交易和在线监管工作有关问题的通知》（许公管办[2019]3号）规定：</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不同供应商电子投标文件制作硬件特征码（网卡MAC地址、CPU序号、硬盘序列号等）雷同时，视为‘不同投标人的投标文件由同一单位或者个人编制’或‘不同投标人委托同一单位或者个人办理响应事宜’，其投标无效。</w:t>
            </w:r>
          </w:p>
          <w:p>
            <w:pPr>
              <w:autoSpaceDE w:val="0"/>
              <w:autoSpaceDN w:val="0"/>
              <w:adjustRightInd w:val="0"/>
              <w:spacing w:line="360" w:lineRule="auto"/>
              <w:contextualSpacing/>
              <w:rPr>
                <w:rFonts w:hint="eastAsia" w:hAnsi="宋体" w:cs="宋体"/>
                <w:sz w:val="24"/>
                <w:lang w:val="zh-CN"/>
              </w:rPr>
            </w:pPr>
            <w:r>
              <w:rPr>
                <w:rFonts w:hint="eastAsia" w:hAnsi="宋体" w:cs="宋体"/>
                <w:sz w:val="24"/>
                <w:lang w:val="zh-CN"/>
              </w:rPr>
              <w:t>评审专家应严格按照要求查看“硬件特征码” 相关信息并进行评审，在评审报告中显示“不同投标人电子投标文件制作硬件特征码”是否雷同的分析及判定结果。</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r>
        <w:rPr>
          <w:rFonts w:hint="eastAsia" w:cs="宋体" w:asciiTheme="majorEastAsia" w:hAnsiTheme="majorEastAsia" w:eastAsiaTheme="majorEastAsia"/>
          <w:b/>
          <w:kern w:val="0"/>
          <w:sz w:val="36"/>
          <w:szCs w:val="36"/>
        </w:rPr>
        <w:t xml:space="preserve">             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numPr>
          <w:ilvl w:val="0"/>
          <w:numId w:val="8"/>
        </w:numPr>
        <w:tabs>
          <w:tab w:val="left" w:pos="1260"/>
        </w:tabs>
        <w:autoSpaceDE w:val="0"/>
        <w:autoSpaceDN w:val="0"/>
        <w:adjustRightInd w:val="0"/>
        <w:spacing w:line="360" w:lineRule="auto"/>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概念释义</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pStyle w:val="59"/>
        <w:numPr>
          <w:ilvl w:val="0"/>
          <w:numId w:val="9"/>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适用范围</w:t>
      </w:r>
    </w:p>
    <w:p>
      <w:pPr>
        <w:pStyle w:val="59"/>
        <w:numPr>
          <w:ilvl w:val="0"/>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本招标文件仅适用于本次“投标邀请”中所述采购项目。</w:t>
      </w:r>
    </w:p>
    <w:p>
      <w:pPr>
        <w:pStyle w:val="59"/>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本招标文件解释权属于“投标邀请”所述的采购人。</w:t>
      </w:r>
    </w:p>
    <w:p>
      <w:pPr>
        <w:pStyle w:val="59"/>
        <w:autoSpaceDE w:val="0"/>
        <w:autoSpaceDN w:val="0"/>
        <w:spacing w:line="360" w:lineRule="auto"/>
        <w:ind w:left="780" w:firstLine="0" w:firstLineChars="0"/>
        <w:contextualSpacing/>
        <w:rPr>
          <w:rFonts w:cs="宋体" w:asciiTheme="minorEastAsia" w:hAnsiTheme="minorEastAsia"/>
          <w:kern w:val="0"/>
          <w:sz w:val="24"/>
          <w:szCs w:val="24"/>
        </w:rPr>
      </w:pPr>
    </w:p>
    <w:p>
      <w:pPr>
        <w:pStyle w:val="59"/>
        <w:numPr>
          <w:ilvl w:val="0"/>
          <w:numId w:val="9"/>
        </w:numPr>
        <w:autoSpaceDE w:val="0"/>
        <w:autoSpaceDN w:val="0"/>
        <w:spacing w:line="360" w:lineRule="auto"/>
        <w:ind w:firstLineChars="0"/>
        <w:contextualSpacing/>
        <w:rPr>
          <w:rFonts w:cs="宋体" w:asciiTheme="minorEastAsia" w:hAnsiTheme="minorEastAsia"/>
          <w:b/>
          <w:kern w:val="0"/>
          <w:sz w:val="24"/>
          <w:szCs w:val="24"/>
        </w:rPr>
      </w:pPr>
      <w:r>
        <w:rPr>
          <w:rFonts w:hint="eastAsia" w:cs="宋体" w:asciiTheme="minorEastAsia" w:hAnsiTheme="minorEastAsia"/>
          <w:b/>
          <w:kern w:val="0"/>
          <w:sz w:val="24"/>
          <w:szCs w:val="24"/>
        </w:rPr>
        <w:t>定义</w:t>
      </w:r>
    </w:p>
    <w:p>
      <w:pPr>
        <w:pStyle w:val="59"/>
        <w:numPr>
          <w:ilvl w:val="0"/>
          <w:numId w:val="10"/>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“采购项目”：“投标人须知前附表”中所述的采购项目。</w:t>
      </w:r>
    </w:p>
    <w:p>
      <w:pPr>
        <w:pStyle w:val="59"/>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“招标人”：“投标人须知前附表”中所述的组织本次招标的代理机构和采购人。</w:t>
      </w:r>
    </w:p>
    <w:p>
      <w:pPr>
        <w:pStyle w:val="59"/>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“采购人”：是指依法进行政府采购的国家机关、事业单位、团体组织。采购人名称、     地址、电话、联系人见“投标人须知前附表”。</w:t>
      </w:r>
    </w:p>
    <w:p>
      <w:pPr>
        <w:pStyle w:val="59"/>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“代理机构”：接受采购人委托，代理采购项目的采购代理机构。代理机构名称、地址、 电话、联系人见“投标人须知前附表”。</w:t>
      </w:r>
    </w:p>
    <w:p>
      <w:pPr>
        <w:autoSpaceDE w:val="0"/>
        <w:autoSpaceDN w:val="0"/>
        <w:spacing w:line="360" w:lineRule="auto"/>
        <w:ind w:left="964"/>
        <w:contextualSpacing/>
        <w:rPr>
          <w:rFonts w:cs="宋体" w:asciiTheme="minorEastAsia" w:hAnsiTheme="minorEastAsia"/>
          <w:kern w:val="0"/>
          <w:sz w:val="24"/>
          <w:szCs w:val="24"/>
        </w:rPr>
      </w:pPr>
      <w:r>
        <w:rPr>
          <w:rFonts w:hint="eastAsia" w:cs="宋体" w:asciiTheme="minorEastAsia" w:hAnsiTheme="minorEastAsia"/>
          <w:kern w:val="0"/>
          <w:sz w:val="24"/>
          <w:szCs w:val="24"/>
        </w:rPr>
        <w:t>采购代理机构及其分支机构不得在所代理的采购项目中投标或者代理投标，不得为所代理的采购项目的投标人参加本项目提供投标咨询。</w:t>
      </w:r>
    </w:p>
    <w:p>
      <w:pPr>
        <w:pStyle w:val="59"/>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“潜在投标人”指符合《中华人民共和国政府采购法》及相关法律法规和本招标文件的各项规定，且按照本项目招标公告及招标文件规定的方式获取招标文件的法人、其他组 织或者自然人。</w:t>
      </w:r>
    </w:p>
    <w:p>
      <w:pPr>
        <w:pStyle w:val="59"/>
        <w:numPr>
          <w:ilvl w:val="1"/>
          <w:numId w:val="9"/>
        </w:numPr>
        <w:autoSpaceDE w:val="0"/>
        <w:autoSpaceDN w:val="0"/>
        <w:spacing w:line="360" w:lineRule="auto"/>
        <w:ind w:firstLineChars="0"/>
        <w:contextualSpacing/>
        <w:rPr>
          <w:rFonts w:cs="宋体" w:asciiTheme="minorEastAsia" w:hAnsiTheme="minorEastAsia"/>
          <w:kern w:val="0"/>
          <w:sz w:val="24"/>
          <w:szCs w:val="24"/>
        </w:rPr>
      </w:pPr>
      <w:r>
        <w:rPr>
          <w:rFonts w:hint="eastAsia" w:cs="宋体" w:asciiTheme="minorEastAsia" w:hAnsiTheme="minorEastAsia"/>
          <w:kern w:val="0"/>
          <w:sz w:val="24"/>
          <w:szCs w:val="24"/>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59"/>
        <w:numPr>
          <w:ilvl w:val="1"/>
          <w:numId w:val="9"/>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kern w:val="0"/>
          <w:sz w:val="24"/>
          <w:szCs w:val="24"/>
        </w:rPr>
        <w:t>“进口产品”：是指通过中国海关报关验放进入中国境内且产自关境外的产品，包括已经进入中国境内的进口产品。详见《</w:t>
      </w:r>
      <w:r>
        <w:rPr>
          <w:rFonts w:cs="宋体" w:asciiTheme="minorEastAsia" w:hAnsiTheme="minorEastAsia"/>
          <w:kern w:val="0"/>
          <w:sz w:val="24"/>
          <w:szCs w:val="24"/>
        </w:rPr>
        <w:t>关于政府采购进口产品管理有关问题的通知</w:t>
      </w:r>
      <w:r>
        <w:rPr>
          <w:rFonts w:hint="eastAsia" w:cs="宋体" w:asciiTheme="minorEastAsia" w:hAnsiTheme="minorEastAsia"/>
          <w:kern w:val="0"/>
          <w:sz w:val="24"/>
          <w:szCs w:val="24"/>
        </w:rPr>
        <w:t>》(财库[2007]119号)、《关于政府采购进口产品管理有关问题的通知》（财办库［</w:t>
      </w:r>
      <w:r>
        <w:rPr>
          <w:rFonts w:cs="宋体" w:asciiTheme="minorEastAsia" w:hAnsiTheme="minorEastAsia"/>
          <w:kern w:val="0"/>
          <w:sz w:val="24"/>
          <w:szCs w:val="24"/>
        </w:rPr>
        <w:t>2008</w:t>
      </w:r>
      <w:r>
        <w:rPr>
          <w:rFonts w:hint="eastAsia" w:cs="宋体" w:asciiTheme="minorEastAsia" w:hAnsiTheme="minorEastAsia"/>
          <w:kern w:val="0"/>
          <w:sz w:val="24"/>
          <w:szCs w:val="24"/>
        </w:rPr>
        <w:t>］</w:t>
      </w:r>
      <w:r>
        <w:rPr>
          <w:rFonts w:cs="宋体" w:asciiTheme="minorEastAsia" w:hAnsiTheme="minorEastAsia"/>
          <w:kern w:val="0"/>
          <w:sz w:val="24"/>
          <w:szCs w:val="24"/>
        </w:rPr>
        <w:t xml:space="preserve">248 </w:t>
      </w:r>
      <w:r>
        <w:rPr>
          <w:rFonts w:hint="eastAsia" w:cs="宋体" w:asciiTheme="minorEastAsia" w:hAnsiTheme="minorEastAsia" w:eastAsiaTheme="minorEastAsia"/>
          <w:kern w:val="0"/>
          <w:sz w:val="24"/>
          <w:szCs w:val="24"/>
          <w:lang w:val="en-US" w:eastAsia="zh-CN" w:bidi="ar-SA"/>
        </w:rPr>
        <w:t>号）。</w:t>
      </w:r>
    </w:p>
    <w:p>
      <w:pPr>
        <w:autoSpaceDE w:val="0"/>
        <w:autoSpaceDN w:val="0"/>
        <w:spacing w:line="360" w:lineRule="auto"/>
        <w:ind w:left="840" w:leftChars="4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2.7.1  招标文件列明不允许或未列明允许进口产品参加投标的，均视为拒绝进口产品参加投标。</w:t>
      </w:r>
    </w:p>
    <w:p>
      <w:pPr>
        <w:autoSpaceDE w:val="0"/>
        <w:autoSpaceDN w:val="0"/>
        <w:spacing w:line="360" w:lineRule="auto"/>
        <w:ind w:left="943" w:leftChars="449"/>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2.7.2  如招标文件中已说明，经财政部门审核同意，允许部分或全部产品采购进口产品，投标人既可提供本国产品，也可以提供进口产品。</w:t>
      </w:r>
    </w:p>
    <w:p>
      <w:pPr>
        <w:pStyle w:val="59"/>
        <w:numPr>
          <w:ilvl w:val="1"/>
          <w:numId w:val="9"/>
        </w:numPr>
        <w:autoSpaceDE w:val="0"/>
        <w:autoSpaceDN w:val="0"/>
        <w:spacing w:line="360" w:lineRule="auto"/>
        <w:ind w:firstLineChars="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招标文件中凡标有“★”的条款均系实质性要求条款。</w:t>
      </w:r>
    </w:p>
    <w:p>
      <w:pPr>
        <w:autoSpaceDE w:val="0"/>
        <w:autoSpaceDN w:val="0"/>
        <w:spacing w:line="360" w:lineRule="auto"/>
        <w:contextualSpacing/>
        <w:rPr>
          <w:rFonts w:hint="eastAsia" w:cs="宋体" w:asciiTheme="minorEastAsia" w:hAnsiTheme="minorEastAsia"/>
          <w:b/>
          <w:kern w:val="0"/>
          <w:sz w:val="24"/>
          <w:szCs w:val="24"/>
        </w:rPr>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3.合格的投标人</w:t>
      </w:r>
    </w:p>
    <w:p>
      <w:pPr>
        <w:pStyle w:val="47"/>
        <w:numPr>
          <w:ilvl w:val="0"/>
          <w:numId w:val="0"/>
        </w:numPr>
        <w:tabs>
          <w:tab w:val="left" w:pos="0"/>
        </w:tabs>
        <w:adjustRightInd/>
        <w:spacing w:line="360" w:lineRule="auto"/>
        <w:contextualSpacing/>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3.1在中华人民共和国境内注册，具有本项目生产、制造、供应或实施能力，符合、承认并承诺履行本招标文件各项规定的法人、其他组织或者自然人。</w:t>
      </w:r>
    </w:p>
    <w:p>
      <w:pPr>
        <w:spacing w:line="360" w:lineRule="auto"/>
        <w:contextualSpacing/>
        <w:rPr>
          <w:rFonts w:hint="eastAsia"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2</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符合本项目“投标邀请”和“投标人须知前附表”中规定的合格投标人所必须具备的条件。</w:t>
      </w:r>
    </w:p>
    <w:p>
      <w:pPr>
        <w:pStyle w:val="29"/>
        <w:rPr>
          <w:rFonts w:hint="eastAsia"/>
          <w:sz w:val="24"/>
          <w:szCs w:val="24"/>
        </w:rPr>
      </w:pPr>
      <w:r>
        <w:rPr>
          <w:rFonts w:hint="eastAsia"/>
          <w:sz w:val="24"/>
          <w:szCs w:val="24"/>
        </w:rPr>
        <w:t>3.3政府采购活动中查询及使用投标人信用记录的具体要求为：投标人未被列入失信被执行人、重大税收违法案件当事人名单、政府采购严重违法失信名单、政府采购严重违法失信行为记录名单、严重违法失信企业名单（黑名单）、严重违法失信社会组织名单（联合体形式投标的，联合体成员存在不良信用记录，视同联合体存在不良信用记录）。</w:t>
      </w:r>
    </w:p>
    <w:p>
      <w:pPr>
        <w:pStyle w:val="29"/>
        <w:rPr>
          <w:rFonts w:hint="eastAsia"/>
          <w:sz w:val="24"/>
          <w:szCs w:val="24"/>
        </w:rPr>
      </w:pPr>
      <w:r>
        <w:rPr>
          <w:rFonts w:hint="eastAsia"/>
          <w:sz w:val="24"/>
          <w:szCs w:val="24"/>
        </w:rPr>
        <w:t>（1）查询渠道：“信用中国”网站（www.creditchina.gov.cn）、“中国政府采购网”（www.ccgp.gov.cn）、“国家企业信用公示系统”网站（www.gsxt.gov.cn）、“中国社会组织公共服务平台”网站（www.chinanpo.gov.cn）；</w:t>
      </w:r>
    </w:p>
    <w:p>
      <w:pPr>
        <w:pStyle w:val="29"/>
        <w:rPr>
          <w:rFonts w:hint="eastAsia"/>
          <w:sz w:val="24"/>
          <w:szCs w:val="24"/>
        </w:rPr>
      </w:pPr>
      <w:r>
        <w:rPr>
          <w:rFonts w:hint="eastAsia"/>
          <w:sz w:val="24"/>
          <w:szCs w:val="24"/>
        </w:rPr>
        <w:t>（2）截止时间：同投标截止时间；</w:t>
      </w:r>
    </w:p>
    <w:p>
      <w:pPr>
        <w:pStyle w:val="29"/>
        <w:rPr>
          <w:rFonts w:hint="eastAsia"/>
          <w:sz w:val="24"/>
          <w:szCs w:val="24"/>
        </w:rPr>
      </w:pPr>
      <w:r>
        <w:rPr>
          <w:rFonts w:hint="eastAsia"/>
          <w:sz w:val="24"/>
          <w:szCs w:val="24"/>
        </w:rPr>
        <w:t>（3）信用信息查询记录和证据留存具体方式：经采购人确认的查询结果网页截图作为查询记录和证据，与其他采购文件一并保存；</w:t>
      </w:r>
    </w:p>
    <w:p>
      <w:pPr>
        <w:pStyle w:val="29"/>
        <w:rPr>
          <w:rFonts w:hint="eastAsia"/>
          <w:sz w:val="24"/>
          <w:szCs w:val="24"/>
        </w:rPr>
      </w:pPr>
      <w:r>
        <w:rPr>
          <w:rFonts w:hint="eastAsia"/>
          <w:sz w:val="24"/>
          <w:szCs w:val="24"/>
        </w:rPr>
        <w:t>（4）信用信息的使用原则：经采购人认定的被列入失信被执行人、重大税收违法案件当事人名单、政府采购严重违法失信名单、政府采购严重违法失信行为记录名单、严重违法失信企业名单（黑名单）、严重违法失信社会组织名单的投标人，将拒绝其参与本次政府采购活动。</w:t>
      </w:r>
    </w:p>
    <w:p>
      <w:pPr>
        <w:pStyle w:val="29"/>
        <w:rPr>
          <w:sz w:val="24"/>
          <w:szCs w:val="24"/>
        </w:rPr>
      </w:pPr>
      <w:r>
        <w:rPr>
          <w:rFonts w:hint="eastAsia"/>
          <w:sz w:val="24"/>
          <w:szCs w:val="24"/>
        </w:rPr>
        <w:t>（5）投标人不良信用记录以采购人查询结果为准，采购人查询之后，网站信息发生的任何变更不再作为评审依据，投标人自行提供的与网站信息不一致的其他证明材料亦不作为评审依据。</w:t>
      </w:r>
    </w:p>
    <w:p>
      <w:pPr>
        <w:autoSpaceDE w:val="0"/>
        <w:autoSpaceDN w:val="0"/>
        <w:spacing w:line="360" w:lineRule="auto"/>
        <w:ind w:firstLine="120" w:firstLineChars="50"/>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4</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单位负责人为同一人或者存在直接控股、管理关系的不同供应商，不得参加同一合同项下的政府采购活动；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5</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除单一来源采购项目外，为采购项目提供整体设计、规范编制或者项目管理、监理、检测等服务的供应商，不得再参加该采购项目的其他采购活动。</w:t>
      </w:r>
    </w:p>
    <w:p>
      <w:pPr>
        <w:autoSpaceDE w:val="0"/>
        <w:autoSpaceDN w:val="0"/>
        <w:spacing w:line="360" w:lineRule="auto"/>
        <w:contextualSpacing/>
        <w:rPr>
          <w:rFonts w:cs="宋体" w:asciiTheme="minorEastAsia" w:hAnsiTheme="minorEastAsia"/>
          <w:kern w:val="0"/>
          <w:sz w:val="24"/>
          <w:szCs w:val="24"/>
        </w:rPr>
      </w:pPr>
      <w:r>
        <w:rPr>
          <w:rFonts w:cs="宋体" w:asciiTheme="minorEastAsia" w:hAnsiTheme="minorEastAsia"/>
          <w:kern w:val="0"/>
          <w:sz w:val="24"/>
          <w:szCs w:val="24"/>
        </w:rPr>
        <w:t>3.</w:t>
      </w:r>
      <w:r>
        <w:rPr>
          <w:rFonts w:hint="eastAsia" w:cs="宋体" w:asciiTheme="minorEastAsia" w:hAnsiTheme="minorEastAsia"/>
          <w:kern w:val="0"/>
          <w:sz w:val="24"/>
          <w:szCs w:val="24"/>
        </w:rPr>
        <w:t>6</w:t>
      </w:r>
      <w:r>
        <w:rPr>
          <w:rFonts w:cs="宋体" w:asciiTheme="minorEastAsia" w:hAnsiTheme="minorEastAsia"/>
          <w:kern w:val="0"/>
          <w:sz w:val="24"/>
          <w:szCs w:val="24"/>
        </w:rPr>
        <w:t xml:space="preserve"> </w:t>
      </w:r>
      <w:r>
        <w:rPr>
          <w:rFonts w:hint="eastAsia" w:cs="宋体" w:asciiTheme="minorEastAsia" w:hAnsiTheme="minorEastAsia"/>
          <w:kern w:val="0"/>
          <w:sz w:val="24"/>
          <w:szCs w:val="24"/>
        </w:rPr>
        <w:t>“投标邀请”和“投标人须知前附表”规定接受联合体投标的，除应符合本章第</w:t>
      </w:r>
      <w:r>
        <w:rPr>
          <w:rFonts w:cs="宋体" w:asciiTheme="minorEastAsia" w:hAnsiTheme="minorEastAsia"/>
          <w:kern w:val="0"/>
          <w:sz w:val="24"/>
          <w:szCs w:val="24"/>
        </w:rPr>
        <w:t>3.1</w:t>
      </w:r>
      <w:r>
        <w:rPr>
          <w:rFonts w:hint="eastAsia" w:cs="宋体" w:asciiTheme="minorEastAsia" w:hAnsiTheme="minorEastAsia"/>
          <w:kern w:val="0"/>
          <w:sz w:val="24"/>
          <w:szCs w:val="24"/>
        </w:rPr>
        <w:t>项和3.2项要求外，还应遵守以下规定：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（1）在投标文件中向采购人提交联合体协议书，明确联合体各方承担的工作和义务；</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（2）联合体中有同类资质的供应商按联合体分工承担相同工作的，应当按照资质等级较低的供应商确定资质等级；</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（3）招标人根据采购项目的特殊要求规定投标人特定条件的，联合体各方中至少应当有一方符合采购规定的特定条件。</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（4）联合体各方不得再单独参加或者与其他供应商另外组成联合体参加同一合同项下的政府采购活动。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w:t>
      </w:r>
      <w:r>
        <w:rPr>
          <w:rFonts w:cs="宋体" w:asciiTheme="minorEastAsia" w:hAnsiTheme="minorEastAsia"/>
          <w:kern w:val="0"/>
          <w:sz w:val="24"/>
          <w:szCs w:val="24"/>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 w:val="24"/>
          <w:szCs w:val="24"/>
        </w:rPr>
        <w:t>承担连带责任</w:t>
      </w:r>
      <w:r>
        <w:rPr>
          <w:rFonts w:cs="宋体" w:asciiTheme="minorEastAsia" w:hAnsiTheme="minorEastAsia"/>
          <w:kern w:val="0"/>
          <w:sz w:val="24"/>
          <w:szCs w:val="24"/>
        </w:rPr>
        <w:fldChar w:fldCharType="end"/>
      </w:r>
      <w:r>
        <w:rPr>
          <w:rFonts w:cs="宋体" w:asciiTheme="minorEastAsia" w:hAnsiTheme="minorEastAsia"/>
          <w:kern w:val="0"/>
          <w:sz w:val="24"/>
          <w:szCs w:val="24"/>
        </w:rPr>
        <w:t>。</w:t>
      </w:r>
    </w:p>
    <w:p>
      <w:pPr>
        <w:autoSpaceDE w:val="0"/>
        <w:autoSpaceDN w:val="0"/>
        <w:spacing w:line="360" w:lineRule="auto"/>
        <w:contextualSpacing/>
        <w:rPr>
          <w:rFonts w:hint="eastAsia" w:cs="宋体" w:asciiTheme="minorEastAsia" w:hAnsiTheme="minorEastAsia"/>
          <w:kern w:val="0"/>
          <w:sz w:val="24"/>
          <w:szCs w:val="24"/>
        </w:rPr>
      </w:pPr>
      <w:r>
        <w:rPr>
          <w:rFonts w:hint="eastAsia" w:cs="宋体" w:asciiTheme="minorEastAsia" w:hAnsiTheme="minorEastAsia"/>
          <w:kern w:val="0"/>
          <w:sz w:val="24"/>
          <w:szCs w:val="24"/>
        </w:rPr>
        <w:t>3.7 法律、行政法规规定的其他条件。</w:t>
      </w:r>
    </w:p>
    <w:p>
      <w:pPr>
        <w:pStyle w:val="59"/>
        <w:numPr>
          <w:ilvl w:val="0"/>
          <w:numId w:val="0"/>
        </w:numPr>
        <w:autoSpaceDE w:val="0"/>
        <w:autoSpaceDN w:val="0"/>
        <w:spacing w:line="360" w:lineRule="auto"/>
        <w:ind w:leftChars="0" w:firstLine="211" w:firstLineChars="100"/>
        <w:contextualSpacing/>
        <w:rPr>
          <w:rFonts w:cs="宋体" w:asciiTheme="minorEastAsia" w:hAnsiTheme="minorEastAsia"/>
          <w:b/>
          <w:kern w:val="0"/>
          <w:szCs w:val="21"/>
        </w:rPr>
      </w:pPr>
      <w:r>
        <w:rPr>
          <w:rFonts w:hint="eastAsia" w:cs="宋体" w:asciiTheme="minorEastAsia" w:hAnsiTheme="minorEastAsia"/>
          <w:b/>
          <w:kern w:val="0"/>
          <w:szCs w:val="21"/>
          <w:lang w:val="en-US" w:eastAsia="zh-CN"/>
        </w:rPr>
        <w:t>4.</w:t>
      </w:r>
      <w:r>
        <w:rPr>
          <w:rFonts w:hint="eastAsia" w:cs="宋体" w:asciiTheme="minorEastAsia" w:hAnsiTheme="minorEastAsia"/>
          <w:b/>
          <w:kern w:val="0"/>
          <w:szCs w:val="21"/>
        </w:rPr>
        <w:t>合格的货物和服务</w:t>
      </w:r>
    </w:p>
    <w:p>
      <w:pPr>
        <w:pStyle w:val="59"/>
        <w:numPr>
          <w:ilvl w:val="0"/>
          <w:numId w:val="0"/>
        </w:numPr>
        <w:autoSpaceDE w:val="0"/>
        <w:autoSpaceDN w:val="0"/>
        <w:spacing w:line="360" w:lineRule="auto"/>
        <w:ind w:firstLine="480" w:firstLineChars="2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4.1 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59"/>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4.2 投标人所提供的服务应当没有侵犯任何第三方的知识产权、技术秘密等合法权利。</w:t>
      </w:r>
    </w:p>
    <w:p>
      <w:pPr>
        <w:pStyle w:val="59"/>
        <w:numPr>
          <w:ilvl w:val="0"/>
          <w:numId w:val="0"/>
        </w:numPr>
        <w:autoSpaceDE w:val="0"/>
        <w:autoSpaceDN w:val="0"/>
        <w:spacing w:line="360" w:lineRule="auto"/>
        <w:ind w:firstLine="240" w:firstLineChars="100"/>
        <w:contextualSpacing/>
        <w:rPr>
          <w:rFonts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4.3 如投标人所投产品被列入</w:t>
      </w:r>
      <w:r>
        <w:rPr>
          <w:rFonts w:cs="宋体" w:asciiTheme="minorEastAsia" w:hAnsiTheme="minorEastAsia" w:eastAsiaTheme="minorEastAsia"/>
          <w:kern w:val="0"/>
          <w:sz w:val="24"/>
          <w:szCs w:val="24"/>
          <w:lang w:val="en-US" w:eastAsia="zh-CN" w:bidi="ar-SA"/>
        </w:rPr>
        <w:t>《中华人民共和国实施强制性产品认证的产品目录》，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具备国家认监委</w:t>
      </w:r>
      <w:r>
        <w:rPr>
          <w:rFonts w:hint="eastAsia" w:cs="宋体" w:asciiTheme="minorEastAsia" w:hAnsiTheme="minorEastAsia" w:eastAsiaTheme="minorEastAsia"/>
          <w:kern w:val="0"/>
          <w:sz w:val="24"/>
          <w:szCs w:val="24"/>
          <w:lang w:val="en-US" w:eastAsia="zh-CN" w:bidi="ar-SA"/>
        </w:rPr>
        <w:t>指定强制性产品认证机构</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《中国</w:t>
      </w:r>
      <w:r>
        <w:rPr>
          <w:rFonts w:hint="eastAsia" w:cs="宋体" w:asciiTheme="minorEastAsia" w:hAnsiTheme="minorEastAsia" w:eastAsiaTheme="minorEastAsia"/>
          <w:kern w:val="0"/>
          <w:sz w:val="24"/>
          <w:szCs w:val="24"/>
          <w:lang w:val="en-US" w:eastAsia="zh-CN" w:bidi="ar-SA"/>
        </w:rPr>
        <w:t>国家</w:t>
      </w:r>
      <w:r>
        <w:rPr>
          <w:rFonts w:cs="宋体" w:asciiTheme="minorEastAsia" w:hAnsiTheme="minorEastAsia" w:eastAsiaTheme="minorEastAsia"/>
          <w:kern w:val="0"/>
          <w:sz w:val="24"/>
          <w:szCs w:val="24"/>
          <w:lang w:val="en-US" w:eastAsia="zh-CN" w:bidi="ar-SA"/>
        </w:rPr>
        <w:t>强制</w:t>
      </w:r>
      <w:r>
        <w:rPr>
          <w:rFonts w:hint="eastAsia" w:cs="宋体" w:asciiTheme="minorEastAsia" w:hAnsiTheme="minorEastAsia" w:eastAsiaTheme="minorEastAsia"/>
          <w:kern w:val="0"/>
          <w:sz w:val="24"/>
          <w:szCs w:val="24"/>
          <w:lang w:val="en-US" w:eastAsia="zh-CN" w:bidi="ar-SA"/>
        </w:rPr>
        <w:t>性产品</w:t>
      </w:r>
      <w:r>
        <w:rPr>
          <w:rFonts w:cs="宋体" w:asciiTheme="minorEastAsia" w:hAnsiTheme="minorEastAsia" w:eastAsiaTheme="minorEastAsia"/>
          <w:kern w:val="0"/>
          <w:sz w:val="24"/>
          <w:szCs w:val="24"/>
          <w:lang w:val="en-US" w:eastAsia="zh-CN" w:bidi="ar-SA"/>
        </w:rPr>
        <w:t>认证</w:t>
      </w:r>
      <w:r>
        <w:rPr>
          <w:rFonts w:hint="eastAsia" w:cs="宋体" w:asciiTheme="minorEastAsia" w:hAnsiTheme="minorEastAsia" w:eastAsiaTheme="minorEastAsia"/>
          <w:kern w:val="0"/>
          <w:sz w:val="24"/>
          <w:szCs w:val="24"/>
          <w:lang w:val="en-US" w:eastAsia="zh-CN" w:bidi="ar-SA"/>
        </w:rPr>
        <w:t>证书</w:t>
      </w:r>
      <w:r>
        <w:rPr>
          <w:rFonts w:cs="宋体" w:asciiTheme="minorEastAsia" w:hAnsiTheme="minorEastAsia" w:eastAsiaTheme="minorEastAsia"/>
          <w:kern w:val="0"/>
          <w:sz w:val="24"/>
          <w:szCs w:val="24"/>
          <w:lang w:val="en-US" w:eastAsia="zh-CN" w:bidi="ar-SA"/>
        </w:rPr>
        <w:t>》（CCC 认证）。</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pStyle w:val="59"/>
        <w:numPr>
          <w:ilvl w:val="0"/>
          <w:numId w:val="0"/>
        </w:numPr>
        <w:autoSpaceDE w:val="0"/>
        <w:autoSpaceDN w:val="0"/>
        <w:spacing w:line="360" w:lineRule="auto"/>
        <w:ind w:firstLine="480" w:firstLineChars="200"/>
        <w:contextualSpacing/>
        <w:rPr>
          <w:rFonts w:hint="eastAsia" w:cs="宋体" w:asciiTheme="minorEastAsia" w:hAnsiTheme="minorEastAsia" w:eastAsiaTheme="minorEastAsia"/>
          <w:kern w:val="0"/>
          <w:sz w:val="24"/>
          <w:szCs w:val="24"/>
          <w:lang w:val="en-US" w:eastAsia="zh-CN" w:bidi="ar-SA"/>
        </w:rPr>
      </w:pPr>
      <w:r>
        <w:rPr>
          <w:rFonts w:hint="eastAsia" w:cs="宋体" w:asciiTheme="minorEastAsia" w:hAnsiTheme="minorEastAsia" w:eastAsiaTheme="minorEastAsia"/>
          <w:kern w:val="0"/>
          <w:sz w:val="24"/>
          <w:szCs w:val="24"/>
          <w:lang w:val="en-US" w:eastAsia="zh-CN" w:bidi="ar-SA"/>
        </w:rPr>
        <w:t>4.4投标人所投产品如被列入</w:t>
      </w:r>
      <w:r>
        <w:rPr>
          <w:rFonts w:cs="宋体" w:asciiTheme="minorEastAsia" w:hAnsiTheme="minorEastAsia" w:eastAsiaTheme="minorEastAsia"/>
          <w:kern w:val="0"/>
          <w:sz w:val="24"/>
          <w:szCs w:val="24"/>
          <w:lang w:val="en-US" w:eastAsia="zh-CN" w:bidi="ar-SA"/>
        </w:rPr>
        <w:t>《信息安全产品强制性认证目录》，</w:t>
      </w:r>
      <w:r>
        <w:rPr>
          <w:rFonts w:hint="eastAsia" w:cs="宋体" w:asciiTheme="minorEastAsia" w:hAnsiTheme="minorEastAsia" w:eastAsiaTheme="minorEastAsia"/>
          <w:kern w:val="0"/>
          <w:sz w:val="24"/>
          <w:szCs w:val="24"/>
          <w:lang w:val="en-US" w:eastAsia="zh-CN" w:bidi="ar-SA"/>
        </w:rPr>
        <w:t>则该产品应</w:t>
      </w:r>
      <w:r>
        <w:rPr>
          <w:rFonts w:cs="宋体" w:asciiTheme="minorEastAsia" w:hAnsiTheme="minorEastAsia" w:eastAsiaTheme="minorEastAsia"/>
          <w:kern w:val="0"/>
          <w:sz w:val="24"/>
          <w:szCs w:val="24"/>
          <w:lang w:val="en-US" w:eastAsia="zh-CN" w:bidi="ar-SA"/>
        </w:rPr>
        <w:t>具备</w:t>
      </w:r>
      <w:r>
        <w:rPr>
          <w:rFonts w:hint="eastAsia" w:cs="宋体" w:asciiTheme="minorEastAsia" w:hAnsiTheme="minorEastAsia" w:eastAsiaTheme="minorEastAsia"/>
          <w:kern w:val="0"/>
          <w:sz w:val="24"/>
          <w:szCs w:val="24"/>
          <w:lang w:val="en-US" w:eastAsia="zh-CN" w:bidi="ar-SA"/>
        </w:rPr>
        <w:t>中国信息安全认证中心</w:t>
      </w:r>
      <w:r>
        <w:rPr>
          <w:rFonts w:cs="宋体" w:asciiTheme="minorEastAsia" w:hAnsiTheme="minorEastAsia" w:eastAsiaTheme="minorEastAsia"/>
          <w:kern w:val="0"/>
          <w:sz w:val="24"/>
          <w:szCs w:val="24"/>
          <w:lang w:val="en-US" w:eastAsia="zh-CN" w:bidi="ar-SA"/>
        </w:rPr>
        <w:t>颁</w:t>
      </w:r>
      <w:r>
        <w:rPr>
          <w:rFonts w:hint="eastAsia" w:cs="宋体" w:asciiTheme="minorEastAsia" w:hAnsiTheme="minorEastAsia" w:eastAsiaTheme="minorEastAsia"/>
          <w:kern w:val="0"/>
          <w:sz w:val="24"/>
          <w:szCs w:val="24"/>
          <w:lang w:val="en-US" w:eastAsia="zh-CN" w:bidi="ar-SA"/>
        </w:rPr>
        <w:t>发的</w:t>
      </w:r>
      <w:r>
        <w:rPr>
          <w:rFonts w:cs="宋体" w:asciiTheme="minorEastAsia" w:hAnsiTheme="minorEastAsia" w:eastAsiaTheme="minorEastAsia"/>
          <w:kern w:val="0"/>
          <w:sz w:val="24"/>
          <w:szCs w:val="24"/>
          <w:lang w:val="en-US" w:eastAsia="zh-CN" w:bidi="ar-SA"/>
        </w:rPr>
        <w:t>《</w:t>
      </w:r>
      <w:r>
        <w:rPr>
          <w:rFonts w:cs="宋体" w:asciiTheme="minorEastAsia" w:hAnsiTheme="minorEastAsia" w:eastAsiaTheme="minorEastAsia"/>
          <w:kern w:val="0"/>
          <w:sz w:val="24"/>
          <w:szCs w:val="24"/>
          <w:lang w:val="en-US" w:eastAsia="zh-CN" w:bidi="ar-SA"/>
        </w:rPr>
        <w:fldChar w:fldCharType="begin"/>
      </w:r>
      <w:r>
        <w:rPr>
          <w:rFonts w:cs="宋体" w:asciiTheme="minorEastAsia" w:hAnsiTheme="minorEastAsia" w:eastAsiaTheme="minorEastAsia"/>
          <w:kern w:val="0"/>
          <w:sz w:val="24"/>
          <w:szCs w:val="24"/>
          <w:lang w:val="en-US" w:eastAsia="zh-CN" w:bidi="ar-SA"/>
        </w:rPr>
        <w:instrText xml:space="preserve"> HYPERLINK "http://www.cnca.gov.cn/cnca/zwxx/ggxx/images/2010/07/19/A6C32D2A507AC2A38326896013A67542.doc" \t "_blank" </w:instrText>
      </w:r>
      <w:r>
        <w:rPr>
          <w:rFonts w:cs="宋体" w:asciiTheme="minorEastAsia" w:hAnsiTheme="minorEastAsia" w:eastAsiaTheme="minorEastAsia"/>
          <w:kern w:val="0"/>
          <w:sz w:val="24"/>
          <w:szCs w:val="24"/>
          <w:lang w:val="en-US" w:eastAsia="zh-CN" w:bidi="ar-SA"/>
        </w:rPr>
        <w:fldChar w:fldCharType="separate"/>
      </w:r>
      <w:r>
        <w:rPr>
          <w:rFonts w:hint="eastAsia" w:cs="宋体" w:asciiTheme="minorEastAsia" w:hAnsiTheme="minorEastAsia" w:eastAsiaTheme="minorEastAsia"/>
          <w:kern w:val="0"/>
          <w:sz w:val="24"/>
          <w:szCs w:val="24"/>
          <w:lang w:val="en-US" w:eastAsia="zh-CN" w:bidi="ar-SA"/>
        </w:rPr>
        <w:t>中国国家信息安全产品认证证书</w:t>
      </w:r>
      <w:r>
        <w:rPr>
          <w:rFonts w:hint="eastAsia" w:cs="宋体" w:asciiTheme="minorEastAsia" w:hAnsiTheme="minorEastAsia" w:eastAsiaTheme="minorEastAsia"/>
          <w:kern w:val="0"/>
          <w:sz w:val="24"/>
          <w:szCs w:val="24"/>
          <w:lang w:val="en-US" w:eastAsia="zh-CN" w:bidi="ar-SA"/>
        </w:rPr>
        <w:fldChar w:fldCharType="end"/>
      </w:r>
      <w:r>
        <w:rPr>
          <w:rFonts w:cs="宋体" w:asciiTheme="minorEastAsia" w:hAnsiTheme="minorEastAsia" w:eastAsiaTheme="minorEastAsia"/>
          <w:kern w:val="0"/>
          <w:sz w:val="24"/>
          <w:szCs w:val="24"/>
          <w:lang w:val="en-US" w:eastAsia="zh-CN" w:bidi="ar-SA"/>
        </w:rPr>
        <w:t>》。</w:t>
      </w:r>
      <w:r>
        <w:rPr>
          <w:rFonts w:hint="eastAsia" w:cs="宋体" w:asciiTheme="minorEastAsia" w:hAnsiTheme="minorEastAsia" w:eastAsiaTheme="minorEastAsia"/>
          <w:kern w:val="0"/>
          <w:sz w:val="24"/>
          <w:szCs w:val="24"/>
          <w:lang w:val="en-US" w:eastAsia="zh-CN" w:bidi="ar-SA"/>
        </w:rPr>
        <w:t>投标人</w:t>
      </w:r>
      <w:r>
        <w:rPr>
          <w:rFonts w:cs="宋体" w:asciiTheme="minorEastAsia" w:hAnsiTheme="minorEastAsia" w:eastAsiaTheme="minorEastAsia"/>
          <w:kern w:val="0"/>
          <w:sz w:val="24"/>
          <w:szCs w:val="24"/>
          <w:lang w:val="en-US" w:eastAsia="zh-CN" w:bidi="ar-SA"/>
        </w:rPr>
        <w:t>不能提供超出此目录范畴外的替代品</w:t>
      </w:r>
      <w:r>
        <w:rPr>
          <w:rFonts w:hint="eastAsia" w:cs="宋体" w:asciiTheme="minorEastAsia" w:hAnsiTheme="minorEastAsia" w:eastAsiaTheme="minorEastAsia"/>
          <w:kern w:val="0"/>
          <w:sz w:val="24"/>
          <w:szCs w:val="24"/>
          <w:lang w:val="en-US" w:eastAsia="zh-CN" w:bidi="ar-SA"/>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5．投标费用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不论投标的结果如何，投标人均应自行承担所有与投标有关的全部费用，招标人在任何情况下均无义务和责任承担这些费用。</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6．信息发布</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本采购项目需要公开的有关信息，包括招标公告、招标文件澄清或修改公告、中标公告以及延长投标截止时间等与招标活动有关的通知，招标人均将通过在</w:t>
      </w:r>
      <w:r>
        <w:rPr>
          <w:rFonts w:hint="eastAsia" w:cs="宋体" w:asciiTheme="minorEastAsia" w:hAnsiTheme="minorEastAsia"/>
          <w:color w:val="000000"/>
          <w:sz w:val="24"/>
          <w:szCs w:val="24"/>
        </w:rPr>
        <w:t>《中国政府采购网》、《河南省政府采购网》、</w:t>
      </w:r>
      <w:r>
        <w:rPr>
          <w:rFonts w:hint="eastAsia" w:cs="宋体" w:asciiTheme="minorEastAsia" w:hAnsiTheme="minorEastAsia"/>
          <w:kern w:val="0"/>
          <w:sz w:val="24"/>
          <w:szCs w:val="24"/>
        </w:rPr>
        <w:t>和《全国公共资源交易平台（河南省·许昌市）》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7.采购代理机构代理费用收取标准和方式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除标书费用外，不收取费用。</w:t>
      </w:r>
    </w:p>
    <w:p>
      <w:pPr>
        <w:autoSpaceDE w:val="0"/>
        <w:autoSpaceDN w:val="0"/>
        <w:spacing w:line="360" w:lineRule="auto"/>
        <w:contextualSpacing/>
        <w:rPr>
          <w:rFonts w:cs="宋体" w:asciiTheme="minorEastAsia" w:hAnsiTheme="minorEastAsia"/>
          <w:b/>
          <w:color w:val="7030A0"/>
          <w:kern w:val="0"/>
          <w:sz w:val="24"/>
          <w:szCs w:val="24"/>
        </w:rPr>
      </w:pPr>
      <w:r>
        <w:rPr>
          <w:rFonts w:hint="eastAsia" w:cs="宋体" w:asciiTheme="minorEastAsia" w:hAnsiTheme="minorEastAsia"/>
          <w:b/>
          <w:color w:val="7030A0"/>
          <w:kern w:val="0"/>
          <w:sz w:val="24"/>
          <w:szCs w:val="24"/>
        </w:rPr>
        <w:t>8. 其他</w:t>
      </w:r>
    </w:p>
    <w:p>
      <w:pPr>
        <w:autoSpaceDE w:val="0"/>
        <w:autoSpaceDN w:val="0"/>
        <w:spacing w:line="360" w:lineRule="auto"/>
        <w:contextualSpacing/>
        <w:rPr>
          <w:rFonts w:cs="宋体" w:asciiTheme="minorEastAsia" w:hAnsiTheme="minorEastAsia"/>
          <w:color w:val="7030A0"/>
          <w:kern w:val="0"/>
          <w:sz w:val="24"/>
          <w:szCs w:val="24"/>
        </w:rPr>
      </w:pPr>
      <w:r>
        <w:rPr>
          <w:rFonts w:hint="eastAsia" w:cs="宋体" w:asciiTheme="minorEastAsia" w:hAnsiTheme="minorEastAsia"/>
          <w:color w:val="7030A0"/>
          <w:kern w:val="0"/>
          <w:sz w:val="24"/>
          <w:szCs w:val="24"/>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二、招标文件说明</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9．招标文件构成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9.1 招标文件由以下部分组成：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（1）投标邀请（招标公告）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（2）项目需求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（3）投标人须知前附表</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（4）投标人须知</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（5）政府采购政策功能</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（6）资格审查与评标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（7）合同条款及格式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（8）投标文件有关格式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（9）本项目招标文件的</w:t>
      </w:r>
      <w:r>
        <w:rPr>
          <w:rFonts w:hint="eastAsia" w:ascii="宋体" w:hAnsi="宋体" w:cs="宋体"/>
          <w:color w:val="0070C0"/>
          <w:kern w:val="0"/>
          <w:sz w:val="24"/>
          <w:szCs w:val="24"/>
        </w:rPr>
        <w:t>附件</w:t>
      </w:r>
      <w:r>
        <w:rPr>
          <w:rFonts w:hint="eastAsia" w:cs="宋体" w:asciiTheme="minorEastAsia" w:hAnsiTheme="minorEastAsia"/>
          <w:kern w:val="0"/>
          <w:sz w:val="24"/>
          <w:szCs w:val="24"/>
        </w:rPr>
        <w:t>澄清、答复、修改、补充内容（如有的话）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9.2 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9.3 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10.现场考察、开标前答疑会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 招标人根据采购项目的具体情况，可以在招标文件公告期满后，组织已获取招标文件的潜在投标人现场考察或者召开开标前答疑会。</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10.1.1 招标人组织现场考察或者召开开标前答疑会的，所有投标人应按“投标人须知前附表”规定的时间、地点前往参加现场考察或者开标前答疑会。投标人如不参加，其风险由投标人自行承担，招标人不承担任何责任。</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10.2 招标人组织现场考察或者召开答疑会的，应当在招标文件中载明，或者在招标文件公告期满后在财政部门指定的政府采购信息发布媒体和《全国公共资源交易平台（河南省·许昌市）》发布更正公告。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10.3 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10.4 现场考察及参加开标前答疑会所发生的费用及一切责任由投标人自行承担。</w:t>
      </w:r>
    </w:p>
    <w:p>
      <w:pPr>
        <w:autoSpaceDE w:val="0"/>
        <w:autoSpaceDN w:val="0"/>
        <w:spacing w:line="360" w:lineRule="auto"/>
        <w:contextualSpacing/>
        <w:rPr>
          <w:rFonts w:cs="宋体" w:asciiTheme="minorEastAsia" w:hAnsiTheme="minorEastAsia"/>
          <w:b/>
          <w:color w:val="FF0000"/>
          <w:kern w:val="0"/>
          <w:sz w:val="24"/>
          <w:szCs w:val="24"/>
        </w:rPr>
      </w:pPr>
      <w:r>
        <w:rPr>
          <w:rFonts w:hint="eastAsia" w:cs="宋体" w:asciiTheme="minorEastAsia" w:hAnsiTheme="minorEastAsia"/>
          <w:b/>
          <w:color w:val="FF0000"/>
          <w:kern w:val="0"/>
          <w:sz w:val="24"/>
          <w:szCs w:val="24"/>
        </w:rPr>
        <w:t>11.招标文件的澄清或修改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11.1 在投标截止期前，无论出于何种原因，招标人可主动地或在解答潜在投标人提出的澄清问题时对招标文件进行修改。</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w:t>
      </w:r>
      <w:r>
        <w:rPr>
          <w:rFonts w:cs="宋体" w:asciiTheme="minorEastAsia" w:hAnsiTheme="minorEastAsia"/>
          <w:color w:val="FF0000"/>
          <w:kern w:val="0"/>
          <w:sz w:val="24"/>
          <w:szCs w:val="24"/>
        </w:rPr>
        <w:t>.</w:t>
      </w:r>
      <w:r>
        <w:rPr>
          <w:rFonts w:hint="eastAsia" w:cs="宋体" w:asciiTheme="minorEastAsia" w:hAnsiTheme="minorEastAsia"/>
          <w:color w:val="FF0000"/>
          <w:kern w:val="0"/>
          <w:sz w:val="24"/>
          <w:szCs w:val="24"/>
        </w:rPr>
        <w:t>2</w:t>
      </w:r>
      <w:r>
        <w:rPr>
          <w:rFonts w:cs="宋体" w:asciiTheme="minorEastAsia" w:hAnsiTheme="minorEastAsia"/>
          <w:color w:val="FF0000"/>
          <w:kern w:val="0"/>
          <w:sz w:val="24"/>
          <w:szCs w:val="24"/>
        </w:rPr>
        <w:t xml:space="preserve"> </w:t>
      </w:r>
      <w:r>
        <w:rPr>
          <w:rFonts w:hint="eastAsia" w:cs="宋体" w:asciiTheme="minorEastAsia" w:hAnsiTheme="minorEastAsia"/>
          <w:color w:val="FF0000"/>
          <w:kern w:val="0"/>
          <w:sz w:val="24"/>
          <w:szCs w:val="24"/>
        </w:rPr>
        <w:t>招标人可以对已发出的招标文件进行必要的澄清或者修改。澄清或者修改的内容可能影响投标文件编制的，招标人将在投标截止时间</w:t>
      </w:r>
      <w:r>
        <w:rPr>
          <w:rFonts w:cs="宋体" w:asciiTheme="minorEastAsia" w:hAnsiTheme="minorEastAsia"/>
          <w:color w:val="FF0000"/>
          <w:kern w:val="0"/>
          <w:sz w:val="24"/>
          <w:szCs w:val="24"/>
        </w:rPr>
        <w:t>15</w:t>
      </w:r>
      <w:r>
        <w:rPr>
          <w:rFonts w:hint="eastAsia" w:cs="宋体" w:asciiTheme="minorEastAsia" w:hAnsiTheme="minorEastAsia"/>
          <w:color w:val="FF0000"/>
          <w:kern w:val="0"/>
          <w:sz w:val="24"/>
          <w:szCs w:val="24"/>
        </w:rPr>
        <w:t>日前，在财政部门指定的政府采购信息发布媒体和《全国公共资源交易平台（河南省·许昌市）》发布更正公告。</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11.3 澄清或修改公告的内容为招标文件的组成部分，并对投标人具有约束力。当招标文件与澄清或修改公告就同一内容的表述不一致时，以最后发出的文件内容为准。</w:t>
      </w:r>
    </w:p>
    <w:p>
      <w:pPr>
        <w:autoSpaceDE w:val="0"/>
        <w:autoSpaceDN w:val="0"/>
        <w:spacing w:line="360" w:lineRule="auto"/>
        <w:contextualSpacing/>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11.4 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 w:val="24"/>
          <w:szCs w:val="24"/>
        </w:rPr>
      </w:pP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hint="eastAsia" w:cs="宋体" w:asciiTheme="minorEastAsia" w:hAnsiTheme="minorEastAsia"/>
          <w:b/>
          <w:kern w:val="0"/>
          <w:sz w:val="28"/>
          <w:szCs w:val="28"/>
        </w:rPr>
      </w:pPr>
    </w:p>
    <w:p>
      <w:pPr>
        <w:numPr>
          <w:ilvl w:val="0"/>
          <w:numId w:val="8"/>
        </w:numPr>
        <w:tabs>
          <w:tab w:val="left" w:pos="1260"/>
        </w:tabs>
        <w:autoSpaceDE w:val="0"/>
        <w:autoSpaceDN w:val="0"/>
        <w:spacing w:line="360" w:lineRule="auto"/>
        <w:ind w:left="0" w:leftChars="0" w:firstLine="0" w:firstLineChars="0"/>
        <w:contextualSpacing/>
        <w:jc w:val="center"/>
        <w:rPr>
          <w:rFonts w:hint="eastAsia" w:cs="宋体" w:asciiTheme="minorEastAsia" w:hAnsiTheme="minorEastAsia"/>
          <w:b/>
          <w:kern w:val="0"/>
          <w:sz w:val="28"/>
          <w:szCs w:val="28"/>
        </w:rPr>
      </w:pPr>
      <w:r>
        <w:rPr>
          <w:rFonts w:hint="eastAsia" w:cs="宋体" w:asciiTheme="minorEastAsia" w:hAnsiTheme="minorEastAsia"/>
          <w:b/>
          <w:kern w:val="0"/>
          <w:sz w:val="28"/>
          <w:szCs w:val="28"/>
        </w:rPr>
        <w:t>投标文件的编制</w:t>
      </w:r>
    </w:p>
    <w:p>
      <w:pPr>
        <w:pStyle w:val="29"/>
        <w:numPr>
          <w:ilvl w:val="0"/>
          <w:numId w:val="0"/>
        </w:numPr>
        <w:ind w:leftChars="0"/>
      </w:pP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12． 投标的语言及计量单位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12．1 投标人提交的投标文件以及投标人与招标人就有关投标事宜的所有来往书面文件均应使用中文。除签名、盖章、专用名称等特殊情形外，以中文以外的文字表述的投标文件视同未提供。</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12.2 投标计量单位，招标文件已有明确规定的，使用招标文件规定的计量单位；招标文件没有规定的，一律采用中华人民共和国法定计量单位。</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13</w:t>
      </w:r>
      <w:r>
        <w:rPr>
          <w:rFonts w:cs="宋体" w:asciiTheme="minorEastAsia" w:hAnsiTheme="minorEastAsia"/>
          <w:b/>
          <w:kern w:val="0"/>
          <w:sz w:val="24"/>
          <w:szCs w:val="24"/>
        </w:rPr>
        <w:t xml:space="preserve">. </w:t>
      </w:r>
      <w:r>
        <w:rPr>
          <w:rFonts w:hint="eastAsia" w:cs="宋体" w:asciiTheme="minorEastAsia" w:hAnsiTheme="minorEastAsia"/>
          <w:b/>
          <w:kern w:val="0"/>
          <w:sz w:val="24"/>
          <w:szCs w:val="24"/>
        </w:rPr>
        <w:t>投标报价</w:t>
      </w:r>
      <w:r>
        <w:rPr>
          <w:rFonts w:cs="宋体" w:asciiTheme="minorEastAsia" w:hAnsiTheme="minorEastAsia"/>
          <w:b/>
          <w:kern w:val="0"/>
          <w:sz w:val="24"/>
          <w:szCs w:val="24"/>
        </w:rPr>
        <w:t xml:space="preserve"> </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13.1 本次招标项目的投标均以</w:t>
      </w:r>
      <w:r>
        <w:rPr>
          <w:rFonts w:hint="eastAsia" w:cs="宋体" w:asciiTheme="minorEastAsia" w:hAnsiTheme="minorEastAsia"/>
          <w:b/>
          <w:kern w:val="0"/>
          <w:sz w:val="24"/>
          <w:szCs w:val="24"/>
        </w:rPr>
        <w:t>人民币</w:t>
      </w:r>
      <w:r>
        <w:rPr>
          <w:rFonts w:hint="eastAsia" w:cs="宋体" w:asciiTheme="minorEastAsia" w:hAnsiTheme="minorEastAsia"/>
          <w:kern w:val="0"/>
          <w:sz w:val="24"/>
          <w:szCs w:val="24"/>
        </w:rPr>
        <w:t>为计算单位。</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13.2 采购人不得向投标人索要或者接受其给予的赠品、回扣或者与采购无关的其他商品、服务。</w:t>
      </w:r>
    </w:p>
    <w:p>
      <w:pPr>
        <w:pStyle w:val="30"/>
        <w:spacing w:line="374" w:lineRule="auto"/>
        <w:ind w:firstLine="0" w:firstLineChars="0"/>
        <w:rPr>
          <w:rFonts w:cs="宋体" w:asciiTheme="minorEastAsia" w:hAnsiTheme="minorEastAsia"/>
          <w:kern w:val="0"/>
          <w:sz w:val="24"/>
          <w:szCs w:val="24"/>
        </w:rPr>
      </w:pPr>
      <w:r>
        <w:rPr>
          <w:rFonts w:hint="eastAsia" w:cs="宋体" w:asciiTheme="minorEastAsia" w:hAnsiTheme="minorEastAsia"/>
          <w:kern w:val="0"/>
          <w:sz w:val="24"/>
          <w:szCs w:val="24"/>
        </w:rPr>
        <w:t>13.3 投标人应对项目要求的全部内容进行报价，少报漏报将导致其投标</w:t>
      </w:r>
      <w:r>
        <w:rPr>
          <w:rFonts w:hint="eastAsia" w:ascii="宋体" w:hAnsi="宋体" w:cs="宋体"/>
          <w:sz w:val="24"/>
          <w:szCs w:val="24"/>
          <w:lang w:val="en-GB"/>
        </w:rPr>
        <w:t>为非实质性响应予以拒绝。</w:t>
      </w:r>
    </w:p>
    <w:p>
      <w:pPr>
        <w:spacing w:line="360" w:lineRule="auto"/>
        <w:outlineLvl w:val="0"/>
        <w:rPr>
          <w:rFonts w:cs="宋体" w:asciiTheme="minorEastAsia" w:hAnsiTheme="minorEastAsia"/>
          <w:kern w:val="0"/>
          <w:sz w:val="24"/>
          <w:szCs w:val="24"/>
        </w:rPr>
      </w:pPr>
      <w:r>
        <w:rPr>
          <w:rFonts w:hint="eastAsia" w:cs="宋体" w:asciiTheme="minorEastAsia" w:hAnsiTheme="minorEastAsia"/>
          <w:kern w:val="0"/>
          <w:sz w:val="24"/>
          <w:szCs w:val="24"/>
        </w:rPr>
        <w:t>13.4 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13.5 本项目所涉及的运输、施工、安装、集成、调试、验收、备品和工具等费用均包含在投标报价中。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13.6 本次招标不接受可选择或可调整的投标方案和报价，任何有选择的或可调整的投标方案和报价将被视为非实质性响应投标而作无效投标处理。</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13.7 报价不得高于本项目最高限价，且不低于成本价。</w:t>
      </w:r>
      <w:r>
        <w:rPr>
          <w:rFonts w:hint="eastAsia" w:ascii="宋体" w:hAnsi="宋体" w:cs="宋体"/>
          <w:sz w:val="24"/>
          <w:szCs w:val="24"/>
          <w:lang w:val="en-GB"/>
        </w:rPr>
        <w:t>本次招标实行</w:t>
      </w:r>
      <w:r>
        <w:rPr>
          <w:rFonts w:hint="eastAsia" w:ascii="宋体" w:cs="宋体"/>
          <w:sz w:val="24"/>
          <w:szCs w:val="24"/>
          <w:lang w:val="en-GB"/>
        </w:rPr>
        <w:t>“</w:t>
      </w:r>
      <w:r>
        <w:rPr>
          <w:rFonts w:hint="eastAsia" w:ascii="宋体" w:hAnsi="宋体" w:cs="宋体"/>
          <w:sz w:val="24"/>
          <w:szCs w:val="24"/>
          <w:lang w:val="en-GB"/>
        </w:rPr>
        <w:t>最高限价（项目控制金额上限）</w:t>
      </w:r>
      <w:r>
        <w:rPr>
          <w:rFonts w:hint="eastAsia" w:ascii="宋体" w:cs="宋体"/>
          <w:sz w:val="24"/>
          <w:szCs w:val="24"/>
          <w:lang w:val="en-GB"/>
        </w:rPr>
        <w:t>”</w:t>
      </w:r>
      <w:r>
        <w:rPr>
          <w:rFonts w:hint="eastAsia" w:ascii="宋体" w:hAnsi="宋体" w:cs="宋体"/>
          <w:sz w:val="24"/>
          <w:szCs w:val="24"/>
          <w:lang w:val="en-GB"/>
        </w:rPr>
        <w:t>,投标人的投标报价高于最高限价（项目控制金额上限）的，该投标人的投标文件将被视为非实质性响应予以拒绝。</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13.8 最低报价不能作为中标的保证。</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14．投标有效期</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14.1 投标有效期从提交投标文件的截止之日起算。本项目投标有效期详</w:t>
      </w:r>
      <w:r>
        <w:rPr>
          <w:rFonts w:hint="eastAsia" w:cs="仿宋_GB2312" w:asciiTheme="minorEastAsia" w:hAnsiTheme="minorEastAsia"/>
          <w:sz w:val="24"/>
          <w:szCs w:val="24"/>
          <w:lang w:val="zh-CN"/>
        </w:rPr>
        <w:t>见投标人须知前附表。</w:t>
      </w:r>
      <w:r>
        <w:rPr>
          <w:rFonts w:hint="eastAsia" w:cs="宋体" w:asciiTheme="minorEastAsia" w:hAnsiTheme="minorEastAsia"/>
          <w:kern w:val="0"/>
          <w:sz w:val="24"/>
          <w:szCs w:val="24"/>
        </w:rPr>
        <w:t>投标文件中承诺的投标有效期应当不少于“投标人须知前附表”载明的投标有效期。投标有效期比招标文件规定短的属于非实质性响应，将被认定为无效投标。</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14.2 投标有效期内投标人撤销投标文件的，招标人将不退还投标保证金。</w:t>
      </w:r>
    </w:p>
    <w:p>
      <w:pPr>
        <w:widowControl/>
        <w:tabs>
          <w:tab w:val="left" w:pos="636"/>
        </w:tabs>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14.3 特殊情况下，在原投标有效期截止之前，招标人可要求投标人延长投标有效期。这种要求与答复均应以书面形式提交。投标人可拒绝招标人的这种要求，其投标保证金将不会被没收，但其投标在原投标有效期期满后将不再有效。同意延长投标有效期的投标人将不会被要求和允许修正其投标，而只会被要求相应地延长其投标保证金的有效期。在这种情况下，有关投标保证金的退还和没收的规定将在延长了的有效期内继续有效。同意延期的投标人在原投标有效期内应享之权利及应负之责任也相应延续。</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14.4 中标人的投标文件作为项目合同的附件，其有效期至中标人全部合同义务履行完毕为止。</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15．投标文件构成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15.1 投标文件的构成应符合法律法规及招标文件的要求。</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15.2 投标人应当按照招标文件的要求编制投标文件。投标文件应当对招标文件提出的要求和条件作出明确响应。</w:t>
      </w:r>
    </w:p>
    <w:p>
      <w:pPr>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15.3 投标文件由资格证明材料、符合性证明材料、其它材料等组成。</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15.4 投标人根据招标文件的规定和采购项目的实际情况，拟在中标后将中标项目的非主体、非关键性工作分包的，应当在投标文件中载明分包承担主体，分包承担主体应当具备相应资质条件且不得再次分包。</w:t>
      </w:r>
    </w:p>
    <w:p>
      <w:pPr>
        <w:tabs>
          <w:tab w:val="left" w:pos="7095"/>
        </w:tabs>
        <w:spacing w:line="360" w:lineRule="auto"/>
        <w:rPr>
          <w:rFonts w:hAnsi="宋体"/>
          <w:color w:val="000000"/>
          <w:sz w:val="24"/>
          <w:szCs w:val="24"/>
        </w:rPr>
      </w:pPr>
      <w:r>
        <w:rPr>
          <w:rFonts w:hint="eastAsia" w:cs="宋体" w:asciiTheme="minorEastAsia" w:hAnsiTheme="minorEastAsia"/>
          <w:kern w:val="0"/>
          <w:sz w:val="24"/>
          <w:szCs w:val="24"/>
        </w:rPr>
        <w:t xml:space="preserve">15.5 </w:t>
      </w:r>
      <w:r>
        <w:rPr>
          <w:rFonts w:hint="eastAsia" w:ascii="Calibri" w:hAnsi="宋体" w:eastAsia="宋体" w:cs="Times New Roman"/>
          <w:color w:val="000000"/>
          <w:sz w:val="24"/>
          <w:szCs w:val="24"/>
        </w:rPr>
        <w:t>投标人登录许昌公共资源交易系统下载“许昌投标文件制作系统SEARUN V1.0”，按招标文件要求</w:t>
      </w:r>
      <w:r>
        <w:rPr>
          <w:rFonts w:hint="eastAsia" w:hAnsi="宋体"/>
          <w:color w:val="000000"/>
          <w:sz w:val="24"/>
          <w:szCs w:val="24"/>
        </w:rPr>
        <w:t>根据所投标段</w:t>
      </w:r>
      <w:r>
        <w:rPr>
          <w:rFonts w:hint="eastAsia" w:ascii="Calibri" w:hAnsi="宋体" w:eastAsia="宋体" w:cs="Times New Roman"/>
          <w:color w:val="000000"/>
          <w:sz w:val="24"/>
          <w:szCs w:val="24"/>
        </w:rPr>
        <w:t>制作电子投标文件。</w:t>
      </w:r>
      <w:r>
        <w:rPr>
          <w:rFonts w:hint="eastAsia" w:hAnsi="宋体"/>
          <w:color w:val="000000"/>
          <w:sz w:val="24"/>
          <w:szCs w:val="24"/>
        </w:rPr>
        <w:t xml:space="preserve"> </w:t>
      </w:r>
    </w:p>
    <w:p>
      <w:pPr>
        <w:tabs>
          <w:tab w:val="left" w:pos="7095"/>
        </w:tabs>
        <w:spacing w:line="360" w:lineRule="auto"/>
        <w:rPr>
          <w:rFonts w:ascii="Calibri" w:hAnsi="宋体" w:eastAsia="宋体" w:cs="Times New Roman"/>
          <w:color w:val="000000"/>
          <w:sz w:val="24"/>
          <w:szCs w:val="24"/>
        </w:rPr>
      </w:pPr>
      <w:r>
        <w:rPr>
          <w:rFonts w:hint="eastAsia" w:hAnsi="宋体"/>
          <w:color w:val="000000"/>
          <w:sz w:val="24"/>
          <w:szCs w:val="24"/>
        </w:rPr>
        <w:t>一个标段对应生成一个文件夹（xxxx项目xx标段）, 其中包含2个文件和1个文件夹。后缀名为“</w:t>
      </w:r>
      <w:r>
        <w:rPr>
          <w:rFonts w:hAnsi="宋体"/>
          <w:color w:val="000000"/>
          <w:sz w:val="24"/>
          <w:szCs w:val="24"/>
        </w:rPr>
        <w:t>.file</w:t>
      </w:r>
      <w:r>
        <w:rPr>
          <w:rFonts w:hint="eastAsia" w:hAnsi="宋体"/>
          <w:color w:val="000000"/>
          <w:sz w:val="24"/>
          <w:szCs w:val="24"/>
        </w:rPr>
        <w:t>”的文件用于电子投标使用，后缀名为“.PDF”的文件用于打印纸质投标文件，名称为“备份”的文件夹使用电子介质存储，供开标现场备用。</w:t>
      </w:r>
    </w:p>
    <w:p>
      <w:pPr>
        <w:autoSpaceDE w:val="0"/>
        <w:autoSpaceDN w:val="0"/>
        <w:spacing w:line="360" w:lineRule="auto"/>
        <w:contextualSpacing/>
        <w:rPr>
          <w:rFonts w:cs="宋体" w:asciiTheme="minorEastAsia" w:hAnsiTheme="minorEastAsia"/>
          <w:b/>
          <w:kern w:val="0"/>
          <w:sz w:val="24"/>
          <w:szCs w:val="24"/>
        </w:rPr>
      </w:pPr>
      <w:r>
        <w:rPr>
          <w:rFonts w:hint="eastAsia" w:hAnsi="宋体" w:cs="宋体"/>
          <w:sz w:val="24"/>
        </w:rPr>
        <w:t>电子</w:t>
      </w:r>
      <w:r>
        <w:rPr>
          <w:rFonts w:hint="eastAsia" w:ascii="Calibri" w:hAnsi="宋体" w:eastAsia="宋体" w:cs="宋体"/>
          <w:sz w:val="24"/>
        </w:rPr>
        <w:t>投标文件制作技术咨询：</w:t>
      </w:r>
      <w:r>
        <w:rPr>
          <w:rFonts w:hint="eastAsia" w:ascii="宋体" w:hAnsi="宋体" w:eastAsia="宋体" w:cs="宋体"/>
          <w:b/>
          <w:kern w:val="0"/>
          <w:sz w:val="24"/>
          <w:szCs w:val="24"/>
        </w:rPr>
        <w:t>0374-2961598</w:t>
      </w:r>
      <w:r>
        <w:rPr>
          <w:rFonts w:hint="eastAsia" w:ascii="宋体" w:hAnsi="宋体" w:eastAsia="宋体" w:cs="宋体"/>
          <w:kern w:val="0"/>
          <w:sz w:val="24"/>
          <w:szCs w:val="24"/>
        </w:rPr>
        <w:t>。</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16.投标文件格式</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16.1 投标文件应参照招标文件第七部分（投标文件有关格式）的内容要求、编排顺序和格式要求，投标人应按照以上要求将投标文件编上唯一的连贯页码并以</w:t>
      </w:r>
      <w:r>
        <w:rPr>
          <w:rFonts w:hint="eastAsia" w:cs="宋体" w:asciiTheme="minorEastAsia" w:hAnsiTheme="minorEastAsia"/>
          <w:b/>
          <w:kern w:val="0"/>
          <w:sz w:val="24"/>
          <w:szCs w:val="24"/>
        </w:rPr>
        <w:t>A4</w:t>
      </w:r>
      <w:r>
        <w:rPr>
          <w:rFonts w:hint="eastAsia" w:cs="宋体" w:asciiTheme="minorEastAsia" w:hAnsiTheme="minorEastAsia"/>
          <w:kern w:val="0"/>
          <w:sz w:val="24"/>
          <w:szCs w:val="24"/>
        </w:rPr>
        <w:t>幅面装订成册，并在投标文件封面上注明：正本/副本、所投项目名称、项目编号、投标人名称、日期等字样。</w:t>
      </w:r>
    </w:p>
    <w:p>
      <w:pPr>
        <w:autoSpaceDE w:val="0"/>
        <w:autoSpaceDN w:val="0"/>
        <w:spacing w:line="360" w:lineRule="auto"/>
        <w:contextualSpacing/>
        <w:rPr>
          <w:rFonts w:cs="宋体" w:asciiTheme="minorEastAsia" w:hAnsiTheme="minorEastAsia"/>
          <w:kern w:val="0"/>
          <w:sz w:val="24"/>
          <w:szCs w:val="24"/>
        </w:rPr>
      </w:pPr>
      <w:r>
        <w:rPr>
          <w:rFonts w:hint="eastAsia" w:cs="宋体" w:asciiTheme="minorEastAsia" w:hAnsiTheme="minorEastAsia"/>
          <w:kern w:val="0"/>
          <w:sz w:val="24"/>
          <w:szCs w:val="24"/>
        </w:rPr>
        <w:t>16.2 投标人应按招标文件提供的格式编写投标文件。招标文件未提供标准格式的投标人可自行拟定。</w:t>
      </w:r>
    </w:p>
    <w:p>
      <w:pPr>
        <w:tabs>
          <w:tab w:val="left" w:pos="1260"/>
        </w:tabs>
        <w:autoSpaceDE w:val="0"/>
        <w:autoSpaceDN w:val="0"/>
        <w:spacing w:line="360" w:lineRule="auto"/>
        <w:contextualSpacing/>
        <w:rPr>
          <w:rFonts w:cs="仿宋_GB2312" w:asciiTheme="minorEastAsia" w:hAnsiTheme="minorEastAsia"/>
          <w:b/>
          <w:color w:val="7030A0"/>
          <w:sz w:val="24"/>
          <w:szCs w:val="24"/>
          <w:lang w:val="zh-CN"/>
        </w:rPr>
      </w:pPr>
      <w:r>
        <w:rPr>
          <w:rFonts w:hint="eastAsia" w:cs="仿宋_GB2312" w:asciiTheme="minorEastAsia" w:hAnsiTheme="minorEastAsia"/>
          <w:b/>
          <w:color w:val="7030A0"/>
          <w:sz w:val="24"/>
          <w:szCs w:val="24"/>
          <w:lang w:val="zh-CN"/>
        </w:rPr>
        <w:t>1</w:t>
      </w:r>
      <w:r>
        <w:rPr>
          <w:rFonts w:hint="eastAsia" w:cs="仿宋_GB2312" w:asciiTheme="minorEastAsia" w:hAnsiTheme="minorEastAsia"/>
          <w:b/>
          <w:color w:val="7030A0"/>
          <w:sz w:val="24"/>
          <w:szCs w:val="24"/>
          <w:lang w:val="en-US" w:eastAsia="zh-CN"/>
        </w:rPr>
        <w:t>7</w:t>
      </w:r>
      <w:r>
        <w:rPr>
          <w:rFonts w:hint="eastAsia" w:cs="仿宋_GB2312" w:asciiTheme="minorEastAsia" w:hAnsiTheme="minorEastAsia"/>
          <w:b/>
          <w:color w:val="7030A0"/>
          <w:sz w:val="24"/>
          <w:szCs w:val="24"/>
          <w:lang w:val="zh-CN"/>
        </w:rPr>
        <w:t>. 投标文件的数量和签署盖章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.1 投标人应提交投标文件份数见“投标人须知前附表”。</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.2 在招标文件中已明示需盖章及签名之处，</w:t>
      </w:r>
      <w:r>
        <w:rPr>
          <w:rFonts w:hint="eastAsia" w:ascii="新宋体" w:hAnsi="新宋体" w:eastAsia="新宋体"/>
          <w:color w:val="7030A0"/>
          <w:sz w:val="24"/>
        </w:rPr>
        <w:t>电子投标文件应按招标文件要求加盖投标人电子印章和法人电子印章或授权代表电子印章。</w:t>
      </w:r>
    </w:p>
    <w:p>
      <w:pPr>
        <w:autoSpaceDE w:val="0"/>
        <w:autoSpaceDN w:val="0"/>
        <w:adjustRightInd w:val="0"/>
        <w:spacing w:line="360" w:lineRule="auto"/>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.3 纸质投标文件</w:t>
      </w:r>
      <w:r>
        <w:rPr>
          <w:rFonts w:hint="eastAsia" w:ascii="新宋体" w:hAnsi="新宋体" w:eastAsia="新宋体"/>
          <w:color w:val="7030A0"/>
          <w:sz w:val="24"/>
        </w:rPr>
        <w:t>是指投标人电子投标文件制作完成后生成的后缀名为</w:t>
      </w:r>
      <w:r>
        <w:rPr>
          <w:rFonts w:hint="eastAsia" w:hAnsi="宋体"/>
          <w:color w:val="7030A0"/>
          <w:sz w:val="24"/>
          <w:szCs w:val="24"/>
        </w:rPr>
        <w:t>“.PDF”的文件打印的投标文件。</w:t>
      </w:r>
      <w:r>
        <w:rPr>
          <w:rFonts w:hint="eastAsia" w:cs="仿宋_GB2312" w:asciiTheme="minorEastAsia" w:hAnsiTheme="minorEastAsia"/>
          <w:color w:val="7030A0"/>
          <w:sz w:val="24"/>
          <w:szCs w:val="24"/>
          <w:lang w:val="zh-CN"/>
        </w:rPr>
        <w:t>纸质投标文件正本和副本封面上应清楚标明</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正本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或</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副本</w:t>
      </w:r>
      <w:r>
        <w:rPr>
          <w:rFonts w:cs="仿宋_GB2312" w:asciiTheme="minorEastAsia" w:hAnsiTheme="minorEastAsia"/>
          <w:color w:val="7030A0"/>
          <w:sz w:val="24"/>
          <w:szCs w:val="24"/>
          <w:lang w:val="zh-CN"/>
        </w:rPr>
        <w:t>”</w:t>
      </w:r>
      <w:r>
        <w:rPr>
          <w:rFonts w:hint="eastAsia" w:cs="仿宋_GB2312" w:asciiTheme="minorEastAsia" w:hAnsiTheme="minorEastAsia"/>
          <w:color w:val="7030A0"/>
          <w:sz w:val="24"/>
          <w:szCs w:val="24"/>
          <w:lang w:val="zh-CN"/>
        </w:rPr>
        <w:t>字样；一旦正本和副本内容不一致时，以正本为准。纸质投标文件的正本及所有副本的封面均须由投标人加盖投标人公章。</w:t>
      </w:r>
    </w:p>
    <w:p>
      <w:pPr>
        <w:tabs>
          <w:tab w:val="left" w:pos="1260"/>
        </w:tabs>
        <w:autoSpaceDE w:val="0"/>
        <w:autoSpaceDN w:val="0"/>
        <w:spacing w:line="360" w:lineRule="auto"/>
        <w:contextualSpacing/>
        <w:rPr>
          <w:rFonts w:cs="仿宋_GB2312" w:asciiTheme="minorEastAsia" w:hAnsiTheme="minorEastAsia"/>
          <w:color w:val="7030A0"/>
          <w:sz w:val="24"/>
          <w:szCs w:val="24"/>
          <w:lang w:val="zh-CN"/>
        </w:rPr>
      </w:pPr>
      <w:r>
        <w:rPr>
          <w:rFonts w:hint="eastAsia" w:cs="仿宋_GB2312" w:asciiTheme="minorEastAsia" w:hAnsiTheme="minorEastAsia"/>
          <w:color w:val="7030A0"/>
          <w:sz w:val="24"/>
          <w:szCs w:val="24"/>
          <w:lang w:val="zh-CN"/>
        </w:rPr>
        <w:t>1</w:t>
      </w:r>
      <w:r>
        <w:rPr>
          <w:rFonts w:hint="eastAsia" w:cs="仿宋_GB2312" w:asciiTheme="minorEastAsia" w:hAnsiTheme="minorEastAsia"/>
          <w:color w:val="7030A0"/>
          <w:sz w:val="24"/>
          <w:szCs w:val="24"/>
          <w:lang w:val="en-US" w:eastAsia="zh-CN"/>
        </w:rPr>
        <w:t>7</w:t>
      </w:r>
      <w:r>
        <w:rPr>
          <w:rFonts w:hint="eastAsia" w:cs="仿宋_GB2312" w:asciiTheme="minorEastAsia" w:hAnsiTheme="minorEastAsia"/>
          <w:color w:val="7030A0"/>
          <w:sz w:val="24"/>
          <w:szCs w:val="24"/>
          <w:lang w:val="zh-CN"/>
        </w:rPr>
        <w:t>.4 纸质投标文件副本可以是纸质投标文件的正本复印而成。</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四、投标文件的递交</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19</w:t>
      </w:r>
      <w:r>
        <w:rPr>
          <w:rFonts w:hint="eastAsia" w:cs="仿宋_GB2312" w:asciiTheme="minorEastAsia" w:hAnsiTheme="minorEastAsia"/>
          <w:b/>
          <w:sz w:val="24"/>
          <w:szCs w:val="24"/>
          <w:lang w:val="zh-CN"/>
        </w:rPr>
        <w:t>.投标文件的密封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.1 投标人应将纸质投标文件“正本”、“ 副本”密封包装。</w:t>
      </w:r>
      <w:r>
        <w:rPr>
          <w:rFonts w:hint="eastAsia" w:hAnsi="宋体" w:cs="宋体"/>
          <w:sz w:val="24"/>
        </w:rPr>
        <w:t>使用电子介质存储的投标文件单独密封包装，并随纸质投标文件一并提交。</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19</w:t>
      </w:r>
      <w:r>
        <w:rPr>
          <w:rFonts w:hint="eastAsia" w:cs="仿宋_GB2312" w:asciiTheme="minorEastAsia" w:hAnsiTheme="minorEastAsia"/>
          <w:sz w:val="24"/>
          <w:szCs w:val="24"/>
          <w:lang w:val="zh-CN"/>
        </w:rPr>
        <w:t>.2 投标文件如果未按规定密封，招标人将拒绝接收。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20</w:t>
      </w:r>
      <w:r>
        <w:rPr>
          <w:rFonts w:hint="eastAsia" w:cs="仿宋_GB2312" w:asciiTheme="minorEastAsia" w:hAnsiTheme="minorEastAsia"/>
          <w:b/>
          <w:sz w:val="24"/>
          <w:szCs w:val="24"/>
          <w:lang w:val="zh-CN"/>
        </w:rPr>
        <w:t>．投标截止时间</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rPr>
        <w:t>20</w:t>
      </w:r>
      <w:r>
        <w:rPr>
          <w:rFonts w:hint="eastAsia" w:cs="仿宋_GB2312" w:asciiTheme="minorEastAsia" w:hAnsiTheme="minorEastAsia"/>
          <w:sz w:val="24"/>
          <w:szCs w:val="24"/>
          <w:lang w:val="zh-CN"/>
        </w:rPr>
        <w:t>．1 投标人必须在</w:t>
      </w:r>
      <w:r>
        <w:rPr>
          <w:rFonts w:hint="eastAsia" w:cs="宋体" w:asciiTheme="minorEastAsia" w:hAnsiTheme="minorEastAsia"/>
          <w:kern w:val="0"/>
          <w:sz w:val="24"/>
          <w:szCs w:val="24"/>
        </w:rPr>
        <w:t>“投标邀请”</w:t>
      </w:r>
      <w:r>
        <w:rPr>
          <w:rFonts w:hint="eastAsia" w:asciiTheme="minorEastAsia" w:hAnsiTheme="minorEastAsia"/>
          <w:bCs/>
          <w:sz w:val="24"/>
          <w:szCs w:val="24"/>
        </w:rPr>
        <w:t>和“投标人须知前附表”中规定的投标截止时间前，将所有投标文件送达招标文件指定的开标地点。</w:t>
      </w:r>
    </w:p>
    <w:p>
      <w:pPr>
        <w:tabs>
          <w:tab w:val="left" w:pos="1260"/>
        </w:tabs>
        <w:autoSpaceDE w:val="0"/>
        <w:autoSpaceDN w:val="0"/>
        <w:spacing w:line="360" w:lineRule="auto"/>
        <w:contextualSpacing/>
        <w:rPr>
          <w:rFonts w:asciiTheme="minorEastAsia" w:hAnsiTheme="minorEastAsia"/>
          <w:bCs/>
          <w:sz w:val="24"/>
          <w:szCs w:val="24"/>
        </w:rPr>
      </w:pPr>
      <w:r>
        <w:rPr>
          <w:rFonts w:hint="eastAsia" w:asciiTheme="minorEastAsia" w:hAnsiTheme="minorEastAsia"/>
          <w:bCs/>
          <w:sz w:val="24"/>
          <w:szCs w:val="24"/>
        </w:rPr>
        <w:t>20.2 招标人收到投标文件后，应当如实记载投标文件的送达时间和密封情况，签收保存，并向投标人出具签收回执。任何单位和个人不得在开标前开启投标文件。</w:t>
      </w:r>
    </w:p>
    <w:p>
      <w:pPr>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 xml:space="preserve">20.3 </w:t>
      </w:r>
      <w:r>
        <w:rPr>
          <w:rFonts w:hint="eastAsia" w:asciiTheme="minorEastAsia" w:hAnsiTheme="minorEastAsia"/>
          <w:bCs/>
          <w:sz w:val="24"/>
          <w:szCs w:val="24"/>
        </w:rPr>
        <w:t>招标人可以按本须知第10条规定，通过修改招标文件自行决定酌情延长投标截止期。在此情况下，招标人和投标人受投标截止期制约的所有权利和义务均应延长至新的截止日期和时间。投标人按招标人修改通知规定的时间递交投标文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21</w:t>
      </w:r>
      <w:r>
        <w:rPr>
          <w:rFonts w:hint="eastAsia" w:cs="仿宋_GB2312" w:asciiTheme="minorEastAsia" w:hAnsiTheme="minorEastAsia"/>
          <w:b/>
          <w:sz w:val="24"/>
          <w:szCs w:val="24"/>
          <w:lang w:val="zh-CN"/>
        </w:rPr>
        <w:t>. 迟交的投标文件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投标截止时间之后送达/上传的投标文件，招标人将拒绝接收。</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2</w:t>
      </w:r>
      <w:r>
        <w:rPr>
          <w:rFonts w:hint="eastAsia" w:cs="仿宋_GB2312" w:asciiTheme="minorEastAsia" w:hAnsiTheme="minorEastAsia"/>
          <w:b/>
          <w:sz w:val="24"/>
          <w:szCs w:val="24"/>
          <w:lang w:val="zh-CN"/>
        </w:rPr>
        <w:t>. 投标文件的修改和撤回</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.1 投标人在投标截止时间前，对所递交的纸质投标文件进行补充、修改或者撤回的，须书面通知招标人。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hAnsi="宋体" w:cs="宋体"/>
          <w:sz w:val="24"/>
        </w:rPr>
        <w:t>投标人应当在投标截止时间前完成电子投标文件的提交，可以补充、修改或撤回。投标截止时间前未完成电子投标文件提交、取得“投标文件提交回执单”的，视为撤回投标文件。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.2 </w:t>
      </w:r>
      <w:r>
        <w:rPr>
          <w:rFonts w:hint="eastAsia" w:asciiTheme="minorEastAsia" w:hAnsiTheme="minorEastAsia"/>
          <w:bCs/>
          <w:sz w:val="24"/>
          <w:szCs w:val="24"/>
        </w:rPr>
        <w:t>投标人</w:t>
      </w:r>
      <w:r>
        <w:rPr>
          <w:rFonts w:hint="eastAsia" w:cs="仿宋_GB2312" w:asciiTheme="minorEastAsia" w:hAnsiTheme="minorEastAsia"/>
          <w:sz w:val="24"/>
          <w:szCs w:val="24"/>
          <w:lang w:val="zh-CN"/>
        </w:rPr>
        <w:t>补充、修改的内容并作为投标文件的组成部分。</w:t>
      </w:r>
      <w:r>
        <w:rPr>
          <w:rFonts w:hint="eastAsia" w:asciiTheme="minorEastAsia" w:hAnsiTheme="minorEastAsia"/>
          <w:bCs/>
          <w:sz w:val="24"/>
          <w:szCs w:val="24"/>
        </w:rPr>
        <w:t>补充或修改</w:t>
      </w:r>
      <w:r>
        <w:rPr>
          <w:rFonts w:hint="eastAsia" w:cs="仿宋_GB2312" w:asciiTheme="minorEastAsia" w:hAnsiTheme="minorEastAsia"/>
          <w:sz w:val="24"/>
          <w:szCs w:val="24"/>
          <w:lang w:val="zh-CN"/>
        </w:rPr>
        <w:t>应当按招标文件要求签署、盖章、</w:t>
      </w:r>
      <w:r>
        <w:rPr>
          <w:rFonts w:hint="eastAsia" w:asciiTheme="minorEastAsia" w:hAnsiTheme="minorEastAsia"/>
          <w:bCs/>
          <w:sz w:val="24"/>
          <w:szCs w:val="24"/>
        </w:rPr>
        <w:t>密封</w:t>
      </w:r>
      <w:r>
        <w:rPr>
          <w:rFonts w:hint="eastAsia" w:cs="仿宋_GB2312" w:asciiTheme="minorEastAsia" w:hAnsiTheme="minorEastAsia"/>
          <w:sz w:val="24"/>
          <w:szCs w:val="24"/>
          <w:lang w:val="zh-CN"/>
        </w:rPr>
        <w:t>、递交，</w:t>
      </w:r>
      <w:r>
        <w:rPr>
          <w:rFonts w:hint="eastAsia" w:asciiTheme="minorEastAsia" w:hAnsiTheme="minorEastAsia"/>
          <w:bCs/>
          <w:sz w:val="24"/>
          <w:szCs w:val="24"/>
        </w:rPr>
        <w:t>并应注明“修改</w:t>
      </w:r>
      <w:r>
        <w:rPr>
          <w:rFonts w:asciiTheme="minorEastAsia" w:hAnsiTheme="minorEastAsia"/>
          <w:bCs/>
          <w:sz w:val="24"/>
          <w:szCs w:val="24"/>
        </w:rPr>
        <w:t>”</w:t>
      </w:r>
      <w:r>
        <w:rPr>
          <w:rFonts w:hint="eastAsia" w:asciiTheme="minorEastAsia" w:hAnsiTheme="minorEastAsia"/>
          <w:bCs/>
          <w:sz w:val="24"/>
          <w:szCs w:val="24"/>
        </w:rPr>
        <w:t>或“补充</w:t>
      </w:r>
      <w:r>
        <w:rPr>
          <w:rFonts w:asciiTheme="minorEastAsia" w:hAnsiTheme="minorEastAsia"/>
          <w:bCs/>
          <w:sz w:val="24"/>
          <w:szCs w:val="24"/>
        </w:rPr>
        <w:t>”</w:t>
      </w:r>
      <w:r>
        <w:rPr>
          <w:rFonts w:hint="eastAsia" w:asciiTheme="minorEastAsia" w:hAnsiTheme="minorEastAsia"/>
          <w:bCs/>
          <w:sz w:val="24"/>
          <w:szCs w:val="24"/>
        </w:rPr>
        <w:t>字样。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.3 投标人在递交投标文件后，可以撤回其投标，但投标人必须在规定的投标截止时间前以书面形式告知招标人。</w:t>
      </w:r>
    </w:p>
    <w:p>
      <w:pPr>
        <w:autoSpaceDE w:val="0"/>
        <w:autoSpaceDN w:val="0"/>
        <w:spacing w:line="360" w:lineRule="auto"/>
        <w:contextualSpacing/>
        <w:rPr>
          <w:rFonts w:cs="宋体" w:asciiTheme="minorEastAsia" w:hAnsiTheme="minorEastAsia"/>
          <w:kern w:val="0"/>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2</w:t>
      </w:r>
      <w:r>
        <w:rPr>
          <w:rFonts w:hint="eastAsia" w:cs="仿宋_GB2312" w:asciiTheme="minorEastAsia" w:hAnsiTheme="minorEastAsia"/>
          <w:sz w:val="24"/>
          <w:szCs w:val="24"/>
          <w:lang w:val="zh-CN"/>
        </w:rPr>
        <w:t xml:space="preserve">.4  </w:t>
      </w:r>
      <w:r>
        <w:rPr>
          <w:rFonts w:hint="eastAsia" w:cs="宋体" w:asciiTheme="minorEastAsia" w:hAnsiTheme="minorEastAsia"/>
          <w:kern w:val="0"/>
          <w:sz w:val="24"/>
          <w:szCs w:val="24"/>
        </w:rPr>
        <w:t>投标人不得在投标有效期内撤销投标文件，否则招标人将不退还其投标保证金。</w:t>
      </w:r>
    </w:p>
    <w:p>
      <w:pPr>
        <w:autoSpaceDE w:val="0"/>
        <w:autoSpaceDN w:val="0"/>
        <w:spacing w:line="360" w:lineRule="auto"/>
        <w:contextualSpacing/>
        <w:rPr>
          <w:rFonts w:cs="宋体" w:asciiTheme="minorEastAsia" w:hAnsiTheme="minorEastAsia"/>
          <w:b/>
          <w:kern w:val="0"/>
          <w:sz w:val="24"/>
          <w:szCs w:val="24"/>
        </w:rPr>
      </w:pPr>
      <w:r>
        <w:rPr>
          <w:rFonts w:hint="eastAsia" w:cs="宋体" w:asciiTheme="minorEastAsia" w:hAnsiTheme="minorEastAsia"/>
          <w:b/>
          <w:kern w:val="0"/>
          <w:sz w:val="24"/>
          <w:szCs w:val="24"/>
        </w:rPr>
        <w:t>23．</w:t>
      </w:r>
      <w:r>
        <w:rPr>
          <w:rFonts w:hint="eastAsia" w:hAnsi="宋体" w:cs="宋体"/>
          <w:b/>
          <w:sz w:val="24"/>
        </w:rPr>
        <w:t>除投标人须知前附表另有规定外，投标人所提交的电子投标文件、纸质投标文件及电子介质存储的备份文件不予退还。</w:t>
      </w:r>
    </w:p>
    <w:p>
      <w:pPr>
        <w:autoSpaceDE w:val="0"/>
        <w:autoSpaceDN w:val="0"/>
        <w:spacing w:line="360" w:lineRule="auto"/>
        <w:contextualSpacing/>
        <w:rPr>
          <w:rFonts w:cs="宋体" w:asciiTheme="minorEastAsia" w:hAnsiTheme="minorEastAsia"/>
          <w:kern w:val="0"/>
          <w:sz w:val="24"/>
          <w:szCs w:val="24"/>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五、开标和评标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4</w:t>
      </w:r>
      <w:r>
        <w:rPr>
          <w:rFonts w:hint="eastAsia" w:cs="仿宋_GB2312" w:asciiTheme="minorEastAsia" w:hAnsiTheme="minorEastAsia"/>
          <w:b/>
          <w:sz w:val="24"/>
          <w:szCs w:val="24"/>
          <w:lang w:val="zh-CN"/>
        </w:rPr>
        <w:t>. 开标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招标人将按招标文件规定的时间和地点组织公开开标。开标由代理机构主持，邀请投标人参加。评标委员会成员不得参加开标活动。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招标人应当对开标、评标现场活动进行全程录音录像。录音录像应当清晰可辨，音像资料作为采购文件一并存档。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.3 开标时，由投标人或者其推选的代表检查纸质投标文件和</w:t>
      </w:r>
      <w:r>
        <w:rPr>
          <w:rFonts w:hint="eastAsia" w:hAnsi="宋体" w:cs="宋体"/>
          <w:sz w:val="24"/>
        </w:rPr>
        <w:t>备份文件</w:t>
      </w:r>
      <w:r>
        <w:rPr>
          <w:rFonts w:hint="eastAsia" w:cs="仿宋_GB2312" w:asciiTheme="minorEastAsia" w:hAnsiTheme="minorEastAsia"/>
          <w:sz w:val="24"/>
          <w:szCs w:val="24"/>
          <w:lang w:val="zh-CN"/>
        </w:rPr>
        <w:t>（</w:t>
      </w:r>
      <w:r>
        <w:rPr>
          <w:rFonts w:hint="eastAsia" w:hAnsi="宋体" w:cs="宋体"/>
          <w:sz w:val="24"/>
        </w:rPr>
        <w:t>使用电子介质存储</w:t>
      </w:r>
      <w:r>
        <w:rPr>
          <w:rFonts w:hint="eastAsia" w:cs="仿宋_GB2312" w:asciiTheme="minorEastAsia" w:hAnsiTheme="minorEastAsia"/>
          <w:sz w:val="24"/>
          <w:szCs w:val="24"/>
          <w:lang w:val="zh-CN"/>
        </w:rPr>
        <w:t>）</w:t>
      </w:r>
      <w:r>
        <w:rPr>
          <w:rFonts w:hint="eastAsia" w:hAnsi="宋体" w:cs="宋体"/>
          <w:sz w:val="24"/>
        </w:rPr>
        <w:t>的</w:t>
      </w:r>
      <w:r>
        <w:rPr>
          <w:rFonts w:hint="eastAsia" w:cs="仿宋_GB2312" w:asciiTheme="minorEastAsia" w:hAnsiTheme="minorEastAsia"/>
          <w:sz w:val="24"/>
          <w:szCs w:val="24"/>
          <w:lang w:val="zh-CN"/>
        </w:rPr>
        <w:t>密封情况；经确认无误后进行电子投标文件的解密。解密后宣布投标人名称、投标价格、修改和撤回投标的通知（如有的话）和招标文件规定的需要宣布的其他内容。</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24.3.1 电子投标文件的解密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全流程电子化交易项目电子投标文件采用双重加密。解密需分标段进行两次解密。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（1）投标人解密：投标人使用本单位CA数字证书远程或现场进行解密。需开标现场使用一体机进行解密的，请在代理机构引导下进行。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（2）代理机构解密：代理机构</w:t>
      </w:r>
      <w:r>
        <w:rPr>
          <w:rFonts w:cs="仿宋_GB2312" w:asciiTheme="minorEastAsia" w:hAnsiTheme="minorEastAsia"/>
          <w:sz w:val="24"/>
          <w:szCs w:val="24"/>
          <w:lang w:val="zh-CN"/>
        </w:rPr>
        <w:t>按</w:t>
      </w:r>
      <w:r>
        <w:rPr>
          <w:rFonts w:hint="eastAsia" w:cs="仿宋_GB2312" w:asciiTheme="minorEastAsia" w:hAnsiTheme="minorEastAsia"/>
          <w:sz w:val="24"/>
          <w:szCs w:val="24"/>
          <w:lang w:val="zh-CN"/>
        </w:rPr>
        <w:t>电子</w:t>
      </w:r>
      <w:r>
        <w:rPr>
          <w:rFonts w:cs="仿宋_GB2312" w:asciiTheme="minorEastAsia" w:hAnsiTheme="minorEastAsia"/>
          <w:sz w:val="24"/>
          <w:szCs w:val="24"/>
          <w:lang w:val="zh-CN"/>
        </w:rPr>
        <w:t>投标</w:t>
      </w:r>
      <w:r>
        <w:rPr>
          <w:rFonts w:hint="eastAsia" w:cs="仿宋_GB2312" w:asciiTheme="minorEastAsia" w:hAnsiTheme="minorEastAsia"/>
          <w:sz w:val="24"/>
          <w:szCs w:val="24"/>
          <w:lang w:val="zh-CN"/>
        </w:rPr>
        <w:t>文件到达交易系统</w:t>
      </w:r>
      <w:r>
        <w:rPr>
          <w:rFonts w:cs="仿宋_GB2312" w:asciiTheme="minorEastAsia" w:hAnsiTheme="minorEastAsia"/>
          <w:sz w:val="24"/>
          <w:szCs w:val="24"/>
          <w:lang w:val="zh-CN"/>
        </w:rPr>
        <w:t>的先后顺序</w:t>
      </w:r>
      <w:r>
        <w:rPr>
          <w:rFonts w:hint="eastAsia" w:cs="仿宋_GB2312" w:asciiTheme="minorEastAsia" w:hAnsiTheme="minorEastAsia"/>
          <w:sz w:val="24"/>
          <w:szCs w:val="24"/>
          <w:lang w:val="zh-CN"/>
        </w:rPr>
        <w:t>，使用本单位CA数字证书进行再次解密。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24.3.2 电子投标文件解密异常情况处理</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1</w:t>
      </w:r>
      <w:r>
        <w:rPr>
          <w:rFonts w:hint="eastAsia" w:cs="仿宋_GB2312" w:asciiTheme="minorEastAsia" w:hAnsiTheme="minorEastAsia"/>
          <w:sz w:val="24"/>
          <w:szCs w:val="24"/>
          <w:lang w:val="zh-CN"/>
        </w:rPr>
        <w:t>）因电子交易系统异常无法解密电子投标文件的，使用纸质投标文件以人工方式进行。</w:t>
      </w:r>
    </w:p>
    <w:p>
      <w:pPr>
        <w:autoSpaceDE w:val="0"/>
        <w:autoSpaceDN w:val="0"/>
        <w:adjustRightInd w:val="0"/>
        <w:spacing w:line="360" w:lineRule="auto"/>
        <w:rPr>
          <w:rFonts w:cs="仿宋_GB2312" w:asciiTheme="minorEastAsia" w:hAnsiTheme="minorEastAsia"/>
          <w:sz w:val="24"/>
          <w:szCs w:val="24"/>
          <w:lang w:val="zh-CN"/>
        </w:rPr>
      </w:pPr>
      <w:r>
        <w:rPr>
          <w:rFonts w:hint="eastAsia" w:cs="仿宋_GB2312" w:asciiTheme="minorEastAsia" w:hAnsiTheme="minorEastAsia"/>
          <w:sz w:val="24"/>
          <w:szCs w:val="24"/>
          <w:lang w:val="zh-CN"/>
        </w:rPr>
        <w:t>（2）因投标人原因电子投标文件解密失败的，由系统技术人员协助投标人将备份文件（电子介质存储）导入系统。若备份文件（电子介质存储）无法导入系统或导入系统仍无法解密的，其投标将被拒绝。</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.4 投标人不足3家的，不得开标。</w:t>
      </w:r>
    </w:p>
    <w:p>
      <w:pPr>
        <w:tabs>
          <w:tab w:val="left" w:pos="1260"/>
        </w:tabs>
        <w:autoSpaceDE w:val="0"/>
        <w:autoSpaceDN w:val="0"/>
        <w:spacing w:line="360" w:lineRule="auto"/>
        <w:contextualSpacing/>
        <w:rPr>
          <w:rFonts w:asciiTheme="minorEastAsia" w:hAnsiTheme="minorEastAsia"/>
          <w:bCs/>
          <w:sz w:val="24"/>
          <w:szCs w:val="24"/>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w:t>
      </w:r>
      <w:r>
        <w:rPr>
          <w:rFonts w:hint="eastAsia" w:asciiTheme="minorEastAsia" w:hAnsiTheme="minorEastAsia"/>
          <w:bCs/>
          <w:sz w:val="24"/>
          <w:szCs w:val="24"/>
        </w:rPr>
        <w:t>5 开标过程</w:t>
      </w:r>
      <w:r>
        <w:rPr>
          <w:rFonts w:hint="eastAsia" w:cs="仿宋_GB2312" w:asciiTheme="minorEastAsia" w:hAnsiTheme="minorEastAsia"/>
          <w:sz w:val="24"/>
          <w:szCs w:val="24"/>
          <w:lang w:val="zh-CN"/>
        </w:rPr>
        <w:t>由采购代理机构负</w:t>
      </w:r>
      <w:r>
        <w:rPr>
          <w:rFonts w:hint="eastAsia" w:asciiTheme="minorEastAsia" w:hAnsiTheme="minorEastAsia"/>
          <w:bCs/>
          <w:sz w:val="24"/>
          <w:szCs w:val="24"/>
        </w:rPr>
        <w:t>责记录，由参加开标的各投标人代表和相关工作人员签字确认后随采购文件一并存档。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 xml:space="preserve">24.6 </w:t>
      </w:r>
      <w:r>
        <w:rPr>
          <w:rFonts w:hint="eastAsia" w:cs="仿宋_GB2312" w:asciiTheme="minorEastAsia" w:hAnsiTheme="minorEastAsia"/>
          <w:sz w:val="24"/>
          <w:szCs w:val="24"/>
          <w:lang w:val="zh-CN"/>
        </w:rPr>
        <w:t>投标人代表对开标过程和开标记录有疑义，以及认为采购人、采购代理机构相关工作人员有需要回避的情形的，应当场提出询问或者回避申请。采购人、采购代理机构对投标人代表提出的询问或者回避申请应当及时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.7 投标人未参加开标的，视同认可开标结果。</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 资格审查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Cs/>
          <w:sz w:val="24"/>
          <w:szCs w:val="24"/>
        </w:rPr>
        <w:t>开标结束后，采购人依法对投标人的资格进行审查。</w:t>
      </w:r>
      <w:r>
        <w:rPr>
          <w:rFonts w:hint="eastAsia" w:cs="仿宋_GB2312" w:asciiTheme="minorEastAsia" w:hAnsiTheme="minorEastAsia"/>
          <w:sz w:val="24"/>
          <w:szCs w:val="24"/>
          <w:lang w:val="zh-CN"/>
        </w:rPr>
        <w:t>合格投标人不足3家的，不得评标。</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.评标委员会的组成</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26.1.1 采购项目符合下列情形之一的，评标委员会成员人数应当为7人以上单数：</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（一）采购预算金额在1000万元以上；</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（二）技术复杂；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（三）社会影响较大。</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评审专家对本单位的采购项目只能作为采购人代表参与评标。采购代理机构工作人员不得参加由本机构代理的政府采购项目的评标。</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.3 评审专家与投标人存在下列利害关系之一的,应当回避: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(一)参加采购活动前三年内,与供应商存在劳动关系,或者担任过供应商的董事、监事,或者是供应商的控股股东或实际控制人；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(二)与供应商的法定代表人或者负责人有夫妻、直系血亲、三代以内旁系血亲或者近姻亲关系；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(三)与供应商有其他可能影响政府采购活动公平、公正进行的关系。</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.4 评审专家发现本人与参加采购活动的供应商有利害关系的,应当主动提出回避。采购人或者代理机构发现评审专家与参加采购活动的供应商有利害关系的,应当要求其回避。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.5 采购人不得担任评标小组长。</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.6 采购人可以在评标前说明项目背景和采购需求，说明内容不得含有歧视性、倾向性意见，不得超出招标文件所述范围。说明应当提交书面材料，并随采购文件一并存档。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26.7 评标委员会成员名单在评标结果公告前应当保密。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符合性审查</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评标委员会依据有关法律法规和招标文件的规定，对符合资格的投标人的投标文件进行符合性审查，以确定其是否满足招标文件的实质性要求。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审查、评价投标文件是否符合招标文件的商务、技术等实质性要求。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.3 可要求投标人对投标文件有关事项作出澄清或者说明。</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投标文件的澄清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对于投标文件中含义不明确、同类问题表述不一致或者有明显文字和计算错误的内容，评标委员会应当以书面形式要求投标人作出必要的澄清、说明或者补正。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投标人的澄清、说明或者补正应当采用书面形式，并加盖公章，或者由法定代表人或其授权的代表签字。投标人的澄清、说明或者补正不得超出投标文件的范围或者改变投标文件的实质性内容。</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.3 投标人的澄清文件是其投标文件的组成部分。</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2</w:t>
      </w:r>
      <w:r>
        <w:rPr>
          <w:rFonts w:hint="eastAsia" w:cs="仿宋_GB2312" w:asciiTheme="minorEastAsia" w:hAnsiTheme="minorEastAsia"/>
          <w:b/>
          <w:sz w:val="24"/>
          <w:szCs w:val="24"/>
        </w:rPr>
        <w:t>9</w:t>
      </w:r>
      <w:r>
        <w:rPr>
          <w:rFonts w:hint="eastAsia" w:cs="仿宋_GB2312" w:asciiTheme="minorEastAsia" w:hAnsiTheme="minorEastAsia"/>
          <w:b/>
          <w:sz w:val="24"/>
          <w:szCs w:val="24"/>
          <w:lang w:val="zh-CN"/>
        </w:rPr>
        <w:t>. 投标文件报价出现前后不一致的修正</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.1 投标文件中开标一览表(报价表)内容与投标文件中相应内容不一致的，以开标一览表(报价表)为准；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.2 大写金额和小写金额不一致的，以大写金额为准；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.3 单价金额小数点或者百分比有明显错位的，以开标一览表的总价为准，并修改单价；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hint="eastAsia" w:cs="仿宋_GB2312" w:asciiTheme="minorEastAsia" w:hAnsiTheme="minorEastAsia"/>
          <w:sz w:val="24"/>
          <w:szCs w:val="24"/>
        </w:rPr>
        <w:t>9</w:t>
      </w:r>
      <w:r>
        <w:rPr>
          <w:rFonts w:hint="eastAsia" w:cs="仿宋_GB2312" w:asciiTheme="minorEastAsia" w:hAnsiTheme="minorEastAsia"/>
          <w:sz w:val="24"/>
          <w:szCs w:val="24"/>
          <w:lang w:val="zh-CN"/>
        </w:rPr>
        <w:t>.4 总价金额与按单价汇总金额不一致的，以单价金额计算结果为准。同时出现两种以上不一致的，按照前款规定的顺序修正。修正后的报价按照“投标人须知”2</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.2规定经投标人确认后产生约束力，投标人不确认的，其投标无效。</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30.投标无效情形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 投标文件属下列情况之一的，按照无效投标处理：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30.1.1 未按照招标文件的规定提交投标承诺函的；</w:t>
      </w:r>
      <w:r>
        <w:rPr>
          <w:rFonts w:cs="仿宋_GB2312" w:asciiTheme="minorEastAsia" w:hAnsiTheme="minorEastAsia"/>
          <w:sz w:val="24"/>
          <w:szCs w:val="24"/>
          <w:lang w:val="zh-CN"/>
        </w:rPr>
        <w:t xml:space="preserve"> </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30.1.2 投标文件未按招标文件要求签署、盖章的；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30.1.3 不具备招标文件中规定的资格要求的；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30.1.4 报价超过招标文件中规定的预算金额或者最高限价的；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30.1.5投标文件内容模糊清，无法辨认的；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30.1.6 </w:t>
      </w:r>
      <w:r>
        <w:rPr>
          <w:rFonts w:cs="仿宋_GB2312" w:asciiTheme="minorEastAsia" w:hAnsiTheme="minorEastAsia"/>
          <w:sz w:val="24"/>
          <w:szCs w:val="24"/>
          <w:lang w:val="zh-CN"/>
        </w:rPr>
        <w:t>投标文件含有采购人不能接受的附加条件的</w:t>
      </w:r>
      <w:r>
        <w:rPr>
          <w:rFonts w:hint="eastAsia" w:cs="仿宋_GB2312" w:asciiTheme="minorEastAsia" w:hAnsiTheme="minorEastAsia"/>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 有下列情形之一的，视为投标人串通投标，其投标无效：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30.2.1 不同投标人的投标文件由同一单位或者个人编制；</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30.2.2 不同投标人委托同一单位或者个人办理投标事宜；</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30.2.3 不同投标人的投标文件载明的项目管理成员或者联系人员为同一人；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30.2.4 不同投标人的投标文件异常一致或者投标报价呈规律性差异；</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30.2.5 不同投标人的投标文件相互混装；</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30.2.6 不同投标人的投标保证金从同一单位或者个人的账户转出。</w:t>
      </w:r>
    </w:p>
    <w:p>
      <w:pPr>
        <w:pStyle w:val="14"/>
        <w:spacing w:line="360" w:lineRule="auto"/>
        <w:rPr>
          <w:rFonts w:ascii="宋体" w:hAnsi="宋体" w:cs="宋体"/>
          <w:color w:val="FF0000"/>
          <w:szCs w:val="24"/>
        </w:rPr>
      </w:pPr>
      <w:r>
        <w:rPr>
          <w:rFonts w:hint="eastAsia" w:cs="仿宋_GB2312" w:asciiTheme="minorEastAsia" w:hAnsiTheme="minorEastAsia"/>
          <w:color w:val="FF0000"/>
          <w:szCs w:val="24"/>
          <w:lang w:val="zh-CN"/>
        </w:rPr>
        <w:t>30.3</w:t>
      </w:r>
      <w:r>
        <w:rPr>
          <w:rFonts w:hint="eastAsia" w:ascii="宋体" w:hAnsi="宋体" w:cs="宋体"/>
          <w:color w:val="FF0000"/>
          <w:szCs w:val="24"/>
        </w:rPr>
        <w:t>投标人有下列情形之一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14"/>
        <w:spacing w:line="360" w:lineRule="auto"/>
        <w:rPr>
          <w:rFonts w:ascii="宋体" w:hAnsi="宋体" w:cs="宋体"/>
          <w:color w:val="FF0000"/>
          <w:szCs w:val="24"/>
        </w:rPr>
      </w:pPr>
      <w:r>
        <w:rPr>
          <w:rFonts w:hint="eastAsia" w:ascii="宋体" w:hAnsi="宋体" w:cs="宋体"/>
          <w:color w:val="FF0000"/>
          <w:szCs w:val="24"/>
        </w:rPr>
        <w:t>（一）</w:t>
      </w:r>
      <w:r>
        <w:rPr>
          <w:rFonts w:hint="eastAsia" w:ascii="宋体" w:hAnsi="宋体" w:cs="宋体"/>
          <w:color w:val="FF0000"/>
          <w:szCs w:val="24"/>
          <w:highlight w:val="yellow"/>
        </w:rPr>
        <w:t>提供虚假材料谋取中标、成交的</w:t>
      </w:r>
      <w:r>
        <w:rPr>
          <w:rFonts w:hint="eastAsia" w:ascii="宋体" w:hAnsi="宋体" w:cs="宋体"/>
          <w:color w:val="FF0000"/>
          <w:szCs w:val="24"/>
        </w:rPr>
        <w:t>；</w:t>
      </w:r>
    </w:p>
    <w:p>
      <w:pPr>
        <w:pStyle w:val="14"/>
        <w:spacing w:line="360" w:lineRule="auto"/>
        <w:rPr>
          <w:rFonts w:ascii="宋体" w:hAnsi="宋体" w:cs="宋体"/>
          <w:color w:val="FF0000"/>
          <w:szCs w:val="24"/>
        </w:rPr>
      </w:pPr>
      <w:r>
        <w:rPr>
          <w:rFonts w:hint="eastAsia" w:ascii="宋体" w:hAnsi="宋体" w:cs="宋体"/>
          <w:color w:val="FF0000"/>
          <w:szCs w:val="24"/>
        </w:rPr>
        <w:t>（二）采取不正当手段诋毁、排挤其他供应商的；</w:t>
      </w:r>
    </w:p>
    <w:p>
      <w:pPr>
        <w:pStyle w:val="14"/>
        <w:spacing w:line="360" w:lineRule="auto"/>
        <w:rPr>
          <w:rFonts w:ascii="宋体" w:hAnsi="宋体" w:cs="宋体"/>
          <w:color w:val="FF0000"/>
          <w:szCs w:val="24"/>
        </w:rPr>
      </w:pPr>
      <w:r>
        <w:rPr>
          <w:rFonts w:hint="eastAsia" w:ascii="宋体" w:hAnsi="宋体" w:cs="宋体"/>
          <w:color w:val="FF0000"/>
          <w:szCs w:val="24"/>
        </w:rPr>
        <w:t>（三）与采购人、其他供应商或者采购代理机构恶意串通的；</w:t>
      </w:r>
    </w:p>
    <w:p>
      <w:pPr>
        <w:pStyle w:val="14"/>
        <w:spacing w:line="360" w:lineRule="auto"/>
        <w:rPr>
          <w:rFonts w:ascii="宋体" w:hAnsi="宋体" w:cs="宋体"/>
          <w:color w:val="FF0000"/>
          <w:szCs w:val="24"/>
        </w:rPr>
      </w:pPr>
      <w:r>
        <w:rPr>
          <w:rFonts w:hint="eastAsia" w:ascii="宋体" w:hAnsi="宋体" w:cs="宋体"/>
          <w:color w:val="FF0000"/>
          <w:szCs w:val="24"/>
        </w:rPr>
        <w:t>（四）向采购人、采购代理机构行贿或者提供其他不正当利益的；</w:t>
      </w:r>
    </w:p>
    <w:p>
      <w:pPr>
        <w:pStyle w:val="14"/>
        <w:spacing w:line="360" w:lineRule="auto"/>
        <w:rPr>
          <w:rFonts w:ascii="宋体" w:hAnsi="宋体" w:cs="宋体"/>
          <w:color w:val="FF0000"/>
          <w:szCs w:val="24"/>
        </w:rPr>
      </w:pPr>
      <w:r>
        <w:rPr>
          <w:rFonts w:hint="eastAsia" w:ascii="宋体" w:hAnsi="宋体" w:cs="宋体"/>
          <w:color w:val="FF0000"/>
          <w:szCs w:val="24"/>
        </w:rPr>
        <w:t>（五）在招标采购过程中与采购人进行协商谈判的；</w:t>
      </w:r>
    </w:p>
    <w:p>
      <w:pPr>
        <w:pStyle w:val="14"/>
        <w:spacing w:line="360" w:lineRule="auto"/>
        <w:rPr>
          <w:rFonts w:ascii="宋体" w:hAnsi="宋体" w:cs="宋体"/>
          <w:color w:val="FF0000"/>
          <w:szCs w:val="24"/>
        </w:rPr>
      </w:pPr>
      <w:r>
        <w:rPr>
          <w:rFonts w:hint="eastAsia" w:ascii="宋体" w:hAnsi="宋体" w:cs="宋体"/>
          <w:color w:val="FF0000"/>
          <w:szCs w:val="24"/>
        </w:rPr>
        <w:t>（六）拒绝有关部门监督检查或者提供虚假情况的。</w:t>
      </w:r>
    </w:p>
    <w:p>
      <w:pPr>
        <w:pStyle w:val="14"/>
        <w:spacing w:line="360" w:lineRule="auto"/>
        <w:rPr>
          <w:rFonts w:ascii="宋体" w:hAnsi="宋体" w:cs="宋体"/>
          <w:color w:val="FF0000"/>
          <w:kern w:val="0"/>
          <w:szCs w:val="24"/>
        </w:rPr>
      </w:pPr>
      <w:r>
        <w:rPr>
          <w:rFonts w:hint="eastAsia" w:ascii="宋体" w:hAnsi="宋体" w:cs="宋体"/>
          <w:color w:val="FF0000"/>
          <w:szCs w:val="24"/>
        </w:rPr>
        <w:t>投标人有前款第（一）至（五）项情形之一的，中标、成交无效。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30.4 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30.5 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30.6 </w:t>
      </w:r>
      <w:r>
        <w:rPr>
          <w:rFonts w:cs="仿宋_GB2312" w:asciiTheme="minorEastAsia" w:hAnsiTheme="minorEastAsia"/>
          <w:sz w:val="24"/>
          <w:szCs w:val="24"/>
          <w:lang w:val="zh-CN"/>
        </w:rPr>
        <w:t>法律、法规和招标文件规定的其他无效情形。</w:t>
      </w:r>
    </w:p>
    <w:p>
      <w:pPr>
        <w:tabs>
          <w:tab w:val="left" w:pos="1260"/>
        </w:tabs>
        <w:autoSpaceDE w:val="0"/>
        <w:autoSpaceDN w:val="0"/>
        <w:spacing w:line="360" w:lineRule="auto"/>
        <w:contextualSpacing/>
        <w:rPr>
          <w:rFonts w:asciiTheme="minorEastAsia" w:hAnsiTheme="minorEastAsia"/>
          <w:b/>
          <w:bCs/>
          <w:sz w:val="24"/>
          <w:szCs w:val="24"/>
          <w:lang w:val="zh-CN"/>
        </w:rPr>
      </w:pPr>
      <w:r>
        <w:rPr>
          <w:rFonts w:hint="eastAsia" w:cs="仿宋_GB2312" w:asciiTheme="minorEastAsia" w:hAnsiTheme="minorEastAsia"/>
          <w:sz w:val="24"/>
          <w:szCs w:val="24"/>
          <w:lang w:val="zh-CN"/>
        </w:rPr>
        <w:t>31.</w:t>
      </w:r>
      <w:r>
        <w:rPr>
          <w:rFonts w:hint="eastAsia" w:asciiTheme="minorEastAsia" w:hAnsiTheme="minorEastAsia"/>
          <w:b/>
          <w:bCs/>
          <w:sz w:val="24"/>
          <w:szCs w:val="24"/>
          <w:lang w:val="zh-CN"/>
        </w:rPr>
        <w:t xml:space="preserve"> 相同品牌投标人的认定（服务类项目不适用本条款规定）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31.1 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31.2 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32</w:t>
      </w:r>
      <w:r>
        <w:rPr>
          <w:rFonts w:hint="eastAsia" w:cs="仿宋_GB2312" w:asciiTheme="minorEastAsia" w:hAnsiTheme="minorEastAsia"/>
          <w:b/>
          <w:sz w:val="24"/>
          <w:szCs w:val="24"/>
          <w:lang w:val="zh-CN"/>
        </w:rPr>
        <w:t>. 投标文件的比较与评价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评标委员会按照招标文件中规定的评标方法和标准，对符合性审查合格的投标文件进行商务和技术评估，综合比较与评价。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33.评标方法、评标标准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 评标方法分为最低评标价法和综合评分法。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 最低评标价法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rPr>
        <w:t>33</w:t>
      </w:r>
      <w:r>
        <w:rPr>
          <w:rFonts w:hint="eastAsia" w:cs="仿宋_GB2312" w:asciiTheme="minorEastAsia" w:hAnsiTheme="minorEastAsia"/>
          <w:sz w:val="24"/>
          <w:szCs w:val="24"/>
          <w:lang w:val="zh-CN"/>
        </w:rPr>
        <w:t>.1.1.1 最低评标价法，是指投标文件满足招标文件全部实质性要求，且投标报价最低的投标人为中标候选人的评标方法。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.1.1.2 采用最低评标价法评标时，除了算术修正和落实政府采购政策需进行的价格扣除外，不能对投标人的投标价格进行任何调整。</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.1.2 综合评分法，是指投标文件满足招标文件全部实质性要求，且按照评审因素的量化指标评审得分最高的投标人为中标候选人的评标方法。</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 价格分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.2.1 价格分采用低价优先法计算，即满足招标文件要求且投标价格最低的投标报价为评标基准价，其价格分为满分。其他投标人的价格分统一按照下列公式计算：</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投标报价得分=(评标基准价/投标报价)×100</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评标总得分=F1×A1+F2×A2+……+Fn×An</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F1、F2……Fn分别为各项评审因素的得分;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A1、A2、……An 分别为各项评审因素所占的权重(A1+A2+……+An=1)。</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.2.2 评标过程中，不得去掉报价中的最高报价和最低报价。</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.2.3 因落实政府采购政策进行价格调整的，以调整后的价格计算评标基准价和投标报价。</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3</w:t>
      </w:r>
      <w:r>
        <w:rPr>
          <w:rFonts w:hint="eastAsia" w:cs="仿宋_GB2312" w:asciiTheme="minorEastAsia" w:hAnsiTheme="minorEastAsia"/>
          <w:sz w:val="24"/>
          <w:szCs w:val="24"/>
          <w:lang w:val="zh-CN"/>
        </w:rPr>
        <w:t>.3</w:t>
      </w:r>
      <w:r>
        <w:rPr>
          <w:rFonts w:hint="eastAsia" w:cs="仿宋_GB2312" w:asciiTheme="minorEastAsia" w:hAnsiTheme="minorEastAsia"/>
          <w:b/>
          <w:sz w:val="24"/>
          <w:szCs w:val="24"/>
          <w:lang w:val="zh-CN"/>
        </w:rPr>
        <w:t xml:space="preserve"> 本次评标具体评标方法、评标标准见（第六章 资格审查与</w:t>
      </w:r>
      <w:r>
        <w:rPr>
          <w:rFonts w:hint="eastAsia" w:cs="宋体" w:asciiTheme="minorEastAsia" w:hAnsiTheme="minorEastAsia"/>
          <w:b/>
          <w:kern w:val="0"/>
          <w:sz w:val="24"/>
          <w:szCs w:val="24"/>
        </w:rPr>
        <w:t>评标</w:t>
      </w:r>
      <w:r>
        <w:rPr>
          <w:rFonts w:hint="eastAsia" w:cs="仿宋_GB2312" w:asciiTheme="minorEastAsia" w:hAnsiTheme="minorEastAsia"/>
          <w:b/>
          <w:sz w:val="24"/>
          <w:szCs w:val="24"/>
          <w:lang w:val="zh-CN"/>
        </w:rPr>
        <w:t>）。</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asciiTheme="minorEastAsia" w:hAnsiTheme="minorEastAsia"/>
          <w:b/>
          <w:bCs/>
          <w:sz w:val="24"/>
          <w:szCs w:val="24"/>
          <w:lang w:val="zh-CN"/>
        </w:rPr>
        <w:t>3</w:t>
      </w:r>
      <w:r>
        <w:rPr>
          <w:rFonts w:hint="eastAsia" w:asciiTheme="minorEastAsia" w:hAnsiTheme="minorEastAsia"/>
          <w:b/>
          <w:bCs/>
          <w:sz w:val="24"/>
          <w:szCs w:val="24"/>
        </w:rPr>
        <w:t>4</w:t>
      </w:r>
      <w:r>
        <w:rPr>
          <w:rFonts w:hint="eastAsia" w:asciiTheme="minorEastAsia" w:hAnsiTheme="minorEastAsia"/>
          <w:b/>
          <w:bCs/>
          <w:sz w:val="24"/>
          <w:szCs w:val="24"/>
          <w:lang w:val="zh-CN"/>
        </w:rPr>
        <w:t>. 推荐中标候选人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.1 采用最低评标价法的，评标结果按投标报价由低到高顺序排列。投标报价相同的并列。投标文件满足招标文件全部实质性要求且投标报价最低的投标人为排名第一的中标候选人。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4</w:t>
      </w:r>
      <w:r>
        <w:rPr>
          <w:rFonts w:hint="eastAsia" w:cs="仿宋_GB2312" w:asciiTheme="minorEastAsia" w:hAnsiTheme="minorEastAsia"/>
          <w:sz w:val="24"/>
          <w:szCs w:val="24"/>
          <w:lang w:val="zh-CN"/>
        </w:rPr>
        <w:t>.2 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5</w:t>
      </w:r>
      <w:r>
        <w:rPr>
          <w:rFonts w:hint="eastAsia" w:cs="仿宋_GB2312" w:asciiTheme="minorEastAsia" w:hAnsiTheme="minorEastAsia"/>
          <w:b/>
          <w:sz w:val="24"/>
          <w:szCs w:val="24"/>
          <w:lang w:val="zh-CN"/>
        </w:rPr>
        <w:t>.评审意见无效情形</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评标委员会及其成员有下列行为之一的，其评审意见无效：</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.1 确定参与评标至评标结束前私自接触投标人；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.2 接受投标人提出的与投标文件不一致的澄清或者说明，《投标人须知》2</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条规定的情形除外；</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.3 违反评标纪律发表倾向性意见或者征询采购人的倾向性意见；</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.4 对需要专业判断的主观评审因素协商评分；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35.5 在评标过程中擅离职守，影响评标程序正常进行的；</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.6 记录、复制或者带走任何评标资料；</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.7 其他不遵守评标纪律的行为。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6</w:t>
      </w:r>
      <w:r>
        <w:rPr>
          <w:rFonts w:hint="eastAsia" w:cs="仿宋_GB2312" w:asciiTheme="minorEastAsia" w:hAnsiTheme="minorEastAsia"/>
          <w:b/>
          <w:sz w:val="24"/>
          <w:szCs w:val="24"/>
          <w:lang w:val="zh-CN"/>
        </w:rPr>
        <w:t>. 保密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.1 评审专家应当遵守评审工作纪律，不得泄露评审文件、评审情况和评审中获悉的商业秘密。</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6</w:t>
      </w:r>
      <w:r>
        <w:rPr>
          <w:rFonts w:hint="eastAsia" w:cs="仿宋_GB2312" w:asciiTheme="minorEastAsia" w:hAnsiTheme="minorEastAsia"/>
          <w:sz w:val="24"/>
          <w:szCs w:val="24"/>
          <w:lang w:val="zh-CN"/>
        </w:rPr>
        <w:t>.2 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 w:val="24"/>
          <w:szCs w:val="24"/>
          <w:lang w:val="zh-CN"/>
        </w:rPr>
      </w:pPr>
    </w:p>
    <w:p>
      <w:pPr>
        <w:tabs>
          <w:tab w:val="left" w:pos="1260"/>
        </w:tabs>
        <w:autoSpaceDE w:val="0"/>
        <w:autoSpaceDN w:val="0"/>
        <w:spacing w:line="360" w:lineRule="auto"/>
        <w:contextualSpacing/>
        <w:jc w:val="center"/>
        <w:rPr>
          <w:rFonts w:cs="宋体" w:asciiTheme="minorEastAsia" w:hAnsiTheme="minorEastAsia"/>
          <w:b/>
          <w:kern w:val="0"/>
          <w:sz w:val="28"/>
          <w:szCs w:val="28"/>
        </w:rPr>
      </w:pPr>
      <w:r>
        <w:rPr>
          <w:rFonts w:hint="eastAsia" w:cs="宋体" w:asciiTheme="minorEastAsia" w:hAnsiTheme="minorEastAsia"/>
          <w:b/>
          <w:kern w:val="0"/>
          <w:sz w:val="28"/>
          <w:szCs w:val="28"/>
        </w:rPr>
        <w:t>六、定标和授予合同</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7</w:t>
      </w:r>
      <w:r>
        <w:rPr>
          <w:rFonts w:hint="eastAsia" w:cs="仿宋_GB2312" w:asciiTheme="minorEastAsia" w:hAnsiTheme="minorEastAsia"/>
          <w:b/>
          <w:sz w:val="24"/>
          <w:szCs w:val="24"/>
          <w:lang w:val="zh-CN"/>
        </w:rPr>
        <w:t>. 确定中标人</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.1 采购人应当自收到评标报告之日起</w:t>
      </w:r>
      <w:r>
        <w:rPr>
          <w:rFonts w:hint="eastAsia" w:cs="仿宋_GB2312" w:asciiTheme="minorEastAsia" w:hAnsiTheme="minorEastAsia"/>
          <w:sz w:val="24"/>
          <w:szCs w:val="24"/>
        </w:rPr>
        <w:t>5</w:t>
      </w:r>
      <w:r>
        <w:rPr>
          <w:rFonts w:hint="eastAsia" w:cs="仿宋_GB2312" w:asciiTheme="minorEastAsia" w:hAnsiTheme="minorEastAsia"/>
          <w:sz w:val="24"/>
          <w:szCs w:val="24"/>
          <w:lang w:val="zh-CN"/>
        </w:rPr>
        <w:t>个工作日内，在评标报告确定的中标候选人名单中按顺序确定中标人。中标候选人并列的，由采购人采取随机抽取的方式确定。</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7</w:t>
      </w:r>
      <w:r>
        <w:rPr>
          <w:rFonts w:hint="eastAsia" w:cs="仿宋_GB2312" w:asciiTheme="minorEastAsia" w:hAnsiTheme="minorEastAsia"/>
          <w:sz w:val="24"/>
          <w:szCs w:val="24"/>
          <w:lang w:val="zh-CN"/>
        </w:rPr>
        <w:t>.2 采购人在收到评标报告5个工作日内未按评标报告推荐的中标候选人顺序确定中标人，又不能说明合法理由的，视同按评标报告推荐的顺序确定排名第一的中标候选人为中标人。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3</w:t>
      </w:r>
      <w:r>
        <w:rPr>
          <w:rFonts w:hint="eastAsia" w:cs="仿宋_GB2312" w:asciiTheme="minorEastAsia" w:hAnsiTheme="minorEastAsia"/>
          <w:b/>
          <w:sz w:val="24"/>
          <w:szCs w:val="24"/>
        </w:rPr>
        <w:t>8</w:t>
      </w:r>
      <w:r>
        <w:rPr>
          <w:rFonts w:hint="eastAsia" w:cs="仿宋_GB2312" w:asciiTheme="minorEastAsia" w:hAnsiTheme="minorEastAsia"/>
          <w:b/>
          <w:sz w:val="24"/>
          <w:szCs w:val="24"/>
          <w:lang w:val="zh-CN"/>
        </w:rPr>
        <w:t>. 中标公告、发出中标通知书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.1 采购人确认中标人后，招标人在公告中标结果的同时，向中标人发出中标通知书。</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w:t>
      </w:r>
      <w:r>
        <w:rPr>
          <w:rFonts w:hint="eastAsia" w:cs="仿宋_GB2312" w:asciiTheme="minorEastAsia" w:hAnsiTheme="minorEastAsia"/>
          <w:sz w:val="24"/>
          <w:szCs w:val="24"/>
        </w:rPr>
        <w:t>8</w:t>
      </w:r>
      <w:r>
        <w:rPr>
          <w:rFonts w:hint="eastAsia" w:cs="仿宋_GB2312" w:asciiTheme="minorEastAsia" w:hAnsiTheme="minorEastAsia"/>
          <w:sz w:val="24"/>
          <w:szCs w:val="24"/>
          <w:lang w:val="zh-CN"/>
        </w:rPr>
        <w:t>.2 中标通知书发出后，采购人不得违法改变中标结果，中标人无正当理由不得放弃中标。</w:t>
      </w:r>
    </w:p>
    <w:p>
      <w:pPr>
        <w:tabs>
          <w:tab w:val="left" w:pos="1260"/>
        </w:tabs>
        <w:autoSpaceDE w:val="0"/>
        <w:autoSpaceDN w:val="0"/>
        <w:spacing w:line="360" w:lineRule="auto"/>
        <w:contextualSpacing/>
        <w:rPr>
          <w:rFonts w:cs="宋体" w:asciiTheme="minorEastAsia" w:hAnsiTheme="minorEastAsia"/>
          <w:bCs/>
          <w:sz w:val="24"/>
          <w:szCs w:val="24"/>
          <w:lang w:val="zh-CN"/>
        </w:rPr>
      </w:pPr>
      <w:r>
        <w:rPr>
          <w:rFonts w:hint="eastAsia" w:cs="仿宋_GB2312" w:asciiTheme="minorEastAsia" w:hAnsiTheme="minorEastAsia"/>
          <w:sz w:val="24"/>
          <w:szCs w:val="24"/>
        </w:rPr>
        <w:t xml:space="preserve">38.3 </w:t>
      </w:r>
      <w:r>
        <w:rPr>
          <w:rFonts w:hint="eastAsia" w:cs="宋体" w:asciiTheme="minorEastAsia" w:hAnsiTheme="minorEastAsia"/>
          <w:bCs/>
          <w:sz w:val="24"/>
          <w:szCs w:val="24"/>
          <w:lang w:val="zh-CN"/>
        </w:rPr>
        <w:t>中标人在接到中标通知时，须向代理机构发送投标报价及分项报价一览表（包含主要中标标的的名称、规格型号、数量、单价、服务要求等）电子文档，并同时通知代理机构联系人。</w:t>
      </w:r>
    </w:p>
    <w:p>
      <w:pPr>
        <w:tabs>
          <w:tab w:val="left" w:pos="1260"/>
        </w:tabs>
        <w:autoSpaceDE w:val="0"/>
        <w:autoSpaceDN w:val="0"/>
        <w:spacing w:line="360" w:lineRule="auto"/>
        <w:contextualSpacing/>
        <w:rPr>
          <w:rFonts w:cs="仿宋_GB2312" w:asciiTheme="minorEastAsia" w:hAnsiTheme="minorEastAsia"/>
          <w:b/>
          <w:sz w:val="24"/>
          <w:szCs w:val="24"/>
          <w:lang w:val="zh-CN"/>
        </w:rPr>
      </w:pPr>
      <w:r>
        <w:rPr>
          <w:rFonts w:hint="eastAsia" w:cs="仿宋_GB2312" w:asciiTheme="minorEastAsia" w:hAnsiTheme="minorEastAsia"/>
          <w:b/>
          <w:sz w:val="24"/>
          <w:szCs w:val="24"/>
        </w:rPr>
        <w:t>39.</w:t>
      </w:r>
      <w:r>
        <w:rPr>
          <w:rFonts w:hint="eastAsia" w:cs="仿宋_GB2312" w:asciiTheme="minorEastAsia" w:hAnsiTheme="minorEastAsia"/>
          <w:b/>
          <w:sz w:val="24"/>
          <w:szCs w:val="24"/>
          <w:lang w:val="zh-CN"/>
        </w:rPr>
        <w:t>质疑提出与答复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 供应商认为采购文件、采购过程和中标结果使自己的权益受到损害的，可以按照</w:t>
      </w:r>
      <w:r>
        <w:rPr>
          <w:rFonts w:hint="eastAsia" w:ascii="宋体" w:cs="宋体"/>
          <w:bCs/>
          <w:kern w:val="0"/>
          <w:sz w:val="24"/>
          <w:lang w:val="zh-CN"/>
        </w:rPr>
        <w:t>财政部94号令</w:t>
      </w:r>
      <w:r>
        <w:rPr>
          <w:rFonts w:hint="eastAsia" w:cs="宋体" w:asciiTheme="minorEastAsia" w:hAnsiTheme="minorEastAsia"/>
          <w:bCs/>
          <w:sz w:val="24"/>
          <w:szCs w:val="24"/>
          <w:lang w:val="zh-CN"/>
        </w:rPr>
        <w:t>提出质</w:t>
      </w:r>
      <w:r>
        <w:rPr>
          <w:rFonts w:hint="eastAsia" w:cs="仿宋_GB2312" w:asciiTheme="minorEastAsia" w:hAnsiTheme="minorEastAsia"/>
          <w:sz w:val="24"/>
          <w:szCs w:val="24"/>
        </w:rPr>
        <w:t>疑。</w:t>
      </w:r>
      <w:r>
        <w:rPr>
          <w:rFonts w:cs="仿宋_GB2312" w:asciiTheme="minorEastAsia" w:hAnsiTheme="minorEastAsia"/>
          <w:sz w:val="24"/>
          <w:szCs w:val="24"/>
        </w:rPr>
        <w:t>提出质疑的供应商应当是参与</w:t>
      </w:r>
      <w:r>
        <w:rPr>
          <w:rFonts w:hint="eastAsia" w:cs="仿宋_GB2312" w:asciiTheme="minorEastAsia" w:hAnsiTheme="minorEastAsia"/>
          <w:sz w:val="24"/>
          <w:szCs w:val="24"/>
        </w:rPr>
        <w:t>本</w:t>
      </w:r>
      <w:r>
        <w:rPr>
          <w:rFonts w:cs="仿宋_GB2312" w:asciiTheme="minorEastAsia" w:hAnsiTheme="minorEastAsia"/>
          <w:sz w:val="24"/>
          <w:szCs w:val="24"/>
        </w:rPr>
        <w:t>项目采购活动的供应商。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39.1.1 对采购文件提出质疑的，</w:t>
      </w:r>
      <w:r>
        <w:rPr>
          <w:rFonts w:cs="仿宋_GB2312" w:asciiTheme="minorEastAsia" w:hAnsiTheme="minorEastAsia"/>
          <w:sz w:val="24"/>
          <w:szCs w:val="24"/>
        </w:rPr>
        <w:t>潜在</w:t>
      </w:r>
      <w:r>
        <w:rPr>
          <w:rFonts w:hint="eastAsia" w:cs="仿宋_GB2312" w:asciiTheme="minorEastAsia" w:hAnsiTheme="minorEastAsia"/>
          <w:sz w:val="24"/>
          <w:szCs w:val="24"/>
        </w:rPr>
        <w:t>投标人应</w:t>
      </w:r>
      <w:r>
        <w:rPr>
          <w:rFonts w:cs="仿宋_GB2312" w:asciiTheme="minorEastAsia" w:hAnsiTheme="minorEastAsia"/>
          <w:sz w:val="24"/>
          <w:szCs w:val="24"/>
        </w:rPr>
        <w:t>已依法获取采购文件</w:t>
      </w:r>
      <w:r>
        <w:rPr>
          <w:rFonts w:hint="eastAsia" w:cs="仿宋_GB2312" w:asciiTheme="minorEastAsia" w:hAnsiTheme="minorEastAsia"/>
          <w:sz w:val="24"/>
          <w:szCs w:val="24"/>
        </w:rPr>
        <w:t>，且应当在</w:t>
      </w:r>
      <w:r>
        <w:rPr>
          <w:rFonts w:cs="仿宋_GB2312" w:asciiTheme="minorEastAsia" w:hAnsiTheme="minorEastAsia"/>
          <w:sz w:val="24"/>
          <w:szCs w:val="24"/>
        </w:rPr>
        <w:t>获取采购文件或者采购文件公告期限届满之日起7个工作日内</w:t>
      </w:r>
      <w:r>
        <w:rPr>
          <w:rFonts w:hint="eastAsia" w:cs="仿宋_GB2312" w:asciiTheme="minorEastAsia" w:hAnsiTheme="minorEastAsia"/>
          <w:sz w:val="24"/>
          <w:szCs w:val="24"/>
        </w:rPr>
        <w:t>通过《全国公共资源交易平台（河南省·许昌市）》一次性提出，提出后通知中心项目联系人查收，同时将纸质质疑函一式两份送至采购单位，如未提出视为全面接受；</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39.1.2 对采购过程提出质疑的，为各采购程序环节结束之日起七个工作日内，以书面形式向采购人和采购代理机构一次性提出；</w:t>
      </w:r>
      <w:r>
        <w:rPr>
          <w:rFonts w:hint="eastAsia" w:cs="仿宋_GB2312" w:asciiTheme="minorEastAsia" w:hAnsiTheme="minorEastAsia"/>
          <w:sz w:val="24"/>
          <w:szCs w:val="24"/>
        </w:rPr>
        <w:br w:type="textWrapping"/>
      </w:r>
      <w:r>
        <w:rPr>
          <w:rFonts w:hint="eastAsia" w:cs="仿宋_GB2312" w:asciiTheme="minorEastAsia" w:hAnsiTheme="minorEastAsia"/>
          <w:sz w:val="24"/>
          <w:szCs w:val="24"/>
        </w:rPr>
        <w:t>39.1.3 对中标结果提出质疑的，为中标结果公告期限届满之日起七个工作日内，以书面形式向采购人和采购代理机构一次性提出。</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 </w:t>
      </w:r>
      <w:r>
        <w:rPr>
          <w:rFonts w:cs="仿宋_GB2312" w:asciiTheme="minorEastAsia" w:hAnsiTheme="minorEastAsia"/>
          <w:sz w:val="24"/>
          <w:szCs w:val="24"/>
        </w:rPr>
        <w:t>采购人、采购代理机构认为供应商质疑不成立，或者成立但未对中标结果构成影响的，继续开展采购活动；认为供应商质疑成立且影响或者可能影响中标结果的，按照下列情况处理：</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39.2.1 </w:t>
      </w:r>
      <w:r>
        <w:rPr>
          <w:rFonts w:cs="仿宋_GB2312" w:asciiTheme="minorEastAsia" w:hAnsiTheme="minorEastAsia"/>
          <w:sz w:val="24"/>
          <w:szCs w:val="24"/>
        </w:rPr>
        <w:t>对采购文件提出的质疑，依法通过澄清或者修改可以继续开展采购活动的，澄清或者修改采购文件后继续开展采购活动；否则应当修改采购文件后重新开展采购活动。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 xml:space="preserve">39.2.2 </w:t>
      </w:r>
      <w:r>
        <w:rPr>
          <w:rFonts w:cs="仿宋_GB2312" w:asciiTheme="minorEastAsia" w:hAnsiTheme="minorEastAsia"/>
          <w:sz w:val="24"/>
          <w:szCs w:val="24"/>
        </w:rPr>
        <w:t>对采购过程、中标结果提出的质疑，合格供应商符合法定数量时，可以从合格的中标</w:t>
      </w:r>
      <w:r>
        <w:rPr>
          <w:rFonts w:hint="eastAsia" w:cs="仿宋_GB2312" w:asciiTheme="minorEastAsia" w:hAnsiTheme="minorEastAsia"/>
          <w:sz w:val="24"/>
          <w:szCs w:val="24"/>
        </w:rPr>
        <w:t>候选人</w:t>
      </w:r>
      <w:r>
        <w:rPr>
          <w:rFonts w:cs="仿宋_GB2312" w:asciiTheme="minorEastAsia" w:hAnsiTheme="minorEastAsia"/>
          <w:sz w:val="24"/>
          <w:szCs w:val="24"/>
        </w:rPr>
        <w:t>中另行确定中标供应商的，应当依法另行确定中标供应商；否则应当重新开展采购活动。</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 答复</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39.3.1 对采购文件提出质疑的，质疑供应商和其他有关供应商在法定时限内到《全国公共资源交易平台（河南省·许昌市）》自行下载并打印书面质疑回复函，或者联系采购单位领取书面质疑回复函。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39.3.2 对采购过程提出质疑的，质疑供应商和其他有关供应商在法定时限内联系采购单位领取书面质疑回复函。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sz w:val="24"/>
          <w:szCs w:val="24"/>
        </w:rPr>
      </w:pPr>
      <w:r>
        <w:rPr>
          <w:rFonts w:hint="eastAsia" w:cs="仿宋_GB2312" w:asciiTheme="minorEastAsia" w:hAnsiTheme="minorEastAsia"/>
          <w:sz w:val="24"/>
          <w:szCs w:val="24"/>
        </w:rPr>
        <w:t>39.3.3 对中标结果提出质疑的，质疑供应商和其他有关供应商在法定时限内联系采购单位领取书面质疑回复函。</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40.</w:t>
      </w:r>
      <w:r>
        <w:rPr>
          <w:rFonts w:hint="eastAsia" w:cs="仿宋_GB2312" w:asciiTheme="minorEastAsia" w:hAnsiTheme="minorEastAsia"/>
          <w:b/>
          <w:sz w:val="24"/>
          <w:szCs w:val="24"/>
          <w:lang w:val="zh-CN"/>
        </w:rPr>
        <w:t>签订合同</w:t>
      </w:r>
    </w:p>
    <w:p>
      <w:pPr>
        <w:tabs>
          <w:tab w:val="left" w:pos="1260"/>
        </w:tabs>
        <w:autoSpaceDE w:val="0"/>
        <w:autoSpaceDN w:val="0"/>
        <w:spacing w:line="360" w:lineRule="auto"/>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采购人应当自中标通知书发出之日起30日内，按照招标文件和中标人投标文件的规定，与中标人签订书面合同。所签订的合同不得对招标文件确定的事项和中标人投标文件作实质性修改。</w:t>
      </w:r>
    </w:p>
    <w:p>
      <w:pPr>
        <w:tabs>
          <w:tab w:val="left" w:pos="1260"/>
        </w:tabs>
        <w:autoSpaceDE w:val="0"/>
        <w:autoSpaceDN w:val="0"/>
        <w:spacing w:line="360" w:lineRule="auto"/>
        <w:contextualSpacing/>
        <w:rPr>
          <w:rFonts w:cs="仿宋_GB2312" w:asciiTheme="minorEastAsia" w:hAnsiTheme="minorEastAsia"/>
          <w:b/>
          <w:sz w:val="24"/>
          <w:szCs w:val="24"/>
        </w:rPr>
      </w:pPr>
      <w:r>
        <w:rPr>
          <w:rFonts w:hint="eastAsia" w:cs="仿宋_GB2312" w:asciiTheme="minorEastAsia" w:hAnsiTheme="minorEastAsia"/>
          <w:b/>
          <w:sz w:val="24"/>
          <w:szCs w:val="24"/>
        </w:rPr>
        <w:t>41.履约保证金</w:t>
      </w:r>
    </w:p>
    <w:p>
      <w:pPr>
        <w:autoSpaceDE w:val="0"/>
        <w:autoSpaceDN w:val="0"/>
        <w:spacing w:line="360" w:lineRule="auto"/>
        <w:contextualSpacing/>
        <w:rPr>
          <w:rFonts w:cs="仿宋_GB2312" w:asciiTheme="minorEastAsia" w:hAnsiTheme="minorEastAsia"/>
          <w:b/>
          <w:color w:val="FF0000"/>
          <w:sz w:val="24"/>
          <w:szCs w:val="24"/>
        </w:rPr>
      </w:pPr>
      <w:r>
        <w:rPr>
          <w:rFonts w:hint="eastAsia" w:cs="宋体" w:asciiTheme="minorEastAsia" w:hAnsiTheme="minorEastAsia"/>
          <w:kern w:val="0"/>
          <w:sz w:val="24"/>
          <w:szCs w:val="24"/>
        </w:rPr>
        <w:t>“投标人须知前附表”中规定</w:t>
      </w:r>
      <w:r>
        <w:rPr>
          <w:rFonts w:hint="eastAsia" w:cs="宋体" w:asciiTheme="minorEastAsia" w:hAnsiTheme="minorEastAsia"/>
          <w:color w:val="333333"/>
          <w:sz w:val="24"/>
          <w:szCs w:val="24"/>
        </w:rPr>
        <w:t>中标人提交履约保证金的，中标人应当以支票、汇票、本票或者金融机构、担保机构出具的保函等非现金形式向采购人提交。履约保证金的数额不得超过政府采购合同金额的10%。</w:t>
      </w:r>
      <w:r>
        <w:rPr>
          <w:rFonts w:hint="eastAsia" w:ascii="宋体" w:hAnsi="宋体" w:eastAsia="宋体" w:cs="宋体"/>
          <w:color w:val="333333"/>
          <w:sz w:val="24"/>
          <w:szCs w:val="24"/>
        </w:rPr>
        <w:br w:type="textWrapping"/>
      </w:r>
      <w:r>
        <w:rPr>
          <w:rFonts w:hint="eastAsia" w:cs="仿宋_GB2312" w:asciiTheme="minorEastAsia" w:hAnsiTheme="minorEastAsia"/>
          <w:b/>
          <w:color w:val="FF0000"/>
          <w:sz w:val="24"/>
          <w:szCs w:val="24"/>
        </w:rPr>
        <w:t>42. 其他</w:t>
      </w:r>
    </w:p>
    <w:p>
      <w:pPr>
        <w:tabs>
          <w:tab w:val="left" w:pos="1260"/>
        </w:tabs>
        <w:autoSpaceDE w:val="0"/>
        <w:autoSpaceDN w:val="0"/>
        <w:spacing w:line="360" w:lineRule="auto"/>
        <w:contextualSpacing/>
        <w:jc w:val="left"/>
        <w:rPr>
          <w:rFonts w:cs="宋体" w:asciiTheme="minorEastAsia" w:hAnsiTheme="minorEastAsia"/>
          <w:color w:val="FF0000"/>
          <w:kern w:val="0"/>
          <w:sz w:val="24"/>
          <w:szCs w:val="24"/>
        </w:rPr>
      </w:pPr>
      <w:r>
        <w:rPr>
          <w:rFonts w:hint="eastAsia" w:cs="宋体" w:asciiTheme="minorEastAsia" w:hAnsiTheme="minorEastAsia"/>
          <w:color w:val="FF0000"/>
          <w:kern w:val="0"/>
          <w:sz w:val="24"/>
          <w:szCs w:val="24"/>
        </w:rPr>
        <w:t>本次招标文件未尽事项，以法律法规规定的为准。</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r>
        <w:rPr>
          <w:rFonts w:cs="宋体" w:asciiTheme="majorEastAsia" w:hAnsiTheme="majorEastAsia" w:eastAsiaTheme="majorEastAsia"/>
          <w:b/>
          <w:kern w:val="0"/>
          <w:sz w:val="36"/>
          <w:szCs w:val="36"/>
        </w:rPr>
        <w:br w:type="page"/>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第五章 政府采购政策功能</w:t>
      </w:r>
    </w:p>
    <w:p>
      <w:pPr>
        <w:jc w:val="center"/>
        <w:rPr>
          <w:rFonts w:cs="宋体" w:asciiTheme="majorEastAsia" w:hAnsiTheme="majorEastAsia" w:eastAsiaTheme="majorEastAsia"/>
          <w:b/>
          <w:kern w:val="0"/>
          <w:sz w:val="36"/>
          <w:szCs w:val="36"/>
        </w:rPr>
      </w:pP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等政府采购政策。</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一、促进中小企业发展（不含民办非企业）</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1、按照财政部、工业和信息化部发布的《政府采购促进中小企业发展暂行办法》（财库[2011]181号）规定，本项目为非专门面向中小企业采购的项目，对小型和微型企业投标人产品的价格给予6%-10%的扣除，用扣除后的价格参与评审。</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2、如果本项目为非专门面向中小企业采购且接受联合体投标，联合协议中约定小型或微型企业的协议合同金额占到联合体协议合同总金额30%以上的，给予联合体2%-3%的价格扣除，用扣除后的价格参与评审。</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3、联合体各方均为小型或微型企业的，联合体视同为小型、微型企业。组成联合体的大中型企业或者其他自然人、法人或其他组织，与小型、微型企业之间不得存在投资关系。</w:t>
      </w:r>
    </w:p>
    <w:p>
      <w:pPr>
        <w:topLinePunct/>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4、中小企业投标应提供《中小企业声明函》，如为联合投标的，联合体各方需分别填写《中小企业声明函》。</w:t>
      </w:r>
    </w:p>
    <w:p>
      <w:pPr>
        <w:topLinePunct/>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二、支持监狱企业发展</w:t>
      </w:r>
    </w:p>
    <w:p>
      <w:pPr>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按照财政部、司法部发布的《关于政府采购支持监狱企业发展有关问题的通知》（</w:t>
      </w:r>
      <w:bookmarkStart w:id="0" w:name="OLE_LINK6"/>
      <w:r>
        <w:rPr>
          <w:rFonts w:hint="eastAsia" w:cs="仿宋_GB2312" w:asciiTheme="minorEastAsia" w:hAnsiTheme="minorEastAsia"/>
          <w:sz w:val="24"/>
          <w:szCs w:val="24"/>
          <w:lang w:val="zh-CN"/>
        </w:rPr>
        <w:t>财库[2014]68号</w:t>
      </w:r>
      <w:bookmarkEnd w:id="0"/>
      <w:r>
        <w:rPr>
          <w:rFonts w:hint="eastAsia" w:cs="仿宋_GB2312" w:asciiTheme="minorEastAsia" w:hAnsiTheme="minorEastAsia"/>
          <w:sz w:val="24"/>
          <w:szCs w:val="24"/>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三、促进残疾人就业</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Cs w:val="24"/>
        </w:rPr>
        <w:t>残疾人福利性单位属于小型、微型企业的，不重复享受政策。</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3、中标人为残疾人福利性单位的，招标人应当随中标结果同时公告其《残疾人福利性单位声明函》，接受社会监督。</w:t>
      </w: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ind w:left="282" w:hanging="282" w:hangingChars="78"/>
        <w:contextualSpacing/>
        <w:jc w:val="center"/>
        <w:rPr>
          <w:rFonts w:cs="宋体" w:asciiTheme="majorEastAsia" w:hAnsiTheme="majorEastAsia" w:eastAsiaTheme="majorEastAsia"/>
          <w:b/>
          <w:kern w:val="0"/>
          <w:sz w:val="36"/>
          <w:szCs w:val="36"/>
        </w:rPr>
      </w:pPr>
    </w:p>
    <w:p>
      <w:pPr>
        <w:pStyle w:val="14"/>
        <w:spacing w:line="360" w:lineRule="auto"/>
        <w:contextualSpacing/>
        <w:jc w:val="both"/>
        <w:rPr>
          <w:rFonts w:cs="宋体" w:asciiTheme="majorEastAsia" w:hAnsiTheme="majorEastAsia" w:eastAsiaTheme="majorEastAsia"/>
          <w:b/>
          <w:kern w:val="0"/>
          <w:sz w:val="36"/>
          <w:szCs w:val="36"/>
        </w:rPr>
      </w:pPr>
    </w:p>
    <w:p>
      <w:pPr>
        <w:pStyle w:val="14"/>
        <w:spacing w:line="360" w:lineRule="auto"/>
        <w:ind w:firstLine="2168" w:firstLineChars="600"/>
        <w:contextualSpacing/>
        <w:jc w:val="both"/>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第六章 资格审查与评标</w:t>
      </w:r>
    </w:p>
    <w:p>
      <w:pPr>
        <w:pStyle w:val="14"/>
        <w:spacing w:line="360" w:lineRule="auto"/>
        <w:contextualSpacing/>
        <w:rPr>
          <w:rFonts w:cs="仿宋_GB2312" w:asciiTheme="minorEastAsia" w:hAnsiTheme="minorEastAsia"/>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cs="仿宋_GB2312" w:asciiTheme="minorEastAsia" w:hAnsiTheme="minorEastAsia" w:eastAsiaTheme="minorEastAsia"/>
          <w:b/>
          <w:sz w:val="32"/>
          <w:szCs w:val="32"/>
          <w:lang w:val="zh-CN"/>
        </w:rPr>
        <w:t>一、资格审查</w:t>
      </w:r>
    </w:p>
    <w:p>
      <w:pPr>
        <w:pStyle w:val="14"/>
        <w:spacing w:line="360" w:lineRule="auto"/>
        <w:ind w:firstLine="48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Cs w:val="24"/>
          <w:lang w:val="zh-CN"/>
        </w:rPr>
        <w:t>（一）</w:t>
      </w:r>
      <w:r>
        <w:rPr>
          <w:rFonts w:cs="仿宋_GB2312" w:asciiTheme="minorEastAsia" w:hAnsiTheme="minorEastAsia" w:eastAsiaTheme="minorEastAsia"/>
          <w:szCs w:val="24"/>
          <w:lang w:val="zh-CN"/>
        </w:rPr>
        <w:t>开标结束后，</w:t>
      </w:r>
      <w:r>
        <w:rPr>
          <w:rFonts w:hint="eastAsia" w:cs="仿宋_GB2312" w:asciiTheme="minorEastAsia" w:hAnsiTheme="minorEastAsia" w:eastAsiaTheme="minorEastAsia"/>
          <w:szCs w:val="24"/>
          <w:lang w:val="zh-CN"/>
        </w:rPr>
        <w:t>采购人（采购代理机构）依法对投标人资格进行审查</w:t>
      </w:r>
      <w:r>
        <w:rPr>
          <w:rFonts w:cs="仿宋_GB2312" w:asciiTheme="minorEastAsia" w:hAnsiTheme="minorEastAsia" w:eastAsiaTheme="minorEastAsia"/>
          <w:szCs w:val="24"/>
          <w:lang w:val="zh-CN"/>
        </w:rPr>
        <w:t>。</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（二）资格证明材料（本栏所列内容为本项目的资格审查条件，如有一项不符合要求，则不能进入下一步评审）。</w:t>
      </w:r>
    </w:p>
    <w:p>
      <w:pPr>
        <w:spacing w:line="360" w:lineRule="auto"/>
        <w:ind w:right="420" w:rightChars="200"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（三）资格审查中所涉及到的证书及材料，均须在电子投标文件中提供原件扫描件（或图片）。</w:t>
      </w:r>
    </w:p>
    <w:tbl>
      <w:tblPr>
        <w:tblStyle w:val="23"/>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①2018年度经审计的财务报告，包括资产负债表、利润表、现金流量表、所有者权益变动表及其附注；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w:t>
            </w:r>
            <w:r>
              <w:rPr>
                <w:rFonts w:hint="eastAsia" w:asciiTheme="minorEastAsia" w:hAnsiTheme="minorEastAsia"/>
                <w:bCs/>
                <w:szCs w:val="21"/>
                <w:lang w:eastAsia="zh-CN"/>
              </w:rPr>
              <w:t>三</w:t>
            </w:r>
            <w:r>
              <w:rPr>
                <w:rFonts w:hint="eastAsia" w:asciiTheme="minorEastAsia" w:hAnsiTheme="minorEastAsia"/>
                <w:bCs/>
                <w:szCs w:val="21"/>
              </w:rPr>
              <w:t>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w:t>
            </w:r>
            <w:r>
              <w:rPr>
                <w:rFonts w:asciiTheme="minorEastAsia" w:hAnsiTheme="minorEastAsia"/>
                <w:bCs/>
                <w:szCs w:val="21"/>
              </w:rPr>
              <w:t>政府采购严重违法失信名单</w:t>
            </w:r>
            <w:r>
              <w:rPr>
                <w:rFonts w:hint="eastAsia" w:asciiTheme="minorEastAsia" w:hAnsiTheme="minorEastAsia"/>
                <w:bCs/>
                <w:szCs w:val="21"/>
              </w:rPr>
              <w:t>、“</w:t>
            </w:r>
            <w:r>
              <w:rPr>
                <w:rFonts w:asciiTheme="minorEastAsia" w:hAnsiTheme="minorEastAsia"/>
                <w:bCs/>
                <w:szCs w:val="21"/>
              </w:rPr>
              <w:t>中国政府采购网</w:t>
            </w:r>
            <w:r>
              <w:rPr>
                <w:rFonts w:hint="eastAsia" w:asciiTheme="minorEastAsia" w:hAnsiTheme="minorEastAsia"/>
                <w:bCs/>
                <w:szCs w:val="21"/>
              </w:rPr>
              <w:t>”政府采购严重违法失信行为记录名单、“国家企业信用公示系统”网站严重违法失信企业名单（黑名单）、</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）严重违法失信社会组织名单的投标人</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28"/>
                <w:rFonts w:hint="eastAsia" w:asciiTheme="minorEastAsia" w:hAnsiTheme="minorEastAsia"/>
                <w:bCs/>
                <w:szCs w:val="21"/>
              </w:rPr>
              <w:t>www.creditchina.gov.cn</w:t>
            </w:r>
            <w:r>
              <w:rPr>
                <w:rStyle w:val="28"/>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③“国家企业信用公示系统”网站（</w:t>
            </w:r>
            <w:r>
              <w:fldChar w:fldCharType="begin"/>
            </w:r>
            <w:r>
              <w:instrText xml:space="preserve"> HYPERLINK "http://www.gsxt.gov.cn" </w:instrText>
            </w:r>
            <w:r>
              <w:fldChar w:fldCharType="separate"/>
            </w:r>
            <w:r>
              <w:rPr>
                <w:rStyle w:val="28"/>
                <w:rFonts w:asciiTheme="minorEastAsia" w:hAnsiTheme="minorEastAsia"/>
                <w:bCs/>
                <w:szCs w:val="21"/>
              </w:rPr>
              <w:t>www.gsxt.gov.cn</w:t>
            </w:r>
            <w:r>
              <w:rPr>
                <w:rStyle w:val="28"/>
                <w:rFonts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④</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
                <w:bCs/>
                <w:szCs w:val="21"/>
              </w:rPr>
            </w:pPr>
            <w:r>
              <w:rPr>
                <w:rFonts w:hint="eastAsia" w:asciiTheme="minorEastAsia" w:hAnsiTheme="minorEastAsia"/>
                <w:bCs/>
                <w:szCs w:val="21"/>
              </w:rPr>
              <w:t>（4）信用信息的使用原则：经采购人认定的被列入失信被执行人、重大税收违法案件当事人名单、政府采购严重违法失信行为记录名单的投标人，严重违法失信企业名单（黑名单）、</w:t>
            </w:r>
            <w:r>
              <w:rPr>
                <w:rFonts w:hint="eastAsia" w:cs="仿宋_GB2312" w:asciiTheme="minorEastAsia" w:hAnsiTheme="minorEastAsia"/>
                <w:color w:val="000000"/>
                <w:szCs w:val="21"/>
              </w:rPr>
              <w:t>严重违法失信社会组织</w:t>
            </w:r>
            <w:r>
              <w:rPr>
                <w:rFonts w:hint="eastAsia" w:asciiTheme="minorEastAsia" w:hAnsiTheme="minorEastAsia"/>
                <w:bCs/>
                <w:szCs w:val="21"/>
              </w:rPr>
              <w:t>的投标人，将拒绝其参与本次政府采购活动。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hint="eastAsia" w:asciiTheme="minorEastAsia" w:hAnsiTheme="minorEastAsia" w:eastAsiaTheme="minorEastAsia"/>
                <w:b/>
                <w:bCs/>
                <w:szCs w:val="21"/>
                <w:lang w:eastAsia="zh-CN"/>
              </w:rPr>
            </w:pPr>
            <w:r>
              <w:rPr>
                <w:rFonts w:hint="eastAsia" w:asciiTheme="minorEastAsia" w:hAnsiTheme="minorEastAsia"/>
                <w:b/>
                <w:bCs/>
                <w:szCs w:val="21"/>
                <w:lang w:eastAsia="zh-CN"/>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default" w:asciiTheme="minorEastAsia" w:hAnsiTheme="minorEastAsia" w:eastAsiaTheme="minorEastAsia"/>
                <w:b/>
                <w:bCs/>
                <w:szCs w:val="21"/>
                <w:lang w:val="en-US" w:eastAsia="zh-CN"/>
              </w:rPr>
            </w:pPr>
            <w:r>
              <w:rPr>
                <w:rFonts w:hint="eastAsia" w:asciiTheme="minorEastAsia" w:hAnsiTheme="minorEastAsia"/>
                <w:b/>
                <w:bCs/>
                <w:szCs w:val="21"/>
                <w:lang w:val="en-US" w:eastAsia="zh-CN"/>
              </w:rPr>
              <w:t>10</w:t>
            </w:r>
          </w:p>
        </w:tc>
        <w:tc>
          <w:tcPr>
            <w:tcW w:w="2410" w:type="dxa"/>
            <w:vAlign w:val="center"/>
          </w:tcPr>
          <w:p>
            <w:pPr>
              <w:spacing w:line="360" w:lineRule="auto"/>
              <w:rPr>
                <w:rFonts w:hint="default" w:asciiTheme="minorEastAsia" w:hAnsiTheme="minorEastAsia" w:eastAsiaTheme="minorEastAsia"/>
                <w:b/>
                <w:bCs/>
                <w:szCs w:val="21"/>
                <w:lang w:val="en-US" w:eastAsia="zh-CN"/>
              </w:rPr>
            </w:pPr>
            <w:r>
              <w:rPr>
                <w:rFonts w:hint="eastAsia" w:asciiTheme="minorEastAsia" w:hAnsiTheme="minorEastAsia"/>
                <w:b/>
                <w:bCs/>
                <w:szCs w:val="21"/>
                <w:lang w:eastAsia="zh-CN"/>
              </w:rPr>
              <w:t>投标承诺函</w:t>
            </w:r>
          </w:p>
        </w:tc>
        <w:tc>
          <w:tcPr>
            <w:tcW w:w="5954" w:type="dxa"/>
          </w:tcPr>
          <w:p>
            <w:pPr>
              <w:spacing w:line="360" w:lineRule="auto"/>
              <w:rPr>
                <w:rFonts w:hint="eastAsia" w:cs="仿宋_GB2312" w:asciiTheme="minorEastAsia" w:hAnsiTheme="minorEastAsia"/>
                <w:szCs w:val="21"/>
                <w:lang w:val="zh-CN"/>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bCs/>
                <w:szCs w:val="21"/>
              </w:rPr>
              <w:t>1</w:t>
            </w:r>
            <w:r>
              <w:rPr>
                <w:rFonts w:hint="eastAsia" w:asciiTheme="minorEastAsia" w:hAnsiTheme="minorEastAsia"/>
                <w:b/>
                <w:bCs/>
                <w:szCs w:val="21"/>
                <w:lang w:val="en-US" w:eastAsia="zh-CN"/>
              </w:rPr>
              <w:t>1</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hint="eastAsia" w:asciiTheme="minorEastAsia" w:hAnsiTheme="minorEastAsia" w:eastAsiaTheme="minorEastAsia"/>
                <w:b/>
                <w:bCs/>
                <w:szCs w:val="21"/>
                <w:lang w:val="en-US" w:eastAsia="zh-CN"/>
              </w:rPr>
            </w:pPr>
            <w:r>
              <w:rPr>
                <w:rFonts w:hint="eastAsia" w:asciiTheme="minorEastAsia" w:hAnsiTheme="minorEastAsia"/>
                <w:b/>
                <w:szCs w:val="21"/>
              </w:rPr>
              <w:t>1</w:t>
            </w:r>
            <w:r>
              <w:rPr>
                <w:rFonts w:hint="eastAsia" w:asciiTheme="minorEastAsia" w:hAnsiTheme="minorEastAsia"/>
                <w:b/>
                <w:szCs w:val="21"/>
                <w:lang w:val="en-US" w:eastAsia="zh-CN"/>
              </w:rPr>
              <w:t>2</w:t>
            </w:r>
          </w:p>
        </w:tc>
        <w:tc>
          <w:tcPr>
            <w:tcW w:w="2410" w:type="dxa"/>
            <w:vAlign w:val="center"/>
          </w:tcPr>
          <w:p>
            <w:pPr>
              <w:spacing w:line="360" w:lineRule="auto"/>
              <w:rPr>
                <w:rFonts w:asciiTheme="minorEastAsia" w:hAnsiTheme="minorEastAsia"/>
                <w:szCs w:val="21"/>
              </w:rPr>
            </w:pPr>
            <w:r>
              <w:rPr>
                <w:rFonts w:hint="eastAsia" w:asciiTheme="minorEastAsia" w:hAnsiTheme="minorEastAsia"/>
                <w:b/>
                <w:bCs/>
                <w:szCs w:val="21"/>
              </w:rPr>
              <w:t>联合体协议</w:t>
            </w:r>
          </w:p>
        </w:tc>
        <w:tc>
          <w:tcPr>
            <w:tcW w:w="5954" w:type="dxa"/>
            <w:vAlign w:val="top"/>
          </w:tcPr>
          <w:p>
            <w:pPr>
              <w:spacing w:line="360" w:lineRule="auto"/>
              <w:rPr>
                <w:rFonts w:asciiTheme="minorEastAsia" w:hAnsiTheme="minorEastAsia"/>
                <w:b/>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4" w:hRule="atLeast"/>
        </w:trPr>
        <w:tc>
          <w:tcPr>
            <w:tcW w:w="675" w:type="dxa"/>
            <w:vAlign w:val="center"/>
          </w:tcPr>
          <w:p>
            <w:pPr>
              <w:spacing w:line="360" w:lineRule="auto"/>
              <w:contextualSpacing/>
              <w:jc w:val="center"/>
              <w:rPr>
                <w:rFonts w:hint="eastAsia" w:asciiTheme="minorEastAsia" w:hAnsiTheme="minorEastAsia" w:eastAsiaTheme="minorEastAsia"/>
                <w:b/>
                <w:szCs w:val="21"/>
                <w:lang w:val="en-US" w:eastAsia="zh-CN"/>
              </w:rPr>
            </w:pPr>
            <w:r>
              <w:rPr>
                <w:rFonts w:hint="eastAsia" w:asciiTheme="minorEastAsia" w:hAnsiTheme="minorEastAsia"/>
                <w:b/>
                <w:szCs w:val="21"/>
              </w:rPr>
              <w:t>1</w:t>
            </w:r>
            <w:r>
              <w:rPr>
                <w:rFonts w:hint="eastAsia" w:asciiTheme="minorEastAsia" w:hAnsiTheme="minorEastAsia"/>
                <w:b/>
                <w:szCs w:val="21"/>
                <w:lang w:val="en-US" w:eastAsia="zh-CN"/>
              </w:rPr>
              <w:t>3</w:t>
            </w:r>
          </w:p>
        </w:tc>
        <w:tc>
          <w:tcPr>
            <w:tcW w:w="2410" w:type="dxa"/>
            <w:vAlign w:val="center"/>
          </w:tcPr>
          <w:p>
            <w:pPr>
              <w:spacing w:line="360" w:lineRule="auto"/>
              <w:contextualSpacing/>
              <w:rPr>
                <w:rFonts w:asciiTheme="minorEastAsia" w:hAnsiTheme="minorEastAsia"/>
                <w:b/>
                <w:bCs/>
                <w:szCs w:val="21"/>
              </w:rPr>
            </w:pPr>
            <w:r>
              <w:rPr>
                <w:rFonts w:hint="eastAsia" w:asciiTheme="minorEastAsia" w:hAnsiTheme="minorEastAsia"/>
                <w:b/>
                <w:szCs w:val="21"/>
              </w:rPr>
              <w:t>投标人身份证明及授权</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（1）法定代表人身份证明或提供法定代表人授权委托书及被授权人身份证明和社保证明。（法人投标提供）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（2）单位负责人身份证明或提供单位负责人授权委托书及被授权人身份证明和社保证明。（非法人投标提供）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bCs/>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asciiTheme="minorEastAsia" w:hAnsiTheme="minorEastAsia"/>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vAlign w:val="top"/>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投标人提供未为本项目提供整体设计、规范编制或者项目管理、监理、检测等服务承诺函（承诺函格式自拟）。</w:t>
            </w:r>
          </w:p>
          <w:p>
            <w:pPr>
              <w:spacing w:line="360" w:lineRule="auto"/>
              <w:rPr>
                <w:rFonts w:cs="仿宋_GB2312" w:asciiTheme="minorEastAsia" w:hAnsiTheme="minorEastAsia"/>
                <w:szCs w:val="21"/>
                <w:lang w:val="zh-CN"/>
              </w:rPr>
            </w:pPr>
          </w:p>
        </w:tc>
      </w:tr>
    </w:tbl>
    <w:p>
      <w:pPr>
        <w:pStyle w:val="14"/>
        <w:spacing w:line="360" w:lineRule="auto"/>
        <w:contextualSpacing/>
        <w:jc w:val="both"/>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hint="eastAsia" w:cs="仿宋_GB2312" w:asciiTheme="minorEastAsia" w:hAnsiTheme="minorEastAsia" w:eastAsiaTheme="minorEastAsia"/>
          <w:b/>
          <w:sz w:val="32"/>
          <w:szCs w:val="32"/>
          <w:lang w:val="zh-CN"/>
        </w:rPr>
      </w:pPr>
    </w:p>
    <w:p>
      <w:pPr>
        <w:pStyle w:val="14"/>
        <w:spacing w:line="360" w:lineRule="auto"/>
        <w:contextualSpacing/>
        <w:jc w:val="center"/>
        <w:rPr>
          <w:rFonts w:cs="仿宋_GB2312" w:asciiTheme="minorEastAsia" w:hAnsiTheme="minorEastAsia" w:eastAsiaTheme="minorEastAsia"/>
          <w:b/>
          <w:sz w:val="32"/>
          <w:szCs w:val="32"/>
          <w:lang w:val="zh-CN"/>
        </w:rPr>
      </w:pPr>
      <w:r>
        <w:rPr>
          <w:rFonts w:hint="eastAsia" w:cs="仿宋_GB2312" w:asciiTheme="minorEastAsia" w:hAnsiTheme="minorEastAsia" w:eastAsiaTheme="minorEastAsia"/>
          <w:b/>
          <w:sz w:val="32"/>
          <w:szCs w:val="32"/>
          <w:lang w:val="zh-CN"/>
        </w:rPr>
        <w:t>二、评标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4"/>
        <w:spacing w:line="360" w:lineRule="auto"/>
        <w:ind w:firstLine="420" w:firstLineChars="200"/>
        <w:contextualSpacing/>
        <w:rPr>
          <w:rFonts w:hint="default" w:cs="仿宋_GB2312" w:asciiTheme="minorEastAsia" w:hAnsiTheme="minorEastAsia" w:eastAsiaTheme="minorEastAsia"/>
          <w:sz w:val="21"/>
          <w:szCs w:val="21"/>
          <w:lang w:val="en-US" w:eastAsia="zh-CN"/>
        </w:rPr>
      </w:pPr>
      <w:r>
        <w:rPr>
          <w:rFonts w:hint="eastAsia" w:cs="仿宋_GB2312" w:asciiTheme="minorEastAsia" w:hAnsiTheme="minorEastAsia" w:eastAsiaTheme="minorEastAsia"/>
          <w:sz w:val="21"/>
          <w:szCs w:val="21"/>
          <w:lang w:val="zh-CN"/>
        </w:rPr>
        <w:t>本项目采用综合评分法，分值</w:t>
      </w:r>
      <w:r>
        <w:rPr>
          <w:rFonts w:hint="eastAsia" w:cs="仿宋_GB2312" w:asciiTheme="minorEastAsia" w:hAnsiTheme="minorEastAsia" w:eastAsiaTheme="minorEastAsia"/>
          <w:sz w:val="21"/>
          <w:szCs w:val="21"/>
          <w:lang w:val="en-US" w:eastAsia="zh-CN"/>
        </w:rPr>
        <w:t>100分。</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4"/>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4"/>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4"/>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4"/>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如果本项目非专门面向中小企业采购，对小型和微型企业产品的价格给予6%的扣除，用扣除后的价格参与评审。如果本项目非专门面向中小企业采购且接受联合体投标，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投标应提供《中小企业声明函》，如为联合投标的，联合体各方需分别填写《中小企业声明函》。</w:t>
      </w:r>
    </w:p>
    <w:p>
      <w:pPr>
        <w:pStyle w:val="14"/>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4"/>
        <w:spacing w:line="360" w:lineRule="auto"/>
        <w:ind w:firstLine="420" w:firstLineChars="200"/>
        <w:contextualSpacing/>
        <w:rPr>
          <w:rFonts w:asciiTheme="minorEastAsia" w:hAnsiTheme="minorEastAsia" w:eastAsiaTheme="minorEastAsia"/>
          <w:color w:val="000000"/>
          <w:sz w:val="21"/>
          <w:szCs w:val="21"/>
        </w:rPr>
      </w:pPr>
      <w:r>
        <w:rPr>
          <w:rFonts w:hint="eastAsia" w:cs="仿宋_GB2312" w:asciiTheme="minorEastAsia" w:hAnsiTheme="minorEastAsia" w:eastAsiaTheme="minorEastAsia"/>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000000"/>
          <w:sz w:val="21"/>
          <w:szCs w:val="21"/>
        </w:rPr>
        <w:t>残疾人福利性单位属于小型、微型企业的，不重复享受政策。</w:t>
      </w:r>
    </w:p>
    <w:p>
      <w:pPr>
        <w:pStyle w:val="14"/>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4"/>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4"/>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cs="宋体" w:asciiTheme="minorEastAsia" w:hAnsiTheme="minorEastAsia"/>
          <w:kern w:val="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2"/>
        <w:rPr>
          <w:rFonts w:hint="eastAsia" w:cs="仿宋_GB2312" w:asciiTheme="minorEastAsia" w:hAnsiTheme="minorEastAsia"/>
          <w:szCs w:val="21"/>
          <w:lang w:val="en-US" w:eastAsia="zh-CN"/>
        </w:rPr>
      </w:pPr>
      <w:r>
        <w:rPr>
          <w:rFonts w:hint="eastAsia" w:cs="仿宋_GB2312" w:asciiTheme="minorEastAsia" w:hAnsiTheme="minorEastAsia"/>
          <w:szCs w:val="21"/>
          <w:lang w:val="en-US" w:eastAsia="zh-CN"/>
        </w:rPr>
        <w:t xml:space="preserve">   （5）评分标准</w:t>
      </w:r>
    </w:p>
    <w:tbl>
      <w:tblPr>
        <w:tblStyle w:val="23"/>
        <w:tblpPr w:leftFromText="180" w:rightFromText="180" w:vertAnchor="text" w:horzAnchor="page" w:tblpXSpec="center" w:tblpY="718"/>
        <w:tblOverlap w:val="never"/>
        <w:tblW w:w="94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5"/>
        <w:gridCol w:w="1534"/>
        <w:gridCol w:w="6090"/>
        <w:gridCol w:w="10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2329" w:type="dxa"/>
            <w:gridSpan w:val="2"/>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分值构成</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(总分100分)</w:t>
            </w:r>
          </w:p>
        </w:tc>
        <w:tc>
          <w:tcPr>
            <w:tcW w:w="7092" w:type="dxa"/>
            <w:gridSpan w:val="2"/>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价格分值：20 分</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商务部分：37分</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技术部分：43分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trPr>
        <w:tc>
          <w:tcPr>
            <w:tcW w:w="9421" w:type="dxa"/>
            <w:gridSpan w:val="4"/>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一、价格部分（满分20分）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4" w:hRule="atLeast"/>
        </w:trPr>
        <w:tc>
          <w:tcPr>
            <w:tcW w:w="2329" w:type="dxa"/>
            <w:gridSpan w:val="2"/>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评分因素</w:t>
            </w:r>
          </w:p>
        </w:tc>
        <w:tc>
          <w:tcPr>
            <w:tcW w:w="609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19" w:hRule="atLeast"/>
        </w:trPr>
        <w:tc>
          <w:tcPr>
            <w:tcW w:w="2329" w:type="dxa"/>
            <w:gridSpan w:val="2"/>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投标报价</w:t>
            </w:r>
          </w:p>
        </w:tc>
        <w:tc>
          <w:tcPr>
            <w:tcW w:w="6090" w:type="dxa"/>
            <w:tcBorders>
              <w:top w:val="single" w:color="auto" w:sz="4" w:space="0"/>
              <w:left w:val="single" w:color="auto" w:sz="4" w:space="0"/>
              <w:bottom w:val="single" w:color="auto" w:sz="4" w:space="0"/>
              <w:right w:val="single" w:color="auto" w:sz="4" w:space="0"/>
            </w:tcBorders>
            <w:vAlign w:val="center"/>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评标基准价：满足招标文件要求的有效投标报价中，最低的投标报价为评标基准价。</w:t>
            </w:r>
          </w:p>
          <w:p>
            <w:pPr>
              <w:tabs>
                <w:tab w:val="left" w:pos="1260"/>
              </w:tabs>
              <w:autoSpaceDE w:val="0"/>
              <w:autoSpaceDN w:val="0"/>
              <w:spacing w:line="360" w:lineRule="auto"/>
              <w:ind w:firstLine="420" w:firstLineChars="200"/>
              <w:contextualSpacing/>
              <w:rPr>
                <w:rFonts w:hint="default" w:cs="仿宋_GB2312" w:asciiTheme="minorEastAsia" w:hAnsiTheme="minorEastAsia" w:eastAsiaTheme="minorEastAsia"/>
                <w:szCs w:val="21"/>
                <w:lang w:val="en-US" w:eastAsia="zh-CN"/>
              </w:rPr>
            </w:pPr>
            <w:r>
              <w:rPr>
                <w:rFonts w:hint="eastAsia" w:cs="仿宋_GB2312" w:asciiTheme="minorEastAsia" w:hAnsiTheme="minorEastAsia"/>
                <w:szCs w:val="21"/>
                <w:lang w:val="zh-CN"/>
              </w:rPr>
              <w:t>投标报价得分=（评标基准价/投标报价）×</w:t>
            </w:r>
            <w:r>
              <w:rPr>
                <w:rFonts w:hint="eastAsia" w:cs="仿宋_GB2312" w:asciiTheme="minorEastAsia" w:hAnsiTheme="minorEastAsia"/>
                <w:szCs w:val="21"/>
                <w:lang w:val="en-US" w:eastAsia="zh-CN"/>
              </w:rPr>
              <w:t>20</w:t>
            </w:r>
          </w:p>
          <w:p>
            <w:pPr>
              <w:widowControl/>
              <w:shd w:val="clear" w:color="auto" w:fill="FFFFFF"/>
              <w:spacing w:line="360" w:lineRule="auto"/>
              <w:ind w:firstLine="420" w:firstLineChars="200"/>
              <w:jc w:val="left"/>
              <w:rPr>
                <w:rFonts w:ascii="宋体" w:hAnsi="宋体" w:cs="宋体"/>
                <w:color w:val="000000"/>
                <w:sz w:val="24"/>
                <w:szCs w:val="24"/>
                <w:lang w:val="en-GB"/>
              </w:rPr>
            </w:pPr>
            <w:r>
              <w:rPr>
                <w:rFonts w:hint="eastAsia" w:cs="仿宋_GB2312" w:asciiTheme="minorEastAsia" w:hAnsiTheme="minorEastAsia"/>
                <w:szCs w:val="21"/>
                <w:lang w:val="zh-CN"/>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r>
              <w:rPr>
                <w:rFonts w:hint="eastAsia" w:ascii="宋体" w:hAnsi="宋体" w:cs="宋体"/>
                <w:color w:val="000000"/>
                <w:sz w:val="24"/>
                <w:szCs w:val="24"/>
                <w:lang w:val="en-GB"/>
              </w:rPr>
              <w:t xml:space="preserve"> </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9421" w:type="dxa"/>
            <w:gridSpan w:val="4"/>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二、商务部分（满分37分）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29" w:type="dxa"/>
            <w:gridSpan w:val="2"/>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评分因素</w:t>
            </w:r>
          </w:p>
        </w:tc>
        <w:tc>
          <w:tcPr>
            <w:tcW w:w="609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65" w:hRule="atLeast"/>
        </w:trPr>
        <w:tc>
          <w:tcPr>
            <w:tcW w:w="795" w:type="dxa"/>
            <w:vMerge w:val="restart"/>
            <w:tcBorders>
              <w:top w:val="single" w:color="auto" w:sz="4" w:space="0"/>
              <w:left w:val="single" w:color="auto" w:sz="4" w:space="0"/>
              <w:right w:val="single" w:color="auto" w:sz="4" w:space="0"/>
            </w:tcBorders>
            <w:vAlign w:val="center"/>
          </w:tcPr>
          <w:p>
            <w:pPr>
              <w:widowControl/>
              <w:shd w:val="clear" w:color="auto" w:fill="FFFFFF"/>
              <w:spacing w:line="360" w:lineRule="auto"/>
              <w:rPr>
                <w:rFonts w:ascii="宋体" w:hAnsi="宋体" w:cs="宋体"/>
                <w:color w:val="000000"/>
                <w:sz w:val="24"/>
                <w:szCs w:val="24"/>
                <w:lang w:val="en-GB"/>
              </w:rPr>
            </w:pPr>
            <w:r>
              <w:rPr>
                <w:rFonts w:hint="eastAsia" w:ascii="宋体" w:hAnsi="宋体" w:cs="宋体"/>
                <w:color w:val="000000"/>
                <w:sz w:val="24"/>
                <w:szCs w:val="24"/>
                <w:lang w:val="en-GB"/>
              </w:rPr>
              <w:t>企业</w:t>
            </w:r>
          </w:p>
          <w:p>
            <w:pPr>
              <w:widowControl/>
              <w:shd w:val="clear" w:color="auto" w:fill="FFFFFF"/>
              <w:spacing w:line="360" w:lineRule="auto"/>
              <w:rPr>
                <w:rFonts w:ascii="宋体" w:hAnsi="宋体" w:cs="宋体"/>
                <w:color w:val="000000"/>
                <w:sz w:val="24"/>
                <w:szCs w:val="24"/>
                <w:lang w:val="en-GB"/>
              </w:rPr>
            </w:pPr>
            <w:r>
              <w:rPr>
                <w:rFonts w:hint="eastAsia" w:ascii="宋体" w:hAnsi="宋体" w:cs="宋体"/>
                <w:color w:val="000000"/>
                <w:sz w:val="24"/>
                <w:szCs w:val="24"/>
                <w:lang w:val="en-GB"/>
              </w:rPr>
              <w:t>实力</w:t>
            </w:r>
          </w:p>
          <w:p>
            <w:pPr>
              <w:widowControl/>
              <w:shd w:val="clear" w:color="auto" w:fill="FFFFFF"/>
              <w:spacing w:line="360" w:lineRule="auto"/>
              <w:ind w:firstLine="480" w:firstLineChars="200"/>
              <w:jc w:val="left"/>
              <w:rPr>
                <w:rFonts w:ascii="宋体" w:hAnsi="宋体" w:cs="宋体"/>
                <w:color w:val="000000"/>
                <w:sz w:val="24"/>
                <w:szCs w:val="24"/>
                <w:lang w:val="en-GB"/>
              </w:rPr>
            </w:pPr>
          </w:p>
        </w:tc>
        <w:tc>
          <w:tcPr>
            <w:tcW w:w="1534" w:type="dxa"/>
            <w:vMerge w:val="restart"/>
            <w:tcBorders>
              <w:top w:val="single" w:color="auto" w:sz="4" w:space="0"/>
              <w:left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资质证书</w:t>
            </w:r>
          </w:p>
        </w:tc>
        <w:tc>
          <w:tcPr>
            <w:tcW w:w="609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1、质量管理体系认证（ISO9001）证书 ；</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 xml:space="preserve">2、信息技术服务管理体系认证（ISO20000）证书； </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3、信息安全管理体系认证（ISO27001）证书 ；</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4、信息技术服务运行维护(ITSS)证书；</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5、安防工程企业设计施工维护能力证书 一级 ；</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6、企业信用等级证书AAA级 ；</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 xml:space="preserve">7、安全生产许可证；  </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8、高新技术企业证书。</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具有8个得4分；5-7个，得3分；其他不得分。</w:t>
            </w:r>
          </w:p>
        </w:tc>
        <w:tc>
          <w:tcPr>
            <w:tcW w:w="1002" w:type="dxa"/>
            <w:tcBorders>
              <w:top w:val="single" w:color="auto" w:sz="4" w:space="0"/>
              <w:left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23" w:hRule="atLeast"/>
        </w:trPr>
        <w:tc>
          <w:tcPr>
            <w:tcW w:w="795" w:type="dxa"/>
            <w:vMerge w:val="continue"/>
            <w:tcBorders>
              <w:left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p>
        </w:tc>
        <w:tc>
          <w:tcPr>
            <w:tcW w:w="1534" w:type="dxa"/>
            <w:vMerge w:val="continue"/>
            <w:tcBorders>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p>
        </w:tc>
        <w:tc>
          <w:tcPr>
            <w:tcW w:w="609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 xml:space="preserve">建筑企业资质证书（电子与智能化工程专业承包贰级及以上）； </w:t>
            </w:r>
          </w:p>
        </w:tc>
        <w:tc>
          <w:tcPr>
            <w:tcW w:w="1002" w:type="dxa"/>
            <w:tcBorders>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95" w:type="dxa"/>
            <w:vMerge w:val="continue"/>
            <w:tcBorders>
              <w:left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软件成熟度模型</w:t>
            </w:r>
          </w:p>
        </w:tc>
        <w:tc>
          <w:tcPr>
            <w:tcW w:w="609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 xml:space="preserve">提供软件成熟度CMMI5认证得2分，CMMI4得1分，CMMI3级及以下不得分。  </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795" w:type="dxa"/>
            <w:vMerge w:val="continue"/>
            <w:tcBorders>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p>
        </w:tc>
        <w:tc>
          <w:tcPr>
            <w:tcW w:w="1534"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信息系统集成及服务行业大型骨干企业</w:t>
            </w:r>
          </w:p>
        </w:tc>
        <w:tc>
          <w:tcPr>
            <w:tcW w:w="609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提供上一年度“信息系统集成及服务行业大型骨干企业”称号得3分，未提供不得分。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29" w:type="dxa"/>
            <w:gridSpan w:val="2"/>
            <w:vMerge w:val="restart"/>
            <w:tcBorders>
              <w:top w:val="single" w:color="auto" w:sz="4" w:space="0"/>
              <w:left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自主研发和服务能力</w:t>
            </w:r>
          </w:p>
        </w:tc>
        <w:tc>
          <w:tcPr>
            <w:tcW w:w="609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投标人具备城市智慧园区项目软件开发能力，获得与本项目建设内容相关自主知识产权的软件著作权证书，证书名称必须包含与本项目相关的关键字：</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“园区智脑”、“园区IOC”、“招商规划”、“产业经济监测”、“产业运行监测分析”</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 xml:space="preserve"> 每提供一个得2分，本项最高得10分，不提供不得分。</w:t>
            </w:r>
          </w:p>
          <w:p>
            <w:pPr>
              <w:widowControl/>
              <w:shd w:val="clear" w:color="auto" w:fill="FFFFFF"/>
              <w:spacing w:line="360" w:lineRule="auto"/>
              <w:ind w:firstLine="480" w:firstLineChars="200"/>
              <w:jc w:val="left"/>
              <w:rPr>
                <w:rFonts w:ascii="宋体" w:hAnsi="宋体" w:cs="宋体"/>
                <w:color w:val="000000"/>
                <w:sz w:val="24"/>
                <w:szCs w:val="24"/>
                <w:lang w:val="en-GB"/>
              </w:rPr>
            </w:pP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注：</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 xml:space="preserve">1.投标文件中提供软件著作权证书，证书名称必须包含上述关键字，否则评委会不予认可； </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2.软件著作权颁证日期在开标前90个自然日内无效</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ascii="宋体" w:hAnsi="宋体" w:cs="宋体"/>
                <w:color w:val="000000"/>
                <w:sz w:val="24"/>
                <w:szCs w:val="24"/>
                <w:lang w:val="en-GB"/>
              </w:rPr>
              <w:t>10</w:t>
            </w:r>
            <w:r>
              <w:rPr>
                <w:rFonts w:hint="eastAsia" w:ascii="宋体" w:hAnsi="宋体" w:cs="宋体"/>
                <w:color w:val="000000"/>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29" w:type="dxa"/>
            <w:gridSpan w:val="2"/>
            <w:vMerge w:val="continue"/>
            <w:tcBorders>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p>
        </w:tc>
        <w:tc>
          <w:tcPr>
            <w:tcW w:w="609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项目团队成员中具有高级项目经理证书，1人得1分，最高得2分；不提供不得分。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29" w:type="dxa"/>
            <w:gridSpan w:val="2"/>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项目建设经验</w:t>
            </w:r>
          </w:p>
        </w:tc>
        <w:tc>
          <w:tcPr>
            <w:tcW w:w="609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投标人必须具备自2016年1月1日至本项目招标公告发布之日为止政府信息化项目，合同项目名称中包含“智慧园区”或“大数据”或“数据中心”或“园区数据管理”或“运营中心”或“指挥中心”或“大数据”、“数据资源”或“数据共享”字样 且单项合同金额≥300万元。 投标人须提供合同关键页（封面、金额页、签章页）。</w:t>
            </w:r>
          </w:p>
          <w:p>
            <w:pPr>
              <w:widowControl/>
              <w:shd w:val="clear" w:color="auto" w:fill="FFFFFF"/>
              <w:spacing w:line="360" w:lineRule="auto"/>
              <w:ind w:firstLine="480" w:firstLineChars="200"/>
              <w:jc w:val="left"/>
              <w:rPr>
                <w:rFonts w:ascii="宋体" w:hAnsi="宋体" w:cs="宋体"/>
                <w:color w:val="000000"/>
                <w:sz w:val="24"/>
                <w:szCs w:val="24"/>
                <w:lang w:val="en-GB"/>
              </w:rPr>
            </w:pP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每提供一个得1.5分，本项最高得15分，不提供不得分。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trPr>
        <w:tc>
          <w:tcPr>
            <w:tcW w:w="9421" w:type="dxa"/>
            <w:gridSpan w:val="4"/>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三、技术部分（满分43分）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29" w:type="dxa"/>
            <w:gridSpan w:val="2"/>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评分因素</w:t>
            </w:r>
          </w:p>
        </w:tc>
        <w:tc>
          <w:tcPr>
            <w:tcW w:w="609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评分标准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29" w:type="dxa"/>
            <w:gridSpan w:val="2"/>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对项目的理解程度、实施方案、进度计划的完整性、合理性</w:t>
            </w:r>
          </w:p>
        </w:tc>
        <w:tc>
          <w:tcPr>
            <w:tcW w:w="609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根据投标人提供的相关描述，考察各投标人是否深入阐述客户建设现状及项目需求的理解，建设方案和进度计划的完整性、合理性，进行详细描述。由评委在各投标人之间进行横向比较后分档给分：内容详细，思路清晰，根据响应程度优得2分，中得1分，差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 xml:space="preserve">2分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29" w:type="dxa"/>
            <w:gridSpan w:val="2"/>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数据库建设方案</w:t>
            </w:r>
          </w:p>
        </w:tc>
        <w:tc>
          <w:tcPr>
            <w:tcW w:w="609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根据投标人提供的数据库建设方案，须包含基础数据库、模块化政策匹配库、公共服务资源库、专业服务资源库、招商主题库等数据库设计内容。内容详细，思路清晰，根据响应程度优得5分，中得3分，差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29" w:type="dxa"/>
            <w:gridSpan w:val="2"/>
            <w:vMerge w:val="restart"/>
            <w:tcBorders>
              <w:top w:val="single" w:color="auto" w:sz="4" w:space="0"/>
              <w:left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园区服务系统建设方案</w:t>
            </w:r>
          </w:p>
        </w:tc>
        <w:tc>
          <w:tcPr>
            <w:tcW w:w="609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根据投标人提供的园区服务系统建设方案，须实现企业行政事项申报和园区服务信息推送一体化服务，实现推动园区管理向园区服务转变。内容详细，思路清晰，根据响应程度优得2分，中得1分，差不得分。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ascii="宋体" w:hAnsi="宋体" w:cs="宋体"/>
                <w:color w:val="000000"/>
                <w:sz w:val="24"/>
                <w:szCs w:val="24"/>
                <w:lang w:val="en-GB"/>
              </w:rPr>
              <w:t>2</w:t>
            </w:r>
            <w:r>
              <w:rPr>
                <w:rFonts w:hint="eastAsia" w:ascii="宋体" w:hAnsi="宋体" w:cs="宋体"/>
                <w:color w:val="000000"/>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29" w:type="dxa"/>
            <w:gridSpan w:val="2"/>
            <w:vMerge w:val="continue"/>
            <w:tcBorders>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p>
        </w:tc>
        <w:tc>
          <w:tcPr>
            <w:tcW w:w="609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为满足园区服务系统建设要求，保证建设效果，投标人应具备园区服务系统相关软件著作权，著作权名称含关键字:“服务门户”、“信息服务”、“运营服务”、“信息管理”、“数据上报”、“行政审批”。</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注：</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 xml:space="preserve">1.投标文件中提供软件著作权证书，证书名称必须包含上述关键字，否则评委会不予认可； </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2.软件著作权颁证日期在开标前90个自然日内无效</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符合条件著作权6个得6分，2-5个得</w:t>
            </w:r>
            <w:r>
              <w:rPr>
                <w:rFonts w:ascii="宋体" w:hAnsi="宋体" w:cs="宋体"/>
                <w:color w:val="000000"/>
                <w:sz w:val="24"/>
                <w:szCs w:val="24"/>
                <w:lang w:val="en-GB"/>
              </w:rPr>
              <w:t>3</w:t>
            </w:r>
            <w:r>
              <w:rPr>
                <w:rFonts w:hint="eastAsia" w:ascii="宋体" w:hAnsi="宋体" w:cs="宋体"/>
                <w:color w:val="000000"/>
                <w:sz w:val="24"/>
                <w:szCs w:val="24"/>
                <w:lang w:val="en-GB"/>
              </w:rPr>
              <w:t>分，0-1个不得分。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29" w:type="dxa"/>
            <w:gridSpan w:val="2"/>
            <w:vMerge w:val="restart"/>
            <w:tcBorders>
              <w:top w:val="single" w:color="auto" w:sz="4" w:space="0"/>
              <w:left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园区招商系统建设方案</w:t>
            </w:r>
          </w:p>
        </w:tc>
        <w:tc>
          <w:tcPr>
            <w:tcW w:w="609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投标人提供的园区招商系统建设方案，须实时呈现集聚区招商成果、重大项目情况、各类招商资源利用情况等产业招商动态与进展。形成产业招商大数据资产，建立产业招商资源库、产业招商项目库、产业招商业务库；建立产业招商大数据采集、清洗、融合一体化标准体系。内容详细，思路清晰，根据响应程度优得2分，中得1分，差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29" w:type="dxa"/>
            <w:gridSpan w:val="2"/>
            <w:vMerge w:val="continue"/>
            <w:tcBorders>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p>
        </w:tc>
        <w:tc>
          <w:tcPr>
            <w:tcW w:w="609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为满足园区招商系统建设要求，保证建设效果，投标人应具备园区招商系统相关软件著作权，著作权名称含关键字:“招商规划”、“招商评测”、“资源”、“流程”、“资源分析”、“企业资源”。</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注：</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 xml:space="preserve">1.投标文件中提供软件著作权证书，证书名称必须包含上述关键字，否则评委会不予认可； </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2.软件著作权颁证日期在开标前90个自然日内无效</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符合条件著作权6个得6分，2-5个得</w:t>
            </w:r>
            <w:r>
              <w:rPr>
                <w:rFonts w:ascii="宋体" w:hAnsi="宋体" w:cs="宋体"/>
                <w:color w:val="000000"/>
                <w:sz w:val="24"/>
                <w:szCs w:val="24"/>
                <w:lang w:val="en-GB"/>
              </w:rPr>
              <w:t>3</w:t>
            </w:r>
            <w:r>
              <w:rPr>
                <w:rFonts w:hint="eastAsia" w:ascii="宋体" w:hAnsi="宋体" w:cs="宋体"/>
                <w:color w:val="000000"/>
                <w:sz w:val="24"/>
                <w:szCs w:val="24"/>
                <w:lang w:val="en-GB"/>
              </w:rPr>
              <w:t>分，0-1个不得分。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29" w:type="dxa"/>
            <w:gridSpan w:val="2"/>
            <w:vMerge w:val="restart"/>
            <w:tcBorders>
              <w:top w:val="single" w:color="auto" w:sz="4" w:space="0"/>
              <w:left w:val="single" w:color="auto" w:sz="4" w:space="0"/>
              <w:right w:val="single" w:color="auto" w:sz="4" w:space="0"/>
            </w:tcBorders>
            <w:vAlign w:val="center"/>
          </w:tcPr>
          <w:p>
            <w:pPr>
              <w:widowControl/>
              <w:shd w:val="clear" w:color="auto" w:fill="FFFFFF"/>
              <w:spacing w:line="360" w:lineRule="auto"/>
              <w:jc w:val="center"/>
              <w:rPr>
                <w:rFonts w:ascii="宋体" w:hAnsi="宋体" w:cs="宋体"/>
                <w:color w:val="000000"/>
                <w:sz w:val="24"/>
                <w:szCs w:val="24"/>
                <w:lang w:val="en-GB"/>
              </w:rPr>
            </w:pPr>
          </w:p>
          <w:p>
            <w:pPr>
              <w:widowControl/>
              <w:shd w:val="clear" w:color="auto" w:fill="FFFFFF"/>
              <w:spacing w:line="360" w:lineRule="auto"/>
              <w:jc w:val="center"/>
              <w:rPr>
                <w:rFonts w:ascii="宋体" w:hAnsi="宋体" w:cs="宋体"/>
                <w:color w:val="000000"/>
                <w:sz w:val="24"/>
                <w:szCs w:val="24"/>
                <w:lang w:val="en-GB"/>
              </w:rPr>
            </w:pPr>
          </w:p>
          <w:p>
            <w:pPr>
              <w:widowControl/>
              <w:shd w:val="clear" w:color="auto" w:fill="FFFFFF"/>
              <w:spacing w:line="360" w:lineRule="auto"/>
              <w:jc w:val="center"/>
              <w:rPr>
                <w:rFonts w:ascii="宋体" w:hAnsi="宋体" w:cs="宋体"/>
                <w:color w:val="000000"/>
                <w:sz w:val="24"/>
                <w:szCs w:val="24"/>
                <w:lang w:val="en-GB"/>
              </w:rPr>
            </w:pPr>
          </w:p>
          <w:p>
            <w:pPr>
              <w:widowControl/>
              <w:shd w:val="clear" w:color="auto" w:fill="FFFFFF"/>
              <w:spacing w:line="360" w:lineRule="auto"/>
              <w:jc w:val="center"/>
              <w:rPr>
                <w:rFonts w:ascii="宋体" w:hAnsi="宋体" w:cs="宋体"/>
                <w:color w:val="000000"/>
                <w:sz w:val="24"/>
                <w:szCs w:val="24"/>
                <w:lang w:val="en-GB"/>
              </w:rPr>
            </w:pPr>
          </w:p>
          <w:p>
            <w:pPr>
              <w:widowControl/>
              <w:shd w:val="clear" w:color="auto" w:fill="FFFFFF"/>
              <w:spacing w:line="360" w:lineRule="auto"/>
              <w:jc w:val="center"/>
              <w:rPr>
                <w:rFonts w:ascii="宋体" w:hAnsi="宋体" w:cs="宋体"/>
                <w:color w:val="000000"/>
                <w:sz w:val="24"/>
                <w:szCs w:val="24"/>
                <w:lang w:val="en-GB"/>
              </w:rPr>
            </w:pPr>
          </w:p>
          <w:p>
            <w:pPr>
              <w:widowControl/>
              <w:shd w:val="clear" w:color="auto" w:fill="FFFFFF"/>
              <w:spacing w:line="360" w:lineRule="auto"/>
              <w:jc w:val="center"/>
              <w:rPr>
                <w:rFonts w:ascii="宋体" w:hAnsi="宋体" w:cs="宋体"/>
                <w:color w:val="000000"/>
                <w:sz w:val="24"/>
                <w:szCs w:val="24"/>
                <w:lang w:val="en-GB"/>
              </w:rPr>
            </w:pPr>
          </w:p>
          <w:p>
            <w:pPr>
              <w:widowControl/>
              <w:shd w:val="clear" w:color="auto" w:fill="FFFFFF"/>
              <w:spacing w:line="360" w:lineRule="auto"/>
              <w:jc w:val="center"/>
              <w:rPr>
                <w:rFonts w:ascii="宋体" w:hAnsi="宋体" w:cs="宋体"/>
                <w:color w:val="000000"/>
                <w:sz w:val="24"/>
                <w:szCs w:val="24"/>
                <w:lang w:val="en-GB"/>
              </w:rPr>
            </w:pPr>
          </w:p>
          <w:p>
            <w:pPr>
              <w:widowControl/>
              <w:shd w:val="clear" w:color="auto" w:fill="FFFFFF"/>
              <w:spacing w:line="360" w:lineRule="auto"/>
              <w:jc w:val="center"/>
              <w:rPr>
                <w:rFonts w:ascii="宋体" w:hAnsi="宋体" w:cs="宋体"/>
                <w:color w:val="000000"/>
                <w:sz w:val="24"/>
                <w:szCs w:val="24"/>
                <w:lang w:val="en-GB"/>
              </w:rPr>
            </w:pPr>
            <w:r>
              <w:rPr>
                <w:rFonts w:hint="eastAsia" w:ascii="宋体" w:hAnsi="宋体" w:cs="宋体"/>
                <w:color w:val="000000"/>
                <w:sz w:val="24"/>
                <w:szCs w:val="24"/>
                <w:lang w:val="en-GB"/>
              </w:rPr>
              <w:t>产业监测系统建设方案</w:t>
            </w:r>
          </w:p>
        </w:tc>
        <w:tc>
          <w:tcPr>
            <w:tcW w:w="609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投标人提供的产业监测系统建设方案，能够全面监测产业集聚区的产业经济运行情况以及企业评价水平。对集聚区经济总量、质量、效益等综合指标等多维度监测分析和趋势研判；通过建立数据分析和综合评价模型，对企业实施分类综合评价，为推进企业提供决策支持。内容详细，思路清晰，根据响应程度优得2分，中得1分，差不得分。</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ascii="宋体" w:hAnsi="宋体" w:cs="宋体"/>
                <w:color w:val="000000"/>
                <w:sz w:val="24"/>
                <w:szCs w:val="24"/>
                <w:lang w:val="en-GB"/>
              </w:rPr>
              <w:t>2</w:t>
            </w:r>
            <w:r>
              <w:rPr>
                <w:rFonts w:hint="eastAsia" w:ascii="宋体" w:hAnsi="宋体" w:cs="宋体"/>
                <w:color w:val="000000"/>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29" w:type="dxa"/>
            <w:gridSpan w:val="2"/>
            <w:vMerge w:val="continue"/>
            <w:tcBorders>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p>
        </w:tc>
        <w:tc>
          <w:tcPr>
            <w:tcW w:w="609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为满足产业监测系统建设要求，保证建设效果，投标人应具备产业监测系统相关软件软件著作权，著作权名称含关键字:“产业分析”、“产业发展”、“产业经济”、“产业监测”、“产业大数据”、“产业大数据分析”。</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注：</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 xml:space="preserve">1.投标文件中提供软件著作权证书，证书名称必须包含上述关键字，否则评委会不予认可； </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2.软件著作权颁证日期在开标前90个自然日内无效</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符合条件著作权6个得6分，2-5个得</w:t>
            </w:r>
            <w:r>
              <w:rPr>
                <w:rFonts w:ascii="宋体" w:hAnsi="宋体" w:cs="宋体"/>
                <w:color w:val="000000"/>
                <w:sz w:val="24"/>
                <w:szCs w:val="24"/>
                <w:lang w:val="en-GB"/>
              </w:rPr>
              <w:t>3</w:t>
            </w:r>
            <w:r>
              <w:rPr>
                <w:rFonts w:hint="eastAsia" w:ascii="宋体" w:hAnsi="宋体" w:cs="宋体"/>
                <w:color w:val="000000"/>
                <w:sz w:val="24"/>
                <w:szCs w:val="24"/>
                <w:lang w:val="en-GB"/>
              </w:rPr>
              <w:t>分，0-1个不得分。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29" w:type="dxa"/>
            <w:gridSpan w:val="2"/>
            <w:vMerge w:val="restart"/>
            <w:tcBorders>
              <w:top w:val="single" w:color="auto" w:sz="4" w:space="0"/>
              <w:left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大数据分析平台建设方案</w:t>
            </w:r>
          </w:p>
        </w:tc>
        <w:tc>
          <w:tcPr>
            <w:tcW w:w="609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投标人提供的大数据分析平台建设方案，须对禹州产业集聚区的产业运行状况、环境质量、企业安全生产情况、能耗监测以及招商成果等进行分析，同时借助分析结果及园区相关历史数据对各种情况进行趋势预测，辅助园区管理者进行各类园区发展决策。内容详细，思路清晰，根据响应程度优得2分，中得1分，差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ascii="宋体" w:hAnsi="宋体" w:cs="宋体"/>
                <w:color w:val="000000"/>
                <w:sz w:val="24"/>
                <w:szCs w:val="24"/>
                <w:lang w:val="en-GB"/>
              </w:rPr>
              <w:t>2</w:t>
            </w:r>
            <w:r>
              <w:rPr>
                <w:rFonts w:hint="eastAsia" w:ascii="宋体" w:hAnsi="宋体" w:cs="宋体"/>
                <w:color w:val="000000"/>
                <w:sz w:val="24"/>
                <w:szCs w:val="24"/>
                <w:lang w:val="en-GB"/>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29" w:type="dxa"/>
            <w:gridSpan w:val="2"/>
            <w:vMerge w:val="continue"/>
            <w:tcBorders>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p>
        </w:tc>
        <w:tc>
          <w:tcPr>
            <w:tcW w:w="609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为满足大数据分析平台建设要求，保证建设效果，投标人应具备大数据分析平台相关软件软件著作权，著作权名称含关键字:“大数据建模”、“大数据应用”、“大数据可视化”、“城市大数据”、“数据资源管理”、“数据采集”。</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注：</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 xml:space="preserve">1.投标文件中提供软件著作权证书，证书名称必须包含上述关键字，否则评委会不予认可； </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2.软件著作权颁证日期在开标前90个自然日内无效</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符合条件著作权6个得6分，2-5个得</w:t>
            </w:r>
            <w:r>
              <w:rPr>
                <w:rFonts w:ascii="宋体" w:hAnsi="宋体" w:cs="宋体"/>
                <w:color w:val="000000"/>
                <w:sz w:val="24"/>
                <w:szCs w:val="24"/>
                <w:lang w:val="en-GB"/>
              </w:rPr>
              <w:t>3</w:t>
            </w:r>
            <w:r>
              <w:rPr>
                <w:rFonts w:hint="eastAsia" w:ascii="宋体" w:hAnsi="宋体" w:cs="宋体"/>
                <w:color w:val="000000"/>
                <w:sz w:val="24"/>
                <w:szCs w:val="24"/>
                <w:lang w:val="en-GB"/>
              </w:rPr>
              <w:t>分，0-1个不得分。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p>
          <w:p>
            <w:pPr>
              <w:widowControl/>
              <w:shd w:val="clear" w:color="auto" w:fill="FFFFFF"/>
              <w:spacing w:line="360" w:lineRule="auto"/>
              <w:jc w:val="left"/>
              <w:rPr>
                <w:rFonts w:ascii="宋体" w:hAnsi="宋体" w:cs="宋体"/>
                <w:color w:val="000000"/>
                <w:sz w:val="24"/>
                <w:szCs w:val="24"/>
                <w:lang w:val="en-GB"/>
              </w:rPr>
            </w:pPr>
          </w:p>
          <w:p>
            <w:pPr>
              <w:widowControl/>
              <w:shd w:val="clear" w:color="auto" w:fill="FFFFFF"/>
              <w:spacing w:line="360" w:lineRule="auto"/>
              <w:jc w:val="left"/>
              <w:rPr>
                <w:rFonts w:ascii="宋体" w:hAnsi="宋体" w:cs="宋体"/>
                <w:color w:val="000000"/>
                <w:sz w:val="24"/>
                <w:szCs w:val="24"/>
                <w:lang w:val="en-GB"/>
              </w:rPr>
            </w:pPr>
          </w:p>
          <w:p>
            <w:pPr>
              <w:widowControl/>
              <w:shd w:val="clear" w:color="auto" w:fill="FFFFFF"/>
              <w:spacing w:line="360" w:lineRule="auto"/>
              <w:jc w:val="left"/>
              <w:rPr>
                <w:rFonts w:ascii="宋体" w:hAnsi="宋体" w:cs="宋体"/>
                <w:color w:val="000000"/>
                <w:sz w:val="24"/>
                <w:szCs w:val="24"/>
                <w:lang w:val="en-GB"/>
              </w:rPr>
            </w:pPr>
          </w:p>
          <w:p>
            <w:pPr>
              <w:widowControl/>
              <w:shd w:val="clear" w:color="auto" w:fill="FFFFFF"/>
              <w:spacing w:line="360" w:lineRule="auto"/>
              <w:jc w:val="left"/>
              <w:rPr>
                <w:rFonts w:ascii="宋体" w:hAnsi="宋体" w:cs="宋体"/>
                <w:color w:val="000000"/>
                <w:sz w:val="24"/>
                <w:szCs w:val="24"/>
                <w:lang w:val="en-GB"/>
              </w:rPr>
            </w:pPr>
          </w:p>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29" w:type="dxa"/>
            <w:gridSpan w:val="2"/>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实施方案</w:t>
            </w:r>
          </w:p>
        </w:tc>
        <w:tc>
          <w:tcPr>
            <w:tcW w:w="609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实施方案需要描述招标人的实际，详实、合理，包括实施步骤和实施方法论，计划的可操作性的。</w:t>
            </w:r>
          </w:p>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优得1分，中得0.5分，差不得分。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29" w:type="dxa"/>
            <w:gridSpan w:val="2"/>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项目管理</w:t>
            </w:r>
          </w:p>
        </w:tc>
        <w:tc>
          <w:tcPr>
            <w:tcW w:w="609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项目计划（完整性、可行性）；项目的组织保障体系、过程管理、项目管理方法组成和项目质量保障措施和手段，内容编制完整合理。</w:t>
            </w:r>
          </w:p>
          <w:p>
            <w:pPr>
              <w:widowControl/>
              <w:spacing w:line="360" w:lineRule="exact"/>
              <w:jc w:val="left"/>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优得1分，中得0.5分，差不得分。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29" w:type="dxa"/>
            <w:gridSpan w:val="2"/>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售后服务</w:t>
            </w:r>
          </w:p>
        </w:tc>
        <w:tc>
          <w:tcPr>
            <w:tcW w:w="6090"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left"/>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1）根据投标人须提供明确的、完善的、服务措施具体的、具备可操作性和响应及时的售后服务方案。针对本项目免费质保期1年；响应时间：接用户报修电话 12 小时内到达现场，24 小时内解决问题。</w:t>
            </w:r>
          </w:p>
          <w:p>
            <w:pPr>
              <w:widowControl/>
              <w:spacing w:line="360" w:lineRule="exact"/>
              <w:jc w:val="left"/>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2）投标企业</w:t>
            </w:r>
            <w:r>
              <w:rPr>
                <w:rFonts w:hint="eastAsia" w:asciiTheme="majorEastAsia" w:hAnsiTheme="majorEastAsia" w:eastAsiaTheme="majorEastAsia" w:cstheme="majorEastAsia"/>
                <w:color w:val="000000"/>
                <w:kern w:val="0"/>
                <w:sz w:val="24"/>
                <w:szCs w:val="24"/>
                <w:lang w:eastAsia="zh-CN"/>
              </w:rPr>
              <w:t>承诺</w:t>
            </w:r>
            <w:r>
              <w:rPr>
                <w:rFonts w:hint="eastAsia" w:asciiTheme="majorEastAsia" w:hAnsiTheme="majorEastAsia" w:eastAsiaTheme="majorEastAsia" w:cstheme="majorEastAsia"/>
                <w:color w:val="000000"/>
                <w:kern w:val="0"/>
                <w:sz w:val="24"/>
                <w:szCs w:val="24"/>
              </w:rPr>
              <w:t>能够</w:t>
            </w:r>
            <w:r>
              <w:rPr>
                <w:rFonts w:hint="eastAsia" w:asciiTheme="majorEastAsia" w:hAnsiTheme="majorEastAsia" w:eastAsiaTheme="majorEastAsia" w:cstheme="majorEastAsia"/>
                <w:color w:val="000000"/>
                <w:kern w:val="0"/>
                <w:sz w:val="24"/>
                <w:szCs w:val="24"/>
                <w:lang w:eastAsia="zh-CN"/>
              </w:rPr>
              <w:t>在</w:t>
            </w:r>
            <w:r>
              <w:rPr>
                <w:rFonts w:hint="eastAsia" w:asciiTheme="majorEastAsia" w:hAnsiTheme="majorEastAsia" w:eastAsiaTheme="majorEastAsia" w:cstheme="majorEastAsia"/>
                <w:color w:val="000000"/>
                <w:kern w:val="0"/>
                <w:sz w:val="24"/>
                <w:szCs w:val="24"/>
              </w:rPr>
              <w:t>项目地明确售后服务网点名称、地址、联系人和联系电话；且在项目地的售后服务网点能够对项目运维服务</w:t>
            </w:r>
            <w:r>
              <w:rPr>
                <w:rFonts w:hint="eastAsia" w:asciiTheme="majorEastAsia" w:hAnsiTheme="majorEastAsia" w:eastAsiaTheme="majorEastAsia" w:cstheme="majorEastAsia"/>
                <w:color w:val="000000"/>
                <w:kern w:val="0"/>
                <w:sz w:val="24"/>
                <w:szCs w:val="24"/>
                <w:lang w:eastAsia="zh-CN"/>
              </w:rPr>
              <w:t>的。</w:t>
            </w:r>
          </w:p>
          <w:p>
            <w:pPr>
              <w:widowControl/>
              <w:spacing w:line="360" w:lineRule="exact"/>
              <w:jc w:val="left"/>
              <w:rPr>
                <w:rFonts w:asciiTheme="majorEastAsia" w:hAnsiTheme="majorEastAsia" w:eastAsiaTheme="majorEastAsia" w:cstheme="majorEastAsia"/>
                <w:color w:val="000000"/>
                <w:kern w:val="0"/>
                <w:sz w:val="24"/>
                <w:szCs w:val="24"/>
              </w:rPr>
            </w:pPr>
            <w:r>
              <w:rPr>
                <w:rFonts w:hint="eastAsia" w:asciiTheme="majorEastAsia" w:hAnsiTheme="majorEastAsia" w:eastAsiaTheme="majorEastAsia" w:cstheme="majorEastAsia"/>
                <w:color w:val="000000"/>
                <w:kern w:val="0"/>
                <w:sz w:val="24"/>
                <w:szCs w:val="24"/>
              </w:rPr>
              <w:t>以上均满足得1分，不满足不得分。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trPr>
        <w:tc>
          <w:tcPr>
            <w:tcW w:w="2329" w:type="dxa"/>
            <w:gridSpan w:val="2"/>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投标文件的规范性和完整性</w:t>
            </w:r>
          </w:p>
        </w:tc>
        <w:tc>
          <w:tcPr>
            <w:tcW w:w="6090"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ind w:firstLine="480" w:firstLineChars="200"/>
              <w:jc w:val="left"/>
              <w:rPr>
                <w:rFonts w:ascii="宋体" w:hAnsi="宋体" w:cs="宋体"/>
                <w:color w:val="000000"/>
                <w:sz w:val="24"/>
                <w:szCs w:val="24"/>
                <w:lang w:val="en-GB"/>
              </w:rPr>
            </w:pPr>
            <w:r>
              <w:rPr>
                <w:rFonts w:hint="eastAsia" w:ascii="宋体" w:hAnsi="宋体" w:cs="宋体"/>
                <w:color w:val="000000"/>
                <w:sz w:val="24"/>
                <w:szCs w:val="24"/>
                <w:lang w:val="en-GB"/>
              </w:rPr>
              <w:t>根据投标文件对招标文件的响应程度评分，做到内容齐全、详实，评委评分导览清晰，评委在0-1分之间打分。</w:t>
            </w:r>
          </w:p>
        </w:tc>
        <w:tc>
          <w:tcPr>
            <w:tcW w:w="1002" w:type="dxa"/>
            <w:tcBorders>
              <w:top w:val="single" w:color="auto" w:sz="4" w:space="0"/>
              <w:left w:val="single" w:color="auto" w:sz="4" w:space="0"/>
              <w:bottom w:val="single" w:color="auto" w:sz="4" w:space="0"/>
              <w:right w:val="single" w:color="auto" w:sz="4" w:space="0"/>
            </w:tcBorders>
            <w:vAlign w:val="center"/>
          </w:tcPr>
          <w:p>
            <w:pPr>
              <w:widowControl/>
              <w:shd w:val="clear" w:color="auto" w:fill="FFFFFF"/>
              <w:spacing w:line="360" w:lineRule="auto"/>
              <w:jc w:val="left"/>
              <w:rPr>
                <w:rFonts w:ascii="宋体" w:hAnsi="宋体" w:cs="宋体"/>
                <w:color w:val="000000"/>
                <w:sz w:val="24"/>
                <w:szCs w:val="24"/>
                <w:lang w:val="en-GB"/>
              </w:rPr>
            </w:pPr>
            <w:r>
              <w:rPr>
                <w:rFonts w:hint="eastAsia" w:ascii="宋体" w:hAnsi="宋体" w:cs="宋体"/>
                <w:color w:val="000000"/>
                <w:sz w:val="24"/>
                <w:szCs w:val="24"/>
                <w:lang w:val="en-GB"/>
              </w:rPr>
              <w:t>1分</w:t>
            </w:r>
          </w:p>
        </w:tc>
      </w:tr>
    </w:tbl>
    <w:p>
      <w:pPr>
        <w:pStyle w:val="2"/>
        <w:rPr>
          <w:rFonts w:hint="eastAsia" w:cs="仿宋_GB2312" w:asciiTheme="minorEastAsia" w:hAnsiTheme="minorEastAsia"/>
          <w:szCs w:val="21"/>
          <w:lang w:val="en-US" w:eastAsia="zh-CN"/>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bl>
    <w:p>
      <w:pPr>
        <w:pStyle w:val="2"/>
        <w:rPr>
          <w:rFonts w:hint="eastAsia" w:cs="仿宋_GB2312" w:asciiTheme="minorEastAsia" w:hAnsiTheme="minorEastAsia"/>
          <w:szCs w:val="21"/>
          <w:lang w:val="en-US" w:eastAsia="zh-CN"/>
        </w:rPr>
      </w:pPr>
    </w:p>
    <w:p>
      <w:pPr>
        <w:spacing w:line="360" w:lineRule="auto"/>
        <w:rPr>
          <w:rFonts w:cs="仿宋_GB2312" w:asciiTheme="minorEastAsia" w:hAnsiTheme="minorEastAsia"/>
          <w:b/>
          <w:sz w:val="24"/>
          <w:szCs w:val="24"/>
          <w:lang w:val="zh-CN"/>
        </w:rPr>
      </w:pPr>
      <w:r>
        <w:rPr>
          <w:rFonts w:hint="eastAsia" w:cs="仿宋_GB2312" w:asciiTheme="minorEastAsia" w:hAnsiTheme="minorEastAsia"/>
          <w:b/>
          <w:sz w:val="24"/>
          <w:szCs w:val="24"/>
          <w:lang w:val="zh-CN"/>
        </w:rPr>
        <w:t>价格分计算（落实政府采购政策价格调整部分）</w:t>
      </w:r>
    </w:p>
    <w:tbl>
      <w:tblPr>
        <w:tblStyle w:val="23"/>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序号</w:t>
            </w:r>
          </w:p>
        </w:tc>
        <w:tc>
          <w:tcPr>
            <w:tcW w:w="2823"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情形</w:t>
            </w:r>
          </w:p>
        </w:tc>
        <w:tc>
          <w:tcPr>
            <w:tcW w:w="2552" w:type="dxa"/>
            <w:vAlign w:val="center"/>
          </w:tcPr>
          <w:p>
            <w:pPr>
              <w:jc w:val="center"/>
              <w:rPr>
                <w:rFonts w:ascii="宋体" w:hAnsi="宋体"/>
                <w:b/>
                <w:color w:val="000000"/>
                <w:sz w:val="24"/>
                <w:szCs w:val="24"/>
                <w:lang w:val="en-GB"/>
              </w:rPr>
            </w:pPr>
            <w:r>
              <w:rPr>
                <w:rFonts w:hint="eastAsia" w:ascii="宋体" w:hAnsi="宋体"/>
                <w:b/>
                <w:color w:val="000000"/>
                <w:sz w:val="24"/>
                <w:szCs w:val="24"/>
              </w:rPr>
              <w:t>价格扣除</w:t>
            </w:r>
            <w:r>
              <w:rPr>
                <w:rFonts w:hint="eastAsia" w:ascii="宋体" w:hAnsi="宋体"/>
                <w:b/>
                <w:color w:val="000000"/>
                <w:sz w:val="24"/>
                <w:szCs w:val="24"/>
                <w:lang w:val="en-GB"/>
              </w:rPr>
              <w:t>比例</w:t>
            </w:r>
          </w:p>
        </w:tc>
        <w:tc>
          <w:tcPr>
            <w:tcW w:w="2835"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1</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非联合体投标人</w:t>
            </w:r>
          </w:p>
          <w:p>
            <w:pPr>
              <w:jc w:val="center"/>
              <w:rPr>
                <w:rFonts w:ascii="宋体" w:hAnsi="宋体"/>
                <w:b/>
                <w:color w:val="000000"/>
                <w:sz w:val="24"/>
                <w:szCs w:val="24"/>
                <w:lang w:val="en-GB"/>
              </w:rPr>
            </w:pPr>
            <w:r>
              <w:rPr>
                <w:rFonts w:hint="eastAsia" w:ascii="宋体" w:hAnsi="宋体"/>
                <w:color w:val="000000"/>
                <w:sz w:val="24"/>
                <w:szCs w:val="24"/>
                <w:lang w:val="en-GB"/>
              </w:rPr>
              <w:t>（投标人须为中小企业）</w:t>
            </w:r>
          </w:p>
        </w:tc>
        <w:tc>
          <w:tcPr>
            <w:tcW w:w="2552" w:type="dxa"/>
            <w:vAlign w:val="center"/>
          </w:tcPr>
          <w:p>
            <w:pPr>
              <w:jc w:val="center"/>
              <w:rPr>
                <w:rFonts w:ascii="宋体" w:hAnsi="宋体"/>
                <w:b/>
                <w:sz w:val="24"/>
                <w:szCs w:val="24"/>
                <w:lang w:val="en-GB"/>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tc>
        <w:tc>
          <w:tcPr>
            <w:tcW w:w="2835" w:type="dxa"/>
            <w:vMerge w:val="restart"/>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小型和微型企业产品的价格</w:t>
            </w:r>
            <w:r>
              <w:rPr>
                <w:rFonts w:hint="eastAsia" w:ascii="宋体" w:hAnsi="宋体"/>
                <w:color w:val="000000"/>
                <w:sz w:val="24"/>
                <w:szCs w:val="24"/>
                <w:lang w:val="en-GB"/>
              </w:rPr>
              <w:t>×</w:t>
            </w:r>
            <w:r>
              <w:rPr>
                <w:rFonts w:hint="eastAsia"/>
                <w:color w:val="000000"/>
                <w:sz w:val="24"/>
                <w:szCs w:val="24"/>
                <w:lang w:val="en-GB"/>
              </w:rPr>
              <w:t>6%</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2</w:t>
            </w:r>
          </w:p>
        </w:tc>
        <w:tc>
          <w:tcPr>
            <w:tcW w:w="2823" w:type="dxa"/>
            <w:vAlign w:val="center"/>
          </w:tcPr>
          <w:p>
            <w:pPr>
              <w:jc w:val="center"/>
              <w:rPr>
                <w:rFonts w:ascii="宋体" w:hAnsi="宋体"/>
                <w:b/>
                <w:color w:val="000000"/>
                <w:sz w:val="24"/>
                <w:szCs w:val="24"/>
              </w:rPr>
            </w:pPr>
            <w:r>
              <w:rPr>
                <w:rFonts w:hint="eastAsia" w:ascii="宋体" w:hAnsi="宋体"/>
                <w:color w:val="000000"/>
                <w:sz w:val="24"/>
                <w:szCs w:val="24"/>
                <w:lang w:val="en-GB"/>
              </w:rPr>
              <w:t>联合体各方均为小型、微型企业</w:t>
            </w:r>
          </w:p>
        </w:tc>
        <w:tc>
          <w:tcPr>
            <w:tcW w:w="2552" w:type="dxa"/>
            <w:vAlign w:val="center"/>
          </w:tcPr>
          <w:p>
            <w:pPr>
              <w:jc w:val="center"/>
              <w:rPr>
                <w:rFonts w:ascii="宋体" w:hAnsi="宋体"/>
                <w:sz w:val="24"/>
                <w:szCs w:val="24"/>
              </w:rPr>
            </w:pPr>
            <w:r>
              <w:rPr>
                <w:rFonts w:hint="eastAsia" w:ascii="宋体" w:hAnsi="宋体"/>
                <w:color w:val="000000"/>
                <w:sz w:val="24"/>
                <w:szCs w:val="24"/>
              </w:rPr>
              <w:t>对小型和微型企业产品的价格扣除</w:t>
            </w:r>
            <w:r>
              <w:rPr>
                <w:rFonts w:ascii="宋体" w:hAnsi="宋体"/>
                <w:sz w:val="24"/>
                <w:szCs w:val="24"/>
                <w:u w:val="single"/>
              </w:rPr>
              <w:t>6</w:t>
            </w:r>
            <w:r>
              <w:rPr>
                <w:rFonts w:hint="eastAsia" w:ascii="宋体" w:hAnsi="宋体"/>
                <w:sz w:val="24"/>
                <w:szCs w:val="24"/>
              </w:rPr>
              <w:t>%</w:t>
            </w:r>
          </w:p>
          <w:p>
            <w:pPr>
              <w:jc w:val="center"/>
              <w:rPr>
                <w:rFonts w:ascii="宋体" w:hAnsi="宋体"/>
                <w:b/>
                <w:sz w:val="24"/>
                <w:szCs w:val="24"/>
                <w:lang w:val="en-GB"/>
              </w:rPr>
            </w:pPr>
            <w:r>
              <w:rPr>
                <w:rFonts w:hint="eastAsia" w:ascii="宋体" w:hAnsi="宋体"/>
                <w:sz w:val="24"/>
                <w:szCs w:val="24"/>
              </w:rPr>
              <w:t>（不再享受序号3的价格折扣）</w:t>
            </w:r>
          </w:p>
        </w:tc>
        <w:tc>
          <w:tcPr>
            <w:tcW w:w="2835" w:type="dxa"/>
            <w:vMerge w:val="continue"/>
            <w:shd w:val="clear" w:color="auto" w:fill="auto"/>
          </w:tcPr>
          <w:p>
            <w:pPr>
              <w:rPr>
                <w:rFonts w:ascii="宋体" w:hAnsi="宋体"/>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3</w:t>
            </w:r>
          </w:p>
        </w:tc>
        <w:tc>
          <w:tcPr>
            <w:tcW w:w="2823" w:type="dxa"/>
            <w:vAlign w:val="center"/>
          </w:tcPr>
          <w:p>
            <w:pPr>
              <w:jc w:val="center"/>
              <w:rPr>
                <w:rFonts w:ascii="宋体" w:hAnsi="宋体"/>
                <w:b/>
                <w:color w:val="000000"/>
                <w:sz w:val="24"/>
                <w:szCs w:val="24"/>
                <w:lang w:val="en-GB"/>
              </w:rPr>
            </w:pPr>
            <w:r>
              <w:rPr>
                <w:rFonts w:hint="eastAsia" w:ascii="宋体" w:hAnsi="宋体"/>
                <w:color w:val="000000"/>
                <w:sz w:val="24"/>
                <w:szCs w:val="24"/>
                <w:lang w:val="en-GB"/>
              </w:rPr>
              <w:t>联合体一方为小型、微型企业且小型、微型企业协议合同金额占联合体协议合同总金额30%以上的</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对联合体总金额扣除</w:t>
            </w:r>
          </w:p>
          <w:p>
            <w:pPr>
              <w:jc w:val="center"/>
              <w:rPr>
                <w:rFonts w:ascii="宋体" w:hAnsi="宋体"/>
                <w:b/>
                <w:sz w:val="24"/>
                <w:szCs w:val="24"/>
                <w:lang w:val="en-GB"/>
              </w:rPr>
            </w:pPr>
            <w:r>
              <w:rPr>
                <w:rFonts w:hint="eastAsia" w:ascii="宋体" w:hAnsi="宋体"/>
                <w:sz w:val="24"/>
                <w:szCs w:val="24"/>
                <w:u w:val="single"/>
              </w:rPr>
              <w:t xml:space="preserve"> </w:t>
            </w:r>
            <w:r>
              <w:rPr>
                <w:rFonts w:ascii="宋体" w:hAnsi="宋体"/>
                <w:sz w:val="24"/>
                <w:szCs w:val="24"/>
                <w:u w:val="single"/>
              </w:rPr>
              <w:t>2</w:t>
            </w:r>
            <w:r>
              <w:rPr>
                <w:rFonts w:hint="eastAsia" w:ascii="宋体" w:hAnsi="宋体"/>
                <w:sz w:val="24"/>
                <w:szCs w:val="24"/>
                <w:u w:val="single"/>
              </w:rPr>
              <w:t xml:space="preserve"> </w:t>
            </w:r>
            <w:r>
              <w:rPr>
                <w:rFonts w:hint="eastAsia" w:ascii="宋体" w:hAnsi="宋体"/>
                <w:sz w:val="24"/>
                <w:szCs w:val="24"/>
              </w:rPr>
              <w:t>%</w:t>
            </w:r>
          </w:p>
        </w:tc>
        <w:tc>
          <w:tcPr>
            <w:tcW w:w="2835" w:type="dxa"/>
            <w:shd w:val="clear" w:color="auto" w:fill="auto"/>
            <w:vAlign w:val="center"/>
          </w:tcPr>
          <w:p>
            <w:pPr>
              <w:jc w:val="center"/>
              <w:rPr>
                <w:rFonts w:ascii="宋体" w:hAnsi="宋体"/>
                <w:color w:val="FF0000"/>
                <w:sz w:val="24"/>
                <w:szCs w:val="24"/>
                <w:u w:val="single"/>
              </w:rPr>
            </w:pPr>
            <w:r>
              <w:rPr>
                <w:rFonts w:hint="eastAsia" w:ascii="宋体" w:hAnsi="宋体"/>
                <w:color w:val="000000"/>
                <w:sz w:val="24"/>
                <w:szCs w:val="24"/>
                <w:lang w:val="en-GB"/>
              </w:rPr>
              <w:t>评标价格＝投标报价×</w:t>
            </w:r>
            <w:r>
              <w:rPr>
                <w:rFonts w:hint="eastAsia" w:ascii="宋体" w:hAnsi="宋体"/>
                <w:color w:val="000000" w:themeColor="text1"/>
                <w:sz w:val="24"/>
                <w:szCs w:val="24"/>
              </w:rPr>
              <w:t>(1-</w:t>
            </w:r>
            <w:r>
              <w:rPr>
                <w:rFonts w:ascii="宋体" w:hAnsi="宋体"/>
                <w:color w:val="000000" w:themeColor="text1"/>
                <w:sz w:val="24"/>
                <w:szCs w:val="24"/>
                <w:u w:val="single"/>
              </w:rPr>
              <w:t>2</w:t>
            </w:r>
            <w:r>
              <w:rPr>
                <w:rFonts w:hint="eastAsia" w:ascii="宋体" w:hAnsi="宋体"/>
                <w:color w:val="000000" w:themeColor="text1"/>
                <w:sz w:val="24"/>
                <w:szCs w:val="24"/>
                <w:u w:val="single"/>
              </w:rPr>
              <w:t>%)</w:t>
            </w:r>
          </w:p>
          <w:p>
            <w:pPr>
              <w:jc w:val="center"/>
              <w:rPr>
                <w:rFonts w:ascii="宋体" w:hAnsi="宋体"/>
                <w:b/>
                <w:color w:val="000000"/>
                <w:sz w:val="24"/>
                <w:szCs w:val="24"/>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4</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监狱企业</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对监狱企业产品价格扣除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rFonts w:ascii="宋体" w:hAnsi="宋体"/>
                <w:color w:val="000000"/>
                <w:sz w:val="24"/>
                <w:szCs w:val="24"/>
                <w:lang w:val="en-GB"/>
              </w:rPr>
            </w:pPr>
            <w:r>
              <w:rPr>
                <w:rFonts w:hint="eastAsia"/>
                <w:color w:val="000000"/>
                <w:sz w:val="24"/>
                <w:szCs w:val="24"/>
                <w:lang w:val="en-GB"/>
              </w:rPr>
              <w:t>评标价格＝投标报价—</w:t>
            </w:r>
            <w:r>
              <w:rPr>
                <w:rFonts w:hint="eastAsia"/>
                <w:color w:val="000000"/>
                <w:sz w:val="24"/>
                <w:szCs w:val="24"/>
              </w:rPr>
              <w:t>监狱企业产品的价格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 w:val="24"/>
                <w:szCs w:val="24"/>
                <w:lang w:val="en-GB"/>
              </w:rPr>
            </w:pPr>
            <w:r>
              <w:rPr>
                <w:rFonts w:hint="eastAsia" w:ascii="宋体" w:hAnsi="宋体"/>
                <w:b/>
                <w:color w:val="000000"/>
                <w:sz w:val="24"/>
                <w:szCs w:val="24"/>
                <w:lang w:val="en-GB"/>
              </w:rPr>
              <w:t>5</w:t>
            </w:r>
          </w:p>
        </w:tc>
        <w:tc>
          <w:tcPr>
            <w:tcW w:w="2823"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残疾人福利性单位</w:t>
            </w:r>
          </w:p>
        </w:tc>
        <w:tc>
          <w:tcPr>
            <w:tcW w:w="2552" w:type="dxa"/>
            <w:vAlign w:val="center"/>
          </w:tcPr>
          <w:p>
            <w:pPr>
              <w:jc w:val="center"/>
              <w:rPr>
                <w:rFonts w:ascii="宋体" w:hAnsi="宋体"/>
                <w:color w:val="000000"/>
                <w:sz w:val="24"/>
                <w:szCs w:val="24"/>
                <w:lang w:val="en-GB"/>
              </w:rPr>
            </w:pPr>
            <w:r>
              <w:rPr>
                <w:rFonts w:hint="eastAsia" w:ascii="宋体" w:hAnsi="宋体"/>
                <w:color w:val="000000"/>
                <w:sz w:val="24"/>
                <w:szCs w:val="24"/>
                <w:lang w:val="en-GB"/>
              </w:rPr>
              <w:t>视同小型、微型企业</w:t>
            </w:r>
          </w:p>
          <w:p>
            <w:pPr>
              <w:jc w:val="center"/>
              <w:rPr>
                <w:rFonts w:ascii="宋体" w:hAnsi="宋体"/>
                <w:color w:val="000000"/>
                <w:sz w:val="24"/>
                <w:szCs w:val="24"/>
                <w:lang w:val="en-GB"/>
              </w:rPr>
            </w:pPr>
            <w:r>
              <w:rPr>
                <w:rFonts w:hint="eastAsia" w:ascii="宋体" w:hAnsi="宋体"/>
                <w:color w:val="000000"/>
                <w:sz w:val="24"/>
                <w:szCs w:val="24"/>
                <w:lang w:val="en-GB"/>
              </w:rPr>
              <w:t>对残疾人福利性单位产品价格扣除</w:t>
            </w:r>
            <w:r>
              <w:rPr>
                <w:rFonts w:ascii="宋体" w:hAnsi="宋体"/>
                <w:sz w:val="24"/>
                <w:szCs w:val="24"/>
                <w:u w:val="single"/>
              </w:rPr>
              <w:t>6</w:t>
            </w:r>
            <w:r>
              <w:rPr>
                <w:rFonts w:hint="eastAsia" w:ascii="宋体" w:hAnsi="宋体"/>
                <w:sz w:val="24"/>
                <w:szCs w:val="24"/>
              </w:rPr>
              <w:t>%</w:t>
            </w:r>
          </w:p>
        </w:tc>
        <w:tc>
          <w:tcPr>
            <w:tcW w:w="2835" w:type="dxa"/>
            <w:shd w:val="clear" w:color="auto" w:fill="auto"/>
            <w:vAlign w:val="center"/>
          </w:tcPr>
          <w:p>
            <w:pPr>
              <w:jc w:val="center"/>
              <w:rPr>
                <w:color w:val="000000"/>
                <w:sz w:val="24"/>
                <w:szCs w:val="24"/>
                <w:lang w:val="en-GB"/>
              </w:rPr>
            </w:pPr>
            <w:r>
              <w:rPr>
                <w:rFonts w:hint="eastAsia"/>
                <w:color w:val="000000"/>
                <w:sz w:val="24"/>
                <w:szCs w:val="24"/>
                <w:lang w:val="en-GB"/>
              </w:rPr>
              <w:t>评标价格＝投标报价—</w:t>
            </w:r>
            <w:r>
              <w:rPr>
                <w:rFonts w:hint="eastAsia"/>
                <w:color w:val="000000"/>
                <w:sz w:val="24"/>
                <w:szCs w:val="24"/>
              </w:rPr>
              <w:t>残疾人福利性单位产品的价格</w:t>
            </w:r>
            <w:r>
              <w:rPr>
                <w:rFonts w:hint="eastAsia" w:ascii="宋体" w:hAnsi="宋体"/>
                <w:color w:val="000000"/>
                <w:sz w:val="24"/>
                <w:szCs w:val="24"/>
                <w:lang w:val="en-GB"/>
              </w:rPr>
              <w:t>×</w:t>
            </w:r>
            <w:r>
              <w:rPr>
                <w:rFonts w:hint="eastAsia"/>
                <w:color w:val="000000"/>
                <w:sz w:val="24"/>
                <w:szCs w:val="24"/>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8931" w:type="dxa"/>
            <w:gridSpan w:val="4"/>
            <w:vAlign w:val="center"/>
          </w:tcPr>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80" w:firstLineChars="200"/>
              <w:jc w:val="left"/>
              <w:rPr>
                <w:rFonts w:cs="仿宋_GB2312" w:asciiTheme="minorEastAsia" w:hAnsiTheme="minorEastAsia"/>
                <w:sz w:val="24"/>
                <w:szCs w:val="24"/>
                <w:lang w:val="zh-CN"/>
              </w:rPr>
            </w:pPr>
            <w:r>
              <w:rPr>
                <w:rFonts w:hint="eastAsia" w:cs="仿宋_GB2312" w:asciiTheme="minorEastAsia" w:hAnsiTheme="minorEastAsia"/>
                <w:sz w:val="24"/>
                <w:szCs w:val="24"/>
                <w:lang w:val="zh-CN"/>
              </w:rPr>
              <w:t>2、</w:t>
            </w:r>
            <w:r>
              <w:rPr>
                <w:rFonts w:cs="仿宋_GB2312" w:asciiTheme="minorEastAsia" w:hAnsiTheme="minorEastAsia"/>
                <w:sz w:val="24"/>
                <w:szCs w:val="24"/>
                <w:lang w:val="zh-CN"/>
              </w:rPr>
              <w:t>经评标委员会</w:t>
            </w:r>
            <w:r>
              <w:rPr>
                <w:rFonts w:hint="eastAsia" w:cs="仿宋_GB2312" w:asciiTheme="minorEastAsia" w:hAnsiTheme="minorEastAsia"/>
                <w:sz w:val="24"/>
                <w:szCs w:val="24"/>
                <w:lang w:val="zh-CN"/>
              </w:rPr>
              <w:t>审查、评价</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投标文件符合</w:t>
            </w:r>
            <w:r>
              <w:rPr>
                <w:rFonts w:cs="仿宋_GB2312" w:asciiTheme="minorEastAsia" w:hAnsiTheme="minorEastAsia"/>
                <w:sz w:val="24"/>
                <w:szCs w:val="24"/>
                <w:lang w:val="zh-CN"/>
              </w:rPr>
              <w:t>招标文件</w:t>
            </w:r>
            <w:r>
              <w:rPr>
                <w:rFonts w:hint="eastAsia" w:cs="仿宋_GB2312" w:asciiTheme="minorEastAsia" w:hAnsiTheme="minorEastAsia"/>
                <w:sz w:val="24"/>
                <w:szCs w:val="24"/>
                <w:lang w:val="zh-CN"/>
              </w:rPr>
              <w:t>实质性</w:t>
            </w:r>
            <w:r>
              <w:rPr>
                <w:rFonts w:cs="仿宋_GB2312" w:asciiTheme="minorEastAsia" w:hAnsiTheme="minorEastAsia"/>
                <w:sz w:val="24"/>
                <w:szCs w:val="24"/>
                <w:lang w:val="zh-CN"/>
              </w:rPr>
              <w:t>要求且</w:t>
            </w:r>
            <w:r>
              <w:rPr>
                <w:rFonts w:hint="eastAsia" w:cs="仿宋_GB2312" w:asciiTheme="minorEastAsia" w:hAnsiTheme="minorEastAsia"/>
                <w:sz w:val="24"/>
                <w:szCs w:val="24"/>
                <w:lang w:val="zh-CN"/>
              </w:rPr>
              <w:t>进行了政策性价格扣除后，</w:t>
            </w:r>
            <w:r>
              <w:rPr>
                <w:rFonts w:cs="仿宋_GB2312" w:asciiTheme="minorEastAsia" w:hAnsiTheme="minorEastAsia"/>
                <w:sz w:val="24"/>
                <w:szCs w:val="24"/>
                <w:lang w:val="zh-CN"/>
              </w:rPr>
              <w:t>以</w:t>
            </w:r>
            <w:r>
              <w:rPr>
                <w:rFonts w:hint="eastAsia" w:cs="仿宋_GB2312" w:asciiTheme="minorEastAsia" w:hAnsiTheme="minorEastAsia"/>
                <w:sz w:val="24"/>
                <w:szCs w:val="24"/>
                <w:lang w:val="zh-CN"/>
              </w:rPr>
              <w:t>评标价格的</w:t>
            </w:r>
            <w:r>
              <w:rPr>
                <w:rFonts w:cs="仿宋_GB2312" w:asciiTheme="minorEastAsia" w:hAnsiTheme="minorEastAsia"/>
                <w:sz w:val="24"/>
                <w:szCs w:val="24"/>
                <w:lang w:val="zh-CN"/>
              </w:rPr>
              <w:t>最低价者定为评标基准价，其价格分为满分。其他投标人的价格分统一按下列公式</w:t>
            </w:r>
            <w:r>
              <w:rPr>
                <w:rFonts w:hint="eastAsia" w:cs="仿宋_GB2312" w:asciiTheme="minorEastAsia" w:hAnsiTheme="minorEastAsia"/>
                <w:sz w:val="24"/>
                <w:szCs w:val="24"/>
                <w:lang w:val="zh-CN"/>
              </w:rPr>
              <w:t>计算</w:t>
            </w:r>
            <w:r>
              <w:rPr>
                <w:rFonts w:cs="仿宋_GB2312" w:asciiTheme="minorEastAsia" w:hAnsiTheme="minorEastAsia"/>
                <w:sz w:val="24"/>
                <w:szCs w:val="24"/>
                <w:lang w:val="zh-CN"/>
              </w:rPr>
              <w:t>。即：</w:t>
            </w:r>
          </w:p>
          <w:p>
            <w:pPr>
              <w:widowControl/>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=评标价格的最低价</w:t>
            </w:r>
          </w:p>
          <w:p>
            <w:pPr>
              <w:adjustRightInd w:val="0"/>
              <w:spacing w:line="360" w:lineRule="auto"/>
              <w:ind w:left="-88" w:leftChars="-42" w:firstLine="513" w:firstLineChars="214"/>
              <w:jc w:val="left"/>
              <w:rPr>
                <w:rFonts w:cs="仿宋_GB2312" w:asciiTheme="minorEastAsia" w:hAnsiTheme="minorEastAsia"/>
                <w:sz w:val="24"/>
                <w:szCs w:val="24"/>
                <w:lang w:val="zh-CN"/>
              </w:rPr>
            </w:pPr>
            <w:r>
              <w:rPr>
                <w:rFonts w:cs="仿宋_GB2312" w:asciiTheme="minorEastAsia" w:hAnsiTheme="minorEastAsia"/>
                <w:sz w:val="24"/>
                <w:szCs w:val="24"/>
                <w:lang w:val="zh-CN"/>
              </w:rPr>
              <w:t>其他投标报价得分</w:t>
            </w:r>
            <w:r>
              <w:rPr>
                <w:rFonts w:hint="eastAsia" w:cs="仿宋_GB2312" w:asciiTheme="minorEastAsia" w:hAnsiTheme="minorEastAsia"/>
                <w:sz w:val="24"/>
                <w:szCs w:val="24"/>
                <w:lang w:val="zh-CN"/>
              </w:rPr>
              <w:t>=（</w:t>
            </w:r>
            <w:r>
              <w:rPr>
                <w:rFonts w:cs="仿宋_GB2312" w:asciiTheme="minorEastAsia" w:hAnsiTheme="minorEastAsia"/>
                <w:sz w:val="24"/>
                <w:szCs w:val="24"/>
                <w:lang w:val="zh-CN"/>
              </w:rPr>
              <w:t>评标基准价</w:t>
            </w:r>
            <w:r>
              <w:rPr>
                <w:rFonts w:hint="eastAsia" w:cs="仿宋_GB2312" w:asciiTheme="minorEastAsia" w:hAnsiTheme="minorEastAsia"/>
                <w:sz w:val="24"/>
                <w:szCs w:val="24"/>
                <w:lang w:val="zh-CN"/>
              </w:rPr>
              <w:t>/评标价格）</w:t>
            </w:r>
            <w:r>
              <w:rPr>
                <w:rFonts w:cs="仿宋_GB2312" w:asciiTheme="minorEastAsia" w:hAnsiTheme="minorEastAsia"/>
                <w:sz w:val="24"/>
                <w:szCs w:val="24"/>
                <w:lang w:val="zh-CN"/>
              </w:rPr>
              <w:t>×</w:t>
            </w:r>
            <w:r>
              <w:rPr>
                <w:rFonts w:hint="eastAsia" w:cs="仿宋_GB2312" w:asciiTheme="minorEastAsia" w:hAnsiTheme="minorEastAsia"/>
                <w:sz w:val="24"/>
                <w:szCs w:val="24"/>
                <w:lang w:val="zh-CN"/>
              </w:rPr>
              <w:t>评标标准中价格分值</w:t>
            </w:r>
          </w:p>
        </w:tc>
      </w:tr>
    </w:tbl>
    <w:p>
      <w:pPr>
        <w:spacing w:line="360" w:lineRule="auto"/>
        <w:rPr>
          <w:rFonts w:ascii="宋体" w:hAnsi="宋体"/>
          <w:bCs/>
          <w:color w:val="FF0000"/>
          <w:sz w:val="24"/>
          <w:szCs w:val="24"/>
          <w:lang w:val="en-GB"/>
        </w:rPr>
      </w:pPr>
      <w:r>
        <w:rPr>
          <w:rFonts w:hint="eastAsia" w:ascii="宋体" w:hAnsi="宋体"/>
          <w:bCs/>
          <w:color w:val="FF0000"/>
          <w:sz w:val="24"/>
          <w:szCs w:val="24"/>
          <w:lang w:val="en-GB"/>
        </w:rPr>
        <w:t>备注：</w:t>
      </w:r>
    </w:p>
    <w:p>
      <w:pPr>
        <w:spacing w:line="360" w:lineRule="auto"/>
        <w:ind w:firstLine="480" w:firstLineChars="200"/>
        <w:rPr>
          <w:rFonts w:ascii="宋体" w:hAnsi="宋体"/>
          <w:bCs/>
          <w:color w:val="FF0000"/>
          <w:sz w:val="24"/>
          <w:szCs w:val="24"/>
          <w:lang w:val="en-GB"/>
        </w:rPr>
      </w:pPr>
      <w:r>
        <w:rPr>
          <w:rFonts w:hint="eastAsia" w:ascii="宋体" w:hAnsi="宋体" w:cs="仿宋_GB2312"/>
          <w:color w:val="0070C0"/>
          <w:sz w:val="24"/>
          <w:szCs w:val="24"/>
        </w:rPr>
        <w:t>对投标人挂靠借用资质、提供虚假业绩、证书投标行为，一经发现，将按照《政府采购法》给与行政处罚，将其列入“中国政府采购网” 政府采购严重违法失信行为记录名单，并予以公示。</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a、不接受联合体投标的项目，本表中第2项、第3项情形不适用。</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b、小型和微型企业产品包括货物及其提供的服务与工程。</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c、中小企业、残疾人福利性单位提供其他企业制造的货物的，则该货物的制造商也必须为上述企业，否则不能享受价格优惠。</w:t>
      </w:r>
    </w:p>
    <w:p>
      <w:pPr>
        <w:spacing w:line="360" w:lineRule="auto"/>
        <w:ind w:firstLine="480" w:firstLineChars="200"/>
        <w:rPr>
          <w:rFonts w:ascii="宋体" w:hAnsi="宋体"/>
          <w:bCs/>
          <w:color w:val="FF0000"/>
          <w:sz w:val="24"/>
          <w:szCs w:val="24"/>
          <w:lang w:val="en-GB"/>
        </w:rPr>
      </w:pPr>
      <w:r>
        <w:rPr>
          <w:rFonts w:hint="eastAsia" w:ascii="宋体" w:hAnsi="宋体"/>
          <w:bCs/>
          <w:color w:val="FF0000"/>
          <w:sz w:val="24"/>
          <w:szCs w:val="24"/>
          <w:lang w:val="en-GB"/>
        </w:rPr>
        <w:t>d、残疾人福利性单位属于小型、微型企业的，不重复享受政策。</w:t>
      </w:r>
    </w:p>
    <w:p>
      <w:pPr>
        <w:pStyle w:val="14"/>
        <w:spacing w:line="360" w:lineRule="auto"/>
        <w:ind w:firstLine="482"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b/>
          <w:szCs w:val="24"/>
          <w:lang w:val="zh-CN"/>
        </w:rPr>
        <w:t>（</w:t>
      </w:r>
      <w:r>
        <w:rPr>
          <w:rFonts w:hint="eastAsia" w:cs="仿宋_GB2312" w:asciiTheme="minorEastAsia" w:hAnsiTheme="minorEastAsia" w:eastAsiaTheme="minorEastAsia"/>
          <w:b/>
          <w:szCs w:val="24"/>
          <w:lang w:val="en-US" w:eastAsia="zh-CN"/>
        </w:rPr>
        <w:t>5</w:t>
      </w:r>
      <w:r>
        <w:rPr>
          <w:rFonts w:hint="eastAsia" w:cs="仿宋_GB2312" w:asciiTheme="minorEastAsia" w:hAnsiTheme="minorEastAsia" w:eastAsiaTheme="minorEastAsia"/>
          <w:b/>
          <w:szCs w:val="24"/>
          <w:lang w:val="zh-CN"/>
        </w:rPr>
        <w:t>）</w:t>
      </w:r>
      <w:r>
        <w:rPr>
          <w:rFonts w:cs="仿宋_GB2312" w:asciiTheme="minorEastAsia" w:hAnsiTheme="minorEastAsia" w:eastAsiaTheme="minorEastAsia"/>
          <w:b/>
          <w:szCs w:val="24"/>
          <w:lang w:val="zh-CN"/>
        </w:rPr>
        <w:t>评标结果汇总完成后，除下列情形外，任何人不得修改评标结果：</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1） </w:t>
      </w:r>
      <w:r>
        <w:rPr>
          <w:rFonts w:cs="仿宋_GB2312" w:asciiTheme="minorEastAsia" w:hAnsiTheme="minorEastAsia"/>
          <w:sz w:val="24"/>
          <w:szCs w:val="24"/>
          <w:lang w:val="zh-CN"/>
        </w:rPr>
        <w:t>分值汇总计算错误的；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2） </w:t>
      </w:r>
      <w:r>
        <w:rPr>
          <w:rFonts w:cs="仿宋_GB2312" w:asciiTheme="minorEastAsia" w:hAnsiTheme="minorEastAsia"/>
          <w:sz w:val="24"/>
          <w:szCs w:val="24"/>
          <w:lang w:val="zh-CN"/>
        </w:rPr>
        <w:t>分项评分超出评分标准范围的；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3） </w:t>
      </w:r>
      <w:r>
        <w:rPr>
          <w:rFonts w:cs="仿宋_GB2312" w:asciiTheme="minorEastAsia" w:hAnsiTheme="minorEastAsia"/>
          <w:sz w:val="24"/>
          <w:szCs w:val="24"/>
          <w:lang w:val="zh-CN"/>
        </w:rPr>
        <w:t>评标委员会成员对客观评审因素评分不一致的；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hint="eastAsia" w:cs="仿宋_GB2312" w:asciiTheme="minorEastAsia" w:hAnsiTheme="minorEastAsia"/>
          <w:sz w:val="24"/>
          <w:szCs w:val="24"/>
          <w:lang w:val="zh-CN"/>
        </w:rPr>
        <w:t xml:space="preserve">4） </w:t>
      </w:r>
      <w:r>
        <w:rPr>
          <w:rFonts w:cs="仿宋_GB2312" w:asciiTheme="minorEastAsia" w:hAnsiTheme="minorEastAsia"/>
          <w:sz w:val="24"/>
          <w:szCs w:val="24"/>
          <w:lang w:val="zh-CN"/>
        </w:rPr>
        <w:t>经评标委员会认定评分畸高、畸低的。</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80" w:firstLineChars="2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投标人对本条第一款情形提出质疑的，采购人或者采购代理机构可以组织原评标委员会进行重新评审，重新评审改变评标结果的，应当书面报告本级财政部门。</w:t>
      </w:r>
    </w:p>
    <w:p>
      <w:pPr>
        <w:tabs>
          <w:tab w:val="left" w:pos="1260"/>
        </w:tabs>
        <w:autoSpaceDE w:val="0"/>
        <w:autoSpaceDN w:val="0"/>
        <w:spacing w:line="360" w:lineRule="auto"/>
        <w:ind w:firstLine="482" w:firstLineChars="200"/>
        <w:contextualSpacing/>
        <w:rPr>
          <w:rFonts w:cs="仿宋_GB2312" w:asciiTheme="minorEastAsia" w:hAnsiTheme="minorEastAsia"/>
          <w:b/>
          <w:sz w:val="24"/>
          <w:szCs w:val="24"/>
          <w:lang w:val="zh-CN"/>
        </w:rPr>
      </w:pPr>
      <w:r>
        <w:rPr>
          <w:rFonts w:hint="eastAsia" w:cs="仿宋_GB2312" w:asciiTheme="minorEastAsia" w:hAnsiTheme="minorEastAsia"/>
          <w:b/>
          <w:sz w:val="24"/>
          <w:szCs w:val="24"/>
          <w:lang w:val="zh-CN"/>
        </w:rPr>
        <w:t>（</w:t>
      </w:r>
      <w:r>
        <w:rPr>
          <w:rFonts w:hint="eastAsia" w:cs="仿宋_GB2312" w:asciiTheme="minorEastAsia" w:hAnsiTheme="minorEastAsia"/>
          <w:b/>
          <w:sz w:val="24"/>
          <w:szCs w:val="24"/>
          <w:lang w:val="en-US" w:eastAsia="zh-CN"/>
        </w:rPr>
        <w:t>6</w:t>
      </w:r>
      <w:r>
        <w:rPr>
          <w:rFonts w:hint="eastAsia" w:cs="仿宋_GB2312" w:asciiTheme="minorEastAsia" w:hAnsiTheme="minorEastAsia"/>
          <w:b/>
          <w:sz w:val="24"/>
          <w:szCs w:val="24"/>
          <w:lang w:val="zh-CN"/>
        </w:rPr>
        <w:t>）</w:t>
      </w:r>
      <w:r>
        <w:rPr>
          <w:rFonts w:cs="仿宋_GB2312" w:asciiTheme="minorEastAsia" w:hAnsiTheme="minorEastAsia"/>
          <w:b/>
          <w:sz w:val="24"/>
          <w:szCs w:val="24"/>
          <w:lang w:val="zh-CN"/>
        </w:rPr>
        <w:t>评标委员会</w:t>
      </w:r>
      <w:r>
        <w:rPr>
          <w:rFonts w:hint="eastAsia" w:cs="仿宋_GB2312" w:asciiTheme="minorEastAsia" w:hAnsiTheme="minorEastAsia"/>
          <w:b/>
          <w:sz w:val="24"/>
          <w:szCs w:val="24"/>
          <w:lang w:val="zh-CN"/>
        </w:rPr>
        <w:t>争议处理</w:t>
      </w:r>
    </w:p>
    <w:p>
      <w:pPr>
        <w:tabs>
          <w:tab w:val="left" w:pos="1260"/>
        </w:tabs>
        <w:autoSpaceDE w:val="0"/>
        <w:autoSpaceDN w:val="0"/>
        <w:spacing w:line="360" w:lineRule="auto"/>
        <w:ind w:firstLine="720" w:firstLineChars="300"/>
        <w:contextualSpacing/>
        <w:rPr>
          <w:rFonts w:cs="仿宋_GB2312" w:asciiTheme="minorEastAsia" w:hAnsiTheme="minorEastAsia"/>
          <w:sz w:val="24"/>
          <w:szCs w:val="24"/>
          <w:lang w:val="zh-CN"/>
        </w:rPr>
      </w:pPr>
      <w:r>
        <w:rPr>
          <w:rFonts w:cs="仿宋_GB2312" w:asciiTheme="minorEastAsia" w:hAnsiTheme="minorEastAsia"/>
          <w:sz w:val="24"/>
          <w:szCs w:val="24"/>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723" w:firstLineChars="300"/>
        <w:contextualSpacing/>
        <w:rPr>
          <w:rFonts w:cs="仿宋_GB2312" w:asciiTheme="minorEastAsia" w:hAnsiTheme="minorEastAsia"/>
          <w:b/>
          <w:sz w:val="24"/>
          <w:szCs w:val="24"/>
          <w:lang w:val="zh-CN"/>
        </w:rPr>
      </w:pPr>
      <w:r>
        <w:rPr>
          <w:rFonts w:cs="仿宋_GB2312" w:asciiTheme="minorEastAsia" w:hAnsiTheme="minorEastAsia"/>
          <w:b/>
          <w:sz w:val="24"/>
          <w:szCs w:val="24"/>
          <w:lang w:val="zh-CN"/>
        </w:rPr>
        <w:t>确定中标候选人名单，</w:t>
      </w:r>
      <w:r>
        <w:rPr>
          <w:rFonts w:hint="eastAsia" w:cs="仿宋_GB2312" w:asciiTheme="minorEastAsia" w:hAnsiTheme="minorEastAsia"/>
          <w:b/>
          <w:sz w:val="24"/>
          <w:szCs w:val="24"/>
          <w:lang w:val="zh-CN"/>
        </w:rPr>
        <w:t>评标委员会按得分从高到低推荐三名</w:t>
      </w:r>
      <w:r>
        <w:rPr>
          <w:rFonts w:cs="仿宋_GB2312" w:asciiTheme="minorEastAsia" w:hAnsiTheme="minorEastAsia"/>
          <w:b/>
          <w:sz w:val="24"/>
          <w:szCs w:val="24"/>
          <w:lang w:val="zh-CN"/>
        </w:rPr>
        <w:t>中标人</w:t>
      </w:r>
      <w:r>
        <w:rPr>
          <w:rFonts w:hint="eastAsia" w:cs="仿宋_GB2312" w:asciiTheme="minorEastAsia" w:hAnsiTheme="minorEastAsia"/>
          <w:b/>
          <w:sz w:val="24"/>
          <w:szCs w:val="24"/>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pStyle w:val="14"/>
        <w:spacing w:line="360" w:lineRule="auto"/>
        <w:contextualSpacing/>
        <w:jc w:val="both"/>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hint="eastAsia"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r>
        <w:rPr>
          <w:rFonts w:hint="eastAsia" w:cs="宋体" w:asciiTheme="majorEastAsia" w:hAnsiTheme="majorEastAsia" w:eastAsiaTheme="majorEastAsia"/>
          <w:b/>
          <w:kern w:val="0"/>
          <w:sz w:val="36"/>
          <w:szCs w:val="36"/>
        </w:rPr>
        <w:t>第七章合同条款及格式</w:t>
      </w:r>
    </w:p>
    <w:p>
      <w:pPr>
        <w:pStyle w:val="14"/>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 w:val="24"/>
          <w:szCs w:val="24"/>
        </w:rPr>
      </w:pPr>
      <w:r>
        <w:rPr>
          <w:rFonts w:hint="eastAsia" w:ascii="宋体" w:hAnsi="宋体" w:cs="微软雅黑"/>
          <w:b/>
          <w:bCs/>
          <w:sz w:val="24"/>
          <w:szCs w:val="24"/>
        </w:rPr>
        <w:t>（此合同仅供参考。以最终采购人与中标人签定的合同条款为准进行公示，</w:t>
      </w:r>
    </w:p>
    <w:p>
      <w:pPr>
        <w:spacing w:line="360" w:lineRule="auto"/>
        <w:jc w:val="center"/>
        <w:rPr>
          <w:rFonts w:ascii="宋体" w:hAnsi="宋体" w:cs="微软雅黑"/>
          <w:b/>
          <w:bCs/>
          <w:sz w:val="24"/>
          <w:szCs w:val="24"/>
        </w:rPr>
      </w:pPr>
      <w:r>
        <w:rPr>
          <w:rFonts w:hint="eastAsia" w:ascii="宋体" w:hAnsi="宋体" w:cs="微软雅黑"/>
          <w:b/>
          <w:bCs/>
          <w:sz w:val="24"/>
          <w:szCs w:val="24"/>
        </w:rPr>
        <w:t>最终签定合同的主要条款不能与招标文件有冲突）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 </w:t>
      </w:r>
      <w:r>
        <w:rPr>
          <w:rFonts w:hint="eastAsia" w:ascii="宋体" w:cs="宋体"/>
          <w:sz w:val="24"/>
          <w:lang w:val="zh-CN"/>
        </w:rPr>
        <w:t>定义</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sz w:val="24"/>
        </w:rPr>
        <w:t>“</w:t>
      </w:r>
      <w:r>
        <w:rPr>
          <w:rFonts w:hint="eastAsia" w:ascii="宋体" w:cs="宋体"/>
          <w:sz w:val="24"/>
          <w:lang w:val="zh-CN"/>
        </w:rPr>
        <w:t>合同</w:t>
      </w:r>
      <w:r>
        <w:rPr>
          <w:sz w:val="24"/>
        </w:rPr>
        <w:t>”</w:t>
      </w:r>
      <w:r>
        <w:rPr>
          <w:rFonts w:hint="eastAsia" w:ascii="宋体" w:cs="宋体"/>
          <w:sz w:val="24"/>
          <w:lang w:val="zh-CN"/>
        </w:rPr>
        <w:t>系指甲方和乙方</w:t>
      </w:r>
      <w:r>
        <w:rPr>
          <w:rFonts w:ascii="宋体" w:cs="宋体"/>
          <w:sz w:val="24"/>
          <w:lang w:val="zh-CN"/>
        </w:rPr>
        <w:t xml:space="preserve"> </w:t>
      </w:r>
      <w:r>
        <w:rPr>
          <w:rFonts w:hint="eastAsia" w:ascii="宋体" w:cs="宋体"/>
          <w:sz w:val="24"/>
          <w:lang w:val="zh-CN"/>
        </w:rPr>
        <w:t>（简称合同双方）已达成的协议，即由双方签订的合同格式中的文件，包括所有的附件和组成合同部分的所有其他文件。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sz w:val="24"/>
        </w:rPr>
        <w:t>“</w:t>
      </w:r>
      <w:r>
        <w:rPr>
          <w:rFonts w:hint="eastAsia" w:ascii="宋体" w:cs="宋体"/>
          <w:sz w:val="24"/>
          <w:lang w:val="zh-CN"/>
        </w:rPr>
        <w:t>合同价格</w:t>
      </w:r>
      <w:r>
        <w:rPr>
          <w:sz w:val="24"/>
        </w:rPr>
        <w:t>”</w:t>
      </w:r>
      <w:r>
        <w:rPr>
          <w:rFonts w:hint="eastAsia" w:ascii="宋体" w:cs="宋体"/>
          <w:sz w:val="24"/>
          <w:lang w:val="zh-CN"/>
        </w:rPr>
        <w:t>系指根据合同规定，在乙方全面正确地履行合同义务时应支付给乙方的款项。</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sz w:val="24"/>
        </w:rPr>
        <w:t>“</w:t>
      </w:r>
      <w:r>
        <w:rPr>
          <w:rFonts w:hint="eastAsia" w:ascii="宋体" w:cs="宋体"/>
          <w:sz w:val="24"/>
          <w:lang w:val="zh-CN"/>
        </w:rPr>
        <w:t>甲方</w:t>
      </w:r>
      <w:r>
        <w:rPr>
          <w:sz w:val="24"/>
        </w:rPr>
        <w:t>”</w:t>
      </w:r>
      <w:r>
        <w:rPr>
          <w:rFonts w:hint="eastAsia" w:ascii="宋体" w:cs="宋体"/>
          <w:sz w:val="24"/>
          <w:lang w:val="zh-CN"/>
        </w:rPr>
        <w:t>系指通过招标方式，接受合同服务的采购人</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sz w:val="24"/>
        </w:rPr>
        <w:t>“</w:t>
      </w:r>
      <w:r>
        <w:rPr>
          <w:rFonts w:hint="eastAsia" w:ascii="宋体" w:cs="宋体"/>
          <w:sz w:val="24"/>
          <w:lang w:val="zh-CN"/>
        </w:rPr>
        <w:t>乙方</w:t>
      </w:r>
      <w:r>
        <w:rPr>
          <w:sz w:val="24"/>
        </w:rPr>
        <w:t>”</w:t>
      </w:r>
      <w:r>
        <w:rPr>
          <w:rFonts w:hint="eastAsia" w:ascii="宋体" w:cs="宋体"/>
          <w:sz w:val="24"/>
          <w:lang w:val="zh-CN"/>
        </w:rPr>
        <w:t>系指中标后提供合同服务的</w:t>
      </w:r>
      <w:r>
        <w:rPr>
          <w:rFonts w:hint="eastAsia" w:ascii="宋体" w:cs="宋体"/>
          <w:bCs/>
          <w:sz w:val="24"/>
          <w:lang w:val="zh-CN"/>
        </w:rPr>
        <w:t>中标方</w:t>
      </w:r>
      <w:r>
        <w:rPr>
          <w:rFonts w:hint="eastAsia" w:ascii="宋体" w:cs="宋体"/>
          <w:sz w:val="24"/>
          <w:lang w:val="zh-CN"/>
        </w:rPr>
        <w:t>或供应商。</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2.</w:t>
      </w:r>
      <w:r>
        <w:rPr>
          <w:rFonts w:hint="eastAsia" w:ascii="宋体" w:cs="宋体"/>
          <w:sz w:val="24"/>
          <w:lang w:val="zh-CN"/>
        </w:rPr>
        <w:t>适用范围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 </w:t>
      </w:r>
      <w:r>
        <w:rPr>
          <w:rFonts w:hint="eastAsia" w:ascii="宋体" w:cs="宋体"/>
          <w:sz w:val="24"/>
          <w:lang w:val="zh-CN"/>
        </w:rPr>
        <w:t>本合同条款仅适用于本次招标活动。</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3.</w:t>
      </w:r>
      <w:r>
        <w:rPr>
          <w:rFonts w:hint="eastAsia" w:ascii="宋体" w:cs="宋体"/>
          <w:sz w:val="24"/>
          <w:lang w:val="zh-CN"/>
        </w:rPr>
        <w:t>技术规格和标准</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本合同项下所提供货物设备和服务应与本招标文件规定的标准相一致。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4.</w:t>
      </w:r>
      <w:r>
        <w:rPr>
          <w:rFonts w:hint="eastAsia" w:ascii="宋体" w:cs="宋体"/>
          <w:sz w:val="24"/>
          <w:lang w:val="zh-CN"/>
        </w:rPr>
        <w:t>合同期限</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即自</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日起至</w:t>
      </w:r>
      <w:r>
        <w:rPr>
          <w:rFonts w:ascii="宋体" w:cs="宋体"/>
          <w:sz w:val="24"/>
          <w:lang w:val="zh-CN"/>
        </w:rPr>
        <w:tab/>
      </w:r>
      <w:r>
        <w:rPr>
          <w:rFonts w:hint="eastAsia" w:ascii="宋体" w:cs="宋体"/>
          <w:sz w:val="24"/>
          <w:lang w:val="zh-CN"/>
        </w:rPr>
        <w:t>年</w:t>
      </w:r>
      <w:r>
        <w:rPr>
          <w:rFonts w:ascii="宋体" w:cs="宋体"/>
          <w:sz w:val="24"/>
          <w:lang w:val="zh-CN"/>
        </w:rPr>
        <w:tab/>
      </w:r>
      <w:r>
        <w:rPr>
          <w:rFonts w:hint="eastAsia" w:ascii="宋体" w:cs="宋体"/>
          <w:sz w:val="24"/>
          <w:lang w:val="zh-CN"/>
        </w:rPr>
        <w:t>月</w:t>
      </w:r>
      <w:r>
        <w:rPr>
          <w:rFonts w:ascii="宋体" w:cs="宋体"/>
          <w:sz w:val="24"/>
          <w:lang w:val="zh-CN"/>
        </w:rPr>
        <w:tab/>
      </w:r>
      <w:r>
        <w:rPr>
          <w:rFonts w:hint="eastAsia" w:ascii="宋体" w:cs="宋体"/>
          <w:sz w:val="24"/>
          <w:lang w:val="zh-CN"/>
        </w:rPr>
        <w:t>日止。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5.</w:t>
      </w:r>
      <w:r>
        <w:rPr>
          <w:rFonts w:hint="eastAsia" w:ascii="宋体" w:cs="宋体"/>
          <w:sz w:val="24"/>
          <w:lang w:val="zh-CN"/>
        </w:rPr>
        <w:t>价格</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除非合同中另有规定，乙方为其所提供货物设备和服务而要求甲方支付的金额应与其投标报价一致。</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w:t>
      </w:r>
      <w:r>
        <w:rPr>
          <w:rFonts w:hint="eastAsia" w:ascii="宋体" w:cs="宋体"/>
          <w:sz w:val="24"/>
          <w:lang w:val="zh-CN"/>
        </w:rPr>
        <w:t>索赔</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w:t>
      </w:r>
      <w:r>
        <w:rPr>
          <w:rFonts w:hint="eastAsia" w:ascii="宋体" w:cs="宋体"/>
          <w:sz w:val="24"/>
          <w:lang w:val="zh-CN"/>
        </w:rPr>
        <w:t>乙方对所提供货物设备和服务与合同要求不符负有责任，并且甲方已于合同规定的期限内提出索赔，乙方应按甲方同意的下述一种或多种方法解决索赔事宜。</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6.1.1</w:t>
      </w:r>
      <w:r>
        <w:rPr>
          <w:rFonts w:hint="eastAsia" w:ascii="宋体" w:cs="宋体"/>
          <w:sz w:val="24"/>
          <w:lang w:val="zh-CN"/>
        </w:rPr>
        <w:t>乙方同意甲方取消其不符合要求的货物设备和服务项目，退还已经收取的该类货物设备的货款。</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6.1.2</w:t>
      </w:r>
      <w:r>
        <w:rPr>
          <w:rFonts w:hint="eastAsia" w:ascii="宋体" w:cs="宋体"/>
          <w:sz w:val="24"/>
          <w:lang w:val="zh-CN"/>
        </w:rPr>
        <w:t>对于情节严重、造成甲方损失金额巨大的，同意甲方终止全部项目合同，并赔偿甲方因此造成的损失。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6.2 </w:t>
      </w:r>
      <w:r>
        <w:rPr>
          <w:rFonts w:hint="eastAsia" w:ascii="宋体" w:cs="宋体"/>
          <w:sz w:val="24"/>
          <w:lang w:val="zh-CN"/>
        </w:rPr>
        <w:t>如果甲方提出索赔通知后</w:t>
      </w:r>
      <w:r>
        <w:rPr>
          <w:rFonts w:ascii="宋体" w:cs="宋体"/>
          <w:sz w:val="24"/>
          <w:lang w:val="zh-CN"/>
        </w:rPr>
        <w:t xml:space="preserve"> 30</w:t>
      </w:r>
      <w:r>
        <w:rPr>
          <w:rFonts w:hint="eastAsia" w:ascii="宋体" w:cs="宋体"/>
          <w:sz w:val="24"/>
          <w:lang w:val="zh-CN"/>
        </w:rPr>
        <w:t>天内乙方未能予以签复，该索赔应视为已被乙方接受。若乙方未能在甲方提出索赔通知的</w:t>
      </w:r>
      <w:r>
        <w:rPr>
          <w:rFonts w:ascii="宋体" w:cs="宋体"/>
          <w:sz w:val="24"/>
          <w:lang w:val="zh-CN"/>
        </w:rPr>
        <w:t xml:space="preserve"> 30</w:t>
      </w:r>
      <w:r>
        <w:rPr>
          <w:rFonts w:hint="eastAsia" w:ascii="宋体" w:cs="宋体"/>
          <w:sz w:val="24"/>
          <w:lang w:val="zh-CN"/>
        </w:rPr>
        <w:t>天内或甲方同意的更长一些的时间内，按甲方同意的上述任何一种方式处理索赔事宜，甲方将乙方提供的履约保证金中扣回索赔金额，同时保留进一步要求赔偿的权利。</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w:t>
      </w:r>
      <w:r>
        <w:rPr>
          <w:rFonts w:hint="eastAsia" w:ascii="宋体" w:cs="宋体"/>
          <w:sz w:val="24"/>
          <w:lang w:val="zh-CN"/>
        </w:rPr>
        <w:t>不可抗力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7.1</w:t>
      </w:r>
      <w:r>
        <w:rPr>
          <w:rFonts w:hint="eastAsia" w:ascii="宋体" w:cs="宋体"/>
          <w:sz w:val="24"/>
          <w:lang w:val="zh-CN"/>
        </w:rPr>
        <w:t>签约双方任一方由于受诸如战争、严重火灾、洪水、台风、地震等不可抗力事故的影响而不能执行合同时，履行合同的期限应予以延长，延长的期限应相当于事故所影响的时间。不可抗力事故系指甲乙双方在缔结合同时所不能预见的，并且它的发生及其后果是无法避免和无法克服的事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7.2</w:t>
      </w:r>
      <w:r>
        <w:rPr>
          <w:rFonts w:hint="eastAsia" w:ascii="宋体" w:cs="宋体"/>
          <w:sz w:val="24"/>
          <w:lang w:val="zh-CN"/>
        </w:rPr>
        <w:t>受损一方应在不可抗力事故发生后尽快用电报、传真或电传通知对方，并于事故发生后</w:t>
      </w:r>
      <w:r>
        <w:rPr>
          <w:rFonts w:ascii="宋体" w:cs="宋体"/>
          <w:sz w:val="24"/>
          <w:lang w:val="zh-CN"/>
        </w:rPr>
        <w:t xml:space="preserve"> 14</w:t>
      </w:r>
      <w:r>
        <w:rPr>
          <w:rFonts w:hint="eastAsia" w:ascii="宋体" w:cs="宋体"/>
          <w:sz w:val="24"/>
          <w:lang w:val="zh-CN"/>
        </w:rPr>
        <w:t>天内将有关部门出具的证明文件用特快专递或挂号信寄给对方审阅确认。一旦不可抗力事故的影响持续</w:t>
      </w:r>
      <w:r>
        <w:rPr>
          <w:rFonts w:ascii="宋体" w:cs="宋体"/>
          <w:sz w:val="24"/>
          <w:lang w:val="zh-CN"/>
        </w:rPr>
        <w:t xml:space="preserve"> 60</w:t>
      </w:r>
      <w:r>
        <w:rPr>
          <w:rFonts w:hint="eastAsia" w:ascii="宋体" w:cs="宋体"/>
          <w:sz w:val="24"/>
          <w:lang w:val="zh-CN"/>
        </w:rPr>
        <w:t>天以上，双方应通过友好协商，在合理的时间内达成进一步履行合同的协议。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w:t>
      </w:r>
      <w:r>
        <w:rPr>
          <w:rFonts w:hint="eastAsia" w:ascii="宋体" w:cs="宋体"/>
          <w:sz w:val="24"/>
          <w:lang w:val="zh-CN"/>
        </w:rPr>
        <w:t>履约保证金</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8.1</w:t>
      </w:r>
      <w:r>
        <w:rPr>
          <w:rFonts w:hint="eastAsia" w:ascii="宋体" w:cs="宋体"/>
          <w:sz w:val="24"/>
          <w:lang w:val="zh-CN"/>
        </w:rPr>
        <w:t>履约保证金的有效期至供货完毕且验收合格。</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8.2</w:t>
      </w:r>
      <w:r>
        <w:rPr>
          <w:rFonts w:hint="eastAsia" w:ascii="宋体" w:cs="宋体"/>
          <w:sz w:val="24"/>
          <w:lang w:val="zh-CN"/>
        </w:rPr>
        <w:t>乙方提供的履约保证金按规定格式转帐支票、电汇的形式提供，与此有关的费用由乙方负担。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8.4</w:t>
      </w:r>
      <w:r>
        <w:rPr>
          <w:rFonts w:hint="eastAsia" w:ascii="宋体" w:cs="宋体"/>
          <w:sz w:val="24"/>
          <w:lang w:val="zh-CN"/>
        </w:rPr>
        <w:t>如果乙方未能按合同规定履行其义务，甲方有权从履约保证金取得补偿。</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w:t>
      </w:r>
      <w:r>
        <w:rPr>
          <w:rFonts w:hint="eastAsia" w:ascii="宋体" w:cs="宋体"/>
          <w:sz w:val="24"/>
          <w:lang w:val="zh-CN"/>
        </w:rPr>
        <w:t>争议的解决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9.1</w:t>
      </w:r>
      <w:r>
        <w:rPr>
          <w:rFonts w:hint="eastAsia" w:ascii="宋体" w:cs="宋体"/>
          <w:sz w:val="24"/>
          <w:lang w:val="zh-CN"/>
        </w:rPr>
        <w:t>在执行合同中发生的与本合同有关的争端，双方应通过友好协商解决，经协商在</w:t>
      </w:r>
      <w:r>
        <w:rPr>
          <w:rFonts w:ascii="宋体" w:cs="宋体"/>
          <w:sz w:val="24"/>
          <w:lang w:val="zh-CN"/>
        </w:rPr>
        <w:t xml:space="preserve"> 60</w:t>
      </w:r>
      <w:r>
        <w:rPr>
          <w:rFonts w:hint="eastAsia" w:ascii="宋体" w:cs="宋体"/>
          <w:sz w:val="24"/>
          <w:lang w:val="zh-CN"/>
        </w:rPr>
        <w:t>天内不能达成协议时，应提交仲裁。</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9.2 </w:t>
      </w:r>
      <w:r>
        <w:rPr>
          <w:rFonts w:hint="eastAsia" w:ascii="宋体" w:cs="宋体"/>
          <w:sz w:val="24"/>
          <w:lang w:val="zh-CN"/>
        </w:rPr>
        <w:t>提交正式仲裁的争端属涉外的，应在北京或中国国内其他地点，由指定的国际经济仲裁委员会根据该委员会的仲裁程序或规则予以最终裁决。</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9.3 </w:t>
      </w:r>
      <w:r>
        <w:rPr>
          <w:rFonts w:hint="eastAsia" w:ascii="宋体" w:cs="宋体"/>
          <w:sz w:val="24"/>
          <w:lang w:val="zh-CN"/>
        </w:rPr>
        <w:t>合同双方均为国内法人的，其争端的仲裁应由合同发生地许昌仲裁委员会根据其仲裁程序进行。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9.4 </w:t>
      </w:r>
      <w:r>
        <w:rPr>
          <w:rFonts w:hint="eastAsia" w:ascii="宋体" w:cs="宋体"/>
          <w:sz w:val="24"/>
          <w:lang w:val="zh-CN"/>
        </w:rPr>
        <w:t>仲裁裁决应为最终决定，并对双方具有约束力。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9.5 </w:t>
      </w:r>
      <w:r>
        <w:rPr>
          <w:rFonts w:hint="eastAsia" w:ascii="宋体" w:cs="宋体"/>
          <w:sz w:val="24"/>
          <w:lang w:val="zh-CN"/>
        </w:rPr>
        <w:t>除另有裁决外，仲裁费应由败诉方负担。</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9.6 </w:t>
      </w:r>
      <w:r>
        <w:rPr>
          <w:rFonts w:hint="eastAsia" w:ascii="宋体" w:cs="宋体"/>
          <w:sz w:val="24"/>
          <w:lang w:val="zh-CN"/>
        </w:rPr>
        <w:t>在仲裁期间，除正在进行的仲裁部分外，合同其他部分继续执行。</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w:t>
      </w:r>
      <w:r>
        <w:rPr>
          <w:rFonts w:hint="eastAsia" w:ascii="宋体" w:cs="宋体"/>
          <w:sz w:val="24"/>
          <w:lang w:val="zh-CN"/>
        </w:rPr>
        <w:t>合同终止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10.1</w:t>
      </w:r>
      <w:r>
        <w:rPr>
          <w:rFonts w:hint="eastAsia" w:ascii="宋体" w:cs="宋体"/>
          <w:sz w:val="24"/>
          <w:lang w:val="zh-CN"/>
        </w:rPr>
        <w:t>合同到期甲乙双方均未提出新的意向，合同自行终止。合同期内任何一方不得擅自停止协议，否则应负担所造成的一切损失。如一方因故需终止合同，必须提前三个月书面通知另一方，经双方达成一致意见后，方可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10.2 </w:t>
      </w:r>
      <w:r>
        <w:rPr>
          <w:rFonts w:hint="eastAsia" w:ascii="宋体" w:cs="宋体"/>
          <w:sz w:val="24"/>
          <w:lang w:val="zh-CN"/>
        </w:rPr>
        <w:t>出现下列情况时合同自动终止：</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10.2.1</w:t>
      </w:r>
      <w:r>
        <w:rPr>
          <w:rFonts w:hint="eastAsia" w:ascii="宋体" w:cs="宋体"/>
          <w:sz w:val="24"/>
          <w:lang w:val="zh-CN"/>
        </w:rPr>
        <w:t>发生不可抗力时。</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10.2.2</w:t>
      </w:r>
      <w:r>
        <w:rPr>
          <w:rFonts w:hint="eastAsia" w:ascii="宋体" w:cs="宋体"/>
          <w:sz w:val="24"/>
          <w:lang w:val="zh-CN"/>
        </w:rPr>
        <w:t>一方不履行合同条款，造成另一方无法执行合同协议，协商又不能求得解决，合同终止，责任方赔偿损失。</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11.</w:t>
      </w:r>
      <w:r>
        <w:rPr>
          <w:rFonts w:hint="eastAsia" w:ascii="宋体" w:cs="宋体"/>
          <w:sz w:val="24"/>
          <w:lang w:val="zh-CN"/>
        </w:rPr>
        <w:t>合同修改</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对于合同的未尽事宜，需进行修改、补充和完善的，甲乙双方必须就所修改的内容签订书面的合同修改书，作为合同的补充协议。</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12.</w:t>
      </w:r>
      <w:r>
        <w:rPr>
          <w:rFonts w:hint="eastAsia" w:ascii="宋体" w:cs="宋体"/>
          <w:sz w:val="24"/>
          <w:lang w:val="zh-CN"/>
        </w:rPr>
        <w:t>适用法律</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本合同应按中华人民共和国的法律解释。</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13.</w:t>
      </w:r>
      <w:r>
        <w:rPr>
          <w:rFonts w:hint="eastAsia" w:ascii="宋体" w:cs="宋体"/>
          <w:sz w:val="24"/>
          <w:lang w:val="zh-CN"/>
        </w:rPr>
        <w:t>主导语言与计量单位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13.1 </w:t>
      </w:r>
      <w:r>
        <w:rPr>
          <w:rFonts w:hint="eastAsia" w:ascii="宋体" w:cs="宋体"/>
          <w:sz w:val="24"/>
          <w:lang w:val="zh-CN"/>
        </w:rPr>
        <w:t>合同书写应用中文书写。甲乙双方及相关部门各执一份，具有同等法律效力。</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 xml:space="preserve">13.2 </w:t>
      </w:r>
      <w:r>
        <w:rPr>
          <w:rFonts w:hint="eastAsia" w:ascii="宋体" w:cs="宋体"/>
          <w:sz w:val="24"/>
          <w:lang w:val="zh-CN"/>
        </w:rPr>
        <w:t>除技术规格另有规定外，计量单位均使用中华人民共和国法定计量单位。</w:t>
      </w:r>
    </w:p>
    <w:p>
      <w:pPr>
        <w:wordWrap w:val="0"/>
        <w:topLinePunct/>
        <w:autoSpaceDE w:val="0"/>
        <w:autoSpaceDN w:val="0"/>
        <w:adjustRightInd w:val="0"/>
        <w:snapToGrid w:val="0"/>
        <w:spacing w:line="360" w:lineRule="auto"/>
        <w:ind w:firstLine="480"/>
        <w:rPr>
          <w:rFonts w:ascii="宋体" w:cs="宋体"/>
          <w:sz w:val="24"/>
          <w:lang w:val="zh-CN"/>
        </w:rPr>
      </w:pPr>
      <w:r>
        <w:rPr>
          <w:rFonts w:ascii="宋体" w:cs="宋体"/>
          <w:sz w:val="24"/>
          <w:lang w:val="zh-CN"/>
        </w:rPr>
        <w:t>14.</w:t>
      </w:r>
      <w:r>
        <w:rPr>
          <w:rFonts w:hint="eastAsia" w:ascii="宋体" w:cs="宋体"/>
          <w:sz w:val="24"/>
          <w:lang w:val="zh-CN"/>
        </w:rPr>
        <w:t>合同生效</w:t>
      </w:r>
    </w:p>
    <w:p>
      <w:pPr>
        <w:wordWrap w:val="0"/>
        <w:topLinePunct/>
        <w:autoSpaceDE w:val="0"/>
        <w:autoSpaceDN w:val="0"/>
        <w:adjustRightInd w:val="0"/>
        <w:snapToGrid w:val="0"/>
        <w:spacing w:line="360" w:lineRule="auto"/>
        <w:ind w:firstLine="480"/>
        <w:rPr>
          <w:rFonts w:ascii="宋体" w:cs="宋体"/>
          <w:sz w:val="24"/>
          <w:lang w:val="zh-CN"/>
        </w:rPr>
      </w:pPr>
      <w:r>
        <w:rPr>
          <w:rFonts w:hint="eastAsia" w:ascii="宋体" w:cs="宋体"/>
          <w:sz w:val="24"/>
          <w:lang w:val="zh-CN"/>
        </w:rPr>
        <w:t>除非合同中另有说明，本合同经双方签字盖章，并在招标人收到乙方的履约保证金后，即开始生效。</w:t>
      </w:r>
    </w:p>
    <w:p>
      <w:pPr>
        <w:pStyle w:val="14"/>
        <w:spacing w:line="360" w:lineRule="auto"/>
        <w:contextualSpacing/>
        <w:jc w:val="both"/>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Pr>
        <w:pStyle w:val="14"/>
        <w:spacing w:line="360" w:lineRule="auto"/>
        <w:contextualSpacing/>
        <w:jc w:val="center"/>
        <w:rPr>
          <w:rFonts w:cs="宋体" w:asciiTheme="majorEastAsia" w:hAnsiTheme="majorEastAsia" w:eastAsiaTheme="majorEastAsia"/>
          <w:b/>
          <w:kern w:val="0"/>
          <w:sz w:val="36"/>
          <w:szCs w:val="36"/>
        </w:rPr>
      </w:pPr>
    </w:p>
    <w:p/>
    <w:p>
      <w:pPr>
        <w:tabs>
          <w:tab w:val="left" w:pos="1260"/>
        </w:tabs>
        <w:autoSpaceDE w:val="0"/>
        <w:autoSpaceDN w:val="0"/>
        <w:adjustRightInd w:val="0"/>
        <w:spacing w:line="360" w:lineRule="auto"/>
        <w:contextualSpacing/>
        <w:jc w:val="center"/>
        <w:rPr>
          <w:rFonts w:hint="eastAsia"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hint="eastAsia" w:cs="黑体" w:asciiTheme="minorEastAsia" w:hAnsiTheme="minorEastAsia" w:eastAsiaTheme="majorEastAsia"/>
          <w:b/>
          <w:bCs/>
          <w:sz w:val="44"/>
          <w:szCs w:val="44"/>
          <w:lang w:val="en-US" w:eastAsia="zh-CN"/>
        </w:rPr>
      </w:pPr>
      <w:r>
        <w:rPr>
          <w:rFonts w:hint="eastAsia" w:cs="宋体" w:asciiTheme="majorEastAsia" w:hAnsiTheme="majorEastAsia" w:eastAsiaTheme="majorEastAsia"/>
          <w:b/>
          <w:kern w:val="0"/>
          <w:sz w:val="36"/>
          <w:szCs w:val="36"/>
        </w:rPr>
        <w:t>（如涉及本项目的提供</w:t>
      </w:r>
      <w:r>
        <w:rPr>
          <w:rFonts w:hint="eastAsia" w:cs="宋体" w:asciiTheme="majorEastAsia" w:hAnsiTheme="majorEastAsia" w:eastAsiaTheme="majorEastAsia"/>
          <w:b/>
          <w:kern w:val="0"/>
          <w:sz w:val="36"/>
          <w:szCs w:val="36"/>
          <w:lang w:val="en-US" w:eastAsia="zh-CN"/>
        </w:rPr>
        <w:t>)</w:t>
      </w:r>
    </w:p>
    <w:p>
      <w:pPr>
        <w:pStyle w:val="29"/>
        <w:rPr>
          <w:rFonts w:cs="黑体" w:asciiTheme="minorEastAsia" w:hAnsiTheme="minorEastAsia"/>
          <w:b/>
          <w:bCs/>
          <w:sz w:val="44"/>
          <w:szCs w:val="44"/>
          <w:lang w:val="zh-CN"/>
        </w:rPr>
      </w:pPr>
    </w:p>
    <w:p>
      <w:pPr>
        <w:pStyle w:val="29"/>
        <w:rPr>
          <w:rFonts w:cs="黑体" w:asciiTheme="minorEastAsia" w:hAnsiTheme="minorEastAsia"/>
          <w:b/>
          <w:bCs/>
          <w:sz w:val="44"/>
          <w:szCs w:val="44"/>
          <w:lang w:val="zh-CN"/>
        </w:rPr>
      </w:pPr>
    </w:p>
    <w:p>
      <w:pPr>
        <w:pStyle w:val="29"/>
        <w:rPr>
          <w:rFonts w:cs="黑体" w:asciiTheme="minorEastAsia" w:hAnsiTheme="minorEastAsia"/>
          <w:b/>
          <w:bCs/>
          <w:sz w:val="44"/>
          <w:szCs w:val="44"/>
          <w:lang w:val="zh-CN"/>
        </w:rPr>
      </w:pPr>
    </w:p>
    <w:p>
      <w:pPr>
        <w:pStyle w:val="52"/>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1" w:name="_Toc186274126"/>
      <w:bookmarkStart w:id="2" w:name="_Toc174185203"/>
      <w:bookmarkStart w:id="3" w:name="_Toc184023138"/>
      <w:r>
        <w:rPr>
          <w:rFonts w:hint="eastAsia" w:cs="黑体" w:asciiTheme="minorEastAsia" w:hAnsiTheme="minorEastAsia" w:eastAsiaTheme="minorEastAsia"/>
          <w:color w:val="auto"/>
          <w:kern w:val="2"/>
          <w:sz w:val="28"/>
          <w:szCs w:val="28"/>
          <w:lang w:val="zh-CN"/>
        </w:rPr>
        <w:t>一、投标人应答索引表</w:t>
      </w:r>
      <w:bookmarkEnd w:id="1"/>
      <w:bookmarkEnd w:id="2"/>
      <w:bookmarkEnd w:id="3"/>
    </w:p>
    <w:tbl>
      <w:tblPr>
        <w:tblStyle w:val="23"/>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284"/>
        <w:gridCol w:w="425"/>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依法缴纳社会保险凭据复印件</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4"/>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c>
          <w:tcPr>
            <w:tcW w:w="468" w:type="dxa"/>
            <w:vMerge w:val="continue"/>
            <w:vAlign w:val="center"/>
          </w:tcPr>
          <w:p>
            <w:pPr>
              <w:numPr>
                <w:ilvl w:val="0"/>
                <w:numId w:val="11"/>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4"/>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435"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4"/>
              <w:kinsoku w:val="0"/>
              <w:overflowPunct w:val="0"/>
              <w:autoSpaceDE w:val="0"/>
              <w:autoSpaceDN w:val="0"/>
              <w:spacing w:line="320" w:lineRule="exact"/>
              <w:rPr>
                <w:rFonts w:hint="eastAsia" w:hAnsi="宋体" w:cs="微软雅黑" w:eastAsiaTheme="majorEastAsia"/>
                <w:bCs/>
                <w:kern w:val="0"/>
                <w:sz w:val="21"/>
                <w:szCs w:val="21"/>
                <w:lang w:val="en-US" w:eastAsia="zh-CN"/>
              </w:rPr>
            </w:pPr>
            <w:r>
              <w:rPr>
                <w:rFonts w:hint="eastAsia" w:asciiTheme="majorEastAsia" w:hAnsiTheme="majorEastAsia" w:eastAsiaTheme="majorEastAsia" w:cstheme="majorEastAsia"/>
                <w:bCs/>
                <w:sz w:val="21"/>
                <w:szCs w:val="21"/>
                <w:lang w:val="zh-CN"/>
              </w:rPr>
              <w:t>投标</w:t>
            </w:r>
            <w:r>
              <w:rPr>
                <w:rFonts w:hint="eastAsia" w:asciiTheme="majorEastAsia" w:hAnsiTheme="majorEastAsia" w:eastAsiaTheme="majorEastAsia" w:cstheme="majorEastAsia"/>
                <w:bCs/>
                <w:sz w:val="21"/>
                <w:szCs w:val="21"/>
                <w:lang w:val="zh-CN" w:eastAsia="zh-CN"/>
              </w:rPr>
              <w:t>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1089"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1058" w:type="dxa"/>
            <w:gridSpan w:val="2"/>
            <w:tcBorders>
              <w:righ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1058" w:type="dxa"/>
            <w:gridSpan w:val="2"/>
            <w:vMerge w:val="restart"/>
            <w:tcBorders>
              <w:right w:val="single" w:color="auto" w:sz="4" w:space="0"/>
            </w:tcBorders>
            <w:vAlign w:val="center"/>
          </w:tcPr>
          <w:p>
            <w:pPr>
              <w:pStyle w:val="14"/>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058" w:type="dxa"/>
            <w:gridSpan w:val="2"/>
            <w:vMerge w:val="continue"/>
            <w:tcBorders>
              <w:righ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693" w:type="dxa"/>
            <w:gridSpan w:val="2"/>
            <w:tcBorders>
              <w:left w:val="single" w:color="auto" w:sz="4" w:space="0"/>
            </w:tcBorders>
            <w:vAlign w:val="center"/>
          </w:tcPr>
          <w:p>
            <w:pPr>
              <w:pStyle w:val="14"/>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4"/>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4"/>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 “第六章资格审查与评标”资格审查表中序号3要求，根据所提供经审计财务报告、基本开户银行资信证明、银行资信证明、政府采购投标担保函情况填写其中一项即可。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③本表序号26请根据所投产品提供证书或截图情况填写其中一项即可。</w:t>
      </w:r>
    </w:p>
    <w:p>
      <w:pPr>
        <w:pStyle w:val="14"/>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4"/>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3"/>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Layout w:type="fixed"/>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   年    月    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注：1、交付日期指完成该项目的最终时间（日历天）。</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jc w:val="both"/>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4"/>
        <w:spacing w:line="360" w:lineRule="auto"/>
        <w:rPr>
          <w:rFonts w:asciiTheme="majorEastAsia" w:hAnsiTheme="majorEastAsia" w:eastAsiaTheme="majorEastAsia"/>
          <w:b/>
          <w:snapToGrid w:val="0"/>
          <w:kern w:val="0"/>
          <w:szCs w:val="24"/>
        </w:rPr>
      </w:pPr>
    </w:p>
    <w:p>
      <w:pPr>
        <w:pStyle w:val="14"/>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4"/>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w:t>
      </w:r>
      <w:r>
        <w:rPr>
          <w:rFonts w:hint="eastAsia" w:asciiTheme="minorEastAsia" w:hAnsiTheme="minorEastAsia"/>
          <w:b/>
          <w:snapToGrid w:val="0"/>
          <w:kern w:val="0"/>
          <w:szCs w:val="21"/>
        </w:rPr>
        <w:t>（采购人）</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4"/>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sz w:val="21"/>
          <w:szCs w:val="21"/>
        </w:rPr>
        <w:t>已完全理解并接受招标文件的各项规定和要求及资金支付规定，对招标文件的合理性、合法性不再有异议。</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i/>
          <w:snapToGrid w:val="0"/>
          <w:kern w:val="0"/>
          <w:szCs w:val="21"/>
          <w:u w:val="single"/>
        </w:rPr>
        <w:t xml:space="preserve">(投标人名称)     </w:t>
      </w:r>
      <w:r>
        <w:rPr>
          <w:rFonts w:hint="eastAsia" w:asciiTheme="minorEastAsia" w:hAnsiTheme="minorEastAsia"/>
          <w:snapToGrid w:val="0"/>
          <w:kern w:val="0"/>
          <w:szCs w:val="21"/>
        </w:rPr>
        <w:t>作为投标人正式授权</w:t>
      </w:r>
      <w:r>
        <w:rPr>
          <w:rFonts w:hint="eastAsia" w:asciiTheme="minorEastAsia" w:hAnsiTheme="minorEastAsia"/>
          <w:i/>
          <w:snapToGrid w:val="0"/>
          <w:kern w:val="0"/>
          <w:szCs w:val="21"/>
          <w:u w:val="single"/>
        </w:rPr>
        <w:t xml:space="preserve">(授权代表全名, 职务)       </w:t>
      </w:r>
      <w:r>
        <w:rPr>
          <w:rFonts w:hint="eastAsia" w:asciiTheme="minorEastAsia" w:hAnsiTheme="minorEastAsia"/>
          <w:snapToGrid w:val="0"/>
          <w:kern w:val="0"/>
          <w:szCs w:val="21"/>
        </w:rPr>
        <w:t>代表我方全权处理有关本投标的一切事宜。</w:t>
      </w:r>
    </w:p>
    <w:p>
      <w:pPr>
        <w:adjustRightInd w:val="0"/>
        <w:spacing w:line="360" w:lineRule="auto"/>
        <w:ind w:firstLine="420" w:firstLineChars="200"/>
        <w:contextualSpacing/>
        <w:rPr>
          <w:rFonts w:asciiTheme="minorEastAsia" w:hAnsiTheme="minorEastAsia"/>
          <w:snapToGrid w:val="0"/>
          <w:kern w:val="0"/>
          <w:szCs w:val="21"/>
        </w:rPr>
      </w:pPr>
      <w:r>
        <w:rPr>
          <w:rFonts w:hint="eastAsia" w:asciiTheme="minorEastAsia" w:hAnsiTheme="minorEastAsia"/>
          <w:snapToGrid w:val="0"/>
          <w:kern w:val="0"/>
          <w:szCs w:val="21"/>
        </w:rPr>
        <w:t>在此提交的投标文件，正本一份，副本</w:t>
      </w:r>
      <w:r>
        <w:rPr>
          <w:rFonts w:hint="eastAsia" w:asciiTheme="minorEastAsia" w:hAnsiTheme="minorEastAsia"/>
          <w:snapToGrid w:val="0"/>
          <w:kern w:val="0"/>
          <w:szCs w:val="21"/>
          <w:u w:val="single"/>
        </w:rPr>
        <w:t>一</w:t>
      </w:r>
      <w:r>
        <w:rPr>
          <w:rFonts w:hint="eastAsia" w:asciiTheme="minorEastAsia" w:hAnsiTheme="minorEastAsia"/>
          <w:snapToGrid w:val="0"/>
          <w:kern w:val="0"/>
          <w:szCs w:val="21"/>
        </w:rPr>
        <w:t>份。</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二、本投标文件的有效期为投标截止时间起</w:t>
      </w:r>
      <w:r>
        <w:rPr>
          <w:rFonts w:hint="eastAsia" w:cs="Courier New" w:asciiTheme="minorEastAsia" w:hAnsiTheme="minorEastAsia"/>
          <w:szCs w:val="21"/>
          <w:u w:val="single"/>
        </w:rPr>
        <w:t xml:space="preserve">   </w:t>
      </w:r>
      <w:r>
        <w:rPr>
          <w:rFonts w:hint="eastAsia" w:cs="Courier New" w:asciiTheme="minorEastAsia" w:hAnsiTheme="minorEastAsia"/>
          <w:szCs w:val="21"/>
        </w:rPr>
        <w:t>天。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三、我方明白并同意，在规定的开标日之后，投标有效期之内撤销投标的，则贵方将不予退还</w:t>
      </w:r>
      <w:r>
        <w:rPr>
          <w:rFonts w:hint="eastAsia" w:cs="Courier New" w:asciiTheme="minorEastAsia" w:hAnsiTheme="minorEastAsia" w:eastAsiaTheme="minorEastAsia"/>
          <w:sz w:val="21"/>
          <w:szCs w:val="21"/>
          <w:lang w:eastAsia="zh-CN"/>
        </w:rPr>
        <w:t>履约</w:t>
      </w:r>
      <w:r>
        <w:rPr>
          <w:rFonts w:hint="eastAsia" w:cs="Courier New" w:asciiTheme="minorEastAsia" w:hAnsiTheme="minorEastAsia" w:eastAsiaTheme="minorEastAsia"/>
          <w:sz w:val="21"/>
          <w:szCs w:val="21"/>
        </w:rPr>
        <w:t>保证金。</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0"/>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0"/>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4"/>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4"/>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p>
    <w:p>
      <w:pPr>
        <w:pStyle w:val="14"/>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u w:val="single"/>
        </w:rPr>
      </w:pP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投标人法定代表人（单位负责人）或法定代表人（单位负责人）授权代表签字或盖章：</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投标人名称（盖章）：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r>
        <w:rPr>
          <w:rFonts w:hint="eastAsia" w:cs="宋体" w:asciiTheme="minorEastAsia" w:hAnsiTheme="minorEastAsia"/>
          <w:szCs w:val="21"/>
        </w:rPr>
        <w:t>日期：    年    月    日</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3"/>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3"/>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firstLine="472" w:firstLineChars="225"/>
        <w:jc w:val="left"/>
        <w:rPr>
          <w:rFonts w:asciiTheme="minorEastAsia" w:hAnsiTheme="minorEastAsia"/>
          <w:color w:val="000000"/>
          <w:sz w:val="21"/>
          <w:szCs w:val="21"/>
        </w:rPr>
      </w:pPr>
    </w:p>
    <w:p>
      <w:pPr>
        <w:pStyle w:val="43"/>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3"/>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46"/>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   年   月  日</w:t>
      </w:r>
    </w:p>
    <w:p>
      <w:pPr>
        <w:pStyle w:val="45"/>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以我方的名义参加贵方______________________项目的投标活动，并代表我方全权办理针对上述项目的投标、开标、投标文件澄清、签约等一切具体事务和签署相关文件。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（盖单位公章）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  （签字或加盖名章）</w:t>
      </w:r>
    </w:p>
    <w:p>
      <w:pPr>
        <w:spacing w:line="480" w:lineRule="auto"/>
        <w:ind w:firstLine="420" w:firstLineChars="200"/>
        <w:rPr>
          <w:rFonts w:asciiTheme="minorEastAsia" w:hAnsiTheme="minorEastAsia"/>
          <w:szCs w:val="21"/>
        </w:rPr>
      </w:pPr>
      <w:r>
        <w:rPr>
          <w:rFonts w:hint="eastAsia" w:asciiTheme="minorEastAsia" w:hAnsiTheme="minorEastAsia"/>
          <w:szCs w:val="21"/>
        </w:rPr>
        <w:t>法定代表人（单位负责人）授权代表：  （签字或加盖名章）</w:t>
      </w:r>
    </w:p>
    <w:tbl>
      <w:tblPr>
        <w:tblStyle w:val="23"/>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4" w:name="_资格证明文件"/>
            <w:bookmarkEnd w:id="4"/>
            <w:bookmarkStart w:id="5"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5"/>
          </w:p>
        </w:tc>
        <w:tc>
          <w:tcPr>
            <w:tcW w:w="4492" w:type="dxa"/>
            <w:gridSpan w:val="2"/>
            <w:vAlign w:val="center"/>
          </w:tcPr>
          <w:p>
            <w:pPr>
              <w:jc w:val="center"/>
              <w:rPr>
                <w:rFonts w:asciiTheme="minorEastAsia" w:hAnsiTheme="minorEastAsia"/>
                <w:szCs w:val="21"/>
              </w:rPr>
            </w:pPr>
            <w:bookmarkStart w:id="6"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6"/>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单位名称（盖章）：</w:t>
      </w:r>
    </w:p>
    <w:p>
      <w:pPr>
        <w:spacing w:beforeLines="50" w:afterLines="50" w:line="360" w:lineRule="auto"/>
        <w:ind w:right="420" w:firstLine="4800" w:firstLineChars="2286"/>
        <w:rPr>
          <w:rFonts w:cs="宋体" w:asciiTheme="minorEastAsia" w:hAnsiTheme="minorEastAsia"/>
          <w:szCs w:val="21"/>
          <w:lang w:val="zh-CN"/>
        </w:rPr>
      </w:pPr>
      <w:r>
        <w:rPr>
          <w:rFonts w:hint="eastAsia" w:cs="宋体" w:asciiTheme="minorEastAsia" w:hAnsiTheme="minorEastAsia"/>
          <w:szCs w:val="21"/>
          <w:lang w:val="zh-CN"/>
        </w:rPr>
        <w:t xml:space="preserve">日    期：     </w:t>
      </w:r>
      <w:r>
        <w:rPr>
          <w:rFonts w:hint="eastAsia" w:cs="宋体" w:asciiTheme="minorEastAsia" w:hAnsiTheme="minorEastAsia"/>
          <w:szCs w:val="21"/>
        </w:rPr>
        <w:t>年    月    日</w:t>
      </w:r>
    </w:p>
    <w:p>
      <w:pPr>
        <w:pStyle w:val="2"/>
        <w:rPr>
          <w:rFonts w:hint="eastAsia" w:ascii="宋体" w:hAnsi="宋体"/>
          <w:b/>
          <w:bCs/>
          <w:color w:val="000000"/>
          <w:sz w:val="24"/>
          <w:szCs w:val="24"/>
        </w:rPr>
      </w:pPr>
    </w:p>
    <w:p>
      <w:pPr>
        <w:pStyle w:val="2"/>
        <w:rPr>
          <w:rFonts w:hint="eastAsia" w:ascii="宋体" w:hAnsi="宋体"/>
          <w:b/>
          <w:bCs/>
          <w:color w:val="000000"/>
          <w:sz w:val="24"/>
          <w:szCs w:val="24"/>
        </w:rPr>
      </w:pPr>
    </w:p>
    <w:p>
      <w:pPr>
        <w:pStyle w:val="2"/>
        <w:rPr>
          <w:rFonts w:hint="eastAsia" w:ascii="宋体" w:hAnsi="宋体"/>
          <w:b/>
          <w:bCs/>
          <w:color w:val="000000"/>
          <w:sz w:val="24"/>
          <w:szCs w:val="24"/>
        </w:rPr>
      </w:pPr>
    </w:p>
    <w:p>
      <w:pPr>
        <w:autoSpaceDE w:val="0"/>
        <w:autoSpaceDN w:val="0"/>
        <w:adjustRightInd w:val="0"/>
        <w:spacing w:line="360" w:lineRule="auto"/>
        <w:ind w:firstLine="3373" w:firstLineChars="1400"/>
        <w:jc w:val="both"/>
        <w:outlineLvl w:val="0"/>
        <w:rPr>
          <w:rFonts w:ascii="宋体" w:hAnsi="宋体"/>
          <w:b/>
          <w:bCs/>
          <w:color w:val="000000"/>
          <w:sz w:val="24"/>
          <w:szCs w:val="24"/>
        </w:rPr>
      </w:pPr>
      <w:r>
        <w:rPr>
          <w:rFonts w:hint="eastAsia" w:ascii="宋体" w:hAnsi="宋体"/>
          <w:b/>
          <w:bCs/>
          <w:color w:val="000000"/>
          <w:sz w:val="24"/>
          <w:szCs w:val="24"/>
        </w:rPr>
        <w:t xml:space="preserve"> 3.5 投标承诺函</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36"/>
          <w:szCs w:val="36"/>
          <w:lang w:val="zh-CN"/>
        </w:rPr>
      </w:pPr>
      <w:r>
        <w:rPr>
          <w:rFonts w:hint="eastAsia" w:ascii="宋体" w:hAnsi="宋体"/>
          <w:b/>
          <w:bCs/>
          <w:color w:val="000000"/>
          <w:sz w:val="36"/>
          <w:szCs w:val="36"/>
          <w:lang w:val="zh-CN"/>
        </w:rPr>
        <w:t>投标承诺函</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本企业郑重承诺：</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一、将遵循公开、公平、公正和诚实信用的原则参加(</w:t>
      </w:r>
      <w:r>
        <w:rPr>
          <w:rFonts w:hint="eastAsia" w:asciiTheme="minorEastAsia" w:hAnsiTheme="minorEastAsia" w:eastAsiaTheme="minorEastAsia" w:cstheme="minorBidi"/>
          <w:color w:val="FF0000"/>
          <w:sz w:val="21"/>
          <w:szCs w:val="21"/>
        </w:rPr>
        <w:t>具体政府采购项目名称</w:t>
      </w:r>
      <w:r>
        <w:rPr>
          <w:rFonts w:hint="eastAsia" w:asciiTheme="minorEastAsia" w:hAnsiTheme="minorEastAsia" w:eastAsiaTheme="minorEastAsia" w:cstheme="minorBidi"/>
          <w:color w:val="000000"/>
          <w:sz w:val="21"/>
          <w:szCs w:val="21"/>
        </w:rPr>
        <w:t>）的投标;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 xml:space="preserve">二、本次投标所提供的一切材料都是真实、有效、合法的; </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三、不与其他投标人相互串通投标报价，不排挤其他投标人的公平竞争，不损害采购人或其他投标人的合法权益;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四、不与采购人或集中采购机构串通投标，不损害国家利益、社会公共利益或者他人的合法权益;</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五、不向采购人或者</w:t>
      </w:r>
      <w:r>
        <w:fldChar w:fldCharType="begin"/>
      </w:r>
      <w:r>
        <w:instrText xml:space="preserve"> HYPERLINK "http://www.cbi360.net/hyjd/1zt102.html" \t "https://www.cbi360.net/hyjd/20170619/_blank" </w:instrText>
      </w:r>
      <w:r>
        <w:fldChar w:fldCharType="separate"/>
      </w:r>
      <w:r>
        <w:rPr>
          <w:rFonts w:hint="eastAsia" w:asciiTheme="minorEastAsia" w:hAnsiTheme="minorEastAsia" w:eastAsiaTheme="minorEastAsia" w:cstheme="minorBidi"/>
          <w:color w:val="000000"/>
          <w:sz w:val="21"/>
          <w:szCs w:val="21"/>
        </w:rPr>
        <w:t>评标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委员会成员行贿以牟取</w:t>
      </w:r>
      <w:r>
        <w:fldChar w:fldCharType="begin"/>
      </w:r>
      <w:r>
        <w:instrText xml:space="preserve"> HYPERLINK "http://hhb.cbi360.net/TenderBangSoso.aspx" \t "https://www.cbi360.net/hyjd/20170619/_blank" </w:instrText>
      </w:r>
      <w:r>
        <w:fldChar w:fldCharType="separate"/>
      </w:r>
      <w:r>
        <w:rPr>
          <w:rFonts w:hint="eastAsia" w:asciiTheme="minorEastAsia" w:hAnsiTheme="minorEastAsia" w:eastAsiaTheme="minorEastAsia" w:cstheme="minorBidi"/>
          <w:color w:val="000000"/>
          <w:sz w:val="21"/>
          <w:szCs w:val="21"/>
        </w:rPr>
        <w:t>中标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六、不以他人名义投标或者以其他方式弄虚作假，骗取中标;</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七、不扰乱禹州市政府采购市场秩序;</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八、不在</w:t>
      </w:r>
      <w:r>
        <w:fldChar w:fldCharType="begin"/>
      </w:r>
      <w:r>
        <w:instrText xml:space="preserve"> HYPERLINK "http://www.cbi360.net/hyjd/1zt99.html" \t "https://www.cbi360.net/hyjd/20170619/_blank" </w:instrText>
      </w:r>
      <w:r>
        <w:fldChar w:fldCharType="separate"/>
      </w:r>
      <w:r>
        <w:rPr>
          <w:rFonts w:hint="eastAsia" w:asciiTheme="minorEastAsia" w:hAnsiTheme="minorEastAsia" w:eastAsiaTheme="minorEastAsia" w:cstheme="minorBidi"/>
          <w:color w:val="000000"/>
          <w:sz w:val="21"/>
          <w:szCs w:val="21"/>
        </w:rPr>
        <w:t>开标</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后进行虚假恶意投诉;</w:t>
      </w:r>
    </w:p>
    <w:p>
      <w:pPr>
        <w:pStyle w:val="20"/>
        <w:widowControl/>
        <w:shd w:val="clear" w:color="auto" w:fill="FFFFFF"/>
        <w:spacing w:after="300" w:line="336" w:lineRule="atLeast"/>
        <w:ind w:firstLine="420" w:firstLineChars="2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九、中标后不得将</w:t>
      </w:r>
      <w:r>
        <w:fldChar w:fldCharType="begin"/>
      </w:r>
      <w:r>
        <w:instrText xml:space="preserve"> HYPERLINK "http://www.cbi360.net/hyjd/1zt49.html" \t "https://www.cbi360.net/hyjd/20170619/_blank" </w:instrText>
      </w:r>
      <w:r>
        <w:fldChar w:fldCharType="separate"/>
      </w:r>
      <w:r>
        <w:rPr>
          <w:rFonts w:hint="eastAsia" w:asciiTheme="minorEastAsia" w:hAnsiTheme="minorEastAsia" w:eastAsiaTheme="minorEastAsia" w:cstheme="minorBidi"/>
          <w:color w:val="000000"/>
          <w:sz w:val="21"/>
          <w:szCs w:val="21"/>
        </w:rPr>
        <w:t>招标文件</w:t>
      </w:r>
      <w:r>
        <w:rPr>
          <w:rFonts w:hint="eastAsia" w:asciiTheme="minorEastAsia" w:hAnsiTheme="minorEastAsia" w:eastAsiaTheme="minorEastAsia" w:cstheme="minorBidi"/>
          <w:color w:val="000000"/>
          <w:sz w:val="21"/>
          <w:szCs w:val="21"/>
        </w:rPr>
        <w:fldChar w:fldCharType="end"/>
      </w:r>
      <w:r>
        <w:rPr>
          <w:rFonts w:hint="eastAsia" w:asciiTheme="minorEastAsia" w:hAnsiTheme="minorEastAsia" w:eastAsiaTheme="minorEastAsia" w:cstheme="minorBidi"/>
          <w:color w:val="000000"/>
          <w:sz w:val="21"/>
          <w:szCs w:val="21"/>
        </w:rPr>
        <w:t>规定不予转包、分包的项目转包、分包于他人。</w:t>
      </w:r>
    </w:p>
    <w:p>
      <w:pPr>
        <w:pStyle w:val="20"/>
        <w:keepNext w:val="0"/>
        <w:keepLines w:val="0"/>
        <w:pageBreakBefore w:val="0"/>
        <w:widowControl/>
        <w:shd w:val="clear" w:color="auto" w:fill="FFFFFF"/>
        <w:kinsoku/>
        <w:wordWrap/>
        <w:overflowPunct/>
        <w:topLinePunct w:val="0"/>
        <w:autoSpaceDE/>
        <w:autoSpaceDN/>
        <w:bidi w:val="0"/>
        <w:adjustRightInd/>
        <w:snapToGrid/>
        <w:spacing w:after="300" w:line="360" w:lineRule="auto"/>
        <w:ind w:firstLine="420" w:firstLineChars="200"/>
        <w:textAlignment w:val="auto"/>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本公司若有违反本承诺内容的行为，愿意承担法律责任，包括：愿意接受相关行政主管部门作出的处罚，愿意接受禹州市政府采购监督管理办公室作出的罚没履约保证金或者现金处罚、限制交易和停止交易等市场准入与清出的处理。</w:t>
      </w:r>
    </w:p>
    <w:p>
      <w:pPr>
        <w:pStyle w:val="20"/>
        <w:widowControl/>
        <w:shd w:val="clear" w:color="auto" w:fill="FFFFFF"/>
        <w:spacing w:after="300" w:line="336" w:lineRule="atLeast"/>
        <w:rPr>
          <w:rFonts w:asciiTheme="minorEastAsia" w:hAnsiTheme="minorEastAsia" w:eastAsiaTheme="minorEastAsia" w:cstheme="minorBidi"/>
          <w:color w:val="000000"/>
          <w:sz w:val="21"/>
          <w:szCs w:val="21"/>
        </w:rPr>
      </w:pP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法定代表人或者被委托人（签字盖章)：</w:t>
      </w:r>
    </w:p>
    <w:p>
      <w:pPr>
        <w:pStyle w:val="20"/>
        <w:widowControl/>
        <w:shd w:val="clear" w:color="auto" w:fill="FFFFFF"/>
        <w:spacing w:after="300" w:line="336" w:lineRule="atLeast"/>
        <w:ind w:firstLine="3570" w:firstLineChars="17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投标商名称(盖章)：</w:t>
      </w:r>
    </w:p>
    <w:p>
      <w:pPr>
        <w:pStyle w:val="20"/>
        <w:widowControl/>
        <w:shd w:val="clear" w:color="auto" w:fill="FFFFFF"/>
        <w:spacing w:after="300" w:line="336" w:lineRule="atLeast"/>
        <w:ind w:firstLine="6300" w:firstLineChars="3000"/>
        <w:rPr>
          <w:rFonts w:asciiTheme="minorEastAsia" w:hAnsiTheme="minorEastAsia" w:eastAsiaTheme="minorEastAsia" w:cstheme="minorBidi"/>
          <w:color w:val="000000"/>
          <w:sz w:val="21"/>
          <w:szCs w:val="21"/>
        </w:rPr>
      </w:pPr>
      <w:r>
        <w:rPr>
          <w:rFonts w:hint="eastAsia" w:asciiTheme="minorEastAsia" w:hAnsiTheme="minorEastAsia" w:eastAsiaTheme="minorEastAsia" w:cstheme="minorBidi"/>
          <w:color w:val="000000"/>
          <w:sz w:val="21"/>
          <w:szCs w:val="21"/>
        </w:rPr>
        <w:t>年  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jc w:val="center"/>
        <w:rPr>
          <w:rFonts w:cs="宋体" w:asciiTheme="minorEastAsia" w:hAnsiTheme="minorEastAsia"/>
          <w:sz w:val="24"/>
          <w:szCs w:val="24"/>
          <w:lang w:val="zh-CN"/>
        </w:rPr>
      </w:pPr>
    </w:p>
    <w:p>
      <w:pPr>
        <w:autoSpaceDE w:val="0"/>
        <w:autoSpaceDN w:val="0"/>
        <w:adjustRightInd w:val="0"/>
        <w:spacing w:line="360" w:lineRule="auto"/>
        <w:outlineLvl w:val="0"/>
        <w:rPr>
          <w:rFonts w:ascii="宋体" w:cs="宋体"/>
          <w:sz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3.6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产地及</w:t>
            </w:r>
          </w:p>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Layout w:type="fixed"/>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spacing w:line="300" w:lineRule="exact"/>
        <w:rPr>
          <w:rFonts w:asciiTheme="minorEastAsia" w:hAnsiTheme="minorEastAsia"/>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8"/>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规格型号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8"/>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8"/>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8"/>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Layout w:type="fixed"/>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3"/>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77" w:hRule="atLeast"/>
        </w:trPr>
        <w:tc>
          <w:tcPr>
            <w:tcW w:w="712"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8"/>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8"/>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8"/>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8"/>
              <w:spacing w:line="360" w:lineRule="auto"/>
              <w:rPr>
                <w:rFonts w:ascii="宋体" w:hAnsi="宋体" w:eastAsia="宋体" w:cs="Times New Roman"/>
                <w:sz w:val="21"/>
                <w:szCs w:val="21"/>
              </w:rPr>
            </w:pPr>
          </w:p>
        </w:tc>
        <w:tc>
          <w:tcPr>
            <w:tcW w:w="3579" w:type="dxa"/>
            <w:vAlign w:val="center"/>
          </w:tcPr>
          <w:p>
            <w:pPr>
              <w:pStyle w:val="8"/>
              <w:spacing w:line="360" w:lineRule="auto"/>
              <w:rPr>
                <w:rFonts w:ascii="宋体" w:hAnsi="宋体" w:eastAsia="宋体" w:cs="Times New Roman"/>
                <w:sz w:val="21"/>
                <w:szCs w:val="21"/>
              </w:rPr>
            </w:pPr>
          </w:p>
        </w:tc>
        <w:tc>
          <w:tcPr>
            <w:tcW w:w="1440" w:type="dxa"/>
            <w:vAlign w:val="center"/>
          </w:tcPr>
          <w:p>
            <w:pPr>
              <w:pStyle w:val="8"/>
              <w:spacing w:line="360" w:lineRule="auto"/>
              <w:rPr>
                <w:rFonts w:ascii="宋体" w:hAnsi="宋体" w:eastAsia="宋体" w:cs="Times New Roman"/>
                <w:sz w:val="21"/>
                <w:szCs w:val="21"/>
              </w:rPr>
            </w:pPr>
          </w:p>
        </w:tc>
        <w:tc>
          <w:tcPr>
            <w:tcW w:w="1706" w:type="dxa"/>
            <w:vAlign w:val="center"/>
          </w:tcPr>
          <w:p>
            <w:pPr>
              <w:pStyle w:val="8"/>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trPr>
        <w:tc>
          <w:tcPr>
            <w:tcW w:w="712" w:type="dxa"/>
            <w:vAlign w:val="center"/>
          </w:tcPr>
          <w:p>
            <w:pPr>
              <w:pStyle w:val="8"/>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投标人法定代表人（单位负责人）或授权代表签字：</w:t>
      </w: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hint="eastAsia" w:ascii="宋体" w:hAnsi="宋体" w:cs="Arial"/>
          <w:color w:val="000000"/>
          <w:kern w:val="0"/>
          <w:szCs w:val="21"/>
        </w:rPr>
        <w:t>本公司为______（请填写：中型、小型、微型）企业。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r>
        <w:rPr>
          <w:rFonts w:hint="eastAsia" w:ascii="宋体" w:hAnsi="宋体" w:cs="Arial"/>
          <w:color w:val="000000"/>
          <w:kern w:val="0"/>
          <w:szCs w:val="21"/>
        </w:rPr>
        <w:t>企业名称（盖章）：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autoSpaceDE w:val="0"/>
        <w:autoSpaceDN w:val="0"/>
        <w:adjustRightInd w:val="0"/>
        <w:spacing w:line="360" w:lineRule="auto"/>
        <w:jc w:val="center"/>
        <w:outlineLvl w:val="0"/>
        <w:rPr>
          <w:rFonts w:ascii="宋体" w:hAnsi="宋体"/>
          <w:b/>
          <w:bCs/>
          <w:color w:val="000000"/>
          <w:sz w:val="24"/>
          <w:szCs w:val="24"/>
        </w:rPr>
      </w:pPr>
      <w:bookmarkStart w:id="7" w:name="OLE_LINK13"/>
      <w:bookmarkStart w:id="8" w:name="OLE_LINK14"/>
      <w:r>
        <w:rPr>
          <w:rFonts w:hint="eastAsia" w:ascii="宋体" w:hAnsi="宋体"/>
          <w:b/>
          <w:bCs/>
          <w:color w:val="000000"/>
          <w:sz w:val="24"/>
          <w:szCs w:val="24"/>
        </w:rPr>
        <w:t>4.7 残疾人福利性单位声明函</w:t>
      </w:r>
    </w:p>
    <w:bookmarkEnd w:id="7"/>
    <w:bookmarkEnd w:id="8"/>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 xml:space="preserve">                                    单位名称（盖章）：</w:t>
      </w:r>
    </w:p>
    <w:p>
      <w:pPr>
        <w:spacing w:line="360" w:lineRule="auto"/>
        <w:rPr>
          <w:rFonts w:ascii="宋体" w:hAnsi="宋体"/>
          <w:szCs w:val="21"/>
        </w:rPr>
      </w:pPr>
      <w:r>
        <w:rPr>
          <w:rFonts w:hint="eastAsia" w:ascii="宋体" w:hAnsi="宋体"/>
          <w:szCs w:val="21"/>
        </w:rPr>
        <w:t xml:space="preserve">                                    日    期：      </w:t>
      </w:r>
      <w:r>
        <w:rPr>
          <w:rFonts w:hint="eastAsia" w:cs="宋体" w:asciiTheme="minorEastAsia" w:hAnsiTheme="minorEastAsia"/>
          <w:szCs w:val="21"/>
        </w:rPr>
        <w:t>年    月    日</w:t>
      </w:r>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4.8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hint="eastAsia" w:cs="黑体" w:asciiTheme="minorEastAsia" w:hAnsiTheme="minorEastAsia"/>
          <w:b/>
          <w:bCs/>
          <w:sz w:val="28"/>
          <w:szCs w:val="28"/>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除招标文件另有规定外，投标人认为需要提交的其他证明材料或资料加盖投标人的单位公章后应在此项下提交。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Pr>
        <w:pStyle w:val="29"/>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8"/>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helvetica neue">
    <w:altName w:val="Segoe Print"/>
    <w:panose1 w:val="00000000000000000000"/>
    <w:charset w:val="00"/>
    <w:family w:val="auto"/>
    <w:pitch w:val="default"/>
    <w:sig w:usb0="00000000" w:usb1="00000000" w:usb2="00000000" w:usb3="00000000" w:csb0="00000000" w:csb1="00000000"/>
  </w:font>
  <w:font w:name="微软简隶书">
    <w:altName w:val="宋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M6pebnP&#10;AAAABQEAAA8AAAAAAAAAAQAgAAAAIgAAAGRycy9kb3ducmV2LnhtbFBLAQIUABQAAAAIAIdO4kAi&#10;B7s4twEAAFQDAAAOAAAAAAAAAAEAIAAAAB4BAABkcnMvZTJvRG9jLnhtbFBLBQYAAAAABgAGAFkB&#10;AABHBQAAAAA=&#10;">
          <v:path/>
          <v:fill on="f" focussize="0,0"/>
          <v:stroke on="f" joinstyle="miter"/>
          <v:imagedata o:title=""/>
          <o:lock v:ext="edit"/>
          <v:textbox inset="0mm,0mm,0mm,0mm" style="mso-fit-shape-to-text:t;">
            <w:txbxContent>
              <w:p>
                <w:pPr>
                  <w:pStyle w:val="16"/>
                </w:pPr>
                <w:r>
                  <w:fldChar w:fldCharType="begin"/>
                </w:r>
                <w:r>
                  <w:instrText xml:space="preserve"> PAGE  \* MERGEFORMAT </w:instrText>
                </w:r>
                <w:r>
                  <w:fldChar w:fldCharType="separate"/>
                </w:r>
                <w:r>
                  <w:t>77</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7B403A2"/>
    <w:multiLevelType w:val="singleLevel"/>
    <w:tmpl w:val="E7B403A2"/>
    <w:lvl w:ilvl="0" w:tentative="0">
      <w:start w:val="1"/>
      <w:numFmt w:val="chineseCounting"/>
      <w:suff w:val="nothing"/>
      <w:lvlText w:val="%1、"/>
      <w:lvlJc w:val="left"/>
      <w:rPr>
        <w:rFonts w:hint="eastAsia"/>
      </w:rPr>
    </w:lvl>
  </w:abstractNum>
  <w:abstractNum w:abstractNumId="1">
    <w:nsid w:val="00000006"/>
    <w:multiLevelType w:val="multilevel"/>
    <w:tmpl w:val="00000006"/>
    <w:lvl w:ilvl="0" w:tentative="0">
      <w:start w:val="1"/>
      <w:numFmt w:val="chineseCountingThousand"/>
      <w:pStyle w:val="3"/>
      <w:suff w:val="nothing"/>
      <w:lvlText w:val="第%1部分"/>
      <w:lvlJc w:val="center"/>
      <w:pPr>
        <w:ind w:left="-288" w:firstLine="288"/>
      </w:pPr>
      <w:rPr>
        <w:rFonts w:hint="eastAsia"/>
        <w:sz w:val="28"/>
        <w:szCs w:val="28"/>
      </w:rPr>
    </w:lvl>
    <w:lvl w:ilvl="1" w:tentative="0">
      <w:start w:val="1"/>
      <w:numFmt w:val="chineseCountingThousand"/>
      <w:pStyle w:val="4"/>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6"/>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2">
    <w:nsid w:val="00000014"/>
    <w:multiLevelType w:val="multilevel"/>
    <w:tmpl w:val="00000014"/>
    <w:lvl w:ilvl="0" w:tentative="0">
      <w:start w:val="1"/>
      <w:numFmt w:val="decimal"/>
      <w:pStyle w:val="47"/>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3">
    <w:nsid w:val="04491004"/>
    <w:multiLevelType w:val="multilevel"/>
    <w:tmpl w:val="04491004"/>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6">
    <w:nsid w:val="31D40CE9"/>
    <w:multiLevelType w:val="singleLevel"/>
    <w:tmpl w:val="31D40CE9"/>
    <w:lvl w:ilvl="0" w:tentative="0">
      <w:start w:val="1"/>
      <w:numFmt w:val="chineseCounting"/>
      <w:suff w:val="space"/>
      <w:lvlText w:val="第%1章"/>
      <w:lvlJc w:val="left"/>
      <w:rPr>
        <w:rFonts w:hint="eastAsia"/>
      </w:rPr>
    </w:lvl>
  </w:abstractNum>
  <w:abstractNum w:abstractNumId="7">
    <w:nsid w:val="59F817C2"/>
    <w:multiLevelType w:val="singleLevel"/>
    <w:tmpl w:val="59F817C2"/>
    <w:lvl w:ilvl="0" w:tentative="0">
      <w:start w:val="2"/>
      <w:numFmt w:val="chineseCounting"/>
      <w:suff w:val="space"/>
      <w:lvlText w:val="第%1章"/>
      <w:lvlJc w:val="left"/>
    </w:lvl>
  </w:abstractNum>
  <w:abstractNum w:abstractNumId="8">
    <w:nsid w:val="59F817E8"/>
    <w:multiLevelType w:val="singleLevel"/>
    <w:tmpl w:val="59F817E8"/>
    <w:lvl w:ilvl="0" w:tentative="0">
      <w:start w:val="1"/>
      <w:numFmt w:val="chineseCounting"/>
      <w:pStyle w:val="52"/>
      <w:suff w:val="nothing"/>
      <w:lvlText w:val="%1、"/>
      <w:lvlJc w:val="left"/>
    </w:lvl>
  </w:abstractNum>
  <w:abstractNum w:abstractNumId="9">
    <w:nsid w:val="5D1F0770"/>
    <w:multiLevelType w:val="singleLevel"/>
    <w:tmpl w:val="5D1F0770"/>
    <w:lvl w:ilvl="0" w:tentative="0">
      <w:start w:val="1"/>
      <w:numFmt w:val="chineseCounting"/>
      <w:suff w:val="nothing"/>
      <w:lvlText w:val="（%1）"/>
      <w:lvlJc w:val="left"/>
      <w:rPr>
        <w:rFonts w:hint="eastAsia"/>
      </w:rPr>
    </w:lvl>
  </w:abstractNum>
  <w:abstractNum w:abstractNumId="10">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1"/>
  </w:num>
  <w:num w:numId="2">
    <w:abstractNumId w:val="2"/>
  </w:num>
  <w:num w:numId="3">
    <w:abstractNumId w:val="8"/>
  </w:num>
  <w:num w:numId="4">
    <w:abstractNumId w:val="6"/>
  </w:num>
  <w:num w:numId="5">
    <w:abstractNumId w:val="3"/>
  </w:num>
  <w:num w:numId="6">
    <w:abstractNumId w:val="7"/>
  </w:num>
  <w:num w:numId="7">
    <w:abstractNumId w:val="9"/>
  </w:num>
  <w:num w:numId="8">
    <w:abstractNumId w:val="0"/>
  </w:num>
  <w:num w:numId="9">
    <w:abstractNumId w:val="5"/>
  </w:num>
  <w:num w:numId="10">
    <w:abstractNumId w:val="10"/>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F51389"/>
    <w:rsid w:val="00001AAB"/>
    <w:rsid w:val="0000220B"/>
    <w:rsid w:val="000028B5"/>
    <w:rsid w:val="00003C00"/>
    <w:rsid w:val="00003D13"/>
    <w:rsid w:val="00006D15"/>
    <w:rsid w:val="00010A8E"/>
    <w:rsid w:val="000159BD"/>
    <w:rsid w:val="00015CB5"/>
    <w:rsid w:val="00016ECB"/>
    <w:rsid w:val="00020755"/>
    <w:rsid w:val="00025E45"/>
    <w:rsid w:val="000311FB"/>
    <w:rsid w:val="000328B5"/>
    <w:rsid w:val="00034E53"/>
    <w:rsid w:val="0003556C"/>
    <w:rsid w:val="000400E2"/>
    <w:rsid w:val="00040A19"/>
    <w:rsid w:val="0004289A"/>
    <w:rsid w:val="00043FBC"/>
    <w:rsid w:val="000463C9"/>
    <w:rsid w:val="00047B44"/>
    <w:rsid w:val="000530F0"/>
    <w:rsid w:val="000609FD"/>
    <w:rsid w:val="00061CC7"/>
    <w:rsid w:val="00065BB1"/>
    <w:rsid w:val="00067819"/>
    <w:rsid w:val="0007075F"/>
    <w:rsid w:val="00073DCF"/>
    <w:rsid w:val="00077FF3"/>
    <w:rsid w:val="00082C6E"/>
    <w:rsid w:val="00083F6F"/>
    <w:rsid w:val="00086DE9"/>
    <w:rsid w:val="00092652"/>
    <w:rsid w:val="000936D5"/>
    <w:rsid w:val="00093BD2"/>
    <w:rsid w:val="00094806"/>
    <w:rsid w:val="00095731"/>
    <w:rsid w:val="000B59E9"/>
    <w:rsid w:val="000C05E8"/>
    <w:rsid w:val="000C393F"/>
    <w:rsid w:val="000C57C8"/>
    <w:rsid w:val="000C5930"/>
    <w:rsid w:val="000C6651"/>
    <w:rsid w:val="000C6CC0"/>
    <w:rsid w:val="000C6E80"/>
    <w:rsid w:val="000D532F"/>
    <w:rsid w:val="000D74F9"/>
    <w:rsid w:val="000E263E"/>
    <w:rsid w:val="000E264F"/>
    <w:rsid w:val="000E4F3B"/>
    <w:rsid w:val="000E5C96"/>
    <w:rsid w:val="001008C2"/>
    <w:rsid w:val="001052E3"/>
    <w:rsid w:val="00110C26"/>
    <w:rsid w:val="0011232C"/>
    <w:rsid w:val="001123F2"/>
    <w:rsid w:val="0011325E"/>
    <w:rsid w:val="00122A56"/>
    <w:rsid w:val="001262C8"/>
    <w:rsid w:val="001276EF"/>
    <w:rsid w:val="00140426"/>
    <w:rsid w:val="00141B3F"/>
    <w:rsid w:val="00142385"/>
    <w:rsid w:val="00147B7D"/>
    <w:rsid w:val="00163CBE"/>
    <w:rsid w:val="001645B9"/>
    <w:rsid w:val="00165060"/>
    <w:rsid w:val="00177750"/>
    <w:rsid w:val="001829C2"/>
    <w:rsid w:val="00183EF7"/>
    <w:rsid w:val="00185ECD"/>
    <w:rsid w:val="0018761C"/>
    <w:rsid w:val="001948F5"/>
    <w:rsid w:val="00195D1B"/>
    <w:rsid w:val="001977EA"/>
    <w:rsid w:val="001A4C92"/>
    <w:rsid w:val="001A70C2"/>
    <w:rsid w:val="001B079A"/>
    <w:rsid w:val="001B41AD"/>
    <w:rsid w:val="001B6332"/>
    <w:rsid w:val="001B7057"/>
    <w:rsid w:val="001B7C18"/>
    <w:rsid w:val="001C0F1B"/>
    <w:rsid w:val="001C309B"/>
    <w:rsid w:val="001C6C61"/>
    <w:rsid w:val="001D0627"/>
    <w:rsid w:val="001D117F"/>
    <w:rsid w:val="001D357E"/>
    <w:rsid w:val="001D3FB6"/>
    <w:rsid w:val="001D46FE"/>
    <w:rsid w:val="001D6E54"/>
    <w:rsid w:val="001E1B0A"/>
    <w:rsid w:val="001E570D"/>
    <w:rsid w:val="001E66A5"/>
    <w:rsid w:val="001E6C54"/>
    <w:rsid w:val="001E78EA"/>
    <w:rsid w:val="001F121D"/>
    <w:rsid w:val="001F202D"/>
    <w:rsid w:val="001F4319"/>
    <w:rsid w:val="001F4B20"/>
    <w:rsid w:val="001F7E43"/>
    <w:rsid w:val="002026FE"/>
    <w:rsid w:val="002121A9"/>
    <w:rsid w:val="00212788"/>
    <w:rsid w:val="00213252"/>
    <w:rsid w:val="00216728"/>
    <w:rsid w:val="002232E0"/>
    <w:rsid w:val="00223E42"/>
    <w:rsid w:val="00235E0B"/>
    <w:rsid w:val="00243B01"/>
    <w:rsid w:val="00247570"/>
    <w:rsid w:val="00247938"/>
    <w:rsid w:val="00254745"/>
    <w:rsid w:val="0025544A"/>
    <w:rsid w:val="002567BE"/>
    <w:rsid w:val="00257257"/>
    <w:rsid w:val="00263C0C"/>
    <w:rsid w:val="00264FDB"/>
    <w:rsid w:val="00266A53"/>
    <w:rsid w:val="00266F38"/>
    <w:rsid w:val="002704F0"/>
    <w:rsid w:val="00275E54"/>
    <w:rsid w:val="0027728C"/>
    <w:rsid w:val="00281155"/>
    <w:rsid w:val="00296074"/>
    <w:rsid w:val="002969B1"/>
    <w:rsid w:val="002A00B7"/>
    <w:rsid w:val="002A0347"/>
    <w:rsid w:val="002A18E5"/>
    <w:rsid w:val="002A5CCE"/>
    <w:rsid w:val="002B2BE8"/>
    <w:rsid w:val="002C08BF"/>
    <w:rsid w:val="002D0D13"/>
    <w:rsid w:val="002E3055"/>
    <w:rsid w:val="002E60F6"/>
    <w:rsid w:val="002E744B"/>
    <w:rsid w:val="0030587D"/>
    <w:rsid w:val="0031527C"/>
    <w:rsid w:val="00316537"/>
    <w:rsid w:val="00316973"/>
    <w:rsid w:val="00316D67"/>
    <w:rsid w:val="00324DE2"/>
    <w:rsid w:val="00334874"/>
    <w:rsid w:val="00336815"/>
    <w:rsid w:val="00345108"/>
    <w:rsid w:val="00345E09"/>
    <w:rsid w:val="00350355"/>
    <w:rsid w:val="00350E1D"/>
    <w:rsid w:val="0035386D"/>
    <w:rsid w:val="00357836"/>
    <w:rsid w:val="00360DAD"/>
    <w:rsid w:val="00365286"/>
    <w:rsid w:val="00365491"/>
    <w:rsid w:val="00365BDD"/>
    <w:rsid w:val="00370DFF"/>
    <w:rsid w:val="00373497"/>
    <w:rsid w:val="00380000"/>
    <w:rsid w:val="00381E36"/>
    <w:rsid w:val="00383277"/>
    <w:rsid w:val="003865C8"/>
    <w:rsid w:val="00391CDE"/>
    <w:rsid w:val="003A003C"/>
    <w:rsid w:val="003A02F1"/>
    <w:rsid w:val="003A4C56"/>
    <w:rsid w:val="003B488E"/>
    <w:rsid w:val="003B5BE5"/>
    <w:rsid w:val="003C013E"/>
    <w:rsid w:val="003C191A"/>
    <w:rsid w:val="003C669F"/>
    <w:rsid w:val="003D2A39"/>
    <w:rsid w:val="003D6EA0"/>
    <w:rsid w:val="003E4CE5"/>
    <w:rsid w:val="003E5D20"/>
    <w:rsid w:val="003E7330"/>
    <w:rsid w:val="003F5C12"/>
    <w:rsid w:val="003F635C"/>
    <w:rsid w:val="00400336"/>
    <w:rsid w:val="004040EC"/>
    <w:rsid w:val="00414D08"/>
    <w:rsid w:val="00420293"/>
    <w:rsid w:val="0042170B"/>
    <w:rsid w:val="00421C7F"/>
    <w:rsid w:val="004224AA"/>
    <w:rsid w:val="00423593"/>
    <w:rsid w:val="00427171"/>
    <w:rsid w:val="00431A4E"/>
    <w:rsid w:val="0043314E"/>
    <w:rsid w:val="00435633"/>
    <w:rsid w:val="00436C3E"/>
    <w:rsid w:val="0043706F"/>
    <w:rsid w:val="00447BA9"/>
    <w:rsid w:val="00450B7E"/>
    <w:rsid w:val="004511E4"/>
    <w:rsid w:val="00452FF0"/>
    <w:rsid w:val="00454B40"/>
    <w:rsid w:val="00461772"/>
    <w:rsid w:val="0046214B"/>
    <w:rsid w:val="0046220D"/>
    <w:rsid w:val="004661DD"/>
    <w:rsid w:val="004661DE"/>
    <w:rsid w:val="004676F5"/>
    <w:rsid w:val="004713E9"/>
    <w:rsid w:val="00475975"/>
    <w:rsid w:val="00475BC1"/>
    <w:rsid w:val="00477E2A"/>
    <w:rsid w:val="00483BBC"/>
    <w:rsid w:val="0049069C"/>
    <w:rsid w:val="004A1281"/>
    <w:rsid w:val="004A35BF"/>
    <w:rsid w:val="004A3D12"/>
    <w:rsid w:val="004A69C6"/>
    <w:rsid w:val="004C00FF"/>
    <w:rsid w:val="004C15CA"/>
    <w:rsid w:val="004C3610"/>
    <w:rsid w:val="004D1A38"/>
    <w:rsid w:val="004D7FCC"/>
    <w:rsid w:val="004E3BC4"/>
    <w:rsid w:val="004F3FD7"/>
    <w:rsid w:val="004F551F"/>
    <w:rsid w:val="004F6FBD"/>
    <w:rsid w:val="004F797A"/>
    <w:rsid w:val="0050133C"/>
    <w:rsid w:val="0050216B"/>
    <w:rsid w:val="005021E8"/>
    <w:rsid w:val="005075CA"/>
    <w:rsid w:val="00510715"/>
    <w:rsid w:val="00510D29"/>
    <w:rsid w:val="005119C1"/>
    <w:rsid w:val="00512E1D"/>
    <w:rsid w:val="00520172"/>
    <w:rsid w:val="00523927"/>
    <w:rsid w:val="00523928"/>
    <w:rsid w:val="00526033"/>
    <w:rsid w:val="00527005"/>
    <w:rsid w:val="00530FA8"/>
    <w:rsid w:val="005314A3"/>
    <w:rsid w:val="00533450"/>
    <w:rsid w:val="00533BD9"/>
    <w:rsid w:val="005366B4"/>
    <w:rsid w:val="00540AEB"/>
    <w:rsid w:val="005415F6"/>
    <w:rsid w:val="00542031"/>
    <w:rsid w:val="00546002"/>
    <w:rsid w:val="00550DFA"/>
    <w:rsid w:val="00555840"/>
    <w:rsid w:val="005601D7"/>
    <w:rsid w:val="005678F6"/>
    <w:rsid w:val="0057088E"/>
    <w:rsid w:val="00570BD7"/>
    <w:rsid w:val="00572C46"/>
    <w:rsid w:val="005755F7"/>
    <w:rsid w:val="00576428"/>
    <w:rsid w:val="005813BD"/>
    <w:rsid w:val="00587160"/>
    <w:rsid w:val="00587EEA"/>
    <w:rsid w:val="005939AD"/>
    <w:rsid w:val="00594467"/>
    <w:rsid w:val="0059516F"/>
    <w:rsid w:val="005A1288"/>
    <w:rsid w:val="005A1C0C"/>
    <w:rsid w:val="005A3462"/>
    <w:rsid w:val="005B04BA"/>
    <w:rsid w:val="005B439F"/>
    <w:rsid w:val="005B608A"/>
    <w:rsid w:val="005B6237"/>
    <w:rsid w:val="005C10B0"/>
    <w:rsid w:val="005C2157"/>
    <w:rsid w:val="005C2C3A"/>
    <w:rsid w:val="005D272E"/>
    <w:rsid w:val="005D5852"/>
    <w:rsid w:val="005D5944"/>
    <w:rsid w:val="005D5E11"/>
    <w:rsid w:val="005D77CF"/>
    <w:rsid w:val="005E0D81"/>
    <w:rsid w:val="005E1286"/>
    <w:rsid w:val="005E4F9E"/>
    <w:rsid w:val="005E6DCD"/>
    <w:rsid w:val="005F09E9"/>
    <w:rsid w:val="005F3918"/>
    <w:rsid w:val="006010BB"/>
    <w:rsid w:val="00601DC9"/>
    <w:rsid w:val="00603BB7"/>
    <w:rsid w:val="006070B9"/>
    <w:rsid w:val="00607C6D"/>
    <w:rsid w:val="006211BD"/>
    <w:rsid w:val="00621788"/>
    <w:rsid w:val="00622134"/>
    <w:rsid w:val="00622FF6"/>
    <w:rsid w:val="006320B9"/>
    <w:rsid w:val="006341CB"/>
    <w:rsid w:val="00636AAD"/>
    <w:rsid w:val="00644E97"/>
    <w:rsid w:val="00651415"/>
    <w:rsid w:val="006674B6"/>
    <w:rsid w:val="0066760C"/>
    <w:rsid w:val="00671218"/>
    <w:rsid w:val="00680403"/>
    <w:rsid w:val="00681A9E"/>
    <w:rsid w:val="0068441A"/>
    <w:rsid w:val="00685CAE"/>
    <w:rsid w:val="00687238"/>
    <w:rsid w:val="0069117B"/>
    <w:rsid w:val="006951C7"/>
    <w:rsid w:val="00697A97"/>
    <w:rsid w:val="006B3B14"/>
    <w:rsid w:val="006B7399"/>
    <w:rsid w:val="006C33F0"/>
    <w:rsid w:val="006C575E"/>
    <w:rsid w:val="006D24FE"/>
    <w:rsid w:val="006D7995"/>
    <w:rsid w:val="006E09B9"/>
    <w:rsid w:val="006E1073"/>
    <w:rsid w:val="006E2C2C"/>
    <w:rsid w:val="006E5294"/>
    <w:rsid w:val="006E69A9"/>
    <w:rsid w:val="006E7D75"/>
    <w:rsid w:val="006F42BD"/>
    <w:rsid w:val="006F4C1F"/>
    <w:rsid w:val="006F6735"/>
    <w:rsid w:val="00703498"/>
    <w:rsid w:val="0070437C"/>
    <w:rsid w:val="00707517"/>
    <w:rsid w:val="00714EA5"/>
    <w:rsid w:val="00716754"/>
    <w:rsid w:val="00723ED1"/>
    <w:rsid w:val="0072488A"/>
    <w:rsid w:val="00727688"/>
    <w:rsid w:val="00730668"/>
    <w:rsid w:val="0073735A"/>
    <w:rsid w:val="007373E3"/>
    <w:rsid w:val="00737A15"/>
    <w:rsid w:val="00737B3F"/>
    <w:rsid w:val="00742F47"/>
    <w:rsid w:val="00743379"/>
    <w:rsid w:val="007445B8"/>
    <w:rsid w:val="0075246E"/>
    <w:rsid w:val="007530A0"/>
    <w:rsid w:val="007541FE"/>
    <w:rsid w:val="0075555D"/>
    <w:rsid w:val="00761164"/>
    <w:rsid w:val="007642BA"/>
    <w:rsid w:val="00765E10"/>
    <w:rsid w:val="00771B80"/>
    <w:rsid w:val="00773878"/>
    <w:rsid w:val="00775A7C"/>
    <w:rsid w:val="00775C43"/>
    <w:rsid w:val="00784839"/>
    <w:rsid w:val="007942AC"/>
    <w:rsid w:val="007A05F2"/>
    <w:rsid w:val="007A0F7B"/>
    <w:rsid w:val="007A1777"/>
    <w:rsid w:val="007A219C"/>
    <w:rsid w:val="007B14B3"/>
    <w:rsid w:val="007B3355"/>
    <w:rsid w:val="007C23FB"/>
    <w:rsid w:val="007C4218"/>
    <w:rsid w:val="007C6809"/>
    <w:rsid w:val="007D100D"/>
    <w:rsid w:val="007D2BA0"/>
    <w:rsid w:val="007D37EB"/>
    <w:rsid w:val="007D6EF3"/>
    <w:rsid w:val="007E2A0C"/>
    <w:rsid w:val="007E503D"/>
    <w:rsid w:val="007F0606"/>
    <w:rsid w:val="007F1CC8"/>
    <w:rsid w:val="007F7141"/>
    <w:rsid w:val="007F7203"/>
    <w:rsid w:val="00810B9A"/>
    <w:rsid w:val="008123F9"/>
    <w:rsid w:val="00813462"/>
    <w:rsid w:val="008147AE"/>
    <w:rsid w:val="00814D8F"/>
    <w:rsid w:val="00815F3D"/>
    <w:rsid w:val="00815F60"/>
    <w:rsid w:val="008219F4"/>
    <w:rsid w:val="00822AC8"/>
    <w:rsid w:val="00827FEC"/>
    <w:rsid w:val="00832B4B"/>
    <w:rsid w:val="00834D27"/>
    <w:rsid w:val="00845805"/>
    <w:rsid w:val="00847A1F"/>
    <w:rsid w:val="00856E26"/>
    <w:rsid w:val="008629A1"/>
    <w:rsid w:val="00870DCD"/>
    <w:rsid w:val="00875099"/>
    <w:rsid w:val="008824BB"/>
    <w:rsid w:val="008868B3"/>
    <w:rsid w:val="00893816"/>
    <w:rsid w:val="00894121"/>
    <w:rsid w:val="00896627"/>
    <w:rsid w:val="008A532F"/>
    <w:rsid w:val="008A735D"/>
    <w:rsid w:val="008B1EBC"/>
    <w:rsid w:val="008B3760"/>
    <w:rsid w:val="008B4CCA"/>
    <w:rsid w:val="008B62B1"/>
    <w:rsid w:val="008B6376"/>
    <w:rsid w:val="008C0905"/>
    <w:rsid w:val="008C380D"/>
    <w:rsid w:val="008E0022"/>
    <w:rsid w:val="008E36C2"/>
    <w:rsid w:val="008E7034"/>
    <w:rsid w:val="00903C60"/>
    <w:rsid w:val="00910FBF"/>
    <w:rsid w:val="009130EC"/>
    <w:rsid w:val="00913638"/>
    <w:rsid w:val="00913A56"/>
    <w:rsid w:val="00920741"/>
    <w:rsid w:val="00932316"/>
    <w:rsid w:val="009324B7"/>
    <w:rsid w:val="0093593B"/>
    <w:rsid w:val="009403D3"/>
    <w:rsid w:val="009407DF"/>
    <w:rsid w:val="0094149A"/>
    <w:rsid w:val="00944C89"/>
    <w:rsid w:val="009462A9"/>
    <w:rsid w:val="00947FB1"/>
    <w:rsid w:val="00951C8E"/>
    <w:rsid w:val="0095409B"/>
    <w:rsid w:val="009567E8"/>
    <w:rsid w:val="00964173"/>
    <w:rsid w:val="009652AA"/>
    <w:rsid w:val="00967E05"/>
    <w:rsid w:val="00971DFC"/>
    <w:rsid w:val="00973BD1"/>
    <w:rsid w:val="00974710"/>
    <w:rsid w:val="00976944"/>
    <w:rsid w:val="00977773"/>
    <w:rsid w:val="00992F1F"/>
    <w:rsid w:val="0099354B"/>
    <w:rsid w:val="00994A8A"/>
    <w:rsid w:val="009A0AC7"/>
    <w:rsid w:val="009A296B"/>
    <w:rsid w:val="009A2BC5"/>
    <w:rsid w:val="009A47E3"/>
    <w:rsid w:val="009A6F91"/>
    <w:rsid w:val="009B3ABA"/>
    <w:rsid w:val="009C12AB"/>
    <w:rsid w:val="009C35AA"/>
    <w:rsid w:val="009D0D89"/>
    <w:rsid w:val="009D24B7"/>
    <w:rsid w:val="009E037C"/>
    <w:rsid w:val="009E1FE4"/>
    <w:rsid w:val="009E2AB7"/>
    <w:rsid w:val="009E483D"/>
    <w:rsid w:val="009E6006"/>
    <w:rsid w:val="009F55F0"/>
    <w:rsid w:val="009F6831"/>
    <w:rsid w:val="00A0270D"/>
    <w:rsid w:val="00A05160"/>
    <w:rsid w:val="00A06482"/>
    <w:rsid w:val="00A066DE"/>
    <w:rsid w:val="00A115DE"/>
    <w:rsid w:val="00A1226A"/>
    <w:rsid w:val="00A146D0"/>
    <w:rsid w:val="00A14D60"/>
    <w:rsid w:val="00A26A2D"/>
    <w:rsid w:val="00A272CE"/>
    <w:rsid w:val="00A30773"/>
    <w:rsid w:val="00A32584"/>
    <w:rsid w:val="00A409A7"/>
    <w:rsid w:val="00A44E4A"/>
    <w:rsid w:val="00A5050D"/>
    <w:rsid w:val="00A57099"/>
    <w:rsid w:val="00A577F4"/>
    <w:rsid w:val="00A630FF"/>
    <w:rsid w:val="00A634C2"/>
    <w:rsid w:val="00A71479"/>
    <w:rsid w:val="00A72BD8"/>
    <w:rsid w:val="00A9002A"/>
    <w:rsid w:val="00A97F1A"/>
    <w:rsid w:val="00AA01BA"/>
    <w:rsid w:val="00AA0FE4"/>
    <w:rsid w:val="00AA16B6"/>
    <w:rsid w:val="00AA265E"/>
    <w:rsid w:val="00AC0D4D"/>
    <w:rsid w:val="00AC62A0"/>
    <w:rsid w:val="00AC6B92"/>
    <w:rsid w:val="00AD310A"/>
    <w:rsid w:val="00AD43D5"/>
    <w:rsid w:val="00AD57AE"/>
    <w:rsid w:val="00AD5C9F"/>
    <w:rsid w:val="00AE0428"/>
    <w:rsid w:val="00AE43D9"/>
    <w:rsid w:val="00B0198A"/>
    <w:rsid w:val="00B0200B"/>
    <w:rsid w:val="00B0319F"/>
    <w:rsid w:val="00B06BE5"/>
    <w:rsid w:val="00B11B18"/>
    <w:rsid w:val="00B17370"/>
    <w:rsid w:val="00B2055A"/>
    <w:rsid w:val="00B2067D"/>
    <w:rsid w:val="00B24B86"/>
    <w:rsid w:val="00B30A6C"/>
    <w:rsid w:val="00B40771"/>
    <w:rsid w:val="00B40C7E"/>
    <w:rsid w:val="00B4170E"/>
    <w:rsid w:val="00B64EAB"/>
    <w:rsid w:val="00B65A0E"/>
    <w:rsid w:val="00B66E6E"/>
    <w:rsid w:val="00B72960"/>
    <w:rsid w:val="00B75416"/>
    <w:rsid w:val="00B80243"/>
    <w:rsid w:val="00B80C52"/>
    <w:rsid w:val="00B81C73"/>
    <w:rsid w:val="00B90F7B"/>
    <w:rsid w:val="00B91885"/>
    <w:rsid w:val="00B95A20"/>
    <w:rsid w:val="00BB1EC0"/>
    <w:rsid w:val="00BB42A7"/>
    <w:rsid w:val="00BB51F6"/>
    <w:rsid w:val="00BB5686"/>
    <w:rsid w:val="00BB6CC2"/>
    <w:rsid w:val="00BC01E9"/>
    <w:rsid w:val="00BC05E7"/>
    <w:rsid w:val="00BC1187"/>
    <w:rsid w:val="00BD0FE7"/>
    <w:rsid w:val="00BD3AFF"/>
    <w:rsid w:val="00BE3AFA"/>
    <w:rsid w:val="00BF1DA5"/>
    <w:rsid w:val="00BF21E1"/>
    <w:rsid w:val="00BF6220"/>
    <w:rsid w:val="00C00538"/>
    <w:rsid w:val="00C06F9E"/>
    <w:rsid w:val="00C1514A"/>
    <w:rsid w:val="00C23622"/>
    <w:rsid w:val="00C36189"/>
    <w:rsid w:val="00C414AD"/>
    <w:rsid w:val="00C430C9"/>
    <w:rsid w:val="00C45EEC"/>
    <w:rsid w:val="00C51319"/>
    <w:rsid w:val="00C638EC"/>
    <w:rsid w:val="00C7189B"/>
    <w:rsid w:val="00C727B1"/>
    <w:rsid w:val="00C731CA"/>
    <w:rsid w:val="00C75A26"/>
    <w:rsid w:val="00C76728"/>
    <w:rsid w:val="00C8587D"/>
    <w:rsid w:val="00C932A1"/>
    <w:rsid w:val="00C956D7"/>
    <w:rsid w:val="00CA0494"/>
    <w:rsid w:val="00CA2C12"/>
    <w:rsid w:val="00CA62C1"/>
    <w:rsid w:val="00CA6695"/>
    <w:rsid w:val="00CB5066"/>
    <w:rsid w:val="00CB5576"/>
    <w:rsid w:val="00CC1121"/>
    <w:rsid w:val="00CD4CBE"/>
    <w:rsid w:val="00CD6F6B"/>
    <w:rsid w:val="00CD7E6D"/>
    <w:rsid w:val="00CE0F39"/>
    <w:rsid w:val="00CE6AB4"/>
    <w:rsid w:val="00CF4F24"/>
    <w:rsid w:val="00CF50D9"/>
    <w:rsid w:val="00D10F92"/>
    <w:rsid w:val="00D11037"/>
    <w:rsid w:val="00D131CD"/>
    <w:rsid w:val="00D20741"/>
    <w:rsid w:val="00D21019"/>
    <w:rsid w:val="00D227B2"/>
    <w:rsid w:val="00D228EB"/>
    <w:rsid w:val="00D23E27"/>
    <w:rsid w:val="00D311DE"/>
    <w:rsid w:val="00D31F0B"/>
    <w:rsid w:val="00D32381"/>
    <w:rsid w:val="00D35049"/>
    <w:rsid w:val="00D409E1"/>
    <w:rsid w:val="00D44821"/>
    <w:rsid w:val="00D54C29"/>
    <w:rsid w:val="00D60BC1"/>
    <w:rsid w:val="00D624B7"/>
    <w:rsid w:val="00D85124"/>
    <w:rsid w:val="00D87AE5"/>
    <w:rsid w:val="00D87CA6"/>
    <w:rsid w:val="00D90CE2"/>
    <w:rsid w:val="00D95770"/>
    <w:rsid w:val="00DA3386"/>
    <w:rsid w:val="00DA70EB"/>
    <w:rsid w:val="00DB4C7C"/>
    <w:rsid w:val="00DB748A"/>
    <w:rsid w:val="00DC5A3D"/>
    <w:rsid w:val="00DD116A"/>
    <w:rsid w:val="00DD1648"/>
    <w:rsid w:val="00DE5E53"/>
    <w:rsid w:val="00E05333"/>
    <w:rsid w:val="00E155B5"/>
    <w:rsid w:val="00E16A95"/>
    <w:rsid w:val="00E203D7"/>
    <w:rsid w:val="00E23924"/>
    <w:rsid w:val="00E2434C"/>
    <w:rsid w:val="00E24944"/>
    <w:rsid w:val="00E32D01"/>
    <w:rsid w:val="00E3418E"/>
    <w:rsid w:val="00E3786D"/>
    <w:rsid w:val="00E403D1"/>
    <w:rsid w:val="00E43378"/>
    <w:rsid w:val="00E52D68"/>
    <w:rsid w:val="00E6072E"/>
    <w:rsid w:val="00E63001"/>
    <w:rsid w:val="00E65A25"/>
    <w:rsid w:val="00E670F2"/>
    <w:rsid w:val="00E71FE4"/>
    <w:rsid w:val="00E72B34"/>
    <w:rsid w:val="00E85524"/>
    <w:rsid w:val="00E86419"/>
    <w:rsid w:val="00E86D2C"/>
    <w:rsid w:val="00E8799C"/>
    <w:rsid w:val="00E87E2A"/>
    <w:rsid w:val="00E906B8"/>
    <w:rsid w:val="00E956EC"/>
    <w:rsid w:val="00EA0782"/>
    <w:rsid w:val="00EA20BB"/>
    <w:rsid w:val="00EB2492"/>
    <w:rsid w:val="00EB3D1C"/>
    <w:rsid w:val="00EB4C15"/>
    <w:rsid w:val="00EC0745"/>
    <w:rsid w:val="00EC2484"/>
    <w:rsid w:val="00EC754E"/>
    <w:rsid w:val="00ED4705"/>
    <w:rsid w:val="00ED4AF7"/>
    <w:rsid w:val="00ED6B39"/>
    <w:rsid w:val="00EE20E3"/>
    <w:rsid w:val="00EE37D3"/>
    <w:rsid w:val="00EE38E4"/>
    <w:rsid w:val="00EF38CD"/>
    <w:rsid w:val="00EF4CE3"/>
    <w:rsid w:val="00EF56E4"/>
    <w:rsid w:val="00EF684F"/>
    <w:rsid w:val="00EF69A2"/>
    <w:rsid w:val="00F01880"/>
    <w:rsid w:val="00F02DD3"/>
    <w:rsid w:val="00F06A23"/>
    <w:rsid w:val="00F12CE8"/>
    <w:rsid w:val="00F13EFD"/>
    <w:rsid w:val="00F15640"/>
    <w:rsid w:val="00F165A3"/>
    <w:rsid w:val="00F21E3B"/>
    <w:rsid w:val="00F27F81"/>
    <w:rsid w:val="00F30ABD"/>
    <w:rsid w:val="00F3359B"/>
    <w:rsid w:val="00F35C0A"/>
    <w:rsid w:val="00F402DA"/>
    <w:rsid w:val="00F425B3"/>
    <w:rsid w:val="00F43428"/>
    <w:rsid w:val="00F43EFC"/>
    <w:rsid w:val="00F44074"/>
    <w:rsid w:val="00F4626B"/>
    <w:rsid w:val="00F504C4"/>
    <w:rsid w:val="00F51389"/>
    <w:rsid w:val="00F51ED8"/>
    <w:rsid w:val="00F51FCE"/>
    <w:rsid w:val="00F54292"/>
    <w:rsid w:val="00F5466E"/>
    <w:rsid w:val="00F6477D"/>
    <w:rsid w:val="00F66967"/>
    <w:rsid w:val="00F66D61"/>
    <w:rsid w:val="00F67F31"/>
    <w:rsid w:val="00F71411"/>
    <w:rsid w:val="00F75216"/>
    <w:rsid w:val="00F76EDF"/>
    <w:rsid w:val="00F847FE"/>
    <w:rsid w:val="00F849D7"/>
    <w:rsid w:val="00F85FCF"/>
    <w:rsid w:val="00F86489"/>
    <w:rsid w:val="00F8732C"/>
    <w:rsid w:val="00F90D82"/>
    <w:rsid w:val="00F92C08"/>
    <w:rsid w:val="00FA5D51"/>
    <w:rsid w:val="00FA64E7"/>
    <w:rsid w:val="00FA774A"/>
    <w:rsid w:val="00FB0DF3"/>
    <w:rsid w:val="00FB6D3B"/>
    <w:rsid w:val="00FC0DEB"/>
    <w:rsid w:val="00FC3B66"/>
    <w:rsid w:val="00FC4909"/>
    <w:rsid w:val="00FC4962"/>
    <w:rsid w:val="00FD12DE"/>
    <w:rsid w:val="00FD62FF"/>
    <w:rsid w:val="00FD6CF1"/>
    <w:rsid w:val="00FE2F78"/>
    <w:rsid w:val="00FE4663"/>
    <w:rsid w:val="00FE61C6"/>
    <w:rsid w:val="00FF4EA4"/>
    <w:rsid w:val="010F4760"/>
    <w:rsid w:val="014F25D8"/>
    <w:rsid w:val="02106A9A"/>
    <w:rsid w:val="027C7D92"/>
    <w:rsid w:val="032449BC"/>
    <w:rsid w:val="037217D3"/>
    <w:rsid w:val="03A87C38"/>
    <w:rsid w:val="03C54AE6"/>
    <w:rsid w:val="067B2CDB"/>
    <w:rsid w:val="07732CDA"/>
    <w:rsid w:val="07DA78CD"/>
    <w:rsid w:val="080C2BBA"/>
    <w:rsid w:val="08C0181D"/>
    <w:rsid w:val="08FD5745"/>
    <w:rsid w:val="0A5E16AE"/>
    <w:rsid w:val="0A7C3AAF"/>
    <w:rsid w:val="0A997A60"/>
    <w:rsid w:val="0AB50907"/>
    <w:rsid w:val="0B01317F"/>
    <w:rsid w:val="0BBD5765"/>
    <w:rsid w:val="0C1D2223"/>
    <w:rsid w:val="0C3D4298"/>
    <w:rsid w:val="0C9523A6"/>
    <w:rsid w:val="0CA67F00"/>
    <w:rsid w:val="0CAB7FE2"/>
    <w:rsid w:val="0CF46B6D"/>
    <w:rsid w:val="0D403087"/>
    <w:rsid w:val="0E42546E"/>
    <w:rsid w:val="0F485C64"/>
    <w:rsid w:val="0FD30C14"/>
    <w:rsid w:val="0FDD5B4D"/>
    <w:rsid w:val="101B403B"/>
    <w:rsid w:val="110E6851"/>
    <w:rsid w:val="116D26CD"/>
    <w:rsid w:val="11C23651"/>
    <w:rsid w:val="11E13F76"/>
    <w:rsid w:val="129267D1"/>
    <w:rsid w:val="12C422CE"/>
    <w:rsid w:val="13903C42"/>
    <w:rsid w:val="13EB69AF"/>
    <w:rsid w:val="13EF7D11"/>
    <w:rsid w:val="140778EB"/>
    <w:rsid w:val="155C6126"/>
    <w:rsid w:val="158908A7"/>
    <w:rsid w:val="160E3E81"/>
    <w:rsid w:val="16EE4E99"/>
    <w:rsid w:val="171E620C"/>
    <w:rsid w:val="175F012D"/>
    <w:rsid w:val="17843B5C"/>
    <w:rsid w:val="17A87F25"/>
    <w:rsid w:val="17F27C17"/>
    <w:rsid w:val="183965F3"/>
    <w:rsid w:val="189035FD"/>
    <w:rsid w:val="18C769E5"/>
    <w:rsid w:val="18D55096"/>
    <w:rsid w:val="192D0B22"/>
    <w:rsid w:val="198348D6"/>
    <w:rsid w:val="1A08396D"/>
    <w:rsid w:val="1A1A3129"/>
    <w:rsid w:val="1AFBFFDD"/>
    <w:rsid w:val="1B1653FD"/>
    <w:rsid w:val="1C2D1536"/>
    <w:rsid w:val="1CCF2F1D"/>
    <w:rsid w:val="1CF87F0B"/>
    <w:rsid w:val="1CFB73D3"/>
    <w:rsid w:val="1D767D0D"/>
    <w:rsid w:val="1E8E722F"/>
    <w:rsid w:val="1F8E45BB"/>
    <w:rsid w:val="1FE15514"/>
    <w:rsid w:val="1FF158F3"/>
    <w:rsid w:val="208614E5"/>
    <w:rsid w:val="2157706F"/>
    <w:rsid w:val="21DC7D3C"/>
    <w:rsid w:val="21DD4A96"/>
    <w:rsid w:val="2298317C"/>
    <w:rsid w:val="22CE29EE"/>
    <w:rsid w:val="24D35795"/>
    <w:rsid w:val="255E48CD"/>
    <w:rsid w:val="26355E59"/>
    <w:rsid w:val="26B87348"/>
    <w:rsid w:val="271F4B16"/>
    <w:rsid w:val="275038F3"/>
    <w:rsid w:val="27CD14F5"/>
    <w:rsid w:val="28E96646"/>
    <w:rsid w:val="293C5FB1"/>
    <w:rsid w:val="29A55E19"/>
    <w:rsid w:val="29F94CB1"/>
    <w:rsid w:val="2A553543"/>
    <w:rsid w:val="2A745111"/>
    <w:rsid w:val="2AF87034"/>
    <w:rsid w:val="2B022C78"/>
    <w:rsid w:val="2C014C3B"/>
    <w:rsid w:val="2D4A693F"/>
    <w:rsid w:val="2E252DC4"/>
    <w:rsid w:val="2EE200E1"/>
    <w:rsid w:val="2F566BBD"/>
    <w:rsid w:val="2F650AED"/>
    <w:rsid w:val="2FFD3F6B"/>
    <w:rsid w:val="30EA79C7"/>
    <w:rsid w:val="30FD56B7"/>
    <w:rsid w:val="329E1B24"/>
    <w:rsid w:val="32BF12F4"/>
    <w:rsid w:val="33563CED"/>
    <w:rsid w:val="338A4286"/>
    <w:rsid w:val="347F0816"/>
    <w:rsid w:val="34B644B7"/>
    <w:rsid w:val="36B46A4A"/>
    <w:rsid w:val="36E65B38"/>
    <w:rsid w:val="375656B9"/>
    <w:rsid w:val="375B6549"/>
    <w:rsid w:val="37627558"/>
    <w:rsid w:val="37B91083"/>
    <w:rsid w:val="39FD28B4"/>
    <w:rsid w:val="3AC47AB6"/>
    <w:rsid w:val="3ADD0A2E"/>
    <w:rsid w:val="3B4C7808"/>
    <w:rsid w:val="3B7A3E82"/>
    <w:rsid w:val="3B8D0CE8"/>
    <w:rsid w:val="3BA71EF1"/>
    <w:rsid w:val="3C1651F0"/>
    <w:rsid w:val="3C2006E5"/>
    <w:rsid w:val="3CBF1608"/>
    <w:rsid w:val="3CC749D9"/>
    <w:rsid w:val="3CFB31CE"/>
    <w:rsid w:val="3D6D24AD"/>
    <w:rsid w:val="3DCA2531"/>
    <w:rsid w:val="3DDA3322"/>
    <w:rsid w:val="3E3A26DB"/>
    <w:rsid w:val="3EA20E92"/>
    <w:rsid w:val="3EB5338A"/>
    <w:rsid w:val="3F263B0E"/>
    <w:rsid w:val="414D7438"/>
    <w:rsid w:val="41572B91"/>
    <w:rsid w:val="41A16B13"/>
    <w:rsid w:val="41EF3AE9"/>
    <w:rsid w:val="42065704"/>
    <w:rsid w:val="423A7A11"/>
    <w:rsid w:val="428968C5"/>
    <w:rsid w:val="430D37F8"/>
    <w:rsid w:val="43420F67"/>
    <w:rsid w:val="43553AAC"/>
    <w:rsid w:val="43AF27C5"/>
    <w:rsid w:val="443E3AC2"/>
    <w:rsid w:val="444772BC"/>
    <w:rsid w:val="444A0A6A"/>
    <w:rsid w:val="444D773E"/>
    <w:rsid w:val="44972791"/>
    <w:rsid w:val="44BF39EE"/>
    <w:rsid w:val="458D2A4C"/>
    <w:rsid w:val="459D509E"/>
    <w:rsid w:val="45A926DC"/>
    <w:rsid w:val="45FC4042"/>
    <w:rsid w:val="477C4489"/>
    <w:rsid w:val="477E79DB"/>
    <w:rsid w:val="47EC2F8F"/>
    <w:rsid w:val="48BB1E61"/>
    <w:rsid w:val="48E44347"/>
    <w:rsid w:val="4AB4093D"/>
    <w:rsid w:val="4AE22F4C"/>
    <w:rsid w:val="4B536EA5"/>
    <w:rsid w:val="4CA91082"/>
    <w:rsid w:val="4D1C4C00"/>
    <w:rsid w:val="4E8F0D2C"/>
    <w:rsid w:val="4E9D24DB"/>
    <w:rsid w:val="4EAC4ADD"/>
    <w:rsid w:val="4EB72836"/>
    <w:rsid w:val="4ED23FD5"/>
    <w:rsid w:val="4EE945C2"/>
    <w:rsid w:val="4EFB1FC3"/>
    <w:rsid w:val="4F3C1178"/>
    <w:rsid w:val="4F661CEB"/>
    <w:rsid w:val="4FEB5C49"/>
    <w:rsid w:val="527B1821"/>
    <w:rsid w:val="5310611D"/>
    <w:rsid w:val="53276344"/>
    <w:rsid w:val="53293BFC"/>
    <w:rsid w:val="533D55CA"/>
    <w:rsid w:val="535D3032"/>
    <w:rsid w:val="53C97953"/>
    <w:rsid w:val="53F5577A"/>
    <w:rsid w:val="5590515E"/>
    <w:rsid w:val="55EF2276"/>
    <w:rsid w:val="562D2F69"/>
    <w:rsid w:val="5703196B"/>
    <w:rsid w:val="57140DA8"/>
    <w:rsid w:val="574A43AC"/>
    <w:rsid w:val="58077CBD"/>
    <w:rsid w:val="5812110B"/>
    <w:rsid w:val="581E7A14"/>
    <w:rsid w:val="582E1358"/>
    <w:rsid w:val="58323449"/>
    <w:rsid w:val="58FD658D"/>
    <w:rsid w:val="59454145"/>
    <w:rsid w:val="5B0C6CA4"/>
    <w:rsid w:val="5BCD4474"/>
    <w:rsid w:val="5CFD3C28"/>
    <w:rsid w:val="5E2C7B65"/>
    <w:rsid w:val="5EB8046C"/>
    <w:rsid w:val="5EC23D91"/>
    <w:rsid w:val="5EEA6FD8"/>
    <w:rsid w:val="5F5D3B89"/>
    <w:rsid w:val="5F91300B"/>
    <w:rsid w:val="5FBD74DE"/>
    <w:rsid w:val="601812B8"/>
    <w:rsid w:val="60BD0412"/>
    <w:rsid w:val="60ED4CD7"/>
    <w:rsid w:val="616C5D6E"/>
    <w:rsid w:val="61775FA5"/>
    <w:rsid w:val="619B680C"/>
    <w:rsid w:val="62E53998"/>
    <w:rsid w:val="64124C78"/>
    <w:rsid w:val="648D2FFF"/>
    <w:rsid w:val="653348F4"/>
    <w:rsid w:val="656839C3"/>
    <w:rsid w:val="65725730"/>
    <w:rsid w:val="65B92974"/>
    <w:rsid w:val="65C80747"/>
    <w:rsid w:val="665D6AFD"/>
    <w:rsid w:val="672B7704"/>
    <w:rsid w:val="68594ADA"/>
    <w:rsid w:val="68741D48"/>
    <w:rsid w:val="6AB31C19"/>
    <w:rsid w:val="6B357A50"/>
    <w:rsid w:val="6B5B7DCB"/>
    <w:rsid w:val="6B930197"/>
    <w:rsid w:val="6BB95672"/>
    <w:rsid w:val="6C1E4AF0"/>
    <w:rsid w:val="6C4712E8"/>
    <w:rsid w:val="6C9C46AE"/>
    <w:rsid w:val="6CE55F45"/>
    <w:rsid w:val="6D15465F"/>
    <w:rsid w:val="6D6121F0"/>
    <w:rsid w:val="6D744F84"/>
    <w:rsid w:val="6D8D5D8A"/>
    <w:rsid w:val="6DE87E82"/>
    <w:rsid w:val="6DFC3DF2"/>
    <w:rsid w:val="6E673C05"/>
    <w:rsid w:val="6E6F4DC3"/>
    <w:rsid w:val="6E7511ED"/>
    <w:rsid w:val="6E76180E"/>
    <w:rsid w:val="6ED546F7"/>
    <w:rsid w:val="6F272507"/>
    <w:rsid w:val="6FF11A89"/>
    <w:rsid w:val="70117814"/>
    <w:rsid w:val="70602224"/>
    <w:rsid w:val="70C1699F"/>
    <w:rsid w:val="7151172F"/>
    <w:rsid w:val="71617265"/>
    <w:rsid w:val="71C32A07"/>
    <w:rsid w:val="71E53350"/>
    <w:rsid w:val="720E5D3A"/>
    <w:rsid w:val="72254E2A"/>
    <w:rsid w:val="72ED3426"/>
    <w:rsid w:val="73184127"/>
    <w:rsid w:val="73733509"/>
    <w:rsid w:val="73D40348"/>
    <w:rsid w:val="74304EB5"/>
    <w:rsid w:val="74AB41BE"/>
    <w:rsid w:val="75EA3934"/>
    <w:rsid w:val="76AF6448"/>
    <w:rsid w:val="774700AD"/>
    <w:rsid w:val="777E0158"/>
    <w:rsid w:val="788A0F31"/>
    <w:rsid w:val="789A7C82"/>
    <w:rsid w:val="78F56DD8"/>
    <w:rsid w:val="79373D17"/>
    <w:rsid w:val="7A77760E"/>
    <w:rsid w:val="7AC70899"/>
    <w:rsid w:val="7B3F7553"/>
    <w:rsid w:val="7B7986D1"/>
    <w:rsid w:val="7B877587"/>
    <w:rsid w:val="7BC608BE"/>
    <w:rsid w:val="7E0F106D"/>
    <w:rsid w:val="7EE52F06"/>
    <w:rsid w:val="7F7C60D3"/>
    <w:rsid w:val="7FD373AA"/>
    <w:rsid w:val="D9F771F6"/>
    <w:rsid w:val="DED61FD1"/>
    <w:rsid w:val="EFB05D5E"/>
    <w:rsid w:val="F557B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nhideWhenUsed="0" w:uiPriority="99" w:name="Body Text First Indent 2"/>
    <w:lsdException w:uiPriority="99" w:name="Note Heading"/>
    <w:lsdException w:uiPriority="99" w:name="Body Text 2"/>
    <w:lsdException w:qFormat="1" w:unhideWhenUsed="0" w:uiPriority="0" w:semiHidden="0"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31"/>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4">
    <w:name w:val="heading 2"/>
    <w:basedOn w:val="1"/>
    <w:next w:val="1"/>
    <w:link w:val="32"/>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5">
    <w:name w:val="heading 3"/>
    <w:basedOn w:val="1"/>
    <w:next w:val="1"/>
    <w:link w:val="33"/>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6">
    <w:name w:val="heading 4"/>
    <w:basedOn w:val="1"/>
    <w:next w:val="1"/>
    <w:link w:val="34"/>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24">
    <w:name w:val="Default Paragraph Font"/>
    <w:semiHidden/>
    <w:unhideWhenUsed/>
    <w:qFormat/>
    <w:uiPriority w:val="1"/>
  </w:style>
  <w:style w:type="table" w:default="1" w:styleId="23">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无间隔1"/>
    <w:basedOn w:val="1"/>
    <w:qFormat/>
    <w:uiPriority w:val="0"/>
    <w:pPr>
      <w:spacing w:line="400" w:lineRule="exact"/>
    </w:pPr>
    <w:rPr>
      <w:sz w:val="24"/>
    </w:rPr>
  </w:style>
  <w:style w:type="paragraph" w:styleId="7">
    <w:name w:val="Normal Indent"/>
    <w:basedOn w:val="1"/>
    <w:qFormat/>
    <w:uiPriority w:val="0"/>
    <w:pPr>
      <w:ind w:firstLine="425"/>
    </w:pPr>
    <w:rPr>
      <w:rFonts w:ascii="Times New Roman" w:hAnsi="Times New Roman" w:eastAsia="宋体" w:cs="Times New Roman"/>
      <w:szCs w:val="20"/>
    </w:rPr>
  </w:style>
  <w:style w:type="paragraph" w:styleId="8">
    <w:name w:val="caption"/>
    <w:basedOn w:val="1"/>
    <w:next w:val="1"/>
    <w:qFormat/>
    <w:uiPriority w:val="0"/>
    <w:rPr>
      <w:rFonts w:ascii="Arial" w:hAnsi="Arial" w:eastAsia="黑体" w:cs="Arial"/>
      <w:sz w:val="20"/>
      <w:szCs w:val="20"/>
    </w:rPr>
  </w:style>
  <w:style w:type="paragraph" w:styleId="9">
    <w:name w:val="Body Text 3"/>
    <w:basedOn w:val="1"/>
    <w:link w:val="49"/>
    <w:qFormat/>
    <w:uiPriority w:val="0"/>
    <w:rPr>
      <w:rFonts w:ascii="Times New Roman" w:hAnsi="Times New Roman" w:eastAsia="宋体" w:cs="Times New Roman"/>
      <w:color w:val="FF0000"/>
      <w:sz w:val="24"/>
      <w:szCs w:val="24"/>
    </w:rPr>
  </w:style>
  <w:style w:type="paragraph" w:styleId="10">
    <w:name w:val="Body Text"/>
    <w:basedOn w:val="1"/>
    <w:link w:val="53"/>
    <w:unhideWhenUsed/>
    <w:qFormat/>
    <w:uiPriority w:val="99"/>
    <w:pPr>
      <w:spacing w:after="120"/>
    </w:pPr>
  </w:style>
  <w:style w:type="paragraph" w:styleId="11">
    <w:name w:val="Body Text Indent"/>
    <w:basedOn w:val="1"/>
    <w:qFormat/>
    <w:uiPriority w:val="0"/>
    <w:pPr>
      <w:spacing w:line="400" w:lineRule="exact"/>
      <w:ind w:left="630"/>
    </w:pPr>
    <w:rPr>
      <w:rFonts w:ascii="楷体_GB2312" w:eastAsia="宋体"/>
      <w:sz w:val="21"/>
    </w:rPr>
  </w:style>
  <w:style w:type="paragraph" w:styleId="12">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3">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4">
    <w:name w:val="Plain Text"/>
    <w:basedOn w:val="1"/>
    <w:link w:val="35"/>
    <w:qFormat/>
    <w:uiPriority w:val="0"/>
    <w:rPr>
      <w:rFonts w:eastAsia="宋体"/>
      <w:sz w:val="24"/>
    </w:rPr>
  </w:style>
  <w:style w:type="paragraph" w:styleId="15">
    <w:name w:val="Date"/>
    <w:basedOn w:val="1"/>
    <w:next w:val="1"/>
    <w:link w:val="36"/>
    <w:unhideWhenUsed/>
    <w:qFormat/>
    <w:uiPriority w:val="99"/>
    <w:pPr>
      <w:ind w:left="100" w:leftChars="2500"/>
    </w:pPr>
  </w:style>
  <w:style w:type="paragraph" w:styleId="16">
    <w:name w:val="footer"/>
    <w:basedOn w:val="1"/>
    <w:link w:val="37"/>
    <w:unhideWhenUsed/>
    <w:qFormat/>
    <w:uiPriority w:val="99"/>
    <w:pPr>
      <w:tabs>
        <w:tab w:val="center" w:pos="4153"/>
        <w:tab w:val="right" w:pos="8306"/>
      </w:tabs>
      <w:snapToGrid w:val="0"/>
      <w:jc w:val="left"/>
    </w:pPr>
    <w:rPr>
      <w:sz w:val="18"/>
      <w:szCs w:val="18"/>
    </w:rPr>
  </w:style>
  <w:style w:type="paragraph" w:styleId="17">
    <w:name w:val="header"/>
    <w:basedOn w:val="1"/>
    <w:link w:val="38"/>
    <w:unhideWhenUsed/>
    <w:qFormat/>
    <w:uiPriority w:val="99"/>
    <w:pPr>
      <w:pBdr>
        <w:bottom w:val="single" w:color="auto" w:sz="6" w:space="1"/>
      </w:pBdr>
      <w:tabs>
        <w:tab w:val="center" w:pos="4153"/>
        <w:tab w:val="right" w:pos="8306"/>
      </w:tabs>
      <w:snapToGrid w:val="0"/>
      <w:jc w:val="center"/>
    </w:pPr>
    <w:rPr>
      <w:sz w:val="18"/>
      <w:szCs w:val="18"/>
    </w:rPr>
  </w:style>
  <w:style w:type="paragraph" w:styleId="18">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19">
    <w:name w:val="HTML Preformatted"/>
    <w:basedOn w:val="1"/>
    <w:link w:val="55"/>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0">
    <w:name w:val="Normal (Web)"/>
    <w:basedOn w:val="1"/>
    <w:qFormat/>
    <w:uiPriority w:val="99"/>
    <w:rPr>
      <w:rFonts w:ascii="Calibri" w:hAnsi="Calibri" w:eastAsia="宋体" w:cs="Times New Roman"/>
      <w:sz w:val="24"/>
      <w:szCs w:val="24"/>
    </w:rPr>
  </w:style>
  <w:style w:type="paragraph" w:styleId="21">
    <w:name w:val="Body Text First Indent"/>
    <w:basedOn w:val="10"/>
    <w:link w:val="54"/>
    <w:qFormat/>
    <w:uiPriority w:val="0"/>
    <w:pPr>
      <w:ind w:firstLine="420" w:firstLineChars="100"/>
    </w:pPr>
    <w:rPr>
      <w:rFonts w:ascii="宋体" w:hAnsi="Times New Roman" w:eastAsia="宋体" w:cs="Times New Roman"/>
      <w:kern w:val="0"/>
      <w:sz w:val="34"/>
      <w:szCs w:val="20"/>
    </w:rPr>
  </w:style>
  <w:style w:type="paragraph" w:styleId="22">
    <w:name w:val="Body Text First Indent 2"/>
    <w:basedOn w:val="11"/>
    <w:semiHidden/>
    <w:qFormat/>
    <w:uiPriority w:val="99"/>
    <w:pPr>
      <w:snapToGrid/>
      <w:spacing w:after="120" w:line="240" w:lineRule="auto"/>
      <w:ind w:left="420" w:leftChars="200" w:firstLine="420" w:firstLineChars="200"/>
    </w:pPr>
    <w:rPr>
      <w:sz w:val="21"/>
      <w:szCs w:val="24"/>
    </w:rPr>
  </w:style>
  <w:style w:type="character" w:styleId="25">
    <w:name w:val="Strong"/>
    <w:basedOn w:val="24"/>
    <w:qFormat/>
    <w:uiPriority w:val="22"/>
    <w:rPr>
      <w:b/>
      <w:bCs/>
    </w:rPr>
  </w:style>
  <w:style w:type="character" w:styleId="26">
    <w:name w:val="FollowedHyperlink"/>
    <w:basedOn w:val="24"/>
    <w:unhideWhenUsed/>
    <w:qFormat/>
    <w:uiPriority w:val="99"/>
    <w:rPr>
      <w:color w:val="800080" w:themeColor="followedHyperlink"/>
      <w:u w:val="single"/>
    </w:rPr>
  </w:style>
  <w:style w:type="character" w:styleId="27">
    <w:name w:val="Emphasis"/>
    <w:basedOn w:val="24"/>
    <w:qFormat/>
    <w:uiPriority w:val="20"/>
    <w:rPr>
      <w:i/>
      <w:iCs/>
    </w:rPr>
  </w:style>
  <w:style w:type="character" w:styleId="28">
    <w:name w:val="Hyperlink"/>
    <w:basedOn w:val="24"/>
    <w:unhideWhenUsed/>
    <w:qFormat/>
    <w:uiPriority w:val="99"/>
    <w:rPr>
      <w:color w:val="0000FF"/>
      <w:u w:val="single"/>
    </w:rPr>
  </w:style>
  <w:style w:type="paragraph" w:customStyle="1" w:styleId="29">
    <w:name w:val="*正文"/>
    <w:basedOn w:val="1"/>
    <w:qFormat/>
    <w:uiPriority w:val="0"/>
    <w:pPr>
      <w:keepNext/>
      <w:keepLines/>
      <w:spacing w:line="360" w:lineRule="auto"/>
      <w:ind w:firstLine="200" w:firstLineChars="200"/>
    </w:pPr>
    <w:rPr>
      <w:rFonts w:ascii="宋体" w:hAnsi="宋体"/>
    </w:rPr>
  </w:style>
  <w:style w:type="paragraph" w:customStyle="1" w:styleId="30">
    <w:name w:val="列出段落1"/>
    <w:basedOn w:val="1"/>
    <w:unhideWhenUsed/>
    <w:qFormat/>
    <w:uiPriority w:val="99"/>
    <w:pPr>
      <w:ind w:firstLine="420" w:firstLineChars="200"/>
    </w:pPr>
  </w:style>
  <w:style w:type="character" w:customStyle="1" w:styleId="31">
    <w:name w:val="标题 1 Char"/>
    <w:basedOn w:val="24"/>
    <w:link w:val="3"/>
    <w:qFormat/>
    <w:uiPriority w:val="0"/>
    <w:rPr>
      <w:rFonts w:ascii="Calibri" w:hAnsi="Calibri" w:eastAsia="宋体" w:cs="Times New Roman"/>
      <w:b/>
      <w:bCs/>
      <w:kern w:val="44"/>
      <w:sz w:val="44"/>
      <w:szCs w:val="44"/>
    </w:rPr>
  </w:style>
  <w:style w:type="character" w:customStyle="1" w:styleId="32">
    <w:name w:val="标题 2 Char"/>
    <w:basedOn w:val="24"/>
    <w:link w:val="4"/>
    <w:qFormat/>
    <w:uiPriority w:val="0"/>
    <w:rPr>
      <w:rFonts w:ascii="Arial" w:hAnsi="Arial" w:eastAsia="黑体" w:cs="Times New Roman"/>
      <w:b/>
      <w:bCs/>
      <w:kern w:val="0"/>
      <w:sz w:val="32"/>
      <w:szCs w:val="32"/>
    </w:rPr>
  </w:style>
  <w:style w:type="character" w:customStyle="1" w:styleId="33">
    <w:name w:val="标题 3 Char"/>
    <w:basedOn w:val="24"/>
    <w:link w:val="5"/>
    <w:qFormat/>
    <w:uiPriority w:val="0"/>
    <w:rPr>
      <w:rFonts w:ascii="宋体" w:hAnsi="宋体" w:eastAsia="宋体" w:cs="Times New Roman"/>
      <w:b/>
      <w:color w:val="000000"/>
      <w:kern w:val="0"/>
      <w:sz w:val="24"/>
      <w:szCs w:val="20"/>
      <w:lang w:val="en-GB"/>
    </w:rPr>
  </w:style>
  <w:style w:type="character" w:customStyle="1" w:styleId="34">
    <w:name w:val="标题 4 Char"/>
    <w:basedOn w:val="24"/>
    <w:link w:val="6"/>
    <w:qFormat/>
    <w:uiPriority w:val="0"/>
    <w:rPr>
      <w:rFonts w:ascii="Arial" w:hAnsi="Arial" w:eastAsia="黑体" w:cs="Times New Roman"/>
      <w:b/>
      <w:bCs/>
      <w:kern w:val="0"/>
      <w:sz w:val="28"/>
      <w:szCs w:val="28"/>
    </w:rPr>
  </w:style>
  <w:style w:type="character" w:customStyle="1" w:styleId="35">
    <w:name w:val="纯文本 Char"/>
    <w:basedOn w:val="24"/>
    <w:link w:val="14"/>
    <w:qFormat/>
    <w:uiPriority w:val="0"/>
    <w:rPr>
      <w:rFonts w:eastAsia="宋体"/>
      <w:sz w:val="24"/>
    </w:rPr>
  </w:style>
  <w:style w:type="character" w:customStyle="1" w:styleId="36">
    <w:name w:val="日期 Char"/>
    <w:basedOn w:val="24"/>
    <w:link w:val="15"/>
    <w:qFormat/>
    <w:uiPriority w:val="99"/>
  </w:style>
  <w:style w:type="character" w:customStyle="1" w:styleId="37">
    <w:name w:val="页脚 Char"/>
    <w:basedOn w:val="24"/>
    <w:link w:val="16"/>
    <w:qFormat/>
    <w:uiPriority w:val="99"/>
    <w:rPr>
      <w:sz w:val="18"/>
      <w:szCs w:val="18"/>
    </w:rPr>
  </w:style>
  <w:style w:type="character" w:customStyle="1" w:styleId="38">
    <w:name w:val="页眉 Char"/>
    <w:basedOn w:val="24"/>
    <w:link w:val="17"/>
    <w:qFormat/>
    <w:uiPriority w:val="99"/>
    <w:rPr>
      <w:sz w:val="18"/>
      <w:szCs w:val="18"/>
    </w:rPr>
  </w:style>
  <w:style w:type="character" w:customStyle="1" w:styleId="39">
    <w:name w:val="纯文本 Char1"/>
    <w:qFormat/>
    <w:uiPriority w:val="0"/>
    <w:rPr>
      <w:rFonts w:eastAsia="宋体"/>
      <w:sz w:val="24"/>
    </w:rPr>
  </w:style>
  <w:style w:type="paragraph" w:customStyle="1" w:styleId="40">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customStyle="1" w:styleId="41">
    <w:name w:val="列出段落11"/>
    <w:basedOn w:val="1"/>
    <w:qFormat/>
    <w:uiPriority w:val="34"/>
    <w:pPr>
      <w:ind w:firstLine="420" w:firstLineChars="200"/>
    </w:pPr>
  </w:style>
  <w:style w:type="character" w:customStyle="1" w:styleId="42">
    <w:name w:val="正文文本缩进 Char Char"/>
    <w:link w:val="43"/>
    <w:qFormat/>
    <w:uiPriority w:val="0"/>
    <w:rPr>
      <w:rFonts w:ascii="宋体"/>
      <w:sz w:val="24"/>
    </w:rPr>
  </w:style>
  <w:style w:type="paragraph" w:customStyle="1" w:styleId="43">
    <w:name w:val="正文文本缩进1"/>
    <w:basedOn w:val="1"/>
    <w:link w:val="42"/>
    <w:qFormat/>
    <w:uiPriority w:val="0"/>
    <w:pPr>
      <w:spacing w:line="360" w:lineRule="auto"/>
      <w:ind w:firstLine="480" w:firstLineChars="200"/>
    </w:pPr>
    <w:rPr>
      <w:rFonts w:ascii="宋体"/>
      <w:sz w:val="24"/>
    </w:rPr>
  </w:style>
  <w:style w:type="character" w:customStyle="1" w:styleId="44">
    <w:name w:val="日期 Char Char"/>
    <w:link w:val="45"/>
    <w:qFormat/>
    <w:uiPriority w:val="0"/>
    <w:rPr>
      <w:sz w:val="24"/>
    </w:rPr>
  </w:style>
  <w:style w:type="paragraph" w:customStyle="1" w:styleId="45">
    <w:name w:val="日期1"/>
    <w:basedOn w:val="1"/>
    <w:next w:val="1"/>
    <w:link w:val="44"/>
    <w:qFormat/>
    <w:uiPriority w:val="0"/>
    <w:rPr>
      <w:sz w:val="24"/>
    </w:rPr>
  </w:style>
  <w:style w:type="paragraph" w:customStyle="1" w:styleId="46">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47">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48">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49">
    <w:name w:val="正文文本 3 Char"/>
    <w:basedOn w:val="24"/>
    <w:link w:val="9"/>
    <w:qFormat/>
    <w:uiPriority w:val="0"/>
    <w:rPr>
      <w:rFonts w:ascii="Times New Roman" w:hAnsi="Times New Roman" w:eastAsia="宋体" w:cs="Times New Roman"/>
      <w:color w:val="FF0000"/>
      <w:sz w:val="24"/>
      <w:szCs w:val="24"/>
    </w:rPr>
  </w:style>
  <w:style w:type="character" w:customStyle="1" w:styleId="50">
    <w:name w:val="edittexttarea"/>
    <w:basedOn w:val="24"/>
    <w:qFormat/>
    <w:uiPriority w:val="0"/>
  </w:style>
  <w:style w:type="paragraph" w:customStyle="1" w:styleId="51">
    <w:name w:val="样式 标题 1 + 四号 居中 段前: 12 磅 段后: 12 磅 行距: 单倍行距"/>
    <w:basedOn w:val="3"/>
    <w:qFormat/>
    <w:uiPriority w:val="0"/>
    <w:pPr>
      <w:spacing w:before="240" w:after="240" w:line="240" w:lineRule="auto"/>
      <w:ind w:left="-288"/>
      <w:jc w:val="center"/>
    </w:pPr>
    <w:rPr>
      <w:rFonts w:cs="宋体"/>
      <w:sz w:val="28"/>
      <w:szCs w:val="20"/>
    </w:rPr>
  </w:style>
  <w:style w:type="paragraph" w:customStyle="1" w:styleId="52">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3">
    <w:name w:val="正文文本 Char"/>
    <w:basedOn w:val="24"/>
    <w:link w:val="10"/>
    <w:semiHidden/>
    <w:qFormat/>
    <w:uiPriority w:val="99"/>
  </w:style>
  <w:style w:type="character" w:customStyle="1" w:styleId="54">
    <w:name w:val="正文首行缩进 Char"/>
    <w:basedOn w:val="53"/>
    <w:link w:val="21"/>
    <w:qFormat/>
    <w:uiPriority w:val="0"/>
    <w:rPr>
      <w:rFonts w:ascii="宋体" w:hAnsi="Times New Roman" w:eastAsia="宋体" w:cs="Times New Roman"/>
      <w:kern w:val="0"/>
      <w:sz w:val="34"/>
      <w:szCs w:val="20"/>
    </w:rPr>
  </w:style>
  <w:style w:type="character" w:customStyle="1" w:styleId="55">
    <w:name w:val="HTML 预设格式 Char"/>
    <w:basedOn w:val="24"/>
    <w:link w:val="19"/>
    <w:semiHidden/>
    <w:qFormat/>
    <w:uiPriority w:val="99"/>
    <w:rPr>
      <w:rFonts w:ascii="宋体" w:hAnsi="宋体" w:eastAsia="宋体" w:cs="宋体"/>
      <w:kern w:val="0"/>
      <w:sz w:val="24"/>
      <w:szCs w:val="24"/>
    </w:rPr>
  </w:style>
  <w:style w:type="paragraph" w:customStyle="1" w:styleId="56">
    <w:name w:val="p1"/>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7">
    <w:name w:val="p2"/>
    <w:basedOn w:val="1"/>
    <w:qFormat/>
    <w:uiPriority w:val="0"/>
    <w:pPr>
      <w:spacing w:line="380" w:lineRule="atLeast"/>
      <w:jc w:val="left"/>
    </w:pPr>
    <w:rPr>
      <w:rFonts w:ascii="helvetica neue" w:hAnsi="helvetica neue" w:eastAsia="helvetica neue" w:cs="Times New Roman"/>
      <w:color w:val="000000"/>
      <w:kern w:val="0"/>
      <w:sz w:val="26"/>
      <w:szCs w:val="26"/>
    </w:rPr>
  </w:style>
  <w:style w:type="paragraph" w:customStyle="1" w:styleId="58">
    <w:name w:val="List Paragraph1"/>
    <w:basedOn w:val="1"/>
    <w:qFormat/>
    <w:uiPriority w:val="99"/>
    <w:pPr>
      <w:ind w:firstLine="420" w:firstLineChars="200"/>
    </w:pPr>
    <w:rPr>
      <w:rFonts w:ascii="Times New Roman" w:hAnsi="Times New Roman" w:eastAsia="宋体" w:cs="Times New Roman"/>
      <w:szCs w:val="24"/>
    </w:rPr>
  </w:style>
  <w:style w:type="paragraph" w:styleId="59">
    <w:name w:val="List Paragraph"/>
    <w:basedOn w:val="1"/>
    <w:unhideWhenUsed/>
    <w:qFormat/>
    <w:uiPriority w:val="99"/>
    <w:pPr>
      <w:ind w:firstLine="420" w:firstLineChars="200"/>
    </w:pPr>
  </w:style>
  <w:style w:type="character" w:customStyle="1" w:styleId="60">
    <w:name w:val="font01"/>
    <w:basedOn w:val="24"/>
    <w:qFormat/>
    <w:uiPriority w:val="0"/>
    <w:rPr>
      <w:rFonts w:hint="eastAsia" w:ascii="宋体" w:hAnsi="宋体" w:eastAsia="宋体" w:cs="宋体"/>
      <w:color w:val="000000"/>
      <w:sz w:val="22"/>
      <w:szCs w:val="22"/>
      <w:u w:val="none"/>
    </w:rPr>
  </w:style>
  <w:style w:type="character" w:customStyle="1" w:styleId="61">
    <w:name w:val="font21"/>
    <w:basedOn w:val="24"/>
    <w:qFormat/>
    <w:uiPriority w:val="0"/>
    <w:rPr>
      <w:rFonts w:hint="eastAsia" w:ascii="宋体" w:hAnsi="宋体" w:eastAsia="宋体" w:cs="宋体"/>
      <w:color w:val="000000"/>
      <w:sz w:val="28"/>
      <w:szCs w:val="28"/>
      <w:u w:val="none"/>
    </w:rPr>
  </w:style>
  <w:style w:type="character" w:customStyle="1" w:styleId="62">
    <w:name w:val="font11"/>
    <w:basedOn w:val="24"/>
    <w:qFormat/>
    <w:uiPriority w:val="0"/>
    <w:rPr>
      <w:rFonts w:ascii="Calibri" w:hAnsi="Calibri" w:cs="Calibri"/>
      <w:color w:val="000000"/>
      <w:sz w:val="28"/>
      <w:szCs w:val="28"/>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77</Pages>
  <Words>6512</Words>
  <Characters>37119</Characters>
  <Lines>309</Lines>
  <Paragraphs>87</Paragraphs>
  <TotalTime>1</TotalTime>
  <ScaleCrop>false</ScaleCrop>
  <LinksUpToDate>false</LinksUpToDate>
  <CharactersWithSpaces>43544</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2018-04-17T18:52:00Z</dcterms:created>
  <dc:creator>许昌市公共资源交易中心:孟莉</dc:creator>
  <cp:lastModifiedBy>禹州市公共资源交易中心:侯英红</cp:lastModifiedBy>
  <cp:lastPrinted>2018-08-01T18:20:00Z</cp:lastPrinted>
  <dcterms:modified xsi:type="dcterms:W3CDTF">2019-08-15T00:55:25Z</dcterms:modified>
  <cp:revision>116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