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40" w:lineRule="auto"/>
        <w:jc w:val="center"/>
        <w:rPr>
          <w:sz w:val="32"/>
          <w:szCs w:val="32"/>
          <w:lang w:val="zh-CN"/>
        </w:rPr>
      </w:pPr>
      <w:r>
        <w:rPr>
          <w:rFonts w:hint="eastAsia"/>
          <w:sz w:val="32"/>
          <w:szCs w:val="32"/>
          <w:lang w:val="zh-CN"/>
        </w:rPr>
        <w:t>开标一览表</w:t>
      </w:r>
    </w:p>
    <w:p>
      <w:pPr>
        <w:spacing w:before="50" w:afterLines="50" w:line="360" w:lineRule="auto"/>
        <w:contextualSpacing/>
        <w:jc w:val="left"/>
        <w:rPr>
          <w:rFonts w:ascii="宋体" w:hAnsi="宋体"/>
          <w:color w:val="000000"/>
          <w:sz w:val="20"/>
          <w:szCs w:val="21"/>
        </w:rPr>
      </w:pPr>
      <w:r>
        <w:rPr>
          <w:rFonts w:hint="eastAsia" w:ascii="宋体" w:hAnsi="宋体"/>
          <w:color w:val="000000"/>
          <w:szCs w:val="21"/>
        </w:rPr>
        <w:t>项目编号：</w:t>
      </w:r>
      <w:r>
        <w:rPr>
          <w:rFonts w:hint="eastAsia" w:ascii="宋体" w:hAnsi="宋体"/>
          <w:color w:val="000000"/>
          <w:sz w:val="20"/>
          <w:szCs w:val="21"/>
        </w:rPr>
        <w:t>YZCG-T2019151</w:t>
      </w:r>
    </w:p>
    <w:p>
      <w:pPr>
        <w:spacing w:line="360" w:lineRule="auto"/>
        <w:contextualSpacing/>
        <w:jc w:val="left"/>
        <w:rPr>
          <w:rFonts w:ascii="宋体" w:hAnsi="宋体"/>
          <w:color w:val="000000"/>
          <w:szCs w:val="21"/>
        </w:rPr>
      </w:pPr>
      <w:r>
        <w:rPr>
          <w:rFonts w:hint="eastAsia" w:ascii="宋体" w:hAnsi="宋体"/>
          <w:color w:val="000000"/>
          <w:szCs w:val="21"/>
        </w:rPr>
        <w:t>项目名称：</w:t>
      </w:r>
      <w:r>
        <w:rPr>
          <w:rFonts w:hint="eastAsia" w:cs="Arial" w:asciiTheme="minorEastAsia" w:hAnsiTheme="minorEastAsia" w:eastAsiaTheme="minorEastAsia"/>
          <w:color w:val="000000"/>
          <w:kern w:val="0"/>
          <w:sz w:val="24"/>
          <w:szCs w:val="24"/>
        </w:rPr>
        <w:t>禹州市教育体育局采购电子设备、钢琴电钢琴、科学发现室器材项目(第二标段）</w:t>
      </w:r>
    </w:p>
    <w:p>
      <w:pPr>
        <w:spacing w:line="360" w:lineRule="auto"/>
        <w:ind w:firstLine="7000" w:firstLineChars="3500"/>
        <w:contextualSpacing/>
        <w:jc w:val="left"/>
        <w:rPr>
          <w:rFonts w:ascii="宋体" w:hAnsi="宋体"/>
          <w:color w:val="000000"/>
          <w:szCs w:val="21"/>
        </w:rPr>
      </w:pPr>
      <w:r>
        <w:rPr>
          <w:rFonts w:hint="eastAsia" w:ascii="宋体" w:hAnsi="宋体"/>
          <w:color w:val="000000"/>
          <w:sz w:val="20"/>
          <w:szCs w:val="21"/>
        </w:rPr>
        <w:t>单位：元（人民币）</w:t>
      </w:r>
    </w:p>
    <w:tbl>
      <w:tblPr>
        <w:tblStyle w:val="6"/>
        <w:tblW w:w="9357" w:type="dxa"/>
        <w:jc w:val="center"/>
        <w:tblInd w:w="-318" w:type="dxa"/>
        <w:tblLayout w:type="fixed"/>
        <w:tblCellMar>
          <w:top w:w="0" w:type="dxa"/>
          <w:left w:w="108" w:type="dxa"/>
          <w:bottom w:w="0" w:type="dxa"/>
          <w:right w:w="108" w:type="dxa"/>
        </w:tblCellMar>
      </w:tblPr>
      <w:tblGrid>
        <w:gridCol w:w="1277"/>
        <w:gridCol w:w="1843"/>
        <w:gridCol w:w="2939"/>
        <w:gridCol w:w="2022"/>
        <w:gridCol w:w="1276"/>
      </w:tblGrid>
      <w:tr>
        <w:tblPrEx>
          <w:tblLayout w:type="fixed"/>
          <w:tblCellMar>
            <w:top w:w="0" w:type="dxa"/>
            <w:left w:w="108" w:type="dxa"/>
            <w:bottom w:w="0" w:type="dxa"/>
            <w:right w:w="108" w:type="dxa"/>
          </w:tblCellMar>
        </w:tblPrEx>
        <w:trPr>
          <w:trHeight w:val="851" w:hRule="atLeast"/>
          <w:jc w:val="center"/>
        </w:trPr>
        <w:tc>
          <w:tcPr>
            <w:tcW w:w="1277"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项目名称</w:t>
            </w:r>
          </w:p>
        </w:tc>
        <w:tc>
          <w:tcPr>
            <w:tcW w:w="293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投标报价</w:t>
            </w:r>
          </w:p>
        </w:tc>
        <w:tc>
          <w:tcPr>
            <w:tcW w:w="202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交付日期</w:t>
            </w:r>
          </w:p>
        </w:tc>
        <w:tc>
          <w:tcPr>
            <w:tcW w:w="127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备注</w:t>
            </w:r>
          </w:p>
        </w:tc>
      </w:tr>
      <w:tr>
        <w:tblPrEx>
          <w:tblLayout w:type="fixed"/>
          <w:tblCellMar>
            <w:top w:w="0" w:type="dxa"/>
            <w:left w:w="108" w:type="dxa"/>
            <w:bottom w:w="0" w:type="dxa"/>
            <w:right w:w="108" w:type="dxa"/>
          </w:tblCellMar>
        </w:tblPrEx>
        <w:trPr>
          <w:trHeight w:val="851" w:hRule="atLeast"/>
          <w:jc w:val="center"/>
        </w:trPr>
        <w:tc>
          <w:tcPr>
            <w:tcW w:w="127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Cs w:val="21"/>
              </w:rPr>
            </w:pPr>
            <w:r>
              <w:rPr>
                <w:rFonts w:hint="eastAsia" w:ascii="宋体" w:hAnsi="宋体"/>
                <w:szCs w:val="21"/>
              </w:rPr>
              <w:t>第二标段</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szCs w:val="21"/>
              </w:rPr>
            </w:pPr>
            <w:r>
              <w:rPr>
                <w:rFonts w:hint="eastAsia" w:ascii="宋体" w:hAnsi="宋体"/>
                <w:color w:val="000000"/>
                <w:szCs w:val="21"/>
              </w:rPr>
              <w:t xml:space="preserve">禹州市教育体育局采购电子设备、钢琴电钢琴、科学发现室器材项目 </w:t>
            </w:r>
          </w:p>
        </w:tc>
        <w:tc>
          <w:tcPr>
            <w:tcW w:w="293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Cs w:val="21"/>
              </w:rPr>
            </w:pPr>
            <w:r>
              <w:rPr>
                <w:rFonts w:hint="eastAsia" w:ascii="宋体" w:hAnsi="宋体" w:cs="宋体"/>
                <w:szCs w:val="21"/>
                <w:lang w:val="zh-CN"/>
              </w:rPr>
              <w:t>大写：</w:t>
            </w:r>
            <w:r>
              <w:rPr>
                <w:rFonts w:hint="eastAsia" w:ascii="宋体" w:hAnsi="宋体" w:cs="宋体"/>
                <w:szCs w:val="21"/>
                <w:lang w:val="zh-CN" w:eastAsia="zh-CN"/>
              </w:rPr>
              <w:t>壹拾壹万捌仟伍佰</w:t>
            </w:r>
            <w:r>
              <w:rPr>
                <w:rFonts w:hint="eastAsia" w:ascii="宋体" w:hAnsi="宋体" w:cs="宋体"/>
                <w:szCs w:val="21"/>
                <w:lang w:val="zh-CN"/>
              </w:rPr>
              <w:t xml:space="preserve">元整   </w:t>
            </w:r>
            <w:r>
              <w:rPr>
                <w:rFonts w:ascii="宋体" w:hAnsi="宋体" w:cs="宋体"/>
                <w:szCs w:val="21"/>
                <w:lang w:val="zh-CN"/>
              </w:rPr>
              <w:br w:type="textWrapping"/>
            </w:r>
            <w:r>
              <w:rPr>
                <w:rFonts w:hint="eastAsia" w:ascii="宋体" w:hAnsi="宋体" w:cs="宋体"/>
                <w:szCs w:val="21"/>
                <w:lang w:val="zh-CN"/>
              </w:rPr>
              <w:t>小写：</w:t>
            </w:r>
            <w:r>
              <w:rPr>
                <w:rFonts w:hint="eastAsia" w:ascii="宋体" w:hAnsi="宋体" w:cs="宋体"/>
                <w:szCs w:val="21"/>
                <w:lang w:val="en-US" w:eastAsia="zh-CN"/>
              </w:rPr>
              <w:t>118500</w:t>
            </w:r>
            <w:r>
              <w:rPr>
                <w:rFonts w:hint="eastAsia" w:ascii="宋体" w:hAnsi="宋体" w:cs="宋体"/>
                <w:szCs w:val="21"/>
              </w:rPr>
              <w:t>.00</w:t>
            </w:r>
            <w:bookmarkStart w:id="166" w:name="_GoBack"/>
            <w:bookmarkEnd w:id="166"/>
          </w:p>
        </w:tc>
        <w:tc>
          <w:tcPr>
            <w:tcW w:w="202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Cs w:val="21"/>
                <w:lang w:val="zh-CN"/>
              </w:rPr>
            </w:pPr>
            <w:r>
              <w:rPr>
                <w:rFonts w:hint="eastAsia" w:ascii="宋体" w:hAnsi="宋体" w:cs="宋体"/>
                <w:szCs w:val="21"/>
                <w:lang w:val="zh-CN"/>
              </w:rPr>
              <w:t>签订合同后</w:t>
            </w:r>
            <w:r>
              <w:rPr>
                <w:rFonts w:hint="eastAsia" w:ascii="宋体" w:hAnsi="宋体" w:cs="宋体"/>
                <w:szCs w:val="21"/>
              </w:rPr>
              <w:t>20</w:t>
            </w:r>
            <w:r>
              <w:rPr>
                <w:rFonts w:hint="eastAsia" w:ascii="宋体" w:hAnsi="宋体" w:cs="宋体"/>
                <w:szCs w:val="21"/>
                <w:lang w:val="zh-CN"/>
              </w:rPr>
              <w:t>个日历天</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Cs w:val="21"/>
                <w:lang w:val="zh-CN"/>
              </w:rPr>
            </w:pPr>
            <w:r>
              <w:rPr>
                <w:rFonts w:hint="eastAsia" w:ascii="宋体" w:hAnsi="宋体" w:cs="宋体"/>
                <w:szCs w:val="21"/>
                <w:lang w:val="zh-CN"/>
              </w:rPr>
              <w:t>完全响应谈判文件付款方式</w:t>
            </w:r>
          </w:p>
        </w:tc>
      </w:tr>
    </w:tbl>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供应商名称：</w:t>
      </w:r>
      <w:r>
        <w:rPr>
          <w:rFonts w:hint="eastAsia" w:ascii="宋体" w:hAnsi="宋体" w:cs="宋体"/>
          <w:szCs w:val="21"/>
          <w:u w:val="single"/>
          <w:lang w:val="zh-CN"/>
        </w:rPr>
        <w:t>禹州市创智科技有限公司</w:t>
      </w:r>
      <w:r>
        <w:rPr>
          <w:rFonts w:hint="eastAsia" w:ascii="宋体" w:hAnsi="宋体" w:cs="宋体"/>
          <w:szCs w:val="21"/>
          <w:lang w:val="zh-CN"/>
        </w:rPr>
        <w:t>（公章）：</w:t>
      </w:r>
    </w:p>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供应商法定代表人（单位负责人）或授权代表签字：常尧禹</w:t>
      </w:r>
    </w:p>
    <w:p>
      <w:pPr>
        <w:autoSpaceDE w:val="0"/>
        <w:autoSpaceDN w:val="0"/>
        <w:adjustRightInd w:val="0"/>
        <w:spacing w:line="480" w:lineRule="auto"/>
        <w:rPr>
          <w:rFonts w:hint="eastAsia" w:ascii="宋体" w:hAnsi="宋体" w:cs="宋体"/>
          <w:szCs w:val="21"/>
          <w:lang w:val="zh-CN"/>
        </w:rPr>
      </w:pPr>
      <w:r>
        <w:rPr>
          <w:rFonts w:hint="eastAsia" w:ascii="宋体" w:hAnsi="宋体" w:cs="宋体"/>
          <w:szCs w:val="21"/>
          <w:lang w:val="zh-CN"/>
        </w:rPr>
        <w:t>日期：2019年8月9日</w:t>
      </w:r>
      <w:r>
        <w:rPr>
          <w:rFonts w:hint="eastAsia" w:ascii="宋体" w:hAnsi="宋体" w:cs="宋体"/>
          <w:szCs w:val="21"/>
          <w:lang w:val="zh-CN"/>
        </w:rPr>
        <w:br w:type="textWrapping"/>
      </w:r>
      <w:r>
        <w:rPr>
          <w:rFonts w:hint="eastAsia" w:ascii="宋体" w:hAnsi="宋体" w:cs="宋体"/>
          <w:szCs w:val="21"/>
          <w:lang w:val="zh-CN"/>
        </w:rPr>
        <w:br w:type="textWrapping"/>
      </w:r>
      <w:r>
        <w:rPr>
          <w:rFonts w:hint="eastAsia" w:ascii="宋体" w:hAnsi="宋体" w:cs="宋体"/>
          <w:szCs w:val="21"/>
          <w:lang w:val="zh-CN"/>
        </w:rPr>
        <w:br w:type="textWrapping"/>
      </w:r>
      <w:r>
        <w:rPr>
          <w:rFonts w:hint="eastAsia" w:ascii="宋体" w:hAnsi="宋体" w:cs="宋体"/>
          <w:szCs w:val="21"/>
          <w:lang w:val="zh-CN"/>
        </w:rPr>
        <w:br w:type="textWrapping"/>
      </w:r>
      <w:r>
        <w:rPr>
          <w:rFonts w:hint="eastAsia" w:ascii="宋体" w:hAnsi="宋体" w:cs="宋体"/>
          <w:szCs w:val="21"/>
          <w:lang w:val="zh-CN"/>
        </w:rPr>
        <w:br w:type="textWrapping"/>
      </w:r>
      <w:r>
        <w:rPr>
          <w:rFonts w:hint="eastAsia" w:ascii="宋体" w:hAnsi="宋体" w:cs="宋体"/>
          <w:szCs w:val="21"/>
          <w:lang w:val="zh-CN"/>
        </w:rPr>
        <w:br w:type="textWrapping"/>
      </w:r>
      <w:r>
        <w:rPr>
          <w:rFonts w:hint="eastAsia" w:ascii="宋体" w:hAnsi="宋体" w:cs="宋体"/>
          <w:szCs w:val="21"/>
          <w:lang w:val="zh-CN"/>
        </w:rPr>
        <w:br w:type="textWrapping"/>
      </w:r>
      <w:r>
        <w:rPr>
          <w:rFonts w:hint="eastAsia" w:ascii="宋体" w:hAnsi="宋体" w:cs="宋体"/>
          <w:szCs w:val="21"/>
          <w:lang w:val="zh-CN"/>
        </w:rPr>
        <w:br w:type="textWrapping"/>
      </w:r>
      <w:r>
        <w:rPr>
          <w:rFonts w:hint="eastAsia" w:ascii="宋体" w:hAnsi="宋体" w:cs="宋体"/>
          <w:szCs w:val="21"/>
          <w:lang w:val="zh-CN"/>
        </w:rPr>
        <w:br w:type="textWrapping"/>
      </w:r>
      <w:r>
        <w:rPr>
          <w:rFonts w:hint="eastAsia" w:ascii="宋体" w:hAnsi="宋体" w:cs="宋体"/>
          <w:szCs w:val="21"/>
          <w:lang w:val="zh-CN"/>
        </w:rPr>
        <w:br w:type="textWrapping"/>
      </w:r>
    </w:p>
    <w:p>
      <w:pPr>
        <w:pStyle w:val="5"/>
        <w:numPr>
          <w:ilvl w:val="1"/>
          <w:numId w:val="0"/>
        </w:numPr>
        <w:spacing w:line="240" w:lineRule="auto"/>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售后服务方案</w:t>
      </w:r>
    </w:p>
    <w:p>
      <w:pPr>
        <w:spacing w:beforeLines="50" w:line="360" w:lineRule="auto"/>
        <w:ind w:firstLine="480" w:firstLineChars="200"/>
        <w:rPr>
          <w:rFonts w:ascii="宋体" w:hAnsi="宋体" w:cs="宋体"/>
          <w:sz w:val="24"/>
          <w:szCs w:val="24"/>
        </w:rPr>
      </w:pPr>
      <w:r>
        <w:rPr>
          <w:rFonts w:hint="eastAsia" w:ascii="宋体" w:hAnsi="宋体" w:cs="宋体"/>
          <w:sz w:val="24"/>
          <w:szCs w:val="24"/>
        </w:rPr>
        <w:t>本项目我公司具有独立的售后服务，同时产品制造商也具有独立的售后服务。我们提供双重的服务保障为</w:t>
      </w:r>
      <w:r>
        <w:rPr>
          <w:rFonts w:hint="eastAsia" w:ascii="宋体" w:hAnsi="宋体" w:cs="宋体"/>
          <w:bCs/>
          <w:color w:val="000000" w:themeColor="text1"/>
          <w:sz w:val="24"/>
          <w:szCs w:val="24"/>
          <w:u w:val="single"/>
          <w14:textFill>
            <w14:solidFill>
              <w14:schemeClr w14:val="tx1"/>
            </w14:solidFill>
          </w14:textFill>
        </w:rPr>
        <w:t>禹州市教育体育局采购电子设备、钢琴电钢琴、科学发现室器材项目（第二标段）</w:t>
      </w:r>
      <w:r>
        <w:rPr>
          <w:rFonts w:hint="eastAsia" w:ascii="宋体" w:hAnsi="宋体" w:cs="宋体"/>
          <w:sz w:val="24"/>
          <w:szCs w:val="24"/>
        </w:rPr>
        <w:t>提供更好、更便捷、更全面的服务内容。若我公司的售后服务与厂商有冲突，则按对用户最有利的原则执行。</w:t>
      </w:r>
    </w:p>
    <w:p>
      <w:pPr>
        <w:spacing w:beforeLines="50" w:line="360" w:lineRule="auto"/>
        <w:ind w:firstLine="480" w:firstLineChars="200"/>
        <w:rPr>
          <w:rFonts w:ascii="宋体" w:hAnsi="宋体" w:cs="宋体"/>
          <w:sz w:val="24"/>
          <w:szCs w:val="24"/>
        </w:rPr>
      </w:pPr>
      <w:r>
        <w:rPr>
          <w:rFonts w:hint="eastAsia" w:ascii="宋体" w:hAnsi="宋体" w:cs="宋体"/>
          <w:sz w:val="24"/>
          <w:szCs w:val="24"/>
        </w:rPr>
        <w:t>禹州市创智科技有限公司自成立之日起，就把为客户提供及时、优质的服务做为基本宗旨。我们的信誉不仅建立在为客户所提供先进、可靠产品的基础上，而且依托于为客户所提供的广泛优质服务。</w:t>
      </w:r>
    </w:p>
    <w:p>
      <w:pPr>
        <w:spacing w:beforeLines="50" w:line="360" w:lineRule="auto"/>
        <w:ind w:firstLine="480" w:firstLineChars="200"/>
        <w:rPr>
          <w:rFonts w:ascii="宋体" w:hAnsi="宋体" w:cs="宋体"/>
          <w:sz w:val="24"/>
          <w:szCs w:val="24"/>
        </w:rPr>
      </w:pPr>
      <w:r>
        <w:rPr>
          <w:rFonts w:hint="eastAsia" w:ascii="宋体" w:hAnsi="宋体" w:cs="宋体"/>
          <w:sz w:val="24"/>
          <w:szCs w:val="24"/>
        </w:rPr>
        <w:t>禹州市创智科技有限公司的服务体系向客户提供全方位的服务解决方案和售后技术支持，并听取客户的问题和要求，对客户的需要做出及时反应。从项目的客户需求分析开始，一直到项目完成交付和实际运行，我们具有一套完整规范的技术流程提供不间断的跟踪维护和技术支持。</w:t>
      </w:r>
    </w:p>
    <w:p>
      <w:pPr>
        <w:spacing w:beforeLines="50" w:line="360" w:lineRule="auto"/>
        <w:ind w:firstLine="480" w:firstLineChars="200"/>
        <w:rPr>
          <w:rFonts w:ascii="宋体" w:hAnsi="宋体" w:cs="宋体"/>
        </w:rPr>
      </w:pPr>
      <w:r>
        <w:rPr>
          <w:rFonts w:hint="eastAsia" w:ascii="宋体" w:hAnsi="宋体" w:cs="宋体"/>
          <w:sz w:val="24"/>
          <w:szCs w:val="32"/>
        </w:rPr>
        <w:t>我们售后服务的宗旨是：提供及时、优质、高效的支援服务，确保客户信息系统正常、稳定、可靠的运行。为此，禹州市创智科技有限公司建立了一支高素质、高水平的售后服务队伍，并拥有严格的管理制度和雄厚的技术实力，用以向客户提供满意的售后服务。我们提供的售后服务体系将尽力保护客户的投资，最大限度的提高客户投资的经济效益和社会效益。</w:t>
      </w:r>
      <w:bookmarkStart w:id="0" w:name="_Toc345139243"/>
      <w:bookmarkEnd w:id="0"/>
      <w:bookmarkStart w:id="1" w:name="_Toc21249"/>
      <w:bookmarkEnd w:id="1"/>
      <w:bookmarkStart w:id="2" w:name="_Toc427668076"/>
      <w:bookmarkEnd w:id="2"/>
      <w:bookmarkStart w:id="3" w:name="_Toc404639821"/>
      <w:bookmarkEnd w:id="3"/>
      <w:bookmarkStart w:id="4" w:name="_Toc347483896"/>
      <w:bookmarkEnd w:id="4"/>
      <w:bookmarkStart w:id="5" w:name="_Toc404956837"/>
      <w:bookmarkEnd w:id="5"/>
      <w:bookmarkStart w:id="6" w:name="_Toc427667270"/>
      <w:bookmarkEnd w:id="6"/>
      <w:bookmarkStart w:id="7" w:name="_Toc335835198"/>
      <w:bookmarkEnd w:id="7"/>
      <w:bookmarkStart w:id="8" w:name="_Toc427668075"/>
      <w:bookmarkEnd w:id="8"/>
      <w:bookmarkStart w:id="9" w:name="_Toc427666958"/>
      <w:bookmarkEnd w:id="9"/>
      <w:bookmarkStart w:id="10" w:name="_Toc404956394"/>
      <w:bookmarkEnd w:id="10"/>
      <w:bookmarkStart w:id="11" w:name="_Toc346709628"/>
      <w:bookmarkEnd w:id="11"/>
      <w:bookmarkStart w:id="12" w:name="_Toc333573674"/>
      <w:bookmarkEnd w:id="12"/>
      <w:bookmarkStart w:id="13" w:name="_Toc405289690"/>
      <w:bookmarkEnd w:id="13"/>
      <w:bookmarkStart w:id="14" w:name="_Toc347476257"/>
      <w:bookmarkEnd w:id="14"/>
      <w:bookmarkStart w:id="15" w:name="_Toc31705"/>
      <w:bookmarkEnd w:id="15"/>
      <w:bookmarkStart w:id="16" w:name="_Toc21972"/>
      <w:bookmarkEnd w:id="16"/>
      <w:bookmarkStart w:id="17" w:name="_Toc347483743"/>
      <w:bookmarkEnd w:id="17"/>
      <w:bookmarkStart w:id="18" w:name="_Toc427667755"/>
      <w:bookmarkEnd w:id="18"/>
      <w:bookmarkStart w:id="19" w:name="_Toc1153"/>
      <w:bookmarkEnd w:id="19"/>
      <w:bookmarkStart w:id="20" w:name="_Toc427853863"/>
      <w:bookmarkEnd w:id="20"/>
      <w:bookmarkStart w:id="21" w:name="_Toc347482328"/>
      <w:bookmarkEnd w:id="21"/>
      <w:bookmarkStart w:id="22" w:name="_Toc5839"/>
      <w:bookmarkEnd w:id="22"/>
      <w:bookmarkStart w:id="23" w:name="_Toc335729100"/>
      <w:bookmarkEnd w:id="23"/>
      <w:bookmarkStart w:id="24" w:name="_Toc335729416"/>
      <w:bookmarkEnd w:id="24"/>
      <w:bookmarkStart w:id="25" w:name="_Toc427668237"/>
      <w:bookmarkEnd w:id="25"/>
      <w:bookmarkStart w:id="26" w:name="_Toc339374913"/>
      <w:bookmarkEnd w:id="26"/>
      <w:bookmarkStart w:id="27" w:name="_Toc427666507"/>
      <w:bookmarkEnd w:id="27"/>
      <w:bookmarkStart w:id="28" w:name="_Toc427667592"/>
      <w:bookmarkEnd w:id="28"/>
      <w:bookmarkStart w:id="29" w:name="_Toc6274"/>
      <w:bookmarkEnd w:id="29"/>
      <w:bookmarkStart w:id="30" w:name="_Toc404644686"/>
      <w:bookmarkEnd w:id="30"/>
      <w:bookmarkStart w:id="31" w:name="_Toc335728850"/>
      <w:bookmarkEnd w:id="31"/>
      <w:bookmarkStart w:id="32" w:name="_Toc339280825"/>
      <w:bookmarkEnd w:id="32"/>
      <w:bookmarkStart w:id="33" w:name="_Toc427666657"/>
      <w:bookmarkEnd w:id="33"/>
      <w:bookmarkStart w:id="34" w:name="_Toc339273798"/>
      <w:bookmarkEnd w:id="34"/>
      <w:bookmarkStart w:id="35" w:name="_Toc404956838"/>
      <w:bookmarkEnd w:id="35"/>
      <w:bookmarkStart w:id="36" w:name="_Toc10355"/>
      <w:bookmarkEnd w:id="36"/>
      <w:bookmarkStart w:id="37" w:name="_Toc30064"/>
      <w:bookmarkEnd w:id="37"/>
      <w:bookmarkStart w:id="38" w:name="_Toc423199800"/>
      <w:bookmarkEnd w:id="38"/>
      <w:bookmarkStart w:id="39" w:name="_Toc346812153"/>
      <w:bookmarkEnd w:id="39"/>
      <w:bookmarkStart w:id="40" w:name="_Toc334089862"/>
      <w:bookmarkEnd w:id="40"/>
      <w:bookmarkStart w:id="41" w:name="_Toc427667431"/>
      <w:bookmarkEnd w:id="41"/>
      <w:bookmarkStart w:id="42" w:name="_Toc333581667"/>
      <w:bookmarkEnd w:id="42"/>
      <w:bookmarkStart w:id="43" w:name="_Toc334010797"/>
      <w:bookmarkEnd w:id="43"/>
      <w:bookmarkStart w:id="44" w:name="_Toc335728728"/>
      <w:bookmarkEnd w:id="44"/>
      <w:bookmarkStart w:id="45" w:name="_Toc404632297"/>
      <w:bookmarkEnd w:id="45"/>
      <w:bookmarkStart w:id="46" w:name="_Toc427669857"/>
      <w:bookmarkEnd w:id="46"/>
      <w:bookmarkStart w:id="47" w:name="_Toc333658092"/>
      <w:bookmarkEnd w:id="47"/>
      <w:bookmarkStart w:id="48" w:name="_Toc427667109"/>
      <w:bookmarkEnd w:id="48"/>
      <w:bookmarkStart w:id="49" w:name="_Toc335836316"/>
      <w:bookmarkEnd w:id="49"/>
      <w:bookmarkStart w:id="50" w:name="_Toc427666809"/>
      <w:bookmarkEnd w:id="50"/>
      <w:bookmarkStart w:id="51" w:name="_Toc427918101"/>
      <w:bookmarkEnd w:id="51"/>
      <w:bookmarkStart w:id="52" w:name="_Toc430850839"/>
      <w:bookmarkEnd w:id="52"/>
      <w:bookmarkStart w:id="53" w:name="_Toc335728027"/>
      <w:bookmarkEnd w:id="53"/>
      <w:bookmarkStart w:id="54" w:name="_Toc427666353"/>
      <w:bookmarkEnd w:id="54"/>
      <w:bookmarkStart w:id="55" w:name="_Toc427666959"/>
      <w:bookmarkEnd w:id="55"/>
      <w:bookmarkStart w:id="56" w:name="_Toc347483114"/>
      <w:bookmarkEnd w:id="56"/>
      <w:bookmarkStart w:id="57" w:name="_Toc405289002"/>
      <w:bookmarkEnd w:id="57"/>
      <w:bookmarkStart w:id="58" w:name="_Toc344976494"/>
      <w:bookmarkEnd w:id="58"/>
      <w:bookmarkStart w:id="59" w:name="_Toc334013510"/>
      <w:bookmarkEnd w:id="59"/>
      <w:bookmarkStart w:id="60" w:name="_Toc427667916"/>
      <w:bookmarkEnd w:id="60"/>
      <w:bookmarkStart w:id="61" w:name="_Toc345139374"/>
      <w:bookmarkEnd w:id="61"/>
      <w:bookmarkStart w:id="62" w:name="_Toc346798121"/>
      <w:bookmarkEnd w:id="62"/>
      <w:bookmarkStart w:id="63" w:name="_Toc335729222"/>
      <w:bookmarkEnd w:id="63"/>
      <w:bookmarkStart w:id="64" w:name="_Toc333581595"/>
      <w:bookmarkEnd w:id="64"/>
      <w:bookmarkStart w:id="65" w:name="_Toc346797984"/>
      <w:bookmarkEnd w:id="65"/>
      <w:bookmarkStart w:id="66" w:name="_Toc405289813"/>
      <w:bookmarkEnd w:id="66"/>
      <w:bookmarkStart w:id="67" w:name="_Toc404866268"/>
      <w:bookmarkEnd w:id="67"/>
      <w:bookmarkStart w:id="68" w:name="_Toc335905025"/>
      <w:bookmarkEnd w:id="68"/>
      <w:bookmarkStart w:id="69" w:name="_Toc338851661"/>
      <w:bookmarkEnd w:id="69"/>
      <w:bookmarkStart w:id="70" w:name="_Toc335297506"/>
      <w:bookmarkEnd w:id="70"/>
      <w:bookmarkStart w:id="71" w:name="_Toc347483278"/>
      <w:bookmarkEnd w:id="71"/>
      <w:bookmarkStart w:id="72" w:name="_Toc333848389"/>
      <w:bookmarkEnd w:id="72"/>
      <w:bookmarkStart w:id="73" w:name="_Toc427686076"/>
      <w:bookmarkEnd w:id="73"/>
      <w:bookmarkStart w:id="74" w:name="_Toc12205"/>
      <w:bookmarkEnd w:id="74"/>
      <w:bookmarkStart w:id="75" w:name="_Toc347476080"/>
      <w:bookmarkEnd w:id="75"/>
      <w:bookmarkStart w:id="76" w:name="_Toc427668403"/>
      <w:bookmarkEnd w:id="76"/>
      <w:bookmarkStart w:id="77" w:name="_Toc430850837"/>
      <w:bookmarkEnd w:id="77"/>
      <w:bookmarkStart w:id="78" w:name="_Toc427667429"/>
      <w:bookmarkEnd w:id="78"/>
      <w:bookmarkStart w:id="79" w:name="_Toc427669855"/>
      <w:bookmarkEnd w:id="79"/>
      <w:bookmarkStart w:id="80" w:name="_Toc23350"/>
      <w:bookmarkEnd w:id="80"/>
      <w:bookmarkStart w:id="81" w:name="_Toc31303"/>
      <w:bookmarkEnd w:id="81"/>
      <w:bookmarkStart w:id="82" w:name="_Toc427686074"/>
      <w:bookmarkEnd w:id="82"/>
      <w:bookmarkStart w:id="83" w:name="_Toc27463"/>
      <w:bookmarkEnd w:id="83"/>
      <w:bookmarkStart w:id="84" w:name="_Toc427666351"/>
      <w:bookmarkEnd w:id="84"/>
      <w:bookmarkStart w:id="85" w:name="_Toc427667590"/>
      <w:bookmarkEnd w:id="85"/>
      <w:bookmarkStart w:id="86" w:name="_Toc427666957"/>
      <w:bookmarkEnd w:id="86"/>
      <w:bookmarkStart w:id="87" w:name="_Toc405289000"/>
      <w:bookmarkEnd w:id="87"/>
      <w:bookmarkStart w:id="88" w:name="_Toc8401"/>
      <w:bookmarkEnd w:id="88"/>
      <w:bookmarkStart w:id="89" w:name="_Toc405289001"/>
      <w:bookmarkEnd w:id="89"/>
      <w:bookmarkStart w:id="90" w:name="_Toc404866266"/>
      <w:bookmarkEnd w:id="90"/>
      <w:bookmarkStart w:id="91" w:name="_Toc427666807"/>
      <w:bookmarkEnd w:id="91"/>
      <w:bookmarkStart w:id="92" w:name="_Toc404639819"/>
      <w:bookmarkEnd w:id="92"/>
      <w:bookmarkStart w:id="93" w:name="_Toc427853861"/>
      <w:bookmarkEnd w:id="93"/>
      <w:bookmarkStart w:id="94" w:name="_Toc31221"/>
      <w:bookmarkEnd w:id="94"/>
      <w:bookmarkStart w:id="95" w:name="_Toc427666655"/>
      <w:bookmarkEnd w:id="95"/>
      <w:bookmarkStart w:id="96" w:name="_Toc427668401"/>
      <w:bookmarkEnd w:id="96"/>
      <w:bookmarkStart w:id="97" w:name="_Toc404644684"/>
      <w:bookmarkEnd w:id="97"/>
      <w:bookmarkStart w:id="98" w:name="_Toc405289811"/>
      <w:bookmarkEnd w:id="98"/>
      <w:bookmarkStart w:id="99" w:name="_Toc335728129"/>
      <w:bookmarkEnd w:id="99"/>
      <w:bookmarkStart w:id="100" w:name="_Toc404632295"/>
      <w:bookmarkEnd w:id="100"/>
      <w:bookmarkStart w:id="101" w:name="_Toc404956836"/>
      <w:bookmarkEnd w:id="101"/>
      <w:bookmarkStart w:id="102" w:name="_Toc427667268"/>
      <w:bookmarkEnd w:id="102"/>
      <w:bookmarkStart w:id="103" w:name="_Toc405289688"/>
      <w:bookmarkEnd w:id="103"/>
      <w:bookmarkStart w:id="104" w:name="_Toc427666505"/>
      <w:bookmarkEnd w:id="104"/>
      <w:bookmarkStart w:id="105" w:name="_Toc404956392"/>
      <w:bookmarkEnd w:id="105"/>
      <w:bookmarkStart w:id="106" w:name="_Toc15399"/>
      <w:bookmarkEnd w:id="106"/>
      <w:bookmarkStart w:id="107" w:name="_Toc427667914"/>
      <w:bookmarkEnd w:id="107"/>
      <w:bookmarkStart w:id="108" w:name="_Toc427918099"/>
      <w:bookmarkEnd w:id="108"/>
      <w:bookmarkStart w:id="109" w:name="_Toc15045"/>
      <w:bookmarkEnd w:id="109"/>
      <w:bookmarkStart w:id="110" w:name="_Toc427668074"/>
      <w:bookmarkEnd w:id="110"/>
      <w:bookmarkStart w:id="111" w:name="_Toc8117"/>
      <w:bookmarkEnd w:id="111"/>
      <w:bookmarkStart w:id="112" w:name="_Toc427918100"/>
      <w:bookmarkEnd w:id="112"/>
      <w:bookmarkStart w:id="113" w:name="_Toc12162"/>
      <w:bookmarkEnd w:id="113"/>
      <w:bookmarkStart w:id="114" w:name="_Toc427667753"/>
      <w:bookmarkEnd w:id="114"/>
      <w:bookmarkStart w:id="115" w:name="_Toc427668235"/>
      <w:bookmarkEnd w:id="115"/>
      <w:bookmarkStart w:id="116" w:name="_Toc427667107"/>
      <w:bookmarkEnd w:id="116"/>
      <w:bookmarkStart w:id="117" w:name="_Toc404632296"/>
      <w:bookmarkEnd w:id="117"/>
      <w:bookmarkStart w:id="118" w:name="_Toc423199798"/>
      <w:bookmarkEnd w:id="118"/>
      <w:bookmarkStart w:id="119" w:name="_Toc405289689"/>
      <w:bookmarkEnd w:id="119"/>
      <w:bookmarkStart w:id="120" w:name="_Toc427667591"/>
      <w:bookmarkEnd w:id="120"/>
      <w:bookmarkStart w:id="121" w:name="_Toc427667754"/>
      <w:bookmarkEnd w:id="121"/>
      <w:bookmarkStart w:id="122" w:name="_Toc427669856"/>
      <w:bookmarkEnd w:id="122"/>
      <w:bookmarkStart w:id="123" w:name="_Toc427666808"/>
      <w:bookmarkEnd w:id="123"/>
      <w:bookmarkStart w:id="124" w:name="_Toc427667108"/>
      <w:bookmarkEnd w:id="124"/>
      <w:bookmarkStart w:id="125" w:name="_Toc430850838"/>
      <w:bookmarkEnd w:id="125"/>
      <w:bookmarkStart w:id="126" w:name="_Toc427667430"/>
      <w:bookmarkEnd w:id="126"/>
      <w:bookmarkStart w:id="127" w:name="_Toc22633"/>
      <w:bookmarkEnd w:id="127"/>
      <w:bookmarkStart w:id="128" w:name="_Toc5123"/>
      <w:bookmarkEnd w:id="128"/>
      <w:bookmarkStart w:id="129" w:name="_Toc404866267"/>
      <w:bookmarkEnd w:id="129"/>
      <w:bookmarkStart w:id="130" w:name="_Toc404956393"/>
      <w:bookmarkEnd w:id="130"/>
      <w:bookmarkStart w:id="131" w:name="_Toc3337"/>
      <w:bookmarkEnd w:id="131"/>
      <w:bookmarkStart w:id="132" w:name="_Toc32500"/>
      <w:bookmarkEnd w:id="132"/>
      <w:bookmarkStart w:id="133" w:name="_Toc423199799"/>
      <w:bookmarkEnd w:id="133"/>
      <w:bookmarkStart w:id="134" w:name="_Toc405289812"/>
      <w:bookmarkEnd w:id="134"/>
      <w:bookmarkStart w:id="135" w:name="_Toc427666352"/>
      <w:bookmarkEnd w:id="135"/>
      <w:bookmarkStart w:id="136" w:name="_Toc427667269"/>
      <w:bookmarkEnd w:id="136"/>
      <w:bookmarkStart w:id="137" w:name="_Toc28843"/>
      <w:bookmarkEnd w:id="137"/>
      <w:bookmarkStart w:id="138" w:name="_Toc427666656"/>
      <w:bookmarkEnd w:id="138"/>
      <w:bookmarkStart w:id="139" w:name="_Toc16928"/>
      <w:bookmarkEnd w:id="139"/>
      <w:bookmarkStart w:id="140" w:name="_Toc427667915"/>
      <w:bookmarkEnd w:id="140"/>
      <w:bookmarkStart w:id="141" w:name="_Toc25778"/>
      <w:bookmarkEnd w:id="141"/>
      <w:bookmarkStart w:id="142" w:name="_Toc404644685"/>
      <w:bookmarkEnd w:id="142"/>
      <w:bookmarkStart w:id="143" w:name="_Toc28892"/>
      <w:bookmarkEnd w:id="143"/>
      <w:bookmarkStart w:id="144" w:name="_Toc427853862"/>
      <w:bookmarkEnd w:id="144"/>
      <w:bookmarkStart w:id="145" w:name="_Toc6394"/>
      <w:bookmarkEnd w:id="145"/>
      <w:bookmarkStart w:id="146" w:name="_Toc404639820"/>
      <w:bookmarkEnd w:id="146"/>
      <w:bookmarkStart w:id="147" w:name="_Toc427668402"/>
      <w:bookmarkEnd w:id="147"/>
      <w:bookmarkStart w:id="148" w:name="_Toc427666506"/>
      <w:bookmarkEnd w:id="148"/>
      <w:bookmarkStart w:id="149" w:name="_Toc427686075"/>
      <w:bookmarkEnd w:id="149"/>
      <w:bookmarkStart w:id="150" w:name="_Toc427668236"/>
      <w:bookmarkEnd w:id="150"/>
      <w:bookmarkStart w:id="151" w:name="_Toc300072419"/>
      <w:bookmarkStart w:id="152" w:name="_Toc427669858"/>
      <w:bookmarkStart w:id="153" w:name="_Toc405289691"/>
      <w:bookmarkStart w:id="154" w:name="_Toc405289003"/>
      <w:bookmarkStart w:id="155" w:name="_Toc323738933"/>
      <w:bookmarkStart w:id="156" w:name="_Toc323738976"/>
      <w:bookmarkStart w:id="157" w:name="_Toc405289814"/>
      <w:bookmarkStart w:id="158" w:name="_Toc323306547"/>
      <w:bookmarkStart w:id="159" w:name="_Toc404644687"/>
      <w:bookmarkStart w:id="160" w:name="_Toc427668404"/>
      <w:bookmarkStart w:id="161" w:name="_Toc423199801"/>
      <w:bookmarkStart w:id="162" w:name="_Toc427666354"/>
      <w:bookmarkStart w:id="163" w:name="_Toc323740121"/>
      <w:bookmarkStart w:id="164" w:name="_Toc323741213"/>
      <w:bookmarkStart w:id="165" w:name="_Toc323740077"/>
    </w:p>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Pr>
        <w:spacing w:beforeLines="50" w:line="360" w:lineRule="auto"/>
        <w:ind w:firstLine="480" w:firstLineChars="200"/>
        <w:rPr>
          <w:rFonts w:ascii="宋体" w:hAnsi="宋体" w:cs="宋体"/>
          <w:sz w:val="24"/>
          <w:szCs w:val="24"/>
        </w:rPr>
      </w:pPr>
      <w:r>
        <w:rPr>
          <w:rFonts w:hint="eastAsia" w:ascii="宋体" w:hAnsi="宋体" w:cs="宋体"/>
          <w:sz w:val="24"/>
          <w:szCs w:val="24"/>
        </w:rPr>
        <w:t>针对</w:t>
      </w:r>
      <w:r>
        <w:rPr>
          <w:rFonts w:hint="eastAsia" w:ascii="宋体" w:hAnsi="宋体" w:cs="宋体"/>
          <w:bCs/>
          <w:color w:val="000000" w:themeColor="text1"/>
          <w:sz w:val="24"/>
          <w:szCs w:val="24"/>
          <w:u w:val="single"/>
          <w14:textFill>
            <w14:solidFill>
              <w14:schemeClr w14:val="tx1"/>
            </w14:solidFill>
          </w14:textFill>
        </w:rPr>
        <w:t>禹州市教育体育局采购电子设备、钢琴电钢琴、科学发现室器材项目（第二标段）</w:t>
      </w:r>
      <w:r>
        <w:rPr>
          <w:rFonts w:hint="eastAsia" w:ascii="宋体" w:hAnsi="宋体" w:cs="宋体"/>
          <w:sz w:val="24"/>
          <w:szCs w:val="24"/>
        </w:rPr>
        <w:t>，我公司将提供如下服务承诺：</w:t>
      </w:r>
    </w:p>
    <w:p>
      <w:pPr>
        <w:spacing w:before="50" w:line="360" w:lineRule="auto"/>
        <w:ind w:firstLine="482" w:firstLineChars="200"/>
        <w:rPr>
          <w:rFonts w:ascii="宋体" w:hAnsi="宋体" w:cs="宋体"/>
          <w:sz w:val="24"/>
          <w:szCs w:val="24"/>
        </w:rPr>
      </w:pPr>
      <w:r>
        <w:rPr>
          <w:rFonts w:hint="eastAsia" w:ascii="宋体" w:hAnsi="宋体" w:cs="宋体"/>
          <w:b/>
          <w:sz w:val="24"/>
          <w:szCs w:val="24"/>
          <w:u w:val="single"/>
        </w:rPr>
        <w:t>1、质保范围</w:t>
      </w:r>
      <w:r>
        <w:rPr>
          <w:rFonts w:hint="eastAsia" w:ascii="宋体" w:hAnsi="宋体" w:cs="宋体"/>
          <w:b/>
          <w:sz w:val="24"/>
          <w:szCs w:val="24"/>
        </w:rPr>
        <w:t>：</w:t>
      </w:r>
      <w:r>
        <w:rPr>
          <w:rFonts w:hint="eastAsia" w:ascii="宋体" w:hAnsi="宋体" w:cs="宋体"/>
          <w:sz w:val="24"/>
          <w:szCs w:val="24"/>
        </w:rPr>
        <w:t>本项目中我公司提供的所有设备及配件。设备在质保期内发生故障，设备质量问题，我公司将无偿更换故障件；因不可抗拒灾害如：火灾、地震、雷击、战争等，而导致材料或设备损害不在保修范围内。</w:t>
      </w:r>
    </w:p>
    <w:p>
      <w:pPr>
        <w:spacing w:before="50" w:line="360" w:lineRule="auto"/>
        <w:ind w:firstLine="480" w:firstLineChars="200"/>
        <w:rPr>
          <w:rFonts w:ascii="宋体" w:hAnsi="宋体" w:cs="宋体"/>
          <w:sz w:val="24"/>
          <w:szCs w:val="24"/>
        </w:rPr>
      </w:pPr>
      <w:r>
        <w:rPr>
          <w:rFonts w:hint="eastAsia" w:ascii="宋体" w:hAnsi="宋体" w:cs="宋体"/>
          <w:sz w:val="24"/>
          <w:szCs w:val="24"/>
        </w:rPr>
        <w:t>交货地点至项目现场内陆运输和保险由我公司承担，在我公司未按合同规定的地点交货之前，如发生不可测因素导致设备毁坏或灭失，我公司将承担全部责任。在设备更换及保修期间，为了不影响工作的正常进行，我公司可提供相关备品备件。</w:t>
      </w:r>
    </w:p>
    <w:p>
      <w:pPr>
        <w:spacing w:beforeLines="50" w:line="360" w:lineRule="auto"/>
        <w:ind w:firstLine="482" w:firstLineChars="200"/>
        <w:rPr>
          <w:rFonts w:ascii="宋体" w:hAnsi="宋体" w:cs="宋体"/>
          <w:sz w:val="24"/>
          <w:szCs w:val="24"/>
        </w:rPr>
      </w:pPr>
      <w:r>
        <w:rPr>
          <w:rFonts w:hint="eastAsia" w:ascii="宋体" w:hAnsi="宋体" w:cs="宋体"/>
          <w:b/>
          <w:color w:val="000000" w:themeColor="text1"/>
          <w:sz w:val="24"/>
          <w:szCs w:val="24"/>
          <w:u w:val="single"/>
          <w14:textFill>
            <w14:solidFill>
              <w14:schemeClr w14:val="tx1"/>
            </w14:solidFill>
          </w14:textFill>
        </w:rPr>
        <w:t>2、质量保证期</w:t>
      </w:r>
      <w:r>
        <w:rPr>
          <w:rFonts w:hint="eastAsia" w:ascii="宋体" w:hAnsi="宋体" w:cs="宋体"/>
          <w:color w:val="000000" w:themeColor="text1"/>
          <w:sz w:val="24"/>
          <w:szCs w:val="24"/>
          <w14:textFill>
            <w14:solidFill>
              <w14:schemeClr w14:val="tx1"/>
            </w14:solidFill>
          </w14:textFill>
        </w:rPr>
        <w:t>：设备质保</w:t>
      </w:r>
      <w:r>
        <w:rPr>
          <w:rFonts w:hint="eastAsia" w:ascii="宋体" w:hAnsi="宋体" w:cs="宋体"/>
          <w:sz w:val="24"/>
          <w:szCs w:val="24"/>
          <w:shd w:val="clear" w:color="auto" w:fill="FFFFFF"/>
        </w:rPr>
        <w:t>提供一年免费保修服务，提供30分钟响应，1小时我司维修人员到达采购方指定的维修现场，48小时内解决问题，如不能在限定时间内解决问题，需提供备机，不影响正常使用；终身提供软件免费升级服务。</w:t>
      </w:r>
    </w:p>
    <w:p>
      <w:pPr>
        <w:spacing w:beforeLines="50" w:line="360" w:lineRule="auto"/>
        <w:ind w:firstLine="482" w:firstLineChars="200"/>
        <w:rPr>
          <w:rFonts w:ascii="宋体" w:hAnsi="宋体" w:cs="宋体"/>
          <w:sz w:val="24"/>
          <w:szCs w:val="24"/>
        </w:rPr>
      </w:pPr>
      <w:r>
        <w:rPr>
          <w:rFonts w:hint="eastAsia" w:ascii="宋体" w:hAnsi="宋体" w:cs="宋体"/>
          <w:b/>
          <w:sz w:val="24"/>
          <w:szCs w:val="24"/>
          <w:u w:val="single"/>
        </w:rPr>
        <w:t>3、质保期内</w:t>
      </w:r>
      <w:r>
        <w:rPr>
          <w:rFonts w:hint="eastAsia" w:ascii="宋体" w:hAnsi="宋体" w:cs="宋体"/>
          <w:sz w:val="24"/>
          <w:szCs w:val="24"/>
        </w:rPr>
        <w:t xml:space="preserve">：一切维修换件保养费用由我公司承担，且提供全年7*24上门服务，免费质保期内，自带配件上门服务，对原有系统范围内容进行维护及完成采购单位提出小的修改要求，且不收取费用。  </w:t>
      </w:r>
    </w:p>
    <w:p>
      <w:pPr>
        <w:spacing w:beforeLines="50" w:line="360" w:lineRule="auto"/>
        <w:ind w:firstLine="482" w:firstLineChars="200"/>
        <w:rPr>
          <w:rFonts w:ascii="宋体" w:hAnsi="宋体" w:cs="宋体"/>
          <w:sz w:val="24"/>
          <w:szCs w:val="24"/>
        </w:rPr>
      </w:pPr>
      <w:r>
        <w:rPr>
          <w:rFonts w:hint="eastAsia" w:ascii="宋体" w:hAnsi="宋体" w:cs="宋体"/>
          <w:b/>
          <w:sz w:val="24"/>
          <w:szCs w:val="24"/>
          <w:u w:val="single"/>
        </w:rPr>
        <w:t>4、质保期外</w:t>
      </w:r>
      <w:r>
        <w:rPr>
          <w:rFonts w:hint="eastAsia" w:ascii="宋体" w:hAnsi="宋体" w:cs="宋体"/>
          <w:sz w:val="24"/>
          <w:szCs w:val="24"/>
        </w:rPr>
        <w:t>：质保期外，我公司只收取故障件成本费，免收人工费；若质保期外故障产品仍然有货，我公司将以不高于合同价格提供故障产品；若质保期外故障产品或部件已停产，我公司将与产品制造商协商以优惠价格提供替代产品（对可能近期停止生产的产品或部件，我公司将与产品制造商通知贵单位。另外免费质保期满后，有责任对系统软、硬件的运行、管理以及维护进行定期的技术指导。</w:t>
      </w:r>
    </w:p>
    <w:p>
      <w:pPr>
        <w:spacing w:beforeLines="50" w:line="360" w:lineRule="auto"/>
        <w:ind w:firstLine="482" w:firstLineChars="200"/>
        <w:rPr>
          <w:rFonts w:ascii="宋体" w:hAnsi="宋体" w:cs="宋体"/>
          <w:sz w:val="24"/>
          <w:szCs w:val="24"/>
        </w:rPr>
      </w:pPr>
      <w:r>
        <w:rPr>
          <w:rFonts w:hint="eastAsia" w:ascii="宋体" w:hAnsi="宋体" w:cs="宋体"/>
          <w:b/>
          <w:sz w:val="24"/>
          <w:szCs w:val="24"/>
          <w:u w:val="single"/>
        </w:rPr>
        <w:t>5、安装调试服务</w:t>
      </w:r>
      <w:r>
        <w:rPr>
          <w:rFonts w:hint="eastAsia" w:ascii="宋体" w:hAnsi="宋体" w:cs="宋体"/>
          <w:b/>
          <w:sz w:val="24"/>
          <w:szCs w:val="24"/>
        </w:rPr>
        <w:t>：</w:t>
      </w:r>
      <w:r>
        <w:rPr>
          <w:rFonts w:hint="eastAsia" w:ascii="宋体" w:hAnsi="宋体" w:cs="宋体"/>
          <w:sz w:val="24"/>
          <w:szCs w:val="24"/>
        </w:rPr>
        <w:t>我公司将对我们提供的所有产品及配件，组织协调我公司和产品制造商或总代理派出经验丰富技术熟练的技术人员在用户现场进行安装调试。设备的安装、调试、检测、验收及标准将按照项目设计要求及国家或行业相关标准执行，确保工程质量达到设计要求，努力把本项目建设成精品工程。</w:t>
      </w:r>
    </w:p>
    <w:p>
      <w:pPr>
        <w:spacing w:before="50" w:line="360" w:lineRule="auto"/>
        <w:ind w:firstLine="482" w:firstLineChars="200"/>
        <w:rPr>
          <w:rFonts w:ascii="宋体" w:hAnsi="宋体" w:cs="宋体"/>
          <w:b/>
          <w:sz w:val="24"/>
          <w:szCs w:val="24"/>
          <w:u w:val="single"/>
        </w:rPr>
      </w:pPr>
      <w:r>
        <w:rPr>
          <w:rFonts w:hint="eastAsia" w:ascii="宋体" w:hAnsi="宋体" w:cs="宋体"/>
          <w:b/>
          <w:sz w:val="24"/>
          <w:szCs w:val="24"/>
          <w:u w:val="single"/>
        </w:rPr>
        <w:t>6、备件保障服务</w:t>
      </w:r>
      <w:r>
        <w:rPr>
          <w:rFonts w:hint="eastAsia" w:ascii="宋体" w:hAnsi="宋体" w:cs="宋体"/>
          <w:b/>
          <w:sz w:val="24"/>
          <w:szCs w:val="24"/>
        </w:rPr>
        <w:t>：</w:t>
      </w:r>
      <w:r>
        <w:rPr>
          <w:rFonts w:hint="eastAsia" w:ascii="宋体" w:hAnsi="宋体" w:cs="宋体"/>
          <w:sz w:val="24"/>
          <w:szCs w:val="24"/>
        </w:rPr>
        <w:t>针对本项目我公司与产品制造商联合为贵单位提供备品、备件响应服务，确保贵单位业务的连续。通过备件响应服务，贵单位不必等待产品制造商繁琐的业务流程，可使贵单位严重故障恢复时间大大缩短。</w:t>
      </w:r>
    </w:p>
    <w:p>
      <w:pPr>
        <w:spacing w:before="50" w:line="360" w:lineRule="auto"/>
        <w:ind w:firstLine="482" w:firstLineChars="200"/>
        <w:rPr>
          <w:rFonts w:ascii="宋体" w:hAnsi="宋体" w:cs="宋体"/>
          <w:sz w:val="24"/>
          <w:szCs w:val="24"/>
        </w:rPr>
      </w:pPr>
      <w:r>
        <w:rPr>
          <w:rFonts w:hint="eastAsia" w:ascii="宋体" w:hAnsi="宋体" w:cs="宋体"/>
          <w:b/>
          <w:sz w:val="24"/>
          <w:szCs w:val="24"/>
          <w:u w:val="single"/>
        </w:rPr>
        <w:t>7、系统巡检服务：</w:t>
      </w:r>
      <w:r>
        <w:rPr>
          <w:rFonts w:hint="eastAsia" w:ascii="宋体" w:hAnsi="宋体" w:cs="宋体"/>
          <w:sz w:val="24"/>
          <w:szCs w:val="24"/>
        </w:rPr>
        <w:t>项目验收合格后，我公司将指定固定的经验丰富技术熟练的工程师至少每月一次到用户现场对设备及系统（包含硬件及软件）进行检查，并根据用户的实时需求，及时进行调整及优化，并做好相关记录，确保系统稳定，高效运行。</w:t>
      </w:r>
    </w:p>
    <w:p>
      <w:pPr>
        <w:spacing w:before="50" w:line="360" w:lineRule="auto"/>
        <w:ind w:firstLine="482" w:firstLineChars="200"/>
        <w:rPr>
          <w:rFonts w:ascii="宋体" w:hAnsi="宋体" w:cs="宋体"/>
          <w:sz w:val="24"/>
          <w:szCs w:val="24"/>
        </w:rPr>
      </w:pPr>
      <w:r>
        <w:rPr>
          <w:rFonts w:hint="eastAsia" w:ascii="宋体" w:hAnsi="宋体" w:cs="宋体"/>
          <w:b/>
          <w:sz w:val="24"/>
          <w:szCs w:val="24"/>
          <w:u w:val="single"/>
        </w:rPr>
        <w:t>8、软件升级服务：</w:t>
      </w:r>
      <w:r>
        <w:rPr>
          <w:rFonts w:hint="eastAsia" w:ascii="宋体" w:hAnsi="宋体" w:cs="宋体"/>
          <w:sz w:val="24"/>
          <w:szCs w:val="24"/>
        </w:rPr>
        <w:t>质保期内如产品厂家对项目中相关软件有新的版本或补丁发布，我公司技术人员将对用户进行新版本或补丁的功能介绍，并根据用户需求，免费为用户提供升级。</w:t>
      </w:r>
    </w:p>
    <w:p>
      <w:pPr>
        <w:spacing w:before="50" w:line="360" w:lineRule="auto"/>
        <w:ind w:firstLine="482" w:firstLineChars="200"/>
        <w:rPr>
          <w:rFonts w:ascii="宋体" w:hAnsi="宋体" w:cs="宋体"/>
          <w:sz w:val="24"/>
          <w:szCs w:val="24"/>
        </w:rPr>
      </w:pPr>
      <w:r>
        <w:rPr>
          <w:rFonts w:hint="eastAsia" w:ascii="宋体" w:hAnsi="宋体" w:cs="宋体"/>
          <w:b/>
          <w:sz w:val="24"/>
          <w:szCs w:val="24"/>
          <w:u w:val="single"/>
        </w:rPr>
        <w:t>9、长期咨询服务：</w:t>
      </w:r>
      <w:r>
        <w:rPr>
          <w:rFonts w:hint="eastAsia" w:ascii="宋体" w:hAnsi="宋体" w:cs="宋体"/>
          <w:sz w:val="24"/>
          <w:szCs w:val="24"/>
        </w:rPr>
        <w:t>我公司将长期免费为用户提供技术咨询服务，对用户提出的问题进行详细耐心的解答。</w:t>
      </w:r>
    </w:p>
    <w:p>
      <w:pPr>
        <w:spacing w:before="50" w:line="360" w:lineRule="auto"/>
        <w:ind w:firstLine="482" w:firstLineChars="200"/>
        <w:rPr>
          <w:rFonts w:ascii="宋体" w:hAnsi="宋体" w:cs="宋体"/>
          <w:b/>
          <w:color w:val="FF0000"/>
          <w:sz w:val="24"/>
          <w:szCs w:val="24"/>
        </w:rPr>
      </w:pPr>
      <w:r>
        <w:rPr>
          <w:rFonts w:hint="eastAsia" w:ascii="宋体" w:hAnsi="宋体" w:cs="宋体"/>
          <w:b/>
          <w:sz w:val="24"/>
          <w:szCs w:val="24"/>
          <w:u w:val="single"/>
        </w:rPr>
        <w:t>10、免费培训服务：</w:t>
      </w:r>
      <w:r>
        <w:rPr>
          <w:rFonts w:hint="eastAsia" w:ascii="宋体" w:hAnsi="宋体" w:cs="宋体"/>
          <w:sz w:val="24"/>
          <w:szCs w:val="24"/>
        </w:rPr>
        <w:t>设备正常运行验收后，我公司负责为用户提供不受人员限制的维护和使用操作培训，使参加培训人员能够独立熟练操作使用设备</w:t>
      </w:r>
      <w:r>
        <w:rPr>
          <w:rFonts w:hint="eastAsia" w:ascii="宋体" w:hAnsi="宋体" w:cs="宋体"/>
          <w:b/>
          <w:sz w:val="24"/>
          <w:szCs w:val="24"/>
        </w:rPr>
        <w:t>。</w:t>
      </w:r>
    </w:p>
    <w:p>
      <w:pPr>
        <w:spacing w:before="50" w:line="360" w:lineRule="auto"/>
        <w:ind w:firstLine="482" w:firstLineChars="200"/>
        <w:rPr>
          <w:rFonts w:ascii="宋体" w:hAnsi="宋体" w:cs="宋体"/>
          <w:sz w:val="24"/>
          <w:szCs w:val="24"/>
        </w:rPr>
      </w:pPr>
      <w:r>
        <w:rPr>
          <w:rFonts w:hint="eastAsia" w:ascii="宋体" w:hAnsi="宋体" w:cs="宋体"/>
          <w:b/>
          <w:sz w:val="24"/>
          <w:szCs w:val="24"/>
          <w:u w:val="single"/>
        </w:rPr>
        <w:t>11、服务响应时间</w:t>
      </w:r>
      <w:r>
        <w:rPr>
          <w:rFonts w:hint="eastAsia" w:ascii="宋体" w:hAnsi="宋体" w:cs="宋体"/>
          <w:sz w:val="24"/>
          <w:szCs w:val="24"/>
        </w:rPr>
        <w:t>：在免费维护期范围内，提供7×24小时电话热线咨询服务，对系统故障进行及时响应，采购单位提出现场响应要求后，2小时内到达现场。</w:t>
      </w:r>
    </w:p>
    <w:p>
      <w:pPr>
        <w:tabs>
          <w:tab w:val="left" w:pos="0"/>
          <w:tab w:val="left" w:pos="540"/>
        </w:tabs>
        <w:spacing w:before="50" w:line="360" w:lineRule="auto"/>
        <w:ind w:firstLine="480" w:firstLineChars="200"/>
        <w:rPr>
          <w:rFonts w:ascii="宋体" w:hAnsi="宋体" w:cs="宋体"/>
          <w:sz w:val="24"/>
          <w:szCs w:val="24"/>
        </w:rPr>
      </w:pPr>
      <w:r>
        <w:rPr>
          <w:rFonts w:hint="eastAsia" w:ascii="宋体" w:hAnsi="宋体" w:cs="宋体"/>
          <w:sz w:val="24"/>
          <w:szCs w:val="24"/>
        </w:rPr>
        <w:t>下表是我公司在技术支持上的响应分类：</w:t>
      </w:r>
    </w:p>
    <w:p>
      <w:pPr>
        <w:pStyle w:val="3"/>
      </w:pPr>
    </w:p>
    <w:tbl>
      <w:tblPr>
        <w:tblStyle w:val="6"/>
        <w:tblW w:w="9290" w:type="dxa"/>
        <w:jc w:val="center"/>
        <w:tblInd w:w="399" w:type="dxa"/>
        <w:tblLayout w:type="fixed"/>
        <w:tblCellMar>
          <w:top w:w="0" w:type="dxa"/>
          <w:left w:w="108" w:type="dxa"/>
          <w:bottom w:w="0" w:type="dxa"/>
          <w:right w:w="108" w:type="dxa"/>
        </w:tblCellMar>
      </w:tblPr>
      <w:tblGrid>
        <w:gridCol w:w="1360"/>
        <w:gridCol w:w="4604"/>
        <w:gridCol w:w="3326"/>
      </w:tblGrid>
      <w:tr>
        <w:tblPrEx>
          <w:tblLayout w:type="fixed"/>
          <w:tblCellMar>
            <w:top w:w="0" w:type="dxa"/>
            <w:left w:w="108" w:type="dxa"/>
            <w:bottom w:w="0" w:type="dxa"/>
            <w:right w:w="108" w:type="dxa"/>
          </w:tblCellMar>
        </w:tblPrEx>
        <w:trPr>
          <w:trHeight w:val="455" w:hRule="atLeast"/>
          <w:jc w:val="center"/>
        </w:trPr>
        <w:tc>
          <w:tcPr>
            <w:tcW w:w="1360"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b/>
                <w:bCs/>
                <w:sz w:val="24"/>
                <w:szCs w:val="24"/>
              </w:rPr>
            </w:pPr>
            <w:r>
              <w:rPr>
                <w:rFonts w:hint="eastAsia" w:ascii="宋体" w:hAnsi="宋体" w:cs="宋体"/>
                <w:b/>
                <w:bCs/>
                <w:sz w:val="24"/>
                <w:szCs w:val="24"/>
              </w:rPr>
              <w:t>故障级别</w:t>
            </w:r>
          </w:p>
        </w:tc>
        <w:tc>
          <w:tcPr>
            <w:tcW w:w="4604"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b/>
                <w:bCs/>
                <w:sz w:val="24"/>
                <w:szCs w:val="24"/>
              </w:rPr>
            </w:pPr>
            <w:r>
              <w:rPr>
                <w:rFonts w:hint="eastAsia" w:ascii="宋体" w:hAnsi="宋体" w:cs="宋体"/>
                <w:b/>
                <w:bCs/>
                <w:sz w:val="24"/>
                <w:szCs w:val="24"/>
              </w:rPr>
              <w:t>定  义</w:t>
            </w:r>
          </w:p>
        </w:tc>
        <w:tc>
          <w:tcPr>
            <w:tcW w:w="3326"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b/>
                <w:bCs/>
                <w:sz w:val="24"/>
                <w:szCs w:val="24"/>
              </w:rPr>
            </w:pPr>
            <w:r>
              <w:rPr>
                <w:rFonts w:hint="eastAsia" w:ascii="宋体" w:hAnsi="宋体" w:cs="宋体"/>
                <w:b/>
                <w:bCs/>
                <w:sz w:val="24"/>
                <w:szCs w:val="24"/>
              </w:rPr>
              <w:t>响应时间</w:t>
            </w:r>
          </w:p>
        </w:tc>
      </w:tr>
      <w:tr>
        <w:tblPrEx>
          <w:tblLayout w:type="fixed"/>
          <w:tblCellMar>
            <w:top w:w="0" w:type="dxa"/>
            <w:left w:w="108" w:type="dxa"/>
            <w:bottom w:w="0" w:type="dxa"/>
            <w:right w:w="108" w:type="dxa"/>
          </w:tblCellMar>
        </w:tblPrEx>
        <w:trPr>
          <w:jc w:val="center"/>
        </w:trPr>
        <w:tc>
          <w:tcPr>
            <w:tcW w:w="1360"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sz w:val="24"/>
                <w:szCs w:val="24"/>
              </w:rPr>
            </w:pPr>
            <w:r>
              <w:rPr>
                <w:rFonts w:hint="eastAsia" w:ascii="宋体" w:hAnsi="宋体" w:cs="宋体"/>
                <w:sz w:val="24"/>
                <w:szCs w:val="24"/>
              </w:rPr>
              <w:t>一级故障</w:t>
            </w:r>
          </w:p>
        </w:tc>
        <w:tc>
          <w:tcPr>
            <w:tcW w:w="4604"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sz w:val="24"/>
                <w:szCs w:val="24"/>
              </w:rPr>
            </w:pPr>
            <w:r>
              <w:rPr>
                <w:rFonts w:hint="eastAsia" w:ascii="宋体" w:hAnsi="宋体" w:cs="宋体"/>
                <w:sz w:val="24"/>
                <w:szCs w:val="24"/>
              </w:rPr>
              <w:t>主要指设备在运行中出现系统瘫痪或服务中断，导致设备的基本功能不能实现或全面退化的故障。</w:t>
            </w:r>
          </w:p>
        </w:tc>
        <w:tc>
          <w:tcPr>
            <w:tcW w:w="3326"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sz w:val="24"/>
                <w:szCs w:val="24"/>
              </w:rPr>
            </w:pPr>
            <w:r>
              <w:rPr>
                <w:rFonts w:hint="eastAsia" w:ascii="宋体" w:hAnsi="宋体" w:cs="宋体"/>
                <w:sz w:val="24"/>
                <w:szCs w:val="24"/>
              </w:rPr>
              <w:t>立即响应，5分钟内给出解决方案,30分钟内解决问题</w:t>
            </w:r>
          </w:p>
        </w:tc>
      </w:tr>
      <w:tr>
        <w:tblPrEx>
          <w:tblLayout w:type="fixed"/>
          <w:tblCellMar>
            <w:top w:w="0" w:type="dxa"/>
            <w:left w:w="108" w:type="dxa"/>
            <w:bottom w:w="0" w:type="dxa"/>
            <w:right w:w="108" w:type="dxa"/>
          </w:tblCellMar>
        </w:tblPrEx>
        <w:trPr>
          <w:jc w:val="center"/>
        </w:trPr>
        <w:tc>
          <w:tcPr>
            <w:tcW w:w="1360"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sz w:val="24"/>
                <w:szCs w:val="24"/>
              </w:rPr>
            </w:pPr>
            <w:r>
              <w:rPr>
                <w:rFonts w:hint="eastAsia" w:ascii="宋体" w:hAnsi="宋体" w:cs="宋体"/>
                <w:sz w:val="24"/>
                <w:szCs w:val="24"/>
              </w:rPr>
              <w:t>二级故障</w:t>
            </w:r>
          </w:p>
        </w:tc>
        <w:tc>
          <w:tcPr>
            <w:tcW w:w="4604"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sz w:val="24"/>
                <w:szCs w:val="24"/>
              </w:rPr>
            </w:pPr>
            <w:r>
              <w:rPr>
                <w:rFonts w:hint="eastAsia" w:ascii="宋体" w:hAnsi="宋体" w:cs="宋体"/>
                <w:sz w:val="24"/>
                <w:szCs w:val="24"/>
              </w:rPr>
              <w:t>主要指设备在运行中出现的故障具有潜在的系统瘫痪或服务中断的危险，并可能导致设备的基本功能不能实现或全面退化。</w:t>
            </w:r>
          </w:p>
        </w:tc>
        <w:tc>
          <w:tcPr>
            <w:tcW w:w="3326"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sz w:val="24"/>
                <w:szCs w:val="24"/>
              </w:rPr>
            </w:pPr>
            <w:r>
              <w:rPr>
                <w:rFonts w:hint="eastAsia" w:ascii="宋体" w:hAnsi="宋体" w:cs="宋体"/>
                <w:sz w:val="24"/>
                <w:szCs w:val="24"/>
              </w:rPr>
              <w:t>立即响应，1小时内给出解决方案。3小时内解决问题</w:t>
            </w:r>
          </w:p>
        </w:tc>
      </w:tr>
      <w:tr>
        <w:tblPrEx>
          <w:tblLayout w:type="fixed"/>
          <w:tblCellMar>
            <w:top w:w="0" w:type="dxa"/>
            <w:left w:w="108" w:type="dxa"/>
            <w:bottom w:w="0" w:type="dxa"/>
            <w:right w:w="108" w:type="dxa"/>
          </w:tblCellMar>
        </w:tblPrEx>
        <w:trPr>
          <w:jc w:val="center"/>
        </w:trPr>
        <w:tc>
          <w:tcPr>
            <w:tcW w:w="1360"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sz w:val="24"/>
                <w:szCs w:val="24"/>
              </w:rPr>
            </w:pPr>
            <w:r>
              <w:rPr>
                <w:rFonts w:hint="eastAsia" w:ascii="宋体" w:hAnsi="宋体" w:cs="宋体"/>
                <w:sz w:val="24"/>
                <w:szCs w:val="24"/>
              </w:rPr>
              <w:t>三级故障</w:t>
            </w:r>
          </w:p>
        </w:tc>
        <w:tc>
          <w:tcPr>
            <w:tcW w:w="4604"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sz w:val="24"/>
                <w:szCs w:val="24"/>
              </w:rPr>
            </w:pPr>
            <w:r>
              <w:rPr>
                <w:rFonts w:hint="eastAsia" w:ascii="宋体" w:hAnsi="宋体" w:cs="宋体"/>
                <w:sz w:val="24"/>
                <w:szCs w:val="24"/>
              </w:rPr>
              <w:t>主要指设备在运行中出现的直接影响服务，导致系统性能或服务部分退化的故障</w:t>
            </w:r>
          </w:p>
        </w:tc>
        <w:tc>
          <w:tcPr>
            <w:tcW w:w="3326" w:type="dxa"/>
            <w:tcBorders>
              <w:top w:val="single" w:color="auto" w:sz="6" w:space="0"/>
              <w:left w:val="single" w:color="auto" w:sz="6" w:space="0"/>
              <w:bottom w:val="single" w:color="auto" w:sz="6" w:space="0"/>
              <w:right w:val="single" w:color="auto" w:sz="6" w:space="0"/>
            </w:tcBorders>
            <w:noWrap/>
            <w:vAlign w:val="center"/>
          </w:tcPr>
          <w:p>
            <w:pPr>
              <w:spacing w:before="50" w:line="360" w:lineRule="auto"/>
              <w:jc w:val="center"/>
              <w:rPr>
                <w:rFonts w:ascii="宋体" w:hAnsi="宋体" w:cs="宋体"/>
                <w:sz w:val="24"/>
                <w:szCs w:val="24"/>
              </w:rPr>
            </w:pPr>
            <w:r>
              <w:rPr>
                <w:rFonts w:hint="eastAsia" w:ascii="宋体" w:hAnsi="宋体" w:cs="宋体"/>
                <w:sz w:val="24"/>
                <w:szCs w:val="24"/>
              </w:rPr>
              <w:t>立即响应，2小时内给出解决方案。4小时内解决问题</w:t>
            </w:r>
          </w:p>
        </w:tc>
      </w:tr>
    </w:tbl>
    <w:p>
      <w:pPr>
        <w:spacing w:before="50" w:line="360" w:lineRule="auto"/>
        <w:ind w:firstLine="482" w:firstLineChars="200"/>
        <w:rPr>
          <w:rFonts w:ascii="宋体" w:hAnsi="宋体" w:cs="宋体"/>
          <w:sz w:val="24"/>
          <w:szCs w:val="24"/>
        </w:rPr>
      </w:pPr>
      <w:r>
        <w:rPr>
          <w:rFonts w:hint="eastAsia" w:ascii="宋体" w:hAnsi="宋体" w:cs="宋体"/>
          <w:b/>
          <w:sz w:val="24"/>
          <w:szCs w:val="24"/>
          <w:u w:val="single"/>
        </w:rPr>
        <w:t>12、到达现场时间</w:t>
      </w:r>
      <w:r>
        <w:rPr>
          <w:rFonts w:hint="eastAsia" w:ascii="宋体" w:hAnsi="宋体" w:cs="宋体"/>
          <w:b/>
          <w:sz w:val="24"/>
          <w:szCs w:val="24"/>
        </w:rPr>
        <w:t>：</w:t>
      </w:r>
      <w:r>
        <w:rPr>
          <w:rFonts w:hint="eastAsia" w:ascii="宋体" w:hAnsi="宋体" w:cs="宋体"/>
          <w:sz w:val="24"/>
          <w:szCs w:val="24"/>
        </w:rPr>
        <w:t>1小时内到达用户现场。</w:t>
      </w:r>
    </w:p>
    <w:p>
      <w:pPr>
        <w:spacing w:before="50" w:line="360" w:lineRule="auto"/>
        <w:ind w:firstLine="482" w:firstLineChars="200"/>
        <w:rPr>
          <w:rFonts w:ascii="宋体" w:hAnsi="宋体" w:cs="宋体"/>
          <w:sz w:val="24"/>
          <w:szCs w:val="24"/>
        </w:rPr>
      </w:pPr>
      <w:r>
        <w:rPr>
          <w:rFonts w:hint="eastAsia" w:ascii="宋体" w:hAnsi="宋体" w:cs="宋体"/>
          <w:b/>
          <w:sz w:val="24"/>
          <w:szCs w:val="24"/>
          <w:u w:val="single"/>
        </w:rPr>
        <w:t>13、故障解决质量</w:t>
      </w:r>
      <w:r>
        <w:rPr>
          <w:rFonts w:hint="eastAsia" w:ascii="宋体" w:hAnsi="宋体" w:cs="宋体"/>
          <w:sz w:val="24"/>
          <w:szCs w:val="24"/>
        </w:rPr>
        <w:t>：一般性故障30分钟内解决问题，较为严重故障3小时内解决问题，最为严重故障因设备损坏在在4小时内仍无法排除，我公司在24小时内可协调备用设备供用户使用，直到故障设备修复。</w:t>
      </w:r>
    </w:p>
    <w:p>
      <w:pPr>
        <w:numPr>
          <w:ilvl w:val="0"/>
          <w:numId w:val="2"/>
        </w:numPr>
        <w:spacing w:beforeLines="50" w:line="360" w:lineRule="auto"/>
        <w:ind w:left="0" w:firstLine="482" w:firstLineChars="200"/>
        <w:rPr>
          <w:rFonts w:ascii="宋体" w:hAnsi="宋体" w:cs="宋体"/>
          <w:b/>
          <w:sz w:val="24"/>
          <w:szCs w:val="24"/>
        </w:rPr>
      </w:pPr>
      <w:r>
        <w:rPr>
          <w:rFonts w:hint="eastAsia" w:ascii="宋体" w:hAnsi="宋体" w:cs="宋体"/>
          <w:b/>
          <w:sz w:val="24"/>
          <w:szCs w:val="24"/>
        </w:rPr>
        <w:t>售后服务实力</w:t>
      </w:r>
    </w:p>
    <w:p>
      <w:pPr>
        <w:spacing w:beforeLines="50" w:line="360" w:lineRule="auto"/>
        <w:ind w:firstLine="480" w:firstLineChars="200"/>
        <w:rPr>
          <w:rFonts w:ascii="宋体" w:hAnsi="宋体" w:cs="宋体"/>
          <w:sz w:val="24"/>
          <w:szCs w:val="24"/>
        </w:rPr>
      </w:pPr>
      <w:r>
        <w:rPr>
          <w:rFonts w:hint="eastAsia" w:ascii="宋体" w:hAnsi="宋体" w:cs="宋体"/>
          <w:sz w:val="24"/>
          <w:szCs w:val="24"/>
        </w:rPr>
        <w:t>我公司有4名经验丰富的拥有信息产业主管机关认证的项目经理，2名通过严格培训考核的高级项目经理人员；在业务方面我公司拥有一个庞大友好的客户群体，遍及公检法司、政府、税务、教育、保险、卫生、烟草等各个行业。雄厚的技术实力和成功的业绩为公司以后的发展奠定了坚实的基础。</w:t>
      </w:r>
    </w:p>
    <w:p>
      <w:pPr>
        <w:pStyle w:val="2"/>
        <w:rPr>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lvl w:ilvl="0" w:tentative="0">
      <w:start w:val="1"/>
      <w:numFmt w:val="decimal"/>
      <w:lvlText w:val="%1"/>
      <w:lvlJc w:val="left"/>
      <w:pPr>
        <w:ind w:left="432" w:hanging="432"/>
      </w:pPr>
    </w:lvl>
    <w:lvl w:ilvl="1" w:tentative="0">
      <w:start w:val="1"/>
      <w:numFmt w:val="decimal"/>
      <w:pStyle w:val="5"/>
      <w:lvlText w:val="%1.%2"/>
      <w:lvlJc w:val="left"/>
      <w:pPr>
        <w:ind w:left="576" w:hanging="576"/>
      </w:pPr>
    </w:lvl>
    <w:lvl w:ilvl="2" w:tentative="0">
      <w:start w:val="1"/>
      <w:numFmt w:val="decimal"/>
      <w:lvlText w:val="%1.%2.%3"/>
      <w:lvlJc w:val="left"/>
      <w:pPr>
        <w:ind w:left="1429"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61AC56B5"/>
    <w:multiLevelType w:val="multilevel"/>
    <w:tmpl w:val="61AC56B5"/>
    <w:lvl w:ilvl="0" w:tentative="0">
      <w:start w:val="1"/>
      <w:numFmt w:val="bullet"/>
      <w:lvlText w:val=""/>
      <w:lvlJc w:val="left"/>
      <w:pPr>
        <w:ind w:left="900" w:hanging="420"/>
      </w:pPr>
      <w:rPr>
        <w:rFonts w:hint="default" w:ascii="Wingdings" w:hAnsi="Wingdings" w:cs="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EB0CEF"/>
    <w:rsid w:val="63EB0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
    <w:pPr>
      <w:keepNext/>
      <w:keepLines/>
      <w:spacing w:line="576" w:lineRule="auto"/>
      <w:outlineLvl w:val="0"/>
    </w:pPr>
    <w:rPr>
      <w:b/>
      <w:kern w:val="44"/>
      <w:sz w:val="44"/>
    </w:rPr>
  </w:style>
  <w:style w:type="paragraph" w:styleId="5">
    <w:name w:val="heading 2"/>
    <w:basedOn w:val="1"/>
    <w:next w:val="1"/>
    <w:qFormat/>
    <w:uiPriority w:val="0"/>
    <w:pPr>
      <w:keepNext/>
      <w:keepLines/>
      <w:numPr>
        <w:ilvl w:val="1"/>
        <w:numId w:val="1"/>
      </w:numPr>
      <w:spacing w:line="413" w:lineRule="auto"/>
      <w:outlineLvl w:val="1"/>
    </w:pPr>
    <w:rPr>
      <w:rFonts w:ascii="Cambria" w:hAnsi="Cambria" w:eastAsia="楷体"/>
      <w:b/>
      <w:bCs/>
      <w:sz w:val="32"/>
      <w:szCs w:val="32"/>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2019-08-13T01:40:00Z</dcterms:created>
  <dc:creator>A海康威视专业监控管家</dc:creator>
  <cp:lastModifiedBy>A海康威视专业监控管家</cp:lastModifiedBy>
  <dcterms:modified xsi:type="dcterms:W3CDTF">2019-08-13T01:45:16Z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