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宋体" w:hAnsi="宋体" w:eastAsia="宋体" w:cs="宋体"/>
        </w:rPr>
      </w:pPr>
      <w:r>
        <w:rPr>
          <w:rFonts w:hint="eastAsia" w:ascii="宋体" w:hAnsi="宋体" w:eastAsia="宋体" w:cs="宋体"/>
        </w:rPr>
        <w:t>4.5售后服务方案</w:t>
      </w:r>
    </w:p>
    <w:p>
      <w:pPr>
        <w:pStyle w:val="3"/>
        <w:rPr>
          <w:rFonts w:ascii="宋体" w:hAnsi="宋体" w:cs="宋体"/>
          <w:sz w:val="21"/>
          <w:szCs w:val="21"/>
        </w:rPr>
      </w:pPr>
      <w:bookmarkStart w:id="0" w:name="_Toc25743"/>
      <w:r>
        <w:rPr>
          <w:rFonts w:hint="eastAsia" w:ascii="宋体" w:hAnsi="宋体" w:cs="宋体"/>
          <w:sz w:val="21"/>
          <w:szCs w:val="21"/>
        </w:rPr>
        <w:t>4.5.1质保期</w:t>
      </w:r>
      <w:bookmarkEnd w:id="0"/>
    </w:p>
    <w:p>
      <w:pPr>
        <w:rPr>
          <w:rFonts w:ascii="宋体" w:hAnsi="宋体" w:cs="宋体"/>
          <w:szCs w:val="21"/>
        </w:rPr>
      </w:pPr>
      <w:r>
        <w:rPr>
          <w:rFonts w:hint="eastAsia" w:ascii="宋体" w:hAnsi="宋体" w:cs="宋体"/>
          <w:szCs w:val="21"/>
        </w:rPr>
        <w:t>承诺免费质保期4年</w:t>
      </w:r>
    </w:p>
    <w:p>
      <w:pPr>
        <w:pStyle w:val="3"/>
        <w:rPr>
          <w:rFonts w:ascii="宋体" w:hAnsi="宋体" w:cs="宋体"/>
          <w:sz w:val="21"/>
          <w:szCs w:val="21"/>
        </w:rPr>
      </w:pPr>
      <w:bookmarkStart w:id="1" w:name="_Toc17799"/>
      <w:r>
        <w:rPr>
          <w:rFonts w:hint="eastAsia" w:ascii="宋体" w:hAnsi="宋体" w:cs="宋体"/>
          <w:sz w:val="21"/>
          <w:szCs w:val="21"/>
        </w:rPr>
        <w:t>4.5.2售后服务保障体系</w:t>
      </w:r>
      <w:bookmarkEnd w:id="1"/>
    </w:p>
    <w:p>
      <w:pPr>
        <w:autoSpaceDE w:val="0"/>
        <w:autoSpaceDN w:val="0"/>
        <w:ind w:firstLine="420" w:firstLineChars="200"/>
        <w:jc w:val="left"/>
        <w:rPr>
          <w:rFonts w:ascii="宋体" w:hAnsi="宋体" w:cs="宋体"/>
          <w:szCs w:val="21"/>
        </w:rPr>
      </w:pPr>
      <w:r>
        <w:rPr>
          <w:rFonts w:hint="eastAsia" w:ascii="宋体" w:hAnsi="宋体" w:cs="宋体"/>
          <w:szCs w:val="21"/>
        </w:rPr>
        <w:t>1）维保组织机构</w:t>
      </w:r>
    </w:p>
    <w:p>
      <w:pPr>
        <w:autoSpaceDE w:val="0"/>
        <w:autoSpaceDN w:val="0"/>
        <w:ind w:firstLine="420" w:firstLineChars="200"/>
        <w:jc w:val="left"/>
        <w:rPr>
          <w:rFonts w:ascii="宋体" w:hAnsi="宋体" w:cs="宋体"/>
          <w:kern w:val="0"/>
          <w:szCs w:val="21"/>
        </w:rPr>
      </w:pPr>
      <w:r>
        <w:rPr>
          <w:rFonts w:hint="eastAsia" w:ascii="宋体" w:hAnsi="宋体" w:cs="宋体"/>
          <w:kern w:val="0"/>
          <w:szCs w:val="21"/>
        </w:rPr>
        <w:t>工程回访和维修服务亦是整个工程质量的延续，在工程竣工交付使用后，应调查掌握工程质量情况，了解业主的需求，及时解决发现的质量问题，做好竣工后的服务工作。</w:t>
      </w:r>
    </w:p>
    <w:p>
      <w:pPr>
        <w:autoSpaceDE w:val="0"/>
        <w:autoSpaceDN w:val="0"/>
        <w:ind w:firstLine="420" w:firstLineChars="200"/>
        <w:jc w:val="left"/>
        <w:rPr>
          <w:rFonts w:ascii="宋体" w:hAnsi="宋体" w:cs="宋体"/>
          <w:kern w:val="0"/>
          <w:szCs w:val="21"/>
        </w:rPr>
      </w:pPr>
      <w:r>
        <w:rPr>
          <w:rFonts w:hint="eastAsia" w:ascii="宋体" w:hAnsi="宋体" w:cs="宋体"/>
          <w:kern w:val="0"/>
          <w:szCs w:val="21"/>
        </w:rPr>
        <w:t>工程竣工前两周由项目部挑选一批责任心强、熟悉现场、技术过硬的人员组成维保小组，在维修保养期内，维保小组组长、组员实行24小时通讯开启制，小组所有成员统一着装，现场实行日、夜两班倒，全力保障本系统专业工程的正常运行。</w:t>
      </w:r>
    </w:p>
    <w:p>
      <w:pPr>
        <w:pStyle w:val="3"/>
        <w:rPr>
          <w:rFonts w:ascii="宋体" w:hAnsi="宋体" w:cs="宋体"/>
          <w:sz w:val="21"/>
          <w:szCs w:val="21"/>
        </w:rPr>
      </w:pPr>
      <w:bookmarkStart w:id="2" w:name="_Toc3480"/>
      <w:r>
        <w:rPr>
          <w:rFonts w:hint="eastAsia" w:ascii="宋体" w:hAnsi="宋体" w:cs="宋体"/>
          <w:sz w:val="21"/>
          <w:szCs w:val="21"/>
        </w:rPr>
        <w:t>4.5.3维保制度</w:t>
      </w:r>
      <w:bookmarkEnd w:id="2"/>
    </w:p>
    <w:p>
      <w:pPr>
        <w:autoSpaceDE w:val="0"/>
        <w:autoSpaceDN w:val="0"/>
        <w:ind w:firstLine="420" w:firstLineChars="200"/>
        <w:jc w:val="left"/>
        <w:rPr>
          <w:rFonts w:ascii="宋体" w:hAnsi="宋体" w:cs="宋体"/>
          <w:szCs w:val="21"/>
        </w:rPr>
      </w:pPr>
      <w:r>
        <w:rPr>
          <w:rFonts w:hint="eastAsia" w:ascii="宋体" w:hAnsi="宋体" w:cs="宋体"/>
          <w:szCs w:val="21"/>
        </w:rPr>
        <w:t>工程竣工验收前，我单位与业主签定《工程质量保修书》，同时向业主报送保修期内专职保修人员的姓名、专业职称、分工和专用联系电话，保持与业主的有效联络。</w:t>
      </w:r>
    </w:p>
    <w:p>
      <w:pPr>
        <w:autoSpaceDE w:val="0"/>
        <w:autoSpaceDN w:val="0"/>
        <w:ind w:firstLine="420" w:firstLineChars="200"/>
        <w:jc w:val="left"/>
        <w:rPr>
          <w:rFonts w:ascii="宋体" w:hAnsi="宋体" w:cs="宋体"/>
          <w:szCs w:val="21"/>
        </w:rPr>
      </w:pPr>
      <w:r>
        <w:rPr>
          <w:rFonts w:hint="eastAsia" w:ascii="宋体" w:hAnsi="宋体" w:cs="宋体"/>
          <w:szCs w:val="21"/>
        </w:rPr>
        <w:t>在质量保修期，业主发现质量缺陷的，可及时通知我单位修正，我单位将在收到通知按保修书规定时间派人员组织维修，发生紧急抢修事故的，我单位在接到通知后立即派留守人员到达事故现场安排抢修。</w:t>
      </w:r>
    </w:p>
    <w:p>
      <w:pPr>
        <w:autoSpaceDE w:val="0"/>
        <w:autoSpaceDN w:val="0"/>
        <w:ind w:firstLine="420" w:firstLineChars="200"/>
        <w:jc w:val="left"/>
        <w:rPr>
          <w:rFonts w:ascii="宋体" w:hAnsi="宋体" w:cs="宋体"/>
          <w:szCs w:val="21"/>
        </w:rPr>
      </w:pPr>
      <w:r>
        <w:rPr>
          <w:rFonts w:hint="eastAsia" w:ascii="宋体" w:hAnsi="宋体" w:cs="宋体"/>
          <w:szCs w:val="21"/>
        </w:rPr>
        <w:t>我单位</w:t>
      </w:r>
      <w:r>
        <w:rPr>
          <w:rFonts w:hint="eastAsia" w:ascii="宋体" w:hAnsi="宋体" w:cs="宋体"/>
          <w:kern w:val="0"/>
          <w:szCs w:val="21"/>
        </w:rPr>
        <w:t>生产安全</w:t>
      </w:r>
      <w:r>
        <w:rPr>
          <w:rFonts w:hint="eastAsia" w:ascii="宋体" w:hAnsi="宋体" w:cs="宋体"/>
          <w:szCs w:val="21"/>
        </w:rPr>
        <w:t>部将针对本工程建立专项保修服务档案，具体实施本工程质量跟踪、服务和保修工作。</w:t>
      </w:r>
    </w:p>
    <w:p>
      <w:pPr>
        <w:autoSpaceDE w:val="0"/>
        <w:autoSpaceDN w:val="0"/>
        <w:ind w:firstLine="420" w:firstLineChars="200"/>
        <w:jc w:val="left"/>
        <w:rPr>
          <w:rFonts w:ascii="宋体" w:hAnsi="宋体" w:cs="宋体"/>
          <w:szCs w:val="21"/>
        </w:rPr>
      </w:pPr>
      <w:r>
        <w:rPr>
          <w:rFonts w:hint="eastAsia" w:ascii="宋体" w:hAnsi="宋体" w:cs="宋体"/>
          <w:szCs w:val="21"/>
        </w:rPr>
        <w:t>保修工作以业主满意为原则。</w:t>
      </w:r>
    </w:p>
    <w:p>
      <w:pPr>
        <w:pStyle w:val="3"/>
        <w:rPr>
          <w:rFonts w:ascii="宋体" w:hAnsi="宋体" w:cs="宋体"/>
          <w:sz w:val="21"/>
          <w:szCs w:val="21"/>
        </w:rPr>
      </w:pPr>
      <w:bookmarkStart w:id="3" w:name="_Toc31659"/>
      <w:r>
        <w:rPr>
          <w:rFonts w:hint="eastAsia" w:ascii="宋体" w:hAnsi="宋体" w:cs="宋体"/>
          <w:sz w:val="21"/>
          <w:szCs w:val="21"/>
        </w:rPr>
        <w:t>4.5.4服务内容</w:t>
      </w:r>
      <w:bookmarkEnd w:id="3"/>
    </w:p>
    <w:p>
      <w:pPr>
        <w:autoSpaceDE w:val="0"/>
        <w:autoSpaceDN w:val="0"/>
        <w:jc w:val="left"/>
        <w:rPr>
          <w:rFonts w:ascii="宋体" w:hAnsi="宋体" w:cs="宋体"/>
          <w:kern w:val="0"/>
          <w:szCs w:val="21"/>
        </w:rPr>
      </w:pPr>
      <w:r>
        <w:rPr>
          <w:rFonts w:hint="eastAsia" w:ascii="宋体" w:hAnsi="宋体" w:cs="宋体"/>
          <w:kern w:val="0"/>
          <w:szCs w:val="21"/>
        </w:rPr>
        <w:t>（1）为保持系统的正常运作，如有需要时须对设备的组件进行维修或更换工作，包括：提供材料、一般性消耗件、清洁剂及劳务等。</w:t>
      </w:r>
    </w:p>
    <w:p>
      <w:pPr>
        <w:autoSpaceDE w:val="0"/>
        <w:autoSpaceDN w:val="0"/>
        <w:jc w:val="left"/>
        <w:rPr>
          <w:rFonts w:ascii="宋体" w:hAnsi="宋体" w:cs="宋体"/>
          <w:kern w:val="0"/>
          <w:szCs w:val="21"/>
        </w:rPr>
      </w:pPr>
      <w:r>
        <w:rPr>
          <w:rFonts w:hint="eastAsia" w:ascii="宋体" w:hAnsi="宋体" w:cs="宋体"/>
          <w:kern w:val="0"/>
          <w:szCs w:val="21"/>
        </w:rPr>
        <w:t>（2）提供维修保养记录，并把记录书放置于适当地点，以便业主工作人员随时查阅有关设备的维修保养、安排更换次数、检查及维修日期等纪录。</w:t>
      </w:r>
    </w:p>
    <w:p>
      <w:pPr>
        <w:autoSpaceDE w:val="0"/>
        <w:autoSpaceDN w:val="0"/>
        <w:jc w:val="left"/>
        <w:rPr>
          <w:rFonts w:ascii="宋体" w:hAnsi="宋体" w:cs="宋体"/>
          <w:kern w:val="0"/>
          <w:szCs w:val="21"/>
        </w:rPr>
      </w:pPr>
      <w:r>
        <w:rPr>
          <w:rFonts w:hint="eastAsia" w:ascii="宋体" w:hAnsi="宋体" w:cs="宋体"/>
          <w:kern w:val="0"/>
          <w:szCs w:val="21"/>
        </w:rPr>
        <w:t>（3）按照以下要求对系统装置提供定期维修及检查</w:t>
      </w:r>
    </w:p>
    <w:tbl>
      <w:tblPr>
        <w:tblStyle w:val="7"/>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7"/>
        <w:gridCol w:w="1269"/>
        <w:gridCol w:w="65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657" w:type="dxa"/>
          </w:tcPr>
          <w:p>
            <w:pPr>
              <w:autoSpaceDE w:val="0"/>
              <w:autoSpaceDN w:val="0"/>
              <w:jc w:val="center"/>
              <w:rPr>
                <w:rFonts w:ascii="宋体" w:hAnsi="宋体" w:cs="宋体"/>
                <w:szCs w:val="21"/>
              </w:rPr>
            </w:pPr>
            <w:r>
              <w:rPr>
                <w:rFonts w:hint="eastAsia" w:ascii="宋体" w:hAnsi="宋体" w:cs="宋体"/>
                <w:szCs w:val="21"/>
              </w:rPr>
              <w:t>序号</w:t>
            </w:r>
          </w:p>
        </w:tc>
        <w:tc>
          <w:tcPr>
            <w:tcW w:w="1269" w:type="dxa"/>
          </w:tcPr>
          <w:p>
            <w:pPr>
              <w:autoSpaceDE w:val="0"/>
              <w:autoSpaceDN w:val="0"/>
              <w:jc w:val="center"/>
              <w:rPr>
                <w:rFonts w:ascii="宋体" w:hAnsi="宋体" w:cs="宋体"/>
                <w:szCs w:val="21"/>
              </w:rPr>
            </w:pPr>
            <w:r>
              <w:rPr>
                <w:rFonts w:hint="eastAsia" w:ascii="宋体" w:hAnsi="宋体" w:cs="宋体"/>
                <w:szCs w:val="21"/>
              </w:rPr>
              <w:t>项目</w:t>
            </w:r>
          </w:p>
        </w:tc>
        <w:tc>
          <w:tcPr>
            <w:tcW w:w="6596" w:type="dxa"/>
          </w:tcPr>
          <w:p>
            <w:pPr>
              <w:autoSpaceDE w:val="0"/>
              <w:autoSpaceDN w:val="0"/>
              <w:jc w:val="center"/>
              <w:rPr>
                <w:rFonts w:ascii="宋体" w:hAnsi="宋体" w:cs="宋体"/>
                <w:szCs w:val="21"/>
              </w:rPr>
            </w:pPr>
            <w:r>
              <w:rPr>
                <w:rFonts w:hint="eastAsia" w:ascii="宋体" w:hAnsi="宋体" w:cs="宋体"/>
                <w:szCs w:val="21"/>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97" w:hRule="atLeast"/>
          <w:jc w:val="center"/>
        </w:trPr>
        <w:tc>
          <w:tcPr>
            <w:tcW w:w="657" w:type="dxa"/>
            <w:vAlign w:val="center"/>
          </w:tcPr>
          <w:p>
            <w:pPr>
              <w:autoSpaceDE w:val="0"/>
              <w:autoSpaceDN w:val="0"/>
              <w:jc w:val="center"/>
              <w:rPr>
                <w:rFonts w:ascii="宋体" w:hAnsi="宋体" w:cs="宋体"/>
                <w:szCs w:val="21"/>
              </w:rPr>
            </w:pPr>
            <w:r>
              <w:rPr>
                <w:rFonts w:hint="eastAsia" w:ascii="宋体" w:hAnsi="宋体" w:cs="宋体"/>
                <w:szCs w:val="21"/>
              </w:rPr>
              <w:t>1</w:t>
            </w:r>
          </w:p>
        </w:tc>
        <w:tc>
          <w:tcPr>
            <w:tcW w:w="1269" w:type="dxa"/>
            <w:vAlign w:val="center"/>
          </w:tcPr>
          <w:p>
            <w:pPr>
              <w:autoSpaceDE w:val="0"/>
              <w:autoSpaceDN w:val="0"/>
              <w:rPr>
                <w:rFonts w:ascii="宋体" w:hAnsi="宋体" w:cs="宋体"/>
                <w:szCs w:val="21"/>
              </w:rPr>
            </w:pPr>
            <w:r>
              <w:rPr>
                <w:rFonts w:hint="eastAsia" w:ascii="宋体" w:hAnsi="宋体" w:cs="宋体"/>
                <w:kern w:val="0"/>
                <w:szCs w:val="21"/>
              </w:rPr>
              <w:t>每月的维修检查</w:t>
            </w:r>
          </w:p>
        </w:tc>
        <w:tc>
          <w:tcPr>
            <w:tcW w:w="6596" w:type="dxa"/>
            <w:vAlign w:val="center"/>
          </w:tcPr>
          <w:p>
            <w:pPr>
              <w:autoSpaceDE w:val="0"/>
              <w:autoSpaceDN w:val="0"/>
              <w:jc w:val="left"/>
              <w:rPr>
                <w:rFonts w:ascii="宋体" w:hAnsi="宋体" w:cs="宋体"/>
                <w:kern w:val="0"/>
                <w:szCs w:val="21"/>
              </w:rPr>
            </w:pPr>
            <w:r>
              <w:rPr>
                <w:rFonts w:hint="eastAsia" w:ascii="宋体" w:hAnsi="宋体" w:cs="宋体"/>
                <w:kern w:val="0"/>
                <w:szCs w:val="21"/>
              </w:rPr>
              <w:t>对所有系统设备进行例行检查，以保证系统运作正常；清理所有主要设备；调试所有设备；替换所有不正常的弱电设备。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68" w:hRule="atLeast"/>
          <w:jc w:val="center"/>
        </w:trPr>
        <w:tc>
          <w:tcPr>
            <w:tcW w:w="657" w:type="dxa"/>
            <w:vAlign w:val="center"/>
          </w:tcPr>
          <w:p>
            <w:pPr>
              <w:autoSpaceDE w:val="0"/>
              <w:autoSpaceDN w:val="0"/>
              <w:jc w:val="center"/>
              <w:rPr>
                <w:rFonts w:ascii="宋体" w:hAnsi="宋体" w:cs="宋体"/>
                <w:szCs w:val="21"/>
              </w:rPr>
            </w:pPr>
            <w:r>
              <w:rPr>
                <w:rFonts w:hint="eastAsia" w:ascii="宋体" w:hAnsi="宋体" w:cs="宋体"/>
                <w:szCs w:val="21"/>
              </w:rPr>
              <w:t>2</w:t>
            </w:r>
          </w:p>
        </w:tc>
        <w:tc>
          <w:tcPr>
            <w:tcW w:w="1269" w:type="dxa"/>
            <w:vAlign w:val="center"/>
          </w:tcPr>
          <w:p>
            <w:pPr>
              <w:autoSpaceDE w:val="0"/>
              <w:autoSpaceDN w:val="0"/>
              <w:rPr>
                <w:rFonts w:ascii="宋体" w:hAnsi="宋体" w:cs="宋体"/>
                <w:szCs w:val="21"/>
              </w:rPr>
            </w:pPr>
            <w:r>
              <w:rPr>
                <w:rFonts w:hint="eastAsia" w:ascii="宋体" w:hAnsi="宋体" w:cs="宋体"/>
                <w:kern w:val="0"/>
                <w:szCs w:val="21"/>
              </w:rPr>
              <w:t>每季的维修检查</w:t>
            </w:r>
          </w:p>
        </w:tc>
        <w:tc>
          <w:tcPr>
            <w:tcW w:w="6596" w:type="dxa"/>
            <w:vAlign w:val="center"/>
          </w:tcPr>
          <w:p>
            <w:pPr>
              <w:autoSpaceDE w:val="0"/>
              <w:autoSpaceDN w:val="0"/>
              <w:jc w:val="left"/>
              <w:rPr>
                <w:rFonts w:ascii="宋体" w:hAnsi="宋体" w:cs="宋体"/>
                <w:kern w:val="0"/>
                <w:szCs w:val="21"/>
              </w:rPr>
            </w:pPr>
            <w:r>
              <w:rPr>
                <w:rFonts w:hint="eastAsia" w:ascii="宋体" w:hAnsi="宋体" w:cs="宋体"/>
                <w:kern w:val="0"/>
                <w:szCs w:val="21"/>
              </w:rPr>
              <w:t>清理及润滑有关的设备配件；清理所有主要设备；检查所有的仪器是否正常；例行每月的维修检查内容。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00" w:hRule="atLeast"/>
          <w:jc w:val="center"/>
        </w:trPr>
        <w:tc>
          <w:tcPr>
            <w:tcW w:w="657" w:type="dxa"/>
            <w:vAlign w:val="center"/>
          </w:tcPr>
          <w:p>
            <w:pPr>
              <w:autoSpaceDE w:val="0"/>
              <w:autoSpaceDN w:val="0"/>
              <w:jc w:val="center"/>
              <w:rPr>
                <w:rFonts w:ascii="宋体" w:hAnsi="宋体" w:cs="宋体"/>
                <w:szCs w:val="21"/>
              </w:rPr>
            </w:pPr>
            <w:r>
              <w:rPr>
                <w:rFonts w:hint="eastAsia" w:ascii="宋体" w:hAnsi="宋体" w:cs="宋体"/>
                <w:szCs w:val="21"/>
              </w:rPr>
              <w:t>3</w:t>
            </w:r>
          </w:p>
        </w:tc>
        <w:tc>
          <w:tcPr>
            <w:tcW w:w="1269" w:type="dxa"/>
            <w:vAlign w:val="center"/>
          </w:tcPr>
          <w:p>
            <w:pPr>
              <w:autoSpaceDE w:val="0"/>
              <w:autoSpaceDN w:val="0"/>
              <w:rPr>
                <w:rFonts w:ascii="宋体" w:hAnsi="宋体" w:cs="宋体"/>
                <w:szCs w:val="21"/>
              </w:rPr>
            </w:pPr>
            <w:r>
              <w:rPr>
                <w:rFonts w:hint="eastAsia" w:ascii="宋体" w:hAnsi="宋体" w:cs="宋体"/>
                <w:kern w:val="0"/>
                <w:szCs w:val="21"/>
              </w:rPr>
              <w:t>半年维修检查</w:t>
            </w:r>
          </w:p>
        </w:tc>
        <w:tc>
          <w:tcPr>
            <w:tcW w:w="6596" w:type="dxa"/>
            <w:vAlign w:val="center"/>
          </w:tcPr>
          <w:p>
            <w:pPr>
              <w:autoSpaceDE w:val="0"/>
              <w:autoSpaceDN w:val="0"/>
              <w:rPr>
                <w:rFonts w:ascii="宋体" w:hAnsi="宋体" w:cs="宋体"/>
                <w:szCs w:val="21"/>
              </w:rPr>
            </w:pPr>
            <w:r>
              <w:rPr>
                <w:rFonts w:hint="eastAsia" w:ascii="宋体" w:hAnsi="宋体" w:cs="宋体"/>
                <w:kern w:val="0"/>
                <w:szCs w:val="21"/>
              </w:rPr>
              <w:t>检查有关设备；更换及维修设备不正常的配件；例行每月每季的维修检查内容。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69" w:hRule="atLeast"/>
          <w:jc w:val="center"/>
        </w:trPr>
        <w:tc>
          <w:tcPr>
            <w:tcW w:w="657" w:type="dxa"/>
            <w:vAlign w:val="center"/>
          </w:tcPr>
          <w:p>
            <w:pPr>
              <w:autoSpaceDE w:val="0"/>
              <w:autoSpaceDN w:val="0"/>
              <w:jc w:val="center"/>
              <w:rPr>
                <w:rFonts w:ascii="宋体" w:hAnsi="宋体" w:cs="宋体"/>
                <w:szCs w:val="21"/>
              </w:rPr>
            </w:pPr>
            <w:r>
              <w:rPr>
                <w:rFonts w:hint="eastAsia" w:ascii="宋体" w:hAnsi="宋体" w:cs="宋体"/>
                <w:szCs w:val="21"/>
              </w:rPr>
              <w:t>4</w:t>
            </w:r>
          </w:p>
        </w:tc>
        <w:tc>
          <w:tcPr>
            <w:tcW w:w="1269" w:type="dxa"/>
            <w:vAlign w:val="center"/>
          </w:tcPr>
          <w:p>
            <w:pPr>
              <w:autoSpaceDE w:val="0"/>
              <w:autoSpaceDN w:val="0"/>
              <w:rPr>
                <w:rFonts w:ascii="宋体" w:hAnsi="宋体" w:cs="宋体"/>
                <w:kern w:val="0"/>
                <w:szCs w:val="21"/>
              </w:rPr>
            </w:pPr>
            <w:r>
              <w:rPr>
                <w:rFonts w:hint="eastAsia" w:ascii="宋体" w:hAnsi="宋体" w:cs="宋体"/>
                <w:kern w:val="0"/>
                <w:szCs w:val="21"/>
              </w:rPr>
              <w:t>年终维修检查</w:t>
            </w:r>
          </w:p>
        </w:tc>
        <w:tc>
          <w:tcPr>
            <w:tcW w:w="6596" w:type="dxa"/>
            <w:vAlign w:val="center"/>
          </w:tcPr>
          <w:p>
            <w:pPr>
              <w:autoSpaceDE w:val="0"/>
              <w:autoSpaceDN w:val="0"/>
              <w:jc w:val="left"/>
              <w:rPr>
                <w:rFonts w:ascii="宋体" w:hAnsi="宋体" w:cs="宋体"/>
                <w:kern w:val="0"/>
                <w:szCs w:val="21"/>
              </w:rPr>
            </w:pPr>
            <w:r>
              <w:rPr>
                <w:rFonts w:hint="eastAsia" w:ascii="宋体" w:hAnsi="宋体" w:cs="宋体"/>
                <w:kern w:val="0"/>
                <w:szCs w:val="21"/>
              </w:rPr>
              <w:t>检查及调校所有系统/设备以保证系统能按照制造厂的标准运行；例行每月每季每半年的维修检查内容。</w:t>
            </w:r>
          </w:p>
        </w:tc>
      </w:tr>
    </w:tbl>
    <w:p>
      <w:pPr>
        <w:autoSpaceDE w:val="0"/>
        <w:autoSpaceDN w:val="0"/>
        <w:jc w:val="left"/>
        <w:rPr>
          <w:rFonts w:ascii="宋体" w:hAnsi="宋体" w:cs="宋体"/>
          <w:kern w:val="0"/>
          <w:szCs w:val="21"/>
        </w:rPr>
      </w:pPr>
      <w:r>
        <w:rPr>
          <w:rFonts w:hint="eastAsia" w:ascii="宋体" w:hAnsi="宋体" w:cs="宋体"/>
          <w:kern w:val="0"/>
          <w:szCs w:val="21"/>
        </w:rPr>
        <w:t>（4）在工程竣工后系统交付业主使用的最初2个月内，项目部维修组负责提供每周一次的维修检查，检查内容同每月之维修检查内容一致，使系统达至正常完满的运作。</w:t>
      </w:r>
    </w:p>
    <w:p>
      <w:pPr>
        <w:autoSpaceDE w:val="0"/>
        <w:autoSpaceDN w:val="0"/>
        <w:jc w:val="left"/>
        <w:rPr>
          <w:rFonts w:ascii="宋体" w:hAnsi="宋体" w:cs="宋体"/>
          <w:kern w:val="0"/>
          <w:szCs w:val="21"/>
        </w:rPr>
      </w:pPr>
      <w:r>
        <w:rPr>
          <w:rFonts w:hint="eastAsia" w:ascii="宋体" w:hAnsi="宋体" w:cs="宋体"/>
          <w:kern w:val="0"/>
          <w:szCs w:val="21"/>
        </w:rPr>
        <w:t>（5）项目部维修组在维修保养期间对系统和设备作出适当保护，并在缺陷保修期满前，按需要将有关装置翻新上漆，使设备装置看似新装一样才作正式完成本合同责任。</w:t>
      </w:r>
    </w:p>
    <w:p>
      <w:pPr>
        <w:autoSpaceDE w:val="0"/>
        <w:autoSpaceDN w:val="0"/>
        <w:jc w:val="left"/>
        <w:rPr>
          <w:rFonts w:ascii="宋体" w:hAnsi="宋体" w:cs="宋体"/>
          <w:szCs w:val="21"/>
        </w:rPr>
      </w:pPr>
      <w:r>
        <w:rPr>
          <w:rFonts w:hint="eastAsia" w:ascii="宋体" w:hAnsi="宋体" w:cs="宋体"/>
          <w:kern w:val="0"/>
          <w:szCs w:val="21"/>
        </w:rPr>
        <w:t>（6）项目部维保组维修保养期间对系统和设备的维护，应由业主人员陪同，并由业主人员签字认可。</w:t>
      </w:r>
    </w:p>
    <w:p>
      <w:pPr>
        <w:pStyle w:val="3"/>
        <w:rPr>
          <w:rFonts w:ascii="宋体" w:hAnsi="宋体" w:cs="宋体"/>
          <w:sz w:val="21"/>
          <w:szCs w:val="21"/>
        </w:rPr>
      </w:pPr>
      <w:bookmarkStart w:id="4" w:name="_Toc2316"/>
      <w:r>
        <w:rPr>
          <w:rFonts w:hint="eastAsia" w:ascii="宋体" w:hAnsi="宋体" w:cs="宋体"/>
          <w:sz w:val="21"/>
          <w:szCs w:val="21"/>
        </w:rPr>
        <w:t>4.5.5解决问题时间和方式</w:t>
      </w:r>
      <w:bookmarkEnd w:id="4"/>
    </w:p>
    <w:p>
      <w:pPr>
        <w:ind w:firstLine="420" w:firstLineChars="200"/>
        <w:rPr>
          <w:rFonts w:ascii="宋体" w:hAnsi="宋体" w:cs="宋体"/>
          <w:szCs w:val="21"/>
        </w:rPr>
      </w:pPr>
      <w:r>
        <w:rPr>
          <w:rFonts w:hint="eastAsia" w:ascii="宋体" w:hAnsi="宋体" w:cs="宋体"/>
          <w:szCs w:val="21"/>
        </w:rPr>
        <w:t>解决问题时间规定</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2869"/>
        <w:gridCol w:w="2997"/>
        <w:gridCol w:w="2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512" w:type="dxa"/>
            <w:vAlign w:val="center"/>
          </w:tcPr>
          <w:p>
            <w:pPr>
              <w:autoSpaceDE w:val="0"/>
              <w:autoSpaceDN w:val="0"/>
              <w:jc w:val="center"/>
              <w:rPr>
                <w:rFonts w:ascii="宋体" w:hAnsi="宋体" w:cs="宋体"/>
                <w:szCs w:val="21"/>
              </w:rPr>
            </w:pPr>
            <w:r>
              <w:rPr>
                <w:rFonts w:hint="eastAsia" w:ascii="宋体" w:hAnsi="宋体" w:cs="宋体"/>
                <w:szCs w:val="21"/>
              </w:rPr>
              <w:t>序号</w:t>
            </w:r>
          </w:p>
        </w:tc>
        <w:tc>
          <w:tcPr>
            <w:tcW w:w="2869" w:type="dxa"/>
            <w:vAlign w:val="center"/>
          </w:tcPr>
          <w:p>
            <w:pPr>
              <w:autoSpaceDE w:val="0"/>
              <w:autoSpaceDN w:val="0"/>
              <w:ind w:firstLine="420" w:firstLineChars="200"/>
              <w:jc w:val="center"/>
              <w:rPr>
                <w:rFonts w:ascii="宋体" w:hAnsi="宋体" w:cs="宋体"/>
                <w:szCs w:val="21"/>
              </w:rPr>
            </w:pPr>
            <w:r>
              <w:rPr>
                <w:rFonts w:hint="eastAsia" w:ascii="宋体" w:hAnsi="宋体" w:cs="宋体"/>
                <w:szCs w:val="21"/>
              </w:rPr>
              <w:t>项目名称</w:t>
            </w:r>
          </w:p>
        </w:tc>
        <w:tc>
          <w:tcPr>
            <w:tcW w:w="2997" w:type="dxa"/>
            <w:vAlign w:val="center"/>
          </w:tcPr>
          <w:p>
            <w:pPr>
              <w:autoSpaceDE w:val="0"/>
              <w:autoSpaceDN w:val="0"/>
              <w:jc w:val="center"/>
              <w:rPr>
                <w:rFonts w:ascii="宋体" w:hAnsi="宋体" w:cs="宋体"/>
                <w:szCs w:val="21"/>
              </w:rPr>
            </w:pPr>
            <w:r>
              <w:rPr>
                <w:rFonts w:hint="eastAsia" w:ascii="宋体" w:hAnsi="宋体" w:cs="宋体"/>
                <w:szCs w:val="21"/>
              </w:rPr>
              <w:t>响应及解决时间</w:t>
            </w:r>
          </w:p>
        </w:tc>
        <w:tc>
          <w:tcPr>
            <w:tcW w:w="2144" w:type="dxa"/>
            <w:vAlign w:val="center"/>
          </w:tcPr>
          <w:p>
            <w:pPr>
              <w:autoSpaceDE w:val="0"/>
              <w:autoSpaceDN w:val="0"/>
              <w:jc w:val="center"/>
              <w:rPr>
                <w:rFonts w:ascii="宋体" w:hAnsi="宋体" w:cs="宋体"/>
                <w:szCs w:val="21"/>
              </w:rPr>
            </w:pPr>
            <w:r>
              <w:rPr>
                <w:rFonts w:hint="eastAsia" w:ascii="宋体" w:hAnsi="宋体" w:cs="宋体"/>
                <w:szCs w:val="21"/>
              </w:rPr>
              <w:t>响应方式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512" w:type="dxa"/>
            <w:vAlign w:val="center"/>
          </w:tcPr>
          <w:p>
            <w:pPr>
              <w:autoSpaceDE w:val="0"/>
              <w:autoSpaceDN w:val="0"/>
              <w:jc w:val="center"/>
              <w:rPr>
                <w:rFonts w:ascii="宋体" w:hAnsi="宋体" w:cs="宋体"/>
                <w:szCs w:val="21"/>
              </w:rPr>
            </w:pPr>
            <w:r>
              <w:rPr>
                <w:rFonts w:hint="eastAsia" w:ascii="宋体" w:hAnsi="宋体" w:cs="宋体"/>
                <w:szCs w:val="21"/>
              </w:rPr>
              <w:t>1</w:t>
            </w:r>
          </w:p>
        </w:tc>
        <w:tc>
          <w:tcPr>
            <w:tcW w:w="2869" w:type="dxa"/>
            <w:vAlign w:val="center"/>
          </w:tcPr>
          <w:p>
            <w:pPr>
              <w:autoSpaceDE w:val="0"/>
              <w:autoSpaceDN w:val="0"/>
              <w:jc w:val="left"/>
              <w:rPr>
                <w:rFonts w:ascii="宋体" w:hAnsi="宋体" w:cs="宋体"/>
                <w:szCs w:val="21"/>
              </w:rPr>
            </w:pPr>
            <w:r>
              <w:rPr>
                <w:rFonts w:hint="eastAsia" w:ascii="宋体" w:hAnsi="宋体" w:cs="宋体"/>
                <w:szCs w:val="21"/>
              </w:rPr>
              <w:t>收到事故召唤时，正常及非正常工作时间</w:t>
            </w:r>
          </w:p>
        </w:tc>
        <w:tc>
          <w:tcPr>
            <w:tcW w:w="2997" w:type="dxa"/>
            <w:vAlign w:val="center"/>
          </w:tcPr>
          <w:p>
            <w:pPr>
              <w:autoSpaceDE w:val="0"/>
              <w:autoSpaceDN w:val="0"/>
              <w:jc w:val="center"/>
              <w:rPr>
                <w:rFonts w:ascii="宋体" w:hAnsi="宋体" w:cs="宋体"/>
                <w:szCs w:val="21"/>
              </w:rPr>
            </w:pPr>
            <w:r>
              <w:rPr>
                <w:rFonts w:hint="eastAsia" w:ascii="宋体" w:hAnsi="宋体" w:cs="宋体"/>
                <w:szCs w:val="21"/>
              </w:rPr>
              <w:t>10分钟响应，2小时内到场抢修，12小时内排除故障</w:t>
            </w:r>
          </w:p>
        </w:tc>
        <w:tc>
          <w:tcPr>
            <w:tcW w:w="2144" w:type="dxa"/>
            <w:vAlign w:val="center"/>
          </w:tcPr>
          <w:p>
            <w:pPr>
              <w:autoSpaceDE w:val="0"/>
              <w:autoSpaceDN w:val="0"/>
              <w:jc w:val="center"/>
              <w:rPr>
                <w:rFonts w:ascii="宋体" w:hAnsi="宋体" w:cs="宋体"/>
                <w:szCs w:val="21"/>
              </w:rPr>
            </w:pPr>
            <w:r>
              <w:rPr>
                <w:rFonts w:hint="eastAsia" w:ascii="宋体" w:hAnsi="宋体" w:cs="宋体"/>
                <w:szCs w:val="21"/>
              </w:rPr>
              <w:t>037166031291</w:t>
            </w:r>
          </w:p>
        </w:tc>
      </w:tr>
    </w:tbl>
    <w:p>
      <w:pPr>
        <w:autoSpaceDE w:val="0"/>
        <w:autoSpaceDN w:val="0"/>
        <w:ind w:firstLine="420" w:firstLineChars="200"/>
        <w:jc w:val="left"/>
        <w:rPr>
          <w:rFonts w:ascii="宋体" w:hAnsi="宋体" w:cs="宋体"/>
          <w:szCs w:val="21"/>
        </w:rPr>
      </w:pPr>
      <w:r>
        <w:rPr>
          <w:rFonts w:hint="eastAsia" w:ascii="宋体" w:hAnsi="宋体" w:cs="宋体"/>
          <w:szCs w:val="21"/>
        </w:rPr>
        <w:t>保修工作管理及措施</w:t>
      </w:r>
    </w:p>
    <w:p>
      <w:pPr>
        <w:autoSpaceDE w:val="0"/>
        <w:autoSpaceDN w:val="0"/>
        <w:ind w:firstLine="465"/>
        <w:jc w:val="left"/>
        <w:rPr>
          <w:rFonts w:ascii="宋体" w:hAnsi="宋体" w:cs="宋体"/>
          <w:szCs w:val="21"/>
        </w:rPr>
      </w:pPr>
      <w:r>
        <w:rPr>
          <w:rFonts w:hint="eastAsia" w:ascii="宋体" w:hAnsi="宋体" w:cs="宋体"/>
          <w:szCs w:val="21"/>
        </w:rPr>
        <w:t>本工程在保修期内若发生质量问题，由我单位</w:t>
      </w:r>
      <w:r>
        <w:rPr>
          <w:rFonts w:hint="eastAsia" w:ascii="宋体" w:hAnsi="宋体" w:cs="宋体"/>
          <w:kern w:val="0"/>
          <w:szCs w:val="21"/>
        </w:rPr>
        <w:t>生产安全</w:t>
      </w:r>
      <w:r>
        <w:rPr>
          <w:rFonts w:hint="eastAsia" w:ascii="宋体" w:hAnsi="宋体" w:cs="宋体"/>
          <w:szCs w:val="21"/>
        </w:rPr>
        <w:t>部负责组织保修工作。</w:t>
      </w:r>
    </w:p>
    <w:p>
      <w:pPr>
        <w:autoSpaceDE w:val="0"/>
        <w:autoSpaceDN w:val="0"/>
        <w:ind w:firstLine="420" w:firstLineChars="200"/>
        <w:jc w:val="left"/>
        <w:rPr>
          <w:rFonts w:ascii="宋体" w:hAnsi="宋体" w:cs="宋体"/>
          <w:szCs w:val="21"/>
        </w:rPr>
      </w:pPr>
      <w:r>
        <w:rPr>
          <w:rFonts w:hint="eastAsia" w:ascii="宋体" w:hAnsi="宋体" w:cs="宋体"/>
          <w:szCs w:val="21"/>
        </w:rPr>
        <w:t>工作程序</w:t>
      </w:r>
    </w:p>
    <w:p>
      <w:pPr>
        <w:autoSpaceDE w:val="0"/>
        <w:autoSpaceDN w:val="0"/>
        <w:jc w:val="left"/>
        <w:rPr>
          <w:rFonts w:ascii="宋体" w:hAnsi="宋体" w:cs="宋体"/>
          <w:szCs w:val="21"/>
        </w:rPr>
      </w:pPr>
      <w:r>
        <w:rPr>
          <w:rFonts w:ascii="宋体" w:hAnsi="宋体" w:cs="宋体"/>
          <w:szCs w:val="21"/>
        </w:rPr>
        <mc:AlternateContent>
          <mc:Choice Requires="wpg">
            <w:drawing>
              <wp:anchor distT="0" distB="0" distL="114300" distR="114300" simplePos="0" relativeHeight="251913216" behindDoc="0" locked="0" layoutInCell="1" allowOverlap="1">
                <wp:simplePos x="0" y="0"/>
                <wp:positionH relativeFrom="character">
                  <wp:posOffset>-301625</wp:posOffset>
                </wp:positionH>
                <wp:positionV relativeFrom="line">
                  <wp:posOffset>-104775</wp:posOffset>
                </wp:positionV>
                <wp:extent cx="5595620" cy="2786380"/>
                <wp:effectExtent l="4445" t="36830" r="10160" b="0"/>
                <wp:wrapNone/>
                <wp:docPr id="33" name="组合 33"/>
                <wp:cNvGraphicFramePr/>
                <a:graphic xmlns:a="http://schemas.openxmlformats.org/drawingml/2006/main">
                  <a:graphicData uri="http://schemas.microsoft.com/office/word/2010/wordprocessingGroup">
                    <wpg:wgp>
                      <wpg:cNvGrpSpPr/>
                      <wpg:grpSpPr>
                        <a:xfrm>
                          <a:off x="0" y="0"/>
                          <a:ext cx="5595620" cy="2786380"/>
                          <a:chOff x="-386" y="-179"/>
                          <a:chExt cx="10059" cy="4757203"/>
                        </a:xfrm>
                      </wpg:grpSpPr>
                      <wps:wsp>
                        <wps:cNvPr id="1" name="矩形 1"/>
                        <wps:cNvSpPr/>
                        <wps:spPr>
                          <a:xfrm>
                            <a:off x="0" y="0"/>
                            <a:ext cx="9631" cy="4578"/>
                          </a:xfrm>
                          <a:prstGeom prst="rect">
                            <a:avLst/>
                          </a:prstGeom>
                          <a:noFill/>
                          <a:ln>
                            <a:noFill/>
                          </a:ln>
                        </wps:spPr>
                        <wps:bodyPr upright="1"/>
                      </wps:wsp>
                      <wps:wsp>
                        <wps:cNvPr id="2" name="流程图: 可选过程 2"/>
                        <wps:cNvSpPr/>
                        <wps:spPr>
                          <a:xfrm>
                            <a:off x="3719" y="187"/>
                            <a:ext cx="3293" cy="3198"/>
                          </a:xfrm>
                          <a:prstGeom prst="flowChartAlternateProcess">
                            <a:avLst/>
                          </a:prstGeom>
                          <a:noFill/>
                          <a:ln w="9525" cap="flat" cmpd="sng">
                            <a:solidFill>
                              <a:srgbClr val="000000"/>
                            </a:solidFill>
                            <a:prstDash val="dash"/>
                            <a:miter/>
                            <a:headEnd type="none" w="med" len="med"/>
                            <a:tailEnd type="none" w="med" len="med"/>
                          </a:ln>
                        </wps:spPr>
                        <wps:txbx>
                          <w:txbxContent>
                            <w:p/>
                          </w:txbxContent>
                        </wps:txbx>
                        <wps:bodyPr upright="1"/>
                      </wps:wsp>
                      <wps:wsp>
                        <wps:cNvPr id="3" name="流程图: 可选过程 3"/>
                        <wps:cNvSpPr/>
                        <wps:spPr>
                          <a:xfrm>
                            <a:off x="0" y="187"/>
                            <a:ext cx="3628" cy="3198"/>
                          </a:xfrm>
                          <a:prstGeom prst="flowChartAlternateProcess">
                            <a:avLst/>
                          </a:prstGeom>
                          <a:noFill/>
                          <a:ln w="9525" cap="flat" cmpd="sng">
                            <a:solidFill>
                              <a:srgbClr val="000000"/>
                            </a:solidFill>
                            <a:prstDash val="dash"/>
                            <a:miter/>
                            <a:headEnd type="none" w="med" len="med"/>
                            <a:tailEnd type="none" w="med" len="med"/>
                          </a:ln>
                        </wps:spPr>
                        <wps:txbx>
                          <w:txbxContent>
                            <w:p/>
                          </w:txbxContent>
                        </wps:txbx>
                        <wps:bodyPr upright="1"/>
                      </wps:wsp>
                      <wps:wsp>
                        <wps:cNvPr id="4" name="流程图: 可选过程 4"/>
                        <wps:cNvSpPr/>
                        <wps:spPr>
                          <a:xfrm>
                            <a:off x="95" y="94"/>
                            <a:ext cx="560" cy="3158"/>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pPr>
                              <w:r>
                                <w:rPr>
                                  <w:rFonts w:hint="eastAsia"/>
                                </w:rPr>
                                <w:t>签订工程质量保修书</w:t>
                              </w:r>
                            </w:p>
                          </w:txbxContent>
                        </wps:txbx>
                        <wps:bodyPr upright="1"/>
                      </wps:wsp>
                      <wps:wsp>
                        <wps:cNvPr id="5" name="流程图: 可选过程 5"/>
                        <wps:cNvSpPr/>
                        <wps:spPr>
                          <a:xfrm>
                            <a:off x="898" y="94"/>
                            <a:ext cx="567" cy="3158"/>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pPr>
                              <w:r>
                                <w:rPr>
                                  <w:rFonts w:hint="eastAsia"/>
                                </w:rPr>
                                <w:t>建立工程维修档案</w:t>
                              </w:r>
                            </w:p>
                          </w:txbxContent>
                        </wps:txbx>
                        <wps:bodyPr upright="1"/>
                      </wps:wsp>
                      <wps:wsp>
                        <wps:cNvPr id="6" name="流程图: 可选过程 6"/>
                        <wps:cNvSpPr/>
                        <wps:spPr>
                          <a:xfrm>
                            <a:off x="1721" y="74"/>
                            <a:ext cx="568" cy="3178"/>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pPr>
                              <w:r>
                                <w:rPr>
                                  <w:rFonts w:hint="eastAsia"/>
                                </w:rPr>
                                <w:t>接收业主保修通知书</w:t>
                              </w:r>
                            </w:p>
                          </w:txbxContent>
                        </wps:txbx>
                        <wps:bodyPr upright="1"/>
                      </wps:wsp>
                      <wps:wsp>
                        <wps:cNvPr id="7" name="直接箭头连接符 7"/>
                        <wps:cNvCnPr/>
                        <wps:spPr>
                          <a:xfrm>
                            <a:off x="2289" y="1775"/>
                            <a:ext cx="647" cy="1"/>
                          </a:xfrm>
                          <a:prstGeom prst="straightConnector1">
                            <a:avLst/>
                          </a:prstGeom>
                          <a:ln w="9525" cap="flat" cmpd="sng">
                            <a:solidFill>
                              <a:srgbClr val="000000"/>
                            </a:solidFill>
                            <a:prstDash val="solid"/>
                            <a:headEnd type="none" w="med" len="med"/>
                            <a:tailEnd type="triangle" w="med" len="med"/>
                          </a:ln>
                        </wps:spPr>
                        <wps:bodyPr/>
                      </wps:wsp>
                      <wps:wsp>
                        <wps:cNvPr id="8" name="流程图: 可选过程 8"/>
                        <wps:cNvSpPr/>
                        <wps:spPr>
                          <a:xfrm>
                            <a:off x="2939" y="297"/>
                            <a:ext cx="568" cy="29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pPr>
                              <w:r>
                                <w:rPr>
                                  <w:rFonts w:hint="eastAsia"/>
                                </w:rPr>
                                <w:t>维护人员到位维修</w:t>
                              </w:r>
                            </w:p>
                          </w:txbxContent>
                        </wps:txbx>
                        <wps:bodyPr upright="1"/>
                      </wps:wsp>
                      <wps:wsp>
                        <wps:cNvPr id="9" name="矩形 9"/>
                        <wps:cNvSpPr/>
                        <wps:spPr>
                          <a:xfrm>
                            <a:off x="2210" y="681"/>
                            <a:ext cx="802" cy="1254"/>
                          </a:xfrm>
                          <a:prstGeom prst="rect">
                            <a:avLst/>
                          </a:prstGeom>
                          <a:noFill/>
                          <a:ln>
                            <a:noFill/>
                          </a:ln>
                        </wps:spPr>
                        <wps:txbx>
                          <w:txbxContent>
                            <w:p>
                              <w:pPr>
                                <w:jc w:val="center"/>
                              </w:pPr>
                              <w:r>
                                <w:rPr>
                                  <w:rFonts w:hint="eastAsia"/>
                                </w:rPr>
                                <w:t>在规定时间内</w:t>
                              </w:r>
                            </w:p>
                          </w:txbxContent>
                        </wps:txbx>
                        <wps:bodyPr upright="1"/>
                      </wps:wsp>
                      <wps:wsp>
                        <wps:cNvPr id="10" name="直接箭头连接符 10"/>
                        <wps:cNvCnPr/>
                        <wps:spPr>
                          <a:xfrm>
                            <a:off x="3507" y="1775"/>
                            <a:ext cx="400" cy="0"/>
                          </a:xfrm>
                          <a:prstGeom prst="straightConnector1">
                            <a:avLst/>
                          </a:prstGeom>
                          <a:ln w="9525" cap="flat" cmpd="sng">
                            <a:solidFill>
                              <a:srgbClr val="000000"/>
                            </a:solidFill>
                            <a:prstDash val="solid"/>
                            <a:headEnd type="none" w="med" len="med"/>
                            <a:tailEnd type="triangle" w="med" len="med"/>
                          </a:ln>
                        </wps:spPr>
                        <wps:bodyPr/>
                      </wps:wsp>
                      <wps:wsp>
                        <wps:cNvPr id="11" name="流程图: 可选过程 11"/>
                        <wps:cNvSpPr/>
                        <wps:spPr>
                          <a:xfrm>
                            <a:off x="3907" y="297"/>
                            <a:ext cx="568" cy="29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pPr>
                              <w:r>
                                <w:rPr>
                                  <w:rFonts w:hint="eastAsia"/>
                                </w:rPr>
                                <w:t>制定工程维修方案</w:t>
                              </w:r>
                            </w:p>
                          </w:txbxContent>
                        </wps:txbx>
                        <wps:bodyPr upright="1"/>
                      </wps:wsp>
                      <wps:wsp>
                        <wps:cNvPr id="12" name="流程图: 可选过程 12"/>
                        <wps:cNvSpPr/>
                        <wps:spPr>
                          <a:xfrm>
                            <a:off x="4709" y="297"/>
                            <a:ext cx="568" cy="29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pPr>
                              <w:r>
                                <w:rPr>
                                  <w:rFonts w:hint="eastAsia"/>
                                </w:rPr>
                                <w:t>施工方案公司</w:t>
                              </w:r>
                            </w:p>
                            <w:p>
                              <w:pPr>
                                <w:spacing w:line="300" w:lineRule="exact"/>
                                <w:jc w:val="center"/>
                              </w:pPr>
                              <w:r>
                                <w:rPr>
                                  <w:rFonts w:hint="eastAsia"/>
                                </w:rPr>
                                <w:t>审批</w:t>
                              </w:r>
                            </w:p>
                          </w:txbxContent>
                        </wps:txbx>
                        <wps:bodyPr upright="1"/>
                      </wps:wsp>
                      <wps:wsp>
                        <wps:cNvPr id="13" name="流程图: 可选过程 13"/>
                        <wps:cNvSpPr/>
                        <wps:spPr>
                          <a:xfrm>
                            <a:off x="5512" y="297"/>
                            <a:ext cx="568" cy="29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spacing w:line="300" w:lineRule="exact"/>
                                <w:jc w:val="center"/>
                              </w:pPr>
                              <w:r>
                                <w:rPr>
                                  <w:rFonts w:hint="eastAsia"/>
                                </w:rPr>
                                <w:t>业主</w:t>
                              </w:r>
                            </w:p>
                            <w:p>
                              <w:pPr>
                                <w:spacing w:line="300" w:lineRule="exact"/>
                                <w:jc w:val="center"/>
                              </w:pPr>
                              <w:r>
                                <w:rPr>
                                  <w:rFonts w:hint="eastAsia"/>
                                </w:rPr>
                                <w:t>审批施工方案</w:t>
                              </w:r>
                            </w:p>
                          </w:txbxContent>
                        </wps:txbx>
                        <wps:bodyPr upright="1"/>
                      </wps:wsp>
                      <wps:wsp>
                        <wps:cNvPr id="14" name="流程图: 可选过程 14"/>
                        <wps:cNvSpPr/>
                        <wps:spPr>
                          <a:xfrm>
                            <a:off x="6314" y="297"/>
                            <a:ext cx="568" cy="295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
                              <w:pPr>
                                <w:spacing w:line="300" w:lineRule="exact"/>
                                <w:jc w:val="center"/>
                              </w:pPr>
                              <w:r>
                                <w:rPr>
                                  <w:rFonts w:hint="eastAsia"/>
                                </w:rPr>
                                <w:t>准备相关资源</w:t>
                              </w:r>
                            </w:p>
                          </w:txbxContent>
                        </wps:txbx>
                        <wps:bodyPr upright="1"/>
                      </wps:wsp>
                      <wps:wsp>
                        <wps:cNvPr id="15" name="直接箭头连接符 15"/>
                        <wps:cNvCnPr/>
                        <wps:spPr>
                          <a:xfrm>
                            <a:off x="6882" y="1775"/>
                            <a:ext cx="438" cy="0"/>
                          </a:xfrm>
                          <a:prstGeom prst="straightConnector1">
                            <a:avLst/>
                          </a:prstGeom>
                          <a:ln w="9525" cap="flat" cmpd="sng">
                            <a:solidFill>
                              <a:srgbClr val="000000"/>
                            </a:solidFill>
                            <a:prstDash val="solid"/>
                            <a:headEnd type="none" w="med" len="med"/>
                            <a:tailEnd type="triangle" w="med" len="med"/>
                          </a:ln>
                        </wps:spPr>
                        <wps:bodyPr/>
                      </wps:wsp>
                      <wps:wsp>
                        <wps:cNvPr id="16" name="流程图: 可选过程 16"/>
                        <wps:cNvSpPr/>
                        <wps:spPr>
                          <a:xfrm>
                            <a:off x="7321" y="34"/>
                            <a:ext cx="568" cy="3219"/>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工程维修施工</w:t>
                              </w:r>
                            </w:p>
                          </w:txbxContent>
                        </wps:txbx>
                        <wps:bodyPr upright="1"/>
                      </wps:wsp>
                      <wps:wsp>
                        <wps:cNvPr id="17" name="流程图: 可选过程 17"/>
                        <wps:cNvSpPr/>
                        <wps:spPr>
                          <a:xfrm>
                            <a:off x="8122" y="54"/>
                            <a:ext cx="568" cy="3198"/>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维修工程完成验收</w:t>
                              </w:r>
                            </w:p>
                          </w:txbxContent>
                        </wps:txbx>
                        <wps:bodyPr upright="1"/>
                      </wps:wsp>
                      <wps:wsp>
                        <wps:cNvPr id="18" name="直接箭头连接符 18"/>
                        <wps:cNvCnPr/>
                        <wps:spPr>
                          <a:xfrm>
                            <a:off x="8690" y="1775"/>
                            <a:ext cx="236" cy="1"/>
                          </a:xfrm>
                          <a:prstGeom prst="straightConnector1">
                            <a:avLst/>
                          </a:prstGeom>
                          <a:ln w="9525" cap="flat" cmpd="sng">
                            <a:solidFill>
                              <a:srgbClr val="000000"/>
                            </a:solidFill>
                            <a:prstDash val="solid"/>
                            <a:headEnd type="none" w="med" len="med"/>
                            <a:tailEnd type="triangle" w="med" len="med"/>
                          </a:ln>
                        </wps:spPr>
                        <wps:bodyPr/>
                      </wps:wsp>
                      <wps:wsp>
                        <wps:cNvPr id="19" name="流程图: 可选过程 19"/>
                        <wps:cNvSpPr/>
                        <wps:spPr>
                          <a:xfrm>
                            <a:off x="8926" y="54"/>
                            <a:ext cx="568" cy="3198"/>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r>
                                <w:rPr>
                                  <w:rFonts w:hint="eastAsia"/>
                                </w:rPr>
                                <w:t>提交维修记录备案单</w:t>
                              </w:r>
                            </w:p>
                          </w:txbxContent>
                        </wps:txbx>
                        <wps:bodyPr upright="1"/>
                      </wps:wsp>
                      <wps:wsp>
                        <wps:cNvPr id="20" name="直接箭头连接符 20"/>
                        <wps:cNvCnPr/>
                        <wps:spPr>
                          <a:xfrm>
                            <a:off x="7888" y="1775"/>
                            <a:ext cx="236" cy="1"/>
                          </a:xfrm>
                          <a:prstGeom prst="straightConnector1">
                            <a:avLst/>
                          </a:prstGeom>
                          <a:ln w="9525" cap="flat" cmpd="sng">
                            <a:solidFill>
                              <a:srgbClr val="000000"/>
                            </a:solidFill>
                            <a:prstDash val="solid"/>
                            <a:headEnd type="none" w="med" len="med"/>
                            <a:tailEnd type="triangle" w="med" len="med"/>
                          </a:ln>
                        </wps:spPr>
                        <wps:bodyPr/>
                      </wps:wsp>
                      <wps:wsp>
                        <wps:cNvPr id="21" name="直接箭头连接符 21"/>
                        <wps:cNvCnPr/>
                        <wps:spPr>
                          <a:xfrm>
                            <a:off x="6078" y="1775"/>
                            <a:ext cx="236" cy="1"/>
                          </a:xfrm>
                          <a:prstGeom prst="straightConnector1">
                            <a:avLst/>
                          </a:prstGeom>
                          <a:ln w="9525" cap="flat" cmpd="sng">
                            <a:solidFill>
                              <a:srgbClr val="000000"/>
                            </a:solidFill>
                            <a:prstDash val="solid"/>
                            <a:headEnd type="none" w="med" len="med"/>
                            <a:tailEnd type="triangle" w="med" len="med"/>
                          </a:ln>
                        </wps:spPr>
                        <wps:bodyPr/>
                      </wps:wsp>
                      <wps:wsp>
                        <wps:cNvPr id="22" name="直接箭头连接符 22"/>
                        <wps:cNvCnPr/>
                        <wps:spPr>
                          <a:xfrm>
                            <a:off x="5276" y="1775"/>
                            <a:ext cx="236" cy="1"/>
                          </a:xfrm>
                          <a:prstGeom prst="straightConnector1">
                            <a:avLst/>
                          </a:prstGeom>
                          <a:ln w="9525" cap="flat" cmpd="sng">
                            <a:solidFill>
                              <a:srgbClr val="000000"/>
                            </a:solidFill>
                            <a:prstDash val="solid"/>
                            <a:headEnd type="none" w="med" len="med"/>
                            <a:tailEnd type="triangle" w="med" len="med"/>
                          </a:ln>
                        </wps:spPr>
                        <wps:bodyPr/>
                      </wps:wsp>
                      <wps:wsp>
                        <wps:cNvPr id="23" name="直接箭头连接符 23"/>
                        <wps:cNvCnPr/>
                        <wps:spPr>
                          <a:xfrm>
                            <a:off x="4473" y="1775"/>
                            <a:ext cx="236" cy="1"/>
                          </a:xfrm>
                          <a:prstGeom prst="straightConnector1">
                            <a:avLst/>
                          </a:prstGeom>
                          <a:ln w="9525" cap="flat" cmpd="sng">
                            <a:solidFill>
                              <a:srgbClr val="000000"/>
                            </a:solidFill>
                            <a:prstDash val="solid"/>
                            <a:headEnd type="none" w="med" len="med"/>
                            <a:tailEnd type="triangle" w="med" len="med"/>
                          </a:ln>
                        </wps:spPr>
                        <wps:bodyPr/>
                      </wps:wsp>
                      <wps:wsp>
                        <wps:cNvPr id="24" name="直接箭头连接符 24"/>
                        <wps:cNvCnPr/>
                        <wps:spPr>
                          <a:xfrm>
                            <a:off x="662" y="1775"/>
                            <a:ext cx="236" cy="1"/>
                          </a:xfrm>
                          <a:prstGeom prst="straightConnector1">
                            <a:avLst/>
                          </a:prstGeom>
                          <a:ln w="9525" cap="flat" cmpd="sng">
                            <a:solidFill>
                              <a:srgbClr val="000000"/>
                            </a:solidFill>
                            <a:prstDash val="solid"/>
                            <a:headEnd type="none" w="med" len="med"/>
                            <a:tailEnd type="triangle" w="med" len="med"/>
                          </a:ln>
                        </wps:spPr>
                        <wps:bodyPr/>
                      </wps:wsp>
                      <wps:wsp>
                        <wps:cNvPr id="25" name="直接箭头连接符 25"/>
                        <wps:cNvCnPr/>
                        <wps:spPr>
                          <a:xfrm>
                            <a:off x="1465" y="1775"/>
                            <a:ext cx="236" cy="1"/>
                          </a:xfrm>
                          <a:prstGeom prst="straightConnector1">
                            <a:avLst/>
                          </a:prstGeom>
                          <a:ln w="9525" cap="flat" cmpd="sng">
                            <a:solidFill>
                              <a:srgbClr val="000000"/>
                            </a:solidFill>
                            <a:prstDash val="solid"/>
                            <a:headEnd type="none" w="med" len="med"/>
                            <a:tailEnd type="triangle" w="med" len="med"/>
                          </a:ln>
                        </wps:spPr>
                        <wps:bodyPr/>
                      </wps:wsp>
                      <wps:wsp>
                        <wps:cNvPr id="26" name="流程图: 可选过程 26"/>
                        <wps:cNvSpPr/>
                        <wps:spPr>
                          <a:xfrm>
                            <a:off x="7287" y="-179"/>
                            <a:ext cx="2386" cy="3523"/>
                          </a:xfrm>
                          <a:prstGeom prst="flowChartAlternateProcess">
                            <a:avLst/>
                          </a:prstGeom>
                          <a:noFill/>
                          <a:ln w="9525" cap="flat" cmpd="sng">
                            <a:solidFill>
                              <a:srgbClr val="000000"/>
                            </a:solidFill>
                            <a:prstDash val="dash"/>
                            <a:miter/>
                            <a:headEnd type="none" w="med" len="med"/>
                            <a:tailEnd type="none" w="med" len="med"/>
                          </a:ln>
                        </wps:spPr>
                        <wps:txbx>
                          <w:txbxContent>
                            <w:p>
                              <w:pPr>
                                <w:spacing w:line="160" w:lineRule="exact"/>
                                <w:jc w:val="center"/>
                              </w:pPr>
                            </w:p>
                          </w:txbxContent>
                        </wps:txbx>
                        <wps:bodyPr upright="1"/>
                      </wps:wsp>
                      <wps:wsp>
                        <wps:cNvPr id="27" name="流程图: 可选过程 27"/>
                        <wps:cNvSpPr/>
                        <wps:spPr>
                          <a:xfrm>
                            <a:off x="-386" y="3646"/>
                            <a:ext cx="2934" cy="80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rPr>
                                  <w:szCs w:val="21"/>
                                </w:rPr>
                              </w:pPr>
                              <w:r>
                                <w:rPr>
                                  <w:rFonts w:hint="eastAsia"/>
                                  <w:szCs w:val="21"/>
                                </w:rPr>
                                <w:t>工程回访发现质量问题</w:t>
                              </w:r>
                            </w:p>
                          </w:txbxContent>
                        </wps:txbx>
                        <wps:bodyPr upright="1"/>
                      </wps:wsp>
                      <wps:wsp>
                        <wps:cNvPr id="28" name="肘形连接符 28"/>
                        <wps:cNvCnPr/>
                        <wps:spPr>
                          <a:xfrm flipV="1">
                            <a:off x="2548" y="3252"/>
                            <a:ext cx="675" cy="796"/>
                          </a:xfrm>
                          <a:prstGeom prst="bentConnector2">
                            <a:avLst/>
                          </a:prstGeom>
                          <a:ln w="9525" cap="flat" cmpd="sng">
                            <a:solidFill>
                              <a:srgbClr val="000000"/>
                            </a:solidFill>
                            <a:prstDash val="solid"/>
                            <a:miter/>
                            <a:headEnd type="none" w="med" len="med"/>
                            <a:tailEnd type="triangle" w="med" len="med"/>
                          </a:ln>
                        </wps:spPr>
                        <wps:bodyPr/>
                      </wps:wsp>
                      <wps:wsp>
                        <wps:cNvPr id="29" name="肘形连接符 29"/>
                        <wps:cNvCnPr/>
                        <wps:spPr>
                          <a:xfrm rot="5400000">
                            <a:off x="4993" y="2450"/>
                            <a:ext cx="1" cy="1605"/>
                          </a:xfrm>
                          <a:prstGeom prst="bentConnector3">
                            <a:avLst>
                              <a:gd name="adj1" fmla="val 35900000"/>
                            </a:avLst>
                          </a:prstGeom>
                          <a:ln w="9525" cap="flat" cmpd="sng">
                            <a:solidFill>
                              <a:srgbClr val="000000"/>
                            </a:solidFill>
                            <a:prstDash val="solid"/>
                            <a:miter/>
                            <a:headEnd type="none" w="med" len="med"/>
                            <a:tailEnd type="triangle" w="med" len="med"/>
                          </a:ln>
                        </wps:spPr>
                        <wps:bodyPr/>
                      </wps:wsp>
                      <wps:wsp>
                        <wps:cNvPr id="30" name="肘形连接符 30"/>
                        <wps:cNvCnPr/>
                        <wps:spPr>
                          <a:xfrm rot="5400000">
                            <a:off x="4584" y="2845"/>
                            <a:ext cx="1" cy="802"/>
                          </a:xfrm>
                          <a:prstGeom prst="bentConnector3">
                            <a:avLst>
                              <a:gd name="adj1" fmla="val 35900000"/>
                            </a:avLst>
                          </a:prstGeom>
                          <a:ln w="9525" cap="flat" cmpd="sng">
                            <a:solidFill>
                              <a:srgbClr val="000000"/>
                            </a:solidFill>
                            <a:prstDash val="solid"/>
                            <a:miter/>
                            <a:headEnd type="none" w="med" len="med"/>
                            <a:tailEnd type="triangle" w="med" len="med"/>
                          </a:ln>
                        </wps:spPr>
                        <wps:bodyPr/>
                      </wps:wsp>
                      <wps:wsp>
                        <wps:cNvPr id="31" name="矩形 31"/>
                        <wps:cNvSpPr/>
                        <wps:spPr>
                          <a:xfrm>
                            <a:off x="4842" y="3678"/>
                            <a:ext cx="1195" cy="575"/>
                          </a:xfrm>
                          <a:prstGeom prst="rect">
                            <a:avLst/>
                          </a:prstGeom>
                          <a:noFill/>
                          <a:ln>
                            <a:noFill/>
                          </a:ln>
                        </wps:spPr>
                        <wps:txbx>
                          <w:txbxContent>
                            <w:p>
                              <w:pPr>
                                <w:spacing w:line="300" w:lineRule="exact"/>
                                <w:jc w:val="center"/>
                              </w:pPr>
                              <w:r>
                                <w:rPr>
                                  <w:rFonts w:hint="eastAsia"/>
                                </w:rPr>
                                <w:t>不合格</w:t>
                              </w:r>
                            </w:p>
                          </w:txbxContent>
                        </wps:txbx>
                        <wps:bodyPr upright="1"/>
                      </wps:wsp>
                      <wps:wsp>
                        <wps:cNvPr id="32" name="矩形 32"/>
                        <wps:cNvSpPr/>
                        <wps:spPr>
                          <a:xfrm>
                            <a:off x="3856" y="3678"/>
                            <a:ext cx="1195" cy="615"/>
                          </a:xfrm>
                          <a:prstGeom prst="rect">
                            <a:avLst/>
                          </a:prstGeom>
                          <a:noFill/>
                          <a:ln>
                            <a:noFill/>
                          </a:ln>
                        </wps:spPr>
                        <wps:txbx>
                          <w:txbxContent>
                            <w:p>
                              <w:pPr>
                                <w:spacing w:line="300" w:lineRule="exact"/>
                                <w:jc w:val="center"/>
                              </w:pPr>
                              <w:r>
                                <w:rPr>
                                  <w:rFonts w:hint="eastAsia"/>
                                </w:rPr>
                                <w:t>不合格</w:t>
                              </w:r>
                            </w:p>
                          </w:txbxContent>
                        </wps:txbx>
                        <wps:bodyPr upright="1"/>
                      </wps:wsp>
                    </wpg:wgp>
                  </a:graphicData>
                </a:graphic>
              </wp:anchor>
            </w:drawing>
          </mc:Choice>
          <mc:Fallback>
            <w:pict>
              <v:group id="_x0000_s1026" o:spid="_x0000_s1026" o:spt="203" style="position:absolute;left:0pt;margin-left:-23.75pt;margin-top:-8.25pt;height:219.4pt;width:440.6pt;mso-position-horizontal-relative:char;mso-position-vertical-relative:line;z-index:251913216;mso-width-relative:page;mso-height-relative:page;" coordorigin="-386,-179" coordsize="10059,4757203" o:gfxdata="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">
                <o:lock v:ext="edit" aspectratio="f"/>
                <v:rect id="_x0000_s1026" o:spid="_x0000_s1026" o:spt="1" style="position:absolute;left:0;top:0;height:4578;width:9631;" filled="f" stroked="f" coordsize="21600,21600" o:gfxdata="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t6kpvQAA&#10;ANwAAAAPAAAAAAAAAAEAIAAAACIAAABkcnMvZG93bnJldi54bWxQSwECFAAUAAAACACHTuJAMy8F&#10;njsAAAA5AAAAEAAAAAAAAAABACAAAAAMAQAAZHJzL3NoYXBleG1sLnhtbFBLBQYAAAAABgAGAFsB&#10;AAC2AwAAAAA=&#10;">
                  <v:fill on="f" focussize="0,0"/>
                  <v:stroke on="f"/>
                  <v:imagedata o:title=""/>
                  <o:lock v:ext="edit" aspectratio="f"/>
                </v:rect>
                <v:shape id="_x0000_s1026" o:spid="_x0000_s1026" o:spt="176" type="#_x0000_t176" style="position:absolute;left:3719;top:187;height:3198;width:3293;" filled="f" stroked="t" coordsize="21600,21600" o:gfxdata="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D+eqvQAA&#10;ANwAAAAPAAAAAAAAAAEAIAAAACIAAABkcnMvZG93bnJldi54bWxQSwECFAAUAAAACACHTuJAMy8F&#10;njsAAAA5AAAAEAAAAAAAAAABACAAAAAMAQAAZHJzL3NoYXBleG1sLnhtbFBLBQYAAAAABgAGAFsB&#10;AAC2AwAAAAA=&#10;">
                  <v:fill on="f" focussize="0,0"/>
                  <v:stroke color="#000000" joinstyle="miter" dashstyle="dash"/>
                  <v:imagedata o:title=""/>
                  <o:lock v:ext="edit" aspectratio="f"/>
                  <v:textbox>
                    <w:txbxContent>
                      <w:p/>
                    </w:txbxContent>
                  </v:textbox>
                </v:shape>
                <v:shape id="_x0000_s1026" o:spid="_x0000_s1026" o:spt="176" type="#_x0000_t176" style="position:absolute;left:0;top:187;height:3198;width:3628;" filled="f" stroked="t" coordsize="21600,21600" o:gfxdata="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Q0IxvQAA&#10;ANwAAAAPAAAAAAAAAAEAIAAAACIAAABkcnMvZG93bnJldi54bWxQSwECFAAUAAAACACHTuJAMy8F&#10;njsAAAA5AAAAEAAAAAAAAAABACAAAAAMAQAAZHJzL3NoYXBleG1sLnhtbFBLBQYAAAAABgAGAFsB&#10;AAC2AwAAAAA=&#10;">
                  <v:fill on="f" focussize="0,0"/>
                  <v:stroke color="#000000" joinstyle="miter" dashstyle="dash"/>
                  <v:imagedata o:title=""/>
                  <o:lock v:ext="edit" aspectratio="f"/>
                  <v:textbox>
                    <w:txbxContent>
                      <w:p/>
                    </w:txbxContent>
                  </v:textbox>
                </v:shape>
                <v:shape id="_x0000_s1026" o:spid="_x0000_s1026" o:spt="176" type="#_x0000_t176" style="position:absolute;left:95;top:94;height:3158;width:560;" fillcolor="#FFFFFF" filled="t" stroked="t" coordsize="21600,21600" o:gfxdata="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Rk2L2/&#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300" w:lineRule="exact"/>
                          <w:jc w:val="center"/>
                        </w:pPr>
                        <w:r>
                          <w:rPr>
                            <w:rFonts w:hint="eastAsia"/>
                          </w:rPr>
                          <w:t>签订工程质量保修书</w:t>
                        </w:r>
                      </w:p>
                    </w:txbxContent>
                  </v:textbox>
                </v:shape>
                <v:shape id="_x0000_s1026" o:spid="_x0000_s1026" o:spt="176" type="#_x0000_t176" style="position:absolute;left:898;top:94;height:3158;width:567;" fillcolor="#FFFFFF" filled="t" stroked="t" coordsize="21600,21600" o:gfxdata="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h9J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spacing w:line="300" w:lineRule="exact"/>
                          <w:jc w:val="center"/>
                        </w:pPr>
                        <w:r>
                          <w:rPr>
                            <w:rFonts w:hint="eastAsia"/>
                          </w:rPr>
                          <w:t>建立工程维修档案</w:t>
                        </w:r>
                      </w:p>
                    </w:txbxContent>
                  </v:textbox>
                </v:shape>
                <v:shape id="_x0000_s1026" o:spid="_x0000_s1026" o:spt="176" type="#_x0000_t176" style="position:absolute;left:1721;top:74;height:3178;width:568;" fillcolor="#FFFFFF" filled="t" stroked="t" coordsize="21600,21600" o:gfxdata="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fpVL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300" w:lineRule="exact"/>
                          <w:jc w:val="center"/>
                        </w:pPr>
                        <w:r>
                          <w:rPr>
                            <w:rFonts w:hint="eastAsia"/>
                          </w:rPr>
                          <w:t>接收业主保修通知书</w:t>
                        </w:r>
                      </w:p>
                    </w:txbxContent>
                  </v:textbox>
                </v:shape>
                <v:shape id="_x0000_s1026" o:spid="_x0000_s1026" o:spt="32" type="#_x0000_t32" style="position:absolute;left:2289;top:1775;height:1;width:647;" filled="f" stroked="t" coordsize="21600,21600" o:gfxdata="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4Py1O/&#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176" type="#_x0000_t176" style="position:absolute;left:2939;top:297;height:2955;width:568;" fillcolor="#FFFFFF" filled="t" stroked="t" coordsize="21600,21600" o:gfxdata="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zHli+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300" w:lineRule="exact"/>
                          <w:jc w:val="center"/>
                        </w:pPr>
                        <w:r>
                          <w:rPr>
                            <w:rFonts w:hint="eastAsia"/>
                          </w:rPr>
                          <w:t>维护人员到位维修</w:t>
                        </w:r>
                      </w:p>
                    </w:txbxContent>
                  </v:textbox>
                </v:shape>
                <v:rect id="_x0000_s1026" o:spid="_x0000_s1026" o:spt="1" style="position:absolute;left:2210;top:681;height:1254;width:802;" filled="f" stroked="f" coordsize="21600,21600" o:gfxdata="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ov4bi/&#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pPr>
                        <w:r>
                          <w:rPr>
                            <w:rFonts w:hint="eastAsia"/>
                          </w:rPr>
                          <w:t>在规定时间内</w:t>
                        </w:r>
                      </w:p>
                    </w:txbxContent>
                  </v:textbox>
                </v:rect>
                <v:shape id="_x0000_s1026" o:spid="_x0000_s1026" o:spt="32" type="#_x0000_t32" style="position:absolute;left:3507;top:1775;height:0;width:400;" filled="f" stroked="t" coordsize="21600,21600" o:gfxdata="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itKl+/&#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176" type="#_x0000_t176" style="position:absolute;left:3907;top:297;height:2955;width:568;" fillcolor="#FFFFFF" filled="t" stroked="t" coordsize="21600,21600" o:gfxdata="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wVCFi/&#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300" w:lineRule="exact"/>
                          <w:jc w:val="center"/>
                        </w:pPr>
                        <w:r>
                          <w:rPr>
                            <w:rFonts w:hint="eastAsia"/>
                          </w:rPr>
                          <w:t>制定工程维修方案</w:t>
                        </w:r>
                      </w:p>
                    </w:txbxContent>
                  </v:textbox>
                </v:shape>
                <v:shape id="_x0000_s1026" o:spid="_x0000_s1026" o:spt="176" type="#_x0000_t176" style="position:absolute;left:4709;top:297;height:2955;width:568;" fillcolor="#FFFFFF" filled="t" stroked="t" coordsize="21600,21600" o:gfxdata="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P8kCy/&#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300" w:lineRule="exact"/>
                          <w:jc w:val="center"/>
                        </w:pPr>
                        <w:r>
                          <w:rPr>
                            <w:rFonts w:hint="eastAsia"/>
                          </w:rPr>
                          <w:t>施工方案公司</w:t>
                        </w:r>
                      </w:p>
                      <w:p>
                        <w:pPr>
                          <w:spacing w:line="300" w:lineRule="exact"/>
                          <w:jc w:val="center"/>
                        </w:pPr>
                        <w:r>
                          <w:rPr>
                            <w:rFonts w:hint="eastAsia"/>
                          </w:rPr>
                          <w:t>审批</w:t>
                        </w:r>
                      </w:p>
                    </w:txbxContent>
                  </v:textbox>
                </v:shape>
                <v:shape id="_x0000_s1026" o:spid="_x0000_s1026" o:spt="176" type="#_x0000_t176" style="position:absolute;left:5512;top:297;height:2955;width:568;" fillcolor="#FFFFFF" filled="t" stroked="t" coordsize="21600,21600" o:gfxdata="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ywNbe/&#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300" w:lineRule="exact"/>
                          <w:jc w:val="center"/>
                        </w:pPr>
                        <w:r>
                          <w:rPr>
                            <w:rFonts w:hint="eastAsia"/>
                          </w:rPr>
                          <w:t>业主</w:t>
                        </w:r>
                      </w:p>
                      <w:p>
                        <w:pPr>
                          <w:spacing w:line="300" w:lineRule="exact"/>
                          <w:jc w:val="center"/>
                        </w:pPr>
                        <w:r>
                          <w:rPr>
                            <w:rFonts w:hint="eastAsia"/>
                          </w:rPr>
                          <w:t>审批施工方案</w:t>
                        </w:r>
                      </w:p>
                    </w:txbxContent>
                  </v:textbox>
                </v:shape>
                <v:shape id="_x0000_s1026" o:spid="_x0000_s1026" o:spt="176" type="#_x0000_t176" style="position:absolute;left:6314;top:297;height:2955;width:568;" fillcolor="#FFFFFF" filled="t" stroked="t" coordsize="21600,21600" o:gfxdata="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xiq8C/&#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
                        <w:pPr>
                          <w:spacing w:line="300" w:lineRule="exact"/>
                          <w:jc w:val="center"/>
                        </w:pPr>
                        <w:r>
                          <w:rPr>
                            <w:rFonts w:hint="eastAsia"/>
                          </w:rPr>
                          <w:t>准备相关资源</w:t>
                        </w:r>
                      </w:p>
                    </w:txbxContent>
                  </v:textbox>
                </v:shape>
                <v:shape id="_x0000_s1026" o:spid="_x0000_s1026" o:spt="32" type="#_x0000_t32" style="position:absolute;left:6882;top:1775;height:0;width:438;" filled="f" stroked="t" coordsize="21600,21600" o:gfxdata="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jaice/&#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176" type="#_x0000_t176" style="position:absolute;left:7321;top:34;height:3219;width:568;" fillcolor="#FFFFFF" filled="t" stroked="t" coordsize="21600,21600" o:gfxdata="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xmim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r>
                          <w:rPr>
                            <w:rFonts w:hint="eastAsia"/>
                          </w:rPr>
                          <w:t>工程维修施工</w:t>
                        </w:r>
                      </w:p>
                    </w:txbxContent>
                  </v:textbox>
                </v:shape>
                <v:shape id="_x0000_s1026" o:spid="_x0000_s1026" o:spt="176" type="#_x0000_t176" style="position:absolute;left:8122;top:54;height:3198;width:568;" fillcolor="#FFFFFF" filled="t" stroked="t" coordsize="21600,21600" o:gfxdata="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39P7K/&#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r>
                          <w:rPr>
                            <w:rFonts w:hint="eastAsia"/>
                          </w:rPr>
                          <w:t>维修工程完成验收</w:t>
                        </w:r>
                      </w:p>
                    </w:txbxContent>
                  </v:textbox>
                </v:shape>
                <v:shape id="_x0000_s1026" o:spid="_x0000_s1026" o:spt="32" type="#_x0000_t32" style="position:absolute;left:8690;top:1775;height:1;width:236;" filled="f" stroked="t" coordsize="21600,21600" o:gfxdata="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Lqh26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_x0000_s1026" o:spid="_x0000_s1026" o:spt="176" type="#_x0000_t176" style="position:absolute;left:8926;top:54;height:3198;width:568;" fillcolor="#FFFFFF" filled="t" stroked="t" coordsize="21600,21600" o:gfxdata="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ZSpWm/&#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r>
                          <w:rPr>
                            <w:rFonts w:hint="eastAsia"/>
                          </w:rPr>
                          <w:t>提交维修记录备案单</w:t>
                        </w:r>
                      </w:p>
                    </w:txbxContent>
                  </v:textbox>
                </v:shape>
                <v:shape id="_x0000_s1026" o:spid="_x0000_s1026" o:spt="32" type="#_x0000_t32" style="position:absolute;left:7888;top:1775;height:1;width:236;" filled="f" stroked="t" coordsize="21600,21600" o:gfxdata="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10vIK/&#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32" type="#_x0000_t32" style="position:absolute;left:6078;top:1775;height:1;width:236;" filled="f" stroked="t" coordsize="21600,21600" o:gfxdata="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I4GR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32" type="#_x0000_t32" style="position:absolute;left:5276;top:1775;height:1;width:236;" filled="f" stroked="t" coordsize="21600,21600" o:gfxdata="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3RgW2/&#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32" type="#_x0000_t32" style="position:absolute;left:4473;top:1775;height:1;width:236;" filled="f" stroked="t" coordsize="21600,21600" o:gfxdata="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p0k9r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32" type="#_x0000_t32" style="position:absolute;left:662;top:1775;height:1;width:236;" filled="f" stroked="t" coordsize="21600,21600" o:gfxdata="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JPuoG/&#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32" type="#_x0000_t32" style="position:absolute;left:1465;top:1775;height:1;width:236;" filled="f" stroked="t" coordsize="21600,21600" o:gfxdata="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0DHxq/&#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176" type="#_x0000_t176" style="position:absolute;left:7287;top:-179;height:3523;width:2386;" filled="f" stroked="t" coordsize="21600,21600" o:gfxdata="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nQgPugAAANwA&#10;AAAPAAAAAAAAAAEAIAAAACIAAABkcnMvZG93bnJldi54bWxQSwECFAAUAAAACACHTuJAMy8FnjsA&#10;AAA5AAAAEAAAAAAAAAABACAAAAAJAQAAZHJzL3NoYXBleG1sLnhtbFBLBQYAAAAABgAGAFsBAACz&#10;AwAAAAA=&#10;">
                  <v:fill on="f" focussize="0,0"/>
                  <v:stroke color="#000000" joinstyle="miter" dashstyle="dash"/>
                  <v:imagedata o:title=""/>
                  <o:lock v:ext="edit" aspectratio="f"/>
                  <v:textbox>
                    <w:txbxContent>
                      <w:p>
                        <w:pPr>
                          <w:spacing w:line="160" w:lineRule="exact"/>
                          <w:jc w:val="center"/>
                        </w:pPr>
                      </w:p>
                    </w:txbxContent>
                  </v:textbox>
                </v:shape>
                <v:shape id="_x0000_s1026" o:spid="_x0000_s1026" o:spt="176" type="#_x0000_t176" style="position:absolute;left:-386;top:3646;height:805;width:2934;" fillcolor="#FFFFFF" filled="t" stroked="t" coordsize="21600,21600" o:gfxdata="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gkqW+/&#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szCs w:val="21"/>
                          </w:rPr>
                        </w:pPr>
                        <w:r>
                          <w:rPr>
                            <w:rFonts w:hint="eastAsia"/>
                            <w:szCs w:val="21"/>
                          </w:rPr>
                          <w:t>工程回访发现质量问题</w:t>
                        </w:r>
                      </w:p>
                    </w:txbxContent>
                  </v:textbox>
                </v:shape>
                <v:shape id="_x0000_s1026" o:spid="_x0000_s1026" o:spt="33" type="#_x0000_t33" style="position:absolute;left:2548;top:3252;flip:y;height:796;width:675;" filled="f" stroked="t" coordsize="21600,21600" o:gfxdata="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PpyZG8AAAA&#10;3AAAAA8AAAAAAAAAAQAgAAAAIgAAAGRycy9kb3ducmV2LnhtbFBLAQIUABQAAAAIAIdO4kAzLwWe&#10;OwAAADkAAAAQAAAAAAAAAAEAIAAAAAsBAABkcnMvc2hhcGV4bWwueG1sUEsFBgAAAAAGAAYAWwEA&#10;ALUDAAAAAA==&#10;">
                  <v:fill on="f" focussize="0,0"/>
                  <v:stroke color="#000000" joinstyle="miter" endarrow="block"/>
                  <v:imagedata o:title=""/>
                  <o:lock v:ext="edit" aspectratio="f"/>
                </v:shape>
                <v:shape id="_x0000_s1026" o:spid="_x0000_s1026" o:spt="34" type="#_x0000_t34" style="position:absolute;left:4993;top:2450;height:1605;width:1;rotation:5898240f;" filled="f" stroked="t" coordsize="21600,21600" o:gfxdata="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AWlevQAA&#10;ANwAAAAPAAAAAAAAAAEAIAAAACIAAABkcnMvZG93bnJldi54bWxQSwECFAAUAAAACACHTuJAMy8F&#10;njsAAAA5AAAAEAAAAAAAAAABACAAAAAMAQAAZHJzL3NoYXBleG1sLnhtbFBLBQYAAAAABgAGAFsB&#10;AAC2AwAAAAA=&#10;" adj="7754400">
                  <v:fill on="f" focussize="0,0"/>
                  <v:stroke color="#000000" joinstyle="miter" endarrow="block"/>
                  <v:imagedata o:title=""/>
                  <o:lock v:ext="edit" aspectratio="f"/>
                </v:shape>
                <v:shape id="_x0000_s1026" o:spid="_x0000_s1026" o:spt="34" type="#_x0000_t34" style="position:absolute;left:4584;top:2845;height:802;width:1;rotation:5898240f;" filled="f" stroked="t" coordsize="21600,21600" o:gfxdata="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NP3Kb4A&#10;AADcAAAADwAAAAAAAAABACAAAAAiAAAAZHJzL2Rvd25yZXYueG1sUEsBAhQAFAAAAAgAh07iQDMv&#10;BZ47AAAAOQAAABAAAAAAAAAAAQAgAAAADQEAAGRycy9zaGFwZXhtbC54bWxQSwUGAAAAAAYABgBb&#10;AQAAtwMAAAAA&#10;" adj="7754400">
                  <v:fill on="f" focussize="0,0"/>
                  <v:stroke color="#000000" joinstyle="miter" endarrow="block"/>
                  <v:imagedata o:title=""/>
                  <o:lock v:ext="edit" aspectratio="f"/>
                </v:shape>
                <v:rect id="_x0000_s1026" o:spid="_x0000_s1026" o:spt="1" style="position:absolute;left:4842;top:3678;height:575;width:1195;" filled="f" stroked="f" coordsize="21600,21600" o:gfxdata="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gSGN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spacing w:line="300" w:lineRule="exact"/>
                          <w:jc w:val="center"/>
                        </w:pPr>
                        <w:r>
                          <w:rPr>
                            <w:rFonts w:hint="eastAsia"/>
                          </w:rPr>
                          <w:t>不合格</w:t>
                        </w:r>
                      </w:p>
                    </w:txbxContent>
                  </v:textbox>
                </v:rect>
                <v:rect id="_x0000_s1026" o:spid="_x0000_s1026" o:spt="1" style="position:absolute;left:3856;top:3678;height:615;width:1195;" filled="f" stroked="f" coordsize="21600,21600" o:gfxdata="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e0eQ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spacing w:line="300" w:lineRule="exact"/>
                          <w:jc w:val="center"/>
                        </w:pPr>
                        <w:r>
                          <w:rPr>
                            <w:rFonts w:hint="eastAsia"/>
                          </w:rPr>
                          <w:t>不合格</w:t>
                        </w:r>
                      </w:p>
                    </w:txbxContent>
                  </v:textbox>
                </v:rect>
              </v:group>
            </w:pict>
          </mc:Fallback>
        </mc:AlternateContent>
      </w:r>
      <w:r>
        <w:rPr>
          <w:rFonts w:ascii="宋体" w:hAnsi="宋体" w:cs="宋体"/>
          <w:szCs w:val="21"/>
        </w:rPr>
        <mc:AlternateContent>
          <mc:Choice Requires="wps">
            <w:drawing>
              <wp:inline distT="0" distB="0" distL="114300" distR="114300">
                <wp:extent cx="6115050" cy="2905125"/>
                <wp:effectExtent l="0" t="0" r="0" b="0"/>
                <wp:docPr id="265" name="矩形 265"/>
                <wp:cNvGraphicFramePr/>
                <a:graphic xmlns:a="http://schemas.openxmlformats.org/drawingml/2006/main">
                  <a:graphicData uri="http://schemas.microsoft.com/office/word/2010/wordprocessingShape">
                    <wps:wsp>
                      <wps:cNvSpPr>
                        <a:spLocks noRot="1"/>
                      </wps:cNvSpPr>
                      <wps:spPr>
                        <a:xfrm>
                          <a:off x="0" y="0"/>
                          <a:ext cx="6115050" cy="2905125"/>
                        </a:xfrm>
                        <a:prstGeom prst="rect">
                          <a:avLst/>
                        </a:prstGeom>
                        <a:noFill/>
                        <a:ln w="9525">
                          <a:noFill/>
                        </a:ln>
                        <a:effectLst/>
                      </wps:spPr>
                      <wps:bodyPr upright="1"/>
                    </wps:wsp>
                  </a:graphicData>
                </a:graphic>
              </wp:inline>
            </w:drawing>
          </mc:Choice>
          <mc:Fallback>
            <w:pict>
              <v:rect id="_x0000_s1026" o:spid="_x0000_s1026" o:spt="1" style="height:228.75pt;width:481.5pt;" filled="f" stroked="f" coordsize="21600,21600" o:gfxdata="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Uag1C1gAAAAUBAAAPAAAAAAAAAAEAIAAA&#10;ACIAAABkcnMvZG93bnJldi54bWxQSwECFAAUAAAACACHTuJAz/Xel5wBAAAnAwAADgAAAAAAAAAB&#10;ACAAAAAlAQAAZHJzL2Uyb0RvYy54bWxQSwUGAAAAAAYABgBZAQAAMwUAAAAA&#10;">
                <v:path/>
                <v:fill on="f" focussize="0,0"/>
                <v:stroke on="f"/>
                <v:imagedata o:title=""/>
                <o:lock v:ext="edit"/>
                <w10:wrap type="none"/>
                <w10:anchorlock/>
              </v:rect>
            </w:pict>
          </mc:Fallback>
        </mc:AlternateContent>
      </w:r>
    </w:p>
    <w:p>
      <w:pPr>
        <w:autoSpaceDE w:val="0"/>
        <w:autoSpaceDN w:val="0"/>
        <w:ind w:firstLine="420" w:firstLineChars="200"/>
        <w:jc w:val="left"/>
        <w:rPr>
          <w:rFonts w:ascii="宋体" w:hAnsi="宋体" w:cs="宋体"/>
          <w:kern w:val="0"/>
          <w:szCs w:val="21"/>
        </w:rPr>
      </w:pPr>
      <w:r>
        <w:rPr>
          <w:rFonts w:hint="eastAsia" w:ascii="宋体" w:hAnsi="宋体" w:cs="宋体"/>
          <w:kern w:val="0"/>
          <w:szCs w:val="21"/>
        </w:rPr>
        <w:t>生产安全部组织生产、技术、质量部门找出问题原因，并拟定维修方案，报请业主审查后执行。</w:t>
      </w:r>
    </w:p>
    <w:p>
      <w:pPr>
        <w:autoSpaceDE w:val="0"/>
        <w:autoSpaceDN w:val="0"/>
        <w:ind w:firstLine="420" w:firstLineChars="200"/>
        <w:jc w:val="left"/>
        <w:rPr>
          <w:rFonts w:ascii="宋体" w:hAnsi="宋体" w:cs="宋体"/>
          <w:kern w:val="0"/>
          <w:szCs w:val="21"/>
        </w:rPr>
      </w:pPr>
      <w:r>
        <w:rPr>
          <w:rFonts w:hint="eastAsia" w:ascii="宋体" w:hAnsi="宋体" w:cs="宋体"/>
          <w:kern w:val="0"/>
          <w:szCs w:val="21"/>
        </w:rPr>
        <w:t>审批后的维修方案将由我单位生产安全部将《工程维修任务单》连同《工程维修记录表》一并下发给保修责任人，并对责任人进行交底。</w:t>
      </w:r>
    </w:p>
    <w:p>
      <w:pPr>
        <w:autoSpaceDE w:val="0"/>
        <w:autoSpaceDN w:val="0"/>
        <w:ind w:firstLine="420" w:firstLineChars="200"/>
        <w:jc w:val="left"/>
        <w:rPr>
          <w:rFonts w:ascii="宋体" w:hAnsi="宋体" w:cs="宋体"/>
          <w:kern w:val="0"/>
          <w:szCs w:val="21"/>
        </w:rPr>
      </w:pPr>
      <w:r>
        <w:rPr>
          <w:rFonts w:hint="eastAsia" w:ascii="宋体" w:hAnsi="宋体" w:cs="宋体"/>
          <w:kern w:val="0"/>
          <w:szCs w:val="21"/>
        </w:rPr>
        <w:t>保修责任人按《工程维修任务单》的内容，组织保修人员和所需材料进行维修。</w:t>
      </w:r>
    </w:p>
    <w:p>
      <w:pPr>
        <w:autoSpaceDE w:val="0"/>
        <w:autoSpaceDN w:val="0"/>
        <w:ind w:firstLine="420" w:firstLineChars="200"/>
        <w:jc w:val="left"/>
        <w:rPr>
          <w:rFonts w:ascii="宋体" w:hAnsi="宋体" w:cs="宋体"/>
          <w:kern w:val="0"/>
          <w:szCs w:val="21"/>
        </w:rPr>
      </w:pPr>
      <w:r>
        <w:rPr>
          <w:rFonts w:hint="eastAsia" w:ascii="宋体" w:hAnsi="宋体" w:cs="宋体"/>
          <w:kern w:val="0"/>
          <w:szCs w:val="21"/>
        </w:rPr>
        <w:t>任务完工验收合格后，专业保修责任人将经业主确认的《工程维修任务单》返回生产安全部，并填写《工程维修记录表》送生产安全部备案。</w:t>
      </w:r>
    </w:p>
    <w:p>
      <w:pPr>
        <w:pStyle w:val="3"/>
        <w:rPr>
          <w:rFonts w:ascii="宋体" w:hAnsi="宋体" w:cs="宋体"/>
          <w:sz w:val="21"/>
          <w:szCs w:val="21"/>
        </w:rPr>
      </w:pPr>
      <w:bookmarkStart w:id="5" w:name="_Toc6863"/>
      <w:r>
        <w:rPr>
          <w:rFonts w:hint="eastAsia" w:ascii="宋体" w:hAnsi="宋体" w:cs="宋体"/>
          <w:sz w:val="21"/>
          <w:szCs w:val="21"/>
        </w:rPr>
        <w:t>4.5.6严重故障的应急预案</w:t>
      </w:r>
      <w:bookmarkEnd w:id="5"/>
    </w:p>
    <w:p>
      <w:pPr>
        <w:ind w:firstLine="420" w:firstLineChars="200"/>
        <w:rPr>
          <w:rFonts w:ascii="宋体" w:hAnsi="宋体" w:cs="宋体"/>
          <w:szCs w:val="21"/>
        </w:rPr>
      </w:pPr>
      <w:r>
        <w:rPr>
          <w:rFonts w:hint="eastAsia" w:ascii="宋体" w:hAnsi="宋体" w:cs="宋体"/>
          <w:szCs w:val="21"/>
        </w:rPr>
        <w:t>为加强值班安全管理，及时妥善处理发生的各类安全紧急事件，提高紧急突发性事件的快速反映和各项应急工作的协调开展，确保企业及员工财产和人身安全，结合企业实际情况，特制定企业突发事件应急预案。</w:t>
      </w:r>
    </w:p>
    <w:p>
      <w:pPr>
        <w:rPr>
          <w:rFonts w:ascii="宋体" w:hAnsi="宋体" w:cs="宋体"/>
          <w:szCs w:val="21"/>
        </w:rPr>
      </w:pPr>
      <w:r>
        <w:rPr>
          <w:rFonts w:hint="eastAsia" w:ascii="宋体" w:hAnsi="宋体" w:cs="宋体"/>
          <w:szCs w:val="21"/>
        </w:rPr>
        <w:t>（1）指导思想</w:t>
      </w:r>
    </w:p>
    <w:p>
      <w:pPr>
        <w:ind w:firstLine="420" w:firstLineChars="200"/>
        <w:rPr>
          <w:rFonts w:ascii="宋体" w:hAnsi="宋体" w:cs="宋体"/>
          <w:szCs w:val="21"/>
        </w:rPr>
      </w:pPr>
      <w:r>
        <w:rPr>
          <w:rFonts w:hint="eastAsia" w:ascii="宋体" w:hAnsi="宋体" w:cs="宋体"/>
          <w:szCs w:val="21"/>
        </w:rPr>
        <w:t>依据企业安全生产管理制度，本着预防为主，迅速及时、有效地开展各项处置工作，切实维护企业的安全与稳定。在处置突发事件时，要态度明确，区分性质，严格纪律，讲究策略，措施得力，处置果断，防止事态扩大。</w:t>
      </w:r>
    </w:p>
    <w:p>
      <w:pPr>
        <w:rPr>
          <w:rFonts w:ascii="宋体" w:hAnsi="宋体" w:cs="宋体"/>
          <w:szCs w:val="21"/>
        </w:rPr>
      </w:pPr>
      <w:r>
        <w:rPr>
          <w:rFonts w:hint="eastAsia" w:ascii="宋体" w:hAnsi="宋体" w:cs="宋体"/>
          <w:szCs w:val="21"/>
        </w:rPr>
        <w:t>（2）报告制度和程序</w:t>
      </w:r>
    </w:p>
    <w:p>
      <w:pPr>
        <w:ind w:firstLine="420" w:firstLineChars="200"/>
        <w:rPr>
          <w:rFonts w:ascii="宋体" w:hAnsi="宋体" w:cs="宋体"/>
          <w:szCs w:val="21"/>
        </w:rPr>
      </w:pPr>
      <w:r>
        <w:rPr>
          <w:rFonts w:hint="eastAsia" w:ascii="宋体" w:hAnsi="宋体" w:cs="宋体"/>
          <w:szCs w:val="21"/>
        </w:rPr>
        <w:t>1）发生安全事故后，值班人员应及时向企业安全工作领导小组报告，并视情况迅速拨打110、120、119应急电话（110匪警、120救护、119火警）。</w:t>
      </w:r>
    </w:p>
    <w:p>
      <w:pPr>
        <w:ind w:firstLine="420" w:firstLineChars="200"/>
        <w:rPr>
          <w:rFonts w:ascii="宋体" w:hAnsi="宋体" w:cs="宋体"/>
          <w:szCs w:val="21"/>
        </w:rPr>
      </w:pPr>
      <w:r>
        <w:rPr>
          <w:rFonts w:hint="eastAsia" w:ascii="宋体" w:hAnsi="宋体" w:cs="宋体"/>
          <w:szCs w:val="21"/>
        </w:rPr>
        <w:t>2）值班人员应根据事故情况，在24小时内写出书面报告，逐级上报。</w:t>
      </w:r>
    </w:p>
    <w:p>
      <w:pPr>
        <w:ind w:firstLine="420" w:firstLineChars="200"/>
        <w:rPr>
          <w:rFonts w:ascii="宋体" w:hAnsi="宋体" w:cs="宋体"/>
          <w:szCs w:val="21"/>
        </w:rPr>
      </w:pPr>
      <w:r>
        <w:rPr>
          <w:rFonts w:hint="eastAsia" w:ascii="宋体" w:hAnsi="宋体" w:cs="宋体"/>
          <w:szCs w:val="21"/>
        </w:rPr>
        <w:t>3）报告内容如下：事故的时间、地点、事故简要经过、已采取措施和事故控制情况以及报告人。</w:t>
      </w:r>
    </w:p>
    <w:p>
      <w:pPr>
        <w:rPr>
          <w:rFonts w:ascii="宋体" w:hAnsi="宋体" w:cs="宋体"/>
          <w:szCs w:val="21"/>
        </w:rPr>
      </w:pPr>
      <w:r>
        <w:rPr>
          <w:rFonts w:hint="eastAsia" w:ascii="宋体" w:hAnsi="宋体" w:cs="宋体"/>
          <w:szCs w:val="21"/>
        </w:rPr>
        <w:t>（3）安全事故应急预案</w:t>
      </w:r>
    </w:p>
    <w:p>
      <w:pPr>
        <w:numPr>
          <w:ilvl w:val="0"/>
          <w:numId w:val="1"/>
        </w:numPr>
        <w:rPr>
          <w:rFonts w:ascii="宋体" w:hAnsi="宋体" w:cs="宋体"/>
          <w:szCs w:val="21"/>
        </w:rPr>
      </w:pPr>
      <w:r>
        <w:rPr>
          <w:rFonts w:hint="eastAsia" w:ascii="宋体" w:hAnsi="宋体" w:cs="宋体"/>
          <w:szCs w:val="21"/>
        </w:rPr>
        <w:t>消防应急预案</w:t>
      </w:r>
    </w:p>
    <w:p>
      <w:pPr>
        <w:numPr>
          <w:ilvl w:val="0"/>
          <w:numId w:val="2"/>
        </w:numPr>
        <w:rPr>
          <w:rFonts w:ascii="宋体" w:hAnsi="宋体" w:cs="宋体"/>
          <w:szCs w:val="21"/>
        </w:rPr>
      </w:pPr>
      <w:r>
        <w:rPr>
          <w:rFonts w:hint="eastAsia" w:ascii="宋体" w:hAnsi="宋体" w:cs="宋体"/>
          <w:szCs w:val="21"/>
        </w:rPr>
        <w:t>发现火警后，在场工作人员应及时向值班领导汇报，迅速扑灭火源，值班人员在接到火警信息后立即组织抢险，并视火情及时拨打119火警电话。</w:t>
      </w:r>
    </w:p>
    <w:p>
      <w:pPr>
        <w:numPr>
          <w:ilvl w:val="0"/>
          <w:numId w:val="2"/>
        </w:numPr>
        <w:rPr>
          <w:rFonts w:ascii="宋体" w:hAnsi="宋体" w:cs="宋体"/>
          <w:szCs w:val="21"/>
        </w:rPr>
      </w:pPr>
      <w:r>
        <w:rPr>
          <w:rFonts w:hint="eastAsia" w:ascii="宋体" w:hAnsi="宋体" w:cs="宋体"/>
          <w:szCs w:val="21"/>
        </w:rPr>
        <w:t>保障安全通道畅通，有组织的做好人员疏散工作，在疏散过程中，应井然有序，避免拥挤所发生的人身伤亡事故。</w:t>
      </w:r>
    </w:p>
    <w:p>
      <w:pPr>
        <w:numPr>
          <w:ilvl w:val="0"/>
          <w:numId w:val="2"/>
        </w:numPr>
        <w:rPr>
          <w:rFonts w:ascii="宋体" w:hAnsi="宋体" w:cs="宋体"/>
          <w:szCs w:val="21"/>
        </w:rPr>
      </w:pPr>
      <w:r>
        <w:rPr>
          <w:rFonts w:hint="eastAsia" w:ascii="宋体" w:hAnsi="宋体" w:cs="宋体"/>
          <w:szCs w:val="21"/>
        </w:rPr>
        <w:t>应坚持先救人，后救火的原则，如有人被火围困，需立即组织力量抢救。</w:t>
      </w:r>
    </w:p>
    <w:p>
      <w:pPr>
        <w:numPr>
          <w:ilvl w:val="0"/>
          <w:numId w:val="2"/>
        </w:numPr>
        <w:rPr>
          <w:rFonts w:ascii="宋体" w:hAnsi="宋体" w:cs="宋体"/>
          <w:szCs w:val="21"/>
        </w:rPr>
      </w:pPr>
      <w:r>
        <w:rPr>
          <w:rFonts w:hint="eastAsia" w:ascii="宋体" w:hAnsi="宋体" w:cs="宋体"/>
          <w:szCs w:val="21"/>
        </w:rPr>
        <w:t>控制火势，防止火势蔓延，极力抢救财物，降低火灾所造成的损失。</w:t>
      </w:r>
    </w:p>
    <w:p>
      <w:pPr>
        <w:numPr>
          <w:ilvl w:val="0"/>
          <w:numId w:val="3"/>
        </w:numPr>
        <w:rPr>
          <w:rFonts w:ascii="宋体" w:hAnsi="宋体" w:cs="宋体"/>
          <w:szCs w:val="21"/>
        </w:rPr>
      </w:pPr>
      <w:r>
        <w:rPr>
          <w:rFonts w:hint="eastAsia" w:ascii="宋体" w:hAnsi="宋体" w:cs="宋体"/>
          <w:szCs w:val="21"/>
        </w:rPr>
        <w:t>自然灾害应急预案</w:t>
      </w:r>
    </w:p>
    <w:p>
      <w:pPr>
        <w:numPr>
          <w:ilvl w:val="0"/>
          <w:numId w:val="4"/>
        </w:numPr>
        <w:rPr>
          <w:rFonts w:ascii="宋体" w:hAnsi="宋体" w:cs="宋体"/>
          <w:szCs w:val="21"/>
        </w:rPr>
      </w:pPr>
      <w:r>
        <w:rPr>
          <w:rFonts w:hint="eastAsia" w:ascii="宋体" w:hAnsi="宋体" w:cs="宋体"/>
          <w:szCs w:val="21"/>
        </w:rPr>
        <w:t>自然灾害发生后，值班人员应立即通知安全工作领导小组，迅速到位；</w:t>
      </w:r>
    </w:p>
    <w:p>
      <w:pPr>
        <w:numPr>
          <w:ilvl w:val="0"/>
          <w:numId w:val="4"/>
        </w:numPr>
        <w:rPr>
          <w:rFonts w:ascii="宋体" w:hAnsi="宋体" w:cs="宋体"/>
          <w:szCs w:val="21"/>
        </w:rPr>
      </w:pPr>
      <w:r>
        <w:rPr>
          <w:rFonts w:hint="eastAsia" w:ascii="宋体" w:hAnsi="宋体" w:cs="宋体"/>
          <w:szCs w:val="21"/>
        </w:rPr>
        <w:t>认真组织员工疏散到安全地带，对没有及时撤出的人员，应极力查找或营救。 </w:t>
      </w:r>
    </w:p>
    <w:p>
      <w:pPr>
        <w:numPr>
          <w:ilvl w:val="0"/>
          <w:numId w:val="4"/>
        </w:numPr>
        <w:rPr>
          <w:rFonts w:ascii="宋体" w:hAnsi="宋体" w:cs="宋体"/>
          <w:szCs w:val="21"/>
        </w:rPr>
      </w:pPr>
      <w:r>
        <w:rPr>
          <w:rFonts w:hint="eastAsia" w:ascii="宋体" w:hAnsi="宋体" w:cs="宋体"/>
          <w:szCs w:val="21"/>
        </w:rPr>
        <w:t>沉着应对突发灾害性事故的发生，积极开展自救和互救工作，使人员和财产损失降到最低限度，有效保障员工的生命和企业的财产安全。</w:t>
      </w:r>
    </w:p>
    <w:p>
      <w:pPr>
        <w:numPr>
          <w:ilvl w:val="0"/>
          <w:numId w:val="4"/>
        </w:numPr>
        <w:rPr>
          <w:rFonts w:ascii="宋体" w:hAnsi="宋体" w:cs="宋体"/>
          <w:szCs w:val="21"/>
        </w:rPr>
      </w:pPr>
      <w:r>
        <w:rPr>
          <w:rFonts w:hint="eastAsia" w:ascii="宋体" w:hAnsi="宋体" w:cs="宋体"/>
          <w:szCs w:val="21"/>
        </w:rPr>
        <w:t>各部门应积极主动协助配合领导小组维护好企业秩序，并向上级部门报告伤亡人数及损失情况。</w:t>
      </w:r>
    </w:p>
    <w:p>
      <w:pPr>
        <w:numPr>
          <w:ilvl w:val="0"/>
          <w:numId w:val="5"/>
        </w:numPr>
        <w:rPr>
          <w:rFonts w:ascii="宋体" w:hAnsi="宋体" w:cs="宋体"/>
          <w:szCs w:val="21"/>
        </w:rPr>
      </w:pPr>
      <w:r>
        <w:rPr>
          <w:rFonts w:hint="eastAsia" w:ascii="宋体" w:hAnsi="宋体" w:cs="宋体"/>
          <w:szCs w:val="21"/>
        </w:rPr>
        <w:t>防范被盗应急预案</w:t>
      </w:r>
    </w:p>
    <w:p>
      <w:pPr>
        <w:numPr>
          <w:ilvl w:val="0"/>
          <w:numId w:val="6"/>
        </w:numPr>
        <w:rPr>
          <w:rFonts w:ascii="宋体" w:hAnsi="宋体" w:cs="宋体"/>
          <w:szCs w:val="21"/>
        </w:rPr>
      </w:pPr>
      <w:r>
        <w:rPr>
          <w:rFonts w:hint="eastAsia" w:ascii="宋体" w:hAnsi="宋体" w:cs="宋体"/>
          <w:szCs w:val="21"/>
        </w:rPr>
        <w:t>盗窃事件发生后，立即保护好现场，并通知物业管理部来进行调查，查找被盗原因；</w:t>
      </w:r>
    </w:p>
    <w:p>
      <w:pPr>
        <w:numPr>
          <w:ilvl w:val="0"/>
          <w:numId w:val="6"/>
        </w:numPr>
        <w:rPr>
          <w:rFonts w:ascii="宋体" w:hAnsi="宋体" w:cs="宋体"/>
          <w:szCs w:val="21"/>
        </w:rPr>
      </w:pPr>
      <w:r>
        <w:rPr>
          <w:rFonts w:hint="eastAsia" w:ascii="宋体" w:hAnsi="宋体" w:cs="宋体"/>
          <w:szCs w:val="21"/>
        </w:rPr>
        <w:t>及时向企业领导报告情况；</w:t>
      </w:r>
    </w:p>
    <w:p>
      <w:pPr>
        <w:numPr>
          <w:ilvl w:val="0"/>
          <w:numId w:val="6"/>
        </w:numPr>
        <w:rPr>
          <w:rFonts w:ascii="宋体" w:hAnsi="宋体" w:cs="宋体"/>
          <w:szCs w:val="21"/>
        </w:rPr>
      </w:pPr>
      <w:r>
        <w:rPr>
          <w:rFonts w:hint="eastAsia" w:ascii="宋体" w:hAnsi="宋体" w:cs="宋体"/>
          <w:szCs w:val="21"/>
        </w:rPr>
        <w:t>如发现有人现场作案，应先拨打“110”，并对正在实施犯罪行为的不法分子预以制止，组织保卫力量将其抓获交公安部门处理。</w:t>
      </w:r>
    </w:p>
    <w:p>
      <w:pPr>
        <w:numPr>
          <w:ilvl w:val="0"/>
          <w:numId w:val="7"/>
        </w:numPr>
        <w:rPr>
          <w:rFonts w:ascii="宋体" w:hAnsi="宋体" w:cs="宋体"/>
          <w:szCs w:val="21"/>
        </w:rPr>
      </w:pPr>
      <w:r>
        <w:rPr>
          <w:rFonts w:hint="eastAsia" w:ascii="宋体" w:hAnsi="宋体" w:cs="宋体"/>
          <w:szCs w:val="21"/>
        </w:rPr>
        <w:t>侵害员工事件应急预案</w:t>
      </w:r>
    </w:p>
    <w:p>
      <w:pPr>
        <w:numPr>
          <w:ilvl w:val="0"/>
          <w:numId w:val="8"/>
        </w:numPr>
        <w:rPr>
          <w:rFonts w:ascii="宋体" w:hAnsi="宋体" w:cs="宋体"/>
          <w:szCs w:val="21"/>
        </w:rPr>
      </w:pPr>
      <w:r>
        <w:rPr>
          <w:rFonts w:hint="eastAsia" w:ascii="宋体" w:hAnsi="宋体" w:cs="宋体"/>
          <w:szCs w:val="21"/>
        </w:rPr>
        <w:t>员工之间发生矛盾冲突，在场人员应加以劝阻，并向值班领导报告，如有受伤人员应及时就医，调查事实经过，对当事双方做出相应处分。</w:t>
      </w:r>
    </w:p>
    <w:p>
      <w:pPr>
        <w:numPr>
          <w:ilvl w:val="0"/>
          <w:numId w:val="8"/>
        </w:numPr>
        <w:rPr>
          <w:rFonts w:ascii="宋体" w:hAnsi="宋体" w:cs="宋体"/>
          <w:szCs w:val="21"/>
        </w:rPr>
      </w:pPr>
      <w:r>
        <w:rPr>
          <w:rFonts w:hint="eastAsia" w:ascii="宋体" w:hAnsi="宋体" w:cs="宋体"/>
          <w:szCs w:val="21"/>
        </w:rPr>
        <w:t>若有外来人员不履行登记手续，强行闯入，门卫保安员应加以阻止，并报值班领导，不得随意放行。</w:t>
      </w:r>
    </w:p>
    <w:p>
      <w:pPr>
        <w:numPr>
          <w:ilvl w:val="0"/>
          <w:numId w:val="8"/>
        </w:numPr>
        <w:rPr>
          <w:rFonts w:ascii="宋体" w:hAnsi="宋体" w:cs="宋体"/>
          <w:szCs w:val="21"/>
        </w:rPr>
      </w:pPr>
      <w:r>
        <w:rPr>
          <w:rFonts w:hint="eastAsia" w:ascii="宋体" w:hAnsi="宋体" w:cs="宋体"/>
          <w:szCs w:val="21"/>
        </w:rPr>
        <w:t>发现不法分子来企业滋事、斗殴、行凶，应予以制止以防意外和不测，同时应拨打“110”。</w:t>
      </w:r>
    </w:p>
    <w:p>
      <w:pPr>
        <w:numPr>
          <w:ilvl w:val="0"/>
          <w:numId w:val="8"/>
        </w:numPr>
        <w:rPr>
          <w:rFonts w:ascii="宋体" w:hAnsi="宋体" w:cs="宋体"/>
          <w:szCs w:val="21"/>
        </w:rPr>
      </w:pPr>
      <w:r>
        <w:rPr>
          <w:rFonts w:hint="eastAsia" w:ascii="宋体" w:hAnsi="宋体" w:cs="宋体"/>
          <w:szCs w:val="21"/>
        </w:rPr>
        <w:t>如有敲诈、伤害事件发生，必须立刻采取救治措施，视情况必要时拨打“120”救护电话。</w:t>
      </w:r>
    </w:p>
    <w:p>
      <w:pPr>
        <w:rPr>
          <w:rFonts w:ascii="宋体" w:hAnsi="宋体" w:cs="宋体"/>
          <w:szCs w:val="21"/>
        </w:rPr>
      </w:pPr>
      <w:r>
        <w:rPr>
          <w:rFonts w:hint="eastAsia" w:ascii="宋体" w:hAnsi="宋体" w:cs="宋体"/>
          <w:szCs w:val="21"/>
        </w:rPr>
        <w:t>（4）全员参与，落实到位</w:t>
      </w:r>
    </w:p>
    <w:p>
      <w:pPr>
        <w:ind w:firstLine="420" w:firstLineChars="200"/>
        <w:rPr>
          <w:rFonts w:ascii="宋体" w:hAnsi="宋体" w:cs="宋体"/>
          <w:szCs w:val="21"/>
        </w:rPr>
      </w:pPr>
      <w:r>
        <w:rPr>
          <w:rFonts w:hint="eastAsia" w:ascii="宋体" w:hAnsi="宋体" w:cs="宋体"/>
          <w:szCs w:val="21"/>
        </w:rPr>
        <w:t>目前，企业已经形成了比较完善的安全生产管理预防措施，对安全生产管理涉及到的内容进行了制度规范，只有全员参与，预防为主，狠抓落实，才能减少安全事故和意外事件的发生。</w:t>
      </w:r>
    </w:p>
    <w:p>
      <w:pPr>
        <w:pStyle w:val="3"/>
        <w:rPr>
          <w:rFonts w:ascii="宋体" w:hAnsi="宋体" w:cs="宋体"/>
          <w:sz w:val="21"/>
          <w:szCs w:val="21"/>
        </w:rPr>
      </w:pPr>
      <w:bookmarkStart w:id="6" w:name="_Toc24965"/>
      <w:bookmarkStart w:id="7" w:name="_Toc13253"/>
      <w:bookmarkStart w:id="8" w:name="_Toc27772"/>
      <w:bookmarkStart w:id="9" w:name="_Toc26492"/>
      <w:bookmarkStart w:id="10" w:name="_Toc9866"/>
      <w:bookmarkStart w:id="11" w:name="_Toc16709"/>
      <w:bookmarkStart w:id="12" w:name="_Toc9716"/>
      <w:bookmarkStart w:id="13" w:name="_Toc9598"/>
      <w:r>
        <w:rPr>
          <w:rFonts w:hint="eastAsia" w:ascii="宋体" w:hAnsi="宋体" w:cs="宋体"/>
          <w:sz w:val="21"/>
          <w:szCs w:val="21"/>
        </w:rPr>
        <w:t>4.5.7培训承诺</w:t>
      </w:r>
      <w:bookmarkEnd w:id="6"/>
      <w:bookmarkEnd w:id="7"/>
      <w:bookmarkEnd w:id="8"/>
      <w:bookmarkEnd w:id="9"/>
      <w:bookmarkEnd w:id="10"/>
      <w:bookmarkEnd w:id="11"/>
      <w:bookmarkEnd w:id="12"/>
      <w:bookmarkEnd w:id="13"/>
    </w:p>
    <w:p>
      <w:pPr>
        <w:numPr>
          <w:ilvl w:val="0"/>
          <w:numId w:val="9"/>
        </w:numPr>
        <w:ind w:firstLine="420" w:firstLineChars="200"/>
        <w:rPr>
          <w:rFonts w:ascii="宋体" w:hAnsi="宋体" w:cs="宋体"/>
          <w:szCs w:val="21"/>
        </w:rPr>
      </w:pPr>
      <w:r>
        <w:rPr>
          <w:rFonts w:hint="eastAsia" w:ascii="宋体" w:hAnsi="宋体" w:cs="宋体"/>
          <w:szCs w:val="21"/>
        </w:rPr>
        <w:t>为使用户能够尽快熟练的掌握、使用系统，为本项目制定了详细的培训计划。</w:t>
      </w:r>
    </w:p>
    <w:p>
      <w:pPr>
        <w:numPr>
          <w:ilvl w:val="0"/>
          <w:numId w:val="9"/>
        </w:numPr>
        <w:ind w:firstLine="420" w:firstLineChars="200"/>
        <w:rPr>
          <w:rFonts w:ascii="宋体" w:hAnsi="宋体" w:cs="宋体"/>
          <w:szCs w:val="21"/>
        </w:rPr>
      </w:pPr>
      <w:r>
        <w:rPr>
          <w:rFonts w:hint="eastAsia" w:ascii="宋体" w:hAnsi="宋体" w:cs="宋体"/>
          <w:szCs w:val="21"/>
        </w:rPr>
        <w:t>在培训内容、时间、人数、地点以及师资安排等方面均按客户对培训服务的要求。经用户方确认同意后就可以按照制定的培训计划实施。</w:t>
      </w:r>
    </w:p>
    <w:p>
      <w:pPr>
        <w:numPr>
          <w:ilvl w:val="0"/>
          <w:numId w:val="9"/>
        </w:numPr>
        <w:ind w:firstLine="420" w:firstLineChars="200"/>
        <w:rPr>
          <w:rFonts w:ascii="宋体" w:hAnsi="宋体" w:cs="宋体"/>
          <w:szCs w:val="21"/>
        </w:rPr>
      </w:pPr>
      <w:r>
        <w:rPr>
          <w:rFonts w:hint="eastAsia" w:ascii="宋体" w:hAnsi="宋体" w:cs="宋体"/>
          <w:szCs w:val="21"/>
        </w:rPr>
        <w:t>培训计划中的专业培训由系统集成商和用户共同协商安排。</w:t>
      </w:r>
    </w:p>
    <w:p>
      <w:pPr>
        <w:numPr>
          <w:ilvl w:val="0"/>
          <w:numId w:val="9"/>
        </w:numPr>
        <w:ind w:firstLine="420" w:firstLineChars="200"/>
        <w:rPr>
          <w:rFonts w:ascii="宋体" w:hAnsi="宋体" w:cs="宋体"/>
          <w:szCs w:val="21"/>
        </w:rPr>
      </w:pPr>
      <w:r>
        <w:rPr>
          <w:rFonts w:hint="eastAsia" w:ascii="宋体" w:hAnsi="宋体" w:cs="宋体"/>
          <w:szCs w:val="21"/>
        </w:rPr>
        <w:t>在培训方式上，我公司采用两种培训方式，第一种是课堂培训和系统演示相结合的培训，同时提供一个正在运行的相似系统进行现场观测；</w:t>
      </w:r>
    </w:p>
    <w:p>
      <w:pPr>
        <w:numPr>
          <w:ilvl w:val="0"/>
          <w:numId w:val="9"/>
        </w:numPr>
        <w:ind w:firstLine="420" w:firstLineChars="200"/>
        <w:rPr>
          <w:rFonts w:ascii="宋体" w:hAnsi="宋体" w:cs="宋体"/>
          <w:szCs w:val="21"/>
        </w:rPr>
      </w:pPr>
      <w:r>
        <w:rPr>
          <w:rFonts w:hint="eastAsia" w:ascii="宋体" w:hAnsi="宋体" w:cs="宋体"/>
          <w:szCs w:val="21"/>
        </w:rPr>
        <w:t>我公司提供每人一套详细完备、通俗易懂的使用手册；</w:t>
      </w:r>
    </w:p>
    <w:p>
      <w:pPr>
        <w:numPr>
          <w:ilvl w:val="0"/>
          <w:numId w:val="9"/>
        </w:numPr>
        <w:ind w:firstLine="420" w:firstLineChars="200"/>
        <w:rPr>
          <w:rFonts w:ascii="宋体" w:hAnsi="宋体" w:cs="宋体"/>
          <w:szCs w:val="21"/>
        </w:rPr>
      </w:pPr>
      <w:r>
        <w:rPr>
          <w:rFonts w:hint="eastAsia" w:ascii="宋体" w:hAnsi="宋体" w:cs="宋体"/>
          <w:szCs w:val="21"/>
        </w:rPr>
        <w:t>在用户培训课程中，我方将派出专业的教员，拥有超过五年以上的工程施工、设备安装调试实践经验，并在相同课程中具有三年以上的教学经验，培训老师的资格在得到用户的同意后才能进行培训；</w:t>
      </w:r>
    </w:p>
    <w:p>
      <w:pPr>
        <w:numPr>
          <w:ilvl w:val="0"/>
          <w:numId w:val="9"/>
        </w:numPr>
        <w:ind w:firstLine="420" w:firstLineChars="200"/>
        <w:rPr>
          <w:rFonts w:ascii="宋体" w:hAnsi="宋体" w:cs="宋体"/>
          <w:szCs w:val="21"/>
        </w:rPr>
      </w:pPr>
      <w:r>
        <w:rPr>
          <w:rFonts w:hint="eastAsia" w:ascii="宋体" w:hAnsi="宋体" w:cs="宋体"/>
          <w:szCs w:val="21"/>
        </w:rPr>
        <w:t>所有的培训课程采用中文授课，除非有其他的协议规定。</w:t>
      </w:r>
    </w:p>
    <w:p>
      <w:pPr>
        <w:numPr>
          <w:ilvl w:val="0"/>
          <w:numId w:val="9"/>
        </w:numPr>
        <w:ind w:firstLine="420" w:firstLineChars="200"/>
        <w:rPr>
          <w:rFonts w:ascii="宋体" w:hAnsi="宋体" w:cs="宋体"/>
          <w:szCs w:val="21"/>
        </w:rPr>
      </w:pPr>
      <w:r>
        <w:rPr>
          <w:rFonts w:hint="eastAsia" w:ascii="宋体" w:hAnsi="宋体" w:cs="宋体"/>
          <w:szCs w:val="21"/>
        </w:rPr>
        <w:t>我公司为所有参加培训人员提供培训用摄像机、功放、停车场、培训环境、文字资料和讲义等相关用品。所有的资料是中文编写。</w:t>
      </w:r>
    </w:p>
    <w:p>
      <w:pPr>
        <w:numPr>
          <w:ilvl w:val="0"/>
          <w:numId w:val="9"/>
        </w:numPr>
        <w:ind w:firstLine="420" w:firstLineChars="200"/>
        <w:rPr>
          <w:rFonts w:ascii="宋体" w:hAnsi="宋体" w:cs="宋体"/>
          <w:szCs w:val="21"/>
        </w:rPr>
      </w:pPr>
      <w:r>
        <w:rPr>
          <w:rFonts w:hint="eastAsia" w:ascii="宋体" w:hAnsi="宋体" w:cs="宋体"/>
          <w:szCs w:val="21"/>
        </w:rPr>
        <w:t>用户单位培训在设备安装调试完成后，系统试运行期间进行。</w:t>
      </w:r>
    </w:p>
    <w:p>
      <w:pPr>
        <w:pStyle w:val="3"/>
        <w:rPr>
          <w:rFonts w:ascii="宋体" w:hAnsi="宋体" w:cs="宋体"/>
          <w:sz w:val="21"/>
          <w:szCs w:val="21"/>
        </w:rPr>
      </w:pPr>
      <w:bookmarkStart w:id="14" w:name="_Toc17096"/>
      <w:bookmarkStart w:id="15" w:name="_Toc20912"/>
      <w:bookmarkStart w:id="16" w:name="_Toc710"/>
      <w:bookmarkStart w:id="17" w:name="_Toc15338"/>
      <w:bookmarkStart w:id="18" w:name="_Toc15342"/>
      <w:bookmarkStart w:id="19" w:name="_Toc18375"/>
      <w:bookmarkStart w:id="20" w:name="_Toc27885"/>
      <w:bookmarkStart w:id="21" w:name="_Toc11995"/>
      <w:bookmarkStart w:id="22" w:name="_Toc114"/>
      <w:bookmarkStart w:id="23" w:name="_Toc10026"/>
      <w:bookmarkStart w:id="24" w:name="_Toc12300"/>
      <w:bookmarkStart w:id="25" w:name="_Toc9885"/>
      <w:bookmarkStart w:id="26" w:name="_Toc23221"/>
      <w:bookmarkStart w:id="27" w:name="_Toc26664"/>
      <w:bookmarkStart w:id="28" w:name="_Toc15665"/>
      <w:bookmarkStart w:id="29" w:name="_Toc23506"/>
      <w:r>
        <w:rPr>
          <w:rFonts w:hint="eastAsia" w:ascii="宋体" w:hAnsi="宋体" w:cs="宋体"/>
          <w:sz w:val="21"/>
          <w:szCs w:val="21"/>
        </w:rPr>
        <w:t>4.5.8培训方式</w:t>
      </w:r>
      <w:bookmarkEnd w:id="14"/>
      <w:bookmarkEnd w:id="15"/>
      <w:bookmarkEnd w:id="16"/>
      <w:bookmarkEnd w:id="17"/>
      <w:bookmarkEnd w:id="18"/>
      <w:bookmarkEnd w:id="19"/>
      <w:bookmarkEnd w:id="20"/>
      <w:bookmarkEnd w:id="21"/>
    </w:p>
    <w:p>
      <w:pPr>
        <w:snapToGrid w:val="0"/>
        <w:ind w:firstLine="420" w:firstLineChars="200"/>
        <w:rPr>
          <w:rFonts w:ascii="宋体" w:hAnsi="宋体" w:cs="宋体"/>
          <w:szCs w:val="21"/>
        </w:rPr>
      </w:pPr>
      <w:r>
        <w:rPr>
          <w:rFonts w:hint="eastAsia" w:ascii="宋体" w:hAnsi="宋体" w:cs="宋体"/>
          <w:szCs w:val="21"/>
        </w:rPr>
        <w:t>根据培训内容的实现方式，分为现场安装演示培训、授课培训、设备原厂家培训。</w:t>
      </w:r>
    </w:p>
    <w:p>
      <w:pPr>
        <w:rPr>
          <w:rFonts w:ascii="宋体" w:hAnsi="宋体" w:cs="宋体"/>
          <w:szCs w:val="21"/>
        </w:rPr>
      </w:pPr>
      <w:bookmarkStart w:id="30" w:name="_Toc25959"/>
      <w:bookmarkStart w:id="31" w:name="_Toc8739"/>
      <w:bookmarkStart w:id="32" w:name="_Toc18296"/>
      <w:bookmarkStart w:id="33" w:name="_Toc32429"/>
      <w:bookmarkStart w:id="34" w:name="_Toc22443"/>
      <w:bookmarkStart w:id="35" w:name="_Toc198"/>
      <w:bookmarkStart w:id="36" w:name="_Toc13241"/>
      <w:r>
        <w:rPr>
          <w:rFonts w:hint="eastAsia" w:ascii="宋体" w:hAnsi="宋体" w:cs="宋体"/>
          <w:szCs w:val="21"/>
        </w:rPr>
        <w:t>（1）现场安装演示培训</w:t>
      </w:r>
      <w:bookmarkEnd w:id="30"/>
      <w:bookmarkEnd w:id="31"/>
      <w:bookmarkEnd w:id="32"/>
      <w:bookmarkEnd w:id="33"/>
      <w:bookmarkEnd w:id="34"/>
      <w:bookmarkEnd w:id="35"/>
      <w:bookmarkEnd w:id="36"/>
    </w:p>
    <w:p>
      <w:pPr>
        <w:snapToGrid w:val="0"/>
        <w:ind w:firstLine="420" w:firstLineChars="200"/>
        <w:rPr>
          <w:rFonts w:ascii="宋体" w:hAnsi="宋体" w:cs="宋体"/>
          <w:szCs w:val="21"/>
        </w:rPr>
      </w:pPr>
      <w:r>
        <w:rPr>
          <w:rFonts w:hint="eastAsia" w:ascii="宋体" w:hAnsi="宋体" w:cs="宋体"/>
          <w:szCs w:val="21"/>
        </w:rPr>
        <w:t>为使使用者能对设备尽快熟悉，并且掌握各系统设备的基本功能及简单操作，在设备安装调试过程中，我方将会邀请用户方信息系统管理人员陪同施工并给予必要的现场指导和解答。</w:t>
      </w:r>
    </w:p>
    <w:p>
      <w:pPr>
        <w:snapToGrid w:val="0"/>
        <w:ind w:firstLine="420" w:firstLineChars="200"/>
        <w:rPr>
          <w:rFonts w:ascii="宋体" w:hAnsi="宋体" w:cs="宋体"/>
          <w:szCs w:val="21"/>
        </w:rPr>
      </w:pPr>
      <w:r>
        <w:rPr>
          <w:rFonts w:hint="eastAsia" w:ascii="宋体" w:hAnsi="宋体" w:cs="宋体"/>
          <w:szCs w:val="21"/>
        </w:rPr>
        <w:t>为使维护人员能独立进行设备的安装 、测试、运营 、维护以及故障的排除等 ，公司负责对维护人员进行现场操作培训。现场操作培训可在安装调试阶段进行。</w:t>
      </w:r>
    </w:p>
    <w:p>
      <w:pPr>
        <w:snapToGrid w:val="0"/>
        <w:ind w:firstLine="420" w:firstLineChars="200"/>
        <w:rPr>
          <w:rFonts w:ascii="宋体" w:hAnsi="宋体" w:cs="宋体"/>
          <w:szCs w:val="21"/>
        </w:rPr>
      </w:pPr>
      <w:r>
        <w:rPr>
          <w:rFonts w:hint="eastAsia" w:ascii="宋体" w:hAnsi="宋体" w:cs="宋体"/>
          <w:szCs w:val="21"/>
        </w:rPr>
        <w:t>对学习产生的问题随即解答，具有很强的实践和交互性，但人数不能过多。这种方式的培训我们在所有设备的安装和调试中都将积极予以实现。</w:t>
      </w:r>
    </w:p>
    <w:p>
      <w:pPr>
        <w:rPr>
          <w:rFonts w:ascii="宋体" w:hAnsi="宋体" w:cs="宋体"/>
          <w:szCs w:val="21"/>
        </w:rPr>
      </w:pPr>
      <w:bookmarkStart w:id="37" w:name="_Toc24247"/>
      <w:bookmarkStart w:id="38" w:name="_Toc32100"/>
      <w:bookmarkStart w:id="39" w:name="_Toc10558"/>
      <w:bookmarkStart w:id="40" w:name="_Toc16811"/>
      <w:bookmarkStart w:id="41" w:name="_Toc31040"/>
      <w:bookmarkStart w:id="42" w:name="_Toc4185"/>
      <w:bookmarkStart w:id="43" w:name="_Toc8766"/>
      <w:r>
        <w:rPr>
          <w:rFonts w:hint="eastAsia" w:ascii="宋体" w:hAnsi="宋体" w:cs="宋体"/>
          <w:szCs w:val="21"/>
        </w:rPr>
        <w:t>（2）授课理论培训</w:t>
      </w:r>
      <w:bookmarkEnd w:id="37"/>
      <w:bookmarkEnd w:id="38"/>
      <w:bookmarkEnd w:id="39"/>
      <w:bookmarkEnd w:id="40"/>
      <w:bookmarkEnd w:id="41"/>
      <w:bookmarkEnd w:id="42"/>
      <w:bookmarkEnd w:id="43"/>
    </w:p>
    <w:p>
      <w:pPr>
        <w:pStyle w:val="6"/>
        <w:rPr>
          <w:rFonts w:ascii="宋体" w:hAnsi="宋体" w:cs="宋体"/>
          <w:szCs w:val="21"/>
        </w:rPr>
      </w:pPr>
      <w:r>
        <w:rPr>
          <w:rFonts w:hint="eastAsia" w:ascii="宋体" w:hAnsi="宋体" w:cs="宋体"/>
          <w:szCs w:val="21"/>
        </w:rPr>
        <w:t>我方安排的用户培训工作计划在系统试运行期间开始安排</w:t>
      </w:r>
    </w:p>
    <w:p>
      <w:pPr>
        <w:pStyle w:val="6"/>
        <w:rPr>
          <w:rFonts w:ascii="宋体" w:hAnsi="宋体" w:cs="宋体"/>
          <w:szCs w:val="21"/>
        </w:rPr>
      </w:pPr>
      <w:r>
        <w:rPr>
          <w:rFonts w:hint="eastAsia" w:ascii="宋体" w:hAnsi="宋体" w:cs="宋体"/>
          <w:szCs w:val="21"/>
        </w:rPr>
        <w:t>注：课程内容可根据需方要求进行更改。</w:t>
      </w:r>
    </w:p>
    <w:p>
      <w:pPr>
        <w:pStyle w:val="3"/>
        <w:rPr>
          <w:rFonts w:ascii="宋体" w:hAnsi="宋体" w:cs="宋体"/>
          <w:sz w:val="21"/>
          <w:szCs w:val="21"/>
        </w:rPr>
      </w:pPr>
      <w:bookmarkStart w:id="44" w:name="_Toc27538"/>
      <w:bookmarkStart w:id="45" w:name="_Toc18689"/>
      <w:bookmarkStart w:id="46" w:name="_Toc21293"/>
      <w:bookmarkStart w:id="47" w:name="_Toc16664"/>
      <w:bookmarkStart w:id="48" w:name="_Toc17884"/>
      <w:bookmarkStart w:id="49" w:name="_Toc20186"/>
      <w:bookmarkStart w:id="50" w:name="_Toc15995"/>
      <w:bookmarkStart w:id="51" w:name="_Toc31626"/>
      <w:r>
        <w:rPr>
          <w:rFonts w:hint="eastAsia" w:ascii="宋体" w:hAnsi="宋体" w:cs="宋体"/>
          <w:sz w:val="21"/>
          <w:szCs w:val="21"/>
        </w:rPr>
        <w:t>4.5.9培训地点、设施、时间</w:t>
      </w:r>
      <w:bookmarkEnd w:id="44"/>
      <w:bookmarkEnd w:id="45"/>
      <w:bookmarkEnd w:id="46"/>
      <w:bookmarkEnd w:id="47"/>
      <w:bookmarkEnd w:id="48"/>
      <w:bookmarkEnd w:id="49"/>
      <w:bookmarkEnd w:id="50"/>
      <w:bookmarkEnd w:id="51"/>
    </w:p>
    <w:p>
      <w:pPr>
        <w:rPr>
          <w:rFonts w:ascii="宋体" w:hAnsi="宋体" w:cs="宋体"/>
          <w:b/>
          <w:bCs/>
          <w:szCs w:val="21"/>
        </w:rPr>
      </w:pPr>
      <w:bookmarkStart w:id="52" w:name="_Toc3361"/>
      <w:bookmarkStart w:id="53" w:name="_Toc29986"/>
      <w:bookmarkStart w:id="54" w:name="_Toc4229"/>
      <w:bookmarkStart w:id="55" w:name="_Toc24602"/>
      <w:bookmarkStart w:id="56" w:name="_Toc23534"/>
      <w:bookmarkStart w:id="57" w:name="_Toc19274"/>
      <w:bookmarkStart w:id="58" w:name="_Toc6072"/>
      <w:r>
        <w:rPr>
          <w:rFonts w:hint="eastAsia" w:ascii="宋体" w:hAnsi="宋体" w:cs="宋体"/>
          <w:b/>
          <w:bCs/>
          <w:szCs w:val="21"/>
        </w:rPr>
        <w:t>培训地点</w:t>
      </w:r>
      <w:bookmarkEnd w:id="52"/>
      <w:bookmarkEnd w:id="53"/>
      <w:bookmarkEnd w:id="54"/>
      <w:bookmarkEnd w:id="55"/>
      <w:bookmarkEnd w:id="56"/>
      <w:bookmarkEnd w:id="57"/>
      <w:bookmarkEnd w:id="58"/>
    </w:p>
    <w:p>
      <w:pPr>
        <w:snapToGrid w:val="0"/>
        <w:ind w:firstLine="420" w:firstLineChars="200"/>
        <w:rPr>
          <w:rFonts w:ascii="宋体" w:hAnsi="宋体" w:cs="宋体"/>
          <w:szCs w:val="21"/>
        </w:rPr>
      </w:pPr>
      <w:r>
        <w:rPr>
          <w:rFonts w:hint="eastAsia" w:ascii="宋体" w:hAnsi="宋体" w:cs="宋体"/>
          <w:szCs w:val="21"/>
        </w:rPr>
        <w:t>理论知识学习，我公司或客户的培训室；</w:t>
      </w:r>
    </w:p>
    <w:p>
      <w:pPr>
        <w:snapToGrid w:val="0"/>
        <w:ind w:firstLine="420" w:firstLineChars="200"/>
        <w:rPr>
          <w:rFonts w:ascii="宋体" w:hAnsi="宋体" w:cs="宋体"/>
          <w:szCs w:val="21"/>
        </w:rPr>
      </w:pPr>
      <w:r>
        <w:rPr>
          <w:rFonts w:hint="eastAsia" w:ascii="宋体" w:hAnsi="宋体" w:cs="宋体"/>
          <w:szCs w:val="21"/>
        </w:rPr>
        <w:t>实践操作学习，工地现场，对已安装和投入使用的系统进行实际操作培训，我们提供实际的培训环境作为系统实际操作培训现场。</w:t>
      </w:r>
    </w:p>
    <w:p>
      <w:pPr>
        <w:rPr>
          <w:rFonts w:ascii="宋体" w:hAnsi="宋体" w:cs="宋体"/>
          <w:b/>
          <w:bCs/>
          <w:szCs w:val="21"/>
        </w:rPr>
      </w:pPr>
      <w:bookmarkStart w:id="59" w:name="_Toc27284"/>
      <w:bookmarkStart w:id="60" w:name="_Toc22842"/>
      <w:bookmarkStart w:id="61" w:name="_Toc8548"/>
      <w:bookmarkStart w:id="62" w:name="_Toc15168"/>
      <w:bookmarkStart w:id="63" w:name="_Toc23613"/>
      <w:bookmarkStart w:id="64" w:name="_Toc21342"/>
      <w:bookmarkStart w:id="65" w:name="_Toc15743"/>
      <w:r>
        <w:rPr>
          <w:rFonts w:hint="eastAsia" w:ascii="宋体" w:hAnsi="宋体" w:cs="宋体"/>
          <w:b/>
          <w:bCs/>
          <w:szCs w:val="21"/>
        </w:rPr>
        <w:t>培训设施</w:t>
      </w:r>
      <w:bookmarkEnd w:id="59"/>
      <w:bookmarkEnd w:id="60"/>
      <w:bookmarkEnd w:id="61"/>
      <w:bookmarkEnd w:id="62"/>
      <w:bookmarkEnd w:id="63"/>
      <w:bookmarkEnd w:id="64"/>
      <w:bookmarkEnd w:id="65"/>
    </w:p>
    <w:p>
      <w:pPr>
        <w:pStyle w:val="9"/>
        <w:numPr>
          <w:ilvl w:val="0"/>
          <w:numId w:val="10"/>
        </w:numPr>
        <w:ind w:firstLine="420"/>
        <w:rPr>
          <w:rFonts w:ascii="宋体" w:hAnsi="宋体" w:cs="宋体"/>
          <w:szCs w:val="21"/>
        </w:rPr>
      </w:pPr>
      <w:r>
        <w:rPr>
          <w:rFonts w:hint="eastAsia" w:ascii="宋体" w:hAnsi="宋体" w:cs="宋体"/>
          <w:szCs w:val="21"/>
        </w:rPr>
        <w:t>电化教室，50平米左右；</w:t>
      </w:r>
    </w:p>
    <w:p>
      <w:pPr>
        <w:pStyle w:val="9"/>
        <w:numPr>
          <w:ilvl w:val="0"/>
          <w:numId w:val="10"/>
        </w:numPr>
        <w:ind w:firstLine="420"/>
        <w:rPr>
          <w:rFonts w:ascii="宋体" w:hAnsi="宋体" w:cs="宋体"/>
          <w:szCs w:val="21"/>
        </w:rPr>
      </w:pPr>
      <w:r>
        <w:rPr>
          <w:rFonts w:hint="eastAsia" w:ascii="宋体" w:hAnsi="宋体" w:cs="宋体"/>
          <w:szCs w:val="21"/>
        </w:rPr>
        <w:t>投影仪，1台；</w:t>
      </w:r>
    </w:p>
    <w:p>
      <w:pPr>
        <w:pStyle w:val="9"/>
        <w:numPr>
          <w:ilvl w:val="0"/>
          <w:numId w:val="10"/>
        </w:numPr>
        <w:ind w:firstLine="420"/>
        <w:rPr>
          <w:rFonts w:ascii="宋体" w:hAnsi="宋体" w:cs="宋体"/>
          <w:szCs w:val="21"/>
        </w:rPr>
      </w:pPr>
      <w:r>
        <w:rPr>
          <w:rFonts w:hint="eastAsia" w:ascii="宋体" w:hAnsi="宋体" w:cs="宋体"/>
          <w:szCs w:val="21"/>
        </w:rPr>
        <w:t>幻灯展示台，1套。</w:t>
      </w:r>
    </w:p>
    <w:p>
      <w:pPr>
        <w:pStyle w:val="9"/>
        <w:numPr>
          <w:ilvl w:val="0"/>
          <w:numId w:val="10"/>
        </w:numPr>
        <w:ind w:firstLine="420"/>
        <w:rPr>
          <w:rFonts w:ascii="宋体" w:hAnsi="宋体" w:cs="宋体"/>
          <w:szCs w:val="21"/>
        </w:rPr>
      </w:pPr>
      <w:r>
        <w:rPr>
          <w:rFonts w:hint="eastAsia" w:ascii="宋体" w:hAnsi="宋体" w:cs="宋体"/>
          <w:szCs w:val="21"/>
        </w:rPr>
        <w:t>培训教材，人手一套，免费提供。</w:t>
      </w:r>
    </w:p>
    <w:p>
      <w:pPr>
        <w:rPr>
          <w:rFonts w:ascii="宋体" w:hAnsi="宋体" w:cs="宋体"/>
          <w:b/>
          <w:bCs/>
          <w:szCs w:val="21"/>
        </w:rPr>
      </w:pPr>
      <w:bookmarkStart w:id="66" w:name="_Toc17205"/>
      <w:bookmarkStart w:id="67" w:name="_Toc8241"/>
      <w:bookmarkStart w:id="68" w:name="_Toc5681"/>
      <w:bookmarkStart w:id="69" w:name="_Toc20795"/>
      <w:bookmarkStart w:id="70" w:name="_Toc9944"/>
      <w:bookmarkStart w:id="71" w:name="_Toc26571"/>
      <w:bookmarkStart w:id="72" w:name="_Toc7437"/>
      <w:r>
        <w:rPr>
          <w:rFonts w:hint="eastAsia" w:ascii="宋体" w:hAnsi="宋体" w:cs="宋体"/>
          <w:b/>
          <w:bCs/>
          <w:szCs w:val="21"/>
        </w:rPr>
        <w:t>培训时间</w:t>
      </w:r>
      <w:bookmarkEnd w:id="66"/>
      <w:bookmarkEnd w:id="67"/>
      <w:bookmarkEnd w:id="68"/>
      <w:bookmarkEnd w:id="69"/>
      <w:bookmarkEnd w:id="70"/>
      <w:bookmarkEnd w:id="71"/>
      <w:bookmarkEnd w:id="72"/>
    </w:p>
    <w:p>
      <w:pPr>
        <w:autoSpaceDE w:val="0"/>
        <w:autoSpaceDN w:val="0"/>
        <w:adjustRightInd w:val="0"/>
        <w:rPr>
          <w:rFonts w:ascii="宋体" w:hAnsi="宋体" w:cs="宋体"/>
          <w:szCs w:val="21"/>
          <w:lang w:val="zh-CN"/>
        </w:rPr>
      </w:pPr>
      <w:r>
        <w:rPr>
          <w:rFonts w:hint="eastAsia" w:ascii="宋体" w:hAnsi="宋体" w:cs="宋体"/>
          <w:kern w:val="0"/>
          <w:szCs w:val="21"/>
        </w:rPr>
        <w:t>安排在系统试运行期间，培训时间为1个星期，可以根据需要适当调整。</w:t>
      </w:r>
    </w:p>
    <w:p>
      <w:pPr>
        <w:pStyle w:val="3"/>
        <w:rPr>
          <w:rFonts w:ascii="宋体" w:hAnsi="宋体" w:cs="宋体"/>
          <w:sz w:val="21"/>
          <w:szCs w:val="21"/>
        </w:rPr>
      </w:pPr>
      <w:r>
        <w:rPr>
          <w:rFonts w:hint="eastAsia" w:ascii="宋体" w:hAnsi="宋体" w:cs="宋体"/>
          <w:sz w:val="21"/>
          <w:szCs w:val="21"/>
        </w:rPr>
        <w:t>4.5.10培训</w:t>
      </w:r>
      <w:bookmarkEnd w:id="22"/>
      <w:bookmarkEnd w:id="23"/>
      <w:bookmarkEnd w:id="24"/>
      <w:bookmarkEnd w:id="25"/>
      <w:bookmarkEnd w:id="26"/>
      <w:bookmarkEnd w:id="27"/>
      <w:bookmarkEnd w:id="28"/>
      <w:bookmarkEnd w:id="29"/>
      <w:r>
        <w:rPr>
          <w:rFonts w:hint="eastAsia" w:ascii="宋体" w:hAnsi="宋体" w:cs="宋体"/>
          <w:sz w:val="21"/>
          <w:szCs w:val="21"/>
        </w:rPr>
        <w:t>内容</w:t>
      </w:r>
    </w:p>
    <w:p>
      <w:pPr>
        <w:numPr>
          <w:ilvl w:val="0"/>
          <w:numId w:val="11"/>
        </w:numPr>
        <w:rPr>
          <w:rFonts w:ascii="宋体" w:hAnsi="宋体" w:cs="宋体"/>
          <w:szCs w:val="21"/>
        </w:rPr>
      </w:pPr>
      <w:r>
        <w:rPr>
          <w:rFonts w:hint="eastAsia" w:ascii="宋体" w:hAnsi="宋体" w:cs="宋体"/>
          <w:szCs w:val="21"/>
        </w:rPr>
        <w:t>各系统结构及工作原理；</w:t>
      </w:r>
    </w:p>
    <w:p>
      <w:pPr>
        <w:numPr>
          <w:ilvl w:val="0"/>
          <w:numId w:val="11"/>
        </w:numPr>
        <w:rPr>
          <w:rFonts w:ascii="宋体" w:hAnsi="宋体" w:cs="宋体"/>
          <w:szCs w:val="21"/>
        </w:rPr>
      </w:pPr>
      <w:r>
        <w:rPr>
          <w:rFonts w:hint="eastAsia" w:ascii="宋体" w:hAnsi="宋体" w:cs="宋体"/>
          <w:szCs w:val="21"/>
        </w:rPr>
        <w:t>各系统的运行原理和操作；</w:t>
      </w:r>
    </w:p>
    <w:p>
      <w:pPr>
        <w:numPr>
          <w:ilvl w:val="0"/>
          <w:numId w:val="11"/>
        </w:numPr>
        <w:rPr>
          <w:rFonts w:ascii="宋体" w:hAnsi="宋体" w:cs="宋体"/>
          <w:szCs w:val="21"/>
        </w:rPr>
      </w:pPr>
      <w:r>
        <w:rPr>
          <w:rFonts w:hint="eastAsia" w:ascii="宋体" w:hAnsi="宋体" w:cs="宋体"/>
          <w:szCs w:val="21"/>
        </w:rPr>
        <w:t>测试方法、验收技术标准及相关技术标准。</w:t>
      </w:r>
    </w:p>
    <w:p>
      <w:pPr>
        <w:numPr>
          <w:ilvl w:val="0"/>
          <w:numId w:val="11"/>
        </w:numPr>
      </w:pPr>
      <w:r>
        <w:rPr>
          <w:rFonts w:hint="eastAsia"/>
        </w:rPr>
        <w:t>监控计算机系统的硬件原理；</w:t>
      </w:r>
    </w:p>
    <w:p>
      <w:pPr>
        <w:numPr>
          <w:ilvl w:val="0"/>
          <w:numId w:val="11"/>
        </w:numPr>
      </w:pPr>
      <w:r>
        <w:rPr>
          <w:rFonts w:hint="eastAsia"/>
        </w:rPr>
        <w:t>监控系统的运行原理和操作；</w:t>
      </w:r>
    </w:p>
    <w:p>
      <w:pPr>
        <w:numPr>
          <w:ilvl w:val="0"/>
          <w:numId w:val="11"/>
        </w:numPr>
      </w:pPr>
      <w:r>
        <w:rPr>
          <w:rFonts w:hint="eastAsia"/>
        </w:rPr>
        <w:t>系统硬件配置及功能；</w:t>
      </w:r>
    </w:p>
    <w:p>
      <w:pPr>
        <w:numPr>
          <w:ilvl w:val="0"/>
          <w:numId w:val="11"/>
        </w:numPr>
      </w:pPr>
      <w:r>
        <w:rPr>
          <w:rFonts w:hint="eastAsia"/>
        </w:rPr>
        <w:t>软件模块的详细描述；</w:t>
      </w:r>
    </w:p>
    <w:p>
      <w:pPr>
        <w:numPr>
          <w:ilvl w:val="0"/>
          <w:numId w:val="11"/>
        </w:numPr>
      </w:pPr>
      <w:r>
        <w:rPr>
          <w:rFonts w:hint="eastAsia"/>
        </w:rPr>
        <w:t>系统的运行原理和操作；</w:t>
      </w:r>
    </w:p>
    <w:p>
      <w:pPr>
        <w:numPr>
          <w:ilvl w:val="0"/>
          <w:numId w:val="11"/>
        </w:numPr>
      </w:pPr>
      <w:r>
        <w:rPr>
          <w:rFonts w:hint="eastAsia"/>
        </w:rPr>
        <w:t>系统故障的查找和排除；</w:t>
      </w:r>
    </w:p>
    <w:p>
      <w:pPr>
        <w:numPr>
          <w:ilvl w:val="0"/>
          <w:numId w:val="11"/>
        </w:numPr>
      </w:pPr>
      <w:r>
        <w:rPr>
          <w:rFonts w:hint="eastAsia"/>
        </w:rPr>
        <w:t>系统设备的维护、保养和备件掌握。</w:t>
      </w:r>
    </w:p>
    <w:p>
      <w:pPr>
        <w:numPr>
          <w:ilvl w:val="0"/>
          <w:numId w:val="11"/>
        </w:numPr>
      </w:pPr>
      <w:r>
        <w:rPr>
          <w:rFonts w:hint="eastAsia"/>
        </w:rPr>
        <w:t>值班、监视、记录、数据与资料的收集和整理的训练；</w:t>
      </w:r>
    </w:p>
    <w:p>
      <w:pPr>
        <w:numPr>
          <w:ilvl w:val="0"/>
          <w:numId w:val="11"/>
        </w:numPr>
      </w:pPr>
      <w:r>
        <w:rPr>
          <w:rFonts w:hint="eastAsia"/>
        </w:rPr>
        <w:t>设备常见故障的排除和日常维护、保养方法的学习。</w:t>
      </w:r>
    </w:p>
    <w:p>
      <w:pPr>
        <w:numPr>
          <w:ilvl w:val="0"/>
          <w:numId w:val="11"/>
        </w:numPr>
      </w:pPr>
      <w:r>
        <w:rPr>
          <w:rFonts w:hint="eastAsia"/>
        </w:rPr>
        <w:t xml:space="preserve">出排除故障的办法，协调各方人员进行故障排除和系统维护工作，并能形成有价值的分析统计报告。 </w:t>
      </w:r>
    </w:p>
    <w:p>
      <w:pPr>
        <w:pStyle w:val="3"/>
        <w:rPr>
          <w:rFonts w:ascii="宋体" w:hAnsi="宋体" w:cs="宋体"/>
          <w:sz w:val="21"/>
          <w:szCs w:val="21"/>
        </w:rPr>
      </w:pPr>
      <w:bookmarkStart w:id="73" w:name="_Toc30197"/>
      <w:bookmarkStart w:id="74" w:name="_Toc6983"/>
      <w:bookmarkStart w:id="75" w:name="_Toc7083"/>
      <w:bookmarkStart w:id="76" w:name="_Toc16222"/>
      <w:bookmarkStart w:id="77" w:name="_Toc23811"/>
      <w:bookmarkStart w:id="78" w:name="_Toc19677"/>
      <w:bookmarkStart w:id="79" w:name="_Toc17740"/>
      <w:bookmarkStart w:id="80" w:name="_Toc19730"/>
      <w:r>
        <w:rPr>
          <w:rFonts w:hint="eastAsia" w:ascii="宋体" w:hAnsi="宋体" w:cs="宋体"/>
          <w:sz w:val="21"/>
          <w:szCs w:val="21"/>
        </w:rPr>
        <w:t>4.5.11培训教员及对象</w:t>
      </w:r>
      <w:bookmarkEnd w:id="73"/>
      <w:bookmarkEnd w:id="74"/>
      <w:bookmarkEnd w:id="75"/>
      <w:bookmarkEnd w:id="76"/>
      <w:bookmarkEnd w:id="77"/>
      <w:bookmarkEnd w:id="78"/>
      <w:bookmarkEnd w:id="79"/>
      <w:bookmarkEnd w:id="80"/>
    </w:p>
    <w:p>
      <w:pPr>
        <w:ind w:firstLine="420" w:firstLineChars="200"/>
      </w:pPr>
      <w:r>
        <w:rPr>
          <w:rFonts w:hint="eastAsia"/>
        </w:rPr>
        <w:t>我公司拥有一支技术过硬的系统操作和维护队伍，成功实现技术的转移是保证系统顺利建设并长期稳定、良好运转的重要保障。我们建议在此项目中培训一支不同层次的用户支持队伍，经培训后的操作水平达到该产品中级认证工程师相当水平，各培训要在征得用户方同意后实施。</w:t>
      </w:r>
    </w:p>
    <w:p>
      <w:pPr>
        <w:ind w:firstLine="420" w:firstLineChars="200"/>
        <w:rPr>
          <w:rFonts w:ascii="宋体" w:hAnsi="宋体" w:cs="宋体"/>
          <w:szCs w:val="21"/>
        </w:rPr>
      </w:pPr>
      <w:r>
        <w:rPr>
          <w:rFonts w:hint="eastAsia" w:ascii="宋体" w:hAnsi="宋体" w:cs="宋体"/>
          <w:szCs w:val="21"/>
        </w:rPr>
        <w:t>这支队伍应具有以下能力：</w:t>
      </w:r>
    </w:p>
    <w:p>
      <w:pPr>
        <w:numPr>
          <w:ilvl w:val="0"/>
          <w:numId w:val="12"/>
        </w:numPr>
        <w:ind w:firstLine="420" w:firstLineChars="200"/>
        <w:rPr>
          <w:rFonts w:ascii="宋体" w:hAnsi="宋体" w:cs="宋体"/>
          <w:szCs w:val="21"/>
        </w:rPr>
      </w:pPr>
      <w:r>
        <w:rPr>
          <w:rFonts w:hint="eastAsia" w:ascii="宋体" w:hAnsi="宋体" w:cs="宋体"/>
          <w:szCs w:val="21"/>
        </w:rPr>
        <w:t>掌握所用设备和系统的安装测试及维护方法，以及各操作命令的使用方法；</w:t>
      </w:r>
    </w:p>
    <w:p>
      <w:pPr>
        <w:numPr>
          <w:ilvl w:val="0"/>
          <w:numId w:val="12"/>
        </w:numPr>
        <w:ind w:firstLine="420" w:firstLineChars="200"/>
        <w:rPr>
          <w:rFonts w:ascii="宋体" w:hAnsi="宋体" w:cs="宋体"/>
          <w:szCs w:val="21"/>
        </w:rPr>
      </w:pPr>
      <w:r>
        <w:rPr>
          <w:rFonts w:hint="eastAsia" w:ascii="宋体" w:hAnsi="宋体" w:cs="宋体"/>
          <w:szCs w:val="21"/>
        </w:rPr>
        <w:t>了解系统的体系结构和工作原理；</w:t>
      </w:r>
    </w:p>
    <w:p>
      <w:pPr>
        <w:numPr>
          <w:ilvl w:val="0"/>
          <w:numId w:val="12"/>
        </w:numPr>
        <w:ind w:firstLine="420" w:firstLineChars="200"/>
        <w:rPr>
          <w:rFonts w:ascii="宋体" w:hAnsi="宋体" w:cs="宋体"/>
          <w:szCs w:val="21"/>
        </w:rPr>
      </w:pPr>
      <w:r>
        <w:rPr>
          <w:rFonts w:hint="eastAsia" w:ascii="宋体" w:hAnsi="宋体" w:cs="宋体"/>
          <w:szCs w:val="21"/>
        </w:rPr>
        <w:t>掌握各种设备的故障诊断、定位和排除的技能；</w:t>
      </w:r>
    </w:p>
    <w:p>
      <w:pPr>
        <w:numPr>
          <w:ilvl w:val="0"/>
          <w:numId w:val="12"/>
        </w:numPr>
        <w:ind w:firstLine="420" w:firstLineChars="200"/>
        <w:rPr>
          <w:rFonts w:ascii="宋体" w:hAnsi="宋体" w:cs="宋体"/>
          <w:szCs w:val="21"/>
        </w:rPr>
      </w:pPr>
      <w:r>
        <w:rPr>
          <w:rFonts w:hint="eastAsia" w:ascii="宋体" w:hAnsi="宋体" w:cs="宋体"/>
          <w:szCs w:val="21"/>
        </w:rPr>
        <w:t>会使用系统提供的各种工具；</w:t>
      </w:r>
    </w:p>
    <w:p>
      <w:pPr>
        <w:numPr>
          <w:ilvl w:val="0"/>
          <w:numId w:val="12"/>
        </w:numPr>
        <w:ind w:firstLine="420" w:firstLineChars="200"/>
        <w:rPr>
          <w:rFonts w:ascii="宋体" w:hAnsi="宋体" w:cs="宋体"/>
          <w:szCs w:val="21"/>
        </w:rPr>
      </w:pPr>
      <w:r>
        <w:rPr>
          <w:rFonts w:hint="eastAsia" w:ascii="宋体" w:hAnsi="宋体" w:cs="宋体"/>
          <w:szCs w:val="21"/>
        </w:rPr>
        <w:t>掌握配置恢复的手段；</w:t>
      </w:r>
    </w:p>
    <w:p>
      <w:pPr>
        <w:numPr>
          <w:ilvl w:val="0"/>
          <w:numId w:val="12"/>
        </w:numPr>
        <w:ind w:firstLine="420" w:firstLineChars="200"/>
        <w:rPr>
          <w:rFonts w:ascii="宋体" w:hAnsi="宋体" w:cs="宋体"/>
          <w:szCs w:val="21"/>
        </w:rPr>
      </w:pPr>
      <w:r>
        <w:rPr>
          <w:rFonts w:hint="eastAsia" w:ascii="宋体" w:hAnsi="宋体" w:cs="宋体"/>
          <w:szCs w:val="21"/>
        </w:rPr>
        <w:t>熟悉配置管理方法；</w:t>
      </w:r>
    </w:p>
    <w:p>
      <w:pPr>
        <w:numPr>
          <w:ilvl w:val="0"/>
          <w:numId w:val="12"/>
        </w:numPr>
        <w:ind w:firstLine="420" w:firstLineChars="200"/>
        <w:rPr>
          <w:rFonts w:ascii="宋体" w:hAnsi="宋体" w:cs="宋体"/>
          <w:szCs w:val="21"/>
        </w:rPr>
      </w:pPr>
      <w:r>
        <w:rPr>
          <w:rFonts w:hint="eastAsia" w:ascii="宋体" w:hAnsi="宋体" w:cs="宋体"/>
          <w:szCs w:val="21"/>
        </w:rPr>
        <w:t>熟悉各种有关的技术文件及维护手册，能快速查询；</w:t>
      </w:r>
    </w:p>
    <w:p>
      <w:pPr>
        <w:numPr>
          <w:ilvl w:val="0"/>
          <w:numId w:val="12"/>
        </w:numPr>
        <w:ind w:firstLine="420" w:firstLineChars="200"/>
        <w:rPr>
          <w:rFonts w:ascii="宋体" w:hAnsi="宋体" w:cs="宋体"/>
          <w:szCs w:val="21"/>
        </w:rPr>
      </w:pPr>
      <w:r>
        <w:rPr>
          <w:rFonts w:hint="eastAsia" w:ascii="宋体" w:hAnsi="宋体" w:cs="宋体"/>
          <w:szCs w:val="21"/>
        </w:rPr>
        <w:t>了解系统拓扑结构和运行机制</w:t>
      </w:r>
    </w:p>
    <w:p>
      <w:pPr>
        <w:numPr>
          <w:ilvl w:val="0"/>
          <w:numId w:val="12"/>
        </w:numPr>
        <w:ind w:firstLine="420" w:firstLineChars="200"/>
        <w:rPr>
          <w:rFonts w:ascii="宋体" w:hAnsi="宋体" w:cs="宋体"/>
          <w:szCs w:val="21"/>
        </w:rPr>
      </w:pPr>
      <w:r>
        <w:rPr>
          <w:rFonts w:hint="eastAsia" w:ascii="宋体" w:hAnsi="宋体" w:cs="宋体"/>
          <w:szCs w:val="21"/>
        </w:rPr>
        <w:t>掌握系统设计原则和设备的配置</w:t>
      </w:r>
    </w:p>
    <w:p>
      <w:pPr>
        <w:numPr>
          <w:ilvl w:val="0"/>
          <w:numId w:val="12"/>
        </w:numPr>
        <w:ind w:firstLine="420" w:firstLineChars="200"/>
        <w:rPr>
          <w:rFonts w:ascii="宋体" w:hAnsi="宋体" w:cs="宋体"/>
          <w:szCs w:val="21"/>
        </w:rPr>
      </w:pPr>
      <w:r>
        <w:rPr>
          <w:rFonts w:hint="eastAsia" w:ascii="宋体" w:hAnsi="宋体" w:cs="宋体"/>
          <w:szCs w:val="21"/>
        </w:rPr>
        <w:t>执行设备的一线诊断，故障排除和恢复</w:t>
      </w:r>
    </w:p>
    <w:p>
      <w:pPr>
        <w:numPr>
          <w:ilvl w:val="0"/>
          <w:numId w:val="12"/>
        </w:numPr>
        <w:ind w:firstLine="420" w:firstLineChars="200"/>
        <w:rPr>
          <w:rFonts w:ascii="宋体" w:hAnsi="宋体" w:cs="宋体"/>
          <w:szCs w:val="21"/>
        </w:rPr>
      </w:pPr>
      <w:r>
        <w:rPr>
          <w:rFonts w:hint="eastAsia" w:ascii="宋体" w:hAnsi="宋体" w:cs="宋体"/>
          <w:szCs w:val="21"/>
        </w:rPr>
        <w:t>了解设备使用和维护中的注意事项</w:t>
      </w:r>
    </w:p>
    <w:p>
      <w:pPr>
        <w:numPr>
          <w:ilvl w:val="0"/>
          <w:numId w:val="12"/>
        </w:numPr>
        <w:ind w:firstLine="420" w:firstLineChars="200"/>
        <w:rPr>
          <w:rFonts w:ascii="宋体" w:hAnsi="宋体" w:cs="宋体"/>
          <w:szCs w:val="21"/>
        </w:rPr>
      </w:pPr>
      <w:r>
        <w:rPr>
          <w:rFonts w:hint="eastAsia" w:ascii="宋体" w:hAnsi="宋体" w:cs="宋体"/>
          <w:szCs w:val="21"/>
        </w:rPr>
        <w:t>掌握智能卡管理系统的原理、结构组成、组网方式、综合业务管理方式，能够熟练地使用、维护设备和排除故障。</w:t>
      </w:r>
    </w:p>
    <w:p>
      <w:pPr>
        <w:numPr>
          <w:ilvl w:val="0"/>
          <w:numId w:val="12"/>
        </w:numPr>
        <w:ind w:firstLine="420" w:firstLineChars="200"/>
        <w:rPr>
          <w:rFonts w:ascii="宋体" w:hAnsi="宋体" w:cs="宋体"/>
          <w:szCs w:val="21"/>
        </w:rPr>
      </w:pPr>
      <w:r>
        <w:rPr>
          <w:rFonts w:hint="eastAsia" w:ascii="宋体" w:hAnsi="宋体" w:cs="宋体"/>
          <w:szCs w:val="21"/>
        </w:rPr>
        <w:t>所有参加培训的人员经过培训后的操作水平达到该产品中级认证工程师相当水平。</w:t>
      </w:r>
    </w:p>
    <w:p>
      <w:pPr>
        <w:pStyle w:val="4"/>
      </w:pPr>
      <w:r>
        <w:rPr>
          <w:rFonts w:hint="eastAsia" w:ascii="宋体" w:hAnsi="宋体" w:cs="宋体"/>
          <w:szCs w:val="21"/>
        </w:rPr>
        <w:t>各培训要在征得用户方同意后实施。</w:t>
      </w:r>
    </w:p>
    <w:p>
      <w:pPr>
        <w:pStyle w:val="5"/>
        <w:spacing w:after="0"/>
        <w:ind w:left="0" w:leftChars="0" w:firstLine="422" w:firstLineChars="200"/>
        <w:rPr>
          <w:rFonts w:ascii="宋体" w:hAnsi="宋体" w:cs="宋体"/>
          <w:sz w:val="21"/>
          <w:szCs w:val="21"/>
        </w:rPr>
      </w:pPr>
      <w:r>
        <w:rPr>
          <w:rFonts w:hint="eastAsia" w:ascii="宋体" w:hAnsi="宋体" w:cs="宋体"/>
          <w:b/>
          <w:sz w:val="21"/>
          <w:szCs w:val="21"/>
        </w:rPr>
        <w:t>（1）系统管理人员（高级）</w:t>
      </w:r>
      <w:r>
        <w:rPr>
          <w:rFonts w:hint="eastAsia" w:ascii="宋体" w:hAnsi="宋体" w:cs="宋体"/>
          <w:sz w:val="21"/>
          <w:szCs w:val="21"/>
        </w:rPr>
        <w:t>：能负责全面的技术管理工作，能深入掌握监控系统、公共广播系统与停车场系统的构成，了解计算机软件功能，熟悉所有设备的操作原理，能对系统进行有效的管理，并能指导其他技术人员的维护工作。</w:t>
      </w:r>
    </w:p>
    <w:p>
      <w:pPr>
        <w:pStyle w:val="5"/>
        <w:spacing w:after="0"/>
        <w:ind w:left="0" w:leftChars="0" w:firstLine="422" w:firstLineChars="200"/>
        <w:rPr>
          <w:rFonts w:ascii="宋体" w:hAnsi="宋体" w:cs="宋体"/>
          <w:sz w:val="21"/>
          <w:szCs w:val="21"/>
        </w:rPr>
      </w:pPr>
      <w:r>
        <w:rPr>
          <w:rFonts w:hint="eastAsia" w:ascii="宋体" w:hAnsi="宋体" w:cs="宋体"/>
          <w:b/>
          <w:sz w:val="21"/>
          <w:szCs w:val="21"/>
        </w:rPr>
        <w:t>（2）系统技术人员（中级）</w:t>
      </w:r>
      <w:r>
        <w:rPr>
          <w:rFonts w:hint="eastAsia" w:ascii="宋体" w:hAnsi="宋体" w:cs="宋体"/>
          <w:sz w:val="21"/>
          <w:szCs w:val="21"/>
        </w:rPr>
        <w:t>：掌握监控系统的系统构成，会运用操作系统和监控应用软件，熟悉所有外场设备的构成和功能，能熟练地管理设备、排除故障。</w:t>
      </w:r>
    </w:p>
    <w:p>
      <w:pPr>
        <w:pStyle w:val="5"/>
        <w:spacing w:after="0"/>
        <w:ind w:left="0" w:leftChars="0" w:firstLine="422" w:firstLineChars="200"/>
        <w:rPr>
          <w:rFonts w:ascii="宋体" w:hAnsi="宋体" w:cs="宋体"/>
          <w:sz w:val="21"/>
          <w:szCs w:val="21"/>
        </w:rPr>
      </w:pPr>
      <w:r>
        <w:rPr>
          <w:rFonts w:hint="eastAsia" w:ascii="宋体" w:hAnsi="宋体" w:cs="宋体"/>
          <w:b/>
          <w:sz w:val="21"/>
          <w:szCs w:val="21"/>
        </w:rPr>
        <w:t>（3）维护、操作人员（初级）</w:t>
      </w:r>
      <w:r>
        <w:rPr>
          <w:rFonts w:hint="eastAsia" w:ascii="宋体" w:hAnsi="宋体" w:cs="宋体"/>
          <w:sz w:val="21"/>
          <w:szCs w:val="21"/>
        </w:rPr>
        <w:t>：能熟练地进行软件和硬件维护工作，会对故障进行检测，按照制造商的规范进行例行维护，了解计算机的程序，会对系统运行检查和维护。</w:t>
      </w:r>
    </w:p>
    <w:p>
      <w:pPr>
        <w:rPr>
          <w:rFonts w:ascii="宋体" w:hAnsi="宋体" w:cs="宋体"/>
        </w:rPr>
      </w:pPr>
    </w:p>
    <w:p>
      <w:pPr>
        <w:rPr>
          <w:rFonts w:ascii="宋体" w:hAnsi="宋体" w:cs="宋体"/>
        </w:rPr>
      </w:pPr>
    </w:p>
    <w:p>
      <w:pPr>
        <w:autoSpaceDE w:val="0"/>
        <w:autoSpaceDN w:val="0"/>
        <w:adjustRightInd w:val="0"/>
        <w:jc w:val="center"/>
        <w:outlineLvl w:val="0"/>
        <w:rPr>
          <w:rFonts w:ascii="宋体" w:hAnsi="宋体" w:cs="宋体"/>
          <w:b/>
          <w:bCs/>
          <w:sz w:val="24"/>
          <w:szCs w:val="24"/>
        </w:rPr>
        <w:sectPr>
          <w:pgSz w:w="11906" w:h="16838"/>
          <w:pgMar w:top="1440" w:right="1800" w:bottom="1440" w:left="1800" w:header="851" w:footer="992" w:gutter="0"/>
          <w:cols w:space="0" w:num="1"/>
          <w:docGrid w:type="lines" w:linePitch="312" w:charSpace="0"/>
        </w:sectPr>
      </w:pPr>
    </w:p>
    <w:p>
      <w:bookmarkStart w:id="81" w:name="_GoBack"/>
      <w:bookmarkEnd w:id="8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A3C4AC"/>
    <w:multiLevelType w:val="singleLevel"/>
    <w:tmpl w:val="8CA3C4AC"/>
    <w:lvl w:ilvl="0" w:tentative="0">
      <w:start w:val="1"/>
      <w:numFmt w:val="decimal"/>
      <w:lvlText w:val="%1)"/>
      <w:lvlJc w:val="left"/>
      <w:pPr>
        <w:ind w:left="425" w:hanging="425"/>
      </w:pPr>
      <w:rPr>
        <w:rFonts w:hint="default"/>
      </w:rPr>
    </w:lvl>
  </w:abstractNum>
  <w:abstractNum w:abstractNumId="1">
    <w:nsid w:val="A461D3E5"/>
    <w:multiLevelType w:val="singleLevel"/>
    <w:tmpl w:val="A461D3E5"/>
    <w:lvl w:ilvl="0" w:tentative="0">
      <w:start w:val="1"/>
      <w:numFmt w:val="bullet"/>
      <w:lvlText w:val=""/>
      <w:lvlJc w:val="left"/>
      <w:pPr>
        <w:ind w:left="420" w:hanging="420"/>
      </w:pPr>
      <w:rPr>
        <w:rFonts w:hint="default" w:ascii="Wingdings" w:hAnsi="Wingdings"/>
      </w:rPr>
    </w:lvl>
  </w:abstractNum>
  <w:abstractNum w:abstractNumId="2">
    <w:nsid w:val="D6173C80"/>
    <w:multiLevelType w:val="singleLevel"/>
    <w:tmpl w:val="D6173C80"/>
    <w:lvl w:ilvl="0" w:tentative="0">
      <w:start w:val="1"/>
      <w:numFmt w:val="decimal"/>
      <w:lvlText w:val="%1)"/>
      <w:lvlJc w:val="left"/>
      <w:pPr>
        <w:ind w:left="425" w:hanging="425"/>
      </w:pPr>
      <w:rPr>
        <w:rFonts w:hint="default"/>
      </w:rPr>
    </w:lvl>
  </w:abstractNum>
  <w:abstractNum w:abstractNumId="3">
    <w:nsid w:val="E1CB0D73"/>
    <w:multiLevelType w:val="singleLevel"/>
    <w:tmpl w:val="E1CB0D73"/>
    <w:lvl w:ilvl="0" w:tentative="0">
      <w:start w:val="1"/>
      <w:numFmt w:val="bullet"/>
      <w:lvlText w:val=""/>
      <w:lvlJc w:val="left"/>
      <w:pPr>
        <w:ind w:left="420" w:hanging="420"/>
      </w:pPr>
      <w:rPr>
        <w:rFonts w:hint="default" w:ascii="Wingdings" w:hAnsi="Wingdings"/>
      </w:rPr>
    </w:lvl>
  </w:abstractNum>
  <w:abstractNum w:abstractNumId="4">
    <w:nsid w:val="08CA53C7"/>
    <w:multiLevelType w:val="multilevel"/>
    <w:tmpl w:val="08CA53C7"/>
    <w:lvl w:ilvl="0" w:tentative="0">
      <w:start w:val="1"/>
      <w:numFmt w:val="decimal"/>
      <w:lvlText w:val="%1)"/>
      <w:lvlJc w:val="left"/>
      <w:pPr>
        <w:tabs>
          <w:tab w:val="left" w:pos="840"/>
        </w:tabs>
        <w:ind w:left="-60" w:firstLine="480"/>
      </w:pPr>
      <w:rPr>
        <w:rFonts w:hint="eastAsia"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D7EC06F"/>
    <w:multiLevelType w:val="singleLevel"/>
    <w:tmpl w:val="0D7EC06F"/>
    <w:lvl w:ilvl="0" w:tentative="0">
      <w:start w:val="1"/>
      <w:numFmt w:val="bullet"/>
      <w:lvlText w:val=""/>
      <w:lvlJc w:val="left"/>
      <w:pPr>
        <w:ind w:left="420" w:hanging="420"/>
      </w:pPr>
      <w:rPr>
        <w:rFonts w:hint="default" w:ascii="Wingdings" w:hAnsi="Wingdings"/>
      </w:rPr>
    </w:lvl>
  </w:abstractNum>
  <w:abstractNum w:abstractNumId="6">
    <w:nsid w:val="2B143849"/>
    <w:multiLevelType w:val="singleLevel"/>
    <w:tmpl w:val="2B143849"/>
    <w:lvl w:ilvl="0" w:tentative="0">
      <w:start w:val="1"/>
      <w:numFmt w:val="decimal"/>
      <w:lvlText w:val="%1)"/>
      <w:lvlJc w:val="left"/>
      <w:pPr>
        <w:ind w:left="425" w:hanging="425"/>
      </w:pPr>
      <w:rPr>
        <w:rFonts w:hint="default"/>
      </w:rPr>
    </w:lvl>
  </w:abstractNum>
  <w:abstractNum w:abstractNumId="7">
    <w:nsid w:val="53D31604"/>
    <w:multiLevelType w:val="multilevel"/>
    <w:tmpl w:val="53D31604"/>
    <w:lvl w:ilvl="0" w:tentative="0">
      <w:start w:val="1"/>
      <w:numFmt w:val="decimal"/>
      <w:lvlText w:val="%1)"/>
      <w:lvlJc w:val="left"/>
      <w:pPr>
        <w:tabs>
          <w:tab w:val="left" w:pos="840"/>
        </w:tabs>
        <w:ind w:left="-60" w:firstLine="480"/>
      </w:pPr>
      <w:rPr>
        <w:rFonts w:hint="eastAsia" w:eastAsia="宋体"/>
        <w:b w:val="0"/>
        <w:i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52DF19A"/>
    <w:multiLevelType w:val="singleLevel"/>
    <w:tmpl w:val="552DF19A"/>
    <w:lvl w:ilvl="0" w:tentative="0">
      <w:start w:val="1"/>
      <w:numFmt w:val="bullet"/>
      <w:lvlText w:val=""/>
      <w:lvlJc w:val="left"/>
      <w:pPr>
        <w:ind w:left="420" w:hanging="420"/>
      </w:pPr>
      <w:rPr>
        <w:rFonts w:hint="default" w:ascii="Wingdings" w:hAnsi="Wingdings"/>
      </w:rPr>
    </w:lvl>
  </w:abstractNum>
  <w:abstractNum w:abstractNumId="9">
    <w:nsid w:val="5B024588"/>
    <w:multiLevelType w:val="singleLevel"/>
    <w:tmpl w:val="5B024588"/>
    <w:lvl w:ilvl="0" w:tentative="0">
      <w:start w:val="1"/>
      <w:numFmt w:val="decimal"/>
      <w:lvlText w:val="%1)"/>
      <w:lvlJc w:val="left"/>
      <w:pPr>
        <w:ind w:left="425" w:hanging="425"/>
      </w:pPr>
      <w:rPr>
        <w:rFonts w:hint="default"/>
      </w:rPr>
    </w:lvl>
  </w:abstractNum>
  <w:abstractNum w:abstractNumId="10">
    <w:nsid w:val="63C53D1F"/>
    <w:multiLevelType w:val="multilevel"/>
    <w:tmpl w:val="63C53D1F"/>
    <w:lvl w:ilvl="0" w:tentative="0">
      <w:start w:val="1"/>
      <w:numFmt w:val="bullet"/>
      <w:lvlText w:val=""/>
      <w:lvlJc w:val="left"/>
      <w:pPr>
        <w:tabs>
          <w:tab w:val="left" w:pos="900"/>
        </w:tabs>
        <w:ind w:left="900" w:hanging="420"/>
      </w:pPr>
      <w:rPr>
        <w:rFonts w:hint="default" w:ascii="Wingdings" w:hAnsi="Wingdings"/>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1">
    <w:nsid w:val="7D229C1E"/>
    <w:multiLevelType w:val="singleLevel"/>
    <w:tmpl w:val="7D229C1E"/>
    <w:lvl w:ilvl="0" w:tentative="0">
      <w:start w:val="1"/>
      <w:numFmt w:val="decimal"/>
      <w:lvlText w:val="%1)"/>
      <w:lvlJc w:val="left"/>
      <w:pPr>
        <w:ind w:left="425" w:hanging="425"/>
      </w:pPr>
      <w:rPr>
        <w:rFonts w:hint="default"/>
      </w:rPr>
    </w:lvl>
  </w:abstractNum>
  <w:num w:numId="1">
    <w:abstractNumId w:val="1"/>
  </w:num>
  <w:num w:numId="2">
    <w:abstractNumId w:val="11"/>
  </w:num>
  <w:num w:numId="3">
    <w:abstractNumId w:val="3"/>
  </w:num>
  <w:num w:numId="4">
    <w:abstractNumId w:val="0"/>
  </w:num>
  <w:num w:numId="5">
    <w:abstractNumId w:val="5"/>
  </w:num>
  <w:num w:numId="6">
    <w:abstractNumId w:val="9"/>
  </w:num>
  <w:num w:numId="7">
    <w:abstractNumId w:val="8"/>
  </w:num>
  <w:num w:numId="8">
    <w:abstractNumId w:val="2"/>
  </w:num>
  <w:num w:numId="9">
    <w:abstractNumId w:val="7"/>
  </w:num>
  <w:num w:numId="10">
    <w:abstractNumId w:val="10"/>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85AE8"/>
    <w:rsid w:val="5AB85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eastAsia="宋体" w:asciiTheme="minorHAnsi" w:hAnsiTheme="minorHAnsi" w:cstheme="minorBidi"/>
      <w:kern w:val="2"/>
      <w:sz w:val="21"/>
      <w:szCs w:val="22"/>
      <w:lang w:val="en-US" w:eastAsia="zh-CN" w:bidi="ar-SA"/>
    </w:rPr>
  </w:style>
  <w:style w:type="paragraph" w:styleId="2">
    <w:name w:val="heading 2"/>
    <w:basedOn w:val="1"/>
    <w:next w:val="1"/>
    <w:unhideWhenUsed/>
    <w:qFormat/>
    <w:uiPriority w:val="9"/>
    <w:pPr>
      <w:keepNext/>
      <w:keepLines/>
      <w:jc w:val="center"/>
      <w:outlineLvl w:val="1"/>
    </w:pPr>
    <w:rPr>
      <w:rFonts w:asciiTheme="majorHAnsi" w:hAnsiTheme="majorHAnsi" w:eastAsiaTheme="majorEastAsia" w:cstheme="majorBidi"/>
      <w:b/>
      <w:bCs/>
      <w:sz w:val="28"/>
      <w:szCs w:val="32"/>
    </w:rPr>
  </w:style>
  <w:style w:type="paragraph" w:styleId="3">
    <w:name w:val="heading 3"/>
    <w:basedOn w:val="1"/>
    <w:next w:val="1"/>
    <w:unhideWhenUsed/>
    <w:qFormat/>
    <w:uiPriority w:val="9"/>
    <w:pPr>
      <w:keepNext/>
      <w:keepLines/>
      <w:outlineLvl w:val="2"/>
    </w:pPr>
    <w:rPr>
      <w:b/>
      <w:sz w:val="24"/>
    </w:rPr>
  </w:style>
  <w:style w:type="character" w:default="1" w:styleId="8">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0"/>
  </w:style>
  <w:style w:type="paragraph" w:styleId="5">
    <w:name w:val="Body Text Indent 3"/>
    <w:basedOn w:val="1"/>
    <w:unhideWhenUsed/>
    <w:qFormat/>
    <w:uiPriority w:val="99"/>
    <w:pPr>
      <w:spacing w:after="120"/>
      <w:ind w:left="420" w:leftChars="200"/>
    </w:pPr>
    <w:rPr>
      <w:sz w:val="16"/>
      <w:szCs w:val="16"/>
    </w:rPr>
  </w:style>
  <w:style w:type="paragraph" w:styleId="6">
    <w:name w:val="Body Text First Indent"/>
    <w:basedOn w:val="4"/>
    <w:next w:val="1"/>
    <w:qFormat/>
    <w:uiPriority w:val="0"/>
  </w:style>
  <w:style w:type="paragraph" w:customStyle="1" w:styleId="9">
    <w:name w:val="--规划正文"/>
    <w:basedOn w:val="1"/>
    <w:qFormat/>
    <w:uiPriority w:val="0"/>
    <w:pPr>
      <w:ind w:firstLine="200" w:firstLineChars="200"/>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2019-08-14T01:04:00Z</dcterms:created>
  <dc:creator>「在线」</dc:creator>
  <cp:lastModifiedBy>「在线」</cp:lastModifiedBy>
  <dcterms:modified xsi:type="dcterms:W3CDTF">2019-08-14T01:05:03Z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